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16F41" w14:textId="4BEDEB46" w:rsidR="00C711F2" w:rsidRDefault="00033807" w:rsidP="00C711F2">
      <w:pPr>
        <w:spacing w:line="480" w:lineRule="auto"/>
        <w:rPr>
          <w:b/>
        </w:rPr>
      </w:pPr>
      <w:r>
        <w:rPr>
          <w:b/>
        </w:rPr>
        <w:t xml:space="preserve">Examination of the </w:t>
      </w:r>
      <w:r w:rsidR="00E41033" w:rsidRPr="00614E7F">
        <w:rPr>
          <w:b/>
        </w:rPr>
        <w:t>Associ</w:t>
      </w:r>
      <w:bookmarkStart w:id="0" w:name="_GoBack"/>
      <w:bookmarkEnd w:id="0"/>
      <w:r w:rsidR="00E41033" w:rsidRPr="00614E7F">
        <w:rPr>
          <w:b/>
        </w:rPr>
        <w:t xml:space="preserve">ation </w:t>
      </w:r>
      <w:r w:rsidR="00D75F3A" w:rsidRPr="00614E7F">
        <w:rPr>
          <w:b/>
        </w:rPr>
        <w:t xml:space="preserve">of </w:t>
      </w:r>
      <w:r w:rsidR="00BE4CBF" w:rsidRPr="00614E7F">
        <w:rPr>
          <w:b/>
        </w:rPr>
        <w:t>Sex</w:t>
      </w:r>
      <w:r w:rsidR="00D75F3A" w:rsidRPr="00614E7F">
        <w:rPr>
          <w:b/>
        </w:rPr>
        <w:t xml:space="preserve"> </w:t>
      </w:r>
      <w:r w:rsidR="007F44C3">
        <w:rPr>
          <w:b/>
        </w:rPr>
        <w:t xml:space="preserve">and </w:t>
      </w:r>
      <w:r w:rsidR="007F44C3" w:rsidRPr="00614E7F">
        <w:rPr>
          <w:b/>
        </w:rPr>
        <w:t xml:space="preserve">Race/Ethnicity </w:t>
      </w:r>
      <w:r w:rsidR="00E41033" w:rsidRPr="00614E7F">
        <w:rPr>
          <w:b/>
        </w:rPr>
        <w:t xml:space="preserve">with </w:t>
      </w:r>
      <w:r w:rsidR="00C711F2" w:rsidRPr="00614E7F">
        <w:rPr>
          <w:b/>
        </w:rPr>
        <w:t>Appearance Concerns</w:t>
      </w:r>
      <w:r w:rsidR="00090D50" w:rsidRPr="00614E7F">
        <w:rPr>
          <w:b/>
        </w:rPr>
        <w:t>: A Scleroderma Patient-centered Intervention Network (SPIN) Cohort Study</w:t>
      </w:r>
    </w:p>
    <w:p w14:paraId="6B83FAB2" w14:textId="77777777" w:rsidR="00AE1AA3" w:rsidRPr="00614E7F" w:rsidRDefault="00AE1AA3" w:rsidP="00E3279E">
      <w:pPr>
        <w:pStyle w:val="NoSpacing"/>
        <w:spacing w:line="480" w:lineRule="auto"/>
        <w:rPr>
          <w:b w:val="0"/>
        </w:rPr>
      </w:pPr>
    </w:p>
    <w:p w14:paraId="26C5EDD0" w14:textId="0B073B8E" w:rsidR="003022FE" w:rsidRPr="00614E7F" w:rsidRDefault="00E3279E" w:rsidP="003022FE">
      <w:pPr>
        <w:pStyle w:val="NoSpacing"/>
        <w:spacing w:line="480" w:lineRule="auto"/>
        <w:rPr>
          <w:b w:val="0"/>
          <w:vertAlign w:val="superscript"/>
        </w:rPr>
      </w:pPr>
      <w:r w:rsidRPr="00614E7F">
        <w:rPr>
          <w:b w:val="0"/>
        </w:rPr>
        <w:t>Lisa R. Jewett</w:t>
      </w:r>
      <w:r w:rsidR="00FE5651" w:rsidRPr="00614E7F">
        <w:rPr>
          <w:b w:val="0"/>
        </w:rPr>
        <w:t>, MSc</w:t>
      </w:r>
      <w:r w:rsidRPr="00614E7F">
        <w:rPr>
          <w:b w:val="0"/>
          <w:vertAlign w:val="superscript"/>
        </w:rPr>
        <w:t>1,2</w:t>
      </w:r>
      <w:r w:rsidR="00C6679D" w:rsidRPr="00614E7F">
        <w:rPr>
          <w:b w:val="0"/>
        </w:rPr>
        <w:t xml:space="preserve">; Linda </w:t>
      </w:r>
      <w:proofErr w:type="spellStart"/>
      <w:r w:rsidR="00C6679D" w:rsidRPr="00614E7F">
        <w:rPr>
          <w:b w:val="0"/>
        </w:rPr>
        <w:t>Kwakkenbos</w:t>
      </w:r>
      <w:proofErr w:type="spellEnd"/>
      <w:r w:rsidR="00FE5651" w:rsidRPr="00614E7F">
        <w:rPr>
          <w:b w:val="0"/>
        </w:rPr>
        <w:t>, PhD</w:t>
      </w:r>
      <w:r w:rsidR="00C6679D" w:rsidRPr="00614E7F">
        <w:rPr>
          <w:b w:val="0"/>
          <w:vertAlign w:val="superscript"/>
        </w:rPr>
        <w:t>1</w:t>
      </w:r>
      <w:r w:rsidR="00FE5651" w:rsidRPr="00614E7F">
        <w:rPr>
          <w:b w:val="0"/>
          <w:vertAlign w:val="superscript"/>
        </w:rPr>
        <w:t>,3</w:t>
      </w:r>
      <w:r w:rsidR="00194A6E">
        <w:rPr>
          <w:b w:val="0"/>
          <w:vertAlign w:val="superscript"/>
        </w:rPr>
        <w:t>,</w:t>
      </w:r>
      <w:r w:rsidR="00FE5651" w:rsidRPr="00614E7F">
        <w:rPr>
          <w:b w:val="0"/>
          <w:vertAlign w:val="superscript"/>
        </w:rPr>
        <w:t>4</w:t>
      </w:r>
      <w:r w:rsidR="00C6679D" w:rsidRPr="00614E7F">
        <w:rPr>
          <w:b w:val="0"/>
        </w:rPr>
        <w:t>; Marie-Eve Carrier</w:t>
      </w:r>
      <w:r w:rsidR="00FE5651" w:rsidRPr="00614E7F">
        <w:rPr>
          <w:b w:val="0"/>
        </w:rPr>
        <w:t>, MSc</w:t>
      </w:r>
      <w:r w:rsidR="00FE5651" w:rsidRPr="00614E7F">
        <w:rPr>
          <w:b w:val="0"/>
          <w:vertAlign w:val="superscript"/>
        </w:rPr>
        <w:t>1</w:t>
      </w:r>
      <w:r w:rsidR="00C6679D" w:rsidRPr="00614E7F">
        <w:rPr>
          <w:b w:val="0"/>
        </w:rPr>
        <w:t>;</w:t>
      </w:r>
      <w:r w:rsidR="00C6679D" w:rsidRPr="00614E7F">
        <w:t xml:space="preserve"> </w:t>
      </w:r>
      <w:r w:rsidR="003022FE" w:rsidRPr="00614E7F">
        <w:rPr>
          <w:rFonts w:eastAsia="Times New Roman"/>
          <w:b w:val="0"/>
          <w:color w:val="000000"/>
          <w:shd w:val="clear" w:color="auto" w:fill="FFFFFF"/>
          <w:lang w:val="en-CA"/>
        </w:rPr>
        <w:t xml:space="preserve">Vanessa L. </w:t>
      </w:r>
      <w:proofErr w:type="spellStart"/>
      <w:r w:rsidR="003022FE" w:rsidRPr="00614E7F">
        <w:rPr>
          <w:rFonts w:eastAsia="Times New Roman"/>
          <w:b w:val="0"/>
          <w:color w:val="000000"/>
          <w:shd w:val="clear" w:color="auto" w:fill="FFFFFF"/>
          <w:lang w:val="en-CA"/>
        </w:rPr>
        <w:t>Malcarne</w:t>
      </w:r>
      <w:proofErr w:type="spellEnd"/>
      <w:r w:rsidR="00FE5651" w:rsidRPr="00614E7F">
        <w:rPr>
          <w:rFonts w:eastAsia="Times New Roman"/>
          <w:b w:val="0"/>
          <w:color w:val="000000"/>
          <w:shd w:val="clear" w:color="auto" w:fill="FFFFFF"/>
          <w:lang w:val="en-CA"/>
        </w:rPr>
        <w:t>, PhD</w:t>
      </w:r>
      <w:r w:rsidR="00FE5651" w:rsidRPr="00614E7F">
        <w:rPr>
          <w:rFonts w:eastAsia="Times New Roman"/>
          <w:b w:val="0"/>
          <w:color w:val="000000"/>
          <w:shd w:val="clear" w:color="auto" w:fill="FFFFFF"/>
          <w:vertAlign w:val="superscript"/>
          <w:lang w:val="en-CA"/>
        </w:rPr>
        <w:t>5</w:t>
      </w:r>
      <w:r w:rsidR="00C6679D" w:rsidRPr="00614E7F">
        <w:rPr>
          <w:rFonts w:eastAsia="Times New Roman"/>
          <w:b w:val="0"/>
          <w:color w:val="000000"/>
          <w:shd w:val="clear" w:color="auto" w:fill="FFFFFF"/>
          <w:vertAlign w:val="superscript"/>
          <w:lang w:val="en-CA"/>
        </w:rPr>
        <w:t>,</w:t>
      </w:r>
      <w:r w:rsidR="00FE5651" w:rsidRPr="00614E7F">
        <w:rPr>
          <w:rFonts w:eastAsia="Times New Roman"/>
          <w:b w:val="0"/>
          <w:color w:val="000000"/>
          <w:shd w:val="clear" w:color="auto" w:fill="FFFFFF"/>
          <w:vertAlign w:val="superscript"/>
          <w:lang w:val="en-CA"/>
        </w:rPr>
        <w:t>6</w:t>
      </w:r>
      <w:r w:rsidR="003022FE" w:rsidRPr="00614E7F">
        <w:rPr>
          <w:rFonts w:eastAsia="Times New Roman"/>
          <w:b w:val="0"/>
          <w:color w:val="000000"/>
          <w:shd w:val="clear" w:color="auto" w:fill="FFFFFF"/>
          <w:lang w:val="en-CA"/>
        </w:rPr>
        <w:t xml:space="preserve">; </w:t>
      </w:r>
      <w:r w:rsidR="00A8785C" w:rsidRPr="00614E7F">
        <w:rPr>
          <w:rFonts w:eastAsia="Times New Roman"/>
          <w:b w:val="0"/>
          <w:color w:val="000000"/>
          <w:shd w:val="clear" w:color="auto" w:fill="FFFFFF"/>
          <w:lang w:val="en-CA"/>
        </w:rPr>
        <w:t>S</w:t>
      </w:r>
      <w:r w:rsidR="00AE10E8" w:rsidRPr="00614E7F">
        <w:rPr>
          <w:rFonts w:eastAsia="Times New Roman"/>
          <w:b w:val="0"/>
          <w:color w:val="000000"/>
          <w:shd w:val="clear" w:color="auto" w:fill="FFFFFF"/>
          <w:lang w:val="en-CA"/>
        </w:rPr>
        <w:t>usan</w:t>
      </w:r>
      <w:r w:rsidR="00A36CB4" w:rsidRPr="00614E7F">
        <w:rPr>
          <w:rFonts w:eastAsia="Times New Roman"/>
          <w:b w:val="0"/>
          <w:color w:val="000000"/>
          <w:shd w:val="clear" w:color="auto" w:fill="FFFFFF"/>
          <w:lang w:val="en-CA"/>
        </w:rPr>
        <w:t xml:space="preserve"> J.</w:t>
      </w:r>
      <w:r w:rsidR="00AE10E8" w:rsidRPr="00614E7F">
        <w:rPr>
          <w:rFonts w:eastAsia="Times New Roman"/>
          <w:b w:val="0"/>
          <w:color w:val="000000"/>
          <w:shd w:val="clear" w:color="auto" w:fill="FFFFFF"/>
          <w:lang w:val="en-CA"/>
        </w:rPr>
        <w:t xml:space="preserve"> Bartlett</w:t>
      </w:r>
      <w:r w:rsidR="009F7177" w:rsidRPr="00614E7F">
        <w:rPr>
          <w:rFonts w:eastAsia="Times New Roman"/>
          <w:b w:val="0"/>
          <w:color w:val="000000"/>
          <w:shd w:val="clear" w:color="auto" w:fill="FFFFFF"/>
          <w:lang w:val="en-CA"/>
        </w:rPr>
        <w:t>, PhD</w:t>
      </w:r>
      <w:r w:rsidR="00A36CB4" w:rsidRPr="00614E7F">
        <w:rPr>
          <w:rFonts w:eastAsia="Times New Roman"/>
          <w:b w:val="0"/>
          <w:color w:val="000000"/>
          <w:shd w:val="clear" w:color="auto" w:fill="FFFFFF"/>
          <w:vertAlign w:val="superscript"/>
          <w:lang w:val="en-CA"/>
        </w:rPr>
        <w:t>7</w:t>
      </w:r>
      <w:r w:rsidR="00FE5651" w:rsidRPr="00614E7F">
        <w:rPr>
          <w:rFonts w:eastAsia="Times New Roman"/>
          <w:b w:val="0"/>
          <w:color w:val="000000"/>
          <w:shd w:val="clear" w:color="auto" w:fill="FFFFFF"/>
          <w:vertAlign w:val="superscript"/>
          <w:lang w:val="en-CA"/>
        </w:rPr>
        <w:t>,8</w:t>
      </w:r>
      <w:r w:rsidR="00A8785C" w:rsidRPr="00614E7F">
        <w:rPr>
          <w:rFonts w:eastAsia="Times New Roman"/>
          <w:b w:val="0"/>
          <w:color w:val="000000"/>
          <w:shd w:val="clear" w:color="auto" w:fill="FFFFFF"/>
          <w:lang w:val="en-CA"/>
        </w:rPr>
        <w:t xml:space="preserve">; </w:t>
      </w:r>
      <w:r w:rsidR="003022FE" w:rsidRPr="00614E7F">
        <w:rPr>
          <w:rFonts w:eastAsia="Times New Roman"/>
          <w:b w:val="0"/>
          <w:color w:val="000000"/>
          <w:shd w:val="clear" w:color="auto" w:fill="FFFFFF"/>
          <w:lang w:val="en-CA"/>
        </w:rPr>
        <w:t xml:space="preserve">Daniel E. </w:t>
      </w:r>
      <w:proofErr w:type="spellStart"/>
      <w:r w:rsidR="003022FE" w:rsidRPr="00614E7F">
        <w:rPr>
          <w:rFonts w:eastAsia="Times New Roman"/>
          <w:b w:val="0"/>
          <w:color w:val="000000"/>
          <w:shd w:val="clear" w:color="auto" w:fill="FFFFFF"/>
          <w:lang w:val="en-CA"/>
        </w:rPr>
        <w:t>Furst</w:t>
      </w:r>
      <w:proofErr w:type="spellEnd"/>
      <w:r w:rsidR="009F7177" w:rsidRPr="00614E7F">
        <w:rPr>
          <w:rFonts w:eastAsia="Times New Roman"/>
          <w:b w:val="0"/>
          <w:color w:val="000000"/>
          <w:shd w:val="clear" w:color="auto" w:fill="FFFFFF"/>
          <w:lang w:val="en-CA"/>
        </w:rPr>
        <w:t>, MD</w:t>
      </w:r>
      <w:r w:rsidR="00FE5651" w:rsidRPr="00614E7F">
        <w:rPr>
          <w:rFonts w:eastAsia="Times New Roman"/>
          <w:b w:val="0"/>
          <w:color w:val="000000"/>
          <w:shd w:val="clear" w:color="auto" w:fill="FFFFFF"/>
          <w:vertAlign w:val="superscript"/>
          <w:lang w:val="en-CA"/>
        </w:rPr>
        <w:t>9</w:t>
      </w:r>
      <w:r w:rsidR="003022FE" w:rsidRPr="00614E7F">
        <w:rPr>
          <w:rFonts w:eastAsia="Times New Roman"/>
          <w:b w:val="0"/>
          <w:color w:val="000000"/>
          <w:shd w:val="clear" w:color="auto" w:fill="FFFFFF"/>
          <w:lang w:val="en-CA"/>
        </w:rPr>
        <w:t xml:space="preserve">; </w:t>
      </w:r>
      <w:r w:rsidR="005262F1" w:rsidRPr="00614E7F">
        <w:rPr>
          <w:rFonts w:eastAsia="Times New Roman"/>
          <w:b w:val="0"/>
          <w:color w:val="000000"/>
          <w:shd w:val="clear" w:color="auto" w:fill="FFFFFF"/>
          <w:lang w:val="en-CA"/>
        </w:rPr>
        <w:t xml:space="preserve">Karen </w:t>
      </w:r>
      <w:proofErr w:type="spellStart"/>
      <w:r w:rsidR="005262F1" w:rsidRPr="00614E7F">
        <w:rPr>
          <w:rFonts w:eastAsia="Times New Roman"/>
          <w:b w:val="0"/>
          <w:color w:val="000000"/>
          <w:shd w:val="clear" w:color="auto" w:fill="FFFFFF"/>
          <w:lang w:val="en-CA"/>
        </w:rPr>
        <w:t>Gottesman</w:t>
      </w:r>
      <w:proofErr w:type="spellEnd"/>
      <w:r w:rsidR="009F7177" w:rsidRPr="00614E7F">
        <w:rPr>
          <w:rFonts w:eastAsia="Times New Roman"/>
          <w:b w:val="0"/>
          <w:color w:val="000000"/>
          <w:shd w:val="clear" w:color="auto" w:fill="FFFFFF"/>
          <w:lang w:val="en-CA"/>
        </w:rPr>
        <w:t>, BA</w:t>
      </w:r>
      <w:r w:rsidR="00FE5651" w:rsidRPr="00614E7F">
        <w:rPr>
          <w:rFonts w:eastAsia="Times New Roman"/>
          <w:b w:val="0"/>
          <w:color w:val="000000"/>
          <w:shd w:val="clear" w:color="auto" w:fill="FFFFFF"/>
          <w:vertAlign w:val="superscript"/>
          <w:lang w:val="en-CA"/>
        </w:rPr>
        <w:t>10</w:t>
      </w:r>
      <w:r w:rsidR="00D714A7" w:rsidRPr="00614E7F">
        <w:rPr>
          <w:rFonts w:eastAsia="Times New Roman"/>
          <w:b w:val="0"/>
          <w:color w:val="000000"/>
          <w:shd w:val="clear" w:color="auto" w:fill="FFFFFF"/>
          <w:lang w:val="en-CA"/>
        </w:rPr>
        <w:t xml:space="preserve">; </w:t>
      </w:r>
      <w:r w:rsidR="003022FE" w:rsidRPr="008E747F">
        <w:rPr>
          <w:rFonts w:eastAsia="Times New Roman"/>
          <w:b w:val="0"/>
          <w:color w:val="000000"/>
          <w:shd w:val="clear" w:color="auto" w:fill="FFFFFF"/>
          <w:lang w:val="en-CA"/>
        </w:rPr>
        <w:t xml:space="preserve">Maureen </w:t>
      </w:r>
      <w:r w:rsidR="0063294F">
        <w:rPr>
          <w:rFonts w:eastAsia="Times New Roman"/>
          <w:b w:val="0"/>
          <w:color w:val="000000"/>
          <w:shd w:val="clear" w:color="auto" w:fill="FFFFFF"/>
          <w:lang w:val="en-CA"/>
        </w:rPr>
        <w:t>D</w:t>
      </w:r>
      <w:r w:rsidR="003022FE" w:rsidRPr="008E747F">
        <w:rPr>
          <w:rFonts w:eastAsia="Times New Roman"/>
          <w:b w:val="0"/>
          <w:color w:val="000000"/>
          <w:shd w:val="clear" w:color="auto" w:fill="FFFFFF"/>
          <w:lang w:val="en-CA"/>
        </w:rPr>
        <w:t>. Mayes</w:t>
      </w:r>
      <w:r w:rsidR="00B00F93" w:rsidRPr="008E747F">
        <w:rPr>
          <w:rFonts w:eastAsia="Times New Roman"/>
          <w:b w:val="0"/>
          <w:color w:val="000000"/>
          <w:shd w:val="clear" w:color="auto" w:fill="FFFFFF"/>
          <w:lang w:val="en-CA"/>
        </w:rPr>
        <w:t xml:space="preserve">, </w:t>
      </w:r>
      <w:r w:rsidR="009F7177" w:rsidRPr="008E747F">
        <w:rPr>
          <w:rFonts w:eastAsia="Times New Roman"/>
          <w:b w:val="0"/>
          <w:color w:val="000000"/>
          <w:shd w:val="clear" w:color="auto" w:fill="FFFFFF"/>
          <w:lang w:val="en-CA"/>
        </w:rPr>
        <w:t>MD</w:t>
      </w:r>
      <w:r w:rsidR="009F7177" w:rsidRPr="008E747F">
        <w:rPr>
          <w:rFonts w:eastAsia="Times New Roman"/>
          <w:b w:val="0"/>
          <w:color w:val="000000"/>
          <w:shd w:val="clear" w:color="auto" w:fill="FFFFFF"/>
          <w:vertAlign w:val="superscript"/>
          <w:lang w:val="en-CA"/>
        </w:rPr>
        <w:t>11</w:t>
      </w:r>
      <w:r w:rsidR="003022FE" w:rsidRPr="008E747F">
        <w:rPr>
          <w:rFonts w:eastAsia="Times New Roman"/>
          <w:b w:val="0"/>
          <w:color w:val="000000"/>
          <w:shd w:val="clear" w:color="auto" w:fill="FFFFFF"/>
          <w:lang w:val="en-CA"/>
        </w:rPr>
        <w:t xml:space="preserve">; </w:t>
      </w:r>
      <w:proofErr w:type="spellStart"/>
      <w:r w:rsidR="003022FE" w:rsidRPr="008E747F">
        <w:rPr>
          <w:rFonts w:eastAsia="Times New Roman"/>
          <w:b w:val="0"/>
          <w:color w:val="000000"/>
          <w:shd w:val="clear" w:color="auto" w:fill="FFFFFF"/>
          <w:lang w:val="en-CA"/>
        </w:rPr>
        <w:t>Shervin</w:t>
      </w:r>
      <w:proofErr w:type="spellEnd"/>
      <w:r w:rsidR="003022FE" w:rsidRPr="008E747F">
        <w:rPr>
          <w:rFonts w:eastAsia="Times New Roman"/>
          <w:b w:val="0"/>
          <w:color w:val="000000"/>
          <w:shd w:val="clear" w:color="auto" w:fill="FFFFFF"/>
          <w:lang w:val="en-CA"/>
        </w:rPr>
        <w:t xml:space="preserve"> </w:t>
      </w:r>
      <w:proofErr w:type="spellStart"/>
      <w:r w:rsidR="003022FE" w:rsidRPr="008E747F">
        <w:rPr>
          <w:rFonts w:eastAsia="Times New Roman"/>
          <w:b w:val="0"/>
          <w:color w:val="000000"/>
          <w:shd w:val="clear" w:color="auto" w:fill="FFFFFF"/>
          <w:lang w:val="en-CA"/>
        </w:rPr>
        <w:t>Assassi</w:t>
      </w:r>
      <w:proofErr w:type="spellEnd"/>
      <w:r w:rsidR="00B00F93" w:rsidRPr="008E747F">
        <w:rPr>
          <w:rFonts w:eastAsia="Times New Roman"/>
          <w:b w:val="0"/>
          <w:color w:val="000000"/>
          <w:shd w:val="clear" w:color="auto" w:fill="FFFFFF"/>
          <w:lang w:val="en-CA"/>
        </w:rPr>
        <w:t>, MD</w:t>
      </w:r>
      <w:r w:rsidR="002630C0" w:rsidRPr="008E747F">
        <w:rPr>
          <w:rFonts w:eastAsia="Times New Roman"/>
          <w:b w:val="0"/>
          <w:color w:val="000000"/>
          <w:shd w:val="clear" w:color="auto" w:fill="FFFFFF"/>
          <w:vertAlign w:val="superscript"/>
          <w:lang w:val="en-CA"/>
        </w:rPr>
        <w:t>11</w:t>
      </w:r>
      <w:r w:rsidR="003022FE" w:rsidRPr="008E747F">
        <w:rPr>
          <w:rFonts w:eastAsia="Times New Roman"/>
          <w:b w:val="0"/>
          <w:color w:val="000000"/>
          <w:shd w:val="clear" w:color="auto" w:fill="FFFFFF"/>
          <w:lang w:val="en-CA"/>
        </w:rPr>
        <w:t>;</w:t>
      </w:r>
      <w:r w:rsidR="0028534B" w:rsidRPr="008E747F">
        <w:rPr>
          <w:rFonts w:eastAsia="Times New Roman"/>
          <w:b w:val="0"/>
          <w:color w:val="000000"/>
          <w:shd w:val="clear" w:color="auto" w:fill="FFFFFF"/>
          <w:lang w:val="en-CA"/>
        </w:rPr>
        <w:t xml:space="preserve"> </w:t>
      </w:r>
      <w:r w:rsidR="003022FE" w:rsidRPr="008E747F">
        <w:rPr>
          <w:rFonts w:eastAsia="Times New Roman"/>
          <w:b w:val="0"/>
          <w:color w:val="000000"/>
          <w:shd w:val="clear" w:color="auto" w:fill="FFFFFF"/>
          <w:lang w:val="en-CA"/>
        </w:rPr>
        <w:t>Diana Harcourt</w:t>
      </w:r>
      <w:r w:rsidR="00B00F93" w:rsidRPr="008E747F">
        <w:rPr>
          <w:rFonts w:eastAsia="Times New Roman"/>
          <w:b w:val="0"/>
          <w:color w:val="000000"/>
          <w:shd w:val="clear" w:color="auto" w:fill="FFFFFF"/>
          <w:lang w:val="en-CA"/>
        </w:rPr>
        <w:t xml:space="preserve">, </w:t>
      </w:r>
      <w:r w:rsidR="00090D50" w:rsidRPr="008E747F">
        <w:rPr>
          <w:rFonts w:eastAsia="Times New Roman"/>
          <w:b w:val="0"/>
          <w:color w:val="000000"/>
          <w:shd w:val="clear" w:color="auto" w:fill="FFFFFF"/>
          <w:lang w:val="en-CA"/>
        </w:rPr>
        <w:t>PhD</w:t>
      </w:r>
      <w:r w:rsidR="00090D50" w:rsidRPr="008E747F">
        <w:rPr>
          <w:rFonts w:eastAsia="Times New Roman"/>
          <w:b w:val="0"/>
          <w:color w:val="000000"/>
          <w:shd w:val="clear" w:color="auto" w:fill="FFFFFF"/>
          <w:vertAlign w:val="superscript"/>
          <w:lang w:val="en-CA"/>
        </w:rPr>
        <w:t>12</w:t>
      </w:r>
      <w:r w:rsidR="003022FE" w:rsidRPr="008E747F">
        <w:rPr>
          <w:rFonts w:eastAsia="Times New Roman"/>
          <w:b w:val="0"/>
          <w:color w:val="000000"/>
          <w:shd w:val="clear" w:color="auto" w:fill="FFFFFF"/>
          <w:lang w:val="en-CA"/>
        </w:rPr>
        <w:t xml:space="preserve">; </w:t>
      </w:r>
      <w:r w:rsidR="00FE065B">
        <w:rPr>
          <w:rFonts w:eastAsia="Times New Roman"/>
          <w:b w:val="0"/>
          <w:color w:val="000000"/>
          <w:shd w:val="clear" w:color="auto" w:fill="FFFFFF"/>
          <w:lang w:val="en-CA"/>
        </w:rPr>
        <w:t>Heidi Williamson, DHealthPsy</w:t>
      </w:r>
      <w:r w:rsidR="00BA6638" w:rsidRPr="008E747F">
        <w:rPr>
          <w:rFonts w:eastAsia="Times New Roman"/>
          <w:b w:val="0"/>
          <w:color w:val="000000"/>
          <w:shd w:val="clear" w:color="auto" w:fill="FFFFFF"/>
          <w:vertAlign w:val="superscript"/>
          <w:lang w:val="en-CA"/>
        </w:rPr>
        <w:t>12</w:t>
      </w:r>
      <w:r w:rsidR="00BA6638" w:rsidRPr="008E747F">
        <w:rPr>
          <w:rFonts w:eastAsia="Times New Roman"/>
          <w:b w:val="0"/>
          <w:color w:val="000000"/>
          <w:shd w:val="clear" w:color="auto" w:fill="FFFFFF"/>
          <w:lang w:val="en-CA"/>
        </w:rPr>
        <w:t xml:space="preserve">; </w:t>
      </w:r>
      <w:r w:rsidR="000D29DF" w:rsidRPr="008E747F">
        <w:rPr>
          <w:rFonts w:eastAsia="Times New Roman"/>
          <w:b w:val="0"/>
          <w:lang w:val="en-CA"/>
        </w:rPr>
        <w:t>Sindhu R. Johnson</w:t>
      </w:r>
      <w:r w:rsidR="00B94C2D" w:rsidRPr="008E747F">
        <w:rPr>
          <w:rFonts w:eastAsia="Times New Roman"/>
          <w:b w:val="0"/>
          <w:lang w:val="en-CA"/>
        </w:rPr>
        <w:t>, MD, PhD</w:t>
      </w:r>
      <w:r w:rsidR="00D714A7" w:rsidRPr="008E747F">
        <w:rPr>
          <w:rFonts w:eastAsia="Times New Roman"/>
          <w:b w:val="0"/>
          <w:color w:val="000000"/>
          <w:shd w:val="clear" w:color="auto" w:fill="FFFFFF"/>
          <w:vertAlign w:val="superscript"/>
          <w:lang w:val="en-CA"/>
        </w:rPr>
        <w:t>1</w:t>
      </w:r>
      <w:r w:rsidR="00BA6638" w:rsidRPr="008E747F">
        <w:rPr>
          <w:rFonts w:eastAsia="Times New Roman"/>
          <w:b w:val="0"/>
          <w:color w:val="000000"/>
          <w:shd w:val="clear" w:color="auto" w:fill="FFFFFF"/>
          <w:vertAlign w:val="superscript"/>
          <w:lang w:val="en-CA"/>
        </w:rPr>
        <w:t>3</w:t>
      </w:r>
      <w:r w:rsidR="00D714A7" w:rsidRPr="008E747F">
        <w:rPr>
          <w:rFonts w:eastAsia="Times New Roman"/>
          <w:b w:val="0"/>
          <w:lang w:val="en-CA"/>
        </w:rPr>
        <w:t xml:space="preserve">; </w:t>
      </w:r>
      <w:r w:rsidR="00090D50" w:rsidRPr="008E747F">
        <w:rPr>
          <w:rFonts w:eastAsia="Times New Roman"/>
          <w:b w:val="0"/>
          <w:color w:val="000000"/>
          <w:shd w:val="clear" w:color="auto" w:fill="FFFFFF"/>
          <w:lang w:val="en-CA"/>
        </w:rPr>
        <w:t xml:space="preserve">Annett </w:t>
      </w:r>
      <w:proofErr w:type="spellStart"/>
      <w:r w:rsidR="00090D50" w:rsidRPr="008E747F">
        <w:rPr>
          <w:rFonts w:eastAsia="Times New Roman"/>
          <w:b w:val="0"/>
          <w:color w:val="000000"/>
          <w:shd w:val="clear" w:color="auto" w:fill="FFFFFF"/>
          <w:lang w:val="en-CA"/>
        </w:rPr>
        <w:t>Körner</w:t>
      </w:r>
      <w:proofErr w:type="spellEnd"/>
      <w:r w:rsidR="00090D50" w:rsidRPr="008E747F">
        <w:rPr>
          <w:rFonts w:eastAsia="Times New Roman"/>
          <w:b w:val="0"/>
          <w:color w:val="000000"/>
          <w:shd w:val="clear" w:color="auto" w:fill="FFFFFF"/>
          <w:lang w:val="en-CA"/>
        </w:rPr>
        <w:t>, PhD</w:t>
      </w:r>
      <w:r w:rsidR="00090D50" w:rsidRPr="008E747F">
        <w:rPr>
          <w:rFonts w:eastAsia="Times New Roman"/>
          <w:b w:val="0"/>
          <w:color w:val="000000"/>
          <w:shd w:val="clear" w:color="auto" w:fill="FFFFFF"/>
          <w:vertAlign w:val="superscript"/>
          <w:lang w:val="en-CA"/>
        </w:rPr>
        <w:t>1,2</w:t>
      </w:r>
      <w:r w:rsidR="00090D50" w:rsidRPr="008E747F">
        <w:rPr>
          <w:rFonts w:eastAsia="Times New Roman"/>
          <w:b w:val="0"/>
          <w:color w:val="000000"/>
          <w:shd w:val="clear" w:color="auto" w:fill="FFFFFF"/>
          <w:lang w:val="en-CA"/>
        </w:rPr>
        <w:t xml:space="preserve">; </w:t>
      </w:r>
      <w:r w:rsidR="00BA6638" w:rsidRPr="008E747F">
        <w:rPr>
          <w:rFonts w:eastAsia="Times New Roman"/>
          <w:b w:val="0"/>
          <w:color w:val="000000"/>
          <w:shd w:val="clear" w:color="auto" w:fill="FFFFFF"/>
          <w:lang w:val="en-CA"/>
        </w:rPr>
        <w:t>Virginia Steen, MD</w:t>
      </w:r>
      <w:r w:rsidR="00BA6638" w:rsidRPr="008E747F">
        <w:rPr>
          <w:rFonts w:eastAsia="Times New Roman"/>
          <w:b w:val="0"/>
          <w:color w:val="000000"/>
          <w:shd w:val="clear" w:color="auto" w:fill="FFFFFF"/>
          <w:vertAlign w:val="superscript"/>
          <w:lang w:val="en-CA"/>
        </w:rPr>
        <w:t>14</w:t>
      </w:r>
      <w:r w:rsidR="00BA6638" w:rsidRPr="008E747F">
        <w:rPr>
          <w:rFonts w:eastAsia="Times New Roman"/>
          <w:b w:val="0"/>
          <w:color w:val="000000"/>
          <w:shd w:val="clear" w:color="auto" w:fill="FFFFFF"/>
          <w:lang w:val="en-CA"/>
        </w:rPr>
        <w:t xml:space="preserve">; </w:t>
      </w:r>
      <w:r w:rsidR="003022FE" w:rsidRPr="008E747F">
        <w:rPr>
          <w:rFonts w:eastAsia="Times New Roman"/>
          <w:b w:val="0"/>
          <w:color w:val="000000"/>
          <w:shd w:val="clear" w:color="auto" w:fill="FFFFFF"/>
          <w:lang w:val="en-CA"/>
        </w:rPr>
        <w:t>Rina S. Fox</w:t>
      </w:r>
      <w:r w:rsidR="00172408" w:rsidRPr="008E747F">
        <w:rPr>
          <w:rFonts w:eastAsia="Times New Roman"/>
          <w:b w:val="0"/>
          <w:color w:val="000000"/>
          <w:shd w:val="clear" w:color="auto" w:fill="FFFFFF"/>
          <w:lang w:val="en-CA"/>
        </w:rPr>
        <w:t xml:space="preserve">, </w:t>
      </w:r>
      <w:r w:rsidR="009225B1" w:rsidRPr="008E747F">
        <w:rPr>
          <w:rFonts w:eastAsia="Times New Roman"/>
          <w:b w:val="0"/>
          <w:color w:val="000000"/>
          <w:shd w:val="clear" w:color="auto" w:fill="FFFFFF"/>
          <w:lang w:val="en-CA"/>
        </w:rPr>
        <w:t>MS</w:t>
      </w:r>
      <w:r w:rsidR="004C66D0" w:rsidRPr="008E747F">
        <w:rPr>
          <w:rFonts w:eastAsia="Times New Roman"/>
          <w:b w:val="0"/>
          <w:color w:val="000000"/>
          <w:shd w:val="clear" w:color="auto" w:fill="FFFFFF"/>
          <w:lang w:val="en-CA"/>
        </w:rPr>
        <w:t>, MPH</w:t>
      </w:r>
      <w:r w:rsidR="001A15E2" w:rsidRPr="008E747F">
        <w:rPr>
          <w:rFonts w:eastAsia="Times New Roman"/>
          <w:b w:val="0"/>
          <w:color w:val="000000"/>
          <w:shd w:val="clear" w:color="auto" w:fill="FFFFFF"/>
          <w:vertAlign w:val="superscript"/>
          <w:lang w:val="en-CA"/>
        </w:rPr>
        <w:t>6</w:t>
      </w:r>
      <w:r w:rsidR="003022FE" w:rsidRPr="008E747F">
        <w:rPr>
          <w:rFonts w:eastAsia="Times New Roman"/>
          <w:b w:val="0"/>
          <w:color w:val="000000"/>
          <w:shd w:val="clear" w:color="auto" w:fill="FFFFFF"/>
          <w:lang w:val="en-CA"/>
        </w:rPr>
        <w:t xml:space="preserve">; </w:t>
      </w:r>
      <w:proofErr w:type="spellStart"/>
      <w:r w:rsidR="00172408" w:rsidRPr="008E747F">
        <w:rPr>
          <w:rFonts w:eastAsia="Times New Roman"/>
          <w:b w:val="0"/>
          <w:color w:val="000000"/>
          <w:shd w:val="clear" w:color="auto" w:fill="FFFFFF"/>
          <w:lang w:val="en-CA"/>
        </w:rPr>
        <w:t>Shadi</w:t>
      </w:r>
      <w:proofErr w:type="spellEnd"/>
      <w:r w:rsidR="00172408" w:rsidRPr="008E747F">
        <w:rPr>
          <w:rFonts w:eastAsia="Times New Roman"/>
          <w:b w:val="0"/>
          <w:color w:val="000000"/>
          <w:shd w:val="clear" w:color="auto" w:fill="FFFFFF"/>
          <w:lang w:val="en-CA"/>
        </w:rPr>
        <w:t xml:space="preserve"> </w:t>
      </w:r>
      <w:proofErr w:type="spellStart"/>
      <w:r w:rsidR="00172408" w:rsidRPr="008E747F">
        <w:rPr>
          <w:rFonts w:eastAsia="Times New Roman"/>
          <w:b w:val="0"/>
          <w:color w:val="000000"/>
          <w:shd w:val="clear" w:color="auto" w:fill="FFFFFF"/>
          <w:lang w:val="en-CA"/>
        </w:rPr>
        <w:t>Gholizadeh</w:t>
      </w:r>
      <w:proofErr w:type="spellEnd"/>
      <w:r w:rsidR="00172408" w:rsidRPr="008E747F">
        <w:rPr>
          <w:rFonts w:eastAsia="Times New Roman"/>
          <w:b w:val="0"/>
          <w:color w:val="000000"/>
          <w:shd w:val="clear" w:color="auto" w:fill="FFFFFF"/>
          <w:lang w:val="en-CA"/>
        </w:rPr>
        <w:t xml:space="preserve">, </w:t>
      </w:r>
      <w:r w:rsidR="009225B1" w:rsidRPr="008E747F">
        <w:rPr>
          <w:rFonts w:eastAsia="Times New Roman"/>
          <w:b w:val="0"/>
          <w:color w:val="000000"/>
          <w:shd w:val="clear" w:color="auto" w:fill="FFFFFF"/>
          <w:lang w:val="en-CA"/>
        </w:rPr>
        <w:t>MS</w:t>
      </w:r>
      <w:r w:rsidR="001A15E2" w:rsidRPr="008E747F">
        <w:rPr>
          <w:rFonts w:eastAsia="Times New Roman"/>
          <w:b w:val="0"/>
          <w:color w:val="000000"/>
          <w:shd w:val="clear" w:color="auto" w:fill="FFFFFF"/>
          <w:vertAlign w:val="superscript"/>
          <w:lang w:val="en-CA"/>
        </w:rPr>
        <w:t>6</w:t>
      </w:r>
      <w:r w:rsidR="00172408" w:rsidRPr="008E747F">
        <w:rPr>
          <w:rFonts w:eastAsia="Times New Roman"/>
          <w:b w:val="0"/>
          <w:color w:val="000000"/>
          <w:shd w:val="clear" w:color="auto" w:fill="FFFFFF"/>
          <w:lang w:val="en-CA"/>
        </w:rPr>
        <w:t xml:space="preserve">; </w:t>
      </w:r>
      <w:r w:rsidR="003022FE" w:rsidRPr="008E747F">
        <w:rPr>
          <w:rFonts w:eastAsia="Times New Roman"/>
          <w:b w:val="0"/>
          <w:color w:val="000000"/>
          <w:shd w:val="clear" w:color="auto" w:fill="FFFFFF"/>
          <w:lang w:val="en-CA"/>
        </w:rPr>
        <w:t>Sarah D. Mills</w:t>
      </w:r>
      <w:r w:rsidR="00172408" w:rsidRPr="008E747F">
        <w:rPr>
          <w:rFonts w:eastAsia="Times New Roman"/>
          <w:b w:val="0"/>
          <w:color w:val="000000"/>
          <w:shd w:val="clear" w:color="auto" w:fill="FFFFFF"/>
          <w:lang w:val="en-CA"/>
        </w:rPr>
        <w:t xml:space="preserve">, </w:t>
      </w:r>
      <w:r w:rsidR="009225B1" w:rsidRPr="008E747F">
        <w:rPr>
          <w:rFonts w:eastAsia="Times New Roman"/>
          <w:b w:val="0"/>
          <w:color w:val="000000"/>
          <w:shd w:val="clear" w:color="auto" w:fill="FFFFFF"/>
          <w:lang w:val="en-CA"/>
        </w:rPr>
        <w:t>MS</w:t>
      </w:r>
      <w:r w:rsidR="004C66D0" w:rsidRPr="008E747F">
        <w:rPr>
          <w:rFonts w:eastAsia="Times New Roman"/>
          <w:b w:val="0"/>
          <w:color w:val="000000"/>
          <w:shd w:val="clear" w:color="auto" w:fill="FFFFFF"/>
          <w:lang w:val="en-CA"/>
        </w:rPr>
        <w:t>, MPH</w:t>
      </w:r>
      <w:r w:rsidR="001A15E2" w:rsidRPr="008E747F">
        <w:rPr>
          <w:rFonts w:eastAsia="Times New Roman"/>
          <w:b w:val="0"/>
          <w:color w:val="000000"/>
          <w:shd w:val="clear" w:color="auto" w:fill="FFFFFF"/>
          <w:vertAlign w:val="superscript"/>
          <w:lang w:val="en-CA"/>
        </w:rPr>
        <w:t>6</w:t>
      </w:r>
      <w:r w:rsidR="003022FE" w:rsidRPr="008E747F">
        <w:rPr>
          <w:rFonts w:eastAsia="Times New Roman"/>
          <w:b w:val="0"/>
          <w:color w:val="000000"/>
          <w:shd w:val="clear" w:color="auto" w:fill="FFFFFF"/>
          <w:lang w:val="en-CA"/>
        </w:rPr>
        <w:t>;</w:t>
      </w:r>
      <w:r w:rsidR="00CF7EE3" w:rsidRPr="008E747F">
        <w:rPr>
          <w:rFonts w:eastAsia="Times New Roman"/>
          <w:b w:val="0"/>
          <w:color w:val="000000"/>
          <w:shd w:val="clear" w:color="auto" w:fill="FFFFFF"/>
          <w:lang w:val="en-CA"/>
        </w:rPr>
        <w:t xml:space="preserve"> Jacqueline</w:t>
      </w:r>
      <w:r w:rsidR="00AE10E8" w:rsidRPr="008E747F">
        <w:rPr>
          <w:rFonts w:eastAsia="Times New Roman"/>
          <w:b w:val="0"/>
          <w:color w:val="000000"/>
          <w:shd w:val="clear" w:color="auto" w:fill="FFFFFF"/>
          <w:lang w:val="en-CA"/>
        </w:rPr>
        <w:t xml:space="preserve"> C. </w:t>
      </w:r>
      <w:r w:rsidR="00172408" w:rsidRPr="008E747F">
        <w:rPr>
          <w:rFonts w:eastAsia="Times New Roman"/>
          <w:b w:val="0"/>
          <w:color w:val="000000"/>
          <w:shd w:val="clear" w:color="auto" w:fill="FFFFFF"/>
          <w:lang w:val="en-CA"/>
        </w:rPr>
        <w:t>Molnar</w:t>
      </w:r>
      <w:r w:rsidR="00172408" w:rsidRPr="008E747F">
        <w:rPr>
          <w:b w:val="0"/>
          <w:vertAlign w:val="superscript"/>
        </w:rPr>
        <w:t>1</w:t>
      </w:r>
      <w:r w:rsidR="00CF7EE3" w:rsidRPr="008E747F">
        <w:rPr>
          <w:rFonts w:eastAsia="Times New Roman"/>
          <w:b w:val="0"/>
          <w:color w:val="000000"/>
          <w:shd w:val="clear" w:color="auto" w:fill="FFFFFF"/>
          <w:lang w:val="en-CA"/>
        </w:rPr>
        <w:t>;</w:t>
      </w:r>
      <w:r w:rsidR="003022FE" w:rsidRPr="008E747F">
        <w:rPr>
          <w:rFonts w:eastAsia="Times New Roman"/>
          <w:b w:val="0"/>
          <w:color w:val="000000"/>
          <w:shd w:val="clear" w:color="auto" w:fill="FFFFFF"/>
          <w:lang w:val="en-CA"/>
        </w:rPr>
        <w:t xml:space="preserve"> </w:t>
      </w:r>
      <w:r w:rsidR="00711776" w:rsidRPr="00614E7F">
        <w:rPr>
          <w:rFonts w:eastAsia="Times New Roman"/>
          <w:b w:val="0"/>
          <w:color w:val="000000"/>
          <w:shd w:val="clear" w:color="auto" w:fill="FFFFFF"/>
          <w:lang w:val="en-CA"/>
        </w:rPr>
        <w:t>Danielle B. Rice, MSc</w:t>
      </w:r>
      <w:r w:rsidR="00711776" w:rsidRPr="00614E7F">
        <w:rPr>
          <w:rFonts w:eastAsia="Times New Roman"/>
          <w:b w:val="0"/>
          <w:color w:val="000000"/>
          <w:shd w:val="clear" w:color="auto" w:fill="FFFFFF"/>
          <w:vertAlign w:val="superscript"/>
          <w:lang w:val="en-CA"/>
        </w:rPr>
        <w:t>1,15</w:t>
      </w:r>
      <w:r w:rsidR="00711776" w:rsidRPr="00614E7F">
        <w:rPr>
          <w:rFonts w:eastAsia="Times New Roman"/>
          <w:b w:val="0"/>
          <w:color w:val="000000"/>
          <w:shd w:val="clear" w:color="auto" w:fill="FFFFFF"/>
          <w:lang w:val="en-CA"/>
        </w:rPr>
        <w:t xml:space="preserve">; </w:t>
      </w:r>
      <w:r w:rsidR="003022FE" w:rsidRPr="00614E7F">
        <w:rPr>
          <w:rFonts w:eastAsia="Times New Roman"/>
          <w:b w:val="0"/>
          <w:color w:val="000000"/>
          <w:shd w:val="clear" w:color="auto" w:fill="FFFFFF"/>
          <w:lang w:val="en-CA"/>
        </w:rPr>
        <w:t>Brett D. Thombs</w:t>
      </w:r>
      <w:r w:rsidR="004C66D0" w:rsidRPr="00614E7F">
        <w:rPr>
          <w:rFonts w:eastAsia="Times New Roman"/>
          <w:b w:val="0"/>
          <w:color w:val="000000"/>
          <w:shd w:val="clear" w:color="auto" w:fill="FFFFFF"/>
          <w:lang w:val="en-CA"/>
        </w:rPr>
        <w:t>, PhD</w:t>
      </w:r>
      <w:r w:rsidR="00820972" w:rsidRPr="00614E7F">
        <w:rPr>
          <w:rFonts w:eastAsia="Times New Roman"/>
          <w:b w:val="0"/>
          <w:color w:val="000000"/>
          <w:shd w:val="clear" w:color="auto" w:fill="FFFFFF"/>
          <w:vertAlign w:val="superscript"/>
          <w:lang w:val="en-CA"/>
        </w:rPr>
        <w:t>1</w:t>
      </w:r>
      <w:r w:rsidR="007962B6" w:rsidRPr="00614E7F">
        <w:rPr>
          <w:rFonts w:eastAsia="Times New Roman"/>
          <w:b w:val="0"/>
          <w:color w:val="000000"/>
          <w:shd w:val="clear" w:color="auto" w:fill="FFFFFF"/>
          <w:vertAlign w:val="superscript"/>
          <w:lang w:val="en-CA"/>
        </w:rPr>
        <w:t>-3</w:t>
      </w:r>
      <w:r w:rsidR="00510C5B" w:rsidRPr="00614E7F">
        <w:rPr>
          <w:rFonts w:eastAsia="Times New Roman"/>
          <w:b w:val="0"/>
          <w:color w:val="000000"/>
          <w:shd w:val="clear" w:color="auto" w:fill="FFFFFF"/>
          <w:vertAlign w:val="superscript"/>
          <w:lang w:val="en-CA"/>
        </w:rPr>
        <w:t>,</w:t>
      </w:r>
      <w:r w:rsidR="007962B6" w:rsidRPr="00614E7F">
        <w:rPr>
          <w:rFonts w:eastAsia="Times New Roman"/>
          <w:b w:val="0"/>
          <w:color w:val="000000"/>
          <w:shd w:val="clear" w:color="auto" w:fill="FFFFFF"/>
          <w:vertAlign w:val="superscript"/>
          <w:lang w:val="en-CA"/>
        </w:rPr>
        <w:t>8</w:t>
      </w:r>
      <w:r w:rsidR="00A95944" w:rsidRPr="00614E7F">
        <w:rPr>
          <w:rFonts w:eastAsia="Times New Roman"/>
          <w:b w:val="0"/>
          <w:color w:val="000000"/>
          <w:shd w:val="clear" w:color="auto" w:fill="FFFFFF"/>
          <w:vertAlign w:val="superscript"/>
          <w:lang w:val="en-CA"/>
        </w:rPr>
        <w:t>,</w:t>
      </w:r>
      <w:r w:rsidR="00C66CF4" w:rsidRPr="00614E7F">
        <w:rPr>
          <w:rFonts w:eastAsia="Times New Roman"/>
          <w:b w:val="0"/>
          <w:color w:val="000000"/>
          <w:shd w:val="clear" w:color="auto" w:fill="FFFFFF"/>
          <w:vertAlign w:val="superscript"/>
          <w:lang w:val="en-CA"/>
        </w:rPr>
        <w:t>1</w:t>
      </w:r>
      <w:r w:rsidR="007962B6" w:rsidRPr="00614E7F">
        <w:rPr>
          <w:rFonts w:eastAsia="Times New Roman"/>
          <w:b w:val="0"/>
          <w:color w:val="000000"/>
          <w:shd w:val="clear" w:color="auto" w:fill="FFFFFF"/>
          <w:vertAlign w:val="superscript"/>
          <w:lang w:val="en-CA"/>
        </w:rPr>
        <w:t>5</w:t>
      </w:r>
      <w:r w:rsidR="00C66CF4" w:rsidRPr="00614E7F">
        <w:rPr>
          <w:rFonts w:eastAsia="Times New Roman"/>
          <w:b w:val="0"/>
          <w:color w:val="000000"/>
          <w:shd w:val="clear" w:color="auto" w:fill="FFFFFF"/>
          <w:vertAlign w:val="superscript"/>
          <w:lang w:val="en-CA"/>
        </w:rPr>
        <w:t>-1</w:t>
      </w:r>
      <w:r w:rsidR="007962B6" w:rsidRPr="00614E7F">
        <w:rPr>
          <w:rFonts w:eastAsia="Times New Roman"/>
          <w:b w:val="0"/>
          <w:color w:val="000000"/>
          <w:shd w:val="clear" w:color="auto" w:fill="FFFFFF"/>
          <w:vertAlign w:val="superscript"/>
          <w:lang w:val="en-CA"/>
        </w:rPr>
        <w:t>7</w:t>
      </w:r>
      <w:r w:rsidR="00E05CAC" w:rsidRPr="00614E7F">
        <w:rPr>
          <w:rFonts w:eastAsia="Times New Roman"/>
          <w:b w:val="0"/>
          <w:color w:val="000000"/>
          <w:shd w:val="clear" w:color="auto" w:fill="FFFFFF"/>
          <w:lang w:val="en-CA"/>
        </w:rPr>
        <w:t xml:space="preserve">; </w:t>
      </w:r>
      <w:r w:rsidR="00E05CAC" w:rsidRPr="00614E7F">
        <w:rPr>
          <w:b w:val="0"/>
        </w:rPr>
        <w:t xml:space="preserve">and the SPIN </w:t>
      </w:r>
      <w:r w:rsidR="00BD57E3" w:rsidRPr="00614E7F">
        <w:rPr>
          <w:b w:val="0"/>
        </w:rPr>
        <w:t>Investigators</w:t>
      </w:r>
      <w:r w:rsidR="00866CE9">
        <w:rPr>
          <w:b w:val="0"/>
          <w:vertAlign w:val="superscript"/>
        </w:rPr>
        <w:t>18</w:t>
      </w:r>
    </w:p>
    <w:p w14:paraId="7C13AF61" w14:textId="77777777" w:rsidR="00A36CB4" w:rsidRPr="00614E7F" w:rsidRDefault="00A36CB4" w:rsidP="003022FE">
      <w:pPr>
        <w:pStyle w:val="NoSpacing"/>
        <w:spacing w:line="480" w:lineRule="auto"/>
        <w:rPr>
          <w:b w:val="0"/>
        </w:rPr>
      </w:pPr>
    </w:p>
    <w:p w14:paraId="0632B9AC" w14:textId="362947C1" w:rsidR="00E05CAC" w:rsidRPr="00614E7F" w:rsidRDefault="00FE5651" w:rsidP="00A36CB4">
      <w:pPr>
        <w:pStyle w:val="NoSpacing"/>
        <w:spacing w:line="480" w:lineRule="auto"/>
        <w:rPr>
          <w:b w:val="0"/>
        </w:rPr>
      </w:pPr>
      <w:r w:rsidRPr="00614E7F">
        <w:rPr>
          <w:b w:val="0"/>
          <w:vertAlign w:val="superscript"/>
        </w:rPr>
        <w:t>1</w:t>
      </w:r>
      <w:r w:rsidR="00E3279E" w:rsidRPr="00614E7F">
        <w:rPr>
          <w:b w:val="0"/>
        </w:rPr>
        <w:t xml:space="preserve">Lady Davis Institute for Medical Research, Jewish General Hospital, </w:t>
      </w:r>
      <w:r w:rsidRPr="00614E7F">
        <w:rPr>
          <w:b w:val="0"/>
        </w:rPr>
        <w:t>Montreal</w:t>
      </w:r>
      <w:r w:rsidR="00E3279E" w:rsidRPr="00614E7F">
        <w:rPr>
          <w:b w:val="0"/>
        </w:rPr>
        <w:t xml:space="preserve">, </w:t>
      </w:r>
      <w:r w:rsidRPr="00614E7F">
        <w:rPr>
          <w:b w:val="0"/>
        </w:rPr>
        <w:t>Quebec</w:t>
      </w:r>
      <w:r w:rsidR="00E3279E" w:rsidRPr="00614E7F">
        <w:rPr>
          <w:b w:val="0"/>
        </w:rPr>
        <w:t>, C</w:t>
      </w:r>
      <w:r w:rsidR="00C6679D" w:rsidRPr="00614E7F">
        <w:rPr>
          <w:b w:val="0"/>
        </w:rPr>
        <w:t xml:space="preserve">anada; </w:t>
      </w:r>
      <w:r w:rsidRPr="00614E7F">
        <w:rPr>
          <w:b w:val="0"/>
          <w:vertAlign w:val="superscript"/>
        </w:rPr>
        <w:t>2</w:t>
      </w:r>
      <w:r w:rsidRPr="00614E7F">
        <w:rPr>
          <w:b w:val="0"/>
        </w:rPr>
        <w:t xml:space="preserve">Department of Educational and Counselling Psychology, McGill University, Montreal, Quebec, Canada; </w:t>
      </w:r>
      <w:r w:rsidRPr="00614E7F">
        <w:rPr>
          <w:b w:val="0"/>
          <w:vertAlign w:val="superscript"/>
        </w:rPr>
        <w:t>3</w:t>
      </w:r>
      <w:r w:rsidRPr="00614E7F">
        <w:rPr>
          <w:b w:val="0"/>
        </w:rPr>
        <w:t xml:space="preserve">Department of Psychiatry, McGill University, Montreal, Quebec, Canada; </w:t>
      </w:r>
      <w:r w:rsidRPr="00614E7F">
        <w:rPr>
          <w:b w:val="0"/>
          <w:vertAlign w:val="superscript"/>
        </w:rPr>
        <w:t>4</w:t>
      </w:r>
      <w:r w:rsidR="00C6679D" w:rsidRPr="00614E7F">
        <w:rPr>
          <w:b w:val="0"/>
          <w:lang w:val="en-CA"/>
        </w:rPr>
        <w:t xml:space="preserve">Behavioural Science Institute, Clinical Psychology, </w:t>
      </w:r>
      <w:proofErr w:type="spellStart"/>
      <w:r w:rsidR="00C6679D" w:rsidRPr="00614E7F">
        <w:rPr>
          <w:b w:val="0"/>
          <w:lang w:val="en-CA"/>
        </w:rPr>
        <w:t>Radboud</w:t>
      </w:r>
      <w:proofErr w:type="spellEnd"/>
      <w:r w:rsidR="00C6679D" w:rsidRPr="00614E7F">
        <w:rPr>
          <w:b w:val="0"/>
          <w:lang w:val="en-CA"/>
        </w:rPr>
        <w:t xml:space="preserve"> University, Nijmegen, the Netherlands; </w:t>
      </w:r>
      <w:r w:rsidRPr="00614E7F">
        <w:rPr>
          <w:b w:val="0"/>
          <w:vertAlign w:val="superscript"/>
        </w:rPr>
        <w:t>5</w:t>
      </w:r>
      <w:r w:rsidR="00C6679D" w:rsidRPr="00614E7F">
        <w:rPr>
          <w:b w:val="0"/>
        </w:rPr>
        <w:t xml:space="preserve">Department of Psychology, San Diego State University, San Diego, California, USA; </w:t>
      </w:r>
      <w:r w:rsidRPr="00614E7F">
        <w:rPr>
          <w:b w:val="0"/>
          <w:vertAlign w:val="superscript"/>
        </w:rPr>
        <w:t>6</w:t>
      </w:r>
      <w:r w:rsidR="00C6679D" w:rsidRPr="00614E7F">
        <w:rPr>
          <w:b w:val="0"/>
          <w:shd w:val="clear" w:color="auto" w:fill="FFFFFF"/>
        </w:rPr>
        <w:t>San Diego State University/University of California, San Diego Joint Doctoral Program in Clinical Psychology, San Diego, California, USA;</w:t>
      </w:r>
      <w:r w:rsidR="00FF7D36" w:rsidRPr="00614E7F">
        <w:rPr>
          <w:b w:val="0"/>
          <w:shd w:val="clear" w:color="auto" w:fill="FFFFFF"/>
        </w:rPr>
        <w:t xml:space="preserve"> </w:t>
      </w:r>
      <w:r w:rsidRPr="00614E7F">
        <w:rPr>
          <w:b w:val="0"/>
          <w:vertAlign w:val="superscript"/>
          <w:lang w:val="en-CA"/>
        </w:rPr>
        <w:t>7</w:t>
      </w:r>
      <w:r w:rsidR="00A36CB4" w:rsidRPr="00614E7F">
        <w:rPr>
          <w:b w:val="0"/>
        </w:rPr>
        <w:t>McGill University Health Center, Montr</w:t>
      </w:r>
      <w:r w:rsidRPr="00614E7F">
        <w:rPr>
          <w:b w:val="0"/>
        </w:rPr>
        <w:t>e</w:t>
      </w:r>
      <w:r w:rsidR="00A36CB4" w:rsidRPr="00614E7F">
        <w:rPr>
          <w:b w:val="0"/>
        </w:rPr>
        <w:t>al, Qu</w:t>
      </w:r>
      <w:r w:rsidRPr="00614E7F">
        <w:rPr>
          <w:b w:val="0"/>
        </w:rPr>
        <w:t>e</w:t>
      </w:r>
      <w:r w:rsidR="00A36CB4" w:rsidRPr="00614E7F">
        <w:rPr>
          <w:b w:val="0"/>
        </w:rPr>
        <w:t xml:space="preserve">bec, Canada; </w:t>
      </w:r>
      <w:r w:rsidRPr="00614E7F">
        <w:rPr>
          <w:b w:val="0"/>
          <w:vertAlign w:val="superscript"/>
          <w:lang w:val="en-CA"/>
        </w:rPr>
        <w:t>8</w:t>
      </w:r>
      <w:r w:rsidR="00A36CB4" w:rsidRPr="00614E7F">
        <w:rPr>
          <w:b w:val="0"/>
          <w:lang w:val="en-CA"/>
        </w:rPr>
        <w:t xml:space="preserve">Department of </w:t>
      </w:r>
      <w:r w:rsidR="00A36CB4" w:rsidRPr="00614E7F">
        <w:rPr>
          <w:b w:val="0"/>
        </w:rPr>
        <w:t>Medicine, McGill University, Montr</w:t>
      </w:r>
      <w:r w:rsidRPr="00614E7F">
        <w:rPr>
          <w:b w:val="0"/>
        </w:rPr>
        <w:t>e</w:t>
      </w:r>
      <w:r w:rsidR="00A36CB4" w:rsidRPr="00614E7F">
        <w:rPr>
          <w:b w:val="0"/>
        </w:rPr>
        <w:t>al, Qu</w:t>
      </w:r>
      <w:r w:rsidRPr="00614E7F">
        <w:rPr>
          <w:b w:val="0"/>
        </w:rPr>
        <w:t>e</w:t>
      </w:r>
      <w:r w:rsidR="00A36CB4" w:rsidRPr="00614E7F">
        <w:rPr>
          <w:b w:val="0"/>
        </w:rPr>
        <w:t xml:space="preserve">bec, Canada; </w:t>
      </w:r>
      <w:r w:rsidRPr="00614E7F">
        <w:rPr>
          <w:b w:val="0"/>
          <w:shd w:val="clear" w:color="auto" w:fill="FFFFFF"/>
          <w:vertAlign w:val="superscript"/>
        </w:rPr>
        <w:t>9</w:t>
      </w:r>
      <w:r w:rsidRPr="00614E7F">
        <w:rPr>
          <w:b w:val="0"/>
        </w:rPr>
        <w:t xml:space="preserve">Division of Rheumatology, Geffen School of Medicine at the </w:t>
      </w:r>
      <w:r w:rsidR="00B00F93" w:rsidRPr="00614E7F">
        <w:rPr>
          <w:b w:val="0"/>
          <w:shd w:val="clear" w:color="auto" w:fill="FFFFFF"/>
        </w:rPr>
        <w:t>University of California, Los Angeles, Los Angeles, USA</w:t>
      </w:r>
      <w:r w:rsidR="006C6431" w:rsidRPr="00614E7F">
        <w:rPr>
          <w:b w:val="0"/>
          <w:shd w:val="clear" w:color="auto" w:fill="FFFFFF"/>
        </w:rPr>
        <w:t xml:space="preserve">; </w:t>
      </w:r>
      <w:r w:rsidRPr="00614E7F">
        <w:rPr>
          <w:b w:val="0"/>
          <w:vertAlign w:val="superscript"/>
        </w:rPr>
        <w:t>10</w:t>
      </w:r>
      <w:r w:rsidRPr="00614E7F">
        <w:rPr>
          <w:b w:val="0"/>
        </w:rPr>
        <w:t>Scleroderma Foundation, USA</w:t>
      </w:r>
      <w:r w:rsidR="00BD57E3" w:rsidRPr="00614E7F">
        <w:rPr>
          <w:b w:val="0"/>
        </w:rPr>
        <w:t>;</w:t>
      </w:r>
      <w:r w:rsidR="00BD57E3" w:rsidRPr="00614E7F">
        <w:rPr>
          <w:b w:val="0"/>
          <w:vertAlign w:val="superscript"/>
        </w:rPr>
        <w:t xml:space="preserve"> </w:t>
      </w:r>
      <w:r w:rsidR="009F7177" w:rsidRPr="00614E7F">
        <w:rPr>
          <w:b w:val="0"/>
          <w:vertAlign w:val="superscript"/>
        </w:rPr>
        <w:t>11</w:t>
      </w:r>
      <w:r w:rsidR="00150017" w:rsidRPr="00424F9B">
        <w:rPr>
          <w:rFonts w:eastAsia="Times New Roman"/>
          <w:b w:val="0"/>
          <w:color w:val="222222"/>
          <w:shd w:val="clear" w:color="auto" w:fill="FFFFFF"/>
        </w:rPr>
        <w:t xml:space="preserve"> Department of Internal Medicine, Division of Rheumatology, University of Texas McGovern Medical School, Houston, Texas, USA</w:t>
      </w:r>
      <w:r w:rsidR="00B00F93" w:rsidRPr="00424F9B">
        <w:rPr>
          <w:b w:val="0"/>
        </w:rPr>
        <w:t xml:space="preserve">; </w:t>
      </w:r>
      <w:r w:rsidR="00BD57E3" w:rsidRPr="00614E7F">
        <w:rPr>
          <w:b w:val="0"/>
          <w:vertAlign w:val="superscript"/>
        </w:rPr>
        <w:t>1</w:t>
      </w:r>
      <w:r w:rsidR="002630C0" w:rsidRPr="00614E7F">
        <w:rPr>
          <w:b w:val="0"/>
          <w:vertAlign w:val="superscript"/>
        </w:rPr>
        <w:t>2</w:t>
      </w:r>
      <w:r w:rsidR="00820972" w:rsidRPr="00614E7F">
        <w:rPr>
          <w:b w:val="0"/>
        </w:rPr>
        <w:t xml:space="preserve">Centre for Appearance Research, </w:t>
      </w:r>
      <w:r w:rsidR="00956226" w:rsidRPr="00614E7F">
        <w:rPr>
          <w:b w:val="0"/>
        </w:rPr>
        <w:t xml:space="preserve">University of the West of England, Bristol, </w:t>
      </w:r>
      <w:r w:rsidR="002630C0" w:rsidRPr="00614E7F">
        <w:rPr>
          <w:b w:val="0"/>
        </w:rPr>
        <w:t>United Kingdom</w:t>
      </w:r>
      <w:r w:rsidR="00956226" w:rsidRPr="00614E7F">
        <w:rPr>
          <w:b w:val="0"/>
        </w:rPr>
        <w:t xml:space="preserve">; </w:t>
      </w:r>
      <w:r w:rsidR="00BA6638" w:rsidRPr="00614E7F">
        <w:rPr>
          <w:b w:val="0"/>
          <w:vertAlign w:val="superscript"/>
        </w:rPr>
        <w:t>13</w:t>
      </w:r>
      <w:r w:rsidR="00BA6638" w:rsidRPr="00614E7F">
        <w:rPr>
          <w:b w:val="0"/>
        </w:rPr>
        <w:t xml:space="preserve">Toronto Scleroderma Program, Division of Rheumatology, Department of </w:t>
      </w:r>
      <w:r w:rsidR="00BA6638" w:rsidRPr="00614E7F">
        <w:rPr>
          <w:b w:val="0"/>
        </w:rPr>
        <w:lastRenderedPageBreak/>
        <w:t xml:space="preserve">Medicine, Toronto Western and Mount Sinai Hospitals, Toronto, Ontario, Canada; </w:t>
      </w:r>
      <w:r w:rsidR="00BD57E3" w:rsidRPr="00614E7F">
        <w:rPr>
          <w:rFonts w:eastAsia="Times New Roman"/>
          <w:b w:val="0"/>
          <w:vertAlign w:val="superscript"/>
          <w:lang w:val="en-CA"/>
        </w:rPr>
        <w:t>1</w:t>
      </w:r>
      <w:r w:rsidR="00172408" w:rsidRPr="00614E7F">
        <w:rPr>
          <w:rFonts w:eastAsia="Times New Roman"/>
          <w:b w:val="0"/>
          <w:vertAlign w:val="superscript"/>
          <w:lang w:val="en-CA"/>
        </w:rPr>
        <w:t>4</w:t>
      </w:r>
      <w:r w:rsidR="006260AF" w:rsidRPr="00614E7F">
        <w:rPr>
          <w:rFonts w:eastAsia="Times New Roman"/>
          <w:b w:val="0"/>
          <w:lang w:val="en-CA"/>
        </w:rPr>
        <w:t>Department of Medicine, Georgetown University, Washington, DC, USA;</w:t>
      </w:r>
      <w:r w:rsidR="006260AF" w:rsidRPr="00614E7F">
        <w:rPr>
          <w:b w:val="0"/>
        </w:rPr>
        <w:t xml:space="preserve"> </w:t>
      </w:r>
      <w:r w:rsidR="00B40461" w:rsidRPr="00614E7F">
        <w:rPr>
          <w:b w:val="0"/>
        </w:rPr>
        <w:t xml:space="preserve">Departments of </w:t>
      </w:r>
      <w:r w:rsidR="00711776" w:rsidRPr="00614E7F">
        <w:rPr>
          <w:b w:val="0"/>
          <w:vertAlign w:val="superscript"/>
        </w:rPr>
        <w:t>15</w:t>
      </w:r>
      <w:r w:rsidR="00711776" w:rsidRPr="00614E7F">
        <w:rPr>
          <w:b w:val="0"/>
        </w:rPr>
        <w:t>Psychology,</w:t>
      </w:r>
      <w:r w:rsidR="00711776" w:rsidRPr="00614E7F">
        <w:rPr>
          <w:b w:val="0"/>
          <w:vertAlign w:val="superscript"/>
        </w:rPr>
        <w:t>16</w:t>
      </w:r>
      <w:r w:rsidR="00711776" w:rsidRPr="00614E7F">
        <w:rPr>
          <w:b w:val="0"/>
        </w:rPr>
        <w:t>Epidemiology</w:t>
      </w:r>
      <w:r w:rsidR="00820972" w:rsidRPr="00614E7F">
        <w:rPr>
          <w:b w:val="0"/>
        </w:rPr>
        <w:t>, Biostatistics</w:t>
      </w:r>
      <w:r w:rsidR="001034E7" w:rsidRPr="00614E7F">
        <w:rPr>
          <w:b w:val="0"/>
        </w:rPr>
        <w:t xml:space="preserve"> and Occupational Health, </w:t>
      </w:r>
      <w:r w:rsidR="00B40461" w:rsidRPr="00614E7F">
        <w:rPr>
          <w:b w:val="0"/>
        </w:rPr>
        <w:t xml:space="preserve">and </w:t>
      </w:r>
      <w:r w:rsidR="00172408" w:rsidRPr="00614E7F">
        <w:rPr>
          <w:b w:val="0"/>
          <w:vertAlign w:val="superscript"/>
        </w:rPr>
        <w:t>17</w:t>
      </w:r>
      <w:r w:rsidR="00172408" w:rsidRPr="00614E7F">
        <w:rPr>
          <w:b w:val="0"/>
        </w:rPr>
        <w:t xml:space="preserve">School </w:t>
      </w:r>
      <w:r w:rsidR="00B40461" w:rsidRPr="00614E7F">
        <w:rPr>
          <w:b w:val="0"/>
        </w:rPr>
        <w:t xml:space="preserve">of Nursing, </w:t>
      </w:r>
      <w:r w:rsidR="001034E7" w:rsidRPr="00614E7F">
        <w:rPr>
          <w:b w:val="0"/>
        </w:rPr>
        <w:t>McGill Univer</w:t>
      </w:r>
      <w:r w:rsidR="00E05CAC" w:rsidRPr="00614E7F">
        <w:rPr>
          <w:b w:val="0"/>
        </w:rPr>
        <w:t>sity, Montr</w:t>
      </w:r>
      <w:r w:rsidR="00172408" w:rsidRPr="00614E7F">
        <w:rPr>
          <w:b w:val="0"/>
        </w:rPr>
        <w:t>e</w:t>
      </w:r>
      <w:r w:rsidR="00E05CAC" w:rsidRPr="00614E7F">
        <w:rPr>
          <w:b w:val="0"/>
        </w:rPr>
        <w:t>al, Qu</w:t>
      </w:r>
      <w:r w:rsidR="00172408" w:rsidRPr="00614E7F">
        <w:rPr>
          <w:b w:val="0"/>
        </w:rPr>
        <w:t>e</w:t>
      </w:r>
      <w:r w:rsidR="00E05CAC" w:rsidRPr="00614E7F">
        <w:rPr>
          <w:b w:val="0"/>
        </w:rPr>
        <w:t xml:space="preserve">bec, Canada; </w:t>
      </w:r>
      <w:r w:rsidR="00F330ED" w:rsidRPr="00614E7F">
        <w:rPr>
          <w:b w:val="0"/>
          <w:vertAlign w:val="superscript"/>
        </w:rPr>
        <w:t>1</w:t>
      </w:r>
      <w:r w:rsidR="00CE7088" w:rsidRPr="00614E7F">
        <w:rPr>
          <w:b w:val="0"/>
          <w:vertAlign w:val="superscript"/>
        </w:rPr>
        <w:t>8</w:t>
      </w:r>
      <w:r w:rsidR="00E05CAC" w:rsidRPr="00614E7F">
        <w:rPr>
          <w:b w:val="0"/>
        </w:rPr>
        <w:t xml:space="preserve">SPIN Investigators: </w:t>
      </w:r>
      <w:r w:rsidR="00CE7088" w:rsidRPr="00614E7F">
        <w:rPr>
          <w:b w:val="0"/>
        </w:rPr>
        <w:t>Murray Baron, McGill University, Montréal, Québec</w:t>
      </w:r>
      <w:r w:rsidR="00CE7088" w:rsidRPr="00614E7F">
        <w:rPr>
          <w:rFonts w:eastAsia="Times New Roman"/>
          <w:b w:val="0"/>
        </w:rPr>
        <w:t xml:space="preserve">, Canada; Frank van den </w:t>
      </w:r>
      <w:proofErr w:type="spellStart"/>
      <w:r w:rsidR="00CE7088" w:rsidRPr="00614E7F">
        <w:rPr>
          <w:rFonts w:eastAsia="Times New Roman"/>
          <w:b w:val="0"/>
        </w:rPr>
        <w:t>Hoogen</w:t>
      </w:r>
      <w:proofErr w:type="spellEnd"/>
      <w:r w:rsidR="00CE7088" w:rsidRPr="00614E7F">
        <w:rPr>
          <w:rFonts w:eastAsia="Times New Roman"/>
          <w:b w:val="0"/>
        </w:rPr>
        <w:t xml:space="preserve">, </w:t>
      </w:r>
      <w:proofErr w:type="spellStart"/>
      <w:r w:rsidR="00CE7088" w:rsidRPr="00614E7F">
        <w:rPr>
          <w:rFonts w:eastAsia="Times New Roman"/>
          <w:b w:val="0"/>
        </w:rPr>
        <w:t>Radboud</w:t>
      </w:r>
      <w:proofErr w:type="spellEnd"/>
      <w:r w:rsidR="00CE7088" w:rsidRPr="00614E7F">
        <w:rPr>
          <w:rFonts w:eastAsia="Times New Roman"/>
          <w:b w:val="0"/>
        </w:rPr>
        <w:t xml:space="preserve"> University Medical Center and </w:t>
      </w:r>
      <w:proofErr w:type="spellStart"/>
      <w:r w:rsidR="00CE7088" w:rsidRPr="00614E7F">
        <w:rPr>
          <w:rFonts w:eastAsia="Times New Roman"/>
          <w:b w:val="0"/>
        </w:rPr>
        <w:t>Sint</w:t>
      </w:r>
      <w:proofErr w:type="spellEnd"/>
      <w:r w:rsidR="00CE7088" w:rsidRPr="00614E7F">
        <w:rPr>
          <w:rFonts w:eastAsia="Times New Roman"/>
          <w:b w:val="0"/>
        </w:rPr>
        <w:t xml:space="preserve"> </w:t>
      </w:r>
      <w:proofErr w:type="spellStart"/>
      <w:r w:rsidR="00CE7088" w:rsidRPr="00614E7F">
        <w:rPr>
          <w:rFonts w:eastAsia="Times New Roman"/>
          <w:b w:val="0"/>
        </w:rPr>
        <w:t>Maartenskliniek</w:t>
      </w:r>
      <w:proofErr w:type="spellEnd"/>
      <w:r w:rsidR="00CE7088" w:rsidRPr="00614E7F">
        <w:rPr>
          <w:rFonts w:eastAsia="Times New Roman"/>
          <w:b w:val="0"/>
        </w:rPr>
        <w:t xml:space="preserve">, Nijmegen, The Netherlands; Dinesh Khanna, University of Michigan, Ann Arbor, Michigan, USA; Luc </w:t>
      </w:r>
      <w:proofErr w:type="spellStart"/>
      <w:r w:rsidR="00CE7088" w:rsidRPr="00614E7F">
        <w:rPr>
          <w:rFonts w:eastAsia="Times New Roman"/>
          <w:b w:val="0"/>
        </w:rPr>
        <w:t>Mouthon</w:t>
      </w:r>
      <w:proofErr w:type="spellEnd"/>
      <w:r w:rsidR="00CE7088" w:rsidRPr="00614E7F">
        <w:rPr>
          <w:rFonts w:eastAsia="Times New Roman"/>
          <w:b w:val="0"/>
        </w:rPr>
        <w:t xml:space="preserve">, </w:t>
      </w:r>
      <w:proofErr w:type="spellStart"/>
      <w:r w:rsidR="00CE7088" w:rsidRPr="00614E7F">
        <w:rPr>
          <w:b w:val="0"/>
        </w:rPr>
        <w:t>Université</w:t>
      </w:r>
      <w:proofErr w:type="spellEnd"/>
      <w:r w:rsidR="00CE7088" w:rsidRPr="00614E7F">
        <w:rPr>
          <w:b w:val="0"/>
        </w:rPr>
        <w:t xml:space="preserve"> Paris Descartes, Paris, France; </w:t>
      </w:r>
      <w:r w:rsidR="00CE7088" w:rsidRPr="00614E7F">
        <w:rPr>
          <w:rFonts w:eastAsia="Times New Roman"/>
          <w:b w:val="0"/>
        </w:rPr>
        <w:t xml:space="preserve">Warren R. Nielson, St. Joseph’s Health Care, London, Ontario, Canada; Serge </w:t>
      </w:r>
      <w:proofErr w:type="spellStart"/>
      <w:r w:rsidR="00CE7088" w:rsidRPr="00614E7F">
        <w:rPr>
          <w:rFonts w:eastAsia="Times New Roman"/>
          <w:b w:val="0"/>
        </w:rPr>
        <w:t>Poiraudeau</w:t>
      </w:r>
      <w:proofErr w:type="spellEnd"/>
      <w:r w:rsidR="00CE7088" w:rsidRPr="00614E7F">
        <w:rPr>
          <w:rFonts w:eastAsia="Times New Roman"/>
          <w:b w:val="0"/>
        </w:rPr>
        <w:t xml:space="preserve">, </w:t>
      </w:r>
      <w:proofErr w:type="spellStart"/>
      <w:r w:rsidR="00CE7088" w:rsidRPr="00614E7F">
        <w:rPr>
          <w:b w:val="0"/>
        </w:rPr>
        <w:t>Université</w:t>
      </w:r>
      <w:proofErr w:type="spellEnd"/>
      <w:r w:rsidR="00CE7088" w:rsidRPr="00614E7F">
        <w:rPr>
          <w:b w:val="0"/>
        </w:rPr>
        <w:t xml:space="preserve"> Paris Descartes, Paris, France; </w:t>
      </w:r>
      <w:r w:rsidR="00CE7088" w:rsidRPr="00614E7F">
        <w:rPr>
          <w:rFonts w:eastAsia="Times New Roman"/>
          <w:b w:val="0"/>
        </w:rPr>
        <w:t xml:space="preserve">Robert Riggs, Scleroderma Foundation, Danvers, Massachusetts, USA; Maureen </w:t>
      </w:r>
      <w:proofErr w:type="spellStart"/>
      <w:r w:rsidR="00CE7088" w:rsidRPr="00614E7F">
        <w:rPr>
          <w:rFonts w:eastAsia="Times New Roman"/>
          <w:b w:val="0"/>
        </w:rPr>
        <w:t>Sauve</w:t>
      </w:r>
      <w:proofErr w:type="spellEnd"/>
      <w:r w:rsidR="00CE7088" w:rsidRPr="00614E7F">
        <w:rPr>
          <w:rFonts w:eastAsia="Times New Roman"/>
          <w:b w:val="0"/>
        </w:rPr>
        <w:t xml:space="preserve">, Scleroderma Society of Ontario, Hamilton, Ontario; Fredrick </w:t>
      </w:r>
      <w:proofErr w:type="spellStart"/>
      <w:r w:rsidR="00CE7088" w:rsidRPr="00614E7F">
        <w:rPr>
          <w:rFonts w:eastAsia="Times New Roman"/>
          <w:b w:val="0"/>
        </w:rPr>
        <w:t>Wigley</w:t>
      </w:r>
      <w:proofErr w:type="spellEnd"/>
      <w:r w:rsidR="00CE7088" w:rsidRPr="00614E7F">
        <w:rPr>
          <w:rFonts w:eastAsia="Times New Roman"/>
          <w:b w:val="0"/>
        </w:rPr>
        <w:t xml:space="preserve">, Johns Hopkins University School of Medicine, Baltimore, Maryland, USA; Isabelle </w:t>
      </w:r>
      <w:proofErr w:type="spellStart"/>
      <w:r w:rsidR="00CE7088" w:rsidRPr="00614E7F">
        <w:rPr>
          <w:rFonts w:eastAsia="Times New Roman"/>
          <w:b w:val="0"/>
        </w:rPr>
        <w:t>Boutron</w:t>
      </w:r>
      <w:proofErr w:type="spellEnd"/>
      <w:r w:rsidR="00CE7088" w:rsidRPr="00614E7F">
        <w:rPr>
          <w:rFonts w:eastAsia="Times New Roman"/>
          <w:b w:val="0"/>
        </w:rPr>
        <w:t xml:space="preserve">, </w:t>
      </w:r>
      <w:proofErr w:type="spellStart"/>
      <w:r w:rsidR="00CE7088" w:rsidRPr="00614E7F">
        <w:rPr>
          <w:b w:val="0"/>
        </w:rPr>
        <w:t>Université</w:t>
      </w:r>
      <w:proofErr w:type="spellEnd"/>
      <w:r w:rsidR="00CE7088" w:rsidRPr="00614E7F">
        <w:rPr>
          <w:b w:val="0"/>
        </w:rPr>
        <w:t xml:space="preserve"> </w:t>
      </w:r>
      <w:r w:rsidR="00CE7088" w:rsidRPr="00614E7F">
        <w:rPr>
          <w:rFonts w:eastAsia="Times New Roman"/>
          <w:b w:val="0"/>
        </w:rPr>
        <w:t xml:space="preserve">Paris Descartes, and </w:t>
      </w:r>
      <w:r w:rsidR="00CE7088" w:rsidRPr="00614E7F">
        <w:rPr>
          <w:b w:val="0"/>
        </w:rPr>
        <w:t xml:space="preserve">Assistance </w:t>
      </w:r>
      <w:proofErr w:type="spellStart"/>
      <w:r w:rsidR="00CE7088" w:rsidRPr="00614E7F">
        <w:rPr>
          <w:b w:val="0"/>
        </w:rPr>
        <w:t>Publique-Hôpitaux</w:t>
      </w:r>
      <w:proofErr w:type="spellEnd"/>
      <w:r w:rsidR="00CE7088" w:rsidRPr="00614E7F">
        <w:rPr>
          <w:b w:val="0"/>
        </w:rPr>
        <w:t xml:space="preserve"> de Paris, </w:t>
      </w:r>
      <w:r w:rsidR="00CE7088" w:rsidRPr="00614E7F">
        <w:rPr>
          <w:rFonts w:eastAsia="Times New Roman"/>
          <w:b w:val="0"/>
        </w:rPr>
        <w:t xml:space="preserve">Paris, France; Angela Costa Maia, University of Minho, Braga, Portugal; </w:t>
      </w:r>
      <w:proofErr w:type="spellStart"/>
      <w:r w:rsidR="00CE7088" w:rsidRPr="00614E7F">
        <w:rPr>
          <w:rFonts w:eastAsia="Times New Roman"/>
          <w:b w:val="0"/>
        </w:rPr>
        <w:t>Ghassan</w:t>
      </w:r>
      <w:proofErr w:type="spellEnd"/>
      <w:r w:rsidR="00CE7088" w:rsidRPr="00614E7F">
        <w:rPr>
          <w:rFonts w:eastAsia="Times New Roman"/>
          <w:b w:val="0"/>
        </w:rPr>
        <w:t xml:space="preserve"> El-Baalbaki, </w:t>
      </w:r>
      <w:proofErr w:type="spellStart"/>
      <w:r w:rsidR="00CE7088" w:rsidRPr="00614E7F">
        <w:rPr>
          <w:rFonts w:eastAsia="Times New Roman"/>
          <w:b w:val="0"/>
        </w:rPr>
        <w:t>Université</w:t>
      </w:r>
      <w:proofErr w:type="spellEnd"/>
      <w:r w:rsidR="00CE7088" w:rsidRPr="00614E7F">
        <w:rPr>
          <w:rFonts w:eastAsia="Times New Roman"/>
          <w:b w:val="0"/>
        </w:rPr>
        <w:t xml:space="preserve"> du Québec à Montréal, </w:t>
      </w:r>
      <w:r w:rsidR="00CE7088" w:rsidRPr="00614E7F">
        <w:rPr>
          <w:b w:val="0"/>
        </w:rPr>
        <w:t>Montréal, Québec</w:t>
      </w:r>
      <w:r w:rsidR="00CE7088" w:rsidRPr="00614E7F">
        <w:rPr>
          <w:rFonts w:eastAsia="Times New Roman"/>
          <w:b w:val="0"/>
        </w:rPr>
        <w:t xml:space="preserve">, Canada; Carolyn Ells, McGill University, </w:t>
      </w:r>
      <w:r w:rsidR="00CE7088" w:rsidRPr="00614E7F">
        <w:rPr>
          <w:b w:val="0"/>
        </w:rPr>
        <w:t>Montréal,</w:t>
      </w:r>
      <w:r w:rsidR="00CE7088" w:rsidRPr="00614E7F">
        <w:rPr>
          <w:rFonts w:eastAsia="Times New Roman"/>
          <w:b w:val="0"/>
        </w:rPr>
        <w:t xml:space="preserve"> </w:t>
      </w:r>
      <w:r w:rsidR="00CE7088" w:rsidRPr="00614E7F">
        <w:rPr>
          <w:b w:val="0"/>
        </w:rPr>
        <w:t>Québec</w:t>
      </w:r>
      <w:r w:rsidR="00CE7088" w:rsidRPr="00614E7F">
        <w:rPr>
          <w:rFonts w:eastAsia="Times New Roman"/>
          <w:b w:val="0"/>
        </w:rPr>
        <w:t xml:space="preserve">, Canada; </w:t>
      </w:r>
      <w:r w:rsidR="00CE7088" w:rsidRPr="00614E7F">
        <w:rPr>
          <w:rFonts w:eastAsia="Times New Roman"/>
          <w:b w:val="0"/>
          <w:lang w:val="en-CA"/>
        </w:rPr>
        <w:t xml:space="preserve">Cornelia van den </w:t>
      </w:r>
      <w:proofErr w:type="spellStart"/>
      <w:r w:rsidR="00CE7088" w:rsidRPr="00614E7F">
        <w:rPr>
          <w:rFonts w:eastAsia="Times New Roman"/>
          <w:b w:val="0"/>
          <w:lang w:val="en-CA"/>
        </w:rPr>
        <w:t>Ende</w:t>
      </w:r>
      <w:proofErr w:type="spellEnd"/>
      <w:r w:rsidR="00CE7088" w:rsidRPr="00614E7F">
        <w:rPr>
          <w:rFonts w:eastAsia="Times New Roman"/>
          <w:b w:val="0"/>
          <w:lang w:val="en-CA"/>
        </w:rPr>
        <w:t xml:space="preserve">, </w:t>
      </w:r>
      <w:proofErr w:type="spellStart"/>
      <w:r w:rsidR="00CE7088" w:rsidRPr="00614E7F">
        <w:rPr>
          <w:rFonts w:eastAsia="Times New Roman"/>
          <w:b w:val="0"/>
          <w:lang w:val="en-CA"/>
        </w:rPr>
        <w:t>Sint</w:t>
      </w:r>
      <w:proofErr w:type="spellEnd"/>
      <w:r w:rsidR="00CE7088" w:rsidRPr="00614E7F">
        <w:rPr>
          <w:rFonts w:eastAsia="Times New Roman"/>
          <w:b w:val="0"/>
          <w:lang w:val="en-CA"/>
        </w:rPr>
        <w:t xml:space="preserve"> </w:t>
      </w:r>
      <w:proofErr w:type="spellStart"/>
      <w:r w:rsidR="00CE7088" w:rsidRPr="00614E7F">
        <w:rPr>
          <w:rFonts w:eastAsia="Times New Roman"/>
          <w:b w:val="0"/>
          <w:lang w:val="en-CA"/>
        </w:rPr>
        <w:t>Maartenskliniek</w:t>
      </w:r>
      <w:proofErr w:type="spellEnd"/>
      <w:r w:rsidR="00CE7088" w:rsidRPr="00614E7F">
        <w:rPr>
          <w:rFonts w:eastAsia="Times New Roman"/>
          <w:b w:val="0"/>
          <w:lang w:val="en-CA"/>
        </w:rPr>
        <w:t xml:space="preserve">, Nijmegen, The Netherlands; </w:t>
      </w:r>
      <w:r w:rsidR="00CE7088" w:rsidRPr="00614E7F">
        <w:rPr>
          <w:rFonts w:eastAsia="Times New Roman"/>
          <w:b w:val="0"/>
        </w:rPr>
        <w:t xml:space="preserve">Kim </w:t>
      </w:r>
      <w:proofErr w:type="spellStart"/>
      <w:r w:rsidR="00CE7088" w:rsidRPr="00614E7F">
        <w:rPr>
          <w:rFonts w:eastAsia="Times New Roman"/>
          <w:b w:val="0"/>
        </w:rPr>
        <w:t>Fligelstone</w:t>
      </w:r>
      <w:proofErr w:type="spellEnd"/>
      <w:r w:rsidR="00CE7088" w:rsidRPr="00614E7F">
        <w:rPr>
          <w:rFonts w:eastAsia="Times New Roman"/>
          <w:b w:val="0"/>
        </w:rPr>
        <w:t xml:space="preserve">, Scleroderma Society, London, UK; Catherine Fortune, Scleroderma Society of Ontario, Hamilton, Ontario, Canada; Tracy </w:t>
      </w:r>
      <w:proofErr w:type="spellStart"/>
      <w:r w:rsidR="00CE7088" w:rsidRPr="00614E7F">
        <w:rPr>
          <w:rFonts w:eastAsia="Times New Roman"/>
          <w:b w:val="0"/>
        </w:rPr>
        <w:t>Frech</w:t>
      </w:r>
      <w:proofErr w:type="spellEnd"/>
      <w:r w:rsidR="00CE7088" w:rsidRPr="00614E7F">
        <w:rPr>
          <w:rFonts w:eastAsia="Times New Roman"/>
          <w:b w:val="0"/>
        </w:rPr>
        <w:t xml:space="preserve">, </w:t>
      </w:r>
      <w:r w:rsidR="00CE7088" w:rsidRPr="00614E7F">
        <w:rPr>
          <w:b w:val="0"/>
        </w:rPr>
        <w:t xml:space="preserve">University of Utah, Salt Lake City, Utah, USA; </w:t>
      </w:r>
      <w:r w:rsidR="00CE7088" w:rsidRPr="00614E7F">
        <w:rPr>
          <w:rFonts w:eastAsia="Times New Roman"/>
          <w:b w:val="0"/>
        </w:rPr>
        <w:t xml:space="preserve">Dominique Godard, Association des </w:t>
      </w:r>
      <w:proofErr w:type="spellStart"/>
      <w:r w:rsidR="00CE7088" w:rsidRPr="00614E7F">
        <w:rPr>
          <w:rFonts w:eastAsia="Times New Roman"/>
          <w:b w:val="0"/>
        </w:rPr>
        <w:t>Sclérodermiques</w:t>
      </w:r>
      <w:proofErr w:type="spellEnd"/>
      <w:r w:rsidR="00CE7088" w:rsidRPr="00614E7F">
        <w:rPr>
          <w:rFonts w:eastAsia="Times New Roman"/>
          <w:b w:val="0"/>
        </w:rPr>
        <w:t xml:space="preserve"> de France, Sorel-</w:t>
      </w:r>
      <w:proofErr w:type="spellStart"/>
      <w:r w:rsidR="00CE7088" w:rsidRPr="00614E7F">
        <w:rPr>
          <w:rFonts w:eastAsia="Times New Roman"/>
          <w:b w:val="0"/>
        </w:rPr>
        <w:t>Moussel</w:t>
      </w:r>
      <w:proofErr w:type="spellEnd"/>
      <w:r w:rsidR="00CE7088" w:rsidRPr="00614E7F">
        <w:rPr>
          <w:rFonts w:eastAsia="Times New Roman"/>
          <w:b w:val="0"/>
        </w:rPr>
        <w:t xml:space="preserve">, France; </w:t>
      </w:r>
      <w:r w:rsidR="00CE7088" w:rsidRPr="00614E7F">
        <w:rPr>
          <w:rFonts w:eastAsia="Times New Roman"/>
          <w:b w:val="0"/>
          <w:lang w:val="en-CA"/>
        </w:rPr>
        <w:t xml:space="preserve">Daphna </w:t>
      </w:r>
      <w:proofErr w:type="spellStart"/>
      <w:r w:rsidR="00CE7088" w:rsidRPr="00614E7F">
        <w:rPr>
          <w:rFonts w:eastAsia="Times New Roman"/>
          <w:b w:val="0"/>
          <w:lang w:val="en-CA"/>
        </w:rPr>
        <w:t>Harel</w:t>
      </w:r>
      <w:proofErr w:type="spellEnd"/>
      <w:r w:rsidR="00CE7088" w:rsidRPr="00614E7F">
        <w:rPr>
          <w:rFonts w:eastAsia="Times New Roman"/>
          <w:b w:val="0"/>
          <w:lang w:val="en-CA"/>
        </w:rPr>
        <w:t xml:space="preserve">, New York University, New York, New York, USA; </w:t>
      </w:r>
      <w:r w:rsidR="00CE7088" w:rsidRPr="00614E7F">
        <w:rPr>
          <w:rFonts w:eastAsia="Times New Roman"/>
          <w:b w:val="0"/>
        </w:rPr>
        <w:t xml:space="preserve">Marie Hudson, McGill University, Montréal, </w:t>
      </w:r>
      <w:r w:rsidR="00CE7088" w:rsidRPr="00614E7F">
        <w:rPr>
          <w:b w:val="0"/>
        </w:rPr>
        <w:t>Québec</w:t>
      </w:r>
      <w:r w:rsidR="00CE7088" w:rsidRPr="00614E7F">
        <w:rPr>
          <w:rFonts w:eastAsia="Times New Roman"/>
          <w:b w:val="0"/>
        </w:rPr>
        <w:t xml:space="preserve">, Canada; Ann </w:t>
      </w:r>
      <w:proofErr w:type="spellStart"/>
      <w:r w:rsidR="00CE7088" w:rsidRPr="00614E7F">
        <w:rPr>
          <w:rFonts w:eastAsia="Times New Roman"/>
          <w:b w:val="0"/>
        </w:rPr>
        <w:t>Impens</w:t>
      </w:r>
      <w:proofErr w:type="spellEnd"/>
      <w:r w:rsidR="00CE7088" w:rsidRPr="00614E7F">
        <w:rPr>
          <w:rFonts w:eastAsia="Times New Roman"/>
          <w:b w:val="0"/>
        </w:rPr>
        <w:t xml:space="preserve">, Midwestern University, Downers Grove, Illinois, USA; </w:t>
      </w:r>
      <w:proofErr w:type="spellStart"/>
      <w:r w:rsidR="00CE7088" w:rsidRPr="00614E7F">
        <w:rPr>
          <w:rFonts w:eastAsia="Times New Roman"/>
          <w:b w:val="0"/>
        </w:rPr>
        <w:t>Yeona</w:t>
      </w:r>
      <w:proofErr w:type="spellEnd"/>
      <w:r w:rsidR="00CE7088" w:rsidRPr="00614E7F">
        <w:rPr>
          <w:rFonts w:eastAsia="Times New Roman"/>
          <w:b w:val="0"/>
        </w:rPr>
        <w:t xml:space="preserve"> Jang, McGill University, Montréal, </w:t>
      </w:r>
      <w:r w:rsidR="00CE7088" w:rsidRPr="00614E7F">
        <w:rPr>
          <w:b w:val="0"/>
        </w:rPr>
        <w:t>Québec</w:t>
      </w:r>
      <w:r w:rsidR="00CE7088" w:rsidRPr="00614E7F">
        <w:rPr>
          <w:rFonts w:eastAsia="Times New Roman"/>
          <w:b w:val="0"/>
        </w:rPr>
        <w:t xml:space="preserve">, Canada; Ann Tyrell Kennedy, Federation of European Scleroderma Associations, Dublin, Ireland; Maggie </w:t>
      </w:r>
      <w:proofErr w:type="spellStart"/>
      <w:r w:rsidR="00CE7088" w:rsidRPr="00614E7F">
        <w:rPr>
          <w:rFonts w:eastAsia="Times New Roman"/>
          <w:b w:val="0"/>
        </w:rPr>
        <w:t>Larche</w:t>
      </w:r>
      <w:proofErr w:type="spellEnd"/>
      <w:r w:rsidR="00CE7088" w:rsidRPr="00614E7F">
        <w:rPr>
          <w:rFonts w:eastAsia="Times New Roman"/>
          <w:b w:val="0"/>
        </w:rPr>
        <w:t xml:space="preserve">, McMaster University, Hamilton, Ontario, Canada; Catarina </w:t>
      </w:r>
      <w:proofErr w:type="spellStart"/>
      <w:r w:rsidR="00CE7088" w:rsidRPr="00614E7F">
        <w:rPr>
          <w:rFonts w:eastAsia="Times New Roman"/>
          <w:b w:val="0"/>
        </w:rPr>
        <w:t>Leite</w:t>
      </w:r>
      <w:proofErr w:type="spellEnd"/>
      <w:r w:rsidR="00CE7088" w:rsidRPr="00614E7F">
        <w:rPr>
          <w:rFonts w:eastAsia="Times New Roman"/>
          <w:b w:val="0"/>
        </w:rPr>
        <w:t xml:space="preserve">, </w:t>
      </w:r>
      <w:r w:rsidR="00CE7088" w:rsidRPr="00614E7F">
        <w:rPr>
          <w:rFonts w:eastAsia="Times New Roman"/>
          <w:b w:val="0"/>
        </w:rPr>
        <w:lastRenderedPageBreak/>
        <w:t xml:space="preserve">University of Minho, Braga, Portugal; Carlo </w:t>
      </w:r>
      <w:proofErr w:type="spellStart"/>
      <w:r w:rsidR="00CE7088" w:rsidRPr="00614E7F">
        <w:rPr>
          <w:rFonts w:eastAsia="Times New Roman"/>
          <w:b w:val="0"/>
        </w:rPr>
        <w:t>Marra</w:t>
      </w:r>
      <w:proofErr w:type="spellEnd"/>
      <w:r w:rsidR="00CE7088" w:rsidRPr="00614E7F">
        <w:rPr>
          <w:rFonts w:eastAsia="Times New Roman"/>
          <w:b w:val="0"/>
        </w:rPr>
        <w:t xml:space="preserve">, Memorial University, St. John’s, Newfoundland, Canada; Karen Nielsen, </w:t>
      </w:r>
      <w:r w:rsidR="00CE7088" w:rsidRPr="00614E7F">
        <w:rPr>
          <w:b w:val="0"/>
        </w:rPr>
        <w:t xml:space="preserve">Scleroderma Society of Ontario, Hamilton, Ontario, Canada; </w:t>
      </w:r>
      <w:r w:rsidR="00CE7088" w:rsidRPr="00614E7F">
        <w:rPr>
          <w:rFonts w:eastAsia="Times New Roman"/>
          <w:b w:val="0"/>
          <w:lang w:val="en-CA"/>
        </w:rPr>
        <w:t>Janet L. Poole, University of New Mexico, Albuquerque, New Mexico, USA;</w:t>
      </w:r>
      <w:r w:rsidR="00CE7088" w:rsidRPr="00614E7F">
        <w:rPr>
          <w:b w:val="0"/>
        </w:rPr>
        <w:t xml:space="preserve"> </w:t>
      </w:r>
      <w:r w:rsidR="00CE7088" w:rsidRPr="00614E7F">
        <w:rPr>
          <w:rFonts w:eastAsia="Times New Roman"/>
          <w:b w:val="0"/>
        </w:rPr>
        <w:t xml:space="preserve">Janet Pope, University of Western Ontario, London, Ontario, Canada; Alexandra Portales, </w:t>
      </w:r>
      <w:proofErr w:type="spellStart"/>
      <w:r w:rsidR="00CE7088" w:rsidRPr="00614E7F">
        <w:rPr>
          <w:rFonts w:eastAsia="Times New Roman"/>
          <w:b w:val="0"/>
          <w:bCs/>
          <w:kern w:val="36"/>
        </w:rPr>
        <w:t>Asociación</w:t>
      </w:r>
      <w:proofErr w:type="spellEnd"/>
      <w:r w:rsidR="00CE7088" w:rsidRPr="00614E7F">
        <w:rPr>
          <w:rFonts w:eastAsia="Times New Roman"/>
          <w:b w:val="0"/>
          <w:bCs/>
          <w:kern w:val="36"/>
        </w:rPr>
        <w:t xml:space="preserve"> Española de </w:t>
      </w:r>
      <w:proofErr w:type="spellStart"/>
      <w:r w:rsidR="00CE7088" w:rsidRPr="00614E7F">
        <w:rPr>
          <w:rFonts w:eastAsia="Times New Roman"/>
          <w:b w:val="0"/>
          <w:bCs/>
          <w:kern w:val="36"/>
        </w:rPr>
        <w:t>Esclerodermia</w:t>
      </w:r>
      <w:proofErr w:type="spellEnd"/>
      <w:r w:rsidR="00CE7088" w:rsidRPr="00614E7F">
        <w:rPr>
          <w:rFonts w:eastAsia="Times New Roman"/>
          <w:b w:val="0"/>
          <w:bCs/>
          <w:kern w:val="36"/>
        </w:rPr>
        <w:t xml:space="preserve">, Madrid, Spain; </w:t>
      </w:r>
      <w:r w:rsidR="00CE7088" w:rsidRPr="00614E7F">
        <w:rPr>
          <w:rFonts w:eastAsia="Times New Roman"/>
          <w:b w:val="0"/>
        </w:rPr>
        <w:t xml:space="preserve">Tatiana Sofia Rodriguez Reyna, </w:t>
      </w:r>
      <w:proofErr w:type="spellStart"/>
      <w:r w:rsidR="00CE7088" w:rsidRPr="00614E7F">
        <w:rPr>
          <w:rFonts w:eastAsia="Times New Roman"/>
          <w:b w:val="0"/>
        </w:rPr>
        <w:t>Instituto</w:t>
      </w:r>
      <w:proofErr w:type="spellEnd"/>
      <w:r w:rsidR="00CE7088" w:rsidRPr="00614E7F">
        <w:rPr>
          <w:rFonts w:eastAsia="Times New Roman"/>
          <w:b w:val="0"/>
        </w:rPr>
        <w:t xml:space="preserve"> Nacional de </w:t>
      </w:r>
      <w:proofErr w:type="spellStart"/>
      <w:r w:rsidR="00CE7088" w:rsidRPr="00614E7F">
        <w:rPr>
          <w:rFonts w:eastAsia="Times New Roman"/>
          <w:b w:val="0"/>
        </w:rPr>
        <w:t>Ciencias</w:t>
      </w:r>
      <w:proofErr w:type="spellEnd"/>
      <w:r w:rsidR="00CE7088" w:rsidRPr="00614E7F">
        <w:rPr>
          <w:rFonts w:eastAsia="Times New Roman"/>
          <w:b w:val="0"/>
        </w:rPr>
        <w:t xml:space="preserve"> </w:t>
      </w:r>
      <w:proofErr w:type="spellStart"/>
      <w:r w:rsidR="00CE7088" w:rsidRPr="00614E7F">
        <w:rPr>
          <w:rFonts w:eastAsia="Times New Roman"/>
          <w:b w:val="0"/>
        </w:rPr>
        <w:t>Médicas</w:t>
      </w:r>
      <w:proofErr w:type="spellEnd"/>
      <w:r w:rsidR="00CE7088" w:rsidRPr="00614E7F">
        <w:rPr>
          <w:rFonts w:eastAsia="Times New Roman"/>
          <w:b w:val="0"/>
        </w:rPr>
        <w:t xml:space="preserve"> y </w:t>
      </w:r>
      <w:proofErr w:type="spellStart"/>
      <w:r w:rsidR="00CE7088" w:rsidRPr="00614E7F">
        <w:rPr>
          <w:rFonts w:eastAsia="Times New Roman"/>
          <w:b w:val="0"/>
        </w:rPr>
        <w:t>Nutrición</w:t>
      </w:r>
      <w:proofErr w:type="spellEnd"/>
      <w:r w:rsidR="00CE7088" w:rsidRPr="00614E7F">
        <w:rPr>
          <w:rFonts w:eastAsia="Times New Roman"/>
          <w:b w:val="0"/>
        </w:rPr>
        <w:t xml:space="preserve"> Salvador </w:t>
      </w:r>
      <w:proofErr w:type="spellStart"/>
      <w:r w:rsidR="00CE7088" w:rsidRPr="00614E7F">
        <w:rPr>
          <w:rFonts w:eastAsia="Times New Roman"/>
          <w:b w:val="0"/>
        </w:rPr>
        <w:t>Zubirán</w:t>
      </w:r>
      <w:proofErr w:type="spellEnd"/>
      <w:r w:rsidR="00CE7088" w:rsidRPr="00614E7F">
        <w:rPr>
          <w:rFonts w:eastAsia="Times New Roman"/>
          <w:b w:val="0"/>
        </w:rPr>
        <w:t xml:space="preserve">, Mexico City, Mexico; </w:t>
      </w:r>
      <w:r w:rsidR="00CE7088" w:rsidRPr="00614E7F">
        <w:rPr>
          <w:rFonts w:eastAsia="Times New Roman"/>
          <w:b w:val="0"/>
          <w:lang w:val="en-CA"/>
        </w:rPr>
        <w:t xml:space="preserve">Anne A. </w:t>
      </w:r>
      <w:proofErr w:type="spellStart"/>
      <w:r w:rsidR="00CE7088" w:rsidRPr="00614E7F">
        <w:rPr>
          <w:rFonts w:eastAsia="Times New Roman"/>
          <w:b w:val="0"/>
          <w:lang w:val="en-CA"/>
        </w:rPr>
        <w:t>Schouffoer</w:t>
      </w:r>
      <w:proofErr w:type="spellEnd"/>
      <w:r w:rsidR="00CE7088" w:rsidRPr="00614E7F">
        <w:rPr>
          <w:rFonts w:eastAsia="Times New Roman"/>
          <w:b w:val="0"/>
          <w:lang w:val="en-CA"/>
        </w:rPr>
        <w:t>, Leiden University Medical Center</w:t>
      </w:r>
      <w:r w:rsidR="002D716B" w:rsidRPr="002D716B">
        <w:rPr>
          <w:rFonts w:eastAsia="Times New Roman"/>
          <w:lang w:val="en-CA"/>
        </w:rPr>
        <w:t xml:space="preserve"> </w:t>
      </w:r>
      <w:r w:rsidR="002D716B" w:rsidRPr="002D716B">
        <w:rPr>
          <w:rFonts w:eastAsia="Times New Roman"/>
          <w:b w:val="0"/>
          <w:lang w:val="en-CA"/>
        </w:rPr>
        <w:t xml:space="preserve">and </w:t>
      </w:r>
      <w:proofErr w:type="spellStart"/>
      <w:r w:rsidR="002D716B" w:rsidRPr="002637B8">
        <w:rPr>
          <w:rFonts w:eastAsia="Times New Roman"/>
          <w:b w:val="0"/>
          <w:color w:val="000000" w:themeColor="text1"/>
          <w:shd w:val="clear" w:color="auto" w:fill="FFFFFF"/>
          <w:lang w:val="en-CA"/>
        </w:rPr>
        <w:t>Haga</w:t>
      </w:r>
      <w:proofErr w:type="spellEnd"/>
      <w:r w:rsidR="002D716B" w:rsidRPr="002637B8">
        <w:rPr>
          <w:rFonts w:eastAsia="Times New Roman"/>
          <w:b w:val="0"/>
          <w:color w:val="000000" w:themeColor="text1"/>
          <w:shd w:val="clear" w:color="auto" w:fill="FFFFFF"/>
          <w:lang w:val="en-CA"/>
        </w:rPr>
        <w:t xml:space="preserve"> Teaching Hospital, the Hague</w:t>
      </w:r>
      <w:r w:rsidR="00CE7088" w:rsidRPr="002D716B">
        <w:rPr>
          <w:rFonts w:eastAsia="Times New Roman"/>
          <w:b w:val="0"/>
          <w:lang w:val="en-CA"/>
        </w:rPr>
        <w:t>,</w:t>
      </w:r>
      <w:r w:rsidR="00CE7088" w:rsidRPr="00614E7F">
        <w:rPr>
          <w:rFonts w:eastAsia="Times New Roman"/>
          <w:b w:val="0"/>
          <w:lang w:val="en-CA"/>
        </w:rPr>
        <w:t xml:space="preserve"> Leiden, The Netherlands; Russell J. Steele, Jewish General Hospital and McGill University, Montréal, </w:t>
      </w:r>
      <w:r w:rsidR="00CE7088" w:rsidRPr="00614E7F">
        <w:rPr>
          <w:b w:val="0"/>
          <w:lang w:val="en-CA"/>
        </w:rPr>
        <w:t>Québec</w:t>
      </w:r>
      <w:r w:rsidR="00CE7088" w:rsidRPr="00614E7F">
        <w:rPr>
          <w:rFonts w:eastAsia="Times New Roman"/>
          <w:b w:val="0"/>
          <w:lang w:val="en-CA"/>
        </w:rPr>
        <w:t xml:space="preserve">, Canada; </w:t>
      </w:r>
      <w:r w:rsidR="00CE7088" w:rsidRPr="00614E7F">
        <w:rPr>
          <w:rFonts w:eastAsia="Times New Roman"/>
          <w:b w:val="0"/>
        </w:rPr>
        <w:t>Maria E. Suarez-</w:t>
      </w:r>
      <w:proofErr w:type="spellStart"/>
      <w:r w:rsidR="00CE7088" w:rsidRPr="00614E7F">
        <w:rPr>
          <w:rFonts w:eastAsia="Times New Roman"/>
          <w:b w:val="0"/>
        </w:rPr>
        <w:t>Almazor</w:t>
      </w:r>
      <w:proofErr w:type="spellEnd"/>
      <w:r w:rsidR="00CE7088" w:rsidRPr="00614E7F">
        <w:rPr>
          <w:rFonts w:eastAsia="Times New Roman"/>
          <w:b w:val="0"/>
        </w:rPr>
        <w:t xml:space="preserve">, </w:t>
      </w:r>
      <w:r w:rsidR="00CE7088" w:rsidRPr="00614E7F">
        <w:rPr>
          <w:b w:val="0"/>
        </w:rPr>
        <w:t xml:space="preserve">University of Texas MD Anderson Cancer Center, Houston, Texas, USA; </w:t>
      </w:r>
      <w:proofErr w:type="spellStart"/>
      <w:r w:rsidR="00CE7088" w:rsidRPr="00614E7F">
        <w:rPr>
          <w:rFonts w:eastAsia="Times New Roman"/>
          <w:b w:val="0"/>
          <w:lang w:val="en-CA"/>
        </w:rPr>
        <w:t>Joep</w:t>
      </w:r>
      <w:proofErr w:type="spellEnd"/>
      <w:r w:rsidR="00CE7088" w:rsidRPr="00614E7F">
        <w:rPr>
          <w:rFonts w:eastAsia="Times New Roman"/>
          <w:b w:val="0"/>
          <w:lang w:val="en-CA"/>
        </w:rPr>
        <w:t xml:space="preserve"> Welling, NVLE Dutch patient organization for systemic autoimmune diseases, Utrecht, The Netherlands; </w:t>
      </w:r>
      <w:proofErr w:type="spellStart"/>
      <w:r w:rsidR="00CE7088" w:rsidRPr="00614E7F">
        <w:rPr>
          <w:rFonts w:eastAsia="Times New Roman"/>
          <w:b w:val="0"/>
        </w:rPr>
        <w:t>Durhane</w:t>
      </w:r>
      <w:proofErr w:type="spellEnd"/>
      <w:r w:rsidR="00CE7088" w:rsidRPr="00614E7F">
        <w:rPr>
          <w:rFonts w:eastAsia="Times New Roman"/>
          <w:b w:val="0"/>
        </w:rPr>
        <w:t xml:space="preserve"> Wong-</w:t>
      </w:r>
      <w:proofErr w:type="spellStart"/>
      <w:r w:rsidR="00CE7088" w:rsidRPr="00614E7F">
        <w:rPr>
          <w:rFonts w:eastAsia="Times New Roman"/>
          <w:b w:val="0"/>
        </w:rPr>
        <w:t>Rieger</w:t>
      </w:r>
      <w:proofErr w:type="spellEnd"/>
      <w:r w:rsidR="00CE7088" w:rsidRPr="00614E7F">
        <w:rPr>
          <w:rFonts w:eastAsia="Times New Roman"/>
          <w:b w:val="0"/>
        </w:rPr>
        <w:t xml:space="preserve">, Canadian Organization for Rare Disorders, Toronto, Ontario, Canada; Alexandra Albert, </w:t>
      </w:r>
      <w:proofErr w:type="spellStart"/>
      <w:r w:rsidR="00CE7088" w:rsidRPr="00614E7F">
        <w:rPr>
          <w:rFonts w:eastAsia="Times New Roman"/>
          <w:b w:val="0"/>
        </w:rPr>
        <w:t>Université</w:t>
      </w:r>
      <w:proofErr w:type="spellEnd"/>
      <w:r w:rsidR="00CE7088" w:rsidRPr="00614E7F">
        <w:rPr>
          <w:rFonts w:eastAsia="Times New Roman"/>
          <w:b w:val="0"/>
        </w:rPr>
        <w:t xml:space="preserve"> Laval, Québec, </w:t>
      </w:r>
      <w:r w:rsidR="00CE7088" w:rsidRPr="00614E7F">
        <w:rPr>
          <w:b w:val="0"/>
        </w:rPr>
        <w:t>Québec</w:t>
      </w:r>
      <w:r w:rsidR="00CE7088" w:rsidRPr="00614E7F">
        <w:rPr>
          <w:rFonts w:eastAsia="Times New Roman"/>
          <w:b w:val="0"/>
        </w:rPr>
        <w:t xml:space="preserve">, Canada; Guylaine Arsenault, </w:t>
      </w:r>
      <w:proofErr w:type="spellStart"/>
      <w:r w:rsidR="00CE7088" w:rsidRPr="00614E7F">
        <w:rPr>
          <w:rFonts w:eastAsia="Times New Roman"/>
          <w:b w:val="0"/>
        </w:rPr>
        <w:t>Sherbrooke</w:t>
      </w:r>
      <w:proofErr w:type="spellEnd"/>
      <w:r w:rsidR="00CE7088" w:rsidRPr="00614E7F">
        <w:rPr>
          <w:rFonts w:eastAsia="Times New Roman"/>
          <w:b w:val="0"/>
        </w:rPr>
        <w:t xml:space="preserve"> University, </w:t>
      </w:r>
      <w:proofErr w:type="spellStart"/>
      <w:r w:rsidR="00CE7088" w:rsidRPr="00614E7F">
        <w:rPr>
          <w:rFonts w:eastAsia="Times New Roman"/>
          <w:b w:val="0"/>
        </w:rPr>
        <w:t>Sherbrooke</w:t>
      </w:r>
      <w:proofErr w:type="spellEnd"/>
      <w:r w:rsidR="00CE7088" w:rsidRPr="00614E7F">
        <w:rPr>
          <w:rFonts w:eastAsia="Times New Roman"/>
          <w:b w:val="0"/>
        </w:rPr>
        <w:t xml:space="preserve">, </w:t>
      </w:r>
      <w:r w:rsidR="00CE7088" w:rsidRPr="00614E7F">
        <w:rPr>
          <w:b w:val="0"/>
        </w:rPr>
        <w:t>Québec</w:t>
      </w:r>
      <w:r w:rsidR="00CE7088" w:rsidRPr="00614E7F">
        <w:rPr>
          <w:rFonts w:eastAsia="Times New Roman"/>
          <w:b w:val="0"/>
        </w:rPr>
        <w:t xml:space="preserve">, Canada; </w:t>
      </w:r>
      <w:proofErr w:type="spellStart"/>
      <w:r w:rsidR="00CE7088" w:rsidRPr="00614E7F">
        <w:rPr>
          <w:rFonts w:eastAsia="Times New Roman"/>
          <w:b w:val="0"/>
        </w:rPr>
        <w:t>Lyne</w:t>
      </w:r>
      <w:proofErr w:type="spellEnd"/>
      <w:r w:rsidR="00CE7088" w:rsidRPr="00614E7F">
        <w:rPr>
          <w:rFonts w:eastAsia="Times New Roman"/>
          <w:b w:val="0"/>
        </w:rPr>
        <w:t xml:space="preserve"> </w:t>
      </w:r>
      <w:proofErr w:type="spellStart"/>
      <w:r w:rsidR="00CE7088" w:rsidRPr="00614E7F">
        <w:rPr>
          <w:rFonts w:eastAsia="Times New Roman"/>
          <w:b w:val="0"/>
        </w:rPr>
        <w:t>Bissonnette</w:t>
      </w:r>
      <w:proofErr w:type="spellEnd"/>
      <w:r w:rsidR="00CE7088" w:rsidRPr="00614E7F">
        <w:rPr>
          <w:rFonts w:eastAsia="Times New Roman"/>
          <w:b w:val="0"/>
        </w:rPr>
        <w:t xml:space="preserve">, </w:t>
      </w:r>
      <w:proofErr w:type="spellStart"/>
      <w:r w:rsidR="00CE7088" w:rsidRPr="00614E7F">
        <w:rPr>
          <w:rFonts w:eastAsia="Times New Roman"/>
          <w:b w:val="0"/>
        </w:rPr>
        <w:t>Sherbrooke</w:t>
      </w:r>
      <w:proofErr w:type="spellEnd"/>
      <w:r w:rsidR="00CE7088" w:rsidRPr="00614E7F">
        <w:rPr>
          <w:rFonts w:eastAsia="Times New Roman"/>
          <w:b w:val="0"/>
        </w:rPr>
        <w:t xml:space="preserve"> University, </w:t>
      </w:r>
      <w:proofErr w:type="spellStart"/>
      <w:r w:rsidR="00CE7088" w:rsidRPr="00614E7F">
        <w:rPr>
          <w:rFonts w:eastAsia="Times New Roman"/>
          <w:b w:val="0"/>
        </w:rPr>
        <w:t>Sherbrooke</w:t>
      </w:r>
      <w:proofErr w:type="spellEnd"/>
      <w:r w:rsidR="00CE7088" w:rsidRPr="00614E7F">
        <w:rPr>
          <w:rFonts w:eastAsia="Times New Roman"/>
          <w:b w:val="0"/>
        </w:rPr>
        <w:t xml:space="preserve">, </w:t>
      </w:r>
      <w:r w:rsidR="00CE7088" w:rsidRPr="00614E7F">
        <w:rPr>
          <w:b w:val="0"/>
        </w:rPr>
        <w:t>Québec</w:t>
      </w:r>
      <w:r w:rsidR="00CE7088" w:rsidRPr="00614E7F">
        <w:rPr>
          <w:rFonts w:eastAsia="Times New Roman"/>
          <w:b w:val="0"/>
        </w:rPr>
        <w:t xml:space="preserve">, Canada; Gilles </w:t>
      </w:r>
      <w:proofErr w:type="spellStart"/>
      <w:r w:rsidR="00CE7088" w:rsidRPr="00614E7F">
        <w:rPr>
          <w:rFonts w:eastAsia="Times New Roman"/>
          <w:b w:val="0"/>
        </w:rPr>
        <w:t>Boire</w:t>
      </w:r>
      <w:proofErr w:type="spellEnd"/>
      <w:r w:rsidR="00CE7088" w:rsidRPr="00614E7F">
        <w:rPr>
          <w:rFonts w:eastAsia="Times New Roman"/>
          <w:b w:val="0"/>
        </w:rPr>
        <w:t xml:space="preserve">, </w:t>
      </w:r>
      <w:proofErr w:type="spellStart"/>
      <w:r w:rsidR="00CE7088" w:rsidRPr="00614E7F">
        <w:rPr>
          <w:rFonts w:eastAsia="Times New Roman"/>
          <w:b w:val="0"/>
        </w:rPr>
        <w:t>Sherbrooke</w:t>
      </w:r>
      <w:proofErr w:type="spellEnd"/>
      <w:r w:rsidR="00CE7088" w:rsidRPr="00614E7F">
        <w:rPr>
          <w:rFonts w:eastAsia="Times New Roman"/>
          <w:b w:val="0"/>
        </w:rPr>
        <w:t xml:space="preserve"> University, </w:t>
      </w:r>
      <w:proofErr w:type="spellStart"/>
      <w:r w:rsidR="00CE7088" w:rsidRPr="00614E7F">
        <w:rPr>
          <w:rFonts w:eastAsia="Times New Roman"/>
          <w:b w:val="0"/>
        </w:rPr>
        <w:t>Sherbrooke</w:t>
      </w:r>
      <w:proofErr w:type="spellEnd"/>
      <w:r w:rsidR="00CE7088" w:rsidRPr="00614E7F">
        <w:rPr>
          <w:rFonts w:eastAsia="Times New Roman"/>
          <w:b w:val="0"/>
        </w:rPr>
        <w:t xml:space="preserve">, </w:t>
      </w:r>
      <w:r w:rsidR="00CE7088" w:rsidRPr="00614E7F">
        <w:rPr>
          <w:b w:val="0"/>
        </w:rPr>
        <w:t>Québec</w:t>
      </w:r>
      <w:r w:rsidR="00CE7088" w:rsidRPr="00614E7F">
        <w:rPr>
          <w:rFonts w:eastAsia="Times New Roman"/>
          <w:b w:val="0"/>
        </w:rPr>
        <w:t xml:space="preserve">, Canada; Alessandra </w:t>
      </w:r>
      <w:proofErr w:type="spellStart"/>
      <w:r w:rsidR="00CE7088" w:rsidRPr="00614E7F">
        <w:rPr>
          <w:rFonts w:eastAsia="Times New Roman"/>
          <w:b w:val="0"/>
        </w:rPr>
        <w:t>Bruns</w:t>
      </w:r>
      <w:proofErr w:type="spellEnd"/>
      <w:r w:rsidR="00CE7088" w:rsidRPr="00614E7F">
        <w:rPr>
          <w:rFonts w:eastAsia="Times New Roman"/>
          <w:b w:val="0"/>
        </w:rPr>
        <w:t xml:space="preserve">, </w:t>
      </w:r>
      <w:proofErr w:type="spellStart"/>
      <w:r w:rsidR="00CE7088" w:rsidRPr="00614E7F">
        <w:rPr>
          <w:rFonts w:eastAsia="Times New Roman"/>
          <w:b w:val="0"/>
        </w:rPr>
        <w:t>Sherbrooke</w:t>
      </w:r>
      <w:proofErr w:type="spellEnd"/>
      <w:r w:rsidR="00CE7088" w:rsidRPr="00614E7F">
        <w:rPr>
          <w:rFonts w:eastAsia="Times New Roman"/>
          <w:b w:val="0"/>
        </w:rPr>
        <w:t xml:space="preserve"> University, </w:t>
      </w:r>
      <w:proofErr w:type="spellStart"/>
      <w:r w:rsidR="00CE7088" w:rsidRPr="00614E7F">
        <w:rPr>
          <w:rFonts w:eastAsia="Times New Roman"/>
          <w:b w:val="0"/>
        </w:rPr>
        <w:t>Sherbrooke</w:t>
      </w:r>
      <w:proofErr w:type="spellEnd"/>
      <w:r w:rsidR="00CE7088" w:rsidRPr="00614E7F">
        <w:rPr>
          <w:rFonts w:eastAsia="Times New Roman"/>
          <w:b w:val="0"/>
        </w:rPr>
        <w:t xml:space="preserve">, </w:t>
      </w:r>
      <w:r w:rsidR="00CE7088" w:rsidRPr="00614E7F">
        <w:rPr>
          <w:b w:val="0"/>
        </w:rPr>
        <w:t>Québec</w:t>
      </w:r>
      <w:r w:rsidR="00CE7088" w:rsidRPr="00614E7F">
        <w:rPr>
          <w:rFonts w:eastAsia="Times New Roman"/>
          <w:b w:val="0"/>
        </w:rPr>
        <w:t xml:space="preserve">, Canada; Patricia </w:t>
      </w:r>
      <w:proofErr w:type="spellStart"/>
      <w:r w:rsidR="00CE7088" w:rsidRPr="00614E7F">
        <w:rPr>
          <w:rFonts w:eastAsia="Times New Roman"/>
          <w:b w:val="0"/>
        </w:rPr>
        <w:t>Carreira</w:t>
      </w:r>
      <w:proofErr w:type="spellEnd"/>
      <w:r w:rsidR="00CE7088" w:rsidRPr="00614E7F">
        <w:rPr>
          <w:rFonts w:eastAsia="Times New Roman"/>
          <w:b w:val="0"/>
        </w:rPr>
        <w:t xml:space="preserve">, </w:t>
      </w:r>
      <w:proofErr w:type="spellStart"/>
      <w:r w:rsidR="00CE7088" w:rsidRPr="00614E7F">
        <w:rPr>
          <w:rFonts w:eastAsia="Times New Roman"/>
          <w:b w:val="0"/>
        </w:rPr>
        <w:t>Servicio</w:t>
      </w:r>
      <w:proofErr w:type="spellEnd"/>
      <w:r w:rsidR="00CE7088" w:rsidRPr="00614E7F">
        <w:rPr>
          <w:rFonts w:eastAsia="Times New Roman"/>
          <w:b w:val="0"/>
        </w:rPr>
        <w:t xml:space="preserve"> de </w:t>
      </w:r>
      <w:proofErr w:type="spellStart"/>
      <w:r w:rsidR="00CE7088" w:rsidRPr="00614E7F">
        <w:rPr>
          <w:rFonts w:eastAsia="Times New Roman"/>
          <w:b w:val="0"/>
        </w:rPr>
        <w:t>Reumatologia</w:t>
      </w:r>
      <w:proofErr w:type="spellEnd"/>
      <w:r w:rsidR="00CE7088" w:rsidRPr="00614E7F">
        <w:rPr>
          <w:rFonts w:eastAsia="Times New Roman"/>
          <w:b w:val="0"/>
        </w:rPr>
        <w:t xml:space="preserve"> del Hospital 12 de </w:t>
      </w:r>
      <w:proofErr w:type="spellStart"/>
      <w:r w:rsidR="00CE7088" w:rsidRPr="00614E7F">
        <w:rPr>
          <w:rFonts w:eastAsia="Times New Roman"/>
          <w:b w:val="0"/>
        </w:rPr>
        <w:t>Octubre</w:t>
      </w:r>
      <w:proofErr w:type="spellEnd"/>
      <w:r w:rsidR="00CE7088" w:rsidRPr="00614E7F">
        <w:rPr>
          <w:rFonts w:eastAsia="Times New Roman"/>
          <w:b w:val="0"/>
        </w:rPr>
        <w:t xml:space="preserve">, Madrid, Spain; </w:t>
      </w:r>
      <w:proofErr w:type="spellStart"/>
      <w:r w:rsidR="00CE7088" w:rsidRPr="00614E7F">
        <w:rPr>
          <w:rFonts w:eastAsia="Times New Roman"/>
          <w:b w:val="0"/>
        </w:rPr>
        <w:t>Lorinda</w:t>
      </w:r>
      <w:proofErr w:type="spellEnd"/>
      <w:r w:rsidR="00CE7088" w:rsidRPr="00614E7F">
        <w:rPr>
          <w:rFonts w:eastAsia="Times New Roman"/>
          <w:b w:val="0"/>
        </w:rPr>
        <w:t xml:space="preserve"> Chung, Stanford University, Stanford, California, USA; Pierre </w:t>
      </w:r>
      <w:proofErr w:type="spellStart"/>
      <w:r w:rsidR="00CE7088" w:rsidRPr="00614E7F">
        <w:rPr>
          <w:rFonts w:eastAsia="Times New Roman"/>
          <w:b w:val="0"/>
        </w:rPr>
        <w:t>Dagenais</w:t>
      </w:r>
      <w:proofErr w:type="spellEnd"/>
      <w:r w:rsidR="00CE7088" w:rsidRPr="00614E7F">
        <w:rPr>
          <w:rFonts w:eastAsia="Times New Roman"/>
          <w:b w:val="0"/>
        </w:rPr>
        <w:t xml:space="preserve">, </w:t>
      </w:r>
      <w:proofErr w:type="spellStart"/>
      <w:r w:rsidR="00CE7088" w:rsidRPr="00614E7F">
        <w:rPr>
          <w:rFonts w:eastAsia="Times New Roman"/>
          <w:b w:val="0"/>
        </w:rPr>
        <w:t>Sherbrooke</w:t>
      </w:r>
      <w:proofErr w:type="spellEnd"/>
      <w:r w:rsidR="00CE7088" w:rsidRPr="00614E7F">
        <w:rPr>
          <w:rFonts w:eastAsia="Times New Roman"/>
          <w:b w:val="0"/>
        </w:rPr>
        <w:t xml:space="preserve"> University, </w:t>
      </w:r>
      <w:proofErr w:type="spellStart"/>
      <w:r w:rsidR="00CE7088" w:rsidRPr="00614E7F">
        <w:rPr>
          <w:rFonts w:eastAsia="Times New Roman"/>
          <w:b w:val="0"/>
        </w:rPr>
        <w:t>Sherbrooke</w:t>
      </w:r>
      <w:proofErr w:type="spellEnd"/>
      <w:r w:rsidR="00CE7088" w:rsidRPr="00614E7F">
        <w:rPr>
          <w:rFonts w:eastAsia="Times New Roman"/>
          <w:b w:val="0"/>
        </w:rPr>
        <w:t xml:space="preserve">, </w:t>
      </w:r>
      <w:r w:rsidR="00CE7088" w:rsidRPr="00614E7F">
        <w:rPr>
          <w:b w:val="0"/>
        </w:rPr>
        <w:t>Québec</w:t>
      </w:r>
      <w:r w:rsidR="00CE7088" w:rsidRPr="00614E7F">
        <w:rPr>
          <w:rFonts w:eastAsia="Times New Roman"/>
          <w:b w:val="0"/>
        </w:rPr>
        <w:t xml:space="preserve">, Canada; Christopher Denton, Royal Free London Hospital, London, UK; Robyn </w:t>
      </w:r>
      <w:proofErr w:type="spellStart"/>
      <w:r w:rsidR="00CE7088" w:rsidRPr="00614E7F">
        <w:rPr>
          <w:rFonts w:eastAsia="Times New Roman"/>
          <w:b w:val="0"/>
        </w:rPr>
        <w:t>Domsic</w:t>
      </w:r>
      <w:proofErr w:type="spellEnd"/>
      <w:r w:rsidR="00CE7088" w:rsidRPr="00614E7F">
        <w:rPr>
          <w:rFonts w:eastAsia="Times New Roman"/>
          <w:b w:val="0"/>
        </w:rPr>
        <w:t xml:space="preserve">, University of Pittsburgh, Pittsburgh, Pennsylvania, USA; James V. Dunne, St. Paul's Hospital and University of British Columbia, Vancouver, British Columbia, Canada; Paul Fortin, </w:t>
      </w:r>
      <w:proofErr w:type="spellStart"/>
      <w:r w:rsidR="00CE7088" w:rsidRPr="00614E7F">
        <w:rPr>
          <w:rFonts w:eastAsia="Times New Roman"/>
          <w:b w:val="0"/>
        </w:rPr>
        <w:t>Université</w:t>
      </w:r>
      <w:proofErr w:type="spellEnd"/>
      <w:r w:rsidR="00CE7088" w:rsidRPr="00614E7F">
        <w:rPr>
          <w:rFonts w:eastAsia="Times New Roman"/>
          <w:b w:val="0"/>
        </w:rPr>
        <w:t xml:space="preserve"> Laval, Québec, </w:t>
      </w:r>
      <w:r w:rsidR="00CE7088" w:rsidRPr="00614E7F">
        <w:rPr>
          <w:b w:val="0"/>
        </w:rPr>
        <w:t>Québec</w:t>
      </w:r>
      <w:r w:rsidR="00CE7088" w:rsidRPr="00614E7F">
        <w:rPr>
          <w:rFonts w:eastAsia="Times New Roman"/>
          <w:b w:val="0"/>
        </w:rPr>
        <w:t xml:space="preserve">, Canada; Anna Gill, Royal Free London Hospital, London, UK; Jessica Gordon, Hospital for Special Surgery, New York City, New York, USA; Genevieve </w:t>
      </w:r>
      <w:proofErr w:type="spellStart"/>
      <w:r w:rsidR="00CE7088" w:rsidRPr="00614E7F">
        <w:rPr>
          <w:rFonts w:eastAsia="Times New Roman"/>
          <w:b w:val="0"/>
        </w:rPr>
        <w:t>Gyger</w:t>
      </w:r>
      <w:proofErr w:type="spellEnd"/>
      <w:r w:rsidR="00CE7088" w:rsidRPr="00614E7F">
        <w:rPr>
          <w:rFonts w:eastAsia="Times New Roman"/>
          <w:b w:val="0"/>
        </w:rPr>
        <w:t xml:space="preserve">, Jewish General Hospital and </w:t>
      </w:r>
      <w:r w:rsidR="00CE7088" w:rsidRPr="00614E7F">
        <w:rPr>
          <w:rFonts w:eastAsia="Times New Roman"/>
          <w:b w:val="0"/>
        </w:rPr>
        <w:lastRenderedPageBreak/>
        <w:t xml:space="preserve">McGill University, Montréal, </w:t>
      </w:r>
      <w:r w:rsidR="00CE7088" w:rsidRPr="00614E7F">
        <w:rPr>
          <w:b w:val="0"/>
        </w:rPr>
        <w:t>Québec</w:t>
      </w:r>
      <w:r w:rsidR="00CE7088" w:rsidRPr="00614E7F">
        <w:rPr>
          <w:rFonts w:eastAsia="Times New Roman"/>
          <w:b w:val="0"/>
        </w:rPr>
        <w:t xml:space="preserve">, Canada; Ariane </w:t>
      </w:r>
      <w:r w:rsidR="00BF021D" w:rsidRPr="00614E7F">
        <w:rPr>
          <w:rFonts w:eastAsia="Times New Roman"/>
          <w:b w:val="0"/>
        </w:rPr>
        <w:t xml:space="preserve">L. </w:t>
      </w:r>
      <w:r w:rsidR="00CE7088" w:rsidRPr="00614E7F">
        <w:rPr>
          <w:rFonts w:eastAsia="Times New Roman"/>
          <w:b w:val="0"/>
        </w:rPr>
        <w:t xml:space="preserve">Herrick, </w:t>
      </w:r>
      <w:r w:rsidR="00BF021D" w:rsidRPr="00614E7F">
        <w:rPr>
          <w:rFonts w:eastAsia="Times New Roman"/>
          <w:b w:val="0"/>
        </w:rPr>
        <w:t xml:space="preserve">University of Manchester, </w:t>
      </w:r>
      <w:proofErr w:type="spellStart"/>
      <w:r w:rsidR="00CE7088" w:rsidRPr="00614E7F">
        <w:rPr>
          <w:rFonts w:eastAsia="Times New Roman"/>
          <w:b w:val="0"/>
        </w:rPr>
        <w:t>Salford</w:t>
      </w:r>
      <w:proofErr w:type="spellEnd"/>
      <w:r w:rsidR="00CE7088" w:rsidRPr="00614E7F">
        <w:rPr>
          <w:rFonts w:eastAsia="Times New Roman"/>
          <w:b w:val="0"/>
        </w:rPr>
        <w:t xml:space="preserve"> Royal NHS Foundation Trust, Manchester, UK; </w:t>
      </w:r>
      <w:r w:rsidR="00BF021D" w:rsidRPr="00614E7F">
        <w:rPr>
          <w:rFonts w:eastAsia="Times New Roman"/>
          <w:b w:val="0"/>
        </w:rPr>
        <w:t xml:space="preserve">Joanne Manning, </w:t>
      </w:r>
      <w:proofErr w:type="spellStart"/>
      <w:r w:rsidR="00BF021D" w:rsidRPr="00614E7F">
        <w:rPr>
          <w:rFonts w:eastAsia="Times New Roman"/>
          <w:b w:val="0"/>
        </w:rPr>
        <w:t>Salford</w:t>
      </w:r>
      <w:proofErr w:type="spellEnd"/>
      <w:r w:rsidR="00BF021D" w:rsidRPr="00614E7F">
        <w:rPr>
          <w:rFonts w:eastAsia="Times New Roman"/>
          <w:b w:val="0"/>
        </w:rPr>
        <w:t xml:space="preserve"> Royal NHS Foundation Trust, </w:t>
      </w:r>
      <w:proofErr w:type="spellStart"/>
      <w:r w:rsidR="00BF021D" w:rsidRPr="00614E7F">
        <w:rPr>
          <w:rFonts w:eastAsia="Times New Roman"/>
          <w:b w:val="0"/>
        </w:rPr>
        <w:t>Salford</w:t>
      </w:r>
      <w:proofErr w:type="spellEnd"/>
      <w:r w:rsidR="00BF021D" w:rsidRPr="00614E7F">
        <w:rPr>
          <w:rFonts w:eastAsia="Times New Roman"/>
          <w:b w:val="0"/>
        </w:rPr>
        <w:t xml:space="preserve">, UK; </w:t>
      </w:r>
      <w:r w:rsidR="00CE7088" w:rsidRPr="00614E7F">
        <w:rPr>
          <w:rFonts w:eastAsia="Times New Roman"/>
          <w:b w:val="0"/>
        </w:rPr>
        <w:t xml:space="preserve">Monique </w:t>
      </w:r>
      <w:proofErr w:type="spellStart"/>
      <w:r w:rsidR="00CE7088" w:rsidRPr="00614E7F">
        <w:rPr>
          <w:rFonts w:eastAsia="Times New Roman"/>
          <w:b w:val="0"/>
        </w:rPr>
        <w:t>Hinchcliff</w:t>
      </w:r>
      <w:proofErr w:type="spellEnd"/>
      <w:r w:rsidR="00CE7088" w:rsidRPr="00614E7F">
        <w:rPr>
          <w:rFonts w:eastAsia="Times New Roman"/>
          <w:b w:val="0"/>
        </w:rPr>
        <w:t xml:space="preserve">, Northwestern University, Chicago, Illinois, USA; Alena </w:t>
      </w:r>
      <w:proofErr w:type="spellStart"/>
      <w:r w:rsidR="00CE7088" w:rsidRPr="00614E7F">
        <w:rPr>
          <w:rFonts w:eastAsia="Times New Roman"/>
          <w:b w:val="0"/>
        </w:rPr>
        <w:t>Ikic</w:t>
      </w:r>
      <w:proofErr w:type="spellEnd"/>
      <w:r w:rsidR="00CE7088" w:rsidRPr="00614E7F">
        <w:rPr>
          <w:rFonts w:eastAsia="Times New Roman"/>
          <w:b w:val="0"/>
        </w:rPr>
        <w:t xml:space="preserve">, </w:t>
      </w:r>
      <w:proofErr w:type="spellStart"/>
      <w:r w:rsidR="00CE7088" w:rsidRPr="00614E7F">
        <w:rPr>
          <w:rFonts w:eastAsia="Times New Roman"/>
          <w:b w:val="0"/>
        </w:rPr>
        <w:t>Université</w:t>
      </w:r>
      <w:proofErr w:type="spellEnd"/>
      <w:r w:rsidR="00CE7088" w:rsidRPr="00614E7F">
        <w:rPr>
          <w:rFonts w:eastAsia="Times New Roman"/>
          <w:b w:val="0"/>
        </w:rPr>
        <w:t xml:space="preserve"> Laval, Québec, </w:t>
      </w:r>
      <w:r w:rsidR="00CE7088" w:rsidRPr="00614E7F">
        <w:rPr>
          <w:b w:val="0"/>
        </w:rPr>
        <w:t>Québec</w:t>
      </w:r>
      <w:r w:rsidR="00CE7088" w:rsidRPr="00614E7F">
        <w:rPr>
          <w:rFonts w:eastAsia="Times New Roman"/>
          <w:b w:val="0"/>
        </w:rPr>
        <w:t xml:space="preserve">, Canada; Niall Jones, University of Alberta, Edmonton, Alberta, Canada; </w:t>
      </w:r>
      <w:proofErr w:type="spellStart"/>
      <w:r w:rsidR="00CE7088" w:rsidRPr="00614E7F">
        <w:rPr>
          <w:rFonts w:eastAsia="Times New Roman"/>
          <w:b w:val="0"/>
        </w:rPr>
        <w:t>Artur</w:t>
      </w:r>
      <w:proofErr w:type="spellEnd"/>
      <w:r w:rsidR="00CE7088" w:rsidRPr="00614E7F">
        <w:rPr>
          <w:rFonts w:eastAsia="Times New Roman"/>
          <w:b w:val="0"/>
        </w:rPr>
        <w:t xml:space="preserve"> Jose de B. </w:t>
      </w:r>
      <w:proofErr w:type="spellStart"/>
      <w:r w:rsidR="00CE7088" w:rsidRPr="00614E7F">
        <w:rPr>
          <w:rFonts w:eastAsia="Times New Roman"/>
          <w:b w:val="0"/>
        </w:rPr>
        <w:t>Fernandes</w:t>
      </w:r>
      <w:proofErr w:type="spellEnd"/>
      <w:r w:rsidR="00CE7088" w:rsidRPr="00614E7F">
        <w:rPr>
          <w:rFonts w:eastAsia="Times New Roman"/>
          <w:b w:val="0"/>
        </w:rPr>
        <w:t xml:space="preserve">, </w:t>
      </w:r>
      <w:proofErr w:type="spellStart"/>
      <w:r w:rsidR="00CE7088" w:rsidRPr="00614E7F">
        <w:rPr>
          <w:rFonts w:eastAsia="Times New Roman"/>
          <w:b w:val="0"/>
        </w:rPr>
        <w:t>Sherbrooke</w:t>
      </w:r>
      <w:proofErr w:type="spellEnd"/>
      <w:r w:rsidR="00CE7088" w:rsidRPr="00614E7F">
        <w:rPr>
          <w:rFonts w:eastAsia="Times New Roman"/>
          <w:b w:val="0"/>
        </w:rPr>
        <w:t xml:space="preserve"> University, </w:t>
      </w:r>
      <w:proofErr w:type="spellStart"/>
      <w:r w:rsidR="00CE7088" w:rsidRPr="00614E7F">
        <w:rPr>
          <w:rFonts w:eastAsia="Times New Roman"/>
          <w:b w:val="0"/>
        </w:rPr>
        <w:t>Sherbrooke</w:t>
      </w:r>
      <w:proofErr w:type="spellEnd"/>
      <w:r w:rsidR="00CE7088" w:rsidRPr="00614E7F">
        <w:rPr>
          <w:rFonts w:eastAsia="Times New Roman"/>
          <w:b w:val="0"/>
        </w:rPr>
        <w:t xml:space="preserve">, </w:t>
      </w:r>
      <w:r w:rsidR="00CE7088" w:rsidRPr="00614E7F">
        <w:rPr>
          <w:b w:val="0"/>
        </w:rPr>
        <w:t>Québec</w:t>
      </w:r>
      <w:r w:rsidR="00CE7088" w:rsidRPr="00614E7F">
        <w:rPr>
          <w:rFonts w:eastAsia="Times New Roman"/>
          <w:b w:val="0"/>
        </w:rPr>
        <w:t xml:space="preserve">, Canada; Suzanne </w:t>
      </w:r>
      <w:proofErr w:type="spellStart"/>
      <w:r w:rsidR="00CE7088" w:rsidRPr="00614E7F">
        <w:rPr>
          <w:rFonts w:eastAsia="Times New Roman"/>
          <w:b w:val="0"/>
        </w:rPr>
        <w:t>Kafaja</w:t>
      </w:r>
      <w:proofErr w:type="spellEnd"/>
      <w:r w:rsidR="00CE7088" w:rsidRPr="00614E7F">
        <w:rPr>
          <w:rFonts w:eastAsia="Times New Roman"/>
          <w:b w:val="0"/>
        </w:rPr>
        <w:t xml:space="preserve">, University of California, Los Angeles, California, USA; Nader </w:t>
      </w:r>
      <w:proofErr w:type="spellStart"/>
      <w:r w:rsidR="00CE7088" w:rsidRPr="00614E7F">
        <w:rPr>
          <w:rFonts w:eastAsia="Times New Roman"/>
          <w:b w:val="0"/>
        </w:rPr>
        <w:t>Khalidi</w:t>
      </w:r>
      <w:proofErr w:type="spellEnd"/>
      <w:r w:rsidR="00CE7088" w:rsidRPr="00614E7F">
        <w:rPr>
          <w:rFonts w:eastAsia="Times New Roman"/>
          <w:b w:val="0"/>
        </w:rPr>
        <w:t xml:space="preserve">, McMaster University, Hamilton, Ontario, Canada; Benjamin </w:t>
      </w:r>
      <w:proofErr w:type="spellStart"/>
      <w:r w:rsidR="00CE7088" w:rsidRPr="00614E7F">
        <w:rPr>
          <w:rFonts w:eastAsia="Times New Roman"/>
          <w:b w:val="0"/>
        </w:rPr>
        <w:t>Korman</w:t>
      </w:r>
      <w:proofErr w:type="spellEnd"/>
      <w:r w:rsidR="00CE7088" w:rsidRPr="00614E7F">
        <w:rPr>
          <w:rFonts w:eastAsia="Times New Roman"/>
          <w:b w:val="0"/>
        </w:rPr>
        <w:t xml:space="preserve">, Northwestern University, Chicago, Illinois, USA; Patrick Liang, </w:t>
      </w:r>
      <w:proofErr w:type="spellStart"/>
      <w:r w:rsidR="00CE7088" w:rsidRPr="00614E7F">
        <w:rPr>
          <w:rFonts w:eastAsia="Times New Roman"/>
          <w:b w:val="0"/>
        </w:rPr>
        <w:t>Sherbrooke</w:t>
      </w:r>
      <w:proofErr w:type="spellEnd"/>
      <w:r w:rsidR="00CE7088" w:rsidRPr="00614E7F">
        <w:rPr>
          <w:rFonts w:eastAsia="Times New Roman"/>
          <w:b w:val="0"/>
        </w:rPr>
        <w:t xml:space="preserve"> University, </w:t>
      </w:r>
      <w:proofErr w:type="spellStart"/>
      <w:r w:rsidR="00CE7088" w:rsidRPr="00614E7F">
        <w:rPr>
          <w:rFonts w:eastAsia="Times New Roman"/>
          <w:b w:val="0"/>
        </w:rPr>
        <w:t>Sherbrooke</w:t>
      </w:r>
      <w:proofErr w:type="spellEnd"/>
      <w:r w:rsidR="00CE7088" w:rsidRPr="00614E7F">
        <w:rPr>
          <w:rFonts w:eastAsia="Times New Roman"/>
          <w:b w:val="0"/>
        </w:rPr>
        <w:t xml:space="preserve">, </w:t>
      </w:r>
      <w:r w:rsidR="00CE7088" w:rsidRPr="00614E7F">
        <w:rPr>
          <w:b w:val="0"/>
        </w:rPr>
        <w:t>Québec</w:t>
      </w:r>
      <w:r w:rsidR="00CE7088" w:rsidRPr="00614E7F">
        <w:rPr>
          <w:rFonts w:eastAsia="Times New Roman"/>
          <w:b w:val="0"/>
        </w:rPr>
        <w:t xml:space="preserve">, Canada; Ariel </w:t>
      </w:r>
      <w:proofErr w:type="spellStart"/>
      <w:r w:rsidR="00CE7088" w:rsidRPr="00614E7F">
        <w:rPr>
          <w:rFonts w:eastAsia="Times New Roman"/>
          <w:b w:val="0"/>
        </w:rPr>
        <w:t>Masetto</w:t>
      </w:r>
      <w:proofErr w:type="spellEnd"/>
      <w:r w:rsidR="00CE7088" w:rsidRPr="00614E7F">
        <w:rPr>
          <w:rFonts w:eastAsia="Times New Roman"/>
          <w:b w:val="0"/>
        </w:rPr>
        <w:t xml:space="preserve">, </w:t>
      </w:r>
      <w:proofErr w:type="spellStart"/>
      <w:r w:rsidR="00CE7088" w:rsidRPr="00614E7F">
        <w:rPr>
          <w:rFonts w:eastAsia="Times New Roman"/>
          <w:b w:val="0"/>
        </w:rPr>
        <w:t>Sherbrooke</w:t>
      </w:r>
      <w:proofErr w:type="spellEnd"/>
      <w:r w:rsidR="00CE7088" w:rsidRPr="00614E7F">
        <w:rPr>
          <w:rFonts w:eastAsia="Times New Roman"/>
          <w:b w:val="0"/>
        </w:rPr>
        <w:t xml:space="preserve"> University, </w:t>
      </w:r>
      <w:proofErr w:type="spellStart"/>
      <w:r w:rsidR="00CE7088" w:rsidRPr="00614E7F">
        <w:rPr>
          <w:rFonts w:eastAsia="Times New Roman"/>
          <w:b w:val="0"/>
        </w:rPr>
        <w:t>Sherbrooke</w:t>
      </w:r>
      <w:proofErr w:type="spellEnd"/>
      <w:r w:rsidR="00CE7088" w:rsidRPr="00614E7F">
        <w:rPr>
          <w:rFonts w:eastAsia="Times New Roman"/>
          <w:b w:val="0"/>
        </w:rPr>
        <w:t xml:space="preserve">, </w:t>
      </w:r>
      <w:r w:rsidR="00CE7088" w:rsidRPr="00614E7F">
        <w:rPr>
          <w:b w:val="0"/>
        </w:rPr>
        <w:t>Québec</w:t>
      </w:r>
      <w:r w:rsidR="00CE7088" w:rsidRPr="00614E7F">
        <w:rPr>
          <w:rFonts w:eastAsia="Times New Roman"/>
          <w:b w:val="0"/>
        </w:rPr>
        <w:t xml:space="preserve">, Canada; David Robinson, University of Manitoba, Winnipeg, Manitoba, Canada; Sophie Roux, </w:t>
      </w:r>
      <w:proofErr w:type="spellStart"/>
      <w:r w:rsidR="00CE7088" w:rsidRPr="00614E7F">
        <w:rPr>
          <w:rFonts w:eastAsia="Times New Roman"/>
          <w:b w:val="0"/>
        </w:rPr>
        <w:t>Sherbrooke</w:t>
      </w:r>
      <w:proofErr w:type="spellEnd"/>
      <w:r w:rsidR="00CE7088" w:rsidRPr="00614E7F">
        <w:rPr>
          <w:rFonts w:eastAsia="Times New Roman"/>
          <w:b w:val="0"/>
        </w:rPr>
        <w:t xml:space="preserve"> University, </w:t>
      </w:r>
      <w:proofErr w:type="spellStart"/>
      <w:r w:rsidR="00CE7088" w:rsidRPr="00614E7F">
        <w:rPr>
          <w:rFonts w:eastAsia="Times New Roman"/>
          <w:b w:val="0"/>
        </w:rPr>
        <w:t>Sherbrooke</w:t>
      </w:r>
      <w:proofErr w:type="spellEnd"/>
      <w:r w:rsidR="00CE7088" w:rsidRPr="00614E7F">
        <w:rPr>
          <w:rFonts w:eastAsia="Times New Roman"/>
          <w:b w:val="0"/>
        </w:rPr>
        <w:t xml:space="preserve">, </w:t>
      </w:r>
      <w:r w:rsidR="00CE7088" w:rsidRPr="00614E7F">
        <w:rPr>
          <w:b w:val="0"/>
        </w:rPr>
        <w:t>Québec</w:t>
      </w:r>
      <w:r w:rsidR="00CE7088" w:rsidRPr="00614E7F">
        <w:rPr>
          <w:rFonts w:eastAsia="Times New Roman"/>
          <w:b w:val="0"/>
        </w:rPr>
        <w:t xml:space="preserve">, Canada; Elena </w:t>
      </w:r>
      <w:proofErr w:type="spellStart"/>
      <w:r w:rsidR="00CE7088" w:rsidRPr="00614E7F">
        <w:rPr>
          <w:rFonts w:eastAsia="Times New Roman"/>
          <w:b w:val="0"/>
        </w:rPr>
        <w:t>Schiopu</w:t>
      </w:r>
      <w:proofErr w:type="spellEnd"/>
      <w:r w:rsidR="00CE7088" w:rsidRPr="00614E7F">
        <w:rPr>
          <w:rFonts w:eastAsia="Times New Roman"/>
          <w:b w:val="0"/>
        </w:rPr>
        <w:t xml:space="preserve">, University of Michigan, Ann Arbor, Michigan, USA; Doug Smith, University of Ottawa, Ottawa, Ontario, Canada; Robert </w:t>
      </w:r>
      <w:proofErr w:type="spellStart"/>
      <w:r w:rsidR="00CE7088" w:rsidRPr="00614E7F">
        <w:rPr>
          <w:rFonts w:eastAsia="Times New Roman"/>
          <w:b w:val="0"/>
        </w:rPr>
        <w:t>Spiera</w:t>
      </w:r>
      <w:proofErr w:type="spellEnd"/>
      <w:r w:rsidR="00CE7088" w:rsidRPr="00614E7F">
        <w:rPr>
          <w:rFonts w:eastAsia="Times New Roman"/>
          <w:b w:val="0"/>
        </w:rPr>
        <w:t xml:space="preserve">, Hospital for Special Surgery, New York, New York, USA; Evelyn Sutton, Dalhousie University, Halifax, Nova Scotia, Canada; Carter Thorne, Southlake Regional Health Centre, </w:t>
      </w:r>
      <w:proofErr w:type="spellStart"/>
      <w:r w:rsidR="00CE7088" w:rsidRPr="00614E7F">
        <w:rPr>
          <w:rFonts w:eastAsia="Times New Roman"/>
          <w:b w:val="0"/>
        </w:rPr>
        <w:t>Newmarket</w:t>
      </w:r>
      <w:proofErr w:type="spellEnd"/>
      <w:r w:rsidR="00CE7088" w:rsidRPr="00614E7F">
        <w:rPr>
          <w:rFonts w:eastAsia="Times New Roman"/>
          <w:b w:val="0"/>
        </w:rPr>
        <w:t xml:space="preserve">, Ontario, Canada; John </w:t>
      </w:r>
      <w:proofErr w:type="spellStart"/>
      <w:r w:rsidR="00CE7088" w:rsidRPr="00614E7F">
        <w:rPr>
          <w:rFonts w:eastAsia="Times New Roman"/>
          <w:b w:val="0"/>
        </w:rPr>
        <w:t>Varga</w:t>
      </w:r>
      <w:proofErr w:type="spellEnd"/>
      <w:r w:rsidR="00CE7088" w:rsidRPr="00614E7F">
        <w:rPr>
          <w:rFonts w:eastAsia="Times New Roman"/>
          <w:b w:val="0"/>
        </w:rPr>
        <w:t xml:space="preserve">, Northwestern University, Chicago, Illinois, USA; Pearce Wilcox, St. Paul's Hospital and University of British Columbia, Vancouver, British Columbia, Canada; Vanessa C. </w:t>
      </w:r>
      <w:proofErr w:type="spellStart"/>
      <w:r w:rsidR="00CE7088" w:rsidRPr="00614E7F">
        <w:rPr>
          <w:rFonts w:eastAsia="Times New Roman"/>
          <w:b w:val="0"/>
        </w:rPr>
        <w:t>Delisle</w:t>
      </w:r>
      <w:proofErr w:type="spellEnd"/>
      <w:r w:rsidR="00CE7088" w:rsidRPr="00614E7F">
        <w:rPr>
          <w:rFonts w:eastAsia="Times New Roman"/>
          <w:b w:val="0"/>
        </w:rPr>
        <w:t xml:space="preserve">, Jewish General Hospital and McGill University, Montréal, </w:t>
      </w:r>
      <w:r w:rsidR="00CE7088" w:rsidRPr="00614E7F">
        <w:rPr>
          <w:b w:val="0"/>
        </w:rPr>
        <w:t>Québec</w:t>
      </w:r>
      <w:r w:rsidR="00CE7088" w:rsidRPr="00614E7F">
        <w:rPr>
          <w:rFonts w:eastAsia="Times New Roman"/>
          <w:b w:val="0"/>
        </w:rPr>
        <w:t xml:space="preserve">, Canada; Claire </w:t>
      </w:r>
      <w:proofErr w:type="spellStart"/>
      <w:r w:rsidR="00CE7088" w:rsidRPr="00614E7F">
        <w:rPr>
          <w:rFonts w:eastAsia="Times New Roman"/>
          <w:b w:val="0"/>
        </w:rPr>
        <w:t>Fedoruk</w:t>
      </w:r>
      <w:proofErr w:type="spellEnd"/>
      <w:r w:rsidR="00CE7088" w:rsidRPr="00614E7F">
        <w:rPr>
          <w:rFonts w:eastAsia="Times New Roman"/>
          <w:b w:val="0"/>
        </w:rPr>
        <w:t xml:space="preserve">, Jewish General Hospital, Montréal, </w:t>
      </w:r>
      <w:r w:rsidR="00CE7088" w:rsidRPr="00614E7F">
        <w:rPr>
          <w:b w:val="0"/>
        </w:rPr>
        <w:t>Québec</w:t>
      </w:r>
      <w:r w:rsidR="00CE7088" w:rsidRPr="00614E7F">
        <w:rPr>
          <w:rFonts w:eastAsia="Times New Roman"/>
          <w:b w:val="0"/>
        </w:rPr>
        <w:t xml:space="preserve">, Canada; Brooke Levis, Jewish General Hospital and McGill University, Montréal, </w:t>
      </w:r>
      <w:r w:rsidR="00CE7088" w:rsidRPr="00614E7F">
        <w:rPr>
          <w:b w:val="0"/>
        </w:rPr>
        <w:t>Québec</w:t>
      </w:r>
      <w:r w:rsidR="00CE7088" w:rsidRPr="00614E7F">
        <w:rPr>
          <w:rFonts w:eastAsia="Times New Roman"/>
          <w:b w:val="0"/>
        </w:rPr>
        <w:t xml:space="preserve">, Canada; Katherine </w:t>
      </w:r>
      <w:proofErr w:type="spellStart"/>
      <w:r w:rsidR="00CE7088" w:rsidRPr="00614E7F">
        <w:rPr>
          <w:rFonts w:eastAsia="Times New Roman"/>
          <w:b w:val="0"/>
        </w:rPr>
        <w:t>Milette</w:t>
      </w:r>
      <w:proofErr w:type="spellEnd"/>
      <w:r w:rsidR="00CE7088" w:rsidRPr="00614E7F">
        <w:rPr>
          <w:rFonts w:eastAsia="Times New Roman"/>
          <w:b w:val="0"/>
        </w:rPr>
        <w:t xml:space="preserve">, Jewish General Hospital and McGill University, Montréal, </w:t>
      </w:r>
      <w:r w:rsidR="00CE7088" w:rsidRPr="00614E7F">
        <w:rPr>
          <w:b w:val="0"/>
        </w:rPr>
        <w:t>Québec</w:t>
      </w:r>
      <w:r w:rsidR="00CE7088" w:rsidRPr="00614E7F">
        <w:rPr>
          <w:rFonts w:eastAsia="Times New Roman"/>
          <w:b w:val="0"/>
        </w:rPr>
        <w:t xml:space="preserve">, Canada; Mia R. Pepin, Jewish General Hospital, Montréal, </w:t>
      </w:r>
      <w:r w:rsidR="00CE7088" w:rsidRPr="00614E7F">
        <w:rPr>
          <w:b w:val="0"/>
        </w:rPr>
        <w:t>Québec</w:t>
      </w:r>
      <w:r w:rsidR="00CE7088" w:rsidRPr="00614E7F">
        <w:rPr>
          <w:rFonts w:eastAsia="Times New Roman"/>
          <w:b w:val="0"/>
        </w:rPr>
        <w:t>, Canada</w:t>
      </w:r>
      <w:r w:rsidR="00CE7088" w:rsidRPr="00614E7F">
        <w:rPr>
          <w:b w:val="0"/>
        </w:rPr>
        <w:t xml:space="preserve">; Jennifer </w:t>
      </w:r>
      <w:proofErr w:type="spellStart"/>
      <w:r w:rsidR="00CE7088" w:rsidRPr="00614E7F">
        <w:rPr>
          <w:b w:val="0"/>
        </w:rPr>
        <w:t>Persmann</w:t>
      </w:r>
      <w:proofErr w:type="spellEnd"/>
      <w:r w:rsidR="00CE7088" w:rsidRPr="00614E7F">
        <w:rPr>
          <w:b w:val="0"/>
        </w:rPr>
        <w:t xml:space="preserve">, </w:t>
      </w:r>
      <w:proofErr w:type="spellStart"/>
      <w:r w:rsidR="00CE7088" w:rsidRPr="00614E7F">
        <w:rPr>
          <w:rFonts w:eastAsia="Times New Roman"/>
          <w:b w:val="0"/>
        </w:rPr>
        <w:t>Université</w:t>
      </w:r>
      <w:proofErr w:type="spellEnd"/>
      <w:r w:rsidR="00CE7088" w:rsidRPr="00614E7F">
        <w:rPr>
          <w:rFonts w:eastAsia="Times New Roman"/>
          <w:b w:val="0"/>
        </w:rPr>
        <w:t xml:space="preserve"> du Québec à Montréal, </w:t>
      </w:r>
      <w:r w:rsidR="00CE7088" w:rsidRPr="00614E7F">
        <w:rPr>
          <w:b w:val="0"/>
        </w:rPr>
        <w:t>Montréal, Québec</w:t>
      </w:r>
      <w:r w:rsidR="00CE7088" w:rsidRPr="00614E7F">
        <w:rPr>
          <w:rFonts w:eastAsia="Times New Roman"/>
          <w:b w:val="0"/>
        </w:rPr>
        <w:t>, Canada.</w:t>
      </w:r>
    </w:p>
    <w:p w14:paraId="4B61ADEE" w14:textId="6EFD3814" w:rsidR="00E3279E" w:rsidRPr="00614E7F" w:rsidRDefault="00E3279E" w:rsidP="00E3279E">
      <w:pPr>
        <w:pStyle w:val="NoSpacing"/>
        <w:spacing w:line="480" w:lineRule="auto"/>
        <w:rPr>
          <w:b w:val="0"/>
        </w:rPr>
      </w:pPr>
    </w:p>
    <w:p w14:paraId="27040231" w14:textId="350F5A3A" w:rsidR="0054470C" w:rsidRPr="00614E7F" w:rsidRDefault="0054470C" w:rsidP="0054470C">
      <w:pPr>
        <w:pStyle w:val="NoSpacing"/>
        <w:spacing w:line="480" w:lineRule="auto"/>
        <w:rPr>
          <w:b w:val="0"/>
        </w:rPr>
      </w:pPr>
      <w:r w:rsidRPr="00614E7F">
        <w:lastRenderedPageBreak/>
        <w:t>Address for Correspondence</w:t>
      </w:r>
      <w:r>
        <w:t xml:space="preserve"> and Reprints</w:t>
      </w:r>
      <w:r w:rsidRPr="00614E7F">
        <w:t xml:space="preserve">: </w:t>
      </w:r>
      <w:r w:rsidRPr="00614E7F">
        <w:rPr>
          <w:b w:val="0"/>
        </w:rPr>
        <w:t xml:space="preserve">Brett D. Thombs, PhD; Jewish General Hospital; 4333 Cote </w:t>
      </w:r>
      <w:proofErr w:type="spellStart"/>
      <w:r w:rsidRPr="00614E7F">
        <w:rPr>
          <w:b w:val="0"/>
        </w:rPr>
        <w:t>St</w:t>
      </w:r>
      <w:r>
        <w:rPr>
          <w:b w:val="0"/>
        </w:rPr>
        <w:t>e</w:t>
      </w:r>
      <w:proofErr w:type="spellEnd"/>
      <w:r>
        <w:rPr>
          <w:b w:val="0"/>
        </w:rPr>
        <w:t xml:space="preserve"> </w:t>
      </w:r>
      <w:r w:rsidRPr="00614E7F">
        <w:rPr>
          <w:b w:val="0"/>
        </w:rPr>
        <w:t>Catherine Road, Montréal, Québec, Canada, H3T 1E4; Telephone: (514) 340-8222 ext. 5112; Fax: (514) 340-8124; Email: brett.thombs@mcgill.ca.</w:t>
      </w:r>
    </w:p>
    <w:p w14:paraId="7AB9050F" w14:textId="77777777" w:rsidR="0054470C" w:rsidRDefault="0054470C" w:rsidP="00A22C1E">
      <w:pPr>
        <w:spacing w:line="480" w:lineRule="auto"/>
        <w:rPr>
          <w:b/>
        </w:rPr>
      </w:pPr>
    </w:p>
    <w:p w14:paraId="24393860" w14:textId="56142411" w:rsidR="00AE1AA3" w:rsidRDefault="00AE1AA3" w:rsidP="00A22C1E">
      <w:pPr>
        <w:spacing w:line="480" w:lineRule="auto"/>
        <w:rPr>
          <w:b/>
        </w:rPr>
      </w:pPr>
      <w:r>
        <w:rPr>
          <w:b/>
        </w:rPr>
        <w:t>Short Running Title:</w:t>
      </w:r>
      <w:r w:rsidR="00EE2CC4" w:rsidRPr="00EE2CC4">
        <w:t xml:space="preserve"> </w:t>
      </w:r>
      <w:r w:rsidR="00EE2CC4" w:rsidRPr="002637B8">
        <w:t>Appearance Concerns in SSc</w:t>
      </w:r>
    </w:p>
    <w:p w14:paraId="42349131" w14:textId="77777777" w:rsidR="00AE1AA3" w:rsidRPr="00AE1AA3" w:rsidRDefault="00AE1AA3" w:rsidP="00A22C1E">
      <w:pPr>
        <w:spacing w:line="480" w:lineRule="auto"/>
        <w:rPr>
          <w:b/>
        </w:rPr>
      </w:pPr>
    </w:p>
    <w:p w14:paraId="06E26D21" w14:textId="77777777" w:rsidR="002D254F" w:rsidRDefault="002D254F" w:rsidP="002D254F">
      <w:pPr>
        <w:spacing w:line="480" w:lineRule="auto"/>
        <w:outlineLvl w:val="0"/>
        <w:rPr>
          <w:b/>
        </w:rPr>
      </w:pPr>
    </w:p>
    <w:p w14:paraId="588B1FB8" w14:textId="77777777" w:rsidR="001C0704" w:rsidRPr="0086092F" w:rsidRDefault="001C0704" w:rsidP="001C0704">
      <w:pPr>
        <w:widowControl w:val="0"/>
        <w:autoSpaceDE w:val="0"/>
        <w:autoSpaceDN w:val="0"/>
        <w:adjustRightInd w:val="0"/>
        <w:spacing w:line="480" w:lineRule="auto"/>
        <w:rPr>
          <w:noProof/>
        </w:rPr>
      </w:pPr>
    </w:p>
    <w:p w14:paraId="42EDCA90" w14:textId="77777777" w:rsidR="0022411E" w:rsidRPr="00614E7F" w:rsidRDefault="0022411E" w:rsidP="004068F3">
      <w:pPr>
        <w:pStyle w:val="NoSpacing"/>
        <w:spacing w:line="480" w:lineRule="auto"/>
        <w:rPr>
          <w:b w:val="0"/>
        </w:rPr>
      </w:pPr>
    </w:p>
    <w:p w14:paraId="17A03BA2" w14:textId="53E90763" w:rsidR="00685D5D" w:rsidRPr="00614E7F" w:rsidRDefault="004068F3" w:rsidP="006D0E98">
      <w:pPr>
        <w:outlineLvl w:val="0"/>
        <w:rPr>
          <w:b/>
        </w:rPr>
      </w:pPr>
      <w:r w:rsidRPr="00614E7F">
        <w:rPr>
          <w:b/>
        </w:rPr>
        <w:br w:type="page"/>
      </w:r>
      <w:r w:rsidR="00685D5D" w:rsidRPr="00614E7F">
        <w:rPr>
          <w:b/>
        </w:rPr>
        <w:lastRenderedPageBreak/>
        <w:t>ABSTRACT</w:t>
      </w:r>
    </w:p>
    <w:p w14:paraId="2DCD4B5D" w14:textId="77777777" w:rsidR="004068F3" w:rsidRPr="00614E7F" w:rsidRDefault="004068F3" w:rsidP="004068F3">
      <w:pPr>
        <w:rPr>
          <w:b/>
        </w:rPr>
      </w:pPr>
    </w:p>
    <w:p w14:paraId="09A6D118" w14:textId="10F22452" w:rsidR="00057E42" w:rsidRPr="00614E7F" w:rsidRDefault="00714883" w:rsidP="00CA4EBE">
      <w:pPr>
        <w:spacing w:line="480" w:lineRule="auto"/>
      </w:pPr>
      <w:r>
        <w:rPr>
          <w:b/>
        </w:rPr>
        <w:t>Objective</w:t>
      </w:r>
      <w:r w:rsidR="00685D5D" w:rsidRPr="00614E7F">
        <w:rPr>
          <w:b/>
        </w:rPr>
        <w:t xml:space="preserve">: </w:t>
      </w:r>
      <w:r w:rsidR="00A8628D" w:rsidRPr="00614E7F">
        <w:t>Appearance concerns are common in systemic sclerosis (SSc)</w:t>
      </w:r>
      <w:r w:rsidR="00E11DEF">
        <w:t xml:space="preserve"> and have been linked to younger age and more severe disease. N</w:t>
      </w:r>
      <w:r w:rsidR="00F06746" w:rsidRPr="00614E7F">
        <w:t xml:space="preserve">o study has examined </w:t>
      </w:r>
      <w:r w:rsidR="00A8628D" w:rsidRPr="00614E7F">
        <w:t xml:space="preserve">their </w:t>
      </w:r>
      <w:r w:rsidR="00BC296E" w:rsidRPr="00614E7F">
        <w:t>association</w:t>
      </w:r>
      <w:r w:rsidR="00A8628D" w:rsidRPr="00614E7F">
        <w:t xml:space="preserve"> with sex or race/ethnicity.</w:t>
      </w:r>
      <w:r w:rsidR="00102188" w:rsidRPr="00614E7F">
        <w:t xml:space="preserve"> </w:t>
      </w:r>
    </w:p>
    <w:p w14:paraId="5D4E607D" w14:textId="35A54B90" w:rsidR="007C2863" w:rsidRPr="00614E7F" w:rsidRDefault="00685D5D" w:rsidP="007C2863">
      <w:pPr>
        <w:spacing w:line="480" w:lineRule="auto"/>
      </w:pPr>
      <w:r w:rsidRPr="00614E7F">
        <w:rPr>
          <w:b/>
        </w:rPr>
        <w:t xml:space="preserve">Methods: </w:t>
      </w:r>
      <w:r w:rsidR="007C2863" w:rsidRPr="00614E7F">
        <w:t>SSc patients</w:t>
      </w:r>
      <w:r w:rsidR="00E55E93" w:rsidRPr="00614E7F">
        <w:t xml:space="preserve"> </w:t>
      </w:r>
      <w:r w:rsidR="007C2863" w:rsidRPr="00614E7F">
        <w:t>were</w:t>
      </w:r>
      <w:r w:rsidR="009F277B" w:rsidRPr="00614E7F">
        <w:t xml:space="preserve"> sampled</w:t>
      </w:r>
      <w:r w:rsidR="007C2863" w:rsidRPr="00614E7F">
        <w:t xml:space="preserve"> from </w:t>
      </w:r>
      <w:r w:rsidR="00116A6B" w:rsidRPr="00614E7F">
        <w:t>the</w:t>
      </w:r>
      <w:r w:rsidR="007C2863" w:rsidRPr="00614E7F">
        <w:t xml:space="preserve"> Scleroderma Patient-centered Intervention Network Cohort</w:t>
      </w:r>
      <w:r w:rsidR="00271088" w:rsidRPr="00614E7F">
        <w:t xml:space="preserve">. </w:t>
      </w:r>
      <w:r w:rsidR="00A8628D" w:rsidRPr="00614E7F">
        <w:t xml:space="preserve">Presence of </w:t>
      </w:r>
      <w:r w:rsidR="00E55E93" w:rsidRPr="00614E7F">
        <w:t>a</w:t>
      </w:r>
      <w:r w:rsidR="005E3CF7" w:rsidRPr="00614E7F">
        <w:t>ppearance concerns</w:t>
      </w:r>
      <w:r w:rsidR="00A8628D" w:rsidRPr="00614E7F">
        <w:t xml:space="preserve"> was assessed with a single item</w:t>
      </w:r>
      <w:r w:rsidR="003B5967">
        <w:t xml:space="preserve">, and medical and sociodemographic information </w:t>
      </w:r>
      <w:r w:rsidR="00E11DEF">
        <w:t>were</w:t>
      </w:r>
      <w:r w:rsidR="003B5967">
        <w:t xml:space="preserve"> collected. </w:t>
      </w:r>
    </w:p>
    <w:p w14:paraId="044788EC" w14:textId="621A8126" w:rsidR="006F76B7" w:rsidRPr="00614E7F" w:rsidRDefault="00685D5D" w:rsidP="005E3CF7">
      <w:pPr>
        <w:autoSpaceDE w:val="0"/>
        <w:autoSpaceDN w:val="0"/>
        <w:adjustRightInd w:val="0"/>
        <w:spacing w:line="480" w:lineRule="auto"/>
      </w:pPr>
      <w:r w:rsidRPr="00614E7F">
        <w:rPr>
          <w:b/>
        </w:rPr>
        <w:t xml:space="preserve">Results: </w:t>
      </w:r>
      <w:r w:rsidR="00E55E93" w:rsidRPr="00614E7F">
        <w:t>Of</w:t>
      </w:r>
      <w:r w:rsidR="00FD19C3" w:rsidRPr="00614E7F">
        <w:t xml:space="preserve"> 644</w:t>
      </w:r>
      <w:r w:rsidR="00E55E93" w:rsidRPr="00614E7F">
        <w:t xml:space="preserve"> patients, appearance concerns were present in </w:t>
      </w:r>
      <w:r w:rsidR="00B83A79" w:rsidRPr="00614E7F">
        <w:t xml:space="preserve">72%, including </w:t>
      </w:r>
      <w:r w:rsidR="00F549B6" w:rsidRPr="00614E7F">
        <w:t xml:space="preserve">421 of </w:t>
      </w:r>
      <w:r w:rsidR="00544111" w:rsidRPr="00614E7F">
        <w:t>565 women</w:t>
      </w:r>
      <w:r w:rsidR="00F549B6" w:rsidRPr="00614E7F">
        <w:t xml:space="preserve"> (75%)</w:t>
      </w:r>
      <w:r w:rsidR="00F9469D">
        <w:t>,</w:t>
      </w:r>
      <w:r w:rsidR="00544111" w:rsidRPr="00614E7F">
        <w:t xml:space="preserve"> </w:t>
      </w:r>
      <w:r w:rsidR="00F549B6" w:rsidRPr="00614E7F">
        <w:t xml:space="preserve">42 of </w:t>
      </w:r>
      <w:r w:rsidR="00544111" w:rsidRPr="00614E7F">
        <w:t>79 men</w:t>
      </w:r>
      <w:r w:rsidR="00F549B6" w:rsidRPr="00614E7F">
        <w:t xml:space="preserve"> (53%), 392 of </w:t>
      </w:r>
      <w:r w:rsidR="00B26AF7" w:rsidRPr="00614E7F">
        <w:t>550</w:t>
      </w:r>
      <w:r w:rsidR="005346E8" w:rsidRPr="00614E7F">
        <w:t xml:space="preserve"> </w:t>
      </w:r>
      <w:r w:rsidR="00F549B6" w:rsidRPr="00614E7F">
        <w:t xml:space="preserve">patients who identified </w:t>
      </w:r>
      <w:r w:rsidR="00A76B65" w:rsidRPr="00614E7F">
        <w:t>as White</w:t>
      </w:r>
      <w:r w:rsidR="00F549B6" w:rsidRPr="00614E7F">
        <w:t xml:space="preserve"> (71%)</w:t>
      </w:r>
      <w:r w:rsidR="00A76B65" w:rsidRPr="00614E7F">
        <w:t xml:space="preserve">, </w:t>
      </w:r>
      <w:r w:rsidR="00F549B6" w:rsidRPr="00614E7F">
        <w:t xml:space="preserve">35 of </w:t>
      </w:r>
      <w:r w:rsidR="00B26AF7" w:rsidRPr="00614E7F">
        <w:t>41</w:t>
      </w:r>
      <w:r w:rsidR="00A76B65" w:rsidRPr="00614E7F">
        <w:t xml:space="preserve"> </w:t>
      </w:r>
      <w:r w:rsidR="005E0C97" w:rsidRPr="00614E7F">
        <w:t xml:space="preserve">who </w:t>
      </w:r>
      <w:r w:rsidR="00F549B6" w:rsidRPr="00614E7F">
        <w:t xml:space="preserve">identified </w:t>
      </w:r>
      <w:r w:rsidR="00A76B65" w:rsidRPr="00614E7F">
        <w:t>as Black</w:t>
      </w:r>
      <w:r w:rsidR="00F549B6" w:rsidRPr="00614E7F">
        <w:t xml:space="preserve"> (85%)</w:t>
      </w:r>
      <w:r w:rsidR="00A76B65" w:rsidRPr="00614E7F">
        <w:t xml:space="preserve">, and </w:t>
      </w:r>
      <w:r w:rsidR="00F549B6" w:rsidRPr="00614E7F">
        <w:t xml:space="preserve">36 of </w:t>
      </w:r>
      <w:r w:rsidR="00B26AF7" w:rsidRPr="00614E7F">
        <w:t>53</w:t>
      </w:r>
      <w:r w:rsidR="00BA3AFA" w:rsidRPr="00614E7F">
        <w:t xml:space="preserve"> </w:t>
      </w:r>
      <w:r w:rsidR="005E0C97" w:rsidRPr="00614E7F">
        <w:t xml:space="preserve">who </w:t>
      </w:r>
      <w:r w:rsidR="00F549B6" w:rsidRPr="00614E7F">
        <w:t xml:space="preserve">identified </w:t>
      </w:r>
      <w:r w:rsidR="00BA3AFA" w:rsidRPr="00614E7F">
        <w:t>as another</w:t>
      </w:r>
      <w:r w:rsidR="007474A7" w:rsidRPr="00614E7F">
        <w:t xml:space="preserve"> race/ethnicity</w:t>
      </w:r>
      <w:r w:rsidR="00F549B6" w:rsidRPr="00614E7F">
        <w:t xml:space="preserve"> (68%)</w:t>
      </w:r>
      <w:r w:rsidR="007C2863" w:rsidRPr="00614E7F">
        <w:t xml:space="preserve">. </w:t>
      </w:r>
      <w:r w:rsidR="00326C3A" w:rsidRPr="00614E7F">
        <w:t xml:space="preserve">In multivariate </w:t>
      </w:r>
      <w:r w:rsidR="00F549B6" w:rsidRPr="00614E7F">
        <w:t>ana</w:t>
      </w:r>
      <w:r w:rsidR="00FC112B">
        <w:t>lysi</w:t>
      </w:r>
      <w:r w:rsidR="00F549B6" w:rsidRPr="00614E7F">
        <w:t>s</w:t>
      </w:r>
      <w:r w:rsidR="00326C3A" w:rsidRPr="00614E7F">
        <w:t>, women had s</w:t>
      </w:r>
      <w:r w:rsidR="0013513C" w:rsidRPr="00614E7F">
        <w:t xml:space="preserve">ignificantly greater odds of reporting </w:t>
      </w:r>
      <w:r w:rsidR="00326C3A" w:rsidRPr="00614E7F">
        <w:t xml:space="preserve">appearance </w:t>
      </w:r>
      <w:r w:rsidR="00A45518" w:rsidRPr="00614E7F">
        <w:t xml:space="preserve">concerns than men </w:t>
      </w:r>
      <w:r w:rsidR="00326C3A" w:rsidRPr="00614E7F">
        <w:t xml:space="preserve">(odds ratio </w:t>
      </w:r>
      <w:r w:rsidR="006D0E98" w:rsidRPr="00614E7F">
        <w:t>(</w:t>
      </w:r>
      <w:r w:rsidR="00326C3A" w:rsidRPr="00614E7F">
        <w:t>OR</w:t>
      </w:r>
      <w:r w:rsidR="00F25CEB" w:rsidRPr="00614E7F">
        <w:t>)</w:t>
      </w:r>
      <w:r w:rsidR="00326C3A" w:rsidRPr="00614E7F">
        <w:t>=</w:t>
      </w:r>
      <w:r w:rsidR="00985A2D" w:rsidRPr="00614E7F">
        <w:t>2.97</w:t>
      </w:r>
      <w:r w:rsidR="00326C3A" w:rsidRPr="00614E7F">
        <w:t>,</w:t>
      </w:r>
      <w:r w:rsidR="00632E61" w:rsidRPr="00614E7F">
        <w:t xml:space="preserve"> 95% confidence interval </w:t>
      </w:r>
      <w:r w:rsidR="006D0E98" w:rsidRPr="00614E7F">
        <w:t>(</w:t>
      </w:r>
      <w:r w:rsidR="00632E61" w:rsidRPr="00614E7F">
        <w:t>CI</w:t>
      </w:r>
      <w:r w:rsidR="00F25CEB" w:rsidRPr="00614E7F">
        <w:t>)</w:t>
      </w:r>
      <w:r w:rsidR="005F0277" w:rsidRPr="00614E7F">
        <w:t>=</w:t>
      </w:r>
      <w:r w:rsidR="00985A2D" w:rsidRPr="00614E7F">
        <w:t>1.78-4.9</w:t>
      </w:r>
      <w:r w:rsidR="00D72D64" w:rsidRPr="00614E7F">
        <w:t>5</w:t>
      </w:r>
      <w:r w:rsidR="00985A2D" w:rsidRPr="00614E7F">
        <w:t xml:space="preserve">, </w:t>
      </w:r>
      <w:r w:rsidR="00632E61" w:rsidRPr="00614E7F">
        <w:t>p&lt;.001</w:t>
      </w:r>
      <w:r w:rsidR="00326C3A" w:rsidRPr="00614E7F">
        <w:t>)</w:t>
      </w:r>
      <w:r w:rsidR="00A45518" w:rsidRPr="00614E7F">
        <w:t xml:space="preserve">. </w:t>
      </w:r>
      <w:r w:rsidR="00326C3A" w:rsidRPr="00614E7F">
        <w:t xml:space="preserve">Black patients had </w:t>
      </w:r>
      <w:r w:rsidR="00B13CC4" w:rsidRPr="00614E7F">
        <w:t xml:space="preserve">significantly </w:t>
      </w:r>
      <w:r w:rsidR="00326C3A" w:rsidRPr="00614E7F">
        <w:t>greater odds of ap</w:t>
      </w:r>
      <w:r w:rsidR="00632E61" w:rsidRPr="00614E7F">
        <w:t xml:space="preserve">pearance concerns </w:t>
      </w:r>
      <w:r w:rsidR="00AC25A9" w:rsidRPr="00614E7F">
        <w:t>than White patients</w:t>
      </w:r>
      <w:r w:rsidR="00B13CC4" w:rsidRPr="00614E7F">
        <w:t xml:space="preserve"> in unadjusted (OR=</w:t>
      </w:r>
      <w:r w:rsidR="00456870" w:rsidRPr="00614E7F">
        <w:t>2.64</w:t>
      </w:r>
      <w:r w:rsidR="00B13CC4" w:rsidRPr="00614E7F">
        <w:t>, 95% CI=</w:t>
      </w:r>
      <w:r w:rsidR="00456870" w:rsidRPr="00614E7F">
        <w:t>1.01</w:t>
      </w:r>
      <w:r w:rsidR="00B13CC4" w:rsidRPr="00614E7F">
        <w:t>-</w:t>
      </w:r>
      <w:r w:rsidR="00456870" w:rsidRPr="00614E7F">
        <w:t>6.34</w:t>
      </w:r>
      <w:r w:rsidR="00B13CC4" w:rsidRPr="00614E7F">
        <w:t>, p=.</w:t>
      </w:r>
      <w:r w:rsidR="00456870" w:rsidRPr="00614E7F">
        <w:t>030</w:t>
      </w:r>
      <w:r w:rsidR="00FC112B">
        <w:t>), but not multivariate analysi</w:t>
      </w:r>
      <w:r w:rsidR="00B13CC4" w:rsidRPr="00614E7F">
        <w:t>s</w:t>
      </w:r>
      <w:r w:rsidR="00AC25A9" w:rsidRPr="00614E7F">
        <w:t xml:space="preserve"> </w:t>
      </w:r>
      <w:r w:rsidR="00632E61" w:rsidRPr="00614E7F">
        <w:t>(O</w:t>
      </w:r>
      <w:r w:rsidR="00146461" w:rsidRPr="00614E7F">
        <w:t>R=</w:t>
      </w:r>
      <w:r w:rsidR="00985A2D" w:rsidRPr="00614E7F">
        <w:t>1.7</w:t>
      </w:r>
      <w:r w:rsidR="00F01FDE" w:rsidRPr="00614E7F">
        <w:t>6</w:t>
      </w:r>
      <w:r w:rsidR="00632E61" w:rsidRPr="00614E7F">
        <w:t xml:space="preserve">, </w:t>
      </w:r>
      <w:r w:rsidR="002C70C9" w:rsidRPr="00614E7F">
        <w:t xml:space="preserve">95% </w:t>
      </w:r>
      <w:r w:rsidR="00146461" w:rsidRPr="00614E7F">
        <w:t>CI=</w:t>
      </w:r>
      <w:r w:rsidR="00985A2D" w:rsidRPr="00614E7F">
        <w:t>0.6</w:t>
      </w:r>
      <w:r w:rsidR="00F01FDE" w:rsidRPr="00614E7F">
        <w:t>7</w:t>
      </w:r>
      <w:r w:rsidR="00985A2D" w:rsidRPr="00614E7F">
        <w:t>-4.</w:t>
      </w:r>
      <w:r w:rsidR="00F01FDE" w:rsidRPr="00614E7F">
        <w:t>60</w:t>
      </w:r>
      <w:r w:rsidR="00146461" w:rsidRPr="00614E7F">
        <w:t>, p=</w:t>
      </w:r>
      <w:r w:rsidR="00A16311" w:rsidRPr="00614E7F">
        <w:t>.</w:t>
      </w:r>
      <w:r w:rsidR="00985A2D" w:rsidRPr="00614E7F">
        <w:t>2</w:t>
      </w:r>
      <w:r w:rsidR="00F01FDE" w:rsidRPr="00614E7F">
        <w:t>50</w:t>
      </w:r>
      <w:r w:rsidR="00326C3A" w:rsidRPr="00614E7F">
        <w:t>)</w:t>
      </w:r>
      <w:r w:rsidR="00B13CC4" w:rsidRPr="00614E7F">
        <w:t>.</w:t>
      </w:r>
      <w:r w:rsidR="007E36D3" w:rsidRPr="00614E7F">
        <w:t xml:space="preserve"> </w:t>
      </w:r>
      <w:r w:rsidR="00104BBD">
        <w:t xml:space="preserve">Compared to </w:t>
      </w:r>
      <w:r w:rsidR="00480948">
        <w:t xml:space="preserve">a </w:t>
      </w:r>
      <w:r w:rsidR="00104BBD">
        <w:t>general population</w:t>
      </w:r>
      <w:r w:rsidR="00480948">
        <w:t xml:space="preserve"> sample</w:t>
      </w:r>
      <w:r w:rsidR="00104BBD">
        <w:t xml:space="preserve">, </w:t>
      </w:r>
      <w:r w:rsidR="00480948">
        <w:t xml:space="preserve">appearance concerns were </w:t>
      </w:r>
      <w:r w:rsidR="00E11DEF">
        <w:t xml:space="preserve">substantially </w:t>
      </w:r>
      <w:r w:rsidR="00480948">
        <w:t>more common in SSc</w:t>
      </w:r>
      <w:r w:rsidR="00FF04D8">
        <w:t xml:space="preserve">, </w:t>
      </w:r>
      <w:r w:rsidR="00E11DEF">
        <w:t>particularly for men across all age groups and for younger women</w:t>
      </w:r>
      <w:r w:rsidR="006F76B7">
        <w:rPr>
          <w:lang w:val="en-GB"/>
        </w:rPr>
        <w:t>.</w:t>
      </w:r>
      <w:r w:rsidR="00E11DEF" w:rsidRPr="00E11DEF">
        <w:rPr>
          <w:lang w:val="en-GB"/>
        </w:rPr>
        <w:t xml:space="preserve"> </w:t>
      </w:r>
      <w:r w:rsidR="00E11DEF">
        <w:rPr>
          <w:lang w:val="en-GB"/>
        </w:rPr>
        <w:t>The most commonly reported features of concern were related to the face and head, followed by the hands and fingers; this did not differ by sex or race/ethnicity.</w:t>
      </w:r>
    </w:p>
    <w:p w14:paraId="6ED7DD8B" w14:textId="56220362" w:rsidR="006F76B7" w:rsidRPr="00E3747A" w:rsidRDefault="005E3CF7" w:rsidP="006F76B7">
      <w:pPr>
        <w:autoSpaceDE w:val="0"/>
        <w:autoSpaceDN w:val="0"/>
        <w:adjustRightInd w:val="0"/>
        <w:spacing w:line="480" w:lineRule="auto"/>
      </w:pPr>
      <w:r w:rsidRPr="006F76B7">
        <w:rPr>
          <w:b/>
        </w:rPr>
        <w:t>Conclusion:</w:t>
      </w:r>
      <w:r w:rsidRPr="00614E7F">
        <w:t xml:space="preserve"> </w:t>
      </w:r>
      <w:r w:rsidR="00480948">
        <w:t xml:space="preserve">Appearance concerns were common in SSc. </w:t>
      </w:r>
      <w:r w:rsidR="00984172" w:rsidRPr="00614E7F">
        <w:t>W</w:t>
      </w:r>
      <w:r w:rsidRPr="00614E7F">
        <w:t xml:space="preserve">omen </w:t>
      </w:r>
      <w:r w:rsidR="00E31493" w:rsidRPr="00614E7F">
        <w:t>were</w:t>
      </w:r>
      <w:r w:rsidR="00905138" w:rsidRPr="00614E7F">
        <w:t xml:space="preserve"> substantially more likely than men to have</w:t>
      </w:r>
      <w:r w:rsidRPr="00614E7F">
        <w:t xml:space="preserve"> </w:t>
      </w:r>
      <w:r w:rsidR="00300FD2" w:rsidRPr="00614E7F">
        <w:t>appearance concerns</w:t>
      </w:r>
      <w:r w:rsidR="00905138" w:rsidRPr="00614E7F">
        <w:t xml:space="preserve">. </w:t>
      </w:r>
      <w:r w:rsidR="00FF04D8">
        <w:t xml:space="preserve">Although non-significant in multivariate analysis, </w:t>
      </w:r>
      <w:r w:rsidR="00905138" w:rsidRPr="00614E7F">
        <w:t xml:space="preserve">Black patients </w:t>
      </w:r>
      <w:r w:rsidR="008019C7" w:rsidRPr="00614E7F">
        <w:t>were</w:t>
      </w:r>
      <w:r w:rsidR="00905138" w:rsidRPr="00614E7F">
        <w:t xml:space="preserve"> more likely </w:t>
      </w:r>
      <w:r w:rsidR="00D859D2" w:rsidRPr="00614E7F">
        <w:t xml:space="preserve">to have concerns </w:t>
      </w:r>
      <w:r w:rsidR="00905138" w:rsidRPr="00614E7F">
        <w:t xml:space="preserve">than White patients, </w:t>
      </w:r>
      <w:r w:rsidR="00F9469D">
        <w:t>likely</w:t>
      </w:r>
      <w:r w:rsidR="00905138" w:rsidRPr="00614E7F">
        <w:t xml:space="preserve"> due to more severe changes in appearance.</w:t>
      </w:r>
      <w:r w:rsidR="006F76B7" w:rsidRPr="006F76B7">
        <w:t xml:space="preserve"> </w:t>
      </w:r>
    </w:p>
    <w:p w14:paraId="492E8E60" w14:textId="56C431A9" w:rsidR="0039092A" w:rsidRPr="00E3747A" w:rsidRDefault="003C6568" w:rsidP="00F17BB4">
      <w:r>
        <w:t xml:space="preserve"> </w:t>
      </w:r>
    </w:p>
    <w:p w14:paraId="1568B4FB" w14:textId="6F19F5BD" w:rsidR="00055CE9" w:rsidRPr="00F17BB4" w:rsidRDefault="00685D5D" w:rsidP="00F17BB4">
      <w:pPr>
        <w:spacing w:line="480" w:lineRule="auto"/>
        <w:ind w:firstLine="720"/>
        <w:rPr>
          <w:b/>
        </w:rPr>
      </w:pPr>
      <w:r w:rsidRPr="00614E7F">
        <w:rPr>
          <w:b/>
        </w:rPr>
        <w:br w:type="page"/>
      </w:r>
      <w:r w:rsidR="007C3062" w:rsidRPr="00614E7F">
        <w:lastRenderedPageBreak/>
        <w:t>D</w:t>
      </w:r>
      <w:r w:rsidR="003A26E9" w:rsidRPr="00614E7F">
        <w:t>isfiguring appearance changes</w:t>
      </w:r>
      <w:r w:rsidR="001A6CE3" w:rsidRPr="00614E7F">
        <w:t>, including</w:t>
      </w:r>
      <w:r w:rsidR="00B479D2" w:rsidRPr="00614E7F">
        <w:t xml:space="preserve"> </w:t>
      </w:r>
      <w:r w:rsidR="0071536A" w:rsidRPr="00614E7F">
        <w:t xml:space="preserve">telangiectasias, hand contractures, skin pigmentation changes, </w:t>
      </w:r>
      <w:r w:rsidR="006D4218">
        <w:t xml:space="preserve">digital </w:t>
      </w:r>
      <w:r w:rsidR="00927A80">
        <w:t xml:space="preserve">ulcers, </w:t>
      </w:r>
      <w:r w:rsidR="00D01526" w:rsidRPr="00614E7F">
        <w:t xml:space="preserve">and </w:t>
      </w:r>
      <w:r w:rsidR="0071536A" w:rsidRPr="00614E7F">
        <w:t>altered facial features</w:t>
      </w:r>
      <w:r w:rsidR="001B279D" w:rsidRPr="00614E7F">
        <w:t xml:space="preserve">, </w:t>
      </w:r>
      <w:r w:rsidR="00B479D2" w:rsidRPr="00614E7F">
        <w:t>are common in systemic sclerosis (SSc)</w:t>
      </w:r>
      <w:r w:rsidR="004F6A58" w:rsidRPr="00614E7F">
        <w:t>. These</w:t>
      </w:r>
      <w:r w:rsidR="00CA29F2">
        <w:t xml:space="preserve"> </w:t>
      </w:r>
      <w:r w:rsidR="004F6A58" w:rsidRPr="00614E7F">
        <w:t>appearance changes</w:t>
      </w:r>
      <w:r w:rsidR="0071536A" w:rsidRPr="00614E7F">
        <w:t xml:space="preserve"> often</w:t>
      </w:r>
      <w:r w:rsidR="007364D9" w:rsidRPr="00614E7F">
        <w:t xml:space="preserve"> affect </w:t>
      </w:r>
      <w:r w:rsidR="003A26E9" w:rsidRPr="00614E7F">
        <w:t xml:space="preserve">body parts that are highly visible and </w:t>
      </w:r>
      <w:r w:rsidR="00CC481E">
        <w:t xml:space="preserve">that </w:t>
      </w:r>
      <w:r w:rsidR="003A26E9" w:rsidRPr="00614E7F">
        <w:t>play a central role in social interactions, such as t</w:t>
      </w:r>
      <w:r w:rsidR="008D1D84" w:rsidRPr="00614E7F">
        <w:t>he face, mouth, and hands</w:t>
      </w:r>
      <w:r w:rsidR="00C24CE7" w:rsidRPr="00614E7F">
        <w:t xml:space="preserve"> </w:t>
      </w:r>
      <w:r w:rsidR="00BB5AA1">
        <w:t>[</w:t>
      </w:r>
      <w:r w:rsidR="009C25CB" w:rsidRPr="00614E7F">
        <w:t>1</w:t>
      </w:r>
      <w:r w:rsidR="0071536A" w:rsidRPr="00614E7F">
        <w:t>-</w:t>
      </w:r>
      <w:r w:rsidR="00C24CE7" w:rsidRPr="00614E7F">
        <w:t>3</w:t>
      </w:r>
      <w:r w:rsidR="00BB5AA1">
        <w:t>]</w:t>
      </w:r>
      <w:r w:rsidR="009C25CB" w:rsidRPr="00614E7F">
        <w:t xml:space="preserve">. </w:t>
      </w:r>
      <w:r w:rsidR="00F25CEB" w:rsidRPr="00614E7F">
        <w:t>T</w:t>
      </w:r>
      <w:r w:rsidR="000349E4" w:rsidRPr="00614E7F">
        <w:t xml:space="preserve">reatments can </w:t>
      </w:r>
      <w:r w:rsidR="008D1D84" w:rsidRPr="00614E7F">
        <w:t>lessen</w:t>
      </w:r>
      <w:r w:rsidR="000349E4" w:rsidRPr="00614E7F">
        <w:t xml:space="preserve"> the impact of some</w:t>
      </w:r>
      <w:r w:rsidR="003A26E9" w:rsidRPr="00614E7F">
        <w:t xml:space="preserve"> </w:t>
      </w:r>
      <w:r w:rsidR="007C3062" w:rsidRPr="00614E7F">
        <w:t xml:space="preserve">SSc </w:t>
      </w:r>
      <w:r w:rsidR="008D1D84" w:rsidRPr="00614E7F">
        <w:t xml:space="preserve">symptoms </w:t>
      </w:r>
      <w:r w:rsidR="00F25CEB" w:rsidRPr="00614E7F">
        <w:t xml:space="preserve">but </w:t>
      </w:r>
      <w:r w:rsidR="007C3062" w:rsidRPr="00614E7F">
        <w:t>do</w:t>
      </w:r>
      <w:r w:rsidR="008D1D84" w:rsidRPr="00614E7F">
        <w:t xml:space="preserve"> not alleviate</w:t>
      </w:r>
      <w:r w:rsidR="000349E4" w:rsidRPr="00614E7F">
        <w:t xml:space="preserve"> manifestations of irreversible tissue damage that affect appearance</w:t>
      </w:r>
      <w:r w:rsidR="003A26E9" w:rsidRPr="00614E7F">
        <w:t>.</w:t>
      </w:r>
      <w:r w:rsidR="00D01526" w:rsidRPr="00614E7F">
        <w:t xml:space="preserve"> </w:t>
      </w:r>
    </w:p>
    <w:p w14:paraId="7787DE1A" w14:textId="45E828BC" w:rsidR="0025572E" w:rsidRDefault="00033807" w:rsidP="006E4638">
      <w:pPr>
        <w:spacing w:line="480" w:lineRule="auto"/>
        <w:ind w:firstLine="720"/>
      </w:pPr>
      <w:r>
        <w:t>A</w:t>
      </w:r>
      <w:r w:rsidR="00055CE9">
        <w:t xml:space="preserve">mong individuals with visible differences </w:t>
      </w:r>
      <w:r w:rsidR="00D757A4">
        <w:t>due to</w:t>
      </w:r>
      <w:r>
        <w:t xml:space="preserve"> medical </w:t>
      </w:r>
      <w:r w:rsidR="00055CE9">
        <w:t>illnes</w:t>
      </w:r>
      <w:r>
        <w:t>s or</w:t>
      </w:r>
      <w:r w:rsidR="00055CE9">
        <w:t xml:space="preserve"> injury</w:t>
      </w:r>
      <w:r w:rsidR="00D757A4">
        <w:t xml:space="preserve">, </w:t>
      </w:r>
      <w:r>
        <w:t xml:space="preserve">there is a </w:t>
      </w:r>
      <w:r w:rsidR="006E4638">
        <w:t>well-established</w:t>
      </w:r>
      <w:r w:rsidR="00055CE9">
        <w:t xml:space="preserve"> relationship between </w:t>
      </w:r>
      <w:r>
        <w:t>the extent and</w:t>
      </w:r>
      <w:r w:rsidR="00055CE9">
        <w:t xml:space="preserve"> severity of appearance </w:t>
      </w:r>
      <w:r w:rsidR="006E4049">
        <w:t>change</w:t>
      </w:r>
      <w:r>
        <w:t>s</w:t>
      </w:r>
      <w:r w:rsidR="006E4049">
        <w:t xml:space="preserve"> </w:t>
      </w:r>
      <w:r w:rsidR="00DC7970">
        <w:t xml:space="preserve">and psychological </w:t>
      </w:r>
      <w:r>
        <w:t>outcomes</w:t>
      </w:r>
      <w:r w:rsidR="00DC7970">
        <w:t xml:space="preserve"> </w:t>
      </w:r>
      <w:r w:rsidR="00BB5AA1">
        <w:t>[</w:t>
      </w:r>
      <w:r w:rsidR="00055CE9">
        <w:t>4</w:t>
      </w:r>
      <w:r w:rsidR="00E56588">
        <w:t>, 5</w:t>
      </w:r>
      <w:r w:rsidR="00BB5AA1">
        <w:t>]</w:t>
      </w:r>
      <w:r w:rsidR="00D757A4">
        <w:t>.</w:t>
      </w:r>
      <w:r w:rsidR="00055CE9">
        <w:t xml:space="preserve"> </w:t>
      </w:r>
      <w:r w:rsidR="006E4638">
        <w:t>Consistent with this, i</w:t>
      </w:r>
      <w:r w:rsidR="001A6CE3" w:rsidRPr="00614E7F">
        <w:t xml:space="preserve">n SSc, the presence, severity, and </w:t>
      </w:r>
      <w:r w:rsidR="00DC2C0D" w:rsidRPr="00614E7F">
        <w:t xml:space="preserve">perceived </w:t>
      </w:r>
      <w:r w:rsidR="001A6CE3" w:rsidRPr="00614E7F">
        <w:t xml:space="preserve">noticeability of appearance changes </w:t>
      </w:r>
      <w:r w:rsidR="00561FFF" w:rsidRPr="00614E7F">
        <w:t>are</w:t>
      </w:r>
      <w:r w:rsidR="004C48C4" w:rsidRPr="00614E7F">
        <w:t xml:space="preserve"> associated with greater body image dissati</w:t>
      </w:r>
      <w:r w:rsidR="00CA0F56" w:rsidRPr="00614E7F">
        <w:t>sfaction</w:t>
      </w:r>
      <w:r w:rsidR="002F5F1E" w:rsidRPr="00614E7F">
        <w:t xml:space="preserve"> and</w:t>
      </w:r>
      <w:r w:rsidR="004C48C4" w:rsidRPr="00614E7F">
        <w:t xml:space="preserve"> social discomfort</w:t>
      </w:r>
      <w:r w:rsidR="00503D4F" w:rsidRPr="00614E7F">
        <w:t>,</w:t>
      </w:r>
      <w:r w:rsidR="00965D54" w:rsidRPr="00614E7F">
        <w:t xml:space="preserve"> a</w:t>
      </w:r>
      <w:r w:rsidR="00503D4F" w:rsidRPr="00614E7F">
        <w:t>s well as</w:t>
      </w:r>
      <w:r w:rsidR="00965D54" w:rsidRPr="00614E7F">
        <w:t xml:space="preserve"> poorer</w:t>
      </w:r>
      <w:r w:rsidR="00CA0F56" w:rsidRPr="00614E7F">
        <w:t xml:space="preserve"> </w:t>
      </w:r>
      <w:r w:rsidR="002F5F1E" w:rsidRPr="00614E7F">
        <w:t xml:space="preserve">overall </w:t>
      </w:r>
      <w:r w:rsidR="00CA0F56" w:rsidRPr="00614E7F">
        <w:t xml:space="preserve">psychosocial </w:t>
      </w:r>
      <w:r w:rsidR="00503D4F" w:rsidRPr="00614E7F">
        <w:t xml:space="preserve">and psychological </w:t>
      </w:r>
      <w:r w:rsidR="00CA0F56" w:rsidRPr="00614E7F">
        <w:t>functioning</w:t>
      </w:r>
      <w:r w:rsidR="004C48C4" w:rsidRPr="00614E7F">
        <w:t xml:space="preserve"> </w:t>
      </w:r>
      <w:r w:rsidR="00BB5AA1">
        <w:t>[</w:t>
      </w:r>
      <w:r w:rsidR="00E56588">
        <w:t>6</w:t>
      </w:r>
      <w:r w:rsidR="00DE128C" w:rsidRPr="00614E7F">
        <w:t>-</w:t>
      </w:r>
      <w:r w:rsidR="00995AA3" w:rsidRPr="00614E7F">
        <w:t>1</w:t>
      </w:r>
      <w:r w:rsidR="00B46032">
        <w:t>2</w:t>
      </w:r>
      <w:r w:rsidR="00BB5AA1">
        <w:t>]</w:t>
      </w:r>
      <w:r w:rsidR="004C48C4" w:rsidRPr="00614E7F">
        <w:t xml:space="preserve">. </w:t>
      </w:r>
      <w:r w:rsidR="006E4638">
        <w:t>The association of younger age and greater appearance concerns is also well-established</w:t>
      </w:r>
      <w:r w:rsidR="0025572E">
        <w:t>, both</w:t>
      </w:r>
      <w:r w:rsidR="006E4638">
        <w:t xml:space="preserve"> among people with visible differences and in the general population </w:t>
      </w:r>
      <w:r w:rsidR="00BB5AA1">
        <w:t>[</w:t>
      </w:r>
      <w:r w:rsidR="00D757A4">
        <w:t>4</w:t>
      </w:r>
      <w:r>
        <w:t>, 13, 14</w:t>
      </w:r>
      <w:r w:rsidR="00BB5AA1">
        <w:t>]</w:t>
      </w:r>
      <w:r w:rsidR="00D757A4">
        <w:t xml:space="preserve">. </w:t>
      </w:r>
      <w:r w:rsidR="0025572E">
        <w:t>Among</w:t>
      </w:r>
      <w:r w:rsidR="006E4638">
        <w:t xml:space="preserve"> 2,100 </w:t>
      </w:r>
      <w:r w:rsidR="0025572E">
        <w:t>randomly sampled members of the UK general population, 70% of women and 50% of men 30 years or younger reported at least one appearance concern compared to 33% of women and 21% of men 61 years or older</w:t>
      </w:r>
      <w:r w:rsidR="000608D7">
        <w:t xml:space="preserve"> </w:t>
      </w:r>
      <w:r w:rsidR="00BB5AA1">
        <w:t>[14]</w:t>
      </w:r>
      <w:r w:rsidR="0025572E">
        <w:t>.</w:t>
      </w:r>
      <w:r w:rsidR="00C31083">
        <w:t xml:space="preserve"> </w:t>
      </w:r>
      <w:r w:rsidR="0025572E">
        <w:t>Y</w:t>
      </w:r>
      <w:r w:rsidR="00C31083">
        <w:t>ounger patients</w:t>
      </w:r>
      <w:r w:rsidR="00A93142">
        <w:t xml:space="preserve"> with SSc</w:t>
      </w:r>
      <w:r w:rsidR="00C31083">
        <w:t xml:space="preserve"> </w:t>
      </w:r>
      <w:r w:rsidR="0025572E">
        <w:t>have also been found to e</w:t>
      </w:r>
      <w:r w:rsidR="00C44F2C" w:rsidRPr="00614E7F">
        <w:t>xperience</w:t>
      </w:r>
      <w:r w:rsidR="0083188E" w:rsidRPr="00614E7F">
        <w:t xml:space="preserve"> </w:t>
      </w:r>
      <w:r w:rsidR="002F5F1E" w:rsidRPr="00614E7F">
        <w:t xml:space="preserve">greater </w:t>
      </w:r>
      <w:r w:rsidR="0083188E" w:rsidRPr="00614E7F">
        <w:t xml:space="preserve">social discomfort </w:t>
      </w:r>
      <w:r w:rsidR="002A7DC2">
        <w:t>related</w:t>
      </w:r>
      <w:r w:rsidR="0083188E" w:rsidRPr="00614E7F">
        <w:t xml:space="preserve"> to appearance</w:t>
      </w:r>
      <w:r w:rsidR="00CC481E">
        <w:t xml:space="preserve"> than </w:t>
      </w:r>
      <w:r w:rsidR="001716B6">
        <w:t>older</w:t>
      </w:r>
      <w:r w:rsidR="00CC481E">
        <w:t xml:space="preserve"> patients</w:t>
      </w:r>
      <w:r w:rsidR="0025572E">
        <w:t xml:space="preserve"> </w:t>
      </w:r>
      <w:r w:rsidR="00BB5AA1">
        <w:t>[</w:t>
      </w:r>
      <w:r w:rsidR="00AF3E31">
        <w:t>7</w:t>
      </w:r>
      <w:r w:rsidR="00BB5AA1">
        <w:t>]</w:t>
      </w:r>
      <w:r w:rsidR="0025572E">
        <w:t>.</w:t>
      </w:r>
    </w:p>
    <w:p w14:paraId="2632C4DB" w14:textId="2FD898D2" w:rsidR="007B49CB" w:rsidRPr="00614E7F" w:rsidRDefault="002F5F1E" w:rsidP="00B5462A">
      <w:pPr>
        <w:spacing w:line="480" w:lineRule="auto"/>
        <w:ind w:firstLine="720"/>
      </w:pPr>
      <w:r w:rsidRPr="00614E7F">
        <w:t xml:space="preserve">No </w:t>
      </w:r>
      <w:r w:rsidR="0005175B" w:rsidRPr="00614E7F">
        <w:t xml:space="preserve">published </w:t>
      </w:r>
      <w:r w:rsidR="0025572E">
        <w:t xml:space="preserve">studies </w:t>
      </w:r>
      <w:r w:rsidRPr="00614E7F">
        <w:t xml:space="preserve">have investigated the degree to which sex </w:t>
      </w:r>
      <w:r w:rsidR="00F952A4" w:rsidRPr="00614E7F">
        <w:t xml:space="preserve">and </w:t>
      </w:r>
      <w:r w:rsidR="00807E14" w:rsidRPr="00614E7F">
        <w:t>race/</w:t>
      </w:r>
      <w:r w:rsidR="00F952A4" w:rsidRPr="00614E7F">
        <w:t xml:space="preserve">ethnicity </w:t>
      </w:r>
      <w:r w:rsidRPr="00614E7F">
        <w:t xml:space="preserve">may be associated with </w:t>
      </w:r>
      <w:r w:rsidR="00F952A4" w:rsidRPr="00614E7F">
        <w:t>appearance concerns</w:t>
      </w:r>
      <w:r w:rsidR="00333C5B" w:rsidRPr="00614E7F">
        <w:t xml:space="preserve"> </w:t>
      </w:r>
      <w:r w:rsidRPr="00614E7F">
        <w:t>in SSc</w:t>
      </w:r>
      <w:r w:rsidR="0025572E">
        <w:t>, likely due to the small numbers of men and non-White patients in most study samples</w:t>
      </w:r>
      <w:r w:rsidR="00F952A4" w:rsidRPr="00614E7F">
        <w:t>.</w:t>
      </w:r>
      <w:r w:rsidR="0025572E">
        <w:t xml:space="preserve"> </w:t>
      </w:r>
      <w:r w:rsidR="00B93B8C" w:rsidRPr="00614E7F">
        <w:t xml:space="preserve">Among other </w:t>
      </w:r>
      <w:r w:rsidR="00D872F0" w:rsidRPr="00614E7F">
        <w:t>groups</w:t>
      </w:r>
      <w:r w:rsidR="00E754B7" w:rsidRPr="00614E7F">
        <w:t xml:space="preserve"> of people</w:t>
      </w:r>
      <w:r w:rsidR="00B93B8C" w:rsidRPr="00614E7F">
        <w:t xml:space="preserve"> with visible difference</w:t>
      </w:r>
      <w:r w:rsidR="00957AEE" w:rsidRPr="00614E7F">
        <w:t>s</w:t>
      </w:r>
      <w:r w:rsidR="00ED4F30" w:rsidRPr="00614E7F">
        <w:t xml:space="preserve"> (e.g., skin conditions, burn scarring, limb disfigurement)</w:t>
      </w:r>
      <w:r w:rsidR="00D235D8">
        <w:t>,</w:t>
      </w:r>
      <w:r w:rsidR="00862F57">
        <w:t xml:space="preserve"> however,</w:t>
      </w:r>
      <w:r w:rsidR="00B93B8C" w:rsidRPr="00614E7F">
        <w:t xml:space="preserve"> women experience more </w:t>
      </w:r>
      <w:r w:rsidR="00F96DCD" w:rsidRPr="00614E7F">
        <w:t xml:space="preserve">worry about their appearance </w:t>
      </w:r>
      <w:r w:rsidR="00E51613" w:rsidRPr="00614E7F">
        <w:t xml:space="preserve">and greater </w:t>
      </w:r>
      <w:r w:rsidR="00F96DCD" w:rsidRPr="00614E7F">
        <w:t xml:space="preserve">general </w:t>
      </w:r>
      <w:r w:rsidR="00B93B8C" w:rsidRPr="00614E7F">
        <w:t>distress, social anxiety, and social avoidance than men</w:t>
      </w:r>
      <w:r w:rsidR="00451CB5" w:rsidRPr="00614E7F">
        <w:t xml:space="preserve"> </w:t>
      </w:r>
      <w:r w:rsidR="00BB5AA1">
        <w:t>[</w:t>
      </w:r>
      <w:r w:rsidR="00361BB1" w:rsidRPr="00614E7F">
        <w:t>1</w:t>
      </w:r>
      <w:r w:rsidR="00E90F7E">
        <w:t>5</w:t>
      </w:r>
      <w:r w:rsidR="00361BB1" w:rsidRPr="00614E7F">
        <w:t>-</w:t>
      </w:r>
      <w:r w:rsidR="00E90F7E">
        <w:t>20</w:t>
      </w:r>
      <w:r w:rsidR="00BB5AA1">
        <w:t>]</w:t>
      </w:r>
      <w:r w:rsidR="00B93B8C" w:rsidRPr="00614E7F">
        <w:t xml:space="preserve">. </w:t>
      </w:r>
      <w:r w:rsidR="007B49CB" w:rsidRPr="00614E7F">
        <w:t xml:space="preserve">Less </w:t>
      </w:r>
      <w:r w:rsidR="00480EC7" w:rsidRPr="00614E7F">
        <w:t>is known about</w:t>
      </w:r>
      <w:r w:rsidR="007B49CB" w:rsidRPr="00614E7F">
        <w:t xml:space="preserve"> the </w:t>
      </w:r>
      <w:r w:rsidR="00480EC7" w:rsidRPr="00614E7F">
        <w:t xml:space="preserve">association </w:t>
      </w:r>
      <w:r w:rsidR="007B49CB" w:rsidRPr="00614E7F">
        <w:t xml:space="preserve">of </w:t>
      </w:r>
      <w:r w:rsidR="00E55E8C" w:rsidRPr="00614E7F">
        <w:t>race/</w:t>
      </w:r>
      <w:r w:rsidR="007B49CB" w:rsidRPr="00614E7F">
        <w:t xml:space="preserve">ethnicity </w:t>
      </w:r>
      <w:r w:rsidR="0025572E">
        <w:t>and</w:t>
      </w:r>
      <w:r w:rsidR="00480EC7" w:rsidRPr="00614E7F">
        <w:t xml:space="preserve"> </w:t>
      </w:r>
      <w:r w:rsidR="007B49CB" w:rsidRPr="00614E7F">
        <w:t>appearance</w:t>
      </w:r>
      <w:r w:rsidR="00480EC7" w:rsidRPr="00614E7F">
        <w:t xml:space="preserve"> concerns </w:t>
      </w:r>
      <w:r w:rsidR="00A97547">
        <w:lastRenderedPageBreak/>
        <w:t xml:space="preserve">due to </w:t>
      </w:r>
      <w:r w:rsidR="008B25E3">
        <w:t>visible differences</w:t>
      </w:r>
      <w:r w:rsidR="007B49CB" w:rsidRPr="00614E7F">
        <w:t xml:space="preserve">. One </w:t>
      </w:r>
      <w:r w:rsidR="00B04257" w:rsidRPr="00614E7F">
        <w:t xml:space="preserve">survey of 458 adults with </w:t>
      </w:r>
      <w:r w:rsidR="009924CF">
        <w:t xml:space="preserve">a variety of </w:t>
      </w:r>
      <w:r w:rsidR="00B04257" w:rsidRPr="00614E7F">
        <w:t xml:space="preserve">visible disfigurements </w:t>
      </w:r>
      <w:r w:rsidR="00231CA5" w:rsidRPr="00614E7F">
        <w:t>f</w:t>
      </w:r>
      <w:r w:rsidR="00B04257" w:rsidRPr="00614E7F">
        <w:t xml:space="preserve">ound that people </w:t>
      </w:r>
      <w:r w:rsidR="00B750EB">
        <w:t xml:space="preserve">from </w:t>
      </w:r>
      <w:r w:rsidR="007B49CB" w:rsidRPr="00614E7F">
        <w:t xml:space="preserve">non-White </w:t>
      </w:r>
      <w:r w:rsidR="00F203FE" w:rsidRPr="00614E7F">
        <w:t>racial/</w:t>
      </w:r>
      <w:r w:rsidR="007B49CB" w:rsidRPr="00614E7F">
        <w:t>et</w:t>
      </w:r>
      <w:r w:rsidR="00E55E8C" w:rsidRPr="00614E7F">
        <w:t xml:space="preserve">hnic backgrounds experienced </w:t>
      </w:r>
      <w:r w:rsidR="007B49CB" w:rsidRPr="00614E7F">
        <w:t xml:space="preserve">significantly </w:t>
      </w:r>
      <w:r w:rsidR="00B04257" w:rsidRPr="00614E7F">
        <w:t>greater</w:t>
      </w:r>
      <w:r w:rsidR="007B49CB" w:rsidRPr="00614E7F">
        <w:t xml:space="preserve"> worry about their appearance and </w:t>
      </w:r>
      <w:r w:rsidR="006A3D1F">
        <w:t xml:space="preserve">heightened </w:t>
      </w:r>
      <w:r w:rsidR="007B49CB" w:rsidRPr="00614E7F">
        <w:t>c</w:t>
      </w:r>
      <w:r w:rsidR="00E55E8C" w:rsidRPr="00614E7F">
        <w:t>oncern that their condition was</w:t>
      </w:r>
      <w:r w:rsidR="007B49CB" w:rsidRPr="00614E7F">
        <w:t xml:space="preserve"> noticeable to others</w:t>
      </w:r>
      <w:r w:rsidR="00B04257" w:rsidRPr="00614E7F">
        <w:t xml:space="preserve"> </w:t>
      </w:r>
      <w:r w:rsidR="0025107D" w:rsidRPr="00614E7F">
        <w:t>than</w:t>
      </w:r>
      <w:r w:rsidR="00B04257" w:rsidRPr="00614E7F">
        <w:t xml:space="preserve"> White respondents</w:t>
      </w:r>
      <w:r w:rsidR="007B49CB" w:rsidRPr="00614E7F">
        <w:t xml:space="preserve"> </w:t>
      </w:r>
      <w:r w:rsidR="00BB5AA1">
        <w:t>[</w:t>
      </w:r>
      <w:r w:rsidR="002C37C5">
        <w:t>2</w:t>
      </w:r>
      <w:r w:rsidR="00950C3F">
        <w:t>0</w:t>
      </w:r>
      <w:r w:rsidR="00BB5AA1">
        <w:t>]</w:t>
      </w:r>
      <w:r w:rsidR="007B49CB" w:rsidRPr="00614E7F">
        <w:t xml:space="preserve">. </w:t>
      </w:r>
      <w:r w:rsidR="00CC481E">
        <w:t xml:space="preserve">This may </w:t>
      </w:r>
      <w:r w:rsidR="0025572E">
        <w:t>have been</w:t>
      </w:r>
      <w:r w:rsidR="00CC481E">
        <w:t xml:space="preserve"> because p</w:t>
      </w:r>
      <w:r w:rsidR="002379D8" w:rsidRPr="00614E7F">
        <w:t xml:space="preserve">eople </w:t>
      </w:r>
      <w:r w:rsidR="001A5AB5" w:rsidRPr="00614E7F">
        <w:t xml:space="preserve">with darker skin </w:t>
      </w:r>
      <w:r w:rsidR="00CC481E">
        <w:t>tones</w:t>
      </w:r>
      <w:r w:rsidR="00CC481E" w:rsidRPr="00614E7F">
        <w:t xml:space="preserve"> </w:t>
      </w:r>
      <w:r w:rsidR="00006774" w:rsidRPr="00614E7F">
        <w:t xml:space="preserve">are more vulnerable to visible </w:t>
      </w:r>
      <w:r w:rsidR="00D20A3A" w:rsidRPr="00614E7F">
        <w:t xml:space="preserve">changes in </w:t>
      </w:r>
      <w:r w:rsidR="00006774" w:rsidRPr="00614E7F">
        <w:t>skin pigmenta</w:t>
      </w:r>
      <w:r w:rsidR="004F17D1" w:rsidRPr="00614E7F">
        <w:t>tion</w:t>
      </w:r>
      <w:r w:rsidR="00BC2C99" w:rsidRPr="00614E7F">
        <w:t xml:space="preserve"> </w:t>
      </w:r>
      <w:r w:rsidR="00CC481E">
        <w:t xml:space="preserve">and report greater psychosocial impact </w:t>
      </w:r>
      <w:r w:rsidR="00BC2C99" w:rsidRPr="00614E7F">
        <w:t xml:space="preserve">compared to individuals with lighter skin tones </w:t>
      </w:r>
      <w:r w:rsidR="00BB5AA1">
        <w:t>[</w:t>
      </w:r>
      <w:r w:rsidR="00F7778C">
        <w:t>2</w:t>
      </w:r>
      <w:r w:rsidR="00950C3F">
        <w:t>1</w:t>
      </w:r>
      <w:r w:rsidR="00BB5AA1">
        <w:t>]</w:t>
      </w:r>
      <w:r w:rsidR="00BC2C99" w:rsidRPr="00614E7F">
        <w:t xml:space="preserve">. </w:t>
      </w:r>
      <w:r w:rsidR="00006774" w:rsidRPr="00614E7F">
        <w:t xml:space="preserve">In SSc, skin involvement and pigmentation changes </w:t>
      </w:r>
      <w:r w:rsidR="00D20A3A" w:rsidRPr="00614E7F">
        <w:t xml:space="preserve">are more common </w:t>
      </w:r>
      <w:r w:rsidR="00006774" w:rsidRPr="00614E7F">
        <w:t>among Black patients</w:t>
      </w:r>
      <w:r w:rsidR="00D20A3A" w:rsidRPr="00614E7F">
        <w:t xml:space="preserve"> than White patients</w:t>
      </w:r>
      <w:r w:rsidR="00006774" w:rsidRPr="00614E7F">
        <w:t xml:space="preserve">, </w:t>
      </w:r>
      <w:r w:rsidR="0025572E">
        <w:t>whereas</w:t>
      </w:r>
      <w:r w:rsidR="00441F78">
        <w:t xml:space="preserve"> </w:t>
      </w:r>
      <w:r w:rsidR="00006774" w:rsidRPr="00614E7F">
        <w:t xml:space="preserve">White </w:t>
      </w:r>
      <w:r w:rsidR="00D20A3A" w:rsidRPr="00614E7F">
        <w:t xml:space="preserve">patients </w:t>
      </w:r>
      <w:r w:rsidR="00BC2C99" w:rsidRPr="00614E7F">
        <w:t>are more likely to have</w:t>
      </w:r>
      <w:r w:rsidR="004F17D1" w:rsidRPr="00614E7F">
        <w:t xml:space="preserve"> telangiectasias </w:t>
      </w:r>
      <w:r w:rsidR="00BB5AA1">
        <w:t>[</w:t>
      </w:r>
      <w:r w:rsidR="00C24CE7" w:rsidRPr="00614E7F">
        <w:t>2</w:t>
      </w:r>
      <w:r w:rsidR="00950C3F">
        <w:t>2</w:t>
      </w:r>
      <w:r w:rsidR="00BB5AA1">
        <w:t>]</w:t>
      </w:r>
      <w:r w:rsidR="00006774" w:rsidRPr="00614E7F">
        <w:t xml:space="preserve">. </w:t>
      </w:r>
    </w:p>
    <w:p w14:paraId="68545A40" w14:textId="30A48B64" w:rsidR="005144A5" w:rsidRPr="00614E7F" w:rsidRDefault="0025572E" w:rsidP="005144A5">
      <w:pPr>
        <w:spacing w:line="480" w:lineRule="auto"/>
        <w:ind w:firstLine="567"/>
      </w:pPr>
      <w:r>
        <w:t>T</w:t>
      </w:r>
      <w:r w:rsidR="00410055" w:rsidRPr="00614E7F">
        <w:t xml:space="preserve">he objective of the present study </w:t>
      </w:r>
      <w:r w:rsidR="00CC481E">
        <w:t>was</w:t>
      </w:r>
      <w:r w:rsidR="00CC481E" w:rsidRPr="00614E7F">
        <w:t xml:space="preserve"> </w:t>
      </w:r>
      <w:r w:rsidR="00FB7A9A" w:rsidRPr="00614E7F">
        <w:t xml:space="preserve">to </w:t>
      </w:r>
      <w:r w:rsidR="00A962B0" w:rsidRPr="00614E7F">
        <w:t>examine</w:t>
      </w:r>
      <w:r w:rsidR="00441958" w:rsidRPr="00614E7F">
        <w:t xml:space="preserve"> the association of sex </w:t>
      </w:r>
      <w:r w:rsidR="00823A03" w:rsidRPr="00614E7F">
        <w:t xml:space="preserve">and </w:t>
      </w:r>
      <w:r w:rsidR="00142916" w:rsidRPr="00614E7F">
        <w:t>race/</w:t>
      </w:r>
      <w:r w:rsidR="00823A03" w:rsidRPr="00614E7F">
        <w:t>ethnic</w:t>
      </w:r>
      <w:r w:rsidR="00441958" w:rsidRPr="00614E7F">
        <w:t>ity</w:t>
      </w:r>
      <w:r w:rsidR="001150B8">
        <w:t xml:space="preserve"> </w:t>
      </w:r>
      <w:r w:rsidR="00441958" w:rsidRPr="00614E7F">
        <w:t>with the presence of appearance concerns</w:t>
      </w:r>
      <w:r w:rsidR="00C31083">
        <w:t>, controlling for factors that are known to influence appearance concerns (e.g., age, disease severity)</w:t>
      </w:r>
      <w:r w:rsidR="00823A03" w:rsidRPr="00614E7F">
        <w:t xml:space="preserve"> in a large, international cohort of</w:t>
      </w:r>
      <w:r w:rsidR="0000616D" w:rsidRPr="00614E7F">
        <w:t xml:space="preserve"> SSc patients. </w:t>
      </w:r>
      <w:r w:rsidR="00F56EBC">
        <w:t xml:space="preserve">We also compared the </w:t>
      </w:r>
      <w:r w:rsidR="00CC481E" w:rsidRPr="00614E7F">
        <w:t>percentage of patients with SSc who report</w:t>
      </w:r>
      <w:r w:rsidR="00CC481E">
        <w:t>ed</w:t>
      </w:r>
      <w:r w:rsidR="00CC481E" w:rsidRPr="00614E7F">
        <w:t xml:space="preserve"> the presence of appearance concerns</w:t>
      </w:r>
      <w:r w:rsidR="00135578">
        <w:t xml:space="preserve"> </w:t>
      </w:r>
      <w:r w:rsidR="002C3DC2">
        <w:t>to</w:t>
      </w:r>
      <w:r w:rsidR="00CC481E" w:rsidRPr="00614E7F">
        <w:t xml:space="preserve"> rates </w:t>
      </w:r>
      <w:r w:rsidR="00D22E60">
        <w:t>previously published</w:t>
      </w:r>
      <w:r w:rsidR="00CC481E" w:rsidRPr="00614E7F">
        <w:t xml:space="preserve"> </w:t>
      </w:r>
      <w:r w:rsidR="00124C9A">
        <w:t xml:space="preserve">from a </w:t>
      </w:r>
      <w:r w:rsidR="00D47293">
        <w:t xml:space="preserve">UK </w:t>
      </w:r>
      <w:r w:rsidR="00CC481E" w:rsidRPr="00614E7F">
        <w:t xml:space="preserve">general population </w:t>
      </w:r>
      <w:r w:rsidR="00CC481E">
        <w:t>sample</w:t>
      </w:r>
      <w:r w:rsidR="002C3DC2">
        <w:t>, stratified by sex and age groups</w:t>
      </w:r>
      <w:r w:rsidR="00E909A9">
        <w:t xml:space="preserve"> </w:t>
      </w:r>
      <w:r w:rsidR="00BB5AA1">
        <w:t>[</w:t>
      </w:r>
      <w:r w:rsidR="00C9791A">
        <w:t>14</w:t>
      </w:r>
      <w:r w:rsidR="00BB5AA1">
        <w:t>]</w:t>
      </w:r>
      <w:r w:rsidR="005A0510">
        <w:t>.</w:t>
      </w:r>
    </w:p>
    <w:p w14:paraId="02FFBE67" w14:textId="07172D48" w:rsidR="00685D5D" w:rsidRPr="00614E7F" w:rsidRDefault="00685D5D" w:rsidP="006D0E98">
      <w:pPr>
        <w:spacing w:line="480" w:lineRule="auto"/>
        <w:outlineLvl w:val="0"/>
      </w:pPr>
      <w:r w:rsidRPr="00614E7F">
        <w:rPr>
          <w:b/>
        </w:rPr>
        <w:t>METHODS</w:t>
      </w:r>
    </w:p>
    <w:p w14:paraId="0EAADDAD" w14:textId="3273C964" w:rsidR="00685D5D" w:rsidRPr="00614E7F" w:rsidRDefault="00685D5D" w:rsidP="008506A2">
      <w:pPr>
        <w:spacing w:line="480" w:lineRule="auto"/>
        <w:ind w:firstLine="709"/>
        <w:rPr>
          <w:color w:val="000000"/>
        </w:rPr>
      </w:pPr>
      <w:r w:rsidRPr="00614E7F">
        <w:rPr>
          <w:color w:val="000000"/>
        </w:rPr>
        <w:t>The sample consisted of patients enrolled in the</w:t>
      </w:r>
      <w:r w:rsidR="001F6AEB" w:rsidRPr="00614E7F">
        <w:rPr>
          <w:color w:val="000000"/>
        </w:rPr>
        <w:t xml:space="preserve"> </w:t>
      </w:r>
      <w:r w:rsidRPr="00614E7F">
        <w:rPr>
          <w:color w:val="000000"/>
        </w:rPr>
        <w:t>S</w:t>
      </w:r>
      <w:r w:rsidR="00D638E9" w:rsidRPr="00614E7F">
        <w:rPr>
          <w:color w:val="000000"/>
        </w:rPr>
        <w:t xml:space="preserve">cleroderma Patient-centered </w:t>
      </w:r>
      <w:r w:rsidRPr="00614E7F">
        <w:rPr>
          <w:color w:val="000000"/>
        </w:rPr>
        <w:t>I</w:t>
      </w:r>
      <w:r w:rsidR="00D638E9" w:rsidRPr="00614E7F">
        <w:rPr>
          <w:color w:val="000000"/>
        </w:rPr>
        <w:t xml:space="preserve">ntervention </w:t>
      </w:r>
      <w:r w:rsidRPr="00614E7F">
        <w:rPr>
          <w:color w:val="000000"/>
        </w:rPr>
        <w:t>N</w:t>
      </w:r>
      <w:r w:rsidR="00D638E9" w:rsidRPr="00614E7F">
        <w:rPr>
          <w:color w:val="000000"/>
        </w:rPr>
        <w:t>etwork (SPIN)</w:t>
      </w:r>
      <w:r w:rsidRPr="00614E7F">
        <w:rPr>
          <w:color w:val="000000"/>
        </w:rPr>
        <w:t xml:space="preserve"> Cohort </w:t>
      </w:r>
      <w:r w:rsidR="00BB5AA1">
        <w:rPr>
          <w:noProof/>
          <w:color w:val="000000"/>
        </w:rPr>
        <w:t>[</w:t>
      </w:r>
      <w:r w:rsidR="005A0510">
        <w:rPr>
          <w:noProof/>
          <w:color w:val="000000"/>
        </w:rPr>
        <w:t>2</w:t>
      </w:r>
      <w:r w:rsidR="00950C3F">
        <w:rPr>
          <w:noProof/>
          <w:color w:val="000000"/>
        </w:rPr>
        <w:t>3</w:t>
      </w:r>
      <w:r w:rsidR="00BB5AA1">
        <w:rPr>
          <w:noProof/>
          <w:color w:val="000000"/>
        </w:rPr>
        <w:t>]</w:t>
      </w:r>
      <w:r w:rsidRPr="00614E7F">
        <w:rPr>
          <w:color w:val="000000"/>
        </w:rPr>
        <w:t xml:space="preserve"> who completed </w:t>
      </w:r>
      <w:r w:rsidR="007101C2" w:rsidRPr="00614E7F">
        <w:rPr>
          <w:color w:val="000000"/>
        </w:rPr>
        <w:t xml:space="preserve">baseline </w:t>
      </w:r>
      <w:r w:rsidRPr="00614E7F">
        <w:rPr>
          <w:color w:val="000000"/>
        </w:rPr>
        <w:t xml:space="preserve">study questionnaires from </w:t>
      </w:r>
      <w:r w:rsidR="00BC5814">
        <w:rPr>
          <w:color w:val="000000"/>
        </w:rPr>
        <w:t>April</w:t>
      </w:r>
      <w:r w:rsidR="00BC5814" w:rsidRPr="00614E7F">
        <w:rPr>
          <w:color w:val="000000"/>
        </w:rPr>
        <w:t xml:space="preserve"> </w:t>
      </w:r>
      <w:r w:rsidRPr="00614E7F">
        <w:rPr>
          <w:color w:val="000000"/>
        </w:rPr>
        <w:t xml:space="preserve">2014 through </w:t>
      </w:r>
      <w:r w:rsidR="00BB01BA" w:rsidRPr="00614E7F">
        <w:rPr>
          <w:color w:val="000000"/>
        </w:rPr>
        <w:t xml:space="preserve">August </w:t>
      </w:r>
      <w:r w:rsidRPr="00614E7F">
        <w:rPr>
          <w:color w:val="000000"/>
        </w:rPr>
        <w:t xml:space="preserve">2015. Patients were enrolled at 21 </w:t>
      </w:r>
      <w:r w:rsidR="001F6AEB" w:rsidRPr="00614E7F">
        <w:rPr>
          <w:color w:val="000000"/>
        </w:rPr>
        <w:t xml:space="preserve">SPIN </w:t>
      </w:r>
      <w:r w:rsidR="00986E09" w:rsidRPr="00614E7F">
        <w:rPr>
          <w:color w:val="000000"/>
        </w:rPr>
        <w:t xml:space="preserve">centers </w:t>
      </w:r>
      <w:r w:rsidR="009A0455">
        <w:rPr>
          <w:color w:val="000000"/>
        </w:rPr>
        <w:t>in</w:t>
      </w:r>
      <w:r w:rsidR="009A0455" w:rsidRPr="00614E7F">
        <w:rPr>
          <w:color w:val="000000"/>
        </w:rPr>
        <w:t xml:space="preserve"> </w:t>
      </w:r>
      <w:r w:rsidRPr="00614E7F">
        <w:rPr>
          <w:color w:val="000000"/>
        </w:rPr>
        <w:t xml:space="preserve">Canada, the USA, and the UK. To be eligible for the SPIN Cohort, patients must have a </w:t>
      </w:r>
      <w:r w:rsidR="00FF4B50" w:rsidRPr="00614E7F">
        <w:rPr>
          <w:color w:val="000000"/>
        </w:rPr>
        <w:t xml:space="preserve">confirmed </w:t>
      </w:r>
      <w:r w:rsidRPr="00614E7F">
        <w:rPr>
          <w:color w:val="000000"/>
        </w:rPr>
        <w:t xml:space="preserve">diagnosis of SSc </w:t>
      </w:r>
      <w:r w:rsidR="00CE4D9D" w:rsidRPr="00614E7F">
        <w:rPr>
          <w:color w:val="000000"/>
        </w:rPr>
        <w:t xml:space="preserve">according to </w:t>
      </w:r>
      <w:r w:rsidR="009A0455">
        <w:rPr>
          <w:color w:val="000000"/>
        </w:rPr>
        <w:t xml:space="preserve">the </w:t>
      </w:r>
      <w:r w:rsidR="00CE4D9D" w:rsidRPr="00614E7F">
        <w:rPr>
          <w:color w:val="000000"/>
        </w:rPr>
        <w:t>2013 A</w:t>
      </w:r>
      <w:r w:rsidR="00A3055B" w:rsidRPr="00614E7F">
        <w:rPr>
          <w:color w:val="000000"/>
        </w:rPr>
        <w:t xml:space="preserve">merican </w:t>
      </w:r>
      <w:r w:rsidR="00CE4D9D" w:rsidRPr="00614E7F">
        <w:rPr>
          <w:color w:val="000000"/>
        </w:rPr>
        <w:t>C</w:t>
      </w:r>
      <w:r w:rsidR="00A3055B" w:rsidRPr="00614E7F">
        <w:rPr>
          <w:color w:val="000000"/>
        </w:rPr>
        <w:t xml:space="preserve">ollege of </w:t>
      </w:r>
      <w:r w:rsidR="00CE4D9D" w:rsidRPr="00614E7F">
        <w:rPr>
          <w:color w:val="000000"/>
        </w:rPr>
        <w:t>R</w:t>
      </w:r>
      <w:r w:rsidR="00A3055B" w:rsidRPr="00614E7F">
        <w:rPr>
          <w:color w:val="000000"/>
        </w:rPr>
        <w:t>heumatology</w:t>
      </w:r>
      <w:r w:rsidR="00CE4D9D" w:rsidRPr="00614E7F">
        <w:rPr>
          <w:color w:val="000000"/>
        </w:rPr>
        <w:t>/E</w:t>
      </w:r>
      <w:r w:rsidR="00A3055B" w:rsidRPr="00614E7F">
        <w:rPr>
          <w:color w:val="000000"/>
        </w:rPr>
        <w:t xml:space="preserve">uropean </w:t>
      </w:r>
      <w:r w:rsidR="00CE4D9D" w:rsidRPr="00614E7F">
        <w:rPr>
          <w:color w:val="000000"/>
        </w:rPr>
        <w:t>L</w:t>
      </w:r>
      <w:r w:rsidR="00A3055B" w:rsidRPr="00614E7F">
        <w:rPr>
          <w:color w:val="000000"/>
        </w:rPr>
        <w:t xml:space="preserve">eague </w:t>
      </w:r>
      <w:r w:rsidR="00CE4D9D" w:rsidRPr="00614E7F">
        <w:rPr>
          <w:color w:val="000000"/>
        </w:rPr>
        <w:t>A</w:t>
      </w:r>
      <w:r w:rsidR="00A3055B" w:rsidRPr="00614E7F">
        <w:rPr>
          <w:color w:val="000000"/>
        </w:rPr>
        <w:t>gainst Rheumatism</w:t>
      </w:r>
      <w:r w:rsidR="00CE4D9D" w:rsidRPr="00614E7F">
        <w:rPr>
          <w:color w:val="000000"/>
        </w:rPr>
        <w:t xml:space="preserve"> classification </w:t>
      </w:r>
      <w:r w:rsidR="00552FF6" w:rsidRPr="00614E7F">
        <w:rPr>
          <w:color w:val="000000"/>
        </w:rPr>
        <w:t xml:space="preserve">criteria </w:t>
      </w:r>
      <w:r w:rsidR="00BB5AA1">
        <w:rPr>
          <w:color w:val="000000"/>
        </w:rPr>
        <w:t>[</w:t>
      </w:r>
      <w:r w:rsidR="005B7949" w:rsidRPr="00614E7F">
        <w:rPr>
          <w:color w:val="000000"/>
        </w:rPr>
        <w:t>2</w:t>
      </w:r>
      <w:r w:rsidR="00950C3F">
        <w:rPr>
          <w:color w:val="000000"/>
        </w:rPr>
        <w:t>4</w:t>
      </w:r>
      <w:r w:rsidR="00BB5AA1">
        <w:rPr>
          <w:color w:val="000000"/>
        </w:rPr>
        <w:t>]</w:t>
      </w:r>
      <w:r w:rsidRPr="00614E7F">
        <w:rPr>
          <w:color w:val="000000"/>
        </w:rPr>
        <w:t xml:space="preserve">, be </w:t>
      </w:r>
      <w:r w:rsidR="00FF4B50" w:rsidRPr="00614E7F">
        <w:rPr>
          <w:rFonts w:eastAsia="ＭＳ ゴシック"/>
          <w:color w:val="000000"/>
        </w:rPr>
        <w:t xml:space="preserve">≥ </w:t>
      </w:r>
      <w:r w:rsidRPr="00614E7F">
        <w:rPr>
          <w:color w:val="000000"/>
        </w:rPr>
        <w:t>18 years of age, have the ability to give informed consent, be fluent in English or French</w:t>
      </w:r>
      <w:r w:rsidR="00FF4B50" w:rsidRPr="00614E7F">
        <w:rPr>
          <w:color w:val="000000"/>
        </w:rPr>
        <w:t xml:space="preserve">, and </w:t>
      </w:r>
      <w:r w:rsidR="00C77A74" w:rsidRPr="00614E7F">
        <w:rPr>
          <w:color w:val="000000"/>
        </w:rPr>
        <w:t>have</w:t>
      </w:r>
      <w:r w:rsidR="0099376F" w:rsidRPr="00614E7F">
        <w:rPr>
          <w:color w:val="000000"/>
        </w:rPr>
        <w:t xml:space="preserve"> access </w:t>
      </w:r>
      <w:r w:rsidR="00FF4B50" w:rsidRPr="00614E7F">
        <w:rPr>
          <w:color w:val="000000"/>
        </w:rPr>
        <w:t xml:space="preserve">and </w:t>
      </w:r>
      <w:r w:rsidR="00F06CF3" w:rsidRPr="00614E7F">
        <w:rPr>
          <w:color w:val="000000"/>
        </w:rPr>
        <w:t>the ability</w:t>
      </w:r>
      <w:r w:rsidRPr="00614E7F">
        <w:rPr>
          <w:color w:val="000000"/>
        </w:rPr>
        <w:t xml:space="preserve"> to res</w:t>
      </w:r>
      <w:r w:rsidR="0099376F" w:rsidRPr="00614E7F">
        <w:rPr>
          <w:color w:val="000000"/>
        </w:rPr>
        <w:t>pond to questionnaires via the I</w:t>
      </w:r>
      <w:r w:rsidRPr="00614E7F">
        <w:rPr>
          <w:color w:val="000000"/>
        </w:rPr>
        <w:t xml:space="preserve">nternet. The SPIN sample is a convenience sample. Eligible patients are </w:t>
      </w:r>
      <w:r w:rsidRPr="00614E7F">
        <w:rPr>
          <w:color w:val="000000"/>
        </w:rPr>
        <w:lastRenderedPageBreak/>
        <w:t xml:space="preserve">invited by attending physicians or supervised nurse coordinators from SPIN centers to participate in the SPIN Cohort, and written informed consent is obtained. The local SPIN physician or nurse coordinator completes a medical data form that is submitted online to initiate patient registration. After completion of online registration, an automated welcoming email is sent to participants with instructions for activating their SPIN account and completing SPIN Cohort measures online. SPIN Cohort </w:t>
      </w:r>
      <w:proofErr w:type="gramStart"/>
      <w:r w:rsidRPr="00614E7F">
        <w:rPr>
          <w:color w:val="000000"/>
        </w:rPr>
        <w:t>patients</w:t>
      </w:r>
      <w:proofErr w:type="gramEnd"/>
      <w:r w:rsidRPr="00614E7F">
        <w:rPr>
          <w:color w:val="000000"/>
        </w:rPr>
        <w:t xml:space="preserve"> com</w:t>
      </w:r>
      <w:r w:rsidR="0099376F" w:rsidRPr="00614E7F">
        <w:rPr>
          <w:color w:val="000000"/>
        </w:rPr>
        <w:t>plete outcome measures via the I</w:t>
      </w:r>
      <w:r w:rsidRPr="00614E7F">
        <w:rPr>
          <w:color w:val="000000"/>
        </w:rPr>
        <w:t>nternet upon enr</w:t>
      </w:r>
      <w:r w:rsidR="001F6AEB" w:rsidRPr="00614E7F">
        <w:rPr>
          <w:color w:val="000000"/>
        </w:rPr>
        <w:t>ollment and subsequently every three</w:t>
      </w:r>
      <w:r w:rsidRPr="00614E7F">
        <w:rPr>
          <w:color w:val="000000"/>
        </w:rPr>
        <w:t xml:space="preserve"> months. </w:t>
      </w:r>
      <w:r w:rsidR="000D633C" w:rsidRPr="00614E7F">
        <w:rPr>
          <w:color w:val="000000"/>
        </w:rPr>
        <w:t xml:space="preserve">Patients who had complete data at their baseline assessment for all variables necessary for </w:t>
      </w:r>
      <w:r w:rsidR="000F17E0">
        <w:rPr>
          <w:color w:val="000000"/>
        </w:rPr>
        <w:t xml:space="preserve">the </w:t>
      </w:r>
      <w:r w:rsidR="000D633C" w:rsidRPr="00614E7F">
        <w:rPr>
          <w:color w:val="000000"/>
        </w:rPr>
        <w:t>planned multivariate analys</w:t>
      </w:r>
      <w:r w:rsidR="000F17E0">
        <w:rPr>
          <w:color w:val="000000"/>
        </w:rPr>
        <w:t>i</w:t>
      </w:r>
      <w:r w:rsidR="000D633C" w:rsidRPr="00614E7F">
        <w:rPr>
          <w:color w:val="000000"/>
        </w:rPr>
        <w:t xml:space="preserve">s were included. </w:t>
      </w:r>
      <w:r w:rsidRPr="00614E7F">
        <w:rPr>
          <w:color w:val="000000"/>
        </w:rPr>
        <w:t xml:space="preserve">The SPIN Cohort study was approved by the Research Ethics Committee of the Jewish General Hospital, </w:t>
      </w:r>
      <w:r w:rsidRPr="00614E7F">
        <w:t>Montréal</w:t>
      </w:r>
      <w:r w:rsidRPr="00614E7F">
        <w:rPr>
          <w:color w:val="000000"/>
        </w:rPr>
        <w:t>, Canada and by the research ethics committees of each participating center.</w:t>
      </w:r>
    </w:p>
    <w:p w14:paraId="12610B0F" w14:textId="73057E4C" w:rsidR="00A84954" w:rsidRDefault="00A84954" w:rsidP="00A84954">
      <w:pPr>
        <w:spacing w:line="480" w:lineRule="auto"/>
        <w:rPr>
          <w:i/>
        </w:rPr>
      </w:pPr>
      <w:r w:rsidRPr="00A84954">
        <w:rPr>
          <w:b/>
        </w:rPr>
        <w:t>Sociodemographic Characteristics</w:t>
      </w:r>
    </w:p>
    <w:p w14:paraId="6498D800" w14:textId="2FF2070E" w:rsidR="003E6255" w:rsidRPr="00614E7F" w:rsidRDefault="00AC4561" w:rsidP="00A84954">
      <w:pPr>
        <w:spacing w:line="480" w:lineRule="auto"/>
        <w:ind w:firstLine="720"/>
        <w:rPr>
          <w:i/>
        </w:rPr>
      </w:pPr>
      <w:r w:rsidRPr="00614E7F">
        <w:t xml:space="preserve">Patients </w:t>
      </w:r>
      <w:r w:rsidR="00695C39" w:rsidRPr="00614E7F">
        <w:t xml:space="preserve">enrolled in the SPIN Cohort </w:t>
      </w:r>
      <w:r w:rsidRPr="00614E7F">
        <w:t xml:space="preserve">provided </w:t>
      </w:r>
      <w:r w:rsidR="00B46E49" w:rsidRPr="00614E7F">
        <w:t>socio</w:t>
      </w:r>
      <w:r w:rsidRPr="00614E7F">
        <w:t xml:space="preserve">demographic </w:t>
      </w:r>
      <w:r w:rsidR="00685D5D" w:rsidRPr="00614E7F">
        <w:t>data</w:t>
      </w:r>
      <w:r w:rsidRPr="00614E7F">
        <w:t>,</w:t>
      </w:r>
      <w:r w:rsidR="00685D5D" w:rsidRPr="00614E7F">
        <w:t xml:space="preserve"> </w:t>
      </w:r>
      <w:r w:rsidR="00B46E49" w:rsidRPr="00614E7F">
        <w:t>in</w:t>
      </w:r>
      <w:r w:rsidR="00724633" w:rsidRPr="00614E7F">
        <w:t xml:space="preserve">cluding </w:t>
      </w:r>
      <w:r w:rsidR="005144A5" w:rsidRPr="00614E7F">
        <w:t>sex</w:t>
      </w:r>
      <w:r w:rsidR="00724633" w:rsidRPr="00614E7F">
        <w:t>,</w:t>
      </w:r>
      <w:r w:rsidR="0061409B" w:rsidRPr="00614E7F">
        <w:t xml:space="preserve"> </w:t>
      </w:r>
      <w:r w:rsidR="0040377F" w:rsidRPr="00614E7F">
        <w:t>race/</w:t>
      </w:r>
      <w:r w:rsidR="0061409B" w:rsidRPr="00614E7F">
        <w:t>ethnicity</w:t>
      </w:r>
      <w:r w:rsidR="00724633" w:rsidRPr="00614E7F">
        <w:t xml:space="preserve">, </w:t>
      </w:r>
      <w:r w:rsidR="008C238F" w:rsidRPr="00614E7F">
        <w:t xml:space="preserve">age, </w:t>
      </w:r>
      <w:r w:rsidR="00724633" w:rsidRPr="00614E7F">
        <w:t>education level, marital</w:t>
      </w:r>
      <w:r w:rsidR="00162E4E" w:rsidRPr="00614E7F">
        <w:t xml:space="preserve"> status, and employment</w:t>
      </w:r>
      <w:r w:rsidR="00724633" w:rsidRPr="00614E7F">
        <w:t xml:space="preserve"> status</w:t>
      </w:r>
      <w:r w:rsidR="008B4A0D" w:rsidRPr="00614E7F">
        <w:t xml:space="preserve">. </w:t>
      </w:r>
      <w:r w:rsidR="00F05D5B" w:rsidRPr="00614E7F">
        <w:t>Re</w:t>
      </w:r>
      <w:r w:rsidR="002379DE" w:rsidRPr="00614E7F">
        <w:t>s</w:t>
      </w:r>
      <w:r w:rsidR="00F05D5B" w:rsidRPr="00614E7F">
        <w:t xml:space="preserve">ponse options for </w:t>
      </w:r>
      <w:r w:rsidR="0023703E" w:rsidRPr="00614E7F">
        <w:t>race/</w:t>
      </w:r>
      <w:r w:rsidR="00F05D5B" w:rsidRPr="00614E7F">
        <w:t xml:space="preserve">ethnicity differed slightly </w:t>
      </w:r>
      <w:r w:rsidR="00604300" w:rsidRPr="00614E7F">
        <w:t xml:space="preserve">for patients from </w:t>
      </w:r>
      <w:r w:rsidR="00F05D5B" w:rsidRPr="00614E7F">
        <w:t xml:space="preserve">Canada, </w:t>
      </w:r>
      <w:r w:rsidR="00604300" w:rsidRPr="00614E7F">
        <w:t>the USA</w:t>
      </w:r>
      <w:r w:rsidR="00F05D5B" w:rsidRPr="00614E7F">
        <w:t xml:space="preserve">, and </w:t>
      </w:r>
      <w:r w:rsidR="00604300" w:rsidRPr="00614E7F">
        <w:t xml:space="preserve">the </w:t>
      </w:r>
      <w:r w:rsidR="00F05D5B" w:rsidRPr="00614E7F">
        <w:t>UK</w:t>
      </w:r>
      <w:r w:rsidR="00604300" w:rsidRPr="00614E7F">
        <w:t>,</w:t>
      </w:r>
      <w:r w:rsidR="00F05D5B" w:rsidRPr="00614E7F">
        <w:t xml:space="preserve"> </w:t>
      </w:r>
      <w:r w:rsidR="00604300" w:rsidRPr="00614E7F">
        <w:t>consistent with how</w:t>
      </w:r>
      <w:r w:rsidR="00F05D5B" w:rsidRPr="00614E7F">
        <w:t xml:space="preserve"> </w:t>
      </w:r>
      <w:r w:rsidR="00604300" w:rsidRPr="00614E7F">
        <w:t>racial</w:t>
      </w:r>
      <w:r w:rsidR="0023703E" w:rsidRPr="00614E7F">
        <w:t>/</w:t>
      </w:r>
      <w:r w:rsidR="00F05D5B" w:rsidRPr="00614E7F">
        <w:t xml:space="preserve">ethnic status </w:t>
      </w:r>
      <w:r w:rsidR="00604300" w:rsidRPr="00614E7F">
        <w:t>is typically characterized in each country</w:t>
      </w:r>
      <w:r w:rsidR="00F05D5B" w:rsidRPr="00614E7F">
        <w:t xml:space="preserve">. </w:t>
      </w:r>
      <w:r w:rsidR="00604300" w:rsidRPr="00614E7F">
        <w:t>I</w:t>
      </w:r>
      <w:r w:rsidR="00F05D5B" w:rsidRPr="00614E7F">
        <w:t xml:space="preserve">n the Canadian sample, patients could identify as White, Black, Aboriginal, Asian, Latin American, </w:t>
      </w:r>
      <w:r w:rsidR="008A2B3D" w:rsidRPr="00614E7F">
        <w:t xml:space="preserve">or </w:t>
      </w:r>
      <w:r w:rsidR="00F05D5B" w:rsidRPr="00614E7F">
        <w:t>Arab. In the US</w:t>
      </w:r>
      <w:r w:rsidR="00604300" w:rsidRPr="00614E7F">
        <w:t>A</w:t>
      </w:r>
      <w:r w:rsidR="00F05D5B" w:rsidRPr="00614E7F">
        <w:t xml:space="preserve"> sample, patients could identify as White</w:t>
      </w:r>
      <w:r w:rsidR="00604300" w:rsidRPr="00614E7F">
        <w:t xml:space="preserve"> (non-Hispanic)</w:t>
      </w:r>
      <w:r w:rsidR="00F05D5B" w:rsidRPr="00614E7F">
        <w:t>, African American</w:t>
      </w:r>
      <w:r w:rsidR="00BF46C1" w:rsidRPr="00614E7F">
        <w:t xml:space="preserve"> or Black</w:t>
      </w:r>
      <w:r w:rsidR="00F05D5B" w:rsidRPr="00614E7F">
        <w:t xml:space="preserve">, Hispanic or Latino, Asian, American Indian/Alaska Native, Native Hawaiian/Other Pacific Islander, </w:t>
      </w:r>
      <w:r w:rsidR="008A2B3D" w:rsidRPr="00614E7F">
        <w:t xml:space="preserve">or </w:t>
      </w:r>
      <w:r w:rsidR="000722AA" w:rsidRPr="00614E7F">
        <w:t>Mixed-</w:t>
      </w:r>
      <w:r w:rsidR="008A2B3D" w:rsidRPr="00614E7F">
        <w:t xml:space="preserve">race. </w:t>
      </w:r>
      <w:r w:rsidR="00F05D5B" w:rsidRPr="00614E7F">
        <w:t>In the UK sample, patients could ide</w:t>
      </w:r>
      <w:r w:rsidR="008A2B3D" w:rsidRPr="00614E7F">
        <w:t xml:space="preserve">ntify as White, African, or Asian. </w:t>
      </w:r>
      <w:r w:rsidR="00452154" w:rsidRPr="00614E7F">
        <w:t>I</w:t>
      </w:r>
      <w:r w:rsidR="00F05D5B" w:rsidRPr="00614E7F">
        <w:t xml:space="preserve">n the present study, </w:t>
      </w:r>
      <w:r w:rsidR="001A2229" w:rsidRPr="00614E7F">
        <w:t>racial</w:t>
      </w:r>
      <w:r w:rsidR="00A84823" w:rsidRPr="00614E7F">
        <w:t>/</w:t>
      </w:r>
      <w:r w:rsidR="00F05D5B" w:rsidRPr="00614E7F">
        <w:t xml:space="preserve">ethnic status </w:t>
      </w:r>
      <w:r w:rsidR="00C835A6" w:rsidRPr="00614E7F">
        <w:t xml:space="preserve">was </w:t>
      </w:r>
      <w:r w:rsidR="00C627A3">
        <w:t>collapsed</w:t>
      </w:r>
      <w:r w:rsidR="004549F3" w:rsidRPr="00614E7F">
        <w:t xml:space="preserve"> </w:t>
      </w:r>
      <w:r w:rsidR="00A73DF2">
        <w:t>in</w:t>
      </w:r>
      <w:r w:rsidR="00F05D5B" w:rsidRPr="00614E7F">
        <w:t>to three categories across Canadian, American, and UK samples, consisting of</w:t>
      </w:r>
      <w:r w:rsidR="008A2B3D" w:rsidRPr="00614E7F">
        <w:t xml:space="preserve"> White, Black, or Other. Across </w:t>
      </w:r>
      <w:r w:rsidR="00452154" w:rsidRPr="00614E7F">
        <w:t>countries</w:t>
      </w:r>
      <w:r w:rsidR="008A2B3D" w:rsidRPr="00614E7F">
        <w:t>, responses</w:t>
      </w:r>
      <w:r w:rsidR="00761567" w:rsidRPr="00614E7F">
        <w:t xml:space="preserve"> indicating White </w:t>
      </w:r>
      <w:r w:rsidR="001A2229" w:rsidRPr="00614E7F">
        <w:t>racial</w:t>
      </w:r>
      <w:r w:rsidR="00E54D4D" w:rsidRPr="00614E7F">
        <w:t>/</w:t>
      </w:r>
      <w:r w:rsidR="00B009D7" w:rsidRPr="00614E7F">
        <w:t>ethnic status</w:t>
      </w:r>
      <w:r w:rsidR="00761567" w:rsidRPr="00614E7F">
        <w:t xml:space="preserve"> were combined to create one White </w:t>
      </w:r>
      <w:r w:rsidR="00BF3A85" w:rsidRPr="00614E7F">
        <w:t>race</w:t>
      </w:r>
      <w:r w:rsidR="00E54D4D" w:rsidRPr="00614E7F">
        <w:t>/</w:t>
      </w:r>
      <w:r w:rsidR="006968CE" w:rsidRPr="00614E7F">
        <w:t xml:space="preserve">ethnicity </w:t>
      </w:r>
      <w:r w:rsidR="00761567" w:rsidRPr="00614E7F">
        <w:t xml:space="preserve">category; responses indicating Black, </w:t>
      </w:r>
      <w:r w:rsidR="00B009D7" w:rsidRPr="00614E7F">
        <w:t>African American</w:t>
      </w:r>
      <w:r w:rsidR="00A4651A" w:rsidRPr="00614E7F">
        <w:t xml:space="preserve"> or Black</w:t>
      </w:r>
      <w:r w:rsidR="00B009D7" w:rsidRPr="00614E7F">
        <w:t>, or Afri</w:t>
      </w:r>
      <w:r w:rsidR="00923F7C" w:rsidRPr="00614E7F">
        <w:t>c</w:t>
      </w:r>
      <w:r w:rsidR="00B009D7" w:rsidRPr="00614E7F">
        <w:t xml:space="preserve">an were combined to create one Black </w:t>
      </w:r>
      <w:r w:rsidR="00E54D4D" w:rsidRPr="00614E7F">
        <w:lastRenderedPageBreak/>
        <w:t>race/</w:t>
      </w:r>
      <w:r w:rsidR="00B009D7" w:rsidRPr="00614E7F">
        <w:t>ethnic</w:t>
      </w:r>
      <w:r w:rsidR="006968CE" w:rsidRPr="00614E7F">
        <w:t xml:space="preserve">ity </w:t>
      </w:r>
      <w:r w:rsidR="00B009D7" w:rsidRPr="00614E7F">
        <w:t xml:space="preserve">category; and </w:t>
      </w:r>
      <w:r w:rsidR="00452154" w:rsidRPr="00614E7F">
        <w:t xml:space="preserve">other </w:t>
      </w:r>
      <w:r w:rsidR="00B009D7" w:rsidRPr="00614E7F">
        <w:t>responses</w:t>
      </w:r>
      <w:r w:rsidR="008A2B3D" w:rsidRPr="00614E7F">
        <w:t xml:space="preserve"> were combined to create one </w:t>
      </w:r>
      <w:r w:rsidR="000722AA" w:rsidRPr="00614E7F">
        <w:t xml:space="preserve">Other </w:t>
      </w:r>
      <w:r w:rsidR="00E54D4D" w:rsidRPr="00614E7F">
        <w:t>race/</w:t>
      </w:r>
      <w:r w:rsidR="008A2B3D" w:rsidRPr="00614E7F">
        <w:t>ethn</w:t>
      </w:r>
      <w:r w:rsidR="006968CE" w:rsidRPr="00614E7F">
        <w:t xml:space="preserve">icity </w:t>
      </w:r>
      <w:r w:rsidR="008A2B3D" w:rsidRPr="00614E7F">
        <w:t>category</w:t>
      </w:r>
      <w:r w:rsidR="00761567" w:rsidRPr="00614E7F">
        <w:t>.</w:t>
      </w:r>
    </w:p>
    <w:p w14:paraId="34CB1E20" w14:textId="56814A1D" w:rsidR="00A84954" w:rsidRDefault="003E6255" w:rsidP="00A84954">
      <w:pPr>
        <w:spacing w:line="480" w:lineRule="auto"/>
        <w:rPr>
          <w:i/>
        </w:rPr>
      </w:pPr>
      <w:r w:rsidRPr="00A84954">
        <w:rPr>
          <w:b/>
        </w:rPr>
        <w:t>Disease-related</w:t>
      </w:r>
      <w:r w:rsidR="004478FD" w:rsidRPr="00A84954">
        <w:rPr>
          <w:b/>
        </w:rPr>
        <w:t xml:space="preserve"> and Medical</w:t>
      </w:r>
      <w:r w:rsidRPr="00A84954">
        <w:rPr>
          <w:b/>
        </w:rPr>
        <w:t xml:space="preserve"> Characteristics</w:t>
      </w:r>
      <w:r w:rsidRPr="00614E7F">
        <w:rPr>
          <w:i/>
        </w:rPr>
        <w:t xml:space="preserve"> </w:t>
      </w:r>
    </w:p>
    <w:p w14:paraId="26BEEACE" w14:textId="6F4F767B" w:rsidR="00432FA8" w:rsidRPr="00614E7F" w:rsidRDefault="00AC4561" w:rsidP="00D55E86">
      <w:pPr>
        <w:spacing w:line="480" w:lineRule="auto"/>
        <w:ind w:firstLine="720"/>
        <w:rPr>
          <w:i/>
        </w:rPr>
      </w:pPr>
      <w:r w:rsidRPr="00614E7F">
        <w:t xml:space="preserve">SPIN </w:t>
      </w:r>
      <w:r w:rsidR="002F7244" w:rsidRPr="00614E7F">
        <w:t>physicians</w:t>
      </w:r>
      <w:r w:rsidR="00D43D4E" w:rsidRPr="00614E7F">
        <w:t xml:space="preserve"> or nurse coordinators</w:t>
      </w:r>
      <w:r w:rsidRPr="00614E7F">
        <w:t xml:space="preserve"> provided </w:t>
      </w:r>
      <w:r w:rsidR="006D22E5" w:rsidRPr="00614E7F">
        <w:t>disease</w:t>
      </w:r>
      <w:r w:rsidR="004478FD" w:rsidRPr="00614E7F">
        <w:t xml:space="preserve"> and medical</w:t>
      </w:r>
      <w:r w:rsidR="006D22E5" w:rsidRPr="00614E7F">
        <w:t xml:space="preserve"> </w:t>
      </w:r>
      <w:r w:rsidR="006B7742" w:rsidRPr="00614E7F">
        <w:t>information</w:t>
      </w:r>
      <w:r w:rsidR="007D10D3" w:rsidRPr="00614E7F">
        <w:t>, including ti</w:t>
      </w:r>
      <w:r w:rsidR="0073551E" w:rsidRPr="00614E7F">
        <w:t>me since onset of the first non-</w:t>
      </w:r>
      <w:r w:rsidR="007D10D3" w:rsidRPr="00614E7F">
        <w:t xml:space="preserve">Raynaud’s </w:t>
      </w:r>
      <w:r w:rsidR="008B4A0D" w:rsidRPr="00614E7F">
        <w:t>symptom</w:t>
      </w:r>
      <w:r w:rsidR="000F4222" w:rsidRPr="00614E7F">
        <w:t xml:space="preserve"> (disease duration)</w:t>
      </w:r>
      <w:r w:rsidR="00B5375A" w:rsidRPr="00614E7F">
        <w:t>;</w:t>
      </w:r>
      <w:r w:rsidR="007D10D3" w:rsidRPr="00614E7F">
        <w:t xml:space="preserve"> </w:t>
      </w:r>
      <w:r w:rsidR="008147E8" w:rsidRPr="00614E7F">
        <w:t xml:space="preserve">disease </w:t>
      </w:r>
      <w:r w:rsidR="007D10D3" w:rsidRPr="00614E7F">
        <w:t>subtype (lim</w:t>
      </w:r>
      <w:r w:rsidR="008B4A0D" w:rsidRPr="00614E7F">
        <w:t>ited or diffuse)</w:t>
      </w:r>
      <w:r w:rsidR="00B5375A" w:rsidRPr="00614E7F">
        <w:t>;</w:t>
      </w:r>
      <w:r w:rsidR="00EE32FB">
        <w:t xml:space="preserve"> </w:t>
      </w:r>
      <w:r w:rsidR="00B5375A" w:rsidRPr="00614E7F">
        <w:t xml:space="preserve">and </w:t>
      </w:r>
      <w:r w:rsidR="0024544D">
        <w:t>presence</w:t>
      </w:r>
      <w:r w:rsidR="0024544D" w:rsidRPr="00614E7F">
        <w:t xml:space="preserve"> </w:t>
      </w:r>
      <w:r w:rsidR="00B5375A" w:rsidRPr="00614E7F">
        <w:t xml:space="preserve">of </w:t>
      </w:r>
      <w:r w:rsidR="008B4A0D" w:rsidRPr="00614E7F">
        <w:t>telangiectasias</w:t>
      </w:r>
      <w:r w:rsidR="00604300" w:rsidRPr="00614E7F">
        <w:t xml:space="preserve">, </w:t>
      </w:r>
      <w:r w:rsidR="000F4222" w:rsidRPr="00614E7F">
        <w:t>skin pigmentat</w:t>
      </w:r>
      <w:r w:rsidR="00613AA3">
        <w:t xml:space="preserve">ion changes, hand contractures, </w:t>
      </w:r>
      <w:r w:rsidR="000F4222" w:rsidRPr="00614E7F">
        <w:t xml:space="preserve">skin thickening on </w:t>
      </w:r>
      <w:r w:rsidR="008F560D" w:rsidRPr="00614E7F">
        <w:t>the fingers of both hands</w:t>
      </w:r>
      <w:r w:rsidR="00CC481E">
        <w:t xml:space="preserve">, and </w:t>
      </w:r>
      <w:r w:rsidR="00CC481E" w:rsidRPr="00614E7F">
        <w:t>body mass index (BMI)</w:t>
      </w:r>
      <w:r w:rsidR="000F4222" w:rsidRPr="00614E7F">
        <w:t>.</w:t>
      </w:r>
      <w:r w:rsidR="003E6255" w:rsidRPr="00614E7F">
        <w:rPr>
          <w:i/>
        </w:rPr>
        <w:t xml:space="preserve"> </w:t>
      </w:r>
      <w:r w:rsidR="00EF6D8E" w:rsidRPr="00614E7F">
        <w:t xml:space="preserve">Limited SSc was defined as skin involvement distal to the elbows and knees only, whereas diffuse SSc was defined as skin involvement proximal to the elbows and knees, and/or </w:t>
      </w:r>
      <w:r w:rsidR="00552FF6" w:rsidRPr="00614E7F">
        <w:t xml:space="preserve">the trunk </w:t>
      </w:r>
      <w:r w:rsidR="00487451">
        <w:t>[</w:t>
      </w:r>
      <w:r w:rsidR="005B7949" w:rsidRPr="00614E7F">
        <w:t>2</w:t>
      </w:r>
      <w:r w:rsidR="005D6798">
        <w:t>5</w:t>
      </w:r>
      <w:r w:rsidR="00487451">
        <w:t>]</w:t>
      </w:r>
      <w:r w:rsidR="00EF6D8E" w:rsidRPr="00614E7F">
        <w:t xml:space="preserve">. </w:t>
      </w:r>
      <w:r w:rsidR="00050B7E" w:rsidRPr="00D6069E">
        <w:t>Telangiectasias</w:t>
      </w:r>
      <w:r w:rsidR="00050B7E" w:rsidRPr="00614E7F">
        <w:t xml:space="preserve"> </w:t>
      </w:r>
      <w:r w:rsidR="00D80420" w:rsidRPr="00614E7F">
        <w:t xml:space="preserve">were </w:t>
      </w:r>
      <w:r w:rsidR="00977A4F" w:rsidRPr="00614E7F">
        <w:t>defined as the visible dilation of superficial cutaneous blood vessels that collapse upon pressure and fill</w:t>
      </w:r>
      <w:r w:rsidR="00A37E4B" w:rsidRPr="00614E7F">
        <w:t xml:space="preserve"> s</w:t>
      </w:r>
      <w:r w:rsidR="00977A4F" w:rsidRPr="00614E7F">
        <w:t>lowly when pressure is release</w:t>
      </w:r>
      <w:r w:rsidR="00A37E4B" w:rsidRPr="00614E7F">
        <w:t>d</w:t>
      </w:r>
      <w:r w:rsidR="009568C7">
        <w:t xml:space="preserve"> </w:t>
      </w:r>
      <w:r w:rsidR="00487451">
        <w:t>[</w:t>
      </w:r>
      <w:r w:rsidR="005B7949" w:rsidRPr="00614E7F">
        <w:t>2</w:t>
      </w:r>
      <w:r w:rsidR="005D6798">
        <w:t>4</w:t>
      </w:r>
      <w:r w:rsidR="00487451">
        <w:t>]</w:t>
      </w:r>
      <w:r w:rsidR="00977A4F" w:rsidRPr="00614E7F">
        <w:t xml:space="preserve">. </w:t>
      </w:r>
      <w:r w:rsidR="00A37E4B" w:rsidRPr="00614E7F">
        <w:t>Skin</w:t>
      </w:r>
      <w:r w:rsidR="0085396D" w:rsidRPr="00614E7F">
        <w:t xml:space="preserve"> pigmentation </w:t>
      </w:r>
      <w:r w:rsidR="00A37E4B" w:rsidRPr="00614E7F">
        <w:t xml:space="preserve">changes included </w:t>
      </w:r>
      <w:r w:rsidR="0068679C" w:rsidRPr="00614E7F">
        <w:t>either hyper</w:t>
      </w:r>
      <w:r w:rsidR="00A37E4B" w:rsidRPr="00614E7F">
        <w:t>- or hypo-</w:t>
      </w:r>
      <w:r w:rsidR="0068679C" w:rsidRPr="00614E7F">
        <w:t xml:space="preserve">pigmentation </w:t>
      </w:r>
      <w:r w:rsidR="00A37E4B" w:rsidRPr="00614E7F">
        <w:t>of the skin</w:t>
      </w:r>
      <w:r w:rsidR="00836F19">
        <w:t xml:space="preserve">. </w:t>
      </w:r>
      <w:r w:rsidR="00836F19" w:rsidRPr="00614E7F">
        <w:t>In the present study, telangiectasias</w:t>
      </w:r>
      <w:r w:rsidR="00836F19">
        <w:t xml:space="preserve"> and skin pigmentation changes</w:t>
      </w:r>
      <w:r w:rsidR="00836F19" w:rsidRPr="00614E7F">
        <w:t xml:space="preserve"> were coded as present on the body and face, present on the body only, or none. </w:t>
      </w:r>
      <w:r w:rsidR="00BA6C51" w:rsidRPr="00614E7F">
        <w:t>Hand</w:t>
      </w:r>
      <w:r w:rsidR="0068679C" w:rsidRPr="00614E7F">
        <w:t xml:space="preserve"> </w:t>
      </w:r>
      <w:r w:rsidR="00C511C4" w:rsidRPr="00614E7F">
        <w:t>contractures,</w:t>
      </w:r>
      <w:r w:rsidR="00BA6C51" w:rsidRPr="00614E7F">
        <w:t xml:space="preserve"> which entail limitation</w:t>
      </w:r>
      <w:r w:rsidR="00866E7A" w:rsidRPr="00614E7F">
        <w:t>s</w:t>
      </w:r>
      <w:r w:rsidR="00BA6C51" w:rsidRPr="00614E7F">
        <w:t xml:space="preserve"> in</w:t>
      </w:r>
      <w:r w:rsidR="0068679C" w:rsidRPr="00614E7F">
        <w:t xml:space="preserve"> the range of motion of a joint</w:t>
      </w:r>
      <w:r w:rsidR="00BA6C51" w:rsidRPr="00614E7F">
        <w:t>,</w:t>
      </w:r>
      <w:r w:rsidR="0068679C" w:rsidRPr="00614E7F">
        <w:t xml:space="preserve"> secondary to tightening around the joint</w:t>
      </w:r>
      <w:r w:rsidR="00BA6C51" w:rsidRPr="00614E7F">
        <w:t>,</w:t>
      </w:r>
      <w:r w:rsidR="00DC13B5" w:rsidRPr="00614E7F">
        <w:t xml:space="preserve"> were</w:t>
      </w:r>
      <w:r w:rsidR="0068679C" w:rsidRPr="00614E7F">
        <w:t xml:space="preserve"> measured for small joints </w:t>
      </w:r>
      <w:r w:rsidR="00BA6C51" w:rsidRPr="00614E7F">
        <w:t xml:space="preserve">on the hands </w:t>
      </w:r>
      <w:r w:rsidR="0068679C" w:rsidRPr="00614E7F">
        <w:t xml:space="preserve">(i.e., proximal </w:t>
      </w:r>
      <w:r w:rsidR="00866E7A" w:rsidRPr="00614E7F">
        <w:t>interphalangeal joints, metacarpal</w:t>
      </w:r>
      <w:r w:rsidR="0068679C" w:rsidRPr="00614E7F">
        <w:t>s, and/or wrists)</w:t>
      </w:r>
      <w:r w:rsidR="002B6FBE" w:rsidRPr="00614E7F">
        <w:t xml:space="preserve"> and </w:t>
      </w:r>
      <w:r w:rsidR="00C47807" w:rsidRPr="00614E7F">
        <w:t>categorized</w:t>
      </w:r>
      <w:r w:rsidR="0068679C" w:rsidRPr="00614E7F">
        <w:t xml:space="preserve"> as </w:t>
      </w:r>
      <w:r w:rsidR="0037302D" w:rsidRPr="00614E7F">
        <w:t>No</w:t>
      </w:r>
      <w:r w:rsidR="00D80420" w:rsidRPr="00614E7F">
        <w:t>ne</w:t>
      </w:r>
      <w:r w:rsidR="0037302D" w:rsidRPr="00614E7F">
        <w:t>/Mild</w:t>
      </w:r>
      <w:r w:rsidR="0037302D" w:rsidRPr="00614E7F">
        <w:rPr>
          <w:i/>
        </w:rPr>
        <w:t xml:space="preserve"> </w:t>
      </w:r>
      <w:r w:rsidR="0037302D" w:rsidRPr="00614E7F">
        <w:t>(0-25%</w:t>
      </w:r>
      <w:r w:rsidR="002B6FBE" w:rsidRPr="00614E7F">
        <w:t xml:space="preserve"> limitation in range of motion</w:t>
      </w:r>
      <w:r w:rsidR="0037302D" w:rsidRPr="00614E7F">
        <w:t>)</w:t>
      </w:r>
      <w:r w:rsidR="0037302D" w:rsidRPr="00614E7F">
        <w:rPr>
          <w:i/>
        </w:rPr>
        <w:t xml:space="preserve">, </w:t>
      </w:r>
      <w:r w:rsidR="0037302D" w:rsidRPr="00614E7F">
        <w:t>Moderate (25-50%),</w:t>
      </w:r>
      <w:r w:rsidR="0037302D" w:rsidRPr="00614E7F">
        <w:rPr>
          <w:i/>
        </w:rPr>
        <w:t xml:space="preserve"> </w:t>
      </w:r>
      <w:r w:rsidR="0037302D" w:rsidRPr="00614E7F">
        <w:t>or Severe</w:t>
      </w:r>
      <w:r w:rsidR="0037302D" w:rsidRPr="00614E7F">
        <w:rPr>
          <w:i/>
        </w:rPr>
        <w:t xml:space="preserve"> </w:t>
      </w:r>
      <w:r w:rsidR="0037302D" w:rsidRPr="00614E7F">
        <w:t>(&gt;50%).</w:t>
      </w:r>
      <w:r w:rsidR="00C511C4" w:rsidRPr="00614E7F">
        <w:t xml:space="preserve"> </w:t>
      </w:r>
      <w:r w:rsidR="00AA3F6A" w:rsidRPr="00614E7F">
        <w:t>S</w:t>
      </w:r>
      <w:r w:rsidR="00A117AB" w:rsidRPr="00614E7F">
        <w:t xml:space="preserve">kin thickening </w:t>
      </w:r>
      <w:r w:rsidR="005626FA">
        <w:t>on</w:t>
      </w:r>
      <w:r w:rsidR="00FA75F0" w:rsidRPr="00614E7F">
        <w:t xml:space="preserve"> the fingers</w:t>
      </w:r>
      <w:r w:rsidR="006410F2" w:rsidRPr="00614E7F">
        <w:t xml:space="preserve"> </w:t>
      </w:r>
      <w:r w:rsidR="0006587E">
        <w:t xml:space="preserve">of both hands </w:t>
      </w:r>
      <w:r w:rsidR="00F74B72" w:rsidRPr="00614E7F">
        <w:t>was defined as</w:t>
      </w:r>
      <w:r w:rsidR="00FD3E91" w:rsidRPr="00614E7F">
        <w:t xml:space="preserve"> skin thickening</w:t>
      </w:r>
      <w:r w:rsidR="006410F2" w:rsidRPr="00614E7F">
        <w:t xml:space="preserve"> </w:t>
      </w:r>
      <w:r w:rsidR="00FA75F0" w:rsidRPr="00614E7F">
        <w:t xml:space="preserve">or hardening </w:t>
      </w:r>
      <w:r w:rsidR="0013203F" w:rsidRPr="00614E7F">
        <w:t>extending proximal to</w:t>
      </w:r>
      <w:r w:rsidR="00FD3E91" w:rsidRPr="00614E7F">
        <w:t xml:space="preserve"> </w:t>
      </w:r>
      <w:r w:rsidR="00342053" w:rsidRPr="00614E7F">
        <w:t>the metacarpophalangeal joints</w:t>
      </w:r>
      <w:r w:rsidR="00552FF6" w:rsidRPr="00614E7F">
        <w:t xml:space="preserve"> </w:t>
      </w:r>
      <w:r w:rsidR="00487451">
        <w:t>[</w:t>
      </w:r>
      <w:r w:rsidR="005B7949" w:rsidRPr="00614E7F">
        <w:t>2</w:t>
      </w:r>
      <w:r w:rsidR="005A0510">
        <w:t>2</w:t>
      </w:r>
      <w:r w:rsidR="00487451">
        <w:t>]</w:t>
      </w:r>
      <w:r w:rsidR="00342053" w:rsidRPr="00614E7F">
        <w:t>.</w:t>
      </w:r>
    </w:p>
    <w:p w14:paraId="3C153D20" w14:textId="32CC139E" w:rsidR="0046514D" w:rsidRPr="0046514D" w:rsidRDefault="00EA110D" w:rsidP="0046514D">
      <w:pPr>
        <w:spacing w:line="480" w:lineRule="auto"/>
      </w:pPr>
      <w:r w:rsidRPr="0046514D">
        <w:rPr>
          <w:b/>
        </w:rPr>
        <w:t>Presence of Appearance Concerns</w:t>
      </w:r>
      <w:r w:rsidR="0046514D">
        <w:rPr>
          <w:i/>
        </w:rPr>
        <w:t xml:space="preserve"> </w:t>
      </w:r>
    </w:p>
    <w:p w14:paraId="7FEEF8AB" w14:textId="09084550" w:rsidR="005250DB" w:rsidRPr="00614E7F" w:rsidRDefault="00685D5D" w:rsidP="0046514D">
      <w:pPr>
        <w:spacing w:line="480" w:lineRule="auto"/>
        <w:ind w:firstLine="720"/>
      </w:pPr>
      <w:r w:rsidRPr="00614E7F">
        <w:t xml:space="preserve">The </w:t>
      </w:r>
      <w:proofErr w:type="spellStart"/>
      <w:r w:rsidR="00EC0F95" w:rsidRPr="00614E7F">
        <w:t>Derriford</w:t>
      </w:r>
      <w:proofErr w:type="spellEnd"/>
      <w:r w:rsidR="00EC0F95" w:rsidRPr="00614E7F">
        <w:t xml:space="preserve"> Ap</w:t>
      </w:r>
      <w:r w:rsidR="00CB245C" w:rsidRPr="00614E7F">
        <w:t>pearance Scale (DAS-24</w:t>
      </w:r>
      <w:r w:rsidR="00552FF6" w:rsidRPr="00614E7F">
        <w:t xml:space="preserve">) </w:t>
      </w:r>
      <w:r w:rsidR="00487451">
        <w:t>[</w:t>
      </w:r>
      <w:r w:rsidR="004F17D1" w:rsidRPr="00614E7F">
        <w:t>2</w:t>
      </w:r>
      <w:r w:rsidR="008071B2">
        <w:t>6</w:t>
      </w:r>
      <w:r w:rsidR="009B6D0B" w:rsidRPr="00614E7F">
        <w:t>,</w:t>
      </w:r>
      <w:r w:rsidR="00350262">
        <w:t xml:space="preserve"> </w:t>
      </w:r>
      <w:r w:rsidR="004F17D1" w:rsidRPr="00614E7F">
        <w:t>2</w:t>
      </w:r>
      <w:r w:rsidR="008071B2">
        <w:t>7</w:t>
      </w:r>
      <w:r w:rsidR="00487451">
        <w:t>]</w:t>
      </w:r>
      <w:r w:rsidR="00EC0F95" w:rsidRPr="00614E7F">
        <w:t xml:space="preserve"> </w:t>
      </w:r>
      <w:r w:rsidR="005250DB" w:rsidRPr="00614E7F">
        <w:rPr>
          <w:lang w:val="en-GB"/>
        </w:rPr>
        <w:t>is a self-report measure of distress related to problems with appearance</w:t>
      </w:r>
      <w:r w:rsidR="00595BF2">
        <w:rPr>
          <w:lang w:val="en-GB"/>
        </w:rPr>
        <w:t>.</w:t>
      </w:r>
      <w:r w:rsidR="005250DB" w:rsidRPr="00614E7F">
        <w:rPr>
          <w:lang w:val="en-GB"/>
        </w:rPr>
        <w:t xml:space="preserve"> </w:t>
      </w:r>
      <w:r w:rsidR="00595BF2">
        <w:rPr>
          <w:lang w:val="en-GB"/>
        </w:rPr>
        <w:t>It</w:t>
      </w:r>
      <w:r w:rsidR="00595BF2" w:rsidRPr="00614E7F">
        <w:rPr>
          <w:lang w:val="en-GB"/>
        </w:rPr>
        <w:t xml:space="preserve"> </w:t>
      </w:r>
      <w:r w:rsidR="005250DB" w:rsidRPr="00614E7F">
        <w:rPr>
          <w:lang w:val="en-GB"/>
        </w:rPr>
        <w:t xml:space="preserve">assesses </w:t>
      </w:r>
      <w:r w:rsidR="00D67B0C" w:rsidRPr="00614E7F">
        <w:t>social anxiety</w:t>
      </w:r>
      <w:r w:rsidR="002B072A" w:rsidRPr="00614E7F">
        <w:t xml:space="preserve"> </w:t>
      </w:r>
      <w:r w:rsidR="00D67B0C" w:rsidRPr="00614E7F">
        <w:t xml:space="preserve">and </w:t>
      </w:r>
      <w:r w:rsidR="00D67B0C" w:rsidRPr="00614E7F">
        <w:rPr>
          <w:lang w:val="en-GB"/>
        </w:rPr>
        <w:t>avoidance related to self-consciousness</w:t>
      </w:r>
      <w:r w:rsidR="0007147E" w:rsidRPr="0007147E">
        <w:rPr>
          <w:lang w:val="en-GB"/>
        </w:rPr>
        <w:t xml:space="preserve"> </w:t>
      </w:r>
      <w:r w:rsidR="00B76325">
        <w:rPr>
          <w:lang w:val="en-GB"/>
        </w:rPr>
        <w:t>due to appearance</w:t>
      </w:r>
      <w:r w:rsidR="00414B17">
        <w:rPr>
          <w:lang w:val="en-GB"/>
        </w:rPr>
        <w:t xml:space="preserve">. </w:t>
      </w:r>
      <w:r w:rsidR="005250DB" w:rsidRPr="00614E7F">
        <w:rPr>
          <w:lang w:val="en-GB"/>
        </w:rPr>
        <w:t>The DAS</w:t>
      </w:r>
      <w:r w:rsidR="003F2B12" w:rsidRPr="00614E7F">
        <w:rPr>
          <w:lang w:val="en-GB"/>
        </w:rPr>
        <w:t>-24</w:t>
      </w:r>
      <w:r w:rsidR="005250DB" w:rsidRPr="00614E7F">
        <w:rPr>
          <w:lang w:val="en-GB"/>
        </w:rPr>
        <w:t xml:space="preserve"> </w:t>
      </w:r>
      <w:r w:rsidR="00FD54A6">
        <w:rPr>
          <w:lang w:val="en-GB"/>
        </w:rPr>
        <w:t>has</w:t>
      </w:r>
      <w:r w:rsidR="00FD54A6" w:rsidRPr="00614E7F">
        <w:rPr>
          <w:lang w:val="en-GB"/>
        </w:rPr>
        <w:t xml:space="preserve"> </w:t>
      </w:r>
      <w:r w:rsidR="005250DB" w:rsidRPr="00614E7F">
        <w:rPr>
          <w:lang w:val="en-GB"/>
        </w:rPr>
        <w:t xml:space="preserve">an introductory </w:t>
      </w:r>
      <w:r w:rsidR="00EA110D" w:rsidRPr="00614E7F">
        <w:rPr>
          <w:lang w:val="en-GB"/>
        </w:rPr>
        <w:t xml:space="preserve">item, not </w:t>
      </w:r>
      <w:r w:rsidR="00FA5BC6" w:rsidRPr="00614E7F">
        <w:rPr>
          <w:lang w:val="en-GB"/>
        </w:rPr>
        <w:t xml:space="preserve">included in the </w:t>
      </w:r>
      <w:r w:rsidR="00FA5BC6" w:rsidRPr="00614E7F">
        <w:rPr>
          <w:lang w:val="en-GB"/>
        </w:rPr>
        <w:lastRenderedPageBreak/>
        <w:t xml:space="preserve">scoring of the measure, </w:t>
      </w:r>
      <w:r w:rsidR="002A6E0E" w:rsidRPr="00614E7F">
        <w:rPr>
          <w:lang w:val="en-GB"/>
        </w:rPr>
        <w:t xml:space="preserve">that </w:t>
      </w:r>
      <w:r w:rsidR="00C26F47" w:rsidRPr="00614E7F">
        <w:rPr>
          <w:lang w:val="en-GB"/>
        </w:rPr>
        <w:t>asks,</w:t>
      </w:r>
      <w:r w:rsidR="00EA110D" w:rsidRPr="00614E7F">
        <w:rPr>
          <w:lang w:val="en-GB"/>
        </w:rPr>
        <w:t xml:space="preserve"> </w:t>
      </w:r>
      <w:r w:rsidR="00F457E5" w:rsidRPr="00614E7F">
        <w:rPr>
          <w:lang w:val="en-GB"/>
        </w:rPr>
        <w:t>“</w:t>
      </w:r>
      <w:r w:rsidR="005F7462" w:rsidRPr="00FC1A06">
        <w:rPr>
          <w:i/>
          <w:lang w:val="en-GB"/>
        </w:rPr>
        <w:t>I</w:t>
      </w:r>
      <w:r w:rsidR="00F457E5" w:rsidRPr="00FC1A06">
        <w:rPr>
          <w:i/>
          <w:lang w:val="en-GB"/>
        </w:rPr>
        <w:t>s there any aspect of your appearance (however small) that concerns you at all?</w:t>
      </w:r>
      <w:r w:rsidR="00EA110D" w:rsidRPr="00FC1A06">
        <w:rPr>
          <w:i/>
          <w:lang w:val="en-GB"/>
        </w:rPr>
        <w:t>”</w:t>
      </w:r>
      <w:r w:rsidR="00EA110D" w:rsidRPr="00614E7F">
        <w:rPr>
          <w:lang w:val="en-GB"/>
        </w:rPr>
        <w:t xml:space="preserve"> (yes/no).</w:t>
      </w:r>
      <w:r w:rsidR="00F457E5" w:rsidRPr="00614E7F">
        <w:rPr>
          <w:lang w:val="en-GB"/>
        </w:rPr>
        <w:t xml:space="preserve"> </w:t>
      </w:r>
      <w:r w:rsidR="003F2B12" w:rsidRPr="00614E7F">
        <w:rPr>
          <w:lang w:val="en-GB"/>
        </w:rPr>
        <w:t xml:space="preserve">This </w:t>
      </w:r>
      <w:r w:rsidR="00EA110D" w:rsidRPr="00614E7F">
        <w:rPr>
          <w:lang w:val="en-GB"/>
        </w:rPr>
        <w:t xml:space="preserve">item </w:t>
      </w:r>
      <w:r w:rsidR="00746A01" w:rsidRPr="00614E7F">
        <w:rPr>
          <w:lang w:val="en-GB"/>
        </w:rPr>
        <w:t xml:space="preserve">was used as the primary outcome in the present </w:t>
      </w:r>
      <w:r w:rsidR="00EA110D" w:rsidRPr="00614E7F">
        <w:rPr>
          <w:lang w:val="en-GB"/>
        </w:rPr>
        <w:t>study</w:t>
      </w:r>
      <w:r w:rsidR="00746A01" w:rsidRPr="00614E7F">
        <w:rPr>
          <w:lang w:val="en-GB"/>
        </w:rPr>
        <w:t xml:space="preserve">. </w:t>
      </w:r>
      <w:r w:rsidR="00F40254">
        <w:rPr>
          <w:bCs/>
        </w:rPr>
        <w:t xml:space="preserve">Published prevalence </w:t>
      </w:r>
      <w:r w:rsidR="006C0369">
        <w:rPr>
          <w:bCs/>
        </w:rPr>
        <w:t xml:space="preserve">of appearance concerns </w:t>
      </w:r>
      <w:r w:rsidR="00F40254">
        <w:rPr>
          <w:bCs/>
        </w:rPr>
        <w:t>using this question is available</w:t>
      </w:r>
      <w:r w:rsidR="00487451">
        <w:rPr>
          <w:bCs/>
        </w:rPr>
        <w:t xml:space="preserve"> for the UK general population [14]</w:t>
      </w:r>
      <w:r w:rsidR="00F40254">
        <w:rPr>
          <w:bCs/>
        </w:rPr>
        <w:t xml:space="preserve">, which we used for comparison. </w:t>
      </w:r>
      <w:r w:rsidR="00F84A12">
        <w:t>In addition, f</w:t>
      </w:r>
      <w:r w:rsidR="00F84A12" w:rsidRPr="00CC3932">
        <w:t xml:space="preserve">or patients who </w:t>
      </w:r>
      <w:r w:rsidR="00157ABD">
        <w:t>answer yes to the appearance concern question</w:t>
      </w:r>
      <w:r w:rsidR="00F84A12" w:rsidRPr="00CC3932">
        <w:t>, the DAS-24 includes a</w:t>
      </w:r>
      <w:r w:rsidR="00157ABD">
        <w:t xml:space="preserve"> further</w:t>
      </w:r>
      <w:r w:rsidR="00F84A12" w:rsidRPr="00CC3932">
        <w:t xml:space="preserve"> inquiry, “</w:t>
      </w:r>
      <w:r w:rsidR="00F84A12" w:rsidRPr="00FC1A06">
        <w:rPr>
          <w:bCs/>
          <w:i/>
        </w:rPr>
        <w:t>The aspect of my appearance about which I am most sensitive or self-conscious is</w:t>
      </w:r>
      <w:r w:rsidR="00157ABD" w:rsidRPr="00FC1A06">
        <w:rPr>
          <w:bCs/>
          <w:i/>
        </w:rPr>
        <w:t xml:space="preserve"> …</w:t>
      </w:r>
      <w:r w:rsidR="00F84A12" w:rsidRPr="00FC1A06">
        <w:rPr>
          <w:bCs/>
          <w:i/>
        </w:rPr>
        <w:t xml:space="preserve">.” </w:t>
      </w:r>
      <w:r w:rsidR="00F84A12">
        <w:rPr>
          <w:bCs/>
        </w:rPr>
        <w:t xml:space="preserve">with space for open response. </w:t>
      </w:r>
      <w:r w:rsidR="0066766C">
        <w:t>s</w:t>
      </w:r>
      <w:r w:rsidR="001B2D60">
        <w:t xml:space="preserve"> If patients reported more than one aspect of appearance concern, the first listed was used.</w:t>
      </w:r>
    </w:p>
    <w:p w14:paraId="4BA71D48" w14:textId="40BD2EFE" w:rsidR="00685D5D" w:rsidRPr="00614E7F" w:rsidRDefault="00ED0E62" w:rsidP="006D0E98">
      <w:pPr>
        <w:spacing w:line="480" w:lineRule="auto"/>
        <w:outlineLvl w:val="0"/>
        <w:rPr>
          <w:b/>
        </w:rPr>
      </w:pPr>
      <w:r w:rsidRPr="00665822">
        <w:rPr>
          <w:b/>
        </w:rPr>
        <w:t>Data Analysi</w:t>
      </w:r>
      <w:r w:rsidR="00685D5D" w:rsidRPr="00665822">
        <w:rPr>
          <w:b/>
        </w:rPr>
        <w:t>s</w:t>
      </w:r>
    </w:p>
    <w:p w14:paraId="52AD0846" w14:textId="45D15E2E" w:rsidR="00181FA7" w:rsidRPr="0064500F" w:rsidRDefault="00746A01" w:rsidP="0064500F">
      <w:pPr>
        <w:spacing w:line="480" w:lineRule="auto"/>
        <w:ind w:firstLine="709"/>
        <w:rPr>
          <w:lang w:val="en"/>
        </w:rPr>
      </w:pPr>
      <w:r w:rsidRPr="00614E7F">
        <w:t>Descriptive statistics were calculated for all sociodem</w:t>
      </w:r>
      <w:r w:rsidR="00181FA7" w:rsidRPr="00614E7F">
        <w:t>ographic and disease</w:t>
      </w:r>
      <w:r w:rsidR="008553A4">
        <w:t>/medical</w:t>
      </w:r>
      <w:r w:rsidR="00181FA7" w:rsidRPr="00614E7F">
        <w:t xml:space="preserve"> variables,</w:t>
      </w:r>
      <w:r w:rsidR="00696CD0" w:rsidRPr="00614E7F">
        <w:t xml:space="preserve"> </w:t>
      </w:r>
      <w:r w:rsidRPr="00614E7F">
        <w:t>including means and standard devia</w:t>
      </w:r>
      <w:r w:rsidR="00377EF2" w:rsidRPr="00614E7F">
        <w:t xml:space="preserve">tions </w:t>
      </w:r>
      <w:r w:rsidR="006B58F7">
        <w:t xml:space="preserve">(SDs) </w:t>
      </w:r>
      <w:r w:rsidR="00377EF2" w:rsidRPr="00614E7F">
        <w:t xml:space="preserve">for continuous variables. </w:t>
      </w:r>
      <w:r w:rsidR="004B5B0B" w:rsidRPr="00614E7F">
        <w:rPr>
          <w:lang w:val="en"/>
        </w:rPr>
        <w:t>Chi-square tests were used for categorical variables</w:t>
      </w:r>
      <w:r w:rsidR="00EA110D" w:rsidRPr="00614E7F">
        <w:rPr>
          <w:lang w:val="en"/>
        </w:rPr>
        <w:t>,</w:t>
      </w:r>
      <w:r w:rsidR="004B5B0B" w:rsidRPr="00614E7F">
        <w:rPr>
          <w:lang w:val="en"/>
        </w:rPr>
        <w:t xml:space="preserve"> </w:t>
      </w:r>
      <w:r w:rsidR="00CF5AA6" w:rsidRPr="00614E7F">
        <w:rPr>
          <w:lang w:val="en"/>
        </w:rPr>
        <w:t xml:space="preserve">and </w:t>
      </w:r>
      <w:r w:rsidR="009A67A3" w:rsidRPr="00614E7F">
        <w:rPr>
          <w:lang w:val="en"/>
        </w:rPr>
        <w:t xml:space="preserve">a </w:t>
      </w:r>
      <w:r w:rsidR="00152D21" w:rsidRPr="00614E7F">
        <w:rPr>
          <w:lang w:val="en"/>
        </w:rPr>
        <w:t xml:space="preserve">one-way </w:t>
      </w:r>
      <w:r w:rsidR="0041296A" w:rsidRPr="00614E7F">
        <w:rPr>
          <w:lang w:val="en"/>
        </w:rPr>
        <w:t xml:space="preserve">Analysis of Variance </w:t>
      </w:r>
      <w:r w:rsidR="00152D21" w:rsidRPr="00614E7F">
        <w:rPr>
          <w:lang w:val="en"/>
        </w:rPr>
        <w:t xml:space="preserve">was used for </w:t>
      </w:r>
      <w:r w:rsidR="00CF5AA6" w:rsidRPr="00614E7F">
        <w:rPr>
          <w:lang w:val="en"/>
        </w:rPr>
        <w:t xml:space="preserve">continuous variables </w:t>
      </w:r>
      <w:r w:rsidR="00152D21" w:rsidRPr="00614E7F">
        <w:rPr>
          <w:lang w:val="en"/>
        </w:rPr>
        <w:t xml:space="preserve">to </w:t>
      </w:r>
      <w:r w:rsidR="00CF5AA6" w:rsidRPr="00614E7F">
        <w:rPr>
          <w:lang w:val="en"/>
        </w:rPr>
        <w:t>compare</w:t>
      </w:r>
      <w:r w:rsidR="00152D21" w:rsidRPr="00614E7F">
        <w:rPr>
          <w:lang w:val="en"/>
        </w:rPr>
        <w:t xml:space="preserve"> patients on sociodemographic and disease</w:t>
      </w:r>
      <w:r w:rsidR="008553A4">
        <w:rPr>
          <w:lang w:val="en"/>
        </w:rPr>
        <w:t>/medical</w:t>
      </w:r>
      <w:r w:rsidR="00152D21" w:rsidRPr="00614E7F">
        <w:rPr>
          <w:lang w:val="en"/>
        </w:rPr>
        <w:t xml:space="preserve"> </w:t>
      </w:r>
      <w:r w:rsidR="00FD16FB" w:rsidRPr="00614E7F">
        <w:rPr>
          <w:lang w:val="en"/>
        </w:rPr>
        <w:t>characteristics</w:t>
      </w:r>
      <w:r w:rsidR="008475BD" w:rsidRPr="00614E7F">
        <w:rPr>
          <w:lang w:val="en"/>
        </w:rPr>
        <w:t xml:space="preserve"> </w:t>
      </w:r>
      <w:r w:rsidR="00EA110D" w:rsidRPr="00614E7F">
        <w:rPr>
          <w:lang w:val="en"/>
        </w:rPr>
        <w:t>across</w:t>
      </w:r>
      <w:r w:rsidR="00152D21" w:rsidRPr="00614E7F">
        <w:rPr>
          <w:lang w:val="en"/>
        </w:rPr>
        <w:t xml:space="preserve"> </w:t>
      </w:r>
      <w:r w:rsidR="00EE3996" w:rsidRPr="00614E7F">
        <w:rPr>
          <w:lang w:val="en"/>
        </w:rPr>
        <w:t xml:space="preserve">sex and </w:t>
      </w:r>
      <w:r w:rsidR="00FD16FB" w:rsidRPr="00614E7F">
        <w:rPr>
          <w:lang w:val="en"/>
        </w:rPr>
        <w:t>race/</w:t>
      </w:r>
      <w:r w:rsidR="00152D21" w:rsidRPr="00614E7F">
        <w:rPr>
          <w:lang w:val="en"/>
        </w:rPr>
        <w:t>ethnicity categories</w:t>
      </w:r>
      <w:r w:rsidR="00CF5AA6" w:rsidRPr="00614E7F">
        <w:rPr>
          <w:lang w:val="en"/>
        </w:rPr>
        <w:t xml:space="preserve">. </w:t>
      </w:r>
      <w:r w:rsidR="002A000E" w:rsidRPr="00614E7F">
        <w:rPr>
          <w:lang w:val="en"/>
        </w:rPr>
        <w:t xml:space="preserve">For </w:t>
      </w:r>
      <w:r w:rsidR="0064500F">
        <w:rPr>
          <w:lang w:val="en"/>
        </w:rPr>
        <w:t xml:space="preserve">illustrative purposes, </w:t>
      </w:r>
      <w:r w:rsidR="003F7310" w:rsidRPr="00614E7F">
        <w:rPr>
          <w:lang w:val="en"/>
        </w:rPr>
        <w:t xml:space="preserve">Bonferroni-corrected comparisons were done to assess statistical significance between pairs of race/ethnicity groups </w:t>
      </w:r>
      <w:r w:rsidR="003F7310">
        <w:rPr>
          <w:lang w:val="en"/>
        </w:rPr>
        <w:t xml:space="preserve">for </w:t>
      </w:r>
      <w:r w:rsidR="002A000E" w:rsidRPr="00614E7F">
        <w:rPr>
          <w:lang w:val="en"/>
        </w:rPr>
        <w:t>variables with statistically significant overall tests.</w:t>
      </w:r>
      <w:r w:rsidR="002A000E" w:rsidRPr="00614E7F" w:rsidDel="0059708D">
        <w:rPr>
          <w:bCs/>
        </w:rPr>
        <w:t xml:space="preserve"> </w:t>
      </w:r>
      <w:r w:rsidR="002A000E" w:rsidRPr="00614E7F">
        <w:rPr>
          <w:lang w:val="en"/>
        </w:rPr>
        <w:t>To maintain the family-wise error rate &lt;</w:t>
      </w:r>
      <w:r w:rsidR="0001094A" w:rsidRPr="00614E7F">
        <w:rPr>
          <w:lang w:val="en"/>
        </w:rPr>
        <w:t xml:space="preserve"> </w:t>
      </w:r>
      <w:r w:rsidR="002A000E" w:rsidRPr="00614E7F">
        <w:rPr>
          <w:lang w:val="en"/>
        </w:rPr>
        <w:t xml:space="preserve">.05, the Bonferroni-corrected α for each of the </w:t>
      </w:r>
      <w:r w:rsidR="005441CD" w:rsidRPr="00614E7F">
        <w:rPr>
          <w:lang w:val="en"/>
        </w:rPr>
        <w:t>three</w:t>
      </w:r>
      <w:r w:rsidR="002A000E" w:rsidRPr="00614E7F">
        <w:rPr>
          <w:lang w:val="en"/>
        </w:rPr>
        <w:t xml:space="preserve"> subgroup comparisons for each variable was .</w:t>
      </w:r>
      <w:r w:rsidR="008353F3" w:rsidRPr="00614E7F">
        <w:rPr>
          <w:lang w:val="en"/>
        </w:rPr>
        <w:t>0167</w:t>
      </w:r>
      <w:r w:rsidR="002A000E" w:rsidRPr="00614E7F">
        <w:rPr>
          <w:lang w:val="en"/>
        </w:rPr>
        <w:t>.</w:t>
      </w:r>
    </w:p>
    <w:p w14:paraId="2FF6BD10" w14:textId="038301DD" w:rsidR="00A91D3A" w:rsidRDefault="00846410" w:rsidP="00A93F52">
      <w:pPr>
        <w:spacing w:line="480" w:lineRule="auto"/>
        <w:ind w:firstLine="720"/>
        <w:rPr>
          <w:bCs/>
        </w:rPr>
      </w:pPr>
      <w:r w:rsidRPr="00614E7F">
        <w:rPr>
          <w:bCs/>
        </w:rPr>
        <w:t xml:space="preserve">The </w:t>
      </w:r>
      <w:r w:rsidR="00FA63D5" w:rsidRPr="00614E7F">
        <w:rPr>
          <w:bCs/>
        </w:rPr>
        <w:t>associations of sociodemographic</w:t>
      </w:r>
      <w:r w:rsidR="00F716C1" w:rsidRPr="00614E7F">
        <w:rPr>
          <w:bCs/>
        </w:rPr>
        <w:t xml:space="preserve"> variables</w:t>
      </w:r>
      <w:r w:rsidR="00222A9B" w:rsidRPr="00614E7F">
        <w:rPr>
          <w:bCs/>
        </w:rPr>
        <w:t xml:space="preserve"> (sex, </w:t>
      </w:r>
      <w:r w:rsidR="00361836" w:rsidRPr="00614E7F">
        <w:rPr>
          <w:bCs/>
        </w:rPr>
        <w:t>race/</w:t>
      </w:r>
      <w:r w:rsidR="00F716C1" w:rsidRPr="00614E7F">
        <w:rPr>
          <w:bCs/>
        </w:rPr>
        <w:t>ethnicity</w:t>
      </w:r>
      <w:r w:rsidR="00222A9B" w:rsidRPr="00614E7F">
        <w:rPr>
          <w:bCs/>
        </w:rPr>
        <w:t xml:space="preserve">, </w:t>
      </w:r>
      <w:r w:rsidR="00507263" w:rsidRPr="00614E7F">
        <w:rPr>
          <w:bCs/>
        </w:rPr>
        <w:t xml:space="preserve">age, </w:t>
      </w:r>
      <w:r w:rsidR="00222A9B" w:rsidRPr="00614E7F">
        <w:rPr>
          <w:bCs/>
        </w:rPr>
        <w:t>marital status, education level)</w:t>
      </w:r>
      <w:r w:rsidR="00F716C1" w:rsidRPr="00614E7F">
        <w:rPr>
          <w:bCs/>
        </w:rPr>
        <w:t>,</w:t>
      </w:r>
      <w:r w:rsidR="00FA63D5" w:rsidRPr="00614E7F">
        <w:rPr>
          <w:bCs/>
        </w:rPr>
        <w:t xml:space="preserve"> and disease</w:t>
      </w:r>
      <w:r w:rsidR="00F91FDA" w:rsidRPr="00614E7F">
        <w:rPr>
          <w:bCs/>
        </w:rPr>
        <w:t>/medical</w:t>
      </w:r>
      <w:r w:rsidR="00FA63D5" w:rsidRPr="00614E7F">
        <w:rPr>
          <w:bCs/>
        </w:rPr>
        <w:t xml:space="preserve"> variables</w:t>
      </w:r>
      <w:r w:rsidR="00222A9B" w:rsidRPr="00614E7F">
        <w:rPr>
          <w:bCs/>
        </w:rPr>
        <w:t xml:space="preserve"> (telangiectasi</w:t>
      </w:r>
      <w:r w:rsidR="00B27E1C">
        <w:rPr>
          <w:bCs/>
        </w:rPr>
        <w:t>a</w:t>
      </w:r>
      <w:r w:rsidR="00222A9B" w:rsidRPr="00614E7F">
        <w:rPr>
          <w:bCs/>
        </w:rPr>
        <w:t xml:space="preserve">s, </w:t>
      </w:r>
      <w:r w:rsidR="00331E49" w:rsidRPr="00614E7F">
        <w:t xml:space="preserve">skin pigmentation changes, hand contractures, skin thickening </w:t>
      </w:r>
      <w:r w:rsidR="00447F65">
        <w:t>on</w:t>
      </w:r>
      <w:r w:rsidR="00121356" w:rsidRPr="00614E7F">
        <w:t xml:space="preserve"> fingers</w:t>
      </w:r>
      <w:r w:rsidR="008834E9" w:rsidRPr="00614E7F">
        <w:t>, disease subtype</w:t>
      </w:r>
      <w:r w:rsidR="00070289">
        <w:t xml:space="preserve">, </w:t>
      </w:r>
      <w:r w:rsidR="00070289" w:rsidRPr="00614E7F">
        <w:rPr>
          <w:bCs/>
        </w:rPr>
        <w:t>BMI</w:t>
      </w:r>
      <w:r w:rsidR="00222A9B" w:rsidRPr="00614E7F">
        <w:t>)</w:t>
      </w:r>
      <w:r w:rsidR="002B072A" w:rsidRPr="00614E7F">
        <w:t xml:space="preserve"> </w:t>
      </w:r>
      <w:r w:rsidR="00EE42DD">
        <w:t xml:space="preserve">with the presence of appearance concerns </w:t>
      </w:r>
      <w:r w:rsidR="002B072A" w:rsidRPr="00614E7F">
        <w:t>were assessed using binary logistic regression</w:t>
      </w:r>
      <w:r w:rsidR="0016213C" w:rsidRPr="00614E7F">
        <w:t>.</w:t>
      </w:r>
      <w:r w:rsidR="005C68D3" w:rsidRPr="00614E7F">
        <w:t xml:space="preserve"> </w:t>
      </w:r>
      <w:r w:rsidR="00B41ED7" w:rsidRPr="00614E7F">
        <w:t xml:space="preserve">All variables included in the regression analysis </w:t>
      </w:r>
      <w:r w:rsidR="00F54811" w:rsidRPr="00614E7F">
        <w:t>were selected a priori</w:t>
      </w:r>
      <w:r w:rsidR="004E22F7">
        <w:t xml:space="preserve"> based on previous research </w:t>
      </w:r>
      <w:r w:rsidR="007C2FFC">
        <w:t xml:space="preserve">indicating </w:t>
      </w:r>
      <w:r w:rsidR="004E22F7">
        <w:t xml:space="preserve">variables likely to relate to </w:t>
      </w:r>
      <w:r w:rsidR="004E22F7">
        <w:lastRenderedPageBreak/>
        <w:t xml:space="preserve">appearance concerns </w:t>
      </w:r>
      <w:r w:rsidR="007C2FFC">
        <w:t>in SSc</w:t>
      </w:r>
      <w:r w:rsidR="00F54811" w:rsidRPr="00614E7F">
        <w:t xml:space="preserve">. </w:t>
      </w:r>
      <w:r w:rsidR="00122883" w:rsidRPr="00614E7F">
        <w:rPr>
          <w:bCs/>
        </w:rPr>
        <w:t xml:space="preserve">Discrimination and calibration of the </w:t>
      </w:r>
      <w:r w:rsidR="00553AED" w:rsidRPr="00614E7F">
        <w:rPr>
          <w:bCs/>
        </w:rPr>
        <w:t>multivariate</w:t>
      </w:r>
      <w:r w:rsidR="00AE1645" w:rsidRPr="00614E7F">
        <w:rPr>
          <w:bCs/>
        </w:rPr>
        <w:t xml:space="preserve"> model </w:t>
      </w:r>
      <w:r w:rsidR="00164286" w:rsidRPr="00614E7F">
        <w:rPr>
          <w:bCs/>
        </w:rPr>
        <w:t xml:space="preserve">were </w:t>
      </w:r>
      <w:r w:rsidR="00AE1645" w:rsidRPr="00614E7F">
        <w:rPr>
          <w:bCs/>
        </w:rPr>
        <w:t>assessed with the</w:t>
      </w:r>
      <w:r w:rsidR="00945395" w:rsidRPr="00614E7F">
        <w:rPr>
          <w:bCs/>
        </w:rPr>
        <w:t xml:space="preserve"> c-index and</w:t>
      </w:r>
      <w:r w:rsidR="00AE1645" w:rsidRPr="00614E7F">
        <w:rPr>
          <w:bCs/>
        </w:rPr>
        <w:t xml:space="preserve"> </w:t>
      </w:r>
      <w:r w:rsidR="00122883" w:rsidRPr="00614E7F">
        <w:rPr>
          <w:bCs/>
        </w:rPr>
        <w:t>Hosmer-</w:t>
      </w:r>
      <w:proofErr w:type="spellStart"/>
      <w:r w:rsidR="00122883" w:rsidRPr="00614E7F">
        <w:rPr>
          <w:bCs/>
        </w:rPr>
        <w:t>Lemeshow</w:t>
      </w:r>
      <w:proofErr w:type="spellEnd"/>
      <w:r w:rsidR="00122883" w:rsidRPr="00614E7F">
        <w:rPr>
          <w:bCs/>
        </w:rPr>
        <w:t xml:space="preserve"> goodness-of-fit </w:t>
      </w:r>
      <w:r w:rsidR="00AE1645" w:rsidRPr="00614E7F">
        <w:rPr>
          <w:bCs/>
        </w:rPr>
        <w:t>test statistic, respectively</w:t>
      </w:r>
      <w:r w:rsidR="00122883" w:rsidRPr="00614E7F">
        <w:rPr>
          <w:bCs/>
        </w:rPr>
        <w:t xml:space="preserve"> </w:t>
      </w:r>
      <w:r w:rsidR="00487451">
        <w:rPr>
          <w:bCs/>
          <w:noProof/>
        </w:rPr>
        <w:t>[</w:t>
      </w:r>
      <w:r w:rsidR="00D41B78" w:rsidRPr="00614E7F">
        <w:rPr>
          <w:bCs/>
          <w:noProof/>
        </w:rPr>
        <w:t>2</w:t>
      </w:r>
      <w:r w:rsidR="00C32ADB">
        <w:rPr>
          <w:bCs/>
          <w:noProof/>
        </w:rPr>
        <w:t>8</w:t>
      </w:r>
      <w:r w:rsidR="00487451">
        <w:rPr>
          <w:bCs/>
          <w:noProof/>
        </w:rPr>
        <w:t>]</w:t>
      </w:r>
      <w:r w:rsidR="00122883" w:rsidRPr="00614E7F">
        <w:rPr>
          <w:bCs/>
        </w:rPr>
        <w:t xml:space="preserve">. </w:t>
      </w:r>
      <w:r w:rsidR="00945395" w:rsidRPr="00614E7F">
        <w:rPr>
          <w:bCs/>
        </w:rPr>
        <w:t xml:space="preserve">The c-index is the percentage of comparisons where patients with </w:t>
      </w:r>
      <w:r w:rsidR="00022E49" w:rsidRPr="00614E7F">
        <w:rPr>
          <w:bCs/>
        </w:rPr>
        <w:t>appearance concerns</w:t>
      </w:r>
      <w:r w:rsidR="00945395" w:rsidRPr="00614E7F">
        <w:rPr>
          <w:bCs/>
        </w:rPr>
        <w:t xml:space="preserve"> had a higher predicted probability of having </w:t>
      </w:r>
      <w:r w:rsidR="00022E49" w:rsidRPr="00614E7F">
        <w:rPr>
          <w:bCs/>
        </w:rPr>
        <w:t>appearance concerns</w:t>
      </w:r>
      <w:r w:rsidR="00945395" w:rsidRPr="00614E7F">
        <w:rPr>
          <w:bCs/>
        </w:rPr>
        <w:t xml:space="preserve"> than patients without </w:t>
      </w:r>
      <w:r w:rsidR="00022E49" w:rsidRPr="00614E7F">
        <w:rPr>
          <w:bCs/>
        </w:rPr>
        <w:t xml:space="preserve">appearance concerns </w:t>
      </w:r>
      <w:r w:rsidR="00945395" w:rsidRPr="00614E7F">
        <w:rPr>
          <w:bCs/>
        </w:rPr>
        <w:t xml:space="preserve">for all possible pairs </w:t>
      </w:r>
      <w:r w:rsidR="00164286" w:rsidRPr="00614E7F">
        <w:rPr>
          <w:bCs/>
        </w:rPr>
        <w:t xml:space="preserve">where patients were discrepant </w:t>
      </w:r>
      <w:r w:rsidR="009975BD" w:rsidRPr="00614E7F">
        <w:rPr>
          <w:bCs/>
        </w:rPr>
        <w:t xml:space="preserve">on </w:t>
      </w:r>
      <w:r w:rsidR="00164286" w:rsidRPr="00614E7F">
        <w:rPr>
          <w:bCs/>
        </w:rPr>
        <w:t>outcome variable</w:t>
      </w:r>
      <w:r w:rsidR="009975BD" w:rsidRPr="00614E7F">
        <w:rPr>
          <w:bCs/>
        </w:rPr>
        <w:t xml:space="preserve"> status</w:t>
      </w:r>
      <w:r w:rsidR="00022E49" w:rsidRPr="00614E7F">
        <w:rPr>
          <w:bCs/>
        </w:rPr>
        <w:t xml:space="preserve">. </w:t>
      </w:r>
      <w:r w:rsidR="00122883" w:rsidRPr="00614E7F">
        <w:rPr>
          <w:bCs/>
        </w:rPr>
        <w:t>The H</w:t>
      </w:r>
      <w:r w:rsidR="00164286" w:rsidRPr="00614E7F">
        <w:rPr>
          <w:bCs/>
        </w:rPr>
        <w:t>osmer-</w:t>
      </w:r>
      <w:proofErr w:type="spellStart"/>
      <w:r w:rsidR="00164286" w:rsidRPr="00614E7F">
        <w:rPr>
          <w:bCs/>
        </w:rPr>
        <w:t>Lemeshow</w:t>
      </w:r>
      <w:proofErr w:type="spellEnd"/>
      <w:r w:rsidR="00553AED" w:rsidRPr="00614E7F">
        <w:rPr>
          <w:bCs/>
        </w:rPr>
        <w:t xml:space="preserve"> goodness-of-fit statistic</w:t>
      </w:r>
      <w:r w:rsidR="00122883" w:rsidRPr="00614E7F">
        <w:rPr>
          <w:bCs/>
        </w:rPr>
        <w:t xml:space="preserve"> is a measure of the accuracy of the predicted number of </w:t>
      </w:r>
      <w:r w:rsidR="00982B7C" w:rsidRPr="00614E7F">
        <w:rPr>
          <w:bCs/>
        </w:rPr>
        <w:t xml:space="preserve">cases of appearance concerns </w:t>
      </w:r>
      <w:r w:rsidR="00122883" w:rsidRPr="00614E7F">
        <w:rPr>
          <w:bCs/>
        </w:rPr>
        <w:t xml:space="preserve">compared to the number of patients who </w:t>
      </w:r>
      <w:r w:rsidR="00982B7C" w:rsidRPr="00614E7F">
        <w:rPr>
          <w:bCs/>
        </w:rPr>
        <w:t>actually reported appearance concerns</w:t>
      </w:r>
      <w:r w:rsidR="00122883" w:rsidRPr="00614E7F">
        <w:rPr>
          <w:bCs/>
        </w:rPr>
        <w:t xml:space="preserve"> across the spectrum of probabilities. </w:t>
      </w:r>
      <w:r w:rsidR="00927A80">
        <w:rPr>
          <w:bCs/>
        </w:rPr>
        <w:t xml:space="preserve">A </w:t>
      </w:r>
      <w:r w:rsidR="00122883" w:rsidRPr="00614E7F">
        <w:rPr>
          <w:bCs/>
        </w:rPr>
        <w:t xml:space="preserve">relatively large </w:t>
      </w:r>
      <w:r w:rsidR="00AE1645" w:rsidRPr="00614E7F">
        <w:rPr>
          <w:bCs/>
          <w:iCs/>
        </w:rPr>
        <w:t>p</w:t>
      </w:r>
      <w:r w:rsidR="00122883" w:rsidRPr="00614E7F">
        <w:rPr>
          <w:bCs/>
          <w:i/>
          <w:iCs/>
        </w:rPr>
        <w:t xml:space="preserve"> </w:t>
      </w:r>
      <w:r w:rsidR="00122883" w:rsidRPr="00614E7F">
        <w:rPr>
          <w:bCs/>
        </w:rPr>
        <w:t>value indic</w:t>
      </w:r>
      <w:r w:rsidR="0098027F" w:rsidRPr="00614E7F">
        <w:rPr>
          <w:bCs/>
        </w:rPr>
        <w:t xml:space="preserve">ates </w:t>
      </w:r>
      <w:r w:rsidR="0012306F">
        <w:rPr>
          <w:bCs/>
        </w:rPr>
        <w:t xml:space="preserve">a </w:t>
      </w:r>
      <w:r w:rsidR="0098027F" w:rsidRPr="00614E7F">
        <w:rPr>
          <w:bCs/>
        </w:rPr>
        <w:t>reasonably good model fit</w:t>
      </w:r>
      <w:r w:rsidR="00147517" w:rsidRPr="00614E7F">
        <w:rPr>
          <w:bCs/>
        </w:rPr>
        <w:t xml:space="preserve"> </w:t>
      </w:r>
      <w:r w:rsidR="00487451">
        <w:rPr>
          <w:bCs/>
        </w:rPr>
        <w:t>[</w:t>
      </w:r>
      <w:r w:rsidR="00147517" w:rsidRPr="00614E7F">
        <w:rPr>
          <w:bCs/>
        </w:rPr>
        <w:t>2</w:t>
      </w:r>
      <w:r w:rsidR="00C32ADB">
        <w:rPr>
          <w:bCs/>
        </w:rPr>
        <w:t>8</w:t>
      </w:r>
      <w:r w:rsidR="00487451">
        <w:rPr>
          <w:bCs/>
        </w:rPr>
        <w:t>]</w:t>
      </w:r>
      <w:r w:rsidR="0098027F" w:rsidRPr="00614E7F">
        <w:rPr>
          <w:bCs/>
        </w:rPr>
        <w:t xml:space="preserve">. </w:t>
      </w:r>
      <w:r w:rsidR="00A91D3A" w:rsidRPr="00614E7F">
        <w:rPr>
          <w:bCs/>
        </w:rPr>
        <w:t xml:space="preserve">All analyses were conducted using </w:t>
      </w:r>
      <w:r w:rsidR="00A91D3A" w:rsidRPr="00614E7F">
        <w:t xml:space="preserve">SPSS (Version 22), </w:t>
      </w:r>
      <w:r w:rsidR="00A91D3A" w:rsidRPr="00614E7F">
        <w:rPr>
          <w:bCs/>
        </w:rPr>
        <w:t>and statis</w:t>
      </w:r>
      <w:r w:rsidR="00E3640D">
        <w:rPr>
          <w:bCs/>
        </w:rPr>
        <w:t xml:space="preserve">tical tests were two-sided with </w:t>
      </w:r>
      <w:r w:rsidR="00E3640D" w:rsidRPr="00614E7F">
        <w:rPr>
          <w:lang w:val="en"/>
        </w:rPr>
        <w:t xml:space="preserve">α </w:t>
      </w:r>
      <w:r w:rsidR="00A91D3A" w:rsidRPr="00614E7F">
        <w:rPr>
          <w:bCs/>
        </w:rPr>
        <w:t>&lt; .05.</w:t>
      </w:r>
    </w:p>
    <w:p w14:paraId="02FE1198" w14:textId="64917E2A" w:rsidR="0064500F" w:rsidRDefault="00A91D3A" w:rsidP="00A93F52">
      <w:pPr>
        <w:spacing w:line="480" w:lineRule="auto"/>
        <w:ind w:firstLine="720"/>
      </w:pPr>
      <w:r w:rsidRPr="00614E7F">
        <w:rPr>
          <w:lang w:val="en"/>
        </w:rPr>
        <w:t xml:space="preserve">The </w:t>
      </w:r>
      <w:r w:rsidRPr="00614E7F">
        <w:t>percentage of women and men with SSc who reported appearance concerns was compared to levels of appearance concern</w:t>
      </w:r>
      <w:r w:rsidR="00417EE1">
        <w:t>s</w:t>
      </w:r>
      <w:r w:rsidRPr="00614E7F">
        <w:t xml:space="preserve"> reported in a sample from the general UK population</w:t>
      </w:r>
      <w:r w:rsidR="000962DA">
        <w:t xml:space="preserve"> </w:t>
      </w:r>
      <w:r w:rsidR="00487451">
        <w:t>[</w:t>
      </w:r>
      <w:r w:rsidR="00256686">
        <w:t>14</w:t>
      </w:r>
      <w:r w:rsidR="00487451">
        <w:t>]</w:t>
      </w:r>
      <w:r w:rsidR="0064500F">
        <w:t xml:space="preserve">. </w:t>
      </w:r>
      <w:r w:rsidR="00822D3A">
        <w:t>The r</w:t>
      </w:r>
      <w:r w:rsidR="0064500F">
        <w:t>elative risk</w:t>
      </w:r>
      <w:r w:rsidR="00822D3A">
        <w:t xml:space="preserve"> of reporting appearance concerns</w:t>
      </w:r>
      <w:r w:rsidR="0064500F">
        <w:t xml:space="preserve"> </w:t>
      </w:r>
      <w:r w:rsidR="00822D3A">
        <w:t>was</w:t>
      </w:r>
      <w:r w:rsidR="0064500F">
        <w:t xml:space="preserve"> calculated </w:t>
      </w:r>
      <w:r w:rsidR="00672201">
        <w:t xml:space="preserve">for </w:t>
      </w:r>
      <w:r w:rsidR="00C31083">
        <w:t>women and men, separately,</w:t>
      </w:r>
      <w:r w:rsidR="007555A2">
        <w:t xml:space="preserve"> </w:t>
      </w:r>
      <w:r w:rsidR="00C7132D">
        <w:t xml:space="preserve">stratified by </w:t>
      </w:r>
      <w:r w:rsidR="0064500F">
        <w:t>age groups</w:t>
      </w:r>
      <w:r w:rsidRPr="00614E7F">
        <w:t>.</w:t>
      </w:r>
      <w:r w:rsidR="0064500F" w:rsidRPr="0064500F">
        <w:t xml:space="preserve"> </w:t>
      </w:r>
      <w:r w:rsidR="0064500F">
        <w:t>Race/ethnicity data were not provided for the UK population sample</w:t>
      </w:r>
      <w:r w:rsidR="00857142">
        <w:t xml:space="preserve">, thus </w:t>
      </w:r>
      <w:r w:rsidR="001C7E6A">
        <w:t xml:space="preserve">comparisons </w:t>
      </w:r>
      <w:r w:rsidR="00857142">
        <w:t>for these groups separately could not be conducted</w:t>
      </w:r>
      <w:r w:rsidR="0064500F">
        <w:t>.</w:t>
      </w:r>
    </w:p>
    <w:p w14:paraId="354C66DE" w14:textId="1C67AEAE" w:rsidR="00685D5D" w:rsidRPr="0046514D" w:rsidRDefault="00685D5D" w:rsidP="0046514D">
      <w:pPr>
        <w:spacing w:line="480" w:lineRule="auto"/>
        <w:outlineLvl w:val="0"/>
      </w:pPr>
      <w:r w:rsidRPr="00614E7F">
        <w:rPr>
          <w:b/>
        </w:rPr>
        <w:t>RESULTS</w:t>
      </w:r>
      <w:r w:rsidR="002F3499" w:rsidRPr="00614E7F">
        <w:rPr>
          <w:b/>
          <w:lang w:val="en-CA"/>
        </w:rPr>
        <w:tab/>
      </w:r>
    </w:p>
    <w:p w14:paraId="526A5D0F" w14:textId="679CDC4B" w:rsidR="000D633C" w:rsidRPr="00614E7F" w:rsidRDefault="000D633C" w:rsidP="008506A2">
      <w:pPr>
        <w:spacing w:line="480" w:lineRule="auto"/>
        <w:ind w:firstLine="720"/>
        <w:rPr>
          <w:rStyle w:val="CommentReference"/>
          <w:sz w:val="24"/>
          <w:szCs w:val="24"/>
        </w:rPr>
      </w:pPr>
      <w:r w:rsidRPr="00614E7F">
        <w:rPr>
          <w:lang w:val="en-CA"/>
        </w:rPr>
        <w:t>In total, 757 SSc patients completed baseline assessments</w:t>
      </w:r>
      <w:r w:rsidR="0064500F">
        <w:rPr>
          <w:lang w:val="en-CA"/>
        </w:rPr>
        <w:t xml:space="preserve">. There were </w:t>
      </w:r>
      <w:r w:rsidRPr="00614E7F">
        <w:rPr>
          <w:lang w:val="en-CA"/>
        </w:rPr>
        <w:t xml:space="preserve">717 </w:t>
      </w:r>
      <w:r w:rsidR="0064500F">
        <w:rPr>
          <w:lang w:val="en-CA"/>
        </w:rPr>
        <w:t xml:space="preserve">who </w:t>
      </w:r>
      <w:r w:rsidRPr="00614E7F">
        <w:rPr>
          <w:lang w:val="en-CA"/>
        </w:rPr>
        <w:t xml:space="preserve">answered the </w:t>
      </w:r>
      <w:r w:rsidR="00807FEB">
        <w:rPr>
          <w:lang w:val="en-CA"/>
        </w:rPr>
        <w:t xml:space="preserve">binary </w:t>
      </w:r>
      <w:r w:rsidRPr="00614E7F">
        <w:rPr>
          <w:lang w:val="en-CA"/>
        </w:rPr>
        <w:t>appearance concern</w:t>
      </w:r>
      <w:r w:rsidR="003B2E78" w:rsidRPr="00614E7F">
        <w:rPr>
          <w:lang w:val="en-CA"/>
        </w:rPr>
        <w:t xml:space="preserve"> </w:t>
      </w:r>
      <w:r w:rsidRPr="00614E7F">
        <w:rPr>
          <w:lang w:val="en-CA"/>
        </w:rPr>
        <w:t xml:space="preserve">item, </w:t>
      </w:r>
      <w:r w:rsidR="00E32C3F" w:rsidRPr="00614E7F">
        <w:rPr>
          <w:lang w:val="en-CA"/>
        </w:rPr>
        <w:t xml:space="preserve">of </w:t>
      </w:r>
      <w:r w:rsidR="0064500F">
        <w:rPr>
          <w:lang w:val="en-CA"/>
        </w:rPr>
        <w:t>whom</w:t>
      </w:r>
      <w:r w:rsidR="0064500F" w:rsidRPr="00614E7F">
        <w:rPr>
          <w:lang w:val="en-CA"/>
        </w:rPr>
        <w:t xml:space="preserve"> </w:t>
      </w:r>
      <w:r w:rsidR="00DB29DA" w:rsidRPr="00614E7F">
        <w:rPr>
          <w:lang w:val="en-CA"/>
        </w:rPr>
        <w:t>644</w:t>
      </w:r>
      <w:r w:rsidRPr="00614E7F">
        <w:rPr>
          <w:lang w:val="en-CA"/>
        </w:rPr>
        <w:t xml:space="preserve"> </w:t>
      </w:r>
      <w:r w:rsidR="00E32C3F" w:rsidRPr="00614E7F">
        <w:rPr>
          <w:lang w:val="en-CA"/>
        </w:rPr>
        <w:t>had</w:t>
      </w:r>
      <w:r w:rsidRPr="00614E7F">
        <w:rPr>
          <w:lang w:val="en-CA"/>
        </w:rPr>
        <w:t xml:space="preserve"> data for all variables included in the </w:t>
      </w:r>
      <w:r w:rsidR="00CB19B8">
        <w:rPr>
          <w:lang w:val="en-CA"/>
        </w:rPr>
        <w:t>multivariate model</w:t>
      </w:r>
      <w:r w:rsidR="0064500F">
        <w:rPr>
          <w:lang w:val="en-CA"/>
        </w:rPr>
        <w:t xml:space="preserve"> and were included in analyses</w:t>
      </w:r>
      <w:r w:rsidR="00D4590C" w:rsidRPr="00614E7F">
        <w:rPr>
          <w:lang w:val="en-CA"/>
        </w:rPr>
        <w:t xml:space="preserve">. </w:t>
      </w:r>
      <w:r w:rsidRPr="00614E7F">
        <w:rPr>
          <w:lang w:val="en-CA"/>
        </w:rPr>
        <w:t xml:space="preserve">Of these, </w:t>
      </w:r>
      <w:r w:rsidR="000D6AF5" w:rsidRPr="00614E7F">
        <w:rPr>
          <w:lang w:val="en-CA"/>
        </w:rPr>
        <w:t>463</w:t>
      </w:r>
      <w:r w:rsidRPr="00614E7F">
        <w:rPr>
          <w:lang w:val="en-CA"/>
        </w:rPr>
        <w:t xml:space="preserve"> (</w:t>
      </w:r>
      <w:r w:rsidR="000D6AF5" w:rsidRPr="00614E7F">
        <w:rPr>
          <w:lang w:val="en-CA"/>
        </w:rPr>
        <w:t>7</w:t>
      </w:r>
      <w:r w:rsidR="00A8785C" w:rsidRPr="00614E7F">
        <w:rPr>
          <w:lang w:val="en-CA"/>
        </w:rPr>
        <w:t>2</w:t>
      </w:r>
      <w:r w:rsidRPr="00614E7F">
        <w:rPr>
          <w:lang w:val="en-CA"/>
        </w:rPr>
        <w:t xml:space="preserve">%) indicated that there was an aspect of their appearance that caused </w:t>
      </w:r>
      <w:r w:rsidR="00E70384" w:rsidRPr="00614E7F">
        <w:rPr>
          <w:lang w:val="en-CA"/>
        </w:rPr>
        <w:t xml:space="preserve">them </w:t>
      </w:r>
      <w:r w:rsidRPr="00614E7F">
        <w:rPr>
          <w:lang w:val="en-CA"/>
        </w:rPr>
        <w:t>concern</w:t>
      </w:r>
      <w:r w:rsidR="005A7B45">
        <w:rPr>
          <w:lang w:val="en-CA"/>
        </w:rPr>
        <w:t xml:space="preserve">. Rates were similar among </w:t>
      </w:r>
      <w:r w:rsidR="007B4E04">
        <w:rPr>
          <w:lang w:val="en-CA"/>
        </w:rPr>
        <w:t xml:space="preserve">the 73 </w:t>
      </w:r>
      <w:r w:rsidR="002B76C6">
        <w:rPr>
          <w:lang w:val="en-CA"/>
        </w:rPr>
        <w:t>patients excluded for missing data,</w:t>
      </w:r>
      <w:r w:rsidR="005A7B45">
        <w:rPr>
          <w:lang w:val="en-CA"/>
        </w:rPr>
        <w:t xml:space="preserve"> with</w:t>
      </w:r>
      <w:r w:rsidR="002B76C6">
        <w:rPr>
          <w:lang w:val="en-CA"/>
        </w:rPr>
        <w:t xml:space="preserve"> 57 (78%) </w:t>
      </w:r>
      <w:r w:rsidR="005A7B45">
        <w:rPr>
          <w:lang w:val="en-CA"/>
        </w:rPr>
        <w:t xml:space="preserve">indicating that there </w:t>
      </w:r>
      <w:r w:rsidR="00E45BC7">
        <w:rPr>
          <w:lang w:val="en-CA"/>
        </w:rPr>
        <w:t>w</w:t>
      </w:r>
      <w:r w:rsidR="005A7B45">
        <w:rPr>
          <w:lang w:val="en-CA"/>
        </w:rPr>
        <w:t>as an aspect of their appearance that caused them concern</w:t>
      </w:r>
      <w:r w:rsidR="002B76C6">
        <w:rPr>
          <w:lang w:val="en-CA"/>
        </w:rPr>
        <w:t xml:space="preserve">. </w:t>
      </w:r>
    </w:p>
    <w:p w14:paraId="27C5A848" w14:textId="2C347C4E" w:rsidR="009D2B5F" w:rsidRPr="00614E7F" w:rsidRDefault="00B96542" w:rsidP="00950D66">
      <w:pPr>
        <w:spacing w:line="480" w:lineRule="auto"/>
        <w:ind w:firstLine="720"/>
      </w:pPr>
      <w:r w:rsidRPr="00614E7F">
        <w:rPr>
          <w:lang w:val="en-CA"/>
        </w:rPr>
        <w:lastRenderedPageBreak/>
        <w:t>S</w:t>
      </w:r>
      <w:r w:rsidR="00746A01" w:rsidRPr="00614E7F">
        <w:rPr>
          <w:lang w:val="en-CA"/>
        </w:rPr>
        <w:t>ocio</w:t>
      </w:r>
      <w:r w:rsidR="003145BE" w:rsidRPr="00614E7F">
        <w:rPr>
          <w:lang w:val="en-CA"/>
        </w:rPr>
        <w:t>d</w:t>
      </w:r>
      <w:r w:rsidR="00685D5D" w:rsidRPr="00614E7F">
        <w:rPr>
          <w:lang w:val="en-CA"/>
        </w:rPr>
        <w:t>emographic and disease</w:t>
      </w:r>
      <w:r w:rsidR="00FB52AC">
        <w:rPr>
          <w:lang w:val="en-CA"/>
        </w:rPr>
        <w:t>/medical</w:t>
      </w:r>
      <w:r w:rsidR="00685D5D" w:rsidRPr="00614E7F">
        <w:rPr>
          <w:lang w:val="en-CA"/>
        </w:rPr>
        <w:t xml:space="preserve"> char</w:t>
      </w:r>
      <w:r w:rsidR="006C5FEA" w:rsidRPr="00614E7F">
        <w:rPr>
          <w:lang w:val="en-CA"/>
        </w:rPr>
        <w:t>acteristics are displayed</w:t>
      </w:r>
      <w:r w:rsidR="006C1079" w:rsidRPr="00614E7F">
        <w:rPr>
          <w:lang w:val="en-CA"/>
        </w:rPr>
        <w:t xml:space="preserve"> in Table 1</w:t>
      </w:r>
      <w:r w:rsidR="00094AEC" w:rsidRPr="00614E7F">
        <w:rPr>
          <w:lang w:val="en-CA"/>
        </w:rPr>
        <w:t>.</w:t>
      </w:r>
      <w:r w:rsidR="00685D5D" w:rsidRPr="00614E7F">
        <w:rPr>
          <w:lang w:val="en-CA"/>
        </w:rPr>
        <w:t xml:space="preserve"> </w:t>
      </w:r>
      <w:r w:rsidR="006668A3">
        <w:rPr>
          <w:lang w:val="en-CA"/>
        </w:rPr>
        <w:t xml:space="preserve">Mean </w:t>
      </w:r>
      <w:r w:rsidR="00E94268" w:rsidRPr="00614E7F">
        <w:rPr>
          <w:lang w:val="en-CA"/>
        </w:rPr>
        <w:t xml:space="preserve">age </w:t>
      </w:r>
      <w:r w:rsidR="00385A74" w:rsidRPr="00614E7F">
        <w:rPr>
          <w:lang w:val="en-CA"/>
        </w:rPr>
        <w:t xml:space="preserve">in the total sample </w:t>
      </w:r>
      <w:r w:rsidR="00E94268" w:rsidRPr="00614E7F">
        <w:rPr>
          <w:lang w:val="en-CA"/>
        </w:rPr>
        <w:t xml:space="preserve">was </w:t>
      </w:r>
      <w:r w:rsidR="00E94DA1" w:rsidRPr="00614E7F">
        <w:rPr>
          <w:lang w:val="en-CA"/>
        </w:rPr>
        <w:t>55.</w:t>
      </w:r>
      <w:r w:rsidR="004C4DE4" w:rsidRPr="00614E7F">
        <w:rPr>
          <w:lang w:val="en-CA"/>
        </w:rPr>
        <w:t>3</w:t>
      </w:r>
      <w:r w:rsidR="00E94DA1" w:rsidRPr="00614E7F">
        <w:rPr>
          <w:lang w:val="en-CA"/>
        </w:rPr>
        <w:t xml:space="preserve"> years (</w:t>
      </w:r>
      <w:r w:rsidR="003470F0" w:rsidRPr="00614E7F">
        <w:rPr>
          <w:lang w:val="en-CA"/>
        </w:rPr>
        <w:t>S</w:t>
      </w:r>
      <w:r w:rsidR="00A9241B" w:rsidRPr="00614E7F">
        <w:rPr>
          <w:lang w:val="en-CA"/>
        </w:rPr>
        <w:t xml:space="preserve">tandard </w:t>
      </w:r>
      <w:r w:rsidR="003470F0" w:rsidRPr="00614E7F">
        <w:rPr>
          <w:lang w:val="en-CA"/>
        </w:rPr>
        <w:t>D</w:t>
      </w:r>
      <w:r w:rsidR="00A9241B" w:rsidRPr="00614E7F">
        <w:rPr>
          <w:lang w:val="en-CA"/>
        </w:rPr>
        <w:t xml:space="preserve">eviation </w:t>
      </w:r>
      <w:r w:rsidR="002A6726">
        <w:rPr>
          <w:lang w:val="en-CA"/>
        </w:rPr>
        <w:t>(SD)</w:t>
      </w:r>
      <w:r w:rsidR="00E94DA1" w:rsidRPr="00614E7F">
        <w:rPr>
          <w:lang w:val="en-CA"/>
        </w:rPr>
        <w:t xml:space="preserve"> = 12.</w:t>
      </w:r>
      <w:r w:rsidR="004C4DE4" w:rsidRPr="00614E7F">
        <w:rPr>
          <w:lang w:val="en-CA"/>
        </w:rPr>
        <w:t>1</w:t>
      </w:r>
      <w:r w:rsidR="00E94268" w:rsidRPr="00614E7F">
        <w:rPr>
          <w:lang w:val="en-CA"/>
        </w:rPr>
        <w:t>), and the majority of patients were</w:t>
      </w:r>
      <w:r w:rsidR="00E94DA1" w:rsidRPr="00614E7F">
        <w:rPr>
          <w:lang w:val="en-CA"/>
        </w:rPr>
        <w:t xml:space="preserve"> White (N = </w:t>
      </w:r>
      <w:r w:rsidR="004C4DE4" w:rsidRPr="00614E7F">
        <w:rPr>
          <w:lang w:val="en-CA"/>
        </w:rPr>
        <w:t>550</w:t>
      </w:r>
      <w:r w:rsidR="00296EE7" w:rsidRPr="00614E7F">
        <w:rPr>
          <w:lang w:val="en-CA"/>
        </w:rPr>
        <w:t>, 85</w:t>
      </w:r>
      <w:r w:rsidR="003145BE" w:rsidRPr="00614E7F">
        <w:rPr>
          <w:lang w:val="en-CA"/>
        </w:rPr>
        <w:t xml:space="preserve">%) and </w:t>
      </w:r>
      <w:r w:rsidR="006C5FEA" w:rsidRPr="00614E7F">
        <w:rPr>
          <w:lang w:val="en-CA"/>
        </w:rPr>
        <w:t>married</w:t>
      </w:r>
      <w:r w:rsidR="00A9241B" w:rsidRPr="00614E7F">
        <w:rPr>
          <w:lang w:val="en-CA"/>
        </w:rPr>
        <w:t xml:space="preserve"> or </w:t>
      </w:r>
      <w:r w:rsidR="006E76C9" w:rsidRPr="00614E7F">
        <w:rPr>
          <w:lang w:val="en-CA"/>
        </w:rPr>
        <w:t xml:space="preserve">living as married </w:t>
      </w:r>
      <w:r w:rsidR="00B3159E" w:rsidRPr="00614E7F">
        <w:rPr>
          <w:lang w:val="en-CA"/>
        </w:rPr>
        <w:t xml:space="preserve">(N = </w:t>
      </w:r>
      <w:r w:rsidR="005629E5" w:rsidRPr="00614E7F">
        <w:t>471</w:t>
      </w:r>
      <w:r w:rsidR="00263179" w:rsidRPr="00614E7F">
        <w:t>, 7</w:t>
      </w:r>
      <w:r w:rsidR="00A34C15" w:rsidRPr="00614E7F">
        <w:t>3</w:t>
      </w:r>
      <w:r w:rsidR="00263179" w:rsidRPr="00614E7F">
        <w:t>%).</w:t>
      </w:r>
      <w:r w:rsidR="006D660F" w:rsidRPr="00614E7F">
        <w:rPr>
          <w:lang w:val="en-CA"/>
        </w:rPr>
        <w:t xml:space="preserve"> </w:t>
      </w:r>
      <w:r w:rsidR="00A54BD9" w:rsidRPr="00614E7F">
        <w:rPr>
          <w:lang w:val="en-CA"/>
        </w:rPr>
        <w:t>M</w:t>
      </w:r>
      <w:r w:rsidR="006D660F" w:rsidRPr="00614E7F">
        <w:rPr>
          <w:lang w:val="en-CA"/>
        </w:rPr>
        <w:t>ean time since onset of the first non-Raynaud’s symptom was 11.5 (SD = 8.7) years.</w:t>
      </w:r>
    </w:p>
    <w:p w14:paraId="56DCBED3" w14:textId="6D918442" w:rsidR="00D13898" w:rsidRPr="00614E7F" w:rsidRDefault="0020421D" w:rsidP="00224064">
      <w:pPr>
        <w:spacing w:line="480" w:lineRule="auto"/>
        <w:ind w:firstLine="720"/>
      </w:pPr>
      <w:r w:rsidRPr="00614E7F">
        <w:t xml:space="preserve">There were 565 (88%) women and 79 (12%) men </w:t>
      </w:r>
      <w:r w:rsidR="00224064">
        <w:t>included</w:t>
      </w:r>
      <w:r w:rsidRPr="00614E7F">
        <w:t>. There were no statistically significant differences between women and men for any sociodemographic or disease</w:t>
      </w:r>
      <w:r>
        <w:t>/medical</w:t>
      </w:r>
      <w:r w:rsidRPr="00614E7F">
        <w:t xml:space="preserve"> variables (see Table 1).</w:t>
      </w:r>
      <w:r w:rsidR="00224064">
        <w:t xml:space="preserve"> </w:t>
      </w:r>
      <w:r w:rsidR="00224064">
        <w:rPr>
          <w:lang w:val="en-CA"/>
        </w:rPr>
        <w:t>There were</w:t>
      </w:r>
      <w:r w:rsidR="006D660F" w:rsidRPr="00614E7F">
        <w:t xml:space="preserve"> </w:t>
      </w:r>
      <w:r w:rsidR="004C4DE4" w:rsidRPr="00614E7F">
        <w:t>41</w:t>
      </w:r>
      <w:r w:rsidR="0003430F" w:rsidRPr="00614E7F">
        <w:t xml:space="preserve"> </w:t>
      </w:r>
      <w:r w:rsidR="00BF5C85" w:rsidRPr="00614E7F">
        <w:t>(</w:t>
      </w:r>
      <w:r w:rsidR="00EE6DDF" w:rsidRPr="00614E7F">
        <w:t>6</w:t>
      </w:r>
      <w:r w:rsidR="00BF5C85" w:rsidRPr="00614E7F">
        <w:t>%)</w:t>
      </w:r>
      <w:r w:rsidR="006D660F" w:rsidRPr="00614E7F">
        <w:t xml:space="preserve"> </w:t>
      </w:r>
      <w:r w:rsidR="00BF5C85" w:rsidRPr="00614E7F">
        <w:t xml:space="preserve">Black patients and </w:t>
      </w:r>
      <w:r w:rsidR="004C4DE4" w:rsidRPr="00614E7F">
        <w:t>53</w:t>
      </w:r>
      <w:r w:rsidR="00BF5C85" w:rsidRPr="00614E7F">
        <w:t xml:space="preserve"> (8%) patients </w:t>
      </w:r>
      <w:r w:rsidR="00A9241B" w:rsidRPr="00614E7F">
        <w:t xml:space="preserve">who </w:t>
      </w:r>
      <w:r w:rsidR="00BF5C85" w:rsidRPr="00614E7F">
        <w:t xml:space="preserve">identified as </w:t>
      </w:r>
      <w:r w:rsidR="00A8785C" w:rsidRPr="00614E7F">
        <w:t xml:space="preserve">a member of </w:t>
      </w:r>
      <w:r w:rsidR="00B77FB2">
        <w:t>an</w:t>
      </w:r>
      <w:r w:rsidR="007A203D" w:rsidRPr="00614E7F">
        <w:t>other racial</w:t>
      </w:r>
      <w:r w:rsidR="006C6570" w:rsidRPr="00614E7F">
        <w:t>/</w:t>
      </w:r>
      <w:r w:rsidR="00BF5C85" w:rsidRPr="00614E7F">
        <w:t xml:space="preserve">ethnic </w:t>
      </w:r>
      <w:r w:rsidR="00A9241B" w:rsidRPr="00614E7F">
        <w:t>group</w:t>
      </w:r>
      <w:r w:rsidR="00BF5C85" w:rsidRPr="00614E7F">
        <w:t>.</w:t>
      </w:r>
      <w:r w:rsidR="009D2B5F" w:rsidRPr="00614E7F">
        <w:t xml:space="preserve"> As shown in Table 1, W</w:t>
      </w:r>
      <w:r w:rsidR="002049AE" w:rsidRPr="00614E7F">
        <w:t>hite patients were older and more likely to be married than Black patients</w:t>
      </w:r>
      <w:r w:rsidR="00950D66" w:rsidRPr="00614E7F">
        <w:t xml:space="preserve">, but </w:t>
      </w:r>
      <w:r w:rsidR="002049AE" w:rsidRPr="00614E7F">
        <w:t xml:space="preserve">less likely to have skin thickening on </w:t>
      </w:r>
      <w:r w:rsidR="00950D66" w:rsidRPr="00614E7F">
        <w:t xml:space="preserve">the </w:t>
      </w:r>
      <w:r w:rsidR="008F560D" w:rsidRPr="00614E7F">
        <w:t xml:space="preserve">fingers </w:t>
      </w:r>
      <w:r w:rsidR="00E54F61" w:rsidRPr="00614E7F">
        <w:t xml:space="preserve">and </w:t>
      </w:r>
      <w:r w:rsidR="009F265A">
        <w:t xml:space="preserve">to </w:t>
      </w:r>
      <w:r w:rsidR="00E54F61" w:rsidRPr="00614E7F">
        <w:t>have diffuse SSc</w:t>
      </w:r>
      <w:r w:rsidR="009B4976" w:rsidRPr="00614E7F">
        <w:t xml:space="preserve"> (statistically significant, </w:t>
      </w:r>
      <w:r w:rsidR="008811A2" w:rsidRPr="00614E7F">
        <w:t xml:space="preserve">p &lt; </w:t>
      </w:r>
      <w:r w:rsidR="009B4976" w:rsidRPr="00614E7F">
        <w:t>.0167)</w:t>
      </w:r>
      <w:r w:rsidR="002049AE" w:rsidRPr="00614E7F">
        <w:t xml:space="preserve">. </w:t>
      </w:r>
      <w:r w:rsidR="009975BE" w:rsidRPr="00614E7F">
        <w:t xml:space="preserve">There were </w:t>
      </w:r>
      <w:r w:rsidR="00C30BDB" w:rsidRPr="00614E7F">
        <w:t xml:space="preserve">also </w:t>
      </w:r>
      <w:r w:rsidR="009975BE" w:rsidRPr="00614E7F">
        <w:t>s</w:t>
      </w:r>
      <w:r w:rsidR="002049AE" w:rsidRPr="00614E7F">
        <w:t xml:space="preserve">tatistically significant differences between White and Black patients in </w:t>
      </w:r>
      <w:r w:rsidR="00C30BDB" w:rsidRPr="00614E7F">
        <w:t>presence of</w:t>
      </w:r>
      <w:r w:rsidR="009975BE" w:rsidRPr="00614E7F">
        <w:t xml:space="preserve"> </w:t>
      </w:r>
      <w:r w:rsidR="002049AE" w:rsidRPr="00614E7F">
        <w:t>telangiectasias</w:t>
      </w:r>
      <w:r w:rsidR="00E54F61" w:rsidRPr="00614E7F">
        <w:t xml:space="preserve"> and</w:t>
      </w:r>
      <w:r w:rsidR="002049AE" w:rsidRPr="00614E7F">
        <w:t xml:space="preserve"> skin pigmentation changes. White patients were </w:t>
      </w:r>
      <w:r w:rsidR="006F1C00" w:rsidRPr="00614E7F">
        <w:t xml:space="preserve">older </w:t>
      </w:r>
      <w:r w:rsidR="00E54F61" w:rsidRPr="00614E7F">
        <w:t xml:space="preserve">and less likely to have diffuse SSc </w:t>
      </w:r>
      <w:r w:rsidR="006F1C00" w:rsidRPr="00614E7F">
        <w:t xml:space="preserve">than patients from </w:t>
      </w:r>
      <w:r w:rsidR="002049AE" w:rsidRPr="00614E7F">
        <w:t>other racial/</w:t>
      </w:r>
      <w:r w:rsidR="000C6801" w:rsidRPr="00614E7F">
        <w:t>ethnic group</w:t>
      </w:r>
      <w:r w:rsidR="006F1C00" w:rsidRPr="00614E7F">
        <w:t>s</w:t>
      </w:r>
      <w:r w:rsidR="008811A2" w:rsidRPr="00614E7F">
        <w:t xml:space="preserve"> (statistically significant, p &lt; </w:t>
      </w:r>
      <w:r w:rsidR="00E54F61" w:rsidRPr="00614E7F">
        <w:t>.</w:t>
      </w:r>
      <w:r w:rsidR="008811A2" w:rsidRPr="00614E7F">
        <w:t>0167).</w:t>
      </w:r>
      <w:r w:rsidR="00E54F61" w:rsidRPr="00614E7F">
        <w:t xml:space="preserve"> There were also statistically significant differences in </w:t>
      </w:r>
      <w:r w:rsidR="000C6801" w:rsidRPr="00614E7F">
        <w:t>s</w:t>
      </w:r>
      <w:r w:rsidR="00286E3A" w:rsidRPr="00614E7F">
        <w:t>kin pigmentation changes</w:t>
      </w:r>
      <w:r w:rsidR="00951B46">
        <w:t xml:space="preserve"> between White patients and those from other racial/ethnic groups</w:t>
      </w:r>
      <w:r w:rsidR="00286E3A" w:rsidRPr="00614E7F">
        <w:t xml:space="preserve"> </w:t>
      </w:r>
      <w:r w:rsidR="002049AE" w:rsidRPr="00614E7F">
        <w:t>(see Table 1).</w:t>
      </w:r>
    </w:p>
    <w:p w14:paraId="49E47559" w14:textId="0D491C94" w:rsidR="00C748A9" w:rsidRDefault="00C748A9" w:rsidP="00B568A2">
      <w:pPr>
        <w:spacing w:line="480" w:lineRule="auto"/>
        <w:ind w:firstLine="851"/>
        <w:rPr>
          <w:lang w:val="en-CA"/>
        </w:rPr>
      </w:pPr>
      <w:r w:rsidRPr="00614E7F">
        <w:t xml:space="preserve">Among women, </w:t>
      </w:r>
      <w:r w:rsidR="003D3ADF" w:rsidRPr="00614E7F">
        <w:t>75</w:t>
      </w:r>
      <w:r w:rsidR="00D46E59" w:rsidRPr="00614E7F">
        <w:t>% (</w:t>
      </w:r>
      <w:r w:rsidR="004645D2" w:rsidRPr="00614E7F">
        <w:t>4</w:t>
      </w:r>
      <w:r w:rsidR="00D46E59" w:rsidRPr="00614E7F">
        <w:t>21</w:t>
      </w:r>
      <w:r w:rsidR="00F02B1A" w:rsidRPr="00614E7F">
        <w:t xml:space="preserve"> of </w:t>
      </w:r>
      <w:r w:rsidR="00D46E59" w:rsidRPr="00614E7F">
        <w:t>565</w:t>
      </w:r>
      <w:r w:rsidR="00F02B1A" w:rsidRPr="00614E7F">
        <w:t>)</w:t>
      </w:r>
      <w:r w:rsidRPr="00614E7F">
        <w:t xml:space="preserve"> reported appearance concerns</w:t>
      </w:r>
      <w:r w:rsidR="00F02B1A" w:rsidRPr="00614E7F">
        <w:t xml:space="preserve">, compared to </w:t>
      </w:r>
      <w:r w:rsidR="003D3ADF" w:rsidRPr="00614E7F">
        <w:t>53</w:t>
      </w:r>
      <w:r w:rsidR="00F02B1A" w:rsidRPr="00614E7F">
        <w:t>% (</w:t>
      </w:r>
      <w:r w:rsidR="00890F84" w:rsidRPr="00614E7F">
        <w:t>42</w:t>
      </w:r>
      <w:r w:rsidR="00F02B1A" w:rsidRPr="00614E7F">
        <w:t xml:space="preserve"> of </w:t>
      </w:r>
      <w:r w:rsidR="00890F84" w:rsidRPr="00614E7F">
        <w:t>79</w:t>
      </w:r>
      <w:r w:rsidR="00F02B1A" w:rsidRPr="00614E7F">
        <w:t xml:space="preserve">) </w:t>
      </w:r>
      <w:r w:rsidR="00E13181" w:rsidRPr="00614E7F">
        <w:t xml:space="preserve">of </w:t>
      </w:r>
      <w:r w:rsidR="00F02B1A" w:rsidRPr="00614E7F">
        <w:t>men</w:t>
      </w:r>
      <w:r w:rsidR="00E13181" w:rsidRPr="00614E7F">
        <w:t xml:space="preserve"> (p &lt; .001)</w:t>
      </w:r>
      <w:r w:rsidRPr="00614E7F">
        <w:t xml:space="preserve">. Across racial/ethnic groups, </w:t>
      </w:r>
      <w:r w:rsidR="00F02B1A" w:rsidRPr="00614E7F">
        <w:t xml:space="preserve">85% (35 of 41) of Black patients reported appearance concerns, compared </w:t>
      </w:r>
      <w:r w:rsidR="0039518B" w:rsidRPr="00614E7F">
        <w:t>to</w:t>
      </w:r>
      <w:r w:rsidR="00F02B1A" w:rsidRPr="00614E7F">
        <w:t xml:space="preserve"> </w:t>
      </w:r>
      <w:r w:rsidR="00B568A2" w:rsidRPr="00614E7F">
        <w:rPr>
          <w:lang w:val="en-CA"/>
        </w:rPr>
        <w:t xml:space="preserve">71% (392 of 550) </w:t>
      </w:r>
      <w:r w:rsidR="0039518B" w:rsidRPr="00614E7F">
        <w:rPr>
          <w:lang w:val="en-CA"/>
        </w:rPr>
        <w:t>of</w:t>
      </w:r>
      <w:r w:rsidR="00B568A2" w:rsidRPr="00614E7F">
        <w:rPr>
          <w:lang w:val="en-CA"/>
        </w:rPr>
        <w:t xml:space="preserve"> White patients and 68% (36 of 53) </w:t>
      </w:r>
      <w:r w:rsidR="00DA7DED" w:rsidRPr="00614E7F">
        <w:rPr>
          <w:lang w:val="en-CA"/>
        </w:rPr>
        <w:t>from</w:t>
      </w:r>
      <w:r w:rsidR="00B568A2" w:rsidRPr="00614E7F">
        <w:rPr>
          <w:lang w:val="en-CA"/>
        </w:rPr>
        <w:t xml:space="preserve"> </w:t>
      </w:r>
      <w:r w:rsidR="00DA7DED" w:rsidRPr="00614E7F">
        <w:rPr>
          <w:lang w:val="en-CA"/>
        </w:rPr>
        <w:t>o</w:t>
      </w:r>
      <w:r w:rsidR="00B568A2" w:rsidRPr="00614E7F">
        <w:rPr>
          <w:lang w:val="en-CA"/>
        </w:rPr>
        <w:t xml:space="preserve">ther </w:t>
      </w:r>
      <w:r w:rsidR="0039518B" w:rsidRPr="00614E7F">
        <w:rPr>
          <w:lang w:val="en-CA"/>
        </w:rPr>
        <w:t xml:space="preserve">racial/ethnic </w:t>
      </w:r>
      <w:r w:rsidR="00B568A2" w:rsidRPr="00614E7F">
        <w:rPr>
          <w:lang w:val="en-CA"/>
        </w:rPr>
        <w:t>group</w:t>
      </w:r>
      <w:r w:rsidR="00DA7DED" w:rsidRPr="00614E7F">
        <w:rPr>
          <w:lang w:val="en-CA"/>
        </w:rPr>
        <w:t>s</w:t>
      </w:r>
      <w:r w:rsidR="00E13181" w:rsidRPr="00614E7F">
        <w:rPr>
          <w:lang w:val="en-CA"/>
        </w:rPr>
        <w:t xml:space="preserve"> (p = .122)</w:t>
      </w:r>
      <w:r w:rsidR="00B568A2" w:rsidRPr="00614E7F">
        <w:rPr>
          <w:lang w:val="en-CA"/>
        </w:rPr>
        <w:t>.</w:t>
      </w:r>
    </w:p>
    <w:p w14:paraId="0BCB49C7" w14:textId="3F4DB090" w:rsidR="002552EC" w:rsidRDefault="002552EC" w:rsidP="00B568A2">
      <w:pPr>
        <w:spacing w:line="480" w:lineRule="auto"/>
        <w:ind w:firstLine="851"/>
        <w:rPr>
          <w:lang w:val="en-CA"/>
        </w:rPr>
      </w:pPr>
      <w:r w:rsidRPr="00871803">
        <w:rPr>
          <w:lang w:val="en-CA"/>
        </w:rPr>
        <w:t xml:space="preserve">Of the 463 patients who </w:t>
      </w:r>
      <w:r w:rsidRPr="00254CEA">
        <w:rPr>
          <w:lang w:val="en-CA"/>
        </w:rPr>
        <w:t>indicated that there was an aspect of their appearance that caused them concern, 444 listed the specific feature of greatest concern. As shown in T</w:t>
      </w:r>
      <w:r w:rsidR="00371A76">
        <w:rPr>
          <w:lang w:val="en-CA"/>
        </w:rPr>
        <w:t>able 2</w:t>
      </w:r>
      <w:r w:rsidRPr="00254CEA">
        <w:rPr>
          <w:lang w:val="en-CA"/>
        </w:rPr>
        <w:t xml:space="preserve">, the most common category was the face/neck/head/mouth (41%), followed by the hands/fingers </w:t>
      </w:r>
      <w:r w:rsidRPr="00254CEA">
        <w:rPr>
          <w:lang w:val="en-CA"/>
        </w:rPr>
        <w:lastRenderedPageBreak/>
        <w:t>(27%). Results were similar for female and male patients and patients classified as White, Black, or Other racial/ethnic status.</w:t>
      </w:r>
      <w:r>
        <w:rPr>
          <w:lang w:val="en-CA"/>
        </w:rPr>
        <w:t xml:space="preserve">  </w:t>
      </w:r>
      <w:r>
        <w:tab/>
      </w:r>
    </w:p>
    <w:p w14:paraId="41E75962" w14:textId="3E6B43AA" w:rsidR="006A4CF6" w:rsidRPr="00614E7F" w:rsidRDefault="003E3142" w:rsidP="00D265A7">
      <w:pPr>
        <w:spacing w:line="480" w:lineRule="auto"/>
        <w:ind w:firstLine="709"/>
        <w:rPr>
          <w:lang w:val="en-CA"/>
        </w:rPr>
      </w:pPr>
      <w:r w:rsidRPr="00614E7F">
        <w:t xml:space="preserve">As shown in Table </w:t>
      </w:r>
      <w:r w:rsidR="00371A76">
        <w:t>3</w:t>
      </w:r>
      <w:r w:rsidRPr="00614E7F">
        <w:t xml:space="preserve">, on an unadjusted basis, the </w:t>
      </w:r>
      <w:r w:rsidRPr="00614E7F">
        <w:rPr>
          <w:lang w:val="en-CA"/>
        </w:rPr>
        <w:t xml:space="preserve">odds of appearance concerns were greater for female patients compared to male patients </w:t>
      </w:r>
      <w:r w:rsidRPr="00614E7F">
        <w:t>(OR =</w:t>
      </w:r>
      <w:r w:rsidR="00AD0C6B">
        <w:t xml:space="preserve"> 2.70, 95% Confidence Interval (CI)</w:t>
      </w:r>
      <w:r w:rsidRPr="00614E7F">
        <w:t xml:space="preserve"> = 1.73-4.22, p &lt; .001)</w:t>
      </w:r>
      <w:r w:rsidRPr="00614E7F">
        <w:rPr>
          <w:lang w:val="en-CA"/>
        </w:rPr>
        <w:t xml:space="preserve">, and for Black patients versus the reference group, White patients (OR = 2.64, 95% CI = </w:t>
      </w:r>
      <w:r w:rsidRPr="00614E7F">
        <w:t xml:space="preserve">1.01-6.34, p = .030). Patients with </w:t>
      </w:r>
      <w:r w:rsidR="00602C46">
        <w:t>another</w:t>
      </w:r>
      <w:r w:rsidRPr="00614E7F">
        <w:t xml:space="preserve"> racial/ethnic status did not have significantly different odds compared to White patients (OR = 0.92, 95% CI = 0.52-1.65, p = .788)</w:t>
      </w:r>
      <w:r w:rsidRPr="00614E7F">
        <w:rPr>
          <w:lang w:val="en-CA"/>
        </w:rPr>
        <w:t xml:space="preserve">. Other variables that were significantly associated with the presence of appearance concerns on an unadjusted basis included </w:t>
      </w:r>
      <w:r w:rsidR="000A1973">
        <w:rPr>
          <w:lang w:val="en-CA"/>
        </w:rPr>
        <w:t xml:space="preserve">younger </w:t>
      </w:r>
      <w:r w:rsidRPr="00614E7F">
        <w:rPr>
          <w:lang w:val="en-CA"/>
        </w:rPr>
        <w:t xml:space="preserve">age, </w:t>
      </w:r>
      <w:r w:rsidR="000A1973">
        <w:rPr>
          <w:lang w:val="en-CA"/>
        </w:rPr>
        <w:t xml:space="preserve">diffuse </w:t>
      </w:r>
      <w:r w:rsidRPr="00614E7F">
        <w:rPr>
          <w:lang w:val="en-CA"/>
        </w:rPr>
        <w:t>disease subtype,</w:t>
      </w:r>
      <w:r w:rsidR="00E67F0B">
        <w:rPr>
          <w:lang w:val="en-CA"/>
        </w:rPr>
        <w:t xml:space="preserve"> presence of</w:t>
      </w:r>
      <w:r w:rsidR="003B2799">
        <w:rPr>
          <w:lang w:val="en-CA"/>
        </w:rPr>
        <w:t xml:space="preserve"> moderate</w:t>
      </w:r>
      <w:r w:rsidRPr="00614E7F">
        <w:rPr>
          <w:lang w:val="en-CA"/>
        </w:rPr>
        <w:t xml:space="preserve"> hand contractures, and </w:t>
      </w:r>
      <w:r w:rsidR="003B2799">
        <w:rPr>
          <w:lang w:val="en-CA"/>
        </w:rPr>
        <w:t xml:space="preserve">presence of </w:t>
      </w:r>
      <w:r w:rsidRPr="00614E7F">
        <w:rPr>
          <w:lang w:val="en-CA"/>
        </w:rPr>
        <w:t xml:space="preserve">skin thickening on the fingers. </w:t>
      </w:r>
    </w:p>
    <w:p w14:paraId="18CF7F06" w14:textId="2754A580" w:rsidR="006A332F" w:rsidRPr="003E3142" w:rsidRDefault="003E3142" w:rsidP="00B77FB2">
      <w:pPr>
        <w:spacing w:line="480" w:lineRule="auto"/>
        <w:ind w:firstLine="709"/>
        <w:rPr>
          <w:bCs/>
        </w:rPr>
      </w:pPr>
      <w:r w:rsidRPr="00614E7F">
        <w:t>In the multivariate analysis, only</w:t>
      </w:r>
      <w:r w:rsidRPr="00614E7F">
        <w:rPr>
          <w:lang w:val="en-CA"/>
        </w:rPr>
        <w:t xml:space="preserve"> sex, age, and presence of moderate hand contractures were significantly associated with appearance concerns, after controlling for covariates </w:t>
      </w:r>
      <w:r w:rsidR="005151D0">
        <w:rPr>
          <w:lang w:val="en-CA"/>
        </w:rPr>
        <w:t>of</w:t>
      </w:r>
      <w:r w:rsidR="005151D0" w:rsidRPr="00614E7F">
        <w:rPr>
          <w:lang w:val="en-CA"/>
        </w:rPr>
        <w:t xml:space="preserve"> </w:t>
      </w:r>
      <w:r w:rsidRPr="00614E7F">
        <w:rPr>
          <w:lang w:val="en-CA"/>
        </w:rPr>
        <w:t xml:space="preserve">race/ethnicity, BMI, education level, marital status, disease subtype, telangiectasias, pigmentation changes, and skin thickening on the fingers. The odds of appearance concerns for female patients were significantly greater than for male patients (OR = 2.97, 95% CI = 1.78-4.95, p &lt; .001). Older patients were also less likely to report appearance concerns than younger patients (OR = 0.98 per year, 95% CI = 0.96-0.99, p = .007), equivalent to a reduction of 18% in the OR for every 10-year increase in age. </w:t>
      </w:r>
      <w:r w:rsidR="001556BC">
        <w:rPr>
          <w:lang w:val="en-CA"/>
        </w:rPr>
        <w:t xml:space="preserve">The odds of reporting appearance concerns did not differ </w:t>
      </w:r>
      <w:r w:rsidR="00C46998">
        <w:rPr>
          <w:lang w:val="en-CA"/>
        </w:rPr>
        <w:t xml:space="preserve">significantly </w:t>
      </w:r>
      <w:r w:rsidR="001556BC">
        <w:rPr>
          <w:lang w:val="en-CA"/>
        </w:rPr>
        <w:t>for Black versus White patients</w:t>
      </w:r>
      <w:r w:rsidR="00C46998">
        <w:rPr>
          <w:lang w:val="en-CA"/>
        </w:rPr>
        <w:t xml:space="preserve"> </w:t>
      </w:r>
      <w:r w:rsidRPr="00614E7F">
        <w:rPr>
          <w:lang w:val="en-CA"/>
        </w:rPr>
        <w:t xml:space="preserve">(OR = 1.76, 95% CI = 0.67-4.60, p = .250). The odds of reporting appearance concerns for patients with moderate hand contractures were almost twice those of patients with no or only mild hand contractures (OR = 2.05, 95% CI = 1.17-3.60, p = .012) (see Table </w:t>
      </w:r>
      <w:r w:rsidR="00A70DBA">
        <w:rPr>
          <w:lang w:val="en-CA"/>
        </w:rPr>
        <w:t>3</w:t>
      </w:r>
      <w:r w:rsidRPr="00614E7F">
        <w:rPr>
          <w:lang w:val="en-CA"/>
        </w:rPr>
        <w:t xml:space="preserve">). </w:t>
      </w:r>
      <w:r w:rsidRPr="00614E7F">
        <w:t xml:space="preserve">Model fit for the 11 predictors included was less than ideal </w:t>
      </w:r>
      <w:r w:rsidRPr="00614E7F">
        <w:lastRenderedPageBreak/>
        <w:t>based on the Hosmer-</w:t>
      </w:r>
      <w:proofErr w:type="spellStart"/>
      <w:r w:rsidRPr="00614E7F">
        <w:t>Lemeshow</w:t>
      </w:r>
      <w:proofErr w:type="spellEnd"/>
      <w:r w:rsidRPr="00614E7F">
        <w:t xml:space="preserve"> test (</w:t>
      </w:r>
      <w:r w:rsidRPr="00614E7F">
        <w:sym w:font="Symbol" w:char="F063"/>
      </w:r>
      <w:r w:rsidRPr="00614E7F">
        <w:rPr>
          <w:vertAlign w:val="superscript"/>
        </w:rPr>
        <w:t>2</w:t>
      </w:r>
      <w:r w:rsidRPr="00614E7F">
        <w:t xml:space="preserve">(8, N = 644) = 10.65, p = .022), and the </w:t>
      </w:r>
      <w:r w:rsidRPr="00614E7F">
        <w:rPr>
          <w:bCs/>
        </w:rPr>
        <w:t>c-index statistic was 0.69.</w:t>
      </w:r>
    </w:p>
    <w:p w14:paraId="44330CC8" w14:textId="77777777" w:rsidR="001D0E91" w:rsidRDefault="005B7BBA" w:rsidP="006A332F">
      <w:pPr>
        <w:spacing w:line="480" w:lineRule="auto"/>
        <w:ind w:firstLine="709"/>
        <w:rPr>
          <w:lang w:val="en-CA"/>
        </w:rPr>
      </w:pPr>
      <w:r w:rsidRPr="000C0DF5">
        <w:rPr>
          <w:lang w:val="en-CA"/>
        </w:rPr>
        <w:t xml:space="preserve">As shown in Table </w:t>
      </w:r>
      <w:r w:rsidR="00371A76">
        <w:rPr>
          <w:lang w:val="en-CA"/>
        </w:rPr>
        <w:t>4</w:t>
      </w:r>
      <w:r w:rsidRPr="000C0DF5">
        <w:rPr>
          <w:lang w:val="en-CA"/>
        </w:rPr>
        <w:t>, rates of appearance concerns were higher, across all age groups, for women</w:t>
      </w:r>
      <w:r w:rsidR="001655A8" w:rsidRPr="000C0DF5">
        <w:rPr>
          <w:lang w:val="en-CA"/>
        </w:rPr>
        <w:t xml:space="preserve"> and men</w:t>
      </w:r>
      <w:r w:rsidRPr="000C0DF5">
        <w:rPr>
          <w:lang w:val="en-CA"/>
        </w:rPr>
        <w:t xml:space="preserve"> with SSc, compared to women</w:t>
      </w:r>
      <w:r w:rsidR="001655A8" w:rsidRPr="000C0DF5">
        <w:rPr>
          <w:lang w:val="en-CA"/>
        </w:rPr>
        <w:t xml:space="preserve"> and men</w:t>
      </w:r>
      <w:r w:rsidRPr="000C0DF5">
        <w:rPr>
          <w:lang w:val="en-CA"/>
        </w:rPr>
        <w:t xml:space="preserve"> from the general UK population sample (</w:t>
      </w:r>
      <w:r w:rsidR="00256686">
        <w:rPr>
          <w:lang w:val="en-CA"/>
        </w:rPr>
        <w:t>14</w:t>
      </w:r>
      <w:r w:rsidRPr="000C0DF5">
        <w:rPr>
          <w:lang w:val="en-CA"/>
        </w:rPr>
        <w:t xml:space="preserve">). The relative risk of reporting appearance concerns </w:t>
      </w:r>
      <w:r w:rsidR="00A22D22" w:rsidRPr="000C0DF5">
        <w:rPr>
          <w:lang w:val="en-CA"/>
        </w:rPr>
        <w:t>among</w:t>
      </w:r>
      <w:r w:rsidR="00B77FB2" w:rsidRPr="000C0DF5">
        <w:rPr>
          <w:lang w:val="en-CA"/>
        </w:rPr>
        <w:t xml:space="preserve"> SSc</w:t>
      </w:r>
      <w:r w:rsidR="00A22D22" w:rsidRPr="000C0DF5">
        <w:rPr>
          <w:lang w:val="en-CA"/>
        </w:rPr>
        <w:t xml:space="preserve"> patients</w:t>
      </w:r>
      <w:r w:rsidR="00B77FB2" w:rsidRPr="000C0DF5">
        <w:rPr>
          <w:lang w:val="en-CA"/>
        </w:rPr>
        <w:t xml:space="preserve"> compared to the general po</w:t>
      </w:r>
      <w:r w:rsidR="00B77FB2" w:rsidRPr="00871803">
        <w:rPr>
          <w:lang w:val="en-CA"/>
        </w:rPr>
        <w:t xml:space="preserve">pulation </w:t>
      </w:r>
      <w:r w:rsidRPr="00871803">
        <w:rPr>
          <w:lang w:val="en-CA"/>
        </w:rPr>
        <w:t>was greater for men than for women</w:t>
      </w:r>
      <w:r w:rsidR="00B77FB2" w:rsidRPr="00871803">
        <w:rPr>
          <w:lang w:val="en-CA"/>
        </w:rPr>
        <w:t xml:space="preserve"> across age groups</w:t>
      </w:r>
      <w:r w:rsidRPr="00871803">
        <w:rPr>
          <w:lang w:val="en-CA"/>
        </w:rPr>
        <w:t>. For both women</w:t>
      </w:r>
      <w:r w:rsidR="001655A8" w:rsidRPr="00871803">
        <w:rPr>
          <w:lang w:val="en-CA"/>
        </w:rPr>
        <w:t xml:space="preserve"> and men</w:t>
      </w:r>
      <w:r w:rsidRPr="00871803">
        <w:rPr>
          <w:lang w:val="en-CA"/>
        </w:rPr>
        <w:t>, the relative risk was substantially higher among older patients.</w:t>
      </w:r>
    </w:p>
    <w:p w14:paraId="66AB955E" w14:textId="757E3190" w:rsidR="0088530D" w:rsidRPr="00614E7F" w:rsidRDefault="00685D5D" w:rsidP="006D0E98">
      <w:pPr>
        <w:spacing w:line="480" w:lineRule="auto"/>
        <w:outlineLvl w:val="0"/>
        <w:rPr>
          <w:lang w:val="en-CA"/>
        </w:rPr>
      </w:pPr>
      <w:r w:rsidRPr="00614E7F">
        <w:rPr>
          <w:b/>
        </w:rPr>
        <w:t>DISCUSSION</w:t>
      </w:r>
      <w:r w:rsidR="00710A22" w:rsidRPr="00614E7F">
        <w:rPr>
          <w:bCs/>
        </w:rPr>
        <w:t xml:space="preserve"> </w:t>
      </w:r>
    </w:p>
    <w:p w14:paraId="3FE6B741" w14:textId="18DEFD77" w:rsidR="00724951" w:rsidRDefault="006C34F1" w:rsidP="00C70083">
      <w:pPr>
        <w:tabs>
          <w:tab w:val="left" w:pos="567"/>
        </w:tabs>
        <w:spacing w:line="480" w:lineRule="auto"/>
        <w:ind w:firstLine="567"/>
        <w:rPr>
          <w:lang w:val="en-GB"/>
        </w:rPr>
      </w:pPr>
      <w:r w:rsidRPr="00614E7F">
        <w:t>The main finding</w:t>
      </w:r>
      <w:r w:rsidR="005B7BBA" w:rsidRPr="00614E7F">
        <w:t>s</w:t>
      </w:r>
      <w:r w:rsidRPr="00614E7F">
        <w:t xml:space="preserve"> </w:t>
      </w:r>
      <w:r w:rsidR="005B7BBA" w:rsidRPr="00614E7F">
        <w:t xml:space="preserve">of this study were </w:t>
      </w:r>
      <w:r w:rsidRPr="00614E7F">
        <w:t>tha</w:t>
      </w:r>
      <w:r w:rsidR="00F25031" w:rsidRPr="00614E7F">
        <w:t>t</w:t>
      </w:r>
      <w:r w:rsidRPr="00614E7F">
        <w:t xml:space="preserve"> </w:t>
      </w:r>
      <w:r w:rsidR="00CC1486" w:rsidRPr="00614E7F">
        <w:t xml:space="preserve">women with SSc </w:t>
      </w:r>
      <w:r w:rsidRPr="00614E7F">
        <w:t xml:space="preserve">were </w:t>
      </w:r>
      <w:r w:rsidR="00CC1486" w:rsidRPr="00614E7F">
        <w:t>substantially more likely than men to report appearance</w:t>
      </w:r>
      <w:r w:rsidR="00BF027C" w:rsidRPr="00614E7F">
        <w:t xml:space="preserve"> concerns</w:t>
      </w:r>
      <w:r w:rsidR="00144817" w:rsidRPr="00614E7F">
        <w:rPr>
          <w:lang w:val="en-GB"/>
        </w:rPr>
        <w:t>,</w:t>
      </w:r>
      <w:r w:rsidR="00A76B65" w:rsidRPr="00614E7F">
        <w:rPr>
          <w:lang w:val="en-GB"/>
        </w:rPr>
        <w:t xml:space="preserve"> </w:t>
      </w:r>
      <w:r w:rsidR="00CC1486" w:rsidRPr="00614E7F">
        <w:rPr>
          <w:lang w:val="en-GB"/>
        </w:rPr>
        <w:t>controlling for sociodemographic and disease</w:t>
      </w:r>
      <w:r w:rsidR="00580488">
        <w:rPr>
          <w:lang w:val="en-GB"/>
        </w:rPr>
        <w:t>/medical</w:t>
      </w:r>
      <w:r w:rsidR="00CC1486" w:rsidRPr="00614E7F">
        <w:rPr>
          <w:lang w:val="en-GB"/>
        </w:rPr>
        <w:t xml:space="preserve"> variables</w:t>
      </w:r>
      <w:r w:rsidR="008F545C" w:rsidRPr="00614E7F">
        <w:rPr>
          <w:lang w:val="en-GB"/>
        </w:rPr>
        <w:t xml:space="preserve">. </w:t>
      </w:r>
      <w:r w:rsidR="00CC1486" w:rsidRPr="00614E7F">
        <w:rPr>
          <w:lang w:val="en-GB"/>
        </w:rPr>
        <w:t>Black r</w:t>
      </w:r>
      <w:r w:rsidR="00A740D5" w:rsidRPr="00614E7F">
        <w:rPr>
          <w:lang w:val="en-GB"/>
        </w:rPr>
        <w:t xml:space="preserve">acial/ethnic </w:t>
      </w:r>
      <w:r w:rsidR="00CC1486" w:rsidRPr="00614E7F">
        <w:rPr>
          <w:lang w:val="en-GB"/>
        </w:rPr>
        <w:t>group membership was</w:t>
      </w:r>
      <w:r w:rsidR="00A740D5" w:rsidRPr="00614E7F">
        <w:rPr>
          <w:lang w:val="en-GB"/>
        </w:rPr>
        <w:t xml:space="preserve"> significantly </w:t>
      </w:r>
      <w:r w:rsidR="00CC1486" w:rsidRPr="00614E7F">
        <w:rPr>
          <w:lang w:val="en-GB"/>
        </w:rPr>
        <w:t>associated with a</w:t>
      </w:r>
      <w:r w:rsidR="00A740D5" w:rsidRPr="00614E7F">
        <w:rPr>
          <w:lang w:val="en-GB"/>
        </w:rPr>
        <w:t xml:space="preserve">ppearance concerns at the bivariate level; however, </w:t>
      </w:r>
      <w:r w:rsidR="00CC1486" w:rsidRPr="00614E7F">
        <w:rPr>
          <w:lang w:val="en-GB"/>
        </w:rPr>
        <w:t>the association was</w:t>
      </w:r>
      <w:r w:rsidR="00FE6229" w:rsidRPr="00614E7F">
        <w:rPr>
          <w:lang w:val="en-GB"/>
        </w:rPr>
        <w:t xml:space="preserve"> no</w:t>
      </w:r>
      <w:r w:rsidR="00CC1486" w:rsidRPr="00614E7F">
        <w:rPr>
          <w:lang w:val="en-GB"/>
        </w:rPr>
        <w:t>t</w:t>
      </w:r>
      <w:r w:rsidR="00FE6229" w:rsidRPr="00614E7F">
        <w:rPr>
          <w:lang w:val="en-GB"/>
        </w:rPr>
        <w:t xml:space="preserve"> </w:t>
      </w:r>
      <w:r w:rsidR="00CC1486" w:rsidRPr="00614E7F">
        <w:rPr>
          <w:lang w:val="en-GB"/>
        </w:rPr>
        <w:t>statistically</w:t>
      </w:r>
      <w:r w:rsidR="00FE6229" w:rsidRPr="00614E7F">
        <w:rPr>
          <w:lang w:val="en-GB"/>
        </w:rPr>
        <w:t xml:space="preserve"> significant </w:t>
      </w:r>
      <w:r w:rsidR="00AD2811" w:rsidRPr="00614E7F">
        <w:rPr>
          <w:lang w:val="en-GB"/>
        </w:rPr>
        <w:t xml:space="preserve">after </w:t>
      </w:r>
      <w:r w:rsidR="00EA3891" w:rsidRPr="00614E7F">
        <w:rPr>
          <w:lang w:val="en-GB"/>
        </w:rPr>
        <w:t>accounting for</w:t>
      </w:r>
      <w:r w:rsidR="00AD2811" w:rsidRPr="00614E7F">
        <w:rPr>
          <w:lang w:val="en-GB"/>
        </w:rPr>
        <w:t xml:space="preserve"> the influences of other sociodemographic and disease</w:t>
      </w:r>
      <w:r w:rsidR="00916B60">
        <w:rPr>
          <w:lang w:val="en-GB"/>
        </w:rPr>
        <w:t>/medical</w:t>
      </w:r>
      <w:r w:rsidR="00AD2811" w:rsidRPr="00614E7F">
        <w:rPr>
          <w:lang w:val="en-GB"/>
        </w:rPr>
        <w:t xml:space="preserve"> variables</w:t>
      </w:r>
      <w:r w:rsidR="00B54D81" w:rsidRPr="00614E7F">
        <w:rPr>
          <w:lang w:val="en-GB"/>
        </w:rPr>
        <w:t>.</w:t>
      </w:r>
      <w:r w:rsidR="00971D78" w:rsidRPr="00614E7F">
        <w:rPr>
          <w:lang w:val="en-CA"/>
        </w:rPr>
        <w:t xml:space="preserve"> </w:t>
      </w:r>
      <w:r w:rsidR="00CC137E">
        <w:rPr>
          <w:lang w:val="en-CA"/>
        </w:rPr>
        <w:t xml:space="preserve">Consistent with findings from previous studies, </w:t>
      </w:r>
      <w:r w:rsidR="00CC137E">
        <w:rPr>
          <w:lang w:val="en-GB"/>
        </w:rPr>
        <w:t>o</w:t>
      </w:r>
      <w:r w:rsidR="00CC1486" w:rsidRPr="00614E7F">
        <w:rPr>
          <w:lang w:val="en-GB"/>
        </w:rPr>
        <w:t xml:space="preserve">lder age was </w:t>
      </w:r>
      <w:r w:rsidR="005032E5" w:rsidRPr="00614E7F">
        <w:rPr>
          <w:lang w:val="en-GB"/>
        </w:rPr>
        <w:t xml:space="preserve">significantly </w:t>
      </w:r>
      <w:r w:rsidR="00CC1486" w:rsidRPr="00614E7F">
        <w:rPr>
          <w:lang w:val="en-GB"/>
        </w:rPr>
        <w:t xml:space="preserve">associated </w:t>
      </w:r>
      <w:r w:rsidR="003033AB" w:rsidRPr="00614E7F">
        <w:rPr>
          <w:lang w:val="en-GB"/>
        </w:rPr>
        <w:t xml:space="preserve">with </w:t>
      </w:r>
      <w:r w:rsidR="00BA4956" w:rsidRPr="00614E7F">
        <w:rPr>
          <w:lang w:val="en-GB"/>
        </w:rPr>
        <w:t>reduced</w:t>
      </w:r>
      <w:r w:rsidR="003033AB" w:rsidRPr="00614E7F">
        <w:rPr>
          <w:lang w:val="en-GB"/>
        </w:rPr>
        <w:t xml:space="preserve"> odds of appearance concerns</w:t>
      </w:r>
      <w:r w:rsidR="00CC137E">
        <w:rPr>
          <w:lang w:val="en-GB"/>
        </w:rPr>
        <w:t xml:space="preserve">. Among disease variables, </w:t>
      </w:r>
      <w:r w:rsidR="00C93ED5" w:rsidRPr="00614E7F">
        <w:rPr>
          <w:lang w:val="en-GB"/>
        </w:rPr>
        <w:t xml:space="preserve">moderate hand contractures </w:t>
      </w:r>
      <w:r w:rsidR="00BA4956" w:rsidRPr="00614E7F">
        <w:rPr>
          <w:lang w:val="en-GB"/>
        </w:rPr>
        <w:t xml:space="preserve">were </w:t>
      </w:r>
      <w:r w:rsidR="00C93ED5" w:rsidRPr="00614E7F">
        <w:rPr>
          <w:lang w:val="en-GB"/>
        </w:rPr>
        <w:t xml:space="preserve">significantly </w:t>
      </w:r>
      <w:r w:rsidR="00BA4956" w:rsidRPr="00614E7F">
        <w:rPr>
          <w:lang w:val="en-GB"/>
        </w:rPr>
        <w:t>associated with greater odds</w:t>
      </w:r>
      <w:r w:rsidR="003C4AB7">
        <w:rPr>
          <w:lang w:val="en-GB"/>
        </w:rPr>
        <w:t xml:space="preserve"> of appearance concerns</w:t>
      </w:r>
      <w:r w:rsidR="00C93ED5" w:rsidRPr="00614E7F">
        <w:rPr>
          <w:lang w:val="en-GB"/>
        </w:rPr>
        <w:t>.</w:t>
      </w:r>
      <w:r w:rsidR="0038479F">
        <w:rPr>
          <w:lang w:val="en-GB"/>
        </w:rPr>
        <w:t xml:space="preserve"> </w:t>
      </w:r>
      <w:r w:rsidR="005B7BBA" w:rsidRPr="00614E7F">
        <w:rPr>
          <w:lang w:val="en-GB"/>
        </w:rPr>
        <w:t xml:space="preserve">Compared to </w:t>
      </w:r>
      <w:r w:rsidR="001655A8" w:rsidRPr="00614E7F">
        <w:rPr>
          <w:lang w:val="en-GB"/>
        </w:rPr>
        <w:t xml:space="preserve">data from a general population sample, </w:t>
      </w:r>
      <w:r w:rsidR="0038479F">
        <w:rPr>
          <w:lang w:val="en-GB"/>
        </w:rPr>
        <w:t xml:space="preserve">both </w:t>
      </w:r>
      <w:r w:rsidR="001655A8" w:rsidRPr="00614E7F">
        <w:rPr>
          <w:lang w:val="en-GB"/>
        </w:rPr>
        <w:t xml:space="preserve">women and men with SSc were more likely to report </w:t>
      </w:r>
      <w:r w:rsidR="00460005" w:rsidRPr="00614E7F">
        <w:rPr>
          <w:lang w:val="en-GB"/>
        </w:rPr>
        <w:t>appearance concerns</w:t>
      </w:r>
      <w:r w:rsidR="0038479F">
        <w:rPr>
          <w:lang w:val="en-GB"/>
        </w:rPr>
        <w:t xml:space="preserve">, although the </w:t>
      </w:r>
      <w:r w:rsidR="00460005" w:rsidRPr="00614E7F">
        <w:rPr>
          <w:lang w:val="en-GB"/>
        </w:rPr>
        <w:t xml:space="preserve">relative risk was higher </w:t>
      </w:r>
      <w:r w:rsidR="008C2FED" w:rsidRPr="00614E7F">
        <w:rPr>
          <w:lang w:val="en-GB"/>
        </w:rPr>
        <w:t>for</w:t>
      </w:r>
      <w:r w:rsidR="00460005" w:rsidRPr="00614E7F">
        <w:rPr>
          <w:lang w:val="en-GB"/>
        </w:rPr>
        <w:t xml:space="preserve"> men</w:t>
      </w:r>
      <w:r w:rsidR="0038479F">
        <w:rPr>
          <w:lang w:val="en-GB"/>
        </w:rPr>
        <w:t xml:space="preserve"> with SSc</w:t>
      </w:r>
      <w:r w:rsidR="00460005" w:rsidRPr="00614E7F">
        <w:rPr>
          <w:lang w:val="en-GB"/>
        </w:rPr>
        <w:t xml:space="preserve"> compared to women. In addition, </w:t>
      </w:r>
      <w:r w:rsidR="0038479F">
        <w:rPr>
          <w:lang w:val="en-GB"/>
        </w:rPr>
        <w:t>for both women and men, the relative risk was substantially higher, compared to the general population, among older patient</w:t>
      </w:r>
      <w:r w:rsidR="00CC137E">
        <w:rPr>
          <w:lang w:val="en-GB"/>
        </w:rPr>
        <w:t xml:space="preserve">s than among younger patients. </w:t>
      </w:r>
      <w:r w:rsidR="0038479F">
        <w:rPr>
          <w:lang w:val="en-GB"/>
        </w:rPr>
        <w:t>The</w:t>
      </w:r>
      <w:r w:rsidR="000D03AE">
        <w:rPr>
          <w:lang w:val="en-GB"/>
        </w:rPr>
        <w:t xml:space="preserve"> most commonly reported features of concern </w:t>
      </w:r>
      <w:r w:rsidR="0038479F">
        <w:rPr>
          <w:lang w:val="en-GB"/>
        </w:rPr>
        <w:t xml:space="preserve">were </w:t>
      </w:r>
      <w:r w:rsidR="000D03AE">
        <w:rPr>
          <w:lang w:val="en-GB"/>
        </w:rPr>
        <w:t>related to the face and head, followed by the hands and fingers</w:t>
      </w:r>
      <w:r w:rsidR="005151D0">
        <w:rPr>
          <w:lang w:val="en-GB"/>
        </w:rPr>
        <w:t>; this did not differ by sex</w:t>
      </w:r>
      <w:r w:rsidR="0091484B">
        <w:rPr>
          <w:lang w:val="en-GB"/>
        </w:rPr>
        <w:t xml:space="preserve"> or </w:t>
      </w:r>
      <w:r w:rsidR="005151D0">
        <w:rPr>
          <w:lang w:val="en-GB"/>
        </w:rPr>
        <w:t>race/ethnicity</w:t>
      </w:r>
      <w:r w:rsidR="0091484B">
        <w:rPr>
          <w:lang w:val="en-GB"/>
        </w:rPr>
        <w:t xml:space="preserve">. </w:t>
      </w:r>
    </w:p>
    <w:p w14:paraId="20B1ED77" w14:textId="1AE4CD52" w:rsidR="00A05A5B" w:rsidRDefault="00C35967">
      <w:pPr>
        <w:tabs>
          <w:tab w:val="left" w:pos="567"/>
        </w:tabs>
        <w:spacing w:line="480" w:lineRule="auto"/>
        <w:ind w:firstLine="567"/>
      </w:pPr>
      <w:r w:rsidRPr="00614E7F">
        <w:rPr>
          <w:lang w:val="en-GB"/>
        </w:rPr>
        <w:lastRenderedPageBreak/>
        <w:t xml:space="preserve">The finding that female SSc patients had greater odds of experiencing appearance concerns is consistent with previous research on </w:t>
      </w:r>
      <w:r w:rsidR="00107BAB">
        <w:rPr>
          <w:lang w:val="en-GB"/>
        </w:rPr>
        <w:t xml:space="preserve">the relationship between </w:t>
      </w:r>
      <w:r w:rsidRPr="00614E7F">
        <w:rPr>
          <w:lang w:val="en-GB"/>
        </w:rPr>
        <w:t xml:space="preserve">sex and visible differences, which has highlighted that women tend to experience greater distress, </w:t>
      </w:r>
      <w:r w:rsidRPr="00614E7F">
        <w:t>social anxiety, and difficulty adjusting to disfiguri</w:t>
      </w:r>
      <w:r w:rsidR="00487451">
        <w:t>ng appearance changes than men [</w:t>
      </w:r>
      <w:r w:rsidRPr="00614E7F">
        <w:t>1</w:t>
      </w:r>
      <w:r w:rsidR="008601C8">
        <w:t>6</w:t>
      </w:r>
      <w:r w:rsidRPr="00614E7F">
        <w:t>-1</w:t>
      </w:r>
      <w:r w:rsidR="008601C8">
        <w:t>8</w:t>
      </w:r>
      <w:r w:rsidR="00487451">
        <w:t>]</w:t>
      </w:r>
      <w:r w:rsidRPr="00614E7F">
        <w:t xml:space="preserve">. Although 85% of Black patients reported appearance concerns compared to 71% of White patients, race/ethnicity was not independently associated with appearance concerns in </w:t>
      </w:r>
      <w:r w:rsidR="002D003D">
        <w:t xml:space="preserve">the </w:t>
      </w:r>
      <w:r w:rsidRPr="00614E7F">
        <w:t>multivariate analysis. It is possible that the small number of Black people in the study could explain the non-significant result. This finding may also have occurred because Black patients tended to be younger, have diffuse disease, and have greater pigmentation changes and skin thickening on the fingers compared to White patients</w:t>
      </w:r>
      <w:r w:rsidR="00D91692">
        <w:t xml:space="preserve">, </w:t>
      </w:r>
      <w:r w:rsidR="00DA6C32">
        <w:t>as these are all</w:t>
      </w:r>
      <w:r w:rsidR="00D91692">
        <w:t xml:space="preserve"> factors associated with appearance concerns</w:t>
      </w:r>
      <w:r w:rsidRPr="00614E7F">
        <w:t xml:space="preserve">. </w:t>
      </w:r>
    </w:p>
    <w:p w14:paraId="3B5B2251" w14:textId="2ED7AB70" w:rsidR="008D7F54" w:rsidRPr="00D97277" w:rsidRDefault="00E54050" w:rsidP="00D97277">
      <w:pPr>
        <w:tabs>
          <w:tab w:val="left" w:pos="567"/>
        </w:tabs>
        <w:spacing w:line="480" w:lineRule="auto"/>
        <w:ind w:firstLine="567"/>
      </w:pPr>
      <w:r>
        <w:t>Although men with SSc were less likely to report appeara</w:t>
      </w:r>
      <w:r w:rsidR="00386F5A">
        <w:t>nce concerns than women with the disease</w:t>
      </w:r>
      <w:r>
        <w:t xml:space="preserve">, men with SSc had </w:t>
      </w:r>
      <w:r w:rsidR="00BF7D05">
        <w:t>a greater</w:t>
      </w:r>
      <w:r w:rsidR="007972A5">
        <w:t xml:space="preserve"> relative</w:t>
      </w:r>
      <w:r>
        <w:t xml:space="preserve"> risk of appearance concerns compared to the general population sample than women. In </w:t>
      </w:r>
      <w:r w:rsidR="00BF7D05">
        <w:t xml:space="preserve">both </w:t>
      </w:r>
      <w:r>
        <w:t xml:space="preserve">SSc and the general population, women </w:t>
      </w:r>
      <w:r w:rsidR="00D97277">
        <w:t xml:space="preserve">are more likely </w:t>
      </w:r>
      <w:r>
        <w:t xml:space="preserve">than men </w:t>
      </w:r>
      <w:r w:rsidR="00D97277">
        <w:t xml:space="preserve">to </w:t>
      </w:r>
      <w:r>
        <w:t>have appearance concerns</w:t>
      </w:r>
      <w:r w:rsidR="00D97277">
        <w:t xml:space="preserve">, but the increase </w:t>
      </w:r>
      <w:r w:rsidR="00E70599">
        <w:t xml:space="preserve">in appearance concerns </w:t>
      </w:r>
      <w:r w:rsidR="00D97277">
        <w:t>is much greater for men</w:t>
      </w:r>
      <w:r w:rsidR="00D67BCE">
        <w:t xml:space="preserve"> with SSc</w:t>
      </w:r>
      <w:r>
        <w:t xml:space="preserve">. </w:t>
      </w:r>
      <w:r w:rsidR="00BF7D05">
        <w:rPr>
          <w:lang w:val="en-GB"/>
        </w:rPr>
        <w:t>A similar phenomenon can be seen with respect</w:t>
      </w:r>
      <w:r w:rsidR="00001747">
        <w:rPr>
          <w:lang w:val="en-GB"/>
        </w:rPr>
        <w:t xml:space="preserve"> to age. For both women and men</w:t>
      </w:r>
      <w:r w:rsidR="008D7F54">
        <w:rPr>
          <w:lang w:val="en-GB"/>
        </w:rPr>
        <w:t xml:space="preserve"> in the general population</w:t>
      </w:r>
      <w:r w:rsidR="00BA497E">
        <w:rPr>
          <w:lang w:val="en-GB"/>
        </w:rPr>
        <w:t>,</w:t>
      </w:r>
      <w:r w:rsidR="008D7F54">
        <w:rPr>
          <w:lang w:val="en-GB"/>
        </w:rPr>
        <w:t xml:space="preserve"> the proportion of people with appearance concerns drops substantially in older groups, particularly for people a</w:t>
      </w:r>
      <w:r w:rsidR="00BA497E">
        <w:rPr>
          <w:lang w:val="en-GB"/>
        </w:rPr>
        <w:t xml:space="preserve">ged 61 </w:t>
      </w:r>
      <w:r w:rsidR="00462721">
        <w:rPr>
          <w:lang w:val="en-GB"/>
        </w:rPr>
        <w:t>and</w:t>
      </w:r>
      <w:r w:rsidR="00BA497E">
        <w:rPr>
          <w:lang w:val="en-GB"/>
        </w:rPr>
        <w:t xml:space="preserve"> older. The proportion</w:t>
      </w:r>
      <w:r w:rsidR="008D7F54">
        <w:rPr>
          <w:lang w:val="en-GB"/>
        </w:rPr>
        <w:t xml:space="preserve"> also </w:t>
      </w:r>
      <w:r w:rsidR="00343C1A">
        <w:rPr>
          <w:lang w:val="en-GB"/>
        </w:rPr>
        <w:t>diminishes</w:t>
      </w:r>
      <w:r w:rsidR="008D7F54">
        <w:rPr>
          <w:lang w:val="en-GB"/>
        </w:rPr>
        <w:t xml:space="preserve"> across age groups for people with SSc, but much less dramatically, and in SSc</w:t>
      </w:r>
      <w:r w:rsidR="00343C1A">
        <w:rPr>
          <w:lang w:val="en-GB"/>
        </w:rPr>
        <w:t>,</w:t>
      </w:r>
      <w:r w:rsidR="008D7F54">
        <w:rPr>
          <w:lang w:val="en-GB"/>
        </w:rPr>
        <w:t xml:space="preserve"> older people </w:t>
      </w:r>
      <w:r w:rsidR="005151D0">
        <w:rPr>
          <w:lang w:val="en-GB"/>
        </w:rPr>
        <w:t xml:space="preserve">are more likely to report </w:t>
      </w:r>
      <w:r w:rsidR="008D7F54">
        <w:rPr>
          <w:lang w:val="en-GB"/>
        </w:rPr>
        <w:t>appearance concerns compared to the general population, where worries about appearance have mostly subsided among older adults.</w:t>
      </w:r>
    </w:p>
    <w:p w14:paraId="1F5B7642" w14:textId="11F19B9D" w:rsidR="00B9262B" w:rsidRDefault="002C5EFC" w:rsidP="00D7375E">
      <w:pPr>
        <w:tabs>
          <w:tab w:val="left" w:pos="567"/>
        </w:tabs>
        <w:spacing w:line="480" w:lineRule="auto"/>
        <w:ind w:firstLine="567"/>
        <w:rPr>
          <w:lang w:val="en-GB"/>
        </w:rPr>
      </w:pPr>
      <w:r>
        <w:rPr>
          <w:lang w:val="en-GB"/>
        </w:rPr>
        <w:t xml:space="preserve">The finding that </w:t>
      </w:r>
      <w:r w:rsidR="00350262">
        <w:rPr>
          <w:lang w:val="en-GB"/>
        </w:rPr>
        <w:t xml:space="preserve">the majority of patients across sexes and race/ethnicities listed the face and head body regions as the primary feature that caused them concern, followed by the hands and fingers, </w:t>
      </w:r>
      <w:r w:rsidR="00D7375E">
        <w:rPr>
          <w:lang w:val="en-GB"/>
        </w:rPr>
        <w:t xml:space="preserve">is consistent </w:t>
      </w:r>
      <w:r w:rsidR="00350262">
        <w:rPr>
          <w:lang w:val="en-GB"/>
        </w:rPr>
        <w:t>with previous research in SSc</w:t>
      </w:r>
      <w:r w:rsidR="00D7375E">
        <w:rPr>
          <w:lang w:val="en-GB"/>
        </w:rPr>
        <w:t>, which has reported</w:t>
      </w:r>
      <w:r w:rsidR="00183BC5">
        <w:rPr>
          <w:lang w:val="en-GB"/>
        </w:rPr>
        <w:t xml:space="preserve"> </w:t>
      </w:r>
      <w:r w:rsidR="00350262">
        <w:rPr>
          <w:lang w:val="en-GB"/>
        </w:rPr>
        <w:t xml:space="preserve">that appearance </w:t>
      </w:r>
      <w:r w:rsidR="00350262">
        <w:rPr>
          <w:lang w:val="en-GB"/>
        </w:rPr>
        <w:lastRenderedPageBreak/>
        <w:t xml:space="preserve">changes to visible and socially relevant body regions are common and </w:t>
      </w:r>
      <w:r w:rsidR="00D7375E">
        <w:rPr>
          <w:lang w:val="en-GB"/>
        </w:rPr>
        <w:t xml:space="preserve">of the greatest </w:t>
      </w:r>
      <w:r w:rsidR="00487451">
        <w:rPr>
          <w:lang w:val="en-GB"/>
        </w:rPr>
        <w:t>distress to patients [</w:t>
      </w:r>
      <w:r w:rsidR="00350262">
        <w:rPr>
          <w:lang w:val="en-GB"/>
        </w:rPr>
        <w:t xml:space="preserve">2, </w:t>
      </w:r>
      <w:r w:rsidR="00345883">
        <w:rPr>
          <w:lang w:val="en-GB"/>
        </w:rPr>
        <w:t>6</w:t>
      </w:r>
      <w:r w:rsidR="00350262">
        <w:rPr>
          <w:lang w:val="en-GB"/>
        </w:rPr>
        <w:t xml:space="preserve">, </w:t>
      </w:r>
      <w:r w:rsidR="006F40D8">
        <w:rPr>
          <w:lang w:val="en-GB"/>
        </w:rPr>
        <w:t>7</w:t>
      </w:r>
      <w:r w:rsidR="00350262">
        <w:rPr>
          <w:lang w:val="en-GB"/>
        </w:rPr>
        <w:t xml:space="preserve">, </w:t>
      </w:r>
      <w:r w:rsidR="006F40D8">
        <w:rPr>
          <w:lang w:val="en-GB"/>
        </w:rPr>
        <w:t>9</w:t>
      </w:r>
      <w:r w:rsidR="00350262">
        <w:rPr>
          <w:lang w:val="en-GB"/>
        </w:rPr>
        <w:t>, 1</w:t>
      </w:r>
      <w:r w:rsidR="006F40D8">
        <w:rPr>
          <w:lang w:val="en-GB"/>
        </w:rPr>
        <w:t>2</w:t>
      </w:r>
      <w:r w:rsidR="00487451">
        <w:rPr>
          <w:lang w:val="en-GB"/>
        </w:rPr>
        <w:t>]</w:t>
      </w:r>
      <w:r w:rsidR="001C2905">
        <w:rPr>
          <w:lang w:val="en-GB"/>
        </w:rPr>
        <w:t xml:space="preserve">. </w:t>
      </w:r>
      <w:r w:rsidR="00507BB4">
        <w:rPr>
          <w:lang w:val="en-GB"/>
        </w:rPr>
        <w:t>While t</w:t>
      </w:r>
      <w:r w:rsidR="001C2905">
        <w:rPr>
          <w:lang w:val="en-GB"/>
        </w:rPr>
        <w:t>he categories of appearance concern in the present study were</w:t>
      </w:r>
      <w:r w:rsidR="00EA6D1D">
        <w:rPr>
          <w:lang w:val="en-GB"/>
        </w:rPr>
        <w:t xml:space="preserve"> broad</w:t>
      </w:r>
      <w:r w:rsidR="001C2905">
        <w:rPr>
          <w:lang w:val="en-GB"/>
        </w:rPr>
        <w:t xml:space="preserve">, results </w:t>
      </w:r>
      <w:r w:rsidR="00B9262B">
        <w:rPr>
          <w:lang w:val="en-GB"/>
        </w:rPr>
        <w:t xml:space="preserve">showed </w:t>
      </w:r>
      <w:r w:rsidR="001C2905">
        <w:rPr>
          <w:lang w:val="en-GB"/>
        </w:rPr>
        <w:t xml:space="preserve">that the general types of appearance concerns reported by patients </w:t>
      </w:r>
      <w:r w:rsidR="00B9262B">
        <w:rPr>
          <w:lang w:val="en-GB"/>
        </w:rPr>
        <w:t xml:space="preserve">were </w:t>
      </w:r>
      <w:r w:rsidR="001C2905">
        <w:rPr>
          <w:lang w:val="en-GB"/>
        </w:rPr>
        <w:t>fairly consistent across sex and racial/ethnic groups.</w:t>
      </w:r>
    </w:p>
    <w:p w14:paraId="6904F6FB" w14:textId="32C7258E" w:rsidR="0092603C" w:rsidRPr="00614E7F" w:rsidRDefault="00125842" w:rsidP="00C37571">
      <w:pPr>
        <w:tabs>
          <w:tab w:val="left" w:pos="567"/>
        </w:tabs>
        <w:spacing w:line="480" w:lineRule="auto"/>
        <w:ind w:firstLine="567"/>
        <w:rPr>
          <w:bCs/>
        </w:rPr>
      </w:pPr>
      <w:r w:rsidRPr="00614E7F">
        <w:t xml:space="preserve">The present study has limitations that should be considered in interpreting results. First, the SPIN Cohort constitutes a </w:t>
      </w:r>
      <w:r w:rsidR="00C70083" w:rsidRPr="00614E7F">
        <w:t xml:space="preserve">convenience sample of SSc patients receiving treatment at </w:t>
      </w:r>
      <w:r w:rsidR="00204A14" w:rsidRPr="00614E7F">
        <w:t>SPIN recruiting</w:t>
      </w:r>
      <w:r w:rsidR="00C70083" w:rsidRPr="00614E7F">
        <w:t xml:space="preserve"> center</w:t>
      </w:r>
      <w:r w:rsidR="002330A9">
        <w:t>s</w:t>
      </w:r>
      <w:r w:rsidR="00C70083" w:rsidRPr="00614E7F">
        <w:t xml:space="preserve">, and </w:t>
      </w:r>
      <w:r w:rsidR="00204A14" w:rsidRPr="00614E7F">
        <w:t>patients at these centers may differ from those in other settings</w:t>
      </w:r>
      <w:r w:rsidR="00C70083" w:rsidRPr="00614E7F">
        <w:t xml:space="preserve">. SSc patients in the SPIN Cohort </w:t>
      </w:r>
      <w:r w:rsidR="002330A9">
        <w:t xml:space="preserve">also </w:t>
      </w:r>
      <w:r w:rsidRPr="00614E7F">
        <w:t xml:space="preserve">complete questionnaires online, which may </w:t>
      </w:r>
      <w:r w:rsidR="00D915C2" w:rsidRPr="00614E7F">
        <w:t xml:space="preserve">further </w:t>
      </w:r>
      <w:r w:rsidRPr="00614E7F">
        <w:t xml:space="preserve">limit the generalizability of findings. </w:t>
      </w:r>
      <w:r w:rsidR="00F068F1" w:rsidRPr="00614E7F">
        <w:t xml:space="preserve">An additional </w:t>
      </w:r>
      <w:r w:rsidR="004E6AC3" w:rsidRPr="00614E7F">
        <w:t>limitation</w:t>
      </w:r>
      <w:r w:rsidR="00072D79">
        <w:t xml:space="preserve"> </w:t>
      </w:r>
      <w:r w:rsidR="003A75EE" w:rsidRPr="00614E7F">
        <w:t>relates to the nature of disease characteristics included in the analyses</w:t>
      </w:r>
      <w:r w:rsidR="009E52D0" w:rsidRPr="00614E7F">
        <w:t>. S</w:t>
      </w:r>
      <w:r w:rsidR="003A75EE" w:rsidRPr="00614E7F">
        <w:t xml:space="preserve">pecifically, </w:t>
      </w:r>
      <w:r w:rsidR="00CD788F" w:rsidRPr="00614E7F">
        <w:t xml:space="preserve">the majority of </w:t>
      </w:r>
      <w:r w:rsidR="00FC6DAB" w:rsidRPr="00614E7F">
        <w:t xml:space="preserve">the </w:t>
      </w:r>
      <w:r w:rsidR="00CD788F" w:rsidRPr="00614E7F">
        <w:t xml:space="preserve">variables consisted of </w:t>
      </w:r>
      <w:r w:rsidR="00B44648" w:rsidRPr="00614E7F">
        <w:t xml:space="preserve">fairly crude </w:t>
      </w:r>
      <w:r w:rsidR="00CD788F" w:rsidRPr="00614E7F">
        <w:t xml:space="preserve">indicators of </w:t>
      </w:r>
      <w:r w:rsidR="00270B7C" w:rsidRPr="00614E7F">
        <w:t xml:space="preserve">either </w:t>
      </w:r>
      <w:r w:rsidR="00CD788F" w:rsidRPr="00614E7F">
        <w:t xml:space="preserve">the presence </w:t>
      </w:r>
      <w:r w:rsidR="0099370B" w:rsidRPr="00614E7F">
        <w:t xml:space="preserve">or absence </w:t>
      </w:r>
      <w:r w:rsidR="00CD788F" w:rsidRPr="00614E7F">
        <w:t xml:space="preserve">of </w:t>
      </w:r>
      <w:r w:rsidR="00FC6DAB" w:rsidRPr="00614E7F">
        <w:t xml:space="preserve">a </w:t>
      </w:r>
      <w:r w:rsidR="004A69E1" w:rsidRPr="00614E7F">
        <w:t xml:space="preserve">particular </w:t>
      </w:r>
      <w:r w:rsidR="0099370B" w:rsidRPr="00614E7F">
        <w:t>disease factor</w:t>
      </w:r>
      <w:r w:rsidR="00F75829" w:rsidRPr="00614E7F">
        <w:t xml:space="preserve"> </w:t>
      </w:r>
      <w:r w:rsidR="004A69E1" w:rsidRPr="00614E7F">
        <w:t>and did n</w:t>
      </w:r>
      <w:r w:rsidR="002F1257" w:rsidRPr="00614E7F">
        <w:t xml:space="preserve">ot provide a measure </w:t>
      </w:r>
      <w:r w:rsidR="0099370B" w:rsidRPr="00614E7F">
        <w:t xml:space="preserve">of </w:t>
      </w:r>
      <w:r w:rsidR="004A69E1" w:rsidRPr="00614E7F">
        <w:t>severity</w:t>
      </w:r>
      <w:r w:rsidR="0099370B" w:rsidRPr="00614E7F">
        <w:t xml:space="preserve">. </w:t>
      </w:r>
      <w:r w:rsidR="002470E1" w:rsidRPr="00614E7F">
        <w:t>This may have reduced the ability to identify</w:t>
      </w:r>
      <w:r w:rsidR="0099370B" w:rsidRPr="00614E7F">
        <w:t xml:space="preserve"> any associations</w:t>
      </w:r>
      <w:r w:rsidR="002470E1" w:rsidRPr="00614E7F">
        <w:t>, if present,</w:t>
      </w:r>
      <w:r w:rsidR="0099370B" w:rsidRPr="00614E7F">
        <w:t xml:space="preserve"> between the severity of visible differences from the disease and the </w:t>
      </w:r>
      <w:r w:rsidR="002470E1" w:rsidRPr="00614E7F">
        <w:t xml:space="preserve">presence </w:t>
      </w:r>
      <w:r w:rsidR="00B80B7E" w:rsidRPr="00614E7F">
        <w:t>of</w:t>
      </w:r>
      <w:r w:rsidR="0099370B" w:rsidRPr="00614E7F">
        <w:t xml:space="preserve"> appearance concerns</w:t>
      </w:r>
      <w:r w:rsidR="00FC6DAB" w:rsidRPr="00614E7F">
        <w:t xml:space="preserve">. </w:t>
      </w:r>
      <w:r w:rsidR="00FC6DAB" w:rsidRPr="00614E7F">
        <w:rPr>
          <w:bCs/>
        </w:rPr>
        <w:t xml:space="preserve">An additional limitation is that the sample sizes of Black patients and those </w:t>
      </w:r>
      <w:r w:rsidR="00854827" w:rsidRPr="00614E7F">
        <w:rPr>
          <w:bCs/>
        </w:rPr>
        <w:t xml:space="preserve">who </w:t>
      </w:r>
      <w:r w:rsidR="00FC6DAB" w:rsidRPr="00614E7F">
        <w:rPr>
          <w:bCs/>
        </w:rPr>
        <w:t xml:space="preserve">self-identified as </w:t>
      </w:r>
      <w:r w:rsidR="00693BCA" w:rsidRPr="00614E7F">
        <w:rPr>
          <w:bCs/>
        </w:rPr>
        <w:t xml:space="preserve">members of </w:t>
      </w:r>
      <w:r w:rsidR="006616FD" w:rsidRPr="00614E7F">
        <w:rPr>
          <w:bCs/>
        </w:rPr>
        <w:t xml:space="preserve">another </w:t>
      </w:r>
      <w:r w:rsidR="00FC6DAB" w:rsidRPr="00614E7F">
        <w:rPr>
          <w:bCs/>
        </w:rPr>
        <w:t xml:space="preserve">racial/ethnic </w:t>
      </w:r>
      <w:r w:rsidR="00693BCA" w:rsidRPr="00614E7F">
        <w:rPr>
          <w:bCs/>
        </w:rPr>
        <w:t xml:space="preserve">group </w:t>
      </w:r>
      <w:r w:rsidR="00FC6DAB" w:rsidRPr="00614E7F">
        <w:rPr>
          <w:bCs/>
        </w:rPr>
        <w:t>were small</w:t>
      </w:r>
      <w:r w:rsidR="004834AD" w:rsidRPr="00614E7F">
        <w:rPr>
          <w:bCs/>
        </w:rPr>
        <w:t>.</w:t>
      </w:r>
      <w:r w:rsidR="00FC6DAB" w:rsidRPr="00614E7F">
        <w:rPr>
          <w:bCs/>
        </w:rPr>
        <w:t xml:space="preserve"> </w:t>
      </w:r>
      <w:r w:rsidR="00531626" w:rsidRPr="00614E7F">
        <w:t>These limitations may have been</w:t>
      </w:r>
      <w:r w:rsidR="000355B2" w:rsidRPr="00614E7F">
        <w:t xml:space="preserve"> reflected in the model fit statistics</w:t>
      </w:r>
      <w:r w:rsidR="00312E45" w:rsidRPr="00614E7F">
        <w:rPr>
          <w:bCs/>
        </w:rPr>
        <w:t>, which</w:t>
      </w:r>
      <w:r w:rsidR="00DC1900" w:rsidRPr="00614E7F">
        <w:rPr>
          <w:bCs/>
        </w:rPr>
        <w:t xml:space="preserve"> </w:t>
      </w:r>
      <w:r w:rsidR="00A67E42">
        <w:rPr>
          <w:bCs/>
        </w:rPr>
        <w:t>were</w:t>
      </w:r>
      <w:r w:rsidR="002470E1" w:rsidRPr="00614E7F">
        <w:rPr>
          <w:bCs/>
        </w:rPr>
        <w:t xml:space="preserve"> less than ideal</w:t>
      </w:r>
      <w:r w:rsidR="004E6AC3" w:rsidRPr="00614E7F">
        <w:rPr>
          <w:bCs/>
        </w:rPr>
        <w:t xml:space="preserve"> </w:t>
      </w:r>
      <w:r w:rsidR="00487451">
        <w:rPr>
          <w:bCs/>
        </w:rPr>
        <w:t>[</w:t>
      </w:r>
      <w:r w:rsidR="0071654A" w:rsidRPr="00614E7F">
        <w:rPr>
          <w:bCs/>
        </w:rPr>
        <w:t>2</w:t>
      </w:r>
      <w:r w:rsidR="009E368C">
        <w:rPr>
          <w:bCs/>
        </w:rPr>
        <w:t>8</w:t>
      </w:r>
      <w:r w:rsidR="00487451">
        <w:rPr>
          <w:bCs/>
        </w:rPr>
        <w:t>]</w:t>
      </w:r>
      <w:r w:rsidR="0071654A" w:rsidRPr="00614E7F">
        <w:rPr>
          <w:bCs/>
        </w:rPr>
        <w:t>.</w:t>
      </w:r>
      <w:r w:rsidR="00B44648" w:rsidRPr="00614E7F">
        <w:rPr>
          <w:bCs/>
        </w:rPr>
        <w:t xml:space="preserve"> </w:t>
      </w:r>
      <w:r w:rsidR="00531626" w:rsidRPr="00614E7F">
        <w:rPr>
          <w:bCs/>
        </w:rPr>
        <w:t xml:space="preserve">It is also possible that the relatively limited information obtained from the predictive model </w:t>
      </w:r>
      <w:r w:rsidR="00877CE7">
        <w:rPr>
          <w:bCs/>
        </w:rPr>
        <w:t>was</w:t>
      </w:r>
      <w:r w:rsidR="00FF0D3D" w:rsidRPr="00614E7F">
        <w:rPr>
          <w:bCs/>
        </w:rPr>
        <w:t xml:space="preserve"> due to the dichotomous outcome variable. Most patients reported the presence of appearance </w:t>
      </w:r>
      <w:r w:rsidR="000E6C4C" w:rsidRPr="00614E7F">
        <w:rPr>
          <w:bCs/>
        </w:rPr>
        <w:t xml:space="preserve">concerns; however, </w:t>
      </w:r>
      <w:r w:rsidR="00312E45" w:rsidRPr="00614E7F">
        <w:rPr>
          <w:bCs/>
        </w:rPr>
        <w:t xml:space="preserve">measuring </w:t>
      </w:r>
      <w:r w:rsidR="00957626" w:rsidRPr="00614E7F">
        <w:rPr>
          <w:bCs/>
        </w:rPr>
        <w:t xml:space="preserve">appearance concerns </w:t>
      </w:r>
      <w:r w:rsidR="00FF0D3D" w:rsidRPr="00614E7F">
        <w:rPr>
          <w:bCs/>
        </w:rPr>
        <w:t xml:space="preserve">may </w:t>
      </w:r>
      <w:r w:rsidR="00957626" w:rsidRPr="00614E7F">
        <w:rPr>
          <w:bCs/>
        </w:rPr>
        <w:t xml:space="preserve">not </w:t>
      </w:r>
      <w:r w:rsidR="00FF0D3D" w:rsidRPr="00614E7F">
        <w:rPr>
          <w:bCs/>
        </w:rPr>
        <w:t xml:space="preserve">be </w:t>
      </w:r>
      <w:r w:rsidR="00957626" w:rsidRPr="00614E7F">
        <w:rPr>
          <w:bCs/>
        </w:rPr>
        <w:t>something easily categorized</w:t>
      </w:r>
      <w:r w:rsidR="00531626" w:rsidRPr="00614E7F">
        <w:rPr>
          <w:bCs/>
        </w:rPr>
        <w:t xml:space="preserve"> as present or absent</w:t>
      </w:r>
      <w:r w:rsidR="00DC1F55">
        <w:rPr>
          <w:bCs/>
        </w:rPr>
        <w:t>,</w:t>
      </w:r>
      <w:r w:rsidR="00600031" w:rsidRPr="00614E7F">
        <w:rPr>
          <w:bCs/>
        </w:rPr>
        <w:t xml:space="preserve"> and thus</w:t>
      </w:r>
      <w:r w:rsidR="00DC1F55">
        <w:rPr>
          <w:bCs/>
        </w:rPr>
        <w:t>,</w:t>
      </w:r>
      <w:r w:rsidR="00600031" w:rsidRPr="00614E7F">
        <w:rPr>
          <w:bCs/>
        </w:rPr>
        <w:t xml:space="preserve"> the study results may differ if a more robust measure of appearance concerns </w:t>
      </w:r>
      <w:r w:rsidR="0060110D">
        <w:rPr>
          <w:bCs/>
        </w:rPr>
        <w:t xml:space="preserve">were </w:t>
      </w:r>
      <w:r w:rsidR="00600031" w:rsidRPr="00614E7F">
        <w:rPr>
          <w:bCs/>
        </w:rPr>
        <w:t>used</w:t>
      </w:r>
      <w:r w:rsidR="00957626" w:rsidRPr="00614E7F">
        <w:rPr>
          <w:bCs/>
        </w:rPr>
        <w:t xml:space="preserve">. </w:t>
      </w:r>
      <w:r w:rsidR="004B52CE">
        <w:rPr>
          <w:bCs/>
        </w:rPr>
        <w:t>Additionally</w:t>
      </w:r>
      <w:r w:rsidR="00460005" w:rsidRPr="00614E7F">
        <w:rPr>
          <w:bCs/>
        </w:rPr>
        <w:t xml:space="preserve">, the general population sample comparison was done with the only general population data that </w:t>
      </w:r>
      <w:r w:rsidR="00B9262B">
        <w:rPr>
          <w:bCs/>
        </w:rPr>
        <w:t>were</w:t>
      </w:r>
      <w:r w:rsidR="00B9262B" w:rsidRPr="00614E7F">
        <w:rPr>
          <w:bCs/>
        </w:rPr>
        <w:t xml:space="preserve"> </w:t>
      </w:r>
      <w:r w:rsidR="00F27A19">
        <w:rPr>
          <w:bCs/>
        </w:rPr>
        <w:t xml:space="preserve">currently </w:t>
      </w:r>
      <w:r w:rsidR="00460005" w:rsidRPr="00614E7F">
        <w:rPr>
          <w:bCs/>
        </w:rPr>
        <w:t xml:space="preserve">available. </w:t>
      </w:r>
      <w:r w:rsidR="00B93EB4" w:rsidRPr="00614E7F">
        <w:rPr>
          <w:bCs/>
        </w:rPr>
        <w:t>While i</w:t>
      </w:r>
      <w:r w:rsidR="00460005" w:rsidRPr="00614E7F">
        <w:rPr>
          <w:bCs/>
        </w:rPr>
        <w:t xml:space="preserve">t </w:t>
      </w:r>
      <w:r w:rsidR="00B9262B">
        <w:rPr>
          <w:bCs/>
        </w:rPr>
        <w:t>wa</w:t>
      </w:r>
      <w:r w:rsidR="00B9262B" w:rsidRPr="00614E7F">
        <w:rPr>
          <w:bCs/>
        </w:rPr>
        <w:t xml:space="preserve">s </w:t>
      </w:r>
      <w:r w:rsidR="00460005" w:rsidRPr="00614E7F">
        <w:rPr>
          <w:bCs/>
        </w:rPr>
        <w:t xml:space="preserve">useful to contextualize patterns </w:t>
      </w:r>
      <w:r w:rsidR="00B93EB4" w:rsidRPr="00614E7F">
        <w:rPr>
          <w:bCs/>
        </w:rPr>
        <w:t xml:space="preserve">of appearance concerns </w:t>
      </w:r>
      <w:r w:rsidR="00460005" w:rsidRPr="00614E7F">
        <w:rPr>
          <w:bCs/>
        </w:rPr>
        <w:t>among patients with SSc,</w:t>
      </w:r>
      <w:r w:rsidR="00B93EB4" w:rsidRPr="00614E7F">
        <w:rPr>
          <w:bCs/>
        </w:rPr>
        <w:t xml:space="preserve"> </w:t>
      </w:r>
      <w:r w:rsidR="00460005" w:rsidRPr="00614E7F">
        <w:rPr>
          <w:bCs/>
        </w:rPr>
        <w:t xml:space="preserve">the degree of actual differences may </w:t>
      </w:r>
      <w:r w:rsidR="00460005" w:rsidRPr="00614E7F">
        <w:rPr>
          <w:bCs/>
        </w:rPr>
        <w:lastRenderedPageBreak/>
        <w:t>have been influenced by factors not considered in the present analysis.</w:t>
      </w:r>
      <w:r w:rsidR="004B52CE">
        <w:rPr>
          <w:bCs/>
        </w:rPr>
        <w:t xml:space="preserve"> </w:t>
      </w:r>
      <w:r w:rsidR="00061D5D">
        <w:rPr>
          <w:bCs/>
        </w:rPr>
        <w:t>Another limitation is that</w:t>
      </w:r>
      <w:r w:rsidR="004B52CE">
        <w:rPr>
          <w:bCs/>
        </w:rPr>
        <w:t xml:space="preserve"> the categories for reporting features of concern </w:t>
      </w:r>
      <w:r w:rsidR="00061D5D">
        <w:rPr>
          <w:bCs/>
        </w:rPr>
        <w:t xml:space="preserve">that were used </w:t>
      </w:r>
      <w:r w:rsidR="000F2BC9">
        <w:rPr>
          <w:bCs/>
        </w:rPr>
        <w:t xml:space="preserve">in the present study </w:t>
      </w:r>
      <w:r w:rsidR="004B52CE">
        <w:rPr>
          <w:bCs/>
        </w:rPr>
        <w:t>were somewhat broad</w:t>
      </w:r>
      <w:r w:rsidR="00922ED2">
        <w:rPr>
          <w:bCs/>
        </w:rPr>
        <w:t xml:space="preserve"> and non-specific</w:t>
      </w:r>
      <w:r w:rsidR="004B52CE">
        <w:rPr>
          <w:bCs/>
        </w:rPr>
        <w:t xml:space="preserve">, </w:t>
      </w:r>
      <w:r w:rsidR="00922ED2">
        <w:rPr>
          <w:bCs/>
        </w:rPr>
        <w:t>which did not allow for a detailed description of the features listed by patients</w:t>
      </w:r>
      <w:r w:rsidR="00B9262B">
        <w:rPr>
          <w:bCs/>
        </w:rPr>
        <w:t>. Nonetheless, they provided a</w:t>
      </w:r>
      <w:r w:rsidR="007936AD">
        <w:rPr>
          <w:bCs/>
        </w:rPr>
        <w:t xml:space="preserve"> general understanding of the common types of appearance concerns </w:t>
      </w:r>
      <w:r w:rsidR="002D2055">
        <w:rPr>
          <w:bCs/>
        </w:rPr>
        <w:t>among</w:t>
      </w:r>
      <w:r w:rsidR="007936AD">
        <w:rPr>
          <w:bCs/>
        </w:rPr>
        <w:t xml:space="preserve"> patients and </w:t>
      </w:r>
      <w:r w:rsidR="00B9262B">
        <w:rPr>
          <w:bCs/>
        </w:rPr>
        <w:t xml:space="preserve">underlined that </w:t>
      </w:r>
      <w:r w:rsidR="00BB5336">
        <w:rPr>
          <w:bCs/>
        </w:rPr>
        <w:t>those</w:t>
      </w:r>
      <w:r w:rsidR="007936AD">
        <w:rPr>
          <w:bCs/>
        </w:rPr>
        <w:t xml:space="preserve"> </w:t>
      </w:r>
      <w:r w:rsidR="00B9262B">
        <w:rPr>
          <w:bCs/>
        </w:rPr>
        <w:t xml:space="preserve">most important do </w:t>
      </w:r>
      <w:r w:rsidR="007936AD">
        <w:rPr>
          <w:bCs/>
        </w:rPr>
        <w:t xml:space="preserve">not vary </w:t>
      </w:r>
      <w:r w:rsidR="00B9262B">
        <w:rPr>
          <w:bCs/>
        </w:rPr>
        <w:t xml:space="preserve">substantially </w:t>
      </w:r>
      <w:r w:rsidR="007936AD">
        <w:rPr>
          <w:bCs/>
        </w:rPr>
        <w:t xml:space="preserve">across sex or racial/ethnic groups. </w:t>
      </w:r>
      <w:r w:rsidR="00061D5D">
        <w:rPr>
          <w:bCs/>
        </w:rPr>
        <w:t xml:space="preserve">Finally, we used self-reported race/ethnicity classifications. Race/ethnicity is a complex construct that may reflect sociocultural aspects of experience as much as biological aspects. Furthermore, the Other </w:t>
      </w:r>
      <w:r w:rsidR="00871E3F">
        <w:rPr>
          <w:bCs/>
        </w:rPr>
        <w:t>r</w:t>
      </w:r>
      <w:r w:rsidR="000F2676">
        <w:rPr>
          <w:bCs/>
        </w:rPr>
        <w:t xml:space="preserve">ace/ethnicity </w:t>
      </w:r>
      <w:r w:rsidR="00061D5D">
        <w:rPr>
          <w:bCs/>
        </w:rPr>
        <w:t>category allowed us to separate out people who did not identify as White or Black, but its composition was heterogeneous and not necessarily informative in relation to the experience of any patient or group of patients classified in the Other group.</w:t>
      </w:r>
    </w:p>
    <w:p w14:paraId="39E01447" w14:textId="2C1930D9" w:rsidR="00125842" w:rsidRDefault="00826496" w:rsidP="00B05780">
      <w:pPr>
        <w:spacing w:line="480" w:lineRule="auto"/>
        <w:ind w:firstLine="720"/>
      </w:pPr>
      <w:r w:rsidRPr="00614E7F">
        <w:t xml:space="preserve">In sum, </w:t>
      </w:r>
      <w:r w:rsidR="001F0DC5" w:rsidRPr="00614E7F">
        <w:t>f</w:t>
      </w:r>
      <w:r w:rsidRPr="00614E7F">
        <w:t xml:space="preserve">emale SSc patients had significantly higher odds of </w:t>
      </w:r>
      <w:r w:rsidR="006877CD" w:rsidRPr="00614E7F">
        <w:t xml:space="preserve">reporting </w:t>
      </w:r>
      <w:r w:rsidR="00F03B2F">
        <w:t xml:space="preserve">appearance </w:t>
      </w:r>
      <w:r w:rsidR="00D97277">
        <w:t>concerns than male patients</w:t>
      </w:r>
      <w:r w:rsidRPr="00614E7F">
        <w:t xml:space="preserve">. </w:t>
      </w:r>
      <w:r w:rsidR="00FF0D3D" w:rsidRPr="00614E7F">
        <w:t xml:space="preserve">Although </w:t>
      </w:r>
      <w:r w:rsidRPr="00614E7F">
        <w:t>Black SSc patients had higher odds of experiencing appearance concerns than White patients</w:t>
      </w:r>
      <w:r w:rsidR="00FB631D" w:rsidRPr="00614E7F">
        <w:t xml:space="preserve"> on an unadjusted basis</w:t>
      </w:r>
      <w:r w:rsidRPr="00614E7F">
        <w:t xml:space="preserve">, this result was not </w:t>
      </w:r>
      <w:r w:rsidR="003264D6" w:rsidRPr="00614E7F">
        <w:t xml:space="preserve">statistically </w:t>
      </w:r>
      <w:r w:rsidRPr="00614E7F">
        <w:t>significan</w:t>
      </w:r>
      <w:r w:rsidR="003264D6" w:rsidRPr="00614E7F">
        <w:t>t</w:t>
      </w:r>
      <w:r w:rsidR="00E30791" w:rsidRPr="00614E7F">
        <w:t xml:space="preserve"> when accounting for the influence of other sociodemographic and disease</w:t>
      </w:r>
      <w:r w:rsidR="00DB71FE">
        <w:t>/medical</w:t>
      </w:r>
      <w:r w:rsidR="00E30791" w:rsidRPr="00614E7F">
        <w:t xml:space="preserve"> characteristics</w:t>
      </w:r>
      <w:r w:rsidR="003264D6" w:rsidRPr="00614E7F">
        <w:t xml:space="preserve">. </w:t>
      </w:r>
      <w:r w:rsidR="00FB631D" w:rsidRPr="00614E7F">
        <w:t>It may be the case that greater appearance concerns among Black patients reflect more significant appearance changes</w:t>
      </w:r>
      <w:r w:rsidR="00EE3E29">
        <w:t xml:space="preserve">, such as </w:t>
      </w:r>
      <w:r w:rsidR="00507ED5">
        <w:t>skin involvement, including pigmentation changes</w:t>
      </w:r>
      <w:r w:rsidR="002C416D" w:rsidRPr="00614E7F">
        <w:t>.</w:t>
      </w:r>
      <w:r w:rsidR="00C3433E">
        <w:t xml:space="preserve"> </w:t>
      </w:r>
      <w:r w:rsidR="00B9262B">
        <w:t>Both w</w:t>
      </w:r>
      <w:r w:rsidR="00B9262B" w:rsidRPr="00614E7F">
        <w:rPr>
          <w:lang w:val="en-GB"/>
        </w:rPr>
        <w:t xml:space="preserve">omen </w:t>
      </w:r>
      <w:r w:rsidR="00F10CA8" w:rsidRPr="00614E7F">
        <w:rPr>
          <w:lang w:val="en-GB"/>
        </w:rPr>
        <w:t>and men with SSc</w:t>
      </w:r>
      <w:r w:rsidR="00F10CA8">
        <w:rPr>
          <w:lang w:val="en-GB"/>
        </w:rPr>
        <w:t xml:space="preserve"> were more likely </w:t>
      </w:r>
      <w:r w:rsidR="00C3433E" w:rsidRPr="00614E7F">
        <w:rPr>
          <w:lang w:val="en-GB"/>
        </w:rPr>
        <w:t>to report appearance concerns</w:t>
      </w:r>
      <w:r w:rsidR="00B9262B">
        <w:rPr>
          <w:lang w:val="en-GB"/>
        </w:rPr>
        <w:t xml:space="preserve"> than general population survey respondents. The differen</w:t>
      </w:r>
      <w:r w:rsidR="00040696">
        <w:rPr>
          <w:lang w:val="en-GB"/>
        </w:rPr>
        <w:t>ce in reporting of appearance concerns</w:t>
      </w:r>
      <w:r w:rsidR="00B9262B">
        <w:rPr>
          <w:lang w:val="en-GB"/>
        </w:rPr>
        <w:t xml:space="preserve"> between SSc </w:t>
      </w:r>
      <w:r w:rsidR="001B7A29">
        <w:rPr>
          <w:lang w:val="en-GB"/>
        </w:rPr>
        <w:t xml:space="preserve">patients </w:t>
      </w:r>
      <w:r w:rsidR="00B9262B">
        <w:rPr>
          <w:lang w:val="en-GB"/>
        </w:rPr>
        <w:t>and the general population was greatest for men and for older patients. In both of these cases, rates in the general population were relatively low for these groups, but much less so in SSc.</w:t>
      </w:r>
      <w:r w:rsidR="00C3433E" w:rsidRPr="00614E7F">
        <w:rPr>
          <w:lang w:val="en-GB"/>
        </w:rPr>
        <w:t xml:space="preserve"> </w:t>
      </w:r>
      <w:r w:rsidR="00B9262B">
        <w:rPr>
          <w:lang w:val="en-GB"/>
        </w:rPr>
        <w:t>Despite differences in overall rates, across groups defined by sex or race/ethnicity, the</w:t>
      </w:r>
      <w:r w:rsidR="00C3433E">
        <w:rPr>
          <w:lang w:val="en-GB"/>
        </w:rPr>
        <w:t xml:space="preserve"> most commonly reported features of </w:t>
      </w:r>
      <w:r w:rsidR="006C2F06">
        <w:rPr>
          <w:lang w:val="en-GB"/>
        </w:rPr>
        <w:t xml:space="preserve">appearance </w:t>
      </w:r>
      <w:r w:rsidR="00C3433E">
        <w:rPr>
          <w:lang w:val="en-GB"/>
        </w:rPr>
        <w:t>concern related to the face and head</w:t>
      </w:r>
      <w:r w:rsidR="00ED6EAD">
        <w:rPr>
          <w:lang w:val="en-GB"/>
        </w:rPr>
        <w:t xml:space="preserve"> regions</w:t>
      </w:r>
      <w:r w:rsidR="00C3433E">
        <w:rPr>
          <w:lang w:val="en-GB"/>
        </w:rPr>
        <w:t xml:space="preserve">, followed </w:t>
      </w:r>
      <w:r w:rsidR="00C3433E">
        <w:rPr>
          <w:lang w:val="en-GB"/>
        </w:rPr>
        <w:lastRenderedPageBreak/>
        <w:t>by the hands and fingers.</w:t>
      </w:r>
      <w:r w:rsidR="002C416D" w:rsidRPr="00614E7F">
        <w:t xml:space="preserve"> Replications of the current study with larger samples of Black and other </w:t>
      </w:r>
      <w:r w:rsidR="0092245B" w:rsidRPr="00614E7F">
        <w:t>racial</w:t>
      </w:r>
      <w:r w:rsidR="004D5733" w:rsidRPr="00614E7F">
        <w:t>/</w:t>
      </w:r>
      <w:r w:rsidR="002C416D" w:rsidRPr="00614E7F">
        <w:t xml:space="preserve">ethnic groups </w:t>
      </w:r>
      <w:r w:rsidR="001B7A29">
        <w:t>are</w:t>
      </w:r>
      <w:r w:rsidR="00B9262B" w:rsidRPr="00614E7F">
        <w:t xml:space="preserve"> </w:t>
      </w:r>
      <w:r w:rsidR="002C416D" w:rsidRPr="00614E7F">
        <w:t xml:space="preserve">needed. </w:t>
      </w:r>
      <w:r w:rsidR="00FB631D" w:rsidRPr="00614E7F">
        <w:t>In addition, future studies should include assessment of appearance concerns with a continuously measured outcome variable</w:t>
      </w:r>
      <w:r w:rsidR="009A7CAC" w:rsidRPr="00614E7F">
        <w:t xml:space="preserve"> or one that explores multiple domains of appearance concerns</w:t>
      </w:r>
      <w:r w:rsidR="000051A3">
        <w:t>, as well as include factors</w:t>
      </w:r>
      <w:r w:rsidR="009E438F">
        <w:t>,</w:t>
      </w:r>
      <w:r w:rsidR="000051A3">
        <w:t xml:space="preserve"> such as disease duration and disease and serological subtype</w:t>
      </w:r>
      <w:r w:rsidR="002566E6">
        <w:t>,</w:t>
      </w:r>
      <w:r w:rsidR="000051A3">
        <w:t xml:space="preserve"> to explore their potential impact on appearance concerns</w:t>
      </w:r>
      <w:r w:rsidR="00FB631D" w:rsidRPr="00614E7F">
        <w:t>.</w:t>
      </w:r>
    </w:p>
    <w:p w14:paraId="43C26675" w14:textId="22A17D78" w:rsidR="00E14A43" w:rsidRDefault="00E14A43">
      <w:r>
        <w:br w:type="page"/>
      </w:r>
    </w:p>
    <w:p w14:paraId="327982BC" w14:textId="77777777" w:rsidR="00E14A43" w:rsidRDefault="00E14A43" w:rsidP="00E14A43">
      <w:pPr>
        <w:spacing w:line="480" w:lineRule="auto"/>
        <w:outlineLvl w:val="0"/>
        <w:rPr>
          <w:b/>
        </w:rPr>
      </w:pPr>
      <w:r>
        <w:rPr>
          <w:b/>
        </w:rPr>
        <w:lastRenderedPageBreak/>
        <w:t>ACKNOWLEDGMENTS</w:t>
      </w:r>
    </w:p>
    <w:p w14:paraId="6F23EF28" w14:textId="13BC81FC" w:rsidR="00E14A43" w:rsidRPr="00705070" w:rsidRDefault="00E14A43" w:rsidP="00705070">
      <w:pPr>
        <w:spacing w:line="480" w:lineRule="auto"/>
        <w:ind w:firstLine="709"/>
      </w:pPr>
      <w:r w:rsidRPr="00705070">
        <w:t xml:space="preserve">This study was supported by funding to the Scleroderma Patient-centered Intervention Network </w:t>
      </w:r>
      <w:r w:rsidR="001A2B88">
        <w:t xml:space="preserve">(SPIN) </w:t>
      </w:r>
      <w:r w:rsidRPr="00705070">
        <w:t xml:space="preserve">from the Canadian Institutes of Health Research (PI Thombs; TR3-119192). In addition to CIHR funding, SPIN has received institutional contributions from the Lady Davis Institute for Medical Research of the Jewish General Hospital, Montréal, Canada and from McGill University, Montréal, Canada. </w:t>
      </w:r>
      <w:r w:rsidRPr="00705070">
        <w:rPr>
          <w:iCs/>
        </w:rPr>
        <w:t xml:space="preserve">SPIN has also received support from the Scleroderma Society of Ontario, the Scleroderma Society of Canada, and </w:t>
      </w:r>
      <w:proofErr w:type="spellStart"/>
      <w:r w:rsidRPr="00705070">
        <w:rPr>
          <w:iCs/>
        </w:rPr>
        <w:t>Sclérodermie</w:t>
      </w:r>
      <w:proofErr w:type="spellEnd"/>
      <w:r w:rsidRPr="00705070">
        <w:rPr>
          <w:iCs/>
        </w:rPr>
        <w:t xml:space="preserve"> Québec. Ms. Jewett </w:t>
      </w:r>
      <w:r w:rsidRPr="00705070">
        <w:t xml:space="preserve">was supported by a CIHR Doctoral Research Award. </w:t>
      </w:r>
      <w:r w:rsidRPr="00705070">
        <w:rPr>
          <w:rStyle w:val="Style"/>
          <w:sz w:val="24"/>
          <w:lang w:val="en-CA"/>
        </w:rPr>
        <w:t xml:space="preserve">Dr. </w:t>
      </w:r>
      <w:proofErr w:type="spellStart"/>
      <w:r w:rsidRPr="00705070">
        <w:rPr>
          <w:rStyle w:val="Style"/>
          <w:sz w:val="24"/>
          <w:lang w:val="en-CA"/>
        </w:rPr>
        <w:t>Kwakkenbos</w:t>
      </w:r>
      <w:proofErr w:type="spellEnd"/>
      <w:r w:rsidRPr="00705070">
        <w:rPr>
          <w:rStyle w:val="Style"/>
          <w:sz w:val="24"/>
          <w:lang w:val="en-CA"/>
        </w:rPr>
        <w:t xml:space="preserve"> was supported </w:t>
      </w:r>
      <w:r w:rsidRPr="00705070">
        <w:rPr>
          <w:iCs/>
          <w:lang w:val="en-CA"/>
        </w:rPr>
        <w:t xml:space="preserve">by a </w:t>
      </w:r>
      <w:r w:rsidRPr="00705070">
        <w:rPr>
          <w:bCs/>
          <w:lang w:val="en-CA"/>
        </w:rPr>
        <w:t>CIHR Banting Postdoctoral Fellowship. Ms. Rice was supported by a FRSQ Masters Training Award.</w:t>
      </w:r>
      <w:r w:rsidR="00712AD3">
        <w:rPr>
          <w:bCs/>
          <w:lang w:val="en-CA"/>
        </w:rPr>
        <w:t xml:space="preserve"> </w:t>
      </w:r>
      <w:r w:rsidR="00712AD3" w:rsidRPr="00705070">
        <w:rPr>
          <w:bCs/>
        </w:rPr>
        <w:t>Dr. Thombs was supported by an Investigator Salary Award from the Arthritis Society.</w:t>
      </w:r>
      <w:r w:rsidR="00712AD3">
        <w:rPr>
          <w:bCs/>
        </w:rPr>
        <w:t xml:space="preserve"> </w:t>
      </w:r>
      <w:r w:rsidR="00712AD3" w:rsidRPr="00705070">
        <w:rPr>
          <w:bCs/>
          <w:lang w:val="en-CA"/>
        </w:rPr>
        <w:t>The authors declare that there are no conflicts of interest to report.</w:t>
      </w:r>
    </w:p>
    <w:p w14:paraId="285726D5" w14:textId="77777777" w:rsidR="00C3545D" w:rsidRPr="00614E7F" w:rsidRDefault="00C3545D" w:rsidP="00C3545D">
      <w:pPr>
        <w:spacing w:line="480" w:lineRule="auto"/>
      </w:pPr>
    </w:p>
    <w:p w14:paraId="24EE9481" w14:textId="33C2802B" w:rsidR="002E11D4" w:rsidRDefault="00D2784F" w:rsidP="00520D05">
      <w:pPr>
        <w:rPr>
          <w:b/>
        </w:rPr>
      </w:pPr>
      <w:r>
        <w:br w:type="page"/>
      </w:r>
      <w:r w:rsidR="002E11D4" w:rsidRPr="00614E7F">
        <w:rPr>
          <w:b/>
        </w:rPr>
        <w:lastRenderedPageBreak/>
        <w:t>REFERENCES</w:t>
      </w:r>
    </w:p>
    <w:p w14:paraId="47BBB01A" w14:textId="77777777" w:rsidR="00520D05" w:rsidRPr="00614E7F" w:rsidRDefault="00520D05" w:rsidP="00520D05">
      <w:pPr>
        <w:rPr>
          <w:b/>
        </w:rPr>
      </w:pPr>
    </w:p>
    <w:p w14:paraId="6FC3E97C" w14:textId="6D37A12E" w:rsidR="002E11D4" w:rsidRPr="00614E7F" w:rsidRDefault="002E11D4" w:rsidP="002E11D4">
      <w:pPr>
        <w:numPr>
          <w:ilvl w:val="0"/>
          <w:numId w:val="5"/>
        </w:numPr>
        <w:spacing w:line="480" w:lineRule="auto"/>
      </w:pPr>
      <w:proofErr w:type="spellStart"/>
      <w:r w:rsidRPr="00614E7F">
        <w:t>Boin</w:t>
      </w:r>
      <w:proofErr w:type="spellEnd"/>
      <w:r w:rsidRPr="00614E7F">
        <w:t xml:space="preserve"> F, </w:t>
      </w:r>
      <w:proofErr w:type="spellStart"/>
      <w:r w:rsidRPr="00614E7F">
        <w:t>Wigley</w:t>
      </w:r>
      <w:proofErr w:type="spellEnd"/>
      <w:r w:rsidRPr="00614E7F">
        <w:t xml:space="preserve"> FM. Clinical features and treatment of scleroderma. In: </w:t>
      </w:r>
      <w:proofErr w:type="spellStart"/>
      <w:r w:rsidRPr="00614E7F">
        <w:t>Firestein</w:t>
      </w:r>
      <w:proofErr w:type="spellEnd"/>
      <w:r w:rsidRPr="00614E7F">
        <w:t xml:space="preserve"> GS, Budd RC, Gabriel SE, </w:t>
      </w:r>
      <w:proofErr w:type="spellStart"/>
      <w:r w:rsidRPr="00614E7F">
        <w:t>McInnes</w:t>
      </w:r>
      <w:proofErr w:type="spellEnd"/>
      <w:r w:rsidRPr="00614E7F">
        <w:t xml:space="preserve"> IB, O’Dell JR, editors. Kelley's textbook of rheumatology. </w:t>
      </w:r>
      <w:r w:rsidR="003842DA">
        <w:t>(</w:t>
      </w:r>
      <w:r w:rsidRPr="00614E7F">
        <w:t>9th ed</w:t>
      </w:r>
      <w:r w:rsidR="003842DA">
        <w:t>ition)</w:t>
      </w:r>
      <w:r w:rsidRPr="00614E7F">
        <w:t xml:space="preserve">. Philadelphia (PA): Elsevier; </w:t>
      </w:r>
      <w:r w:rsidR="00A7194E" w:rsidRPr="00614E7F">
        <w:t>2012. p.</w:t>
      </w:r>
      <w:r w:rsidRPr="00614E7F">
        <w:t>1366-1403.</w:t>
      </w:r>
    </w:p>
    <w:p w14:paraId="57F21DEA" w14:textId="7BAFC4D2" w:rsidR="00A61F3A" w:rsidRPr="00614E7F" w:rsidRDefault="002E11D4" w:rsidP="00A61F3A">
      <w:pPr>
        <w:numPr>
          <w:ilvl w:val="0"/>
          <w:numId w:val="5"/>
        </w:numPr>
        <w:spacing w:line="480" w:lineRule="auto"/>
      </w:pPr>
      <w:r w:rsidRPr="00614E7F">
        <w:t xml:space="preserve">Mayes M. Systemic sclerosis: A. clinical features. In: </w:t>
      </w:r>
      <w:proofErr w:type="spellStart"/>
      <w:r w:rsidRPr="00614E7F">
        <w:t>Klippel</w:t>
      </w:r>
      <w:proofErr w:type="spellEnd"/>
      <w:r w:rsidRPr="00614E7F">
        <w:t xml:space="preserve"> JH, Stone JH, </w:t>
      </w:r>
      <w:proofErr w:type="spellStart"/>
      <w:r w:rsidRPr="00614E7F">
        <w:t>Crafford</w:t>
      </w:r>
      <w:proofErr w:type="spellEnd"/>
      <w:r w:rsidRPr="00614E7F">
        <w:t xml:space="preserve"> LJ, White PH, editors. Primer on the rheumatic diseases. </w:t>
      </w:r>
      <w:r w:rsidR="00A26041">
        <w:t>(</w:t>
      </w:r>
      <w:r w:rsidRPr="00614E7F">
        <w:t>13th ed</w:t>
      </w:r>
      <w:r w:rsidR="00A26041">
        <w:t>ition)</w:t>
      </w:r>
      <w:r w:rsidRPr="00614E7F">
        <w:t>. New York (NY): Springer and Arthritis Foundation; 2008. p.343-50.</w:t>
      </w:r>
    </w:p>
    <w:p w14:paraId="3F68C0E7" w14:textId="7E727531" w:rsidR="00A61F3A" w:rsidRPr="00C9791A" w:rsidRDefault="00A61F3A" w:rsidP="00A61F3A">
      <w:pPr>
        <w:numPr>
          <w:ilvl w:val="0"/>
          <w:numId w:val="5"/>
        </w:numPr>
        <w:spacing w:line="480" w:lineRule="auto"/>
      </w:pPr>
      <w:r w:rsidRPr="00614E7F">
        <w:rPr>
          <w:rFonts w:eastAsia="Times New Roman"/>
          <w:color w:val="000000"/>
          <w:shd w:val="clear" w:color="auto" w:fill="FFFFFF"/>
          <w:lang w:val="en-CA"/>
        </w:rPr>
        <w:t>Rumsey N, Harcourt D. The psychology of appearance. New York: Open University Press; 2005.</w:t>
      </w:r>
    </w:p>
    <w:p w14:paraId="0BC1DDCE" w14:textId="213CDBDC" w:rsidR="00723888" w:rsidRPr="009455B5" w:rsidRDefault="00055CE9" w:rsidP="00C9791A">
      <w:pPr>
        <w:pStyle w:val="ListParagraph"/>
        <w:numPr>
          <w:ilvl w:val="0"/>
          <w:numId w:val="5"/>
        </w:numPr>
        <w:shd w:val="clear" w:color="auto" w:fill="FFFFFF"/>
        <w:spacing w:line="480" w:lineRule="auto"/>
        <w:ind w:left="357" w:hanging="357"/>
      </w:pPr>
      <w:r w:rsidRPr="00614E7F">
        <w:t xml:space="preserve">Clarke A, Thompson AR, Jenkinson E, Rumsey N, Newell R. </w:t>
      </w:r>
      <w:r w:rsidRPr="00614E7F">
        <w:rPr>
          <w:iCs/>
        </w:rPr>
        <w:t xml:space="preserve">CBT for appearance anxiety: </w:t>
      </w:r>
      <w:r w:rsidRPr="00B23E76">
        <w:rPr>
          <w:iCs/>
        </w:rPr>
        <w:t>Psychosocial interventions fo</w:t>
      </w:r>
      <w:r w:rsidRPr="009455B5">
        <w:rPr>
          <w:iCs/>
        </w:rPr>
        <w:t>r anxiety due to visible difference</w:t>
      </w:r>
      <w:r w:rsidRPr="009455B5">
        <w:t>. West Sussex: Wiley-Blackwell; 2013.</w:t>
      </w:r>
    </w:p>
    <w:p w14:paraId="0233F7DF" w14:textId="7305CCD2" w:rsidR="00B23E76" w:rsidRPr="009455B5" w:rsidRDefault="00723888" w:rsidP="00C9791A">
      <w:pPr>
        <w:numPr>
          <w:ilvl w:val="0"/>
          <w:numId w:val="5"/>
        </w:numPr>
        <w:spacing w:line="480" w:lineRule="auto"/>
        <w:ind w:left="357" w:hanging="357"/>
      </w:pPr>
      <w:r>
        <w:t xml:space="preserve">Ong J, Clarke A, White P, Johnson M, </w:t>
      </w:r>
      <w:proofErr w:type="spellStart"/>
      <w:r>
        <w:t>Withey</w:t>
      </w:r>
      <w:proofErr w:type="spellEnd"/>
      <w:r>
        <w:t xml:space="preserve"> S, Butler PEM. Does severity predict distress? The relationship between subjective and objective measures of appearance and psychological adjustment during facial lipoatrophy. Body Image 2007;</w:t>
      </w:r>
      <w:r w:rsidR="00020A77">
        <w:t xml:space="preserve"> </w:t>
      </w:r>
      <w:r>
        <w:t>4:</w:t>
      </w:r>
      <w:r w:rsidR="00020A77">
        <w:t xml:space="preserve"> </w:t>
      </w:r>
      <w:r>
        <w:t xml:space="preserve">239-48. </w:t>
      </w:r>
    </w:p>
    <w:p w14:paraId="7F51F00B" w14:textId="5D26EFA1" w:rsidR="002E11D4" w:rsidRPr="00614E7F" w:rsidRDefault="00595A74" w:rsidP="002E11D4">
      <w:pPr>
        <w:numPr>
          <w:ilvl w:val="0"/>
          <w:numId w:val="5"/>
        </w:numPr>
        <w:spacing w:line="480" w:lineRule="auto"/>
      </w:pPr>
      <w:r w:rsidRPr="00614E7F">
        <w:t>v</w:t>
      </w:r>
      <w:r w:rsidR="002E11D4" w:rsidRPr="00614E7F">
        <w:t>an</w:t>
      </w:r>
      <w:r w:rsidRPr="00614E7F">
        <w:t xml:space="preserve"> </w:t>
      </w:r>
      <w:proofErr w:type="spellStart"/>
      <w:r w:rsidR="002E11D4" w:rsidRPr="00614E7F">
        <w:t>Lankveld</w:t>
      </w:r>
      <w:proofErr w:type="spellEnd"/>
      <w:r w:rsidR="002E11D4" w:rsidRPr="00614E7F">
        <w:t xml:space="preserve"> WGJM, </w:t>
      </w:r>
      <w:proofErr w:type="spellStart"/>
      <w:r w:rsidR="002E11D4" w:rsidRPr="00614E7F">
        <w:t>Vonk</w:t>
      </w:r>
      <w:proofErr w:type="spellEnd"/>
      <w:r w:rsidR="002E11D4" w:rsidRPr="00614E7F">
        <w:t xml:space="preserve"> MC, </w:t>
      </w:r>
      <w:proofErr w:type="spellStart"/>
      <w:r w:rsidR="002E11D4" w:rsidRPr="00614E7F">
        <w:t>Teunissen</w:t>
      </w:r>
      <w:proofErr w:type="spellEnd"/>
      <w:r w:rsidR="002E11D4" w:rsidRPr="00614E7F">
        <w:t xml:space="preserve"> H, van den </w:t>
      </w:r>
      <w:proofErr w:type="spellStart"/>
      <w:r w:rsidR="002E11D4" w:rsidRPr="00614E7F">
        <w:t>Hoogen</w:t>
      </w:r>
      <w:proofErr w:type="spellEnd"/>
      <w:r w:rsidR="002E11D4" w:rsidRPr="00614E7F">
        <w:t xml:space="preserve"> FHJ. Appearance self-esteem in systemic sclerosis – subjective experience of skin deformity and its relationship with physician-assessed skin involvement, disease status and psychological variables. Rheumatology. 2007;</w:t>
      </w:r>
      <w:r w:rsidR="00020A77">
        <w:t xml:space="preserve"> </w:t>
      </w:r>
      <w:r w:rsidR="002E11D4" w:rsidRPr="00614E7F">
        <w:t>46:</w:t>
      </w:r>
      <w:r w:rsidR="00020A77">
        <w:t xml:space="preserve"> </w:t>
      </w:r>
      <w:r w:rsidR="002E11D4" w:rsidRPr="00614E7F">
        <w:t>872-6.</w:t>
      </w:r>
    </w:p>
    <w:p w14:paraId="0572CF29" w14:textId="2818FC25" w:rsidR="002E11D4" w:rsidRPr="00614E7F" w:rsidRDefault="002E11D4" w:rsidP="002E11D4">
      <w:pPr>
        <w:numPr>
          <w:ilvl w:val="0"/>
          <w:numId w:val="5"/>
        </w:numPr>
        <w:spacing w:line="480" w:lineRule="auto"/>
      </w:pPr>
      <w:r w:rsidRPr="00614E7F">
        <w:t xml:space="preserve">Jewett LR, Hudson M, </w:t>
      </w:r>
      <w:proofErr w:type="spellStart"/>
      <w:r w:rsidRPr="00614E7F">
        <w:t>Malcarne</w:t>
      </w:r>
      <w:proofErr w:type="spellEnd"/>
      <w:r w:rsidRPr="00614E7F">
        <w:t xml:space="preserve"> VL, Baron M, Thombs BD</w:t>
      </w:r>
      <w:r w:rsidR="003A1714" w:rsidRPr="00614E7F">
        <w:t>,</w:t>
      </w:r>
      <w:r w:rsidRPr="00614E7F">
        <w:t xml:space="preserve"> Canadian Scleroderma Research Group. Sociodemographic and disease correlates of body image distress among patients with systemic sclerosis. PLOS ONE. 2012;</w:t>
      </w:r>
      <w:r w:rsidR="00020A77">
        <w:t xml:space="preserve"> </w:t>
      </w:r>
      <w:r w:rsidRPr="00614E7F">
        <w:t>7:</w:t>
      </w:r>
      <w:r w:rsidR="00020A77">
        <w:t xml:space="preserve"> </w:t>
      </w:r>
      <w:r w:rsidRPr="00614E7F">
        <w:t>e33281.</w:t>
      </w:r>
    </w:p>
    <w:p w14:paraId="2082006F" w14:textId="1C461627" w:rsidR="002E11D4" w:rsidRPr="00614E7F" w:rsidRDefault="002E11D4" w:rsidP="002E11D4">
      <w:pPr>
        <w:numPr>
          <w:ilvl w:val="0"/>
          <w:numId w:val="5"/>
        </w:numPr>
        <w:spacing w:line="480" w:lineRule="auto"/>
      </w:pPr>
      <w:proofErr w:type="spellStart"/>
      <w:r w:rsidRPr="00614E7F">
        <w:lastRenderedPageBreak/>
        <w:t>Benrud</w:t>
      </w:r>
      <w:proofErr w:type="spellEnd"/>
      <w:r w:rsidRPr="00614E7F">
        <w:t xml:space="preserve">-Larson LM, </w:t>
      </w:r>
      <w:proofErr w:type="spellStart"/>
      <w:r w:rsidRPr="00614E7F">
        <w:t>Heinberg</w:t>
      </w:r>
      <w:proofErr w:type="spellEnd"/>
      <w:r w:rsidRPr="00614E7F">
        <w:t xml:space="preserve"> LJ, Boling C, Reed J, White B, </w:t>
      </w:r>
      <w:proofErr w:type="spellStart"/>
      <w:r w:rsidRPr="00614E7F">
        <w:t>Wigley</w:t>
      </w:r>
      <w:proofErr w:type="spellEnd"/>
      <w:r w:rsidRPr="00614E7F">
        <w:t xml:space="preserve"> FM, et al. Body image dissatisfaction among women with scleroderma: Extent and relationship to psychosocial function. Health Psychol. 2003;</w:t>
      </w:r>
      <w:r w:rsidR="00020A77">
        <w:t xml:space="preserve"> </w:t>
      </w:r>
      <w:r w:rsidRPr="00614E7F">
        <w:t>22:</w:t>
      </w:r>
      <w:r w:rsidR="00020A77">
        <w:t xml:space="preserve"> </w:t>
      </w:r>
      <w:r w:rsidRPr="00614E7F">
        <w:t>130-9.</w:t>
      </w:r>
    </w:p>
    <w:p w14:paraId="36576011" w14:textId="0D16ED20" w:rsidR="002E11D4" w:rsidRPr="00614E7F" w:rsidRDefault="002E11D4" w:rsidP="002E11D4">
      <w:pPr>
        <w:numPr>
          <w:ilvl w:val="0"/>
          <w:numId w:val="5"/>
        </w:numPr>
        <w:spacing w:line="480" w:lineRule="auto"/>
      </w:pPr>
      <w:proofErr w:type="spellStart"/>
      <w:r w:rsidRPr="00614E7F">
        <w:t>Malcarne</w:t>
      </w:r>
      <w:proofErr w:type="spellEnd"/>
      <w:r w:rsidRPr="00614E7F">
        <w:t xml:space="preserve"> VL, </w:t>
      </w:r>
      <w:proofErr w:type="spellStart"/>
      <w:r w:rsidRPr="00614E7F">
        <w:t>Hansdottir</w:t>
      </w:r>
      <w:proofErr w:type="spellEnd"/>
      <w:r w:rsidRPr="00614E7F">
        <w:t xml:space="preserve"> I, Greenberg HL, Clements PJ, Weisman MH. Appearance self-esteem in systemic sclerosis. </w:t>
      </w:r>
      <w:proofErr w:type="spellStart"/>
      <w:r w:rsidRPr="00614E7F">
        <w:rPr>
          <w:rStyle w:val="apple-style-span"/>
          <w:color w:val="000000"/>
        </w:rPr>
        <w:t>Cognit</w:t>
      </w:r>
      <w:proofErr w:type="spellEnd"/>
      <w:r w:rsidRPr="00614E7F">
        <w:rPr>
          <w:rStyle w:val="apple-style-span"/>
          <w:color w:val="000000"/>
        </w:rPr>
        <w:t xml:space="preserve"> </w:t>
      </w:r>
      <w:proofErr w:type="spellStart"/>
      <w:r w:rsidRPr="00614E7F">
        <w:rPr>
          <w:rStyle w:val="apple-style-span"/>
          <w:color w:val="000000"/>
        </w:rPr>
        <w:t>Ther</w:t>
      </w:r>
      <w:proofErr w:type="spellEnd"/>
      <w:r w:rsidRPr="00614E7F">
        <w:rPr>
          <w:rStyle w:val="apple-style-span"/>
          <w:color w:val="000000"/>
        </w:rPr>
        <w:t xml:space="preserve"> Res. </w:t>
      </w:r>
      <w:r w:rsidRPr="00614E7F">
        <w:t>1999;</w:t>
      </w:r>
      <w:r w:rsidR="00020A77">
        <w:t xml:space="preserve"> </w:t>
      </w:r>
      <w:r w:rsidRPr="00614E7F">
        <w:t>23:</w:t>
      </w:r>
      <w:r w:rsidR="00020A77">
        <w:t xml:space="preserve"> </w:t>
      </w:r>
      <w:r w:rsidRPr="00614E7F">
        <w:t>197-208.</w:t>
      </w:r>
    </w:p>
    <w:p w14:paraId="510D396D" w14:textId="10C0494D" w:rsidR="002E11D4" w:rsidRPr="00614E7F" w:rsidRDefault="002E11D4" w:rsidP="002E11D4">
      <w:pPr>
        <w:numPr>
          <w:ilvl w:val="0"/>
          <w:numId w:val="5"/>
        </w:numPr>
        <w:spacing w:line="480" w:lineRule="auto"/>
      </w:pPr>
      <w:proofErr w:type="spellStart"/>
      <w:r w:rsidRPr="00614E7F">
        <w:t>Kwakkenbos</w:t>
      </w:r>
      <w:proofErr w:type="spellEnd"/>
      <w:r w:rsidRPr="00614E7F">
        <w:t xml:space="preserve"> L, </w:t>
      </w:r>
      <w:proofErr w:type="spellStart"/>
      <w:r w:rsidRPr="00614E7F">
        <w:t>Delisle</w:t>
      </w:r>
      <w:proofErr w:type="spellEnd"/>
      <w:r w:rsidRPr="00614E7F">
        <w:t xml:space="preserve"> VC, Fox RS, </w:t>
      </w:r>
      <w:proofErr w:type="spellStart"/>
      <w:r w:rsidRPr="00614E7F">
        <w:t>Gholizadeh</w:t>
      </w:r>
      <w:proofErr w:type="spellEnd"/>
      <w:r w:rsidRPr="00614E7F">
        <w:t xml:space="preserve"> S, Jewett LR, Levis B, et al. Psychosocial aspects of scleroderma. Rheum Dis </w:t>
      </w:r>
      <w:proofErr w:type="spellStart"/>
      <w:r w:rsidRPr="00614E7F">
        <w:t>Clin</w:t>
      </w:r>
      <w:proofErr w:type="spellEnd"/>
      <w:r w:rsidRPr="00614E7F">
        <w:t xml:space="preserve"> N Am. 2015;</w:t>
      </w:r>
      <w:r w:rsidR="00020A77">
        <w:t xml:space="preserve"> </w:t>
      </w:r>
      <w:r w:rsidRPr="00614E7F">
        <w:t>41:</w:t>
      </w:r>
      <w:r w:rsidR="00020A77">
        <w:t xml:space="preserve"> </w:t>
      </w:r>
      <w:r w:rsidRPr="00614E7F">
        <w:t xml:space="preserve">519-28. </w:t>
      </w:r>
    </w:p>
    <w:p w14:paraId="0360EEDB" w14:textId="20BB9D3C" w:rsidR="002E11D4" w:rsidRPr="00614E7F" w:rsidRDefault="002E11D4" w:rsidP="002E11D4">
      <w:pPr>
        <w:numPr>
          <w:ilvl w:val="0"/>
          <w:numId w:val="5"/>
        </w:numPr>
        <w:spacing w:line="480" w:lineRule="auto"/>
      </w:pPr>
      <w:proofErr w:type="spellStart"/>
      <w:r w:rsidRPr="00614E7F">
        <w:t>Sivakumar</w:t>
      </w:r>
      <w:proofErr w:type="spellEnd"/>
      <w:r w:rsidRPr="00614E7F">
        <w:t xml:space="preserve"> B, </w:t>
      </w:r>
      <w:proofErr w:type="spellStart"/>
      <w:r w:rsidRPr="00614E7F">
        <w:t>Haloob</w:t>
      </w:r>
      <w:proofErr w:type="spellEnd"/>
      <w:r w:rsidRPr="00614E7F">
        <w:t xml:space="preserve"> N, </w:t>
      </w:r>
      <w:proofErr w:type="spellStart"/>
      <w:r w:rsidRPr="00614E7F">
        <w:t>Puri</w:t>
      </w:r>
      <w:proofErr w:type="spellEnd"/>
      <w:r w:rsidRPr="00614E7F">
        <w:t xml:space="preserve"> A, Latif A, Ghani V, </w:t>
      </w:r>
      <w:proofErr w:type="spellStart"/>
      <w:r w:rsidRPr="00614E7F">
        <w:t>Brough</w:t>
      </w:r>
      <w:proofErr w:type="spellEnd"/>
      <w:r w:rsidRPr="00614E7F">
        <w:t xml:space="preserve"> J, et al. Systemic sclerosis as a model of chronic rejection in facial composite tissue transplantation. J </w:t>
      </w:r>
      <w:proofErr w:type="spellStart"/>
      <w:r w:rsidRPr="00614E7F">
        <w:t>Plast</w:t>
      </w:r>
      <w:proofErr w:type="spellEnd"/>
      <w:r w:rsidRPr="00614E7F">
        <w:t xml:space="preserve"> </w:t>
      </w:r>
      <w:proofErr w:type="spellStart"/>
      <w:r w:rsidRPr="00614E7F">
        <w:t>Reconstr</w:t>
      </w:r>
      <w:proofErr w:type="spellEnd"/>
      <w:r w:rsidRPr="00614E7F">
        <w:t xml:space="preserve"> </w:t>
      </w:r>
      <w:proofErr w:type="spellStart"/>
      <w:r w:rsidRPr="00614E7F">
        <w:t>Aesthet</w:t>
      </w:r>
      <w:proofErr w:type="spellEnd"/>
      <w:r w:rsidRPr="00614E7F">
        <w:t xml:space="preserve"> Surg. 2010;</w:t>
      </w:r>
      <w:r w:rsidR="00020A77">
        <w:t xml:space="preserve"> </w:t>
      </w:r>
      <w:r w:rsidRPr="00614E7F">
        <w:t>63:</w:t>
      </w:r>
      <w:r w:rsidR="00020A77">
        <w:t xml:space="preserve"> </w:t>
      </w:r>
      <w:r w:rsidRPr="00614E7F">
        <w:t>1669-76.</w:t>
      </w:r>
    </w:p>
    <w:p w14:paraId="38B7FC62" w14:textId="06589FDE" w:rsidR="002E11D4" w:rsidRDefault="002E11D4" w:rsidP="002E11D4">
      <w:pPr>
        <w:numPr>
          <w:ilvl w:val="0"/>
          <w:numId w:val="5"/>
        </w:numPr>
        <w:spacing w:line="480" w:lineRule="auto"/>
      </w:pPr>
      <w:r w:rsidRPr="00614E7F">
        <w:t xml:space="preserve">Amin K, Clarke A, </w:t>
      </w:r>
      <w:proofErr w:type="spellStart"/>
      <w:r w:rsidRPr="00614E7F">
        <w:t>Sivakumar</w:t>
      </w:r>
      <w:proofErr w:type="spellEnd"/>
      <w:r w:rsidRPr="00614E7F">
        <w:t xml:space="preserve"> B, </w:t>
      </w:r>
      <w:proofErr w:type="spellStart"/>
      <w:r w:rsidRPr="00614E7F">
        <w:t>Puri</w:t>
      </w:r>
      <w:proofErr w:type="spellEnd"/>
      <w:r w:rsidRPr="00614E7F">
        <w:t xml:space="preserve"> A, Fox Z, </w:t>
      </w:r>
      <w:proofErr w:type="spellStart"/>
      <w:r w:rsidRPr="00614E7F">
        <w:t>Brough</w:t>
      </w:r>
      <w:proofErr w:type="spellEnd"/>
      <w:r w:rsidRPr="00614E7F">
        <w:t xml:space="preserve"> J, et al. The psychological impact of facial changes in scleroderma. </w:t>
      </w:r>
      <w:proofErr w:type="spellStart"/>
      <w:r w:rsidRPr="00614E7F">
        <w:t>Psychol</w:t>
      </w:r>
      <w:proofErr w:type="spellEnd"/>
      <w:r w:rsidRPr="00614E7F">
        <w:t xml:space="preserve"> Health Med. 2011;</w:t>
      </w:r>
      <w:r w:rsidR="00020A77">
        <w:t xml:space="preserve"> </w:t>
      </w:r>
      <w:r w:rsidRPr="00614E7F">
        <w:t>163:</w:t>
      </w:r>
      <w:r w:rsidR="00020A77">
        <w:t xml:space="preserve"> </w:t>
      </w:r>
      <w:r w:rsidRPr="00614E7F">
        <w:t>304-12.</w:t>
      </w:r>
    </w:p>
    <w:p w14:paraId="1AC7D3E2" w14:textId="59BD1314" w:rsidR="00B46032" w:rsidRPr="00C9791A" w:rsidRDefault="00B46032" w:rsidP="00C9791A">
      <w:pPr>
        <w:pStyle w:val="ListParagraph"/>
        <w:numPr>
          <w:ilvl w:val="0"/>
          <w:numId w:val="5"/>
        </w:numPr>
        <w:shd w:val="clear" w:color="auto" w:fill="FFFFFF"/>
        <w:spacing w:line="480" w:lineRule="auto"/>
        <w:ind w:left="357" w:hanging="357"/>
        <w:rPr>
          <w:rFonts w:eastAsia="Times New Roman"/>
        </w:rPr>
      </w:pPr>
      <w:proofErr w:type="spellStart"/>
      <w:r w:rsidRPr="00AB33B8">
        <w:rPr>
          <w:rFonts w:eastAsia="Times New Roman"/>
        </w:rPr>
        <w:t>Tiggemann</w:t>
      </w:r>
      <w:proofErr w:type="spellEnd"/>
      <w:r w:rsidRPr="00AB33B8">
        <w:rPr>
          <w:rFonts w:eastAsia="Times New Roman"/>
        </w:rPr>
        <w:t xml:space="preserve"> M. Body image across the adult life span: Stability and change. Body Image. 2004;</w:t>
      </w:r>
      <w:r w:rsidR="00020A77">
        <w:rPr>
          <w:rFonts w:eastAsia="Times New Roman"/>
        </w:rPr>
        <w:t xml:space="preserve"> </w:t>
      </w:r>
      <w:r w:rsidRPr="00AB33B8">
        <w:rPr>
          <w:rFonts w:eastAsia="Times New Roman"/>
        </w:rPr>
        <w:t>1:</w:t>
      </w:r>
      <w:r w:rsidR="00020A77">
        <w:rPr>
          <w:rFonts w:eastAsia="Times New Roman"/>
        </w:rPr>
        <w:t xml:space="preserve"> </w:t>
      </w:r>
      <w:r w:rsidRPr="00AB33B8">
        <w:rPr>
          <w:rFonts w:eastAsia="Times New Roman"/>
        </w:rPr>
        <w:t>29-41.</w:t>
      </w:r>
    </w:p>
    <w:p w14:paraId="299E5DEB" w14:textId="03BFFAC5" w:rsidR="000608D7" w:rsidRDefault="000608D7" w:rsidP="000608D7">
      <w:pPr>
        <w:numPr>
          <w:ilvl w:val="0"/>
          <w:numId w:val="5"/>
        </w:numPr>
        <w:spacing w:line="480" w:lineRule="auto"/>
      </w:pPr>
      <w:r w:rsidRPr="00614E7F">
        <w:rPr>
          <w:noProof/>
          <w:lang w:val="fr-CA"/>
        </w:rPr>
        <w:t>Harris DL, Carr AT. Prevalence of concern about physical appearance in the general population. Brit J Plast Surg. 2001;</w:t>
      </w:r>
      <w:r w:rsidR="00020A77">
        <w:rPr>
          <w:noProof/>
          <w:lang w:val="fr-CA"/>
        </w:rPr>
        <w:t xml:space="preserve"> </w:t>
      </w:r>
      <w:r w:rsidRPr="00614E7F">
        <w:rPr>
          <w:noProof/>
          <w:lang w:val="fr-CA"/>
        </w:rPr>
        <w:t>54:</w:t>
      </w:r>
      <w:r w:rsidR="00020A77">
        <w:rPr>
          <w:noProof/>
          <w:lang w:val="fr-CA"/>
        </w:rPr>
        <w:t xml:space="preserve"> </w:t>
      </w:r>
      <w:r w:rsidRPr="00614E7F">
        <w:rPr>
          <w:noProof/>
          <w:lang w:val="fr-CA"/>
        </w:rPr>
        <w:t>223-6.</w:t>
      </w:r>
    </w:p>
    <w:p w14:paraId="5C6E1B78" w14:textId="6F9EA862" w:rsidR="00F46CBC" w:rsidRDefault="00F46CBC" w:rsidP="00F46CBC">
      <w:pPr>
        <w:numPr>
          <w:ilvl w:val="0"/>
          <w:numId w:val="5"/>
        </w:numPr>
        <w:spacing w:line="480" w:lineRule="auto"/>
      </w:pPr>
      <w:r w:rsidRPr="00614E7F">
        <w:rPr>
          <w:lang w:val="en-CA"/>
        </w:rPr>
        <w:t>Rumsey N, Harcourt D. Body image and disfigurement: Issues and interventions. Body Image. 2004;</w:t>
      </w:r>
      <w:r w:rsidR="00020A77">
        <w:rPr>
          <w:lang w:val="en-CA"/>
        </w:rPr>
        <w:t xml:space="preserve"> </w:t>
      </w:r>
      <w:r w:rsidRPr="00614E7F">
        <w:rPr>
          <w:lang w:val="en-CA"/>
        </w:rPr>
        <w:t>1:</w:t>
      </w:r>
      <w:r w:rsidR="00020A77">
        <w:rPr>
          <w:lang w:val="en-CA"/>
        </w:rPr>
        <w:t xml:space="preserve"> </w:t>
      </w:r>
      <w:r w:rsidRPr="00614E7F">
        <w:rPr>
          <w:lang w:val="en-CA"/>
        </w:rPr>
        <w:t>83-97.</w:t>
      </w:r>
    </w:p>
    <w:p w14:paraId="055A179E" w14:textId="2C1EFEFC" w:rsidR="002E11D4" w:rsidRPr="00614E7F" w:rsidRDefault="002E11D4" w:rsidP="002E11D4">
      <w:pPr>
        <w:numPr>
          <w:ilvl w:val="0"/>
          <w:numId w:val="5"/>
        </w:numPr>
        <w:spacing w:line="480" w:lineRule="auto"/>
      </w:pPr>
      <w:r w:rsidRPr="00614E7F">
        <w:t>Hassan J, Grogan S, Clark-Carter D, Richards H, Yates VM. The individual health burden of acne: Appearance-related distress in male and female adolescents and adults with back, chest and facial acne. </w:t>
      </w:r>
      <w:r w:rsidRPr="00614E7F">
        <w:rPr>
          <w:iCs/>
        </w:rPr>
        <w:t>J Health Psychol</w:t>
      </w:r>
      <w:r w:rsidRPr="00614E7F">
        <w:t>. 2009;</w:t>
      </w:r>
      <w:r w:rsidR="00020A77">
        <w:t xml:space="preserve"> </w:t>
      </w:r>
      <w:r w:rsidRPr="00614E7F">
        <w:rPr>
          <w:iCs/>
        </w:rPr>
        <w:t>14</w:t>
      </w:r>
      <w:r w:rsidRPr="00614E7F">
        <w:t>:</w:t>
      </w:r>
      <w:r w:rsidR="00020A77">
        <w:t xml:space="preserve"> </w:t>
      </w:r>
      <w:r w:rsidRPr="00614E7F">
        <w:t>1105-18.</w:t>
      </w:r>
    </w:p>
    <w:p w14:paraId="6C48BDF8" w14:textId="03892E1A" w:rsidR="002E11D4" w:rsidRPr="00614E7F" w:rsidRDefault="002E11D4" w:rsidP="002E11D4">
      <w:pPr>
        <w:numPr>
          <w:ilvl w:val="0"/>
          <w:numId w:val="5"/>
        </w:numPr>
        <w:spacing w:line="480" w:lineRule="auto"/>
      </w:pPr>
      <w:r w:rsidRPr="00614E7F">
        <w:lastRenderedPageBreak/>
        <w:t xml:space="preserve">Richards HS, Jenkinson E, Rumsey N, White P, </w:t>
      </w:r>
      <w:proofErr w:type="spellStart"/>
      <w:r w:rsidRPr="00614E7F">
        <w:t>Garrott</w:t>
      </w:r>
      <w:proofErr w:type="spellEnd"/>
      <w:r w:rsidRPr="00614E7F">
        <w:t xml:space="preserve"> H, Herbert H, et al. The psychological well-being and appearance concerns of patients presenting with ptosis. </w:t>
      </w:r>
      <w:r w:rsidRPr="00614E7F">
        <w:rPr>
          <w:iCs/>
        </w:rPr>
        <w:t>Eye (</w:t>
      </w:r>
      <w:proofErr w:type="spellStart"/>
      <w:r w:rsidRPr="00614E7F">
        <w:rPr>
          <w:iCs/>
        </w:rPr>
        <w:t>Lond</w:t>
      </w:r>
      <w:proofErr w:type="spellEnd"/>
      <w:r w:rsidRPr="00614E7F">
        <w:rPr>
          <w:iCs/>
        </w:rPr>
        <w:t>). 2014;</w:t>
      </w:r>
      <w:r w:rsidR="00020A77">
        <w:rPr>
          <w:iCs/>
        </w:rPr>
        <w:t xml:space="preserve"> </w:t>
      </w:r>
      <w:r w:rsidRPr="00614E7F">
        <w:rPr>
          <w:iCs/>
        </w:rPr>
        <w:t>28</w:t>
      </w:r>
      <w:r w:rsidRPr="00614E7F">
        <w:t>:</w:t>
      </w:r>
      <w:r w:rsidR="00020A77">
        <w:t xml:space="preserve"> </w:t>
      </w:r>
      <w:r w:rsidRPr="00614E7F">
        <w:t>296-302.</w:t>
      </w:r>
    </w:p>
    <w:p w14:paraId="7C5E6C64" w14:textId="167E071A" w:rsidR="002E11D4" w:rsidRPr="00614E7F" w:rsidRDefault="002E11D4" w:rsidP="002E11D4">
      <w:pPr>
        <w:numPr>
          <w:ilvl w:val="0"/>
          <w:numId w:val="5"/>
        </w:numPr>
        <w:spacing w:line="480" w:lineRule="auto"/>
      </w:pPr>
      <w:r w:rsidRPr="00614E7F">
        <w:t>Rumse</w:t>
      </w:r>
      <w:r w:rsidR="005402F6" w:rsidRPr="00614E7F">
        <w:t>y N. The psychology of facial disfigurement: Implications for whole face t</w:t>
      </w:r>
      <w:r w:rsidRPr="00614E7F">
        <w:t>ransplantation. </w:t>
      </w:r>
      <w:proofErr w:type="spellStart"/>
      <w:r w:rsidRPr="00614E7F">
        <w:rPr>
          <w:iCs/>
        </w:rPr>
        <w:t>Curr</w:t>
      </w:r>
      <w:proofErr w:type="spellEnd"/>
      <w:r w:rsidRPr="00614E7F">
        <w:rPr>
          <w:iCs/>
        </w:rPr>
        <w:t xml:space="preserve"> </w:t>
      </w:r>
      <w:proofErr w:type="spellStart"/>
      <w:r w:rsidRPr="00614E7F">
        <w:rPr>
          <w:iCs/>
        </w:rPr>
        <w:t>Otorhinolaryngol</w:t>
      </w:r>
      <w:proofErr w:type="spellEnd"/>
      <w:r w:rsidRPr="00614E7F">
        <w:rPr>
          <w:iCs/>
        </w:rPr>
        <w:t xml:space="preserve"> Rep</w:t>
      </w:r>
      <w:r w:rsidRPr="00614E7F">
        <w:t>. 2014;</w:t>
      </w:r>
      <w:r w:rsidR="00020A77">
        <w:t xml:space="preserve"> </w:t>
      </w:r>
      <w:r w:rsidRPr="00614E7F">
        <w:rPr>
          <w:iCs/>
        </w:rPr>
        <w:t>2</w:t>
      </w:r>
      <w:r w:rsidRPr="00614E7F">
        <w:t>:</w:t>
      </w:r>
      <w:r w:rsidR="00020A77">
        <w:t xml:space="preserve"> </w:t>
      </w:r>
      <w:r w:rsidRPr="00614E7F">
        <w:t xml:space="preserve">210-6. </w:t>
      </w:r>
    </w:p>
    <w:p w14:paraId="4D7132AF" w14:textId="5841343A" w:rsidR="002E11D4" w:rsidRPr="00614E7F" w:rsidRDefault="002E11D4" w:rsidP="002E11D4">
      <w:pPr>
        <w:numPr>
          <w:ilvl w:val="0"/>
          <w:numId w:val="5"/>
        </w:numPr>
        <w:spacing w:line="480" w:lineRule="auto"/>
      </w:pPr>
      <w:r w:rsidRPr="00614E7F">
        <w:t xml:space="preserve">Thompson A, Kent </w:t>
      </w:r>
      <w:r w:rsidR="005234CB" w:rsidRPr="00614E7F">
        <w:t>G. Adjusting to disfigurement: P</w:t>
      </w:r>
      <w:r w:rsidRPr="00614E7F">
        <w:t>rocesses involved in dealing with being visibly different. </w:t>
      </w:r>
      <w:proofErr w:type="spellStart"/>
      <w:r w:rsidRPr="00614E7F">
        <w:rPr>
          <w:iCs/>
        </w:rPr>
        <w:t>Clin</w:t>
      </w:r>
      <w:proofErr w:type="spellEnd"/>
      <w:r w:rsidRPr="00614E7F">
        <w:rPr>
          <w:iCs/>
        </w:rPr>
        <w:t xml:space="preserve"> </w:t>
      </w:r>
      <w:proofErr w:type="spellStart"/>
      <w:r w:rsidRPr="00614E7F">
        <w:rPr>
          <w:iCs/>
        </w:rPr>
        <w:t>Psychol</w:t>
      </w:r>
      <w:proofErr w:type="spellEnd"/>
      <w:r w:rsidRPr="00614E7F">
        <w:rPr>
          <w:iCs/>
        </w:rPr>
        <w:t xml:space="preserve"> Rev</w:t>
      </w:r>
      <w:r w:rsidRPr="00614E7F">
        <w:t>. 2001;</w:t>
      </w:r>
      <w:r w:rsidR="00020A77">
        <w:t xml:space="preserve"> </w:t>
      </w:r>
      <w:r w:rsidRPr="00614E7F">
        <w:rPr>
          <w:iCs/>
        </w:rPr>
        <w:t>21</w:t>
      </w:r>
      <w:r w:rsidRPr="00614E7F">
        <w:t>:</w:t>
      </w:r>
      <w:r w:rsidR="00020A77">
        <w:t xml:space="preserve"> </w:t>
      </w:r>
      <w:r w:rsidRPr="00614E7F">
        <w:t>663-82.</w:t>
      </w:r>
    </w:p>
    <w:p w14:paraId="0AB2553E" w14:textId="60E09D9F" w:rsidR="002E11D4" w:rsidRPr="00614E7F" w:rsidRDefault="002E11D4" w:rsidP="002E11D4">
      <w:pPr>
        <w:numPr>
          <w:ilvl w:val="0"/>
          <w:numId w:val="5"/>
        </w:numPr>
        <w:spacing w:line="480" w:lineRule="auto"/>
      </w:pPr>
      <w:r w:rsidRPr="00614E7F">
        <w:rPr>
          <w:color w:val="000000"/>
        </w:rPr>
        <w:t xml:space="preserve">Rumsey N, Clarke A, White P, </w:t>
      </w:r>
      <w:proofErr w:type="spellStart"/>
      <w:r w:rsidRPr="00614E7F">
        <w:rPr>
          <w:color w:val="000000"/>
        </w:rPr>
        <w:t>Wyn</w:t>
      </w:r>
      <w:proofErr w:type="spellEnd"/>
      <w:r w:rsidRPr="00614E7F">
        <w:rPr>
          <w:color w:val="000000"/>
        </w:rPr>
        <w:t xml:space="preserve">-Williams M, </w:t>
      </w:r>
      <w:proofErr w:type="spellStart"/>
      <w:r w:rsidRPr="00614E7F">
        <w:rPr>
          <w:color w:val="000000"/>
        </w:rPr>
        <w:t>Garlick</w:t>
      </w:r>
      <w:proofErr w:type="spellEnd"/>
      <w:r w:rsidRPr="00614E7F">
        <w:rPr>
          <w:color w:val="000000"/>
        </w:rPr>
        <w:t xml:space="preserve"> W. Altered body image: Appearance-related concerns of people with visible disfigurement. J </w:t>
      </w:r>
      <w:proofErr w:type="spellStart"/>
      <w:r w:rsidRPr="00614E7F">
        <w:rPr>
          <w:color w:val="000000"/>
        </w:rPr>
        <w:t>Adv</w:t>
      </w:r>
      <w:proofErr w:type="spellEnd"/>
      <w:r w:rsidRPr="00614E7F">
        <w:rPr>
          <w:color w:val="000000"/>
        </w:rPr>
        <w:t xml:space="preserve"> </w:t>
      </w:r>
      <w:proofErr w:type="spellStart"/>
      <w:r w:rsidRPr="00614E7F">
        <w:rPr>
          <w:color w:val="000000"/>
        </w:rPr>
        <w:t>Nurs</w:t>
      </w:r>
      <w:proofErr w:type="spellEnd"/>
      <w:r w:rsidRPr="00614E7F">
        <w:rPr>
          <w:color w:val="000000"/>
        </w:rPr>
        <w:t>. 2004;</w:t>
      </w:r>
      <w:r w:rsidR="00020A77">
        <w:rPr>
          <w:color w:val="000000"/>
        </w:rPr>
        <w:t xml:space="preserve"> </w:t>
      </w:r>
      <w:r w:rsidRPr="00614E7F">
        <w:rPr>
          <w:color w:val="000000"/>
        </w:rPr>
        <w:t>48:</w:t>
      </w:r>
      <w:r w:rsidR="00020A77">
        <w:rPr>
          <w:color w:val="000000"/>
        </w:rPr>
        <w:t xml:space="preserve"> </w:t>
      </w:r>
      <w:r w:rsidRPr="00614E7F">
        <w:rPr>
          <w:color w:val="000000"/>
        </w:rPr>
        <w:t xml:space="preserve">443-53. </w:t>
      </w:r>
    </w:p>
    <w:p w14:paraId="767CF40D" w14:textId="75038E97" w:rsidR="002E11D4" w:rsidRPr="00614E7F" w:rsidRDefault="002E11D4" w:rsidP="002E11D4">
      <w:pPr>
        <w:numPr>
          <w:ilvl w:val="0"/>
          <w:numId w:val="5"/>
        </w:numPr>
        <w:spacing w:line="480" w:lineRule="auto"/>
      </w:pPr>
      <w:r w:rsidRPr="00614E7F">
        <w:rPr>
          <w:color w:val="000000"/>
        </w:rPr>
        <w:t xml:space="preserve">van der Veen JPW. Pigmentary disorders in </w:t>
      </w:r>
      <w:r w:rsidR="006F5986" w:rsidRPr="00614E7F">
        <w:rPr>
          <w:color w:val="000000"/>
        </w:rPr>
        <w:t>W</w:t>
      </w:r>
      <w:r w:rsidRPr="00614E7F">
        <w:rPr>
          <w:color w:val="000000"/>
        </w:rPr>
        <w:t xml:space="preserve">estern countries. </w:t>
      </w:r>
      <w:proofErr w:type="spellStart"/>
      <w:r w:rsidRPr="00614E7F">
        <w:rPr>
          <w:color w:val="000000"/>
        </w:rPr>
        <w:t>Dermatol</w:t>
      </w:r>
      <w:proofErr w:type="spellEnd"/>
      <w:r w:rsidRPr="00614E7F">
        <w:rPr>
          <w:color w:val="000000"/>
        </w:rPr>
        <w:t xml:space="preserve"> </w:t>
      </w:r>
      <w:proofErr w:type="spellStart"/>
      <w:r w:rsidRPr="00614E7F">
        <w:rPr>
          <w:color w:val="000000"/>
        </w:rPr>
        <w:t>Clin</w:t>
      </w:r>
      <w:proofErr w:type="spellEnd"/>
      <w:r w:rsidRPr="00614E7F">
        <w:rPr>
          <w:color w:val="000000"/>
        </w:rPr>
        <w:t>. 2007;</w:t>
      </w:r>
      <w:r w:rsidR="00020A77">
        <w:rPr>
          <w:color w:val="000000"/>
        </w:rPr>
        <w:t xml:space="preserve"> </w:t>
      </w:r>
      <w:r w:rsidRPr="00614E7F">
        <w:rPr>
          <w:color w:val="000000"/>
        </w:rPr>
        <w:t>25:</w:t>
      </w:r>
      <w:r w:rsidR="00020A77">
        <w:rPr>
          <w:color w:val="000000"/>
        </w:rPr>
        <w:t xml:space="preserve"> </w:t>
      </w:r>
      <w:r w:rsidRPr="00614E7F">
        <w:rPr>
          <w:color w:val="000000"/>
        </w:rPr>
        <w:t>449-55.</w:t>
      </w:r>
    </w:p>
    <w:p w14:paraId="6C0B2138" w14:textId="32368FD1" w:rsidR="002C5D50" w:rsidRPr="00EA6D1D" w:rsidRDefault="002E11D4" w:rsidP="002E11D4">
      <w:pPr>
        <w:numPr>
          <w:ilvl w:val="0"/>
          <w:numId w:val="5"/>
        </w:numPr>
        <w:spacing w:line="480" w:lineRule="auto"/>
      </w:pPr>
      <w:r w:rsidRPr="00614E7F">
        <w:rPr>
          <w:color w:val="000000"/>
        </w:rPr>
        <w:t xml:space="preserve">Reveille JD, </w:t>
      </w:r>
      <w:proofErr w:type="spellStart"/>
      <w:r w:rsidRPr="00614E7F">
        <w:rPr>
          <w:color w:val="000000"/>
        </w:rPr>
        <w:t>Fischbach</w:t>
      </w:r>
      <w:proofErr w:type="spellEnd"/>
      <w:r w:rsidRPr="00614E7F">
        <w:rPr>
          <w:color w:val="000000"/>
        </w:rPr>
        <w:t xml:space="preserve"> M, </w:t>
      </w:r>
      <w:proofErr w:type="spellStart"/>
      <w:r w:rsidRPr="00614E7F">
        <w:rPr>
          <w:color w:val="000000"/>
        </w:rPr>
        <w:t>McNearney</w:t>
      </w:r>
      <w:proofErr w:type="spellEnd"/>
      <w:r w:rsidRPr="00614E7F">
        <w:rPr>
          <w:color w:val="000000"/>
        </w:rPr>
        <w:t xml:space="preserve"> T, Friedman AW, Aguilar MB, </w:t>
      </w:r>
      <w:proofErr w:type="spellStart"/>
      <w:r w:rsidRPr="00614E7F">
        <w:rPr>
          <w:color w:val="000000"/>
        </w:rPr>
        <w:t>Lisse</w:t>
      </w:r>
      <w:proofErr w:type="spellEnd"/>
      <w:r w:rsidRPr="00614E7F">
        <w:rPr>
          <w:color w:val="000000"/>
        </w:rPr>
        <w:t xml:space="preserve"> J, et al. Systemic sclerosis in 3 US ethnic groups: A comparison of clinical sociodemographic, serologic, and </w:t>
      </w:r>
      <w:proofErr w:type="spellStart"/>
      <w:r w:rsidRPr="00614E7F">
        <w:rPr>
          <w:color w:val="000000"/>
        </w:rPr>
        <w:t>immunogenetic</w:t>
      </w:r>
      <w:proofErr w:type="spellEnd"/>
      <w:r w:rsidRPr="00614E7F">
        <w:rPr>
          <w:color w:val="000000"/>
        </w:rPr>
        <w:t xml:space="preserve"> determinants. </w:t>
      </w:r>
      <w:proofErr w:type="spellStart"/>
      <w:r w:rsidRPr="00614E7F">
        <w:rPr>
          <w:color w:val="000000"/>
        </w:rPr>
        <w:t>Semin</w:t>
      </w:r>
      <w:proofErr w:type="spellEnd"/>
      <w:r w:rsidRPr="00614E7F">
        <w:rPr>
          <w:color w:val="000000"/>
        </w:rPr>
        <w:t xml:space="preserve"> Arthritis Rheum. 2001;</w:t>
      </w:r>
      <w:r w:rsidR="00020A77">
        <w:rPr>
          <w:color w:val="000000"/>
        </w:rPr>
        <w:t xml:space="preserve"> </w:t>
      </w:r>
      <w:r w:rsidRPr="00614E7F">
        <w:rPr>
          <w:color w:val="000000"/>
        </w:rPr>
        <w:t>30:</w:t>
      </w:r>
      <w:r w:rsidR="00020A77">
        <w:rPr>
          <w:color w:val="000000"/>
        </w:rPr>
        <w:t xml:space="preserve"> </w:t>
      </w:r>
      <w:r w:rsidRPr="00614E7F">
        <w:rPr>
          <w:color w:val="000000"/>
        </w:rPr>
        <w:t>332-46.</w:t>
      </w:r>
    </w:p>
    <w:p w14:paraId="7ACCDF39" w14:textId="6F06AB1B" w:rsidR="002E11D4" w:rsidRPr="00614E7F" w:rsidRDefault="002E11D4" w:rsidP="002E11D4">
      <w:pPr>
        <w:numPr>
          <w:ilvl w:val="0"/>
          <w:numId w:val="5"/>
        </w:numPr>
        <w:spacing w:line="480" w:lineRule="auto"/>
      </w:pPr>
      <w:r w:rsidRPr="00614E7F">
        <w:rPr>
          <w:noProof/>
        </w:rPr>
        <w:t>Kwakkenbos L, Jewett LR, Baron M, Bartlett SJ, Furst D, Gottesman K, et al. The Scleroderma Patient-centered Inter</w:t>
      </w:r>
      <w:r w:rsidR="00C4636A" w:rsidRPr="00614E7F">
        <w:rPr>
          <w:noProof/>
        </w:rPr>
        <w:t>vention Network (SPIN) Cohort: P</w:t>
      </w:r>
      <w:r w:rsidRPr="00614E7F">
        <w:rPr>
          <w:noProof/>
        </w:rPr>
        <w:t>rotocol for a cohort multiple randomised controlled trial (cmRCT) design to support trials of psychosocial and rehabilitation interventions in a rare disease context. BMJ Open. 2013;</w:t>
      </w:r>
      <w:r w:rsidR="00020A77">
        <w:rPr>
          <w:noProof/>
        </w:rPr>
        <w:t xml:space="preserve"> </w:t>
      </w:r>
      <w:r w:rsidRPr="00614E7F">
        <w:rPr>
          <w:noProof/>
        </w:rPr>
        <w:t>3:</w:t>
      </w:r>
      <w:r w:rsidR="00020A77">
        <w:rPr>
          <w:noProof/>
        </w:rPr>
        <w:t xml:space="preserve"> </w:t>
      </w:r>
      <w:r w:rsidRPr="00614E7F">
        <w:rPr>
          <w:noProof/>
          <w:lang w:val="en-CA"/>
        </w:rPr>
        <w:t>e003563</w:t>
      </w:r>
      <w:r w:rsidRPr="00614E7F">
        <w:rPr>
          <w:noProof/>
        </w:rPr>
        <w:t>.</w:t>
      </w:r>
    </w:p>
    <w:p w14:paraId="209C7F73" w14:textId="20FE57D4" w:rsidR="002E11D4" w:rsidRPr="00614E7F" w:rsidRDefault="002E11D4" w:rsidP="002E11D4">
      <w:pPr>
        <w:numPr>
          <w:ilvl w:val="0"/>
          <w:numId w:val="5"/>
        </w:numPr>
        <w:spacing w:line="480" w:lineRule="auto"/>
      </w:pPr>
      <w:r w:rsidRPr="00614E7F">
        <w:t xml:space="preserve">van den </w:t>
      </w:r>
      <w:proofErr w:type="spellStart"/>
      <w:r w:rsidRPr="00614E7F">
        <w:t>Hoogen</w:t>
      </w:r>
      <w:proofErr w:type="spellEnd"/>
      <w:r w:rsidRPr="00614E7F">
        <w:t xml:space="preserve"> F, Khanna D, </w:t>
      </w:r>
      <w:proofErr w:type="spellStart"/>
      <w:r w:rsidRPr="00614E7F">
        <w:t>Fransen</w:t>
      </w:r>
      <w:proofErr w:type="spellEnd"/>
      <w:r w:rsidRPr="00614E7F">
        <w:t xml:space="preserve"> J, Johnson SR, Baron M, Tyndall A, et al. 2013 Classification criteria for systemic sclerosis: An American College of Rheumatology/European League Against Rheumatism collaborative initiative. </w:t>
      </w:r>
      <w:r w:rsidRPr="00614E7F">
        <w:rPr>
          <w:noProof/>
        </w:rPr>
        <w:t>Arthritis Rheum.</w:t>
      </w:r>
      <w:r w:rsidRPr="00614E7F">
        <w:t xml:space="preserve"> 2013;</w:t>
      </w:r>
      <w:r w:rsidR="00020A77">
        <w:t xml:space="preserve"> </w:t>
      </w:r>
      <w:r w:rsidRPr="00614E7F">
        <w:t>65:</w:t>
      </w:r>
      <w:r w:rsidR="00020A77">
        <w:t xml:space="preserve"> </w:t>
      </w:r>
      <w:r w:rsidRPr="00614E7F">
        <w:t>2737-47.</w:t>
      </w:r>
    </w:p>
    <w:p w14:paraId="504BE8A8" w14:textId="0314DEFC" w:rsidR="002E11D4" w:rsidRPr="00614E7F" w:rsidRDefault="002E11D4" w:rsidP="002E11D4">
      <w:pPr>
        <w:numPr>
          <w:ilvl w:val="0"/>
          <w:numId w:val="5"/>
        </w:numPr>
        <w:spacing w:line="480" w:lineRule="auto"/>
      </w:pPr>
      <w:proofErr w:type="spellStart"/>
      <w:r w:rsidRPr="00614E7F">
        <w:rPr>
          <w:rFonts w:eastAsia="Times New Roman"/>
          <w:color w:val="000000"/>
          <w:shd w:val="clear" w:color="auto" w:fill="FFFFFF"/>
          <w:lang w:val="en-CA"/>
        </w:rPr>
        <w:lastRenderedPageBreak/>
        <w:t>Medsger</w:t>
      </w:r>
      <w:proofErr w:type="spellEnd"/>
      <w:r w:rsidRPr="00614E7F">
        <w:rPr>
          <w:rFonts w:eastAsia="Times New Roman"/>
          <w:color w:val="000000"/>
          <w:shd w:val="clear" w:color="auto" w:fill="FFFFFF"/>
          <w:lang w:val="en-CA"/>
        </w:rPr>
        <w:t xml:space="preserve"> TA Jr, </w:t>
      </w:r>
      <w:proofErr w:type="spellStart"/>
      <w:r w:rsidRPr="00614E7F">
        <w:rPr>
          <w:rFonts w:eastAsia="Times New Roman"/>
          <w:color w:val="000000"/>
          <w:shd w:val="clear" w:color="auto" w:fill="FFFFFF"/>
          <w:lang w:val="en-CA"/>
        </w:rPr>
        <w:t>Bombardieri</w:t>
      </w:r>
      <w:proofErr w:type="spellEnd"/>
      <w:r w:rsidRPr="00614E7F">
        <w:rPr>
          <w:rFonts w:eastAsia="Times New Roman"/>
          <w:color w:val="000000"/>
          <w:shd w:val="clear" w:color="auto" w:fill="FFFFFF"/>
          <w:lang w:val="en-CA"/>
        </w:rPr>
        <w:t xml:space="preserve"> S, </w:t>
      </w:r>
      <w:proofErr w:type="spellStart"/>
      <w:r w:rsidRPr="00614E7F">
        <w:rPr>
          <w:rFonts w:eastAsia="Times New Roman"/>
          <w:color w:val="000000"/>
          <w:shd w:val="clear" w:color="auto" w:fill="FFFFFF"/>
          <w:lang w:val="en-CA"/>
        </w:rPr>
        <w:t>Czirjak</w:t>
      </w:r>
      <w:proofErr w:type="spellEnd"/>
      <w:r w:rsidRPr="00614E7F">
        <w:rPr>
          <w:rFonts w:eastAsia="Times New Roman"/>
          <w:color w:val="000000"/>
          <w:shd w:val="clear" w:color="auto" w:fill="FFFFFF"/>
          <w:lang w:val="en-CA"/>
        </w:rPr>
        <w:t xml:space="preserve"> L</w:t>
      </w:r>
      <w:r w:rsidR="009D1870" w:rsidRPr="00614E7F">
        <w:rPr>
          <w:rFonts w:eastAsia="Times New Roman"/>
          <w:color w:val="000000"/>
          <w:shd w:val="clear" w:color="auto" w:fill="FFFFFF"/>
          <w:lang w:val="en-CA"/>
        </w:rPr>
        <w:t xml:space="preserve">, </w:t>
      </w:r>
      <w:proofErr w:type="spellStart"/>
      <w:r w:rsidR="009D1870" w:rsidRPr="00614E7F">
        <w:rPr>
          <w:rFonts w:eastAsia="Times New Roman"/>
          <w:color w:val="000000"/>
          <w:shd w:val="clear" w:color="auto" w:fill="FFFFFF"/>
          <w:lang w:val="en-CA"/>
        </w:rPr>
        <w:t>Scorza</w:t>
      </w:r>
      <w:proofErr w:type="spellEnd"/>
      <w:r w:rsidR="009D1870" w:rsidRPr="00614E7F">
        <w:rPr>
          <w:rFonts w:eastAsia="Times New Roman"/>
          <w:color w:val="000000"/>
          <w:shd w:val="clear" w:color="auto" w:fill="FFFFFF"/>
          <w:lang w:val="en-CA"/>
        </w:rPr>
        <w:t xml:space="preserve"> R, Della </w:t>
      </w:r>
      <w:proofErr w:type="spellStart"/>
      <w:r w:rsidR="009D1870" w:rsidRPr="00614E7F">
        <w:rPr>
          <w:rFonts w:eastAsia="Times New Roman"/>
          <w:color w:val="000000"/>
          <w:shd w:val="clear" w:color="auto" w:fill="FFFFFF"/>
          <w:lang w:val="en-CA"/>
        </w:rPr>
        <w:t>Rossa</w:t>
      </w:r>
      <w:proofErr w:type="spellEnd"/>
      <w:r w:rsidR="009D1870" w:rsidRPr="00614E7F">
        <w:rPr>
          <w:rFonts w:eastAsia="Times New Roman"/>
          <w:color w:val="000000"/>
          <w:shd w:val="clear" w:color="auto" w:fill="FFFFFF"/>
          <w:lang w:val="en-CA"/>
        </w:rPr>
        <w:t xml:space="preserve"> A, </w:t>
      </w:r>
      <w:proofErr w:type="spellStart"/>
      <w:r w:rsidR="009D1870" w:rsidRPr="00614E7F">
        <w:rPr>
          <w:rFonts w:eastAsia="Times New Roman"/>
          <w:color w:val="000000"/>
          <w:shd w:val="clear" w:color="auto" w:fill="FFFFFF"/>
          <w:lang w:val="en-CA"/>
        </w:rPr>
        <w:t>Bencivelli</w:t>
      </w:r>
      <w:proofErr w:type="spellEnd"/>
      <w:r w:rsidR="009D1870" w:rsidRPr="00614E7F">
        <w:rPr>
          <w:rFonts w:eastAsia="Times New Roman"/>
          <w:color w:val="000000"/>
          <w:shd w:val="clear" w:color="auto" w:fill="FFFFFF"/>
          <w:lang w:val="en-CA"/>
        </w:rPr>
        <w:t xml:space="preserve"> W</w:t>
      </w:r>
      <w:r w:rsidRPr="00614E7F">
        <w:rPr>
          <w:rFonts w:eastAsia="Times New Roman"/>
          <w:color w:val="000000"/>
          <w:shd w:val="clear" w:color="auto" w:fill="FFFFFF"/>
          <w:lang w:val="en-CA"/>
        </w:rPr>
        <w:t>. Assessment of disease severity and prognosis. </w:t>
      </w:r>
      <w:proofErr w:type="spellStart"/>
      <w:r w:rsidRPr="00614E7F">
        <w:rPr>
          <w:rFonts w:eastAsia="Times New Roman"/>
          <w:color w:val="000000"/>
          <w:shd w:val="clear" w:color="auto" w:fill="FFFFFF"/>
          <w:lang w:val="en-CA"/>
        </w:rPr>
        <w:t>Clin</w:t>
      </w:r>
      <w:proofErr w:type="spellEnd"/>
      <w:r w:rsidRPr="00614E7F">
        <w:rPr>
          <w:rFonts w:eastAsia="Times New Roman"/>
          <w:color w:val="000000"/>
          <w:shd w:val="clear" w:color="auto" w:fill="FFFFFF"/>
          <w:lang w:val="en-CA"/>
        </w:rPr>
        <w:t xml:space="preserve"> </w:t>
      </w:r>
      <w:proofErr w:type="spellStart"/>
      <w:r w:rsidRPr="00614E7F">
        <w:rPr>
          <w:rFonts w:eastAsia="Times New Roman"/>
          <w:color w:val="000000"/>
          <w:shd w:val="clear" w:color="auto" w:fill="FFFFFF"/>
          <w:lang w:val="en-CA"/>
        </w:rPr>
        <w:t>Exp</w:t>
      </w:r>
      <w:proofErr w:type="spellEnd"/>
      <w:r w:rsidRPr="00614E7F">
        <w:rPr>
          <w:rFonts w:eastAsia="Times New Roman"/>
          <w:color w:val="000000"/>
          <w:shd w:val="clear" w:color="auto" w:fill="FFFFFF"/>
          <w:lang w:val="en-CA"/>
        </w:rPr>
        <w:t xml:space="preserve"> </w:t>
      </w:r>
      <w:proofErr w:type="spellStart"/>
      <w:r w:rsidRPr="00614E7F">
        <w:rPr>
          <w:rFonts w:eastAsia="Times New Roman"/>
          <w:color w:val="000000"/>
          <w:shd w:val="clear" w:color="auto" w:fill="FFFFFF"/>
          <w:lang w:val="en-CA"/>
        </w:rPr>
        <w:t>Rheumatol</w:t>
      </w:r>
      <w:proofErr w:type="spellEnd"/>
      <w:r w:rsidRPr="00614E7F">
        <w:rPr>
          <w:rFonts w:eastAsia="Times New Roman"/>
          <w:color w:val="000000"/>
          <w:shd w:val="clear" w:color="auto" w:fill="FFFFFF"/>
          <w:lang w:val="en-CA"/>
        </w:rPr>
        <w:t>. 2003;</w:t>
      </w:r>
      <w:proofErr w:type="gramStart"/>
      <w:r w:rsidRPr="00614E7F">
        <w:rPr>
          <w:rFonts w:eastAsia="Times New Roman"/>
          <w:color w:val="000000"/>
          <w:shd w:val="clear" w:color="auto" w:fill="FFFFFF"/>
          <w:lang w:val="en-CA"/>
        </w:rPr>
        <w:t>21:S</w:t>
      </w:r>
      <w:proofErr w:type="gramEnd"/>
      <w:r w:rsidRPr="00614E7F">
        <w:rPr>
          <w:rFonts w:eastAsia="Times New Roman"/>
          <w:color w:val="000000"/>
          <w:shd w:val="clear" w:color="auto" w:fill="FFFFFF"/>
          <w:lang w:val="en-CA"/>
        </w:rPr>
        <w:t>42-6.</w:t>
      </w:r>
    </w:p>
    <w:p w14:paraId="1C09AF82" w14:textId="2D0FC2E9" w:rsidR="002E11D4" w:rsidRPr="00614E7F" w:rsidRDefault="002E11D4" w:rsidP="002E11D4">
      <w:pPr>
        <w:pStyle w:val="ListParagraph"/>
        <w:numPr>
          <w:ilvl w:val="0"/>
          <w:numId w:val="5"/>
        </w:numPr>
        <w:spacing w:line="480" w:lineRule="auto"/>
      </w:pPr>
      <w:proofErr w:type="spellStart"/>
      <w:r w:rsidRPr="00614E7F">
        <w:t>Carr</w:t>
      </w:r>
      <w:proofErr w:type="spellEnd"/>
      <w:r w:rsidRPr="00614E7F">
        <w:t xml:space="preserve"> T, Moss T, Harris D. The DAS24: A short form of the </w:t>
      </w:r>
      <w:proofErr w:type="spellStart"/>
      <w:r w:rsidRPr="00614E7F">
        <w:t>Derriford</w:t>
      </w:r>
      <w:proofErr w:type="spellEnd"/>
      <w:r w:rsidRPr="00614E7F">
        <w:t xml:space="preserve"> Appearance Scale DAS59 to measure individual responses to living with problems of appearance. Br J Health Psychol. 2005;</w:t>
      </w:r>
      <w:r w:rsidR="00020A77">
        <w:t xml:space="preserve"> </w:t>
      </w:r>
      <w:r w:rsidRPr="00614E7F">
        <w:t>10:</w:t>
      </w:r>
      <w:r w:rsidR="00020A77">
        <w:t xml:space="preserve"> </w:t>
      </w:r>
      <w:r w:rsidRPr="00614E7F">
        <w:t xml:space="preserve">285-98. </w:t>
      </w:r>
    </w:p>
    <w:p w14:paraId="3A9EDC01" w14:textId="50EF11F7" w:rsidR="002E11D4" w:rsidRDefault="002E11D4" w:rsidP="002E11D4">
      <w:pPr>
        <w:numPr>
          <w:ilvl w:val="0"/>
          <w:numId w:val="5"/>
        </w:numPr>
        <w:spacing w:line="480" w:lineRule="auto"/>
      </w:pPr>
      <w:r w:rsidRPr="00614E7F">
        <w:t xml:space="preserve">Moss </w:t>
      </w:r>
      <w:r w:rsidR="00377B8B" w:rsidRPr="00614E7F">
        <w:t>TP, Lawson V, White P,</w:t>
      </w:r>
      <w:r w:rsidRPr="00614E7F">
        <w:t xml:space="preserve"> The Appearance Research Collaboration. Identifying the underlying factor structure of the </w:t>
      </w:r>
      <w:proofErr w:type="spellStart"/>
      <w:r w:rsidRPr="00614E7F">
        <w:t>Derriford</w:t>
      </w:r>
      <w:proofErr w:type="spellEnd"/>
      <w:r w:rsidRPr="00614E7F">
        <w:t xml:space="preserve"> Appearance Scale-24. Peer J. 2015;</w:t>
      </w:r>
      <w:r w:rsidR="00020A77">
        <w:t xml:space="preserve"> </w:t>
      </w:r>
      <w:r w:rsidRPr="00614E7F">
        <w:t>3:</w:t>
      </w:r>
      <w:r w:rsidR="00020A77">
        <w:t xml:space="preserve"> </w:t>
      </w:r>
      <w:r w:rsidRPr="00614E7F">
        <w:t>e1070.</w:t>
      </w:r>
    </w:p>
    <w:p w14:paraId="5F77EAA0" w14:textId="33810D21" w:rsidR="002E0889" w:rsidRPr="00614E7F" w:rsidRDefault="002E0889" w:rsidP="002E0889">
      <w:pPr>
        <w:numPr>
          <w:ilvl w:val="0"/>
          <w:numId w:val="5"/>
        </w:numPr>
        <w:spacing w:line="480" w:lineRule="auto"/>
      </w:pPr>
      <w:r w:rsidRPr="00614E7F">
        <w:t xml:space="preserve">Hosmer DW, </w:t>
      </w:r>
      <w:proofErr w:type="spellStart"/>
      <w:r w:rsidRPr="00614E7F">
        <w:t>Lemeshow</w:t>
      </w:r>
      <w:proofErr w:type="spellEnd"/>
      <w:r w:rsidRPr="00614E7F">
        <w:t xml:space="preserve"> S. Applied logistic regression. 2nd ed. New York (NY): John Wiley &amp; Sons, Inc.; 2000. </w:t>
      </w:r>
    </w:p>
    <w:p w14:paraId="4AE90946" w14:textId="6128A295" w:rsidR="004148C2" w:rsidRPr="00614E7F" w:rsidRDefault="004148C2" w:rsidP="002418B7">
      <w:pPr>
        <w:spacing w:line="480" w:lineRule="auto"/>
        <w:rPr>
          <w:noProof/>
          <w:lang w:val="fr-CA"/>
        </w:rPr>
        <w:sectPr w:rsidR="004148C2" w:rsidRPr="00614E7F" w:rsidSect="0065403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9" w:footer="850" w:gutter="0"/>
          <w:cols w:space="708"/>
          <w:docGrid w:linePitch="360"/>
        </w:sectPr>
      </w:pPr>
    </w:p>
    <w:p w14:paraId="3D07C123" w14:textId="61BF01DF" w:rsidR="00613AC1" w:rsidRPr="00614E7F" w:rsidRDefault="00767BFF" w:rsidP="00175E85">
      <w:pPr>
        <w:ind w:left="284"/>
        <w:outlineLvl w:val="0"/>
        <w:rPr>
          <w:b/>
          <w:color w:val="000000"/>
        </w:rPr>
      </w:pPr>
      <w:r w:rsidRPr="00614E7F">
        <w:rPr>
          <w:b/>
          <w:color w:val="000000"/>
        </w:rPr>
        <w:lastRenderedPageBreak/>
        <w:t xml:space="preserve">Table 1. Sociodemographic and Disease Characteristics (N = </w:t>
      </w:r>
      <w:r w:rsidR="001E6936" w:rsidRPr="00614E7F">
        <w:rPr>
          <w:b/>
          <w:color w:val="000000"/>
        </w:rPr>
        <w:t>644</w:t>
      </w:r>
      <w:r w:rsidRPr="00614E7F">
        <w:rPr>
          <w:b/>
          <w:color w:val="000000"/>
        </w:rPr>
        <w:t xml:space="preserve">) </w:t>
      </w:r>
    </w:p>
    <w:tbl>
      <w:tblPr>
        <w:tblpPr w:leftFromText="180" w:rightFromText="180" w:vertAnchor="page" w:horzAnchor="page" w:tblpX="1847" w:tblpY="2161"/>
        <w:tblW w:w="13291" w:type="dxa"/>
        <w:tblLayout w:type="fixed"/>
        <w:tblLook w:val="0420" w:firstRow="1" w:lastRow="0" w:firstColumn="0" w:lastColumn="0" w:noHBand="0" w:noVBand="1"/>
      </w:tblPr>
      <w:tblGrid>
        <w:gridCol w:w="2376"/>
        <w:gridCol w:w="1418"/>
        <w:gridCol w:w="1559"/>
        <w:gridCol w:w="1559"/>
        <w:gridCol w:w="1560"/>
        <w:gridCol w:w="940"/>
        <w:gridCol w:w="1418"/>
        <w:gridCol w:w="1469"/>
        <w:gridCol w:w="992"/>
      </w:tblGrid>
      <w:tr w:rsidR="004C02A4" w:rsidRPr="00614E7F" w14:paraId="230A208B" w14:textId="77777777" w:rsidTr="00FF304B">
        <w:trPr>
          <w:cantSplit/>
          <w:trHeight w:val="530"/>
        </w:trPr>
        <w:tc>
          <w:tcPr>
            <w:tcW w:w="2376" w:type="dxa"/>
            <w:tcBorders>
              <w:top w:val="single" w:sz="18" w:space="0" w:color="000000"/>
            </w:tcBorders>
            <w:vAlign w:val="bottom"/>
          </w:tcPr>
          <w:p w14:paraId="4CEE96EB" w14:textId="77777777" w:rsidR="004C02A4" w:rsidRPr="00614E7F" w:rsidRDefault="004C02A4" w:rsidP="00175E85">
            <w:pPr>
              <w:rPr>
                <w:b/>
              </w:rPr>
            </w:pPr>
          </w:p>
        </w:tc>
        <w:tc>
          <w:tcPr>
            <w:tcW w:w="1418" w:type="dxa"/>
            <w:tcBorders>
              <w:top w:val="single" w:sz="18" w:space="0" w:color="000000"/>
              <w:right w:val="single" w:sz="18" w:space="0" w:color="auto"/>
            </w:tcBorders>
            <w:vAlign w:val="bottom"/>
          </w:tcPr>
          <w:p w14:paraId="78209700" w14:textId="7C9BBCA8" w:rsidR="004C02A4" w:rsidRPr="00614E7F" w:rsidRDefault="004C02A4" w:rsidP="00175E85">
            <w:pPr>
              <w:rPr>
                <w:b/>
                <w:bCs/>
                <w:u w:val="single"/>
              </w:rPr>
            </w:pPr>
            <w:r w:rsidRPr="00614E7F">
              <w:rPr>
                <w:b/>
                <w:bCs/>
                <w:u w:val="single"/>
              </w:rPr>
              <w:t>Total</w:t>
            </w:r>
          </w:p>
        </w:tc>
        <w:tc>
          <w:tcPr>
            <w:tcW w:w="5618" w:type="dxa"/>
            <w:gridSpan w:val="4"/>
            <w:tcBorders>
              <w:top w:val="single" w:sz="18" w:space="0" w:color="000000"/>
              <w:left w:val="single" w:sz="18" w:space="0" w:color="auto"/>
              <w:right w:val="single" w:sz="18" w:space="0" w:color="auto"/>
            </w:tcBorders>
            <w:vAlign w:val="bottom"/>
          </w:tcPr>
          <w:p w14:paraId="6C2C45F0" w14:textId="33D0F565" w:rsidR="004C02A4" w:rsidRPr="00614E7F" w:rsidRDefault="004C02A4" w:rsidP="00175E85">
            <w:pPr>
              <w:ind w:right="-108"/>
              <w:jc w:val="center"/>
              <w:rPr>
                <w:b/>
                <w:u w:val="single"/>
                <w:lang w:val="fr-CA"/>
              </w:rPr>
            </w:pPr>
            <w:r w:rsidRPr="00614E7F">
              <w:rPr>
                <w:b/>
                <w:u w:val="single"/>
              </w:rPr>
              <w:t>Race/Ethnicity</w:t>
            </w:r>
          </w:p>
        </w:tc>
        <w:tc>
          <w:tcPr>
            <w:tcW w:w="3879" w:type="dxa"/>
            <w:gridSpan w:val="3"/>
            <w:tcBorders>
              <w:top w:val="single" w:sz="18" w:space="0" w:color="000000"/>
              <w:left w:val="single" w:sz="18" w:space="0" w:color="auto"/>
            </w:tcBorders>
          </w:tcPr>
          <w:p w14:paraId="2C6011E8" w14:textId="77777777" w:rsidR="004C02A4" w:rsidRPr="00614E7F" w:rsidRDefault="004C02A4" w:rsidP="00175E85">
            <w:pPr>
              <w:ind w:right="-108"/>
              <w:rPr>
                <w:b/>
                <w:lang w:val="fr-CA"/>
              </w:rPr>
            </w:pPr>
          </w:p>
          <w:p w14:paraId="7262E0AE" w14:textId="77777777" w:rsidR="00B8580D" w:rsidRPr="00614E7F" w:rsidRDefault="00B8580D" w:rsidP="00175E85">
            <w:pPr>
              <w:ind w:right="-108"/>
              <w:jc w:val="center"/>
              <w:rPr>
                <w:b/>
                <w:u w:val="single"/>
                <w:lang w:val="fr-CA"/>
              </w:rPr>
            </w:pPr>
          </w:p>
          <w:p w14:paraId="10F85CBB" w14:textId="568D2293" w:rsidR="004C02A4" w:rsidRPr="00614E7F" w:rsidRDefault="004C02A4" w:rsidP="00175E85">
            <w:pPr>
              <w:ind w:right="-108"/>
              <w:jc w:val="center"/>
              <w:rPr>
                <w:b/>
                <w:u w:val="single"/>
                <w:lang w:val="fr-CA"/>
              </w:rPr>
            </w:pPr>
            <w:proofErr w:type="spellStart"/>
            <w:r w:rsidRPr="00614E7F">
              <w:rPr>
                <w:b/>
                <w:u w:val="single"/>
                <w:lang w:val="fr-CA"/>
              </w:rPr>
              <w:t>Sex</w:t>
            </w:r>
            <w:proofErr w:type="spellEnd"/>
          </w:p>
        </w:tc>
      </w:tr>
      <w:tr w:rsidR="00FF304B" w:rsidRPr="00614E7F" w14:paraId="740CFCB9" w14:textId="5BEE9BF5" w:rsidTr="00FF304B">
        <w:trPr>
          <w:cantSplit/>
          <w:trHeight w:val="841"/>
        </w:trPr>
        <w:tc>
          <w:tcPr>
            <w:tcW w:w="2376" w:type="dxa"/>
            <w:tcBorders>
              <w:bottom w:val="single" w:sz="18" w:space="0" w:color="000000"/>
            </w:tcBorders>
            <w:vAlign w:val="bottom"/>
          </w:tcPr>
          <w:p w14:paraId="17783B00" w14:textId="0156098F" w:rsidR="0008681B" w:rsidRPr="00614E7F" w:rsidRDefault="0064638F" w:rsidP="00175E85">
            <w:pPr>
              <w:rPr>
                <w:b/>
              </w:rPr>
            </w:pPr>
            <w:r w:rsidRPr="00614E7F">
              <w:rPr>
                <w:b/>
              </w:rPr>
              <w:t>Variable</w:t>
            </w:r>
          </w:p>
        </w:tc>
        <w:tc>
          <w:tcPr>
            <w:tcW w:w="1418" w:type="dxa"/>
            <w:tcBorders>
              <w:bottom w:val="single" w:sz="18" w:space="0" w:color="000000"/>
              <w:right w:val="single" w:sz="18" w:space="0" w:color="auto"/>
            </w:tcBorders>
            <w:vAlign w:val="bottom"/>
          </w:tcPr>
          <w:p w14:paraId="7C35E935" w14:textId="05D06BA5" w:rsidR="0064638F" w:rsidRPr="00614E7F" w:rsidRDefault="0064638F" w:rsidP="00175E85">
            <w:pPr>
              <w:rPr>
                <w:b/>
                <w:bCs/>
              </w:rPr>
            </w:pPr>
            <w:r w:rsidRPr="00614E7F">
              <w:rPr>
                <w:b/>
                <w:bCs/>
              </w:rPr>
              <w:t>N = 644</w:t>
            </w:r>
          </w:p>
        </w:tc>
        <w:tc>
          <w:tcPr>
            <w:tcW w:w="1559" w:type="dxa"/>
            <w:tcBorders>
              <w:left w:val="single" w:sz="18" w:space="0" w:color="auto"/>
              <w:bottom w:val="single" w:sz="18" w:space="0" w:color="000000"/>
            </w:tcBorders>
            <w:vAlign w:val="bottom"/>
          </w:tcPr>
          <w:p w14:paraId="5E14A38F" w14:textId="546973C7" w:rsidR="0064638F" w:rsidRPr="00614E7F" w:rsidRDefault="004A76CB" w:rsidP="00175E85">
            <w:pPr>
              <w:jc w:val="center"/>
              <w:rPr>
                <w:b/>
              </w:rPr>
            </w:pPr>
            <w:r w:rsidRPr="00614E7F">
              <w:rPr>
                <w:b/>
              </w:rPr>
              <w:t>White</w:t>
            </w:r>
          </w:p>
          <w:p w14:paraId="1917AB9E" w14:textId="77777777" w:rsidR="0008681B" w:rsidRPr="00614E7F" w:rsidDel="00BA42C0" w:rsidRDefault="0008681B" w:rsidP="00175E85">
            <w:pPr>
              <w:jc w:val="center"/>
              <w:rPr>
                <w:b/>
              </w:rPr>
            </w:pPr>
          </w:p>
          <w:p w14:paraId="454F1612" w14:textId="48118216" w:rsidR="0064638F" w:rsidRPr="00614E7F" w:rsidRDefault="00EC6873" w:rsidP="00175E85">
            <w:pPr>
              <w:ind w:left="-198"/>
              <w:jc w:val="center"/>
              <w:rPr>
                <w:b/>
                <w:vertAlign w:val="superscript"/>
              </w:rPr>
            </w:pPr>
            <w:r>
              <w:rPr>
                <w:b/>
              </w:rPr>
              <w:t>n</w:t>
            </w:r>
            <w:r w:rsidR="0064638F" w:rsidRPr="00614E7F">
              <w:rPr>
                <w:b/>
              </w:rPr>
              <w:t xml:space="preserve"> = 550</w:t>
            </w:r>
          </w:p>
        </w:tc>
        <w:tc>
          <w:tcPr>
            <w:tcW w:w="1559" w:type="dxa"/>
            <w:tcBorders>
              <w:bottom w:val="single" w:sz="18" w:space="0" w:color="000000"/>
            </w:tcBorders>
            <w:vAlign w:val="bottom"/>
          </w:tcPr>
          <w:p w14:paraId="512F8589" w14:textId="6C8B8EDA" w:rsidR="0064638F" w:rsidRPr="00614E7F" w:rsidRDefault="0064638F" w:rsidP="00175E85">
            <w:pPr>
              <w:jc w:val="center"/>
              <w:rPr>
                <w:b/>
              </w:rPr>
            </w:pPr>
            <w:r w:rsidRPr="00614E7F">
              <w:rPr>
                <w:b/>
              </w:rPr>
              <w:t>Black</w:t>
            </w:r>
          </w:p>
          <w:p w14:paraId="3C1F7875" w14:textId="77777777" w:rsidR="0008681B" w:rsidRPr="00614E7F" w:rsidRDefault="0008681B" w:rsidP="00175E85">
            <w:pPr>
              <w:jc w:val="center"/>
              <w:rPr>
                <w:b/>
              </w:rPr>
            </w:pPr>
          </w:p>
          <w:p w14:paraId="7CD3F22E" w14:textId="62B85557" w:rsidR="0064638F" w:rsidRPr="00614E7F" w:rsidRDefault="00EC6873" w:rsidP="00175E85">
            <w:pPr>
              <w:ind w:left="-198"/>
              <w:jc w:val="center"/>
              <w:rPr>
                <w:b/>
                <w:vertAlign w:val="superscript"/>
              </w:rPr>
            </w:pPr>
            <w:r>
              <w:rPr>
                <w:b/>
              </w:rPr>
              <w:t>n</w:t>
            </w:r>
            <w:r w:rsidR="0064638F" w:rsidRPr="00614E7F">
              <w:rPr>
                <w:b/>
              </w:rPr>
              <w:t xml:space="preserve"> = 41</w:t>
            </w:r>
          </w:p>
        </w:tc>
        <w:tc>
          <w:tcPr>
            <w:tcW w:w="1560" w:type="dxa"/>
            <w:tcBorders>
              <w:bottom w:val="single" w:sz="18" w:space="0" w:color="000000"/>
            </w:tcBorders>
            <w:vAlign w:val="bottom"/>
          </w:tcPr>
          <w:p w14:paraId="4C90F639" w14:textId="77777777" w:rsidR="001F6A5F" w:rsidRPr="00614E7F" w:rsidRDefault="0064638F" w:rsidP="00175E85">
            <w:pPr>
              <w:jc w:val="center"/>
              <w:rPr>
                <w:b/>
              </w:rPr>
            </w:pPr>
            <w:r w:rsidRPr="00614E7F">
              <w:rPr>
                <w:b/>
              </w:rPr>
              <w:t>Other</w:t>
            </w:r>
          </w:p>
          <w:p w14:paraId="1E5CF2DA" w14:textId="77777777" w:rsidR="0008681B" w:rsidRPr="00614E7F" w:rsidRDefault="0008681B" w:rsidP="00175E85">
            <w:pPr>
              <w:jc w:val="center"/>
              <w:rPr>
                <w:b/>
              </w:rPr>
            </w:pPr>
          </w:p>
          <w:p w14:paraId="0A1FFBC8" w14:textId="54AED228" w:rsidR="0064638F" w:rsidRPr="00614E7F" w:rsidRDefault="00EC6873" w:rsidP="00175E85">
            <w:pPr>
              <w:jc w:val="center"/>
              <w:rPr>
                <w:b/>
              </w:rPr>
            </w:pPr>
            <w:r>
              <w:rPr>
                <w:b/>
              </w:rPr>
              <w:t>n</w:t>
            </w:r>
            <w:r w:rsidR="0064638F" w:rsidRPr="00614E7F">
              <w:rPr>
                <w:b/>
              </w:rPr>
              <w:t xml:space="preserve"> = 53</w:t>
            </w:r>
          </w:p>
        </w:tc>
        <w:tc>
          <w:tcPr>
            <w:tcW w:w="940" w:type="dxa"/>
            <w:tcBorders>
              <w:bottom w:val="single" w:sz="18" w:space="0" w:color="000000"/>
              <w:right w:val="single" w:sz="18" w:space="0" w:color="auto"/>
            </w:tcBorders>
            <w:vAlign w:val="bottom"/>
          </w:tcPr>
          <w:p w14:paraId="23183DF1" w14:textId="14507C5B" w:rsidR="0064638F" w:rsidRPr="00614E7F" w:rsidRDefault="004936F7" w:rsidP="00175E85">
            <w:pPr>
              <w:ind w:right="-108"/>
              <w:jc w:val="center"/>
              <w:rPr>
                <w:b/>
                <w:lang w:val="fr-CA"/>
              </w:rPr>
            </w:pPr>
            <w:r w:rsidRPr="00614E7F">
              <w:rPr>
                <w:b/>
                <w:lang w:val="fr-CA"/>
              </w:rPr>
              <w:t xml:space="preserve">p </w:t>
            </w:r>
            <w:r w:rsidR="00F32FA7" w:rsidRPr="00614E7F">
              <w:rPr>
                <w:b/>
                <w:lang w:val="fr-CA"/>
              </w:rPr>
              <w:t>value</w:t>
            </w:r>
          </w:p>
        </w:tc>
        <w:tc>
          <w:tcPr>
            <w:tcW w:w="1418" w:type="dxa"/>
            <w:tcBorders>
              <w:left w:val="single" w:sz="18" w:space="0" w:color="auto"/>
              <w:bottom w:val="single" w:sz="18" w:space="0" w:color="000000"/>
            </w:tcBorders>
          </w:tcPr>
          <w:p w14:paraId="21EFB382" w14:textId="77777777" w:rsidR="004A76CB" w:rsidRPr="00614E7F" w:rsidRDefault="004A76CB" w:rsidP="00175E85">
            <w:pPr>
              <w:ind w:right="-108"/>
              <w:jc w:val="center"/>
              <w:rPr>
                <w:b/>
                <w:lang w:val="fr-CA"/>
              </w:rPr>
            </w:pPr>
          </w:p>
          <w:p w14:paraId="6F224877" w14:textId="40F4412C" w:rsidR="0064638F" w:rsidRPr="00614E7F" w:rsidRDefault="0064638F" w:rsidP="00175E85">
            <w:pPr>
              <w:ind w:right="-108"/>
              <w:jc w:val="center"/>
              <w:rPr>
                <w:b/>
                <w:lang w:val="fr-CA"/>
              </w:rPr>
            </w:pPr>
            <w:proofErr w:type="spellStart"/>
            <w:r w:rsidRPr="00614E7F">
              <w:rPr>
                <w:b/>
                <w:lang w:val="fr-CA"/>
              </w:rPr>
              <w:t>Female</w:t>
            </w:r>
            <w:proofErr w:type="spellEnd"/>
          </w:p>
          <w:p w14:paraId="7324D783" w14:textId="77777777" w:rsidR="0008681B" w:rsidRPr="00614E7F" w:rsidRDefault="0008681B" w:rsidP="00175E85">
            <w:pPr>
              <w:ind w:right="-108"/>
              <w:jc w:val="center"/>
              <w:rPr>
                <w:b/>
                <w:lang w:val="fr-CA"/>
              </w:rPr>
            </w:pPr>
          </w:p>
          <w:p w14:paraId="0A15ADCF" w14:textId="51C1236B" w:rsidR="0064638F" w:rsidRPr="00614E7F" w:rsidRDefault="00EC6873" w:rsidP="00175E85">
            <w:pPr>
              <w:ind w:right="-108"/>
              <w:jc w:val="center"/>
              <w:rPr>
                <w:b/>
                <w:lang w:val="fr-CA"/>
              </w:rPr>
            </w:pPr>
            <w:r>
              <w:rPr>
                <w:b/>
                <w:lang w:val="fr-CA"/>
              </w:rPr>
              <w:t>n</w:t>
            </w:r>
            <w:r w:rsidR="0064638F" w:rsidRPr="00614E7F">
              <w:rPr>
                <w:b/>
                <w:lang w:val="fr-CA"/>
              </w:rPr>
              <w:t xml:space="preserve"> = </w:t>
            </w:r>
            <w:r w:rsidR="004013DC" w:rsidRPr="00614E7F">
              <w:rPr>
                <w:b/>
                <w:lang w:val="fr-CA"/>
              </w:rPr>
              <w:t>565</w:t>
            </w:r>
          </w:p>
        </w:tc>
        <w:tc>
          <w:tcPr>
            <w:tcW w:w="1469" w:type="dxa"/>
            <w:tcBorders>
              <w:bottom w:val="single" w:sz="18" w:space="0" w:color="000000"/>
            </w:tcBorders>
          </w:tcPr>
          <w:p w14:paraId="03C6399A" w14:textId="77777777" w:rsidR="004A76CB" w:rsidRPr="00614E7F" w:rsidRDefault="004A76CB" w:rsidP="00175E85">
            <w:pPr>
              <w:ind w:right="-108"/>
              <w:jc w:val="center"/>
              <w:rPr>
                <w:b/>
                <w:lang w:val="fr-CA"/>
              </w:rPr>
            </w:pPr>
          </w:p>
          <w:p w14:paraId="7F1C1FE2" w14:textId="49F0F69B" w:rsidR="0064638F" w:rsidRPr="00614E7F" w:rsidRDefault="004A76CB" w:rsidP="00175E85">
            <w:pPr>
              <w:ind w:right="-108"/>
              <w:jc w:val="center"/>
              <w:rPr>
                <w:b/>
                <w:lang w:val="fr-CA"/>
              </w:rPr>
            </w:pPr>
            <w:r w:rsidRPr="00614E7F">
              <w:rPr>
                <w:b/>
                <w:lang w:val="fr-CA"/>
              </w:rPr>
              <w:t>Male</w:t>
            </w:r>
          </w:p>
          <w:p w14:paraId="676C9FB8" w14:textId="77777777" w:rsidR="0008681B" w:rsidRPr="00614E7F" w:rsidRDefault="0008681B" w:rsidP="00175E85">
            <w:pPr>
              <w:ind w:right="-108"/>
              <w:jc w:val="center"/>
              <w:rPr>
                <w:b/>
                <w:lang w:val="fr-CA"/>
              </w:rPr>
            </w:pPr>
          </w:p>
          <w:p w14:paraId="30186B46" w14:textId="7978A65F" w:rsidR="0064638F" w:rsidRPr="00614E7F" w:rsidRDefault="00EC6873" w:rsidP="00175E85">
            <w:pPr>
              <w:ind w:right="-108"/>
              <w:jc w:val="center"/>
              <w:rPr>
                <w:b/>
                <w:lang w:val="fr-CA"/>
              </w:rPr>
            </w:pPr>
            <w:r>
              <w:rPr>
                <w:b/>
                <w:lang w:val="fr-CA"/>
              </w:rPr>
              <w:t>n</w:t>
            </w:r>
            <w:r w:rsidR="0064638F" w:rsidRPr="00614E7F">
              <w:rPr>
                <w:b/>
                <w:lang w:val="fr-CA"/>
              </w:rPr>
              <w:t xml:space="preserve"> = </w:t>
            </w:r>
            <w:r w:rsidR="00890F84" w:rsidRPr="00614E7F">
              <w:rPr>
                <w:b/>
                <w:lang w:val="fr-CA"/>
              </w:rPr>
              <w:t>79</w:t>
            </w:r>
          </w:p>
        </w:tc>
        <w:tc>
          <w:tcPr>
            <w:tcW w:w="992" w:type="dxa"/>
            <w:tcBorders>
              <w:bottom w:val="single" w:sz="18" w:space="0" w:color="000000"/>
            </w:tcBorders>
          </w:tcPr>
          <w:p w14:paraId="669C8556" w14:textId="77777777" w:rsidR="004A76CB" w:rsidRPr="00614E7F" w:rsidRDefault="004A76CB" w:rsidP="00175E85">
            <w:pPr>
              <w:ind w:right="-108"/>
              <w:jc w:val="center"/>
              <w:rPr>
                <w:b/>
                <w:lang w:val="fr-CA"/>
              </w:rPr>
            </w:pPr>
          </w:p>
          <w:p w14:paraId="1DB41D85" w14:textId="77777777" w:rsidR="004A76CB" w:rsidRPr="00614E7F" w:rsidRDefault="004A76CB" w:rsidP="00175E85">
            <w:pPr>
              <w:ind w:right="-108"/>
              <w:jc w:val="center"/>
              <w:rPr>
                <w:b/>
                <w:lang w:val="fr-CA"/>
              </w:rPr>
            </w:pPr>
          </w:p>
          <w:p w14:paraId="6EBF7963" w14:textId="77777777" w:rsidR="004936F7" w:rsidRPr="00614E7F" w:rsidRDefault="004936F7" w:rsidP="00175E85">
            <w:pPr>
              <w:ind w:right="-108"/>
              <w:jc w:val="center"/>
              <w:rPr>
                <w:b/>
                <w:lang w:val="fr-CA"/>
              </w:rPr>
            </w:pPr>
          </w:p>
          <w:p w14:paraId="6BE1F1D3" w14:textId="291222BC" w:rsidR="00A0371B" w:rsidRPr="00614E7F" w:rsidRDefault="00A0371B" w:rsidP="00175E85">
            <w:pPr>
              <w:ind w:right="-108"/>
              <w:jc w:val="center"/>
              <w:rPr>
                <w:b/>
                <w:lang w:val="fr-CA"/>
              </w:rPr>
            </w:pPr>
            <w:r w:rsidRPr="00614E7F">
              <w:rPr>
                <w:b/>
                <w:lang w:val="fr-CA"/>
              </w:rPr>
              <w:t>p value</w:t>
            </w:r>
          </w:p>
        </w:tc>
      </w:tr>
      <w:tr w:rsidR="00FF304B" w:rsidRPr="00614E7F" w14:paraId="21A9B007" w14:textId="5607141A" w:rsidTr="00FF304B">
        <w:trPr>
          <w:cantSplit/>
        </w:trPr>
        <w:tc>
          <w:tcPr>
            <w:tcW w:w="2376" w:type="dxa"/>
          </w:tcPr>
          <w:p w14:paraId="105BE3B7" w14:textId="77777777" w:rsidR="00FC55C2" w:rsidRPr="00614E7F" w:rsidRDefault="0064638F" w:rsidP="00175E85">
            <w:pPr>
              <w:rPr>
                <w:color w:val="000000"/>
              </w:rPr>
            </w:pPr>
            <w:r w:rsidRPr="00614E7F">
              <w:rPr>
                <w:color w:val="000000"/>
              </w:rPr>
              <w:t xml:space="preserve">Age (years), </w:t>
            </w:r>
          </w:p>
          <w:p w14:paraId="4A3D72BF" w14:textId="303B8D71" w:rsidR="0064638F" w:rsidRPr="00614E7F" w:rsidRDefault="0064638F" w:rsidP="00175E85">
            <w:pPr>
              <w:rPr>
                <w:i/>
                <w:color w:val="000000"/>
              </w:rPr>
            </w:pPr>
            <w:r w:rsidRPr="00614E7F">
              <w:rPr>
                <w:i/>
                <w:color w:val="000000"/>
              </w:rPr>
              <w:t>mean ± SD</w:t>
            </w:r>
          </w:p>
          <w:p w14:paraId="31482B8F" w14:textId="2CA4CF2C" w:rsidR="00FB1547" w:rsidRPr="00614E7F" w:rsidRDefault="00FB1547" w:rsidP="00175E85">
            <w:pPr>
              <w:ind w:left="-284"/>
            </w:pPr>
          </w:p>
        </w:tc>
        <w:tc>
          <w:tcPr>
            <w:tcW w:w="1418" w:type="dxa"/>
            <w:tcBorders>
              <w:right w:val="single" w:sz="18" w:space="0" w:color="auto"/>
            </w:tcBorders>
          </w:tcPr>
          <w:p w14:paraId="38BBEB96" w14:textId="5A011137" w:rsidR="0064638F" w:rsidRPr="00614E7F" w:rsidRDefault="0064638F" w:rsidP="00175E85">
            <w:pPr>
              <w:ind w:left="-284"/>
              <w:jc w:val="center"/>
            </w:pPr>
            <w:r w:rsidRPr="00614E7F">
              <w:rPr>
                <w:color w:val="000000"/>
              </w:rPr>
              <w:t>55.3 ± 12.1</w:t>
            </w:r>
          </w:p>
        </w:tc>
        <w:tc>
          <w:tcPr>
            <w:tcW w:w="1559" w:type="dxa"/>
            <w:tcBorders>
              <w:left w:val="single" w:sz="18" w:space="0" w:color="auto"/>
            </w:tcBorders>
          </w:tcPr>
          <w:p w14:paraId="1C499CC8" w14:textId="1A5B7DE5" w:rsidR="0064638F" w:rsidRPr="00614E7F" w:rsidRDefault="0064638F" w:rsidP="00175E85">
            <w:pPr>
              <w:ind w:left="-284"/>
              <w:jc w:val="center"/>
              <w:rPr>
                <w:highlight w:val="yellow"/>
              </w:rPr>
            </w:pPr>
            <w:r w:rsidRPr="00614E7F">
              <w:t xml:space="preserve">56.5 </w:t>
            </w:r>
            <w:r w:rsidRPr="00614E7F">
              <w:rPr>
                <w:color w:val="000000"/>
              </w:rPr>
              <w:t>± 11.5</w:t>
            </w:r>
            <w:r w:rsidR="003C41E3" w:rsidRPr="00614E7F">
              <w:rPr>
                <w:i/>
                <w:color w:val="000000"/>
                <w:vertAlign w:val="superscript"/>
              </w:rPr>
              <w:t>a</w:t>
            </w:r>
            <w:r w:rsidR="00D11AB2" w:rsidRPr="00614E7F">
              <w:rPr>
                <w:i/>
                <w:vertAlign w:val="superscript"/>
              </w:rPr>
              <w:t>,</w:t>
            </w:r>
            <w:r w:rsidR="003C41E3" w:rsidRPr="00614E7F">
              <w:rPr>
                <w:i/>
                <w:vertAlign w:val="superscript"/>
              </w:rPr>
              <w:t>b</w:t>
            </w:r>
          </w:p>
        </w:tc>
        <w:tc>
          <w:tcPr>
            <w:tcW w:w="1559" w:type="dxa"/>
          </w:tcPr>
          <w:p w14:paraId="4F105C7A" w14:textId="78DCF9AB" w:rsidR="0064638F" w:rsidRPr="00614E7F" w:rsidRDefault="0064638F" w:rsidP="00175E85">
            <w:pPr>
              <w:ind w:left="-284"/>
              <w:jc w:val="center"/>
              <w:rPr>
                <w:i/>
                <w:highlight w:val="yellow"/>
                <w:vertAlign w:val="superscript"/>
              </w:rPr>
            </w:pPr>
            <w:r w:rsidRPr="00614E7F">
              <w:t xml:space="preserve">47.7 </w:t>
            </w:r>
            <w:r w:rsidRPr="00614E7F">
              <w:rPr>
                <w:color w:val="000000"/>
              </w:rPr>
              <w:t xml:space="preserve">± </w:t>
            </w:r>
            <w:r w:rsidRPr="00614E7F">
              <w:t>11.5</w:t>
            </w:r>
            <w:r w:rsidR="003C41E3" w:rsidRPr="00614E7F">
              <w:rPr>
                <w:i/>
                <w:color w:val="000000"/>
                <w:vertAlign w:val="superscript"/>
              </w:rPr>
              <w:t>a</w:t>
            </w:r>
          </w:p>
        </w:tc>
        <w:tc>
          <w:tcPr>
            <w:tcW w:w="1560" w:type="dxa"/>
          </w:tcPr>
          <w:p w14:paraId="41B89A86" w14:textId="77836A55" w:rsidR="0064638F" w:rsidRPr="00614E7F" w:rsidRDefault="0064638F" w:rsidP="00175E85">
            <w:pPr>
              <w:ind w:left="-284"/>
              <w:jc w:val="center"/>
              <w:rPr>
                <w:i/>
                <w:highlight w:val="yellow"/>
                <w:vertAlign w:val="superscript"/>
              </w:rPr>
            </w:pPr>
            <w:r w:rsidRPr="00614E7F">
              <w:t xml:space="preserve">48.1 </w:t>
            </w:r>
            <w:r w:rsidRPr="00614E7F">
              <w:rPr>
                <w:color w:val="000000"/>
              </w:rPr>
              <w:t>±</w:t>
            </w:r>
            <w:r w:rsidRPr="00614E7F">
              <w:t xml:space="preserve"> 14.1</w:t>
            </w:r>
            <w:r w:rsidR="003C41E3" w:rsidRPr="00614E7F">
              <w:rPr>
                <w:i/>
                <w:vertAlign w:val="superscript"/>
              </w:rPr>
              <w:t>b</w:t>
            </w:r>
          </w:p>
        </w:tc>
        <w:tc>
          <w:tcPr>
            <w:tcW w:w="940" w:type="dxa"/>
            <w:tcBorders>
              <w:right w:val="single" w:sz="18" w:space="0" w:color="auto"/>
            </w:tcBorders>
          </w:tcPr>
          <w:p w14:paraId="620CD73A" w14:textId="77777777" w:rsidR="0064638F" w:rsidRPr="00614E7F" w:rsidRDefault="0064638F" w:rsidP="00175E85">
            <w:pPr>
              <w:ind w:left="-284"/>
              <w:jc w:val="center"/>
              <w:rPr>
                <w:highlight w:val="yellow"/>
              </w:rPr>
            </w:pPr>
            <w:r w:rsidRPr="00614E7F">
              <w:t>&lt;.001</w:t>
            </w:r>
          </w:p>
        </w:tc>
        <w:tc>
          <w:tcPr>
            <w:tcW w:w="1418" w:type="dxa"/>
            <w:tcBorders>
              <w:left w:val="single" w:sz="18" w:space="0" w:color="auto"/>
            </w:tcBorders>
          </w:tcPr>
          <w:p w14:paraId="745BBF6F" w14:textId="54F4777C" w:rsidR="0064638F" w:rsidRPr="00614E7F" w:rsidRDefault="00A76246" w:rsidP="00175E85">
            <w:pPr>
              <w:ind w:left="-284"/>
              <w:jc w:val="center"/>
            </w:pPr>
            <w:r w:rsidRPr="00614E7F">
              <w:t xml:space="preserve"> </w:t>
            </w:r>
            <w:r w:rsidR="00322F51" w:rsidRPr="00614E7F">
              <w:t xml:space="preserve">55.1 </w:t>
            </w:r>
            <w:r w:rsidR="00322F51" w:rsidRPr="00614E7F">
              <w:rPr>
                <w:color w:val="000000"/>
              </w:rPr>
              <w:t>± 12.0</w:t>
            </w:r>
          </w:p>
        </w:tc>
        <w:tc>
          <w:tcPr>
            <w:tcW w:w="1469" w:type="dxa"/>
          </w:tcPr>
          <w:p w14:paraId="05065084" w14:textId="275B1583" w:rsidR="0064638F" w:rsidRPr="00614E7F" w:rsidRDefault="00890F84" w:rsidP="00175E85">
            <w:pPr>
              <w:ind w:left="-284"/>
              <w:jc w:val="center"/>
            </w:pPr>
            <w:r w:rsidRPr="00614E7F">
              <w:t xml:space="preserve">56.2 </w:t>
            </w:r>
            <w:r w:rsidRPr="00614E7F">
              <w:rPr>
                <w:color w:val="000000"/>
              </w:rPr>
              <w:t>± 12.8</w:t>
            </w:r>
          </w:p>
        </w:tc>
        <w:tc>
          <w:tcPr>
            <w:tcW w:w="992" w:type="dxa"/>
          </w:tcPr>
          <w:p w14:paraId="689B0B60" w14:textId="5C6F2203" w:rsidR="0064638F" w:rsidRPr="00614E7F" w:rsidRDefault="006E0B69" w:rsidP="00175E85">
            <w:pPr>
              <w:ind w:left="-284"/>
              <w:jc w:val="center"/>
            </w:pPr>
            <w:r w:rsidRPr="00614E7F">
              <w:t>.462</w:t>
            </w:r>
          </w:p>
        </w:tc>
      </w:tr>
      <w:tr w:rsidR="00FF304B" w:rsidRPr="00614E7F" w14:paraId="018D4A83" w14:textId="012229EE" w:rsidTr="00FF304B">
        <w:trPr>
          <w:cantSplit/>
        </w:trPr>
        <w:tc>
          <w:tcPr>
            <w:tcW w:w="2376" w:type="dxa"/>
          </w:tcPr>
          <w:p w14:paraId="77AE0299" w14:textId="77777777" w:rsidR="00FC55C2" w:rsidRPr="00614E7F" w:rsidRDefault="0064638F" w:rsidP="00175E85">
            <w:pPr>
              <w:rPr>
                <w:color w:val="000000"/>
              </w:rPr>
            </w:pPr>
            <w:r w:rsidRPr="00614E7F">
              <w:rPr>
                <w:color w:val="000000"/>
              </w:rPr>
              <w:t xml:space="preserve">Education &gt;12 years, </w:t>
            </w:r>
          </w:p>
          <w:p w14:paraId="2EBFD8C6" w14:textId="69A6A845" w:rsidR="0064638F" w:rsidRPr="00614E7F" w:rsidRDefault="0064638F" w:rsidP="00175E85">
            <w:pPr>
              <w:rPr>
                <w:i/>
                <w:color w:val="000000"/>
              </w:rPr>
            </w:pPr>
            <w:r w:rsidRPr="00614E7F">
              <w:rPr>
                <w:i/>
                <w:color w:val="000000"/>
              </w:rPr>
              <w:t xml:space="preserve">n </w:t>
            </w:r>
            <w:r w:rsidRPr="00614E7F">
              <w:rPr>
                <w:color w:val="000000"/>
              </w:rPr>
              <w:t>(</w:t>
            </w:r>
            <w:r w:rsidRPr="00614E7F">
              <w:rPr>
                <w:i/>
                <w:color w:val="000000"/>
              </w:rPr>
              <w:t>%)</w:t>
            </w:r>
          </w:p>
          <w:p w14:paraId="779F21E4" w14:textId="77777777" w:rsidR="00FC55C2" w:rsidRPr="00614E7F" w:rsidRDefault="00FC55C2" w:rsidP="00175E85">
            <w:pPr>
              <w:rPr>
                <w:vertAlign w:val="superscript"/>
              </w:rPr>
            </w:pPr>
          </w:p>
        </w:tc>
        <w:tc>
          <w:tcPr>
            <w:tcW w:w="1418" w:type="dxa"/>
            <w:tcBorders>
              <w:right w:val="single" w:sz="18" w:space="0" w:color="auto"/>
            </w:tcBorders>
          </w:tcPr>
          <w:p w14:paraId="2EE41274" w14:textId="379B30CF" w:rsidR="0064638F" w:rsidRPr="00614E7F" w:rsidRDefault="0064638F" w:rsidP="00175E85">
            <w:pPr>
              <w:spacing w:line="480" w:lineRule="auto"/>
              <w:ind w:left="-198"/>
              <w:jc w:val="center"/>
            </w:pPr>
            <w:r w:rsidRPr="00614E7F">
              <w:t>512 (79.5)</w:t>
            </w:r>
          </w:p>
        </w:tc>
        <w:tc>
          <w:tcPr>
            <w:tcW w:w="1559" w:type="dxa"/>
            <w:tcBorders>
              <w:left w:val="single" w:sz="18" w:space="0" w:color="auto"/>
            </w:tcBorders>
          </w:tcPr>
          <w:p w14:paraId="7EA4B1E5" w14:textId="0B7FE49F" w:rsidR="0064638F" w:rsidRPr="00614E7F" w:rsidRDefault="0064638F" w:rsidP="00175E85">
            <w:pPr>
              <w:spacing w:line="480" w:lineRule="auto"/>
              <w:ind w:left="-198"/>
              <w:jc w:val="center"/>
              <w:rPr>
                <w:highlight w:val="yellow"/>
              </w:rPr>
            </w:pPr>
            <w:r w:rsidRPr="00614E7F">
              <w:t>434 (78.9)</w:t>
            </w:r>
          </w:p>
        </w:tc>
        <w:tc>
          <w:tcPr>
            <w:tcW w:w="1559" w:type="dxa"/>
          </w:tcPr>
          <w:p w14:paraId="0F49A285" w14:textId="42EB2E69" w:rsidR="0064638F" w:rsidRPr="00614E7F" w:rsidRDefault="0064638F" w:rsidP="00175E85">
            <w:pPr>
              <w:spacing w:line="480" w:lineRule="auto"/>
              <w:ind w:left="-198"/>
              <w:jc w:val="center"/>
              <w:rPr>
                <w:highlight w:val="yellow"/>
              </w:rPr>
            </w:pPr>
            <w:r w:rsidRPr="00614E7F">
              <w:t>33 (80.5)</w:t>
            </w:r>
          </w:p>
        </w:tc>
        <w:tc>
          <w:tcPr>
            <w:tcW w:w="1560" w:type="dxa"/>
          </w:tcPr>
          <w:p w14:paraId="16EC7367" w14:textId="44726919" w:rsidR="0064638F" w:rsidRPr="00614E7F" w:rsidRDefault="0064638F" w:rsidP="00175E85">
            <w:pPr>
              <w:spacing w:line="480" w:lineRule="auto"/>
              <w:ind w:left="-198"/>
              <w:jc w:val="center"/>
            </w:pPr>
            <w:r w:rsidRPr="00614E7F">
              <w:t>45 (84.9)</w:t>
            </w:r>
          </w:p>
        </w:tc>
        <w:tc>
          <w:tcPr>
            <w:tcW w:w="940" w:type="dxa"/>
            <w:tcBorders>
              <w:right w:val="single" w:sz="18" w:space="0" w:color="auto"/>
            </w:tcBorders>
          </w:tcPr>
          <w:p w14:paraId="0813FAE8" w14:textId="2EE52FDB" w:rsidR="0064638F" w:rsidRPr="00614E7F" w:rsidRDefault="0064638F" w:rsidP="00175E85">
            <w:pPr>
              <w:spacing w:line="480" w:lineRule="auto"/>
              <w:ind w:left="-198"/>
              <w:jc w:val="center"/>
              <w:rPr>
                <w:highlight w:val="yellow"/>
              </w:rPr>
            </w:pPr>
            <w:r w:rsidRPr="00614E7F">
              <w:t>.579</w:t>
            </w:r>
          </w:p>
        </w:tc>
        <w:tc>
          <w:tcPr>
            <w:tcW w:w="1418" w:type="dxa"/>
            <w:tcBorders>
              <w:left w:val="single" w:sz="18" w:space="0" w:color="auto"/>
            </w:tcBorders>
          </w:tcPr>
          <w:p w14:paraId="6D7DE868" w14:textId="610FD7BB" w:rsidR="0064638F" w:rsidRPr="00614E7F" w:rsidRDefault="00F32FA7" w:rsidP="00175E85">
            <w:pPr>
              <w:spacing w:line="480" w:lineRule="auto"/>
              <w:ind w:left="-198"/>
              <w:jc w:val="center"/>
            </w:pPr>
            <w:r w:rsidRPr="00614E7F">
              <w:t>451 (79.8)</w:t>
            </w:r>
          </w:p>
        </w:tc>
        <w:tc>
          <w:tcPr>
            <w:tcW w:w="1469" w:type="dxa"/>
          </w:tcPr>
          <w:p w14:paraId="3340741B" w14:textId="2957683D" w:rsidR="0064638F" w:rsidRPr="00614E7F" w:rsidRDefault="00BF2AFB" w:rsidP="00175E85">
            <w:pPr>
              <w:spacing w:line="480" w:lineRule="auto"/>
              <w:ind w:left="-198"/>
              <w:jc w:val="center"/>
            </w:pPr>
            <w:r w:rsidRPr="00614E7F">
              <w:t>61 (77.2)</w:t>
            </w:r>
          </w:p>
        </w:tc>
        <w:tc>
          <w:tcPr>
            <w:tcW w:w="992" w:type="dxa"/>
          </w:tcPr>
          <w:p w14:paraId="16AF3826" w14:textId="6D7D03F7" w:rsidR="0064638F" w:rsidRPr="00614E7F" w:rsidRDefault="004B3A79" w:rsidP="00175E85">
            <w:pPr>
              <w:spacing w:line="480" w:lineRule="auto"/>
              <w:ind w:left="-198"/>
              <w:jc w:val="center"/>
            </w:pPr>
            <w:r w:rsidRPr="00614E7F">
              <w:t>.591</w:t>
            </w:r>
          </w:p>
        </w:tc>
      </w:tr>
      <w:tr w:rsidR="00FF304B" w:rsidRPr="00614E7F" w14:paraId="30FE24CB" w14:textId="5B09D57B" w:rsidTr="00FF304B">
        <w:trPr>
          <w:cantSplit/>
        </w:trPr>
        <w:tc>
          <w:tcPr>
            <w:tcW w:w="2376" w:type="dxa"/>
          </w:tcPr>
          <w:p w14:paraId="059EE858" w14:textId="77777777" w:rsidR="00425185" w:rsidRPr="00614E7F" w:rsidRDefault="0064638F" w:rsidP="00175E85">
            <w:pPr>
              <w:rPr>
                <w:color w:val="000000"/>
              </w:rPr>
            </w:pPr>
            <w:r w:rsidRPr="00614E7F">
              <w:rPr>
                <w:color w:val="000000"/>
              </w:rPr>
              <w:t xml:space="preserve">Currently employed </w:t>
            </w:r>
          </w:p>
          <w:p w14:paraId="5912D1FB" w14:textId="3C4421DB" w:rsidR="0064638F" w:rsidRPr="00614E7F" w:rsidRDefault="0064638F" w:rsidP="00175E85">
            <w:pPr>
              <w:rPr>
                <w:i/>
                <w:color w:val="000000"/>
              </w:rPr>
            </w:pPr>
            <w:r w:rsidRPr="00614E7F">
              <w:rPr>
                <w:color w:val="000000"/>
              </w:rPr>
              <w:t xml:space="preserve">(full or part-time), </w:t>
            </w:r>
            <w:r w:rsidRPr="00614E7F">
              <w:rPr>
                <w:i/>
                <w:color w:val="000000"/>
              </w:rPr>
              <w:t xml:space="preserve">n </w:t>
            </w:r>
            <w:r w:rsidRPr="00614E7F">
              <w:rPr>
                <w:color w:val="000000"/>
              </w:rPr>
              <w:t>(</w:t>
            </w:r>
            <w:r w:rsidRPr="00614E7F">
              <w:rPr>
                <w:i/>
                <w:color w:val="000000"/>
              </w:rPr>
              <w:t>%)</w:t>
            </w:r>
          </w:p>
          <w:p w14:paraId="247027DB" w14:textId="77777777" w:rsidR="00D908A6" w:rsidRPr="00614E7F" w:rsidRDefault="00D908A6" w:rsidP="00175E85">
            <w:pPr>
              <w:rPr>
                <w:color w:val="000000"/>
                <w:vertAlign w:val="superscript"/>
              </w:rPr>
            </w:pPr>
          </w:p>
        </w:tc>
        <w:tc>
          <w:tcPr>
            <w:tcW w:w="1418" w:type="dxa"/>
            <w:tcBorders>
              <w:right w:val="single" w:sz="18" w:space="0" w:color="auto"/>
            </w:tcBorders>
          </w:tcPr>
          <w:p w14:paraId="7DB5D319" w14:textId="0B7BB930" w:rsidR="0064638F" w:rsidRPr="00614E7F" w:rsidRDefault="0064638F" w:rsidP="00175E85">
            <w:pPr>
              <w:spacing w:line="480" w:lineRule="auto"/>
              <w:ind w:left="-198"/>
              <w:jc w:val="center"/>
            </w:pPr>
            <w:r w:rsidRPr="00614E7F">
              <w:t>268 (41.7)</w:t>
            </w:r>
            <w:r w:rsidR="004C5BA7" w:rsidRPr="00614E7F">
              <w:rPr>
                <w:i/>
                <w:color w:val="000000"/>
                <w:vertAlign w:val="superscript"/>
              </w:rPr>
              <w:t>c</w:t>
            </w:r>
          </w:p>
        </w:tc>
        <w:tc>
          <w:tcPr>
            <w:tcW w:w="1559" w:type="dxa"/>
            <w:tcBorders>
              <w:left w:val="single" w:sz="18" w:space="0" w:color="auto"/>
            </w:tcBorders>
          </w:tcPr>
          <w:p w14:paraId="437069EB" w14:textId="247C15B8" w:rsidR="0064638F" w:rsidRPr="00614E7F" w:rsidRDefault="0064638F" w:rsidP="00175E85">
            <w:pPr>
              <w:spacing w:line="480" w:lineRule="auto"/>
              <w:ind w:left="-198"/>
              <w:jc w:val="center"/>
              <w:rPr>
                <w:i/>
                <w:highlight w:val="yellow"/>
                <w:vertAlign w:val="superscript"/>
              </w:rPr>
            </w:pPr>
            <w:r w:rsidRPr="00614E7F">
              <w:t>225 (41.0)</w:t>
            </w:r>
            <w:r w:rsidR="004C5BA7" w:rsidRPr="00614E7F">
              <w:rPr>
                <w:i/>
                <w:vertAlign w:val="superscript"/>
              </w:rPr>
              <w:t>d</w:t>
            </w:r>
          </w:p>
        </w:tc>
        <w:tc>
          <w:tcPr>
            <w:tcW w:w="1559" w:type="dxa"/>
          </w:tcPr>
          <w:p w14:paraId="4A9C39F5" w14:textId="765376DE" w:rsidR="0064638F" w:rsidRPr="00614E7F" w:rsidRDefault="0064638F" w:rsidP="00175E85">
            <w:pPr>
              <w:spacing w:line="480" w:lineRule="auto"/>
              <w:ind w:left="-198"/>
              <w:jc w:val="center"/>
              <w:rPr>
                <w:highlight w:val="yellow"/>
              </w:rPr>
            </w:pPr>
            <w:r w:rsidRPr="00614E7F">
              <w:t>21 (51.2)</w:t>
            </w:r>
          </w:p>
        </w:tc>
        <w:tc>
          <w:tcPr>
            <w:tcW w:w="1560" w:type="dxa"/>
          </w:tcPr>
          <w:p w14:paraId="666840D2" w14:textId="5DC5C9EC" w:rsidR="0064638F" w:rsidRPr="00614E7F" w:rsidRDefault="0064638F" w:rsidP="00175E85">
            <w:pPr>
              <w:spacing w:line="480" w:lineRule="auto"/>
              <w:ind w:left="-198"/>
              <w:jc w:val="center"/>
            </w:pPr>
            <w:r w:rsidRPr="00614E7F">
              <w:t>22 (41.5)</w:t>
            </w:r>
          </w:p>
        </w:tc>
        <w:tc>
          <w:tcPr>
            <w:tcW w:w="940" w:type="dxa"/>
            <w:tcBorders>
              <w:right w:val="single" w:sz="18" w:space="0" w:color="auto"/>
            </w:tcBorders>
          </w:tcPr>
          <w:p w14:paraId="488BA9CE" w14:textId="07E05647" w:rsidR="0064638F" w:rsidRPr="00614E7F" w:rsidRDefault="0064638F" w:rsidP="00175E85">
            <w:pPr>
              <w:tabs>
                <w:tab w:val="left" w:pos="3885"/>
                <w:tab w:val="center" w:pos="4680"/>
                <w:tab w:val="left" w:pos="6510"/>
                <w:tab w:val="left" w:pos="8355"/>
                <w:tab w:val="right" w:pos="9360"/>
              </w:tabs>
              <w:spacing w:line="480" w:lineRule="auto"/>
              <w:ind w:left="-198"/>
              <w:jc w:val="center"/>
              <w:rPr>
                <w:highlight w:val="yellow"/>
              </w:rPr>
            </w:pPr>
            <w:r w:rsidRPr="00614E7F">
              <w:t>.439</w:t>
            </w:r>
          </w:p>
        </w:tc>
        <w:tc>
          <w:tcPr>
            <w:tcW w:w="1418" w:type="dxa"/>
            <w:tcBorders>
              <w:left w:val="single" w:sz="18" w:space="0" w:color="auto"/>
            </w:tcBorders>
          </w:tcPr>
          <w:p w14:paraId="35630F0D" w14:textId="07AF1324" w:rsidR="0064638F" w:rsidRPr="00614E7F" w:rsidRDefault="00E9556D" w:rsidP="00175E85">
            <w:pPr>
              <w:tabs>
                <w:tab w:val="left" w:pos="3885"/>
                <w:tab w:val="center" w:pos="4680"/>
                <w:tab w:val="left" w:pos="6510"/>
                <w:tab w:val="left" w:pos="8355"/>
                <w:tab w:val="right" w:pos="9360"/>
              </w:tabs>
              <w:spacing w:line="480" w:lineRule="auto"/>
              <w:ind w:left="-198"/>
              <w:jc w:val="center"/>
            </w:pPr>
            <w:r w:rsidRPr="00614E7F">
              <w:t>236 (41.8)</w:t>
            </w:r>
          </w:p>
        </w:tc>
        <w:tc>
          <w:tcPr>
            <w:tcW w:w="1469" w:type="dxa"/>
          </w:tcPr>
          <w:p w14:paraId="4E279DC6" w14:textId="4759FEEC" w:rsidR="0064638F" w:rsidRPr="00614E7F" w:rsidRDefault="00BF2AFB" w:rsidP="00175E85">
            <w:pPr>
              <w:tabs>
                <w:tab w:val="left" w:pos="3885"/>
                <w:tab w:val="center" w:pos="4680"/>
                <w:tab w:val="left" w:pos="6510"/>
                <w:tab w:val="left" w:pos="8355"/>
                <w:tab w:val="right" w:pos="9360"/>
              </w:tabs>
              <w:spacing w:line="480" w:lineRule="auto"/>
              <w:ind w:left="-198"/>
              <w:jc w:val="center"/>
              <w:rPr>
                <w:i/>
                <w:vertAlign w:val="superscript"/>
              </w:rPr>
            </w:pPr>
            <w:r w:rsidRPr="00614E7F">
              <w:t>32 (41.0)</w:t>
            </w:r>
            <w:r w:rsidR="004C5BA7" w:rsidRPr="00614E7F">
              <w:rPr>
                <w:i/>
                <w:vertAlign w:val="superscript"/>
              </w:rPr>
              <w:t>e</w:t>
            </w:r>
          </w:p>
        </w:tc>
        <w:tc>
          <w:tcPr>
            <w:tcW w:w="992" w:type="dxa"/>
          </w:tcPr>
          <w:p w14:paraId="234FC68F" w14:textId="17053AAF" w:rsidR="0064638F" w:rsidRPr="00614E7F" w:rsidRDefault="004B3A79" w:rsidP="00175E85">
            <w:pPr>
              <w:tabs>
                <w:tab w:val="left" w:pos="3885"/>
                <w:tab w:val="center" w:pos="4680"/>
                <w:tab w:val="left" w:pos="6510"/>
                <w:tab w:val="left" w:pos="8355"/>
                <w:tab w:val="right" w:pos="9360"/>
              </w:tabs>
              <w:spacing w:line="480" w:lineRule="auto"/>
              <w:ind w:left="-198"/>
              <w:jc w:val="center"/>
            </w:pPr>
            <w:r w:rsidRPr="00614E7F">
              <w:t>.901</w:t>
            </w:r>
          </w:p>
        </w:tc>
      </w:tr>
      <w:tr w:rsidR="00FF304B" w:rsidRPr="00614E7F" w14:paraId="30422B4B" w14:textId="46812946" w:rsidTr="00FF304B">
        <w:trPr>
          <w:cantSplit/>
        </w:trPr>
        <w:tc>
          <w:tcPr>
            <w:tcW w:w="2376" w:type="dxa"/>
          </w:tcPr>
          <w:p w14:paraId="140BA505" w14:textId="39924AE4" w:rsidR="0064638F" w:rsidRPr="00614E7F" w:rsidRDefault="0064638F" w:rsidP="00175E85">
            <w:pPr>
              <w:rPr>
                <w:color w:val="000000"/>
              </w:rPr>
            </w:pPr>
            <w:r w:rsidRPr="00614E7F">
              <w:rPr>
                <w:color w:val="000000"/>
              </w:rPr>
              <w:t xml:space="preserve">Married/living as married, </w:t>
            </w:r>
            <w:r w:rsidRPr="00614E7F">
              <w:rPr>
                <w:i/>
                <w:color w:val="000000"/>
              </w:rPr>
              <w:t>n</w:t>
            </w:r>
            <w:r w:rsidRPr="00614E7F">
              <w:rPr>
                <w:color w:val="000000"/>
              </w:rPr>
              <w:t xml:space="preserve"> (</w:t>
            </w:r>
            <w:r w:rsidRPr="00614E7F">
              <w:rPr>
                <w:i/>
                <w:color w:val="000000"/>
              </w:rPr>
              <w:t>%)</w:t>
            </w:r>
            <w:r w:rsidRPr="00614E7F">
              <w:t xml:space="preserve"> </w:t>
            </w:r>
          </w:p>
          <w:p w14:paraId="20D65B3C" w14:textId="77777777" w:rsidR="00322F51" w:rsidRPr="00614E7F" w:rsidRDefault="00322F51" w:rsidP="00175E85">
            <w:pPr>
              <w:rPr>
                <w:color w:val="000000"/>
              </w:rPr>
            </w:pPr>
          </w:p>
        </w:tc>
        <w:tc>
          <w:tcPr>
            <w:tcW w:w="1418" w:type="dxa"/>
            <w:tcBorders>
              <w:right w:val="single" w:sz="18" w:space="0" w:color="auto"/>
            </w:tcBorders>
          </w:tcPr>
          <w:p w14:paraId="5A76DE51" w14:textId="62A183CA" w:rsidR="0064638F" w:rsidRPr="00614E7F" w:rsidRDefault="0064638F" w:rsidP="00175E85">
            <w:pPr>
              <w:spacing w:line="480" w:lineRule="auto"/>
              <w:ind w:left="-198"/>
              <w:jc w:val="center"/>
            </w:pPr>
            <w:r w:rsidRPr="00614E7F">
              <w:t>471 (73.1)</w:t>
            </w:r>
          </w:p>
        </w:tc>
        <w:tc>
          <w:tcPr>
            <w:tcW w:w="1559" w:type="dxa"/>
            <w:tcBorders>
              <w:left w:val="single" w:sz="18" w:space="0" w:color="auto"/>
            </w:tcBorders>
          </w:tcPr>
          <w:p w14:paraId="1D3BBB3F" w14:textId="4FB77832" w:rsidR="0064638F" w:rsidRPr="00614E7F" w:rsidRDefault="0064638F" w:rsidP="00175E85">
            <w:pPr>
              <w:spacing w:line="480" w:lineRule="auto"/>
              <w:ind w:left="-198"/>
              <w:jc w:val="center"/>
              <w:rPr>
                <w:highlight w:val="yellow"/>
              </w:rPr>
            </w:pPr>
            <w:r w:rsidRPr="00614E7F">
              <w:t>413 (75.1)</w:t>
            </w:r>
            <w:r w:rsidR="00450E0F" w:rsidRPr="00614E7F">
              <w:rPr>
                <w:i/>
                <w:color w:val="000000"/>
                <w:vertAlign w:val="superscript"/>
              </w:rPr>
              <w:t>a</w:t>
            </w:r>
          </w:p>
        </w:tc>
        <w:tc>
          <w:tcPr>
            <w:tcW w:w="1559" w:type="dxa"/>
          </w:tcPr>
          <w:p w14:paraId="178B0FFE" w14:textId="4187B43A" w:rsidR="0064638F" w:rsidRPr="00614E7F" w:rsidRDefault="0064638F" w:rsidP="00175E85">
            <w:pPr>
              <w:spacing w:line="480" w:lineRule="auto"/>
              <w:ind w:left="-198"/>
              <w:jc w:val="center"/>
              <w:rPr>
                <w:highlight w:val="yellow"/>
              </w:rPr>
            </w:pPr>
            <w:r w:rsidRPr="00614E7F">
              <w:t>21 (51.2)</w:t>
            </w:r>
            <w:r w:rsidR="00FA75F0" w:rsidRPr="00614E7F">
              <w:rPr>
                <w:i/>
                <w:color w:val="000000"/>
                <w:vertAlign w:val="superscript"/>
              </w:rPr>
              <w:t>a</w:t>
            </w:r>
          </w:p>
        </w:tc>
        <w:tc>
          <w:tcPr>
            <w:tcW w:w="1560" w:type="dxa"/>
          </w:tcPr>
          <w:p w14:paraId="4CF14E47" w14:textId="60AD016B" w:rsidR="0064638F" w:rsidRPr="00614E7F" w:rsidRDefault="0064638F" w:rsidP="00175E85">
            <w:pPr>
              <w:spacing w:line="480" w:lineRule="auto"/>
              <w:ind w:left="-198"/>
              <w:jc w:val="center"/>
            </w:pPr>
            <w:r w:rsidRPr="00614E7F">
              <w:t>37 (69.8)</w:t>
            </w:r>
          </w:p>
        </w:tc>
        <w:tc>
          <w:tcPr>
            <w:tcW w:w="940" w:type="dxa"/>
            <w:tcBorders>
              <w:right w:val="single" w:sz="18" w:space="0" w:color="auto"/>
            </w:tcBorders>
          </w:tcPr>
          <w:p w14:paraId="6054CCD0" w14:textId="681C51EB" w:rsidR="0064638F" w:rsidRPr="00614E7F" w:rsidRDefault="0064638F" w:rsidP="00175E85">
            <w:pPr>
              <w:spacing w:line="480" w:lineRule="auto"/>
              <w:ind w:left="-198"/>
              <w:jc w:val="center"/>
              <w:rPr>
                <w:highlight w:val="yellow"/>
              </w:rPr>
            </w:pPr>
            <w:r w:rsidRPr="00614E7F">
              <w:t>.003</w:t>
            </w:r>
          </w:p>
        </w:tc>
        <w:tc>
          <w:tcPr>
            <w:tcW w:w="1418" w:type="dxa"/>
            <w:tcBorders>
              <w:left w:val="single" w:sz="18" w:space="0" w:color="auto"/>
            </w:tcBorders>
          </w:tcPr>
          <w:p w14:paraId="60D7DB25" w14:textId="2CB1642E" w:rsidR="0064638F" w:rsidRPr="00614E7F" w:rsidRDefault="00E9556D" w:rsidP="00175E85">
            <w:pPr>
              <w:spacing w:line="480" w:lineRule="auto"/>
              <w:ind w:left="-198"/>
              <w:jc w:val="center"/>
            </w:pPr>
            <w:r w:rsidRPr="00614E7F">
              <w:t>412 (72.9)</w:t>
            </w:r>
          </w:p>
        </w:tc>
        <w:tc>
          <w:tcPr>
            <w:tcW w:w="1469" w:type="dxa"/>
          </w:tcPr>
          <w:p w14:paraId="099A1F04" w14:textId="08EA1D6A" w:rsidR="0064638F" w:rsidRPr="00614E7F" w:rsidRDefault="00BF2AFB" w:rsidP="00175E85">
            <w:pPr>
              <w:spacing w:line="480" w:lineRule="auto"/>
              <w:ind w:left="-198"/>
              <w:jc w:val="center"/>
            </w:pPr>
            <w:r w:rsidRPr="00614E7F">
              <w:t>59 (74.7)</w:t>
            </w:r>
          </w:p>
        </w:tc>
        <w:tc>
          <w:tcPr>
            <w:tcW w:w="992" w:type="dxa"/>
          </w:tcPr>
          <w:p w14:paraId="64194DA6" w14:textId="7A167937" w:rsidR="0064638F" w:rsidRPr="00614E7F" w:rsidRDefault="004B3A79" w:rsidP="00175E85">
            <w:pPr>
              <w:spacing w:line="480" w:lineRule="auto"/>
              <w:ind w:left="-198"/>
              <w:jc w:val="center"/>
            </w:pPr>
            <w:r w:rsidRPr="00614E7F">
              <w:t>.741</w:t>
            </w:r>
          </w:p>
        </w:tc>
      </w:tr>
      <w:tr w:rsidR="00FF304B" w:rsidRPr="00614E7F" w14:paraId="269AF130" w14:textId="39C4D6BC" w:rsidTr="00FF304B">
        <w:trPr>
          <w:cantSplit/>
        </w:trPr>
        <w:tc>
          <w:tcPr>
            <w:tcW w:w="2376" w:type="dxa"/>
          </w:tcPr>
          <w:p w14:paraId="420E6F7D" w14:textId="77777777" w:rsidR="0064638F" w:rsidRPr="00614E7F" w:rsidRDefault="0064638F" w:rsidP="00175E85">
            <w:pPr>
              <w:rPr>
                <w:i/>
                <w:color w:val="000000"/>
              </w:rPr>
            </w:pPr>
            <w:r w:rsidRPr="00614E7F">
              <w:rPr>
                <w:color w:val="000000"/>
              </w:rPr>
              <w:t xml:space="preserve">Time since onset of first non Raynaud’s symptoms (years), </w:t>
            </w:r>
            <w:r w:rsidRPr="00614E7F">
              <w:rPr>
                <w:i/>
                <w:color w:val="000000"/>
              </w:rPr>
              <w:t xml:space="preserve">mean ± SD </w:t>
            </w:r>
          </w:p>
          <w:p w14:paraId="7583AD04" w14:textId="77777777" w:rsidR="00D908A6" w:rsidRPr="00614E7F" w:rsidRDefault="00D908A6" w:rsidP="00175E85"/>
        </w:tc>
        <w:tc>
          <w:tcPr>
            <w:tcW w:w="1418" w:type="dxa"/>
            <w:tcBorders>
              <w:right w:val="single" w:sz="18" w:space="0" w:color="auto"/>
            </w:tcBorders>
          </w:tcPr>
          <w:p w14:paraId="57916B50" w14:textId="42F984F8" w:rsidR="0064638F" w:rsidRPr="00614E7F" w:rsidRDefault="0064638F" w:rsidP="00175E85">
            <w:pPr>
              <w:spacing w:line="480" w:lineRule="auto"/>
              <w:ind w:left="-198"/>
              <w:jc w:val="center"/>
              <w:rPr>
                <w:i/>
                <w:vertAlign w:val="superscript"/>
              </w:rPr>
            </w:pPr>
            <w:r w:rsidRPr="00614E7F">
              <w:t xml:space="preserve">11.5 </w:t>
            </w:r>
            <w:r w:rsidRPr="00614E7F">
              <w:rPr>
                <w:color w:val="000000"/>
              </w:rPr>
              <w:t>± 8.</w:t>
            </w:r>
            <w:r w:rsidR="004C5BA7" w:rsidRPr="00614E7F">
              <w:rPr>
                <w:color w:val="000000"/>
              </w:rPr>
              <w:t>7</w:t>
            </w:r>
            <w:r w:rsidR="004C5BA7" w:rsidRPr="00614E7F">
              <w:rPr>
                <w:i/>
                <w:color w:val="000000"/>
                <w:vertAlign w:val="superscript"/>
              </w:rPr>
              <w:t>f</w:t>
            </w:r>
          </w:p>
        </w:tc>
        <w:tc>
          <w:tcPr>
            <w:tcW w:w="1559" w:type="dxa"/>
            <w:tcBorders>
              <w:left w:val="single" w:sz="18" w:space="0" w:color="auto"/>
            </w:tcBorders>
          </w:tcPr>
          <w:p w14:paraId="00CEB575" w14:textId="1307A773" w:rsidR="0064638F" w:rsidRPr="00614E7F" w:rsidRDefault="0064638F" w:rsidP="00175E85">
            <w:pPr>
              <w:spacing w:line="480" w:lineRule="auto"/>
              <w:ind w:left="-198"/>
              <w:jc w:val="center"/>
              <w:rPr>
                <w:highlight w:val="yellow"/>
                <w:vertAlign w:val="superscript"/>
              </w:rPr>
            </w:pPr>
            <w:r w:rsidRPr="00614E7F">
              <w:t xml:space="preserve">11.6 </w:t>
            </w:r>
            <w:r w:rsidRPr="00614E7F">
              <w:rPr>
                <w:color w:val="000000"/>
              </w:rPr>
              <w:t>± 8.</w:t>
            </w:r>
            <w:r w:rsidR="004C5BA7" w:rsidRPr="00614E7F">
              <w:rPr>
                <w:color w:val="000000"/>
              </w:rPr>
              <w:t>9</w:t>
            </w:r>
            <w:r w:rsidR="004C5BA7" w:rsidRPr="00614E7F">
              <w:rPr>
                <w:i/>
                <w:color w:val="000000"/>
                <w:vertAlign w:val="superscript"/>
              </w:rPr>
              <w:t>g</w:t>
            </w:r>
          </w:p>
        </w:tc>
        <w:tc>
          <w:tcPr>
            <w:tcW w:w="1559" w:type="dxa"/>
          </w:tcPr>
          <w:p w14:paraId="1513F15E" w14:textId="6AD99B33" w:rsidR="0064638F" w:rsidRPr="00614E7F" w:rsidRDefault="0064638F" w:rsidP="00175E85">
            <w:pPr>
              <w:spacing w:line="480" w:lineRule="auto"/>
              <w:ind w:left="-198"/>
              <w:jc w:val="center"/>
              <w:rPr>
                <w:highlight w:val="yellow"/>
              </w:rPr>
            </w:pPr>
            <w:r w:rsidRPr="00614E7F">
              <w:t xml:space="preserve">8.9 </w:t>
            </w:r>
            <w:r w:rsidRPr="00614E7F">
              <w:rPr>
                <w:color w:val="000000"/>
              </w:rPr>
              <w:t>± 5.</w:t>
            </w:r>
            <w:r w:rsidR="004C5BA7" w:rsidRPr="00614E7F">
              <w:rPr>
                <w:color w:val="000000"/>
              </w:rPr>
              <w:t>6</w:t>
            </w:r>
            <w:r w:rsidR="004C5BA7" w:rsidRPr="00614E7F">
              <w:rPr>
                <w:i/>
                <w:vertAlign w:val="superscript"/>
              </w:rPr>
              <w:t>h</w:t>
            </w:r>
          </w:p>
        </w:tc>
        <w:tc>
          <w:tcPr>
            <w:tcW w:w="1560" w:type="dxa"/>
          </w:tcPr>
          <w:p w14:paraId="391F6EE7" w14:textId="7436CCE7" w:rsidR="0064638F" w:rsidRPr="00614E7F" w:rsidRDefault="0064638F" w:rsidP="00175E85">
            <w:pPr>
              <w:spacing w:line="480" w:lineRule="auto"/>
              <w:ind w:left="-198"/>
              <w:jc w:val="center"/>
              <w:rPr>
                <w:highlight w:val="yellow"/>
              </w:rPr>
            </w:pPr>
            <w:r w:rsidRPr="00614E7F">
              <w:t xml:space="preserve">10.2 </w:t>
            </w:r>
            <w:r w:rsidRPr="00614E7F">
              <w:rPr>
                <w:color w:val="000000"/>
              </w:rPr>
              <w:t>± 7.</w:t>
            </w:r>
            <w:r w:rsidR="004C5BA7" w:rsidRPr="00614E7F">
              <w:rPr>
                <w:color w:val="000000"/>
              </w:rPr>
              <w:t>8</w:t>
            </w:r>
            <w:r w:rsidR="004C5BA7" w:rsidRPr="00614E7F">
              <w:rPr>
                <w:i/>
                <w:color w:val="000000"/>
                <w:vertAlign w:val="superscript"/>
              </w:rPr>
              <w:t>i</w:t>
            </w:r>
          </w:p>
        </w:tc>
        <w:tc>
          <w:tcPr>
            <w:tcW w:w="940" w:type="dxa"/>
            <w:tcBorders>
              <w:right w:val="single" w:sz="18" w:space="0" w:color="auto"/>
            </w:tcBorders>
          </w:tcPr>
          <w:p w14:paraId="05EE6B67" w14:textId="00244F33" w:rsidR="0064638F" w:rsidRPr="00614E7F" w:rsidRDefault="0064638F" w:rsidP="00175E85">
            <w:pPr>
              <w:spacing w:line="480" w:lineRule="auto"/>
              <w:ind w:left="-198"/>
              <w:jc w:val="center"/>
              <w:rPr>
                <w:highlight w:val="yellow"/>
              </w:rPr>
            </w:pPr>
            <w:r w:rsidRPr="00614E7F">
              <w:t>.067</w:t>
            </w:r>
          </w:p>
        </w:tc>
        <w:tc>
          <w:tcPr>
            <w:tcW w:w="1418" w:type="dxa"/>
            <w:tcBorders>
              <w:left w:val="single" w:sz="18" w:space="0" w:color="auto"/>
            </w:tcBorders>
          </w:tcPr>
          <w:p w14:paraId="79C57F1B" w14:textId="63CC67EB" w:rsidR="0064638F" w:rsidRPr="00614E7F" w:rsidRDefault="00101A0D" w:rsidP="00175E85">
            <w:pPr>
              <w:spacing w:line="480" w:lineRule="auto"/>
              <w:ind w:left="-198"/>
              <w:jc w:val="center"/>
              <w:rPr>
                <w:i/>
                <w:vertAlign w:val="superscript"/>
              </w:rPr>
            </w:pPr>
            <w:r w:rsidRPr="00614E7F">
              <w:t xml:space="preserve">11.7 </w:t>
            </w:r>
            <w:r w:rsidRPr="00614E7F">
              <w:rPr>
                <w:color w:val="000000"/>
              </w:rPr>
              <w:t>± 8.</w:t>
            </w:r>
            <w:r w:rsidR="004C5BA7" w:rsidRPr="00614E7F">
              <w:rPr>
                <w:color w:val="000000"/>
              </w:rPr>
              <w:t>8</w:t>
            </w:r>
            <w:r w:rsidR="004C5BA7" w:rsidRPr="00614E7F">
              <w:rPr>
                <w:i/>
                <w:color w:val="000000"/>
                <w:vertAlign w:val="superscript"/>
              </w:rPr>
              <w:t>j</w:t>
            </w:r>
          </w:p>
        </w:tc>
        <w:tc>
          <w:tcPr>
            <w:tcW w:w="1469" w:type="dxa"/>
          </w:tcPr>
          <w:p w14:paraId="5D2F63C0" w14:textId="22C8456F" w:rsidR="0064638F" w:rsidRPr="00614E7F" w:rsidRDefault="00BF2AFB" w:rsidP="00175E85">
            <w:pPr>
              <w:spacing w:line="480" w:lineRule="auto"/>
              <w:ind w:left="-198"/>
              <w:jc w:val="center"/>
              <w:rPr>
                <w:i/>
                <w:vertAlign w:val="superscript"/>
              </w:rPr>
            </w:pPr>
            <w:r w:rsidRPr="00614E7F">
              <w:t xml:space="preserve">10.4 </w:t>
            </w:r>
            <w:r w:rsidRPr="00614E7F">
              <w:rPr>
                <w:color w:val="000000"/>
              </w:rPr>
              <w:t>± 7.8</w:t>
            </w:r>
            <w:r w:rsidR="004C5BA7" w:rsidRPr="00614E7F">
              <w:rPr>
                <w:i/>
                <w:color w:val="000000"/>
                <w:vertAlign w:val="superscript"/>
              </w:rPr>
              <w:t>k</w:t>
            </w:r>
          </w:p>
        </w:tc>
        <w:tc>
          <w:tcPr>
            <w:tcW w:w="992" w:type="dxa"/>
          </w:tcPr>
          <w:p w14:paraId="4F6EC6AF" w14:textId="2E78B817" w:rsidR="0064638F" w:rsidRPr="00614E7F" w:rsidRDefault="006E0B69" w:rsidP="00175E85">
            <w:pPr>
              <w:spacing w:line="480" w:lineRule="auto"/>
              <w:ind w:left="-198"/>
              <w:jc w:val="center"/>
            </w:pPr>
            <w:r w:rsidRPr="00614E7F">
              <w:t>.227</w:t>
            </w:r>
          </w:p>
        </w:tc>
      </w:tr>
      <w:tr w:rsidR="000D4E0E" w:rsidRPr="00614E7F" w14:paraId="3410EE2F" w14:textId="77777777" w:rsidTr="00FF304B">
        <w:trPr>
          <w:cantSplit/>
        </w:trPr>
        <w:tc>
          <w:tcPr>
            <w:tcW w:w="2376" w:type="dxa"/>
          </w:tcPr>
          <w:p w14:paraId="00B6011B" w14:textId="6E619CCB" w:rsidR="000D4E0E" w:rsidRPr="00614E7F" w:rsidRDefault="000D4E0E" w:rsidP="00175E85">
            <w:pPr>
              <w:rPr>
                <w:color w:val="000000"/>
              </w:rPr>
            </w:pPr>
            <w:r w:rsidRPr="00614E7F">
              <w:rPr>
                <w:color w:val="000000"/>
              </w:rPr>
              <w:t xml:space="preserve">Body Mass Index (BMI) </w:t>
            </w:r>
            <w:r w:rsidRPr="00614E7F">
              <w:rPr>
                <w:i/>
                <w:color w:val="000000"/>
              </w:rPr>
              <w:t>mean ± SD</w:t>
            </w:r>
          </w:p>
          <w:p w14:paraId="3ACC1484" w14:textId="4EBE970F" w:rsidR="000D4E0E" w:rsidRPr="00614E7F" w:rsidRDefault="000D4E0E" w:rsidP="00175E85">
            <w:pPr>
              <w:rPr>
                <w:color w:val="000000"/>
              </w:rPr>
            </w:pPr>
          </w:p>
        </w:tc>
        <w:tc>
          <w:tcPr>
            <w:tcW w:w="1418" w:type="dxa"/>
            <w:tcBorders>
              <w:right w:val="single" w:sz="18" w:space="0" w:color="auto"/>
            </w:tcBorders>
          </w:tcPr>
          <w:p w14:paraId="423BF082" w14:textId="41C977C3" w:rsidR="000D4E0E" w:rsidRPr="00614E7F" w:rsidRDefault="00094A81" w:rsidP="00175E85">
            <w:pPr>
              <w:spacing w:line="480" w:lineRule="auto"/>
              <w:ind w:left="-198"/>
              <w:jc w:val="center"/>
            </w:pPr>
            <w:r w:rsidRPr="00614E7F">
              <w:t xml:space="preserve">26.04 </w:t>
            </w:r>
            <w:r w:rsidRPr="00614E7F">
              <w:rPr>
                <w:color w:val="000000"/>
              </w:rPr>
              <w:t>± 6.12</w:t>
            </w:r>
          </w:p>
        </w:tc>
        <w:tc>
          <w:tcPr>
            <w:tcW w:w="1559" w:type="dxa"/>
            <w:tcBorders>
              <w:left w:val="single" w:sz="18" w:space="0" w:color="auto"/>
            </w:tcBorders>
          </w:tcPr>
          <w:p w14:paraId="10867BED" w14:textId="3D9AF54F" w:rsidR="000D4E0E" w:rsidRPr="00614E7F" w:rsidRDefault="00FA3D83" w:rsidP="00175E85">
            <w:pPr>
              <w:spacing w:line="480" w:lineRule="auto"/>
              <w:ind w:left="-198"/>
              <w:jc w:val="center"/>
            </w:pPr>
            <w:r w:rsidRPr="00614E7F">
              <w:t xml:space="preserve">26.14 </w:t>
            </w:r>
            <w:r w:rsidRPr="00614E7F">
              <w:rPr>
                <w:color w:val="000000"/>
              </w:rPr>
              <w:t xml:space="preserve">± </w:t>
            </w:r>
            <w:r w:rsidRPr="00614E7F">
              <w:t>6.14</w:t>
            </w:r>
          </w:p>
        </w:tc>
        <w:tc>
          <w:tcPr>
            <w:tcW w:w="1559" w:type="dxa"/>
          </w:tcPr>
          <w:p w14:paraId="124CFEA1" w14:textId="44B0BD66" w:rsidR="000D4E0E" w:rsidRPr="00614E7F" w:rsidRDefault="00FA3D83" w:rsidP="00175E85">
            <w:pPr>
              <w:spacing w:line="480" w:lineRule="auto"/>
              <w:ind w:left="-198"/>
              <w:jc w:val="center"/>
            </w:pPr>
            <w:r w:rsidRPr="00614E7F">
              <w:t xml:space="preserve">26.14 </w:t>
            </w:r>
            <w:r w:rsidRPr="00614E7F">
              <w:rPr>
                <w:color w:val="000000"/>
              </w:rPr>
              <w:t>± 6.84</w:t>
            </w:r>
          </w:p>
        </w:tc>
        <w:tc>
          <w:tcPr>
            <w:tcW w:w="1560" w:type="dxa"/>
          </w:tcPr>
          <w:p w14:paraId="2ED11D90" w14:textId="6244A7ED" w:rsidR="000D4E0E" w:rsidRPr="00614E7F" w:rsidRDefault="00FA3D83" w:rsidP="00175E85">
            <w:pPr>
              <w:spacing w:line="480" w:lineRule="auto"/>
              <w:ind w:left="-198"/>
              <w:jc w:val="center"/>
            </w:pPr>
            <w:r w:rsidRPr="00614E7F">
              <w:t xml:space="preserve">24.97 </w:t>
            </w:r>
            <w:r w:rsidRPr="00614E7F">
              <w:rPr>
                <w:color w:val="000000"/>
              </w:rPr>
              <w:t>± 5.33</w:t>
            </w:r>
          </w:p>
        </w:tc>
        <w:tc>
          <w:tcPr>
            <w:tcW w:w="940" w:type="dxa"/>
            <w:tcBorders>
              <w:right w:val="single" w:sz="18" w:space="0" w:color="auto"/>
            </w:tcBorders>
          </w:tcPr>
          <w:p w14:paraId="2767E432" w14:textId="74A47887" w:rsidR="000D4E0E" w:rsidRPr="00614E7F" w:rsidRDefault="00F90E65" w:rsidP="00175E85">
            <w:pPr>
              <w:spacing w:line="480" w:lineRule="auto"/>
              <w:ind w:left="-198"/>
              <w:jc w:val="center"/>
            </w:pPr>
            <w:r w:rsidRPr="00614E7F">
              <w:t>.413</w:t>
            </w:r>
          </w:p>
        </w:tc>
        <w:tc>
          <w:tcPr>
            <w:tcW w:w="1418" w:type="dxa"/>
            <w:tcBorders>
              <w:left w:val="single" w:sz="18" w:space="0" w:color="auto"/>
            </w:tcBorders>
          </w:tcPr>
          <w:p w14:paraId="57AA258F" w14:textId="667DF357" w:rsidR="000D4E0E" w:rsidRPr="00614E7F" w:rsidRDefault="009B3DF0" w:rsidP="00175E85">
            <w:pPr>
              <w:spacing w:line="480" w:lineRule="auto"/>
              <w:ind w:left="-198"/>
              <w:jc w:val="center"/>
            </w:pPr>
            <w:r w:rsidRPr="00614E7F">
              <w:t xml:space="preserve"> </w:t>
            </w:r>
            <w:r w:rsidR="00AE4930" w:rsidRPr="00614E7F">
              <w:t xml:space="preserve">26.02 </w:t>
            </w:r>
            <w:r w:rsidR="00AE4930" w:rsidRPr="00614E7F">
              <w:rPr>
                <w:color w:val="000000"/>
              </w:rPr>
              <w:t>± 6.26</w:t>
            </w:r>
          </w:p>
        </w:tc>
        <w:tc>
          <w:tcPr>
            <w:tcW w:w="1469" w:type="dxa"/>
          </w:tcPr>
          <w:p w14:paraId="356FBF28" w14:textId="1836573F" w:rsidR="000D4E0E" w:rsidRPr="00614E7F" w:rsidRDefault="00AE4930" w:rsidP="00175E85">
            <w:pPr>
              <w:spacing w:line="480" w:lineRule="auto"/>
              <w:ind w:left="-198"/>
              <w:jc w:val="center"/>
            </w:pPr>
            <w:r w:rsidRPr="00614E7F">
              <w:t xml:space="preserve">26.19 </w:t>
            </w:r>
            <w:r w:rsidRPr="00614E7F">
              <w:rPr>
                <w:color w:val="000000"/>
              </w:rPr>
              <w:t>± 5.00</w:t>
            </w:r>
          </w:p>
        </w:tc>
        <w:tc>
          <w:tcPr>
            <w:tcW w:w="992" w:type="dxa"/>
          </w:tcPr>
          <w:p w14:paraId="1B054411" w14:textId="08ED408D" w:rsidR="000D4E0E" w:rsidRPr="00614E7F" w:rsidRDefault="009B3DF0" w:rsidP="00175E85">
            <w:pPr>
              <w:spacing w:line="480" w:lineRule="auto"/>
              <w:ind w:left="-198"/>
              <w:jc w:val="center"/>
            </w:pPr>
            <w:r w:rsidRPr="00614E7F">
              <w:t>.816</w:t>
            </w:r>
          </w:p>
        </w:tc>
      </w:tr>
      <w:tr w:rsidR="00FF304B" w:rsidRPr="00614E7F" w14:paraId="17155E57" w14:textId="67C8FFFD" w:rsidTr="00FF304B">
        <w:trPr>
          <w:cantSplit/>
        </w:trPr>
        <w:tc>
          <w:tcPr>
            <w:tcW w:w="2376" w:type="dxa"/>
          </w:tcPr>
          <w:p w14:paraId="15FB5546" w14:textId="796F0292" w:rsidR="0064638F" w:rsidRPr="00614E7F" w:rsidRDefault="0064638F" w:rsidP="00175E85">
            <w:pPr>
              <w:rPr>
                <w:color w:val="000000"/>
              </w:rPr>
            </w:pPr>
            <w:r w:rsidRPr="00614E7F">
              <w:rPr>
                <w:color w:val="000000"/>
              </w:rPr>
              <w:t xml:space="preserve">Patients with diffuse SSc, </w:t>
            </w:r>
            <w:r w:rsidR="00425185" w:rsidRPr="00614E7F">
              <w:rPr>
                <w:i/>
                <w:color w:val="000000"/>
              </w:rPr>
              <w:t>n</w:t>
            </w:r>
            <w:r w:rsidRPr="00614E7F">
              <w:rPr>
                <w:i/>
                <w:color w:val="000000"/>
              </w:rPr>
              <w:t xml:space="preserve"> (%)</w:t>
            </w:r>
          </w:p>
          <w:p w14:paraId="21237CB5" w14:textId="77777777" w:rsidR="00606453" w:rsidRPr="00614E7F" w:rsidRDefault="00606453" w:rsidP="00175E85"/>
        </w:tc>
        <w:tc>
          <w:tcPr>
            <w:tcW w:w="1418" w:type="dxa"/>
            <w:tcBorders>
              <w:right w:val="single" w:sz="18" w:space="0" w:color="auto"/>
            </w:tcBorders>
          </w:tcPr>
          <w:p w14:paraId="6973DD0E" w14:textId="57440D00" w:rsidR="0064638F" w:rsidRPr="00614E7F" w:rsidRDefault="0064638F" w:rsidP="00175E85">
            <w:pPr>
              <w:spacing w:line="480" w:lineRule="auto"/>
              <w:ind w:left="-198"/>
              <w:jc w:val="center"/>
            </w:pPr>
            <w:r w:rsidRPr="00614E7F">
              <w:rPr>
                <w:color w:val="000000"/>
              </w:rPr>
              <w:t>258 (40.1)</w:t>
            </w:r>
          </w:p>
        </w:tc>
        <w:tc>
          <w:tcPr>
            <w:tcW w:w="1559" w:type="dxa"/>
            <w:tcBorders>
              <w:left w:val="single" w:sz="18" w:space="0" w:color="auto"/>
            </w:tcBorders>
          </w:tcPr>
          <w:p w14:paraId="1CF44FDC" w14:textId="66B0394B" w:rsidR="0064638F" w:rsidRPr="00614E7F" w:rsidRDefault="0064638F" w:rsidP="00175E85">
            <w:pPr>
              <w:spacing w:line="480" w:lineRule="auto"/>
              <w:ind w:left="-198"/>
              <w:jc w:val="center"/>
              <w:rPr>
                <w:i/>
                <w:highlight w:val="yellow"/>
                <w:vertAlign w:val="superscript"/>
              </w:rPr>
            </w:pPr>
            <w:r w:rsidRPr="00614E7F">
              <w:t>200 (36.4)</w:t>
            </w:r>
            <w:proofErr w:type="spellStart"/>
            <w:r w:rsidR="00B47988" w:rsidRPr="00614E7F">
              <w:rPr>
                <w:i/>
                <w:color w:val="000000"/>
                <w:vertAlign w:val="superscript"/>
              </w:rPr>
              <w:t>a</w:t>
            </w:r>
            <w:r w:rsidR="006C59D1" w:rsidRPr="00614E7F">
              <w:rPr>
                <w:i/>
                <w:color w:val="000000"/>
                <w:vertAlign w:val="superscript"/>
              </w:rPr>
              <w:t>,b</w:t>
            </w:r>
            <w:proofErr w:type="spellEnd"/>
          </w:p>
        </w:tc>
        <w:tc>
          <w:tcPr>
            <w:tcW w:w="1559" w:type="dxa"/>
          </w:tcPr>
          <w:p w14:paraId="63A8625E" w14:textId="7B9ACD25" w:rsidR="0064638F" w:rsidRPr="00614E7F" w:rsidRDefault="0064638F" w:rsidP="00175E85">
            <w:pPr>
              <w:spacing w:line="480" w:lineRule="auto"/>
              <w:ind w:left="-198"/>
              <w:jc w:val="center"/>
              <w:rPr>
                <w:highlight w:val="yellow"/>
              </w:rPr>
            </w:pPr>
            <w:r w:rsidRPr="00614E7F">
              <w:t>28 (68.3)</w:t>
            </w:r>
            <w:r w:rsidR="00B47988" w:rsidRPr="00614E7F">
              <w:rPr>
                <w:i/>
                <w:color w:val="000000"/>
                <w:vertAlign w:val="superscript"/>
              </w:rPr>
              <w:t>a</w:t>
            </w:r>
          </w:p>
        </w:tc>
        <w:tc>
          <w:tcPr>
            <w:tcW w:w="1560" w:type="dxa"/>
          </w:tcPr>
          <w:p w14:paraId="4DD299DF" w14:textId="57D7CA3B" w:rsidR="0064638F" w:rsidRPr="00614E7F" w:rsidRDefault="0064638F" w:rsidP="00175E85">
            <w:pPr>
              <w:spacing w:line="480" w:lineRule="auto"/>
              <w:ind w:left="-198"/>
              <w:jc w:val="center"/>
              <w:rPr>
                <w:i/>
                <w:highlight w:val="yellow"/>
                <w:vertAlign w:val="superscript"/>
              </w:rPr>
            </w:pPr>
            <w:r w:rsidRPr="00614E7F">
              <w:t>30 (56.6)</w:t>
            </w:r>
            <w:r w:rsidR="006C59D1" w:rsidRPr="00614E7F">
              <w:rPr>
                <w:i/>
                <w:vertAlign w:val="superscript"/>
              </w:rPr>
              <w:t>b</w:t>
            </w:r>
          </w:p>
        </w:tc>
        <w:tc>
          <w:tcPr>
            <w:tcW w:w="940" w:type="dxa"/>
            <w:tcBorders>
              <w:right w:val="single" w:sz="18" w:space="0" w:color="auto"/>
            </w:tcBorders>
          </w:tcPr>
          <w:p w14:paraId="2365E52B" w14:textId="2600AEBC" w:rsidR="0064638F" w:rsidRPr="00614E7F" w:rsidRDefault="0064638F" w:rsidP="00175E85">
            <w:pPr>
              <w:spacing w:line="480" w:lineRule="auto"/>
              <w:ind w:left="-198"/>
              <w:jc w:val="center"/>
              <w:rPr>
                <w:highlight w:val="yellow"/>
              </w:rPr>
            </w:pPr>
            <w:r w:rsidRPr="00614E7F">
              <w:t>&lt;.001</w:t>
            </w:r>
          </w:p>
        </w:tc>
        <w:tc>
          <w:tcPr>
            <w:tcW w:w="1418" w:type="dxa"/>
            <w:tcBorders>
              <w:left w:val="single" w:sz="18" w:space="0" w:color="auto"/>
            </w:tcBorders>
          </w:tcPr>
          <w:p w14:paraId="22C38475" w14:textId="627E1163" w:rsidR="0064638F" w:rsidRPr="00614E7F" w:rsidRDefault="00E9556D" w:rsidP="00175E85">
            <w:pPr>
              <w:spacing w:line="480" w:lineRule="auto"/>
              <w:ind w:left="-198"/>
              <w:jc w:val="center"/>
            </w:pPr>
            <w:r w:rsidRPr="00614E7F">
              <w:t>226 (40.0)</w:t>
            </w:r>
          </w:p>
        </w:tc>
        <w:tc>
          <w:tcPr>
            <w:tcW w:w="1469" w:type="dxa"/>
          </w:tcPr>
          <w:p w14:paraId="2D414CD6" w14:textId="755FBE8A" w:rsidR="0064638F" w:rsidRPr="00614E7F" w:rsidRDefault="00BF2AFB" w:rsidP="00175E85">
            <w:pPr>
              <w:spacing w:line="480" w:lineRule="auto"/>
              <w:ind w:left="-198"/>
              <w:jc w:val="center"/>
            </w:pPr>
            <w:r w:rsidRPr="00614E7F">
              <w:t>32 (40.5)</w:t>
            </w:r>
          </w:p>
        </w:tc>
        <w:tc>
          <w:tcPr>
            <w:tcW w:w="992" w:type="dxa"/>
          </w:tcPr>
          <w:p w14:paraId="251173A4" w14:textId="7E12077B" w:rsidR="0064638F" w:rsidRPr="00614E7F" w:rsidRDefault="004B3A79" w:rsidP="00175E85">
            <w:pPr>
              <w:spacing w:line="480" w:lineRule="auto"/>
              <w:ind w:left="-198"/>
              <w:jc w:val="center"/>
            </w:pPr>
            <w:r w:rsidRPr="00614E7F">
              <w:t>.971</w:t>
            </w:r>
          </w:p>
        </w:tc>
      </w:tr>
      <w:tr w:rsidR="00FF304B" w:rsidRPr="00614E7F" w14:paraId="60575316" w14:textId="298E0F2E" w:rsidTr="00FF304B">
        <w:trPr>
          <w:cantSplit/>
        </w:trPr>
        <w:tc>
          <w:tcPr>
            <w:tcW w:w="2376" w:type="dxa"/>
          </w:tcPr>
          <w:p w14:paraId="1F27BC58" w14:textId="77777777" w:rsidR="0064638F" w:rsidRPr="00614E7F" w:rsidRDefault="0064638F" w:rsidP="00175E85">
            <w:pPr>
              <w:rPr>
                <w:color w:val="000000"/>
              </w:rPr>
            </w:pPr>
            <w:r w:rsidRPr="00614E7F">
              <w:rPr>
                <w:color w:val="000000"/>
              </w:rPr>
              <w:lastRenderedPageBreak/>
              <w:t>Telangiectasias</w:t>
            </w:r>
          </w:p>
        </w:tc>
        <w:tc>
          <w:tcPr>
            <w:tcW w:w="1418" w:type="dxa"/>
            <w:tcBorders>
              <w:right w:val="single" w:sz="18" w:space="0" w:color="auto"/>
            </w:tcBorders>
          </w:tcPr>
          <w:p w14:paraId="5271416D" w14:textId="77777777" w:rsidR="0064638F" w:rsidRPr="00614E7F" w:rsidRDefault="0064638F" w:rsidP="00175E85">
            <w:pPr>
              <w:spacing w:line="480" w:lineRule="auto"/>
              <w:ind w:left="-198"/>
              <w:jc w:val="center"/>
              <w:rPr>
                <w:highlight w:val="yellow"/>
              </w:rPr>
            </w:pPr>
          </w:p>
        </w:tc>
        <w:tc>
          <w:tcPr>
            <w:tcW w:w="1559" w:type="dxa"/>
            <w:tcBorders>
              <w:left w:val="single" w:sz="18" w:space="0" w:color="auto"/>
            </w:tcBorders>
          </w:tcPr>
          <w:p w14:paraId="5DE7DB0C" w14:textId="77777777" w:rsidR="0064638F" w:rsidRPr="00614E7F" w:rsidRDefault="0064638F" w:rsidP="00175E85">
            <w:pPr>
              <w:spacing w:line="480" w:lineRule="auto"/>
              <w:ind w:left="-198"/>
              <w:jc w:val="center"/>
              <w:rPr>
                <w:highlight w:val="yellow"/>
              </w:rPr>
            </w:pPr>
          </w:p>
        </w:tc>
        <w:tc>
          <w:tcPr>
            <w:tcW w:w="1559" w:type="dxa"/>
          </w:tcPr>
          <w:p w14:paraId="22CB3D25" w14:textId="77777777" w:rsidR="0064638F" w:rsidRPr="00614E7F" w:rsidRDefault="0064638F" w:rsidP="00175E85">
            <w:pPr>
              <w:spacing w:line="480" w:lineRule="auto"/>
              <w:ind w:left="-198"/>
              <w:jc w:val="center"/>
              <w:rPr>
                <w:highlight w:val="yellow"/>
              </w:rPr>
            </w:pPr>
          </w:p>
        </w:tc>
        <w:tc>
          <w:tcPr>
            <w:tcW w:w="1560" w:type="dxa"/>
          </w:tcPr>
          <w:p w14:paraId="69F5697D" w14:textId="77777777" w:rsidR="0064638F" w:rsidRPr="00614E7F" w:rsidRDefault="0064638F" w:rsidP="00175E85">
            <w:pPr>
              <w:spacing w:line="480" w:lineRule="auto"/>
              <w:ind w:left="-198"/>
              <w:jc w:val="center"/>
              <w:rPr>
                <w:highlight w:val="yellow"/>
              </w:rPr>
            </w:pPr>
          </w:p>
        </w:tc>
        <w:tc>
          <w:tcPr>
            <w:tcW w:w="940" w:type="dxa"/>
            <w:tcBorders>
              <w:right w:val="single" w:sz="18" w:space="0" w:color="auto"/>
            </w:tcBorders>
          </w:tcPr>
          <w:p w14:paraId="06DCD155" w14:textId="77777777" w:rsidR="0064638F" w:rsidRPr="00614E7F" w:rsidRDefault="0064638F" w:rsidP="00175E85">
            <w:pPr>
              <w:spacing w:line="480" w:lineRule="auto"/>
              <w:ind w:left="-198"/>
              <w:jc w:val="center"/>
            </w:pPr>
            <w:r w:rsidRPr="00614E7F">
              <w:t>&lt;.001</w:t>
            </w:r>
          </w:p>
        </w:tc>
        <w:tc>
          <w:tcPr>
            <w:tcW w:w="1418" w:type="dxa"/>
            <w:tcBorders>
              <w:left w:val="single" w:sz="18" w:space="0" w:color="auto"/>
            </w:tcBorders>
          </w:tcPr>
          <w:p w14:paraId="1655EEC6" w14:textId="77777777" w:rsidR="0064638F" w:rsidRPr="00614E7F" w:rsidRDefault="0064638F" w:rsidP="00175E85">
            <w:pPr>
              <w:spacing w:line="480" w:lineRule="auto"/>
              <w:ind w:left="-198"/>
              <w:jc w:val="center"/>
            </w:pPr>
          </w:p>
        </w:tc>
        <w:tc>
          <w:tcPr>
            <w:tcW w:w="1469" w:type="dxa"/>
          </w:tcPr>
          <w:p w14:paraId="12F15C42" w14:textId="77777777" w:rsidR="0064638F" w:rsidRPr="00614E7F" w:rsidRDefault="0064638F" w:rsidP="00175E85">
            <w:pPr>
              <w:spacing w:line="480" w:lineRule="auto"/>
              <w:ind w:left="-198"/>
              <w:jc w:val="center"/>
            </w:pPr>
          </w:p>
        </w:tc>
        <w:tc>
          <w:tcPr>
            <w:tcW w:w="992" w:type="dxa"/>
          </w:tcPr>
          <w:p w14:paraId="49E91ED1" w14:textId="636D7761" w:rsidR="0064638F" w:rsidRPr="00614E7F" w:rsidRDefault="001B5C74" w:rsidP="00175E85">
            <w:pPr>
              <w:spacing w:line="480" w:lineRule="auto"/>
              <w:ind w:left="-198"/>
              <w:jc w:val="center"/>
            </w:pPr>
            <w:r w:rsidRPr="00614E7F">
              <w:t>.058</w:t>
            </w:r>
          </w:p>
        </w:tc>
      </w:tr>
      <w:tr w:rsidR="00FF304B" w:rsidRPr="00614E7F" w14:paraId="28933430" w14:textId="0F50203B" w:rsidTr="00FF304B">
        <w:trPr>
          <w:cantSplit/>
        </w:trPr>
        <w:tc>
          <w:tcPr>
            <w:tcW w:w="2376" w:type="dxa"/>
          </w:tcPr>
          <w:p w14:paraId="0113BD56" w14:textId="77777777" w:rsidR="00407D63" w:rsidRPr="00614E7F" w:rsidRDefault="0064638F" w:rsidP="00175E85">
            <w:pPr>
              <w:ind w:firstLine="284"/>
              <w:rPr>
                <w:color w:val="000000"/>
              </w:rPr>
            </w:pPr>
            <w:r w:rsidRPr="00614E7F">
              <w:rPr>
                <w:color w:val="000000"/>
              </w:rPr>
              <w:t xml:space="preserve">None, </w:t>
            </w:r>
          </w:p>
          <w:p w14:paraId="111B6F74" w14:textId="3B95148A" w:rsidR="00407D63" w:rsidRPr="00614E7F" w:rsidRDefault="0064638F" w:rsidP="00175E85">
            <w:pPr>
              <w:ind w:firstLine="284"/>
              <w:rPr>
                <w:i/>
                <w:color w:val="000000"/>
              </w:rPr>
            </w:pPr>
            <w:r w:rsidRPr="00614E7F">
              <w:rPr>
                <w:i/>
                <w:color w:val="000000"/>
              </w:rPr>
              <w:t>n (%)</w:t>
            </w:r>
          </w:p>
        </w:tc>
        <w:tc>
          <w:tcPr>
            <w:tcW w:w="1418" w:type="dxa"/>
            <w:tcBorders>
              <w:right w:val="single" w:sz="18" w:space="0" w:color="auto"/>
            </w:tcBorders>
          </w:tcPr>
          <w:p w14:paraId="648F5D4D" w14:textId="3652399E" w:rsidR="0064638F" w:rsidRPr="00614E7F" w:rsidRDefault="0064638F" w:rsidP="00175E85">
            <w:pPr>
              <w:spacing w:line="480" w:lineRule="auto"/>
              <w:ind w:left="-198"/>
              <w:jc w:val="center"/>
              <w:rPr>
                <w:i/>
                <w:vertAlign w:val="superscript"/>
              </w:rPr>
            </w:pPr>
            <w:r w:rsidRPr="00614E7F">
              <w:t>183 (28.4)</w:t>
            </w:r>
          </w:p>
        </w:tc>
        <w:tc>
          <w:tcPr>
            <w:tcW w:w="1559" w:type="dxa"/>
            <w:tcBorders>
              <w:left w:val="single" w:sz="18" w:space="0" w:color="auto"/>
            </w:tcBorders>
          </w:tcPr>
          <w:p w14:paraId="6AFB3A99" w14:textId="1E89D311" w:rsidR="0064638F" w:rsidRPr="00614E7F" w:rsidRDefault="0064638F" w:rsidP="00175E85">
            <w:pPr>
              <w:spacing w:line="480" w:lineRule="auto"/>
              <w:ind w:left="-198"/>
              <w:jc w:val="center"/>
              <w:rPr>
                <w:i/>
                <w:vertAlign w:val="superscript"/>
              </w:rPr>
            </w:pPr>
            <w:r w:rsidRPr="00614E7F">
              <w:t>137 (24.9)</w:t>
            </w:r>
            <w:r w:rsidR="00B47988" w:rsidRPr="00614E7F">
              <w:rPr>
                <w:i/>
                <w:color w:val="000000"/>
                <w:vertAlign w:val="superscript"/>
              </w:rPr>
              <w:t>a</w:t>
            </w:r>
          </w:p>
        </w:tc>
        <w:tc>
          <w:tcPr>
            <w:tcW w:w="1559" w:type="dxa"/>
          </w:tcPr>
          <w:p w14:paraId="4303E170" w14:textId="5CCFE80B" w:rsidR="0064638F" w:rsidRPr="00614E7F" w:rsidRDefault="0064638F" w:rsidP="00175E85">
            <w:pPr>
              <w:spacing w:line="480" w:lineRule="auto"/>
              <w:ind w:left="-198"/>
              <w:jc w:val="center"/>
              <w:rPr>
                <w:i/>
                <w:vertAlign w:val="superscript"/>
              </w:rPr>
            </w:pPr>
            <w:r w:rsidRPr="00614E7F">
              <w:t>26 (63.4)</w:t>
            </w:r>
            <w:r w:rsidR="00B47988" w:rsidRPr="00614E7F">
              <w:rPr>
                <w:i/>
                <w:color w:val="000000"/>
                <w:vertAlign w:val="superscript"/>
              </w:rPr>
              <w:t>a</w:t>
            </w:r>
          </w:p>
        </w:tc>
        <w:tc>
          <w:tcPr>
            <w:tcW w:w="1560" w:type="dxa"/>
          </w:tcPr>
          <w:p w14:paraId="06EC6839" w14:textId="7FACFA31" w:rsidR="0064638F" w:rsidRPr="00614E7F" w:rsidRDefault="0064638F" w:rsidP="00175E85">
            <w:pPr>
              <w:spacing w:line="480" w:lineRule="auto"/>
              <w:ind w:left="-198"/>
              <w:jc w:val="center"/>
            </w:pPr>
            <w:r w:rsidRPr="00614E7F">
              <w:t>20 (37.7)</w:t>
            </w:r>
          </w:p>
        </w:tc>
        <w:tc>
          <w:tcPr>
            <w:tcW w:w="940" w:type="dxa"/>
            <w:tcBorders>
              <w:right w:val="single" w:sz="18" w:space="0" w:color="auto"/>
            </w:tcBorders>
          </w:tcPr>
          <w:p w14:paraId="366700B7" w14:textId="77777777" w:rsidR="0064638F" w:rsidRPr="00614E7F" w:rsidRDefault="0064638F" w:rsidP="00175E85">
            <w:pPr>
              <w:spacing w:line="480" w:lineRule="auto"/>
              <w:ind w:left="-198"/>
              <w:jc w:val="center"/>
            </w:pPr>
          </w:p>
        </w:tc>
        <w:tc>
          <w:tcPr>
            <w:tcW w:w="1418" w:type="dxa"/>
            <w:tcBorders>
              <w:left w:val="single" w:sz="18" w:space="0" w:color="auto"/>
            </w:tcBorders>
          </w:tcPr>
          <w:p w14:paraId="52FC0398" w14:textId="50688662" w:rsidR="0064638F" w:rsidRPr="00614E7F" w:rsidRDefault="00466D4B" w:rsidP="00175E85">
            <w:pPr>
              <w:spacing w:line="480" w:lineRule="auto"/>
              <w:ind w:left="-198"/>
              <w:jc w:val="center"/>
            </w:pPr>
            <w:r w:rsidRPr="00614E7F">
              <w:t>153 (27.1)</w:t>
            </w:r>
          </w:p>
        </w:tc>
        <w:tc>
          <w:tcPr>
            <w:tcW w:w="1469" w:type="dxa"/>
          </w:tcPr>
          <w:p w14:paraId="01A30563" w14:textId="71F9D986" w:rsidR="0064638F" w:rsidRPr="00614E7F" w:rsidRDefault="005413C0" w:rsidP="00175E85">
            <w:pPr>
              <w:spacing w:line="480" w:lineRule="auto"/>
              <w:ind w:left="-198"/>
              <w:jc w:val="center"/>
            </w:pPr>
            <w:r w:rsidRPr="00614E7F">
              <w:t>30 (38.0)</w:t>
            </w:r>
          </w:p>
        </w:tc>
        <w:tc>
          <w:tcPr>
            <w:tcW w:w="992" w:type="dxa"/>
          </w:tcPr>
          <w:p w14:paraId="0FF124EB" w14:textId="77777777" w:rsidR="0064638F" w:rsidRPr="00614E7F" w:rsidRDefault="0064638F" w:rsidP="00175E85">
            <w:pPr>
              <w:spacing w:line="480" w:lineRule="auto"/>
              <w:ind w:left="-198"/>
              <w:jc w:val="center"/>
            </w:pPr>
          </w:p>
        </w:tc>
      </w:tr>
      <w:tr w:rsidR="00FF304B" w:rsidRPr="00614E7F" w14:paraId="76E6C8BD" w14:textId="312208AA" w:rsidTr="00FF304B">
        <w:trPr>
          <w:cantSplit/>
        </w:trPr>
        <w:tc>
          <w:tcPr>
            <w:tcW w:w="2376" w:type="dxa"/>
          </w:tcPr>
          <w:p w14:paraId="17509D22" w14:textId="77777777" w:rsidR="00407D63" w:rsidRPr="00614E7F" w:rsidRDefault="0064638F" w:rsidP="00175E85">
            <w:pPr>
              <w:ind w:firstLine="284"/>
              <w:rPr>
                <w:color w:val="000000"/>
              </w:rPr>
            </w:pPr>
            <w:r w:rsidRPr="00614E7F">
              <w:rPr>
                <w:color w:val="000000"/>
              </w:rPr>
              <w:t xml:space="preserve">Body and face, </w:t>
            </w:r>
          </w:p>
          <w:p w14:paraId="3245E8C2" w14:textId="0AA8DC8C" w:rsidR="0064638F" w:rsidRPr="00614E7F" w:rsidRDefault="0064638F" w:rsidP="00175E85">
            <w:pPr>
              <w:ind w:firstLine="284"/>
              <w:rPr>
                <w:color w:val="000000"/>
              </w:rPr>
            </w:pPr>
            <w:r w:rsidRPr="00614E7F">
              <w:rPr>
                <w:i/>
                <w:color w:val="000000"/>
              </w:rPr>
              <w:t>n</w:t>
            </w:r>
            <w:r w:rsidRPr="00614E7F">
              <w:rPr>
                <w:color w:val="000000"/>
              </w:rPr>
              <w:t xml:space="preserve"> </w:t>
            </w:r>
            <w:r w:rsidRPr="00614E7F">
              <w:rPr>
                <w:i/>
                <w:color w:val="000000"/>
              </w:rPr>
              <w:t>(%)</w:t>
            </w:r>
          </w:p>
        </w:tc>
        <w:tc>
          <w:tcPr>
            <w:tcW w:w="1418" w:type="dxa"/>
            <w:tcBorders>
              <w:right w:val="single" w:sz="18" w:space="0" w:color="auto"/>
            </w:tcBorders>
          </w:tcPr>
          <w:p w14:paraId="3EFF33B7" w14:textId="3DD5406A" w:rsidR="0064638F" w:rsidRPr="00614E7F" w:rsidRDefault="0064638F" w:rsidP="00175E85">
            <w:pPr>
              <w:spacing w:line="480" w:lineRule="auto"/>
              <w:ind w:left="-198"/>
              <w:jc w:val="center"/>
              <w:rPr>
                <w:i/>
                <w:vertAlign w:val="superscript"/>
              </w:rPr>
            </w:pPr>
            <w:r w:rsidRPr="00614E7F">
              <w:t>298 (46.3)</w:t>
            </w:r>
          </w:p>
        </w:tc>
        <w:tc>
          <w:tcPr>
            <w:tcW w:w="1559" w:type="dxa"/>
            <w:tcBorders>
              <w:left w:val="single" w:sz="18" w:space="0" w:color="auto"/>
            </w:tcBorders>
          </w:tcPr>
          <w:p w14:paraId="5F6FDA21" w14:textId="2055A680" w:rsidR="0064638F" w:rsidRPr="00614E7F" w:rsidRDefault="0064638F" w:rsidP="00175E85">
            <w:pPr>
              <w:spacing w:line="480" w:lineRule="auto"/>
              <w:ind w:left="-198"/>
              <w:jc w:val="center"/>
              <w:rPr>
                <w:i/>
                <w:vertAlign w:val="superscript"/>
              </w:rPr>
            </w:pPr>
            <w:r w:rsidRPr="00614E7F">
              <w:t>273 (49.6)</w:t>
            </w:r>
            <w:r w:rsidR="00B47988" w:rsidRPr="00614E7F">
              <w:rPr>
                <w:i/>
                <w:color w:val="000000"/>
                <w:vertAlign w:val="superscript"/>
              </w:rPr>
              <w:t>a</w:t>
            </w:r>
          </w:p>
        </w:tc>
        <w:tc>
          <w:tcPr>
            <w:tcW w:w="1559" w:type="dxa"/>
          </w:tcPr>
          <w:p w14:paraId="61101E58" w14:textId="751DA173" w:rsidR="0064638F" w:rsidRPr="00614E7F" w:rsidRDefault="0064638F" w:rsidP="00175E85">
            <w:pPr>
              <w:spacing w:line="480" w:lineRule="auto"/>
              <w:ind w:left="-198"/>
              <w:jc w:val="center"/>
            </w:pPr>
            <w:r w:rsidRPr="00614E7F">
              <w:t>7 (17.1)</w:t>
            </w:r>
            <w:r w:rsidR="00B47988" w:rsidRPr="00614E7F">
              <w:rPr>
                <w:i/>
                <w:color w:val="000000"/>
                <w:vertAlign w:val="superscript"/>
              </w:rPr>
              <w:t>a</w:t>
            </w:r>
          </w:p>
        </w:tc>
        <w:tc>
          <w:tcPr>
            <w:tcW w:w="1560" w:type="dxa"/>
          </w:tcPr>
          <w:p w14:paraId="4269078F" w14:textId="7B8E6F37" w:rsidR="0064638F" w:rsidRPr="00614E7F" w:rsidRDefault="0064638F" w:rsidP="00175E85">
            <w:pPr>
              <w:spacing w:line="480" w:lineRule="auto"/>
              <w:ind w:left="-198"/>
              <w:jc w:val="center"/>
            </w:pPr>
            <w:r w:rsidRPr="00614E7F">
              <w:t>18 (34.0)</w:t>
            </w:r>
          </w:p>
        </w:tc>
        <w:tc>
          <w:tcPr>
            <w:tcW w:w="940" w:type="dxa"/>
            <w:tcBorders>
              <w:right w:val="single" w:sz="18" w:space="0" w:color="auto"/>
            </w:tcBorders>
          </w:tcPr>
          <w:p w14:paraId="5253E0E0" w14:textId="77777777" w:rsidR="0064638F" w:rsidRPr="00614E7F" w:rsidRDefault="0064638F" w:rsidP="00175E85">
            <w:pPr>
              <w:spacing w:line="480" w:lineRule="auto"/>
              <w:ind w:left="-198"/>
              <w:jc w:val="center"/>
            </w:pPr>
          </w:p>
        </w:tc>
        <w:tc>
          <w:tcPr>
            <w:tcW w:w="1418" w:type="dxa"/>
            <w:tcBorders>
              <w:left w:val="single" w:sz="18" w:space="0" w:color="auto"/>
            </w:tcBorders>
          </w:tcPr>
          <w:p w14:paraId="3623D04B" w14:textId="54F842FB" w:rsidR="0064638F" w:rsidRPr="00614E7F" w:rsidRDefault="00466D4B" w:rsidP="00175E85">
            <w:pPr>
              <w:spacing w:line="480" w:lineRule="auto"/>
              <w:ind w:left="-198"/>
              <w:jc w:val="center"/>
            </w:pPr>
            <w:r w:rsidRPr="00614E7F">
              <w:t>262 (46.4)</w:t>
            </w:r>
          </w:p>
        </w:tc>
        <w:tc>
          <w:tcPr>
            <w:tcW w:w="1469" w:type="dxa"/>
          </w:tcPr>
          <w:p w14:paraId="66221562" w14:textId="0818A290" w:rsidR="0064638F" w:rsidRPr="00614E7F" w:rsidRDefault="005413C0" w:rsidP="00175E85">
            <w:pPr>
              <w:spacing w:line="480" w:lineRule="auto"/>
              <w:ind w:left="-198"/>
              <w:jc w:val="center"/>
            </w:pPr>
            <w:r w:rsidRPr="00614E7F">
              <w:t>36 (45.6)</w:t>
            </w:r>
          </w:p>
        </w:tc>
        <w:tc>
          <w:tcPr>
            <w:tcW w:w="992" w:type="dxa"/>
          </w:tcPr>
          <w:p w14:paraId="01B32B91" w14:textId="77777777" w:rsidR="0064638F" w:rsidRPr="00614E7F" w:rsidRDefault="0064638F" w:rsidP="00175E85">
            <w:pPr>
              <w:spacing w:line="480" w:lineRule="auto"/>
              <w:ind w:left="-198"/>
              <w:jc w:val="center"/>
            </w:pPr>
          </w:p>
        </w:tc>
      </w:tr>
      <w:tr w:rsidR="00FF304B" w:rsidRPr="00614E7F" w14:paraId="5975CA5C" w14:textId="519B09EE" w:rsidTr="00FF304B">
        <w:trPr>
          <w:cantSplit/>
        </w:trPr>
        <w:tc>
          <w:tcPr>
            <w:tcW w:w="2376" w:type="dxa"/>
          </w:tcPr>
          <w:p w14:paraId="0B21AD5F" w14:textId="77777777" w:rsidR="00407D63" w:rsidRPr="00614E7F" w:rsidRDefault="0064638F" w:rsidP="00175E85">
            <w:pPr>
              <w:ind w:firstLine="284"/>
              <w:rPr>
                <w:color w:val="000000"/>
              </w:rPr>
            </w:pPr>
            <w:r w:rsidRPr="00614E7F">
              <w:rPr>
                <w:color w:val="000000"/>
              </w:rPr>
              <w:t xml:space="preserve">Body only, </w:t>
            </w:r>
          </w:p>
          <w:p w14:paraId="202F48A1" w14:textId="77777777" w:rsidR="0064638F" w:rsidRPr="00614E7F" w:rsidRDefault="0064638F" w:rsidP="00175E85">
            <w:pPr>
              <w:ind w:firstLine="284"/>
              <w:rPr>
                <w:i/>
                <w:color w:val="000000"/>
              </w:rPr>
            </w:pPr>
            <w:r w:rsidRPr="00614E7F">
              <w:rPr>
                <w:i/>
                <w:color w:val="000000"/>
              </w:rPr>
              <w:t>n (%)</w:t>
            </w:r>
          </w:p>
          <w:p w14:paraId="0EAFF2EC" w14:textId="2604C611" w:rsidR="00407D63" w:rsidRPr="00614E7F" w:rsidRDefault="00407D63" w:rsidP="00175E85">
            <w:pPr>
              <w:ind w:firstLine="284"/>
              <w:rPr>
                <w:vertAlign w:val="superscript"/>
              </w:rPr>
            </w:pPr>
          </w:p>
        </w:tc>
        <w:tc>
          <w:tcPr>
            <w:tcW w:w="1418" w:type="dxa"/>
            <w:tcBorders>
              <w:right w:val="single" w:sz="18" w:space="0" w:color="auto"/>
            </w:tcBorders>
          </w:tcPr>
          <w:p w14:paraId="0F070FBE" w14:textId="0CC7B995" w:rsidR="0064638F" w:rsidRPr="00614E7F" w:rsidRDefault="0064638F" w:rsidP="00175E85">
            <w:pPr>
              <w:spacing w:line="480" w:lineRule="auto"/>
              <w:ind w:left="-198"/>
              <w:jc w:val="center"/>
            </w:pPr>
            <w:r w:rsidRPr="00614E7F">
              <w:t>163 (25.3)</w:t>
            </w:r>
          </w:p>
        </w:tc>
        <w:tc>
          <w:tcPr>
            <w:tcW w:w="1559" w:type="dxa"/>
            <w:tcBorders>
              <w:left w:val="single" w:sz="18" w:space="0" w:color="auto"/>
            </w:tcBorders>
          </w:tcPr>
          <w:p w14:paraId="1CF3B4DB" w14:textId="03F938A2" w:rsidR="0064638F" w:rsidRPr="00614E7F" w:rsidRDefault="0064638F" w:rsidP="00175E85">
            <w:pPr>
              <w:spacing w:line="480" w:lineRule="auto"/>
              <w:ind w:left="-198"/>
              <w:jc w:val="center"/>
              <w:rPr>
                <w:i/>
                <w:vertAlign w:val="superscript"/>
              </w:rPr>
            </w:pPr>
            <w:r w:rsidRPr="00614E7F">
              <w:t>140 (25.5)</w:t>
            </w:r>
            <w:r w:rsidR="00B47988" w:rsidRPr="00614E7F">
              <w:rPr>
                <w:i/>
                <w:color w:val="000000"/>
                <w:vertAlign w:val="superscript"/>
              </w:rPr>
              <w:t>a</w:t>
            </w:r>
          </w:p>
        </w:tc>
        <w:tc>
          <w:tcPr>
            <w:tcW w:w="1559" w:type="dxa"/>
          </w:tcPr>
          <w:p w14:paraId="4C6DFE50" w14:textId="39661A35" w:rsidR="0064638F" w:rsidRPr="00614E7F" w:rsidRDefault="0064638F" w:rsidP="00175E85">
            <w:pPr>
              <w:spacing w:line="480" w:lineRule="auto"/>
              <w:ind w:left="-198"/>
              <w:jc w:val="center"/>
              <w:rPr>
                <w:i/>
                <w:vertAlign w:val="superscript"/>
              </w:rPr>
            </w:pPr>
            <w:r w:rsidRPr="00614E7F">
              <w:t>8 (19.5)</w:t>
            </w:r>
            <w:r w:rsidR="00B47988" w:rsidRPr="00614E7F">
              <w:rPr>
                <w:i/>
                <w:color w:val="000000"/>
                <w:vertAlign w:val="superscript"/>
              </w:rPr>
              <w:t>a</w:t>
            </w:r>
          </w:p>
        </w:tc>
        <w:tc>
          <w:tcPr>
            <w:tcW w:w="1560" w:type="dxa"/>
          </w:tcPr>
          <w:p w14:paraId="32C22B37" w14:textId="5C922AD4" w:rsidR="0064638F" w:rsidRPr="00614E7F" w:rsidRDefault="0064638F" w:rsidP="00175E85">
            <w:pPr>
              <w:spacing w:line="480" w:lineRule="auto"/>
              <w:ind w:left="-198"/>
              <w:jc w:val="center"/>
              <w:rPr>
                <w:i/>
                <w:vertAlign w:val="superscript"/>
              </w:rPr>
            </w:pPr>
            <w:r w:rsidRPr="00614E7F">
              <w:t>15 (28.3)</w:t>
            </w:r>
          </w:p>
        </w:tc>
        <w:tc>
          <w:tcPr>
            <w:tcW w:w="940" w:type="dxa"/>
            <w:tcBorders>
              <w:right w:val="single" w:sz="18" w:space="0" w:color="auto"/>
            </w:tcBorders>
          </w:tcPr>
          <w:p w14:paraId="5E00A2E3" w14:textId="77777777" w:rsidR="0064638F" w:rsidRPr="00614E7F" w:rsidRDefault="0064638F" w:rsidP="00175E85">
            <w:pPr>
              <w:spacing w:line="480" w:lineRule="auto"/>
              <w:ind w:left="-198"/>
              <w:jc w:val="center"/>
            </w:pPr>
          </w:p>
        </w:tc>
        <w:tc>
          <w:tcPr>
            <w:tcW w:w="1418" w:type="dxa"/>
            <w:tcBorders>
              <w:left w:val="single" w:sz="18" w:space="0" w:color="auto"/>
            </w:tcBorders>
          </w:tcPr>
          <w:p w14:paraId="253FB2D4" w14:textId="532E67CE" w:rsidR="0064638F" w:rsidRPr="00614E7F" w:rsidRDefault="00466D4B" w:rsidP="00175E85">
            <w:pPr>
              <w:spacing w:line="480" w:lineRule="auto"/>
              <w:ind w:left="-198"/>
              <w:jc w:val="center"/>
            </w:pPr>
            <w:r w:rsidRPr="00614E7F">
              <w:t>150 (26.5)</w:t>
            </w:r>
          </w:p>
        </w:tc>
        <w:tc>
          <w:tcPr>
            <w:tcW w:w="1469" w:type="dxa"/>
          </w:tcPr>
          <w:p w14:paraId="10281DAF" w14:textId="3754E2D1" w:rsidR="0064638F" w:rsidRPr="00614E7F" w:rsidRDefault="005413C0" w:rsidP="00175E85">
            <w:pPr>
              <w:spacing w:line="480" w:lineRule="auto"/>
              <w:ind w:left="-198"/>
              <w:jc w:val="center"/>
            </w:pPr>
            <w:r w:rsidRPr="00614E7F">
              <w:t>13 (16.5)</w:t>
            </w:r>
          </w:p>
        </w:tc>
        <w:tc>
          <w:tcPr>
            <w:tcW w:w="992" w:type="dxa"/>
          </w:tcPr>
          <w:p w14:paraId="43D8C867" w14:textId="77777777" w:rsidR="0064638F" w:rsidRPr="00614E7F" w:rsidRDefault="0064638F" w:rsidP="00175E85">
            <w:pPr>
              <w:spacing w:line="480" w:lineRule="auto"/>
              <w:ind w:left="-198"/>
              <w:jc w:val="center"/>
            </w:pPr>
          </w:p>
        </w:tc>
      </w:tr>
      <w:tr w:rsidR="00FF304B" w:rsidRPr="00614E7F" w14:paraId="533A2845" w14:textId="6E8CF932" w:rsidTr="00FF304B">
        <w:trPr>
          <w:cantSplit/>
        </w:trPr>
        <w:tc>
          <w:tcPr>
            <w:tcW w:w="2376" w:type="dxa"/>
          </w:tcPr>
          <w:p w14:paraId="16E11AD8" w14:textId="77777777" w:rsidR="0064638F" w:rsidRPr="00614E7F" w:rsidRDefault="0064638F" w:rsidP="00175E85">
            <w:pPr>
              <w:rPr>
                <w:vertAlign w:val="superscript"/>
              </w:rPr>
            </w:pPr>
            <w:r w:rsidRPr="00614E7F">
              <w:rPr>
                <w:color w:val="000000"/>
              </w:rPr>
              <w:t>Pigmentation changes</w:t>
            </w:r>
          </w:p>
        </w:tc>
        <w:tc>
          <w:tcPr>
            <w:tcW w:w="1418" w:type="dxa"/>
            <w:tcBorders>
              <w:right w:val="single" w:sz="18" w:space="0" w:color="auto"/>
            </w:tcBorders>
          </w:tcPr>
          <w:p w14:paraId="54CF87C4" w14:textId="77777777" w:rsidR="0064638F" w:rsidRPr="00614E7F" w:rsidRDefault="0064638F" w:rsidP="00175E85">
            <w:pPr>
              <w:spacing w:line="480" w:lineRule="auto"/>
              <w:ind w:left="-198"/>
              <w:jc w:val="center"/>
              <w:rPr>
                <w:highlight w:val="yellow"/>
              </w:rPr>
            </w:pPr>
          </w:p>
        </w:tc>
        <w:tc>
          <w:tcPr>
            <w:tcW w:w="1559" w:type="dxa"/>
            <w:tcBorders>
              <w:left w:val="single" w:sz="18" w:space="0" w:color="auto"/>
            </w:tcBorders>
          </w:tcPr>
          <w:p w14:paraId="389845FE" w14:textId="77777777" w:rsidR="0064638F" w:rsidRPr="00614E7F" w:rsidRDefault="0064638F" w:rsidP="00175E85">
            <w:pPr>
              <w:spacing w:line="480" w:lineRule="auto"/>
              <w:ind w:left="-198"/>
              <w:jc w:val="center"/>
            </w:pPr>
          </w:p>
        </w:tc>
        <w:tc>
          <w:tcPr>
            <w:tcW w:w="1559" w:type="dxa"/>
          </w:tcPr>
          <w:p w14:paraId="44C1E84E" w14:textId="77777777" w:rsidR="0064638F" w:rsidRPr="00614E7F" w:rsidRDefault="0064638F" w:rsidP="00175E85">
            <w:pPr>
              <w:spacing w:line="480" w:lineRule="auto"/>
              <w:ind w:left="-198"/>
              <w:jc w:val="center"/>
              <w:rPr>
                <w:i/>
                <w:vertAlign w:val="superscript"/>
              </w:rPr>
            </w:pPr>
          </w:p>
        </w:tc>
        <w:tc>
          <w:tcPr>
            <w:tcW w:w="1560" w:type="dxa"/>
          </w:tcPr>
          <w:p w14:paraId="5DF9D9AB" w14:textId="77777777" w:rsidR="0064638F" w:rsidRPr="00614E7F" w:rsidRDefault="0064638F" w:rsidP="00175E85">
            <w:pPr>
              <w:spacing w:line="480" w:lineRule="auto"/>
              <w:ind w:left="-198"/>
              <w:jc w:val="center"/>
              <w:rPr>
                <w:i/>
                <w:vertAlign w:val="superscript"/>
              </w:rPr>
            </w:pPr>
          </w:p>
        </w:tc>
        <w:tc>
          <w:tcPr>
            <w:tcW w:w="940" w:type="dxa"/>
            <w:tcBorders>
              <w:right w:val="single" w:sz="18" w:space="0" w:color="auto"/>
            </w:tcBorders>
          </w:tcPr>
          <w:p w14:paraId="55204D16" w14:textId="77777777" w:rsidR="0064638F" w:rsidRPr="00614E7F" w:rsidRDefault="0064638F" w:rsidP="00175E85">
            <w:pPr>
              <w:spacing w:line="480" w:lineRule="auto"/>
              <w:ind w:left="-198"/>
              <w:jc w:val="center"/>
            </w:pPr>
            <w:r w:rsidRPr="00614E7F">
              <w:t>&lt;.001</w:t>
            </w:r>
          </w:p>
        </w:tc>
        <w:tc>
          <w:tcPr>
            <w:tcW w:w="1418" w:type="dxa"/>
            <w:tcBorders>
              <w:left w:val="single" w:sz="18" w:space="0" w:color="auto"/>
            </w:tcBorders>
          </w:tcPr>
          <w:p w14:paraId="278F8CEE" w14:textId="77777777" w:rsidR="0064638F" w:rsidRPr="00614E7F" w:rsidRDefault="0064638F" w:rsidP="00175E85">
            <w:pPr>
              <w:spacing w:line="480" w:lineRule="auto"/>
              <w:ind w:left="-198"/>
              <w:jc w:val="center"/>
            </w:pPr>
          </w:p>
        </w:tc>
        <w:tc>
          <w:tcPr>
            <w:tcW w:w="1469" w:type="dxa"/>
          </w:tcPr>
          <w:p w14:paraId="2E208FB7" w14:textId="77777777" w:rsidR="0064638F" w:rsidRPr="00614E7F" w:rsidRDefault="0064638F" w:rsidP="00175E85">
            <w:pPr>
              <w:spacing w:line="480" w:lineRule="auto"/>
              <w:ind w:left="-198"/>
              <w:jc w:val="center"/>
            </w:pPr>
          </w:p>
        </w:tc>
        <w:tc>
          <w:tcPr>
            <w:tcW w:w="992" w:type="dxa"/>
          </w:tcPr>
          <w:p w14:paraId="3140F4F1" w14:textId="7989B18E" w:rsidR="0064638F" w:rsidRPr="00614E7F" w:rsidRDefault="001B5C74" w:rsidP="00175E85">
            <w:pPr>
              <w:spacing w:line="480" w:lineRule="auto"/>
              <w:ind w:left="-198"/>
              <w:jc w:val="center"/>
            </w:pPr>
            <w:r w:rsidRPr="00614E7F">
              <w:t>.497</w:t>
            </w:r>
          </w:p>
        </w:tc>
      </w:tr>
      <w:tr w:rsidR="00FF304B" w:rsidRPr="00614E7F" w14:paraId="1D13436E" w14:textId="24018C1B" w:rsidTr="00FF304B">
        <w:trPr>
          <w:cantSplit/>
        </w:trPr>
        <w:tc>
          <w:tcPr>
            <w:tcW w:w="2376" w:type="dxa"/>
          </w:tcPr>
          <w:p w14:paraId="510202C8" w14:textId="77777777" w:rsidR="00407D63" w:rsidRPr="00614E7F" w:rsidRDefault="0064638F" w:rsidP="00175E85">
            <w:pPr>
              <w:ind w:firstLine="284"/>
              <w:rPr>
                <w:color w:val="000000"/>
              </w:rPr>
            </w:pPr>
            <w:r w:rsidRPr="00614E7F">
              <w:rPr>
                <w:color w:val="000000"/>
              </w:rPr>
              <w:t>None</w:t>
            </w:r>
            <w:r w:rsidR="00425185" w:rsidRPr="00614E7F">
              <w:rPr>
                <w:color w:val="000000"/>
              </w:rPr>
              <w:t>,</w:t>
            </w:r>
            <w:r w:rsidRPr="00614E7F">
              <w:rPr>
                <w:color w:val="000000"/>
              </w:rPr>
              <w:t xml:space="preserve"> </w:t>
            </w:r>
          </w:p>
          <w:p w14:paraId="7927D2C1" w14:textId="53B79784" w:rsidR="00407D63" w:rsidRPr="00614E7F" w:rsidRDefault="0064638F" w:rsidP="00175E85">
            <w:pPr>
              <w:ind w:firstLine="284"/>
              <w:rPr>
                <w:i/>
                <w:color w:val="000000"/>
              </w:rPr>
            </w:pPr>
            <w:r w:rsidRPr="00614E7F">
              <w:rPr>
                <w:i/>
                <w:color w:val="000000"/>
              </w:rPr>
              <w:t>n (%)</w:t>
            </w:r>
          </w:p>
        </w:tc>
        <w:tc>
          <w:tcPr>
            <w:tcW w:w="1418" w:type="dxa"/>
            <w:tcBorders>
              <w:right w:val="single" w:sz="18" w:space="0" w:color="auto"/>
            </w:tcBorders>
          </w:tcPr>
          <w:p w14:paraId="07CD2157" w14:textId="16908F70" w:rsidR="0064638F" w:rsidRPr="00614E7F" w:rsidRDefault="0064638F" w:rsidP="00175E85">
            <w:pPr>
              <w:spacing w:line="480" w:lineRule="auto"/>
              <w:ind w:left="-198"/>
              <w:jc w:val="center"/>
              <w:rPr>
                <w:i/>
                <w:vertAlign w:val="superscript"/>
              </w:rPr>
            </w:pPr>
            <w:r w:rsidRPr="00614E7F">
              <w:t>438 (68.0)</w:t>
            </w:r>
          </w:p>
        </w:tc>
        <w:tc>
          <w:tcPr>
            <w:tcW w:w="1559" w:type="dxa"/>
            <w:tcBorders>
              <w:left w:val="single" w:sz="18" w:space="0" w:color="auto"/>
            </w:tcBorders>
          </w:tcPr>
          <w:p w14:paraId="6384B762" w14:textId="325F24D6" w:rsidR="0064638F" w:rsidRPr="00614E7F" w:rsidRDefault="0064638F" w:rsidP="00175E85">
            <w:pPr>
              <w:spacing w:line="480" w:lineRule="auto"/>
              <w:ind w:left="-198"/>
              <w:jc w:val="center"/>
              <w:rPr>
                <w:i/>
                <w:vertAlign w:val="superscript"/>
              </w:rPr>
            </w:pPr>
            <w:r w:rsidRPr="00614E7F">
              <w:t>396 (72.0)</w:t>
            </w:r>
            <w:proofErr w:type="spellStart"/>
            <w:r w:rsidR="00B47988" w:rsidRPr="00614E7F">
              <w:rPr>
                <w:i/>
                <w:color w:val="000000"/>
                <w:vertAlign w:val="superscript"/>
              </w:rPr>
              <w:t>a</w:t>
            </w:r>
            <w:r w:rsidR="0000387B" w:rsidRPr="00614E7F">
              <w:rPr>
                <w:i/>
                <w:color w:val="000000"/>
                <w:vertAlign w:val="superscript"/>
              </w:rPr>
              <w:t>,b</w:t>
            </w:r>
            <w:proofErr w:type="spellEnd"/>
          </w:p>
        </w:tc>
        <w:tc>
          <w:tcPr>
            <w:tcW w:w="1559" w:type="dxa"/>
          </w:tcPr>
          <w:p w14:paraId="757C0DF4" w14:textId="7B2C29E5" w:rsidR="0064638F" w:rsidRPr="00614E7F" w:rsidRDefault="0064638F" w:rsidP="00175E85">
            <w:pPr>
              <w:spacing w:line="480" w:lineRule="auto"/>
              <w:ind w:left="-198"/>
              <w:jc w:val="center"/>
              <w:rPr>
                <w:i/>
                <w:vertAlign w:val="superscript"/>
              </w:rPr>
            </w:pPr>
            <w:r w:rsidRPr="00614E7F">
              <w:t>13 (31.7)</w:t>
            </w:r>
            <w:r w:rsidR="00B47988" w:rsidRPr="00614E7F">
              <w:rPr>
                <w:i/>
                <w:color w:val="000000"/>
                <w:vertAlign w:val="superscript"/>
              </w:rPr>
              <w:t>a</w:t>
            </w:r>
          </w:p>
        </w:tc>
        <w:tc>
          <w:tcPr>
            <w:tcW w:w="1560" w:type="dxa"/>
          </w:tcPr>
          <w:p w14:paraId="3330444D" w14:textId="2F279830" w:rsidR="0064638F" w:rsidRPr="00614E7F" w:rsidRDefault="0064638F" w:rsidP="00175E85">
            <w:pPr>
              <w:spacing w:line="480" w:lineRule="auto"/>
              <w:ind w:left="-198"/>
              <w:jc w:val="center"/>
              <w:rPr>
                <w:i/>
                <w:vertAlign w:val="superscript"/>
              </w:rPr>
            </w:pPr>
            <w:r w:rsidRPr="00614E7F">
              <w:t>29 (54.7)</w:t>
            </w:r>
            <w:r w:rsidR="0000387B" w:rsidRPr="00614E7F">
              <w:rPr>
                <w:i/>
                <w:vertAlign w:val="superscript"/>
              </w:rPr>
              <w:t>b</w:t>
            </w:r>
          </w:p>
        </w:tc>
        <w:tc>
          <w:tcPr>
            <w:tcW w:w="940" w:type="dxa"/>
            <w:tcBorders>
              <w:right w:val="single" w:sz="18" w:space="0" w:color="auto"/>
            </w:tcBorders>
          </w:tcPr>
          <w:p w14:paraId="5DB8FEC9" w14:textId="77777777" w:rsidR="0064638F" w:rsidRPr="00614E7F" w:rsidRDefault="0064638F" w:rsidP="00175E85">
            <w:pPr>
              <w:spacing w:line="480" w:lineRule="auto"/>
              <w:ind w:left="-198"/>
              <w:jc w:val="center"/>
              <w:rPr>
                <w:highlight w:val="yellow"/>
              </w:rPr>
            </w:pPr>
          </w:p>
        </w:tc>
        <w:tc>
          <w:tcPr>
            <w:tcW w:w="1418" w:type="dxa"/>
            <w:tcBorders>
              <w:left w:val="single" w:sz="18" w:space="0" w:color="auto"/>
            </w:tcBorders>
          </w:tcPr>
          <w:p w14:paraId="2AD798E0" w14:textId="365134C2" w:rsidR="0064638F" w:rsidRPr="00614E7F" w:rsidRDefault="00466D4B" w:rsidP="00175E85">
            <w:pPr>
              <w:spacing w:line="480" w:lineRule="auto"/>
              <w:ind w:left="-198"/>
              <w:jc w:val="center"/>
            </w:pPr>
            <w:r w:rsidRPr="00614E7F">
              <w:t>385 (68.1)</w:t>
            </w:r>
          </w:p>
        </w:tc>
        <w:tc>
          <w:tcPr>
            <w:tcW w:w="1469" w:type="dxa"/>
          </w:tcPr>
          <w:p w14:paraId="65924CD6" w14:textId="4E8E3CFF" w:rsidR="0064638F" w:rsidRPr="00614E7F" w:rsidRDefault="005413C0" w:rsidP="00175E85">
            <w:pPr>
              <w:spacing w:line="480" w:lineRule="auto"/>
              <w:ind w:left="-198"/>
              <w:jc w:val="center"/>
            </w:pPr>
            <w:r w:rsidRPr="00614E7F">
              <w:t>53 (67.1)</w:t>
            </w:r>
          </w:p>
        </w:tc>
        <w:tc>
          <w:tcPr>
            <w:tcW w:w="992" w:type="dxa"/>
          </w:tcPr>
          <w:p w14:paraId="6A68B761" w14:textId="77777777" w:rsidR="0064638F" w:rsidRPr="00614E7F" w:rsidRDefault="0064638F" w:rsidP="00175E85">
            <w:pPr>
              <w:spacing w:line="480" w:lineRule="auto"/>
              <w:ind w:left="-198"/>
              <w:jc w:val="center"/>
              <w:rPr>
                <w:highlight w:val="yellow"/>
              </w:rPr>
            </w:pPr>
          </w:p>
        </w:tc>
      </w:tr>
      <w:tr w:rsidR="00FF304B" w:rsidRPr="00614E7F" w14:paraId="39A66DC3" w14:textId="4E5000B2" w:rsidTr="00FF304B">
        <w:trPr>
          <w:cantSplit/>
        </w:trPr>
        <w:tc>
          <w:tcPr>
            <w:tcW w:w="2376" w:type="dxa"/>
          </w:tcPr>
          <w:p w14:paraId="64C5A1E0" w14:textId="77777777" w:rsidR="00407D63" w:rsidRPr="00614E7F" w:rsidRDefault="0064638F" w:rsidP="00175E85">
            <w:pPr>
              <w:ind w:firstLine="284"/>
              <w:rPr>
                <w:color w:val="000000"/>
              </w:rPr>
            </w:pPr>
            <w:r w:rsidRPr="00614E7F">
              <w:rPr>
                <w:color w:val="000000"/>
              </w:rPr>
              <w:t xml:space="preserve">Body and face, </w:t>
            </w:r>
          </w:p>
          <w:p w14:paraId="070EA7B5" w14:textId="453C7659" w:rsidR="00407D63" w:rsidRPr="00614E7F" w:rsidRDefault="0064638F" w:rsidP="00175E85">
            <w:pPr>
              <w:ind w:firstLine="284"/>
              <w:rPr>
                <w:i/>
                <w:color w:val="000000"/>
              </w:rPr>
            </w:pPr>
            <w:r w:rsidRPr="00614E7F">
              <w:rPr>
                <w:i/>
                <w:color w:val="000000"/>
              </w:rPr>
              <w:t>n (%)</w:t>
            </w:r>
          </w:p>
        </w:tc>
        <w:tc>
          <w:tcPr>
            <w:tcW w:w="1418" w:type="dxa"/>
            <w:tcBorders>
              <w:right w:val="single" w:sz="18" w:space="0" w:color="auto"/>
            </w:tcBorders>
            <w:vAlign w:val="bottom"/>
          </w:tcPr>
          <w:p w14:paraId="58448EF0" w14:textId="7EC65F62" w:rsidR="0064638F" w:rsidRPr="00614E7F" w:rsidRDefault="0064638F" w:rsidP="00175E85">
            <w:pPr>
              <w:spacing w:line="480" w:lineRule="auto"/>
              <w:ind w:left="-198"/>
              <w:jc w:val="center"/>
            </w:pPr>
            <w:r w:rsidRPr="00614E7F">
              <w:t>105 (16.3)</w:t>
            </w:r>
          </w:p>
        </w:tc>
        <w:tc>
          <w:tcPr>
            <w:tcW w:w="1559" w:type="dxa"/>
            <w:tcBorders>
              <w:left w:val="single" w:sz="18" w:space="0" w:color="auto"/>
            </w:tcBorders>
            <w:vAlign w:val="bottom"/>
          </w:tcPr>
          <w:p w14:paraId="592C7244" w14:textId="0714F3BF" w:rsidR="0064638F" w:rsidRPr="00614E7F" w:rsidRDefault="0064638F" w:rsidP="00175E85">
            <w:pPr>
              <w:spacing w:line="480" w:lineRule="auto"/>
              <w:ind w:left="-198"/>
              <w:jc w:val="center"/>
              <w:rPr>
                <w:i/>
                <w:vertAlign w:val="superscript"/>
              </w:rPr>
            </w:pPr>
            <w:r w:rsidRPr="00614E7F">
              <w:t>71 (12.9)</w:t>
            </w:r>
            <w:proofErr w:type="spellStart"/>
            <w:r w:rsidR="00B47988" w:rsidRPr="00614E7F">
              <w:rPr>
                <w:i/>
                <w:color w:val="000000"/>
                <w:vertAlign w:val="superscript"/>
              </w:rPr>
              <w:t>a</w:t>
            </w:r>
            <w:r w:rsidR="0000387B" w:rsidRPr="00614E7F">
              <w:rPr>
                <w:i/>
                <w:color w:val="000000"/>
                <w:vertAlign w:val="superscript"/>
              </w:rPr>
              <w:t>,b</w:t>
            </w:r>
            <w:proofErr w:type="spellEnd"/>
          </w:p>
        </w:tc>
        <w:tc>
          <w:tcPr>
            <w:tcW w:w="1559" w:type="dxa"/>
            <w:vAlign w:val="bottom"/>
          </w:tcPr>
          <w:p w14:paraId="192875D2" w14:textId="52321330" w:rsidR="0064638F" w:rsidRPr="00614E7F" w:rsidRDefault="0064638F" w:rsidP="00175E85">
            <w:pPr>
              <w:spacing w:line="480" w:lineRule="auto"/>
              <w:ind w:left="-198"/>
              <w:jc w:val="center"/>
              <w:rPr>
                <w:i/>
                <w:vertAlign w:val="superscript"/>
              </w:rPr>
            </w:pPr>
            <w:r w:rsidRPr="00614E7F">
              <w:t>18 (43.9)</w:t>
            </w:r>
            <w:r w:rsidR="00B47988" w:rsidRPr="00614E7F">
              <w:rPr>
                <w:i/>
                <w:color w:val="000000"/>
                <w:vertAlign w:val="superscript"/>
              </w:rPr>
              <w:t>a</w:t>
            </w:r>
          </w:p>
        </w:tc>
        <w:tc>
          <w:tcPr>
            <w:tcW w:w="1560" w:type="dxa"/>
            <w:vAlign w:val="bottom"/>
          </w:tcPr>
          <w:p w14:paraId="403CA7F8" w14:textId="3579152C" w:rsidR="0064638F" w:rsidRPr="00614E7F" w:rsidRDefault="0064638F" w:rsidP="00175E85">
            <w:pPr>
              <w:spacing w:line="480" w:lineRule="auto"/>
              <w:ind w:left="-198"/>
              <w:jc w:val="center"/>
              <w:rPr>
                <w:i/>
                <w:vertAlign w:val="superscript"/>
              </w:rPr>
            </w:pPr>
            <w:r w:rsidRPr="00614E7F">
              <w:t>16 (30.2)</w:t>
            </w:r>
            <w:r w:rsidR="0000387B" w:rsidRPr="00614E7F">
              <w:rPr>
                <w:i/>
                <w:vertAlign w:val="superscript"/>
              </w:rPr>
              <w:t>b</w:t>
            </w:r>
          </w:p>
        </w:tc>
        <w:tc>
          <w:tcPr>
            <w:tcW w:w="940" w:type="dxa"/>
            <w:tcBorders>
              <w:right w:val="single" w:sz="18" w:space="0" w:color="auto"/>
            </w:tcBorders>
            <w:vAlign w:val="bottom"/>
          </w:tcPr>
          <w:p w14:paraId="7204B526" w14:textId="77777777" w:rsidR="0064638F" w:rsidRPr="00614E7F" w:rsidRDefault="0064638F" w:rsidP="00175E85">
            <w:pPr>
              <w:spacing w:line="480" w:lineRule="auto"/>
              <w:rPr>
                <w:highlight w:val="yellow"/>
              </w:rPr>
            </w:pPr>
          </w:p>
        </w:tc>
        <w:tc>
          <w:tcPr>
            <w:tcW w:w="1418" w:type="dxa"/>
            <w:tcBorders>
              <w:left w:val="single" w:sz="18" w:space="0" w:color="auto"/>
            </w:tcBorders>
          </w:tcPr>
          <w:p w14:paraId="11197748" w14:textId="6461D808" w:rsidR="0064638F" w:rsidRPr="00614E7F" w:rsidRDefault="00466D4B" w:rsidP="00175E85">
            <w:pPr>
              <w:tabs>
                <w:tab w:val="center" w:pos="4320"/>
                <w:tab w:val="right" w:pos="8640"/>
              </w:tabs>
              <w:spacing w:line="480" w:lineRule="auto"/>
            </w:pPr>
            <w:r w:rsidRPr="00614E7F">
              <w:t>89 (15.8)</w:t>
            </w:r>
          </w:p>
        </w:tc>
        <w:tc>
          <w:tcPr>
            <w:tcW w:w="1469" w:type="dxa"/>
          </w:tcPr>
          <w:p w14:paraId="20F32FE2" w14:textId="48025BC5" w:rsidR="0064638F" w:rsidRPr="00614E7F" w:rsidRDefault="00624E78" w:rsidP="00175E85">
            <w:pPr>
              <w:spacing w:line="480" w:lineRule="auto"/>
            </w:pPr>
            <w:r w:rsidRPr="00614E7F">
              <w:t xml:space="preserve"> </w:t>
            </w:r>
            <w:r w:rsidR="005413C0" w:rsidRPr="00614E7F">
              <w:t>16 (20.3)</w:t>
            </w:r>
          </w:p>
        </w:tc>
        <w:tc>
          <w:tcPr>
            <w:tcW w:w="992" w:type="dxa"/>
          </w:tcPr>
          <w:p w14:paraId="6E377B30" w14:textId="77777777" w:rsidR="0064638F" w:rsidRPr="00614E7F" w:rsidRDefault="0064638F" w:rsidP="00175E85">
            <w:pPr>
              <w:spacing w:line="480" w:lineRule="auto"/>
              <w:jc w:val="center"/>
              <w:rPr>
                <w:highlight w:val="yellow"/>
              </w:rPr>
            </w:pPr>
          </w:p>
        </w:tc>
      </w:tr>
      <w:tr w:rsidR="00FF304B" w:rsidRPr="00614E7F" w14:paraId="39E391FA" w14:textId="617DC810" w:rsidTr="00FF304B">
        <w:trPr>
          <w:cantSplit/>
        </w:trPr>
        <w:tc>
          <w:tcPr>
            <w:tcW w:w="2376" w:type="dxa"/>
          </w:tcPr>
          <w:p w14:paraId="2D70A16C" w14:textId="77777777" w:rsidR="00407D63" w:rsidRPr="00614E7F" w:rsidRDefault="0064638F" w:rsidP="00175E85">
            <w:pPr>
              <w:ind w:firstLine="284"/>
              <w:rPr>
                <w:color w:val="000000"/>
              </w:rPr>
            </w:pPr>
            <w:r w:rsidRPr="00614E7F">
              <w:rPr>
                <w:color w:val="000000"/>
              </w:rPr>
              <w:t xml:space="preserve">Body only, </w:t>
            </w:r>
          </w:p>
          <w:p w14:paraId="37C7525E" w14:textId="77777777" w:rsidR="0064638F" w:rsidRPr="00614E7F" w:rsidRDefault="0064638F" w:rsidP="00175E85">
            <w:pPr>
              <w:ind w:firstLine="284"/>
              <w:rPr>
                <w:i/>
                <w:color w:val="000000"/>
              </w:rPr>
            </w:pPr>
            <w:r w:rsidRPr="00614E7F">
              <w:rPr>
                <w:i/>
                <w:color w:val="000000"/>
              </w:rPr>
              <w:t>n (%)</w:t>
            </w:r>
          </w:p>
          <w:p w14:paraId="40CDAE87" w14:textId="54ED89AB" w:rsidR="00407D63" w:rsidRPr="00614E7F" w:rsidRDefault="00407D63" w:rsidP="00175E85">
            <w:pPr>
              <w:ind w:firstLine="284"/>
              <w:rPr>
                <w:color w:val="000000"/>
              </w:rPr>
            </w:pPr>
          </w:p>
        </w:tc>
        <w:tc>
          <w:tcPr>
            <w:tcW w:w="1418" w:type="dxa"/>
            <w:tcBorders>
              <w:right w:val="single" w:sz="18" w:space="0" w:color="auto"/>
            </w:tcBorders>
            <w:vAlign w:val="bottom"/>
          </w:tcPr>
          <w:p w14:paraId="2DAD3EF8" w14:textId="4BDE793F" w:rsidR="0064638F" w:rsidRPr="00614E7F" w:rsidRDefault="0064638F" w:rsidP="00175E85">
            <w:pPr>
              <w:spacing w:line="480" w:lineRule="auto"/>
              <w:ind w:left="-198"/>
              <w:jc w:val="center"/>
              <w:rPr>
                <w:i/>
                <w:vertAlign w:val="superscript"/>
              </w:rPr>
            </w:pPr>
            <w:r w:rsidRPr="00614E7F">
              <w:t>101 (15.7)</w:t>
            </w:r>
          </w:p>
        </w:tc>
        <w:tc>
          <w:tcPr>
            <w:tcW w:w="1559" w:type="dxa"/>
            <w:tcBorders>
              <w:left w:val="single" w:sz="18" w:space="0" w:color="auto"/>
            </w:tcBorders>
            <w:vAlign w:val="bottom"/>
          </w:tcPr>
          <w:p w14:paraId="6A558655" w14:textId="49D79D3C" w:rsidR="0064638F" w:rsidRPr="00614E7F" w:rsidRDefault="0064638F" w:rsidP="00175E85">
            <w:pPr>
              <w:spacing w:line="480" w:lineRule="auto"/>
              <w:ind w:left="-198"/>
              <w:jc w:val="center"/>
              <w:rPr>
                <w:i/>
                <w:vertAlign w:val="superscript"/>
              </w:rPr>
            </w:pPr>
            <w:r w:rsidRPr="00614E7F">
              <w:t>83 (15.1)</w:t>
            </w:r>
            <w:proofErr w:type="spellStart"/>
            <w:r w:rsidR="00B47988" w:rsidRPr="00614E7F">
              <w:rPr>
                <w:i/>
                <w:color w:val="000000"/>
                <w:vertAlign w:val="superscript"/>
              </w:rPr>
              <w:t>a</w:t>
            </w:r>
            <w:r w:rsidR="0000387B" w:rsidRPr="00614E7F">
              <w:rPr>
                <w:i/>
                <w:color w:val="000000"/>
                <w:vertAlign w:val="superscript"/>
              </w:rPr>
              <w:t>,b</w:t>
            </w:r>
            <w:proofErr w:type="spellEnd"/>
          </w:p>
        </w:tc>
        <w:tc>
          <w:tcPr>
            <w:tcW w:w="1559" w:type="dxa"/>
            <w:vAlign w:val="bottom"/>
          </w:tcPr>
          <w:p w14:paraId="6E0F6DB4" w14:textId="673E1CA7" w:rsidR="0064638F" w:rsidRPr="00614E7F" w:rsidRDefault="0064638F" w:rsidP="00175E85">
            <w:pPr>
              <w:spacing w:line="480" w:lineRule="auto"/>
              <w:ind w:left="-198"/>
              <w:jc w:val="center"/>
              <w:rPr>
                <w:i/>
                <w:vertAlign w:val="superscript"/>
              </w:rPr>
            </w:pPr>
            <w:r w:rsidRPr="00614E7F">
              <w:t>10 (24.4)</w:t>
            </w:r>
            <w:r w:rsidR="00B47988" w:rsidRPr="00614E7F">
              <w:rPr>
                <w:i/>
                <w:color w:val="000000"/>
                <w:vertAlign w:val="superscript"/>
              </w:rPr>
              <w:t>a</w:t>
            </w:r>
          </w:p>
        </w:tc>
        <w:tc>
          <w:tcPr>
            <w:tcW w:w="1560" w:type="dxa"/>
            <w:vAlign w:val="bottom"/>
          </w:tcPr>
          <w:p w14:paraId="60F071C6" w14:textId="3897CB4D" w:rsidR="0064638F" w:rsidRPr="00614E7F" w:rsidRDefault="0064638F" w:rsidP="00175E85">
            <w:pPr>
              <w:spacing w:line="480" w:lineRule="auto"/>
              <w:ind w:left="-198"/>
              <w:jc w:val="center"/>
              <w:rPr>
                <w:i/>
                <w:vertAlign w:val="superscript"/>
              </w:rPr>
            </w:pPr>
            <w:r w:rsidRPr="00614E7F">
              <w:t>8 (15.1)</w:t>
            </w:r>
            <w:r w:rsidR="0000387B" w:rsidRPr="00614E7F">
              <w:rPr>
                <w:i/>
                <w:vertAlign w:val="superscript"/>
              </w:rPr>
              <w:t>b</w:t>
            </w:r>
          </w:p>
        </w:tc>
        <w:tc>
          <w:tcPr>
            <w:tcW w:w="940" w:type="dxa"/>
            <w:tcBorders>
              <w:right w:val="single" w:sz="18" w:space="0" w:color="auto"/>
            </w:tcBorders>
            <w:vAlign w:val="bottom"/>
          </w:tcPr>
          <w:p w14:paraId="03499B9D" w14:textId="77777777" w:rsidR="0064638F" w:rsidRPr="00614E7F" w:rsidRDefault="0064638F" w:rsidP="00175E85">
            <w:pPr>
              <w:spacing w:line="480" w:lineRule="auto"/>
              <w:ind w:left="-198"/>
              <w:jc w:val="center"/>
              <w:rPr>
                <w:highlight w:val="yellow"/>
              </w:rPr>
            </w:pPr>
          </w:p>
        </w:tc>
        <w:tc>
          <w:tcPr>
            <w:tcW w:w="1418" w:type="dxa"/>
            <w:tcBorders>
              <w:left w:val="single" w:sz="18" w:space="0" w:color="auto"/>
            </w:tcBorders>
          </w:tcPr>
          <w:p w14:paraId="7442976E" w14:textId="094CDA12" w:rsidR="0064638F" w:rsidRPr="00614E7F" w:rsidRDefault="00466D4B" w:rsidP="00175E85">
            <w:pPr>
              <w:spacing w:line="480" w:lineRule="auto"/>
              <w:ind w:left="-198"/>
              <w:jc w:val="center"/>
            </w:pPr>
            <w:r w:rsidRPr="00614E7F">
              <w:t>91 (16.1)</w:t>
            </w:r>
          </w:p>
        </w:tc>
        <w:tc>
          <w:tcPr>
            <w:tcW w:w="1469" w:type="dxa"/>
          </w:tcPr>
          <w:p w14:paraId="5E928F4C" w14:textId="342110B5" w:rsidR="0064638F" w:rsidRPr="00614E7F" w:rsidRDefault="005413C0" w:rsidP="00175E85">
            <w:pPr>
              <w:spacing w:line="480" w:lineRule="auto"/>
              <w:ind w:left="-198"/>
              <w:jc w:val="center"/>
            </w:pPr>
            <w:r w:rsidRPr="00614E7F">
              <w:t>10 (12.7)</w:t>
            </w:r>
          </w:p>
        </w:tc>
        <w:tc>
          <w:tcPr>
            <w:tcW w:w="992" w:type="dxa"/>
          </w:tcPr>
          <w:p w14:paraId="3170EFBF" w14:textId="77777777" w:rsidR="0064638F" w:rsidRPr="00614E7F" w:rsidRDefault="0064638F" w:rsidP="00175E85">
            <w:pPr>
              <w:spacing w:line="480" w:lineRule="auto"/>
              <w:ind w:left="-198"/>
              <w:jc w:val="center"/>
              <w:rPr>
                <w:highlight w:val="yellow"/>
              </w:rPr>
            </w:pPr>
          </w:p>
        </w:tc>
      </w:tr>
      <w:tr w:rsidR="00FF304B" w:rsidRPr="00614E7F" w14:paraId="021772BE" w14:textId="54AA355F" w:rsidTr="00FF304B">
        <w:trPr>
          <w:cantSplit/>
        </w:trPr>
        <w:tc>
          <w:tcPr>
            <w:tcW w:w="2376" w:type="dxa"/>
          </w:tcPr>
          <w:p w14:paraId="6A6409A6" w14:textId="77777777" w:rsidR="0064638F" w:rsidRPr="00614E7F" w:rsidRDefault="0064638F" w:rsidP="00175E85">
            <w:pPr>
              <w:rPr>
                <w:i/>
                <w:vertAlign w:val="superscript"/>
              </w:rPr>
            </w:pPr>
            <w:r w:rsidRPr="00614E7F">
              <w:rPr>
                <w:color w:val="000000"/>
              </w:rPr>
              <w:t>Hand contractures</w:t>
            </w:r>
          </w:p>
        </w:tc>
        <w:tc>
          <w:tcPr>
            <w:tcW w:w="1418" w:type="dxa"/>
            <w:tcBorders>
              <w:right w:val="single" w:sz="18" w:space="0" w:color="auto"/>
            </w:tcBorders>
          </w:tcPr>
          <w:p w14:paraId="1AD31061" w14:textId="77777777" w:rsidR="0064638F" w:rsidRPr="00614E7F" w:rsidRDefault="0064638F" w:rsidP="00175E85">
            <w:pPr>
              <w:spacing w:line="480" w:lineRule="auto"/>
              <w:ind w:left="-198"/>
              <w:jc w:val="center"/>
            </w:pPr>
          </w:p>
        </w:tc>
        <w:tc>
          <w:tcPr>
            <w:tcW w:w="1559" w:type="dxa"/>
            <w:tcBorders>
              <w:left w:val="single" w:sz="18" w:space="0" w:color="auto"/>
            </w:tcBorders>
          </w:tcPr>
          <w:p w14:paraId="2E28225F" w14:textId="77777777" w:rsidR="0064638F" w:rsidRPr="00614E7F" w:rsidRDefault="0064638F" w:rsidP="00175E85">
            <w:pPr>
              <w:spacing w:line="480" w:lineRule="auto"/>
              <w:ind w:left="-198"/>
              <w:jc w:val="center"/>
              <w:rPr>
                <w:highlight w:val="yellow"/>
              </w:rPr>
            </w:pPr>
          </w:p>
        </w:tc>
        <w:tc>
          <w:tcPr>
            <w:tcW w:w="1559" w:type="dxa"/>
          </w:tcPr>
          <w:p w14:paraId="54BB54C7" w14:textId="77777777" w:rsidR="0064638F" w:rsidRPr="00614E7F" w:rsidRDefault="0064638F" w:rsidP="00175E85">
            <w:pPr>
              <w:spacing w:line="480" w:lineRule="auto"/>
              <w:ind w:left="-198"/>
              <w:jc w:val="center"/>
              <w:rPr>
                <w:highlight w:val="yellow"/>
              </w:rPr>
            </w:pPr>
          </w:p>
        </w:tc>
        <w:tc>
          <w:tcPr>
            <w:tcW w:w="1560" w:type="dxa"/>
          </w:tcPr>
          <w:p w14:paraId="31B02DF6" w14:textId="77777777" w:rsidR="0064638F" w:rsidRPr="00614E7F" w:rsidRDefault="0064638F" w:rsidP="00175E85">
            <w:pPr>
              <w:spacing w:line="480" w:lineRule="auto"/>
              <w:ind w:left="-198"/>
              <w:jc w:val="center"/>
              <w:rPr>
                <w:highlight w:val="yellow"/>
              </w:rPr>
            </w:pPr>
          </w:p>
        </w:tc>
        <w:tc>
          <w:tcPr>
            <w:tcW w:w="940" w:type="dxa"/>
            <w:tcBorders>
              <w:right w:val="single" w:sz="18" w:space="0" w:color="auto"/>
            </w:tcBorders>
          </w:tcPr>
          <w:p w14:paraId="4EDFFDC6" w14:textId="291BA499" w:rsidR="0064638F" w:rsidRPr="00614E7F" w:rsidRDefault="0064638F" w:rsidP="00175E85">
            <w:pPr>
              <w:spacing w:line="480" w:lineRule="auto"/>
              <w:ind w:left="-198"/>
              <w:jc w:val="center"/>
              <w:rPr>
                <w:highlight w:val="yellow"/>
              </w:rPr>
            </w:pPr>
            <w:r w:rsidRPr="00614E7F">
              <w:t>.898</w:t>
            </w:r>
          </w:p>
        </w:tc>
        <w:tc>
          <w:tcPr>
            <w:tcW w:w="1418" w:type="dxa"/>
            <w:tcBorders>
              <w:left w:val="single" w:sz="18" w:space="0" w:color="auto"/>
            </w:tcBorders>
          </w:tcPr>
          <w:p w14:paraId="70CF2E2C" w14:textId="77777777" w:rsidR="0064638F" w:rsidRPr="00614E7F" w:rsidRDefault="0064638F" w:rsidP="00175E85">
            <w:pPr>
              <w:spacing w:line="480" w:lineRule="auto"/>
              <w:ind w:left="-198"/>
              <w:jc w:val="center"/>
            </w:pPr>
          </w:p>
        </w:tc>
        <w:tc>
          <w:tcPr>
            <w:tcW w:w="1469" w:type="dxa"/>
          </w:tcPr>
          <w:p w14:paraId="34CA18FB" w14:textId="77777777" w:rsidR="0064638F" w:rsidRPr="00614E7F" w:rsidRDefault="0064638F" w:rsidP="00175E85">
            <w:pPr>
              <w:spacing w:line="480" w:lineRule="auto"/>
              <w:ind w:left="-198"/>
              <w:jc w:val="center"/>
            </w:pPr>
          </w:p>
        </w:tc>
        <w:tc>
          <w:tcPr>
            <w:tcW w:w="992" w:type="dxa"/>
          </w:tcPr>
          <w:p w14:paraId="20CE6630" w14:textId="10352F8A" w:rsidR="0064638F" w:rsidRPr="00614E7F" w:rsidRDefault="001B5C74" w:rsidP="00175E85">
            <w:pPr>
              <w:spacing w:line="480" w:lineRule="auto"/>
              <w:ind w:left="-198"/>
              <w:jc w:val="center"/>
            </w:pPr>
            <w:r w:rsidRPr="00614E7F">
              <w:t>.988</w:t>
            </w:r>
          </w:p>
        </w:tc>
      </w:tr>
      <w:tr w:rsidR="00FF304B" w:rsidRPr="00614E7F" w14:paraId="2DAC21C6" w14:textId="29330FC3" w:rsidTr="00FF304B">
        <w:trPr>
          <w:cantSplit/>
        </w:trPr>
        <w:tc>
          <w:tcPr>
            <w:tcW w:w="2376" w:type="dxa"/>
          </w:tcPr>
          <w:p w14:paraId="4AA71856" w14:textId="77777777" w:rsidR="0023238F" w:rsidRPr="00614E7F" w:rsidRDefault="00890F84" w:rsidP="00175E85">
            <w:pPr>
              <w:ind w:firstLine="284"/>
              <w:rPr>
                <w:i/>
                <w:color w:val="000000"/>
              </w:rPr>
            </w:pPr>
            <w:r w:rsidRPr="00614E7F">
              <w:rPr>
                <w:color w:val="000000"/>
              </w:rPr>
              <w:t>No/mild (0-25%),</w:t>
            </w:r>
            <w:r w:rsidRPr="00614E7F">
              <w:rPr>
                <w:i/>
                <w:color w:val="000000"/>
              </w:rPr>
              <w:t xml:space="preserve"> </w:t>
            </w:r>
          </w:p>
          <w:p w14:paraId="5899A662" w14:textId="075D7A54" w:rsidR="00890F84" w:rsidRPr="00614E7F" w:rsidRDefault="00890F84" w:rsidP="00175E85">
            <w:pPr>
              <w:ind w:firstLine="284"/>
              <w:rPr>
                <w:color w:val="000000"/>
              </w:rPr>
            </w:pPr>
            <w:r w:rsidRPr="00614E7F">
              <w:rPr>
                <w:i/>
                <w:color w:val="000000"/>
              </w:rPr>
              <w:t>n (%)</w:t>
            </w:r>
          </w:p>
        </w:tc>
        <w:tc>
          <w:tcPr>
            <w:tcW w:w="1418" w:type="dxa"/>
            <w:tcBorders>
              <w:right w:val="single" w:sz="18" w:space="0" w:color="auto"/>
            </w:tcBorders>
          </w:tcPr>
          <w:p w14:paraId="1990E2C3" w14:textId="48133158" w:rsidR="00890F84" w:rsidRPr="00614E7F" w:rsidRDefault="00890F84" w:rsidP="00175E85">
            <w:pPr>
              <w:spacing w:line="480" w:lineRule="auto"/>
              <w:ind w:left="-198"/>
              <w:jc w:val="center"/>
            </w:pPr>
            <w:r w:rsidRPr="00614E7F">
              <w:t>488 (75.8)</w:t>
            </w:r>
          </w:p>
        </w:tc>
        <w:tc>
          <w:tcPr>
            <w:tcW w:w="1559" w:type="dxa"/>
            <w:tcBorders>
              <w:left w:val="single" w:sz="18" w:space="0" w:color="auto"/>
            </w:tcBorders>
          </w:tcPr>
          <w:p w14:paraId="6657FF32" w14:textId="652745E5" w:rsidR="00890F84" w:rsidRPr="00614E7F" w:rsidRDefault="00890F84" w:rsidP="00175E85">
            <w:pPr>
              <w:spacing w:line="480" w:lineRule="auto"/>
              <w:ind w:left="-198"/>
              <w:jc w:val="center"/>
              <w:rPr>
                <w:highlight w:val="yellow"/>
              </w:rPr>
            </w:pPr>
            <w:r w:rsidRPr="00614E7F">
              <w:t>418 (76.0)</w:t>
            </w:r>
          </w:p>
        </w:tc>
        <w:tc>
          <w:tcPr>
            <w:tcW w:w="1559" w:type="dxa"/>
          </w:tcPr>
          <w:p w14:paraId="58E60F62" w14:textId="393B768E" w:rsidR="00890F84" w:rsidRPr="00614E7F" w:rsidRDefault="00890F84" w:rsidP="00175E85">
            <w:pPr>
              <w:spacing w:line="480" w:lineRule="auto"/>
              <w:ind w:left="-198"/>
              <w:jc w:val="center"/>
              <w:rPr>
                <w:highlight w:val="yellow"/>
              </w:rPr>
            </w:pPr>
            <w:r w:rsidRPr="00614E7F">
              <w:t>31 (75.6)</w:t>
            </w:r>
          </w:p>
        </w:tc>
        <w:tc>
          <w:tcPr>
            <w:tcW w:w="1560" w:type="dxa"/>
          </w:tcPr>
          <w:p w14:paraId="0CE903DD" w14:textId="011923F1" w:rsidR="00890F84" w:rsidRPr="00614E7F" w:rsidRDefault="00890F84" w:rsidP="00175E85">
            <w:pPr>
              <w:spacing w:line="480" w:lineRule="auto"/>
              <w:ind w:left="-198"/>
              <w:jc w:val="center"/>
            </w:pPr>
            <w:r w:rsidRPr="00614E7F">
              <w:t>39 (73.6)</w:t>
            </w:r>
          </w:p>
        </w:tc>
        <w:tc>
          <w:tcPr>
            <w:tcW w:w="940" w:type="dxa"/>
            <w:tcBorders>
              <w:right w:val="single" w:sz="18" w:space="0" w:color="auto"/>
            </w:tcBorders>
          </w:tcPr>
          <w:p w14:paraId="6245DFEB" w14:textId="77777777" w:rsidR="00890F84" w:rsidRPr="00614E7F" w:rsidRDefault="00890F84" w:rsidP="00175E85">
            <w:pPr>
              <w:spacing w:line="480" w:lineRule="auto"/>
              <w:ind w:left="-198"/>
              <w:jc w:val="center"/>
              <w:rPr>
                <w:highlight w:val="yellow"/>
              </w:rPr>
            </w:pPr>
          </w:p>
        </w:tc>
        <w:tc>
          <w:tcPr>
            <w:tcW w:w="1418" w:type="dxa"/>
            <w:tcBorders>
              <w:left w:val="single" w:sz="18" w:space="0" w:color="auto"/>
            </w:tcBorders>
          </w:tcPr>
          <w:p w14:paraId="336BF8DF" w14:textId="5FA3F09C" w:rsidR="00890F84" w:rsidRPr="00614E7F" w:rsidRDefault="00466D4B" w:rsidP="00175E85">
            <w:pPr>
              <w:spacing w:line="480" w:lineRule="auto"/>
              <w:ind w:left="-198"/>
              <w:jc w:val="center"/>
            </w:pPr>
            <w:r w:rsidRPr="00614E7F">
              <w:t>428 (75.8)</w:t>
            </w:r>
          </w:p>
        </w:tc>
        <w:tc>
          <w:tcPr>
            <w:tcW w:w="1469" w:type="dxa"/>
          </w:tcPr>
          <w:p w14:paraId="06B15F08" w14:textId="694F8E4F" w:rsidR="00890F84" w:rsidRPr="00614E7F" w:rsidRDefault="00890F84" w:rsidP="00175E85">
            <w:pPr>
              <w:spacing w:line="480" w:lineRule="auto"/>
              <w:ind w:left="-198"/>
              <w:jc w:val="center"/>
            </w:pPr>
            <w:r w:rsidRPr="00614E7F">
              <w:t>60 (75.9)</w:t>
            </w:r>
          </w:p>
        </w:tc>
        <w:tc>
          <w:tcPr>
            <w:tcW w:w="992" w:type="dxa"/>
          </w:tcPr>
          <w:p w14:paraId="26F07AE4" w14:textId="04FC9793" w:rsidR="00890F84" w:rsidRPr="00614E7F" w:rsidRDefault="00890F84" w:rsidP="00175E85">
            <w:pPr>
              <w:spacing w:line="480" w:lineRule="auto"/>
              <w:ind w:left="-198"/>
              <w:jc w:val="center"/>
              <w:rPr>
                <w:highlight w:val="yellow"/>
              </w:rPr>
            </w:pPr>
          </w:p>
        </w:tc>
      </w:tr>
      <w:tr w:rsidR="00FF304B" w:rsidRPr="00614E7F" w14:paraId="065FC2EC" w14:textId="72A74881" w:rsidTr="00FF304B">
        <w:trPr>
          <w:cantSplit/>
        </w:trPr>
        <w:tc>
          <w:tcPr>
            <w:tcW w:w="2376" w:type="dxa"/>
          </w:tcPr>
          <w:p w14:paraId="282AAF40" w14:textId="77777777" w:rsidR="0023238F" w:rsidRPr="00614E7F" w:rsidRDefault="00890F84" w:rsidP="002B7D3E">
            <w:pPr>
              <w:ind w:left="284"/>
              <w:rPr>
                <w:i/>
                <w:color w:val="000000"/>
              </w:rPr>
            </w:pPr>
            <w:r w:rsidRPr="00614E7F">
              <w:rPr>
                <w:color w:val="000000"/>
              </w:rPr>
              <w:t>Moderate (25-50%),</w:t>
            </w:r>
            <w:r w:rsidRPr="00614E7F">
              <w:rPr>
                <w:i/>
                <w:color w:val="000000"/>
              </w:rPr>
              <w:t xml:space="preserve"> </w:t>
            </w:r>
          </w:p>
          <w:p w14:paraId="3F9875E2" w14:textId="6F5ABCB7" w:rsidR="00890F84" w:rsidRPr="00614E7F" w:rsidRDefault="00890F84" w:rsidP="00175E85">
            <w:pPr>
              <w:ind w:firstLine="284"/>
              <w:rPr>
                <w:color w:val="000000"/>
              </w:rPr>
            </w:pPr>
            <w:r w:rsidRPr="00614E7F">
              <w:rPr>
                <w:i/>
                <w:color w:val="000000"/>
              </w:rPr>
              <w:t>n</w:t>
            </w:r>
            <w:r w:rsidR="00425185" w:rsidRPr="00614E7F">
              <w:rPr>
                <w:i/>
                <w:color w:val="000000"/>
              </w:rPr>
              <w:t xml:space="preserve"> </w:t>
            </w:r>
            <w:r w:rsidRPr="00614E7F">
              <w:rPr>
                <w:i/>
                <w:color w:val="000000"/>
              </w:rPr>
              <w:t>(%)</w:t>
            </w:r>
          </w:p>
        </w:tc>
        <w:tc>
          <w:tcPr>
            <w:tcW w:w="1418" w:type="dxa"/>
            <w:tcBorders>
              <w:right w:val="single" w:sz="18" w:space="0" w:color="auto"/>
            </w:tcBorders>
          </w:tcPr>
          <w:p w14:paraId="56EF277B" w14:textId="74541333" w:rsidR="00890F84" w:rsidRPr="00614E7F" w:rsidRDefault="00890F84" w:rsidP="00175E85">
            <w:pPr>
              <w:spacing w:line="480" w:lineRule="auto"/>
              <w:ind w:left="-198"/>
              <w:jc w:val="center"/>
            </w:pPr>
            <w:r w:rsidRPr="00614E7F">
              <w:t>121 (18.8)</w:t>
            </w:r>
          </w:p>
        </w:tc>
        <w:tc>
          <w:tcPr>
            <w:tcW w:w="1559" w:type="dxa"/>
            <w:tcBorders>
              <w:left w:val="single" w:sz="18" w:space="0" w:color="auto"/>
            </w:tcBorders>
          </w:tcPr>
          <w:p w14:paraId="2FCA855B" w14:textId="6937EE18" w:rsidR="00890F84" w:rsidRPr="00614E7F" w:rsidRDefault="00890F84" w:rsidP="00175E85">
            <w:pPr>
              <w:spacing w:line="480" w:lineRule="auto"/>
              <w:ind w:left="-198"/>
              <w:jc w:val="center"/>
            </w:pPr>
            <w:r w:rsidRPr="00614E7F">
              <w:t>102 (18.5)</w:t>
            </w:r>
          </w:p>
        </w:tc>
        <w:tc>
          <w:tcPr>
            <w:tcW w:w="1559" w:type="dxa"/>
          </w:tcPr>
          <w:p w14:paraId="076ACE93" w14:textId="5F6A50C9" w:rsidR="00890F84" w:rsidRPr="00614E7F" w:rsidRDefault="00890F84" w:rsidP="00175E85">
            <w:pPr>
              <w:spacing w:line="480" w:lineRule="auto"/>
              <w:ind w:left="-198"/>
              <w:jc w:val="center"/>
            </w:pPr>
            <w:r w:rsidRPr="00614E7F">
              <w:t>7 (17.1)</w:t>
            </w:r>
          </w:p>
        </w:tc>
        <w:tc>
          <w:tcPr>
            <w:tcW w:w="1560" w:type="dxa"/>
          </w:tcPr>
          <w:p w14:paraId="2783A110" w14:textId="74AC545D" w:rsidR="00890F84" w:rsidRPr="00614E7F" w:rsidRDefault="00890F84" w:rsidP="00175E85">
            <w:pPr>
              <w:spacing w:line="480" w:lineRule="auto"/>
              <w:ind w:left="-198"/>
              <w:jc w:val="center"/>
            </w:pPr>
            <w:r w:rsidRPr="00614E7F">
              <w:t>12 (22.6)</w:t>
            </w:r>
          </w:p>
        </w:tc>
        <w:tc>
          <w:tcPr>
            <w:tcW w:w="940" w:type="dxa"/>
            <w:tcBorders>
              <w:right w:val="single" w:sz="18" w:space="0" w:color="auto"/>
            </w:tcBorders>
          </w:tcPr>
          <w:p w14:paraId="7FC6BD79" w14:textId="77777777" w:rsidR="00890F84" w:rsidRPr="00614E7F" w:rsidRDefault="00890F84" w:rsidP="00175E85">
            <w:pPr>
              <w:spacing w:line="480" w:lineRule="auto"/>
              <w:ind w:left="-198"/>
              <w:jc w:val="center"/>
              <w:rPr>
                <w:highlight w:val="yellow"/>
              </w:rPr>
            </w:pPr>
          </w:p>
        </w:tc>
        <w:tc>
          <w:tcPr>
            <w:tcW w:w="1418" w:type="dxa"/>
            <w:tcBorders>
              <w:left w:val="single" w:sz="18" w:space="0" w:color="auto"/>
            </w:tcBorders>
          </w:tcPr>
          <w:p w14:paraId="771D06ED" w14:textId="2F528629" w:rsidR="00890F84" w:rsidRPr="00614E7F" w:rsidRDefault="00466D4B" w:rsidP="00175E85">
            <w:pPr>
              <w:spacing w:line="480" w:lineRule="auto"/>
              <w:ind w:left="-198"/>
              <w:jc w:val="center"/>
            </w:pPr>
            <w:r w:rsidRPr="00614E7F">
              <w:t>106 (18.8)</w:t>
            </w:r>
          </w:p>
        </w:tc>
        <w:tc>
          <w:tcPr>
            <w:tcW w:w="1469" w:type="dxa"/>
          </w:tcPr>
          <w:p w14:paraId="133CF717" w14:textId="3161E8D5" w:rsidR="00890F84" w:rsidRPr="00614E7F" w:rsidRDefault="00890F84" w:rsidP="00175E85">
            <w:pPr>
              <w:spacing w:line="480" w:lineRule="auto"/>
              <w:ind w:left="-198"/>
              <w:jc w:val="center"/>
            </w:pPr>
            <w:r w:rsidRPr="00614E7F">
              <w:t>15 (19.0)</w:t>
            </w:r>
          </w:p>
        </w:tc>
        <w:tc>
          <w:tcPr>
            <w:tcW w:w="992" w:type="dxa"/>
          </w:tcPr>
          <w:p w14:paraId="1695683D" w14:textId="77777777" w:rsidR="00890F84" w:rsidRPr="00614E7F" w:rsidRDefault="00890F84" w:rsidP="00175E85">
            <w:pPr>
              <w:spacing w:line="480" w:lineRule="auto"/>
              <w:ind w:left="-198"/>
              <w:jc w:val="center"/>
              <w:rPr>
                <w:highlight w:val="yellow"/>
              </w:rPr>
            </w:pPr>
          </w:p>
        </w:tc>
      </w:tr>
      <w:tr w:rsidR="00FF304B" w:rsidRPr="00614E7F" w14:paraId="4F55F162" w14:textId="7CCCAADF" w:rsidTr="00FF304B">
        <w:trPr>
          <w:cantSplit/>
          <w:trHeight w:val="573"/>
        </w:trPr>
        <w:tc>
          <w:tcPr>
            <w:tcW w:w="2376" w:type="dxa"/>
          </w:tcPr>
          <w:p w14:paraId="61A5DB34" w14:textId="77777777" w:rsidR="0023238F" w:rsidRPr="00614E7F" w:rsidRDefault="00890F84" w:rsidP="00175E85">
            <w:pPr>
              <w:ind w:firstLine="284"/>
              <w:rPr>
                <w:color w:val="000000"/>
              </w:rPr>
            </w:pPr>
            <w:r w:rsidRPr="00614E7F">
              <w:rPr>
                <w:color w:val="000000"/>
              </w:rPr>
              <w:t xml:space="preserve">Severe (&gt;50%), </w:t>
            </w:r>
          </w:p>
          <w:p w14:paraId="7799BDAE" w14:textId="77777777" w:rsidR="00890F84" w:rsidRPr="00614E7F" w:rsidRDefault="00890F84" w:rsidP="00175E85">
            <w:pPr>
              <w:ind w:firstLine="284"/>
              <w:rPr>
                <w:i/>
                <w:color w:val="000000"/>
              </w:rPr>
            </w:pPr>
            <w:r w:rsidRPr="00614E7F">
              <w:rPr>
                <w:i/>
                <w:color w:val="000000"/>
              </w:rPr>
              <w:t>n (%)</w:t>
            </w:r>
          </w:p>
          <w:p w14:paraId="22C583DF" w14:textId="32D73BAC" w:rsidR="0023238F" w:rsidRPr="00614E7F" w:rsidRDefault="0023238F" w:rsidP="00175E85">
            <w:pPr>
              <w:ind w:firstLine="284"/>
              <w:rPr>
                <w:color w:val="000000"/>
              </w:rPr>
            </w:pPr>
          </w:p>
        </w:tc>
        <w:tc>
          <w:tcPr>
            <w:tcW w:w="1418" w:type="dxa"/>
            <w:tcBorders>
              <w:right w:val="single" w:sz="18" w:space="0" w:color="auto"/>
            </w:tcBorders>
          </w:tcPr>
          <w:p w14:paraId="0E60B4F7" w14:textId="731E15CB" w:rsidR="00890F84" w:rsidRPr="00614E7F" w:rsidRDefault="00890F84" w:rsidP="00175E85">
            <w:pPr>
              <w:spacing w:line="480" w:lineRule="auto"/>
              <w:ind w:left="-198"/>
              <w:jc w:val="center"/>
            </w:pPr>
            <w:r w:rsidRPr="00614E7F">
              <w:t>35 (5.4)</w:t>
            </w:r>
          </w:p>
        </w:tc>
        <w:tc>
          <w:tcPr>
            <w:tcW w:w="1559" w:type="dxa"/>
            <w:tcBorders>
              <w:left w:val="single" w:sz="18" w:space="0" w:color="auto"/>
            </w:tcBorders>
          </w:tcPr>
          <w:p w14:paraId="2F0B2EFD" w14:textId="2F5D3393" w:rsidR="00890F84" w:rsidRPr="00614E7F" w:rsidRDefault="00890F84" w:rsidP="00175E85">
            <w:pPr>
              <w:spacing w:line="480" w:lineRule="auto"/>
              <w:ind w:left="-198"/>
              <w:jc w:val="center"/>
            </w:pPr>
            <w:r w:rsidRPr="00614E7F">
              <w:t>30 (5.5)</w:t>
            </w:r>
          </w:p>
        </w:tc>
        <w:tc>
          <w:tcPr>
            <w:tcW w:w="1559" w:type="dxa"/>
          </w:tcPr>
          <w:p w14:paraId="5B166FC8" w14:textId="65F1B867" w:rsidR="00890F84" w:rsidRPr="00614E7F" w:rsidRDefault="00890F84" w:rsidP="00175E85">
            <w:pPr>
              <w:spacing w:line="480" w:lineRule="auto"/>
              <w:ind w:left="-198"/>
              <w:jc w:val="center"/>
            </w:pPr>
            <w:r w:rsidRPr="00614E7F">
              <w:t>3 (7.3)</w:t>
            </w:r>
          </w:p>
        </w:tc>
        <w:tc>
          <w:tcPr>
            <w:tcW w:w="1560" w:type="dxa"/>
          </w:tcPr>
          <w:p w14:paraId="06CB3DA0" w14:textId="729A8731" w:rsidR="00890F84" w:rsidRPr="00614E7F" w:rsidRDefault="00890F84" w:rsidP="00175E85">
            <w:pPr>
              <w:spacing w:line="480" w:lineRule="auto"/>
              <w:ind w:left="-198"/>
              <w:jc w:val="center"/>
            </w:pPr>
            <w:r w:rsidRPr="00614E7F">
              <w:t>2 (3.8)</w:t>
            </w:r>
          </w:p>
        </w:tc>
        <w:tc>
          <w:tcPr>
            <w:tcW w:w="940" w:type="dxa"/>
            <w:tcBorders>
              <w:right w:val="single" w:sz="18" w:space="0" w:color="auto"/>
            </w:tcBorders>
          </w:tcPr>
          <w:p w14:paraId="3E07E12B" w14:textId="77777777" w:rsidR="00890F84" w:rsidRPr="00614E7F" w:rsidRDefault="00890F84" w:rsidP="00175E85">
            <w:pPr>
              <w:spacing w:line="480" w:lineRule="auto"/>
              <w:ind w:left="-198"/>
              <w:jc w:val="center"/>
              <w:rPr>
                <w:highlight w:val="yellow"/>
              </w:rPr>
            </w:pPr>
          </w:p>
        </w:tc>
        <w:tc>
          <w:tcPr>
            <w:tcW w:w="1418" w:type="dxa"/>
            <w:tcBorders>
              <w:left w:val="single" w:sz="18" w:space="0" w:color="auto"/>
            </w:tcBorders>
          </w:tcPr>
          <w:p w14:paraId="18F30EE7" w14:textId="0BF1A58B" w:rsidR="00890F84" w:rsidRPr="00614E7F" w:rsidRDefault="00466D4B" w:rsidP="00175E85">
            <w:pPr>
              <w:spacing w:line="480" w:lineRule="auto"/>
              <w:ind w:left="-198"/>
              <w:jc w:val="center"/>
            </w:pPr>
            <w:r w:rsidRPr="00614E7F">
              <w:t>31 (5.5)</w:t>
            </w:r>
          </w:p>
        </w:tc>
        <w:tc>
          <w:tcPr>
            <w:tcW w:w="1469" w:type="dxa"/>
          </w:tcPr>
          <w:p w14:paraId="3B7C2028" w14:textId="2C135779" w:rsidR="00890F84" w:rsidRPr="00614E7F" w:rsidRDefault="00890F84" w:rsidP="00175E85">
            <w:pPr>
              <w:spacing w:line="480" w:lineRule="auto"/>
              <w:ind w:left="-198"/>
              <w:jc w:val="center"/>
            </w:pPr>
            <w:r w:rsidRPr="00614E7F">
              <w:t>4 (5.1)</w:t>
            </w:r>
          </w:p>
        </w:tc>
        <w:tc>
          <w:tcPr>
            <w:tcW w:w="992" w:type="dxa"/>
          </w:tcPr>
          <w:p w14:paraId="52C42E7D" w14:textId="77777777" w:rsidR="00890F84" w:rsidRPr="00614E7F" w:rsidRDefault="00890F84" w:rsidP="00175E85">
            <w:pPr>
              <w:spacing w:line="480" w:lineRule="auto"/>
              <w:ind w:left="-198"/>
              <w:jc w:val="center"/>
              <w:rPr>
                <w:highlight w:val="yellow"/>
              </w:rPr>
            </w:pPr>
          </w:p>
        </w:tc>
      </w:tr>
      <w:tr w:rsidR="00FF304B" w:rsidRPr="00614E7F" w14:paraId="6C7B6F86" w14:textId="4B384674" w:rsidTr="00FF304B">
        <w:trPr>
          <w:cantSplit/>
        </w:trPr>
        <w:tc>
          <w:tcPr>
            <w:tcW w:w="2376" w:type="dxa"/>
          </w:tcPr>
          <w:p w14:paraId="3ED7D811" w14:textId="781C6C44" w:rsidR="00890F84" w:rsidRPr="00614E7F" w:rsidRDefault="00890F84" w:rsidP="00175E85">
            <w:pPr>
              <w:rPr>
                <w:i/>
                <w:color w:val="000000"/>
              </w:rPr>
            </w:pPr>
            <w:r w:rsidRPr="00614E7F">
              <w:rPr>
                <w:color w:val="000000"/>
              </w:rPr>
              <w:t xml:space="preserve">Skin thickening </w:t>
            </w:r>
            <w:r w:rsidR="00CD1D3B" w:rsidRPr="00614E7F">
              <w:rPr>
                <w:color w:val="000000"/>
              </w:rPr>
              <w:t>o</w:t>
            </w:r>
            <w:r w:rsidR="00E5594A" w:rsidRPr="00614E7F">
              <w:rPr>
                <w:color w:val="000000"/>
              </w:rPr>
              <w:t>n</w:t>
            </w:r>
            <w:r w:rsidR="00CD1D3B" w:rsidRPr="00614E7F">
              <w:rPr>
                <w:color w:val="000000"/>
              </w:rPr>
              <w:t xml:space="preserve"> fingers</w:t>
            </w:r>
            <w:r w:rsidRPr="00614E7F">
              <w:rPr>
                <w:color w:val="000000"/>
              </w:rPr>
              <w:t xml:space="preserve">, </w:t>
            </w:r>
            <w:r w:rsidRPr="00614E7F">
              <w:rPr>
                <w:i/>
                <w:color w:val="000000"/>
              </w:rPr>
              <w:t>n (%)</w:t>
            </w:r>
          </w:p>
          <w:p w14:paraId="4CF40205" w14:textId="77777777" w:rsidR="00890F84" w:rsidRPr="00614E7F" w:rsidRDefault="00890F84" w:rsidP="00175E85">
            <w:pPr>
              <w:rPr>
                <w:vertAlign w:val="superscript"/>
              </w:rPr>
            </w:pPr>
          </w:p>
        </w:tc>
        <w:tc>
          <w:tcPr>
            <w:tcW w:w="1418" w:type="dxa"/>
            <w:tcBorders>
              <w:right w:val="single" w:sz="18" w:space="0" w:color="auto"/>
            </w:tcBorders>
          </w:tcPr>
          <w:p w14:paraId="47FE687C" w14:textId="442A8F6F" w:rsidR="00890F84" w:rsidRPr="00614E7F" w:rsidRDefault="00890F84" w:rsidP="00175E85">
            <w:pPr>
              <w:spacing w:line="480" w:lineRule="auto"/>
              <w:jc w:val="center"/>
            </w:pPr>
            <w:r w:rsidRPr="00614E7F">
              <w:rPr>
                <w:color w:val="000000"/>
              </w:rPr>
              <w:t>360 (55.9)</w:t>
            </w:r>
          </w:p>
        </w:tc>
        <w:tc>
          <w:tcPr>
            <w:tcW w:w="1559" w:type="dxa"/>
            <w:tcBorders>
              <w:left w:val="single" w:sz="18" w:space="0" w:color="auto"/>
            </w:tcBorders>
          </w:tcPr>
          <w:p w14:paraId="05FB41C1" w14:textId="5EA1F5FD" w:rsidR="00890F84" w:rsidRPr="00614E7F" w:rsidRDefault="00890F84" w:rsidP="00175E85">
            <w:pPr>
              <w:spacing w:line="480" w:lineRule="auto"/>
              <w:ind w:left="-198"/>
              <w:jc w:val="center"/>
              <w:rPr>
                <w:i/>
                <w:highlight w:val="yellow"/>
                <w:vertAlign w:val="superscript"/>
              </w:rPr>
            </w:pPr>
            <w:r w:rsidRPr="00614E7F">
              <w:t>293 (53.3)</w:t>
            </w:r>
            <w:r w:rsidR="00325452" w:rsidRPr="00614E7F">
              <w:rPr>
                <w:i/>
                <w:color w:val="000000"/>
                <w:vertAlign w:val="superscript"/>
              </w:rPr>
              <w:t>a</w:t>
            </w:r>
          </w:p>
        </w:tc>
        <w:tc>
          <w:tcPr>
            <w:tcW w:w="1559" w:type="dxa"/>
          </w:tcPr>
          <w:p w14:paraId="13164163" w14:textId="6448D339" w:rsidR="00890F84" w:rsidRPr="00614E7F" w:rsidRDefault="00890F84" w:rsidP="00175E85">
            <w:pPr>
              <w:spacing w:line="480" w:lineRule="auto"/>
              <w:ind w:left="-198"/>
              <w:jc w:val="center"/>
              <w:rPr>
                <w:highlight w:val="yellow"/>
              </w:rPr>
            </w:pPr>
            <w:r w:rsidRPr="00614E7F">
              <w:t>31 (75.6)</w:t>
            </w:r>
            <w:r w:rsidR="00325452" w:rsidRPr="00614E7F">
              <w:rPr>
                <w:i/>
                <w:color w:val="000000"/>
                <w:vertAlign w:val="superscript"/>
              </w:rPr>
              <w:t>a</w:t>
            </w:r>
          </w:p>
        </w:tc>
        <w:tc>
          <w:tcPr>
            <w:tcW w:w="1560" w:type="dxa"/>
          </w:tcPr>
          <w:p w14:paraId="57D73640" w14:textId="63A61A46" w:rsidR="00890F84" w:rsidRPr="00614E7F" w:rsidRDefault="00890F84" w:rsidP="00175E85">
            <w:pPr>
              <w:spacing w:line="480" w:lineRule="auto"/>
              <w:ind w:left="-198"/>
              <w:jc w:val="center"/>
              <w:rPr>
                <w:highlight w:val="yellow"/>
              </w:rPr>
            </w:pPr>
            <w:r w:rsidRPr="00614E7F">
              <w:t>36 (67.9)</w:t>
            </w:r>
          </w:p>
        </w:tc>
        <w:tc>
          <w:tcPr>
            <w:tcW w:w="940" w:type="dxa"/>
            <w:tcBorders>
              <w:right w:val="single" w:sz="18" w:space="0" w:color="auto"/>
            </w:tcBorders>
          </w:tcPr>
          <w:p w14:paraId="7649136F" w14:textId="764ADB8C" w:rsidR="00890F84" w:rsidRPr="00614E7F" w:rsidRDefault="00890F84" w:rsidP="00175E85">
            <w:pPr>
              <w:spacing w:line="480" w:lineRule="auto"/>
              <w:ind w:left="-198"/>
              <w:jc w:val="center"/>
            </w:pPr>
            <w:r w:rsidRPr="00614E7F">
              <w:t>.004</w:t>
            </w:r>
          </w:p>
        </w:tc>
        <w:tc>
          <w:tcPr>
            <w:tcW w:w="1418" w:type="dxa"/>
            <w:tcBorders>
              <w:left w:val="single" w:sz="18" w:space="0" w:color="auto"/>
            </w:tcBorders>
          </w:tcPr>
          <w:p w14:paraId="7CF6EE6B" w14:textId="03D501E1" w:rsidR="00890F84" w:rsidRPr="00614E7F" w:rsidRDefault="00466D4B" w:rsidP="00175E85">
            <w:pPr>
              <w:spacing w:line="480" w:lineRule="auto"/>
              <w:ind w:left="-198"/>
              <w:jc w:val="center"/>
            </w:pPr>
            <w:r w:rsidRPr="00614E7F">
              <w:t>311 (55.0)</w:t>
            </w:r>
          </w:p>
        </w:tc>
        <w:tc>
          <w:tcPr>
            <w:tcW w:w="1469" w:type="dxa"/>
          </w:tcPr>
          <w:p w14:paraId="729A82E4" w14:textId="53A73BE5" w:rsidR="00890F84" w:rsidRPr="00614E7F" w:rsidRDefault="00890F84" w:rsidP="00175E85">
            <w:pPr>
              <w:spacing w:line="480" w:lineRule="auto"/>
              <w:ind w:left="-198"/>
              <w:jc w:val="center"/>
            </w:pPr>
            <w:r w:rsidRPr="00614E7F">
              <w:t>49 (62.0)</w:t>
            </w:r>
          </w:p>
        </w:tc>
        <w:tc>
          <w:tcPr>
            <w:tcW w:w="992" w:type="dxa"/>
          </w:tcPr>
          <w:p w14:paraId="48F3B033" w14:textId="06F215A6" w:rsidR="00890F84" w:rsidRPr="00614E7F" w:rsidRDefault="001B5C74" w:rsidP="00175E85">
            <w:pPr>
              <w:spacing w:line="480" w:lineRule="auto"/>
              <w:ind w:left="-198"/>
              <w:jc w:val="center"/>
            </w:pPr>
            <w:r w:rsidRPr="00614E7F">
              <w:t>.242</w:t>
            </w:r>
          </w:p>
        </w:tc>
      </w:tr>
      <w:tr w:rsidR="00FF304B" w:rsidRPr="00614E7F" w14:paraId="1B281E60" w14:textId="47BB691F" w:rsidTr="00FF304B">
        <w:trPr>
          <w:cantSplit/>
        </w:trPr>
        <w:tc>
          <w:tcPr>
            <w:tcW w:w="2376" w:type="dxa"/>
            <w:tcBorders>
              <w:bottom w:val="single" w:sz="18" w:space="0" w:color="auto"/>
            </w:tcBorders>
          </w:tcPr>
          <w:p w14:paraId="6BACF127" w14:textId="7E57C35A" w:rsidR="00890F84" w:rsidRPr="00614E7F" w:rsidRDefault="00890F84" w:rsidP="00175E85">
            <w:r w:rsidRPr="00614E7F">
              <w:rPr>
                <w:color w:val="000000"/>
              </w:rPr>
              <w:lastRenderedPageBreak/>
              <w:t xml:space="preserve">Presence of appearance concerns, </w:t>
            </w:r>
            <w:r w:rsidRPr="00614E7F">
              <w:rPr>
                <w:i/>
                <w:color w:val="000000"/>
              </w:rPr>
              <w:t>n</w:t>
            </w:r>
            <w:r w:rsidRPr="00614E7F">
              <w:rPr>
                <w:color w:val="000000"/>
              </w:rPr>
              <w:t xml:space="preserve"> (</w:t>
            </w:r>
            <w:r w:rsidRPr="00614E7F">
              <w:rPr>
                <w:i/>
                <w:color w:val="000000"/>
              </w:rPr>
              <w:t>%)</w:t>
            </w:r>
          </w:p>
        </w:tc>
        <w:tc>
          <w:tcPr>
            <w:tcW w:w="1418" w:type="dxa"/>
            <w:tcBorders>
              <w:bottom w:val="single" w:sz="18" w:space="0" w:color="auto"/>
              <w:right w:val="single" w:sz="18" w:space="0" w:color="auto"/>
            </w:tcBorders>
          </w:tcPr>
          <w:p w14:paraId="64AC4DC4" w14:textId="5782432A" w:rsidR="00890F84" w:rsidRPr="00614E7F" w:rsidRDefault="00890F84" w:rsidP="00175E85">
            <w:pPr>
              <w:spacing w:line="480" w:lineRule="auto"/>
              <w:ind w:left="-198"/>
              <w:jc w:val="center"/>
            </w:pPr>
            <w:r w:rsidRPr="00614E7F">
              <w:t>463 (71.9)</w:t>
            </w:r>
          </w:p>
        </w:tc>
        <w:tc>
          <w:tcPr>
            <w:tcW w:w="1559" w:type="dxa"/>
            <w:tcBorders>
              <w:left w:val="single" w:sz="18" w:space="0" w:color="auto"/>
              <w:bottom w:val="single" w:sz="18" w:space="0" w:color="auto"/>
            </w:tcBorders>
          </w:tcPr>
          <w:p w14:paraId="413047EC" w14:textId="668A9468" w:rsidR="00890F84" w:rsidRPr="00614E7F" w:rsidRDefault="00890F84" w:rsidP="00175E85">
            <w:pPr>
              <w:spacing w:line="480" w:lineRule="auto"/>
              <w:ind w:left="-198"/>
              <w:jc w:val="center"/>
              <w:rPr>
                <w:i/>
                <w:highlight w:val="yellow"/>
                <w:vertAlign w:val="superscript"/>
              </w:rPr>
            </w:pPr>
            <w:r w:rsidRPr="00614E7F">
              <w:t>392 (71.3)</w:t>
            </w:r>
          </w:p>
        </w:tc>
        <w:tc>
          <w:tcPr>
            <w:tcW w:w="1559" w:type="dxa"/>
            <w:tcBorders>
              <w:bottom w:val="single" w:sz="18" w:space="0" w:color="auto"/>
            </w:tcBorders>
          </w:tcPr>
          <w:p w14:paraId="7443FBE7" w14:textId="1278D14B" w:rsidR="00890F84" w:rsidRPr="00614E7F" w:rsidRDefault="00890F84" w:rsidP="00175E85">
            <w:pPr>
              <w:spacing w:line="480" w:lineRule="auto"/>
              <w:ind w:left="-198"/>
              <w:jc w:val="center"/>
              <w:rPr>
                <w:i/>
                <w:highlight w:val="yellow"/>
                <w:vertAlign w:val="superscript"/>
              </w:rPr>
            </w:pPr>
            <w:r w:rsidRPr="00614E7F">
              <w:t>35 (85.4)</w:t>
            </w:r>
          </w:p>
        </w:tc>
        <w:tc>
          <w:tcPr>
            <w:tcW w:w="1560" w:type="dxa"/>
            <w:tcBorders>
              <w:bottom w:val="single" w:sz="18" w:space="0" w:color="auto"/>
            </w:tcBorders>
          </w:tcPr>
          <w:p w14:paraId="6F23BE95" w14:textId="21A99C39" w:rsidR="00890F84" w:rsidRPr="00614E7F" w:rsidRDefault="00890F84" w:rsidP="00175E85">
            <w:pPr>
              <w:spacing w:line="480" w:lineRule="auto"/>
              <w:ind w:left="-198"/>
              <w:jc w:val="center"/>
              <w:rPr>
                <w:i/>
                <w:highlight w:val="yellow"/>
                <w:vertAlign w:val="superscript"/>
              </w:rPr>
            </w:pPr>
            <w:r w:rsidRPr="00614E7F">
              <w:t>36 (67.9)</w:t>
            </w:r>
          </w:p>
        </w:tc>
        <w:tc>
          <w:tcPr>
            <w:tcW w:w="940" w:type="dxa"/>
            <w:tcBorders>
              <w:bottom w:val="single" w:sz="18" w:space="0" w:color="auto"/>
              <w:right w:val="single" w:sz="18" w:space="0" w:color="auto"/>
            </w:tcBorders>
          </w:tcPr>
          <w:p w14:paraId="49534919" w14:textId="02DAE936" w:rsidR="00890F84" w:rsidRPr="00614E7F" w:rsidRDefault="00890F84" w:rsidP="00175E85">
            <w:pPr>
              <w:spacing w:line="480" w:lineRule="auto"/>
              <w:ind w:left="-198"/>
              <w:jc w:val="center"/>
              <w:rPr>
                <w:highlight w:val="yellow"/>
              </w:rPr>
            </w:pPr>
            <w:r w:rsidRPr="00614E7F">
              <w:t>.122</w:t>
            </w:r>
          </w:p>
        </w:tc>
        <w:tc>
          <w:tcPr>
            <w:tcW w:w="1418" w:type="dxa"/>
            <w:tcBorders>
              <w:left w:val="single" w:sz="18" w:space="0" w:color="auto"/>
              <w:bottom w:val="single" w:sz="18" w:space="0" w:color="auto"/>
            </w:tcBorders>
          </w:tcPr>
          <w:p w14:paraId="410D3323" w14:textId="23440733" w:rsidR="00890F84" w:rsidRPr="00614E7F" w:rsidRDefault="00466D4B" w:rsidP="00175E85">
            <w:pPr>
              <w:spacing w:line="480" w:lineRule="auto"/>
              <w:ind w:left="-198"/>
              <w:jc w:val="center"/>
            </w:pPr>
            <w:r w:rsidRPr="00614E7F">
              <w:t>421 (74.5)</w:t>
            </w:r>
          </w:p>
        </w:tc>
        <w:tc>
          <w:tcPr>
            <w:tcW w:w="1469" w:type="dxa"/>
            <w:tcBorders>
              <w:bottom w:val="single" w:sz="18" w:space="0" w:color="auto"/>
            </w:tcBorders>
          </w:tcPr>
          <w:p w14:paraId="05EB4085" w14:textId="0CB64063" w:rsidR="00890F84" w:rsidRPr="00614E7F" w:rsidRDefault="00890F84" w:rsidP="00175E85">
            <w:pPr>
              <w:spacing w:line="480" w:lineRule="auto"/>
              <w:ind w:left="-198"/>
              <w:jc w:val="center"/>
            </w:pPr>
            <w:r w:rsidRPr="00614E7F">
              <w:t>42 (53.2)</w:t>
            </w:r>
          </w:p>
        </w:tc>
        <w:tc>
          <w:tcPr>
            <w:tcW w:w="992" w:type="dxa"/>
            <w:tcBorders>
              <w:bottom w:val="single" w:sz="18" w:space="0" w:color="auto"/>
            </w:tcBorders>
          </w:tcPr>
          <w:p w14:paraId="7BBCA6DF" w14:textId="05E6919B" w:rsidR="00890F84" w:rsidRPr="00614E7F" w:rsidRDefault="005F7CAE" w:rsidP="00175E85">
            <w:pPr>
              <w:spacing w:line="480" w:lineRule="auto"/>
              <w:ind w:left="-198"/>
              <w:jc w:val="center"/>
            </w:pPr>
            <w:r w:rsidRPr="00614E7F">
              <w:t>&lt;.001</w:t>
            </w:r>
          </w:p>
        </w:tc>
      </w:tr>
    </w:tbl>
    <w:p w14:paraId="47451642" w14:textId="77777777" w:rsidR="009A41BC" w:rsidRDefault="009A41BC" w:rsidP="00175E85">
      <w:pPr>
        <w:ind w:left="284"/>
        <w:rPr>
          <w:rFonts w:eastAsia="Times New Roman"/>
          <w:lang w:val="en-CA"/>
        </w:rPr>
      </w:pPr>
    </w:p>
    <w:p w14:paraId="31162853" w14:textId="457125B3" w:rsidR="009A41BC" w:rsidRDefault="009A41BC" w:rsidP="00175E85">
      <w:pPr>
        <w:ind w:left="284"/>
      </w:pPr>
      <w:r>
        <w:rPr>
          <w:rFonts w:eastAsia="Times New Roman"/>
          <w:lang w:val="en-CA"/>
        </w:rPr>
        <w:t xml:space="preserve">Abbreviations: </w:t>
      </w:r>
      <w:r w:rsidR="00840289" w:rsidRPr="00614E7F">
        <w:rPr>
          <w:rFonts w:eastAsia="Times New Roman"/>
          <w:lang w:val="en-CA"/>
        </w:rPr>
        <w:t>SD = standard deviation</w:t>
      </w:r>
      <w:r w:rsidR="006E23D1">
        <w:rPr>
          <w:rFonts w:eastAsia="Times New Roman"/>
          <w:lang w:val="en-CA"/>
        </w:rPr>
        <w:t>.</w:t>
      </w:r>
    </w:p>
    <w:p w14:paraId="72598C9D" w14:textId="77777777" w:rsidR="009A41BC" w:rsidRDefault="009A41BC" w:rsidP="00175E85">
      <w:pPr>
        <w:ind w:left="284"/>
      </w:pPr>
    </w:p>
    <w:p w14:paraId="59B3F5A7" w14:textId="77777777" w:rsidR="009A41BC" w:rsidRDefault="003C41E3" w:rsidP="00175E85">
      <w:pPr>
        <w:ind w:left="284"/>
      </w:pPr>
      <w:proofErr w:type="spellStart"/>
      <w:r w:rsidRPr="00614E7F">
        <w:rPr>
          <w:vertAlign w:val="superscript"/>
        </w:rPr>
        <w:t>a</w:t>
      </w:r>
      <w:r w:rsidRPr="00614E7F">
        <w:t>White</w:t>
      </w:r>
      <w:proofErr w:type="spellEnd"/>
      <w:r w:rsidRPr="00614E7F">
        <w:t xml:space="preserve"> patients statistically significantly</w:t>
      </w:r>
      <w:r w:rsidR="009A41BC">
        <w:t xml:space="preserve"> different from Black patients.</w:t>
      </w:r>
    </w:p>
    <w:p w14:paraId="27CF67CE" w14:textId="77777777" w:rsidR="009A41BC" w:rsidRDefault="003C41E3" w:rsidP="00175E85">
      <w:pPr>
        <w:ind w:left="284"/>
      </w:pPr>
      <w:proofErr w:type="spellStart"/>
      <w:r w:rsidRPr="00614E7F">
        <w:rPr>
          <w:vertAlign w:val="superscript"/>
        </w:rPr>
        <w:t>b</w:t>
      </w:r>
      <w:r w:rsidRPr="00614E7F">
        <w:t>White</w:t>
      </w:r>
      <w:proofErr w:type="spellEnd"/>
      <w:r w:rsidRPr="00614E7F">
        <w:t xml:space="preserve"> patients statistically significantly different from </w:t>
      </w:r>
      <w:r w:rsidR="00A1108C" w:rsidRPr="00614E7F">
        <w:t>patients from another racial/ethnic group</w:t>
      </w:r>
      <w:r w:rsidR="009A41BC">
        <w:t>.</w:t>
      </w:r>
    </w:p>
    <w:p w14:paraId="7E0AE56D" w14:textId="77777777" w:rsidR="00F87B2B" w:rsidRDefault="00F87B2B" w:rsidP="00175E85">
      <w:pPr>
        <w:ind w:left="284"/>
      </w:pPr>
      <w:proofErr w:type="spellStart"/>
      <w:r w:rsidRPr="00614E7F">
        <w:rPr>
          <w:vertAlign w:val="superscript"/>
        </w:rPr>
        <w:t>c</w:t>
      </w:r>
      <w:r w:rsidR="00E7520E">
        <w:t>Sample</w:t>
      </w:r>
      <w:proofErr w:type="spellEnd"/>
      <w:r w:rsidR="00E7520E">
        <w:t xml:space="preserve"> size</w:t>
      </w:r>
      <w:r>
        <w:t xml:space="preserve"> based on</w:t>
      </w:r>
      <w:r w:rsidR="00E7520E">
        <w:rPr>
          <w:vertAlign w:val="superscript"/>
        </w:rPr>
        <w:t xml:space="preserve"> </w:t>
      </w:r>
      <w:r>
        <w:t>N</w:t>
      </w:r>
      <w:r w:rsidR="003C41E3" w:rsidRPr="00614E7F">
        <w:t xml:space="preserve"> </w:t>
      </w:r>
      <w:r w:rsidR="005F4F48" w:rsidRPr="00614E7F">
        <w:t xml:space="preserve">= </w:t>
      </w:r>
      <w:r w:rsidR="008209E7" w:rsidRPr="00614E7F">
        <w:t>643</w:t>
      </w:r>
      <w:r>
        <w:t>.</w:t>
      </w:r>
    </w:p>
    <w:p w14:paraId="091D6827" w14:textId="77777777" w:rsidR="00F87B2B" w:rsidRDefault="003C41E3" w:rsidP="00175E85">
      <w:pPr>
        <w:ind w:left="284"/>
      </w:pPr>
      <w:proofErr w:type="spellStart"/>
      <w:r w:rsidRPr="00614E7F">
        <w:rPr>
          <w:vertAlign w:val="superscript"/>
        </w:rPr>
        <w:t>d</w:t>
      </w:r>
      <w:r w:rsidR="00F87B2B">
        <w:t>Sample</w:t>
      </w:r>
      <w:proofErr w:type="spellEnd"/>
      <w:r w:rsidR="00F87B2B">
        <w:t xml:space="preserve"> size based on</w:t>
      </w:r>
      <w:r w:rsidR="00F87B2B">
        <w:rPr>
          <w:vertAlign w:val="superscript"/>
        </w:rPr>
        <w:t xml:space="preserve"> </w:t>
      </w:r>
      <w:r w:rsidR="00F87B2B">
        <w:t>N</w:t>
      </w:r>
      <w:r w:rsidRPr="00614E7F">
        <w:t xml:space="preserve"> </w:t>
      </w:r>
      <w:r w:rsidR="00F87B2B">
        <w:t>= 549.</w:t>
      </w:r>
    </w:p>
    <w:p w14:paraId="39E8AD4A" w14:textId="77777777" w:rsidR="00F87B2B" w:rsidRDefault="00F87B2B" w:rsidP="00175E85">
      <w:pPr>
        <w:ind w:left="284"/>
      </w:pPr>
      <w:proofErr w:type="spellStart"/>
      <w:r w:rsidRPr="00614E7F">
        <w:rPr>
          <w:vertAlign w:val="superscript"/>
        </w:rPr>
        <w:t>e</w:t>
      </w:r>
      <w:r>
        <w:t>Sample</w:t>
      </w:r>
      <w:proofErr w:type="spellEnd"/>
      <w:r>
        <w:t xml:space="preserve"> size based on</w:t>
      </w:r>
      <w:r w:rsidR="005F4F48" w:rsidRPr="00614E7F">
        <w:t xml:space="preserve"> </w:t>
      </w:r>
      <w:r>
        <w:t>N</w:t>
      </w:r>
      <w:r w:rsidR="003C41E3" w:rsidRPr="00614E7F">
        <w:t xml:space="preserve"> </w:t>
      </w:r>
      <w:r>
        <w:t>= 78.</w:t>
      </w:r>
      <w:r w:rsidR="00D938E9" w:rsidRPr="00614E7F">
        <w:t xml:space="preserve"> </w:t>
      </w:r>
    </w:p>
    <w:p w14:paraId="3F9F80CF" w14:textId="31D6DFB0" w:rsidR="00F87B2B" w:rsidRDefault="003C41E3" w:rsidP="00175E85">
      <w:pPr>
        <w:ind w:left="284"/>
      </w:pPr>
      <w:proofErr w:type="spellStart"/>
      <w:r w:rsidRPr="00614E7F">
        <w:rPr>
          <w:vertAlign w:val="superscript"/>
        </w:rPr>
        <w:t>f</w:t>
      </w:r>
      <w:r w:rsidR="00F87B2B">
        <w:t>Sample</w:t>
      </w:r>
      <w:proofErr w:type="spellEnd"/>
      <w:r w:rsidR="00F87B2B">
        <w:t xml:space="preserve"> size based on</w:t>
      </w:r>
      <w:r w:rsidR="00F87B2B" w:rsidRPr="00614E7F">
        <w:t xml:space="preserve"> </w:t>
      </w:r>
      <w:r w:rsidR="00F87B2B">
        <w:t>N</w:t>
      </w:r>
      <w:r w:rsidRPr="00614E7F">
        <w:t xml:space="preserve"> </w:t>
      </w:r>
      <w:r w:rsidR="005F4F48" w:rsidRPr="00614E7F">
        <w:t xml:space="preserve">= </w:t>
      </w:r>
      <w:r w:rsidR="00B40A27" w:rsidRPr="00614E7F">
        <w:t>595</w:t>
      </w:r>
      <w:r w:rsidR="00F87B2B">
        <w:t>.</w:t>
      </w:r>
      <w:r w:rsidR="005F4F48" w:rsidRPr="00614E7F">
        <w:t xml:space="preserve"> </w:t>
      </w:r>
    </w:p>
    <w:p w14:paraId="759007E1" w14:textId="09D37F42" w:rsidR="00F87B2B" w:rsidRDefault="003C41E3" w:rsidP="00175E85">
      <w:pPr>
        <w:ind w:left="284"/>
      </w:pPr>
      <w:proofErr w:type="spellStart"/>
      <w:r w:rsidRPr="00614E7F">
        <w:rPr>
          <w:vertAlign w:val="superscript"/>
        </w:rPr>
        <w:t>g</w:t>
      </w:r>
      <w:r w:rsidR="00F87B2B">
        <w:t>Sample</w:t>
      </w:r>
      <w:proofErr w:type="spellEnd"/>
      <w:r w:rsidR="00F87B2B">
        <w:t xml:space="preserve"> size based on</w:t>
      </w:r>
      <w:r w:rsidR="00F87B2B" w:rsidRPr="00614E7F">
        <w:t xml:space="preserve"> </w:t>
      </w:r>
      <w:r w:rsidR="00F87B2B">
        <w:t>N</w:t>
      </w:r>
      <w:r w:rsidRPr="00614E7F">
        <w:t xml:space="preserve"> </w:t>
      </w:r>
      <w:r w:rsidR="005F4F48" w:rsidRPr="00614E7F">
        <w:t xml:space="preserve">= </w:t>
      </w:r>
      <w:r w:rsidR="0014794C" w:rsidRPr="00614E7F">
        <w:t>510</w:t>
      </w:r>
      <w:r w:rsidR="00F87B2B">
        <w:t>.</w:t>
      </w:r>
      <w:r w:rsidR="005F4F48" w:rsidRPr="00614E7F">
        <w:t xml:space="preserve"> </w:t>
      </w:r>
    </w:p>
    <w:p w14:paraId="3EB1451D" w14:textId="77777777" w:rsidR="00F87B2B" w:rsidRDefault="003C41E3" w:rsidP="00175E85">
      <w:pPr>
        <w:ind w:left="284"/>
      </w:pPr>
      <w:proofErr w:type="spellStart"/>
      <w:r w:rsidRPr="00614E7F">
        <w:rPr>
          <w:vertAlign w:val="superscript"/>
        </w:rPr>
        <w:t>h</w:t>
      </w:r>
      <w:r w:rsidR="00F87B2B">
        <w:t>Sample</w:t>
      </w:r>
      <w:proofErr w:type="spellEnd"/>
      <w:r w:rsidR="00F87B2B">
        <w:t xml:space="preserve"> size based on</w:t>
      </w:r>
      <w:r w:rsidR="00F87B2B" w:rsidRPr="00614E7F">
        <w:t xml:space="preserve"> </w:t>
      </w:r>
      <w:r w:rsidR="00F87B2B">
        <w:t>N</w:t>
      </w:r>
      <w:r w:rsidRPr="00614E7F">
        <w:t xml:space="preserve"> </w:t>
      </w:r>
      <w:r w:rsidR="005F4F48" w:rsidRPr="00614E7F">
        <w:t>= 4</w:t>
      </w:r>
      <w:r w:rsidR="00B203A2" w:rsidRPr="00614E7F">
        <w:t>0</w:t>
      </w:r>
      <w:r w:rsidR="00F87B2B">
        <w:t>.</w:t>
      </w:r>
    </w:p>
    <w:p w14:paraId="43F7FDE1" w14:textId="77777777" w:rsidR="00F87B2B" w:rsidRDefault="003C41E3" w:rsidP="00175E85">
      <w:pPr>
        <w:ind w:left="284"/>
      </w:pPr>
      <w:proofErr w:type="spellStart"/>
      <w:r w:rsidRPr="00614E7F">
        <w:rPr>
          <w:vertAlign w:val="superscript"/>
        </w:rPr>
        <w:t>i</w:t>
      </w:r>
      <w:r w:rsidR="00F87B2B">
        <w:t>Sample</w:t>
      </w:r>
      <w:proofErr w:type="spellEnd"/>
      <w:r w:rsidR="00F87B2B">
        <w:t xml:space="preserve"> size based on</w:t>
      </w:r>
      <w:r w:rsidR="00F87B2B" w:rsidRPr="00614E7F">
        <w:t xml:space="preserve"> </w:t>
      </w:r>
      <w:r w:rsidR="00F87B2B">
        <w:t>N</w:t>
      </w:r>
      <w:r w:rsidR="005F4F48" w:rsidRPr="00614E7F">
        <w:t xml:space="preserve"> = 4</w:t>
      </w:r>
      <w:r w:rsidR="00E234A8" w:rsidRPr="00614E7F">
        <w:t>5</w:t>
      </w:r>
      <w:r w:rsidR="00F87B2B">
        <w:t>.</w:t>
      </w:r>
    </w:p>
    <w:p w14:paraId="201BEF96" w14:textId="77777777" w:rsidR="00F87B2B" w:rsidRDefault="003C41E3" w:rsidP="00175E85">
      <w:pPr>
        <w:ind w:left="284"/>
      </w:pPr>
      <w:proofErr w:type="spellStart"/>
      <w:r w:rsidRPr="00614E7F">
        <w:rPr>
          <w:vertAlign w:val="superscript"/>
        </w:rPr>
        <w:t>j</w:t>
      </w:r>
      <w:r w:rsidR="00F87B2B">
        <w:t>Sample</w:t>
      </w:r>
      <w:proofErr w:type="spellEnd"/>
      <w:r w:rsidR="00F87B2B">
        <w:t xml:space="preserve"> size based on</w:t>
      </w:r>
      <w:r w:rsidR="00F87B2B" w:rsidRPr="00614E7F">
        <w:t xml:space="preserve"> </w:t>
      </w:r>
      <w:r w:rsidR="00F87B2B">
        <w:t>N</w:t>
      </w:r>
      <w:r w:rsidRPr="00614E7F">
        <w:t xml:space="preserve"> </w:t>
      </w:r>
      <w:r w:rsidR="00101A0D" w:rsidRPr="00614E7F">
        <w:t>= 519</w:t>
      </w:r>
      <w:r w:rsidR="00F87B2B">
        <w:t>.</w:t>
      </w:r>
    </w:p>
    <w:p w14:paraId="2DFC30D1" w14:textId="798909E8" w:rsidR="00C35967" w:rsidRDefault="003C41E3" w:rsidP="00175E85">
      <w:pPr>
        <w:ind w:left="284"/>
      </w:pPr>
      <w:proofErr w:type="spellStart"/>
      <w:r w:rsidRPr="00614E7F">
        <w:rPr>
          <w:vertAlign w:val="superscript"/>
        </w:rPr>
        <w:t>k</w:t>
      </w:r>
      <w:r w:rsidR="00F87B2B">
        <w:t>Sample</w:t>
      </w:r>
      <w:proofErr w:type="spellEnd"/>
      <w:r w:rsidR="00F87B2B">
        <w:t xml:space="preserve"> size based on</w:t>
      </w:r>
      <w:r w:rsidR="00F87B2B" w:rsidRPr="00614E7F">
        <w:t xml:space="preserve"> </w:t>
      </w:r>
      <w:r w:rsidR="00F87B2B">
        <w:t>N</w:t>
      </w:r>
      <w:r w:rsidRPr="00614E7F">
        <w:t xml:space="preserve"> </w:t>
      </w:r>
      <w:r w:rsidR="0035724D">
        <w:t xml:space="preserve">= 76. </w:t>
      </w:r>
    </w:p>
    <w:p w14:paraId="70518B92" w14:textId="77777777" w:rsidR="00C35967" w:rsidRDefault="00C35967">
      <w:r>
        <w:br w:type="page"/>
      </w:r>
    </w:p>
    <w:p w14:paraId="18E823FF" w14:textId="1CB9B4AC" w:rsidR="00072F9C" w:rsidRDefault="00C35967" w:rsidP="00072F9C">
      <w:pPr>
        <w:ind w:right="486"/>
        <w:rPr>
          <w:b/>
        </w:rPr>
      </w:pPr>
      <w:r w:rsidRPr="00614E7F">
        <w:rPr>
          <w:b/>
        </w:rPr>
        <w:lastRenderedPageBreak/>
        <w:t xml:space="preserve">Table </w:t>
      </w:r>
      <w:r>
        <w:rPr>
          <w:b/>
        </w:rPr>
        <w:t>2</w:t>
      </w:r>
      <w:r w:rsidRPr="00614E7F">
        <w:rPr>
          <w:b/>
        </w:rPr>
        <w:t xml:space="preserve">. </w:t>
      </w:r>
      <w:r w:rsidR="00072F9C" w:rsidRPr="000C0DF5">
        <w:rPr>
          <w:b/>
        </w:rPr>
        <w:t xml:space="preserve">Appearance Concerns Reported by SSc Patients </w:t>
      </w:r>
      <w:proofErr w:type="gramStart"/>
      <w:r w:rsidR="00072F9C" w:rsidRPr="000C0DF5">
        <w:rPr>
          <w:b/>
        </w:rPr>
        <w:t>who</w:t>
      </w:r>
      <w:proofErr w:type="gramEnd"/>
      <w:r w:rsidR="00072F9C" w:rsidRPr="000C0DF5">
        <w:rPr>
          <w:b/>
        </w:rPr>
        <w:t xml:space="preserve"> Specified Feature of Concern (N = 444)</w:t>
      </w:r>
    </w:p>
    <w:p w14:paraId="608DA2DC" w14:textId="77777777" w:rsidR="00072F9C" w:rsidRPr="000C0DF5" w:rsidRDefault="00072F9C" w:rsidP="00072F9C">
      <w:pPr>
        <w:ind w:right="486"/>
        <w:rPr>
          <w:b/>
        </w:rPr>
      </w:pPr>
    </w:p>
    <w:tbl>
      <w:tblPr>
        <w:tblStyle w:val="TableGrid"/>
        <w:tblW w:w="14000" w:type="dxa"/>
        <w:tblBorders>
          <w:insideH w:val="none" w:sz="0" w:space="0" w:color="auto"/>
          <w:insideV w:val="none" w:sz="0" w:space="0" w:color="auto"/>
        </w:tblBorders>
        <w:tblLayout w:type="fixed"/>
        <w:tblLook w:val="04A0" w:firstRow="1" w:lastRow="0" w:firstColumn="1" w:lastColumn="0" w:noHBand="0" w:noVBand="1"/>
      </w:tblPr>
      <w:tblGrid>
        <w:gridCol w:w="2802"/>
        <w:gridCol w:w="1984"/>
        <w:gridCol w:w="1843"/>
        <w:gridCol w:w="1843"/>
        <w:gridCol w:w="1842"/>
        <w:gridCol w:w="1843"/>
        <w:gridCol w:w="1843"/>
      </w:tblGrid>
      <w:tr w:rsidR="00072F9C" w:rsidRPr="000C0DF5" w14:paraId="1CC2E136" w14:textId="77777777" w:rsidTr="00033807">
        <w:tc>
          <w:tcPr>
            <w:tcW w:w="2802" w:type="dxa"/>
            <w:tcBorders>
              <w:top w:val="single" w:sz="18" w:space="0" w:color="auto"/>
              <w:left w:val="nil"/>
              <w:bottom w:val="nil"/>
            </w:tcBorders>
          </w:tcPr>
          <w:p w14:paraId="29363A4A" w14:textId="77777777" w:rsidR="00072F9C" w:rsidRPr="000C0DF5" w:rsidRDefault="00072F9C" w:rsidP="00033807">
            <w:pPr>
              <w:ind w:right="486"/>
              <w:rPr>
                <w:b/>
              </w:rPr>
            </w:pPr>
          </w:p>
        </w:tc>
        <w:tc>
          <w:tcPr>
            <w:tcW w:w="1984" w:type="dxa"/>
            <w:tcBorders>
              <w:top w:val="single" w:sz="18" w:space="0" w:color="auto"/>
              <w:bottom w:val="nil"/>
              <w:right w:val="single" w:sz="18" w:space="0" w:color="auto"/>
            </w:tcBorders>
          </w:tcPr>
          <w:p w14:paraId="2066E8CD" w14:textId="77777777" w:rsidR="00072F9C" w:rsidRPr="000C0DF5" w:rsidRDefault="00072F9C" w:rsidP="00033807">
            <w:pPr>
              <w:ind w:right="486"/>
              <w:jc w:val="center"/>
              <w:rPr>
                <w:b/>
                <w:u w:val="single"/>
              </w:rPr>
            </w:pPr>
            <w:r w:rsidRPr="000C0DF5">
              <w:rPr>
                <w:b/>
                <w:u w:val="single"/>
              </w:rPr>
              <w:t>Total</w:t>
            </w:r>
          </w:p>
          <w:p w14:paraId="26FDB1A1" w14:textId="77777777" w:rsidR="00072F9C" w:rsidRPr="000C0DF5" w:rsidRDefault="00072F9C" w:rsidP="00033807">
            <w:pPr>
              <w:ind w:right="486"/>
              <w:jc w:val="center"/>
              <w:rPr>
                <w:b/>
              </w:rPr>
            </w:pPr>
          </w:p>
        </w:tc>
        <w:tc>
          <w:tcPr>
            <w:tcW w:w="5528" w:type="dxa"/>
            <w:gridSpan w:val="3"/>
            <w:tcBorders>
              <w:top w:val="single" w:sz="18" w:space="0" w:color="auto"/>
              <w:left w:val="single" w:sz="18" w:space="0" w:color="auto"/>
              <w:bottom w:val="nil"/>
              <w:right w:val="single" w:sz="18" w:space="0" w:color="auto"/>
            </w:tcBorders>
          </w:tcPr>
          <w:p w14:paraId="6D9426F5" w14:textId="77777777" w:rsidR="00072F9C" w:rsidRPr="000C0DF5" w:rsidRDefault="00072F9C" w:rsidP="00033807">
            <w:pPr>
              <w:ind w:right="486"/>
              <w:jc w:val="center"/>
              <w:rPr>
                <w:b/>
                <w:u w:val="single"/>
              </w:rPr>
            </w:pPr>
            <w:r w:rsidRPr="000C0DF5">
              <w:rPr>
                <w:b/>
                <w:u w:val="single"/>
              </w:rPr>
              <w:t>Race/Ethnicity</w:t>
            </w:r>
          </w:p>
        </w:tc>
        <w:tc>
          <w:tcPr>
            <w:tcW w:w="3686" w:type="dxa"/>
            <w:gridSpan w:val="2"/>
            <w:tcBorders>
              <w:top w:val="single" w:sz="18" w:space="0" w:color="auto"/>
              <w:left w:val="single" w:sz="18" w:space="0" w:color="auto"/>
              <w:bottom w:val="nil"/>
              <w:right w:val="nil"/>
            </w:tcBorders>
          </w:tcPr>
          <w:p w14:paraId="67A76B0E" w14:textId="77777777" w:rsidR="00072F9C" w:rsidRPr="000C0DF5" w:rsidRDefault="00072F9C" w:rsidP="00033807">
            <w:pPr>
              <w:ind w:right="486"/>
              <w:jc w:val="center"/>
              <w:rPr>
                <w:b/>
                <w:u w:val="single"/>
              </w:rPr>
            </w:pPr>
            <w:r w:rsidRPr="000C0DF5">
              <w:rPr>
                <w:b/>
                <w:u w:val="single"/>
              </w:rPr>
              <w:t>Sex</w:t>
            </w:r>
          </w:p>
        </w:tc>
      </w:tr>
      <w:tr w:rsidR="00072F9C" w:rsidRPr="000C0DF5" w14:paraId="79963602" w14:textId="77777777" w:rsidTr="00033807">
        <w:tc>
          <w:tcPr>
            <w:tcW w:w="2802" w:type="dxa"/>
            <w:tcBorders>
              <w:top w:val="nil"/>
              <w:left w:val="nil"/>
              <w:bottom w:val="single" w:sz="18" w:space="0" w:color="auto"/>
            </w:tcBorders>
          </w:tcPr>
          <w:p w14:paraId="7B46A862" w14:textId="77777777" w:rsidR="00072F9C" w:rsidRPr="000C0DF5" w:rsidRDefault="00072F9C" w:rsidP="00033807">
            <w:pPr>
              <w:ind w:right="486"/>
              <w:rPr>
                <w:b/>
              </w:rPr>
            </w:pPr>
          </w:p>
        </w:tc>
        <w:tc>
          <w:tcPr>
            <w:tcW w:w="1984" w:type="dxa"/>
            <w:tcBorders>
              <w:top w:val="nil"/>
              <w:bottom w:val="single" w:sz="18" w:space="0" w:color="auto"/>
              <w:right w:val="single" w:sz="18" w:space="0" w:color="auto"/>
            </w:tcBorders>
          </w:tcPr>
          <w:p w14:paraId="60B6BAA6" w14:textId="77777777" w:rsidR="00072F9C" w:rsidRPr="000C0DF5" w:rsidRDefault="00072F9C" w:rsidP="00033807">
            <w:pPr>
              <w:ind w:right="486"/>
              <w:jc w:val="center"/>
              <w:rPr>
                <w:b/>
              </w:rPr>
            </w:pPr>
          </w:p>
          <w:p w14:paraId="5D2366AB" w14:textId="77777777" w:rsidR="00072F9C" w:rsidRPr="000C0DF5" w:rsidRDefault="00072F9C" w:rsidP="00033807">
            <w:pPr>
              <w:ind w:right="486"/>
              <w:jc w:val="center"/>
              <w:rPr>
                <w:b/>
              </w:rPr>
            </w:pPr>
            <w:r w:rsidRPr="000C0DF5">
              <w:rPr>
                <w:b/>
              </w:rPr>
              <w:t>(n, %)</w:t>
            </w:r>
          </w:p>
        </w:tc>
        <w:tc>
          <w:tcPr>
            <w:tcW w:w="1843" w:type="dxa"/>
            <w:tcBorders>
              <w:top w:val="nil"/>
              <w:left w:val="single" w:sz="18" w:space="0" w:color="auto"/>
              <w:bottom w:val="single" w:sz="18" w:space="0" w:color="auto"/>
            </w:tcBorders>
          </w:tcPr>
          <w:p w14:paraId="32268B55" w14:textId="77777777" w:rsidR="00072F9C" w:rsidRPr="000C0DF5" w:rsidRDefault="00072F9C" w:rsidP="00033807">
            <w:pPr>
              <w:ind w:right="486"/>
              <w:jc w:val="center"/>
              <w:rPr>
                <w:b/>
              </w:rPr>
            </w:pPr>
            <w:r w:rsidRPr="000C0DF5">
              <w:rPr>
                <w:b/>
              </w:rPr>
              <w:t xml:space="preserve">White </w:t>
            </w:r>
          </w:p>
          <w:p w14:paraId="0BBC1439" w14:textId="77777777" w:rsidR="00072F9C" w:rsidRPr="000C0DF5" w:rsidRDefault="00072F9C" w:rsidP="00033807">
            <w:pPr>
              <w:ind w:right="486"/>
              <w:jc w:val="center"/>
              <w:rPr>
                <w:b/>
              </w:rPr>
            </w:pPr>
            <w:r w:rsidRPr="000C0DF5">
              <w:rPr>
                <w:b/>
              </w:rPr>
              <w:t>(n, %)</w:t>
            </w:r>
          </w:p>
        </w:tc>
        <w:tc>
          <w:tcPr>
            <w:tcW w:w="1843" w:type="dxa"/>
            <w:tcBorders>
              <w:top w:val="nil"/>
              <w:bottom w:val="single" w:sz="18" w:space="0" w:color="auto"/>
            </w:tcBorders>
          </w:tcPr>
          <w:p w14:paraId="4960881A" w14:textId="77777777" w:rsidR="00072F9C" w:rsidRPr="000C0DF5" w:rsidRDefault="00072F9C" w:rsidP="00033807">
            <w:pPr>
              <w:ind w:right="486"/>
              <w:jc w:val="center"/>
              <w:rPr>
                <w:b/>
              </w:rPr>
            </w:pPr>
            <w:r w:rsidRPr="000C0DF5">
              <w:rPr>
                <w:b/>
              </w:rPr>
              <w:t xml:space="preserve">Black </w:t>
            </w:r>
          </w:p>
          <w:p w14:paraId="17522C88" w14:textId="77777777" w:rsidR="00072F9C" w:rsidRPr="000C0DF5" w:rsidRDefault="00072F9C" w:rsidP="00033807">
            <w:pPr>
              <w:ind w:right="486"/>
              <w:jc w:val="center"/>
              <w:rPr>
                <w:b/>
              </w:rPr>
            </w:pPr>
            <w:r w:rsidRPr="000C0DF5">
              <w:rPr>
                <w:b/>
              </w:rPr>
              <w:t>(n,%)</w:t>
            </w:r>
          </w:p>
        </w:tc>
        <w:tc>
          <w:tcPr>
            <w:tcW w:w="1842" w:type="dxa"/>
            <w:tcBorders>
              <w:top w:val="nil"/>
              <w:bottom w:val="single" w:sz="18" w:space="0" w:color="auto"/>
              <w:right w:val="single" w:sz="18" w:space="0" w:color="auto"/>
            </w:tcBorders>
          </w:tcPr>
          <w:p w14:paraId="46832423" w14:textId="77777777" w:rsidR="00072F9C" w:rsidRPr="000C0DF5" w:rsidRDefault="00072F9C" w:rsidP="00033807">
            <w:pPr>
              <w:ind w:right="486"/>
              <w:jc w:val="center"/>
              <w:rPr>
                <w:b/>
              </w:rPr>
            </w:pPr>
            <w:r w:rsidRPr="000C0DF5">
              <w:rPr>
                <w:b/>
              </w:rPr>
              <w:t xml:space="preserve">Other </w:t>
            </w:r>
          </w:p>
          <w:p w14:paraId="300E3E8A" w14:textId="77777777" w:rsidR="00072F9C" w:rsidRPr="000C0DF5" w:rsidRDefault="00072F9C" w:rsidP="00033807">
            <w:pPr>
              <w:ind w:right="486"/>
              <w:jc w:val="center"/>
              <w:rPr>
                <w:b/>
              </w:rPr>
            </w:pPr>
            <w:r w:rsidRPr="000C0DF5">
              <w:rPr>
                <w:b/>
              </w:rPr>
              <w:t>(n, %)</w:t>
            </w:r>
          </w:p>
        </w:tc>
        <w:tc>
          <w:tcPr>
            <w:tcW w:w="1843" w:type="dxa"/>
            <w:tcBorders>
              <w:top w:val="nil"/>
              <w:left w:val="single" w:sz="18" w:space="0" w:color="auto"/>
              <w:bottom w:val="single" w:sz="18" w:space="0" w:color="auto"/>
            </w:tcBorders>
          </w:tcPr>
          <w:p w14:paraId="2D81F639" w14:textId="77777777" w:rsidR="00072F9C" w:rsidRPr="000C0DF5" w:rsidRDefault="00072F9C" w:rsidP="00033807">
            <w:pPr>
              <w:ind w:right="486"/>
              <w:jc w:val="center"/>
              <w:rPr>
                <w:b/>
              </w:rPr>
            </w:pPr>
            <w:r w:rsidRPr="000C0DF5">
              <w:rPr>
                <w:b/>
              </w:rPr>
              <w:t>Female</w:t>
            </w:r>
          </w:p>
          <w:p w14:paraId="6DCFA41F" w14:textId="77777777" w:rsidR="00072F9C" w:rsidRPr="000C0DF5" w:rsidRDefault="00072F9C" w:rsidP="00033807">
            <w:pPr>
              <w:ind w:right="486"/>
              <w:jc w:val="center"/>
              <w:rPr>
                <w:b/>
              </w:rPr>
            </w:pPr>
            <w:r w:rsidRPr="000C0DF5">
              <w:rPr>
                <w:b/>
              </w:rPr>
              <w:t>(n, %)</w:t>
            </w:r>
          </w:p>
        </w:tc>
        <w:tc>
          <w:tcPr>
            <w:tcW w:w="1843" w:type="dxa"/>
            <w:tcBorders>
              <w:top w:val="nil"/>
              <w:bottom w:val="single" w:sz="18" w:space="0" w:color="auto"/>
              <w:right w:val="nil"/>
            </w:tcBorders>
          </w:tcPr>
          <w:p w14:paraId="51D83B09" w14:textId="77777777" w:rsidR="00072F9C" w:rsidRPr="000C0DF5" w:rsidRDefault="00072F9C" w:rsidP="00033807">
            <w:pPr>
              <w:ind w:right="486"/>
              <w:jc w:val="center"/>
              <w:rPr>
                <w:b/>
              </w:rPr>
            </w:pPr>
            <w:r w:rsidRPr="000C0DF5">
              <w:rPr>
                <w:b/>
              </w:rPr>
              <w:t>Male</w:t>
            </w:r>
          </w:p>
          <w:p w14:paraId="6F5DB92F" w14:textId="77777777" w:rsidR="00072F9C" w:rsidRPr="000C0DF5" w:rsidRDefault="00072F9C" w:rsidP="00033807">
            <w:pPr>
              <w:ind w:right="486"/>
              <w:jc w:val="center"/>
              <w:rPr>
                <w:b/>
              </w:rPr>
            </w:pPr>
            <w:r w:rsidRPr="000C0DF5">
              <w:rPr>
                <w:b/>
              </w:rPr>
              <w:t>(n, %)</w:t>
            </w:r>
          </w:p>
        </w:tc>
      </w:tr>
      <w:tr w:rsidR="00072F9C" w:rsidRPr="0072034E" w14:paraId="283D88FB" w14:textId="77777777" w:rsidTr="00033807">
        <w:tc>
          <w:tcPr>
            <w:tcW w:w="2802" w:type="dxa"/>
            <w:tcBorders>
              <w:top w:val="single" w:sz="18" w:space="0" w:color="auto"/>
              <w:left w:val="nil"/>
              <w:bottom w:val="nil"/>
            </w:tcBorders>
          </w:tcPr>
          <w:p w14:paraId="12A2E756" w14:textId="77777777" w:rsidR="00072F9C" w:rsidRPr="00495DBA" w:rsidRDefault="00072F9C" w:rsidP="00033807">
            <w:pPr>
              <w:spacing w:line="480" w:lineRule="auto"/>
              <w:ind w:right="488"/>
              <w:rPr>
                <w:b/>
              </w:rPr>
            </w:pPr>
            <w:r w:rsidRPr="00495DBA">
              <w:rPr>
                <w:b/>
              </w:rPr>
              <w:t>Feature</w:t>
            </w:r>
          </w:p>
        </w:tc>
        <w:tc>
          <w:tcPr>
            <w:tcW w:w="1984" w:type="dxa"/>
            <w:tcBorders>
              <w:top w:val="single" w:sz="18" w:space="0" w:color="auto"/>
              <w:bottom w:val="nil"/>
              <w:right w:val="single" w:sz="18" w:space="0" w:color="auto"/>
            </w:tcBorders>
          </w:tcPr>
          <w:p w14:paraId="0E91846B" w14:textId="77777777" w:rsidR="00072F9C" w:rsidRPr="00495DBA" w:rsidRDefault="00072F9C" w:rsidP="00033807">
            <w:pPr>
              <w:ind w:right="486"/>
            </w:pPr>
          </w:p>
        </w:tc>
        <w:tc>
          <w:tcPr>
            <w:tcW w:w="1843" w:type="dxa"/>
            <w:tcBorders>
              <w:top w:val="single" w:sz="18" w:space="0" w:color="auto"/>
              <w:left w:val="single" w:sz="18" w:space="0" w:color="auto"/>
              <w:bottom w:val="nil"/>
            </w:tcBorders>
          </w:tcPr>
          <w:p w14:paraId="7F91BCDB" w14:textId="77777777" w:rsidR="00072F9C" w:rsidRPr="0072034E" w:rsidRDefault="00072F9C" w:rsidP="00033807">
            <w:pPr>
              <w:ind w:right="486"/>
              <w:rPr>
                <w:highlight w:val="yellow"/>
              </w:rPr>
            </w:pPr>
          </w:p>
        </w:tc>
        <w:tc>
          <w:tcPr>
            <w:tcW w:w="1843" w:type="dxa"/>
            <w:tcBorders>
              <w:top w:val="single" w:sz="18" w:space="0" w:color="auto"/>
              <w:bottom w:val="nil"/>
            </w:tcBorders>
          </w:tcPr>
          <w:p w14:paraId="15072269" w14:textId="77777777" w:rsidR="00072F9C" w:rsidRPr="0072034E" w:rsidRDefault="00072F9C" w:rsidP="00033807">
            <w:pPr>
              <w:ind w:right="486"/>
              <w:rPr>
                <w:highlight w:val="yellow"/>
              </w:rPr>
            </w:pPr>
          </w:p>
        </w:tc>
        <w:tc>
          <w:tcPr>
            <w:tcW w:w="1842" w:type="dxa"/>
            <w:tcBorders>
              <w:top w:val="single" w:sz="18" w:space="0" w:color="auto"/>
              <w:bottom w:val="nil"/>
              <w:right w:val="single" w:sz="18" w:space="0" w:color="auto"/>
            </w:tcBorders>
          </w:tcPr>
          <w:p w14:paraId="4DBFCB91" w14:textId="77777777" w:rsidR="00072F9C" w:rsidRPr="0072034E" w:rsidRDefault="00072F9C" w:rsidP="00033807">
            <w:pPr>
              <w:ind w:right="486"/>
              <w:rPr>
                <w:highlight w:val="yellow"/>
              </w:rPr>
            </w:pPr>
          </w:p>
        </w:tc>
        <w:tc>
          <w:tcPr>
            <w:tcW w:w="1843" w:type="dxa"/>
            <w:tcBorders>
              <w:top w:val="single" w:sz="18" w:space="0" w:color="auto"/>
              <w:left w:val="single" w:sz="18" w:space="0" w:color="auto"/>
              <w:bottom w:val="nil"/>
            </w:tcBorders>
          </w:tcPr>
          <w:p w14:paraId="51F16712" w14:textId="77777777" w:rsidR="00072F9C" w:rsidRPr="0072034E" w:rsidRDefault="00072F9C" w:rsidP="00033807">
            <w:pPr>
              <w:ind w:right="486"/>
              <w:rPr>
                <w:highlight w:val="yellow"/>
              </w:rPr>
            </w:pPr>
          </w:p>
        </w:tc>
        <w:tc>
          <w:tcPr>
            <w:tcW w:w="1843" w:type="dxa"/>
            <w:tcBorders>
              <w:top w:val="single" w:sz="18" w:space="0" w:color="auto"/>
              <w:bottom w:val="nil"/>
              <w:right w:val="nil"/>
            </w:tcBorders>
          </w:tcPr>
          <w:p w14:paraId="350BFEDF" w14:textId="77777777" w:rsidR="00072F9C" w:rsidRPr="0072034E" w:rsidRDefault="00072F9C" w:rsidP="00033807">
            <w:pPr>
              <w:ind w:right="486"/>
              <w:rPr>
                <w:highlight w:val="yellow"/>
              </w:rPr>
            </w:pPr>
          </w:p>
        </w:tc>
      </w:tr>
      <w:tr w:rsidR="00072F9C" w:rsidRPr="0072034E" w14:paraId="7B424DD1" w14:textId="77777777" w:rsidTr="00033807">
        <w:tc>
          <w:tcPr>
            <w:tcW w:w="2802" w:type="dxa"/>
            <w:tcBorders>
              <w:top w:val="nil"/>
              <w:left w:val="nil"/>
              <w:bottom w:val="nil"/>
            </w:tcBorders>
          </w:tcPr>
          <w:p w14:paraId="5BBCC219" w14:textId="77777777" w:rsidR="00072F9C" w:rsidRPr="00495DBA" w:rsidRDefault="00072F9C" w:rsidP="00033807">
            <w:pPr>
              <w:spacing w:line="480" w:lineRule="auto"/>
              <w:ind w:right="488"/>
              <w:rPr>
                <w:i/>
              </w:rPr>
            </w:pPr>
            <w:r w:rsidRPr="00495DBA">
              <w:rPr>
                <w:i/>
              </w:rPr>
              <w:t>Body Area-related</w:t>
            </w:r>
          </w:p>
        </w:tc>
        <w:tc>
          <w:tcPr>
            <w:tcW w:w="1984" w:type="dxa"/>
            <w:tcBorders>
              <w:top w:val="nil"/>
              <w:bottom w:val="nil"/>
              <w:right w:val="single" w:sz="18" w:space="0" w:color="auto"/>
            </w:tcBorders>
          </w:tcPr>
          <w:p w14:paraId="736F2CC5" w14:textId="77777777" w:rsidR="00072F9C" w:rsidRPr="00495DBA" w:rsidRDefault="00072F9C" w:rsidP="00033807">
            <w:pPr>
              <w:ind w:right="486"/>
              <w:jc w:val="center"/>
            </w:pPr>
          </w:p>
        </w:tc>
        <w:tc>
          <w:tcPr>
            <w:tcW w:w="1843" w:type="dxa"/>
            <w:tcBorders>
              <w:top w:val="nil"/>
              <w:left w:val="single" w:sz="18" w:space="0" w:color="auto"/>
              <w:bottom w:val="nil"/>
            </w:tcBorders>
          </w:tcPr>
          <w:p w14:paraId="0B156CCB" w14:textId="77777777" w:rsidR="00072F9C" w:rsidRPr="0072034E" w:rsidRDefault="00072F9C" w:rsidP="00033807">
            <w:pPr>
              <w:ind w:right="486"/>
              <w:jc w:val="center"/>
              <w:rPr>
                <w:highlight w:val="yellow"/>
              </w:rPr>
            </w:pPr>
          </w:p>
        </w:tc>
        <w:tc>
          <w:tcPr>
            <w:tcW w:w="1843" w:type="dxa"/>
            <w:tcBorders>
              <w:top w:val="nil"/>
              <w:bottom w:val="nil"/>
            </w:tcBorders>
          </w:tcPr>
          <w:p w14:paraId="4FFB5886" w14:textId="77777777" w:rsidR="00072F9C" w:rsidRPr="00C2366F" w:rsidRDefault="00072F9C" w:rsidP="00033807">
            <w:pPr>
              <w:ind w:right="486"/>
              <w:jc w:val="center"/>
            </w:pPr>
          </w:p>
        </w:tc>
        <w:tc>
          <w:tcPr>
            <w:tcW w:w="1842" w:type="dxa"/>
            <w:tcBorders>
              <w:top w:val="nil"/>
              <w:bottom w:val="nil"/>
              <w:right w:val="single" w:sz="18" w:space="0" w:color="auto"/>
            </w:tcBorders>
          </w:tcPr>
          <w:p w14:paraId="787FF008" w14:textId="77777777" w:rsidR="00072F9C" w:rsidRPr="0072034E" w:rsidRDefault="00072F9C" w:rsidP="00033807">
            <w:pPr>
              <w:ind w:right="486"/>
              <w:jc w:val="center"/>
              <w:rPr>
                <w:highlight w:val="yellow"/>
              </w:rPr>
            </w:pPr>
          </w:p>
        </w:tc>
        <w:tc>
          <w:tcPr>
            <w:tcW w:w="1843" w:type="dxa"/>
            <w:tcBorders>
              <w:top w:val="nil"/>
              <w:left w:val="single" w:sz="18" w:space="0" w:color="auto"/>
              <w:bottom w:val="nil"/>
            </w:tcBorders>
          </w:tcPr>
          <w:p w14:paraId="5F285D90" w14:textId="77777777" w:rsidR="00072F9C" w:rsidRPr="0072034E" w:rsidRDefault="00072F9C" w:rsidP="00033807">
            <w:pPr>
              <w:ind w:right="486"/>
              <w:jc w:val="center"/>
              <w:rPr>
                <w:highlight w:val="yellow"/>
              </w:rPr>
            </w:pPr>
          </w:p>
        </w:tc>
        <w:tc>
          <w:tcPr>
            <w:tcW w:w="1843" w:type="dxa"/>
            <w:tcBorders>
              <w:top w:val="nil"/>
              <w:bottom w:val="nil"/>
              <w:right w:val="nil"/>
            </w:tcBorders>
          </w:tcPr>
          <w:p w14:paraId="2A9A447E" w14:textId="77777777" w:rsidR="00072F9C" w:rsidRPr="00C37699" w:rsidRDefault="00072F9C" w:rsidP="00033807">
            <w:pPr>
              <w:ind w:right="486"/>
              <w:jc w:val="center"/>
            </w:pPr>
          </w:p>
        </w:tc>
      </w:tr>
      <w:tr w:rsidR="00072F9C" w:rsidRPr="0072034E" w14:paraId="61033771" w14:textId="77777777" w:rsidTr="00033807">
        <w:tc>
          <w:tcPr>
            <w:tcW w:w="2802" w:type="dxa"/>
            <w:tcBorders>
              <w:top w:val="nil"/>
              <w:left w:val="nil"/>
              <w:bottom w:val="nil"/>
            </w:tcBorders>
          </w:tcPr>
          <w:p w14:paraId="39B04609" w14:textId="77777777" w:rsidR="00072F9C" w:rsidRPr="00495DBA" w:rsidRDefault="00072F9C" w:rsidP="00033807">
            <w:pPr>
              <w:spacing w:line="480" w:lineRule="auto"/>
              <w:ind w:left="284" w:right="488"/>
            </w:pPr>
            <w:r w:rsidRPr="00495DBA">
              <w:t>Face/mouth/head/neck</w:t>
            </w:r>
          </w:p>
        </w:tc>
        <w:tc>
          <w:tcPr>
            <w:tcW w:w="1984" w:type="dxa"/>
            <w:tcBorders>
              <w:top w:val="nil"/>
              <w:bottom w:val="nil"/>
              <w:right w:val="single" w:sz="18" w:space="0" w:color="auto"/>
            </w:tcBorders>
          </w:tcPr>
          <w:p w14:paraId="3A7B8B88" w14:textId="77777777" w:rsidR="00072F9C" w:rsidRPr="00495DBA" w:rsidRDefault="00072F9C" w:rsidP="00033807">
            <w:pPr>
              <w:ind w:right="486"/>
              <w:jc w:val="center"/>
            </w:pPr>
            <w:r w:rsidRPr="00495DBA">
              <w:t>180 (40.5)</w:t>
            </w:r>
          </w:p>
        </w:tc>
        <w:tc>
          <w:tcPr>
            <w:tcW w:w="1843" w:type="dxa"/>
            <w:tcBorders>
              <w:top w:val="nil"/>
              <w:left w:val="single" w:sz="18" w:space="0" w:color="auto"/>
              <w:bottom w:val="nil"/>
            </w:tcBorders>
          </w:tcPr>
          <w:p w14:paraId="30A4A617" w14:textId="77777777" w:rsidR="00072F9C" w:rsidRPr="008B50E7" w:rsidRDefault="00072F9C" w:rsidP="00033807">
            <w:pPr>
              <w:ind w:right="486"/>
              <w:jc w:val="center"/>
            </w:pPr>
            <w:r w:rsidRPr="008B50E7">
              <w:t>149 (40.5)</w:t>
            </w:r>
          </w:p>
        </w:tc>
        <w:tc>
          <w:tcPr>
            <w:tcW w:w="1843" w:type="dxa"/>
            <w:tcBorders>
              <w:top w:val="nil"/>
              <w:bottom w:val="nil"/>
            </w:tcBorders>
          </w:tcPr>
          <w:p w14:paraId="37849759" w14:textId="77777777" w:rsidR="00072F9C" w:rsidRPr="00C2366F" w:rsidRDefault="00072F9C" w:rsidP="00033807">
            <w:pPr>
              <w:ind w:right="486"/>
              <w:jc w:val="center"/>
            </w:pPr>
            <w:r w:rsidRPr="00C2366F">
              <w:t>14 (40.0)</w:t>
            </w:r>
          </w:p>
        </w:tc>
        <w:tc>
          <w:tcPr>
            <w:tcW w:w="1842" w:type="dxa"/>
            <w:tcBorders>
              <w:top w:val="nil"/>
              <w:bottom w:val="nil"/>
              <w:right w:val="single" w:sz="18" w:space="0" w:color="auto"/>
            </w:tcBorders>
          </w:tcPr>
          <w:p w14:paraId="74AF06BF" w14:textId="77777777" w:rsidR="00072F9C" w:rsidRPr="00C37699" w:rsidRDefault="00072F9C" w:rsidP="00033807">
            <w:pPr>
              <w:ind w:right="486"/>
              <w:jc w:val="center"/>
            </w:pPr>
            <w:r w:rsidRPr="00C37699">
              <w:t>17 (41.5)</w:t>
            </w:r>
          </w:p>
        </w:tc>
        <w:tc>
          <w:tcPr>
            <w:tcW w:w="1843" w:type="dxa"/>
            <w:tcBorders>
              <w:top w:val="nil"/>
              <w:left w:val="single" w:sz="18" w:space="0" w:color="auto"/>
              <w:bottom w:val="nil"/>
            </w:tcBorders>
          </w:tcPr>
          <w:p w14:paraId="79A2D049" w14:textId="77777777" w:rsidR="00072F9C" w:rsidRPr="00C37699" w:rsidRDefault="00072F9C" w:rsidP="00033807">
            <w:pPr>
              <w:ind w:right="486"/>
              <w:jc w:val="center"/>
            </w:pPr>
            <w:r w:rsidRPr="00C37699">
              <w:t>159 (41.2)</w:t>
            </w:r>
          </w:p>
        </w:tc>
        <w:tc>
          <w:tcPr>
            <w:tcW w:w="1843" w:type="dxa"/>
            <w:tcBorders>
              <w:top w:val="nil"/>
              <w:bottom w:val="nil"/>
              <w:right w:val="nil"/>
            </w:tcBorders>
          </w:tcPr>
          <w:p w14:paraId="761D66F2" w14:textId="77777777" w:rsidR="00072F9C" w:rsidRPr="00C37699" w:rsidRDefault="00072F9C" w:rsidP="00033807">
            <w:pPr>
              <w:ind w:right="486"/>
              <w:jc w:val="center"/>
            </w:pPr>
            <w:r w:rsidRPr="00C37699">
              <w:t>21 (36.2)</w:t>
            </w:r>
          </w:p>
        </w:tc>
      </w:tr>
      <w:tr w:rsidR="00072F9C" w:rsidRPr="0072034E" w14:paraId="5D59ADB4" w14:textId="77777777" w:rsidTr="00033807">
        <w:tc>
          <w:tcPr>
            <w:tcW w:w="2802" w:type="dxa"/>
            <w:tcBorders>
              <w:top w:val="nil"/>
              <w:left w:val="nil"/>
              <w:bottom w:val="nil"/>
            </w:tcBorders>
          </w:tcPr>
          <w:p w14:paraId="5372C8AF" w14:textId="77777777" w:rsidR="00072F9C" w:rsidRPr="00495DBA" w:rsidRDefault="00072F9C" w:rsidP="00033807">
            <w:pPr>
              <w:spacing w:line="480" w:lineRule="auto"/>
              <w:ind w:right="488" w:firstLine="284"/>
            </w:pPr>
            <w:r w:rsidRPr="00495DBA">
              <w:t>Hands/fingers</w:t>
            </w:r>
          </w:p>
        </w:tc>
        <w:tc>
          <w:tcPr>
            <w:tcW w:w="1984" w:type="dxa"/>
            <w:tcBorders>
              <w:top w:val="nil"/>
              <w:bottom w:val="nil"/>
              <w:right w:val="single" w:sz="18" w:space="0" w:color="auto"/>
            </w:tcBorders>
          </w:tcPr>
          <w:p w14:paraId="7589CB38" w14:textId="77777777" w:rsidR="00072F9C" w:rsidRPr="00495DBA" w:rsidRDefault="00072F9C" w:rsidP="00033807">
            <w:pPr>
              <w:ind w:right="486"/>
              <w:jc w:val="center"/>
            </w:pPr>
            <w:r w:rsidRPr="00495DBA">
              <w:t>119 (26.8)</w:t>
            </w:r>
          </w:p>
        </w:tc>
        <w:tc>
          <w:tcPr>
            <w:tcW w:w="1843" w:type="dxa"/>
            <w:tcBorders>
              <w:top w:val="nil"/>
              <w:left w:val="single" w:sz="18" w:space="0" w:color="auto"/>
              <w:bottom w:val="nil"/>
            </w:tcBorders>
          </w:tcPr>
          <w:p w14:paraId="424627E4" w14:textId="77777777" w:rsidR="00072F9C" w:rsidRPr="008B50E7" w:rsidRDefault="00072F9C" w:rsidP="00033807">
            <w:pPr>
              <w:ind w:right="486"/>
              <w:jc w:val="center"/>
            </w:pPr>
            <w:r w:rsidRPr="008B50E7">
              <w:t>103 (28.0)</w:t>
            </w:r>
          </w:p>
        </w:tc>
        <w:tc>
          <w:tcPr>
            <w:tcW w:w="1843" w:type="dxa"/>
            <w:tcBorders>
              <w:top w:val="nil"/>
              <w:bottom w:val="nil"/>
            </w:tcBorders>
          </w:tcPr>
          <w:p w14:paraId="18753C1C" w14:textId="77777777" w:rsidR="00072F9C" w:rsidRPr="00C2366F" w:rsidRDefault="00072F9C" w:rsidP="00033807">
            <w:pPr>
              <w:ind w:right="486"/>
              <w:jc w:val="center"/>
            </w:pPr>
            <w:r w:rsidRPr="00C2366F">
              <w:t>7 (20.0)</w:t>
            </w:r>
          </w:p>
        </w:tc>
        <w:tc>
          <w:tcPr>
            <w:tcW w:w="1842" w:type="dxa"/>
            <w:tcBorders>
              <w:top w:val="nil"/>
              <w:bottom w:val="nil"/>
              <w:right w:val="single" w:sz="18" w:space="0" w:color="auto"/>
            </w:tcBorders>
          </w:tcPr>
          <w:p w14:paraId="648FAF53" w14:textId="77777777" w:rsidR="00072F9C" w:rsidRPr="00C37699" w:rsidRDefault="00072F9C" w:rsidP="00033807">
            <w:pPr>
              <w:ind w:right="486"/>
              <w:jc w:val="center"/>
            </w:pPr>
            <w:r w:rsidRPr="00C37699">
              <w:t>9 (22.0)</w:t>
            </w:r>
          </w:p>
        </w:tc>
        <w:tc>
          <w:tcPr>
            <w:tcW w:w="1843" w:type="dxa"/>
            <w:tcBorders>
              <w:top w:val="nil"/>
              <w:left w:val="single" w:sz="18" w:space="0" w:color="auto"/>
              <w:bottom w:val="nil"/>
            </w:tcBorders>
          </w:tcPr>
          <w:p w14:paraId="7745E2FC" w14:textId="77777777" w:rsidR="00072F9C" w:rsidRPr="00C37699" w:rsidRDefault="00072F9C" w:rsidP="00033807">
            <w:pPr>
              <w:ind w:right="486"/>
              <w:jc w:val="center"/>
            </w:pPr>
            <w:r w:rsidRPr="00C37699">
              <w:t>99 (25.6)</w:t>
            </w:r>
          </w:p>
        </w:tc>
        <w:tc>
          <w:tcPr>
            <w:tcW w:w="1843" w:type="dxa"/>
            <w:tcBorders>
              <w:top w:val="nil"/>
              <w:bottom w:val="nil"/>
              <w:right w:val="nil"/>
            </w:tcBorders>
          </w:tcPr>
          <w:p w14:paraId="4F21C399" w14:textId="77777777" w:rsidR="00072F9C" w:rsidRPr="00C37699" w:rsidRDefault="00072F9C" w:rsidP="00033807">
            <w:pPr>
              <w:ind w:right="486"/>
              <w:jc w:val="center"/>
            </w:pPr>
            <w:r w:rsidRPr="00C37699">
              <w:t>20 (34.5)</w:t>
            </w:r>
          </w:p>
        </w:tc>
      </w:tr>
      <w:tr w:rsidR="00072F9C" w:rsidRPr="0072034E" w14:paraId="55F1F54E" w14:textId="77777777" w:rsidTr="00033807">
        <w:tc>
          <w:tcPr>
            <w:tcW w:w="2802" w:type="dxa"/>
            <w:tcBorders>
              <w:top w:val="nil"/>
              <w:left w:val="nil"/>
              <w:bottom w:val="nil"/>
            </w:tcBorders>
          </w:tcPr>
          <w:p w14:paraId="5469CC86" w14:textId="77777777" w:rsidR="00072F9C" w:rsidRPr="00495DBA" w:rsidRDefault="00072F9C" w:rsidP="00033807">
            <w:pPr>
              <w:spacing w:line="480" w:lineRule="auto"/>
              <w:ind w:right="488" w:firstLine="284"/>
            </w:pPr>
            <w:r w:rsidRPr="00495DBA">
              <w:t>Arms</w:t>
            </w:r>
          </w:p>
        </w:tc>
        <w:tc>
          <w:tcPr>
            <w:tcW w:w="1984" w:type="dxa"/>
            <w:tcBorders>
              <w:top w:val="nil"/>
              <w:bottom w:val="nil"/>
              <w:right w:val="single" w:sz="18" w:space="0" w:color="auto"/>
            </w:tcBorders>
          </w:tcPr>
          <w:p w14:paraId="79D80D5D" w14:textId="77777777" w:rsidR="00072F9C" w:rsidRPr="00495DBA" w:rsidRDefault="00072F9C" w:rsidP="00033807">
            <w:pPr>
              <w:ind w:right="486"/>
              <w:jc w:val="center"/>
            </w:pPr>
            <w:r w:rsidRPr="00495DBA">
              <w:t>5 (1.1)</w:t>
            </w:r>
          </w:p>
        </w:tc>
        <w:tc>
          <w:tcPr>
            <w:tcW w:w="1843" w:type="dxa"/>
            <w:tcBorders>
              <w:top w:val="nil"/>
              <w:left w:val="single" w:sz="18" w:space="0" w:color="auto"/>
              <w:bottom w:val="nil"/>
            </w:tcBorders>
          </w:tcPr>
          <w:p w14:paraId="70859D12" w14:textId="77777777" w:rsidR="00072F9C" w:rsidRPr="008B50E7" w:rsidRDefault="00072F9C" w:rsidP="00033807">
            <w:pPr>
              <w:ind w:right="486"/>
              <w:jc w:val="center"/>
            </w:pPr>
            <w:r w:rsidRPr="008B50E7">
              <w:t>3 (0.8)</w:t>
            </w:r>
          </w:p>
        </w:tc>
        <w:tc>
          <w:tcPr>
            <w:tcW w:w="1843" w:type="dxa"/>
            <w:tcBorders>
              <w:top w:val="nil"/>
              <w:bottom w:val="nil"/>
            </w:tcBorders>
          </w:tcPr>
          <w:p w14:paraId="50E7B825" w14:textId="77777777" w:rsidR="00072F9C" w:rsidRPr="00C2366F" w:rsidRDefault="00072F9C" w:rsidP="00033807">
            <w:pPr>
              <w:ind w:right="486"/>
              <w:jc w:val="center"/>
            </w:pPr>
            <w:r w:rsidRPr="00C2366F">
              <w:t>1 (2.9)</w:t>
            </w:r>
          </w:p>
        </w:tc>
        <w:tc>
          <w:tcPr>
            <w:tcW w:w="1842" w:type="dxa"/>
            <w:tcBorders>
              <w:top w:val="nil"/>
              <w:bottom w:val="nil"/>
              <w:right w:val="single" w:sz="18" w:space="0" w:color="auto"/>
            </w:tcBorders>
          </w:tcPr>
          <w:p w14:paraId="64903FFA" w14:textId="77777777" w:rsidR="00072F9C" w:rsidRPr="00C37699" w:rsidRDefault="00072F9C" w:rsidP="00033807">
            <w:pPr>
              <w:ind w:right="486"/>
              <w:jc w:val="center"/>
            </w:pPr>
            <w:r w:rsidRPr="00C37699">
              <w:t>1 (2.4)</w:t>
            </w:r>
          </w:p>
        </w:tc>
        <w:tc>
          <w:tcPr>
            <w:tcW w:w="1843" w:type="dxa"/>
            <w:tcBorders>
              <w:top w:val="nil"/>
              <w:left w:val="single" w:sz="18" w:space="0" w:color="auto"/>
              <w:bottom w:val="nil"/>
            </w:tcBorders>
          </w:tcPr>
          <w:p w14:paraId="0CF3402D" w14:textId="77777777" w:rsidR="00072F9C" w:rsidRPr="00C37699" w:rsidRDefault="00072F9C" w:rsidP="00033807">
            <w:pPr>
              <w:ind w:right="486"/>
              <w:jc w:val="center"/>
            </w:pPr>
            <w:r w:rsidRPr="00C37699">
              <w:t>5 (1.3)</w:t>
            </w:r>
          </w:p>
        </w:tc>
        <w:tc>
          <w:tcPr>
            <w:tcW w:w="1843" w:type="dxa"/>
            <w:tcBorders>
              <w:top w:val="nil"/>
              <w:bottom w:val="nil"/>
              <w:right w:val="nil"/>
            </w:tcBorders>
          </w:tcPr>
          <w:p w14:paraId="6AF1B677" w14:textId="77777777" w:rsidR="00072F9C" w:rsidRPr="00C37699" w:rsidRDefault="00072F9C" w:rsidP="00033807">
            <w:pPr>
              <w:ind w:right="486"/>
              <w:jc w:val="center"/>
            </w:pPr>
            <w:r w:rsidRPr="00C37699">
              <w:t>0</w:t>
            </w:r>
          </w:p>
        </w:tc>
      </w:tr>
      <w:tr w:rsidR="00072F9C" w:rsidRPr="0072034E" w14:paraId="05A94241" w14:textId="77777777" w:rsidTr="00033807">
        <w:tc>
          <w:tcPr>
            <w:tcW w:w="2802" w:type="dxa"/>
            <w:tcBorders>
              <w:top w:val="nil"/>
              <w:left w:val="nil"/>
              <w:bottom w:val="nil"/>
            </w:tcBorders>
          </w:tcPr>
          <w:p w14:paraId="3E5C97C3" w14:textId="77777777" w:rsidR="00072F9C" w:rsidRPr="00495DBA" w:rsidRDefault="00072F9C" w:rsidP="00033807">
            <w:pPr>
              <w:spacing w:line="480" w:lineRule="auto"/>
              <w:ind w:right="488" w:firstLine="284"/>
            </w:pPr>
            <w:r w:rsidRPr="00495DBA">
              <w:t>Chest/stomach</w:t>
            </w:r>
          </w:p>
        </w:tc>
        <w:tc>
          <w:tcPr>
            <w:tcW w:w="1984" w:type="dxa"/>
            <w:tcBorders>
              <w:top w:val="nil"/>
              <w:bottom w:val="nil"/>
              <w:right w:val="single" w:sz="18" w:space="0" w:color="auto"/>
            </w:tcBorders>
          </w:tcPr>
          <w:p w14:paraId="0136F94C" w14:textId="77777777" w:rsidR="00072F9C" w:rsidRPr="00495DBA" w:rsidRDefault="00072F9C" w:rsidP="00033807">
            <w:pPr>
              <w:ind w:right="486"/>
              <w:jc w:val="center"/>
            </w:pPr>
            <w:r w:rsidRPr="00495DBA">
              <w:t>9 (2.0)</w:t>
            </w:r>
          </w:p>
        </w:tc>
        <w:tc>
          <w:tcPr>
            <w:tcW w:w="1843" w:type="dxa"/>
            <w:tcBorders>
              <w:top w:val="nil"/>
              <w:left w:val="single" w:sz="18" w:space="0" w:color="auto"/>
              <w:bottom w:val="nil"/>
            </w:tcBorders>
          </w:tcPr>
          <w:p w14:paraId="350689D7" w14:textId="77777777" w:rsidR="00072F9C" w:rsidRPr="008B50E7" w:rsidRDefault="00072F9C" w:rsidP="00033807">
            <w:pPr>
              <w:ind w:right="486"/>
              <w:jc w:val="center"/>
            </w:pPr>
            <w:r w:rsidRPr="008B50E7">
              <w:t>9 (2.4)</w:t>
            </w:r>
          </w:p>
        </w:tc>
        <w:tc>
          <w:tcPr>
            <w:tcW w:w="1843" w:type="dxa"/>
            <w:tcBorders>
              <w:top w:val="nil"/>
              <w:bottom w:val="nil"/>
            </w:tcBorders>
          </w:tcPr>
          <w:p w14:paraId="56E2BD8B" w14:textId="77777777" w:rsidR="00072F9C" w:rsidRPr="00C2366F" w:rsidRDefault="00072F9C" w:rsidP="00033807">
            <w:pPr>
              <w:ind w:right="486"/>
              <w:jc w:val="center"/>
            </w:pPr>
            <w:r w:rsidRPr="00C2366F">
              <w:t xml:space="preserve">0 </w:t>
            </w:r>
          </w:p>
        </w:tc>
        <w:tc>
          <w:tcPr>
            <w:tcW w:w="1842" w:type="dxa"/>
            <w:tcBorders>
              <w:top w:val="nil"/>
              <w:bottom w:val="nil"/>
              <w:right w:val="single" w:sz="18" w:space="0" w:color="auto"/>
            </w:tcBorders>
          </w:tcPr>
          <w:p w14:paraId="538E6AEE" w14:textId="77777777" w:rsidR="00072F9C" w:rsidRPr="00C37699" w:rsidRDefault="00072F9C" w:rsidP="00033807">
            <w:pPr>
              <w:ind w:right="486"/>
              <w:jc w:val="center"/>
            </w:pPr>
            <w:r w:rsidRPr="00C37699">
              <w:t>0</w:t>
            </w:r>
          </w:p>
        </w:tc>
        <w:tc>
          <w:tcPr>
            <w:tcW w:w="1843" w:type="dxa"/>
            <w:tcBorders>
              <w:top w:val="nil"/>
              <w:left w:val="single" w:sz="18" w:space="0" w:color="auto"/>
              <w:bottom w:val="nil"/>
            </w:tcBorders>
          </w:tcPr>
          <w:p w14:paraId="19A8FE23" w14:textId="77777777" w:rsidR="00072F9C" w:rsidRPr="00C37699" w:rsidRDefault="00072F9C" w:rsidP="00033807">
            <w:pPr>
              <w:ind w:right="486"/>
              <w:jc w:val="center"/>
            </w:pPr>
            <w:r w:rsidRPr="00C37699">
              <w:t>8 (2.1)</w:t>
            </w:r>
          </w:p>
        </w:tc>
        <w:tc>
          <w:tcPr>
            <w:tcW w:w="1843" w:type="dxa"/>
            <w:tcBorders>
              <w:top w:val="nil"/>
              <w:bottom w:val="nil"/>
              <w:right w:val="nil"/>
            </w:tcBorders>
          </w:tcPr>
          <w:p w14:paraId="032A37BF" w14:textId="77777777" w:rsidR="00072F9C" w:rsidRPr="00C37699" w:rsidRDefault="00072F9C" w:rsidP="00033807">
            <w:pPr>
              <w:ind w:right="486"/>
              <w:jc w:val="center"/>
            </w:pPr>
            <w:r w:rsidRPr="00C37699">
              <w:t>1 (1.7)</w:t>
            </w:r>
          </w:p>
        </w:tc>
      </w:tr>
      <w:tr w:rsidR="00072F9C" w:rsidRPr="0072034E" w14:paraId="17B363FE" w14:textId="77777777" w:rsidTr="00033807">
        <w:tc>
          <w:tcPr>
            <w:tcW w:w="2802" w:type="dxa"/>
            <w:tcBorders>
              <w:top w:val="nil"/>
              <w:left w:val="nil"/>
              <w:bottom w:val="nil"/>
            </w:tcBorders>
          </w:tcPr>
          <w:p w14:paraId="495F5D01" w14:textId="77777777" w:rsidR="00072F9C" w:rsidRPr="00495DBA" w:rsidRDefault="00072F9C" w:rsidP="00033807">
            <w:pPr>
              <w:spacing w:line="480" w:lineRule="auto"/>
              <w:ind w:right="488" w:firstLine="284"/>
            </w:pPr>
            <w:r w:rsidRPr="00495DBA">
              <w:t>Legs/feet</w:t>
            </w:r>
          </w:p>
        </w:tc>
        <w:tc>
          <w:tcPr>
            <w:tcW w:w="1984" w:type="dxa"/>
            <w:tcBorders>
              <w:top w:val="nil"/>
              <w:bottom w:val="nil"/>
              <w:right w:val="single" w:sz="18" w:space="0" w:color="auto"/>
            </w:tcBorders>
          </w:tcPr>
          <w:p w14:paraId="6A7FD255" w14:textId="77777777" w:rsidR="00072F9C" w:rsidRPr="00495DBA" w:rsidRDefault="00072F9C" w:rsidP="00033807">
            <w:pPr>
              <w:ind w:right="486"/>
              <w:jc w:val="center"/>
            </w:pPr>
            <w:r w:rsidRPr="00495DBA">
              <w:t>13 (2.9)</w:t>
            </w:r>
          </w:p>
        </w:tc>
        <w:tc>
          <w:tcPr>
            <w:tcW w:w="1843" w:type="dxa"/>
            <w:tcBorders>
              <w:top w:val="nil"/>
              <w:left w:val="single" w:sz="18" w:space="0" w:color="auto"/>
              <w:bottom w:val="nil"/>
            </w:tcBorders>
          </w:tcPr>
          <w:p w14:paraId="44B4F5C6" w14:textId="77777777" w:rsidR="00072F9C" w:rsidRPr="008B50E7" w:rsidRDefault="00072F9C" w:rsidP="00033807">
            <w:pPr>
              <w:ind w:right="486"/>
              <w:jc w:val="center"/>
            </w:pPr>
            <w:r w:rsidRPr="008B50E7">
              <w:t>12 (3.3)</w:t>
            </w:r>
          </w:p>
        </w:tc>
        <w:tc>
          <w:tcPr>
            <w:tcW w:w="1843" w:type="dxa"/>
            <w:tcBorders>
              <w:top w:val="nil"/>
              <w:bottom w:val="nil"/>
            </w:tcBorders>
          </w:tcPr>
          <w:p w14:paraId="6D45802C" w14:textId="77777777" w:rsidR="00072F9C" w:rsidRPr="00C2366F" w:rsidRDefault="00072F9C" w:rsidP="00033807">
            <w:pPr>
              <w:ind w:right="486"/>
              <w:jc w:val="center"/>
            </w:pPr>
            <w:r w:rsidRPr="00C2366F">
              <w:t>1 (2.9)</w:t>
            </w:r>
          </w:p>
        </w:tc>
        <w:tc>
          <w:tcPr>
            <w:tcW w:w="1842" w:type="dxa"/>
            <w:tcBorders>
              <w:top w:val="nil"/>
              <w:bottom w:val="nil"/>
              <w:right w:val="single" w:sz="18" w:space="0" w:color="auto"/>
            </w:tcBorders>
          </w:tcPr>
          <w:p w14:paraId="1E53109F" w14:textId="77777777" w:rsidR="00072F9C" w:rsidRPr="00C37699" w:rsidRDefault="00072F9C" w:rsidP="00033807">
            <w:pPr>
              <w:ind w:right="486"/>
              <w:jc w:val="center"/>
            </w:pPr>
            <w:r w:rsidRPr="00C37699">
              <w:t>0</w:t>
            </w:r>
          </w:p>
        </w:tc>
        <w:tc>
          <w:tcPr>
            <w:tcW w:w="1843" w:type="dxa"/>
            <w:tcBorders>
              <w:top w:val="nil"/>
              <w:left w:val="single" w:sz="18" w:space="0" w:color="auto"/>
              <w:bottom w:val="nil"/>
            </w:tcBorders>
          </w:tcPr>
          <w:p w14:paraId="73B16851" w14:textId="77777777" w:rsidR="00072F9C" w:rsidRPr="00C37699" w:rsidRDefault="00072F9C" w:rsidP="00033807">
            <w:pPr>
              <w:ind w:right="486"/>
              <w:jc w:val="center"/>
            </w:pPr>
            <w:r w:rsidRPr="00C37699">
              <w:t>12 (3.1)</w:t>
            </w:r>
          </w:p>
        </w:tc>
        <w:tc>
          <w:tcPr>
            <w:tcW w:w="1843" w:type="dxa"/>
            <w:tcBorders>
              <w:top w:val="nil"/>
              <w:bottom w:val="nil"/>
              <w:right w:val="nil"/>
            </w:tcBorders>
          </w:tcPr>
          <w:p w14:paraId="77FBF358" w14:textId="77777777" w:rsidR="00072F9C" w:rsidRPr="00C37699" w:rsidRDefault="00072F9C" w:rsidP="00033807">
            <w:pPr>
              <w:ind w:right="486"/>
              <w:jc w:val="center"/>
            </w:pPr>
            <w:r w:rsidRPr="00C37699">
              <w:t>1 (1.7)</w:t>
            </w:r>
          </w:p>
        </w:tc>
      </w:tr>
      <w:tr w:rsidR="00072F9C" w:rsidRPr="0072034E" w14:paraId="7CD8DF58" w14:textId="77777777" w:rsidTr="00033807">
        <w:tc>
          <w:tcPr>
            <w:tcW w:w="2802" w:type="dxa"/>
            <w:tcBorders>
              <w:top w:val="nil"/>
              <w:left w:val="nil"/>
              <w:bottom w:val="nil"/>
            </w:tcBorders>
          </w:tcPr>
          <w:p w14:paraId="580FC5D6" w14:textId="77777777" w:rsidR="00072F9C" w:rsidRPr="00495DBA" w:rsidRDefault="00072F9C" w:rsidP="00033807">
            <w:pPr>
              <w:spacing w:line="480" w:lineRule="auto"/>
              <w:ind w:right="488"/>
              <w:rPr>
                <w:i/>
              </w:rPr>
            </w:pPr>
            <w:r w:rsidRPr="00495DBA">
              <w:rPr>
                <w:i/>
              </w:rPr>
              <w:t>Skin-related</w:t>
            </w:r>
          </w:p>
        </w:tc>
        <w:tc>
          <w:tcPr>
            <w:tcW w:w="1984" w:type="dxa"/>
            <w:tcBorders>
              <w:top w:val="nil"/>
              <w:bottom w:val="nil"/>
              <w:right w:val="single" w:sz="18" w:space="0" w:color="auto"/>
            </w:tcBorders>
          </w:tcPr>
          <w:p w14:paraId="70259647" w14:textId="77777777" w:rsidR="00072F9C" w:rsidRPr="00495DBA" w:rsidRDefault="00072F9C" w:rsidP="00033807">
            <w:pPr>
              <w:ind w:right="486"/>
              <w:jc w:val="center"/>
            </w:pPr>
          </w:p>
        </w:tc>
        <w:tc>
          <w:tcPr>
            <w:tcW w:w="1843" w:type="dxa"/>
            <w:tcBorders>
              <w:top w:val="nil"/>
              <w:left w:val="single" w:sz="18" w:space="0" w:color="auto"/>
              <w:bottom w:val="nil"/>
            </w:tcBorders>
          </w:tcPr>
          <w:p w14:paraId="6D032571" w14:textId="77777777" w:rsidR="00072F9C" w:rsidRPr="008B50E7" w:rsidRDefault="00072F9C" w:rsidP="00033807">
            <w:pPr>
              <w:ind w:right="486"/>
              <w:jc w:val="center"/>
            </w:pPr>
          </w:p>
        </w:tc>
        <w:tc>
          <w:tcPr>
            <w:tcW w:w="1843" w:type="dxa"/>
            <w:tcBorders>
              <w:top w:val="nil"/>
              <w:bottom w:val="nil"/>
            </w:tcBorders>
          </w:tcPr>
          <w:p w14:paraId="2CC03F70" w14:textId="77777777" w:rsidR="00072F9C" w:rsidRPr="00C2366F" w:rsidRDefault="00072F9C" w:rsidP="00033807">
            <w:pPr>
              <w:ind w:right="486"/>
              <w:jc w:val="center"/>
            </w:pPr>
          </w:p>
        </w:tc>
        <w:tc>
          <w:tcPr>
            <w:tcW w:w="1842" w:type="dxa"/>
            <w:tcBorders>
              <w:top w:val="nil"/>
              <w:bottom w:val="nil"/>
              <w:right w:val="single" w:sz="18" w:space="0" w:color="auto"/>
            </w:tcBorders>
          </w:tcPr>
          <w:p w14:paraId="664E6801" w14:textId="77777777" w:rsidR="00072F9C" w:rsidRPr="00C37699" w:rsidRDefault="00072F9C" w:rsidP="00033807">
            <w:pPr>
              <w:ind w:right="486"/>
              <w:jc w:val="center"/>
            </w:pPr>
          </w:p>
        </w:tc>
        <w:tc>
          <w:tcPr>
            <w:tcW w:w="1843" w:type="dxa"/>
            <w:tcBorders>
              <w:top w:val="nil"/>
              <w:left w:val="single" w:sz="18" w:space="0" w:color="auto"/>
              <w:bottom w:val="nil"/>
            </w:tcBorders>
          </w:tcPr>
          <w:p w14:paraId="68F8D0AB" w14:textId="77777777" w:rsidR="00072F9C" w:rsidRPr="00C37699" w:rsidRDefault="00072F9C" w:rsidP="00033807">
            <w:pPr>
              <w:ind w:right="486"/>
              <w:jc w:val="center"/>
            </w:pPr>
          </w:p>
        </w:tc>
        <w:tc>
          <w:tcPr>
            <w:tcW w:w="1843" w:type="dxa"/>
            <w:tcBorders>
              <w:top w:val="nil"/>
              <w:bottom w:val="nil"/>
              <w:right w:val="nil"/>
            </w:tcBorders>
          </w:tcPr>
          <w:p w14:paraId="2C6A15F3" w14:textId="77777777" w:rsidR="00072F9C" w:rsidRPr="0072034E" w:rsidRDefault="00072F9C" w:rsidP="00033807">
            <w:pPr>
              <w:ind w:right="486"/>
              <w:jc w:val="center"/>
              <w:rPr>
                <w:highlight w:val="yellow"/>
              </w:rPr>
            </w:pPr>
          </w:p>
        </w:tc>
      </w:tr>
      <w:tr w:rsidR="00072F9C" w:rsidRPr="0072034E" w14:paraId="67A21E37" w14:textId="77777777" w:rsidTr="00033807">
        <w:tc>
          <w:tcPr>
            <w:tcW w:w="2802" w:type="dxa"/>
            <w:tcBorders>
              <w:top w:val="nil"/>
              <w:left w:val="nil"/>
              <w:bottom w:val="nil"/>
            </w:tcBorders>
          </w:tcPr>
          <w:p w14:paraId="26FD2B88" w14:textId="77777777" w:rsidR="00072F9C" w:rsidRPr="00495DBA" w:rsidRDefault="00072F9C" w:rsidP="00033807">
            <w:pPr>
              <w:spacing w:line="480" w:lineRule="auto"/>
              <w:ind w:left="284" w:right="488"/>
            </w:pPr>
            <w:r w:rsidRPr="00495DBA">
              <w:t>Telangiectasias (any)</w:t>
            </w:r>
          </w:p>
        </w:tc>
        <w:tc>
          <w:tcPr>
            <w:tcW w:w="1984" w:type="dxa"/>
            <w:tcBorders>
              <w:top w:val="nil"/>
              <w:bottom w:val="nil"/>
              <w:right w:val="single" w:sz="18" w:space="0" w:color="auto"/>
            </w:tcBorders>
          </w:tcPr>
          <w:p w14:paraId="597BBDEC" w14:textId="77777777" w:rsidR="00072F9C" w:rsidRPr="00495DBA" w:rsidRDefault="00072F9C" w:rsidP="00033807">
            <w:pPr>
              <w:ind w:right="486"/>
              <w:jc w:val="center"/>
            </w:pPr>
            <w:r w:rsidRPr="00495DBA">
              <w:t>33 (7.4)</w:t>
            </w:r>
          </w:p>
        </w:tc>
        <w:tc>
          <w:tcPr>
            <w:tcW w:w="1843" w:type="dxa"/>
            <w:tcBorders>
              <w:top w:val="nil"/>
              <w:left w:val="single" w:sz="18" w:space="0" w:color="auto"/>
              <w:bottom w:val="nil"/>
            </w:tcBorders>
          </w:tcPr>
          <w:p w14:paraId="7B31E571" w14:textId="77777777" w:rsidR="00072F9C" w:rsidRPr="008B50E7" w:rsidRDefault="00072F9C" w:rsidP="00033807">
            <w:pPr>
              <w:ind w:right="486"/>
              <w:jc w:val="center"/>
            </w:pPr>
            <w:r w:rsidRPr="008B50E7">
              <w:t>28 (7.6)</w:t>
            </w:r>
          </w:p>
        </w:tc>
        <w:tc>
          <w:tcPr>
            <w:tcW w:w="1843" w:type="dxa"/>
            <w:tcBorders>
              <w:top w:val="nil"/>
              <w:bottom w:val="nil"/>
            </w:tcBorders>
          </w:tcPr>
          <w:p w14:paraId="443C10AB" w14:textId="77777777" w:rsidR="00072F9C" w:rsidRPr="00C2366F" w:rsidRDefault="00072F9C" w:rsidP="00033807">
            <w:pPr>
              <w:ind w:right="486"/>
              <w:jc w:val="center"/>
            </w:pPr>
            <w:r w:rsidRPr="00C2366F">
              <w:t>1 (2.9)</w:t>
            </w:r>
          </w:p>
        </w:tc>
        <w:tc>
          <w:tcPr>
            <w:tcW w:w="1842" w:type="dxa"/>
            <w:tcBorders>
              <w:top w:val="nil"/>
              <w:bottom w:val="nil"/>
              <w:right w:val="single" w:sz="18" w:space="0" w:color="auto"/>
            </w:tcBorders>
          </w:tcPr>
          <w:p w14:paraId="4F584A42" w14:textId="77777777" w:rsidR="00072F9C" w:rsidRPr="00C37699" w:rsidRDefault="00072F9C" w:rsidP="00033807">
            <w:pPr>
              <w:ind w:right="486"/>
              <w:jc w:val="center"/>
            </w:pPr>
            <w:r w:rsidRPr="00C37699">
              <w:t>4 (9.8)</w:t>
            </w:r>
          </w:p>
        </w:tc>
        <w:tc>
          <w:tcPr>
            <w:tcW w:w="1843" w:type="dxa"/>
            <w:tcBorders>
              <w:top w:val="nil"/>
              <w:left w:val="single" w:sz="18" w:space="0" w:color="auto"/>
              <w:bottom w:val="nil"/>
            </w:tcBorders>
          </w:tcPr>
          <w:p w14:paraId="0925B387" w14:textId="77777777" w:rsidR="00072F9C" w:rsidRPr="00C37699" w:rsidRDefault="00072F9C" w:rsidP="00033807">
            <w:pPr>
              <w:ind w:right="486"/>
              <w:jc w:val="center"/>
            </w:pPr>
            <w:r w:rsidRPr="00C37699">
              <w:t>26 (6.7)</w:t>
            </w:r>
          </w:p>
        </w:tc>
        <w:tc>
          <w:tcPr>
            <w:tcW w:w="1843" w:type="dxa"/>
            <w:tcBorders>
              <w:top w:val="nil"/>
              <w:bottom w:val="nil"/>
              <w:right w:val="nil"/>
            </w:tcBorders>
          </w:tcPr>
          <w:p w14:paraId="0664E497" w14:textId="77777777" w:rsidR="00072F9C" w:rsidRPr="00C37699" w:rsidRDefault="00072F9C" w:rsidP="00033807">
            <w:pPr>
              <w:ind w:right="486"/>
              <w:jc w:val="center"/>
            </w:pPr>
            <w:r w:rsidRPr="00C37699">
              <w:t>7 (12.1)</w:t>
            </w:r>
          </w:p>
        </w:tc>
      </w:tr>
      <w:tr w:rsidR="00072F9C" w:rsidRPr="0072034E" w14:paraId="649DAB2C" w14:textId="77777777" w:rsidTr="00033807">
        <w:tc>
          <w:tcPr>
            <w:tcW w:w="2802" w:type="dxa"/>
            <w:tcBorders>
              <w:top w:val="nil"/>
              <w:left w:val="nil"/>
              <w:bottom w:val="nil"/>
            </w:tcBorders>
          </w:tcPr>
          <w:p w14:paraId="516E0802" w14:textId="77777777" w:rsidR="00072F9C" w:rsidRPr="00495DBA" w:rsidRDefault="00072F9C" w:rsidP="00033807">
            <w:pPr>
              <w:spacing w:line="480" w:lineRule="auto"/>
              <w:ind w:left="284" w:right="488"/>
            </w:pPr>
            <w:r w:rsidRPr="00495DBA">
              <w:t>Skin pigmentation changes (any)</w:t>
            </w:r>
          </w:p>
        </w:tc>
        <w:tc>
          <w:tcPr>
            <w:tcW w:w="1984" w:type="dxa"/>
            <w:tcBorders>
              <w:top w:val="nil"/>
              <w:bottom w:val="nil"/>
              <w:right w:val="single" w:sz="18" w:space="0" w:color="auto"/>
            </w:tcBorders>
          </w:tcPr>
          <w:p w14:paraId="05362160" w14:textId="77777777" w:rsidR="00072F9C" w:rsidRPr="00495DBA" w:rsidRDefault="00072F9C" w:rsidP="00033807">
            <w:pPr>
              <w:ind w:right="486"/>
              <w:jc w:val="center"/>
            </w:pPr>
            <w:r w:rsidRPr="00495DBA">
              <w:t>12 (2.7)</w:t>
            </w:r>
          </w:p>
        </w:tc>
        <w:tc>
          <w:tcPr>
            <w:tcW w:w="1843" w:type="dxa"/>
            <w:tcBorders>
              <w:top w:val="nil"/>
              <w:left w:val="single" w:sz="18" w:space="0" w:color="auto"/>
              <w:bottom w:val="nil"/>
            </w:tcBorders>
          </w:tcPr>
          <w:p w14:paraId="08AB21E4" w14:textId="77777777" w:rsidR="00072F9C" w:rsidRPr="008B50E7" w:rsidRDefault="00072F9C" w:rsidP="00033807">
            <w:pPr>
              <w:ind w:right="486"/>
              <w:jc w:val="center"/>
            </w:pPr>
            <w:r w:rsidRPr="008B50E7">
              <w:t>9 (2.4)</w:t>
            </w:r>
          </w:p>
        </w:tc>
        <w:tc>
          <w:tcPr>
            <w:tcW w:w="1843" w:type="dxa"/>
            <w:tcBorders>
              <w:top w:val="nil"/>
              <w:bottom w:val="nil"/>
            </w:tcBorders>
          </w:tcPr>
          <w:p w14:paraId="283FDC48" w14:textId="77777777" w:rsidR="00072F9C" w:rsidRPr="00C2366F" w:rsidRDefault="00072F9C" w:rsidP="00033807">
            <w:pPr>
              <w:ind w:right="486"/>
              <w:jc w:val="center"/>
            </w:pPr>
            <w:r w:rsidRPr="00C2366F">
              <w:t>1 (2.9)</w:t>
            </w:r>
          </w:p>
        </w:tc>
        <w:tc>
          <w:tcPr>
            <w:tcW w:w="1842" w:type="dxa"/>
            <w:tcBorders>
              <w:top w:val="nil"/>
              <w:bottom w:val="nil"/>
              <w:right w:val="single" w:sz="18" w:space="0" w:color="auto"/>
            </w:tcBorders>
          </w:tcPr>
          <w:p w14:paraId="34F26F54" w14:textId="77777777" w:rsidR="00072F9C" w:rsidRPr="00C37699" w:rsidRDefault="00072F9C" w:rsidP="00033807">
            <w:pPr>
              <w:ind w:right="486"/>
              <w:jc w:val="center"/>
            </w:pPr>
            <w:r w:rsidRPr="00C37699">
              <w:t>2 (4.9)</w:t>
            </w:r>
          </w:p>
        </w:tc>
        <w:tc>
          <w:tcPr>
            <w:tcW w:w="1843" w:type="dxa"/>
            <w:tcBorders>
              <w:top w:val="nil"/>
              <w:left w:val="single" w:sz="18" w:space="0" w:color="auto"/>
              <w:bottom w:val="nil"/>
            </w:tcBorders>
          </w:tcPr>
          <w:p w14:paraId="53A5B3B2" w14:textId="77777777" w:rsidR="00072F9C" w:rsidRPr="00C37699" w:rsidRDefault="00072F9C" w:rsidP="00033807">
            <w:pPr>
              <w:ind w:right="486"/>
              <w:jc w:val="center"/>
            </w:pPr>
            <w:r w:rsidRPr="00C37699">
              <w:t xml:space="preserve">10 (2.6) </w:t>
            </w:r>
          </w:p>
        </w:tc>
        <w:tc>
          <w:tcPr>
            <w:tcW w:w="1843" w:type="dxa"/>
            <w:tcBorders>
              <w:top w:val="nil"/>
              <w:bottom w:val="nil"/>
              <w:right w:val="nil"/>
            </w:tcBorders>
          </w:tcPr>
          <w:p w14:paraId="16EB86C3" w14:textId="77777777" w:rsidR="00072F9C" w:rsidRPr="00C37699" w:rsidRDefault="00072F9C" w:rsidP="00033807">
            <w:pPr>
              <w:ind w:right="486"/>
              <w:jc w:val="center"/>
            </w:pPr>
            <w:r w:rsidRPr="00C37699">
              <w:t>2 (3.4)</w:t>
            </w:r>
          </w:p>
        </w:tc>
      </w:tr>
      <w:tr w:rsidR="00072F9C" w:rsidRPr="0072034E" w14:paraId="0E2C21F5" w14:textId="77777777" w:rsidTr="00033807">
        <w:tc>
          <w:tcPr>
            <w:tcW w:w="2802" w:type="dxa"/>
            <w:tcBorders>
              <w:top w:val="nil"/>
              <w:left w:val="nil"/>
              <w:bottom w:val="nil"/>
            </w:tcBorders>
          </w:tcPr>
          <w:p w14:paraId="0FBCAA01" w14:textId="77777777" w:rsidR="00072F9C" w:rsidRPr="00495DBA" w:rsidRDefault="00072F9C" w:rsidP="00033807">
            <w:pPr>
              <w:spacing w:line="480" w:lineRule="auto"/>
              <w:ind w:left="284" w:right="488"/>
            </w:pPr>
            <w:r w:rsidRPr="00495DBA">
              <w:lastRenderedPageBreak/>
              <w:t>Skin tightening or hardening</w:t>
            </w:r>
          </w:p>
        </w:tc>
        <w:tc>
          <w:tcPr>
            <w:tcW w:w="1984" w:type="dxa"/>
            <w:tcBorders>
              <w:top w:val="nil"/>
              <w:bottom w:val="nil"/>
              <w:right w:val="single" w:sz="18" w:space="0" w:color="auto"/>
            </w:tcBorders>
          </w:tcPr>
          <w:p w14:paraId="53D294DF" w14:textId="77777777" w:rsidR="00072F9C" w:rsidRPr="00495DBA" w:rsidRDefault="00072F9C" w:rsidP="00033807">
            <w:pPr>
              <w:ind w:right="486"/>
              <w:jc w:val="center"/>
            </w:pPr>
            <w:r w:rsidRPr="00495DBA">
              <w:t>7 (1.6)</w:t>
            </w:r>
          </w:p>
        </w:tc>
        <w:tc>
          <w:tcPr>
            <w:tcW w:w="1843" w:type="dxa"/>
            <w:tcBorders>
              <w:top w:val="nil"/>
              <w:left w:val="single" w:sz="18" w:space="0" w:color="auto"/>
              <w:bottom w:val="nil"/>
            </w:tcBorders>
          </w:tcPr>
          <w:p w14:paraId="50A604CE" w14:textId="77777777" w:rsidR="00072F9C" w:rsidRPr="00495DBA" w:rsidRDefault="00072F9C" w:rsidP="00033807">
            <w:pPr>
              <w:ind w:right="486"/>
              <w:jc w:val="center"/>
            </w:pPr>
            <w:r w:rsidRPr="00495DBA">
              <w:t>5 (1.4)</w:t>
            </w:r>
          </w:p>
        </w:tc>
        <w:tc>
          <w:tcPr>
            <w:tcW w:w="1843" w:type="dxa"/>
            <w:tcBorders>
              <w:top w:val="nil"/>
              <w:bottom w:val="nil"/>
            </w:tcBorders>
          </w:tcPr>
          <w:p w14:paraId="0C132BDB" w14:textId="77777777" w:rsidR="00072F9C" w:rsidRPr="00C2366F" w:rsidRDefault="00072F9C" w:rsidP="00033807">
            <w:pPr>
              <w:ind w:right="486"/>
              <w:jc w:val="center"/>
            </w:pPr>
            <w:r w:rsidRPr="00C2366F">
              <w:t>1 (2.9)</w:t>
            </w:r>
          </w:p>
        </w:tc>
        <w:tc>
          <w:tcPr>
            <w:tcW w:w="1842" w:type="dxa"/>
            <w:tcBorders>
              <w:top w:val="nil"/>
              <w:bottom w:val="nil"/>
              <w:right w:val="single" w:sz="18" w:space="0" w:color="auto"/>
            </w:tcBorders>
          </w:tcPr>
          <w:p w14:paraId="56861BF1" w14:textId="77777777" w:rsidR="00072F9C" w:rsidRPr="00C37699" w:rsidRDefault="00072F9C" w:rsidP="00033807">
            <w:pPr>
              <w:ind w:right="486"/>
              <w:jc w:val="center"/>
            </w:pPr>
            <w:r w:rsidRPr="00C37699">
              <w:t>1 (2.4)</w:t>
            </w:r>
          </w:p>
        </w:tc>
        <w:tc>
          <w:tcPr>
            <w:tcW w:w="1843" w:type="dxa"/>
            <w:tcBorders>
              <w:top w:val="nil"/>
              <w:left w:val="single" w:sz="18" w:space="0" w:color="auto"/>
              <w:bottom w:val="nil"/>
            </w:tcBorders>
          </w:tcPr>
          <w:p w14:paraId="71EACCE8" w14:textId="77777777" w:rsidR="00072F9C" w:rsidRPr="00C37699" w:rsidRDefault="00072F9C" w:rsidP="00033807">
            <w:pPr>
              <w:ind w:right="486"/>
              <w:jc w:val="center"/>
            </w:pPr>
            <w:r w:rsidRPr="00C37699">
              <w:t>5 (1.3)</w:t>
            </w:r>
          </w:p>
        </w:tc>
        <w:tc>
          <w:tcPr>
            <w:tcW w:w="1843" w:type="dxa"/>
            <w:tcBorders>
              <w:top w:val="nil"/>
              <w:bottom w:val="nil"/>
              <w:right w:val="nil"/>
            </w:tcBorders>
          </w:tcPr>
          <w:p w14:paraId="57C3D0BF" w14:textId="77777777" w:rsidR="00072F9C" w:rsidRPr="00C37699" w:rsidRDefault="00072F9C" w:rsidP="00033807">
            <w:pPr>
              <w:ind w:right="486"/>
              <w:jc w:val="center"/>
            </w:pPr>
            <w:r w:rsidRPr="00C37699">
              <w:t>2 (3.4)</w:t>
            </w:r>
          </w:p>
        </w:tc>
      </w:tr>
      <w:tr w:rsidR="00072F9C" w:rsidRPr="0072034E" w14:paraId="226FBB30" w14:textId="77777777" w:rsidTr="00033807">
        <w:tc>
          <w:tcPr>
            <w:tcW w:w="2802" w:type="dxa"/>
            <w:tcBorders>
              <w:top w:val="nil"/>
              <w:left w:val="nil"/>
              <w:bottom w:val="nil"/>
            </w:tcBorders>
          </w:tcPr>
          <w:p w14:paraId="4E1F5D10" w14:textId="77777777" w:rsidR="00072F9C" w:rsidRPr="00495DBA" w:rsidRDefault="00072F9C" w:rsidP="00033807">
            <w:pPr>
              <w:spacing w:line="480" w:lineRule="auto"/>
              <w:ind w:left="284" w:right="488"/>
            </w:pPr>
            <w:r w:rsidRPr="00495DBA">
              <w:t>Skin unspecified/other</w:t>
            </w:r>
          </w:p>
        </w:tc>
        <w:tc>
          <w:tcPr>
            <w:tcW w:w="1984" w:type="dxa"/>
            <w:tcBorders>
              <w:top w:val="nil"/>
              <w:bottom w:val="nil"/>
              <w:right w:val="single" w:sz="18" w:space="0" w:color="auto"/>
            </w:tcBorders>
          </w:tcPr>
          <w:p w14:paraId="24421D55" w14:textId="77777777" w:rsidR="00072F9C" w:rsidRPr="00495DBA" w:rsidRDefault="00072F9C" w:rsidP="00033807">
            <w:pPr>
              <w:ind w:right="486"/>
              <w:jc w:val="center"/>
            </w:pPr>
            <w:r w:rsidRPr="00495DBA">
              <w:t>20 (4.5)</w:t>
            </w:r>
          </w:p>
        </w:tc>
        <w:tc>
          <w:tcPr>
            <w:tcW w:w="1843" w:type="dxa"/>
            <w:tcBorders>
              <w:top w:val="nil"/>
              <w:left w:val="single" w:sz="18" w:space="0" w:color="auto"/>
              <w:bottom w:val="nil"/>
            </w:tcBorders>
          </w:tcPr>
          <w:p w14:paraId="176C1CA6" w14:textId="77777777" w:rsidR="00072F9C" w:rsidRPr="00495DBA" w:rsidRDefault="00072F9C" w:rsidP="00033807">
            <w:pPr>
              <w:ind w:right="486"/>
              <w:jc w:val="center"/>
            </w:pPr>
            <w:r w:rsidRPr="00495DBA">
              <w:t>16 (4.3)</w:t>
            </w:r>
          </w:p>
        </w:tc>
        <w:tc>
          <w:tcPr>
            <w:tcW w:w="1843" w:type="dxa"/>
            <w:tcBorders>
              <w:top w:val="nil"/>
              <w:bottom w:val="nil"/>
            </w:tcBorders>
          </w:tcPr>
          <w:p w14:paraId="2993CCD2" w14:textId="77777777" w:rsidR="00072F9C" w:rsidRPr="00C2366F" w:rsidRDefault="00072F9C" w:rsidP="00033807">
            <w:pPr>
              <w:tabs>
                <w:tab w:val="center" w:pos="317"/>
                <w:tab w:val="left" w:pos="1187"/>
              </w:tabs>
              <w:ind w:right="459"/>
            </w:pPr>
            <w:r w:rsidRPr="00C2366F">
              <w:t xml:space="preserve">    1 (2.9)</w:t>
            </w:r>
          </w:p>
        </w:tc>
        <w:tc>
          <w:tcPr>
            <w:tcW w:w="1842" w:type="dxa"/>
            <w:tcBorders>
              <w:top w:val="nil"/>
              <w:bottom w:val="nil"/>
              <w:right w:val="single" w:sz="18" w:space="0" w:color="auto"/>
            </w:tcBorders>
          </w:tcPr>
          <w:p w14:paraId="262556D4" w14:textId="77777777" w:rsidR="00072F9C" w:rsidRPr="00C37699" w:rsidRDefault="00072F9C" w:rsidP="00033807">
            <w:pPr>
              <w:ind w:right="486"/>
              <w:jc w:val="center"/>
            </w:pPr>
            <w:r w:rsidRPr="00C37699">
              <w:t>3 (7.3)</w:t>
            </w:r>
          </w:p>
        </w:tc>
        <w:tc>
          <w:tcPr>
            <w:tcW w:w="1843" w:type="dxa"/>
            <w:tcBorders>
              <w:top w:val="nil"/>
              <w:left w:val="single" w:sz="18" w:space="0" w:color="auto"/>
              <w:bottom w:val="nil"/>
            </w:tcBorders>
          </w:tcPr>
          <w:p w14:paraId="0180C1E2" w14:textId="77777777" w:rsidR="00072F9C" w:rsidRPr="00C37699" w:rsidRDefault="00072F9C" w:rsidP="00033807">
            <w:pPr>
              <w:ind w:right="486"/>
              <w:jc w:val="center"/>
            </w:pPr>
            <w:r w:rsidRPr="00C37699">
              <w:t>17 (4.4)</w:t>
            </w:r>
          </w:p>
        </w:tc>
        <w:tc>
          <w:tcPr>
            <w:tcW w:w="1843" w:type="dxa"/>
            <w:tcBorders>
              <w:top w:val="nil"/>
              <w:bottom w:val="nil"/>
              <w:right w:val="nil"/>
            </w:tcBorders>
          </w:tcPr>
          <w:p w14:paraId="439ABDCA" w14:textId="77777777" w:rsidR="00072F9C" w:rsidRPr="00C37699" w:rsidRDefault="00072F9C" w:rsidP="00033807">
            <w:pPr>
              <w:ind w:right="486"/>
              <w:jc w:val="center"/>
            </w:pPr>
            <w:r w:rsidRPr="00C37699">
              <w:t>3 (5.2)</w:t>
            </w:r>
          </w:p>
        </w:tc>
      </w:tr>
      <w:tr w:rsidR="00072F9C" w:rsidRPr="0072034E" w14:paraId="3DF3C80E" w14:textId="77777777" w:rsidTr="00033807">
        <w:tc>
          <w:tcPr>
            <w:tcW w:w="2802" w:type="dxa"/>
            <w:tcBorders>
              <w:top w:val="nil"/>
              <w:left w:val="nil"/>
              <w:bottom w:val="nil"/>
            </w:tcBorders>
          </w:tcPr>
          <w:p w14:paraId="336CE659" w14:textId="77777777" w:rsidR="00072F9C" w:rsidRPr="00495DBA" w:rsidRDefault="00072F9C" w:rsidP="00033807">
            <w:pPr>
              <w:spacing w:line="480" w:lineRule="auto"/>
              <w:ind w:right="488"/>
              <w:rPr>
                <w:i/>
              </w:rPr>
            </w:pPr>
            <w:r w:rsidRPr="00495DBA">
              <w:rPr>
                <w:i/>
              </w:rPr>
              <w:t>Weight-related</w:t>
            </w:r>
          </w:p>
        </w:tc>
        <w:tc>
          <w:tcPr>
            <w:tcW w:w="1984" w:type="dxa"/>
            <w:tcBorders>
              <w:top w:val="nil"/>
              <w:bottom w:val="nil"/>
              <w:right w:val="single" w:sz="18" w:space="0" w:color="auto"/>
            </w:tcBorders>
          </w:tcPr>
          <w:p w14:paraId="73CDA9DD" w14:textId="77777777" w:rsidR="00072F9C" w:rsidRPr="00495DBA" w:rsidRDefault="00072F9C" w:rsidP="00033807">
            <w:pPr>
              <w:ind w:right="486"/>
              <w:jc w:val="center"/>
            </w:pPr>
          </w:p>
        </w:tc>
        <w:tc>
          <w:tcPr>
            <w:tcW w:w="1843" w:type="dxa"/>
            <w:tcBorders>
              <w:top w:val="nil"/>
              <w:left w:val="single" w:sz="18" w:space="0" w:color="auto"/>
              <w:bottom w:val="nil"/>
            </w:tcBorders>
          </w:tcPr>
          <w:p w14:paraId="33FA72B4" w14:textId="77777777" w:rsidR="00072F9C" w:rsidRPr="0072034E" w:rsidRDefault="00072F9C" w:rsidP="00033807">
            <w:pPr>
              <w:ind w:right="486"/>
              <w:jc w:val="center"/>
              <w:rPr>
                <w:highlight w:val="yellow"/>
              </w:rPr>
            </w:pPr>
          </w:p>
        </w:tc>
        <w:tc>
          <w:tcPr>
            <w:tcW w:w="1843" w:type="dxa"/>
            <w:tcBorders>
              <w:top w:val="nil"/>
              <w:bottom w:val="nil"/>
            </w:tcBorders>
          </w:tcPr>
          <w:p w14:paraId="2A0F4121" w14:textId="77777777" w:rsidR="00072F9C" w:rsidRPr="0072034E" w:rsidRDefault="00072F9C" w:rsidP="00033807">
            <w:pPr>
              <w:ind w:right="486"/>
              <w:jc w:val="center"/>
              <w:rPr>
                <w:highlight w:val="yellow"/>
              </w:rPr>
            </w:pPr>
          </w:p>
        </w:tc>
        <w:tc>
          <w:tcPr>
            <w:tcW w:w="1842" w:type="dxa"/>
            <w:tcBorders>
              <w:top w:val="nil"/>
              <w:bottom w:val="nil"/>
              <w:right w:val="single" w:sz="18" w:space="0" w:color="auto"/>
            </w:tcBorders>
          </w:tcPr>
          <w:p w14:paraId="26424B62" w14:textId="77777777" w:rsidR="00072F9C" w:rsidRPr="00C37699" w:rsidRDefault="00072F9C" w:rsidP="00033807">
            <w:pPr>
              <w:ind w:right="486"/>
              <w:jc w:val="center"/>
            </w:pPr>
          </w:p>
        </w:tc>
        <w:tc>
          <w:tcPr>
            <w:tcW w:w="1843" w:type="dxa"/>
            <w:tcBorders>
              <w:top w:val="nil"/>
              <w:left w:val="single" w:sz="18" w:space="0" w:color="auto"/>
              <w:bottom w:val="nil"/>
            </w:tcBorders>
          </w:tcPr>
          <w:p w14:paraId="5852B183" w14:textId="77777777" w:rsidR="00072F9C" w:rsidRPr="00C37699" w:rsidRDefault="00072F9C" w:rsidP="00033807">
            <w:pPr>
              <w:ind w:right="486"/>
              <w:jc w:val="center"/>
            </w:pPr>
          </w:p>
        </w:tc>
        <w:tc>
          <w:tcPr>
            <w:tcW w:w="1843" w:type="dxa"/>
            <w:tcBorders>
              <w:top w:val="nil"/>
              <w:bottom w:val="nil"/>
              <w:right w:val="nil"/>
            </w:tcBorders>
          </w:tcPr>
          <w:p w14:paraId="7770D04B" w14:textId="77777777" w:rsidR="00072F9C" w:rsidRPr="00C37699" w:rsidRDefault="00072F9C" w:rsidP="00033807">
            <w:pPr>
              <w:ind w:right="486"/>
              <w:jc w:val="center"/>
            </w:pPr>
          </w:p>
        </w:tc>
      </w:tr>
      <w:tr w:rsidR="00072F9C" w:rsidRPr="0072034E" w14:paraId="6B42E498" w14:textId="77777777" w:rsidTr="00033807">
        <w:tc>
          <w:tcPr>
            <w:tcW w:w="2802" w:type="dxa"/>
            <w:tcBorders>
              <w:top w:val="nil"/>
              <w:left w:val="nil"/>
              <w:bottom w:val="nil"/>
            </w:tcBorders>
          </w:tcPr>
          <w:p w14:paraId="4C4E8FD6" w14:textId="77777777" w:rsidR="00072F9C" w:rsidRPr="00495DBA" w:rsidRDefault="00072F9C" w:rsidP="00033807">
            <w:pPr>
              <w:spacing w:line="480" w:lineRule="auto"/>
              <w:ind w:right="488" w:firstLine="284"/>
            </w:pPr>
            <w:r w:rsidRPr="00495DBA">
              <w:t>Loss</w:t>
            </w:r>
          </w:p>
        </w:tc>
        <w:tc>
          <w:tcPr>
            <w:tcW w:w="1984" w:type="dxa"/>
            <w:tcBorders>
              <w:top w:val="nil"/>
              <w:bottom w:val="nil"/>
              <w:right w:val="single" w:sz="18" w:space="0" w:color="auto"/>
            </w:tcBorders>
          </w:tcPr>
          <w:p w14:paraId="7CF0DAE8" w14:textId="77777777" w:rsidR="00072F9C" w:rsidRPr="00495DBA" w:rsidRDefault="00072F9C" w:rsidP="00033807">
            <w:pPr>
              <w:ind w:right="486"/>
              <w:jc w:val="center"/>
            </w:pPr>
            <w:r w:rsidRPr="00495DBA">
              <w:t>4 (0.90)</w:t>
            </w:r>
          </w:p>
        </w:tc>
        <w:tc>
          <w:tcPr>
            <w:tcW w:w="1843" w:type="dxa"/>
            <w:tcBorders>
              <w:top w:val="nil"/>
              <w:left w:val="single" w:sz="18" w:space="0" w:color="auto"/>
              <w:bottom w:val="nil"/>
            </w:tcBorders>
          </w:tcPr>
          <w:p w14:paraId="3F0AF223" w14:textId="77777777" w:rsidR="00072F9C" w:rsidRPr="00495DBA" w:rsidRDefault="00072F9C" w:rsidP="00033807">
            <w:pPr>
              <w:ind w:right="486"/>
              <w:jc w:val="center"/>
            </w:pPr>
            <w:r w:rsidRPr="00495DBA">
              <w:t>3 (0.8)</w:t>
            </w:r>
          </w:p>
        </w:tc>
        <w:tc>
          <w:tcPr>
            <w:tcW w:w="1843" w:type="dxa"/>
            <w:tcBorders>
              <w:top w:val="nil"/>
              <w:bottom w:val="nil"/>
            </w:tcBorders>
          </w:tcPr>
          <w:p w14:paraId="21F80C4C" w14:textId="77777777" w:rsidR="00072F9C" w:rsidRPr="00C2366F" w:rsidRDefault="00072F9C" w:rsidP="00033807">
            <w:pPr>
              <w:ind w:right="486"/>
              <w:jc w:val="center"/>
            </w:pPr>
            <w:r w:rsidRPr="00C2366F">
              <w:t>1 (2.9)</w:t>
            </w:r>
          </w:p>
        </w:tc>
        <w:tc>
          <w:tcPr>
            <w:tcW w:w="1842" w:type="dxa"/>
            <w:tcBorders>
              <w:top w:val="nil"/>
              <w:bottom w:val="nil"/>
              <w:right w:val="single" w:sz="18" w:space="0" w:color="auto"/>
            </w:tcBorders>
          </w:tcPr>
          <w:p w14:paraId="43FC8272" w14:textId="77777777" w:rsidR="00072F9C" w:rsidRPr="00C37699" w:rsidRDefault="00072F9C" w:rsidP="00033807">
            <w:pPr>
              <w:ind w:right="486"/>
              <w:jc w:val="center"/>
            </w:pPr>
            <w:r w:rsidRPr="00C37699">
              <w:t>0</w:t>
            </w:r>
          </w:p>
        </w:tc>
        <w:tc>
          <w:tcPr>
            <w:tcW w:w="1843" w:type="dxa"/>
            <w:tcBorders>
              <w:top w:val="nil"/>
              <w:left w:val="single" w:sz="18" w:space="0" w:color="auto"/>
              <w:bottom w:val="nil"/>
            </w:tcBorders>
          </w:tcPr>
          <w:p w14:paraId="49252A27" w14:textId="77777777" w:rsidR="00072F9C" w:rsidRPr="00C37699" w:rsidRDefault="00072F9C" w:rsidP="00033807">
            <w:pPr>
              <w:ind w:right="486"/>
              <w:jc w:val="center"/>
            </w:pPr>
            <w:r w:rsidRPr="00C37699">
              <w:t>4 (1.0)</w:t>
            </w:r>
          </w:p>
        </w:tc>
        <w:tc>
          <w:tcPr>
            <w:tcW w:w="1843" w:type="dxa"/>
            <w:tcBorders>
              <w:top w:val="nil"/>
              <w:bottom w:val="nil"/>
              <w:right w:val="nil"/>
            </w:tcBorders>
          </w:tcPr>
          <w:p w14:paraId="31CEF2BC" w14:textId="77777777" w:rsidR="00072F9C" w:rsidRPr="00C37699" w:rsidRDefault="00072F9C" w:rsidP="00033807">
            <w:pPr>
              <w:ind w:right="486"/>
              <w:jc w:val="center"/>
            </w:pPr>
            <w:r w:rsidRPr="00C37699">
              <w:t>0</w:t>
            </w:r>
          </w:p>
        </w:tc>
      </w:tr>
      <w:tr w:rsidR="00072F9C" w:rsidRPr="0072034E" w14:paraId="7C0D8705" w14:textId="77777777" w:rsidTr="00033807">
        <w:tc>
          <w:tcPr>
            <w:tcW w:w="2802" w:type="dxa"/>
            <w:tcBorders>
              <w:top w:val="nil"/>
              <w:left w:val="nil"/>
              <w:bottom w:val="nil"/>
            </w:tcBorders>
          </w:tcPr>
          <w:p w14:paraId="0048944F" w14:textId="77777777" w:rsidR="00072F9C" w:rsidRPr="00495DBA" w:rsidRDefault="00072F9C" w:rsidP="00033807">
            <w:pPr>
              <w:spacing w:line="480" w:lineRule="auto"/>
              <w:ind w:left="284" w:right="488"/>
            </w:pPr>
            <w:r w:rsidRPr="00495DBA">
              <w:t>Gain/bloating/</w:t>
            </w:r>
          </w:p>
          <w:p w14:paraId="7B6E3C30" w14:textId="77777777" w:rsidR="00072F9C" w:rsidRPr="00495DBA" w:rsidRDefault="00072F9C" w:rsidP="00033807">
            <w:pPr>
              <w:spacing w:line="480" w:lineRule="auto"/>
              <w:ind w:left="284" w:right="488"/>
            </w:pPr>
            <w:r w:rsidRPr="00495DBA">
              <w:t>swelling</w:t>
            </w:r>
          </w:p>
        </w:tc>
        <w:tc>
          <w:tcPr>
            <w:tcW w:w="1984" w:type="dxa"/>
            <w:tcBorders>
              <w:top w:val="nil"/>
              <w:bottom w:val="nil"/>
              <w:right w:val="single" w:sz="18" w:space="0" w:color="auto"/>
            </w:tcBorders>
          </w:tcPr>
          <w:p w14:paraId="4F08050F" w14:textId="77777777" w:rsidR="00072F9C" w:rsidRPr="00495DBA" w:rsidRDefault="00072F9C" w:rsidP="00033807">
            <w:pPr>
              <w:ind w:right="486"/>
              <w:jc w:val="center"/>
            </w:pPr>
            <w:r w:rsidRPr="00495DBA">
              <w:t>22 (5.0)</w:t>
            </w:r>
          </w:p>
        </w:tc>
        <w:tc>
          <w:tcPr>
            <w:tcW w:w="1843" w:type="dxa"/>
            <w:tcBorders>
              <w:top w:val="nil"/>
              <w:left w:val="single" w:sz="18" w:space="0" w:color="auto"/>
              <w:bottom w:val="nil"/>
            </w:tcBorders>
          </w:tcPr>
          <w:p w14:paraId="01B6EFD6" w14:textId="77777777" w:rsidR="00072F9C" w:rsidRPr="00495DBA" w:rsidRDefault="00072F9C" w:rsidP="00033807">
            <w:pPr>
              <w:ind w:right="486"/>
              <w:jc w:val="center"/>
            </w:pPr>
            <w:r w:rsidRPr="00495DBA">
              <w:t>17 (4.6)</w:t>
            </w:r>
          </w:p>
        </w:tc>
        <w:tc>
          <w:tcPr>
            <w:tcW w:w="1843" w:type="dxa"/>
            <w:tcBorders>
              <w:top w:val="nil"/>
              <w:bottom w:val="nil"/>
            </w:tcBorders>
          </w:tcPr>
          <w:p w14:paraId="621BA0FC" w14:textId="77777777" w:rsidR="00072F9C" w:rsidRPr="00C2366F" w:rsidRDefault="00072F9C" w:rsidP="00033807">
            <w:pPr>
              <w:ind w:right="486"/>
              <w:jc w:val="center"/>
            </w:pPr>
            <w:r w:rsidRPr="00C2366F">
              <w:t>2 (5.7)</w:t>
            </w:r>
          </w:p>
        </w:tc>
        <w:tc>
          <w:tcPr>
            <w:tcW w:w="1842" w:type="dxa"/>
            <w:tcBorders>
              <w:top w:val="nil"/>
              <w:bottom w:val="nil"/>
              <w:right w:val="single" w:sz="18" w:space="0" w:color="auto"/>
            </w:tcBorders>
          </w:tcPr>
          <w:p w14:paraId="58FBBEE3" w14:textId="77777777" w:rsidR="00072F9C" w:rsidRPr="00C37699" w:rsidRDefault="00072F9C" w:rsidP="00033807">
            <w:pPr>
              <w:ind w:right="486"/>
              <w:jc w:val="center"/>
            </w:pPr>
            <w:r w:rsidRPr="00C37699">
              <w:t>3 (7.3)</w:t>
            </w:r>
          </w:p>
        </w:tc>
        <w:tc>
          <w:tcPr>
            <w:tcW w:w="1843" w:type="dxa"/>
            <w:tcBorders>
              <w:top w:val="nil"/>
              <w:left w:val="single" w:sz="18" w:space="0" w:color="auto"/>
              <w:bottom w:val="nil"/>
            </w:tcBorders>
          </w:tcPr>
          <w:p w14:paraId="4CD6E50D" w14:textId="77777777" w:rsidR="00072F9C" w:rsidRPr="00C37699" w:rsidRDefault="00072F9C" w:rsidP="00033807">
            <w:pPr>
              <w:ind w:right="486"/>
              <w:jc w:val="center"/>
            </w:pPr>
            <w:r w:rsidRPr="00C37699">
              <w:t>22 (5.7)</w:t>
            </w:r>
          </w:p>
        </w:tc>
        <w:tc>
          <w:tcPr>
            <w:tcW w:w="1843" w:type="dxa"/>
            <w:tcBorders>
              <w:top w:val="nil"/>
              <w:bottom w:val="nil"/>
              <w:right w:val="nil"/>
            </w:tcBorders>
          </w:tcPr>
          <w:p w14:paraId="6B1E14B6" w14:textId="77777777" w:rsidR="00072F9C" w:rsidRPr="00C37699" w:rsidRDefault="00072F9C" w:rsidP="00033807">
            <w:pPr>
              <w:ind w:right="486"/>
              <w:jc w:val="center"/>
            </w:pPr>
            <w:r w:rsidRPr="00C37699">
              <w:t>0</w:t>
            </w:r>
          </w:p>
        </w:tc>
      </w:tr>
      <w:tr w:rsidR="00072F9C" w:rsidRPr="0072034E" w14:paraId="79F2DFF7" w14:textId="77777777" w:rsidTr="00033807">
        <w:tc>
          <w:tcPr>
            <w:tcW w:w="2802" w:type="dxa"/>
            <w:tcBorders>
              <w:top w:val="nil"/>
              <w:left w:val="nil"/>
              <w:bottom w:val="nil"/>
            </w:tcBorders>
          </w:tcPr>
          <w:p w14:paraId="2E01C33A" w14:textId="77777777" w:rsidR="00072F9C" w:rsidRPr="00495DBA" w:rsidRDefault="00072F9C" w:rsidP="00033807">
            <w:pPr>
              <w:spacing w:line="480" w:lineRule="auto"/>
              <w:ind w:right="488" w:firstLine="284"/>
            </w:pPr>
            <w:r w:rsidRPr="00495DBA">
              <w:t>Unspecified</w:t>
            </w:r>
          </w:p>
        </w:tc>
        <w:tc>
          <w:tcPr>
            <w:tcW w:w="1984" w:type="dxa"/>
            <w:tcBorders>
              <w:top w:val="nil"/>
              <w:bottom w:val="nil"/>
              <w:right w:val="single" w:sz="18" w:space="0" w:color="auto"/>
            </w:tcBorders>
          </w:tcPr>
          <w:p w14:paraId="14AB5E04" w14:textId="77777777" w:rsidR="00072F9C" w:rsidRPr="00495DBA" w:rsidRDefault="00072F9C" w:rsidP="00033807">
            <w:pPr>
              <w:ind w:right="486"/>
              <w:jc w:val="center"/>
            </w:pPr>
            <w:r w:rsidRPr="00495DBA">
              <w:t>20 (4.5)</w:t>
            </w:r>
          </w:p>
        </w:tc>
        <w:tc>
          <w:tcPr>
            <w:tcW w:w="1843" w:type="dxa"/>
            <w:tcBorders>
              <w:top w:val="nil"/>
              <w:left w:val="single" w:sz="18" w:space="0" w:color="auto"/>
              <w:bottom w:val="nil"/>
            </w:tcBorders>
          </w:tcPr>
          <w:p w14:paraId="0D42800B" w14:textId="77777777" w:rsidR="00072F9C" w:rsidRPr="00495DBA" w:rsidRDefault="00072F9C" w:rsidP="00033807">
            <w:pPr>
              <w:ind w:right="486"/>
              <w:jc w:val="center"/>
            </w:pPr>
            <w:r w:rsidRPr="00495DBA">
              <w:t>14 (3.8)</w:t>
            </w:r>
          </w:p>
        </w:tc>
        <w:tc>
          <w:tcPr>
            <w:tcW w:w="1843" w:type="dxa"/>
            <w:tcBorders>
              <w:top w:val="nil"/>
              <w:bottom w:val="nil"/>
            </w:tcBorders>
          </w:tcPr>
          <w:p w14:paraId="4B36EF80" w14:textId="77777777" w:rsidR="00072F9C" w:rsidRPr="00C2366F" w:rsidRDefault="00072F9C" w:rsidP="00033807">
            <w:pPr>
              <w:ind w:right="486"/>
              <w:jc w:val="center"/>
            </w:pPr>
            <w:r w:rsidRPr="00C2366F">
              <w:t>5 (14.3)</w:t>
            </w:r>
          </w:p>
        </w:tc>
        <w:tc>
          <w:tcPr>
            <w:tcW w:w="1842" w:type="dxa"/>
            <w:tcBorders>
              <w:top w:val="nil"/>
              <w:bottom w:val="nil"/>
              <w:right w:val="single" w:sz="18" w:space="0" w:color="auto"/>
            </w:tcBorders>
          </w:tcPr>
          <w:p w14:paraId="158EE29C" w14:textId="77777777" w:rsidR="00072F9C" w:rsidRPr="00C37699" w:rsidRDefault="00072F9C" w:rsidP="00033807">
            <w:pPr>
              <w:ind w:right="486"/>
              <w:jc w:val="center"/>
            </w:pPr>
            <w:r w:rsidRPr="00C37699">
              <w:t>1 (2.4)</w:t>
            </w:r>
          </w:p>
        </w:tc>
        <w:tc>
          <w:tcPr>
            <w:tcW w:w="1843" w:type="dxa"/>
            <w:tcBorders>
              <w:top w:val="nil"/>
              <w:left w:val="single" w:sz="18" w:space="0" w:color="auto"/>
              <w:bottom w:val="nil"/>
            </w:tcBorders>
          </w:tcPr>
          <w:p w14:paraId="25983DBC" w14:textId="77777777" w:rsidR="00072F9C" w:rsidRPr="00C37699" w:rsidRDefault="00072F9C" w:rsidP="00033807">
            <w:pPr>
              <w:ind w:right="486"/>
              <w:jc w:val="center"/>
            </w:pPr>
            <w:r w:rsidRPr="00C37699">
              <w:t>19 (4.9)</w:t>
            </w:r>
          </w:p>
        </w:tc>
        <w:tc>
          <w:tcPr>
            <w:tcW w:w="1843" w:type="dxa"/>
            <w:tcBorders>
              <w:top w:val="nil"/>
              <w:bottom w:val="nil"/>
              <w:right w:val="nil"/>
            </w:tcBorders>
          </w:tcPr>
          <w:p w14:paraId="5C851E93" w14:textId="77777777" w:rsidR="00072F9C" w:rsidRPr="00C37699" w:rsidRDefault="00072F9C" w:rsidP="00033807">
            <w:pPr>
              <w:ind w:right="486"/>
              <w:jc w:val="center"/>
            </w:pPr>
            <w:r w:rsidRPr="00C37699">
              <w:t>1 (1.7)</w:t>
            </w:r>
          </w:p>
        </w:tc>
      </w:tr>
      <w:tr w:rsidR="00072F9C" w:rsidRPr="00614E7F" w14:paraId="6E8ADEAE" w14:textId="77777777" w:rsidTr="00033807">
        <w:tc>
          <w:tcPr>
            <w:tcW w:w="2802" w:type="dxa"/>
            <w:tcBorders>
              <w:top w:val="nil"/>
              <w:left w:val="nil"/>
              <w:bottom w:val="single" w:sz="18" w:space="0" w:color="auto"/>
            </w:tcBorders>
          </w:tcPr>
          <w:p w14:paraId="7586FC84" w14:textId="77777777" w:rsidR="00072F9C" w:rsidRPr="00495DBA" w:rsidRDefault="00072F9C" w:rsidP="00033807">
            <w:pPr>
              <w:spacing w:line="480" w:lineRule="auto"/>
              <w:ind w:right="488"/>
            </w:pPr>
            <w:r w:rsidRPr="00495DBA">
              <w:t>Total</w:t>
            </w:r>
          </w:p>
        </w:tc>
        <w:tc>
          <w:tcPr>
            <w:tcW w:w="1984" w:type="dxa"/>
            <w:tcBorders>
              <w:top w:val="nil"/>
              <w:bottom w:val="single" w:sz="18" w:space="0" w:color="auto"/>
              <w:right w:val="single" w:sz="18" w:space="0" w:color="auto"/>
            </w:tcBorders>
          </w:tcPr>
          <w:p w14:paraId="56924279" w14:textId="77777777" w:rsidR="00072F9C" w:rsidRPr="00495DBA" w:rsidRDefault="00072F9C" w:rsidP="00033807">
            <w:pPr>
              <w:ind w:right="486"/>
              <w:jc w:val="center"/>
            </w:pPr>
            <w:r w:rsidRPr="00495DBA">
              <w:t>444 (100.0)</w:t>
            </w:r>
          </w:p>
        </w:tc>
        <w:tc>
          <w:tcPr>
            <w:tcW w:w="1843" w:type="dxa"/>
            <w:tcBorders>
              <w:top w:val="nil"/>
              <w:left w:val="single" w:sz="18" w:space="0" w:color="auto"/>
              <w:bottom w:val="single" w:sz="18" w:space="0" w:color="auto"/>
            </w:tcBorders>
          </w:tcPr>
          <w:p w14:paraId="440CF2CD" w14:textId="77777777" w:rsidR="00072F9C" w:rsidRPr="00495DBA" w:rsidRDefault="00072F9C" w:rsidP="00033807">
            <w:pPr>
              <w:ind w:right="486"/>
              <w:jc w:val="center"/>
            </w:pPr>
            <w:r w:rsidRPr="00495DBA">
              <w:t>368 (100.0)</w:t>
            </w:r>
          </w:p>
        </w:tc>
        <w:tc>
          <w:tcPr>
            <w:tcW w:w="1843" w:type="dxa"/>
            <w:tcBorders>
              <w:top w:val="nil"/>
              <w:bottom w:val="single" w:sz="18" w:space="0" w:color="auto"/>
            </w:tcBorders>
          </w:tcPr>
          <w:p w14:paraId="3FCB69F4" w14:textId="77777777" w:rsidR="00072F9C" w:rsidRPr="00C2366F" w:rsidRDefault="00072F9C" w:rsidP="00033807">
            <w:pPr>
              <w:ind w:right="486"/>
              <w:jc w:val="center"/>
            </w:pPr>
            <w:r w:rsidRPr="00C2366F">
              <w:t>35 (100.0)</w:t>
            </w:r>
          </w:p>
        </w:tc>
        <w:tc>
          <w:tcPr>
            <w:tcW w:w="1842" w:type="dxa"/>
            <w:tcBorders>
              <w:top w:val="nil"/>
              <w:bottom w:val="single" w:sz="18" w:space="0" w:color="auto"/>
              <w:right w:val="single" w:sz="18" w:space="0" w:color="auto"/>
            </w:tcBorders>
          </w:tcPr>
          <w:p w14:paraId="79AC9A6A" w14:textId="77777777" w:rsidR="00072F9C" w:rsidRPr="00C37699" w:rsidRDefault="00072F9C" w:rsidP="00033807">
            <w:pPr>
              <w:ind w:right="486"/>
              <w:jc w:val="center"/>
            </w:pPr>
            <w:r w:rsidRPr="00C37699">
              <w:t>41 (100.0)</w:t>
            </w:r>
          </w:p>
        </w:tc>
        <w:tc>
          <w:tcPr>
            <w:tcW w:w="1843" w:type="dxa"/>
            <w:tcBorders>
              <w:top w:val="nil"/>
              <w:left w:val="single" w:sz="18" w:space="0" w:color="auto"/>
              <w:bottom w:val="single" w:sz="18" w:space="0" w:color="auto"/>
            </w:tcBorders>
          </w:tcPr>
          <w:p w14:paraId="6DACE079" w14:textId="77777777" w:rsidR="00072F9C" w:rsidRPr="00C37699" w:rsidRDefault="00072F9C" w:rsidP="00033807">
            <w:pPr>
              <w:ind w:right="486"/>
              <w:jc w:val="center"/>
            </w:pPr>
            <w:r w:rsidRPr="00C37699">
              <w:t>386 (100.0)</w:t>
            </w:r>
          </w:p>
        </w:tc>
        <w:tc>
          <w:tcPr>
            <w:tcW w:w="1843" w:type="dxa"/>
            <w:tcBorders>
              <w:top w:val="nil"/>
              <w:bottom w:val="single" w:sz="18" w:space="0" w:color="auto"/>
              <w:right w:val="nil"/>
            </w:tcBorders>
          </w:tcPr>
          <w:p w14:paraId="1C2C677D" w14:textId="77777777" w:rsidR="00072F9C" w:rsidRPr="00C37699" w:rsidRDefault="00072F9C" w:rsidP="00033807">
            <w:pPr>
              <w:ind w:right="486"/>
              <w:jc w:val="center"/>
            </w:pPr>
            <w:r w:rsidRPr="00C37699">
              <w:t>58 (100.0)</w:t>
            </w:r>
          </w:p>
        </w:tc>
      </w:tr>
    </w:tbl>
    <w:p w14:paraId="65C8DAEB" w14:textId="77777777" w:rsidR="00072F9C" w:rsidRDefault="00072F9C" w:rsidP="00C35967">
      <w:pPr>
        <w:outlineLvl w:val="0"/>
        <w:rPr>
          <w:b/>
        </w:rPr>
      </w:pPr>
    </w:p>
    <w:p w14:paraId="785CF8C9" w14:textId="77777777" w:rsidR="00072F9C" w:rsidRDefault="00072F9C">
      <w:pPr>
        <w:rPr>
          <w:b/>
        </w:rPr>
      </w:pPr>
      <w:r>
        <w:rPr>
          <w:b/>
        </w:rPr>
        <w:br w:type="page"/>
      </w:r>
    </w:p>
    <w:p w14:paraId="03645874" w14:textId="6583478E" w:rsidR="00C35967" w:rsidRPr="00614E7F" w:rsidRDefault="00072F9C" w:rsidP="00C35967">
      <w:pPr>
        <w:outlineLvl w:val="0"/>
        <w:rPr>
          <w:b/>
        </w:rPr>
      </w:pPr>
      <w:r>
        <w:rPr>
          <w:b/>
        </w:rPr>
        <w:lastRenderedPageBreak/>
        <w:t xml:space="preserve">Table 3. </w:t>
      </w:r>
      <w:r w:rsidR="00C35967" w:rsidRPr="00614E7F">
        <w:rPr>
          <w:b/>
        </w:rPr>
        <w:t xml:space="preserve">Unadjusted and Adjusted Comparisons of Appearance Concerns across Sociodemographic and Disease Variables </w:t>
      </w:r>
    </w:p>
    <w:p w14:paraId="6C5427E5" w14:textId="77777777" w:rsidR="00C35967" w:rsidRDefault="00C35967"/>
    <w:tbl>
      <w:tblPr>
        <w:tblStyle w:val="TableGrid"/>
        <w:tblW w:w="12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1985"/>
        <w:gridCol w:w="2126"/>
        <w:gridCol w:w="2126"/>
        <w:gridCol w:w="2126"/>
      </w:tblGrid>
      <w:tr w:rsidR="00C35967" w:rsidRPr="00614E7F" w14:paraId="4BDF6F3C" w14:textId="77777777" w:rsidTr="00A92A85">
        <w:tc>
          <w:tcPr>
            <w:tcW w:w="4219" w:type="dxa"/>
            <w:tcBorders>
              <w:top w:val="single" w:sz="18" w:space="0" w:color="auto"/>
              <w:bottom w:val="single" w:sz="18" w:space="0" w:color="auto"/>
            </w:tcBorders>
          </w:tcPr>
          <w:p w14:paraId="738B6F34" w14:textId="77777777" w:rsidR="00C35967" w:rsidRPr="00614E7F" w:rsidRDefault="00C35967" w:rsidP="00A92A85">
            <w:pPr>
              <w:spacing w:line="480" w:lineRule="auto"/>
              <w:rPr>
                <w:b/>
                <w:color w:val="000000"/>
              </w:rPr>
            </w:pPr>
            <w:r w:rsidRPr="00614E7F">
              <w:rPr>
                <w:b/>
                <w:color w:val="000000"/>
              </w:rPr>
              <w:t>Variable</w:t>
            </w:r>
          </w:p>
        </w:tc>
        <w:tc>
          <w:tcPr>
            <w:tcW w:w="1985" w:type="dxa"/>
            <w:tcBorders>
              <w:top w:val="single" w:sz="18" w:space="0" w:color="auto"/>
              <w:bottom w:val="single" w:sz="18" w:space="0" w:color="auto"/>
            </w:tcBorders>
          </w:tcPr>
          <w:p w14:paraId="47361733" w14:textId="77777777" w:rsidR="00C35967" w:rsidRPr="00614E7F" w:rsidRDefault="00C35967" w:rsidP="00A92A85">
            <w:pPr>
              <w:spacing w:line="480" w:lineRule="auto"/>
              <w:jc w:val="center"/>
              <w:rPr>
                <w:b/>
              </w:rPr>
            </w:pPr>
            <w:r w:rsidRPr="00614E7F">
              <w:rPr>
                <w:b/>
              </w:rPr>
              <w:t xml:space="preserve">Unadjusted </w:t>
            </w:r>
          </w:p>
          <w:p w14:paraId="0124DC5E" w14:textId="77777777" w:rsidR="00C35967" w:rsidRPr="00614E7F" w:rsidRDefault="00C35967" w:rsidP="00A92A85">
            <w:pPr>
              <w:spacing w:line="480" w:lineRule="auto"/>
              <w:jc w:val="center"/>
              <w:rPr>
                <w:b/>
              </w:rPr>
            </w:pPr>
            <w:r w:rsidRPr="00614E7F">
              <w:rPr>
                <w:b/>
              </w:rPr>
              <w:t>OR (95% CI)</w:t>
            </w:r>
          </w:p>
        </w:tc>
        <w:tc>
          <w:tcPr>
            <w:tcW w:w="2126" w:type="dxa"/>
            <w:tcBorders>
              <w:top w:val="single" w:sz="18" w:space="0" w:color="auto"/>
              <w:bottom w:val="single" w:sz="18" w:space="0" w:color="auto"/>
            </w:tcBorders>
          </w:tcPr>
          <w:p w14:paraId="7E26B7A5" w14:textId="77777777" w:rsidR="00C35967" w:rsidRPr="00614E7F" w:rsidRDefault="00C35967" w:rsidP="00A92A85">
            <w:pPr>
              <w:spacing w:line="480" w:lineRule="auto"/>
              <w:jc w:val="center"/>
              <w:rPr>
                <w:b/>
              </w:rPr>
            </w:pPr>
          </w:p>
          <w:p w14:paraId="2E60294F" w14:textId="77777777" w:rsidR="00C35967" w:rsidRPr="00614E7F" w:rsidRDefault="00C35967" w:rsidP="00A92A85">
            <w:pPr>
              <w:spacing w:line="480" w:lineRule="auto"/>
              <w:jc w:val="center"/>
              <w:rPr>
                <w:b/>
              </w:rPr>
            </w:pPr>
            <w:r w:rsidRPr="00614E7F">
              <w:rPr>
                <w:b/>
              </w:rPr>
              <w:t>p value</w:t>
            </w:r>
          </w:p>
        </w:tc>
        <w:tc>
          <w:tcPr>
            <w:tcW w:w="2126" w:type="dxa"/>
            <w:tcBorders>
              <w:top w:val="single" w:sz="18" w:space="0" w:color="auto"/>
              <w:bottom w:val="single" w:sz="18" w:space="0" w:color="auto"/>
            </w:tcBorders>
          </w:tcPr>
          <w:p w14:paraId="3A1D7E29" w14:textId="77777777" w:rsidR="00C35967" w:rsidRPr="00614E7F" w:rsidRDefault="00C35967" w:rsidP="00A92A85">
            <w:pPr>
              <w:spacing w:line="480" w:lineRule="auto"/>
              <w:jc w:val="center"/>
              <w:rPr>
                <w:b/>
              </w:rPr>
            </w:pPr>
            <w:r w:rsidRPr="00614E7F">
              <w:rPr>
                <w:b/>
              </w:rPr>
              <w:t xml:space="preserve">Adjusted </w:t>
            </w:r>
          </w:p>
          <w:p w14:paraId="187DC928" w14:textId="77777777" w:rsidR="00C35967" w:rsidRPr="00614E7F" w:rsidRDefault="00C35967" w:rsidP="00A92A85">
            <w:pPr>
              <w:spacing w:line="480" w:lineRule="auto"/>
              <w:jc w:val="center"/>
              <w:rPr>
                <w:b/>
              </w:rPr>
            </w:pPr>
            <w:r w:rsidRPr="00614E7F">
              <w:rPr>
                <w:b/>
              </w:rPr>
              <w:t>OR (95% CI)</w:t>
            </w:r>
            <w:r w:rsidRPr="00614E7F">
              <w:rPr>
                <w:b/>
                <w:vertAlign w:val="superscript"/>
              </w:rPr>
              <w:t>a</w:t>
            </w:r>
          </w:p>
        </w:tc>
        <w:tc>
          <w:tcPr>
            <w:tcW w:w="2126" w:type="dxa"/>
            <w:tcBorders>
              <w:top w:val="single" w:sz="18" w:space="0" w:color="auto"/>
              <w:bottom w:val="single" w:sz="18" w:space="0" w:color="auto"/>
            </w:tcBorders>
          </w:tcPr>
          <w:p w14:paraId="2C9ACA57" w14:textId="77777777" w:rsidR="00C35967" w:rsidRPr="00614E7F" w:rsidRDefault="00C35967" w:rsidP="00A92A85">
            <w:pPr>
              <w:spacing w:line="480" w:lineRule="auto"/>
              <w:jc w:val="center"/>
              <w:rPr>
                <w:b/>
              </w:rPr>
            </w:pPr>
          </w:p>
          <w:p w14:paraId="49513808" w14:textId="77777777" w:rsidR="00C35967" w:rsidRPr="00614E7F" w:rsidRDefault="00C35967" w:rsidP="00A92A85">
            <w:pPr>
              <w:spacing w:line="480" w:lineRule="auto"/>
              <w:jc w:val="center"/>
              <w:rPr>
                <w:b/>
              </w:rPr>
            </w:pPr>
            <w:r w:rsidRPr="00614E7F">
              <w:rPr>
                <w:b/>
              </w:rPr>
              <w:t>p value</w:t>
            </w:r>
          </w:p>
        </w:tc>
      </w:tr>
      <w:tr w:rsidR="00C35967" w:rsidRPr="00614E7F" w14:paraId="1C56FE69" w14:textId="77777777" w:rsidTr="00A92A85">
        <w:tc>
          <w:tcPr>
            <w:tcW w:w="4219" w:type="dxa"/>
            <w:tcBorders>
              <w:top w:val="single" w:sz="18" w:space="0" w:color="auto"/>
            </w:tcBorders>
          </w:tcPr>
          <w:p w14:paraId="55BB32F4" w14:textId="77777777" w:rsidR="00C35967" w:rsidRPr="00614E7F" w:rsidRDefault="00C35967" w:rsidP="00A92A85">
            <w:pPr>
              <w:spacing w:line="480" w:lineRule="auto"/>
              <w:rPr>
                <w:color w:val="000000"/>
              </w:rPr>
            </w:pPr>
            <w:r w:rsidRPr="00614E7F">
              <w:rPr>
                <w:color w:val="000000"/>
              </w:rPr>
              <w:t>Race/ethnicity (reference = White)</w:t>
            </w:r>
          </w:p>
          <w:p w14:paraId="099E9289" w14:textId="77777777" w:rsidR="00C35967" w:rsidRPr="00614E7F" w:rsidRDefault="00C35967" w:rsidP="00A92A85">
            <w:pPr>
              <w:spacing w:line="480" w:lineRule="auto"/>
              <w:ind w:firstLine="284"/>
              <w:rPr>
                <w:color w:val="000000"/>
              </w:rPr>
            </w:pPr>
            <w:r w:rsidRPr="00614E7F">
              <w:rPr>
                <w:color w:val="000000"/>
              </w:rPr>
              <w:t>Black</w:t>
            </w:r>
          </w:p>
        </w:tc>
        <w:tc>
          <w:tcPr>
            <w:tcW w:w="1985" w:type="dxa"/>
            <w:tcBorders>
              <w:top w:val="single" w:sz="18" w:space="0" w:color="auto"/>
            </w:tcBorders>
          </w:tcPr>
          <w:p w14:paraId="236847B8" w14:textId="77777777" w:rsidR="00C35967" w:rsidRPr="00614E7F" w:rsidRDefault="00C35967" w:rsidP="00A92A85">
            <w:pPr>
              <w:spacing w:line="480" w:lineRule="auto"/>
              <w:jc w:val="center"/>
            </w:pPr>
          </w:p>
          <w:p w14:paraId="72942F4A" w14:textId="77777777" w:rsidR="00C35967" w:rsidRPr="00614E7F" w:rsidRDefault="00C35967" w:rsidP="00A92A85">
            <w:pPr>
              <w:spacing w:line="480" w:lineRule="auto"/>
              <w:jc w:val="center"/>
            </w:pPr>
            <w:r w:rsidRPr="00614E7F">
              <w:t>2.64 (1.01-6.34)</w:t>
            </w:r>
          </w:p>
        </w:tc>
        <w:tc>
          <w:tcPr>
            <w:tcW w:w="2126" w:type="dxa"/>
            <w:tcBorders>
              <w:top w:val="single" w:sz="18" w:space="0" w:color="auto"/>
            </w:tcBorders>
          </w:tcPr>
          <w:p w14:paraId="39E714BB" w14:textId="77777777" w:rsidR="00C35967" w:rsidRPr="00614E7F" w:rsidRDefault="00C35967" w:rsidP="00A92A85">
            <w:pPr>
              <w:spacing w:line="480" w:lineRule="auto"/>
              <w:jc w:val="center"/>
            </w:pPr>
          </w:p>
          <w:p w14:paraId="711324AB" w14:textId="77777777" w:rsidR="00C35967" w:rsidRPr="00614E7F" w:rsidRDefault="00C35967" w:rsidP="00A92A85">
            <w:pPr>
              <w:spacing w:line="480" w:lineRule="auto"/>
              <w:jc w:val="center"/>
            </w:pPr>
            <w:r w:rsidRPr="00614E7F">
              <w:t>.030</w:t>
            </w:r>
          </w:p>
        </w:tc>
        <w:tc>
          <w:tcPr>
            <w:tcW w:w="2126" w:type="dxa"/>
            <w:tcBorders>
              <w:top w:val="single" w:sz="18" w:space="0" w:color="auto"/>
            </w:tcBorders>
          </w:tcPr>
          <w:p w14:paraId="0672B30E" w14:textId="77777777" w:rsidR="00C35967" w:rsidRPr="00614E7F" w:rsidRDefault="00C35967" w:rsidP="00A92A85">
            <w:pPr>
              <w:spacing w:line="480" w:lineRule="auto"/>
              <w:jc w:val="center"/>
            </w:pPr>
          </w:p>
          <w:p w14:paraId="794BC82B" w14:textId="77777777" w:rsidR="00C35967" w:rsidRPr="00614E7F" w:rsidRDefault="00C35967" w:rsidP="00A92A85">
            <w:pPr>
              <w:spacing w:line="480" w:lineRule="auto"/>
              <w:jc w:val="center"/>
            </w:pPr>
            <w:r w:rsidRPr="00614E7F">
              <w:t>1.76 (0.67-4.60)</w:t>
            </w:r>
          </w:p>
        </w:tc>
        <w:tc>
          <w:tcPr>
            <w:tcW w:w="2126" w:type="dxa"/>
            <w:tcBorders>
              <w:top w:val="single" w:sz="18" w:space="0" w:color="auto"/>
            </w:tcBorders>
          </w:tcPr>
          <w:p w14:paraId="6B4B20A4" w14:textId="77777777" w:rsidR="00C35967" w:rsidRPr="00614E7F" w:rsidRDefault="00C35967" w:rsidP="00A92A85">
            <w:pPr>
              <w:spacing w:line="480" w:lineRule="auto"/>
              <w:jc w:val="center"/>
            </w:pPr>
          </w:p>
          <w:p w14:paraId="3C3019B5" w14:textId="77777777" w:rsidR="00C35967" w:rsidRPr="00614E7F" w:rsidRDefault="00C35967" w:rsidP="00A92A85">
            <w:pPr>
              <w:spacing w:line="480" w:lineRule="auto"/>
              <w:jc w:val="center"/>
            </w:pPr>
            <w:r w:rsidRPr="00614E7F">
              <w:t>.250</w:t>
            </w:r>
          </w:p>
        </w:tc>
      </w:tr>
      <w:tr w:rsidR="00C35967" w:rsidRPr="00614E7F" w14:paraId="07A4D3BB" w14:textId="77777777" w:rsidTr="00A92A85">
        <w:tc>
          <w:tcPr>
            <w:tcW w:w="4219" w:type="dxa"/>
          </w:tcPr>
          <w:p w14:paraId="506ACAD3" w14:textId="77777777" w:rsidR="00C35967" w:rsidRPr="00614E7F" w:rsidRDefault="00C35967" w:rsidP="00A92A85">
            <w:pPr>
              <w:spacing w:line="480" w:lineRule="auto"/>
              <w:ind w:firstLine="284"/>
              <w:rPr>
                <w:color w:val="000000"/>
              </w:rPr>
            </w:pPr>
            <w:r w:rsidRPr="00614E7F">
              <w:rPr>
                <w:color w:val="000000"/>
              </w:rPr>
              <w:t>Other</w:t>
            </w:r>
          </w:p>
        </w:tc>
        <w:tc>
          <w:tcPr>
            <w:tcW w:w="1985" w:type="dxa"/>
          </w:tcPr>
          <w:p w14:paraId="2BF3E1D6" w14:textId="77777777" w:rsidR="00C35967" w:rsidRPr="00614E7F" w:rsidRDefault="00C35967" w:rsidP="00A92A85">
            <w:pPr>
              <w:spacing w:line="480" w:lineRule="auto"/>
              <w:jc w:val="center"/>
            </w:pPr>
            <w:r w:rsidRPr="00614E7F">
              <w:t>0.92 (0.52-1.65)</w:t>
            </w:r>
          </w:p>
        </w:tc>
        <w:tc>
          <w:tcPr>
            <w:tcW w:w="2126" w:type="dxa"/>
          </w:tcPr>
          <w:p w14:paraId="462B98C5" w14:textId="77777777" w:rsidR="00C35967" w:rsidRPr="00614E7F" w:rsidRDefault="00C35967" w:rsidP="00A92A85">
            <w:pPr>
              <w:spacing w:line="480" w:lineRule="auto"/>
              <w:jc w:val="center"/>
            </w:pPr>
            <w:r w:rsidRPr="00614E7F">
              <w:t>.788</w:t>
            </w:r>
          </w:p>
        </w:tc>
        <w:tc>
          <w:tcPr>
            <w:tcW w:w="2126" w:type="dxa"/>
          </w:tcPr>
          <w:p w14:paraId="1190A917" w14:textId="77777777" w:rsidR="00C35967" w:rsidRPr="00614E7F" w:rsidRDefault="00C35967" w:rsidP="00A92A85">
            <w:pPr>
              <w:spacing w:line="480" w:lineRule="auto"/>
              <w:jc w:val="center"/>
            </w:pPr>
            <w:r w:rsidRPr="00614E7F">
              <w:t>0.59 (0.31-1.14)</w:t>
            </w:r>
          </w:p>
        </w:tc>
        <w:tc>
          <w:tcPr>
            <w:tcW w:w="2126" w:type="dxa"/>
          </w:tcPr>
          <w:p w14:paraId="75B3A3EE" w14:textId="77777777" w:rsidR="00C35967" w:rsidRPr="00614E7F" w:rsidRDefault="00C35967" w:rsidP="00A92A85">
            <w:pPr>
              <w:spacing w:line="480" w:lineRule="auto"/>
              <w:jc w:val="center"/>
            </w:pPr>
            <w:r w:rsidRPr="00614E7F">
              <w:t>.117</w:t>
            </w:r>
          </w:p>
        </w:tc>
      </w:tr>
      <w:tr w:rsidR="00C35967" w:rsidRPr="00614E7F" w14:paraId="72EBD806" w14:textId="77777777" w:rsidTr="00A92A85">
        <w:tc>
          <w:tcPr>
            <w:tcW w:w="4219" w:type="dxa"/>
          </w:tcPr>
          <w:p w14:paraId="595B608F" w14:textId="77777777" w:rsidR="00C35967" w:rsidRPr="00614E7F" w:rsidRDefault="00C35967" w:rsidP="00A92A85">
            <w:pPr>
              <w:spacing w:line="480" w:lineRule="auto"/>
            </w:pPr>
            <w:r w:rsidRPr="00614E7F">
              <w:rPr>
                <w:color w:val="000000"/>
              </w:rPr>
              <w:t>Age</w:t>
            </w:r>
          </w:p>
        </w:tc>
        <w:tc>
          <w:tcPr>
            <w:tcW w:w="1985" w:type="dxa"/>
          </w:tcPr>
          <w:p w14:paraId="21942D8F" w14:textId="77777777" w:rsidR="00C35967" w:rsidRPr="00614E7F" w:rsidRDefault="00C35967" w:rsidP="00A92A85">
            <w:pPr>
              <w:spacing w:line="480" w:lineRule="auto"/>
              <w:jc w:val="center"/>
            </w:pPr>
            <w:r w:rsidRPr="00614E7F">
              <w:t>0.97 (0.96-0.98)</w:t>
            </w:r>
          </w:p>
        </w:tc>
        <w:tc>
          <w:tcPr>
            <w:tcW w:w="2126" w:type="dxa"/>
          </w:tcPr>
          <w:p w14:paraId="4CA49819" w14:textId="77777777" w:rsidR="00C35967" w:rsidRPr="00614E7F" w:rsidRDefault="00C35967" w:rsidP="00A92A85">
            <w:pPr>
              <w:spacing w:line="480" w:lineRule="auto"/>
              <w:jc w:val="center"/>
            </w:pPr>
            <w:r w:rsidRPr="00614E7F">
              <w:t>&lt;.001</w:t>
            </w:r>
          </w:p>
        </w:tc>
        <w:tc>
          <w:tcPr>
            <w:tcW w:w="2126" w:type="dxa"/>
          </w:tcPr>
          <w:p w14:paraId="616BC60E" w14:textId="77777777" w:rsidR="00C35967" w:rsidRPr="00614E7F" w:rsidRDefault="00C35967" w:rsidP="00A92A85">
            <w:pPr>
              <w:spacing w:line="480" w:lineRule="auto"/>
              <w:jc w:val="center"/>
            </w:pPr>
            <w:r w:rsidRPr="00614E7F">
              <w:t>0.98 (0.96-0.99)</w:t>
            </w:r>
          </w:p>
        </w:tc>
        <w:tc>
          <w:tcPr>
            <w:tcW w:w="2126" w:type="dxa"/>
          </w:tcPr>
          <w:p w14:paraId="7E99F228" w14:textId="77777777" w:rsidR="00C35967" w:rsidRPr="00614E7F" w:rsidRDefault="00C35967" w:rsidP="00A92A85">
            <w:pPr>
              <w:spacing w:line="480" w:lineRule="auto"/>
              <w:jc w:val="center"/>
            </w:pPr>
            <w:r w:rsidRPr="00614E7F">
              <w:t>.007</w:t>
            </w:r>
          </w:p>
        </w:tc>
      </w:tr>
      <w:tr w:rsidR="00C35967" w:rsidRPr="00614E7F" w14:paraId="77BBCB4F" w14:textId="77777777" w:rsidTr="00A92A85">
        <w:tc>
          <w:tcPr>
            <w:tcW w:w="4219" w:type="dxa"/>
          </w:tcPr>
          <w:p w14:paraId="5CCB42CF" w14:textId="77777777" w:rsidR="00C35967" w:rsidRPr="00614E7F" w:rsidRDefault="00C35967" w:rsidP="00A92A85">
            <w:pPr>
              <w:spacing w:line="480" w:lineRule="auto"/>
            </w:pPr>
            <w:r w:rsidRPr="00614E7F">
              <w:rPr>
                <w:color w:val="000000"/>
              </w:rPr>
              <w:t>Female sex</w:t>
            </w:r>
          </w:p>
        </w:tc>
        <w:tc>
          <w:tcPr>
            <w:tcW w:w="1985" w:type="dxa"/>
          </w:tcPr>
          <w:p w14:paraId="7CCED6F0" w14:textId="77777777" w:rsidR="00C35967" w:rsidRPr="00614E7F" w:rsidRDefault="00C35967" w:rsidP="00A92A85">
            <w:pPr>
              <w:spacing w:line="480" w:lineRule="auto"/>
              <w:jc w:val="center"/>
            </w:pPr>
            <w:r w:rsidRPr="00614E7F">
              <w:t>2.70 (1.73-4.22)</w:t>
            </w:r>
          </w:p>
        </w:tc>
        <w:tc>
          <w:tcPr>
            <w:tcW w:w="2126" w:type="dxa"/>
          </w:tcPr>
          <w:p w14:paraId="2618A9ED" w14:textId="77777777" w:rsidR="00C35967" w:rsidRPr="00614E7F" w:rsidRDefault="00C35967" w:rsidP="00A92A85">
            <w:pPr>
              <w:spacing w:line="480" w:lineRule="auto"/>
              <w:jc w:val="center"/>
            </w:pPr>
            <w:r w:rsidRPr="00614E7F">
              <w:t>&lt;.001</w:t>
            </w:r>
          </w:p>
        </w:tc>
        <w:tc>
          <w:tcPr>
            <w:tcW w:w="2126" w:type="dxa"/>
          </w:tcPr>
          <w:p w14:paraId="1B3BC2F0" w14:textId="77777777" w:rsidR="00C35967" w:rsidRPr="00614E7F" w:rsidRDefault="00C35967" w:rsidP="00A92A85">
            <w:pPr>
              <w:spacing w:line="480" w:lineRule="auto"/>
              <w:jc w:val="center"/>
            </w:pPr>
            <w:r w:rsidRPr="00614E7F">
              <w:t>2.97 (1.78-4.95)</w:t>
            </w:r>
          </w:p>
        </w:tc>
        <w:tc>
          <w:tcPr>
            <w:tcW w:w="2126" w:type="dxa"/>
          </w:tcPr>
          <w:p w14:paraId="5EB242DC" w14:textId="77777777" w:rsidR="00C35967" w:rsidRPr="00614E7F" w:rsidRDefault="00C35967" w:rsidP="00A92A85">
            <w:pPr>
              <w:spacing w:line="480" w:lineRule="auto"/>
              <w:jc w:val="center"/>
            </w:pPr>
            <w:r w:rsidRPr="00614E7F">
              <w:t>&lt;.001</w:t>
            </w:r>
          </w:p>
        </w:tc>
      </w:tr>
      <w:tr w:rsidR="00C35967" w:rsidRPr="00614E7F" w14:paraId="53D72D90" w14:textId="77777777" w:rsidTr="00A92A85">
        <w:tc>
          <w:tcPr>
            <w:tcW w:w="4219" w:type="dxa"/>
          </w:tcPr>
          <w:p w14:paraId="7A738A49" w14:textId="77777777" w:rsidR="00C35967" w:rsidRPr="00614E7F" w:rsidRDefault="00C35967" w:rsidP="00A92A85">
            <w:pPr>
              <w:spacing w:line="480" w:lineRule="auto"/>
            </w:pPr>
            <w:r w:rsidRPr="00614E7F">
              <w:rPr>
                <w:color w:val="000000"/>
              </w:rPr>
              <w:t xml:space="preserve">Education </w:t>
            </w:r>
            <w:r w:rsidRPr="00614E7F">
              <w:rPr>
                <w:color w:val="000000"/>
              </w:rPr>
              <w:sym w:font="Symbol" w:char="F0A3"/>
            </w:r>
            <w:r w:rsidRPr="00614E7F">
              <w:rPr>
                <w:color w:val="000000"/>
              </w:rPr>
              <w:t xml:space="preserve"> 12 years</w:t>
            </w:r>
          </w:p>
        </w:tc>
        <w:tc>
          <w:tcPr>
            <w:tcW w:w="1985" w:type="dxa"/>
          </w:tcPr>
          <w:p w14:paraId="3D8D04A3" w14:textId="77777777" w:rsidR="00C35967" w:rsidRPr="00614E7F" w:rsidRDefault="00C35967" w:rsidP="00A92A85">
            <w:pPr>
              <w:spacing w:line="480" w:lineRule="auto"/>
              <w:jc w:val="center"/>
            </w:pPr>
            <w:r w:rsidRPr="00614E7F">
              <w:t>0.69 (0.47-1.02)</w:t>
            </w:r>
          </w:p>
        </w:tc>
        <w:tc>
          <w:tcPr>
            <w:tcW w:w="2126" w:type="dxa"/>
          </w:tcPr>
          <w:p w14:paraId="65F7AD44" w14:textId="77777777" w:rsidR="00C35967" w:rsidRPr="00614E7F" w:rsidRDefault="00C35967" w:rsidP="00A92A85">
            <w:pPr>
              <w:spacing w:line="480" w:lineRule="auto"/>
              <w:jc w:val="center"/>
            </w:pPr>
            <w:r w:rsidRPr="00614E7F">
              <w:t>.063</w:t>
            </w:r>
          </w:p>
        </w:tc>
        <w:tc>
          <w:tcPr>
            <w:tcW w:w="2126" w:type="dxa"/>
          </w:tcPr>
          <w:p w14:paraId="69BEF18D" w14:textId="77777777" w:rsidR="00C35967" w:rsidRPr="00614E7F" w:rsidRDefault="00C35967" w:rsidP="00A92A85">
            <w:pPr>
              <w:spacing w:line="480" w:lineRule="auto"/>
              <w:jc w:val="center"/>
            </w:pPr>
            <w:r w:rsidRPr="00614E7F">
              <w:t>0.74 (0.48-1.14)</w:t>
            </w:r>
          </w:p>
        </w:tc>
        <w:tc>
          <w:tcPr>
            <w:tcW w:w="2126" w:type="dxa"/>
          </w:tcPr>
          <w:p w14:paraId="5D45A4FC" w14:textId="77777777" w:rsidR="00C35967" w:rsidRPr="00614E7F" w:rsidRDefault="00C35967" w:rsidP="00A92A85">
            <w:pPr>
              <w:spacing w:line="480" w:lineRule="auto"/>
              <w:jc w:val="center"/>
            </w:pPr>
            <w:r w:rsidRPr="00614E7F">
              <w:t>.174</w:t>
            </w:r>
          </w:p>
        </w:tc>
      </w:tr>
      <w:tr w:rsidR="00C35967" w:rsidRPr="00614E7F" w14:paraId="23594C4F" w14:textId="77777777" w:rsidTr="00A92A85">
        <w:tc>
          <w:tcPr>
            <w:tcW w:w="4219" w:type="dxa"/>
          </w:tcPr>
          <w:p w14:paraId="00FBDB3D" w14:textId="77777777" w:rsidR="00C35967" w:rsidRPr="00614E7F" w:rsidRDefault="00C35967" w:rsidP="00A92A85">
            <w:pPr>
              <w:spacing w:line="480" w:lineRule="auto"/>
            </w:pPr>
            <w:r w:rsidRPr="00614E7F">
              <w:rPr>
                <w:color w:val="000000"/>
              </w:rPr>
              <w:t xml:space="preserve">Not married/living as married </w:t>
            </w:r>
          </w:p>
        </w:tc>
        <w:tc>
          <w:tcPr>
            <w:tcW w:w="1985" w:type="dxa"/>
          </w:tcPr>
          <w:p w14:paraId="5916522E" w14:textId="77777777" w:rsidR="00C35967" w:rsidRPr="00614E7F" w:rsidRDefault="00C35967" w:rsidP="00A92A85">
            <w:pPr>
              <w:spacing w:line="480" w:lineRule="auto"/>
              <w:jc w:val="center"/>
            </w:pPr>
            <w:r w:rsidRPr="00614E7F">
              <w:t>1.36 (0.92-2.00)</w:t>
            </w:r>
          </w:p>
        </w:tc>
        <w:tc>
          <w:tcPr>
            <w:tcW w:w="2126" w:type="dxa"/>
          </w:tcPr>
          <w:p w14:paraId="485B9032" w14:textId="77777777" w:rsidR="00C35967" w:rsidRPr="00614E7F" w:rsidRDefault="00C35967" w:rsidP="00A92A85">
            <w:pPr>
              <w:spacing w:line="480" w:lineRule="auto"/>
              <w:jc w:val="center"/>
            </w:pPr>
            <w:r w:rsidRPr="00614E7F">
              <w:t>.121</w:t>
            </w:r>
          </w:p>
        </w:tc>
        <w:tc>
          <w:tcPr>
            <w:tcW w:w="2126" w:type="dxa"/>
          </w:tcPr>
          <w:p w14:paraId="7BB7992A" w14:textId="77777777" w:rsidR="00C35967" w:rsidRPr="00614E7F" w:rsidRDefault="00C35967" w:rsidP="00A92A85">
            <w:pPr>
              <w:spacing w:line="480" w:lineRule="auto"/>
              <w:jc w:val="center"/>
            </w:pPr>
            <w:r w:rsidRPr="00614E7F">
              <w:t>1.05 (0.68-1.60)</w:t>
            </w:r>
          </w:p>
        </w:tc>
        <w:tc>
          <w:tcPr>
            <w:tcW w:w="2126" w:type="dxa"/>
          </w:tcPr>
          <w:p w14:paraId="4D7BD9A4" w14:textId="77777777" w:rsidR="00C35967" w:rsidRPr="00614E7F" w:rsidRDefault="00C35967" w:rsidP="00A92A85">
            <w:pPr>
              <w:spacing w:line="480" w:lineRule="auto"/>
              <w:jc w:val="center"/>
            </w:pPr>
            <w:r w:rsidRPr="00614E7F">
              <w:t>.841</w:t>
            </w:r>
          </w:p>
        </w:tc>
      </w:tr>
      <w:tr w:rsidR="00C35967" w:rsidRPr="00614E7F" w14:paraId="61CB8915" w14:textId="77777777" w:rsidTr="00A92A85">
        <w:tc>
          <w:tcPr>
            <w:tcW w:w="4219" w:type="dxa"/>
          </w:tcPr>
          <w:p w14:paraId="33D14379" w14:textId="50A8747F" w:rsidR="00C35967" w:rsidRPr="00614E7F" w:rsidRDefault="00C35967" w:rsidP="00A92A85">
            <w:pPr>
              <w:spacing w:line="480" w:lineRule="auto"/>
              <w:rPr>
                <w:color w:val="000000"/>
                <w:vertAlign w:val="superscript"/>
              </w:rPr>
            </w:pPr>
            <w:r w:rsidRPr="00614E7F">
              <w:rPr>
                <w:color w:val="000000"/>
              </w:rPr>
              <w:t>BMI</w:t>
            </w:r>
          </w:p>
        </w:tc>
        <w:tc>
          <w:tcPr>
            <w:tcW w:w="1985" w:type="dxa"/>
          </w:tcPr>
          <w:p w14:paraId="7E164B73" w14:textId="77777777" w:rsidR="00C35967" w:rsidRPr="00614E7F" w:rsidRDefault="00C35967" w:rsidP="00A92A85">
            <w:pPr>
              <w:spacing w:line="480" w:lineRule="auto"/>
              <w:jc w:val="center"/>
            </w:pPr>
            <w:r w:rsidRPr="00614E7F">
              <w:t>1.00 (0.92-1.10)</w:t>
            </w:r>
          </w:p>
        </w:tc>
        <w:tc>
          <w:tcPr>
            <w:tcW w:w="2126" w:type="dxa"/>
          </w:tcPr>
          <w:p w14:paraId="38597A75" w14:textId="77777777" w:rsidR="00C35967" w:rsidRPr="00614E7F" w:rsidRDefault="00C35967" w:rsidP="00A92A85">
            <w:pPr>
              <w:spacing w:line="480" w:lineRule="auto"/>
              <w:jc w:val="center"/>
            </w:pPr>
            <w:r w:rsidRPr="00614E7F">
              <w:t>.951</w:t>
            </w:r>
          </w:p>
        </w:tc>
        <w:tc>
          <w:tcPr>
            <w:tcW w:w="2126" w:type="dxa"/>
          </w:tcPr>
          <w:p w14:paraId="5BBBA1C2" w14:textId="77777777" w:rsidR="00C35967" w:rsidRPr="00614E7F" w:rsidRDefault="00C35967" w:rsidP="00A92A85">
            <w:pPr>
              <w:spacing w:line="480" w:lineRule="auto"/>
              <w:jc w:val="center"/>
            </w:pPr>
            <w:r w:rsidRPr="00614E7F">
              <w:t>1.01 (0.98-1.05)</w:t>
            </w:r>
          </w:p>
        </w:tc>
        <w:tc>
          <w:tcPr>
            <w:tcW w:w="2126" w:type="dxa"/>
          </w:tcPr>
          <w:p w14:paraId="483985B7" w14:textId="77777777" w:rsidR="00C35967" w:rsidRPr="00614E7F" w:rsidRDefault="00C35967" w:rsidP="00A92A85">
            <w:pPr>
              <w:spacing w:line="480" w:lineRule="auto"/>
              <w:jc w:val="center"/>
            </w:pPr>
            <w:r w:rsidRPr="00614E7F">
              <w:t>.421</w:t>
            </w:r>
          </w:p>
        </w:tc>
      </w:tr>
      <w:tr w:rsidR="00C35967" w:rsidRPr="00614E7F" w14:paraId="3FDDB1C7" w14:textId="77777777" w:rsidTr="00A92A85">
        <w:tc>
          <w:tcPr>
            <w:tcW w:w="4219" w:type="dxa"/>
          </w:tcPr>
          <w:p w14:paraId="5856CF08" w14:textId="77777777" w:rsidR="00C35967" w:rsidRPr="00614E7F" w:rsidRDefault="00C35967" w:rsidP="00A92A85">
            <w:pPr>
              <w:spacing w:line="480" w:lineRule="auto"/>
              <w:rPr>
                <w:color w:val="000000"/>
              </w:rPr>
            </w:pPr>
            <w:r w:rsidRPr="00614E7F">
              <w:rPr>
                <w:color w:val="000000"/>
              </w:rPr>
              <w:t xml:space="preserve">Diffuse disease subtype </w:t>
            </w:r>
          </w:p>
        </w:tc>
        <w:tc>
          <w:tcPr>
            <w:tcW w:w="1985" w:type="dxa"/>
          </w:tcPr>
          <w:p w14:paraId="15514F09" w14:textId="77777777" w:rsidR="00C35967" w:rsidRPr="00614E7F" w:rsidRDefault="00C35967" w:rsidP="00A92A85">
            <w:pPr>
              <w:spacing w:line="480" w:lineRule="auto"/>
              <w:jc w:val="center"/>
            </w:pPr>
            <w:r w:rsidRPr="00614E7F">
              <w:t>1.76 (1.24-2.50)</w:t>
            </w:r>
          </w:p>
        </w:tc>
        <w:tc>
          <w:tcPr>
            <w:tcW w:w="2126" w:type="dxa"/>
          </w:tcPr>
          <w:p w14:paraId="6B51B9AC" w14:textId="77777777" w:rsidR="00C35967" w:rsidRPr="00614E7F" w:rsidRDefault="00C35967" w:rsidP="00A92A85">
            <w:pPr>
              <w:spacing w:line="480" w:lineRule="auto"/>
              <w:jc w:val="center"/>
            </w:pPr>
            <w:r w:rsidRPr="00614E7F">
              <w:t>.002</w:t>
            </w:r>
          </w:p>
        </w:tc>
        <w:tc>
          <w:tcPr>
            <w:tcW w:w="2126" w:type="dxa"/>
          </w:tcPr>
          <w:p w14:paraId="394CFE89" w14:textId="77777777" w:rsidR="00C35967" w:rsidRPr="00614E7F" w:rsidRDefault="00C35967" w:rsidP="00A92A85">
            <w:pPr>
              <w:spacing w:line="480" w:lineRule="auto"/>
              <w:jc w:val="center"/>
            </w:pPr>
            <w:r w:rsidRPr="00614E7F">
              <w:t>1.18 (0.76-1.83)</w:t>
            </w:r>
          </w:p>
        </w:tc>
        <w:tc>
          <w:tcPr>
            <w:tcW w:w="2126" w:type="dxa"/>
          </w:tcPr>
          <w:p w14:paraId="59CD9BC5" w14:textId="77777777" w:rsidR="00C35967" w:rsidRPr="00614E7F" w:rsidRDefault="00C35967" w:rsidP="00A92A85">
            <w:pPr>
              <w:spacing w:line="480" w:lineRule="auto"/>
              <w:jc w:val="center"/>
            </w:pPr>
            <w:r w:rsidRPr="00614E7F">
              <w:t>.456</w:t>
            </w:r>
          </w:p>
        </w:tc>
      </w:tr>
      <w:tr w:rsidR="00C35967" w:rsidRPr="00614E7F" w14:paraId="24DB575B" w14:textId="77777777" w:rsidTr="00A92A85">
        <w:tc>
          <w:tcPr>
            <w:tcW w:w="4219" w:type="dxa"/>
          </w:tcPr>
          <w:p w14:paraId="36F9F7A2" w14:textId="77777777" w:rsidR="00C35967" w:rsidRPr="00614E7F" w:rsidRDefault="00C35967" w:rsidP="00A92A85">
            <w:pPr>
              <w:spacing w:line="480" w:lineRule="auto"/>
            </w:pPr>
            <w:r w:rsidRPr="00614E7F">
              <w:rPr>
                <w:color w:val="000000"/>
              </w:rPr>
              <w:t>Telangiectasias (reference = none)</w:t>
            </w:r>
          </w:p>
        </w:tc>
        <w:tc>
          <w:tcPr>
            <w:tcW w:w="1985" w:type="dxa"/>
          </w:tcPr>
          <w:p w14:paraId="2E9DE19C" w14:textId="77777777" w:rsidR="00C35967" w:rsidRPr="00614E7F" w:rsidRDefault="00C35967" w:rsidP="00A92A85">
            <w:pPr>
              <w:spacing w:line="480" w:lineRule="auto"/>
              <w:jc w:val="center"/>
            </w:pPr>
          </w:p>
        </w:tc>
        <w:tc>
          <w:tcPr>
            <w:tcW w:w="2126" w:type="dxa"/>
          </w:tcPr>
          <w:p w14:paraId="79E4FCC1" w14:textId="77777777" w:rsidR="00C35967" w:rsidRPr="00614E7F" w:rsidRDefault="00C35967" w:rsidP="00A92A85">
            <w:pPr>
              <w:spacing w:line="480" w:lineRule="auto"/>
              <w:jc w:val="center"/>
            </w:pPr>
          </w:p>
        </w:tc>
        <w:tc>
          <w:tcPr>
            <w:tcW w:w="2126" w:type="dxa"/>
          </w:tcPr>
          <w:p w14:paraId="60C16535" w14:textId="77777777" w:rsidR="00C35967" w:rsidRPr="00614E7F" w:rsidRDefault="00C35967" w:rsidP="00A92A85">
            <w:pPr>
              <w:spacing w:line="480" w:lineRule="auto"/>
              <w:jc w:val="center"/>
            </w:pPr>
          </w:p>
        </w:tc>
        <w:tc>
          <w:tcPr>
            <w:tcW w:w="2126" w:type="dxa"/>
          </w:tcPr>
          <w:p w14:paraId="76548E13" w14:textId="77777777" w:rsidR="00C35967" w:rsidRPr="00614E7F" w:rsidRDefault="00C35967" w:rsidP="00A92A85">
            <w:pPr>
              <w:spacing w:line="480" w:lineRule="auto"/>
              <w:jc w:val="center"/>
            </w:pPr>
          </w:p>
        </w:tc>
      </w:tr>
      <w:tr w:rsidR="00C35967" w:rsidRPr="00614E7F" w14:paraId="74A866BB" w14:textId="77777777" w:rsidTr="00A92A85">
        <w:tc>
          <w:tcPr>
            <w:tcW w:w="4219" w:type="dxa"/>
          </w:tcPr>
          <w:p w14:paraId="0DB2F9A1" w14:textId="77777777" w:rsidR="00C35967" w:rsidRPr="00614E7F" w:rsidRDefault="00C35967" w:rsidP="00A92A85">
            <w:pPr>
              <w:spacing w:line="480" w:lineRule="auto"/>
              <w:ind w:firstLine="284"/>
              <w:rPr>
                <w:color w:val="000000"/>
              </w:rPr>
            </w:pPr>
            <w:r w:rsidRPr="00614E7F">
              <w:rPr>
                <w:color w:val="000000"/>
              </w:rPr>
              <w:t>Body and face</w:t>
            </w:r>
          </w:p>
        </w:tc>
        <w:tc>
          <w:tcPr>
            <w:tcW w:w="1985" w:type="dxa"/>
          </w:tcPr>
          <w:p w14:paraId="261F587A" w14:textId="77777777" w:rsidR="00C35967" w:rsidRPr="00614E7F" w:rsidRDefault="00C35967" w:rsidP="00A92A85">
            <w:pPr>
              <w:spacing w:line="480" w:lineRule="auto"/>
              <w:jc w:val="center"/>
            </w:pPr>
            <w:r w:rsidRPr="00614E7F">
              <w:t>0.81 (0.54-1.22)</w:t>
            </w:r>
          </w:p>
        </w:tc>
        <w:tc>
          <w:tcPr>
            <w:tcW w:w="2126" w:type="dxa"/>
          </w:tcPr>
          <w:p w14:paraId="1B9202A2" w14:textId="77777777" w:rsidR="00C35967" w:rsidRPr="00614E7F" w:rsidRDefault="00C35967" w:rsidP="00A92A85">
            <w:pPr>
              <w:spacing w:line="480" w:lineRule="auto"/>
              <w:jc w:val="center"/>
            </w:pPr>
            <w:r w:rsidRPr="00614E7F">
              <w:t>.313</w:t>
            </w:r>
          </w:p>
        </w:tc>
        <w:tc>
          <w:tcPr>
            <w:tcW w:w="2126" w:type="dxa"/>
          </w:tcPr>
          <w:p w14:paraId="4B7BD12D" w14:textId="77777777" w:rsidR="00C35967" w:rsidRPr="00614E7F" w:rsidRDefault="00C35967" w:rsidP="00A92A85">
            <w:pPr>
              <w:spacing w:line="480" w:lineRule="auto"/>
              <w:jc w:val="center"/>
            </w:pPr>
            <w:r w:rsidRPr="00614E7F">
              <w:t>1.48 (0.89-2.47)</w:t>
            </w:r>
          </w:p>
        </w:tc>
        <w:tc>
          <w:tcPr>
            <w:tcW w:w="2126" w:type="dxa"/>
          </w:tcPr>
          <w:p w14:paraId="68147A65" w14:textId="77777777" w:rsidR="00C35967" w:rsidRPr="00614E7F" w:rsidRDefault="00C35967" w:rsidP="00A92A85">
            <w:pPr>
              <w:spacing w:line="480" w:lineRule="auto"/>
              <w:jc w:val="center"/>
            </w:pPr>
            <w:r w:rsidRPr="00614E7F">
              <w:t>.136</w:t>
            </w:r>
          </w:p>
        </w:tc>
      </w:tr>
      <w:tr w:rsidR="00C35967" w:rsidRPr="00614E7F" w14:paraId="51D4CCFD" w14:textId="77777777" w:rsidTr="00A92A85">
        <w:tc>
          <w:tcPr>
            <w:tcW w:w="4219" w:type="dxa"/>
          </w:tcPr>
          <w:p w14:paraId="7B79FF4D" w14:textId="77777777" w:rsidR="00C35967" w:rsidRPr="00614E7F" w:rsidRDefault="00C35967" w:rsidP="00A92A85">
            <w:pPr>
              <w:spacing w:line="480" w:lineRule="auto"/>
              <w:ind w:firstLine="284"/>
              <w:rPr>
                <w:color w:val="000000"/>
              </w:rPr>
            </w:pPr>
            <w:r w:rsidRPr="00614E7F">
              <w:rPr>
                <w:color w:val="000000"/>
              </w:rPr>
              <w:t>Body only</w:t>
            </w:r>
          </w:p>
        </w:tc>
        <w:tc>
          <w:tcPr>
            <w:tcW w:w="1985" w:type="dxa"/>
          </w:tcPr>
          <w:p w14:paraId="1244386B" w14:textId="77777777" w:rsidR="00C35967" w:rsidRPr="00614E7F" w:rsidRDefault="00C35967" w:rsidP="00A92A85">
            <w:pPr>
              <w:spacing w:line="480" w:lineRule="auto"/>
              <w:jc w:val="center"/>
            </w:pPr>
            <w:r w:rsidRPr="00614E7F">
              <w:t>0.70 (0.44-1.09)</w:t>
            </w:r>
          </w:p>
        </w:tc>
        <w:tc>
          <w:tcPr>
            <w:tcW w:w="2126" w:type="dxa"/>
          </w:tcPr>
          <w:p w14:paraId="5E3515B2" w14:textId="77777777" w:rsidR="00C35967" w:rsidRPr="00614E7F" w:rsidRDefault="00C35967" w:rsidP="00A92A85">
            <w:pPr>
              <w:spacing w:line="480" w:lineRule="auto"/>
              <w:jc w:val="center"/>
            </w:pPr>
            <w:r w:rsidRPr="00614E7F">
              <w:t>.116</w:t>
            </w:r>
          </w:p>
        </w:tc>
        <w:tc>
          <w:tcPr>
            <w:tcW w:w="2126" w:type="dxa"/>
          </w:tcPr>
          <w:p w14:paraId="358E29AD" w14:textId="77777777" w:rsidR="00C35967" w:rsidRPr="00614E7F" w:rsidRDefault="00C35967" w:rsidP="00A92A85">
            <w:pPr>
              <w:spacing w:line="480" w:lineRule="auto"/>
              <w:jc w:val="center"/>
            </w:pPr>
            <w:r w:rsidRPr="00614E7F">
              <w:t>1.20 (0.77-1.86)</w:t>
            </w:r>
          </w:p>
        </w:tc>
        <w:tc>
          <w:tcPr>
            <w:tcW w:w="2126" w:type="dxa"/>
          </w:tcPr>
          <w:p w14:paraId="29E1ADC9" w14:textId="77777777" w:rsidR="00C35967" w:rsidRPr="00614E7F" w:rsidRDefault="00C35967" w:rsidP="00A92A85">
            <w:pPr>
              <w:spacing w:line="480" w:lineRule="auto"/>
              <w:jc w:val="center"/>
            </w:pPr>
            <w:r w:rsidRPr="00614E7F">
              <w:t>.420</w:t>
            </w:r>
          </w:p>
        </w:tc>
      </w:tr>
      <w:tr w:rsidR="00C35967" w:rsidRPr="00614E7F" w14:paraId="582D6073" w14:textId="77777777" w:rsidTr="00A92A85">
        <w:tc>
          <w:tcPr>
            <w:tcW w:w="4219" w:type="dxa"/>
          </w:tcPr>
          <w:p w14:paraId="6BC8DEFF" w14:textId="77777777" w:rsidR="00C35967" w:rsidRPr="00614E7F" w:rsidRDefault="00C35967" w:rsidP="00A92A85">
            <w:pPr>
              <w:spacing w:line="480" w:lineRule="auto"/>
              <w:rPr>
                <w:color w:val="000000"/>
              </w:rPr>
            </w:pPr>
            <w:r w:rsidRPr="00614E7F">
              <w:rPr>
                <w:color w:val="000000"/>
              </w:rPr>
              <w:t xml:space="preserve">Pigmentation changes </w:t>
            </w:r>
          </w:p>
          <w:p w14:paraId="141FDBB8" w14:textId="77777777" w:rsidR="00C35967" w:rsidRPr="00614E7F" w:rsidRDefault="00C35967" w:rsidP="00A92A85">
            <w:pPr>
              <w:spacing w:line="480" w:lineRule="auto"/>
              <w:rPr>
                <w:color w:val="000000"/>
              </w:rPr>
            </w:pPr>
            <w:r w:rsidRPr="00614E7F">
              <w:rPr>
                <w:color w:val="000000"/>
              </w:rPr>
              <w:lastRenderedPageBreak/>
              <w:t>(reference = none)</w:t>
            </w:r>
          </w:p>
        </w:tc>
        <w:tc>
          <w:tcPr>
            <w:tcW w:w="1985" w:type="dxa"/>
          </w:tcPr>
          <w:p w14:paraId="253CD7B8" w14:textId="77777777" w:rsidR="00C35967" w:rsidRPr="00614E7F" w:rsidRDefault="00C35967" w:rsidP="00A92A85">
            <w:pPr>
              <w:spacing w:line="480" w:lineRule="auto"/>
              <w:jc w:val="center"/>
            </w:pPr>
          </w:p>
        </w:tc>
        <w:tc>
          <w:tcPr>
            <w:tcW w:w="2126" w:type="dxa"/>
          </w:tcPr>
          <w:p w14:paraId="2A2C7853" w14:textId="77777777" w:rsidR="00C35967" w:rsidRPr="00614E7F" w:rsidRDefault="00C35967" w:rsidP="00A92A85">
            <w:pPr>
              <w:spacing w:line="480" w:lineRule="auto"/>
              <w:jc w:val="center"/>
            </w:pPr>
          </w:p>
        </w:tc>
        <w:tc>
          <w:tcPr>
            <w:tcW w:w="2126" w:type="dxa"/>
          </w:tcPr>
          <w:p w14:paraId="0710D0C3" w14:textId="77777777" w:rsidR="00C35967" w:rsidRPr="00614E7F" w:rsidRDefault="00C35967" w:rsidP="00A92A85">
            <w:pPr>
              <w:spacing w:line="480" w:lineRule="auto"/>
              <w:jc w:val="center"/>
            </w:pPr>
          </w:p>
        </w:tc>
        <w:tc>
          <w:tcPr>
            <w:tcW w:w="2126" w:type="dxa"/>
          </w:tcPr>
          <w:p w14:paraId="2B257CB1" w14:textId="77777777" w:rsidR="00C35967" w:rsidRPr="00614E7F" w:rsidRDefault="00C35967" w:rsidP="00A92A85">
            <w:pPr>
              <w:spacing w:line="480" w:lineRule="auto"/>
              <w:jc w:val="center"/>
            </w:pPr>
          </w:p>
        </w:tc>
      </w:tr>
      <w:tr w:rsidR="00C35967" w:rsidRPr="00614E7F" w14:paraId="0E2EBFAB" w14:textId="77777777" w:rsidTr="00A92A85">
        <w:tc>
          <w:tcPr>
            <w:tcW w:w="4219" w:type="dxa"/>
          </w:tcPr>
          <w:p w14:paraId="5FDA06EC" w14:textId="77777777" w:rsidR="00C35967" w:rsidRPr="00614E7F" w:rsidRDefault="00C35967" w:rsidP="00A92A85">
            <w:pPr>
              <w:spacing w:line="480" w:lineRule="auto"/>
              <w:ind w:firstLine="284"/>
              <w:rPr>
                <w:color w:val="000000"/>
              </w:rPr>
            </w:pPr>
            <w:r w:rsidRPr="00614E7F">
              <w:rPr>
                <w:color w:val="000000"/>
              </w:rPr>
              <w:lastRenderedPageBreak/>
              <w:t>Body and face</w:t>
            </w:r>
          </w:p>
        </w:tc>
        <w:tc>
          <w:tcPr>
            <w:tcW w:w="1985" w:type="dxa"/>
          </w:tcPr>
          <w:p w14:paraId="4A488232" w14:textId="77777777" w:rsidR="00C35967" w:rsidRPr="00614E7F" w:rsidRDefault="00C35967" w:rsidP="00A92A85">
            <w:pPr>
              <w:spacing w:line="480" w:lineRule="auto"/>
              <w:jc w:val="center"/>
            </w:pPr>
            <w:r w:rsidRPr="00614E7F">
              <w:t>1.58 (0.96-2.58)</w:t>
            </w:r>
          </w:p>
        </w:tc>
        <w:tc>
          <w:tcPr>
            <w:tcW w:w="2126" w:type="dxa"/>
          </w:tcPr>
          <w:p w14:paraId="5AB798AC" w14:textId="77777777" w:rsidR="00C35967" w:rsidRPr="00614E7F" w:rsidRDefault="00C35967" w:rsidP="00A92A85">
            <w:pPr>
              <w:spacing w:line="480" w:lineRule="auto"/>
              <w:jc w:val="center"/>
            </w:pPr>
            <w:r w:rsidRPr="00614E7F">
              <w:t>.071</w:t>
            </w:r>
          </w:p>
        </w:tc>
        <w:tc>
          <w:tcPr>
            <w:tcW w:w="2126" w:type="dxa"/>
          </w:tcPr>
          <w:p w14:paraId="5068D686" w14:textId="77777777" w:rsidR="00C35967" w:rsidRPr="00614E7F" w:rsidRDefault="00C35967" w:rsidP="00A92A85">
            <w:pPr>
              <w:spacing w:line="480" w:lineRule="auto"/>
              <w:jc w:val="center"/>
            </w:pPr>
            <w:r w:rsidRPr="00614E7F">
              <w:t>0.91 (0.52-1.57)</w:t>
            </w:r>
          </w:p>
        </w:tc>
        <w:tc>
          <w:tcPr>
            <w:tcW w:w="2126" w:type="dxa"/>
          </w:tcPr>
          <w:p w14:paraId="60FABCED" w14:textId="77777777" w:rsidR="00C35967" w:rsidRPr="00614E7F" w:rsidRDefault="00C35967" w:rsidP="00A92A85">
            <w:pPr>
              <w:spacing w:line="480" w:lineRule="auto"/>
              <w:jc w:val="center"/>
            </w:pPr>
            <w:r w:rsidRPr="00614E7F">
              <w:t>.730</w:t>
            </w:r>
          </w:p>
        </w:tc>
      </w:tr>
      <w:tr w:rsidR="00C35967" w:rsidRPr="00614E7F" w14:paraId="6FA64D79" w14:textId="77777777" w:rsidTr="00A92A85">
        <w:tc>
          <w:tcPr>
            <w:tcW w:w="4219" w:type="dxa"/>
          </w:tcPr>
          <w:p w14:paraId="327BC85B" w14:textId="77777777" w:rsidR="00C35967" w:rsidRPr="00614E7F" w:rsidRDefault="00C35967" w:rsidP="00A92A85">
            <w:pPr>
              <w:spacing w:line="480" w:lineRule="auto"/>
              <w:ind w:firstLine="284"/>
              <w:rPr>
                <w:color w:val="000000"/>
              </w:rPr>
            </w:pPr>
            <w:r w:rsidRPr="00614E7F">
              <w:rPr>
                <w:color w:val="000000"/>
              </w:rPr>
              <w:t>Body only</w:t>
            </w:r>
          </w:p>
        </w:tc>
        <w:tc>
          <w:tcPr>
            <w:tcW w:w="1985" w:type="dxa"/>
          </w:tcPr>
          <w:p w14:paraId="51C21E9A" w14:textId="77777777" w:rsidR="00C35967" w:rsidRPr="00614E7F" w:rsidRDefault="00C35967" w:rsidP="00A92A85">
            <w:pPr>
              <w:spacing w:line="480" w:lineRule="auto"/>
              <w:jc w:val="center"/>
            </w:pPr>
            <w:r w:rsidRPr="00614E7F">
              <w:t>1.50 (0.92-2.47)</w:t>
            </w:r>
          </w:p>
        </w:tc>
        <w:tc>
          <w:tcPr>
            <w:tcW w:w="2126" w:type="dxa"/>
          </w:tcPr>
          <w:p w14:paraId="1F1CE818" w14:textId="77777777" w:rsidR="00C35967" w:rsidRPr="00614E7F" w:rsidRDefault="00C35967" w:rsidP="00A92A85">
            <w:pPr>
              <w:spacing w:line="480" w:lineRule="auto"/>
              <w:jc w:val="center"/>
            </w:pPr>
            <w:r w:rsidRPr="00614E7F">
              <w:t>.108</w:t>
            </w:r>
          </w:p>
        </w:tc>
        <w:tc>
          <w:tcPr>
            <w:tcW w:w="2126" w:type="dxa"/>
          </w:tcPr>
          <w:p w14:paraId="330094A5" w14:textId="77777777" w:rsidR="00C35967" w:rsidRPr="00614E7F" w:rsidRDefault="00C35967" w:rsidP="00A92A85">
            <w:pPr>
              <w:spacing w:line="480" w:lineRule="auto"/>
              <w:jc w:val="center"/>
            </w:pPr>
            <w:r w:rsidRPr="00614E7F">
              <w:t>1.02 (0.51-2.06)</w:t>
            </w:r>
          </w:p>
        </w:tc>
        <w:tc>
          <w:tcPr>
            <w:tcW w:w="2126" w:type="dxa"/>
          </w:tcPr>
          <w:p w14:paraId="38535310" w14:textId="77777777" w:rsidR="00C35967" w:rsidRPr="00614E7F" w:rsidRDefault="00C35967" w:rsidP="00A92A85">
            <w:pPr>
              <w:spacing w:line="480" w:lineRule="auto"/>
              <w:jc w:val="center"/>
            </w:pPr>
            <w:r w:rsidRPr="00614E7F">
              <w:t>.947</w:t>
            </w:r>
          </w:p>
        </w:tc>
      </w:tr>
      <w:tr w:rsidR="00C35967" w:rsidRPr="00614E7F" w14:paraId="0DD00D2E" w14:textId="77777777" w:rsidTr="00A92A85">
        <w:tc>
          <w:tcPr>
            <w:tcW w:w="4219" w:type="dxa"/>
          </w:tcPr>
          <w:p w14:paraId="59F711CB" w14:textId="77777777" w:rsidR="00C35967" w:rsidRPr="00614E7F" w:rsidRDefault="00C35967" w:rsidP="00A92A85">
            <w:pPr>
              <w:spacing w:line="480" w:lineRule="auto"/>
              <w:rPr>
                <w:color w:val="000000"/>
              </w:rPr>
            </w:pPr>
            <w:r w:rsidRPr="00614E7F">
              <w:rPr>
                <w:color w:val="000000"/>
              </w:rPr>
              <w:t>Hand contractures (reference = none/mild)</w:t>
            </w:r>
          </w:p>
        </w:tc>
        <w:tc>
          <w:tcPr>
            <w:tcW w:w="1985" w:type="dxa"/>
          </w:tcPr>
          <w:p w14:paraId="767275E1" w14:textId="77777777" w:rsidR="00C35967" w:rsidRPr="00614E7F" w:rsidRDefault="00C35967" w:rsidP="00A92A85">
            <w:pPr>
              <w:spacing w:line="480" w:lineRule="auto"/>
              <w:jc w:val="center"/>
            </w:pPr>
          </w:p>
        </w:tc>
        <w:tc>
          <w:tcPr>
            <w:tcW w:w="2126" w:type="dxa"/>
          </w:tcPr>
          <w:p w14:paraId="2021307A" w14:textId="77777777" w:rsidR="00C35967" w:rsidRPr="00614E7F" w:rsidRDefault="00C35967" w:rsidP="00A92A85">
            <w:pPr>
              <w:spacing w:line="480" w:lineRule="auto"/>
              <w:jc w:val="center"/>
            </w:pPr>
          </w:p>
        </w:tc>
        <w:tc>
          <w:tcPr>
            <w:tcW w:w="2126" w:type="dxa"/>
          </w:tcPr>
          <w:p w14:paraId="344D75FD" w14:textId="77777777" w:rsidR="00C35967" w:rsidRPr="00614E7F" w:rsidRDefault="00C35967" w:rsidP="00A92A85">
            <w:pPr>
              <w:spacing w:line="480" w:lineRule="auto"/>
              <w:jc w:val="center"/>
            </w:pPr>
          </w:p>
        </w:tc>
        <w:tc>
          <w:tcPr>
            <w:tcW w:w="2126" w:type="dxa"/>
          </w:tcPr>
          <w:p w14:paraId="1AB43132" w14:textId="77777777" w:rsidR="00C35967" w:rsidRPr="00614E7F" w:rsidRDefault="00C35967" w:rsidP="00A92A85">
            <w:pPr>
              <w:spacing w:line="480" w:lineRule="auto"/>
              <w:jc w:val="center"/>
            </w:pPr>
          </w:p>
        </w:tc>
      </w:tr>
      <w:tr w:rsidR="00C35967" w:rsidRPr="00614E7F" w14:paraId="1B517764" w14:textId="77777777" w:rsidTr="00A92A85">
        <w:tc>
          <w:tcPr>
            <w:tcW w:w="4219" w:type="dxa"/>
          </w:tcPr>
          <w:p w14:paraId="0196522A" w14:textId="77777777" w:rsidR="00C35967" w:rsidRPr="00614E7F" w:rsidRDefault="00C35967" w:rsidP="00A92A85">
            <w:pPr>
              <w:spacing w:line="480" w:lineRule="auto"/>
              <w:ind w:firstLine="284"/>
              <w:rPr>
                <w:color w:val="000000"/>
              </w:rPr>
            </w:pPr>
            <w:r w:rsidRPr="00614E7F">
              <w:rPr>
                <w:color w:val="000000"/>
              </w:rPr>
              <w:t>Moderate</w:t>
            </w:r>
          </w:p>
        </w:tc>
        <w:tc>
          <w:tcPr>
            <w:tcW w:w="1985" w:type="dxa"/>
          </w:tcPr>
          <w:p w14:paraId="7EDACE6D" w14:textId="77777777" w:rsidR="00C35967" w:rsidRPr="00614E7F" w:rsidRDefault="00C35967" w:rsidP="00A92A85">
            <w:pPr>
              <w:spacing w:line="480" w:lineRule="auto"/>
              <w:jc w:val="center"/>
            </w:pPr>
            <w:r w:rsidRPr="00614E7F">
              <w:t>2.33 (1.41-3.86)</w:t>
            </w:r>
          </w:p>
        </w:tc>
        <w:tc>
          <w:tcPr>
            <w:tcW w:w="2126" w:type="dxa"/>
          </w:tcPr>
          <w:p w14:paraId="2B2E1C25" w14:textId="77777777" w:rsidR="00C35967" w:rsidRPr="00614E7F" w:rsidRDefault="00C35967" w:rsidP="00A92A85">
            <w:pPr>
              <w:spacing w:line="480" w:lineRule="auto"/>
              <w:jc w:val="center"/>
            </w:pPr>
            <w:r w:rsidRPr="00614E7F">
              <w:t>.001</w:t>
            </w:r>
          </w:p>
        </w:tc>
        <w:tc>
          <w:tcPr>
            <w:tcW w:w="2126" w:type="dxa"/>
          </w:tcPr>
          <w:p w14:paraId="22FA6FB7" w14:textId="77777777" w:rsidR="00C35967" w:rsidRPr="00614E7F" w:rsidRDefault="00C35967" w:rsidP="00A92A85">
            <w:pPr>
              <w:spacing w:line="480" w:lineRule="auto"/>
              <w:jc w:val="center"/>
            </w:pPr>
            <w:r w:rsidRPr="00614E7F">
              <w:t>2.05 (1.17-3.60)</w:t>
            </w:r>
          </w:p>
        </w:tc>
        <w:tc>
          <w:tcPr>
            <w:tcW w:w="2126" w:type="dxa"/>
          </w:tcPr>
          <w:p w14:paraId="7C9C82C3" w14:textId="77777777" w:rsidR="00C35967" w:rsidRPr="00614E7F" w:rsidRDefault="00C35967" w:rsidP="00A92A85">
            <w:pPr>
              <w:spacing w:line="480" w:lineRule="auto"/>
              <w:jc w:val="center"/>
            </w:pPr>
            <w:r w:rsidRPr="00614E7F">
              <w:t>.012</w:t>
            </w:r>
          </w:p>
        </w:tc>
      </w:tr>
      <w:tr w:rsidR="00C35967" w:rsidRPr="00614E7F" w14:paraId="26576A14" w14:textId="77777777" w:rsidTr="00A92A85">
        <w:tc>
          <w:tcPr>
            <w:tcW w:w="4219" w:type="dxa"/>
          </w:tcPr>
          <w:p w14:paraId="1F5DF73F" w14:textId="77777777" w:rsidR="00C35967" w:rsidRPr="00614E7F" w:rsidRDefault="00C35967" w:rsidP="00A92A85">
            <w:pPr>
              <w:spacing w:line="480" w:lineRule="auto"/>
              <w:ind w:firstLine="284"/>
              <w:rPr>
                <w:color w:val="000000"/>
              </w:rPr>
            </w:pPr>
            <w:r w:rsidRPr="00614E7F">
              <w:rPr>
                <w:color w:val="000000"/>
              </w:rPr>
              <w:t>Severe</w:t>
            </w:r>
          </w:p>
        </w:tc>
        <w:tc>
          <w:tcPr>
            <w:tcW w:w="1985" w:type="dxa"/>
          </w:tcPr>
          <w:p w14:paraId="72E2DD09" w14:textId="77777777" w:rsidR="00C35967" w:rsidRPr="00614E7F" w:rsidRDefault="00C35967" w:rsidP="00A92A85">
            <w:pPr>
              <w:spacing w:line="480" w:lineRule="auto"/>
              <w:jc w:val="center"/>
            </w:pPr>
            <w:r w:rsidRPr="00614E7F">
              <w:t>2.03 (0.88-4.70)</w:t>
            </w:r>
          </w:p>
        </w:tc>
        <w:tc>
          <w:tcPr>
            <w:tcW w:w="2126" w:type="dxa"/>
          </w:tcPr>
          <w:p w14:paraId="0446A878" w14:textId="77777777" w:rsidR="00C35967" w:rsidRPr="00614E7F" w:rsidRDefault="00C35967" w:rsidP="00A92A85">
            <w:pPr>
              <w:spacing w:line="480" w:lineRule="auto"/>
              <w:jc w:val="center"/>
            </w:pPr>
            <w:r w:rsidRPr="00614E7F">
              <w:t>.099</w:t>
            </w:r>
          </w:p>
        </w:tc>
        <w:tc>
          <w:tcPr>
            <w:tcW w:w="2126" w:type="dxa"/>
          </w:tcPr>
          <w:p w14:paraId="25B9C35C" w14:textId="77777777" w:rsidR="00C35967" w:rsidRPr="00614E7F" w:rsidRDefault="00C35967" w:rsidP="00A92A85">
            <w:pPr>
              <w:spacing w:line="480" w:lineRule="auto"/>
              <w:jc w:val="center"/>
            </w:pPr>
            <w:r w:rsidRPr="00614E7F">
              <w:t>1.96 (0.75-5.15)</w:t>
            </w:r>
          </w:p>
        </w:tc>
        <w:tc>
          <w:tcPr>
            <w:tcW w:w="2126" w:type="dxa"/>
          </w:tcPr>
          <w:p w14:paraId="62886A00" w14:textId="77777777" w:rsidR="00C35967" w:rsidRPr="00614E7F" w:rsidRDefault="00C35967" w:rsidP="00A92A85">
            <w:pPr>
              <w:spacing w:line="480" w:lineRule="auto"/>
              <w:jc w:val="center"/>
            </w:pPr>
            <w:r w:rsidRPr="00614E7F">
              <w:t>.170</w:t>
            </w:r>
          </w:p>
        </w:tc>
      </w:tr>
      <w:tr w:rsidR="00C35967" w:rsidRPr="00614E7F" w14:paraId="75CAB3E9" w14:textId="77777777" w:rsidTr="00A92A85">
        <w:tc>
          <w:tcPr>
            <w:tcW w:w="4219" w:type="dxa"/>
            <w:tcBorders>
              <w:bottom w:val="single" w:sz="18" w:space="0" w:color="auto"/>
            </w:tcBorders>
          </w:tcPr>
          <w:p w14:paraId="028D4036" w14:textId="77777777" w:rsidR="00C35967" w:rsidRPr="00614E7F" w:rsidRDefault="00C35967" w:rsidP="00A92A85">
            <w:pPr>
              <w:spacing w:line="480" w:lineRule="auto"/>
              <w:rPr>
                <w:color w:val="000000"/>
              </w:rPr>
            </w:pPr>
            <w:r w:rsidRPr="00614E7F">
              <w:rPr>
                <w:color w:val="000000"/>
              </w:rPr>
              <w:t>Skin thickening on hands</w:t>
            </w:r>
          </w:p>
        </w:tc>
        <w:tc>
          <w:tcPr>
            <w:tcW w:w="1985" w:type="dxa"/>
            <w:tcBorders>
              <w:bottom w:val="single" w:sz="18" w:space="0" w:color="auto"/>
            </w:tcBorders>
          </w:tcPr>
          <w:p w14:paraId="7FE4FAE8" w14:textId="77777777" w:rsidR="00C35967" w:rsidRPr="00614E7F" w:rsidRDefault="00C35967" w:rsidP="00A92A85">
            <w:pPr>
              <w:spacing w:line="480" w:lineRule="auto"/>
              <w:jc w:val="center"/>
            </w:pPr>
            <w:r w:rsidRPr="00614E7F">
              <w:t>1.64 (1.18-2.28)</w:t>
            </w:r>
          </w:p>
        </w:tc>
        <w:tc>
          <w:tcPr>
            <w:tcW w:w="2126" w:type="dxa"/>
            <w:tcBorders>
              <w:bottom w:val="single" w:sz="18" w:space="0" w:color="auto"/>
            </w:tcBorders>
          </w:tcPr>
          <w:p w14:paraId="0E7A8555" w14:textId="77777777" w:rsidR="00C35967" w:rsidRPr="00614E7F" w:rsidRDefault="00C35967" w:rsidP="00A92A85">
            <w:pPr>
              <w:spacing w:line="480" w:lineRule="auto"/>
              <w:jc w:val="center"/>
            </w:pPr>
            <w:r w:rsidRPr="00614E7F">
              <w:t>.003</w:t>
            </w:r>
          </w:p>
        </w:tc>
        <w:tc>
          <w:tcPr>
            <w:tcW w:w="2126" w:type="dxa"/>
            <w:tcBorders>
              <w:bottom w:val="single" w:sz="18" w:space="0" w:color="auto"/>
            </w:tcBorders>
          </w:tcPr>
          <w:p w14:paraId="0D59B96A" w14:textId="77777777" w:rsidR="00C35967" w:rsidRPr="00614E7F" w:rsidRDefault="00C35967" w:rsidP="00A92A85">
            <w:pPr>
              <w:spacing w:line="480" w:lineRule="auto"/>
              <w:jc w:val="center"/>
            </w:pPr>
            <w:r w:rsidRPr="00614E7F">
              <w:t>1.48 (1.00-2.19)</w:t>
            </w:r>
          </w:p>
        </w:tc>
        <w:tc>
          <w:tcPr>
            <w:tcW w:w="2126" w:type="dxa"/>
            <w:tcBorders>
              <w:bottom w:val="single" w:sz="18" w:space="0" w:color="auto"/>
            </w:tcBorders>
          </w:tcPr>
          <w:p w14:paraId="462ADF70" w14:textId="77777777" w:rsidR="00C35967" w:rsidRPr="00614E7F" w:rsidRDefault="00C35967" w:rsidP="00A92A85">
            <w:pPr>
              <w:spacing w:line="480" w:lineRule="auto"/>
              <w:jc w:val="center"/>
            </w:pPr>
            <w:r w:rsidRPr="00614E7F">
              <w:t>.050</w:t>
            </w:r>
          </w:p>
        </w:tc>
      </w:tr>
    </w:tbl>
    <w:p w14:paraId="5479CA3C" w14:textId="77777777" w:rsidR="00485E27" w:rsidRDefault="00485E27" w:rsidP="00C35967">
      <w:pPr>
        <w:ind w:right="486"/>
      </w:pPr>
    </w:p>
    <w:p w14:paraId="5F504061" w14:textId="2A5D1302" w:rsidR="00485E27" w:rsidRDefault="00485E27" w:rsidP="00C35967">
      <w:pPr>
        <w:ind w:right="486"/>
      </w:pPr>
      <w:r>
        <w:t xml:space="preserve">Abbreviations: </w:t>
      </w:r>
      <w:r w:rsidR="003A175D">
        <w:t>OR = o</w:t>
      </w:r>
      <w:r w:rsidRPr="00614E7F">
        <w:t xml:space="preserve">dds </w:t>
      </w:r>
      <w:r w:rsidR="003A175D">
        <w:t>ratio; CI = c</w:t>
      </w:r>
      <w:r w:rsidR="00C454F4">
        <w:t xml:space="preserve">onfidence interval; </w:t>
      </w:r>
      <w:r w:rsidR="00C454F4" w:rsidRPr="00614E7F">
        <w:t>BMI = Body Mass Index.</w:t>
      </w:r>
      <w:r>
        <w:t xml:space="preserve"> </w:t>
      </w:r>
    </w:p>
    <w:p w14:paraId="5ABD5F03" w14:textId="77777777" w:rsidR="00485E27" w:rsidRDefault="00485E27" w:rsidP="00C35967">
      <w:pPr>
        <w:ind w:right="486"/>
      </w:pPr>
    </w:p>
    <w:p w14:paraId="6751E2B9" w14:textId="2CB25660" w:rsidR="00C35967" w:rsidRPr="00614E7F" w:rsidRDefault="00C35967" w:rsidP="00C35967">
      <w:pPr>
        <w:ind w:right="486"/>
      </w:pPr>
      <w:proofErr w:type="spellStart"/>
      <w:r w:rsidRPr="00614E7F">
        <w:rPr>
          <w:vertAlign w:val="superscript"/>
        </w:rPr>
        <w:t>a</w:t>
      </w:r>
      <w:r w:rsidRPr="00614E7F">
        <w:t>Adjusted</w:t>
      </w:r>
      <w:proofErr w:type="spellEnd"/>
      <w:r w:rsidRPr="00614E7F">
        <w:t xml:space="preserve"> for age, sex, race/ethnicity, education level, marital status, disease subtype, telangiectasias, pigmentation changes, hand contractures,</w:t>
      </w:r>
      <w:r w:rsidR="00C454F4">
        <w:t xml:space="preserve"> and skin thickening on fingers. </w:t>
      </w:r>
      <w:r w:rsidRPr="00614E7F">
        <w:t xml:space="preserve"> </w:t>
      </w:r>
    </w:p>
    <w:p w14:paraId="58AA78AE" w14:textId="423B1997" w:rsidR="00C35967" w:rsidRDefault="00C35967">
      <w:r>
        <w:br w:type="page"/>
      </w:r>
    </w:p>
    <w:p w14:paraId="614CD141" w14:textId="77777777" w:rsidR="00E90CCA" w:rsidRPr="00614E7F" w:rsidRDefault="00E90CCA" w:rsidP="00175E85">
      <w:pPr>
        <w:ind w:left="284"/>
        <w:sectPr w:rsidR="00E90CCA" w:rsidRPr="00614E7F" w:rsidSect="00F52FC7">
          <w:pgSz w:w="15840" w:h="12240" w:orient="landscape"/>
          <w:pgMar w:top="1440" w:right="1440" w:bottom="1440" w:left="1418" w:header="709" w:footer="850" w:gutter="0"/>
          <w:cols w:space="708"/>
          <w:docGrid w:linePitch="360"/>
        </w:sectPr>
      </w:pPr>
    </w:p>
    <w:p w14:paraId="4230041E" w14:textId="488F32E2" w:rsidR="005B7BBA" w:rsidRPr="00E776E2" w:rsidRDefault="00072F9C" w:rsidP="005B7BBA">
      <w:pPr>
        <w:ind w:right="486"/>
        <w:rPr>
          <w:b/>
        </w:rPr>
      </w:pPr>
      <w:r>
        <w:rPr>
          <w:b/>
        </w:rPr>
        <w:lastRenderedPageBreak/>
        <w:t>Table 4</w:t>
      </w:r>
      <w:r w:rsidR="005B7BBA" w:rsidRPr="00E776E2">
        <w:rPr>
          <w:b/>
        </w:rPr>
        <w:t xml:space="preserve">. Proportion of Women and Men </w:t>
      </w:r>
      <w:proofErr w:type="gramStart"/>
      <w:r w:rsidR="005B7BBA" w:rsidRPr="00E776E2">
        <w:rPr>
          <w:b/>
        </w:rPr>
        <w:t>who</w:t>
      </w:r>
      <w:proofErr w:type="gramEnd"/>
      <w:r w:rsidR="005B7BBA" w:rsidRPr="00E776E2">
        <w:rPr>
          <w:b/>
        </w:rPr>
        <w:t xml:space="preserve"> Reported Appearance Concerns Based on Age </w:t>
      </w:r>
      <w:r w:rsidR="00E764BB">
        <w:rPr>
          <w:b/>
        </w:rPr>
        <w:t xml:space="preserve">in General Population </w:t>
      </w:r>
      <w:r w:rsidR="009F085F">
        <w:rPr>
          <w:b/>
        </w:rPr>
        <w:t xml:space="preserve">and SPIN </w:t>
      </w:r>
      <w:r w:rsidR="00E764BB">
        <w:rPr>
          <w:b/>
        </w:rPr>
        <w:t>Samples</w:t>
      </w:r>
    </w:p>
    <w:p w14:paraId="471AC458" w14:textId="77777777" w:rsidR="005B7BBA" w:rsidRPr="0072034E" w:rsidRDefault="005B7BBA" w:rsidP="005B7BBA">
      <w:pPr>
        <w:ind w:right="486"/>
        <w:rPr>
          <w:b/>
          <w:highlight w:val="yellow"/>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085"/>
        <w:gridCol w:w="3503"/>
        <w:gridCol w:w="3294"/>
        <w:gridCol w:w="3294"/>
      </w:tblGrid>
      <w:tr w:rsidR="005B7BBA" w:rsidRPr="0072034E" w14:paraId="40F5A486" w14:textId="77777777" w:rsidTr="00964CE9">
        <w:tc>
          <w:tcPr>
            <w:tcW w:w="3085" w:type="dxa"/>
            <w:tcBorders>
              <w:top w:val="single" w:sz="18" w:space="0" w:color="auto"/>
              <w:left w:val="nil"/>
              <w:bottom w:val="single" w:sz="18" w:space="0" w:color="auto"/>
            </w:tcBorders>
          </w:tcPr>
          <w:p w14:paraId="68EB4ED0" w14:textId="77777777" w:rsidR="005B7BBA" w:rsidRPr="0072034E" w:rsidRDefault="005B7BBA" w:rsidP="003D20AE">
            <w:pPr>
              <w:ind w:right="486"/>
              <w:rPr>
                <w:b/>
                <w:highlight w:val="yellow"/>
              </w:rPr>
            </w:pPr>
          </w:p>
        </w:tc>
        <w:tc>
          <w:tcPr>
            <w:tcW w:w="3503" w:type="dxa"/>
            <w:tcBorders>
              <w:top w:val="single" w:sz="18" w:space="0" w:color="auto"/>
              <w:bottom w:val="single" w:sz="18" w:space="0" w:color="auto"/>
            </w:tcBorders>
          </w:tcPr>
          <w:p w14:paraId="263B8284" w14:textId="77777777" w:rsidR="005B7BBA" w:rsidRPr="00E776E2" w:rsidRDefault="005B7BBA" w:rsidP="003D20AE">
            <w:pPr>
              <w:ind w:right="486"/>
              <w:jc w:val="center"/>
              <w:rPr>
                <w:b/>
                <w:vertAlign w:val="superscript"/>
              </w:rPr>
            </w:pPr>
            <w:r w:rsidRPr="00E776E2">
              <w:rPr>
                <w:b/>
              </w:rPr>
              <w:t>General Population Sample (n, %)</w:t>
            </w:r>
            <w:r w:rsidRPr="00E776E2">
              <w:rPr>
                <w:b/>
                <w:vertAlign w:val="superscript"/>
              </w:rPr>
              <w:t>a</w:t>
            </w:r>
          </w:p>
        </w:tc>
        <w:tc>
          <w:tcPr>
            <w:tcW w:w="3294" w:type="dxa"/>
            <w:tcBorders>
              <w:top w:val="single" w:sz="18" w:space="0" w:color="auto"/>
              <w:bottom w:val="single" w:sz="18" w:space="0" w:color="auto"/>
            </w:tcBorders>
          </w:tcPr>
          <w:p w14:paraId="540ACC95" w14:textId="77777777" w:rsidR="005B7BBA" w:rsidRPr="00E776E2" w:rsidRDefault="005B7BBA" w:rsidP="003D20AE">
            <w:pPr>
              <w:ind w:right="486"/>
              <w:jc w:val="center"/>
              <w:rPr>
                <w:b/>
              </w:rPr>
            </w:pPr>
            <w:r w:rsidRPr="00E776E2">
              <w:rPr>
                <w:b/>
              </w:rPr>
              <w:t xml:space="preserve">SPIN Sample </w:t>
            </w:r>
          </w:p>
          <w:p w14:paraId="3D5746AC" w14:textId="77777777" w:rsidR="005B7BBA" w:rsidRPr="00E776E2" w:rsidRDefault="005B7BBA" w:rsidP="003D20AE">
            <w:pPr>
              <w:ind w:right="486"/>
              <w:jc w:val="center"/>
              <w:rPr>
                <w:b/>
              </w:rPr>
            </w:pPr>
            <w:r w:rsidRPr="00E776E2">
              <w:rPr>
                <w:b/>
              </w:rPr>
              <w:t>(n, %)</w:t>
            </w:r>
          </w:p>
        </w:tc>
        <w:tc>
          <w:tcPr>
            <w:tcW w:w="3294" w:type="dxa"/>
            <w:tcBorders>
              <w:top w:val="single" w:sz="18" w:space="0" w:color="auto"/>
              <w:bottom w:val="single" w:sz="18" w:space="0" w:color="auto"/>
              <w:right w:val="nil"/>
            </w:tcBorders>
          </w:tcPr>
          <w:p w14:paraId="583F0674" w14:textId="77777777" w:rsidR="005B7BBA" w:rsidRPr="00E776E2" w:rsidRDefault="005B7BBA" w:rsidP="003D20AE">
            <w:pPr>
              <w:ind w:right="486"/>
              <w:jc w:val="center"/>
              <w:rPr>
                <w:b/>
              </w:rPr>
            </w:pPr>
            <w:r w:rsidRPr="00E776E2">
              <w:rPr>
                <w:b/>
              </w:rPr>
              <w:t>Relative Risk</w:t>
            </w:r>
          </w:p>
          <w:p w14:paraId="04E78568" w14:textId="0FAAF228" w:rsidR="005B7BBA" w:rsidRPr="00E776E2" w:rsidRDefault="005B7BBA" w:rsidP="003D20AE">
            <w:pPr>
              <w:ind w:right="486"/>
              <w:jc w:val="center"/>
              <w:rPr>
                <w:b/>
              </w:rPr>
            </w:pPr>
            <w:r w:rsidRPr="00E776E2">
              <w:rPr>
                <w:b/>
              </w:rPr>
              <w:t>SPIN / General Population (95% CI)</w:t>
            </w:r>
          </w:p>
        </w:tc>
      </w:tr>
      <w:tr w:rsidR="005B7BBA" w:rsidRPr="0072034E" w14:paraId="379A0A4A" w14:textId="77777777" w:rsidTr="00964CE9">
        <w:tc>
          <w:tcPr>
            <w:tcW w:w="3085" w:type="dxa"/>
            <w:tcBorders>
              <w:top w:val="single" w:sz="18" w:space="0" w:color="auto"/>
              <w:left w:val="nil"/>
              <w:bottom w:val="nil"/>
            </w:tcBorders>
          </w:tcPr>
          <w:p w14:paraId="2AB575EF" w14:textId="77777777" w:rsidR="005B7BBA" w:rsidRPr="00E776E2" w:rsidRDefault="005B7BBA" w:rsidP="003D20AE">
            <w:pPr>
              <w:spacing w:line="480" w:lineRule="auto"/>
              <w:ind w:right="488"/>
              <w:rPr>
                <w:b/>
              </w:rPr>
            </w:pPr>
            <w:r w:rsidRPr="00E776E2">
              <w:rPr>
                <w:b/>
              </w:rPr>
              <w:t>Women</w:t>
            </w:r>
          </w:p>
        </w:tc>
        <w:tc>
          <w:tcPr>
            <w:tcW w:w="3503" w:type="dxa"/>
            <w:tcBorders>
              <w:top w:val="single" w:sz="18" w:space="0" w:color="auto"/>
              <w:bottom w:val="nil"/>
            </w:tcBorders>
          </w:tcPr>
          <w:p w14:paraId="0E7A0FB8" w14:textId="77777777" w:rsidR="005B7BBA" w:rsidRPr="00E776E2" w:rsidRDefault="005B7BBA" w:rsidP="003D20AE">
            <w:pPr>
              <w:ind w:right="486"/>
              <w:rPr>
                <w:b/>
              </w:rPr>
            </w:pPr>
          </w:p>
        </w:tc>
        <w:tc>
          <w:tcPr>
            <w:tcW w:w="3294" w:type="dxa"/>
            <w:tcBorders>
              <w:top w:val="single" w:sz="18" w:space="0" w:color="auto"/>
              <w:bottom w:val="nil"/>
            </w:tcBorders>
          </w:tcPr>
          <w:p w14:paraId="7BB9BAAA" w14:textId="77777777" w:rsidR="005B7BBA" w:rsidRPr="00E776E2" w:rsidRDefault="005B7BBA" w:rsidP="003D20AE">
            <w:pPr>
              <w:ind w:right="486"/>
              <w:rPr>
                <w:b/>
              </w:rPr>
            </w:pPr>
          </w:p>
        </w:tc>
        <w:tc>
          <w:tcPr>
            <w:tcW w:w="3294" w:type="dxa"/>
            <w:tcBorders>
              <w:top w:val="single" w:sz="18" w:space="0" w:color="auto"/>
              <w:bottom w:val="nil"/>
              <w:right w:val="nil"/>
            </w:tcBorders>
          </w:tcPr>
          <w:p w14:paraId="1F3B0E23" w14:textId="77777777" w:rsidR="005B7BBA" w:rsidRPr="00E776E2" w:rsidRDefault="005B7BBA" w:rsidP="003D20AE">
            <w:pPr>
              <w:ind w:right="486"/>
              <w:rPr>
                <w:b/>
              </w:rPr>
            </w:pPr>
          </w:p>
        </w:tc>
      </w:tr>
      <w:tr w:rsidR="005B7BBA" w:rsidRPr="0072034E" w14:paraId="6276D7BF" w14:textId="77777777" w:rsidTr="00964CE9">
        <w:tc>
          <w:tcPr>
            <w:tcW w:w="3085" w:type="dxa"/>
            <w:tcBorders>
              <w:top w:val="nil"/>
              <w:left w:val="nil"/>
              <w:bottom w:val="nil"/>
            </w:tcBorders>
          </w:tcPr>
          <w:p w14:paraId="2B898DDA" w14:textId="77777777" w:rsidR="005B7BBA" w:rsidRPr="00E776E2" w:rsidRDefault="005B7BBA" w:rsidP="003D20AE">
            <w:pPr>
              <w:spacing w:line="480" w:lineRule="auto"/>
              <w:ind w:right="488" w:firstLine="284"/>
              <w:rPr>
                <w:i/>
              </w:rPr>
            </w:pPr>
            <w:r w:rsidRPr="00E776E2">
              <w:rPr>
                <w:i/>
              </w:rPr>
              <w:t xml:space="preserve">Age bands (years) </w:t>
            </w:r>
          </w:p>
        </w:tc>
        <w:tc>
          <w:tcPr>
            <w:tcW w:w="3503" w:type="dxa"/>
            <w:tcBorders>
              <w:top w:val="nil"/>
              <w:bottom w:val="nil"/>
            </w:tcBorders>
          </w:tcPr>
          <w:p w14:paraId="5713BD49" w14:textId="77777777" w:rsidR="005B7BBA" w:rsidRPr="00E776E2" w:rsidRDefault="005B7BBA" w:rsidP="003D20AE">
            <w:pPr>
              <w:ind w:right="486"/>
              <w:rPr>
                <w:b/>
              </w:rPr>
            </w:pPr>
          </w:p>
        </w:tc>
        <w:tc>
          <w:tcPr>
            <w:tcW w:w="3294" w:type="dxa"/>
            <w:tcBorders>
              <w:top w:val="nil"/>
              <w:bottom w:val="nil"/>
            </w:tcBorders>
          </w:tcPr>
          <w:p w14:paraId="2B51723C" w14:textId="77777777" w:rsidR="005B7BBA" w:rsidRPr="00E776E2" w:rsidRDefault="005B7BBA" w:rsidP="003D20AE">
            <w:pPr>
              <w:ind w:right="486"/>
              <w:rPr>
                <w:b/>
              </w:rPr>
            </w:pPr>
          </w:p>
        </w:tc>
        <w:tc>
          <w:tcPr>
            <w:tcW w:w="3294" w:type="dxa"/>
            <w:tcBorders>
              <w:top w:val="nil"/>
              <w:bottom w:val="nil"/>
              <w:right w:val="nil"/>
            </w:tcBorders>
          </w:tcPr>
          <w:p w14:paraId="6E984408" w14:textId="77777777" w:rsidR="005B7BBA" w:rsidRPr="00E776E2" w:rsidRDefault="005B7BBA" w:rsidP="003D20AE">
            <w:pPr>
              <w:ind w:right="486"/>
              <w:rPr>
                <w:b/>
              </w:rPr>
            </w:pPr>
          </w:p>
        </w:tc>
      </w:tr>
      <w:tr w:rsidR="005B7BBA" w:rsidRPr="0072034E" w14:paraId="1B8E94D9" w14:textId="77777777" w:rsidTr="00964CE9">
        <w:tc>
          <w:tcPr>
            <w:tcW w:w="3085" w:type="dxa"/>
            <w:tcBorders>
              <w:top w:val="nil"/>
              <w:left w:val="nil"/>
              <w:bottom w:val="nil"/>
            </w:tcBorders>
          </w:tcPr>
          <w:p w14:paraId="043FA982" w14:textId="77777777" w:rsidR="005B7BBA" w:rsidRPr="00E776E2" w:rsidRDefault="005B7BBA" w:rsidP="003D20AE">
            <w:pPr>
              <w:spacing w:line="480" w:lineRule="auto"/>
              <w:ind w:right="488" w:firstLine="567"/>
            </w:pPr>
            <w:r w:rsidRPr="00E776E2">
              <w:t>18-40</w:t>
            </w:r>
          </w:p>
        </w:tc>
        <w:tc>
          <w:tcPr>
            <w:tcW w:w="3503" w:type="dxa"/>
            <w:tcBorders>
              <w:top w:val="nil"/>
              <w:bottom w:val="nil"/>
            </w:tcBorders>
          </w:tcPr>
          <w:p w14:paraId="1956A204" w14:textId="77777777" w:rsidR="005B7BBA" w:rsidRPr="00E776E2" w:rsidRDefault="005B7BBA" w:rsidP="003D20AE">
            <w:pPr>
              <w:ind w:right="486"/>
              <w:jc w:val="center"/>
            </w:pPr>
            <w:r w:rsidRPr="00E776E2">
              <w:t>367/537 (68)</w:t>
            </w:r>
          </w:p>
        </w:tc>
        <w:tc>
          <w:tcPr>
            <w:tcW w:w="3294" w:type="dxa"/>
            <w:tcBorders>
              <w:top w:val="nil"/>
              <w:bottom w:val="nil"/>
            </w:tcBorders>
          </w:tcPr>
          <w:p w14:paraId="2B92395D" w14:textId="77777777" w:rsidR="005B7BBA" w:rsidRPr="00E776E2" w:rsidRDefault="005B7BBA" w:rsidP="003D20AE">
            <w:pPr>
              <w:ind w:right="486"/>
              <w:jc w:val="center"/>
            </w:pPr>
            <w:r w:rsidRPr="00E776E2">
              <w:t>50/60 (83)</w:t>
            </w:r>
          </w:p>
        </w:tc>
        <w:tc>
          <w:tcPr>
            <w:tcW w:w="3294" w:type="dxa"/>
            <w:tcBorders>
              <w:top w:val="nil"/>
              <w:bottom w:val="nil"/>
              <w:right w:val="nil"/>
            </w:tcBorders>
          </w:tcPr>
          <w:p w14:paraId="23AF6A52" w14:textId="01F3AF52" w:rsidR="005B7BBA" w:rsidRPr="00E776E2" w:rsidRDefault="005B7BBA" w:rsidP="003D20AE">
            <w:pPr>
              <w:ind w:right="486"/>
              <w:jc w:val="center"/>
            </w:pPr>
            <w:r w:rsidRPr="00E776E2">
              <w:t>1.22 (1.07-1.38)</w:t>
            </w:r>
          </w:p>
        </w:tc>
      </w:tr>
      <w:tr w:rsidR="005B7BBA" w:rsidRPr="0072034E" w14:paraId="3D00FC17" w14:textId="77777777" w:rsidTr="00964CE9">
        <w:tc>
          <w:tcPr>
            <w:tcW w:w="3085" w:type="dxa"/>
            <w:tcBorders>
              <w:top w:val="nil"/>
              <w:left w:val="nil"/>
              <w:bottom w:val="nil"/>
            </w:tcBorders>
          </w:tcPr>
          <w:p w14:paraId="47F10021" w14:textId="77777777" w:rsidR="005B7BBA" w:rsidRPr="00E776E2" w:rsidRDefault="005B7BBA" w:rsidP="003D20AE">
            <w:pPr>
              <w:spacing w:line="480" w:lineRule="auto"/>
              <w:ind w:right="488" w:firstLine="567"/>
            </w:pPr>
            <w:r w:rsidRPr="00E776E2">
              <w:t>41-50</w:t>
            </w:r>
          </w:p>
        </w:tc>
        <w:tc>
          <w:tcPr>
            <w:tcW w:w="3503" w:type="dxa"/>
            <w:tcBorders>
              <w:top w:val="nil"/>
              <w:bottom w:val="nil"/>
            </w:tcBorders>
          </w:tcPr>
          <w:p w14:paraId="039ECDC8" w14:textId="77777777" w:rsidR="005B7BBA" w:rsidRPr="00E776E2" w:rsidRDefault="005B7BBA" w:rsidP="003D20AE">
            <w:pPr>
              <w:ind w:right="486"/>
              <w:jc w:val="center"/>
            </w:pPr>
            <w:r w:rsidRPr="00E776E2">
              <w:t>139/226 (62)</w:t>
            </w:r>
          </w:p>
        </w:tc>
        <w:tc>
          <w:tcPr>
            <w:tcW w:w="3294" w:type="dxa"/>
            <w:tcBorders>
              <w:top w:val="nil"/>
              <w:bottom w:val="nil"/>
            </w:tcBorders>
          </w:tcPr>
          <w:p w14:paraId="7E491252" w14:textId="77777777" w:rsidR="005B7BBA" w:rsidRPr="00E776E2" w:rsidRDefault="005B7BBA" w:rsidP="003D20AE">
            <w:pPr>
              <w:ind w:right="486"/>
              <w:jc w:val="center"/>
            </w:pPr>
            <w:r w:rsidRPr="00E776E2">
              <w:t>80/101 (79)</w:t>
            </w:r>
          </w:p>
        </w:tc>
        <w:tc>
          <w:tcPr>
            <w:tcW w:w="3294" w:type="dxa"/>
            <w:tcBorders>
              <w:top w:val="nil"/>
              <w:bottom w:val="nil"/>
              <w:right w:val="nil"/>
            </w:tcBorders>
          </w:tcPr>
          <w:p w14:paraId="5450DB7C" w14:textId="7C99A11F" w:rsidR="005B7BBA" w:rsidRPr="00E776E2" w:rsidRDefault="005B7BBA" w:rsidP="003D20AE">
            <w:pPr>
              <w:ind w:right="486"/>
              <w:jc w:val="center"/>
            </w:pPr>
            <w:r w:rsidRPr="00E776E2">
              <w:t>1.29 (1.12-1.49)</w:t>
            </w:r>
          </w:p>
        </w:tc>
      </w:tr>
      <w:tr w:rsidR="005B7BBA" w:rsidRPr="0072034E" w14:paraId="7B6D6E66" w14:textId="77777777" w:rsidTr="00964CE9">
        <w:tc>
          <w:tcPr>
            <w:tcW w:w="3085" w:type="dxa"/>
            <w:tcBorders>
              <w:top w:val="nil"/>
              <w:left w:val="nil"/>
              <w:bottom w:val="nil"/>
            </w:tcBorders>
          </w:tcPr>
          <w:p w14:paraId="69D3C23D" w14:textId="77777777" w:rsidR="005B7BBA" w:rsidRPr="00E776E2" w:rsidRDefault="005B7BBA" w:rsidP="003D20AE">
            <w:pPr>
              <w:spacing w:line="480" w:lineRule="auto"/>
              <w:ind w:right="488" w:firstLine="567"/>
            </w:pPr>
            <w:r w:rsidRPr="00E776E2">
              <w:t>51-60</w:t>
            </w:r>
          </w:p>
        </w:tc>
        <w:tc>
          <w:tcPr>
            <w:tcW w:w="3503" w:type="dxa"/>
            <w:tcBorders>
              <w:top w:val="nil"/>
              <w:bottom w:val="nil"/>
            </w:tcBorders>
          </w:tcPr>
          <w:p w14:paraId="7BCF8DBA" w14:textId="77777777" w:rsidR="005B7BBA" w:rsidRPr="00E776E2" w:rsidRDefault="005B7BBA" w:rsidP="003D20AE">
            <w:pPr>
              <w:ind w:right="486"/>
              <w:jc w:val="center"/>
            </w:pPr>
            <w:r w:rsidRPr="00E776E2">
              <w:t>151/240 (63)</w:t>
            </w:r>
          </w:p>
        </w:tc>
        <w:tc>
          <w:tcPr>
            <w:tcW w:w="3294" w:type="dxa"/>
            <w:tcBorders>
              <w:top w:val="nil"/>
              <w:bottom w:val="nil"/>
            </w:tcBorders>
          </w:tcPr>
          <w:p w14:paraId="647D042A" w14:textId="77777777" w:rsidR="005B7BBA" w:rsidRPr="00E776E2" w:rsidRDefault="005B7BBA" w:rsidP="003D20AE">
            <w:pPr>
              <w:ind w:right="486"/>
              <w:jc w:val="center"/>
            </w:pPr>
            <w:r w:rsidRPr="00E776E2">
              <w:t>145/183 (79)</w:t>
            </w:r>
          </w:p>
        </w:tc>
        <w:tc>
          <w:tcPr>
            <w:tcW w:w="3294" w:type="dxa"/>
            <w:tcBorders>
              <w:top w:val="nil"/>
              <w:bottom w:val="nil"/>
              <w:right w:val="nil"/>
            </w:tcBorders>
          </w:tcPr>
          <w:p w14:paraId="2B15B92B" w14:textId="2CC71548" w:rsidR="005B7BBA" w:rsidRPr="00E776E2" w:rsidRDefault="005B7BBA" w:rsidP="003D20AE">
            <w:pPr>
              <w:ind w:right="486"/>
              <w:jc w:val="center"/>
            </w:pPr>
            <w:r w:rsidRPr="00E776E2">
              <w:t>1.26 (1.11-1.42)</w:t>
            </w:r>
          </w:p>
        </w:tc>
      </w:tr>
      <w:tr w:rsidR="005B7BBA" w:rsidRPr="0072034E" w14:paraId="2D4DDE00" w14:textId="77777777" w:rsidTr="00964CE9">
        <w:tc>
          <w:tcPr>
            <w:tcW w:w="3085" w:type="dxa"/>
            <w:tcBorders>
              <w:top w:val="nil"/>
              <w:left w:val="nil"/>
              <w:bottom w:val="nil"/>
            </w:tcBorders>
          </w:tcPr>
          <w:p w14:paraId="30313FB5" w14:textId="77777777" w:rsidR="005B7BBA" w:rsidRPr="00E776E2" w:rsidRDefault="005B7BBA" w:rsidP="003D20AE">
            <w:pPr>
              <w:spacing w:line="480" w:lineRule="auto"/>
              <w:ind w:right="488" w:firstLine="567"/>
            </w:pPr>
            <w:r w:rsidRPr="00E776E2">
              <w:t xml:space="preserve">61+ </w:t>
            </w:r>
          </w:p>
        </w:tc>
        <w:tc>
          <w:tcPr>
            <w:tcW w:w="3503" w:type="dxa"/>
            <w:tcBorders>
              <w:top w:val="nil"/>
              <w:bottom w:val="nil"/>
            </w:tcBorders>
          </w:tcPr>
          <w:p w14:paraId="6C65D7F2" w14:textId="77777777" w:rsidR="005B7BBA" w:rsidRPr="00E776E2" w:rsidRDefault="005B7BBA" w:rsidP="003D20AE">
            <w:pPr>
              <w:ind w:right="486"/>
              <w:jc w:val="center"/>
            </w:pPr>
            <w:r w:rsidRPr="00E776E2">
              <w:t>58/174 (33)</w:t>
            </w:r>
          </w:p>
        </w:tc>
        <w:tc>
          <w:tcPr>
            <w:tcW w:w="3294" w:type="dxa"/>
            <w:tcBorders>
              <w:top w:val="nil"/>
              <w:bottom w:val="nil"/>
            </w:tcBorders>
          </w:tcPr>
          <w:p w14:paraId="1A1A4CE9" w14:textId="77777777" w:rsidR="005B7BBA" w:rsidRPr="00E776E2" w:rsidRDefault="005B7BBA" w:rsidP="003D20AE">
            <w:pPr>
              <w:ind w:right="486"/>
              <w:jc w:val="center"/>
            </w:pPr>
            <w:r w:rsidRPr="00E776E2">
              <w:t>146/221 (66)</w:t>
            </w:r>
          </w:p>
        </w:tc>
        <w:tc>
          <w:tcPr>
            <w:tcW w:w="3294" w:type="dxa"/>
            <w:tcBorders>
              <w:top w:val="nil"/>
              <w:bottom w:val="nil"/>
              <w:right w:val="nil"/>
            </w:tcBorders>
          </w:tcPr>
          <w:p w14:paraId="7E0552FE" w14:textId="6C882EAA" w:rsidR="005B7BBA" w:rsidRPr="00E776E2" w:rsidRDefault="005B7BBA" w:rsidP="003D20AE">
            <w:pPr>
              <w:ind w:right="486"/>
              <w:jc w:val="center"/>
            </w:pPr>
            <w:r w:rsidRPr="00E776E2">
              <w:t>1.98 (1.57-2.50)</w:t>
            </w:r>
          </w:p>
        </w:tc>
      </w:tr>
      <w:tr w:rsidR="005B7BBA" w:rsidRPr="000C0DF5" w14:paraId="4BD4C74A" w14:textId="77777777" w:rsidTr="00964CE9">
        <w:tc>
          <w:tcPr>
            <w:tcW w:w="3085" w:type="dxa"/>
            <w:tcBorders>
              <w:top w:val="nil"/>
              <w:left w:val="nil"/>
              <w:bottom w:val="nil"/>
            </w:tcBorders>
          </w:tcPr>
          <w:p w14:paraId="1F4A6611" w14:textId="77777777" w:rsidR="005B7BBA" w:rsidRPr="000C0DF5" w:rsidRDefault="005B7BBA" w:rsidP="003D20AE">
            <w:pPr>
              <w:spacing w:line="480" w:lineRule="auto"/>
              <w:ind w:right="488"/>
              <w:rPr>
                <w:b/>
              </w:rPr>
            </w:pPr>
            <w:r w:rsidRPr="000C0DF5">
              <w:rPr>
                <w:b/>
              </w:rPr>
              <w:t xml:space="preserve">Men </w:t>
            </w:r>
          </w:p>
        </w:tc>
        <w:tc>
          <w:tcPr>
            <w:tcW w:w="3503" w:type="dxa"/>
            <w:tcBorders>
              <w:top w:val="nil"/>
              <w:bottom w:val="nil"/>
            </w:tcBorders>
          </w:tcPr>
          <w:p w14:paraId="043A5945" w14:textId="77777777" w:rsidR="005B7BBA" w:rsidRPr="000C0DF5" w:rsidRDefault="005B7BBA" w:rsidP="003D20AE">
            <w:pPr>
              <w:ind w:right="486"/>
              <w:rPr>
                <w:b/>
              </w:rPr>
            </w:pPr>
          </w:p>
        </w:tc>
        <w:tc>
          <w:tcPr>
            <w:tcW w:w="3294" w:type="dxa"/>
            <w:tcBorders>
              <w:top w:val="nil"/>
              <w:bottom w:val="nil"/>
            </w:tcBorders>
          </w:tcPr>
          <w:p w14:paraId="4D7F5D4B" w14:textId="77777777" w:rsidR="005B7BBA" w:rsidRPr="000C0DF5" w:rsidRDefault="005B7BBA" w:rsidP="003D20AE">
            <w:pPr>
              <w:ind w:right="486"/>
              <w:rPr>
                <w:b/>
              </w:rPr>
            </w:pPr>
          </w:p>
        </w:tc>
        <w:tc>
          <w:tcPr>
            <w:tcW w:w="3294" w:type="dxa"/>
            <w:tcBorders>
              <w:top w:val="nil"/>
              <w:bottom w:val="nil"/>
              <w:right w:val="nil"/>
            </w:tcBorders>
          </w:tcPr>
          <w:p w14:paraId="2A2AED0D" w14:textId="77777777" w:rsidR="005B7BBA" w:rsidRPr="000C0DF5" w:rsidRDefault="005B7BBA" w:rsidP="003D20AE">
            <w:pPr>
              <w:ind w:right="486"/>
              <w:rPr>
                <w:b/>
              </w:rPr>
            </w:pPr>
          </w:p>
        </w:tc>
      </w:tr>
      <w:tr w:rsidR="005B7BBA" w:rsidRPr="000C0DF5" w14:paraId="4088A51E" w14:textId="77777777" w:rsidTr="00964CE9">
        <w:tc>
          <w:tcPr>
            <w:tcW w:w="3085" w:type="dxa"/>
            <w:tcBorders>
              <w:top w:val="nil"/>
              <w:left w:val="nil"/>
              <w:bottom w:val="nil"/>
            </w:tcBorders>
          </w:tcPr>
          <w:p w14:paraId="3CEE4B3C" w14:textId="77777777" w:rsidR="005B7BBA" w:rsidRPr="000C0DF5" w:rsidRDefault="005B7BBA" w:rsidP="003D20AE">
            <w:pPr>
              <w:spacing w:line="480" w:lineRule="auto"/>
              <w:ind w:right="488" w:firstLine="284"/>
            </w:pPr>
            <w:r w:rsidRPr="000C0DF5">
              <w:rPr>
                <w:i/>
              </w:rPr>
              <w:t>Age bands (years)</w:t>
            </w:r>
          </w:p>
        </w:tc>
        <w:tc>
          <w:tcPr>
            <w:tcW w:w="3503" w:type="dxa"/>
            <w:tcBorders>
              <w:top w:val="nil"/>
              <w:bottom w:val="nil"/>
            </w:tcBorders>
          </w:tcPr>
          <w:p w14:paraId="1CC8FF1C" w14:textId="77777777" w:rsidR="005B7BBA" w:rsidRPr="000C0DF5" w:rsidRDefault="005B7BBA" w:rsidP="003D20AE">
            <w:pPr>
              <w:ind w:right="486"/>
              <w:rPr>
                <w:b/>
              </w:rPr>
            </w:pPr>
          </w:p>
        </w:tc>
        <w:tc>
          <w:tcPr>
            <w:tcW w:w="3294" w:type="dxa"/>
            <w:tcBorders>
              <w:top w:val="nil"/>
              <w:bottom w:val="nil"/>
            </w:tcBorders>
          </w:tcPr>
          <w:p w14:paraId="65EFA57E" w14:textId="77777777" w:rsidR="005B7BBA" w:rsidRPr="000C0DF5" w:rsidRDefault="005B7BBA" w:rsidP="003D20AE">
            <w:pPr>
              <w:ind w:right="486"/>
              <w:rPr>
                <w:b/>
              </w:rPr>
            </w:pPr>
          </w:p>
        </w:tc>
        <w:tc>
          <w:tcPr>
            <w:tcW w:w="3294" w:type="dxa"/>
            <w:tcBorders>
              <w:top w:val="nil"/>
              <w:bottom w:val="nil"/>
              <w:right w:val="nil"/>
            </w:tcBorders>
          </w:tcPr>
          <w:p w14:paraId="35ACC830" w14:textId="77777777" w:rsidR="005B7BBA" w:rsidRPr="000C0DF5" w:rsidRDefault="005B7BBA" w:rsidP="003D20AE">
            <w:pPr>
              <w:ind w:right="486"/>
              <w:rPr>
                <w:b/>
              </w:rPr>
            </w:pPr>
          </w:p>
        </w:tc>
      </w:tr>
      <w:tr w:rsidR="005B7BBA" w:rsidRPr="000C0DF5" w14:paraId="6D54AC6A" w14:textId="77777777" w:rsidTr="00964CE9">
        <w:tc>
          <w:tcPr>
            <w:tcW w:w="3085" w:type="dxa"/>
            <w:tcBorders>
              <w:top w:val="nil"/>
              <w:left w:val="nil"/>
              <w:bottom w:val="nil"/>
            </w:tcBorders>
          </w:tcPr>
          <w:p w14:paraId="553334E8" w14:textId="77777777" w:rsidR="005B7BBA" w:rsidRPr="000C0DF5" w:rsidRDefault="005B7BBA" w:rsidP="003D20AE">
            <w:pPr>
              <w:spacing w:line="480" w:lineRule="auto"/>
              <w:ind w:right="488" w:firstLine="567"/>
            </w:pPr>
            <w:r w:rsidRPr="000C0DF5">
              <w:t>18-40</w:t>
            </w:r>
          </w:p>
        </w:tc>
        <w:tc>
          <w:tcPr>
            <w:tcW w:w="3503" w:type="dxa"/>
            <w:tcBorders>
              <w:top w:val="nil"/>
              <w:bottom w:val="nil"/>
            </w:tcBorders>
          </w:tcPr>
          <w:p w14:paraId="28818D49" w14:textId="77777777" w:rsidR="005B7BBA" w:rsidRPr="000C0DF5" w:rsidRDefault="005B7BBA" w:rsidP="003D20AE">
            <w:pPr>
              <w:ind w:right="486"/>
              <w:jc w:val="center"/>
            </w:pPr>
            <w:r w:rsidRPr="000C0DF5">
              <w:t>152/341 (45)</w:t>
            </w:r>
          </w:p>
        </w:tc>
        <w:tc>
          <w:tcPr>
            <w:tcW w:w="3294" w:type="dxa"/>
            <w:tcBorders>
              <w:top w:val="nil"/>
              <w:bottom w:val="nil"/>
            </w:tcBorders>
          </w:tcPr>
          <w:p w14:paraId="0D15FDAB" w14:textId="77777777" w:rsidR="005B7BBA" w:rsidRPr="000C0DF5" w:rsidRDefault="005B7BBA" w:rsidP="003D20AE">
            <w:pPr>
              <w:ind w:right="486"/>
              <w:jc w:val="center"/>
            </w:pPr>
            <w:r w:rsidRPr="000C0DF5">
              <w:t xml:space="preserve"> 5/9 (56)</w:t>
            </w:r>
          </w:p>
        </w:tc>
        <w:tc>
          <w:tcPr>
            <w:tcW w:w="3294" w:type="dxa"/>
            <w:tcBorders>
              <w:top w:val="nil"/>
              <w:bottom w:val="nil"/>
              <w:right w:val="nil"/>
            </w:tcBorders>
          </w:tcPr>
          <w:p w14:paraId="1FB13BED" w14:textId="3F0CB8AC" w:rsidR="005B7BBA" w:rsidRPr="000C0DF5" w:rsidRDefault="005B7BBA" w:rsidP="003D20AE">
            <w:pPr>
              <w:ind w:right="486"/>
              <w:jc w:val="center"/>
            </w:pPr>
            <w:r w:rsidRPr="000C0DF5">
              <w:t>1.2</w:t>
            </w:r>
            <w:r w:rsidR="00B47868" w:rsidRPr="000C0DF5">
              <w:t>5</w:t>
            </w:r>
            <w:r w:rsidRPr="000C0DF5">
              <w:t xml:space="preserve"> (0.69-2.26)</w:t>
            </w:r>
          </w:p>
        </w:tc>
      </w:tr>
      <w:tr w:rsidR="005B7BBA" w:rsidRPr="000C0DF5" w14:paraId="59264189" w14:textId="77777777" w:rsidTr="00964CE9">
        <w:tc>
          <w:tcPr>
            <w:tcW w:w="3085" w:type="dxa"/>
            <w:tcBorders>
              <w:top w:val="nil"/>
              <w:left w:val="nil"/>
              <w:bottom w:val="nil"/>
            </w:tcBorders>
          </w:tcPr>
          <w:p w14:paraId="64675CFC" w14:textId="77777777" w:rsidR="005B7BBA" w:rsidRPr="000C0DF5" w:rsidRDefault="005B7BBA" w:rsidP="003D20AE">
            <w:pPr>
              <w:spacing w:line="480" w:lineRule="auto"/>
              <w:ind w:right="488" w:firstLine="567"/>
            </w:pPr>
            <w:r w:rsidRPr="000C0DF5">
              <w:t>41-50</w:t>
            </w:r>
          </w:p>
        </w:tc>
        <w:tc>
          <w:tcPr>
            <w:tcW w:w="3503" w:type="dxa"/>
            <w:tcBorders>
              <w:top w:val="nil"/>
              <w:bottom w:val="nil"/>
            </w:tcBorders>
          </w:tcPr>
          <w:p w14:paraId="6C6720C3" w14:textId="77777777" w:rsidR="005B7BBA" w:rsidRPr="000C0DF5" w:rsidRDefault="005B7BBA" w:rsidP="003D20AE">
            <w:pPr>
              <w:ind w:right="486"/>
              <w:jc w:val="center"/>
            </w:pPr>
            <w:r w:rsidRPr="000C0DF5">
              <w:t>69/170 (41)</w:t>
            </w:r>
          </w:p>
        </w:tc>
        <w:tc>
          <w:tcPr>
            <w:tcW w:w="3294" w:type="dxa"/>
            <w:tcBorders>
              <w:top w:val="nil"/>
              <w:bottom w:val="nil"/>
            </w:tcBorders>
          </w:tcPr>
          <w:p w14:paraId="4B60C449" w14:textId="77777777" w:rsidR="005B7BBA" w:rsidRPr="000C0DF5" w:rsidRDefault="005B7BBA" w:rsidP="003D20AE">
            <w:pPr>
              <w:ind w:right="486"/>
              <w:jc w:val="center"/>
            </w:pPr>
            <w:r w:rsidRPr="000C0DF5">
              <w:t xml:space="preserve"> 8/11 (73)</w:t>
            </w:r>
          </w:p>
        </w:tc>
        <w:tc>
          <w:tcPr>
            <w:tcW w:w="3294" w:type="dxa"/>
            <w:tcBorders>
              <w:top w:val="nil"/>
              <w:bottom w:val="nil"/>
              <w:right w:val="nil"/>
            </w:tcBorders>
          </w:tcPr>
          <w:p w14:paraId="5A5710A4" w14:textId="66157027" w:rsidR="005B7BBA" w:rsidRPr="000C0DF5" w:rsidRDefault="005B7BBA" w:rsidP="003D20AE">
            <w:pPr>
              <w:ind w:right="486"/>
              <w:jc w:val="center"/>
            </w:pPr>
            <w:r w:rsidRPr="000C0DF5">
              <w:t>1.79 (1.20-2.69)</w:t>
            </w:r>
          </w:p>
        </w:tc>
      </w:tr>
      <w:tr w:rsidR="005B7BBA" w:rsidRPr="000C0DF5" w14:paraId="728FC4EA" w14:textId="77777777" w:rsidTr="00964CE9">
        <w:tc>
          <w:tcPr>
            <w:tcW w:w="3085" w:type="dxa"/>
            <w:tcBorders>
              <w:top w:val="nil"/>
              <w:left w:val="nil"/>
              <w:bottom w:val="nil"/>
            </w:tcBorders>
          </w:tcPr>
          <w:p w14:paraId="2BAD1C6E" w14:textId="77777777" w:rsidR="005B7BBA" w:rsidRPr="000C0DF5" w:rsidRDefault="005B7BBA" w:rsidP="003D20AE">
            <w:pPr>
              <w:spacing w:line="480" w:lineRule="auto"/>
              <w:ind w:right="488" w:firstLine="567"/>
            </w:pPr>
            <w:r w:rsidRPr="000C0DF5">
              <w:t>51-60</w:t>
            </w:r>
          </w:p>
        </w:tc>
        <w:tc>
          <w:tcPr>
            <w:tcW w:w="3503" w:type="dxa"/>
            <w:tcBorders>
              <w:top w:val="nil"/>
              <w:bottom w:val="nil"/>
            </w:tcBorders>
          </w:tcPr>
          <w:p w14:paraId="2B2884E0" w14:textId="77777777" w:rsidR="005B7BBA" w:rsidRPr="000C0DF5" w:rsidRDefault="005B7BBA" w:rsidP="003D20AE">
            <w:pPr>
              <w:ind w:right="486"/>
              <w:jc w:val="center"/>
            </w:pPr>
            <w:r w:rsidRPr="000C0DF5">
              <w:t>49/202 (24)</w:t>
            </w:r>
          </w:p>
        </w:tc>
        <w:tc>
          <w:tcPr>
            <w:tcW w:w="3294" w:type="dxa"/>
            <w:tcBorders>
              <w:top w:val="nil"/>
              <w:bottom w:val="nil"/>
            </w:tcBorders>
          </w:tcPr>
          <w:p w14:paraId="4C7E41D7" w14:textId="77777777" w:rsidR="005B7BBA" w:rsidRPr="000C0DF5" w:rsidRDefault="005B7BBA" w:rsidP="003D20AE">
            <w:pPr>
              <w:ind w:right="486"/>
              <w:jc w:val="center"/>
            </w:pPr>
            <w:r w:rsidRPr="000C0DF5">
              <w:t>12/22 (55)</w:t>
            </w:r>
          </w:p>
        </w:tc>
        <w:tc>
          <w:tcPr>
            <w:tcW w:w="3294" w:type="dxa"/>
            <w:tcBorders>
              <w:top w:val="nil"/>
              <w:bottom w:val="nil"/>
              <w:right w:val="nil"/>
            </w:tcBorders>
          </w:tcPr>
          <w:p w14:paraId="22B0C55A" w14:textId="477736F6" w:rsidR="005B7BBA" w:rsidRPr="000C0DF5" w:rsidRDefault="005B7BBA" w:rsidP="003D20AE">
            <w:pPr>
              <w:ind w:right="486"/>
              <w:jc w:val="center"/>
            </w:pPr>
            <w:r w:rsidRPr="000C0DF5">
              <w:t>2.2</w:t>
            </w:r>
            <w:r w:rsidR="00B47868" w:rsidRPr="000C0DF5">
              <w:t>5</w:t>
            </w:r>
            <w:r w:rsidRPr="000C0DF5">
              <w:t xml:space="preserve"> (1.43-3.54)</w:t>
            </w:r>
          </w:p>
        </w:tc>
      </w:tr>
      <w:tr w:rsidR="005B7BBA" w:rsidRPr="000C0DF5" w14:paraId="1A34EBCE" w14:textId="77777777" w:rsidTr="00964CE9">
        <w:tc>
          <w:tcPr>
            <w:tcW w:w="3085" w:type="dxa"/>
            <w:tcBorders>
              <w:top w:val="nil"/>
              <w:left w:val="nil"/>
              <w:bottom w:val="single" w:sz="18" w:space="0" w:color="auto"/>
            </w:tcBorders>
          </w:tcPr>
          <w:p w14:paraId="10824031" w14:textId="77777777" w:rsidR="005B7BBA" w:rsidRPr="000C0DF5" w:rsidRDefault="005B7BBA" w:rsidP="003D20AE">
            <w:pPr>
              <w:spacing w:line="480" w:lineRule="auto"/>
              <w:ind w:right="488" w:firstLine="567"/>
            </w:pPr>
            <w:r w:rsidRPr="000C0DF5">
              <w:t xml:space="preserve">61 + </w:t>
            </w:r>
          </w:p>
        </w:tc>
        <w:tc>
          <w:tcPr>
            <w:tcW w:w="3503" w:type="dxa"/>
            <w:tcBorders>
              <w:top w:val="nil"/>
              <w:bottom w:val="single" w:sz="18" w:space="0" w:color="auto"/>
            </w:tcBorders>
          </w:tcPr>
          <w:p w14:paraId="6FE562F4" w14:textId="77777777" w:rsidR="005B7BBA" w:rsidRPr="000C0DF5" w:rsidRDefault="005B7BBA" w:rsidP="003D20AE">
            <w:pPr>
              <w:ind w:right="486"/>
              <w:jc w:val="center"/>
            </w:pPr>
            <w:r w:rsidRPr="000C0DF5">
              <w:t>45/218 (21)</w:t>
            </w:r>
          </w:p>
        </w:tc>
        <w:tc>
          <w:tcPr>
            <w:tcW w:w="3294" w:type="dxa"/>
            <w:tcBorders>
              <w:top w:val="nil"/>
              <w:bottom w:val="single" w:sz="18" w:space="0" w:color="auto"/>
            </w:tcBorders>
          </w:tcPr>
          <w:p w14:paraId="4E120B99" w14:textId="77777777" w:rsidR="005B7BBA" w:rsidRPr="000C0DF5" w:rsidRDefault="005B7BBA" w:rsidP="003D20AE">
            <w:pPr>
              <w:ind w:right="486"/>
              <w:jc w:val="center"/>
            </w:pPr>
            <w:r w:rsidRPr="000C0DF5">
              <w:t xml:space="preserve">17/37 (46) </w:t>
            </w:r>
          </w:p>
        </w:tc>
        <w:tc>
          <w:tcPr>
            <w:tcW w:w="3294" w:type="dxa"/>
            <w:tcBorders>
              <w:top w:val="nil"/>
              <w:bottom w:val="single" w:sz="18" w:space="0" w:color="auto"/>
              <w:right w:val="nil"/>
            </w:tcBorders>
          </w:tcPr>
          <w:p w14:paraId="2553C839" w14:textId="4384471F" w:rsidR="005B7BBA" w:rsidRPr="000C0DF5" w:rsidRDefault="005B7BBA" w:rsidP="003D20AE">
            <w:pPr>
              <w:ind w:right="486"/>
              <w:jc w:val="center"/>
            </w:pPr>
            <w:r w:rsidRPr="000C0DF5">
              <w:t>2.23 (1.44-3.44)</w:t>
            </w:r>
          </w:p>
        </w:tc>
      </w:tr>
    </w:tbl>
    <w:p w14:paraId="390E49D0" w14:textId="77777777" w:rsidR="009F211E" w:rsidRDefault="009F211E" w:rsidP="00072F9C">
      <w:pPr>
        <w:ind w:right="486"/>
        <w:rPr>
          <w:vertAlign w:val="superscript"/>
        </w:rPr>
      </w:pPr>
    </w:p>
    <w:p w14:paraId="4CBC7F43" w14:textId="4E7C2B0D" w:rsidR="005B7BBA" w:rsidRPr="00072F9C" w:rsidRDefault="005B7BBA" w:rsidP="00072F9C">
      <w:pPr>
        <w:ind w:right="486"/>
      </w:pPr>
      <w:proofErr w:type="spellStart"/>
      <w:r w:rsidRPr="000C0DF5">
        <w:rPr>
          <w:vertAlign w:val="superscript"/>
        </w:rPr>
        <w:t>a</w:t>
      </w:r>
      <w:r w:rsidRPr="000C0DF5">
        <w:t>Based</w:t>
      </w:r>
      <w:proofErr w:type="spellEnd"/>
      <w:r w:rsidRPr="000C0DF5">
        <w:t xml:space="preserve"> on valu</w:t>
      </w:r>
      <w:r w:rsidR="00845FD3" w:rsidRPr="000C0DF5">
        <w:t xml:space="preserve">es reported in Harris and </w:t>
      </w:r>
      <w:proofErr w:type="spellStart"/>
      <w:r w:rsidR="00845FD3" w:rsidRPr="000C0DF5">
        <w:t>Carr</w:t>
      </w:r>
      <w:proofErr w:type="spellEnd"/>
      <w:r w:rsidR="00845FD3" w:rsidRPr="000C0DF5">
        <w:t>, 2001</w:t>
      </w:r>
      <w:r w:rsidR="009F211E">
        <w:t xml:space="preserve"> </w:t>
      </w:r>
      <w:r w:rsidRPr="000C0DF5">
        <w:t>(</w:t>
      </w:r>
      <w:r w:rsidR="002C37C5">
        <w:t>14</w:t>
      </w:r>
      <w:r w:rsidRPr="000C0DF5">
        <w:t xml:space="preserve">). </w:t>
      </w:r>
    </w:p>
    <w:p w14:paraId="2F5F2DFB" w14:textId="4C8E8631" w:rsidR="00302934" w:rsidRPr="00FB0917" w:rsidRDefault="00302934" w:rsidP="00FB0917"/>
    <w:sectPr w:rsidR="00302934" w:rsidRPr="00FB0917" w:rsidSect="00F52FC7">
      <w:pgSz w:w="15840" w:h="12240" w:orient="landscape"/>
      <w:pgMar w:top="1440" w:right="1440" w:bottom="1440" w:left="1440" w:header="709" w:footer="85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DCA74" w14:textId="77777777" w:rsidR="00627302" w:rsidRDefault="00627302">
      <w:r>
        <w:separator/>
      </w:r>
    </w:p>
  </w:endnote>
  <w:endnote w:type="continuationSeparator" w:id="0">
    <w:p w14:paraId="6277126D" w14:textId="77777777" w:rsidR="00627302" w:rsidRDefault="0062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D5D45" w14:textId="77777777" w:rsidR="009E438F" w:rsidRDefault="009E438F" w:rsidP="00C822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A00898" w14:textId="77777777" w:rsidR="009E438F" w:rsidRDefault="009E438F" w:rsidP="003175E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BE6A4" w14:textId="77777777" w:rsidR="009E438F" w:rsidRPr="00530385" w:rsidRDefault="009E438F" w:rsidP="00011BB0">
    <w:pPr>
      <w:pStyle w:val="Footer"/>
      <w:framePr w:wrap="around" w:vAnchor="text" w:hAnchor="margin" w:xAlign="right" w:y="1"/>
      <w:rPr>
        <w:rStyle w:val="PageNumber"/>
      </w:rPr>
    </w:pPr>
    <w:r w:rsidRPr="00530385">
      <w:rPr>
        <w:rStyle w:val="PageNumber"/>
      </w:rPr>
      <w:fldChar w:fldCharType="begin"/>
    </w:r>
    <w:r w:rsidRPr="00530385">
      <w:rPr>
        <w:rStyle w:val="PageNumber"/>
      </w:rPr>
      <w:instrText xml:space="preserve">PAGE  </w:instrText>
    </w:r>
    <w:r w:rsidRPr="00530385">
      <w:rPr>
        <w:rStyle w:val="PageNumber"/>
      </w:rPr>
      <w:fldChar w:fldCharType="separate"/>
    </w:r>
    <w:r w:rsidR="00B00EE1">
      <w:rPr>
        <w:rStyle w:val="PageNumber"/>
        <w:noProof/>
      </w:rPr>
      <w:t>1</w:t>
    </w:r>
    <w:r w:rsidRPr="00530385">
      <w:rPr>
        <w:rStyle w:val="PageNumber"/>
      </w:rPr>
      <w:fldChar w:fldCharType="end"/>
    </w:r>
  </w:p>
  <w:p w14:paraId="7BF3FE78" w14:textId="77777777" w:rsidR="009E438F" w:rsidRDefault="009E438F" w:rsidP="00F52FC7">
    <w:pPr>
      <w:pStyle w:val="Footer"/>
      <w:ind w:right="360"/>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6BAF9" w14:textId="77777777" w:rsidR="009E438F" w:rsidRDefault="009E438F" w:rsidP="003175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8FD1BA" w14:textId="77777777" w:rsidR="009E438F" w:rsidRDefault="009E438F" w:rsidP="003175E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1E22B" w14:textId="77777777" w:rsidR="00627302" w:rsidRDefault="00627302">
      <w:r>
        <w:separator/>
      </w:r>
    </w:p>
  </w:footnote>
  <w:footnote w:type="continuationSeparator" w:id="0">
    <w:p w14:paraId="50D3E405" w14:textId="77777777" w:rsidR="00627302" w:rsidRDefault="006273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E22C8" w14:textId="77777777" w:rsidR="009E438F" w:rsidRDefault="009E438F" w:rsidP="003175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10A90982" w14:textId="77777777" w:rsidR="009E438F" w:rsidRDefault="009E438F" w:rsidP="003175E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50363" w14:textId="0B585821" w:rsidR="009E438F" w:rsidRPr="00503229" w:rsidRDefault="009E438F" w:rsidP="00936ACD">
    <w:pPr>
      <w:pStyle w:val="Header"/>
      <w:jc w:val="righ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CE1B5" w14:textId="77777777" w:rsidR="009E438F" w:rsidRDefault="009E438F" w:rsidP="003175E5">
    <w:pPr>
      <w:pStyle w:val="Header"/>
      <w:jc w:val="right"/>
    </w:pPr>
    <w:r>
      <w:t xml:space="preserve">Self-Efficacy for Managing Chronic Disease Scale for Scleroderma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641B0"/>
    <w:multiLevelType w:val="hybridMultilevel"/>
    <w:tmpl w:val="8E164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753E5"/>
    <w:multiLevelType w:val="hybridMultilevel"/>
    <w:tmpl w:val="F1D06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465492"/>
    <w:multiLevelType w:val="hybridMultilevel"/>
    <w:tmpl w:val="63A40C48"/>
    <w:lvl w:ilvl="0" w:tplc="947CD10C">
      <w:start w:val="2006"/>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0746C8"/>
    <w:multiLevelType w:val="hybridMultilevel"/>
    <w:tmpl w:val="511886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E320BCF"/>
    <w:multiLevelType w:val="hybridMultilevel"/>
    <w:tmpl w:val="511886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28D1A09"/>
    <w:multiLevelType w:val="hybridMultilevel"/>
    <w:tmpl w:val="FB42CD4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6AC66FFE"/>
    <w:multiLevelType w:val="hybridMultilevel"/>
    <w:tmpl w:val="D5F6D28A"/>
    <w:lvl w:ilvl="0" w:tplc="88FE16DA">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70E014BF"/>
    <w:multiLevelType w:val="hybridMultilevel"/>
    <w:tmpl w:val="48B6BA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76975E92"/>
    <w:multiLevelType w:val="hybridMultilevel"/>
    <w:tmpl w:val="A720E4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8"/>
  </w:num>
  <w:num w:numId="4">
    <w:abstractNumId w:val="6"/>
  </w:num>
  <w:num w:numId="5">
    <w:abstractNumId w:val="3"/>
  </w:num>
  <w:num w:numId="6">
    <w:abstractNumId w:val="4"/>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85D5D"/>
    <w:rsid w:val="00001747"/>
    <w:rsid w:val="00001955"/>
    <w:rsid w:val="00001B43"/>
    <w:rsid w:val="0000387B"/>
    <w:rsid w:val="0000463F"/>
    <w:rsid w:val="00004A90"/>
    <w:rsid w:val="000051A3"/>
    <w:rsid w:val="0000616D"/>
    <w:rsid w:val="00006774"/>
    <w:rsid w:val="00007762"/>
    <w:rsid w:val="0001094A"/>
    <w:rsid w:val="00011BB0"/>
    <w:rsid w:val="000124A7"/>
    <w:rsid w:val="00013D56"/>
    <w:rsid w:val="00014147"/>
    <w:rsid w:val="0001480B"/>
    <w:rsid w:val="00015F0E"/>
    <w:rsid w:val="0001673A"/>
    <w:rsid w:val="00016F40"/>
    <w:rsid w:val="00017089"/>
    <w:rsid w:val="00020A77"/>
    <w:rsid w:val="00021081"/>
    <w:rsid w:val="00021F43"/>
    <w:rsid w:val="0002223A"/>
    <w:rsid w:val="00022AFA"/>
    <w:rsid w:val="00022C43"/>
    <w:rsid w:val="00022E49"/>
    <w:rsid w:val="00022EAD"/>
    <w:rsid w:val="0002337A"/>
    <w:rsid w:val="00023CB5"/>
    <w:rsid w:val="00023D27"/>
    <w:rsid w:val="00024B3E"/>
    <w:rsid w:val="0002502D"/>
    <w:rsid w:val="00026025"/>
    <w:rsid w:val="0002746F"/>
    <w:rsid w:val="00027712"/>
    <w:rsid w:val="0003173D"/>
    <w:rsid w:val="000327D1"/>
    <w:rsid w:val="00033704"/>
    <w:rsid w:val="00033807"/>
    <w:rsid w:val="000341D6"/>
    <w:rsid w:val="0003430F"/>
    <w:rsid w:val="000349E4"/>
    <w:rsid w:val="000355B2"/>
    <w:rsid w:val="00036839"/>
    <w:rsid w:val="00036B75"/>
    <w:rsid w:val="00040614"/>
    <w:rsid w:val="00040696"/>
    <w:rsid w:val="0004088C"/>
    <w:rsid w:val="00043C54"/>
    <w:rsid w:val="00044462"/>
    <w:rsid w:val="000445AD"/>
    <w:rsid w:val="000449E8"/>
    <w:rsid w:val="00045267"/>
    <w:rsid w:val="00046AC0"/>
    <w:rsid w:val="0004703A"/>
    <w:rsid w:val="00047504"/>
    <w:rsid w:val="00050B7E"/>
    <w:rsid w:val="0005175B"/>
    <w:rsid w:val="000517C9"/>
    <w:rsid w:val="0005323F"/>
    <w:rsid w:val="00055CE9"/>
    <w:rsid w:val="000563A1"/>
    <w:rsid w:val="0005645B"/>
    <w:rsid w:val="00057E42"/>
    <w:rsid w:val="0006087D"/>
    <w:rsid w:val="000608D7"/>
    <w:rsid w:val="0006124C"/>
    <w:rsid w:val="00061D5D"/>
    <w:rsid w:val="00064734"/>
    <w:rsid w:val="0006587E"/>
    <w:rsid w:val="00065954"/>
    <w:rsid w:val="00066D3B"/>
    <w:rsid w:val="0006744C"/>
    <w:rsid w:val="00070289"/>
    <w:rsid w:val="000702FC"/>
    <w:rsid w:val="0007147E"/>
    <w:rsid w:val="00071762"/>
    <w:rsid w:val="000722AA"/>
    <w:rsid w:val="00072389"/>
    <w:rsid w:val="000723EA"/>
    <w:rsid w:val="00072904"/>
    <w:rsid w:val="00072D79"/>
    <w:rsid w:val="00072F9C"/>
    <w:rsid w:val="00073D6D"/>
    <w:rsid w:val="000759F9"/>
    <w:rsid w:val="00075FC5"/>
    <w:rsid w:val="00076015"/>
    <w:rsid w:val="000766B9"/>
    <w:rsid w:val="000807DD"/>
    <w:rsid w:val="0008094A"/>
    <w:rsid w:val="00080AAD"/>
    <w:rsid w:val="00081389"/>
    <w:rsid w:val="000813C6"/>
    <w:rsid w:val="00082205"/>
    <w:rsid w:val="00082AAF"/>
    <w:rsid w:val="00083B0C"/>
    <w:rsid w:val="00085A7F"/>
    <w:rsid w:val="0008681B"/>
    <w:rsid w:val="00086BDE"/>
    <w:rsid w:val="00090744"/>
    <w:rsid w:val="00090D50"/>
    <w:rsid w:val="00091E93"/>
    <w:rsid w:val="00093574"/>
    <w:rsid w:val="00094105"/>
    <w:rsid w:val="00094596"/>
    <w:rsid w:val="00094A81"/>
    <w:rsid w:val="00094AEC"/>
    <w:rsid w:val="00095F12"/>
    <w:rsid w:val="00096189"/>
    <w:rsid w:val="000962DA"/>
    <w:rsid w:val="000966D6"/>
    <w:rsid w:val="00097732"/>
    <w:rsid w:val="000A0573"/>
    <w:rsid w:val="000A09D5"/>
    <w:rsid w:val="000A1973"/>
    <w:rsid w:val="000A1E9D"/>
    <w:rsid w:val="000A2C88"/>
    <w:rsid w:val="000A2CC0"/>
    <w:rsid w:val="000A5573"/>
    <w:rsid w:val="000A5CD8"/>
    <w:rsid w:val="000A5EEB"/>
    <w:rsid w:val="000A6090"/>
    <w:rsid w:val="000A6A80"/>
    <w:rsid w:val="000A74BF"/>
    <w:rsid w:val="000B0BA9"/>
    <w:rsid w:val="000B0C75"/>
    <w:rsid w:val="000B2AAA"/>
    <w:rsid w:val="000B3EB8"/>
    <w:rsid w:val="000B4DC5"/>
    <w:rsid w:val="000B6D67"/>
    <w:rsid w:val="000C0DF5"/>
    <w:rsid w:val="000C25A4"/>
    <w:rsid w:val="000C2624"/>
    <w:rsid w:val="000C2D32"/>
    <w:rsid w:val="000C395B"/>
    <w:rsid w:val="000C3D08"/>
    <w:rsid w:val="000C42E1"/>
    <w:rsid w:val="000C6801"/>
    <w:rsid w:val="000C7921"/>
    <w:rsid w:val="000D03AE"/>
    <w:rsid w:val="000D1423"/>
    <w:rsid w:val="000D29C6"/>
    <w:rsid w:val="000D29DF"/>
    <w:rsid w:val="000D4E0E"/>
    <w:rsid w:val="000D633C"/>
    <w:rsid w:val="000D6AF5"/>
    <w:rsid w:val="000D6CE6"/>
    <w:rsid w:val="000D724B"/>
    <w:rsid w:val="000D7468"/>
    <w:rsid w:val="000E0789"/>
    <w:rsid w:val="000E08FE"/>
    <w:rsid w:val="000E511C"/>
    <w:rsid w:val="000E6C4C"/>
    <w:rsid w:val="000E6DE3"/>
    <w:rsid w:val="000F17AD"/>
    <w:rsid w:val="000F17E0"/>
    <w:rsid w:val="000F2676"/>
    <w:rsid w:val="000F2BC9"/>
    <w:rsid w:val="000F3168"/>
    <w:rsid w:val="000F33CA"/>
    <w:rsid w:val="000F370F"/>
    <w:rsid w:val="000F4222"/>
    <w:rsid w:val="000F459A"/>
    <w:rsid w:val="001000B2"/>
    <w:rsid w:val="001000E2"/>
    <w:rsid w:val="001015C1"/>
    <w:rsid w:val="0010185B"/>
    <w:rsid w:val="00101A0D"/>
    <w:rsid w:val="00101D2E"/>
    <w:rsid w:val="00102171"/>
    <w:rsid w:val="00102188"/>
    <w:rsid w:val="001034E7"/>
    <w:rsid w:val="00104994"/>
    <w:rsid w:val="00104BBD"/>
    <w:rsid w:val="001052D1"/>
    <w:rsid w:val="0010593F"/>
    <w:rsid w:val="00105AA9"/>
    <w:rsid w:val="00106AAF"/>
    <w:rsid w:val="001076D1"/>
    <w:rsid w:val="00107A85"/>
    <w:rsid w:val="00107BAB"/>
    <w:rsid w:val="00107EBB"/>
    <w:rsid w:val="001114E2"/>
    <w:rsid w:val="00111509"/>
    <w:rsid w:val="00111773"/>
    <w:rsid w:val="00111D8F"/>
    <w:rsid w:val="00112EED"/>
    <w:rsid w:val="00112F13"/>
    <w:rsid w:val="001140E2"/>
    <w:rsid w:val="001150B8"/>
    <w:rsid w:val="00115203"/>
    <w:rsid w:val="00116435"/>
    <w:rsid w:val="00116A6B"/>
    <w:rsid w:val="00117206"/>
    <w:rsid w:val="001208D6"/>
    <w:rsid w:val="00121356"/>
    <w:rsid w:val="0012225D"/>
    <w:rsid w:val="00122883"/>
    <w:rsid w:val="0012292E"/>
    <w:rsid w:val="0012306F"/>
    <w:rsid w:val="00124C9A"/>
    <w:rsid w:val="00125842"/>
    <w:rsid w:val="00126E51"/>
    <w:rsid w:val="00127889"/>
    <w:rsid w:val="00127FD8"/>
    <w:rsid w:val="00131C50"/>
    <w:rsid w:val="0013203F"/>
    <w:rsid w:val="00132199"/>
    <w:rsid w:val="00133406"/>
    <w:rsid w:val="0013347E"/>
    <w:rsid w:val="00133713"/>
    <w:rsid w:val="00133828"/>
    <w:rsid w:val="00133C01"/>
    <w:rsid w:val="0013456C"/>
    <w:rsid w:val="001345BE"/>
    <w:rsid w:val="0013513C"/>
    <w:rsid w:val="00135578"/>
    <w:rsid w:val="00135906"/>
    <w:rsid w:val="00135C06"/>
    <w:rsid w:val="001402FD"/>
    <w:rsid w:val="001403B4"/>
    <w:rsid w:val="00141DAE"/>
    <w:rsid w:val="00142916"/>
    <w:rsid w:val="00143E1D"/>
    <w:rsid w:val="00144817"/>
    <w:rsid w:val="00144C1A"/>
    <w:rsid w:val="00144CFF"/>
    <w:rsid w:val="001456BD"/>
    <w:rsid w:val="00145BF3"/>
    <w:rsid w:val="00146461"/>
    <w:rsid w:val="00146AE9"/>
    <w:rsid w:val="00146C74"/>
    <w:rsid w:val="00147517"/>
    <w:rsid w:val="0014794C"/>
    <w:rsid w:val="00150017"/>
    <w:rsid w:val="00151F78"/>
    <w:rsid w:val="00152181"/>
    <w:rsid w:val="001522D7"/>
    <w:rsid w:val="00152CCB"/>
    <w:rsid w:val="00152D21"/>
    <w:rsid w:val="00153257"/>
    <w:rsid w:val="001537C2"/>
    <w:rsid w:val="001539FB"/>
    <w:rsid w:val="001543EE"/>
    <w:rsid w:val="001546B1"/>
    <w:rsid w:val="001556BC"/>
    <w:rsid w:val="001558A3"/>
    <w:rsid w:val="00155BFB"/>
    <w:rsid w:val="0015624E"/>
    <w:rsid w:val="00156624"/>
    <w:rsid w:val="0015714A"/>
    <w:rsid w:val="00157ABD"/>
    <w:rsid w:val="0016005B"/>
    <w:rsid w:val="00160B5F"/>
    <w:rsid w:val="001617A1"/>
    <w:rsid w:val="00161807"/>
    <w:rsid w:val="0016213C"/>
    <w:rsid w:val="00162E4E"/>
    <w:rsid w:val="00163234"/>
    <w:rsid w:val="00164286"/>
    <w:rsid w:val="0016538C"/>
    <w:rsid w:val="001655A8"/>
    <w:rsid w:val="0016700B"/>
    <w:rsid w:val="0017136B"/>
    <w:rsid w:val="001716B6"/>
    <w:rsid w:val="00171826"/>
    <w:rsid w:val="00172408"/>
    <w:rsid w:val="00172FBE"/>
    <w:rsid w:val="00173195"/>
    <w:rsid w:val="00173FB8"/>
    <w:rsid w:val="001752DF"/>
    <w:rsid w:val="00175938"/>
    <w:rsid w:val="00175E85"/>
    <w:rsid w:val="0017677F"/>
    <w:rsid w:val="00177D9E"/>
    <w:rsid w:val="001802A0"/>
    <w:rsid w:val="001810C0"/>
    <w:rsid w:val="00181BC8"/>
    <w:rsid w:val="00181FA7"/>
    <w:rsid w:val="00183BC5"/>
    <w:rsid w:val="001848A5"/>
    <w:rsid w:val="00184C6D"/>
    <w:rsid w:val="001858C6"/>
    <w:rsid w:val="00190FD5"/>
    <w:rsid w:val="00191473"/>
    <w:rsid w:val="00191FBA"/>
    <w:rsid w:val="001923E1"/>
    <w:rsid w:val="001923EB"/>
    <w:rsid w:val="00192C92"/>
    <w:rsid w:val="0019316C"/>
    <w:rsid w:val="00193F2C"/>
    <w:rsid w:val="00194232"/>
    <w:rsid w:val="00194A6E"/>
    <w:rsid w:val="0019502A"/>
    <w:rsid w:val="0019577C"/>
    <w:rsid w:val="001A02AD"/>
    <w:rsid w:val="001A1285"/>
    <w:rsid w:val="001A15E2"/>
    <w:rsid w:val="001A1F4F"/>
    <w:rsid w:val="001A2229"/>
    <w:rsid w:val="001A2B88"/>
    <w:rsid w:val="001A32B6"/>
    <w:rsid w:val="001A5AB5"/>
    <w:rsid w:val="001A66DC"/>
    <w:rsid w:val="001A6CE3"/>
    <w:rsid w:val="001A74B7"/>
    <w:rsid w:val="001B0045"/>
    <w:rsid w:val="001B231F"/>
    <w:rsid w:val="001B2692"/>
    <w:rsid w:val="001B2775"/>
    <w:rsid w:val="001B279D"/>
    <w:rsid w:val="001B2975"/>
    <w:rsid w:val="001B2D60"/>
    <w:rsid w:val="001B4F33"/>
    <w:rsid w:val="001B4FE2"/>
    <w:rsid w:val="001B5C74"/>
    <w:rsid w:val="001B7A29"/>
    <w:rsid w:val="001C0704"/>
    <w:rsid w:val="001C09AE"/>
    <w:rsid w:val="001C2905"/>
    <w:rsid w:val="001C2D88"/>
    <w:rsid w:val="001C3698"/>
    <w:rsid w:val="001C3BB0"/>
    <w:rsid w:val="001C5041"/>
    <w:rsid w:val="001C644E"/>
    <w:rsid w:val="001C6A2F"/>
    <w:rsid w:val="001C6A51"/>
    <w:rsid w:val="001C7E6A"/>
    <w:rsid w:val="001D04C3"/>
    <w:rsid w:val="001D0E91"/>
    <w:rsid w:val="001D2747"/>
    <w:rsid w:val="001D4396"/>
    <w:rsid w:val="001D473B"/>
    <w:rsid w:val="001D59C1"/>
    <w:rsid w:val="001E0E72"/>
    <w:rsid w:val="001E1035"/>
    <w:rsid w:val="001E1B1A"/>
    <w:rsid w:val="001E349B"/>
    <w:rsid w:val="001E574D"/>
    <w:rsid w:val="001E6936"/>
    <w:rsid w:val="001E7646"/>
    <w:rsid w:val="001E7AF9"/>
    <w:rsid w:val="001E7DB7"/>
    <w:rsid w:val="001F069E"/>
    <w:rsid w:val="001F072D"/>
    <w:rsid w:val="001F0DC5"/>
    <w:rsid w:val="001F1532"/>
    <w:rsid w:val="001F3FAB"/>
    <w:rsid w:val="001F59AC"/>
    <w:rsid w:val="001F622D"/>
    <w:rsid w:val="001F6675"/>
    <w:rsid w:val="001F6A5F"/>
    <w:rsid w:val="001F6AEB"/>
    <w:rsid w:val="00203ADE"/>
    <w:rsid w:val="0020421D"/>
    <w:rsid w:val="002049AE"/>
    <w:rsid w:val="00204A14"/>
    <w:rsid w:val="00205055"/>
    <w:rsid w:val="00205057"/>
    <w:rsid w:val="002063F4"/>
    <w:rsid w:val="002135EB"/>
    <w:rsid w:val="002140D8"/>
    <w:rsid w:val="0021442E"/>
    <w:rsid w:val="002147A5"/>
    <w:rsid w:val="00215A6E"/>
    <w:rsid w:val="00215F11"/>
    <w:rsid w:val="00216CB0"/>
    <w:rsid w:val="00217666"/>
    <w:rsid w:val="00220FF1"/>
    <w:rsid w:val="0022109A"/>
    <w:rsid w:val="0022197A"/>
    <w:rsid w:val="00222632"/>
    <w:rsid w:val="00222A94"/>
    <w:rsid w:val="00222A9B"/>
    <w:rsid w:val="00224064"/>
    <w:rsid w:val="0022411E"/>
    <w:rsid w:val="002263DE"/>
    <w:rsid w:val="00227479"/>
    <w:rsid w:val="002317F6"/>
    <w:rsid w:val="00231CA5"/>
    <w:rsid w:val="00231F50"/>
    <w:rsid w:val="0023224B"/>
    <w:rsid w:val="0023238F"/>
    <w:rsid w:val="0023250E"/>
    <w:rsid w:val="002330A9"/>
    <w:rsid w:val="0023469F"/>
    <w:rsid w:val="0023488F"/>
    <w:rsid w:val="00234AFA"/>
    <w:rsid w:val="00235742"/>
    <w:rsid w:val="0023589D"/>
    <w:rsid w:val="00235DBA"/>
    <w:rsid w:val="0023605F"/>
    <w:rsid w:val="00236CA0"/>
    <w:rsid w:val="00236D97"/>
    <w:rsid w:val="0023703E"/>
    <w:rsid w:val="002379D8"/>
    <w:rsid w:val="002379DE"/>
    <w:rsid w:val="0024057F"/>
    <w:rsid w:val="002418B7"/>
    <w:rsid w:val="00241E01"/>
    <w:rsid w:val="002435DA"/>
    <w:rsid w:val="00243678"/>
    <w:rsid w:val="002436A6"/>
    <w:rsid w:val="002442D9"/>
    <w:rsid w:val="002449C5"/>
    <w:rsid w:val="002451BA"/>
    <w:rsid w:val="0024544D"/>
    <w:rsid w:val="002458D5"/>
    <w:rsid w:val="002458D7"/>
    <w:rsid w:val="002470E1"/>
    <w:rsid w:val="00250EB6"/>
    <w:rsid w:val="0025107D"/>
    <w:rsid w:val="00251B5C"/>
    <w:rsid w:val="00251E23"/>
    <w:rsid w:val="00252404"/>
    <w:rsid w:val="00254A18"/>
    <w:rsid w:val="00254CEA"/>
    <w:rsid w:val="002552EC"/>
    <w:rsid w:val="0025572E"/>
    <w:rsid w:val="00255BAF"/>
    <w:rsid w:val="0025602B"/>
    <w:rsid w:val="002564BF"/>
    <w:rsid w:val="00256686"/>
    <w:rsid w:val="002566E6"/>
    <w:rsid w:val="00256D92"/>
    <w:rsid w:val="0025773F"/>
    <w:rsid w:val="00260132"/>
    <w:rsid w:val="0026085D"/>
    <w:rsid w:val="002610E4"/>
    <w:rsid w:val="002627C0"/>
    <w:rsid w:val="002630C0"/>
    <w:rsid w:val="00263179"/>
    <w:rsid w:val="002637B8"/>
    <w:rsid w:val="00263B94"/>
    <w:rsid w:val="002641D3"/>
    <w:rsid w:val="00264952"/>
    <w:rsid w:val="00264B2D"/>
    <w:rsid w:val="00264C38"/>
    <w:rsid w:val="00265AC4"/>
    <w:rsid w:val="002673F0"/>
    <w:rsid w:val="00267462"/>
    <w:rsid w:val="002677C0"/>
    <w:rsid w:val="0027040C"/>
    <w:rsid w:val="002704A3"/>
    <w:rsid w:val="00270B7C"/>
    <w:rsid w:val="00271088"/>
    <w:rsid w:val="0027111E"/>
    <w:rsid w:val="00272373"/>
    <w:rsid w:val="002729BA"/>
    <w:rsid w:val="00272F8D"/>
    <w:rsid w:val="00272FA1"/>
    <w:rsid w:val="0027368B"/>
    <w:rsid w:val="00273724"/>
    <w:rsid w:val="00276B1B"/>
    <w:rsid w:val="00280354"/>
    <w:rsid w:val="002829AC"/>
    <w:rsid w:val="00282A7E"/>
    <w:rsid w:val="0028514F"/>
    <w:rsid w:val="0028534B"/>
    <w:rsid w:val="00285BF1"/>
    <w:rsid w:val="00285E19"/>
    <w:rsid w:val="00285EF7"/>
    <w:rsid w:val="0028680C"/>
    <w:rsid w:val="00286C33"/>
    <w:rsid w:val="00286E3A"/>
    <w:rsid w:val="0029299C"/>
    <w:rsid w:val="00294294"/>
    <w:rsid w:val="00294582"/>
    <w:rsid w:val="00294F47"/>
    <w:rsid w:val="00295F6F"/>
    <w:rsid w:val="00296355"/>
    <w:rsid w:val="00296EE7"/>
    <w:rsid w:val="00297E5F"/>
    <w:rsid w:val="002A000E"/>
    <w:rsid w:val="002A05AF"/>
    <w:rsid w:val="002A0FF8"/>
    <w:rsid w:val="002A126E"/>
    <w:rsid w:val="002A12EB"/>
    <w:rsid w:val="002A1FFC"/>
    <w:rsid w:val="002A2421"/>
    <w:rsid w:val="002A39D1"/>
    <w:rsid w:val="002A476B"/>
    <w:rsid w:val="002A4CB1"/>
    <w:rsid w:val="002A54A0"/>
    <w:rsid w:val="002A56B2"/>
    <w:rsid w:val="002A62B8"/>
    <w:rsid w:val="002A6726"/>
    <w:rsid w:val="002A6B9D"/>
    <w:rsid w:val="002A6E0E"/>
    <w:rsid w:val="002A74B3"/>
    <w:rsid w:val="002A7DC2"/>
    <w:rsid w:val="002B072A"/>
    <w:rsid w:val="002B126F"/>
    <w:rsid w:val="002B17EF"/>
    <w:rsid w:val="002B2BC6"/>
    <w:rsid w:val="002B469E"/>
    <w:rsid w:val="002B5842"/>
    <w:rsid w:val="002B6FBE"/>
    <w:rsid w:val="002B707D"/>
    <w:rsid w:val="002B76C6"/>
    <w:rsid w:val="002B7D3E"/>
    <w:rsid w:val="002C10D6"/>
    <w:rsid w:val="002C1426"/>
    <w:rsid w:val="002C178B"/>
    <w:rsid w:val="002C1D4F"/>
    <w:rsid w:val="002C2191"/>
    <w:rsid w:val="002C2F35"/>
    <w:rsid w:val="002C37C5"/>
    <w:rsid w:val="002C3DC2"/>
    <w:rsid w:val="002C416D"/>
    <w:rsid w:val="002C43DC"/>
    <w:rsid w:val="002C47B4"/>
    <w:rsid w:val="002C4C2A"/>
    <w:rsid w:val="002C5041"/>
    <w:rsid w:val="002C5A9F"/>
    <w:rsid w:val="002C5D50"/>
    <w:rsid w:val="002C5EFC"/>
    <w:rsid w:val="002C607E"/>
    <w:rsid w:val="002C70C9"/>
    <w:rsid w:val="002D001A"/>
    <w:rsid w:val="002D003D"/>
    <w:rsid w:val="002D057D"/>
    <w:rsid w:val="002D0AD6"/>
    <w:rsid w:val="002D10B0"/>
    <w:rsid w:val="002D2055"/>
    <w:rsid w:val="002D254F"/>
    <w:rsid w:val="002D478C"/>
    <w:rsid w:val="002D4A66"/>
    <w:rsid w:val="002D4E3C"/>
    <w:rsid w:val="002D53B8"/>
    <w:rsid w:val="002D5FE9"/>
    <w:rsid w:val="002D6B84"/>
    <w:rsid w:val="002D6BCC"/>
    <w:rsid w:val="002D6C85"/>
    <w:rsid w:val="002D6DD9"/>
    <w:rsid w:val="002D716B"/>
    <w:rsid w:val="002D790C"/>
    <w:rsid w:val="002D7E0D"/>
    <w:rsid w:val="002E022B"/>
    <w:rsid w:val="002E0280"/>
    <w:rsid w:val="002E0889"/>
    <w:rsid w:val="002E0C73"/>
    <w:rsid w:val="002E0EBD"/>
    <w:rsid w:val="002E0F96"/>
    <w:rsid w:val="002E11D4"/>
    <w:rsid w:val="002E282E"/>
    <w:rsid w:val="002E3B8E"/>
    <w:rsid w:val="002E4CCD"/>
    <w:rsid w:val="002E57F3"/>
    <w:rsid w:val="002E6D59"/>
    <w:rsid w:val="002F1257"/>
    <w:rsid w:val="002F1F92"/>
    <w:rsid w:val="002F2AD3"/>
    <w:rsid w:val="002F3499"/>
    <w:rsid w:val="002F3AD8"/>
    <w:rsid w:val="002F41D8"/>
    <w:rsid w:val="002F4752"/>
    <w:rsid w:val="002F4CDF"/>
    <w:rsid w:val="002F4FEE"/>
    <w:rsid w:val="002F56E1"/>
    <w:rsid w:val="002F58D6"/>
    <w:rsid w:val="002F5EB6"/>
    <w:rsid w:val="002F5F1E"/>
    <w:rsid w:val="002F62C7"/>
    <w:rsid w:val="002F71DE"/>
    <w:rsid w:val="002F7244"/>
    <w:rsid w:val="002F79DC"/>
    <w:rsid w:val="002F7B3E"/>
    <w:rsid w:val="002F7DC8"/>
    <w:rsid w:val="00300FD2"/>
    <w:rsid w:val="00301D18"/>
    <w:rsid w:val="00301FD4"/>
    <w:rsid w:val="003022FE"/>
    <w:rsid w:val="00302934"/>
    <w:rsid w:val="00302FC5"/>
    <w:rsid w:val="00303113"/>
    <w:rsid w:val="003033AB"/>
    <w:rsid w:val="0030438A"/>
    <w:rsid w:val="003043C2"/>
    <w:rsid w:val="00305665"/>
    <w:rsid w:val="00305AA4"/>
    <w:rsid w:val="003066BE"/>
    <w:rsid w:val="00306C5D"/>
    <w:rsid w:val="00306D4C"/>
    <w:rsid w:val="003072A9"/>
    <w:rsid w:val="00310A63"/>
    <w:rsid w:val="00312E45"/>
    <w:rsid w:val="003134A9"/>
    <w:rsid w:val="003145BE"/>
    <w:rsid w:val="003148D7"/>
    <w:rsid w:val="00315B07"/>
    <w:rsid w:val="00315B46"/>
    <w:rsid w:val="003161DB"/>
    <w:rsid w:val="0031680F"/>
    <w:rsid w:val="003175E5"/>
    <w:rsid w:val="0031772E"/>
    <w:rsid w:val="003208F7"/>
    <w:rsid w:val="003213A4"/>
    <w:rsid w:val="00322F51"/>
    <w:rsid w:val="00324008"/>
    <w:rsid w:val="003247C2"/>
    <w:rsid w:val="00325452"/>
    <w:rsid w:val="00325EB5"/>
    <w:rsid w:val="00326337"/>
    <w:rsid w:val="003264D6"/>
    <w:rsid w:val="00326C3A"/>
    <w:rsid w:val="00326F37"/>
    <w:rsid w:val="00330C3B"/>
    <w:rsid w:val="00331621"/>
    <w:rsid w:val="00331E49"/>
    <w:rsid w:val="00332F6C"/>
    <w:rsid w:val="00333C5B"/>
    <w:rsid w:val="00334738"/>
    <w:rsid w:val="00334CC5"/>
    <w:rsid w:val="003351F7"/>
    <w:rsid w:val="00335C14"/>
    <w:rsid w:val="00335C82"/>
    <w:rsid w:val="003368AF"/>
    <w:rsid w:val="00336A65"/>
    <w:rsid w:val="003402FC"/>
    <w:rsid w:val="00341EBB"/>
    <w:rsid w:val="00342053"/>
    <w:rsid w:val="00343C1A"/>
    <w:rsid w:val="00344303"/>
    <w:rsid w:val="0034434D"/>
    <w:rsid w:val="003445F5"/>
    <w:rsid w:val="003451C5"/>
    <w:rsid w:val="00345847"/>
    <w:rsid w:val="00345883"/>
    <w:rsid w:val="0034653B"/>
    <w:rsid w:val="003470F0"/>
    <w:rsid w:val="00347572"/>
    <w:rsid w:val="00350262"/>
    <w:rsid w:val="00350CC2"/>
    <w:rsid w:val="00352986"/>
    <w:rsid w:val="003551F0"/>
    <w:rsid w:val="003568C9"/>
    <w:rsid w:val="003568DA"/>
    <w:rsid w:val="00356C93"/>
    <w:rsid w:val="0035724D"/>
    <w:rsid w:val="00357735"/>
    <w:rsid w:val="00361836"/>
    <w:rsid w:val="00361BB1"/>
    <w:rsid w:val="00363551"/>
    <w:rsid w:val="00364191"/>
    <w:rsid w:val="00364AB8"/>
    <w:rsid w:val="003658C0"/>
    <w:rsid w:val="003666D6"/>
    <w:rsid w:val="00367F90"/>
    <w:rsid w:val="003712FC"/>
    <w:rsid w:val="00371A76"/>
    <w:rsid w:val="00371BB4"/>
    <w:rsid w:val="00372B41"/>
    <w:rsid w:val="0037302D"/>
    <w:rsid w:val="00373B70"/>
    <w:rsid w:val="00374191"/>
    <w:rsid w:val="00375516"/>
    <w:rsid w:val="00375599"/>
    <w:rsid w:val="00377683"/>
    <w:rsid w:val="00377B8B"/>
    <w:rsid w:val="00377EF2"/>
    <w:rsid w:val="00380089"/>
    <w:rsid w:val="0038091E"/>
    <w:rsid w:val="00381B5A"/>
    <w:rsid w:val="00381F0E"/>
    <w:rsid w:val="003842DA"/>
    <w:rsid w:val="0038479F"/>
    <w:rsid w:val="003850F4"/>
    <w:rsid w:val="003859CF"/>
    <w:rsid w:val="00385A74"/>
    <w:rsid w:val="00385CBD"/>
    <w:rsid w:val="0038655C"/>
    <w:rsid w:val="00386704"/>
    <w:rsid w:val="00386F5A"/>
    <w:rsid w:val="00386F9B"/>
    <w:rsid w:val="003872CC"/>
    <w:rsid w:val="003873AC"/>
    <w:rsid w:val="00387A93"/>
    <w:rsid w:val="0039092A"/>
    <w:rsid w:val="00390C97"/>
    <w:rsid w:val="003921F8"/>
    <w:rsid w:val="00392E46"/>
    <w:rsid w:val="00393290"/>
    <w:rsid w:val="0039518B"/>
    <w:rsid w:val="003954CF"/>
    <w:rsid w:val="00395AA4"/>
    <w:rsid w:val="00395BDE"/>
    <w:rsid w:val="003962FC"/>
    <w:rsid w:val="003A09A0"/>
    <w:rsid w:val="003A0B80"/>
    <w:rsid w:val="003A0B96"/>
    <w:rsid w:val="003A0EDB"/>
    <w:rsid w:val="003A154A"/>
    <w:rsid w:val="003A1714"/>
    <w:rsid w:val="003A175D"/>
    <w:rsid w:val="003A26E9"/>
    <w:rsid w:val="003A2B22"/>
    <w:rsid w:val="003A75EE"/>
    <w:rsid w:val="003B0585"/>
    <w:rsid w:val="003B1598"/>
    <w:rsid w:val="003B21B8"/>
    <w:rsid w:val="003B2799"/>
    <w:rsid w:val="003B2C0B"/>
    <w:rsid w:val="003B2CC4"/>
    <w:rsid w:val="003B2E78"/>
    <w:rsid w:val="003B566B"/>
    <w:rsid w:val="003B5967"/>
    <w:rsid w:val="003B65C6"/>
    <w:rsid w:val="003B7DDB"/>
    <w:rsid w:val="003C03E5"/>
    <w:rsid w:val="003C113E"/>
    <w:rsid w:val="003C24EF"/>
    <w:rsid w:val="003C2571"/>
    <w:rsid w:val="003C26DF"/>
    <w:rsid w:val="003C288F"/>
    <w:rsid w:val="003C3423"/>
    <w:rsid w:val="003C34BC"/>
    <w:rsid w:val="003C41E3"/>
    <w:rsid w:val="003C4AB7"/>
    <w:rsid w:val="003C4BF4"/>
    <w:rsid w:val="003C6568"/>
    <w:rsid w:val="003C69B4"/>
    <w:rsid w:val="003C7854"/>
    <w:rsid w:val="003D01F4"/>
    <w:rsid w:val="003D0B79"/>
    <w:rsid w:val="003D15BB"/>
    <w:rsid w:val="003D20AE"/>
    <w:rsid w:val="003D2E0D"/>
    <w:rsid w:val="003D3902"/>
    <w:rsid w:val="003D3ADF"/>
    <w:rsid w:val="003D4931"/>
    <w:rsid w:val="003D58E5"/>
    <w:rsid w:val="003D6734"/>
    <w:rsid w:val="003D6FDE"/>
    <w:rsid w:val="003E253C"/>
    <w:rsid w:val="003E3142"/>
    <w:rsid w:val="003E46AD"/>
    <w:rsid w:val="003E5EA1"/>
    <w:rsid w:val="003E6255"/>
    <w:rsid w:val="003E762F"/>
    <w:rsid w:val="003F1402"/>
    <w:rsid w:val="003F19C3"/>
    <w:rsid w:val="003F1A79"/>
    <w:rsid w:val="003F2B12"/>
    <w:rsid w:val="003F2B3C"/>
    <w:rsid w:val="003F2BA4"/>
    <w:rsid w:val="003F4738"/>
    <w:rsid w:val="003F530F"/>
    <w:rsid w:val="003F5AA5"/>
    <w:rsid w:val="003F7310"/>
    <w:rsid w:val="003F79BA"/>
    <w:rsid w:val="004005A2"/>
    <w:rsid w:val="00400648"/>
    <w:rsid w:val="004008D9"/>
    <w:rsid w:val="004013DC"/>
    <w:rsid w:val="0040280A"/>
    <w:rsid w:val="0040337A"/>
    <w:rsid w:val="004035C6"/>
    <w:rsid w:val="0040377F"/>
    <w:rsid w:val="00403BCC"/>
    <w:rsid w:val="00403F0B"/>
    <w:rsid w:val="00405FBA"/>
    <w:rsid w:val="004068F3"/>
    <w:rsid w:val="00407D63"/>
    <w:rsid w:val="00410055"/>
    <w:rsid w:val="0041296A"/>
    <w:rsid w:val="004129CF"/>
    <w:rsid w:val="00413793"/>
    <w:rsid w:val="004148C2"/>
    <w:rsid w:val="00414B17"/>
    <w:rsid w:val="00414B9D"/>
    <w:rsid w:val="004152E3"/>
    <w:rsid w:val="004169A7"/>
    <w:rsid w:val="00417EE1"/>
    <w:rsid w:val="00420642"/>
    <w:rsid w:val="004213EA"/>
    <w:rsid w:val="00422845"/>
    <w:rsid w:val="00422D62"/>
    <w:rsid w:val="0042307D"/>
    <w:rsid w:val="00423303"/>
    <w:rsid w:val="00423364"/>
    <w:rsid w:val="00424F9B"/>
    <w:rsid w:val="0042516F"/>
    <w:rsid w:val="00425185"/>
    <w:rsid w:val="00425EE6"/>
    <w:rsid w:val="00426179"/>
    <w:rsid w:val="004325A4"/>
    <w:rsid w:val="00432C73"/>
    <w:rsid w:val="00432FA8"/>
    <w:rsid w:val="0043310F"/>
    <w:rsid w:val="004331EE"/>
    <w:rsid w:val="00433DF2"/>
    <w:rsid w:val="00434450"/>
    <w:rsid w:val="00434A6D"/>
    <w:rsid w:val="00434AAD"/>
    <w:rsid w:val="00435EE1"/>
    <w:rsid w:val="004360B8"/>
    <w:rsid w:val="00436BF2"/>
    <w:rsid w:val="00440131"/>
    <w:rsid w:val="00440647"/>
    <w:rsid w:val="00441958"/>
    <w:rsid w:val="00441F78"/>
    <w:rsid w:val="0044253E"/>
    <w:rsid w:val="00443459"/>
    <w:rsid w:val="004461EF"/>
    <w:rsid w:val="00447345"/>
    <w:rsid w:val="004478FD"/>
    <w:rsid w:val="00447BB6"/>
    <w:rsid w:val="00447CCA"/>
    <w:rsid w:val="00447F65"/>
    <w:rsid w:val="00450190"/>
    <w:rsid w:val="00450703"/>
    <w:rsid w:val="00450E0F"/>
    <w:rsid w:val="0045160C"/>
    <w:rsid w:val="00451CB5"/>
    <w:rsid w:val="00452154"/>
    <w:rsid w:val="004533E3"/>
    <w:rsid w:val="004538AD"/>
    <w:rsid w:val="004549F3"/>
    <w:rsid w:val="00454BAB"/>
    <w:rsid w:val="00456870"/>
    <w:rsid w:val="0045697D"/>
    <w:rsid w:val="00457450"/>
    <w:rsid w:val="00457698"/>
    <w:rsid w:val="00460005"/>
    <w:rsid w:val="0046119C"/>
    <w:rsid w:val="00461A58"/>
    <w:rsid w:val="00462721"/>
    <w:rsid w:val="00463447"/>
    <w:rsid w:val="004638E0"/>
    <w:rsid w:val="00463BF2"/>
    <w:rsid w:val="00464569"/>
    <w:rsid w:val="004645D2"/>
    <w:rsid w:val="0046514D"/>
    <w:rsid w:val="00465986"/>
    <w:rsid w:val="00466263"/>
    <w:rsid w:val="00466D4B"/>
    <w:rsid w:val="004672C5"/>
    <w:rsid w:val="00471433"/>
    <w:rsid w:val="00471C99"/>
    <w:rsid w:val="00472B38"/>
    <w:rsid w:val="00474060"/>
    <w:rsid w:val="00474E5C"/>
    <w:rsid w:val="00475E6D"/>
    <w:rsid w:val="00476BB8"/>
    <w:rsid w:val="0048038B"/>
    <w:rsid w:val="00480948"/>
    <w:rsid w:val="00480EC7"/>
    <w:rsid w:val="00481326"/>
    <w:rsid w:val="00481FEE"/>
    <w:rsid w:val="004822E0"/>
    <w:rsid w:val="004834AD"/>
    <w:rsid w:val="00483A46"/>
    <w:rsid w:val="00485E27"/>
    <w:rsid w:val="00487451"/>
    <w:rsid w:val="0049076F"/>
    <w:rsid w:val="00490F56"/>
    <w:rsid w:val="00491D03"/>
    <w:rsid w:val="004921B6"/>
    <w:rsid w:val="0049320C"/>
    <w:rsid w:val="00493274"/>
    <w:rsid w:val="004936F7"/>
    <w:rsid w:val="004951E5"/>
    <w:rsid w:val="00495670"/>
    <w:rsid w:val="004956AE"/>
    <w:rsid w:val="00495DBA"/>
    <w:rsid w:val="0049625E"/>
    <w:rsid w:val="0049637C"/>
    <w:rsid w:val="00497B23"/>
    <w:rsid w:val="004A29B5"/>
    <w:rsid w:val="004A39BD"/>
    <w:rsid w:val="004A414C"/>
    <w:rsid w:val="004A63E5"/>
    <w:rsid w:val="004A69E1"/>
    <w:rsid w:val="004A6F85"/>
    <w:rsid w:val="004A76CB"/>
    <w:rsid w:val="004B13B6"/>
    <w:rsid w:val="004B2F4D"/>
    <w:rsid w:val="004B36EA"/>
    <w:rsid w:val="004B3A79"/>
    <w:rsid w:val="004B3CFF"/>
    <w:rsid w:val="004B4586"/>
    <w:rsid w:val="004B52CE"/>
    <w:rsid w:val="004B52D3"/>
    <w:rsid w:val="004B5B0B"/>
    <w:rsid w:val="004B6CBA"/>
    <w:rsid w:val="004B7CB2"/>
    <w:rsid w:val="004B7DF6"/>
    <w:rsid w:val="004C02A4"/>
    <w:rsid w:val="004C0C17"/>
    <w:rsid w:val="004C1071"/>
    <w:rsid w:val="004C1339"/>
    <w:rsid w:val="004C36C9"/>
    <w:rsid w:val="004C3D0B"/>
    <w:rsid w:val="004C47C3"/>
    <w:rsid w:val="004C48C4"/>
    <w:rsid w:val="004C4DE4"/>
    <w:rsid w:val="004C57ED"/>
    <w:rsid w:val="004C5BA7"/>
    <w:rsid w:val="004C6426"/>
    <w:rsid w:val="004C66D0"/>
    <w:rsid w:val="004D0025"/>
    <w:rsid w:val="004D0691"/>
    <w:rsid w:val="004D097B"/>
    <w:rsid w:val="004D16D8"/>
    <w:rsid w:val="004D1E45"/>
    <w:rsid w:val="004D208F"/>
    <w:rsid w:val="004D397E"/>
    <w:rsid w:val="004D5111"/>
    <w:rsid w:val="004D5733"/>
    <w:rsid w:val="004D6EC6"/>
    <w:rsid w:val="004D7359"/>
    <w:rsid w:val="004D7EFF"/>
    <w:rsid w:val="004E0BB1"/>
    <w:rsid w:val="004E0FDF"/>
    <w:rsid w:val="004E22F7"/>
    <w:rsid w:val="004E5FF9"/>
    <w:rsid w:val="004E6904"/>
    <w:rsid w:val="004E6AC3"/>
    <w:rsid w:val="004E7AB7"/>
    <w:rsid w:val="004F0451"/>
    <w:rsid w:val="004F1396"/>
    <w:rsid w:val="004F17A5"/>
    <w:rsid w:val="004F17D1"/>
    <w:rsid w:val="004F4DC3"/>
    <w:rsid w:val="004F6501"/>
    <w:rsid w:val="004F6A58"/>
    <w:rsid w:val="00500252"/>
    <w:rsid w:val="00500E5B"/>
    <w:rsid w:val="0050133C"/>
    <w:rsid w:val="0050173D"/>
    <w:rsid w:val="005025B1"/>
    <w:rsid w:val="005028A5"/>
    <w:rsid w:val="00503198"/>
    <w:rsid w:val="005032E5"/>
    <w:rsid w:val="005034AE"/>
    <w:rsid w:val="00503D4F"/>
    <w:rsid w:val="00507263"/>
    <w:rsid w:val="005076E5"/>
    <w:rsid w:val="00507BB4"/>
    <w:rsid w:val="00507ED5"/>
    <w:rsid w:val="005105FE"/>
    <w:rsid w:val="00510B13"/>
    <w:rsid w:val="00510C5B"/>
    <w:rsid w:val="00512C65"/>
    <w:rsid w:val="005142CB"/>
    <w:rsid w:val="005144A5"/>
    <w:rsid w:val="00514A94"/>
    <w:rsid w:val="005151D0"/>
    <w:rsid w:val="00515B19"/>
    <w:rsid w:val="0052097B"/>
    <w:rsid w:val="00520D05"/>
    <w:rsid w:val="005231B1"/>
    <w:rsid w:val="005234CB"/>
    <w:rsid w:val="00524D18"/>
    <w:rsid w:val="00524FC3"/>
    <w:rsid w:val="005250C0"/>
    <w:rsid w:val="005250DB"/>
    <w:rsid w:val="005251E2"/>
    <w:rsid w:val="005259B2"/>
    <w:rsid w:val="005262F1"/>
    <w:rsid w:val="00526D56"/>
    <w:rsid w:val="00530385"/>
    <w:rsid w:val="005304D7"/>
    <w:rsid w:val="00530ACC"/>
    <w:rsid w:val="00530D83"/>
    <w:rsid w:val="00531626"/>
    <w:rsid w:val="00532F07"/>
    <w:rsid w:val="00533B60"/>
    <w:rsid w:val="00533CC0"/>
    <w:rsid w:val="005346E8"/>
    <w:rsid w:val="00536060"/>
    <w:rsid w:val="0053638F"/>
    <w:rsid w:val="00536713"/>
    <w:rsid w:val="00537A64"/>
    <w:rsid w:val="005402F6"/>
    <w:rsid w:val="005413C0"/>
    <w:rsid w:val="00544111"/>
    <w:rsid w:val="005441CD"/>
    <w:rsid w:val="0054470C"/>
    <w:rsid w:val="005458E7"/>
    <w:rsid w:val="005479DB"/>
    <w:rsid w:val="00547E26"/>
    <w:rsid w:val="005514EB"/>
    <w:rsid w:val="00552FF6"/>
    <w:rsid w:val="00553393"/>
    <w:rsid w:val="00553AED"/>
    <w:rsid w:val="00553B34"/>
    <w:rsid w:val="00554083"/>
    <w:rsid w:val="005550DA"/>
    <w:rsid w:val="005552D1"/>
    <w:rsid w:val="00555F44"/>
    <w:rsid w:val="00556CB7"/>
    <w:rsid w:val="00557713"/>
    <w:rsid w:val="00560EB8"/>
    <w:rsid w:val="00561139"/>
    <w:rsid w:val="00561FFF"/>
    <w:rsid w:val="005625B9"/>
    <w:rsid w:val="005626FA"/>
    <w:rsid w:val="005629E5"/>
    <w:rsid w:val="00563635"/>
    <w:rsid w:val="0056483F"/>
    <w:rsid w:val="00566E97"/>
    <w:rsid w:val="00570C97"/>
    <w:rsid w:val="005716B1"/>
    <w:rsid w:val="00571EDD"/>
    <w:rsid w:val="005724BC"/>
    <w:rsid w:val="00572713"/>
    <w:rsid w:val="00572B44"/>
    <w:rsid w:val="00572BEF"/>
    <w:rsid w:val="0057321D"/>
    <w:rsid w:val="00574544"/>
    <w:rsid w:val="00575BE5"/>
    <w:rsid w:val="00577653"/>
    <w:rsid w:val="00577BDB"/>
    <w:rsid w:val="00580488"/>
    <w:rsid w:val="0058168C"/>
    <w:rsid w:val="00582F8F"/>
    <w:rsid w:val="005838A6"/>
    <w:rsid w:val="0058443B"/>
    <w:rsid w:val="0058514F"/>
    <w:rsid w:val="005855A2"/>
    <w:rsid w:val="005872AF"/>
    <w:rsid w:val="00587CE2"/>
    <w:rsid w:val="00592926"/>
    <w:rsid w:val="00595162"/>
    <w:rsid w:val="005957D3"/>
    <w:rsid w:val="00595A67"/>
    <w:rsid w:val="00595A74"/>
    <w:rsid w:val="00595BED"/>
    <w:rsid w:val="00595BF2"/>
    <w:rsid w:val="005967CF"/>
    <w:rsid w:val="00596F48"/>
    <w:rsid w:val="00597DB7"/>
    <w:rsid w:val="005A0510"/>
    <w:rsid w:val="005A3384"/>
    <w:rsid w:val="005A3481"/>
    <w:rsid w:val="005A49F8"/>
    <w:rsid w:val="005A6188"/>
    <w:rsid w:val="005A690E"/>
    <w:rsid w:val="005A7326"/>
    <w:rsid w:val="005A7B45"/>
    <w:rsid w:val="005B013E"/>
    <w:rsid w:val="005B11D2"/>
    <w:rsid w:val="005B1203"/>
    <w:rsid w:val="005B1251"/>
    <w:rsid w:val="005B32D4"/>
    <w:rsid w:val="005B4076"/>
    <w:rsid w:val="005B5580"/>
    <w:rsid w:val="005B6448"/>
    <w:rsid w:val="005B69F5"/>
    <w:rsid w:val="005B6E6A"/>
    <w:rsid w:val="005B774F"/>
    <w:rsid w:val="005B7949"/>
    <w:rsid w:val="005B7BBA"/>
    <w:rsid w:val="005C03FD"/>
    <w:rsid w:val="005C2907"/>
    <w:rsid w:val="005C298E"/>
    <w:rsid w:val="005C2C6B"/>
    <w:rsid w:val="005C2EA8"/>
    <w:rsid w:val="005C3BAF"/>
    <w:rsid w:val="005C3DF7"/>
    <w:rsid w:val="005C42FA"/>
    <w:rsid w:val="005C4FB0"/>
    <w:rsid w:val="005C65E9"/>
    <w:rsid w:val="005C68D3"/>
    <w:rsid w:val="005D01EC"/>
    <w:rsid w:val="005D0525"/>
    <w:rsid w:val="005D0989"/>
    <w:rsid w:val="005D1226"/>
    <w:rsid w:val="005D139C"/>
    <w:rsid w:val="005D1862"/>
    <w:rsid w:val="005D2140"/>
    <w:rsid w:val="005D3026"/>
    <w:rsid w:val="005D3F8C"/>
    <w:rsid w:val="005D4314"/>
    <w:rsid w:val="005D4380"/>
    <w:rsid w:val="005D4499"/>
    <w:rsid w:val="005D61F3"/>
    <w:rsid w:val="005D6798"/>
    <w:rsid w:val="005D6E0B"/>
    <w:rsid w:val="005E05DE"/>
    <w:rsid w:val="005E075F"/>
    <w:rsid w:val="005E0C97"/>
    <w:rsid w:val="005E1F92"/>
    <w:rsid w:val="005E2C02"/>
    <w:rsid w:val="005E2F93"/>
    <w:rsid w:val="005E3913"/>
    <w:rsid w:val="005E3972"/>
    <w:rsid w:val="005E3CF7"/>
    <w:rsid w:val="005E4164"/>
    <w:rsid w:val="005E504A"/>
    <w:rsid w:val="005E62F5"/>
    <w:rsid w:val="005F0277"/>
    <w:rsid w:val="005F13BD"/>
    <w:rsid w:val="005F26A6"/>
    <w:rsid w:val="005F2E9E"/>
    <w:rsid w:val="005F36F2"/>
    <w:rsid w:val="005F3809"/>
    <w:rsid w:val="005F3BC4"/>
    <w:rsid w:val="005F3F0F"/>
    <w:rsid w:val="005F495F"/>
    <w:rsid w:val="005F4F48"/>
    <w:rsid w:val="005F5356"/>
    <w:rsid w:val="005F6E8D"/>
    <w:rsid w:val="005F7462"/>
    <w:rsid w:val="005F7CAE"/>
    <w:rsid w:val="00600031"/>
    <w:rsid w:val="0060041E"/>
    <w:rsid w:val="0060110D"/>
    <w:rsid w:val="00601412"/>
    <w:rsid w:val="0060215F"/>
    <w:rsid w:val="006022D4"/>
    <w:rsid w:val="00602C46"/>
    <w:rsid w:val="00603297"/>
    <w:rsid w:val="00604198"/>
    <w:rsid w:val="00604300"/>
    <w:rsid w:val="00604928"/>
    <w:rsid w:val="00604C31"/>
    <w:rsid w:val="0060533C"/>
    <w:rsid w:val="00606453"/>
    <w:rsid w:val="006073FB"/>
    <w:rsid w:val="00611B38"/>
    <w:rsid w:val="00613AA3"/>
    <w:rsid w:val="00613AC1"/>
    <w:rsid w:val="0061409B"/>
    <w:rsid w:val="00614227"/>
    <w:rsid w:val="006143FF"/>
    <w:rsid w:val="00614A34"/>
    <w:rsid w:val="00614E7F"/>
    <w:rsid w:val="006150DC"/>
    <w:rsid w:val="006155B5"/>
    <w:rsid w:val="00617211"/>
    <w:rsid w:val="00621C23"/>
    <w:rsid w:val="006226AE"/>
    <w:rsid w:val="0062320C"/>
    <w:rsid w:val="00623ECB"/>
    <w:rsid w:val="00624E78"/>
    <w:rsid w:val="006260AF"/>
    <w:rsid w:val="006270E9"/>
    <w:rsid w:val="00627302"/>
    <w:rsid w:val="00631337"/>
    <w:rsid w:val="0063294F"/>
    <w:rsid w:val="00632B9C"/>
    <w:rsid w:val="00632E61"/>
    <w:rsid w:val="006332EF"/>
    <w:rsid w:val="00633C94"/>
    <w:rsid w:val="00635A4C"/>
    <w:rsid w:val="006371AB"/>
    <w:rsid w:val="00637D0C"/>
    <w:rsid w:val="00640568"/>
    <w:rsid w:val="006410F2"/>
    <w:rsid w:val="0064351E"/>
    <w:rsid w:val="0064500F"/>
    <w:rsid w:val="006453C9"/>
    <w:rsid w:val="00645EA4"/>
    <w:rsid w:val="0064638F"/>
    <w:rsid w:val="0064681E"/>
    <w:rsid w:val="0064687C"/>
    <w:rsid w:val="006477CC"/>
    <w:rsid w:val="00647D6F"/>
    <w:rsid w:val="00650B27"/>
    <w:rsid w:val="00651FAF"/>
    <w:rsid w:val="006535E3"/>
    <w:rsid w:val="0065377E"/>
    <w:rsid w:val="00653B11"/>
    <w:rsid w:val="00654036"/>
    <w:rsid w:val="006549CA"/>
    <w:rsid w:val="006557A0"/>
    <w:rsid w:val="00655A2A"/>
    <w:rsid w:val="00656DE4"/>
    <w:rsid w:val="00657341"/>
    <w:rsid w:val="006574ED"/>
    <w:rsid w:val="00660F05"/>
    <w:rsid w:val="006616FD"/>
    <w:rsid w:val="00662143"/>
    <w:rsid w:val="006623D0"/>
    <w:rsid w:val="00663281"/>
    <w:rsid w:val="00665822"/>
    <w:rsid w:val="006668A3"/>
    <w:rsid w:val="00666D39"/>
    <w:rsid w:val="0066766C"/>
    <w:rsid w:val="00667CAE"/>
    <w:rsid w:val="00670054"/>
    <w:rsid w:val="006718CF"/>
    <w:rsid w:val="00671F1E"/>
    <w:rsid w:val="00672201"/>
    <w:rsid w:val="00672474"/>
    <w:rsid w:val="00672FE6"/>
    <w:rsid w:val="00673D43"/>
    <w:rsid w:val="00675652"/>
    <w:rsid w:val="006803BF"/>
    <w:rsid w:val="006816CE"/>
    <w:rsid w:val="006821F6"/>
    <w:rsid w:val="00682403"/>
    <w:rsid w:val="00682C53"/>
    <w:rsid w:val="006830D4"/>
    <w:rsid w:val="006835AD"/>
    <w:rsid w:val="00685D5D"/>
    <w:rsid w:val="00686387"/>
    <w:rsid w:val="0068679C"/>
    <w:rsid w:val="006877CD"/>
    <w:rsid w:val="00687E21"/>
    <w:rsid w:val="006905E4"/>
    <w:rsid w:val="00692DA8"/>
    <w:rsid w:val="00692DDF"/>
    <w:rsid w:val="00693BCA"/>
    <w:rsid w:val="00694218"/>
    <w:rsid w:val="00694F1B"/>
    <w:rsid w:val="0069515C"/>
    <w:rsid w:val="00695C39"/>
    <w:rsid w:val="006968CE"/>
    <w:rsid w:val="00696C62"/>
    <w:rsid w:val="00696CD0"/>
    <w:rsid w:val="006A0033"/>
    <w:rsid w:val="006A1E93"/>
    <w:rsid w:val="006A321B"/>
    <w:rsid w:val="006A332F"/>
    <w:rsid w:val="006A39FF"/>
    <w:rsid w:val="006A3B3A"/>
    <w:rsid w:val="006A3D1F"/>
    <w:rsid w:val="006A4A81"/>
    <w:rsid w:val="006A4CF6"/>
    <w:rsid w:val="006A54CF"/>
    <w:rsid w:val="006A5B64"/>
    <w:rsid w:val="006A7BF3"/>
    <w:rsid w:val="006A7CED"/>
    <w:rsid w:val="006B0743"/>
    <w:rsid w:val="006B0C43"/>
    <w:rsid w:val="006B1A30"/>
    <w:rsid w:val="006B1A83"/>
    <w:rsid w:val="006B216C"/>
    <w:rsid w:val="006B21B0"/>
    <w:rsid w:val="006B27AC"/>
    <w:rsid w:val="006B3DF4"/>
    <w:rsid w:val="006B4C3B"/>
    <w:rsid w:val="006B58F7"/>
    <w:rsid w:val="006B6022"/>
    <w:rsid w:val="006B6159"/>
    <w:rsid w:val="006B69C6"/>
    <w:rsid w:val="006B7742"/>
    <w:rsid w:val="006C0369"/>
    <w:rsid w:val="006C09EE"/>
    <w:rsid w:val="006C1079"/>
    <w:rsid w:val="006C2400"/>
    <w:rsid w:val="006C2893"/>
    <w:rsid w:val="006C2F06"/>
    <w:rsid w:val="006C34F1"/>
    <w:rsid w:val="006C3D0C"/>
    <w:rsid w:val="006C4886"/>
    <w:rsid w:val="006C5036"/>
    <w:rsid w:val="006C59D1"/>
    <w:rsid w:val="006C5FEA"/>
    <w:rsid w:val="006C62DE"/>
    <w:rsid w:val="006C6431"/>
    <w:rsid w:val="006C6570"/>
    <w:rsid w:val="006D03AE"/>
    <w:rsid w:val="006D0E98"/>
    <w:rsid w:val="006D22E5"/>
    <w:rsid w:val="006D3A94"/>
    <w:rsid w:val="006D3BA4"/>
    <w:rsid w:val="006D3C45"/>
    <w:rsid w:val="006D4218"/>
    <w:rsid w:val="006D471E"/>
    <w:rsid w:val="006D613D"/>
    <w:rsid w:val="006D660F"/>
    <w:rsid w:val="006D6875"/>
    <w:rsid w:val="006E01D7"/>
    <w:rsid w:val="006E0B69"/>
    <w:rsid w:val="006E0E7B"/>
    <w:rsid w:val="006E23D1"/>
    <w:rsid w:val="006E2DB1"/>
    <w:rsid w:val="006E328A"/>
    <w:rsid w:val="006E4049"/>
    <w:rsid w:val="006E4638"/>
    <w:rsid w:val="006E4EC9"/>
    <w:rsid w:val="006E5A36"/>
    <w:rsid w:val="006E76C9"/>
    <w:rsid w:val="006F04E1"/>
    <w:rsid w:val="006F0BA9"/>
    <w:rsid w:val="006F1A06"/>
    <w:rsid w:val="006F1C00"/>
    <w:rsid w:val="006F1C40"/>
    <w:rsid w:val="006F40D8"/>
    <w:rsid w:val="006F4157"/>
    <w:rsid w:val="006F43A9"/>
    <w:rsid w:val="006F5986"/>
    <w:rsid w:val="006F606D"/>
    <w:rsid w:val="006F725C"/>
    <w:rsid w:val="006F73AA"/>
    <w:rsid w:val="006F76B7"/>
    <w:rsid w:val="006F7C4A"/>
    <w:rsid w:val="007004C9"/>
    <w:rsid w:val="007045EF"/>
    <w:rsid w:val="00705070"/>
    <w:rsid w:val="007053ED"/>
    <w:rsid w:val="007054D7"/>
    <w:rsid w:val="0070586D"/>
    <w:rsid w:val="0070619A"/>
    <w:rsid w:val="00707306"/>
    <w:rsid w:val="00707F9F"/>
    <w:rsid w:val="007101C2"/>
    <w:rsid w:val="00710760"/>
    <w:rsid w:val="00710A22"/>
    <w:rsid w:val="00710D30"/>
    <w:rsid w:val="00711431"/>
    <w:rsid w:val="00711776"/>
    <w:rsid w:val="00711F61"/>
    <w:rsid w:val="007125A9"/>
    <w:rsid w:val="00712AD3"/>
    <w:rsid w:val="00714883"/>
    <w:rsid w:val="00714A42"/>
    <w:rsid w:val="00714F52"/>
    <w:rsid w:val="00714F53"/>
    <w:rsid w:val="0071536A"/>
    <w:rsid w:val="00715822"/>
    <w:rsid w:val="00715C3A"/>
    <w:rsid w:val="0071654A"/>
    <w:rsid w:val="00717581"/>
    <w:rsid w:val="00717F07"/>
    <w:rsid w:val="0072034E"/>
    <w:rsid w:val="007205E3"/>
    <w:rsid w:val="007221F7"/>
    <w:rsid w:val="00723624"/>
    <w:rsid w:val="00723888"/>
    <w:rsid w:val="00724633"/>
    <w:rsid w:val="00724951"/>
    <w:rsid w:val="007253EB"/>
    <w:rsid w:val="007257A1"/>
    <w:rsid w:val="0072649A"/>
    <w:rsid w:val="007267D2"/>
    <w:rsid w:val="00726DB3"/>
    <w:rsid w:val="007314F3"/>
    <w:rsid w:val="00731644"/>
    <w:rsid w:val="007318B7"/>
    <w:rsid w:val="007336A1"/>
    <w:rsid w:val="00733E55"/>
    <w:rsid w:val="0073551E"/>
    <w:rsid w:val="00735A4C"/>
    <w:rsid w:val="00735A74"/>
    <w:rsid w:val="00735B0A"/>
    <w:rsid w:val="00735FBD"/>
    <w:rsid w:val="0073623B"/>
    <w:rsid w:val="007364D9"/>
    <w:rsid w:val="00737916"/>
    <w:rsid w:val="00737D0F"/>
    <w:rsid w:val="007402A7"/>
    <w:rsid w:val="00742621"/>
    <w:rsid w:val="007443D1"/>
    <w:rsid w:val="00744E65"/>
    <w:rsid w:val="00746A01"/>
    <w:rsid w:val="00746A1B"/>
    <w:rsid w:val="007474A7"/>
    <w:rsid w:val="0074770C"/>
    <w:rsid w:val="00750456"/>
    <w:rsid w:val="00751325"/>
    <w:rsid w:val="0075261D"/>
    <w:rsid w:val="00752E13"/>
    <w:rsid w:val="00753179"/>
    <w:rsid w:val="00753F75"/>
    <w:rsid w:val="00754940"/>
    <w:rsid w:val="00755536"/>
    <w:rsid w:val="007555A2"/>
    <w:rsid w:val="00756D4B"/>
    <w:rsid w:val="00757D92"/>
    <w:rsid w:val="00761069"/>
    <w:rsid w:val="00761567"/>
    <w:rsid w:val="00762FDB"/>
    <w:rsid w:val="00765142"/>
    <w:rsid w:val="00767371"/>
    <w:rsid w:val="00767BFF"/>
    <w:rsid w:val="00770260"/>
    <w:rsid w:val="007712C3"/>
    <w:rsid w:val="007727FC"/>
    <w:rsid w:val="0077445E"/>
    <w:rsid w:val="0077490C"/>
    <w:rsid w:val="00774E18"/>
    <w:rsid w:val="007751BB"/>
    <w:rsid w:val="00775BB7"/>
    <w:rsid w:val="0077783F"/>
    <w:rsid w:val="00782D10"/>
    <w:rsid w:val="00784049"/>
    <w:rsid w:val="00784E51"/>
    <w:rsid w:val="007853D9"/>
    <w:rsid w:val="00790499"/>
    <w:rsid w:val="00791A26"/>
    <w:rsid w:val="00792795"/>
    <w:rsid w:val="007936AD"/>
    <w:rsid w:val="00793DF3"/>
    <w:rsid w:val="00794031"/>
    <w:rsid w:val="007947A8"/>
    <w:rsid w:val="0079532E"/>
    <w:rsid w:val="007962B6"/>
    <w:rsid w:val="00796D3C"/>
    <w:rsid w:val="007972A5"/>
    <w:rsid w:val="0079772B"/>
    <w:rsid w:val="0079775B"/>
    <w:rsid w:val="007A0D36"/>
    <w:rsid w:val="007A203D"/>
    <w:rsid w:val="007A24DC"/>
    <w:rsid w:val="007A330D"/>
    <w:rsid w:val="007A4981"/>
    <w:rsid w:val="007A4A5A"/>
    <w:rsid w:val="007A5B54"/>
    <w:rsid w:val="007A6D74"/>
    <w:rsid w:val="007B15F2"/>
    <w:rsid w:val="007B2A17"/>
    <w:rsid w:val="007B2DE1"/>
    <w:rsid w:val="007B3B41"/>
    <w:rsid w:val="007B49CB"/>
    <w:rsid w:val="007B4E04"/>
    <w:rsid w:val="007B5326"/>
    <w:rsid w:val="007B589A"/>
    <w:rsid w:val="007B612A"/>
    <w:rsid w:val="007B6322"/>
    <w:rsid w:val="007B7923"/>
    <w:rsid w:val="007C05CE"/>
    <w:rsid w:val="007C1D9B"/>
    <w:rsid w:val="007C1E79"/>
    <w:rsid w:val="007C2863"/>
    <w:rsid w:val="007C2FFC"/>
    <w:rsid w:val="007C3062"/>
    <w:rsid w:val="007C3556"/>
    <w:rsid w:val="007C4161"/>
    <w:rsid w:val="007C47C2"/>
    <w:rsid w:val="007C5151"/>
    <w:rsid w:val="007C6569"/>
    <w:rsid w:val="007C676F"/>
    <w:rsid w:val="007C7BFD"/>
    <w:rsid w:val="007C7C31"/>
    <w:rsid w:val="007D0975"/>
    <w:rsid w:val="007D10D3"/>
    <w:rsid w:val="007D1EDF"/>
    <w:rsid w:val="007D2AB8"/>
    <w:rsid w:val="007D5136"/>
    <w:rsid w:val="007D5960"/>
    <w:rsid w:val="007D75F9"/>
    <w:rsid w:val="007E1371"/>
    <w:rsid w:val="007E14ED"/>
    <w:rsid w:val="007E1968"/>
    <w:rsid w:val="007E2749"/>
    <w:rsid w:val="007E2BE2"/>
    <w:rsid w:val="007E2D91"/>
    <w:rsid w:val="007E36D3"/>
    <w:rsid w:val="007E37EE"/>
    <w:rsid w:val="007E3A80"/>
    <w:rsid w:val="007E4867"/>
    <w:rsid w:val="007E610C"/>
    <w:rsid w:val="007E68AD"/>
    <w:rsid w:val="007E7A74"/>
    <w:rsid w:val="007F103A"/>
    <w:rsid w:val="007F1BF2"/>
    <w:rsid w:val="007F44C3"/>
    <w:rsid w:val="007F4730"/>
    <w:rsid w:val="007F5B28"/>
    <w:rsid w:val="007F6BC1"/>
    <w:rsid w:val="007F7903"/>
    <w:rsid w:val="0080074A"/>
    <w:rsid w:val="00801719"/>
    <w:rsid w:val="008019C7"/>
    <w:rsid w:val="00802948"/>
    <w:rsid w:val="00802BDB"/>
    <w:rsid w:val="008036F5"/>
    <w:rsid w:val="00803884"/>
    <w:rsid w:val="00803DF6"/>
    <w:rsid w:val="00804C0F"/>
    <w:rsid w:val="00805CB9"/>
    <w:rsid w:val="008063D1"/>
    <w:rsid w:val="008071B2"/>
    <w:rsid w:val="00807E14"/>
    <w:rsid w:val="00807FEB"/>
    <w:rsid w:val="008119F4"/>
    <w:rsid w:val="00811C11"/>
    <w:rsid w:val="00813E7A"/>
    <w:rsid w:val="0081447E"/>
    <w:rsid w:val="008147E8"/>
    <w:rsid w:val="00817148"/>
    <w:rsid w:val="00820972"/>
    <w:rsid w:val="008209E7"/>
    <w:rsid w:val="00820B55"/>
    <w:rsid w:val="00821FF7"/>
    <w:rsid w:val="00822D3A"/>
    <w:rsid w:val="00822D6E"/>
    <w:rsid w:val="00823115"/>
    <w:rsid w:val="0082353B"/>
    <w:rsid w:val="0082381A"/>
    <w:rsid w:val="00823A03"/>
    <w:rsid w:val="00823C58"/>
    <w:rsid w:val="00826496"/>
    <w:rsid w:val="00826568"/>
    <w:rsid w:val="0082792A"/>
    <w:rsid w:val="0083188E"/>
    <w:rsid w:val="00831F8B"/>
    <w:rsid w:val="008326D3"/>
    <w:rsid w:val="0083297E"/>
    <w:rsid w:val="00832DDD"/>
    <w:rsid w:val="00833D04"/>
    <w:rsid w:val="008353F3"/>
    <w:rsid w:val="00835D0F"/>
    <w:rsid w:val="00836BA9"/>
    <w:rsid w:val="00836DA2"/>
    <w:rsid w:val="00836EBC"/>
    <w:rsid w:val="00836F19"/>
    <w:rsid w:val="00837B42"/>
    <w:rsid w:val="00840098"/>
    <w:rsid w:val="00840289"/>
    <w:rsid w:val="008403F8"/>
    <w:rsid w:val="00841225"/>
    <w:rsid w:val="0084320A"/>
    <w:rsid w:val="008437D7"/>
    <w:rsid w:val="00844E04"/>
    <w:rsid w:val="008450E9"/>
    <w:rsid w:val="0084513E"/>
    <w:rsid w:val="0084554C"/>
    <w:rsid w:val="00845FD3"/>
    <w:rsid w:val="00846410"/>
    <w:rsid w:val="00846D7E"/>
    <w:rsid w:val="008475BD"/>
    <w:rsid w:val="008506A2"/>
    <w:rsid w:val="00851C2C"/>
    <w:rsid w:val="00852BB7"/>
    <w:rsid w:val="0085396D"/>
    <w:rsid w:val="00854064"/>
    <w:rsid w:val="00854827"/>
    <w:rsid w:val="008553A4"/>
    <w:rsid w:val="00855B97"/>
    <w:rsid w:val="00857142"/>
    <w:rsid w:val="00857828"/>
    <w:rsid w:val="008601C8"/>
    <w:rsid w:val="008628CD"/>
    <w:rsid w:val="008628D1"/>
    <w:rsid w:val="00862D9B"/>
    <w:rsid w:val="00862F57"/>
    <w:rsid w:val="008630B9"/>
    <w:rsid w:val="008630D6"/>
    <w:rsid w:val="0086503B"/>
    <w:rsid w:val="00866C4F"/>
    <w:rsid w:val="00866CE9"/>
    <w:rsid w:val="00866E7A"/>
    <w:rsid w:val="00866F75"/>
    <w:rsid w:val="0087136E"/>
    <w:rsid w:val="00871803"/>
    <w:rsid w:val="00871E3F"/>
    <w:rsid w:val="008723A2"/>
    <w:rsid w:val="00873609"/>
    <w:rsid w:val="0087389D"/>
    <w:rsid w:val="00874A3E"/>
    <w:rsid w:val="00874BE9"/>
    <w:rsid w:val="00874EAE"/>
    <w:rsid w:val="0087509D"/>
    <w:rsid w:val="00875C31"/>
    <w:rsid w:val="00875E01"/>
    <w:rsid w:val="008761DC"/>
    <w:rsid w:val="00877A4C"/>
    <w:rsid w:val="00877CE7"/>
    <w:rsid w:val="0088016B"/>
    <w:rsid w:val="008811A2"/>
    <w:rsid w:val="0088176A"/>
    <w:rsid w:val="008829C2"/>
    <w:rsid w:val="00882AC3"/>
    <w:rsid w:val="00882B1C"/>
    <w:rsid w:val="008834E9"/>
    <w:rsid w:val="00883564"/>
    <w:rsid w:val="00883E65"/>
    <w:rsid w:val="0088530D"/>
    <w:rsid w:val="00885CCB"/>
    <w:rsid w:val="0088640F"/>
    <w:rsid w:val="00887274"/>
    <w:rsid w:val="008902A5"/>
    <w:rsid w:val="0089059D"/>
    <w:rsid w:val="00890F84"/>
    <w:rsid w:val="0089420C"/>
    <w:rsid w:val="0089447E"/>
    <w:rsid w:val="00894E64"/>
    <w:rsid w:val="00896D51"/>
    <w:rsid w:val="008974AE"/>
    <w:rsid w:val="008A0534"/>
    <w:rsid w:val="008A0D21"/>
    <w:rsid w:val="008A1333"/>
    <w:rsid w:val="008A1C72"/>
    <w:rsid w:val="008A1F1E"/>
    <w:rsid w:val="008A2AA4"/>
    <w:rsid w:val="008A2B3D"/>
    <w:rsid w:val="008A2E46"/>
    <w:rsid w:val="008A30CB"/>
    <w:rsid w:val="008A36CD"/>
    <w:rsid w:val="008A52B4"/>
    <w:rsid w:val="008A5881"/>
    <w:rsid w:val="008A5A57"/>
    <w:rsid w:val="008A5E5C"/>
    <w:rsid w:val="008A5E9B"/>
    <w:rsid w:val="008A6233"/>
    <w:rsid w:val="008A7480"/>
    <w:rsid w:val="008B0D15"/>
    <w:rsid w:val="008B10BF"/>
    <w:rsid w:val="008B13C5"/>
    <w:rsid w:val="008B1C2E"/>
    <w:rsid w:val="008B25E3"/>
    <w:rsid w:val="008B2F08"/>
    <w:rsid w:val="008B4A0D"/>
    <w:rsid w:val="008B50E7"/>
    <w:rsid w:val="008B576C"/>
    <w:rsid w:val="008B681D"/>
    <w:rsid w:val="008B6AC4"/>
    <w:rsid w:val="008B7593"/>
    <w:rsid w:val="008B7856"/>
    <w:rsid w:val="008C09D5"/>
    <w:rsid w:val="008C1817"/>
    <w:rsid w:val="008C1A6B"/>
    <w:rsid w:val="008C2131"/>
    <w:rsid w:val="008C238F"/>
    <w:rsid w:val="008C2FED"/>
    <w:rsid w:val="008C4026"/>
    <w:rsid w:val="008C47CA"/>
    <w:rsid w:val="008C7382"/>
    <w:rsid w:val="008C7E3C"/>
    <w:rsid w:val="008D0D3A"/>
    <w:rsid w:val="008D105D"/>
    <w:rsid w:val="008D130F"/>
    <w:rsid w:val="008D17BB"/>
    <w:rsid w:val="008D1D84"/>
    <w:rsid w:val="008D28D0"/>
    <w:rsid w:val="008D2A51"/>
    <w:rsid w:val="008D4686"/>
    <w:rsid w:val="008D58E0"/>
    <w:rsid w:val="008D7F54"/>
    <w:rsid w:val="008E0AB9"/>
    <w:rsid w:val="008E0C8F"/>
    <w:rsid w:val="008E1F1E"/>
    <w:rsid w:val="008E25FF"/>
    <w:rsid w:val="008E2F7C"/>
    <w:rsid w:val="008E34FB"/>
    <w:rsid w:val="008E44A9"/>
    <w:rsid w:val="008E6217"/>
    <w:rsid w:val="008E65D7"/>
    <w:rsid w:val="008E6973"/>
    <w:rsid w:val="008E6BFD"/>
    <w:rsid w:val="008E73CE"/>
    <w:rsid w:val="008E747F"/>
    <w:rsid w:val="008F2D72"/>
    <w:rsid w:val="008F3253"/>
    <w:rsid w:val="008F3F70"/>
    <w:rsid w:val="008F4576"/>
    <w:rsid w:val="008F4ECF"/>
    <w:rsid w:val="008F545C"/>
    <w:rsid w:val="008F560D"/>
    <w:rsid w:val="008F5706"/>
    <w:rsid w:val="008F5BB8"/>
    <w:rsid w:val="008F5F09"/>
    <w:rsid w:val="008F68CF"/>
    <w:rsid w:val="008F738C"/>
    <w:rsid w:val="008F7B8C"/>
    <w:rsid w:val="00900DB8"/>
    <w:rsid w:val="009015B9"/>
    <w:rsid w:val="00901D21"/>
    <w:rsid w:val="00903A38"/>
    <w:rsid w:val="009043E8"/>
    <w:rsid w:val="00904895"/>
    <w:rsid w:val="00904A9B"/>
    <w:rsid w:val="00904AE0"/>
    <w:rsid w:val="00905138"/>
    <w:rsid w:val="00905257"/>
    <w:rsid w:val="00906CB1"/>
    <w:rsid w:val="009077E4"/>
    <w:rsid w:val="00907838"/>
    <w:rsid w:val="009108DB"/>
    <w:rsid w:val="00912D7D"/>
    <w:rsid w:val="00913C6E"/>
    <w:rsid w:val="0091400F"/>
    <w:rsid w:val="00914573"/>
    <w:rsid w:val="0091484B"/>
    <w:rsid w:val="00916B60"/>
    <w:rsid w:val="00921264"/>
    <w:rsid w:val="00921907"/>
    <w:rsid w:val="0092245B"/>
    <w:rsid w:val="009225B1"/>
    <w:rsid w:val="00922C77"/>
    <w:rsid w:val="00922ED2"/>
    <w:rsid w:val="00923F7C"/>
    <w:rsid w:val="00924429"/>
    <w:rsid w:val="0092603C"/>
    <w:rsid w:val="00926801"/>
    <w:rsid w:val="00926B65"/>
    <w:rsid w:val="00927A80"/>
    <w:rsid w:val="0093009E"/>
    <w:rsid w:val="0093078F"/>
    <w:rsid w:val="009313DE"/>
    <w:rsid w:val="009316D0"/>
    <w:rsid w:val="00932914"/>
    <w:rsid w:val="00932BA2"/>
    <w:rsid w:val="00933C4F"/>
    <w:rsid w:val="00933DF0"/>
    <w:rsid w:val="009346A1"/>
    <w:rsid w:val="00934836"/>
    <w:rsid w:val="00935528"/>
    <w:rsid w:val="00935D0D"/>
    <w:rsid w:val="00936474"/>
    <w:rsid w:val="009365AB"/>
    <w:rsid w:val="00936ACD"/>
    <w:rsid w:val="00936FE6"/>
    <w:rsid w:val="0093754E"/>
    <w:rsid w:val="00937F55"/>
    <w:rsid w:val="00940A24"/>
    <w:rsid w:val="0094331E"/>
    <w:rsid w:val="00943483"/>
    <w:rsid w:val="009435EB"/>
    <w:rsid w:val="0094386F"/>
    <w:rsid w:val="00945393"/>
    <w:rsid w:val="00945395"/>
    <w:rsid w:val="009455B5"/>
    <w:rsid w:val="009462DD"/>
    <w:rsid w:val="00946921"/>
    <w:rsid w:val="00947365"/>
    <w:rsid w:val="00947476"/>
    <w:rsid w:val="00947CA5"/>
    <w:rsid w:val="00947F55"/>
    <w:rsid w:val="009501E3"/>
    <w:rsid w:val="00950971"/>
    <w:rsid w:val="00950C3F"/>
    <w:rsid w:val="00950D66"/>
    <w:rsid w:val="009515B3"/>
    <w:rsid w:val="00951B46"/>
    <w:rsid w:val="00951BE9"/>
    <w:rsid w:val="00953B64"/>
    <w:rsid w:val="0095414C"/>
    <w:rsid w:val="009543FA"/>
    <w:rsid w:val="00956226"/>
    <w:rsid w:val="009568C7"/>
    <w:rsid w:val="00957626"/>
    <w:rsid w:val="00957970"/>
    <w:rsid w:val="00957AEE"/>
    <w:rsid w:val="009601E2"/>
    <w:rsid w:val="009622D7"/>
    <w:rsid w:val="00962917"/>
    <w:rsid w:val="009631EC"/>
    <w:rsid w:val="00963E36"/>
    <w:rsid w:val="009640A6"/>
    <w:rsid w:val="00964CE9"/>
    <w:rsid w:val="00965D54"/>
    <w:rsid w:val="00966436"/>
    <w:rsid w:val="00966A5A"/>
    <w:rsid w:val="00966B51"/>
    <w:rsid w:val="00967D83"/>
    <w:rsid w:val="009712F4"/>
    <w:rsid w:val="00971D78"/>
    <w:rsid w:val="00971E35"/>
    <w:rsid w:val="00972B49"/>
    <w:rsid w:val="0097405F"/>
    <w:rsid w:val="00976A07"/>
    <w:rsid w:val="00976C38"/>
    <w:rsid w:val="00977A4F"/>
    <w:rsid w:val="00980012"/>
    <w:rsid w:val="0098027F"/>
    <w:rsid w:val="00982B7C"/>
    <w:rsid w:val="009831CE"/>
    <w:rsid w:val="009836EA"/>
    <w:rsid w:val="00983C81"/>
    <w:rsid w:val="00984172"/>
    <w:rsid w:val="009844D6"/>
    <w:rsid w:val="009858B6"/>
    <w:rsid w:val="00985A2D"/>
    <w:rsid w:val="00986DC4"/>
    <w:rsid w:val="00986E09"/>
    <w:rsid w:val="0098767E"/>
    <w:rsid w:val="00990EBF"/>
    <w:rsid w:val="00991883"/>
    <w:rsid w:val="00991971"/>
    <w:rsid w:val="00991A5B"/>
    <w:rsid w:val="009924CF"/>
    <w:rsid w:val="00992532"/>
    <w:rsid w:val="0099370B"/>
    <w:rsid w:val="0099376F"/>
    <w:rsid w:val="0099461C"/>
    <w:rsid w:val="00994CC0"/>
    <w:rsid w:val="0099544D"/>
    <w:rsid w:val="009958B8"/>
    <w:rsid w:val="00995983"/>
    <w:rsid w:val="00995AA3"/>
    <w:rsid w:val="0099703E"/>
    <w:rsid w:val="009975BD"/>
    <w:rsid w:val="009975BE"/>
    <w:rsid w:val="009975C8"/>
    <w:rsid w:val="009A0455"/>
    <w:rsid w:val="009A1B6A"/>
    <w:rsid w:val="009A22E4"/>
    <w:rsid w:val="009A38AC"/>
    <w:rsid w:val="009A41BC"/>
    <w:rsid w:val="009A448B"/>
    <w:rsid w:val="009A5641"/>
    <w:rsid w:val="009A57EF"/>
    <w:rsid w:val="009A67A3"/>
    <w:rsid w:val="009A7429"/>
    <w:rsid w:val="009A7C96"/>
    <w:rsid w:val="009A7CAC"/>
    <w:rsid w:val="009B0451"/>
    <w:rsid w:val="009B07D7"/>
    <w:rsid w:val="009B2CE4"/>
    <w:rsid w:val="009B3DF0"/>
    <w:rsid w:val="009B4976"/>
    <w:rsid w:val="009B4A7E"/>
    <w:rsid w:val="009B4D59"/>
    <w:rsid w:val="009B5572"/>
    <w:rsid w:val="009B6D0B"/>
    <w:rsid w:val="009B6E36"/>
    <w:rsid w:val="009B7632"/>
    <w:rsid w:val="009C02A8"/>
    <w:rsid w:val="009C06D7"/>
    <w:rsid w:val="009C1014"/>
    <w:rsid w:val="009C104B"/>
    <w:rsid w:val="009C118A"/>
    <w:rsid w:val="009C1ABE"/>
    <w:rsid w:val="009C25CB"/>
    <w:rsid w:val="009C2632"/>
    <w:rsid w:val="009C43AE"/>
    <w:rsid w:val="009C4C0A"/>
    <w:rsid w:val="009C5135"/>
    <w:rsid w:val="009C5D4A"/>
    <w:rsid w:val="009C6AD0"/>
    <w:rsid w:val="009D04A1"/>
    <w:rsid w:val="009D1730"/>
    <w:rsid w:val="009D1870"/>
    <w:rsid w:val="009D1CE8"/>
    <w:rsid w:val="009D2B5F"/>
    <w:rsid w:val="009D2E88"/>
    <w:rsid w:val="009D3408"/>
    <w:rsid w:val="009D3E22"/>
    <w:rsid w:val="009D43AC"/>
    <w:rsid w:val="009D5586"/>
    <w:rsid w:val="009D56B6"/>
    <w:rsid w:val="009D63A4"/>
    <w:rsid w:val="009D731A"/>
    <w:rsid w:val="009D7C72"/>
    <w:rsid w:val="009E130A"/>
    <w:rsid w:val="009E368C"/>
    <w:rsid w:val="009E37D8"/>
    <w:rsid w:val="009E438F"/>
    <w:rsid w:val="009E52D0"/>
    <w:rsid w:val="009E5302"/>
    <w:rsid w:val="009E569E"/>
    <w:rsid w:val="009E5E85"/>
    <w:rsid w:val="009E657B"/>
    <w:rsid w:val="009E7A1E"/>
    <w:rsid w:val="009F085F"/>
    <w:rsid w:val="009F211E"/>
    <w:rsid w:val="009F265A"/>
    <w:rsid w:val="009F277B"/>
    <w:rsid w:val="009F3AB6"/>
    <w:rsid w:val="009F7177"/>
    <w:rsid w:val="009F76DD"/>
    <w:rsid w:val="009F7AC8"/>
    <w:rsid w:val="00A007FB"/>
    <w:rsid w:val="00A01AA4"/>
    <w:rsid w:val="00A01F0C"/>
    <w:rsid w:val="00A0287B"/>
    <w:rsid w:val="00A03478"/>
    <w:rsid w:val="00A03638"/>
    <w:rsid w:val="00A0371B"/>
    <w:rsid w:val="00A05A5B"/>
    <w:rsid w:val="00A06C16"/>
    <w:rsid w:val="00A07141"/>
    <w:rsid w:val="00A07536"/>
    <w:rsid w:val="00A07B05"/>
    <w:rsid w:val="00A07ED9"/>
    <w:rsid w:val="00A100FF"/>
    <w:rsid w:val="00A1108C"/>
    <w:rsid w:val="00A116E5"/>
    <w:rsid w:val="00A117AB"/>
    <w:rsid w:val="00A130E0"/>
    <w:rsid w:val="00A15880"/>
    <w:rsid w:val="00A158F0"/>
    <w:rsid w:val="00A16311"/>
    <w:rsid w:val="00A16BE2"/>
    <w:rsid w:val="00A172F5"/>
    <w:rsid w:val="00A2050F"/>
    <w:rsid w:val="00A2052B"/>
    <w:rsid w:val="00A21967"/>
    <w:rsid w:val="00A22280"/>
    <w:rsid w:val="00A22C1E"/>
    <w:rsid w:val="00A22D22"/>
    <w:rsid w:val="00A230F1"/>
    <w:rsid w:val="00A23672"/>
    <w:rsid w:val="00A2459F"/>
    <w:rsid w:val="00A25305"/>
    <w:rsid w:val="00A26041"/>
    <w:rsid w:val="00A2618E"/>
    <w:rsid w:val="00A27452"/>
    <w:rsid w:val="00A30339"/>
    <w:rsid w:val="00A3055B"/>
    <w:rsid w:val="00A30BF3"/>
    <w:rsid w:val="00A321C9"/>
    <w:rsid w:val="00A32998"/>
    <w:rsid w:val="00A34C15"/>
    <w:rsid w:val="00A34FF1"/>
    <w:rsid w:val="00A36CB4"/>
    <w:rsid w:val="00A36EC6"/>
    <w:rsid w:val="00A36EED"/>
    <w:rsid w:val="00A36EFB"/>
    <w:rsid w:val="00A37E4B"/>
    <w:rsid w:val="00A37F73"/>
    <w:rsid w:val="00A413EA"/>
    <w:rsid w:val="00A414E7"/>
    <w:rsid w:val="00A41722"/>
    <w:rsid w:val="00A4418F"/>
    <w:rsid w:val="00A45518"/>
    <w:rsid w:val="00A458A9"/>
    <w:rsid w:val="00A4651A"/>
    <w:rsid w:val="00A46E18"/>
    <w:rsid w:val="00A50CAB"/>
    <w:rsid w:val="00A50F5D"/>
    <w:rsid w:val="00A520BB"/>
    <w:rsid w:val="00A53445"/>
    <w:rsid w:val="00A5390F"/>
    <w:rsid w:val="00A54BD9"/>
    <w:rsid w:val="00A5567A"/>
    <w:rsid w:val="00A559C3"/>
    <w:rsid w:val="00A6001A"/>
    <w:rsid w:val="00A6008E"/>
    <w:rsid w:val="00A614F4"/>
    <w:rsid w:val="00A61F3A"/>
    <w:rsid w:val="00A62761"/>
    <w:rsid w:val="00A63FF2"/>
    <w:rsid w:val="00A645B5"/>
    <w:rsid w:val="00A67BA0"/>
    <w:rsid w:val="00A67E42"/>
    <w:rsid w:val="00A70DBA"/>
    <w:rsid w:val="00A714DF"/>
    <w:rsid w:val="00A7194E"/>
    <w:rsid w:val="00A727AD"/>
    <w:rsid w:val="00A7280A"/>
    <w:rsid w:val="00A72A6E"/>
    <w:rsid w:val="00A72C6D"/>
    <w:rsid w:val="00A73DF2"/>
    <w:rsid w:val="00A740D5"/>
    <w:rsid w:val="00A750C3"/>
    <w:rsid w:val="00A75699"/>
    <w:rsid w:val="00A76246"/>
    <w:rsid w:val="00A76B65"/>
    <w:rsid w:val="00A76E9B"/>
    <w:rsid w:val="00A77B10"/>
    <w:rsid w:val="00A81826"/>
    <w:rsid w:val="00A82C06"/>
    <w:rsid w:val="00A84823"/>
    <w:rsid w:val="00A84954"/>
    <w:rsid w:val="00A85B36"/>
    <w:rsid w:val="00A8628D"/>
    <w:rsid w:val="00A87847"/>
    <w:rsid w:val="00A8785C"/>
    <w:rsid w:val="00A90ACF"/>
    <w:rsid w:val="00A90C5D"/>
    <w:rsid w:val="00A915CE"/>
    <w:rsid w:val="00A91667"/>
    <w:rsid w:val="00A91D3A"/>
    <w:rsid w:val="00A9241B"/>
    <w:rsid w:val="00A92A85"/>
    <w:rsid w:val="00A92DA7"/>
    <w:rsid w:val="00A92E12"/>
    <w:rsid w:val="00A93125"/>
    <w:rsid w:val="00A93142"/>
    <w:rsid w:val="00A9387A"/>
    <w:rsid w:val="00A93F52"/>
    <w:rsid w:val="00A95685"/>
    <w:rsid w:val="00A95944"/>
    <w:rsid w:val="00A95E77"/>
    <w:rsid w:val="00A962B0"/>
    <w:rsid w:val="00A97487"/>
    <w:rsid w:val="00A97547"/>
    <w:rsid w:val="00AA081B"/>
    <w:rsid w:val="00AA08B4"/>
    <w:rsid w:val="00AA0CB3"/>
    <w:rsid w:val="00AA225B"/>
    <w:rsid w:val="00AA2EB6"/>
    <w:rsid w:val="00AA2F10"/>
    <w:rsid w:val="00AA38BE"/>
    <w:rsid w:val="00AA3DF5"/>
    <w:rsid w:val="00AA3F6A"/>
    <w:rsid w:val="00AA469C"/>
    <w:rsid w:val="00AA5691"/>
    <w:rsid w:val="00AA58DD"/>
    <w:rsid w:val="00AA60B6"/>
    <w:rsid w:val="00AA67B6"/>
    <w:rsid w:val="00AA6E35"/>
    <w:rsid w:val="00AA7056"/>
    <w:rsid w:val="00AB0C94"/>
    <w:rsid w:val="00AB2998"/>
    <w:rsid w:val="00AB34F7"/>
    <w:rsid w:val="00AB562F"/>
    <w:rsid w:val="00AB7CD8"/>
    <w:rsid w:val="00AC0320"/>
    <w:rsid w:val="00AC0483"/>
    <w:rsid w:val="00AC182F"/>
    <w:rsid w:val="00AC25A9"/>
    <w:rsid w:val="00AC4227"/>
    <w:rsid w:val="00AC4324"/>
    <w:rsid w:val="00AC4561"/>
    <w:rsid w:val="00AC4CD4"/>
    <w:rsid w:val="00AC59F9"/>
    <w:rsid w:val="00AC670F"/>
    <w:rsid w:val="00AC74AB"/>
    <w:rsid w:val="00AD06C9"/>
    <w:rsid w:val="00AD0C6B"/>
    <w:rsid w:val="00AD1C3F"/>
    <w:rsid w:val="00AD2811"/>
    <w:rsid w:val="00AD2856"/>
    <w:rsid w:val="00AD2969"/>
    <w:rsid w:val="00AD2A2F"/>
    <w:rsid w:val="00AD3139"/>
    <w:rsid w:val="00AD49ED"/>
    <w:rsid w:val="00AD5F38"/>
    <w:rsid w:val="00AD6502"/>
    <w:rsid w:val="00AD6642"/>
    <w:rsid w:val="00AD6864"/>
    <w:rsid w:val="00AD691B"/>
    <w:rsid w:val="00AD6C8D"/>
    <w:rsid w:val="00AD7308"/>
    <w:rsid w:val="00AE0809"/>
    <w:rsid w:val="00AE0CAE"/>
    <w:rsid w:val="00AE10E8"/>
    <w:rsid w:val="00AE15A6"/>
    <w:rsid w:val="00AE1645"/>
    <w:rsid w:val="00AE1AA3"/>
    <w:rsid w:val="00AE2272"/>
    <w:rsid w:val="00AE25FE"/>
    <w:rsid w:val="00AE31F3"/>
    <w:rsid w:val="00AE32A5"/>
    <w:rsid w:val="00AE41B9"/>
    <w:rsid w:val="00AE4930"/>
    <w:rsid w:val="00AE5416"/>
    <w:rsid w:val="00AE7B77"/>
    <w:rsid w:val="00AE7EE7"/>
    <w:rsid w:val="00AF004C"/>
    <w:rsid w:val="00AF076A"/>
    <w:rsid w:val="00AF3E31"/>
    <w:rsid w:val="00AF412B"/>
    <w:rsid w:val="00AF474B"/>
    <w:rsid w:val="00AF5655"/>
    <w:rsid w:val="00AF5EDD"/>
    <w:rsid w:val="00B0068D"/>
    <w:rsid w:val="00B009D7"/>
    <w:rsid w:val="00B00C76"/>
    <w:rsid w:val="00B00DAE"/>
    <w:rsid w:val="00B00EE1"/>
    <w:rsid w:val="00B00F93"/>
    <w:rsid w:val="00B02CB2"/>
    <w:rsid w:val="00B03C8C"/>
    <w:rsid w:val="00B04257"/>
    <w:rsid w:val="00B05780"/>
    <w:rsid w:val="00B070AE"/>
    <w:rsid w:val="00B10139"/>
    <w:rsid w:val="00B109A0"/>
    <w:rsid w:val="00B114D3"/>
    <w:rsid w:val="00B13C80"/>
    <w:rsid w:val="00B13CC4"/>
    <w:rsid w:val="00B140E5"/>
    <w:rsid w:val="00B1439B"/>
    <w:rsid w:val="00B14402"/>
    <w:rsid w:val="00B14790"/>
    <w:rsid w:val="00B14A6C"/>
    <w:rsid w:val="00B15F3B"/>
    <w:rsid w:val="00B17C41"/>
    <w:rsid w:val="00B203A2"/>
    <w:rsid w:val="00B21ECF"/>
    <w:rsid w:val="00B22BFB"/>
    <w:rsid w:val="00B23E76"/>
    <w:rsid w:val="00B2494B"/>
    <w:rsid w:val="00B24AC0"/>
    <w:rsid w:val="00B25EE5"/>
    <w:rsid w:val="00B26AF7"/>
    <w:rsid w:val="00B27C48"/>
    <w:rsid w:val="00B27E1C"/>
    <w:rsid w:val="00B3040A"/>
    <w:rsid w:val="00B3159E"/>
    <w:rsid w:val="00B32B80"/>
    <w:rsid w:val="00B34390"/>
    <w:rsid w:val="00B36736"/>
    <w:rsid w:val="00B36914"/>
    <w:rsid w:val="00B36B79"/>
    <w:rsid w:val="00B40461"/>
    <w:rsid w:val="00B40A27"/>
    <w:rsid w:val="00B40A48"/>
    <w:rsid w:val="00B40E8D"/>
    <w:rsid w:val="00B417E2"/>
    <w:rsid w:val="00B41ED7"/>
    <w:rsid w:val="00B4225A"/>
    <w:rsid w:val="00B433B0"/>
    <w:rsid w:val="00B43A49"/>
    <w:rsid w:val="00B44228"/>
    <w:rsid w:val="00B44648"/>
    <w:rsid w:val="00B448A9"/>
    <w:rsid w:val="00B44914"/>
    <w:rsid w:val="00B46032"/>
    <w:rsid w:val="00B465F2"/>
    <w:rsid w:val="00B469D0"/>
    <w:rsid w:val="00B46E49"/>
    <w:rsid w:val="00B47764"/>
    <w:rsid w:val="00B47868"/>
    <w:rsid w:val="00B47988"/>
    <w:rsid w:val="00B479D2"/>
    <w:rsid w:val="00B51877"/>
    <w:rsid w:val="00B51AAC"/>
    <w:rsid w:val="00B5375A"/>
    <w:rsid w:val="00B5462A"/>
    <w:rsid w:val="00B54D81"/>
    <w:rsid w:val="00B556C4"/>
    <w:rsid w:val="00B55EDB"/>
    <w:rsid w:val="00B568A2"/>
    <w:rsid w:val="00B57E0A"/>
    <w:rsid w:val="00B6052C"/>
    <w:rsid w:val="00B611E6"/>
    <w:rsid w:val="00B62195"/>
    <w:rsid w:val="00B629C9"/>
    <w:rsid w:val="00B62DE3"/>
    <w:rsid w:val="00B6320E"/>
    <w:rsid w:val="00B640FB"/>
    <w:rsid w:val="00B65014"/>
    <w:rsid w:val="00B659EF"/>
    <w:rsid w:val="00B66630"/>
    <w:rsid w:val="00B6684E"/>
    <w:rsid w:val="00B66F7D"/>
    <w:rsid w:val="00B71AA3"/>
    <w:rsid w:val="00B72276"/>
    <w:rsid w:val="00B727B9"/>
    <w:rsid w:val="00B73A51"/>
    <w:rsid w:val="00B73B7B"/>
    <w:rsid w:val="00B74122"/>
    <w:rsid w:val="00B750EB"/>
    <w:rsid w:val="00B76325"/>
    <w:rsid w:val="00B76628"/>
    <w:rsid w:val="00B770A5"/>
    <w:rsid w:val="00B77C1C"/>
    <w:rsid w:val="00B77FB2"/>
    <w:rsid w:val="00B805DD"/>
    <w:rsid w:val="00B80AAA"/>
    <w:rsid w:val="00B80B7E"/>
    <w:rsid w:val="00B8124F"/>
    <w:rsid w:val="00B81A54"/>
    <w:rsid w:val="00B83A79"/>
    <w:rsid w:val="00B840DC"/>
    <w:rsid w:val="00B844F2"/>
    <w:rsid w:val="00B8580D"/>
    <w:rsid w:val="00B85F62"/>
    <w:rsid w:val="00B86424"/>
    <w:rsid w:val="00B86728"/>
    <w:rsid w:val="00B90B1C"/>
    <w:rsid w:val="00B90D54"/>
    <w:rsid w:val="00B915D7"/>
    <w:rsid w:val="00B91D2C"/>
    <w:rsid w:val="00B9262B"/>
    <w:rsid w:val="00B93B8C"/>
    <w:rsid w:val="00B93EB4"/>
    <w:rsid w:val="00B94C2D"/>
    <w:rsid w:val="00B96542"/>
    <w:rsid w:val="00B96F06"/>
    <w:rsid w:val="00B97BB8"/>
    <w:rsid w:val="00B97DF5"/>
    <w:rsid w:val="00B97FDF"/>
    <w:rsid w:val="00BA05DB"/>
    <w:rsid w:val="00BA1173"/>
    <w:rsid w:val="00BA1D90"/>
    <w:rsid w:val="00BA33F6"/>
    <w:rsid w:val="00BA3458"/>
    <w:rsid w:val="00BA3AFA"/>
    <w:rsid w:val="00BA3BA1"/>
    <w:rsid w:val="00BA4956"/>
    <w:rsid w:val="00BA497E"/>
    <w:rsid w:val="00BA525D"/>
    <w:rsid w:val="00BA5414"/>
    <w:rsid w:val="00BA59B9"/>
    <w:rsid w:val="00BA6638"/>
    <w:rsid w:val="00BA6A15"/>
    <w:rsid w:val="00BA6B2B"/>
    <w:rsid w:val="00BA6C51"/>
    <w:rsid w:val="00BA7213"/>
    <w:rsid w:val="00BB01BA"/>
    <w:rsid w:val="00BB08E5"/>
    <w:rsid w:val="00BB0F87"/>
    <w:rsid w:val="00BB1E56"/>
    <w:rsid w:val="00BB2114"/>
    <w:rsid w:val="00BB3FB8"/>
    <w:rsid w:val="00BB4EC7"/>
    <w:rsid w:val="00BB5098"/>
    <w:rsid w:val="00BB5336"/>
    <w:rsid w:val="00BB53BC"/>
    <w:rsid w:val="00BB5AA1"/>
    <w:rsid w:val="00BB68DE"/>
    <w:rsid w:val="00BB7BD9"/>
    <w:rsid w:val="00BB7E1B"/>
    <w:rsid w:val="00BC01C7"/>
    <w:rsid w:val="00BC062A"/>
    <w:rsid w:val="00BC2763"/>
    <w:rsid w:val="00BC296E"/>
    <w:rsid w:val="00BC2C99"/>
    <w:rsid w:val="00BC364B"/>
    <w:rsid w:val="00BC47D0"/>
    <w:rsid w:val="00BC4D64"/>
    <w:rsid w:val="00BC5814"/>
    <w:rsid w:val="00BC6C01"/>
    <w:rsid w:val="00BC7DA5"/>
    <w:rsid w:val="00BD0FD6"/>
    <w:rsid w:val="00BD37E2"/>
    <w:rsid w:val="00BD3AFD"/>
    <w:rsid w:val="00BD4053"/>
    <w:rsid w:val="00BD57E3"/>
    <w:rsid w:val="00BD5A34"/>
    <w:rsid w:val="00BD5B69"/>
    <w:rsid w:val="00BD69FF"/>
    <w:rsid w:val="00BD6B3C"/>
    <w:rsid w:val="00BD7071"/>
    <w:rsid w:val="00BD7C8D"/>
    <w:rsid w:val="00BD7CCF"/>
    <w:rsid w:val="00BE0A66"/>
    <w:rsid w:val="00BE1698"/>
    <w:rsid w:val="00BE2554"/>
    <w:rsid w:val="00BE3AF5"/>
    <w:rsid w:val="00BE4CBF"/>
    <w:rsid w:val="00BE6239"/>
    <w:rsid w:val="00BE6654"/>
    <w:rsid w:val="00BE6AE7"/>
    <w:rsid w:val="00BF021D"/>
    <w:rsid w:val="00BF027C"/>
    <w:rsid w:val="00BF0FD5"/>
    <w:rsid w:val="00BF106F"/>
    <w:rsid w:val="00BF12B3"/>
    <w:rsid w:val="00BF228F"/>
    <w:rsid w:val="00BF2501"/>
    <w:rsid w:val="00BF2AFB"/>
    <w:rsid w:val="00BF322C"/>
    <w:rsid w:val="00BF3A85"/>
    <w:rsid w:val="00BF4089"/>
    <w:rsid w:val="00BF4139"/>
    <w:rsid w:val="00BF46C1"/>
    <w:rsid w:val="00BF48F0"/>
    <w:rsid w:val="00BF5C85"/>
    <w:rsid w:val="00BF6124"/>
    <w:rsid w:val="00BF6BFC"/>
    <w:rsid w:val="00BF762C"/>
    <w:rsid w:val="00BF7D05"/>
    <w:rsid w:val="00C01689"/>
    <w:rsid w:val="00C0224D"/>
    <w:rsid w:val="00C025E6"/>
    <w:rsid w:val="00C033A3"/>
    <w:rsid w:val="00C04303"/>
    <w:rsid w:val="00C046AF"/>
    <w:rsid w:val="00C04BAE"/>
    <w:rsid w:val="00C04DC7"/>
    <w:rsid w:val="00C06A8F"/>
    <w:rsid w:val="00C07221"/>
    <w:rsid w:val="00C11576"/>
    <w:rsid w:val="00C117C0"/>
    <w:rsid w:val="00C129BF"/>
    <w:rsid w:val="00C13E02"/>
    <w:rsid w:val="00C13E43"/>
    <w:rsid w:val="00C1507B"/>
    <w:rsid w:val="00C15964"/>
    <w:rsid w:val="00C1756D"/>
    <w:rsid w:val="00C2008F"/>
    <w:rsid w:val="00C20CBA"/>
    <w:rsid w:val="00C211CA"/>
    <w:rsid w:val="00C22349"/>
    <w:rsid w:val="00C2366F"/>
    <w:rsid w:val="00C23A80"/>
    <w:rsid w:val="00C24AA5"/>
    <w:rsid w:val="00C24CE7"/>
    <w:rsid w:val="00C2500F"/>
    <w:rsid w:val="00C25E4F"/>
    <w:rsid w:val="00C26AD1"/>
    <w:rsid w:val="00C26F47"/>
    <w:rsid w:val="00C304C8"/>
    <w:rsid w:val="00C30BDB"/>
    <w:rsid w:val="00C31083"/>
    <w:rsid w:val="00C32AD7"/>
    <w:rsid w:val="00C32ADB"/>
    <w:rsid w:val="00C32C48"/>
    <w:rsid w:val="00C33F8B"/>
    <w:rsid w:val="00C3433E"/>
    <w:rsid w:val="00C34D16"/>
    <w:rsid w:val="00C3545D"/>
    <w:rsid w:val="00C35967"/>
    <w:rsid w:val="00C36201"/>
    <w:rsid w:val="00C36403"/>
    <w:rsid w:val="00C373D2"/>
    <w:rsid w:val="00C37571"/>
    <w:rsid w:val="00C37699"/>
    <w:rsid w:val="00C40E0B"/>
    <w:rsid w:val="00C435EF"/>
    <w:rsid w:val="00C439ED"/>
    <w:rsid w:val="00C44F2C"/>
    <w:rsid w:val="00C454F4"/>
    <w:rsid w:val="00C4636A"/>
    <w:rsid w:val="00C46998"/>
    <w:rsid w:val="00C47807"/>
    <w:rsid w:val="00C47DB5"/>
    <w:rsid w:val="00C500EB"/>
    <w:rsid w:val="00C511C4"/>
    <w:rsid w:val="00C557AB"/>
    <w:rsid w:val="00C55E4D"/>
    <w:rsid w:val="00C57277"/>
    <w:rsid w:val="00C60500"/>
    <w:rsid w:val="00C60A61"/>
    <w:rsid w:val="00C627A3"/>
    <w:rsid w:val="00C62D64"/>
    <w:rsid w:val="00C631CB"/>
    <w:rsid w:val="00C63936"/>
    <w:rsid w:val="00C63F08"/>
    <w:rsid w:val="00C64978"/>
    <w:rsid w:val="00C64FDF"/>
    <w:rsid w:val="00C65726"/>
    <w:rsid w:val="00C6679D"/>
    <w:rsid w:val="00C66CF4"/>
    <w:rsid w:val="00C67531"/>
    <w:rsid w:val="00C67792"/>
    <w:rsid w:val="00C70083"/>
    <w:rsid w:val="00C702D7"/>
    <w:rsid w:val="00C70D24"/>
    <w:rsid w:val="00C711F2"/>
    <w:rsid w:val="00C7132D"/>
    <w:rsid w:val="00C71C33"/>
    <w:rsid w:val="00C747BE"/>
    <w:rsid w:val="00C748A9"/>
    <w:rsid w:val="00C74B6F"/>
    <w:rsid w:val="00C75DC8"/>
    <w:rsid w:val="00C7652D"/>
    <w:rsid w:val="00C76F4C"/>
    <w:rsid w:val="00C77433"/>
    <w:rsid w:val="00C77A74"/>
    <w:rsid w:val="00C77EC5"/>
    <w:rsid w:val="00C80894"/>
    <w:rsid w:val="00C81AED"/>
    <w:rsid w:val="00C8221D"/>
    <w:rsid w:val="00C826C8"/>
    <w:rsid w:val="00C82A1A"/>
    <w:rsid w:val="00C82C30"/>
    <w:rsid w:val="00C82F46"/>
    <w:rsid w:val="00C835A6"/>
    <w:rsid w:val="00C86972"/>
    <w:rsid w:val="00C907E5"/>
    <w:rsid w:val="00C90BED"/>
    <w:rsid w:val="00C91213"/>
    <w:rsid w:val="00C91A80"/>
    <w:rsid w:val="00C92156"/>
    <w:rsid w:val="00C9216E"/>
    <w:rsid w:val="00C924E1"/>
    <w:rsid w:val="00C9259C"/>
    <w:rsid w:val="00C93ED5"/>
    <w:rsid w:val="00C94E82"/>
    <w:rsid w:val="00C94EC6"/>
    <w:rsid w:val="00C9577B"/>
    <w:rsid w:val="00C9791A"/>
    <w:rsid w:val="00CA0DD5"/>
    <w:rsid w:val="00CA0F56"/>
    <w:rsid w:val="00CA2909"/>
    <w:rsid w:val="00CA29F2"/>
    <w:rsid w:val="00CA3D21"/>
    <w:rsid w:val="00CA4EBE"/>
    <w:rsid w:val="00CA506F"/>
    <w:rsid w:val="00CA5369"/>
    <w:rsid w:val="00CA5F22"/>
    <w:rsid w:val="00CB0CA6"/>
    <w:rsid w:val="00CB19B8"/>
    <w:rsid w:val="00CB245C"/>
    <w:rsid w:val="00CB2944"/>
    <w:rsid w:val="00CB6123"/>
    <w:rsid w:val="00CB6F4C"/>
    <w:rsid w:val="00CC0214"/>
    <w:rsid w:val="00CC02B9"/>
    <w:rsid w:val="00CC137E"/>
    <w:rsid w:val="00CC1486"/>
    <w:rsid w:val="00CC26AE"/>
    <w:rsid w:val="00CC3AA3"/>
    <w:rsid w:val="00CC481E"/>
    <w:rsid w:val="00CC49C3"/>
    <w:rsid w:val="00CC4DA8"/>
    <w:rsid w:val="00CC4E7F"/>
    <w:rsid w:val="00CC5E34"/>
    <w:rsid w:val="00CC6030"/>
    <w:rsid w:val="00CC7009"/>
    <w:rsid w:val="00CD0E91"/>
    <w:rsid w:val="00CD14EC"/>
    <w:rsid w:val="00CD1D3B"/>
    <w:rsid w:val="00CD2A3B"/>
    <w:rsid w:val="00CD34B6"/>
    <w:rsid w:val="00CD3EED"/>
    <w:rsid w:val="00CD4798"/>
    <w:rsid w:val="00CD5097"/>
    <w:rsid w:val="00CD5C69"/>
    <w:rsid w:val="00CD788F"/>
    <w:rsid w:val="00CD7ACE"/>
    <w:rsid w:val="00CE0201"/>
    <w:rsid w:val="00CE1B0C"/>
    <w:rsid w:val="00CE38E5"/>
    <w:rsid w:val="00CE4B3A"/>
    <w:rsid w:val="00CE4D9D"/>
    <w:rsid w:val="00CE5412"/>
    <w:rsid w:val="00CE5D43"/>
    <w:rsid w:val="00CE617D"/>
    <w:rsid w:val="00CE66FA"/>
    <w:rsid w:val="00CE6C09"/>
    <w:rsid w:val="00CE7088"/>
    <w:rsid w:val="00CE736C"/>
    <w:rsid w:val="00CE7F38"/>
    <w:rsid w:val="00CF0DA8"/>
    <w:rsid w:val="00CF19D7"/>
    <w:rsid w:val="00CF20E9"/>
    <w:rsid w:val="00CF2446"/>
    <w:rsid w:val="00CF2ACE"/>
    <w:rsid w:val="00CF3164"/>
    <w:rsid w:val="00CF33A7"/>
    <w:rsid w:val="00CF38F6"/>
    <w:rsid w:val="00CF4012"/>
    <w:rsid w:val="00CF5861"/>
    <w:rsid w:val="00CF591C"/>
    <w:rsid w:val="00CF5AA6"/>
    <w:rsid w:val="00CF70D2"/>
    <w:rsid w:val="00CF7C6E"/>
    <w:rsid w:val="00CF7EE3"/>
    <w:rsid w:val="00D00324"/>
    <w:rsid w:val="00D00743"/>
    <w:rsid w:val="00D01526"/>
    <w:rsid w:val="00D01757"/>
    <w:rsid w:val="00D01ACA"/>
    <w:rsid w:val="00D027F2"/>
    <w:rsid w:val="00D0516A"/>
    <w:rsid w:val="00D0599B"/>
    <w:rsid w:val="00D11138"/>
    <w:rsid w:val="00D11AB2"/>
    <w:rsid w:val="00D11AE7"/>
    <w:rsid w:val="00D12C7B"/>
    <w:rsid w:val="00D13898"/>
    <w:rsid w:val="00D14A15"/>
    <w:rsid w:val="00D150CB"/>
    <w:rsid w:val="00D15119"/>
    <w:rsid w:val="00D1542B"/>
    <w:rsid w:val="00D16E2E"/>
    <w:rsid w:val="00D20A3A"/>
    <w:rsid w:val="00D20CED"/>
    <w:rsid w:val="00D222E0"/>
    <w:rsid w:val="00D2253A"/>
    <w:rsid w:val="00D22E60"/>
    <w:rsid w:val="00D232DB"/>
    <w:rsid w:val="00D235D2"/>
    <w:rsid w:val="00D235D8"/>
    <w:rsid w:val="00D265A7"/>
    <w:rsid w:val="00D268A4"/>
    <w:rsid w:val="00D2784F"/>
    <w:rsid w:val="00D31BB5"/>
    <w:rsid w:val="00D3251F"/>
    <w:rsid w:val="00D32676"/>
    <w:rsid w:val="00D3268E"/>
    <w:rsid w:val="00D32CBD"/>
    <w:rsid w:val="00D35ADF"/>
    <w:rsid w:val="00D40EB9"/>
    <w:rsid w:val="00D41B78"/>
    <w:rsid w:val="00D41DC1"/>
    <w:rsid w:val="00D42202"/>
    <w:rsid w:val="00D42FDD"/>
    <w:rsid w:val="00D43D4E"/>
    <w:rsid w:val="00D457AB"/>
    <w:rsid w:val="00D4590C"/>
    <w:rsid w:val="00D46E59"/>
    <w:rsid w:val="00D47293"/>
    <w:rsid w:val="00D477FD"/>
    <w:rsid w:val="00D4784F"/>
    <w:rsid w:val="00D50ECE"/>
    <w:rsid w:val="00D51FAC"/>
    <w:rsid w:val="00D55E86"/>
    <w:rsid w:val="00D56693"/>
    <w:rsid w:val="00D6069E"/>
    <w:rsid w:val="00D60C7E"/>
    <w:rsid w:val="00D62477"/>
    <w:rsid w:val="00D62618"/>
    <w:rsid w:val="00D62634"/>
    <w:rsid w:val="00D638E9"/>
    <w:rsid w:val="00D63D15"/>
    <w:rsid w:val="00D646CA"/>
    <w:rsid w:val="00D652DE"/>
    <w:rsid w:val="00D673F5"/>
    <w:rsid w:val="00D67B0C"/>
    <w:rsid w:val="00D67BCE"/>
    <w:rsid w:val="00D70779"/>
    <w:rsid w:val="00D714A7"/>
    <w:rsid w:val="00D7252E"/>
    <w:rsid w:val="00D72BCD"/>
    <w:rsid w:val="00D72D64"/>
    <w:rsid w:val="00D734D3"/>
    <w:rsid w:val="00D7375E"/>
    <w:rsid w:val="00D74B06"/>
    <w:rsid w:val="00D757A4"/>
    <w:rsid w:val="00D75F3A"/>
    <w:rsid w:val="00D7665A"/>
    <w:rsid w:val="00D76944"/>
    <w:rsid w:val="00D77088"/>
    <w:rsid w:val="00D77695"/>
    <w:rsid w:val="00D77B31"/>
    <w:rsid w:val="00D80420"/>
    <w:rsid w:val="00D826AE"/>
    <w:rsid w:val="00D836DC"/>
    <w:rsid w:val="00D859D2"/>
    <w:rsid w:val="00D85E01"/>
    <w:rsid w:val="00D8688A"/>
    <w:rsid w:val="00D86D5C"/>
    <w:rsid w:val="00D872F0"/>
    <w:rsid w:val="00D877A2"/>
    <w:rsid w:val="00D8792A"/>
    <w:rsid w:val="00D901C9"/>
    <w:rsid w:val="00D908A6"/>
    <w:rsid w:val="00D91550"/>
    <w:rsid w:val="00D915C2"/>
    <w:rsid w:val="00D91692"/>
    <w:rsid w:val="00D92C2D"/>
    <w:rsid w:val="00D938E9"/>
    <w:rsid w:val="00D95C04"/>
    <w:rsid w:val="00D95F75"/>
    <w:rsid w:val="00D966D1"/>
    <w:rsid w:val="00D969DE"/>
    <w:rsid w:val="00D97277"/>
    <w:rsid w:val="00D9783C"/>
    <w:rsid w:val="00DA0934"/>
    <w:rsid w:val="00DA4132"/>
    <w:rsid w:val="00DA6C32"/>
    <w:rsid w:val="00DA7AA9"/>
    <w:rsid w:val="00DA7DED"/>
    <w:rsid w:val="00DB1072"/>
    <w:rsid w:val="00DB29DA"/>
    <w:rsid w:val="00DB3E05"/>
    <w:rsid w:val="00DB5D0F"/>
    <w:rsid w:val="00DB6BA2"/>
    <w:rsid w:val="00DB71FE"/>
    <w:rsid w:val="00DB7A5B"/>
    <w:rsid w:val="00DB7B1A"/>
    <w:rsid w:val="00DC01AB"/>
    <w:rsid w:val="00DC01F2"/>
    <w:rsid w:val="00DC020E"/>
    <w:rsid w:val="00DC054D"/>
    <w:rsid w:val="00DC13B5"/>
    <w:rsid w:val="00DC1900"/>
    <w:rsid w:val="00DC1F55"/>
    <w:rsid w:val="00DC20AD"/>
    <w:rsid w:val="00DC2279"/>
    <w:rsid w:val="00DC2C0D"/>
    <w:rsid w:val="00DC2EB6"/>
    <w:rsid w:val="00DC7055"/>
    <w:rsid w:val="00DC7970"/>
    <w:rsid w:val="00DD022A"/>
    <w:rsid w:val="00DD11A1"/>
    <w:rsid w:val="00DD35EA"/>
    <w:rsid w:val="00DD3D30"/>
    <w:rsid w:val="00DD73BC"/>
    <w:rsid w:val="00DD78FD"/>
    <w:rsid w:val="00DD7B7B"/>
    <w:rsid w:val="00DE08EF"/>
    <w:rsid w:val="00DE128C"/>
    <w:rsid w:val="00DE20FC"/>
    <w:rsid w:val="00DE331C"/>
    <w:rsid w:val="00DE33D7"/>
    <w:rsid w:val="00DE36A9"/>
    <w:rsid w:val="00DE4CCC"/>
    <w:rsid w:val="00DE5FF2"/>
    <w:rsid w:val="00DE6783"/>
    <w:rsid w:val="00DF3870"/>
    <w:rsid w:val="00DF3923"/>
    <w:rsid w:val="00DF401D"/>
    <w:rsid w:val="00DF4362"/>
    <w:rsid w:val="00DF554B"/>
    <w:rsid w:val="00DF5FA2"/>
    <w:rsid w:val="00DF752E"/>
    <w:rsid w:val="00E00093"/>
    <w:rsid w:val="00E02C52"/>
    <w:rsid w:val="00E02EDB"/>
    <w:rsid w:val="00E03279"/>
    <w:rsid w:val="00E037A9"/>
    <w:rsid w:val="00E037F8"/>
    <w:rsid w:val="00E03BCF"/>
    <w:rsid w:val="00E03E9D"/>
    <w:rsid w:val="00E04BE9"/>
    <w:rsid w:val="00E05CAC"/>
    <w:rsid w:val="00E05E40"/>
    <w:rsid w:val="00E06502"/>
    <w:rsid w:val="00E06B75"/>
    <w:rsid w:val="00E0715C"/>
    <w:rsid w:val="00E0736D"/>
    <w:rsid w:val="00E10276"/>
    <w:rsid w:val="00E1120E"/>
    <w:rsid w:val="00E11DEF"/>
    <w:rsid w:val="00E12EBE"/>
    <w:rsid w:val="00E13181"/>
    <w:rsid w:val="00E13A4E"/>
    <w:rsid w:val="00E144B2"/>
    <w:rsid w:val="00E14A43"/>
    <w:rsid w:val="00E163C6"/>
    <w:rsid w:val="00E1692B"/>
    <w:rsid w:val="00E177C5"/>
    <w:rsid w:val="00E20708"/>
    <w:rsid w:val="00E213CD"/>
    <w:rsid w:val="00E2154C"/>
    <w:rsid w:val="00E217D7"/>
    <w:rsid w:val="00E232DC"/>
    <w:rsid w:val="00E234A8"/>
    <w:rsid w:val="00E2353B"/>
    <w:rsid w:val="00E23F5E"/>
    <w:rsid w:val="00E24233"/>
    <w:rsid w:val="00E24E60"/>
    <w:rsid w:val="00E26A82"/>
    <w:rsid w:val="00E30791"/>
    <w:rsid w:val="00E30A89"/>
    <w:rsid w:val="00E31493"/>
    <w:rsid w:val="00E31AFF"/>
    <w:rsid w:val="00E32033"/>
    <w:rsid w:val="00E3279E"/>
    <w:rsid w:val="00E32C3F"/>
    <w:rsid w:val="00E34891"/>
    <w:rsid w:val="00E34C4A"/>
    <w:rsid w:val="00E34F1C"/>
    <w:rsid w:val="00E3515D"/>
    <w:rsid w:val="00E357FD"/>
    <w:rsid w:val="00E35B00"/>
    <w:rsid w:val="00E3640D"/>
    <w:rsid w:val="00E364FD"/>
    <w:rsid w:val="00E3678B"/>
    <w:rsid w:val="00E36EBA"/>
    <w:rsid w:val="00E400A1"/>
    <w:rsid w:val="00E405B9"/>
    <w:rsid w:val="00E41033"/>
    <w:rsid w:val="00E41D98"/>
    <w:rsid w:val="00E41EBB"/>
    <w:rsid w:val="00E4266C"/>
    <w:rsid w:val="00E4274D"/>
    <w:rsid w:val="00E44F7C"/>
    <w:rsid w:val="00E45BC7"/>
    <w:rsid w:val="00E45F26"/>
    <w:rsid w:val="00E474FD"/>
    <w:rsid w:val="00E47569"/>
    <w:rsid w:val="00E477A3"/>
    <w:rsid w:val="00E479D4"/>
    <w:rsid w:val="00E47EE0"/>
    <w:rsid w:val="00E51613"/>
    <w:rsid w:val="00E51B19"/>
    <w:rsid w:val="00E51C72"/>
    <w:rsid w:val="00E530BA"/>
    <w:rsid w:val="00E53117"/>
    <w:rsid w:val="00E5377E"/>
    <w:rsid w:val="00E54050"/>
    <w:rsid w:val="00E54D4D"/>
    <w:rsid w:val="00E54E5B"/>
    <w:rsid w:val="00E54F61"/>
    <w:rsid w:val="00E5541C"/>
    <w:rsid w:val="00E5594A"/>
    <w:rsid w:val="00E55E8C"/>
    <w:rsid w:val="00E55E93"/>
    <w:rsid w:val="00E56588"/>
    <w:rsid w:val="00E57AB9"/>
    <w:rsid w:val="00E57CB5"/>
    <w:rsid w:val="00E61B05"/>
    <w:rsid w:val="00E634D4"/>
    <w:rsid w:val="00E64439"/>
    <w:rsid w:val="00E64483"/>
    <w:rsid w:val="00E64613"/>
    <w:rsid w:val="00E656EC"/>
    <w:rsid w:val="00E660F5"/>
    <w:rsid w:val="00E67E8E"/>
    <w:rsid w:val="00E67F0B"/>
    <w:rsid w:val="00E70384"/>
    <w:rsid w:val="00E70599"/>
    <w:rsid w:val="00E70807"/>
    <w:rsid w:val="00E7264F"/>
    <w:rsid w:val="00E7520E"/>
    <w:rsid w:val="00E754B7"/>
    <w:rsid w:val="00E760EA"/>
    <w:rsid w:val="00E76428"/>
    <w:rsid w:val="00E764BB"/>
    <w:rsid w:val="00E76F51"/>
    <w:rsid w:val="00E776E2"/>
    <w:rsid w:val="00E826EF"/>
    <w:rsid w:val="00E82991"/>
    <w:rsid w:val="00E83F41"/>
    <w:rsid w:val="00E84400"/>
    <w:rsid w:val="00E859DC"/>
    <w:rsid w:val="00E865CC"/>
    <w:rsid w:val="00E87696"/>
    <w:rsid w:val="00E87A6A"/>
    <w:rsid w:val="00E87AED"/>
    <w:rsid w:val="00E9068D"/>
    <w:rsid w:val="00E909A9"/>
    <w:rsid w:val="00E90CCA"/>
    <w:rsid w:val="00E90CD6"/>
    <w:rsid w:val="00E90D96"/>
    <w:rsid w:val="00E90F7E"/>
    <w:rsid w:val="00E9114B"/>
    <w:rsid w:val="00E91D27"/>
    <w:rsid w:val="00E926F3"/>
    <w:rsid w:val="00E933D8"/>
    <w:rsid w:val="00E94268"/>
    <w:rsid w:val="00E94DA1"/>
    <w:rsid w:val="00E9511D"/>
    <w:rsid w:val="00E9531F"/>
    <w:rsid w:val="00E9556D"/>
    <w:rsid w:val="00E975FA"/>
    <w:rsid w:val="00E97944"/>
    <w:rsid w:val="00EA110D"/>
    <w:rsid w:val="00EA150C"/>
    <w:rsid w:val="00EA1D1A"/>
    <w:rsid w:val="00EA23B5"/>
    <w:rsid w:val="00EA2EA9"/>
    <w:rsid w:val="00EA33F9"/>
    <w:rsid w:val="00EA3406"/>
    <w:rsid w:val="00EA378F"/>
    <w:rsid w:val="00EA3891"/>
    <w:rsid w:val="00EA3F9B"/>
    <w:rsid w:val="00EA6B2E"/>
    <w:rsid w:val="00EA6D1D"/>
    <w:rsid w:val="00EA7824"/>
    <w:rsid w:val="00EB03BB"/>
    <w:rsid w:val="00EB28B5"/>
    <w:rsid w:val="00EB2D22"/>
    <w:rsid w:val="00EB333E"/>
    <w:rsid w:val="00EB5A5A"/>
    <w:rsid w:val="00EB5B71"/>
    <w:rsid w:val="00EB60BB"/>
    <w:rsid w:val="00EB6A50"/>
    <w:rsid w:val="00EB6AFD"/>
    <w:rsid w:val="00EB7447"/>
    <w:rsid w:val="00EB7741"/>
    <w:rsid w:val="00EB7A76"/>
    <w:rsid w:val="00EC0F95"/>
    <w:rsid w:val="00EC1EEA"/>
    <w:rsid w:val="00EC326B"/>
    <w:rsid w:val="00EC34A8"/>
    <w:rsid w:val="00EC3FBB"/>
    <w:rsid w:val="00EC51D5"/>
    <w:rsid w:val="00EC5265"/>
    <w:rsid w:val="00EC5E31"/>
    <w:rsid w:val="00EC6873"/>
    <w:rsid w:val="00EC714F"/>
    <w:rsid w:val="00EC7FD9"/>
    <w:rsid w:val="00ED0E62"/>
    <w:rsid w:val="00ED18DA"/>
    <w:rsid w:val="00ED2435"/>
    <w:rsid w:val="00ED3B93"/>
    <w:rsid w:val="00ED4E06"/>
    <w:rsid w:val="00ED4F30"/>
    <w:rsid w:val="00ED6EAD"/>
    <w:rsid w:val="00ED7B4A"/>
    <w:rsid w:val="00ED7C08"/>
    <w:rsid w:val="00EE26F2"/>
    <w:rsid w:val="00EE2CC4"/>
    <w:rsid w:val="00EE32FB"/>
    <w:rsid w:val="00EE364A"/>
    <w:rsid w:val="00EE3996"/>
    <w:rsid w:val="00EE3E29"/>
    <w:rsid w:val="00EE42DD"/>
    <w:rsid w:val="00EE4C23"/>
    <w:rsid w:val="00EE510E"/>
    <w:rsid w:val="00EE5187"/>
    <w:rsid w:val="00EE5C3A"/>
    <w:rsid w:val="00EE6DDF"/>
    <w:rsid w:val="00EE70EE"/>
    <w:rsid w:val="00EE7755"/>
    <w:rsid w:val="00EE7D7A"/>
    <w:rsid w:val="00EF150C"/>
    <w:rsid w:val="00EF29B6"/>
    <w:rsid w:val="00EF2CF7"/>
    <w:rsid w:val="00EF3C7F"/>
    <w:rsid w:val="00EF5719"/>
    <w:rsid w:val="00EF5D00"/>
    <w:rsid w:val="00EF6C1C"/>
    <w:rsid w:val="00EF6D8E"/>
    <w:rsid w:val="00EF7A67"/>
    <w:rsid w:val="00F00900"/>
    <w:rsid w:val="00F01FDE"/>
    <w:rsid w:val="00F0239B"/>
    <w:rsid w:val="00F02B1A"/>
    <w:rsid w:val="00F03B2F"/>
    <w:rsid w:val="00F055F7"/>
    <w:rsid w:val="00F05D5B"/>
    <w:rsid w:val="00F064A7"/>
    <w:rsid w:val="00F06746"/>
    <w:rsid w:val="00F068F1"/>
    <w:rsid w:val="00F06CF3"/>
    <w:rsid w:val="00F07464"/>
    <w:rsid w:val="00F0795D"/>
    <w:rsid w:val="00F100F2"/>
    <w:rsid w:val="00F10CA8"/>
    <w:rsid w:val="00F147F8"/>
    <w:rsid w:val="00F14CD7"/>
    <w:rsid w:val="00F1578F"/>
    <w:rsid w:val="00F16A62"/>
    <w:rsid w:val="00F1756B"/>
    <w:rsid w:val="00F17BB4"/>
    <w:rsid w:val="00F17F11"/>
    <w:rsid w:val="00F203FE"/>
    <w:rsid w:val="00F20875"/>
    <w:rsid w:val="00F209A2"/>
    <w:rsid w:val="00F215A5"/>
    <w:rsid w:val="00F21CD8"/>
    <w:rsid w:val="00F23404"/>
    <w:rsid w:val="00F247F5"/>
    <w:rsid w:val="00F2484D"/>
    <w:rsid w:val="00F25031"/>
    <w:rsid w:val="00F256FC"/>
    <w:rsid w:val="00F25CEB"/>
    <w:rsid w:val="00F25D90"/>
    <w:rsid w:val="00F27292"/>
    <w:rsid w:val="00F274E1"/>
    <w:rsid w:val="00F27711"/>
    <w:rsid w:val="00F27879"/>
    <w:rsid w:val="00F27A19"/>
    <w:rsid w:val="00F30FDF"/>
    <w:rsid w:val="00F31B8A"/>
    <w:rsid w:val="00F329CC"/>
    <w:rsid w:val="00F32FA7"/>
    <w:rsid w:val="00F330ED"/>
    <w:rsid w:val="00F33AA3"/>
    <w:rsid w:val="00F359F6"/>
    <w:rsid w:val="00F37019"/>
    <w:rsid w:val="00F40254"/>
    <w:rsid w:val="00F439C2"/>
    <w:rsid w:val="00F44062"/>
    <w:rsid w:val="00F4426A"/>
    <w:rsid w:val="00F44D2C"/>
    <w:rsid w:val="00F4532E"/>
    <w:rsid w:val="00F457D4"/>
    <w:rsid w:val="00F457E5"/>
    <w:rsid w:val="00F46CBC"/>
    <w:rsid w:val="00F47739"/>
    <w:rsid w:val="00F47CD8"/>
    <w:rsid w:val="00F527D9"/>
    <w:rsid w:val="00F52FC7"/>
    <w:rsid w:val="00F544DA"/>
    <w:rsid w:val="00F54811"/>
    <w:rsid w:val="00F549B6"/>
    <w:rsid w:val="00F55702"/>
    <w:rsid w:val="00F56EBC"/>
    <w:rsid w:val="00F57D0F"/>
    <w:rsid w:val="00F57F77"/>
    <w:rsid w:val="00F6007C"/>
    <w:rsid w:val="00F61EBE"/>
    <w:rsid w:val="00F639A2"/>
    <w:rsid w:val="00F648B3"/>
    <w:rsid w:val="00F65C8B"/>
    <w:rsid w:val="00F65F46"/>
    <w:rsid w:val="00F66985"/>
    <w:rsid w:val="00F710A0"/>
    <w:rsid w:val="00F716C1"/>
    <w:rsid w:val="00F71E2A"/>
    <w:rsid w:val="00F73576"/>
    <w:rsid w:val="00F73D7A"/>
    <w:rsid w:val="00F74A44"/>
    <w:rsid w:val="00F74B72"/>
    <w:rsid w:val="00F750C1"/>
    <w:rsid w:val="00F75829"/>
    <w:rsid w:val="00F768DF"/>
    <w:rsid w:val="00F7778C"/>
    <w:rsid w:val="00F805E7"/>
    <w:rsid w:val="00F81366"/>
    <w:rsid w:val="00F813FD"/>
    <w:rsid w:val="00F81D0D"/>
    <w:rsid w:val="00F82932"/>
    <w:rsid w:val="00F84036"/>
    <w:rsid w:val="00F8496F"/>
    <w:rsid w:val="00F84A12"/>
    <w:rsid w:val="00F85161"/>
    <w:rsid w:val="00F85328"/>
    <w:rsid w:val="00F87B2B"/>
    <w:rsid w:val="00F90681"/>
    <w:rsid w:val="00F90D18"/>
    <w:rsid w:val="00F90E65"/>
    <w:rsid w:val="00F91688"/>
    <w:rsid w:val="00F91E97"/>
    <w:rsid w:val="00F91FDA"/>
    <w:rsid w:val="00F930F2"/>
    <w:rsid w:val="00F9439B"/>
    <w:rsid w:val="00F9469D"/>
    <w:rsid w:val="00F946DF"/>
    <w:rsid w:val="00F94A61"/>
    <w:rsid w:val="00F952A4"/>
    <w:rsid w:val="00F95ADE"/>
    <w:rsid w:val="00F96B63"/>
    <w:rsid w:val="00F96DCD"/>
    <w:rsid w:val="00F97EFC"/>
    <w:rsid w:val="00FA0902"/>
    <w:rsid w:val="00FA0994"/>
    <w:rsid w:val="00FA1F98"/>
    <w:rsid w:val="00FA3D83"/>
    <w:rsid w:val="00FA4B9B"/>
    <w:rsid w:val="00FA563B"/>
    <w:rsid w:val="00FA5887"/>
    <w:rsid w:val="00FA5BC6"/>
    <w:rsid w:val="00FA5E64"/>
    <w:rsid w:val="00FA6343"/>
    <w:rsid w:val="00FA63D5"/>
    <w:rsid w:val="00FA67EC"/>
    <w:rsid w:val="00FA75F0"/>
    <w:rsid w:val="00FA7698"/>
    <w:rsid w:val="00FB007E"/>
    <w:rsid w:val="00FB0579"/>
    <w:rsid w:val="00FB08DD"/>
    <w:rsid w:val="00FB0917"/>
    <w:rsid w:val="00FB1547"/>
    <w:rsid w:val="00FB52AC"/>
    <w:rsid w:val="00FB55B7"/>
    <w:rsid w:val="00FB56A0"/>
    <w:rsid w:val="00FB5C4F"/>
    <w:rsid w:val="00FB5D1C"/>
    <w:rsid w:val="00FB631D"/>
    <w:rsid w:val="00FB6B14"/>
    <w:rsid w:val="00FB7002"/>
    <w:rsid w:val="00FB7A9A"/>
    <w:rsid w:val="00FC05BC"/>
    <w:rsid w:val="00FC0A13"/>
    <w:rsid w:val="00FC112B"/>
    <w:rsid w:val="00FC1A06"/>
    <w:rsid w:val="00FC2D49"/>
    <w:rsid w:val="00FC321A"/>
    <w:rsid w:val="00FC4404"/>
    <w:rsid w:val="00FC45C5"/>
    <w:rsid w:val="00FC4BB0"/>
    <w:rsid w:val="00FC4BDF"/>
    <w:rsid w:val="00FC50C5"/>
    <w:rsid w:val="00FC52D4"/>
    <w:rsid w:val="00FC53A0"/>
    <w:rsid w:val="00FC55C2"/>
    <w:rsid w:val="00FC590B"/>
    <w:rsid w:val="00FC5BC0"/>
    <w:rsid w:val="00FC6DAB"/>
    <w:rsid w:val="00FC7F6D"/>
    <w:rsid w:val="00FD0C0C"/>
    <w:rsid w:val="00FD16FB"/>
    <w:rsid w:val="00FD19C3"/>
    <w:rsid w:val="00FD1B3F"/>
    <w:rsid w:val="00FD3ACA"/>
    <w:rsid w:val="00FD3E7F"/>
    <w:rsid w:val="00FD3E91"/>
    <w:rsid w:val="00FD4EA7"/>
    <w:rsid w:val="00FD54A6"/>
    <w:rsid w:val="00FD5545"/>
    <w:rsid w:val="00FD662C"/>
    <w:rsid w:val="00FE016B"/>
    <w:rsid w:val="00FE065B"/>
    <w:rsid w:val="00FE084F"/>
    <w:rsid w:val="00FE118A"/>
    <w:rsid w:val="00FE16D4"/>
    <w:rsid w:val="00FE1FDC"/>
    <w:rsid w:val="00FE27AA"/>
    <w:rsid w:val="00FE3B11"/>
    <w:rsid w:val="00FE4895"/>
    <w:rsid w:val="00FE4CAD"/>
    <w:rsid w:val="00FE523D"/>
    <w:rsid w:val="00FE5651"/>
    <w:rsid w:val="00FE6229"/>
    <w:rsid w:val="00FF0238"/>
    <w:rsid w:val="00FF04D8"/>
    <w:rsid w:val="00FF0D3D"/>
    <w:rsid w:val="00FF18AC"/>
    <w:rsid w:val="00FF304B"/>
    <w:rsid w:val="00FF3C47"/>
    <w:rsid w:val="00FF3F3B"/>
    <w:rsid w:val="00FF4B50"/>
    <w:rsid w:val="00FF59DA"/>
    <w:rsid w:val="00FF6AA2"/>
    <w:rsid w:val="00FF6D0A"/>
    <w:rsid w:val="00FF7D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EC887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D5D"/>
  </w:style>
  <w:style w:type="paragraph" w:styleId="Heading1">
    <w:name w:val="heading 1"/>
    <w:basedOn w:val="Normal"/>
    <w:link w:val="Heading1Char"/>
    <w:uiPriority w:val="9"/>
    <w:qFormat/>
    <w:rsid w:val="004E0FD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85D5D"/>
    <w:pPr>
      <w:tabs>
        <w:tab w:val="center" w:pos="4320"/>
        <w:tab w:val="right" w:pos="8640"/>
      </w:tabs>
    </w:pPr>
  </w:style>
  <w:style w:type="character" w:customStyle="1" w:styleId="FooterChar">
    <w:name w:val="Footer Char"/>
    <w:basedOn w:val="DefaultParagraphFont"/>
    <w:link w:val="Footer"/>
    <w:uiPriority w:val="99"/>
    <w:rsid w:val="00685D5D"/>
  </w:style>
  <w:style w:type="character" w:styleId="PageNumber">
    <w:name w:val="page number"/>
    <w:basedOn w:val="DefaultParagraphFont"/>
    <w:uiPriority w:val="99"/>
    <w:semiHidden/>
    <w:unhideWhenUsed/>
    <w:rsid w:val="00685D5D"/>
  </w:style>
  <w:style w:type="paragraph" w:styleId="Header">
    <w:name w:val="header"/>
    <w:basedOn w:val="Normal"/>
    <w:link w:val="HeaderChar"/>
    <w:uiPriority w:val="99"/>
    <w:unhideWhenUsed/>
    <w:rsid w:val="00685D5D"/>
    <w:pPr>
      <w:tabs>
        <w:tab w:val="center" w:pos="4320"/>
        <w:tab w:val="right" w:pos="8640"/>
      </w:tabs>
    </w:pPr>
  </w:style>
  <w:style w:type="character" w:customStyle="1" w:styleId="HeaderChar">
    <w:name w:val="Header Char"/>
    <w:basedOn w:val="DefaultParagraphFont"/>
    <w:link w:val="Header"/>
    <w:uiPriority w:val="99"/>
    <w:rsid w:val="00685D5D"/>
  </w:style>
  <w:style w:type="paragraph" w:customStyle="1" w:styleId="EndNoteBibliographyTitle">
    <w:name w:val="EndNote Bibliography Title"/>
    <w:basedOn w:val="Normal"/>
    <w:rsid w:val="00685D5D"/>
    <w:pPr>
      <w:jc w:val="center"/>
    </w:pPr>
  </w:style>
  <w:style w:type="paragraph" w:customStyle="1" w:styleId="EndNoteBibliography">
    <w:name w:val="EndNote Bibliography"/>
    <w:basedOn w:val="Normal"/>
    <w:rsid w:val="00685D5D"/>
    <w:pPr>
      <w:spacing w:line="480" w:lineRule="auto"/>
    </w:pPr>
  </w:style>
  <w:style w:type="paragraph" w:styleId="NormalWeb">
    <w:name w:val="Normal (Web)"/>
    <w:basedOn w:val="Normal"/>
    <w:uiPriority w:val="99"/>
    <w:semiHidden/>
    <w:unhideWhenUsed/>
    <w:rsid w:val="00685D5D"/>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685D5D"/>
    <w:rPr>
      <w:rFonts w:ascii="Lucida Grande" w:hAnsi="Lucida Grande"/>
      <w:sz w:val="18"/>
      <w:szCs w:val="18"/>
    </w:rPr>
  </w:style>
  <w:style w:type="character" w:customStyle="1" w:styleId="BalloonTextChar">
    <w:name w:val="Balloon Text Char"/>
    <w:basedOn w:val="DefaultParagraphFont"/>
    <w:link w:val="BalloonText"/>
    <w:uiPriority w:val="99"/>
    <w:semiHidden/>
    <w:rsid w:val="00685D5D"/>
    <w:rPr>
      <w:rFonts w:ascii="Lucida Grande" w:hAnsi="Lucida Grande"/>
      <w:sz w:val="18"/>
      <w:szCs w:val="18"/>
    </w:rPr>
  </w:style>
  <w:style w:type="character" w:styleId="CommentReference">
    <w:name w:val="annotation reference"/>
    <w:basedOn w:val="DefaultParagraphFont"/>
    <w:uiPriority w:val="99"/>
    <w:semiHidden/>
    <w:unhideWhenUsed/>
    <w:rsid w:val="00685D5D"/>
    <w:rPr>
      <w:sz w:val="18"/>
      <w:szCs w:val="18"/>
    </w:rPr>
  </w:style>
  <w:style w:type="paragraph" w:styleId="CommentText">
    <w:name w:val="annotation text"/>
    <w:basedOn w:val="Normal"/>
    <w:link w:val="CommentTextChar"/>
    <w:uiPriority w:val="99"/>
    <w:semiHidden/>
    <w:unhideWhenUsed/>
    <w:rsid w:val="00685D5D"/>
  </w:style>
  <w:style w:type="character" w:customStyle="1" w:styleId="CommentTextChar">
    <w:name w:val="Comment Text Char"/>
    <w:basedOn w:val="DefaultParagraphFont"/>
    <w:link w:val="CommentText"/>
    <w:uiPriority w:val="99"/>
    <w:semiHidden/>
    <w:rsid w:val="00685D5D"/>
  </w:style>
  <w:style w:type="paragraph" w:styleId="CommentSubject">
    <w:name w:val="annotation subject"/>
    <w:basedOn w:val="CommentText"/>
    <w:next w:val="CommentText"/>
    <w:link w:val="CommentSubjectChar"/>
    <w:uiPriority w:val="99"/>
    <w:semiHidden/>
    <w:unhideWhenUsed/>
    <w:rsid w:val="00685D5D"/>
    <w:rPr>
      <w:b/>
      <w:bCs/>
      <w:sz w:val="20"/>
      <w:szCs w:val="20"/>
    </w:rPr>
  </w:style>
  <w:style w:type="character" w:customStyle="1" w:styleId="CommentSubjectChar">
    <w:name w:val="Comment Subject Char"/>
    <w:basedOn w:val="CommentTextChar"/>
    <w:link w:val="CommentSubject"/>
    <w:uiPriority w:val="99"/>
    <w:semiHidden/>
    <w:rsid w:val="00685D5D"/>
    <w:rPr>
      <w:b/>
      <w:bCs/>
      <w:sz w:val="20"/>
      <w:szCs w:val="20"/>
    </w:rPr>
  </w:style>
  <w:style w:type="paragraph" w:styleId="Revision">
    <w:name w:val="Revision"/>
    <w:hidden/>
    <w:uiPriority w:val="99"/>
    <w:semiHidden/>
    <w:rsid w:val="00685D5D"/>
  </w:style>
  <w:style w:type="character" w:styleId="Hyperlink">
    <w:name w:val="Hyperlink"/>
    <w:basedOn w:val="DefaultParagraphFont"/>
    <w:uiPriority w:val="99"/>
    <w:unhideWhenUsed/>
    <w:rsid w:val="00685D5D"/>
    <w:rPr>
      <w:color w:val="0000FF" w:themeColor="hyperlink"/>
      <w:u w:val="single"/>
    </w:rPr>
  </w:style>
  <w:style w:type="character" w:customStyle="1" w:styleId="Style">
    <w:name w:val="Style"/>
    <w:uiPriority w:val="99"/>
    <w:rsid w:val="00685D5D"/>
    <w:rPr>
      <w:rFonts w:ascii="Times New Roman" w:hAnsi="Times New Roman"/>
      <w:sz w:val="28"/>
    </w:rPr>
  </w:style>
  <w:style w:type="character" w:styleId="FollowedHyperlink">
    <w:name w:val="FollowedHyperlink"/>
    <w:basedOn w:val="DefaultParagraphFont"/>
    <w:uiPriority w:val="99"/>
    <w:semiHidden/>
    <w:unhideWhenUsed/>
    <w:rsid w:val="00685D5D"/>
    <w:rPr>
      <w:color w:val="800080" w:themeColor="followedHyperlink"/>
      <w:u w:val="single"/>
    </w:rPr>
  </w:style>
  <w:style w:type="character" w:customStyle="1" w:styleId="apple-style-span">
    <w:name w:val="apple-style-span"/>
    <w:basedOn w:val="DefaultParagraphFont"/>
    <w:uiPriority w:val="99"/>
    <w:rsid w:val="00685D5D"/>
  </w:style>
  <w:style w:type="table" w:styleId="TableGrid">
    <w:name w:val="Table Grid"/>
    <w:basedOn w:val="TableNormal"/>
    <w:uiPriority w:val="59"/>
    <w:rsid w:val="0068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85D5D"/>
    <w:pPr>
      <w:ind w:left="720"/>
      <w:contextualSpacing/>
    </w:pPr>
  </w:style>
  <w:style w:type="character" w:customStyle="1" w:styleId="Heading1Char">
    <w:name w:val="Heading 1 Char"/>
    <w:basedOn w:val="DefaultParagraphFont"/>
    <w:link w:val="Heading1"/>
    <w:uiPriority w:val="9"/>
    <w:rsid w:val="004E0FDF"/>
    <w:rPr>
      <w:rFonts w:ascii="Times" w:hAnsi="Times"/>
      <w:b/>
      <w:bCs/>
      <w:kern w:val="36"/>
      <w:sz w:val="48"/>
      <w:szCs w:val="48"/>
    </w:rPr>
  </w:style>
  <w:style w:type="character" w:customStyle="1" w:styleId="apple-converted-space">
    <w:name w:val="apple-converted-space"/>
    <w:basedOn w:val="DefaultParagraphFont"/>
    <w:rsid w:val="00BE0A66"/>
  </w:style>
  <w:style w:type="character" w:customStyle="1" w:styleId="ref-journal">
    <w:name w:val="ref-journal"/>
    <w:basedOn w:val="DefaultParagraphFont"/>
    <w:rsid w:val="00BE0A66"/>
  </w:style>
  <w:style w:type="character" w:customStyle="1" w:styleId="ref-vol">
    <w:name w:val="ref-vol"/>
    <w:basedOn w:val="DefaultParagraphFont"/>
    <w:rsid w:val="00BE0A66"/>
  </w:style>
  <w:style w:type="paragraph" w:styleId="NoSpacing">
    <w:name w:val="No Spacing"/>
    <w:uiPriority w:val="1"/>
    <w:qFormat/>
    <w:rsid w:val="00E3279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79493">
      <w:bodyDiv w:val="1"/>
      <w:marLeft w:val="0"/>
      <w:marRight w:val="0"/>
      <w:marTop w:val="0"/>
      <w:marBottom w:val="0"/>
      <w:divBdr>
        <w:top w:val="none" w:sz="0" w:space="0" w:color="auto"/>
        <w:left w:val="none" w:sz="0" w:space="0" w:color="auto"/>
        <w:bottom w:val="none" w:sz="0" w:space="0" w:color="auto"/>
        <w:right w:val="none" w:sz="0" w:space="0" w:color="auto"/>
      </w:divBdr>
    </w:div>
    <w:div w:id="138691577">
      <w:bodyDiv w:val="1"/>
      <w:marLeft w:val="0"/>
      <w:marRight w:val="0"/>
      <w:marTop w:val="0"/>
      <w:marBottom w:val="0"/>
      <w:divBdr>
        <w:top w:val="none" w:sz="0" w:space="0" w:color="auto"/>
        <w:left w:val="none" w:sz="0" w:space="0" w:color="auto"/>
        <w:bottom w:val="none" w:sz="0" w:space="0" w:color="auto"/>
        <w:right w:val="none" w:sz="0" w:space="0" w:color="auto"/>
      </w:divBdr>
    </w:div>
    <w:div w:id="302270656">
      <w:bodyDiv w:val="1"/>
      <w:marLeft w:val="0"/>
      <w:marRight w:val="0"/>
      <w:marTop w:val="0"/>
      <w:marBottom w:val="0"/>
      <w:divBdr>
        <w:top w:val="none" w:sz="0" w:space="0" w:color="auto"/>
        <w:left w:val="none" w:sz="0" w:space="0" w:color="auto"/>
        <w:bottom w:val="none" w:sz="0" w:space="0" w:color="auto"/>
        <w:right w:val="none" w:sz="0" w:space="0" w:color="auto"/>
      </w:divBdr>
    </w:div>
    <w:div w:id="422183670">
      <w:bodyDiv w:val="1"/>
      <w:marLeft w:val="0"/>
      <w:marRight w:val="0"/>
      <w:marTop w:val="0"/>
      <w:marBottom w:val="0"/>
      <w:divBdr>
        <w:top w:val="none" w:sz="0" w:space="0" w:color="auto"/>
        <w:left w:val="none" w:sz="0" w:space="0" w:color="auto"/>
        <w:bottom w:val="none" w:sz="0" w:space="0" w:color="auto"/>
        <w:right w:val="none" w:sz="0" w:space="0" w:color="auto"/>
      </w:divBdr>
    </w:div>
    <w:div w:id="444542333">
      <w:bodyDiv w:val="1"/>
      <w:marLeft w:val="0"/>
      <w:marRight w:val="0"/>
      <w:marTop w:val="0"/>
      <w:marBottom w:val="0"/>
      <w:divBdr>
        <w:top w:val="none" w:sz="0" w:space="0" w:color="auto"/>
        <w:left w:val="none" w:sz="0" w:space="0" w:color="auto"/>
        <w:bottom w:val="none" w:sz="0" w:space="0" w:color="auto"/>
        <w:right w:val="none" w:sz="0" w:space="0" w:color="auto"/>
      </w:divBdr>
    </w:div>
    <w:div w:id="713694233">
      <w:bodyDiv w:val="1"/>
      <w:marLeft w:val="0"/>
      <w:marRight w:val="0"/>
      <w:marTop w:val="0"/>
      <w:marBottom w:val="0"/>
      <w:divBdr>
        <w:top w:val="none" w:sz="0" w:space="0" w:color="auto"/>
        <w:left w:val="none" w:sz="0" w:space="0" w:color="auto"/>
        <w:bottom w:val="none" w:sz="0" w:space="0" w:color="auto"/>
        <w:right w:val="none" w:sz="0" w:space="0" w:color="auto"/>
      </w:divBdr>
    </w:div>
    <w:div w:id="756024147">
      <w:bodyDiv w:val="1"/>
      <w:marLeft w:val="0"/>
      <w:marRight w:val="0"/>
      <w:marTop w:val="0"/>
      <w:marBottom w:val="0"/>
      <w:divBdr>
        <w:top w:val="none" w:sz="0" w:space="0" w:color="auto"/>
        <w:left w:val="none" w:sz="0" w:space="0" w:color="auto"/>
        <w:bottom w:val="none" w:sz="0" w:space="0" w:color="auto"/>
        <w:right w:val="none" w:sz="0" w:space="0" w:color="auto"/>
      </w:divBdr>
    </w:div>
    <w:div w:id="768427417">
      <w:bodyDiv w:val="1"/>
      <w:marLeft w:val="0"/>
      <w:marRight w:val="0"/>
      <w:marTop w:val="0"/>
      <w:marBottom w:val="0"/>
      <w:divBdr>
        <w:top w:val="none" w:sz="0" w:space="0" w:color="auto"/>
        <w:left w:val="none" w:sz="0" w:space="0" w:color="auto"/>
        <w:bottom w:val="none" w:sz="0" w:space="0" w:color="auto"/>
        <w:right w:val="none" w:sz="0" w:space="0" w:color="auto"/>
      </w:divBdr>
    </w:div>
    <w:div w:id="829830450">
      <w:bodyDiv w:val="1"/>
      <w:marLeft w:val="0"/>
      <w:marRight w:val="0"/>
      <w:marTop w:val="0"/>
      <w:marBottom w:val="0"/>
      <w:divBdr>
        <w:top w:val="none" w:sz="0" w:space="0" w:color="auto"/>
        <w:left w:val="none" w:sz="0" w:space="0" w:color="auto"/>
        <w:bottom w:val="none" w:sz="0" w:space="0" w:color="auto"/>
        <w:right w:val="none" w:sz="0" w:space="0" w:color="auto"/>
      </w:divBdr>
    </w:div>
    <w:div w:id="877816806">
      <w:bodyDiv w:val="1"/>
      <w:marLeft w:val="0"/>
      <w:marRight w:val="0"/>
      <w:marTop w:val="0"/>
      <w:marBottom w:val="0"/>
      <w:divBdr>
        <w:top w:val="none" w:sz="0" w:space="0" w:color="auto"/>
        <w:left w:val="none" w:sz="0" w:space="0" w:color="auto"/>
        <w:bottom w:val="none" w:sz="0" w:space="0" w:color="auto"/>
        <w:right w:val="none" w:sz="0" w:space="0" w:color="auto"/>
      </w:divBdr>
    </w:div>
    <w:div w:id="1079792596">
      <w:bodyDiv w:val="1"/>
      <w:marLeft w:val="0"/>
      <w:marRight w:val="0"/>
      <w:marTop w:val="0"/>
      <w:marBottom w:val="0"/>
      <w:divBdr>
        <w:top w:val="none" w:sz="0" w:space="0" w:color="auto"/>
        <w:left w:val="none" w:sz="0" w:space="0" w:color="auto"/>
        <w:bottom w:val="none" w:sz="0" w:space="0" w:color="auto"/>
        <w:right w:val="none" w:sz="0" w:space="0" w:color="auto"/>
      </w:divBdr>
    </w:div>
    <w:div w:id="1104349993">
      <w:bodyDiv w:val="1"/>
      <w:marLeft w:val="0"/>
      <w:marRight w:val="0"/>
      <w:marTop w:val="0"/>
      <w:marBottom w:val="0"/>
      <w:divBdr>
        <w:top w:val="none" w:sz="0" w:space="0" w:color="auto"/>
        <w:left w:val="none" w:sz="0" w:space="0" w:color="auto"/>
        <w:bottom w:val="none" w:sz="0" w:space="0" w:color="auto"/>
        <w:right w:val="none" w:sz="0" w:space="0" w:color="auto"/>
      </w:divBdr>
    </w:div>
    <w:div w:id="1304391629">
      <w:bodyDiv w:val="1"/>
      <w:marLeft w:val="0"/>
      <w:marRight w:val="0"/>
      <w:marTop w:val="0"/>
      <w:marBottom w:val="0"/>
      <w:divBdr>
        <w:top w:val="none" w:sz="0" w:space="0" w:color="auto"/>
        <w:left w:val="none" w:sz="0" w:space="0" w:color="auto"/>
        <w:bottom w:val="none" w:sz="0" w:space="0" w:color="auto"/>
        <w:right w:val="none" w:sz="0" w:space="0" w:color="auto"/>
      </w:divBdr>
      <w:divsChild>
        <w:div w:id="1510678207">
          <w:marLeft w:val="0"/>
          <w:marRight w:val="0"/>
          <w:marTop w:val="0"/>
          <w:marBottom w:val="0"/>
          <w:divBdr>
            <w:top w:val="none" w:sz="0" w:space="0" w:color="auto"/>
            <w:left w:val="none" w:sz="0" w:space="0" w:color="auto"/>
            <w:bottom w:val="none" w:sz="0" w:space="0" w:color="auto"/>
            <w:right w:val="none" w:sz="0" w:space="0" w:color="auto"/>
          </w:divBdr>
        </w:div>
        <w:div w:id="152262852">
          <w:marLeft w:val="0"/>
          <w:marRight w:val="0"/>
          <w:marTop w:val="0"/>
          <w:marBottom w:val="0"/>
          <w:divBdr>
            <w:top w:val="none" w:sz="0" w:space="0" w:color="auto"/>
            <w:left w:val="none" w:sz="0" w:space="0" w:color="auto"/>
            <w:bottom w:val="none" w:sz="0" w:space="0" w:color="auto"/>
            <w:right w:val="none" w:sz="0" w:space="0" w:color="auto"/>
          </w:divBdr>
        </w:div>
        <w:div w:id="813999">
          <w:marLeft w:val="0"/>
          <w:marRight w:val="0"/>
          <w:marTop w:val="0"/>
          <w:marBottom w:val="0"/>
          <w:divBdr>
            <w:top w:val="none" w:sz="0" w:space="0" w:color="auto"/>
            <w:left w:val="none" w:sz="0" w:space="0" w:color="auto"/>
            <w:bottom w:val="none" w:sz="0" w:space="0" w:color="auto"/>
            <w:right w:val="none" w:sz="0" w:space="0" w:color="auto"/>
          </w:divBdr>
        </w:div>
      </w:divsChild>
    </w:div>
    <w:div w:id="1311442336">
      <w:bodyDiv w:val="1"/>
      <w:marLeft w:val="0"/>
      <w:marRight w:val="0"/>
      <w:marTop w:val="0"/>
      <w:marBottom w:val="0"/>
      <w:divBdr>
        <w:top w:val="none" w:sz="0" w:space="0" w:color="auto"/>
        <w:left w:val="none" w:sz="0" w:space="0" w:color="auto"/>
        <w:bottom w:val="none" w:sz="0" w:space="0" w:color="auto"/>
        <w:right w:val="none" w:sz="0" w:space="0" w:color="auto"/>
      </w:divBdr>
    </w:div>
    <w:div w:id="1347252579">
      <w:bodyDiv w:val="1"/>
      <w:marLeft w:val="0"/>
      <w:marRight w:val="0"/>
      <w:marTop w:val="0"/>
      <w:marBottom w:val="0"/>
      <w:divBdr>
        <w:top w:val="none" w:sz="0" w:space="0" w:color="auto"/>
        <w:left w:val="none" w:sz="0" w:space="0" w:color="auto"/>
        <w:bottom w:val="none" w:sz="0" w:space="0" w:color="auto"/>
        <w:right w:val="none" w:sz="0" w:space="0" w:color="auto"/>
      </w:divBdr>
    </w:div>
    <w:div w:id="1364090561">
      <w:bodyDiv w:val="1"/>
      <w:marLeft w:val="0"/>
      <w:marRight w:val="0"/>
      <w:marTop w:val="0"/>
      <w:marBottom w:val="0"/>
      <w:divBdr>
        <w:top w:val="none" w:sz="0" w:space="0" w:color="auto"/>
        <w:left w:val="none" w:sz="0" w:space="0" w:color="auto"/>
        <w:bottom w:val="none" w:sz="0" w:space="0" w:color="auto"/>
        <w:right w:val="none" w:sz="0" w:space="0" w:color="auto"/>
      </w:divBdr>
    </w:div>
    <w:div w:id="1549565291">
      <w:bodyDiv w:val="1"/>
      <w:marLeft w:val="0"/>
      <w:marRight w:val="0"/>
      <w:marTop w:val="0"/>
      <w:marBottom w:val="0"/>
      <w:divBdr>
        <w:top w:val="none" w:sz="0" w:space="0" w:color="auto"/>
        <w:left w:val="none" w:sz="0" w:space="0" w:color="auto"/>
        <w:bottom w:val="none" w:sz="0" w:space="0" w:color="auto"/>
        <w:right w:val="none" w:sz="0" w:space="0" w:color="auto"/>
      </w:divBdr>
    </w:div>
    <w:div w:id="1616910341">
      <w:bodyDiv w:val="1"/>
      <w:marLeft w:val="0"/>
      <w:marRight w:val="0"/>
      <w:marTop w:val="0"/>
      <w:marBottom w:val="0"/>
      <w:divBdr>
        <w:top w:val="none" w:sz="0" w:space="0" w:color="auto"/>
        <w:left w:val="none" w:sz="0" w:space="0" w:color="auto"/>
        <w:bottom w:val="none" w:sz="0" w:space="0" w:color="auto"/>
        <w:right w:val="none" w:sz="0" w:space="0" w:color="auto"/>
      </w:divBdr>
    </w:div>
    <w:div w:id="1689259950">
      <w:bodyDiv w:val="1"/>
      <w:marLeft w:val="0"/>
      <w:marRight w:val="0"/>
      <w:marTop w:val="0"/>
      <w:marBottom w:val="0"/>
      <w:divBdr>
        <w:top w:val="none" w:sz="0" w:space="0" w:color="auto"/>
        <w:left w:val="none" w:sz="0" w:space="0" w:color="auto"/>
        <w:bottom w:val="none" w:sz="0" w:space="0" w:color="auto"/>
        <w:right w:val="none" w:sz="0" w:space="0" w:color="auto"/>
      </w:divBdr>
    </w:div>
    <w:div w:id="1766264295">
      <w:bodyDiv w:val="1"/>
      <w:marLeft w:val="0"/>
      <w:marRight w:val="0"/>
      <w:marTop w:val="0"/>
      <w:marBottom w:val="0"/>
      <w:divBdr>
        <w:top w:val="none" w:sz="0" w:space="0" w:color="auto"/>
        <w:left w:val="none" w:sz="0" w:space="0" w:color="auto"/>
        <w:bottom w:val="none" w:sz="0" w:space="0" w:color="auto"/>
        <w:right w:val="none" w:sz="0" w:space="0" w:color="auto"/>
      </w:divBdr>
    </w:div>
    <w:div w:id="1803621325">
      <w:bodyDiv w:val="1"/>
      <w:marLeft w:val="0"/>
      <w:marRight w:val="0"/>
      <w:marTop w:val="0"/>
      <w:marBottom w:val="0"/>
      <w:divBdr>
        <w:top w:val="none" w:sz="0" w:space="0" w:color="auto"/>
        <w:left w:val="none" w:sz="0" w:space="0" w:color="auto"/>
        <w:bottom w:val="none" w:sz="0" w:space="0" w:color="auto"/>
        <w:right w:val="none" w:sz="0" w:space="0" w:color="auto"/>
      </w:divBdr>
    </w:div>
    <w:div w:id="1849439353">
      <w:bodyDiv w:val="1"/>
      <w:marLeft w:val="0"/>
      <w:marRight w:val="0"/>
      <w:marTop w:val="0"/>
      <w:marBottom w:val="0"/>
      <w:divBdr>
        <w:top w:val="none" w:sz="0" w:space="0" w:color="auto"/>
        <w:left w:val="none" w:sz="0" w:space="0" w:color="auto"/>
        <w:bottom w:val="none" w:sz="0" w:space="0" w:color="auto"/>
        <w:right w:val="none" w:sz="0" w:space="0" w:color="auto"/>
      </w:divBdr>
    </w:div>
    <w:div w:id="1927153985">
      <w:bodyDiv w:val="1"/>
      <w:marLeft w:val="0"/>
      <w:marRight w:val="0"/>
      <w:marTop w:val="0"/>
      <w:marBottom w:val="0"/>
      <w:divBdr>
        <w:top w:val="none" w:sz="0" w:space="0" w:color="auto"/>
        <w:left w:val="none" w:sz="0" w:space="0" w:color="auto"/>
        <w:bottom w:val="none" w:sz="0" w:space="0" w:color="auto"/>
        <w:right w:val="none" w:sz="0" w:space="0" w:color="auto"/>
      </w:divBdr>
    </w:div>
    <w:div w:id="2016032999">
      <w:bodyDiv w:val="1"/>
      <w:marLeft w:val="0"/>
      <w:marRight w:val="0"/>
      <w:marTop w:val="0"/>
      <w:marBottom w:val="0"/>
      <w:divBdr>
        <w:top w:val="none" w:sz="0" w:space="0" w:color="auto"/>
        <w:left w:val="none" w:sz="0" w:space="0" w:color="auto"/>
        <w:bottom w:val="none" w:sz="0" w:space="0" w:color="auto"/>
        <w:right w:val="none" w:sz="0" w:space="0" w:color="auto"/>
      </w:divBdr>
    </w:div>
    <w:div w:id="2034452262">
      <w:bodyDiv w:val="1"/>
      <w:marLeft w:val="0"/>
      <w:marRight w:val="0"/>
      <w:marTop w:val="0"/>
      <w:marBottom w:val="0"/>
      <w:divBdr>
        <w:top w:val="none" w:sz="0" w:space="0" w:color="auto"/>
        <w:left w:val="none" w:sz="0" w:space="0" w:color="auto"/>
        <w:bottom w:val="none" w:sz="0" w:space="0" w:color="auto"/>
        <w:right w:val="none" w:sz="0" w:space="0" w:color="auto"/>
      </w:divBdr>
    </w:div>
    <w:div w:id="20992063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40DB5-1088-F446-B346-3E130534F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6892</Words>
  <Characters>39285</Characters>
  <Application>Microsoft Macintosh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Riehm</dc:creator>
  <cp:keywords/>
  <dc:description/>
  <cp:lastModifiedBy>Lisa Jewett, Ms</cp:lastModifiedBy>
  <cp:revision>2</cp:revision>
  <cp:lastPrinted>2016-04-20T16:53:00Z</cp:lastPrinted>
  <dcterms:created xsi:type="dcterms:W3CDTF">2016-06-28T07:58:00Z</dcterms:created>
  <dcterms:modified xsi:type="dcterms:W3CDTF">2016-06-28T07:58:00Z</dcterms:modified>
</cp:coreProperties>
</file>