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4D862" w14:textId="64A4EEB8" w:rsidR="004A5F13" w:rsidRDefault="009E2627">
      <w:pPr>
        <w:wordWrap/>
        <w:spacing w:line="48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 </w:t>
      </w:r>
      <w:bookmarkStart w:id="0" w:name="_Hlk73566042"/>
      <w:r>
        <w:rPr>
          <w:rFonts w:ascii="Times New Roman" w:hAnsi="Times New Roman" w:cs="Times New Roman"/>
          <w:sz w:val="24"/>
          <w:szCs w:val="24"/>
        </w:rPr>
        <w:t xml:space="preserve">ANALYZING THE VARIATION OF </w:t>
      </w:r>
      <w:r w:rsidR="004760B8">
        <w:rPr>
          <w:rFonts w:ascii="Times New Roman" w:hAnsi="Times New Roman" w:cs="Times New Roman"/>
          <w:sz w:val="24"/>
          <w:szCs w:val="24"/>
        </w:rPr>
        <w:t xml:space="preserve">TRENDS AND </w:t>
      </w:r>
      <w:r>
        <w:rPr>
          <w:rFonts w:ascii="Times New Roman" w:hAnsi="Times New Roman" w:cs="Times New Roman"/>
          <w:sz w:val="24"/>
          <w:szCs w:val="24"/>
        </w:rPr>
        <w:t>PATTERNS BETWEEN CLIMATE AND LAND USE CHANGES IN THE KELANTAN RIVER BASIN, MALAYSIA</w:t>
      </w:r>
    </w:p>
    <w:bookmarkEnd w:id="0"/>
    <w:p w14:paraId="354DE472" w14:textId="77777777" w:rsidR="004A5F13" w:rsidRDefault="004A5F13">
      <w:pPr>
        <w:wordWrap/>
        <w:spacing w:line="480" w:lineRule="auto"/>
        <w:jc w:val="center"/>
        <w:outlineLvl w:val="0"/>
        <w:rPr>
          <w:rFonts w:ascii="Times New Roman" w:hAnsi="Times New Roman" w:cs="Times New Roman"/>
          <w:b/>
          <w:sz w:val="24"/>
          <w:szCs w:val="24"/>
        </w:rPr>
      </w:pPr>
    </w:p>
    <w:p w14:paraId="0841AFC7" w14:textId="77777777" w:rsidR="004A5F13" w:rsidRDefault="009E2627">
      <w:pPr>
        <w:wordWrap/>
        <w:spacing w:line="480" w:lineRule="auto"/>
        <w:jc w:val="center"/>
        <w:outlineLvl w:val="0"/>
        <w:rPr>
          <w:rFonts w:ascii="Times New Roman" w:hAnsi="Times New Roman" w:cs="Times New Roman"/>
          <w:sz w:val="24"/>
          <w:szCs w:val="24"/>
        </w:rPr>
      </w:pPr>
      <w:r>
        <w:rPr>
          <w:rFonts w:ascii="Times New Roman" w:hAnsi="Times New Roman" w:cs="Times New Roman"/>
          <w:sz w:val="24"/>
          <w:szCs w:val="24"/>
        </w:rPr>
        <w:t xml:space="preserve">Yi Lin Tew¹, </w:t>
      </w:r>
      <w:proofErr w:type="spellStart"/>
      <w:r>
        <w:rPr>
          <w:rFonts w:ascii="Times New Roman" w:hAnsi="Times New Roman" w:cs="Times New Roman"/>
          <w:sz w:val="24"/>
          <w:szCs w:val="24"/>
        </w:rPr>
        <w:t>Mou</w:t>
      </w:r>
      <w:proofErr w:type="spellEnd"/>
      <w:r>
        <w:rPr>
          <w:rFonts w:ascii="Times New Roman" w:hAnsi="Times New Roman" w:cs="Times New Roman"/>
          <w:sz w:val="24"/>
          <w:szCs w:val="24"/>
        </w:rPr>
        <w:t xml:space="preserve"> Leong Tan</w:t>
      </w:r>
      <w:r>
        <w:rPr>
          <w:rFonts w:ascii="Times New Roman" w:hAnsi="Times New Roman" w:cs="Times New Roman"/>
          <w:sz w:val="24"/>
          <w:szCs w:val="24"/>
          <w:vertAlign w:val="superscript"/>
        </w:rPr>
        <w:t>1*</w:t>
      </w:r>
      <w:r>
        <w:rPr>
          <w:rFonts w:ascii="Times New Roman" w:hAnsi="Times New Roman" w:cs="Times New Roman"/>
          <w:sz w:val="24"/>
          <w:szCs w:val="24"/>
        </w:rPr>
        <w:t>, Kwok Pan Chun</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Narimah</w:t>
      </w:r>
      <w:proofErr w:type="spellEnd"/>
      <w:r>
        <w:rPr>
          <w:rFonts w:ascii="Times New Roman" w:hAnsi="Times New Roman" w:cs="Times New Roman"/>
          <w:sz w:val="24"/>
          <w:szCs w:val="24"/>
        </w:rPr>
        <w:t xml:space="preserve"> Samat</w:t>
      </w:r>
      <w:r>
        <w:rPr>
          <w:rFonts w:ascii="Times New Roman" w:hAnsi="Times New Roman" w:cs="Times New Roman"/>
          <w:sz w:val="24"/>
          <w:szCs w:val="24"/>
          <w:vertAlign w:val="superscript"/>
        </w:rPr>
        <w:t>1</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Amirul Mahamud</w:t>
      </w:r>
      <w:r>
        <w:rPr>
          <w:rFonts w:ascii="Times New Roman" w:hAnsi="Times New Roman" w:cs="Times New Roman"/>
          <w:sz w:val="24"/>
          <w:szCs w:val="24"/>
          <w:vertAlign w:val="superscript"/>
        </w:rPr>
        <w:t>1</w:t>
      </w:r>
    </w:p>
    <w:p w14:paraId="5B0107E9" w14:textId="77777777" w:rsidR="004A5F13" w:rsidRDefault="004A5F13">
      <w:pPr>
        <w:wordWrap/>
        <w:spacing w:line="480" w:lineRule="auto"/>
        <w:jc w:val="center"/>
        <w:outlineLvl w:val="0"/>
        <w:rPr>
          <w:rFonts w:ascii="Times New Roman" w:hAnsi="Times New Roman" w:cs="Times New Roman"/>
          <w:b/>
          <w:sz w:val="24"/>
          <w:szCs w:val="24"/>
        </w:rPr>
      </w:pPr>
    </w:p>
    <w:p w14:paraId="51994C56" w14:textId="77777777" w:rsidR="004A5F13" w:rsidRDefault="009E2627">
      <w:pPr>
        <w:wordWrap/>
        <w:spacing w:line="480" w:lineRule="auto"/>
        <w:jc w:val="center"/>
        <w:outlineLvl w:val="0"/>
        <w:rPr>
          <w:rFonts w:ascii="Times New Roman" w:hAnsi="Times New Roman" w:cs="Times New Roman"/>
          <w:i/>
          <w:sz w:val="24"/>
          <w:szCs w:val="24"/>
        </w:rPr>
      </w:pPr>
      <w:r>
        <w:rPr>
          <w:rFonts w:ascii="Times New Roman" w:hAnsi="Times New Roman" w:cs="Times New Roman"/>
          <w:i/>
          <w:sz w:val="24"/>
          <w:szCs w:val="24"/>
          <w:vertAlign w:val="superscript"/>
        </w:rPr>
        <w:t>1</w:t>
      </w:r>
      <w:r>
        <w:rPr>
          <w:rFonts w:ascii="Times New Roman" w:hAnsi="Times New Roman" w:cs="Times New Roman"/>
          <w:i/>
          <w:sz w:val="24"/>
          <w:szCs w:val="24"/>
        </w:rPr>
        <w:t>Geoinformatic Unit, Geography Department, School of Humanities,</w:t>
      </w:r>
    </w:p>
    <w:p w14:paraId="01125F28" w14:textId="77777777" w:rsidR="004A5F13" w:rsidRDefault="009E2627">
      <w:pPr>
        <w:wordWrap/>
        <w:spacing w:line="480" w:lineRule="auto"/>
        <w:jc w:val="center"/>
        <w:outlineLvl w:val="0"/>
        <w:rPr>
          <w:rFonts w:ascii="Times New Roman" w:hAnsi="Times New Roman" w:cs="Times New Roman"/>
          <w:i/>
          <w:sz w:val="24"/>
          <w:szCs w:val="24"/>
        </w:rPr>
      </w:pPr>
      <w:proofErr w:type="spellStart"/>
      <w:r>
        <w:rPr>
          <w:rFonts w:ascii="Times New Roman" w:hAnsi="Times New Roman" w:cs="Times New Roman"/>
          <w:i/>
          <w:sz w:val="24"/>
          <w:szCs w:val="24"/>
        </w:rPr>
        <w:t>Universiti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Sains</w:t>
      </w:r>
      <w:proofErr w:type="spellEnd"/>
      <w:r>
        <w:rPr>
          <w:rFonts w:ascii="Times New Roman" w:hAnsi="Times New Roman" w:cs="Times New Roman"/>
          <w:i/>
          <w:sz w:val="24"/>
          <w:szCs w:val="24"/>
        </w:rPr>
        <w:t xml:space="preserve"> Malaysia, 11800 USM, </w:t>
      </w:r>
      <w:proofErr w:type="spellStart"/>
      <w:r>
        <w:rPr>
          <w:rFonts w:ascii="Times New Roman" w:hAnsi="Times New Roman" w:cs="Times New Roman"/>
          <w:i/>
          <w:sz w:val="24"/>
          <w:szCs w:val="24"/>
        </w:rPr>
        <w:t>Pulau</w:t>
      </w:r>
      <w:proofErr w:type="spellEnd"/>
      <w:r>
        <w:rPr>
          <w:rFonts w:ascii="Times New Roman" w:hAnsi="Times New Roman" w:cs="Times New Roman"/>
          <w:i/>
          <w:sz w:val="24"/>
          <w:szCs w:val="24"/>
        </w:rPr>
        <w:t xml:space="preserve"> Pinang, Malaysia</w:t>
      </w:r>
    </w:p>
    <w:p w14:paraId="38D921D3" w14:textId="77777777" w:rsidR="004A5F13" w:rsidRDefault="009E2627">
      <w:pPr>
        <w:wordWrap/>
        <w:spacing w:line="480" w:lineRule="auto"/>
        <w:jc w:val="center"/>
        <w:outlineLvl w:val="0"/>
        <w:rPr>
          <w:rFonts w:ascii="Times New Roman" w:hAnsi="Times New Roman" w:cs="Times New Roman"/>
          <w:i/>
          <w:sz w:val="24"/>
          <w:szCs w:val="24"/>
        </w:rPr>
      </w:pPr>
      <w:r>
        <w:rPr>
          <w:rFonts w:ascii="Times New Roman" w:hAnsi="Times New Roman" w:cs="Times New Roman"/>
          <w:i/>
          <w:sz w:val="24"/>
          <w:szCs w:val="24"/>
          <w:vertAlign w:val="superscript"/>
        </w:rPr>
        <w:t>2</w:t>
      </w:r>
      <w:r>
        <w:rPr>
          <w:rFonts w:ascii="Times New Roman" w:hAnsi="Times New Roman" w:cs="Times New Roman"/>
          <w:i/>
          <w:sz w:val="24"/>
          <w:szCs w:val="24"/>
        </w:rPr>
        <w:t>Department of Geography, Hong Kong Baptist University, Hong Kong, China</w:t>
      </w:r>
    </w:p>
    <w:p w14:paraId="7CF38081" w14:textId="77777777" w:rsidR="004A5F13" w:rsidRDefault="004A5F13">
      <w:pPr>
        <w:wordWrap/>
        <w:spacing w:line="480" w:lineRule="auto"/>
        <w:jc w:val="center"/>
        <w:outlineLvl w:val="0"/>
        <w:rPr>
          <w:rFonts w:ascii="Times New Roman" w:hAnsi="Times New Roman" w:cs="Times New Roman"/>
          <w:b/>
          <w:sz w:val="24"/>
          <w:szCs w:val="24"/>
        </w:rPr>
      </w:pPr>
    </w:p>
    <w:p w14:paraId="2495CCE7" w14:textId="77777777" w:rsidR="004A5F13" w:rsidRDefault="009E2627">
      <w:pPr>
        <w:wordWrap/>
        <w:spacing w:line="480" w:lineRule="auto"/>
        <w:jc w:val="center"/>
        <w:outlineLvl w:val="0"/>
        <w:rPr>
          <w:rFonts w:ascii="Times New Roman" w:hAnsi="Times New Roman" w:cs="Times New Roman"/>
          <w:i/>
          <w:sz w:val="24"/>
          <w:szCs w:val="24"/>
        </w:rPr>
      </w:pPr>
      <w:r>
        <w:rPr>
          <w:rFonts w:ascii="Times New Roman" w:hAnsi="Times New Roman" w:cs="Times New Roman"/>
          <w:i/>
          <w:sz w:val="24"/>
          <w:szCs w:val="24"/>
        </w:rPr>
        <w:t>*Corresponding author: mouleong@usm.my</w:t>
      </w:r>
    </w:p>
    <w:p w14:paraId="21E26D19" w14:textId="77777777" w:rsidR="004A5F13" w:rsidRDefault="004A5F13">
      <w:pPr>
        <w:wordWrap/>
        <w:spacing w:line="480" w:lineRule="auto"/>
        <w:jc w:val="center"/>
        <w:outlineLvl w:val="0"/>
        <w:rPr>
          <w:rFonts w:ascii="Times New Roman" w:hAnsi="Times New Roman" w:cs="Times New Roman"/>
          <w:b/>
          <w:sz w:val="24"/>
          <w:szCs w:val="24"/>
        </w:rPr>
      </w:pPr>
    </w:p>
    <w:p w14:paraId="06800DE2"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Abstract</w:t>
      </w:r>
    </w:p>
    <w:p w14:paraId="79A15A9C" w14:textId="07506CEB" w:rsidR="004A5F13" w:rsidRDefault="009E2627">
      <w:pPr>
        <w:wordWrap/>
        <w:spacing w:line="480" w:lineRule="auto"/>
        <w:outlineLvl w:val="0"/>
        <w:rPr>
          <w:rFonts w:ascii="Times New Roman" w:hAnsi="Times New Roman" w:cs="Times New Roman"/>
          <w:sz w:val="24"/>
          <w:szCs w:val="24"/>
        </w:rPr>
      </w:pPr>
      <w:bookmarkStart w:id="1" w:name="_Hlk64246822"/>
      <w:r>
        <w:rPr>
          <w:rFonts w:ascii="Times New Roman" w:hAnsi="Times New Roman" w:cs="Times New Roman"/>
          <w:sz w:val="24"/>
          <w:szCs w:val="24"/>
        </w:rPr>
        <w:t xml:space="preserve">Climate and land use land cover (LULC) are two major key drives affecting the hydrological cycle pattern within a river basin. This study aims (1) to evaluate the capability of the European Space Agency Climate Change Initiative land cover (ESA CCI LC) product in representing land use pattern in the Kelantan River Basin (KRB), Malaysia; (2) to analyze the changes of rainfall, maximum and minimum temperatures of the KRB from 1979 to 2018; and (3) to assess the relationships between climate and land use changes within KRB.  The results show that the ESA CCI LC product is applicable to represent LULC of the KRB, with an overall accuracy of </w:t>
      </w:r>
      <w:r w:rsidR="0085184D">
        <w:rPr>
          <w:rFonts w:ascii="Times New Roman" w:hAnsi="Times New Roman" w:cs="Times New Roman"/>
          <w:sz w:val="24"/>
          <w:szCs w:val="24"/>
        </w:rPr>
        <w:t>7</w:t>
      </w:r>
      <w:r w:rsidR="00036820">
        <w:rPr>
          <w:rFonts w:ascii="Times New Roman" w:hAnsi="Times New Roman" w:cs="Times New Roman"/>
          <w:sz w:val="24"/>
          <w:szCs w:val="24"/>
        </w:rPr>
        <w:t>4.72</w:t>
      </w:r>
      <w:r>
        <w:rPr>
          <w:rFonts w:ascii="Times New Roman" w:hAnsi="Times New Roman" w:cs="Times New Roman"/>
          <w:sz w:val="24"/>
          <w:szCs w:val="24"/>
        </w:rPr>
        <w:t xml:space="preserve">% and a Kappa coefficient of </w:t>
      </w:r>
      <w:r w:rsidR="00036820">
        <w:rPr>
          <w:rFonts w:ascii="Times New Roman" w:hAnsi="Times New Roman" w:cs="Times New Roman"/>
          <w:sz w:val="24"/>
          <w:szCs w:val="24"/>
        </w:rPr>
        <w:t>0.66</w:t>
      </w:r>
      <w:r>
        <w:rPr>
          <w:rFonts w:ascii="Times New Roman" w:hAnsi="Times New Roman" w:cs="Times New Roman"/>
          <w:sz w:val="24"/>
          <w:szCs w:val="24"/>
        </w:rPr>
        <w:t xml:space="preserve">. Trend analysis indicates that maximum and minimum temperatures of the KRB increased significantly at 95% confident level by 0.01 to 0.03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/year and 0.01 to 0.05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/year, respectively. </w:t>
      </w:r>
      <w:proofErr w:type="gramStart"/>
      <w:r>
        <w:rPr>
          <w:rFonts w:ascii="Times New Roman" w:hAnsi="Times New Roman" w:cs="Times New Roman"/>
          <w:sz w:val="24"/>
          <w:szCs w:val="24"/>
        </w:rPr>
        <w:t>Whereas,</w:t>
      </w:r>
      <w:proofErr w:type="gramEnd"/>
      <w:r>
        <w:rPr>
          <w:rFonts w:ascii="Times New Roman" w:hAnsi="Times New Roman" w:cs="Times New Roman"/>
          <w:sz w:val="24"/>
          <w:szCs w:val="24"/>
        </w:rPr>
        <w:t xml:space="preserve"> annual precipitation at the Pos </w:t>
      </w:r>
      <w:proofErr w:type="spellStart"/>
      <w:r>
        <w:rPr>
          <w:rFonts w:ascii="Times New Roman" w:hAnsi="Times New Roman" w:cs="Times New Roman"/>
          <w:sz w:val="24"/>
          <w:szCs w:val="24"/>
        </w:rPr>
        <w:t>Hau</w:t>
      </w:r>
      <w:proofErr w:type="spellEnd"/>
      <w:r>
        <w:rPr>
          <w:rFonts w:ascii="Times New Roman" w:hAnsi="Times New Roman" w:cs="Times New Roman"/>
          <w:sz w:val="24"/>
          <w:szCs w:val="24"/>
        </w:rPr>
        <w:t xml:space="preserve">, Pos </w:t>
      </w:r>
      <w:proofErr w:type="spellStart"/>
      <w:r>
        <w:rPr>
          <w:rFonts w:ascii="Times New Roman" w:hAnsi="Times New Roman" w:cs="Times New Roman"/>
          <w:sz w:val="24"/>
          <w:szCs w:val="24"/>
        </w:rPr>
        <w:t>Bihai</w:t>
      </w:r>
      <w:proofErr w:type="spellEnd"/>
      <w:r>
        <w:rPr>
          <w:rFonts w:ascii="Times New Roman" w:hAnsi="Times New Roman" w:cs="Times New Roman"/>
          <w:sz w:val="24"/>
          <w:szCs w:val="24"/>
        </w:rPr>
        <w:t xml:space="preserve">, Pos Gob and Kuala Krai stations increased significantly with the rates of 17.5 to 29.74 mm/year. The spatial correlation shows that urban </w:t>
      </w:r>
      <w:r>
        <w:rPr>
          <w:rFonts w:ascii="Times New Roman" w:hAnsi="Times New Roman" w:cs="Times New Roman"/>
          <w:sz w:val="24"/>
          <w:szCs w:val="24"/>
        </w:rPr>
        <w:lastRenderedPageBreak/>
        <w:t>expansion in Gua Musang had strong correlation with annual rainfall with a correlation coefficient (CC) value of -0.78. Furthermore, the conversion of forest into croplands over the Tanah Merah increased the minimum temperature significantly, with a CC value of -0.73.  The findings show that the changes of land use in the middle basin contributed to the variations in temperature.</w:t>
      </w:r>
      <w:bookmarkEnd w:id="1"/>
    </w:p>
    <w:p w14:paraId="3E1E05C3" w14:textId="1494A977" w:rsidR="004A5F13" w:rsidRDefault="009E2627">
      <w:pPr>
        <w:wordWrap/>
        <w:spacing w:line="480" w:lineRule="auto"/>
        <w:outlineLvl w:val="0"/>
        <w:rPr>
          <w:rFonts w:ascii="Times New Roman" w:hAnsi="Times New Roman" w:cs="Times New Roman"/>
          <w:sz w:val="24"/>
          <w:szCs w:val="24"/>
          <w:lang w:val="en-MY"/>
        </w:rPr>
      </w:pPr>
      <w:proofErr w:type="spellStart"/>
      <w:proofErr w:type="gramStart"/>
      <w:r>
        <w:rPr>
          <w:rFonts w:ascii="Times New Roman" w:hAnsi="Times New Roman" w:cs="Times New Roman"/>
          <w:sz w:val="24"/>
          <w:szCs w:val="24"/>
        </w:rPr>
        <w:t>Keywords:</w:t>
      </w:r>
      <w:bookmarkStart w:id="2" w:name="_Hlk73566799"/>
      <w:r w:rsidR="004760B8">
        <w:rPr>
          <w:rFonts w:ascii="Times New Roman" w:hAnsi="Times New Roman" w:cs="Times New Roman"/>
          <w:sz w:val="24"/>
          <w:szCs w:val="24"/>
        </w:rPr>
        <w:t>Climate</w:t>
      </w:r>
      <w:proofErr w:type="spellEnd"/>
      <w:proofErr w:type="gramEnd"/>
      <w:r w:rsidR="004760B8">
        <w:rPr>
          <w:rFonts w:ascii="Times New Roman" w:hAnsi="Times New Roman" w:cs="Times New Roman"/>
          <w:sz w:val="24"/>
          <w:szCs w:val="24"/>
        </w:rPr>
        <w:t xml:space="preserve">, ESA, Kelantan, Land Use, </w:t>
      </w:r>
      <w:r w:rsidR="00CE731E">
        <w:rPr>
          <w:rFonts w:ascii="Times New Roman" w:hAnsi="Times New Roman" w:cs="Times New Roman"/>
          <w:sz w:val="24"/>
          <w:szCs w:val="24"/>
        </w:rPr>
        <w:t xml:space="preserve">Rainfall, </w:t>
      </w:r>
      <w:r w:rsidR="004760B8">
        <w:rPr>
          <w:rFonts w:ascii="Times New Roman" w:hAnsi="Times New Roman" w:cs="Times New Roman"/>
          <w:sz w:val="24"/>
          <w:szCs w:val="24"/>
        </w:rPr>
        <w:t>Temperature, Tropical</w:t>
      </w:r>
      <w:bookmarkEnd w:id="2"/>
    </w:p>
    <w:p w14:paraId="58F7C67D" w14:textId="77777777" w:rsidR="004A5F13" w:rsidRDefault="004A5F13">
      <w:pPr>
        <w:wordWrap/>
        <w:spacing w:line="480" w:lineRule="auto"/>
        <w:jc w:val="center"/>
        <w:outlineLvl w:val="0"/>
        <w:rPr>
          <w:rFonts w:ascii="Times New Roman" w:hAnsi="Times New Roman" w:cs="Times New Roman"/>
          <w:b/>
          <w:sz w:val="24"/>
          <w:szCs w:val="24"/>
        </w:rPr>
      </w:pPr>
    </w:p>
    <w:p w14:paraId="34869E00" w14:textId="77777777" w:rsidR="004A5F13" w:rsidRDefault="009E2627">
      <w:pPr>
        <w:wordWrap/>
        <w:spacing w:line="480" w:lineRule="auto"/>
        <w:jc w:val="center"/>
        <w:outlineLvl w:val="0"/>
        <w:rPr>
          <w:rFonts w:ascii="Times New Roman" w:hAnsi="Times New Roman" w:cs="Times New Roman"/>
          <w:b/>
          <w:sz w:val="24"/>
          <w:szCs w:val="24"/>
        </w:rPr>
      </w:pPr>
      <w:proofErr w:type="spellStart"/>
      <w:r>
        <w:rPr>
          <w:rFonts w:ascii="Times New Roman" w:hAnsi="Times New Roman" w:cs="Times New Roman"/>
          <w:b/>
          <w:sz w:val="24"/>
          <w:szCs w:val="24"/>
        </w:rPr>
        <w:t>Abstrak</w:t>
      </w:r>
      <w:proofErr w:type="spellEnd"/>
    </w:p>
    <w:p w14:paraId="2B6831C1" w14:textId="2759E465" w:rsidR="004A5F13" w:rsidRDefault="009E2627">
      <w:pPr>
        <w:wordWrap/>
        <w:spacing w:line="480" w:lineRule="auto"/>
        <w:outlineLvl w:val="0"/>
        <w:rPr>
          <w:rFonts w:ascii="Times New Roman" w:hAnsi="Times New Roman" w:cs="Times New Roman"/>
          <w:sz w:val="24"/>
          <w:szCs w:val="24"/>
        </w:rPr>
      </w:pP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guna</w:t>
      </w:r>
      <w:proofErr w:type="spellEnd"/>
      <w:r w:rsidR="004760B8">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hidrologi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w:t>
      </w:r>
      <w:proofErr w:type="spellStart"/>
      <w:r w:rsidR="004760B8">
        <w:rPr>
          <w:rFonts w:ascii="Times New Roman" w:hAnsi="Times New Roman" w:cs="Times New Roman"/>
          <w:sz w:val="24"/>
          <w:szCs w:val="24"/>
        </w:rPr>
        <w:t>Produk</w:t>
      </w:r>
      <w:proofErr w:type="spellEnd"/>
      <w:r w:rsidR="004760B8">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global European Space Agency program </w:t>
      </w:r>
      <w:proofErr w:type="spellStart"/>
      <w:r>
        <w:rPr>
          <w:rFonts w:ascii="Times New Roman" w:hAnsi="Times New Roman" w:cs="Times New Roman"/>
          <w:sz w:val="24"/>
          <w:szCs w:val="24"/>
        </w:rPr>
        <w:t>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(ESA CCI LC)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1992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mengesahkan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European Space Agency program </w:t>
      </w:r>
      <w:proofErr w:type="spellStart"/>
      <w:r>
        <w:rPr>
          <w:rFonts w:ascii="Times New Roman" w:hAnsi="Times New Roman" w:cs="Times New Roman"/>
          <w:sz w:val="24"/>
          <w:szCs w:val="24"/>
        </w:rPr>
        <w:t>program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(ESA CCI LC)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lembangan</w:t>
      </w:r>
      <w:proofErr w:type="spellEnd"/>
      <w:r>
        <w:rPr>
          <w:rFonts w:ascii="Times New Roman" w:hAnsi="Times New Roman" w:cs="Times New Roman"/>
          <w:sz w:val="24"/>
          <w:szCs w:val="24"/>
        </w:rPr>
        <w:t xml:space="preserve"> Sungai Kelantan (KRB) Malaysia; (2)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trend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maxima dan minima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di KRB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1979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di KRB. Hasil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ESA CCI LC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sidR="004760B8">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di KRB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74.</w:t>
      </w:r>
      <w:r w:rsidR="00036820">
        <w:rPr>
          <w:rFonts w:ascii="Times New Roman" w:hAnsi="Times New Roman" w:cs="Times New Roman"/>
          <w:sz w:val="24"/>
          <w:szCs w:val="24"/>
        </w:rPr>
        <w:t>72</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pekali</w:t>
      </w:r>
      <w:proofErr w:type="spellEnd"/>
      <w:r>
        <w:rPr>
          <w:rFonts w:ascii="Times New Roman" w:hAnsi="Times New Roman" w:cs="Times New Roman"/>
          <w:sz w:val="24"/>
          <w:szCs w:val="24"/>
        </w:rPr>
        <w:t xml:space="preserve"> Kappa 0.66.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maxima dan minima di KRB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95% pada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0.01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0.03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and 0.01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stesen</w:t>
      </w:r>
      <w:proofErr w:type="spellEnd"/>
      <w:r>
        <w:rPr>
          <w:rFonts w:ascii="Times New Roman" w:hAnsi="Times New Roman" w:cs="Times New Roman"/>
          <w:sz w:val="24"/>
          <w:szCs w:val="24"/>
        </w:rPr>
        <w:t xml:space="preserve"> Pos </w:t>
      </w:r>
      <w:proofErr w:type="spellStart"/>
      <w:r>
        <w:rPr>
          <w:rFonts w:ascii="Times New Roman" w:hAnsi="Times New Roman" w:cs="Times New Roman"/>
          <w:sz w:val="24"/>
          <w:szCs w:val="24"/>
        </w:rPr>
        <w:t>Hau</w:t>
      </w:r>
      <w:proofErr w:type="spellEnd"/>
      <w:r>
        <w:rPr>
          <w:rFonts w:ascii="Times New Roman" w:hAnsi="Times New Roman" w:cs="Times New Roman"/>
          <w:sz w:val="24"/>
          <w:szCs w:val="24"/>
        </w:rPr>
        <w:t xml:space="preserve">, Pos </w:t>
      </w:r>
      <w:proofErr w:type="spellStart"/>
      <w:r>
        <w:rPr>
          <w:rFonts w:ascii="Times New Roman" w:hAnsi="Times New Roman" w:cs="Times New Roman"/>
          <w:sz w:val="24"/>
          <w:szCs w:val="24"/>
        </w:rPr>
        <w:t>Bihai</w:t>
      </w:r>
      <w:proofErr w:type="spellEnd"/>
      <w:r>
        <w:rPr>
          <w:rFonts w:ascii="Times New Roman" w:hAnsi="Times New Roman" w:cs="Times New Roman"/>
          <w:sz w:val="24"/>
          <w:szCs w:val="24"/>
        </w:rPr>
        <w:t xml:space="preserve">, Pos Gob dan Kuala Krai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17.5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29.74 mm/</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Kolerasi</w:t>
      </w:r>
      <w:proofErr w:type="spellEnd"/>
      <w:r>
        <w:rPr>
          <w:rFonts w:ascii="Times New Roman" w:hAnsi="Times New Roman" w:cs="Times New Roman"/>
          <w:sz w:val="24"/>
          <w:szCs w:val="24"/>
        </w:rPr>
        <w:t xml:space="preserve"> </w:t>
      </w:r>
      <w:proofErr w:type="spellStart"/>
      <w:r w:rsidR="00147393">
        <w:rPr>
          <w:rFonts w:ascii="Times New Roman" w:hAnsi="Times New Roman" w:cs="Times New Roman"/>
          <w:sz w:val="24"/>
          <w:szCs w:val="24"/>
        </w:rPr>
        <w:t>ruang</w:t>
      </w:r>
      <w:proofErr w:type="spellEnd"/>
      <w:r w:rsidR="00147393">
        <w:rPr>
          <w:rFonts w:ascii="Times New Roman" w:hAnsi="Times New Roman" w:cs="Times New Roman"/>
          <w:sz w:val="24"/>
          <w:szCs w:val="24"/>
        </w:rPr>
        <w:t xml:space="preserve"> </w:t>
      </w:r>
      <w:r>
        <w:rPr>
          <w:rFonts w:ascii="Times New Roman" w:hAnsi="Times New Roman" w:cs="Times New Roman"/>
          <w:sz w:val="24"/>
          <w:szCs w:val="24"/>
        </w:rPr>
        <w:t xml:space="preserve">pula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bandar di Gua Musang </w:t>
      </w:r>
      <w:proofErr w:type="spellStart"/>
      <w:r w:rsidR="003675FF">
        <w:rPr>
          <w:rFonts w:ascii="Times New Roman" w:hAnsi="Times New Roman" w:cs="Times New Roman"/>
          <w:sz w:val="24"/>
          <w:szCs w:val="24"/>
        </w:rPr>
        <w:t>amat</w:t>
      </w:r>
      <w:proofErr w:type="spellEnd"/>
      <w:r w:rsidR="003675FF">
        <w:rPr>
          <w:rFonts w:ascii="Times New Roman" w:hAnsi="Times New Roman" w:cs="Times New Roman"/>
          <w:sz w:val="24"/>
          <w:szCs w:val="24"/>
        </w:rPr>
        <w:t xml:space="preserve"> </w:t>
      </w:r>
      <w:proofErr w:type="spellStart"/>
      <w:r w:rsidR="003675FF">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kolerasi</w:t>
      </w:r>
      <w:proofErr w:type="spellEnd"/>
      <w:r>
        <w:rPr>
          <w:rFonts w:ascii="Times New Roman" w:hAnsi="Times New Roman" w:cs="Times New Roman"/>
          <w:sz w:val="24"/>
          <w:szCs w:val="24"/>
        </w:rPr>
        <w:t xml:space="preserve"> -0.78.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penukaran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di Tanah Merah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minima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-0.73. Hasil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sidR="00D54466">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pertengahan</w:t>
      </w:r>
      <w:proofErr w:type="spellEnd"/>
      <w:r>
        <w:rPr>
          <w:rFonts w:ascii="Times New Roman" w:hAnsi="Times New Roman" w:cs="Times New Roman"/>
          <w:sz w:val="24"/>
          <w:szCs w:val="24"/>
        </w:rPr>
        <w:t xml:space="preserve"> KRB </w:t>
      </w:r>
      <w:proofErr w:type="spellStart"/>
      <w:r w:rsidR="00D54466">
        <w:rPr>
          <w:rFonts w:ascii="Times New Roman" w:hAnsi="Times New Roman" w:cs="Times New Roman"/>
          <w:sz w:val="24"/>
          <w:szCs w:val="24"/>
        </w:rPr>
        <w:t>menyumbang</w:t>
      </w:r>
      <w:proofErr w:type="spellEnd"/>
      <w:r w:rsidR="00D54466">
        <w:rPr>
          <w:rFonts w:ascii="Times New Roman" w:hAnsi="Times New Roman" w:cs="Times New Roman"/>
          <w:sz w:val="24"/>
          <w:szCs w:val="24"/>
        </w:rPr>
        <w:t xml:space="preserve"> </w:t>
      </w:r>
      <w:proofErr w:type="spellStart"/>
      <w:r w:rsidR="00D54466">
        <w:rPr>
          <w:rFonts w:ascii="Times New Roman" w:hAnsi="Times New Roman" w:cs="Times New Roman"/>
          <w:sz w:val="24"/>
          <w:szCs w:val="24"/>
        </w:rPr>
        <w:t>kepada</w:t>
      </w:r>
      <w:proofErr w:type="spellEnd"/>
      <w:r w:rsidR="00D54466">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w:t>
      </w:r>
    </w:p>
    <w:p w14:paraId="6BC9D0A2" w14:textId="3E9BB542" w:rsidR="004A5F13" w:rsidRDefault="009E2627">
      <w:pPr>
        <w:wordWrap/>
        <w:spacing w:line="480" w:lineRule="auto"/>
        <w:outlineLvl w:val="0"/>
        <w:rPr>
          <w:rFonts w:ascii="Times New Roman" w:hAnsi="Times New Roman" w:cs="Times New Roman"/>
          <w:b/>
          <w:kern w:val="0"/>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bookmarkStart w:id="3" w:name="_Hlk73569351"/>
      <w:r w:rsidR="00CE731E">
        <w:rPr>
          <w:rFonts w:ascii="Times New Roman" w:hAnsi="Times New Roman" w:cs="Times New Roman"/>
          <w:sz w:val="24"/>
          <w:szCs w:val="24"/>
        </w:rPr>
        <w:t xml:space="preserve">ESA, Guna Tanah, </w:t>
      </w:r>
      <w:proofErr w:type="spellStart"/>
      <w:r w:rsidR="00CE731E">
        <w:rPr>
          <w:rFonts w:ascii="Times New Roman" w:hAnsi="Times New Roman" w:cs="Times New Roman"/>
          <w:sz w:val="24"/>
          <w:szCs w:val="24"/>
        </w:rPr>
        <w:t>Hujan</w:t>
      </w:r>
      <w:proofErr w:type="spellEnd"/>
      <w:r w:rsidR="00CE731E">
        <w:rPr>
          <w:rFonts w:ascii="Times New Roman" w:hAnsi="Times New Roman" w:cs="Times New Roman"/>
          <w:sz w:val="24"/>
          <w:szCs w:val="24"/>
        </w:rPr>
        <w:t xml:space="preserve">, </w:t>
      </w:r>
      <w:proofErr w:type="spellStart"/>
      <w:r w:rsidR="00CE731E">
        <w:rPr>
          <w:rFonts w:ascii="Times New Roman" w:hAnsi="Times New Roman" w:cs="Times New Roman"/>
          <w:sz w:val="24"/>
          <w:szCs w:val="24"/>
        </w:rPr>
        <w:t>Iklim</w:t>
      </w:r>
      <w:proofErr w:type="spellEnd"/>
      <w:r w:rsidR="00CE731E">
        <w:rPr>
          <w:rFonts w:ascii="Times New Roman" w:hAnsi="Times New Roman" w:cs="Times New Roman"/>
          <w:sz w:val="24"/>
          <w:szCs w:val="24"/>
        </w:rPr>
        <w:t xml:space="preserve">, Kelantan, </w:t>
      </w:r>
      <w:proofErr w:type="spellStart"/>
      <w:r w:rsidR="00CE731E">
        <w:rPr>
          <w:rFonts w:ascii="Times New Roman" w:hAnsi="Times New Roman" w:cs="Times New Roman"/>
          <w:sz w:val="24"/>
          <w:szCs w:val="24"/>
        </w:rPr>
        <w:t>Suhu</w:t>
      </w:r>
      <w:proofErr w:type="spellEnd"/>
      <w:r w:rsidR="00CE731E">
        <w:rPr>
          <w:rFonts w:ascii="Times New Roman" w:hAnsi="Times New Roman" w:cs="Times New Roman"/>
          <w:sz w:val="24"/>
          <w:szCs w:val="24"/>
        </w:rPr>
        <w:t xml:space="preserve">, </w:t>
      </w:r>
      <w:proofErr w:type="spellStart"/>
      <w:r w:rsidR="00CE731E">
        <w:rPr>
          <w:rFonts w:ascii="Times New Roman" w:hAnsi="Times New Roman" w:cs="Times New Roman"/>
          <w:sz w:val="24"/>
          <w:szCs w:val="24"/>
        </w:rPr>
        <w:t>Tropika</w:t>
      </w:r>
      <w:proofErr w:type="spellEnd"/>
    </w:p>
    <w:bookmarkEnd w:id="3"/>
    <w:p w14:paraId="3855D734" w14:textId="77777777" w:rsidR="004A5F13" w:rsidRDefault="004A5F13">
      <w:pPr>
        <w:wordWrap/>
        <w:spacing w:line="480" w:lineRule="auto"/>
        <w:outlineLvl w:val="0"/>
        <w:rPr>
          <w:rFonts w:ascii="Times New Roman" w:hAnsi="Times New Roman" w:cs="Times New Roman"/>
          <w:b/>
          <w:sz w:val="24"/>
          <w:szCs w:val="24"/>
        </w:rPr>
      </w:pPr>
    </w:p>
    <w:p w14:paraId="502DC593"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Introduction</w:t>
      </w:r>
    </w:p>
    <w:p w14:paraId="07017086"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The large-scaled conversion of tropical forest into agricultural croplands reduces biodiversity and increases greenhouse gas emission which contributed to global hydro-climatic changes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&lt;EndNote&gt;&lt;Cite&gt;&lt;Author&gt;Roy&lt;/Author&gt;&lt;Year&gt;2020&lt;/Year&gt;&lt;RecNum&gt;129&lt;/RecNum&gt;&lt;DisplayText&gt;(Roy et al., 2020)&lt;/DisplayText&gt;&lt;record&gt;&lt;rec-number&gt;129&lt;/rec-number&gt;&lt;foreign-keys&gt;&lt;key app="EN" db-id="d002edf05zxza3efrpr5sr9eaxw50ew20vap" timestamp="1606398375"&gt;129&lt;/key&gt;&lt;/foreign-keys&gt;&lt;ref-type name="Journal Article"&gt;17&lt;/ref-type&gt;&lt;contributors&gt;&lt;authors&gt;&lt;author&gt;Roy, Paramita&lt;/author&gt;&lt;author&gt;Pal, Subodh CHandra&lt;/author&gt;&lt;author&gt;Chakrabortty, Rabin&lt;/author&gt;&lt;author&gt;Chowdhuri, Indrajit&lt;/author&gt;&lt;author&gt;Malik, Sadhan&lt;/author&gt;&lt;author&gt;Das, Biswajit&lt;/author&gt;&lt;/authors&gt;&lt;/contributors&gt;&lt;titles&gt;&lt;title&gt;Threats of climate and land use change on future flood susceptibility&lt;/title&gt;&lt;secondary-title&gt;Journal of Cleaner Production&lt;/secondary-title&gt;&lt;/titles&gt;&lt;periodical&gt;&lt;full-title&gt;Journal of Cleaner Production&lt;/full-title&gt;&lt;/periodical&gt;&lt;pages&gt;27&lt;/pages&gt;&lt;volume&gt;272&lt;/volume&gt;&lt;number&gt;122757&lt;/number&gt;&lt;edition&gt;12 July 2020&lt;/edition&gt;&lt;keywords&gt;&lt;keyword&gt;natural disaster&lt;/keyword&gt;&lt;keyword&gt;SVM&lt;/keyword&gt;&lt;keyword&gt;RF&lt;/keyword&gt;&lt;keyword&gt;BBO&lt;/keyword&gt;&lt;keyword&gt;flood prone areas&lt;/keyword&gt;&lt;/keywords&gt;&lt;dates&gt;&lt;year&gt;2020&lt;/year&gt;&lt;/dates&gt;&lt;urls&gt;&lt;/urls&gt;&lt;electronic-resource-num&gt;https://doi.org/10.1016/j.jclepro.2020.122757&lt;/electronic-resource-num&gt;&lt;/record&gt;&lt;/Cite&gt;&lt;/EndNote&gt;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(Roy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The increasing human population resulted in an increasing of the natural resources demand, therefore, intensified the land use change rate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&lt;EndNote&gt;&lt;Cite&gt;&lt;Author&gt;IPCC&lt;/Author&gt;&lt;Year&gt;2019&lt;/Year&gt;&lt;RecNum&gt;138&lt;/RecNum&gt;&lt;DisplayText&gt;(IPCC, 2019)&lt;/DisplayText&gt;&lt;record&gt;&lt;rec-number&gt;138&lt;/rec-number&gt;&lt;foreign-keys&gt;&lt;key app="EN" db-id="d002edf05zxza3efrpr5sr9eaxw50ew20vap" timestamp="1606491908"&gt;138&lt;/key&gt;&lt;/foreign-keys&gt;&lt;ref-type name="Report"&gt;27&lt;/ref-type&gt;&lt;contributors&gt;&lt;authors&gt;&lt;author&gt;IPCC&lt;/author&gt;&lt;/authors&gt;&lt;/contributors&gt;&lt;titles&gt;&lt;title&gt;Climate Change and Land&lt;/title&gt;&lt;secondary-title&gt;IPCC Special Report on Climate Change, Desertification, Land Degradation, Sustainable Land Management, Food Security, and Greenhouse gas fluxes in Terrestrial Ecosystems&lt;/secondary-title&gt;&lt;/titles&gt;&lt;pages&gt;1542&lt;/pages&gt;&lt;volume&gt;WG III&lt;/volume&gt;&lt;dates&gt;&lt;year&gt;2019&lt;/year&gt;&lt;pub-dates&gt;&lt;date&gt;7 August 2019&lt;/date&gt;&lt;/pub-dates&gt;&lt;/dates&gt;&lt;publisher&gt;Intergovernmental Panel on Climate Change&lt;/publisher&gt;&lt;urls&gt;&lt;related-urls&gt;&lt;url&gt;https://www.ipcc.ch/site/assets/uploads/2019/08/Fullreport-1.pdf&lt;/url&gt;&lt;/related-urls&gt;&lt;/urls&gt;&lt;/record&gt;&lt;/Cite&gt;&lt;/EndNote&gt;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(IPCC, 2019)</w:t>
      </w:r>
      <w:r>
        <w:rPr>
          <w:rFonts w:ascii="Times New Roman" w:hAnsi="Times New Roman" w:cs="Times New Roman"/>
          <w:sz w:val="24"/>
          <w:szCs w:val="24"/>
        </w:rPr>
        <w:fldChar w:fldCharType="end"/>
      </w:r>
      <w:r>
        <w:rPr>
          <w:rFonts w:ascii="Times New Roman" w:hAnsi="Times New Roman" w:cs="Times New Roman"/>
          <w:sz w:val="24"/>
          <w:szCs w:val="24"/>
        </w:rPr>
        <w:t>. Aligned with the global environmental change studies, land use change studies were intended to enhance the understanding of land use patterns and associated dynamics in the Earth’s system.</w:t>
      </w:r>
    </w:p>
    <w:p w14:paraId="5D46692B" w14:textId="77777777"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Climate change is a long-termed shift in weather conditions that can be recognized by variations in rainfall, temperature, evapotranspiration, and other indicators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&lt;EndNote&gt;&lt;Cite&gt;&lt;Author&gt;Thakur&lt;/Author&gt;&lt;Year&gt;2020&lt;/Year&gt;&lt;RecNum&gt;137&lt;/RecNum&gt;&lt;DisplayText&gt;(Thakur et al., 2020)&lt;/DisplayText&gt;&lt;record&gt;&lt;rec-number&gt;137&lt;/rec-number&gt;&lt;foreign-keys&gt;&lt;key app="EN" db-id="d002edf05zxza3efrpr5sr9eaxw50ew20vap" timestamp="1606489731"&gt;137&lt;/key&gt;&lt;/foreign-keys&gt;&lt;ref-type name="Journal Article"&gt;17&lt;/ref-type&gt;&lt;contributors&gt;&lt;authors&gt;&lt;author&gt;Thakur, Sandeep&lt;/author&gt;&lt;author&gt;Mondal, Ismail&lt;/author&gt;&lt;author&gt;Bar, Somnath&lt;/author&gt;&lt;author&gt;Nandi, Subhanil&lt;/author&gt;&lt;author&gt;Ghosh, P. B.&lt;/author&gt;&lt;author&gt;Das, P.&lt;/author&gt;&lt;author&gt;De, T. K.&lt;/author&gt;&lt;/authors&gt;&lt;/contributors&gt;&lt;titles&gt;&lt;title&gt;Shoreline changes and its impact on the mangrove ecosystems of some islands of Indian Sundarbans, North-East coast of India&lt;/title&gt;&lt;secondary-title&gt;Journal of Cleaner Production&lt;/secondary-title&gt;&lt;/titles&gt;&lt;periodical&gt;&lt;full-title&gt;Journal of Cleaner Production&lt;/full-title&gt;&lt;/periodical&gt;&lt;number&gt;124764&lt;/number&gt;&lt;edition&gt;22 October 2020&lt;/edition&gt;&lt;keywords&gt;&lt;keyword&gt;shoreline&lt;/keyword&gt;&lt;keyword&gt;mangroves&lt;/keyword&gt;&lt;keyword&gt;sustainable resource management&lt;/keyword&gt;&lt;keyword&gt;Remote sensing&lt;/keyword&gt;&lt;keyword&gt;DSAS&lt;/keyword&gt;&lt;keyword&gt;NDVI&lt;/keyword&gt;&lt;keyword&gt;sea level rise&lt;/keyword&gt;&lt;keyword&gt;time series analysis&lt;/keyword&gt;&lt;keyword&gt;mann kendall test&lt;/keyword&gt;&lt;keyword&gt;sen&amp;apos;s slope&lt;/keyword&gt;&lt;/keywords&gt;&lt;dates&gt;&lt;year&gt;2020&lt;/year&gt;&lt;/dates&gt;&lt;urls&gt;&lt;related-urls&gt;&lt;url&gt;https://www.sciencedirect.com/science/article/pii/S0959652620348083?casa_token=h-jfqRk_ieAAAAAA:fOlcfFw24B231OMD_-yTRagqd-DyGAMSYhzCpc6Dd-1XycqOPdMa1R3aaG3WN06WkD1Thc_S&lt;/url&gt;&lt;/related-urls&gt;&lt;/urls&gt;&lt;electronic-resource-num&gt;https://doi.org/10.1016/j.jclepro.2020.124764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(Thakur et al., 2020)</w:t>
      </w:r>
      <w:r>
        <w:rPr>
          <w:rFonts w:ascii="Times New Roman" w:hAnsi="Times New Roman" w:cs="Times New Roman"/>
          <w:sz w:val="24"/>
          <w:szCs w:val="24"/>
        </w:rPr>
        <w:fldChar w:fldCharType="end"/>
      </w:r>
      <w:r>
        <w:rPr>
          <w:rFonts w:ascii="Times New Roman" w:hAnsi="Times New Roman" w:cs="Times New Roman"/>
          <w:sz w:val="24"/>
          <w:szCs w:val="24"/>
        </w:rPr>
        <w:t>. The variations of rainfall and temperature associated with land use change have been discussed in past studies. However, realistic quantification of the relationship between climate and land use change with traditional surveying methods is a fundamental question, that happens by spatial heterogeneities and different reactions of the environment towards climatic variations.</w:t>
      </w:r>
    </w:p>
    <w:p w14:paraId="713D8211" w14:textId="77777777"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The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AuthorYear="1"&gt;&lt;Author&gt;IPCC&lt;/Author&gt;&lt;Year&gt;2019&lt;/Year&gt;&lt;RecNum&gt;138&lt;/RecNum&gt;&lt;DisplayText&gt;IPCC (2019)&lt;/DisplayText&gt;&lt;record&gt;&lt;rec-number&gt;138&lt;/rec-number&gt;&lt;foreign-keys&gt;&lt;key app="EN" db-id="d002edf05zxza3efrpr5sr9eaxw50ew20vap" timestamp="1606491908"&gt;138&lt;/key&gt;&lt;/foreign-keys&gt;&lt;ref-type name="Report"&gt;27&lt;/ref-type&gt;&lt;contributors&gt;&lt;authors&gt;&lt;author&gt;IPCC&lt;/author&gt;&lt;/authors&gt;&lt;/contributors&gt;&lt;titles&gt;&lt;title&gt;Climate Change and Land&lt;/title&gt;&lt;secondary-title&gt;IPCC Special Report on Climate Change, Desertification, Land Degradation, Sustainable Land Management, Food Security, and Greenhouse gas fluxes in Terrestrial Ecosystems&lt;/secondary-title&gt;&lt;/titles&gt;&lt;pages&gt;1542&lt;/pages&gt;&lt;volume&gt;WG III&lt;/volume&gt;&lt;dates&gt;&lt;year&gt;2019&lt;/year&gt;&lt;pub-dates&gt;&lt;date&gt;7 August 2019&lt;/date&gt;&lt;/pub-dates&gt;&lt;/dates&gt;&lt;publisher&gt;Intergovernmental Panel on Climate Change&lt;/publisher&gt;&lt;urls&gt;&lt;related-urls&gt;&lt;url&gt;https://www.ipcc.ch/site/assets/uploads/2019/08/Fullreport-1.pdf&lt;/url&gt;&lt;/related-urls&gt;&lt;/urls&gt;&lt;/record&gt;&lt;/Cite&gt;&lt;/EndNote&gt;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IPCC (2019)</w:t>
      </w:r>
      <w:r>
        <w:rPr>
          <w:rFonts w:ascii="Times New Roman" w:hAnsi="Times New Roman" w:cs="Times New Roman"/>
          <w:sz w:val="24"/>
          <w:szCs w:val="24"/>
        </w:rPr>
        <w:fldChar w:fldCharType="end"/>
      </w:r>
      <w:r>
        <w:rPr>
          <w:rFonts w:ascii="Times New Roman" w:hAnsi="Times New Roman" w:cs="Times New Roman"/>
          <w:sz w:val="24"/>
          <w:szCs w:val="24"/>
        </w:rPr>
        <w:t xml:space="preserve"> special report reported that under the varying climate, southern Asian countries are especially vulnerable towards intensified hydro-climatic hazards such as heat waves, heavy precipitation events, drought conditions, and increased frequency of cyclones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&lt;EndNote&gt;&lt;Cite&gt;&lt;Author&gt;Avashia&lt;/Author&gt;&lt;Year&gt;2020&lt;/Year&gt;&lt;RecNum&gt;139&lt;/RecNum&gt;&lt;DisplayText&gt;(Avashia &amp;amp; Garg, 2020)&lt;/DisplayText&gt;&lt;record&gt;&lt;rec-number&gt;139&lt;/rec-number&gt;&lt;foreign-keys&gt;&lt;key app="EN" db-id="d002edf05zxza3efrpr5sr9eaxw50ew20vap" timestamp="1606493573"&gt;139&lt;/key&gt;&lt;/foreign-keys&gt;&lt;ref-type name="Journal Article"&gt;17&lt;/ref-type&gt;&lt;contributors&gt;&lt;authors&gt;&lt;author&gt;Avashia, Vidhee&lt;/author&gt;&lt;author&gt;Garg, Amit&lt;/author&gt;&lt;/authors&gt;&lt;/contributors&gt;&lt;titles&gt;&lt;title&gt;Implications of land use transitions and climate change on local flooding in urban areas: An assessment of 42 Indian cities&lt;/title&gt;&lt;secondary-title&gt;Land Use Policy&lt;/secondary-title&gt;&lt;/titles&gt;&lt;periodical&gt;&lt;full-title&gt;Land Use Policy&lt;/full-title&gt;&lt;/periodical&gt;&lt;pages&gt;9&lt;/pages&gt;&lt;volume&gt;95&lt;/volume&gt;&lt;number&gt;104571&lt;/number&gt;&lt;edition&gt;4 March 2020&lt;/edition&gt;&lt;keywords&gt;&lt;keyword&gt;land use change&lt;/keyword&gt;&lt;keyword&gt;flooding&lt;/keyword&gt;&lt;keyword&gt;India&lt;/keyword&gt;&lt;keyword&gt;urban&lt;/keyword&gt;&lt;keyword&gt;Climate change&lt;/keyword&gt;&lt;/keywords&gt;&lt;dates&gt;&lt;year&gt;2020&lt;/year&gt;&lt;/dates&gt;&lt;urls&gt;&lt;/urls&gt;&lt;electronic-resource-num&gt;https://doi.org/10.1016/j.landusepol.2020.104571&lt;/electronic-resource-num&gt;&lt;/record&gt;&lt;/Cite&gt;&lt;/EndNote&gt;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(Avashia &amp; Garg, 2020)</w:t>
      </w:r>
      <w:r>
        <w:rPr>
          <w:rFonts w:ascii="Times New Roman" w:hAnsi="Times New Roman" w:cs="Times New Roman"/>
          <w:sz w:val="24"/>
          <w:szCs w:val="24"/>
        </w:rPr>
        <w:fldChar w:fldCharType="end"/>
      </w:r>
      <w:r>
        <w:rPr>
          <w:rFonts w:ascii="Times New Roman" w:hAnsi="Times New Roman" w:cs="Times New Roman"/>
          <w:sz w:val="24"/>
          <w:szCs w:val="24"/>
        </w:rPr>
        <w:t xml:space="preserve">. Various techniques have been applied with both parametric and non-parametric tests in detecting long-term climatic parameters. Previous studies of climate change in tropical regions mainly focus solely on the climate trend analysis, however, </w:t>
      </w:r>
      <w:r>
        <w:rPr>
          <w:rFonts w:ascii="Times New Roman" w:hAnsi="Times New Roman" w:cs="Times New Roman"/>
          <w:sz w:val="24"/>
          <w:szCs w:val="24"/>
        </w:rPr>
        <w:lastRenderedPageBreak/>
        <w:t xml:space="preserve">the climatic parameters are varying from one region to another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&lt;EndNote&gt;&lt;Cite&gt;&lt;Author&gt;Alexander&lt;/Author&gt;&lt;Year&gt;2006&lt;/Year&gt;&lt;RecNum&gt;142&lt;/RecNum&gt;&lt;DisplayText&gt;(Alexander et al., 2006)&lt;/DisplayText&gt;&lt;record&gt;&lt;rec-number&gt;142&lt;/rec-number&gt;&lt;foreign-keys&gt;&lt;key app="EN" db-id="d002edf05zxza3efrpr5sr9eaxw50ew20vap" timestamp="1606497623"&gt;142&lt;/key&gt;&lt;/foreign-keys&gt;&lt;ref-type name="Journal Article"&gt;17&lt;/ref-type&gt;&lt;contributors&gt;&lt;authors&gt;&lt;author&gt;Alexander, L. V.&lt;/author&gt;&lt;author&gt;Zhang, X.&lt;/author&gt;&lt;author&gt;Peterson, T. C.&lt;/author&gt;&lt;author&gt;Caesar, J.&lt;/author&gt;&lt;author&gt;Gleason, B.&lt;/author&gt;&lt;author&gt;Klein Tank, A. M. G.&lt;/author&gt;&lt;author&gt;Haylock, M.&lt;/author&gt;&lt;author&gt;Collins, D.&lt;/author&gt;&lt;author&gt;Trewin, B.&lt;/author&gt;&lt;author&gt;Rahimzadeh, F.&lt;/author&gt;&lt;author&gt;Tagipour, A.&lt;/author&gt;&lt;author&gt;Kumar, K. Rupa&lt;/author&gt;&lt;author&gt;Revadekar, J.&lt;/author&gt;&lt;author&gt;Griffiths, G.&lt;/author&gt;&lt;author&gt;Vincent, L.&lt;/author&gt;&lt;author&gt;Stephenson, D. B.&lt;/author&gt;&lt;author&gt;Burn, J.&lt;/author&gt;&lt;author&gt;Aguilar, E.&lt;/author&gt;&lt;author&gt;Brunet, M.&lt;/author&gt;&lt;author&gt;Taylor, M.&lt;/author&gt;&lt;author&gt;New, M.&lt;/author&gt;&lt;author&gt;Zhai, P.&lt;/author&gt;&lt;author&gt;Rusticucci, M.&lt;/author&gt;&lt;author&gt;Vazquez-Aguirre, J. L.&lt;/author&gt;&lt;/authors&gt;&lt;/contributors&gt;&lt;titles&gt;&lt;title&gt;Global observed changes in daily climate extremes of temperatureand precipitation&lt;/title&gt;&lt;secondary-title&gt;Journal of Geophysical Research&lt;/secondary-title&gt;&lt;/titles&gt;&lt;periodical&gt;&lt;full-title&gt;Journal of Geophysical Research&lt;/full-title&gt;&lt;/periodical&gt;&lt;pages&gt;22&lt;/pages&gt;&lt;volume&gt;111&lt;/volume&gt;&lt;number&gt;D05109&lt;/number&gt;&lt;dates&gt;&lt;year&gt;2006&lt;/year&gt;&lt;/dates&gt;&lt;urls&gt;&lt;related-urls&gt;&lt;url&gt;https://agupubs.onlinelibrary.wiley.com/doi/epdf/10.1029/2005JD006290&lt;/url&gt;&lt;/related-urls&gt;&lt;/urls&gt;&lt;electronic-resource-num&gt;10.1029/2005JD006290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(Alexander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This arisen a gap where the link of land use change and the rainfall and temperature trends are uncertain as different land cover reacts differently with the climate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&lt;EndNote&gt;&lt;Cite&gt;&lt;Author&gt;Faizalhakim&lt;/Author&gt;&lt;Year&gt;2017&lt;/Year&gt;&lt;RecNum&gt;123&lt;/RecNum&gt;&lt;DisplayText&gt;(Faizalhakim et al., 2017)&lt;/DisplayText&gt;&lt;record&gt;&lt;rec-number&gt;123&lt;/rec-number&gt;&lt;foreign-keys&gt;&lt;key app="EN" db-id="d002edf05zxza3efrpr5sr9eaxw50ew20vap" timestamp="1606143209"&gt;123&lt;/key&gt;&lt;/foreign-keys&gt;&lt;ref-type name="Journal Article"&gt;17&lt;/ref-type&gt;&lt;contributors&gt;&lt;authors&gt;&lt;author&gt;Faizalhakim, A.S.&lt;/author&gt;&lt;author&gt;Nurhidayu, S.&lt;/author&gt;&lt;author&gt;Norizah, K.&lt;/author&gt;&lt;author&gt;Shamsuddin, I.&lt;/author&gt;&lt;author&gt;Hakeem, K.R.&lt;/author&gt;&lt;author&gt;Ismail, Adnan&lt;/author&gt;&lt;/authors&gt;&lt;/contributors&gt;&lt;titles&gt;&lt;title&gt;Climate variability in relation with land use changes over a 30-year period in Kelantan River Basin&lt;/title&gt;&lt;secondary-title&gt;The Malaysian Forester&lt;/secondary-title&gt;&lt;/titles&gt;&lt;periodical&gt;&lt;full-title&gt;The Malaysian Forester&lt;/full-title&gt;&lt;/periodical&gt;&lt;pages&gt;19&lt;/pages&gt;&lt;volume&gt;80&lt;/volume&gt;&lt;number&gt;1&lt;/number&gt;&lt;section&gt;12&lt;/section&gt;&lt;keywords&gt;&lt;keyword&gt;deforestation&lt;/keyword&gt;&lt;keyword&gt;agriculture expansion&lt;/keyword&gt;&lt;keyword&gt;climate variability&lt;/keyword&gt;&lt;keyword&gt;localized effect&lt;/keyword&gt;&lt;/keywords&gt;&lt;dates&gt;&lt;year&gt;2017&lt;/year&gt;&lt;/dates&gt;&lt;urls&gt;&lt;/urls&gt;&lt;/record&gt;&lt;/Cite&gt;&lt;/EndNote&gt;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(Faizalhakim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Land use change within a river basin can cause direct water related hazards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&lt;EndNote&gt;&lt;Cite&gt;&lt;Author&gt;Selek&lt;/Author&gt;&lt;Year&gt;2019&lt;/Year&gt;&lt;RecNum&gt;141&lt;/RecNum&gt;&lt;DisplayText&gt;(Selek &amp;amp; Selek, 2019)&lt;/DisplayText&gt;&lt;record&gt;&lt;rec-number&gt;141&lt;/rec-number&gt;&lt;foreign-keys&gt;&lt;key app="EN" db-id="d002edf05zxza3efrpr5sr9eaxw50ew20vap" timestamp="1606496280"&gt;141&lt;/key&gt;&lt;/foreign-keys&gt;&lt;ref-type name="Journal Article"&gt;17&lt;/ref-type&gt;&lt;contributors&gt;&lt;authors&gt;&lt;author&gt;Selek, Bülent&lt;/author&gt;&lt;author&gt;Selek, Zeliha&lt;/author&gt;&lt;/authors&gt;&lt;/contributors&gt;&lt;titles&gt;&lt;title&gt;River Basin Management&lt;/title&gt;&lt;secondary-title&gt;World Water Resources&lt;/secondary-title&gt;&lt;/titles&gt;&lt;periodical&gt;&lt;full-title&gt;World Water Resources&lt;/full-title&gt;&lt;/periodical&gt;&lt;pages&gt;21&lt;/pages&gt;&lt;volume&gt;2&lt;/volume&gt;&lt;section&gt;445&lt;/section&gt;&lt;keywords&gt;&lt;keyword&gt;basin management&lt;/keyword&gt;&lt;keyword&gt;water framework directive&lt;/keyword&gt;&lt;keyword&gt;institutional structure&lt;/keyword&gt;&lt;keyword&gt;river basin of Turkey&lt;/keyword&gt;&lt;keyword&gt;river basin management plans&lt;/keyword&gt;&lt;/keywords&gt;&lt;dates&gt;&lt;year&gt;2019&lt;/year&gt;&lt;/dates&gt;&lt;urls&gt;&lt;related-urls&gt;&lt;url&gt;https://link.springer.com/chapter/10.1007/978-3-030-11729-0_13&lt;/url&gt;&lt;/related-urls&gt;&lt;/urls&gt;&lt;electronic-resource-num&gt;https://doi.org/10.1007/978-3-030-11729-0_13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(Selek &amp; Selek, 2019)</w:t>
      </w:r>
      <w:r>
        <w:rPr>
          <w:rFonts w:ascii="Times New Roman" w:hAnsi="Times New Roman" w:cs="Times New Roman"/>
          <w:sz w:val="24"/>
          <w:szCs w:val="24"/>
        </w:rPr>
        <w:fldChar w:fldCharType="end"/>
      </w:r>
      <w:r>
        <w:rPr>
          <w:rFonts w:ascii="Times New Roman" w:hAnsi="Times New Roman" w:cs="Times New Roman"/>
          <w:sz w:val="24"/>
          <w:szCs w:val="24"/>
        </w:rPr>
        <w:t xml:space="preserve">, hence, it is important to understand the contributors of climate change as well as the relationship between land use and climate changes at basin scale. </w:t>
      </w:r>
    </w:p>
    <w:p w14:paraId="5FB3B225" w14:textId="0358587C" w:rsidR="004A5F13" w:rsidRDefault="009E2627">
      <w:pPr>
        <w:wordWrap/>
        <w:spacing w:line="480" w:lineRule="auto"/>
        <w:ind w:firstLine="720"/>
        <w:outlineLvl w:val="0"/>
        <w:rPr>
          <w:rFonts w:ascii="Times New Roman" w:hAnsi="Times New Roman" w:cs="Times New Roman"/>
          <w:bCs/>
          <w:sz w:val="24"/>
          <w:szCs w:val="24"/>
        </w:rPr>
      </w:pPr>
      <w:r>
        <w:rPr>
          <w:rFonts w:ascii="Times New Roman" w:hAnsi="Times New Roman" w:cs="Times New Roman"/>
          <w:bCs/>
          <w:sz w:val="24"/>
          <w:szCs w:val="24"/>
        </w:rPr>
        <w:t xml:space="preserve">The European Space Agency (ESA) established Global Monitoring of Essential Climate Variables project under their Climate Change Initiative (CCI) to provide adequate, comprehensive, and timely satellite-based earth data for climate studies. The ESA CCI land cover (LC) product is produced with a spatial resolution of 300 meters from 1992 to 2018, with the Food and Agriculture Organization (FAO) land use standards for vegetation, including to the main structural vegetation domains of sparse vegetation, herbaceous vegetation, shrubs and trees for both natural, semi-natural and man-induced vegetation covers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&lt;EndNote&gt;&lt;Cite&gt;&lt;Author&gt;FAO&lt;/Author&gt;&lt;Year&gt;2000&lt;/Year&gt;&lt;RecNum&gt;155&lt;/RecNum&gt;&lt;DisplayText&gt;(FAO, 2000)&lt;/DisplayText&gt;&lt;record&gt;&lt;rec-number&gt;155&lt;/rec-number&gt;&lt;foreign-keys&gt;&lt;key app="EN" db-id="d002edf05zxza3efrpr5sr9eaxw50ew20vap" timestamp="1606761346"&gt;155&lt;/key&gt;&lt;/foreign-keys&gt;&lt;ref-type name="Web Page"&gt;12&lt;/ref-type&gt;&lt;contributors&gt;&lt;authors&gt;&lt;author&gt;FAO&lt;/author&gt;&lt;/authors&gt;&lt;secondary-authors&gt;&lt;author&gt;Di Gregorio, Antonio&lt;/author&gt;&lt;author&gt;Jansen, Louisa J. M.&lt;/author&gt;&lt;/secondary-authors&gt;&lt;/contributors&gt;&lt;titles&gt;&lt;title&gt;Land Cover Classification System (LCCS)&lt;/title&gt;&lt;secondary-title&gt;Classification Concepts and User Manual&lt;/secondary-title&gt;&lt;/titles&gt;&lt;volume&gt;2020&lt;/volume&gt;&lt;number&gt;1 December 2020&lt;/number&gt;&lt;dates&gt;&lt;year&gt;2000&lt;/year&gt;&lt;/dates&gt;&lt;pub-location&gt;Rome, Italy&lt;/pub-location&gt;&lt;publisher&gt;Food and Agriculture Organization&lt;/publisher&gt;&lt;urls&gt;&lt;related-urls&gt;&lt;url&gt;http://www.fao.org/3/x0596e/X0596e01n.htm&lt;/url&gt;&lt;/related-urls&gt;&lt;/urls&gt;&lt;/record&gt;&lt;/Cite&gt;&lt;/EndNote&gt;</w:instrText>
      </w:r>
      <w:r>
        <w:rPr>
          <w:rFonts w:ascii="Times New Roman" w:hAnsi="Times New Roman" w:cs="Times New Roman"/>
          <w:bCs/>
          <w:sz w:val="24"/>
          <w:szCs w:val="24"/>
        </w:rPr>
        <w:fldChar w:fldCharType="separate"/>
      </w:r>
      <w:r>
        <w:rPr>
          <w:rFonts w:ascii="Times New Roman" w:hAnsi="Times New Roman" w:cs="Times New Roman"/>
          <w:bCs/>
          <w:sz w:val="24"/>
          <w:szCs w:val="24"/>
        </w:rPr>
        <w:t>(FAO, 2000)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The ESA CCI LC products may cause uncertainties in land use dataset that could led to errors in further analyses. </w:t>
      </w:r>
      <w:r>
        <w:rPr>
          <w:rFonts w:ascii="Times New Roman" w:hAnsi="Times New Roman" w:cs="Times New Roman"/>
          <w:bCs/>
          <w:sz w:val="24"/>
          <w:szCs w:val="24"/>
        </w:rPr>
        <w:fldChar w:fldCharType="begin"/>
      </w:r>
      <w:r w:rsidR="00C51DE7">
        <w:rPr>
          <w:rFonts w:ascii="Times New Roman" w:hAnsi="Times New Roman" w:cs="Times New Roman"/>
          <w:bCs/>
          <w:sz w:val="24"/>
          <w:szCs w:val="24"/>
        </w:rPr>
        <w:instrText xml:space="preserve"> ADDIN EN.CITE &lt;EndNote&gt;&lt;Cite AuthorYear="1"&gt;&lt;Author&gt;Alkhalil&lt;/Author&gt;&lt;Year&gt;2020&lt;/Year&gt;&lt;RecNum&gt;164&lt;/RecNum&gt;&lt;DisplayText&gt;Alkhalil et al. (2020)&lt;/DisplayText&gt;&lt;record&gt;&lt;rec-number&gt;164&lt;/rec-number&gt;&lt;foreign-keys&gt;&lt;key app="EN" db-id="d002edf05zxza3efrpr5sr9eaxw50ew20vap" timestamp="1608652947"&gt;164&lt;/key&gt;&lt;/foreign-keys&gt;&lt;ref-type name="Journal Article"&gt;17&lt;/ref-type&gt;&lt;contributors&gt;&lt;authors&gt;&lt;author&gt;Alkhalil, Adoum&lt;/author&gt;&lt;author&gt;Kadaoure, Ibrahima&lt;/author&gt;&lt;author&gt;Kouadio, Michel&lt;/author&gt;&lt;/authors&gt;&lt;/contributors&gt;&lt;titles&gt;&lt;title&gt;An Evaluation of 20-m ESA-CCI S2 Prototype LC Product&lt;/title&gt;&lt;secondary-title&gt;Frontiers in Sustainable Food Systems&lt;/secondary-title&gt;&lt;/titles&gt;&lt;periodical&gt;&lt;full-title&gt;Frontiers in Sustainable Food Systems&lt;/full-title&gt;&lt;/periodical&gt;&lt;pages&gt;7&lt;/pages&gt;&lt;volume&gt;4&lt;/volume&gt;&lt;number&gt;504334&lt;/number&gt;&lt;edition&gt;23 October 2020&lt;/edition&gt;&lt;keywords&gt;&lt;keyword&gt;Classification&lt;/keyword&gt;&lt;keyword&gt;ESA-CCI S2 prototype LC 20 m map&lt;/keyword&gt;&lt;keyword&gt;accuracy&lt;/keyword&gt;&lt;keyword&gt;precision&lt;/keyword&gt;&lt;keyword&gt;recall and Fβ measure&lt;/keyword&gt;&lt;/keywords&gt;&lt;dates&gt;&lt;year&gt;2020&lt;/year&gt;&lt;/dates&gt;&lt;urls&gt;&lt;related-urls&gt;&lt;url&gt;https://www.frontiersin.org/articles/10.3389/fsufs.2020.504334/full?&amp;amp;utm_source=Email_to_authors_&amp;amp;utm_medium=Email&amp;amp;utm_content=T1_11.5e1_author&amp;amp;utm_campaign=Email_publication&amp;amp;field=&amp;amp;journalName=Frontiers_in_Sustainable_Food_Systems&amp;amp;id=504334&lt;/url&gt;&lt;/related-urls&gt;&lt;/urls&gt;&lt;electronic-resource-num&gt;https://doi.org/10.3389/fsufs.2020.504334&lt;/electronic-resource-num&gt;&lt;/record&gt;&lt;/Cite&gt;&lt;/EndNote&gt;</w:instrText>
      </w:r>
      <w:r>
        <w:rPr>
          <w:rFonts w:ascii="Times New Roman" w:hAnsi="Times New Roman" w:cs="Times New Roman"/>
          <w:bCs/>
          <w:sz w:val="24"/>
          <w:szCs w:val="24"/>
        </w:rPr>
        <w:fldChar w:fldCharType="separate"/>
      </w:r>
      <w:r w:rsidR="00C51DE7">
        <w:rPr>
          <w:rFonts w:ascii="Times New Roman" w:hAnsi="Times New Roman" w:cs="Times New Roman"/>
          <w:bCs/>
          <w:noProof/>
          <w:sz w:val="24"/>
          <w:szCs w:val="24"/>
        </w:rPr>
        <w:t>Alkhalil et al. (2020)</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demonstrated a framework to evaluate the ESA CCI LC product with common land use classification accuracy assessment methods with ArcMap. The validation of the ESA CCI LC dataset has been done over African continents, </w:t>
      </w:r>
      <w:proofErr w:type="gramStart"/>
      <w:r>
        <w:rPr>
          <w:rFonts w:ascii="Times New Roman" w:hAnsi="Times New Roman" w:cs="Times New Roman"/>
          <w:bCs/>
          <w:sz w:val="24"/>
          <w:szCs w:val="24"/>
        </w:rPr>
        <w:t>China</w:t>
      </w:r>
      <w:proofErr w:type="gramEnd"/>
      <w:r>
        <w:rPr>
          <w:rFonts w:ascii="Times New Roman" w:hAnsi="Times New Roman" w:cs="Times New Roman"/>
          <w:bCs/>
          <w:sz w:val="24"/>
          <w:szCs w:val="24"/>
        </w:rPr>
        <w:t xml:space="preserve"> and European regions </w:t>
      </w:r>
      <w:r>
        <w:rPr>
          <w:rFonts w:ascii="Times New Roman" w:hAnsi="Times New Roman" w:cs="Times New Roman"/>
          <w:bCs/>
          <w:sz w:val="24"/>
          <w:szCs w:val="24"/>
        </w:rPr>
        <w:fldChar w:fldCharType="begin">
          <w:fldData xml:space="preserve">PEVuZE5vdGU+PENpdGU+PEF1dGhvcj5SZWluaGFydDwvQXV0aG9yPjxZZWFyPjIwMjA8L1llYXI+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=
</w:fldData>
        </w:fldChar>
      </w:r>
      <w:r w:rsidR="00C51DE7">
        <w:rPr>
          <w:rFonts w:ascii="Times New Roman" w:hAnsi="Times New Roman" w:cs="Times New Roman"/>
          <w:bCs/>
          <w:sz w:val="24"/>
          <w:szCs w:val="24"/>
        </w:rPr>
        <w:instrText xml:space="preserve"> ADDIN EN.CITE </w:instrText>
      </w:r>
      <w:r w:rsidR="00C51DE7">
        <w:rPr>
          <w:rFonts w:ascii="Times New Roman" w:hAnsi="Times New Roman" w:cs="Times New Roman"/>
          <w:bCs/>
          <w:sz w:val="24"/>
          <w:szCs w:val="24"/>
        </w:rPr>
        <w:fldChar w:fldCharType="begin">
          <w:fldData xml:space="preserve">PEVuZE5vdGU+PENpdGU+PEF1dGhvcj5SZWluaGFydDwvQXV0aG9yPjxZZWFyPjIwMjA8L1llYXI+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=
</w:fldData>
        </w:fldChar>
      </w:r>
      <w:r w:rsidR="00C51DE7">
        <w:rPr>
          <w:rFonts w:ascii="Times New Roman" w:hAnsi="Times New Roman" w:cs="Times New Roman"/>
          <w:bCs/>
          <w:sz w:val="24"/>
          <w:szCs w:val="24"/>
        </w:rPr>
        <w:instrText xml:space="preserve"> ADDIN EN.CITE.DATA </w:instrText>
      </w:r>
      <w:r w:rsidR="00C51DE7">
        <w:rPr>
          <w:rFonts w:ascii="Times New Roman" w:hAnsi="Times New Roman" w:cs="Times New Roman"/>
          <w:bCs/>
          <w:sz w:val="24"/>
          <w:szCs w:val="24"/>
        </w:rPr>
      </w:r>
      <w:r w:rsidR="00C51DE7">
        <w:rPr>
          <w:rFonts w:ascii="Times New Roman" w:hAnsi="Times New Roman" w:cs="Times New Roman"/>
          <w:bCs/>
          <w:sz w:val="24"/>
          <w:szCs w:val="24"/>
        </w:rPr>
        <w:fldChar w:fldCharType="end"/>
      </w:r>
      <w:r>
        <w:rPr>
          <w:rFonts w:ascii="Times New Roman" w:hAnsi="Times New Roman" w:cs="Times New Roman"/>
          <w:bCs/>
          <w:sz w:val="24"/>
          <w:szCs w:val="24"/>
        </w:rPr>
      </w:r>
      <w:r>
        <w:rPr>
          <w:rFonts w:ascii="Times New Roman" w:hAnsi="Times New Roman" w:cs="Times New Roman"/>
          <w:bCs/>
          <w:sz w:val="24"/>
          <w:szCs w:val="24"/>
        </w:rPr>
        <w:fldChar w:fldCharType="separate"/>
      </w:r>
      <w:r w:rsidR="00C51DE7">
        <w:rPr>
          <w:rFonts w:ascii="Times New Roman" w:hAnsi="Times New Roman" w:cs="Times New Roman"/>
          <w:bCs/>
          <w:noProof/>
          <w:sz w:val="24"/>
          <w:szCs w:val="24"/>
        </w:rPr>
        <w:t>(Reinhart et al., 2020, 2021)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however, there is lack of such assessment over southeast Asia region. Hence, the present study would like to tackle this research gap. </w:t>
      </w:r>
    </w:p>
    <w:p w14:paraId="0BC62BE8" w14:textId="0F02224D"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Kelantan River Basin (KRB) is frequently affected by monsoon floods during the early phase of the Northeast Monsoon (NEM) season. Mann-Kendall and Sen’s slope became common approaches to address the potential impacts of climatic change and variations of hydrologic time series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&lt;EndNote&gt;&lt;Cite&gt;&lt;Author&gt;Adnan&lt;/Author&gt;&lt;Year&gt;2016&lt;/Year&gt;&lt;RecNum&gt;125&lt;/RecNum&gt;&lt;DisplayText&gt;(Adnan et al., 2016)&lt;/DisplayText&gt;&lt;record&gt;&lt;rec-number&gt;125&lt;/rec-number&gt;&lt;foreign-keys&gt;&lt;key app="EN" db-id="d002edf05zxza3efrpr5sr9eaxw50ew20vap" timestamp="1606144324"&gt;125&lt;/key&gt;&lt;/foreign-keys&gt;&lt;ref-type name="Conference Paper"&gt;47&lt;/ref-type&gt;&lt;contributors&gt;&lt;authors&gt;&lt;author&gt;Adnan, Nor Aizam&lt;/author&gt;&lt;author&gt;Syed Ariffin, Sharifah Diyana&lt;/author&gt;&lt;author&gt;Asmat, Arnis&lt;/author&gt;&lt;author&gt;Mansor, Shattri&lt;/author&gt;&lt;/authors&gt;&lt;/contributors&gt;&lt;titles&gt;&lt;title&gt;Rainfall Trend Analysis and Geospatial Mapping of the Kelantan River Basin&lt;/title&gt;&lt;secondary-title&gt;Second International Symposium on Flood Research and Management 2015&lt;/secondary-title&gt;&lt;/titles&gt;&lt;keywords&gt;&lt;keyword&gt;rainfall time series&lt;/keyword&gt;&lt;keyword&gt;Mann kendall test&lt;/keyword&gt;&lt;keyword&gt;Sen&amp;apos;s slope estimator&lt;/keyword&gt;&lt;keyword&gt;Kriging interpolation&lt;/keyword&gt;&lt;/keywords&gt;&lt;dates&gt;&lt;year&gt;2016&lt;/year&gt;&lt;/dates&gt;&lt;pub-location&gt;Shah Alam, Malaysia&lt;/pub-location&gt;&lt;urls&gt;&lt;/urls&gt;&lt;/record&gt;&lt;/Cite&gt;&lt;/EndNote&gt;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(Adnan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AuthorYear="1"&gt;&lt;Author&gt;Alexander&lt;/Author&gt;&lt;Year&gt;2006&lt;/Year&gt;&lt;RecNum&gt;142&lt;/RecNum&gt;&lt;DisplayText&gt;Alexander et al. (2006)&lt;/DisplayText&gt;&lt;record&gt;&lt;rec-number&gt;142&lt;/rec-number&gt;&lt;foreign-keys&gt;&lt;key app="EN" db-id="d002edf05zxza3efrpr5sr9eaxw50ew20vap" timestamp="1606497623"&gt;142&lt;/key&gt;&lt;/foreign-keys&gt;&lt;ref-type name="Journal Article"&gt;17&lt;/ref-type&gt;&lt;contributors&gt;&lt;authors&gt;&lt;author&gt;Alexander, L. V.&lt;/author&gt;&lt;author&gt;Zhang, X.&lt;/author&gt;&lt;author&gt;Peterson, T. C.&lt;/author&gt;&lt;author&gt;Caesar, J.&lt;/author&gt;&lt;author&gt;Gleason, B.&lt;/author&gt;&lt;author&gt;Klein Tank, A. M. G.&lt;/author&gt;&lt;author&gt;Haylock, M.&lt;/author&gt;&lt;author&gt;Collins, D.&lt;/author&gt;&lt;author&gt;Trewin, B.&lt;/author&gt;&lt;author&gt;Rahimzadeh, F.&lt;/author&gt;&lt;author&gt;Tagipour, A.&lt;/author&gt;&lt;author&gt;Kumar, K. Rupa&lt;/author&gt;&lt;author&gt;Revadekar, J.&lt;/author&gt;&lt;author&gt;Griffiths, G.&lt;/author&gt;&lt;author&gt;Vincent, L.&lt;/author&gt;&lt;author&gt;Stephenson, D. B.&lt;/author&gt;&lt;author&gt;Burn, J.&lt;/author&gt;&lt;author&gt;Aguilar, E.&lt;/author&gt;&lt;author&gt;Brunet, M.&lt;/author&gt;&lt;author&gt;Taylor, M.&lt;/author&gt;&lt;author&gt;New, M.&lt;/author&gt;&lt;author&gt;Zhai, P.&lt;/author&gt;&lt;author&gt;Rusticucci, M.&lt;/author&gt;&lt;author&gt;Vazquez-Aguirre, J. L.&lt;/author&gt;&lt;/authors&gt;&lt;/contributors&gt;&lt;titles&gt;&lt;title&gt;Global observed changes in daily climate extremes of temperatureand precipitation&lt;/title&gt;&lt;secondary-title&gt;Journal of Geophysical Research&lt;/secondary-title&gt;&lt;/titles&gt;&lt;periodical&gt;&lt;full-title&gt;Journal of Geophysical Research&lt;/full-title&gt;&lt;/periodical&gt;&lt;pages&gt;22&lt;/pages&gt;&lt;volume&gt;111&lt;/volume&gt;&lt;number&gt;D05109&lt;/number&gt;&lt;dates&gt;&lt;year&gt;2006&lt;/year&gt;&lt;/dates&gt;&lt;urls&gt;&lt;related-urls&gt;&lt;url&gt;https://agupubs.onlinelibrary.wiley.com/doi/epdf/10.1029/2005JD006290&lt;/url&gt;&lt;/related-urls&gt;&lt;/urls&gt;&lt;electronic-resource-num&gt;10.1029/2005JD006290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Alexander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applied such nonparametric statistical analysis to analyze the global extremes of temperature and </w:t>
      </w:r>
      <w:r>
        <w:rPr>
          <w:rFonts w:ascii="Times New Roman" w:hAnsi="Times New Roman" w:cs="Times New Roman"/>
          <w:sz w:val="24"/>
          <w:szCs w:val="24"/>
        </w:rPr>
        <w:lastRenderedPageBreak/>
        <w:t xml:space="preserve">precipitation. </w:t>
      </w:r>
      <w:r w:rsidR="00CE01FB">
        <w:rPr>
          <w:rFonts w:ascii="Times New Roman" w:hAnsi="Times New Roman" w:cs="Times New Roman"/>
          <w:sz w:val="24"/>
          <w:szCs w:val="24"/>
        </w:rPr>
        <w:fldChar w:fldCharType="begin"/>
      </w:r>
      <w:r w:rsidR="0084377C">
        <w:rPr>
          <w:rFonts w:ascii="Times New Roman" w:hAnsi="Times New Roman" w:cs="Times New Roman"/>
          <w:sz w:val="24"/>
          <w:szCs w:val="24"/>
        </w:rPr>
        <w:instrText xml:space="preserve"> ADDIN EN.CITE &lt;EndNote&gt;&lt;Cite AuthorYear="1"&gt;&lt;Author&gt;Tan&lt;/Author&gt;&lt;Year&gt;2017&lt;/Year&gt;&lt;RecNum&gt;172&lt;/RecNum&gt;&lt;DisplayText&gt;Tan, Tan, et al. (2017)&lt;/DisplayText&gt;&lt;record&gt;&lt;rec-number&gt;172&lt;/rec-number&gt;&lt;foreign-keys&gt;&lt;key app="EN" db-id="d002edf05zxza3efrpr5sr9eaxw50ew20vap" timestamp="1609781447"&gt;172&lt;/key&gt;&lt;/foreign-keys&gt;&lt;ref-type name="Journal Article"&gt;17&lt;/ref-type&gt;&lt;contributors&gt;&lt;authors&gt;&lt;author&gt;Tan, Mou Leong&lt;/author&gt;&lt;author&gt;Tan, Kok Chooi&lt;/author&gt;&lt;author&gt;Chua, Vivien P.&lt;/author&gt;&lt;author&gt;Chan, Ngai Weng&lt;/author&gt;&lt;/authors&gt;&lt;/contributors&gt;&lt;titles&gt;&lt;title&gt;Evaluation of TRMM Product for Monitoring Drought in the Kelantan River Basin, Malaysia&lt;/title&gt;&lt;secondary-title&gt;Water&lt;/secondary-title&gt;&lt;/titles&gt;&lt;periodical&gt;&lt;full-title&gt;Water&lt;/full-title&gt;&lt;/periodical&gt;&lt;pages&gt;15&lt;/pages&gt;&lt;volume&gt;9&lt;/volume&gt;&lt;number&gt;1&lt;/number&gt;&lt;keywords&gt;&lt;keyword&gt;drought&lt;/keyword&gt;&lt;keyword&gt;TRMM&lt;/keyword&gt;&lt;keyword&gt;SPI&lt;/keyword&gt;&lt;keyword&gt;Precipitation&lt;/keyword&gt;&lt;keyword&gt;Kelantan&lt;/keyword&gt;&lt;keyword&gt;Malaysia&lt;/keyword&gt;&lt;keyword&gt;tropical&lt;/keyword&gt;&lt;/keywords&gt;&lt;dates&gt;&lt;year&gt;2017&lt;/year&gt;&lt;pub-dates&gt;&lt;date&gt;17 January 2017&lt;/date&gt;&lt;/pub-dates&gt;&lt;/dates&gt;&lt;urls&gt;&lt;/urls&gt;&lt;electronic-resource-num&gt;10.3390/w9010057 &lt;/electronic-resource-num&gt;&lt;/record&gt;&lt;/Cite&gt;&lt;/EndNote&gt;</w:instrText>
      </w:r>
      <w:r w:rsidR="00CE01FB">
        <w:rPr>
          <w:rFonts w:ascii="Times New Roman" w:hAnsi="Times New Roman" w:cs="Times New Roman"/>
          <w:sz w:val="24"/>
          <w:szCs w:val="24"/>
        </w:rPr>
        <w:fldChar w:fldCharType="separate"/>
      </w:r>
      <w:r w:rsidR="0084377C">
        <w:rPr>
          <w:rFonts w:ascii="Times New Roman" w:hAnsi="Times New Roman" w:cs="Times New Roman"/>
          <w:noProof/>
          <w:sz w:val="24"/>
          <w:szCs w:val="24"/>
        </w:rPr>
        <w:t>Tan et al. (2017</w:t>
      </w:r>
      <w:r w:rsidR="00326205">
        <w:rPr>
          <w:rFonts w:ascii="Times New Roman" w:hAnsi="Times New Roman" w:cs="Times New Roman"/>
          <w:noProof/>
          <w:sz w:val="24"/>
          <w:szCs w:val="24"/>
        </w:rPr>
        <w:t>a</w:t>
      </w:r>
      <w:r w:rsidR="0084377C">
        <w:rPr>
          <w:rFonts w:ascii="Times New Roman" w:hAnsi="Times New Roman" w:cs="Times New Roman"/>
          <w:noProof/>
          <w:sz w:val="24"/>
          <w:szCs w:val="24"/>
        </w:rPr>
        <w:t>)</w:t>
      </w:r>
      <w:r w:rsidR="00CE01FB">
        <w:rPr>
          <w:rFonts w:ascii="Times New Roman" w:hAnsi="Times New Roman" w:cs="Times New Roman"/>
          <w:sz w:val="24"/>
          <w:szCs w:val="24"/>
        </w:rPr>
        <w:fldChar w:fldCharType="end"/>
      </w:r>
      <w:r>
        <w:rPr>
          <w:rFonts w:ascii="Times New Roman" w:hAnsi="Times New Roman" w:cs="Times New Roman"/>
          <w:sz w:val="24"/>
          <w:szCs w:val="24"/>
        </w:rPr>
        <w:t xml:space="preserve"> evaluated the changes in precipitation extremes over KRB from 1985 to 2014, where most of the precipitation extreme had a significant trend. The finding is similar to </w:t>
      </w:r>
      <w:r w:rsidR="00CE01FB">
        <w:rPr>
          <w:rFonts w:ascii="Times New Roman" w:hAnsi="Times New Roman" w:cs="Times New Roman"/>
          <w:sz w:val="24"/>
          <w:szCs w:val="24"/>
        </w:rPr>
        <w:fldChar w:fldCharType="begin"/>
      </w:r>
      <w:r w:rsidR="00CE01FB">
        <w:rPr>
          <w:rFonts w:ascii="Times New Roman" w:hAnsi="Times New Roman" w:cs="Times New Roman"/>
          <w:sz w:val="24"/>
          <w:szCs w:val="24"/>
        </w:rPr>
        <w:instrText xml:space="preserve"> ADDIN EN.CITE &lt;EndNote&gt;&lt;Cite AuthorYear="1"&gt;&lt;Author&gt;Adnan&lt;/Author&gt;&lt;Year&gt;2011&lt;/Year&gt;&lt;RecNum&gt;165&lt;/RecNum&gt;&lt;DisplayText&gt;Adnan and Atkinson (2011)&lt;/DisplayText&gt;&lt;record&gt;&lt;rec-number&gt;165&lt;/rec-number&gt;&lt;foreign-keys&gt;&lt;key app="EN" db-id="d002edf05zxza3efrpr5sr9eaxw50ew20vap" timestamp="1608715625"&gt;165&lt;/key&gt;&lt;/foreign-keys&gt;&lt;ref-type name="Journal Article"&gt;17&lt;/ref-type&gt;&lt;contributors&gt;&lt;authors&gt;&lt;author&gt;Adnan, Nor Aizam&lt;/author&gt;&lt;author&gt;Atkinson, Peter M&lt;/author&gt;&lt;/authors&gt;&lt;/contributors&gt;&lt;titles&gt;&lt;title&gt;Exploring the impact of climate and land use changes on streamflow trends in a monsoon catchment&lt;/title&gt;&lt;secondary-title&gt;International Journal of Climatology&lt;/secondary-title&gt;&lt;/titles&gt;&lt;periodical&gt;&lt;full-title&gt;International Journal of Climatology&lt;/full-title&gt;&lt;/periodical&gt;&lt;pages&gt;17&lt;/pages&gt;&lt;volume&gt;31&lt;/volume&gt;&lt;edition&gt;11 March 2010&lt;/edition&gt;&lt;section&gt;815&lt;/section&gt;&lt;keywords&gt;&lt;keyword&gt;climate change&lt;/keyword&gt;&lt;keyword&gt;stream flow change&lt;/keyword&gt;&lt;keyword&gt;precipitation change&lt;/keyword&gt;&lt;keyword&gt;land use change&lt;/keyword&gt;&lt;keyword&gt;time-series&lt;/keyword&gt;&lt;keyword&gt;Trend analysis&lt;/keyword&gt;&lt;/keywords&gt;&lt;dates&gt;&lt;year&gt;2011&lt;/year&gt;&lt;/dates&gt;&lt;urls&gt;&lt;/urls&gt;&lt;electronic-resource-num&gt;10.1002/joc.2112&lt;/electronic-resource-num&gt;&lt;/record&gt;&lt;/Cite&gt;&lt;/EndNote&gt;</w:instrText>
      </w:r>
      <w:r w:rsidR="00CE01FB">
        <w:rPr>
          <w:rFonts w:ascii="Times New Roman" w:hAnsi="Times New Roman" w:cs="Times New Roman"/>
          <w:sz w:val="24"/>
          <w:szCs w:val="24"/>
        </w:rPr>
        <w:fldChar w:fldCharType="separate"/>
      </w:r>
      <w:r w:rsidR="00CE01FB">
        <w:rPr>
          <w:rFonts w:ascii="Times New Roman" w:hAnsi="Times New Roman" w:cs="Times New Roman"/>
          <w:noProof/>
          <w:sz w:val="24"/>
          <w:szCs w:val="24"/>
        </w:rPr>
        <w:t>Adnan and Atkinson (2011)</w:t>
      </w:r>
      <w:r w:rsidR="00CE01FB">
        <w:rPr>
          <w:rFonts w:ascii="Times New Roman" w:hAnsi="Times New Roman" w:cs="Times New Roman"/>
          <w:sz w:val="24"/>
          <w:szCs w:val="24"/>
        </w:rPr>
        <w:fldChar w:fldCharType="end"/>
      </w:r>
      <w:r w:rsidR="00CE01FB">
        <w:rPr>
          <w:rFonts w:ascii="Times New Roman" w:hAnsi="Times New Roman" w:cs="Times New Roman"/>
          <w:sz w:val="24"/>
          <w:szCs w:val="24"/>
        </w:rPr>
        <w:t xml:space="preserve"> </w:t>
      </w:r>
      <w:r>
        <w:rPr>
          <w:rFonts w:ascii="Times New Roman" w:hAnsi="Times New Roman" w:cs="Times New Roman"/>
          <w:sz w:val="24"/>
          <w:szCs w:val="24"/>
        </w:rPr>
        <w:t xml:space="preserve">who applied the same methods to test the trends in streamflow and rainfall in the KRB on a seasonal basis. They found there is small magnitude precipitation increasing trend in the upstream of </w:t>
      </w:r>
      <w:proofErr w:type="gramStart"/>
      <w:r>
        <w:rPr>
          <w:rFonts w:ascii="Times New Roman" w:hAnsi="Times New Roman" w:cs="Times New Roman"/>
          <w:sz w:val="24"/>
          <w:szCs w:val="24"/>
        </w:rPr>
        <w:t>Kelantan river</w:t>
      </w:r>
      <w:proofErr w:type="gramEnd"/>
      <w:r>
        <w:rPr>
          <w:rFonts w:ascii="Times New Roman" w:hAnsi="Times New Roman" w:cs="Times New Roman"/>
          <w:sz w:val="24"/>
          <w:szCs w:val="24"/>
        </w:rPr>
        <w:t xml:space="preserve"> during January, March, June, October, and December from 1975 to 2006. The study discovered an expansion of 400% agriculture activities in the basin, that it contributed to the increasing trend of streamflow in the basin. Later,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AuthorYear="1"&gt;&lt;Author&gt;Adnan&lt;/Author&gt;&lt;Year&gt;2016&lt;/Year&gt;&lt;RecNum&gt;125&lt;/RecNum&gt;&lt;DisplayText&gt;Adnan et al. (2016)&lt;/DisplayText&gt;&lt;record&gt;&lt;rec-number&gt;125&lt;/rec-number&gt;&lt;foreign-keys&gt;&lt;key app="EN" db-id="d002edf05zxza3efrpr5sr9eaxw50ew20vap" timestamp="1606144324"&gt;125&lt;/key&gt;&lt;/foreign-keys&gt;&lt;ref-type name="Conference Paper"&gt;47&lt;/ref-type&gt;&lt;contributors&gt;&lt;authors&gt;&lt;author&gt;Adnan, Nor Aizam&lt;/author&gt;&lt;author&gt;Syed Ariffin, Sharifah Diyana&lt;/author&gt;&lt;author&gt;Asmat, Arnis&lt;/author&gt;&lt;author&gt;Mansor, Shattri&lt;/author&gt;&lt;/authors&gt;&lt;/contributors&gt;&lt;titles&gt;&lt;title&gt;Rainfall Trend Analysis and Geospatial Mapping of the Kelantan River Basin&lt;/title&gt;&lt;secondary-title&gt;Second International Symposium on Flood Research and Management 2015&lt;/secondary-title&gt;&lt;/titles&gt;&lt;keywords&gt;&lt;keyword&gt;rainfall time series&lt;/keyword&gt;&lt;keyword&gt;Mann kendall test&lt;/keyword&gt;&lt;keyword&gt;Sen&amp;apos;s slope estimator&lt;/keyword&gt;&lt;keyword&gt;Kriging interpolation&lt;/keyword&gt;&lt;/keywords&gt;&lt;dates&gt;&lt;year&gt;2016&lt;/year&gt;&lt;/dates&gt;&lt;pub-location&gt;Shah Alam, Malaysia&lt;/pub-location&gt;&lt;urls&gt;&lt;/urls&gt;&lt;/record&gt;&lt;/Cite&gt;&lt;/EndNote&gt;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Adnan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computed the monthly, seasonal and annual trends of rainfall in the KRB using the same approaches. The above-mentioned studies focused the trends of climate and discussed about the possible causes that contributed, but the study on how the magnitude of land use change in the basin can affect the trends of changing of the climate is still limited. </w:t>
      </w:r>
    </w:p>
    <w:p w14:paraId="2968B6A4" w14:textId="77777777"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This study aims (1) to evaluate the capability of the ESA product in representing land use pattern in the Kelantan River Basin (KRB), Malaysia; (2) to assess the precipitation, maximum and minimum temperatures change from 1979 to 2018; and (3) to assess the relationship between land use and climate changes. The stress of land use change on the local climate was analyzed via the spatial cross-correlation analysis as recommended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AuthorYear="1"&gt;&lt;Author&gt;Chen&lt;/Author&gt;&lt;Year&gt;2015&lt;/Year&gt;&lt;RecNum&gt;144&lt;/RecNum&gt;&lt;DisplayText&gt;Chen (2015)&lt;/DisplayText&gt;&lt;record&gt;&lt;rec-number&gt;144&lt;/rec-number&gt;&lt;foreign-keys&gt;&lt;key app="EN" db-id="d002edf05zxza3efrpr5sr9eaxw50ew20vap" timestamp="1606501520"&gt;144&lt;/key&gt;&lt;/foreign-keys&gt;&lt;ref-type name="Journal Article"&gt;17&lt;/ref-type&gt;&lt;contributors&gt;&lt;authors&gt;&lt;author&gt;Chen, Yanguang&lt;/author&gt;&lt;/authors&gt;&lt;/contributors&gt;&lt;titles&gt;&lt;title&gt;A New Methodology of Spatial CrossCorrelation Analysis&lt;/title&gt;&lt;secondary-title&gt;PLOS ONE&lt;/secondary-title&gt;&lt;/titles&gt;&lt;periodical&gt;&lt;full-title&gt;PLoS ONE&lt;/full-title&gt;&lt;/periodical&gt;&lt;pages&gt;20&lt;/pages&gt;&lt;volume&gt;10&lt;/volume&gt;&lt;number&gt;5&lt;/number&gt;&lt;dates&gt;&lt;year&gt;2015&lt;/year&gt;&lt;pub-dates&gt;&lt;date&gt;19 May 2015&lt;/date&gt;&lt;/pub-dates&gt;&lt;/dates&gt;&lt;urls&gt;&lt;/urls&gt;&lt;electronic-resource-num&gt;10.1371/journal.pone.0126158&lt;/electronic-resource-num&gt;&lt;/record&gt;&lt;/Cite&gt;&lt;/EndNote&gt;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Chen (2015)</w:t>
      </w:r>
      <w:r>
        <w:rPr>
          <w:rFonts w:ascii="Times New Roman" w:hAnsi="Times New Roman" w:cs="Times New Roman"/>
          <w:sz w:val="24"/>
          <w:szCs w:val="24"/>
        </w:rPr>
        <w:fldChar w:fldCharType="end"/>
      </w:r>
      <w:r>
        <w:rPr>
          <w:rFonts w:ascii="Times New Roman" w:hAnsi="Times New Roman" w:cs="Times New Roman"/>
          <w:sz w:val="24"/>
          <w:szCs w:val="24"/>
        </w:rPr>
        <w:t xml:space="preserve">, in order to identify the magnitude of the respective impacts of land cover change towards climate variations.     </w:t>
      </w:r>
    </w:p>
    <w:p w14:paraId="31337577" w14:textId="77777777" w:rsidR="004A5F13" w:rsidRDefault="004A5F13">
      <w:pPr>
        <w:wordWrap/>
        <w:spacing w:line="480" w:lineRule="auto"/>
        <w:outlineLvl w:val="0"/>
        <w:rPr>
          <w:rFonts w:ascii="Times New Roman" w:hAnsi="Times New Roman" w:cs="Times New Roman"/>
          <w:sz w:val="24"/>
          <w:szCs w:val="24"/>
        </w:rPr>
      </w:pPr>
    </w:p>
    <w:p w14:paraId="1E2E1F70"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Materials and Methods</w:t>
      </w:r>
    </w:p>
    <w:p w14:paraId="6A78D0EB" w14:textId="77777777" w:rsidR="004A5F13" w:rsidRDefault="009E2627">
      <w:pPr>
        <w:wordWrap/>
        <w:spacing w:line="480" w:lineRule="auto"/>
        <w:outlineLvl w:val="0"/>
        <w:rPr>
          <w:rFonts w:ascii="Times New Roman" w:hAnsi="Times New Roman" w:cs="Times New Roman"/>
          <w:i/>
          <w:iCs/>
          <w:sz w:val="24"/>
          <w:szCs w:val="24"/>
        </w:rPr>
      </w:pPr>
      <w:r>
        <w:rPr>
          <w:rFonts w:ascii="Times New Roman" w:hAnsi="Times New Roman" w:cs="Times New Roman"/>
          <w:i/>
          <w:iCs/>
          <w:sz w:val="24"/>
          <w:szCs w:val="24"/>
        </w:rPr>
        <w:t>Study Area</w:t>
      </w:r>
    </w:p>
    <w:p w14:paraId="37F3C148"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The KRB is the major basin in the Kelantan state of Malaysia. Situated between latitudes of 4°30’N to 6°30’N and longitudes of 101°15’E to 102°45’E, the KRB covers 12,685.42 km², as shown in Figure 1. The topography of KRB is mountainous at the west and </w:t>
      </w:r>
      <w:r>
        <w:rPr>
          <w:rFonts w:ascii="Times New Roman" w:hAnsi="Times New Roman" w:cs="Times New Roman"/>
          <w:sz w:val="24"/>
          <w:szCs w:val="24"/>
        </w:rPr>
        <w:lastRenderedPageBreak/>
        <w:t xml:space="preserve">south whilst flat to the north, with elevation between 8 to 2,174 meters above the mean sea level. Generally, the topography of KRB can be divided into three classes: 1) flat areas below 500 meters above mean sea level in the middle of Gua Musang, Kuala Krai, </w:t>
      </w:r>
      <w:proofErr w:type="spellStart"/>
      <w:r>
        <w:rPr>
          <w:rFonts w:ascii="Times New Roman" w:hAnsi="Times New Roman" w:cs="Times New Roman"/>
          <w:sz w:val="24"/>
          <w:szCs w:val="24"/>
        </w:rPr>
        <w:t>Machang</w:t>
      </w:r>
      <w:proofErr w:type="spellEnd"/>
      <w:r>
        <w:rPr>
          <w:rFonts w:ascii="Times New Roman" w:hAnsi="Times New Roman" w:cs="Times New Roman"/>
          <w:sz w:val="24"/>
          <w:szCs w:val="24"/>
        </w:rPr>
        <w:t xml:space="preserve">, Tanah Merah, Kota Bahru and </w:t>
      </w:r>
      <w:proofErr w:type="spellStart"/>
      <w:r>
        <w:rPr>
          <w:rFonts w:ascii="Times New Roman" w:hAnsi="Times New Roman" w:cs="Times New Roman"/>
          <w:sz w:val="24"/>
          <w:szCs w:val="24"/>
        </w:rPr>
        <w:t>Tumpat</w:t>
      </w:r>
      <w:proofErr w:type="spellEnd"/>
      <w:r>
        <w:rPr>
          <w:rFonts w:ascii="Times New Roman" w:hAnsi="Times New Roman" w:cs="Times New Roman"/>
          <w:sz w:val="24"/>
          <w:szCs w:val="24"/>
        </w:rPr>
        <w:t xml:space="preserve">; 2) hilly terrain elevated at 500 to 1000 above mean sea level; and 3) mountainous terrain elevated at 1000 to 2,174 meters above mean sea level around the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Stong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Gagau</w:t>
      </w:r>
      <w:proofErr w:type="spellEnd"/>
      <w:r>
        <w:rPr>
          <w:rFonts w:ascii="Times New Roman" w:hAnsi="Times New Roman" w:cs="Times New Roman"/>
          <w:sz w:val="24"/>
          <w:szCs w:val="24"/>
        </w:rPr>
        <w:t xml:space="preserve"> that is located at the border of Perak and Kelantan where it is the upstream of Kelantan River. </w:t>
      </w:r>
    </w:p>
    <w:p w14:paraId="1D4AAEF1"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Kelantan River is the major river of the basin with 248 km in length and originates from the </w:t>
      </w:r>
      <w:proofErr w:type="spellStart"/>
      <w:r>
        <w:rPr>
          <w:rFonts w:ascii="Times New Roman" w:hAnsi="Times New Roman" w:cs="Times New Roman"/>
          <w:sz w:val="24"/>
          <w:szCs w:val="24"/>
        </w:rPr>
        <w:t>Titiwangsa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Tahan</w:t>
      </w:r>
      <w:proofErr w:type="spellEnd"/>
      <w:r>
        <w:rPr>
          <w:rFonts w:ascii="Times New Roman" w:hAnsi="Times New Roman" w:cs="Times New Roman"/>
          <w:sz w:val="24"/>
          <w:szCs w:val="24"/>
        </w:rPr>
        <w:t xml:space="preserve"> mountain ranges. The KRB exhibits the tropical monsoon where it receives abundant rainfall amount that exceeds 2500 mm/year and mean annual temperature of about 27.5°C. The KRB is dominantly forest, followed by partial cropland for rubber, oil palm and vegetable plantations and less than 3% of built-up. </w:t>
      </w:r>
    </w:p>
    <w:p w14:paraId="5526077A" w14:textId="7867233B"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Nevertheless, the KRB often affected by natural disaster. It is a flood prone region during the wet season from November to January wet season due to the rare and prolonged rainfall</w:t>
      </w:r>
      <w:r w:rsidR="00324B6B">
        <w:rPr>
          <w:rFonts w:ascii="Times New Roman" w:hAnsi="Times New Roman" w:cs="Times New Roman"/>
          <w:sz w:val="24"/>
          <w:szCs w:val="24"/>
        </w:rPr>
        <w:t xml:space="preserve"> </w:t>
      </w:r>
      <w:r w:rsidR="00324B6B">
        <w:rPr>
          <w:rFonts w:ascii="Times New Roman" w:hAnsi="Times New Roman" w:cs="Times New Roman"/>
          <w:sz w:val="24"/>
          <w:szCs w:val="24"/>
        </w:rPr>
        <w:fldChar w:fldCharType="begin"/>
      </w:r>
      <w:r w:rsidR="00324B6B">
        <w:rPr>
          <w:rFonts w:ascii="Times New Roman" w:hAnsi="Times New Roman" w:cs="Times New Roman"/>
          <w:sz w:val="24"/>
          <w:szCs w:val="24"/>
        </w:rPr>
        <w:instrText xml:space="preserve"> ADDIN EN.CITE &lt;EndNote&gt;&lt;Cite&gt;&lt;Author&gt;Koh&lt;/Author&gt;&lt;Year&gt;2021&lt;/Year&gt;&lt;RecNum&gt;195&lt;/RecNum&gt;&lt;DisplayText&gt;(Koh et al., 2021)&lt;/DisplayText&gt;&lt;record&gt;&lt;rec-number&gt;195&lt;/rec-number&gt;&lt;foreign-keys&gt;&lt;key app="EN" db-id="d002edf05zxza3efrpr5sr9eaxw50ew20vap" timestamp="1622888561"&gt;195&lt;/key&gt;&lt;/foreign-keys&gt;&lt;ref-type name="Journal Article"&gt;17&lt;/ref-type&gt;&lt;contributors&gt;&lt;authors&gt;&lt;author&gt;Koh, Liew See&lt;/author&gt;&lt;author&gt;Nayan, Nasir&lt;/author&gt;&lt;author&gt;Hashim, Mohmadsia&lt;/author&gt;&lt;author&gt;Saleh, Yazid&lt;/author&gt;&lt;author&gt;Mahat, Hanifah&lt;/author&gt;&lt;/authors&gt;&lt;/contributors&gt;&lt;titles&gt;&lt;title&gt;Alternative Water Resources Quality Assessment during Flood Disaster in Kuala Krai, Kelantan, Malaysia&lt;/title&gt;&lt;secondary-title&gt;Sains Malaysiana&lt;/secondary-title&gt;&lt;/titles&gt;&lt;periodical&gt;&lt;full-title&gt;Sains Malaysiana&lt;/full-title&gt;&lt;/periodical&gt;&lt;pages&gt;10&lt;/pages&gt;&lt;volume&gt;50&lt;/volume&gt;&lt;number&gt;3&lt;/number&gt;&lt;section&gt;645&lt;/section&gt;&lt;keywords&gt;&lt;keyword&gt;Flood water&lt;/keyword&gt;&lt;keyword&gt;rainwater&lt;/keyword&gt;&lt;keyword&gt;Water Quality Index&lt;/keyword&gt;&lt;keyword&gt;well water&lt;/keyword&gt;&lt;/keywords&gt;&lt;dates&gt;&lt;year&gt;2021&lt;/year&gt;&lt;pub-dates&gt;&lt;date&gt;9 Aug 2020&lt;/date&gt;&lt;/pub-dates&gt;&lt;/dates&gt;&lt;urls&gt;&lt;related-urls&gt;&lt;url&gt;https://www.ukm.my/jsm/pdf_files/SM-PDF-50-3-2021/7.pdf&lt;/url&gt;&lt;/related-urls&gt;&lt;/urls&gt;&lt;electronic-resource-num&gt;http://dx.doi.org/10.17576/jsm-2021-5003-07&lt;/electronic-resource-num&gt;&lt;/record&gt;&lt;/Cite&gt;&lt;/EndNote&gt;</w:instrText>
      </w:r>
      <w:r w:rsidR="00324B6B">
        <w:rPr>
          <w:rFonts w:ascii="Times New Roman" w:hAnsi="Times New Roman" w:cs="Times New Roman"/>
          <w:sz w:val="24"/>
          <w:szCs w:val="24"/>
        </w:rPr>
        <w:fldChar w:fldCharType="separate"/>
      </w:r>
      <w:r w:rsidR="00324B6B">
        <w:rPr>
          <w:rFonts w:ascii="Times New Roman" w:hAnsi="Times New Roman" w:cs="Times New Roman"/>
          <w:noProof/>
          <w:sz w:val="24"/>
          <w:szCs w:val="24"/>
        </w:rPr>
        <w:t>(Koh et al., 2021)</w:t>
      </w:r>
      <w:r w:rsidR="00324B6B">
        <w:rPr>
          <w:rFonts w:ascii="Times New Roman" w:hAnsi="Times New Roman" w:cs="Times New Roman"/>
          <w:sz w:val="24"/>
          <w:szCs w:val="24"/>
        </w:rPr>
        <w:fldChar w:fldCharType="end"/>
      </w:r>
      <w:r>
        <w:rPr>
          <w:rFonts w:ascii="Times New Roman" w:hAnsi="Times New Roman" w:cs="Times New Roman"/>
          <w:sz w:val="24"/>
          <w:szCs w:val="24"/>
        </w:rPr>
        <w:t xml:space="preserve">. One of the major floods occurred in 2014 which caused loss of approximately USD$ 370 million and 12 deaths. In contrast, KRB also experiencing droughts in the dry season from March to May. According to the previous </w:t>
      </w:r>
      <w:proofErr w:type="gramStart"/>
      <w:r>
        <w:rPr>
          <w:rFonts w:ascii="Times New Roman" w:hAnsi="Times New Roman" w:cs="Times New Roman"/>
          <w:sz w:val="24"/>
          <w:szCs w:val="24"/>
        </w:rPr>
        <w:t>researches</w:t>
      </w:r>
      <w:proofErr w:type="gramEnd"/>
      <w:r>
        <w:rPr>
          <w:rFonts w:ascii="Times New Roman" w:hAnsi="Times New Roman" w:cs="Times New Roman"/>
          <w:sz w:val="24"/>
          <w:szCs w:val="24"/>
        </w:rPr>
        <w:t xml:space="preserve">, these water-related disasters are expected to be severer in the future resulted from the climate change </w:t>
      </w:r>
      <w:r>
        <w:rPr>
          <w:rFonts w:ascii="Times New Roman" w:hAnsi="Times New Roman" w:cs="Times New Roman"/>
          <w:sz w:val="24"/>
          <w:szCs w:val="24"/>
        </w:rPr>
        <w:fldChar w:fldCharType="begin">
          <w:fldData xml:space="preserve">PEVuZE5vdGU+PENpdGU+PEF1dGhvcj5GYWl6YWxoYWtpbTwvQXV0aG9yPjxZZWFyPjIwMTc8L1ll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</w:fldData>
        </w:fldChar>
      </w:r>
      <w:r w:rsidR="00CE01FB">
        <w:rPr>
          <w:rFonts w:ascii="Times New Roman" w:hAnsi="Times New Roman" w:cs="Times New Roman"/>
          <w:sz w:val="24"/>
          <w:szCs w:val="24"/>
        </w:rPr>
        <w:instrText xml:space="preserve"> ADDIN EN.CITE </w:instrText>
      </w:r>
      <w:r w:rsidR="00CE01FB">
        <w:rPr>
          <w:rFonts w:ascii="Times New Roman" w:hAnsi="Times New Roman" w:cs="Times New Roman"/>
          <w:sz w:val="24"/>
          <w:szCs w:val="24"/>
        </w:rPr>
        <w:fldChar w:fldCharType="begin">
          <w:fldData xml:space="preserve">PEVuZE5vdGU+PENpdGU+PEF1dGhvcj5GYWl6YWxoYWtpbTwvQXV0aG9yPjxZZWFyPjIwMTc8L1ll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</w:fldData>
        </w:fldChar>
      </w:r>
      <w:r w:rsidR="00CE01FB">
        <w:rPr>
          <w:rFonts w:ascii="Times New Roman" w:hAnsi="Times New Roman" w:cs="Times New Roman"/>
          <w:sz w:val="24"/>
          <w:szCs w:val="24"/>
        </w:rPr>
        <w:instrText xml:space="preserve"> ADDIN EN.CITE.DATA </w:instrText>
      </w:r>
      <w:r w:rsidR="00CE01FB">
        <w:rPr>
          <w:rFonts w:ascii="Times New Roman" w:hAnsi="Times New Roman" w:cs="Times New Roman"/>
          <w:sz w:val="24"/>
          <w:szCs w:val="24"/>
        </w:rPr>
      </w:r>
      <w:r w:rsidR="00CE01FB">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E01FB">
        <w:rPr>
          <w:rFonts w:ascii="Times New Roman" w:hAnsi="Times New Roman" w:cs="Times New Roman"/>
          <w:noProof/>
          <w:sz w:val="24"/>
          <w:szCs w:val="24"/>
        </w:rPr>
        <w:t>(Faizalhakim et al., 2017; Tan et al., 2017</w:t>
      </w:r>
      <w:r w:rsidR="00326205">
        <w:rPr>
          <w:rFonts w:ascii="Times New Roman" w:hAnsi="Times New Roman" w:cs="Times New Roman"/>
          <w:noProof/>
          <w:sz w:val="24"/>
          <w:szCs w:val="24"/>
        </w:rPr>
        <w:t>b</w:t>
      </w:r>
      <w:r w:rsidR="00CE01F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14:paraId="3ABFB7B7" w14:textId="77777777" w:rsidR="004A5F13" w:rsidRDefault="004A5F13">
      <w:pPr>
        <w:wordWrap/>
        <w:spacing w:line="480" w:lineRule="auto"/>
        <w:outlineLvl w:val="0"/>
        <w:rPr>
          <w:rFonts w:ascii="Times New Roman" w:hAnsi="Times New Roman" w:cs="Times New Roman"/>
          <w:sz w:val="24"/>
          <w:szCs w:val="24"/>
        </w:rPr>
      </w:pPr>
    </w:p>
    <w:p w14:paraId="67F7B7F4" w14:textId="77777777" w:rsidR="004A5F13" w:rsidRDefault="009E2627">
      <w:pPr>
        <w:wordWrap/>
        <w:spacing w:line="480" w:lineRule="auto"/>
        <w:outlineLvl w:val="0"/>
        <w:rPr>
          <w:rFonts w:ascii="Times New Roman" w:hAnsi="Times New Roman" w:cs="Times New Roman"/>
          <w:i/>
          <w:iCs/>
          <w:sz w:val="24"/>
          <w:szCs w:val="24"/>
        </w:rPr>
      </w:pPr>
      <w:r>
        <w:rPr>
          <w:rFonts w:ascii="Times New Roman" w:hAnsi="Times New Roman" w:cs="Times New Roman"/>
          <w:i/>
          <w:iCs/>
          <w:sz w:val="24"/>
          <w:szCs w:val="24"/>
        </w:rPr>
        <w:t>Climate data</w:t>
      </w:r>
    </w:p>
    <w:p w14:paraId="2558E8A1" w14:textId="71146DC9" w:rsidR="004A5F13" w:rsidRDefault="009E2627">
      <w:pPr>
        <w:wordWrap/>
        <w:spacing w:line="480" w:lineRule="auto"/>
        <w:ind w:firstLine="720"/>
        <w:outlineLvl w:val="0"/>
        <w:rPr>
          <w:rFonts w:ascii="Times New Roman" w:hAnsi="Times New Roman" w:cs="Times New Roman"/>
          <w:bCs/>
          <w:sz w:val="24"/>
          <w:szCs w:val="24"/>
        </w:rPr>
      </w:pPr>
      <w:r>
        <w:rPr>
          <w:rFonts w:ascii="Times New Roman" w:hAnsi="Times New Roman" w:cs="Times New Roman"/>
          <w:bCs/>
          <w:sz w:val="24"/>
          <w:szCs w:val="24"/>
        </w:rPr>
        <w:t>The climate data used in this study are the observed rainfall (RF), maximum temperature (</w:t>
      </w:r>
      <w:proofErr w:type="spellStart"/>
      <w:r>
        <w:rPr>
          <w:rFonts w:ascii="Times New Roman" w:hAnsi="Times New Roman" w:cs="Times New Roman"/>
          <w:bCs/>
          <w:sz w:val="24"/>
          <w:szCs w:val="24"/>
        </w:rPr>
        <w:t>Tmax</w:t>
      </w:r>
      <w:proofErr w:type="spellEnd"/>
      <w:r>
        <w:rPr>
          <w:rFonts w:ascii="Times New Roman" w:hAnsi="Times New Roman" w:cs="Times New Roman"/>
          <w:bCs/>
          <w:sz w:val="24"/>
          <w:szCs w:val="24"/>
        </w:rPr>
        <w:t>) and minimum Temperature (</w:t>
      </w:r>
      <w:proofErr w:type="spellStart"/>
      <w:r>
        <w:rPr>
          <w:rFonts w:ascii="Times New Roman" w:hAnsi="Times New Roman" w:cs="Times New Roman"/>
          <w:bCs/>
          <w:sz w:val="24"/>
          <w:szCs w:val="24"/>
        </w:rPr>
        <w:t>Tmin</w:t>
      </w:r>
      <w:proofErr w:type="spellEnd"/>
      <w:r>
        <w:rPr>
          <w:rFonts w:ascii="Times New Roman" w:hAnsi="Times New Roman" w:cs="Times New Roman"/>
          <w:bCs/>
          <w:sz w:val="24"/>
          <w:szCs w:val="24"/>
        </w:rPr>
        <w:t>) from 1979 to 2018 obtained from the Malaysia Meteorological Department. The information of the climate stations is listed in Table 1.</w:t>
      </w:r>
    </w:p>
    <w:p w14:paraId="37C4AD0F" w14:textId="77777777" w:rsidR="00704B73" w:rsidRDefault="00704B73">
      <w:pPr>
        <w:wordWrap/>
        <w:spacing w:line="480" w:lineRule="auto"/>
        <w:ind w:firstLine="720"/>
        <w:outlineLvl w:val="0"/>
        <w:rPr>
          <w:rFonts w:ascii="Times New Roman" w:hAnsi="Times New Roman" w:cs="Times New Roman"/>
          <w:bCs/>
          <w:sz w:val="24"/>
          <w:szCs w:val="24"/>
        </w:rPr>
      </w:pPr>
    </w:p>
    <w:p w14:paraId="5EE12BEC" w14:textId="77777777" w:rsidR="004A5F13" w:rsidRDefault="009E2627">
      <w:pPr>
        <w:wordWrap/>
        <w:spacing w:line="480" w:lineRule="auto"/>
        <w:outlineLvl w:val="0"/>
        <w:rPr>
          <w:rFonts w:ascii="Times New Roman" w:hAnsi="Times New Roman" w:cs="Times New Roman"/>
          <w:i/>
          <w:iCs/>
          <w:sz w:val="24"/>
          <w:szCs w:val="24"/>
        </w:rPr>
      </w:pPr>
      <w:r>
        <w:rPr>
          <w:rFonts w:ascii="Times New Roman" w:hAnsi="Times New Roman" w:cs="Times New Roman"/>
          <w:i/>
          <w:iCs/>
          <w:sz w:val="24"/>
          <w:szCs w:val="24"/>
        </w:rPr>
        <w:t>ESA land use product</w:t>
      </w:r>
    </w:p>
    <w:p w14:paraId="7F5EE8DA" w14:textId="77777777" w:rsidR="004A5F13" w:rsidRDefault="009E2627">
      <w:pPr>
        <w:wordWrap/>
        <w:spacing w:line="480" w:lineRule="auto"/>
        <w:ind w:firstLine="720"/>
        <w:outlineLvl w:val="0"/>
        <w:rPr>
          <w:rFonts w:ascii="Times New Roman" w:hAnsi="Times New Roman" w:cs="Times New Roman"/>
          <w:bCs/>
          <w:sz w:val="24"/>
          <w:szCs w:val="24"/>
        </w:rPr>
      </w:pPr>
      <w:r>
        <w:rPr>
          <w:rFonts w:ascii="Times New Roman" w:hAnsi="Times New Roman" w:cs="Times New Roman"/>
          <w:bCs/>
          <w:sz w:val="24"/>
          <w:szCs w:val="24"/>
        </w:rPr>
        <w:t xml:space="preserve">Global land cover maps for three epochs under the ESA CCI project was selected for this study because long-term land use data is available. As the ESA CCI products are recorded at global scale, the tool for acquiring the datasets is made in a user-friendly website that enable study area extent data subset, coordinate system re-projection and resampling. The datasets can be accessed via the Sen2Cor website or http://maps.elie.ucl.ac.be/CCI/viewer/download.php in </w:t>
      </w:r>
      <w:proofErr w:type="spellStart"/>
      <w:r>
        <w:rPr>
          <w:rFonts w:ascii="Times New Roman" w:hAnsi="Times New Roman" w:cs="Times New Roman"/>
          <w:bCs/>
          <w:sz w:val="24"/>
          <w:szCs w:val="24"/>
        </w:rPr>
        <w:t>netCDF</w:t>
      </w:r>
      <w:proofErr w:type="spellEnd"/>
      <w:r>
        <w:rPr>
          <w:rFonts w:ascii="Times New Roman" w:hAnsi="Times New Roman" w:cs="Times New Roman"/>
          <w:bCs/>
          <w:sz w:val="24"/>
          <w:szCs w:val="24"/>
        </w:rPr>
        <w:t xml:space="preserve"> format </w:t>
      </w:r>
      <w:r>
        <w:rPr>
          <w:rFonts w:ascii="Times New Roman" w:hAnsi="Times New Roman" w:cs="Times New Roman"/>
          <w:bCs/>
          <w:sz w:val="24"/>
          <w:szCs w:val="24"/>
        </w:rPr>
        <w:fldChar w:fldCharType="begin">
          <w:fldData xml:space="preserve">PEVuZE5vdGU+PENpdGU+PEF1dGhvcj5FU0E8L0F1dGhvcj48WWVhcj4yMDEwPC9ZZWFyPjxSZWNO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</w:fldData>
        </w:fldChar>
      </w:r>
      <w:r>
        <w:rPr>
          <w:rFonts w:ascii="Times New Roman" w:hAnsi="Times New Roman" w:cs="Times New Roman"/>
          <w:bCs/>
          <w:sz w:val="24"/>
          <w:szCs w:val="24"/>
        </w:rPr>
        <w:instrText xml:space="preserve"> ADDIN EN.CITE </w:instrText>
      </w:r>
      <w:r>
        <w:rPr>
          <w:rFonts w:ascii="Times New Roman" w:hAnsi="Times New Roman" w:cs="Times New Roman"/>
          <w:bCs/>
          <w:sz w:val="24"/>
          <w:szCs w:val="24"/>
        </w:rPr>
        <w:fldChar w:fldCharType="begin">
          <w:fldData xml:space="preserve">PEVuZE5vdGU+PENpdGU+PEF1dGhvcj5FU0E8L0F1dGhvcj48WWVhcj4yMDEwPC9ZZWFyPjxSZWNO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</w:fldData>
        </w:fldChar>
      </w:r>
      <w:r>
        <w:rPr>
          <w:rFonts w:ascii="Times New Roman" w:hAnsi="Times New Roman" w:cs="Times New Roman"/>
          <w:bCs/>
          <w:sz w:val="24"/>
          <w:szCs w:val="24"/>
        </w:rPr>
        <w:instrText xml:space="preserve"> ADDIN EN.CITE.DATA </w:instrText>
      </w:r>
      <w:r>
        <w:rPr>
          <w:rFonts w:ascii="Times New Roman" w:hAnsi="Times New Roman" w:cs="Times New Roman"/>
          <w:bCs/>
          <w:sz w:val="24"/>
          <w:szCs w:val="24"/>
        </w:rPr>
      </w:r>
      <w:r>
        <w:rPr>
          <w:rFonts w:ascii="Times New Roman" w:hAnsi="Times New Roman" w:cs="Times New Roman"/>
          <w:bCs/>
          <w:sz w:val="24"/>
          <w:szCs w:val="24"/>
        </w:rPr>
        <w:fldChar w:fldCharType="end"/>
      </w:r>
      <w:r>
        <w:rPr>
          <w:rFonts w:ascii="Times New Roman" w:hAnsi="Times New Roman" w:cs="Times New Roman"/>
          <w:bCs/>
          <w:sz w:val="24"/>
          <w:szCs w:val="24"/>
        </w:rPr>
      </w:r>
      <w:r>
        <w:rPr>
          <w:rFonts w:ascii="Times New Roman" w:hAnsi="Times New Roman" w:cs="Times New Roman"/>
          <w:bCs/>
          <w:sz w:val="24"/>
          <w:szCs w:val="24"/>
        </w:rPr>
        <w:fldChar w:fldCharType="separate"/>
      </w:r>
      <w:r>
        <w:rPr>
          <w:rFonts w:ascii="Times New Roman" w:hAnsi="Times New Roman" w:cs="Times New Roman"/>
          <w:bCs/>
          <w:sz w:val="24"/>
          <w:szCs w:val="24"/>
        </w:rPr>
        <w:t>(ESA, 2010; Li et al., 2016)</w:t>
      </w:r>
      <w:r>
        <w:rPr>
          <w:rFonts w:ascii="Times New Roman" w:hAnsi="Times New Roman" w:cs="Times New Roman"/>
          <w:bCs/>
          <w:sz w:val="24"/>
          <w:szCs w:val="24"/>
        </w:rPr>
        <w:fldChar w:fldCharType="end"/>
      </w:r>
      <w:r>
        <w:rPr>
          <w:rFonts w:ascii="Times New Roman" w:hAnsi="Times New Roman" w:cs="Times New Roman"/>
          <w:bCs/>
          <w:sz w:val="24"/>
          <w:szCs w:val="24"/>
        </w:rPr>
        <w:t>.</w:t>
      </w:r>
    </w:p>
    <w:p w14:paraId="7717F784" w14:textId="77777777" w:rsidR="004A5F13" w:rsidRDefault="009E2627">
      <w:pPr>
        <w:wordWrap/>
        <w:spacing w:line="480" w:lineRule="auto"/>
        <w:outlineLvl w:val="0"/>
        <w:rPr>
          <w:rFonts w:ascii="Times New Roman" w:hAnsi="Times New Roman" w:cs="Times New Roman"/>
          <w:bCs/>
          <w:sz w:val="24"/>
          <w:szCs w:val="24"/>
        </w:rPr>
      </w:pPr>
      <w:r>
        <w:rPr>
          <w:rFonts w:ascii="Times New Roman" w:hAnsi="Times New Roman" w:cs="Times New Roman"/>
          <w:bCs/>
          <w:sz w:val="24"/>
          <w:szCs w:val="24"/>
        </w:rPr>
        <w:tab/>
        <w:t>One of the advantages of the ESA CCI data is the comprehensive sensor data archive. The ESA CCI products is a compilation of four different satellite data that has been analyzed and filed into ready-use climate products. The sensors involved are (1) full archive of AVHRR HRPT 1</w:t>
      </w:r>
      <w:r>
        <w:rPr>
          <w:rFonts w:ascii="Times New Roman" w:hAnsi="Times New Roman" w:cs="Times New Roman"/>
          <w:bCs/>
          <w:sz w:val="24"/>
          <w:szCs w:val="24"/>
          <w:lang w:val="en-MY"/>
        </w:rPr>
        <w:t xml:space="preserve"> </w:t>
      </w:r>
      <w:r>
        <w:rPr>
          <w:rFonts w:ascii="Times New Roman" w:hAnsi="Times New Roman" w:cs="Times New Roman"/>
          <w:bCs/>
          <w:sz w:val="24"/>
          <w:szCs w:val="24"/>
        </w:rPr>
        <w:t xml:space="preserve">km surface reflectance of seven days composite, available from years 1992 to 1999; (2) full archive of MERIS surface reflectance of seven days composite, available from years 2003 to 2011, at 300 meters and 1km resolution; (3) PROBA-V 1km time series surface reflectance of seven days’ composite, available from middle of March year 2014 to the end of year 2015 and (4) ENVISAT ASAR data for open water bodies mapping. </w:t>
      </w:r>
    </w:p>
    <w:p w14:paraId="6D7F7AC3" w14:textId="77777777" w:rsidR="004A5F13" w:rsidRDefault="004A5F13">
      <w:pPr>
        <w:wordWrap/>
        <w:spacing w:line="480" w:lineRule="auto"/>
        <w:ind w:firstLine="360"/>
        <w:outlineLvl w:val="0"/>
        <w:rPr>
          <w:rFonts w:ascii="Times New Roman" w:hAnsi="Times New Roman" w:cs="Times New Roman"/>
          <w:bCs/>
          <w:sz w:val="24"/>
          <w:szCs w:val="24"/>
        </w:rPr>
      </w:pPr>
    </w:p>
    <w:p w14:paraId="4E9575C3" w14:textId="77777777" w:rsidR="004A5F13" w:rsidRDefault="009E2627">
      <w:pPr>
        <w:wordWrap/>
        <w:spacing w:line="480" w:lineRule="auto"/>
        <w:outlineLvl w:val="0"/>
        <w:rPr>
          <w:rFonts w:ascii="Times New Roman" w:hAnsi="Times New Roman" w:cs="Times New Roman"/>
          <w:bCs/>
          <w:i/>
          <w:iCs/>
          <w:sz w:val="24"/>
          <w:szCs w:val="24"/>
        </w:rPr>
      </w:pPr>
      <w:r>
        <w:rPr>
          <w:rFonts w:ascii="Times New Roman" w:hAnsi="Times New Roman" w:cs="Times New Roman"/>
          <w:bCs/>
          <w:i/>
          <w:iCs/>
          <w:sz w:val="24"/>
          <w:szCs w:val="24"/>
        </w:rPr>
        <w:t>Methodology</w:t>
      </w:r>
    </w:p>
    <w:p w14:paraId="56D39B78" w14:textId="77777777" w:rsidR="004A5F13" w:rsidRDefault="009E2627">
      <w:pPr>
        <w:wordWrap/>
        <w:spacing w:line="480" w:lineRule="auto"/>
        <w:outlineLvl w:val="0"/>
        <w:rPr>
          <w:rFonts w:ascii="Times New Roman" w:hAnsi="Times New Roman" w:cs="Times New Roman"/>
          <w:bCs/>
          <w:i/>
          <w:iCs/>
          <w:sz w:val="24"/>
          <w:szCs w:val="24"/>
        </w:rPr>
      </w:pPr>
      <w:r>
        <w:rPr>
          <w:rFonts w:ascii="Times New Roman" w:hAnsi="Times New Roman" w:cs="Times New Roman"/>
          <w:bCs/>
          <w:i/>
          <w:iCs/>
          <w:sz w:val="24"/>
          <w:szCs w:val="24"/>
        </w:rPr>
        <w:t>Mann-Kendall trend test</w:t>
      </w:r>
    </w:p>
    <w:p w14:paraId="0F003E70" w14:textId="16C0EB5D" w:rsidR="004A5F13" w:rsidRDefault="009E2627">
      <w:pPr>
        <w:wordWrap/>
        <w:spacing w:line="480" w:lineRule="auto"/>
        <w:ind w:firstLine="720"/>
        <w:outlineLvl w:val="0"/>
        <w:rPr>
          <w:rFonts w:ascii="Times New Roman" w:hAnsi="Times New Roman" w:cs="Times New Roman"/>
          <w:bCs/>
          <w:sz w:val="24"/>
          <w:szCs w:val="24"/>
        </w:rPr>
      </w:pPr>
      <w:r>
        <w:rPr>
          <w:rFonts w:ascii="Times New Roman" w:hAnsi="Times New Roman" w:cs="Times New Roman"/>
          <w:bCs/>
          <w:sz w:val="24"/>
          <w:szCs w:val="24"/>
        </w:rPr>
        <w:t xml:space="preserve">The Mann-Kendall (MK) trend test was used in this study to analyze the temporal trends of RF, </w:t>
      </w:r>
      <w:proofErr w:type="spellStart"/>
      <w:r>
        <w:rPr>
          <w:rFonts w:ascii="Times New Roman" w:hAnsi="Times New Roman" w:cs="Times New Roman"/>
          <w:bCs/>
          <w:sz w:val="24"/>
          <w:szCs w:val="24"/>
        </w:rPr>
        <w:t>Tmax</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Tmin</w:t>
      </w:r>
      <w:proofErr w:type="spellEnd"/>
      <w:r>
        <w:rPr>
          <w:rFonts w:ascii="Times New Roman" w:hAnsi="Times New Roman" w:cs="Times New Roman"/>
          <w:bCs/>
          <w:sz w:val="24"/>
          <w:szCs w:val="24"/>
        </w:rPr>
        <w:t xml:space="preserve">. MK trend test is a non-parametric statistical approach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&lt;EndNote&gt;&lt;Cite&gt;&lt;Author&gt;Mann&lt;/Author&gt;&lt;Year&gt;1945&lt;/Year&gt;&lt;RecNum&gt;147&lt;/RecNum&gt;&lt;DisplayText&gt;(Kendall, 1975; Mann, 1945)&lt;/DisplayText&gt;&lt;record&gt;&lt;rec-number&gt;147&lt;/rec-number&gt;&lt;foreign-keys&gt;&lt;key app="EN" db-id="d002edf05zxza3efrpr5sr9eaxw50ew20vap" timestamp="1606717707"&gt;147&lt;/key&gt;&lt;/foreign-keys&gt;&lt;ref-type name="Journal Article"&gt;17&lt;/ref-type&gt;&lt;contributors&gt;&lt;authors&gt;&lt;author&gt;Mann, Henry B.&lt;/author&gt;&lt;/authors&gt;&lt;/contributors&gt;&lt;titles&gt;&lt;title&gt;Nonparametric Tests Against Trend&lt;/title&gt;&lt;secondary-title&gt;Econometrica&lt;/secondary-title&gt;&lt;/titles&gt;&lt;periodical&gt;&lt;full-title&gt;Econometrica&lt;/full-title&gt;&lt;/periodical&gt;&lt;pages&gt;15&lt;/pages&gt;&lt;volume&gt;13&lt;/volume&gt;&lt;number&gt;3&lt;/number&gt;&lt;section&gt;245&lt;/section&gt;&lt;dates&gt;&lt;year&gt;1945&lt;/year&gt;&lt;/dates&gt;&lt;urls&gt;&lt;related-urls&gt;&lt;url&gt;https://www.jstor.org/stable/1907187?casa_token=AgvGjFhfUhkAAAAA%3AI5iFi8LscS-agUm33jneqDjTqNSW1nGsq2OwbqLacWH8FqtYlwr7LfEIrahvz3DVFeKGyU37tpehMf4cg9L4WCpKsf4T0xGIfbpn3bTj2MF1GdHdlQ&amp;amp;seq=1#metadata_info_tab_contents&lt;/url&gt;&lt;/related-urls&gt;&lt;/urls&gt;&lt;electronic-resource-num&gt;https://doi.org/10.2307/1907187&lt;/electronic-resource-num&gt;&lt;/record&gt;&lt;/Cite&gt;&lt;Cite&gt;&lt;Author&gt;Kendall&lt;/Author&gt;&lt;Year&gt;1975&lt;/Year&gt;&lt;RecNum&gt;148&lt;/RecNum&gt;&lt;record&gt;&lt;rec-number&gt;148&lt;/rec-number&gt;&lt;foreign-keys&gt;&lt;key app="EN" db-id="d002edf05zxza3efrpr5sr9eaxw50ew20vap" timestamp="1606717862"&gt;148&lt;/key&gt;&lt;/foreign-keys&gt;&lt;ref-type name="Book"&gt;6&lt;/ref-type&gt;&lt;contributors&gt;&lt;authors&gt;&lt;author&gt;Kendall, Maurice G.&lt;/author&gt;&lt;/authors&gt;&lt;/contributors&gt;&lt;titles&gt;&lt;title&gt;Rank Correlation Methods&lt;/title&gt;&lt;/titles&gt;&lt;edition&gt;4&lt;/edition&gt;&lt;dates&gt;&lt;year&gt;1975&lt;/year&gt;&lt;/dates&gt;&lt;publisher&gt;London: Griffin&lt;/publisher&gt;&lt;urls&gt;&lt;related-urls&gt;&lt;url&gt;https://www.worldcat.org/title/rank-correlation-methods/oclc/3827024&lt;/url&gt;&lt;/related-urls&gt;&lt;/urls&gt;&lt;/record&gt;&lt;/Cite&gt;&lt;/EndNote&gt;</w:instrText>
      </w:r>
      <w:r>
        <w:rPr>
          <w:rFonts w:ascii="Times New Roman" w:hAnsi="Times New Roman" w:cs="Times New Roman"/>
          <w:bCs/>
          <w:sz w:val="24"/>
          <w:szCs w:val="24"/>
        </w:rPr>
        <w:fldChar w:fldCharType="separate"/>
      </w:r>
      <w:r>
        <w:rPr>
          <w:rFonts w:ascii="Times New Roman" w:hAnsi="Times New Roman" w:cs="Times New Roman"/>
          <w:bCs/>
          <w:sz w:val="24"/>
          <w:szCs w:val="24"/>
        </w:rPr>
        <w:t>(Kendall, 1975; Mann, 1945)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recommended by the World Meteorological Organization for trend detection of climate variables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&lt;EndNote&gt;&lt;Cite&gt;&lt;Author&gt;Mitchell&lt;/Author&gt;&lt;Year&gt;1966&lt;/Year&gt;&lt;RecNum&gt;146&lt;/RecNum&gt;&lt;DisplayText&gt;(Mitchell et al., 1966)&lt;/DisplayText&gt;&lt;record&gt;&lt;rec-number&gt;146&lt;/rec-number&gt;&lt;foreign-keys&gt;&lt;key app="EN" db-id="d002edf05zxza3efrpr5sr9eaxw50ew20vap" timestamp="1606666946"&gt;146&lt;/key&gt;&lt;/foreign-keys&gt;&lt;ref-type name="Report"&gt;27&lt;/ref-type&gt;&lt;contributors&gt;&lt;authors&gt;&lt;author&gt;Mitchell, J. M.&lt;/author&gt;&lt;author&gt;Chairman, Jr.&lt;/author&gt;&lt;author&gt;Dzerdzeevskii, B.&lt;/author&gt;&lt;author&gt;Flohn, H.&lt;/author&gt;&lt;author&gt;Hofmeyr, W. L.&lt;/author&gt;&lt;author&gt;Lamb, H. H.&lt;/author&gt;&lt;author&gt;Rao, K. N.&lt;/author&gt;&lt;author&gt;Wallén, C. C.&lt;/author&gt;&lt;/authors&gt;&lt;/contributors&gt;&lt;titles&gt;&lt;title&gt;Climatic Change&lt;/title&gt;&lt;secondary-title&gt;WMO Technical Note No. 79&lt;/secondary-title&gt;&lt;/titles&gt;&lt;pages&gt;99&lt;/pages&gt;&lt;dates&gt;&lt;year&gt;1966&lt;/year&gt;&lt;/dates&gt;&lt;pub-location&gt;Geneva, Switzerland&lt;/pub-location&gt;&lt;publisher&gt;World Meteorological Organization&lt;/publisher&gt;&lt;urls&gt;&lt;related-urls&gt;&lt;url&gt;https://library.wmo.int/doc_num.php?explnum_id=865&lt;/url&gt;&lt;/related-urls&gt;&lt;/urls&gt;&lt;access-date&gt;30 November 2020&lt;/access-date&gt;&lt;/record&gt;&lt;/Cite&gt;&lt;/EndNote&gt;</w:instrText>
      </w:r>
      <w:r>
        <w:rPr>
          <w:rFonts w:ascii="Times New Roman" w:hAnsi="Times New Roman" w:cs="Times New Roman"/>
          <w:bCs/>
          <w:sz w:val="24"/>
          <w:szCs w:val="24"/>
        </w:rPr>
        <w:fldChar w:fldCharType="separate"/>
      </w:r>
      <w:r>
        <w:rPr>
          <w:rFonts w:ascii="Times New Roman" w:hAnsi="Times New Roman" w:cs="Times New Roman"/>
          <w:bCs/>
          <w:sz w:val="24"/>
          <w:szCs w:val="24"/>
        </w:rPr>
        <w:t>(Mitchell et al., 1966)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The direct and simple interpretation of MK trend test result made it a popular approach for </w:t>
      </w:r>
      <w:r w:rsidR="00704B73">
        <w:rPr>
          <w:rFonts w:ascii="Times New Roman" w:hAnsi="Times New Roman" w:cs="Times New Roman"/>
          <w:bCs/>
          <w:sz w:val="24"/>
          <w:szCs w:val="24"/>
        </w:rPr>
        <w:t>analyz</w:t>
      </w:r>
      <w:r>
        <w:rPr>
          <w:rFonts w:ascii="Times New Roman" w:hAnsi="Times New Roman" w:cs="Times New Roman"/>
          <w:bCs/>
          <w:sz w:val="24"/>
          <w:szCs w:val="24"/>
        </w:rPr>
        <w:t xml:space="preserve">ing climatic </w:t>
      </w:r>
      <w:r>
        <w:rPr>
          <w:rFonts w:ascii="Times New Roman" w:hAnsi="Times New Roman" w:cs="Times New Roman"/>
          <w:bCs/>
          <w:sz w:val="24"/>
          <w:szCs w:val="24"/>
        </w:rPr>
        <w:lastRenderedPageBreak/>
        <w:t xml:space="preserve">variability trends.  </w:t>
      </w:r>
    </w:p>
    <w:p w14:paraId="117E6D37" w14:textId="77777777" w:rsidR="00704B73" w:rsidRDefault="00704B73">
      <w:pPr>
        <w:wordWrap/>
        <w:spacing w:line="480" w:lineRule="auto"/>
        <w:ind w:firstLine="720"/>
        <w:outlineLvl w:val="0"/>
        <w:rPr>
          <w:rFonts w:ascii="Times New Roman" w:hAnsi="Times New Roman" w:cs="Times New Roman"/>
          <w:sz w:val="24"/>
          <w:szCs w:val="24"/>
        </w:rPr>
      </w:pPr>
    </w:p>
    <w:p w14:paraId="0B19A317" w14:textId="77777777" w:rsidR="004A5F13" w:rsidRDefault="009E2627">
      <w:pPr>
        <w:wordWrap/>
        <w:spacing w:line="480" w:lineRule="auto"/>
        <w:outlineLvl w:val="0"/>
        <w:rPr>
          <w:rFonts w:ascii="Times New Roman" w:hAnsi="Times New Roman" w:cs="Times New Roman"/>
          <w:bCs/>
          <w:i/>
          <w:iCs/>
          <w:sz w:val="24"/>
          <w:szCs w:val="24"/>
        </w:rPr>
      </w:pPr>
      <w:r>
        <w:rPr>
          <w:rFonts w:ascii="Times New Roman" w:hAnsi="Times New Roman" w:cs="Times New Roman"/>
          <w:bCs/>
          <w:i/>
          <w:iCs/>
          <w:sz w:val="24"/>
          <w:szCs w:val="24"/>
        </w:rPr>
        <w:t>Sen’s slope estimator</w:t>
      </w:r>
    </w:p>
    <w:p w14:paraId="71926020"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bCs/>
          <w:sz w:val="24"/>
          <w:szCs w:val="24"/>
        </w:rPr>
        <w:t xml:space="preserve">In this study, Sen’s slope estimator is applied to measure and compare the magnitude changes of RF, </w:t>
      </w:r>
      <w:proofErr w:type="spellStart"/>
      <w:r>
        <w:rPr>
          <w:rFonts w:ascii="Times New Roman" w:hAnsi="Times New Roman" w:cs="Times New Roman"/>
          <w:bCs/>
          <w:sz w:val="24"/>
          <w:szCs w:val="24"/>
        </w:rPr>
        <w:t>Tmax</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Tmin</w:t>
      </w:r>
      <w:proofErr w:type="spellEnd"/>
      <w:r>
        <w:rPr>
          <w:rFonts w:ascii="Times New Roman" w:hAnsi="Times New Roman" w:cs="Times New Roman"/>
          <w:bCs/>
          <w:sz w:val="24"/>
          <w:szCs w:val="24"/>
        </w:rPr>
        <w:t xml:space="preserve">. Sen’s slope is an unbiased estimation of the monotonic trend of the original data that </w:t>
      </w:r>
      <w:proofErr w:type="gramStart"/>
      <w:r>
        <w:rPr>
          <w:rFonts w:ascii="Times New Roman" w:hAnsi="Times New Roman" w:cs="Times New Roman"/>
          <w:bCs/>
          <w:sz w:val="24"/>
          <w:szCs w:val="24"/>
        </w:rPr>
        <w:t>is able to</w:t>
      </w:r>
      <w:proofErr w:type="gramEnd"/>
      <w:r>
        <w:rPr>
          <w:rFonts w:ascii="Times New Roman" w:hAnsi="Times New Roman" w:cs="Times New Roman"/>
          <w:bCs/>
          <w:sz w:val="24"/>
          <w:szCs w:val="24"/>
        </w:rPr>
        <w:t xml:space="preserve"> be determined by the true slope of MK trend </w:t>
      </w:r>
      <w:r>
        <w:rPr>
          <w:rFonts w:ascii="Times New Roman" w:hAnsi="Times New Roman" w:cs="Times New Roman"/>
          <w:bCs/>
          <w:sz w:val="24"/>
          <w:szCs w:val="24"/>
        </w:rPr>
        <w:fldChar w:fldCharType="begin">
          <w:fldData xml:space="preserve">PEVuZE5vdGU+PENpdGU+PEF1dGhvcj5BYnVuZ2JhPC9BdXRob3I+PFllYXI+MjAyMDwvWWVhcj48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</w:fldData>
        </w:fldChar>
      </w:r>
      <w:r>
        <w:rPr>
          <w:rFonts w:ascii="Times New Roman" w:hAnsi="Times New Roman" w:cs="Times New Roman"/>
          <w:bCs/>
          <w:sz w:val="24"/>
          <w:szCs w:val="24"/>
        </w:rPr>
        <w:instrText xml:space="preserve"> ADDIN EN.CITE </w:instrText>
      </w:r>
      <w:r>
        <w:rPr>
          <w:rFonts w:ascii="Times New Roman" w:hAnsi="Times New Roman" w:cs="Times New Roman"/>
          <w:bCs/>
          <w:sz w:val="24"/>
          <w:szCs w:val="24"/>
        </w:rPr>
        <w:fldChar w:fldCharType="begin">
          <w:fldData xml:space="preserve">PEVuZE5vdGU+PENpdGU+PEF1dGhvcj5BYnVuZ2JhPC9BdXRob3I+PFllYXI+MjAyMDwvWWVhcj48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</w:fldData>
        </w:fldChar>
      </w:r>
      <w:r>
        <w:rPr>
          <w:rFonts w:ascii="Times New Roman" w:hAnsi="Times New Roman" w:cs="Times New Roman"/>
          <w:bCs/>
          <w:sz w:val="24"/>
          <w:szCs w:val="24"/>
        </w:rPr>
        <w:instrText xml:space="preserve"> ADDIN EN.CITE.DATA </w:instrText>
      </w:r>
      <w:r>
        <w:rPr>
          <w:rFonts w:ascii="Times New Roman" w:hAnsi="Times New Roman" w:cs="Times New Roman"/>
          <w:bCs/>
          <w:sz w:val="24"/>
          <w:szCs w:val="24"/>
        </w:rPr>
      </w:r>
      <w:r>
        <w:rPr>
          <w:rFonts w:ascii="Times New Roman" w:hAnsi="Times New Roman" w:cs="Times New Roman"/>
          <w:bCs/>
          <w:sz w:val="24"/>
          <w:szCs w:val="24"/>
        </w:rPr>
        <w:fldChar w:fldCharType="end"/>
      </w:r>
      <w:r>
        <w:rPr>
          <w:rFonts w:ascii="Times New Roman" w:hAnsi="Times New Roman" w:cs="Times New Roman"/>
          <w:bCs/>
          <w:sz w:val="24"/>
          <w:szCs w:val="24"/>
        </w:rPr>
      </w:r>
      <w:r>
        <w:rPr>
          <w:rFonts w:ascii="Times New Roman" w:hAnsi="Times New Roman" w:cs="Times New Roman"/>
          <w:bCs/>
          <w:sz w:val="24"/>
          <w:szCs w:val="24"/>
        </w:rPr>
        <w:fldChar w:fldCharType="separate"/>
      </w:r>
      <w:r>
        <w:rPr>
          <w:rFonts w:ascii="Times New Roman" w:hAnsi="Times New Roman" w:cs="Times New Roman"/>
          <w:bCs/>
          <w:sz w:val="24"/>
          <w:szCs w:val="24"/>
        </w:rPr>
        <w:t>(Abungba et al., 2020; Sen, 1968)</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14:paraId="177EA35D" w14:textId="77777777" w:rsidR="004A5F13" w:rsidRDefault="004A5F13">
      <w:pPr>
        <w:spacing w:line="480" w:lineRule="auto"/>
        <w:rPr>
          <w:rFonts w:ascii="Times New Roman" w:hAnsi="Times New Roman" w:cs="Times New Roman"/>
          <w:sz w:val="24"/>
          <w:szCs w:val="24"/>
        </w:rPr>
      </w:pPr>
    </w:p>
    <w:p w14:paraId="704DE473" w14:textId="77777777" w:rsidR="004A5F13" w:rsidRDefault="009E2627">
      <w:pPr>
        <w:wordWrap/>
        <w:spacing w:line="480" w:lineRule="auto"/>
        <w:outlineLvl w:val="0"/>
        <w:rPr>
          <w:rFonts w:ascii="Times New Roman" w:hAnsi="Times New Roman" w:cs="Times New Roman"/>
          <w:bCs/>
          <w:i/>
          <w:iCs/>
          <w:sz w:val="24"/>
          <w:szCs w:val="24"/>
        </w:rPr>
      </w:pPr>
      <w:r>
        <w:rPr>
          <w:rFonts w:ascii="Times New Roman" w:hAnsi="Times New Roman" w:cs="Times New Roman"/>
          <w:bCs/>
          <w:i/>
          <w:iCs/>
          <w:sz w:val="24"/>
          <w:szCs w:val="24"/>
        </w:rPr>
        <w:t>Spatial-correlation analysis</w:t>
      </w:r>
    </w:p>
    <w:p w14:paraId="7741FC6C" w14:textId="77777777" w:rsidR="004A5F13" w:rsidRDefault="009E2627">
      <w:pPr>
        <w:spacing w:line="480" w:lineRule="auto"/>
        <w:ind w:firstLine="720"/>
        <w:rPr>
          <w:rFonts w:ascii="Times New Roman" w:hAnsi="Times New Roman" w:cs="Times New Roman"/>
          <w:sz w:val="24"/>
          <w:szCs w:val="24"/>
        </w:rPr>
      </w:pPr>
      <w:r>
        <w:rPr>
          <w:rFonts w:ascii="Times New Roman" w:hAnsi="Times New Roman" w:cs="Times New Roman"/>
          <w:bCs/>
          <w:sz w:val="24"/>
          <w:szCs w:val="24"/>
        </w:rPr>
        <w:t xml:space="preserve">Pearson’s correlation, r is a statistic that measures the linear correlation between two variables x and y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&lt;EndNote&gt;&lt;Cite&gt;&lt;Author&gt;Pearson&lt;/Author&gt;&lt;Year&gt;1895&lt;/Year&gt;&lt;RecNum&gt;151&lt;/RecNum&gt;&lt;DisplayText&gt;(Pearson, 1895)&lt;/DisplayText&gt;&lt;record&gt;&lt;rec-number&gt;151&lt;/rec-number&gt;&lt;foreign-keys&gt;&lt;key app="EN" db-id="d002edf05zxza3efrpr5sr9eaxw50ew20vap" timestamp="1606721998"&gt;151&lt;/key&gt;&lt;/foreign-keys&gt;&lt;ref-type name="Journal Article"&gt;17&lt;/ref-type&gt;&lt;contributors&gt;&lt;authors&gt;&lt;author&gt;Pearson, Karl&lt;/author&gt;&lt;/authors&gt;&lt;/contributors&gt;&lt;titles&gt;&lt;title&gt;Note on regression and inheritance in the case of two parents&lt;/title&gt;&lt;secondary-title&gt;Proceedings of The Royal Society of London&lt;/secondary-title&gt;&lt;/titles&gt;&lt;periodical&gt;&lt;full-title&gt;Proceedings of The Royal Society of London&lt;/full-title&gt;&lt;/periodical&gt;&lt;volume&gt;58&lt;/volume&gt;&lt;number&gt;347-352&lt;/number&gt;&lt;dates&gt;&lt;year&gt;1895&lt;/year&gt;&lt;pub-dates&gt;&lt;date&gt;31 December 1895&lt;/date&gt;&lt;/pub-dates&gt;&lt;/dates&gt;&lt;urls&gt;&lt;related-urls&gt;&lt;url&gt;https://royalsocietypublishing.org/doi/abs/10.1098/rspl.1895.0041&lt;/url&gt;&lt;/related-urls&gt;&lt;/urls&gt;&lt;electronic-resource-num&gt;https://doi.org/10.1098/rspl.1895.0041&lt;/electronic-resource-num&gt;&lt;/record&gt;&lt;/Cite&gt;&lt;/EndNote&gt;</w:instrText>
      </w:r>
      <w:r>
        <w:rPr>
          <w:rFonts w:ascii="Times New Roman" w:hAnsi="Times New Roman" w:cs="Times New Roman"/>
          <w:bCs/>
          <w:sz w:val="24"/>
          <w:szCs w:val="24"/>
        </w:rPr>
        <w:fldChar w:fldCharType="separate"/>
      </w:r>
      <w:r>
        <w:rPr>
          <w:rFonts w:ascii="Times New Roman" w:hAnsi="Times New Roman" w:cs="Times New Roman"/>
          <w:bCs/>
          <w:sz w:val="24"/>
          <w:szCs w:val="24"/>
        </w:rPr>
        <w:t>(Pearson, 1895)</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r>
        <w:rPr>
          <w:rFonts w:ascii="Times New Roman" w:hAnsi="Times New Roman" w:cs="Times New Roman"/>
          <w:sz w:val="24"/>
          <w:szCs w:val="24"/>
        </w:rPr>
        <w:t xml:space="preserve">In this study, r is used to correlate the land use change with the RF,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of each station. r is expressed as below:</w:t>
      </w:r>
    </w:p>
    <w:p w14:paraId="397DA3C3" w14:textId="77777777" w:rsidR="004A5F13" w:rsidRDefault="009E2627">
      <w:pPr>
        <w:spacing w:line="480" w:lineRule="auto"/>
        <w:jc w:val="center"/>
        <w:rPr>
          <w:rFonts w:ascii="Times New Roman" w:hAnsi="Times New Roman" w:cs="Times New Roman"/>
          <w:sz w:val="24"/>
          <w:szCs w:val="24"/>
        </w:rPr>
      </w:pPr>
      <w:r>
        <w:rPr>
          <w:rFonts w:ascii="Times New Roman" w:hAnsi="Times New Roman" w:cs="Times New Roman"/>
          <w:position w:val="-40"/>
          <w:sz w:val="24"/>
          <w:szCs w:val="24"/>
        </w:rPr>
        <w:object w:dxaOrig="2872" w:dyaOrig="841" w14:anchorId="6D5E6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5pt;height:42pt" o:ole="">
            <v:imagedata r:id="rId8" o:title=""/>
          </v:shape>
          <o:OLEObject Type="Embed" ProgID="Equation.DSMT4" ShapeID="_x0000_i1025" DrawAspect="Content" ObjectID="_1707643369" r:id="rId9"/>
        </w:object>
      </w:r>
    </w:p>
    <w:p w14:paraId="1E9DEA7D" w14:textId="77777777" w:rsidR="004A5F13" w:rsidRDefault="009E2627">
      <w:pPr>
        <w:spacing w:line="480" w:lineRule="auto"/>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Pr>
          <w:rFonts w:ascii="Times New Roman" w:hAnsi="Times New Roman" w:cs="Times New Roman"/>
          <w:sz w:val="24"/>
          <w:szCs w:val="24"/>
        </w:rPr>
        <w:t xml:space="preserve"> is the values of the x-variable in a sample;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x </m:t>
            </m:r>
          </m:e>
        </m:acc>
      </m:oMath>
      <w:r>
        <w:rPr>
          <w:rFonts w:ascii="Times New Roman" w:hAnsi="Times New Roman" w:cs="Times New Roman"/>
          <w:sz w:val="24"/>
          <w:szCs w:val="24"/>
        </w:rPr>
        <w:t xml:space="preserve"> is the mean of the x-variables;</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Pr>
          <w:rFonts w:ascii="Times New Roman" w:hAnsi="Times New Roman" w:cs="Times New Roman"/>
          <w:sz w:val="24"/>
          <w:szCs w:val="24"/>
        </w:rPr>
        <w:t xml:space="preserve"> is the values of the y-variable in a sample;</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y</m:t>
            </m:r>
          </m:e>
        </m:acc>
      </m:oMath>
      <w:r>
        <w:rPr>
          <w:rFonts w:ascii="Times New Roman" w:hAnsi="Times New Roman" w:cs="Times New Roman"/>
          <w:sz w:val="24"/>
          <w:szCs w:val="24"/>
        </w:rPr>
        <w:t xml:space="preserve"> is the mean of the y-variables.</w:t>
      </w:r>
    </w:p>
    <w:p w14:paraId="74A70EA7" w14:textId="77777777" w:rsidR="004A5F13" w:rsidRDefault="009E262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interpretation of r is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MK trend test and Sen’s slope estimator as well, at which the return value of r is between -1 and 0, where r &gt; 0 indicates positive relation between the x and y variables, r &lt; 0 represents negative relation between the x and y variables, and 0 shows no relationship between the two variables.</w:t>
      </w:r>
    </w:p>
    <w:p w14:paraId="47EA0558" w14:textId="77777777" w:rsidR="004A5F13" w:rsidRDefault="004A5F13">
      <w:pPr>
        <w:spacing w:line="480" w:lineRule="auto"/>
        <w:ind w:firstLine="720"/>
        <w:rPr>
          <w:rFonts w:ascii="Times New Roman" w:hAnsi="Times New Roman" w:cs="Times New Roman"/>
          <w:sz w:val="24"/>
          <w:szCs w:val="24"/>
        </w:rPr>
      </w:pPr>
    </w:p>
    <w:p w14:paraId="77DBD15D" w14:textId="77777777" w:rsidR="004A5F13" w:rsidRDefault="009E2627">
      <w:pPr>
        <w:spacing w:line="480" w:lineRule="auto"/>
        <w:rPr>
          <w:rFonts w:ascii="Times New Roman" w:hAnsi="Times New Roman" w:cs="Times New Roman"/>
          <w:i/>
          <w:sz w:val="24"/>
          <w:szCs w:val="24"/>
        </w:rPr>
      </w:pPr>
      <w:r>
        <w:rPr>
          <w:rFonts w:ascii="Times New Roman" w:hAnsi="Times New Roman" w:cs="Times New Roman"/>
          <w:i/>
          <w:sz w:val="24"/>
          <w:szCs w:val="24"/>
        </w:rPr>
        <w:t>ESA data validation</w:t>
      </w:r>
    </w:p>
    <w:p w14:paraId="46FBD92B" w14:textId="2D3A7596" w:rsidR="004A5F13" w:rsidRDefault="009E262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Accuracy assessment is a process to quantitatively assess the effectiveness of the pixels sampled into the correct land cover class. </w:t>
      </w:r>
      <w:bookmarkStart w:id="4" w:name="_Hlk73792283"/>
      <w:r>
        <w:rPr>
          <w:rFonts w:ascii="Times New Roman" w:hAnsi="Times New Roman" w:cs="Times New Roman"/>
          <w:sz w:val="24"/>
          <w:szCs w:val="24"/>
        </w:rPr>
        <w:t xml:space="preserve">In this study, the accuracy assessment of the ESA data is done by first reclassify the dataset into agriculture, forest, urban and water to </w:t>
      </w:r>
      <w:r>
        <w:rPr>
          <w:rFonts w:ascii="Times New Roman" w:hAnsi="Times New Roman" w:cs="Times New Roman"/>
          <w:sz w:val="24"/>
          <w:szCs w:val="24"/>
        </w:rPr>
        <w:lastRenderedPageBreak/>
        <w:t xml:space="preserve">match with the 1992, 2000, 2008 and 2015 land use maps prepared by the Department of Agriculture (DOA) and </w:t>
      </w:r>
      <w:proofErr w:type="spellStart"/>
      <w:r>
        <w:rPr>
          <w:rFonts w:ascii="Times New Roman" w:hAnsi="Times New Roman" w:cs="Times New Roman"/>
          <w:sz w:val="24"/>
          <w:szCs w:val="24"/>
        </w:rPr>
        <w:t>MaCGDI</w:t>
      </w:r>
      <w:proofErr w:type="spellEnd"/>
      <w:r>
        <w:rPr>
          <w:rFonts w:ascii="Times New Roman" w:hAnsi="Times New Roman" w:cs="Times New Roman"/>
          <w:sz w:val="24"/>
          <w:szCs w:val="24"/>
        </w:rPr>
        <w:t xml:space="preserve">. </w:t>
      </w:r>
      <w:bookmarkStart w:id="5" w:name="_Hlk73795276"/>
      <w:bookmarkEnd w:id="4"/>
      <w:r w:rsidR="005907C7">
        <w:rPr>
          <w:rFonts w:ascii="Times New Roman" w:hAnsi="Times New Roman" w:cs="Times New Roman"/>
          <w:sz w:val="24"/>
          <w:szCs w:val="24"/>
        </w:rPr>
        <w:t>The years of ESA data</w:t>
      </w:r>
      <w:r w:rsidR="00036820">
        <w:rPr>
          <w:rFonts w:ascii="Times New Roman" w:hAnsi="Times New Roman" w:cs="Times New Roman"/>
          <w:sz w:val="24"/>
          <w:szCs w:val="24"/>
        </w:rPr>
        <w:t>set selected are 1992, 1993, 1999, 2000, 2001, 2007, 2008, 2009, 2014, 2015, and 2016, as the land cover for the years before and after the years with agency data would not have dramatical changes</w:t>
      </w:r>
      <w:r w:rsidR="005907C7">
        <w:rPr>
          <w:rFonts w:ascii="Times New Roman" w:hAnsi="Times New Roman" w:cs="Times New Roman"/>
          <w:sz w:val="24"/>
          <w:szCs w:val="24"/>
        </w:rPr>
        <w:t>.</w:t>
      </w:r>
      <w:bookmarkEnd w:id="5"/>
      <w:r w:rsidR="005907C7">
        <w:rPr>
          <w:rFonts w:ascii="Times New Roman" w:hAnsi="Times New Roman" w:cs="Times New Roman"/>
          <w:sz w:val="24"/>
          <w:szCs w:val="24"/>
        </w:rPr>
        <w:t xml:space="preserve"> </w:t>
      </w:r>
      <w:r>
        <w:rPr>
          <w:rFonts w:ascii="Times New Roman" w:hAnsi="Times New Roman" w:cs="Times New Roman"/>
          <w:sz w:val="24"/>
          <w:szCs w:val="24"/>
        </w:rPr>
        <w:t xml:space="preserve">A total of 160 random points at 40 points for each land cover class is generated for the validation purpose, as suggested by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 AuthorYear="1"&gt;&lt;Author&gt;Wulder&lt;/Author&gt;&lt;Year&gt;2006&lt;/Year&gt;&lt;RecNum&gt;157&lt;/RecNum&gt;&lt;DisplayText&gt;Wulder et al. (2006)&lt;/DisplayText&gt;&lt;record&gt;&lt;rec-number&gt;157&lt;/rec-number&gt;&lt;foreign-keys&gt;&lt;key app="EN" db-id="d002edf05zxza3efrpr5sr9eaxw50ew20vap" timestamp="1606810955"&gt;157&lt;/key&gt;&lt;/foreign-keys&gt;&lt;ref-type name="Journal Article"&gt;17&lt;/ref-type&gt;&lt;contributors&gt;&lt;authors&gt;&lt;author&gt;Wulder, Michael A.&lt;/author&gt;&lt;author&gt;Franklin, Steven E.&lt;/author&gt;&lt;author&gt;White, Joanne C.&lt;/author&gt;&lt;author&gt;Linke, Julia&lt;/author&gt;&lt;author&gt;Magnussen, Steen&lt;/author&gt;&lt;/authors&gt;&lt;/contributors&gt;&lt;titles&gt;&lt;title&gt;An accuracy assessment framework for large-area land cover classification products derived from medium-resolution satellite data&lt;/title&gt;&lt;secondary-title&gt;International Journal of Remote Sensing&lt;/secondary-title&gt;&lt;/titles&gt;&lt;periodical&gt;&lt;full-title&gt;International Journal of Remote Sensing&lt;/full-title&gt;&lt;/periodical&gt;&lt;pages&gt;21&lt;/pages&gt;&lt;volume&gt;27&lt;/volume&gt;&lt;number&gt;4&lt;/number&gt;&lt;edition&gt;20 February 2006&lt;/edition&gt;&lt;section&gt;663&lt;/section&gt;&lt;dates&gt;&lt;year&gt;2006&lt;/year&gt;&lt;/dates&gt;&lt;urls&gt;&lt;related-urls&gt;&lt;url&gt;http://individual.utoronto.ca/julialinke/Wulderetal_2006_accuracyassessment.pdf&lt;/url&gt;&lt;/related-urls&gt;&lt;/urls&gt;&lt;electronic-resource-num&gt;10.1080/01431160500185284&lt;/electronic-resource-num&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Wulder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Overall classification accuracy and the Kappa coefficient is used as the indicator of the accuracy assessment. </w:t>
      </w:r>
    </w:p>
    <w:p w14:paraId="46C70E2D" w14:textId="77777777" w:rsidR="004A5F13" w:rsidRDefault="009E26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Overall Accuracy = </w:t>
      </w:r>
      <m:oMath>
        <m:f>
          <m:fPr>
            <m:ctrlPr>
              <w:rPr>
                <w:rFonts w:ascii="Cambria Math" w:hAnsi="Cambria Math" w:cs="Times New Roman"/>
                <w:i/>
                <w:sz w:val="24"/>
                <w:szCs w:val="24"/>
              </w:rPr>
            </m:ctrlPr>
          </m:fPr>
          <m:num>
            <m:r>
              <w:rPr>
                <w:rFonts w:ascii="Cambria Math" w:hAnsi="Cambria Math" w:cs="Times New Roman"/>
                <w:sz w:val="24"/>
                <w:szCs w:val="24"/>
              </w:rPr>
              <m:t>No. of correctly matched pixels</m:t>
            </m:r>
          </m:num>
          <m:den>
            <m:r>
              <w:rPr>
                <w:rFonts w:ascii="Cambria Math" w:hAnsi="Cambria Math" w:cs="Times New Roman"/>
                <w:sz w:val="24"/>
                <w:szCs w:val="24"/>
              </w:rPr>
              <m:t>Total number of pixels</m:t>
            </m:r>
          </m:den>
        </m:f>
      </m:oMath>
    </w:p>
    <w:p w14:paraId="2447E527" w14:textId="77777777" w:rsidR="004A5F13" w:rsidRDefault="009E262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Kappa coefficient, ĸ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P</m:t>
                </m:r>
              </m:e>
              <m:sub>
                <m:r>
                  <w:rPr>
                    <w:rFonts w:ascii="Cambria Math" w:hAnsi="Cambria Math" w:cs="Times New Roman"/>
                    <w:sz w:val="24"/>
                    <w:szCs w:val="24"/>
                  </w:rPr>
                  <m:t>e</m:t>
                </m:r>
              </m:sub>
            </m:sSub>
          </m:num>
          <m:den>
            <m:r>
              <w:rPr>
                <w:rFonts w:ascii="Cambria Math" w:hAnsi="Cambria Math" w:cs="Times New Roman"/>
                <w:sz w:val="24"/>
                <w:szCs w:val="24"/>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p>
    <w:p w14:paraId="3E73A8EC" w14:textId="77777777" w:rsidR="004A5F13" w:rsidRDefault="009E2627">
      <w:pPr>
        <w:spacing w:line="480" w:lineRule="auto"/>
        <w:rPr>
          <w:rFonts w:ascii="Times New Roman"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oMath>
      <w:r>
        <w:rPr>
          <w:rFonts w:ascii="Times New Roman" w:hAnsi="Times New Roman" w:cs="Times New Roman"/>
          <w:sz w:val="24"/>
          <w:szCs w:val="24"/>
        </w:rPr>
        <w:t xml:space="preserve"> is the relative observed agreement among the raters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Pr>
          <w:rFonts w:ascii="Times New Roman" w:hAnsi="Times New Roman" w:cs="Times New Roman"/>
          <w:sz w:val="24"/>
          <w:szCs w:val="24"/>
        </w:rPr>
        <w:t xml:space="preserve"> is the hypothetical probability of chance agreement for each randomly observation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&lt;EndNote&gt;&lt;Cite&gt;&lt;Author&gt;Cohen&lt;/Author&gt;&lt;Year&gt;1960&lt;/Year&gt;&lt;RecNum&gt;158&lt;/RecNum&gt;&lt;DisplayText&gt;(Cohen, 1960)&lt;/DisplayText&gt;&lt;record&gt;&lt;rec-number&gt;158&lt;/rec-number&gt;&lt;foreign-keys&gt;&lt;key app="EN" db-id="d002edf05zxza3efrpr5sr9eaxw50ew20vap" timestamp="1606821845"&gt;158&lt;/key&gt;&lt;/foreign-keys&gt;&lt;ref-type name="Journal Article"&gt;17&lt;/ref-type&gt;&lt;contributors&gt;&lt;authors&gt;&lt;author&gt;Cohen, Jacob&lt;/author&gt;&lt;/authors&gt;&lt;/contributors&gt;&lt;titles&gt;&lt;title&gt;A Coefficient of Agreement for Nominal Scales&lt;/title&gt;&lt;secondary-title&gt;Educational and Psychological Measurement&lt;/secondary-title&gt;&lt;/titles&gt;&lt;periodical&gt;&lt;full-title&gt;Educational and Psychological Measurement&lt;/full-title&gt;&lt;/periodical&gt;&lt;pages&gt;10&lt;/pages&gt;&lt;volume&gt;20&lt;/volume&gt;&lt;number&gt;1&lt;/number&gt;&lt;section&gt;37&lt;/section&gt;&lt;dates&gt;&lt;year&gt;1960&lt;/year&gt;&lt;/dates&gt;&lt;urls&gt;&lt;/urls&gt;&lt;electronic-resource-num&gt;https://doi.org/10.1177%2F001316446002000104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(Cohen, 1960)</w:t>
      </w:r>
      <w:r>
        <w:rPr>
          <w:rFonts w:ascii="Times New Roman" w:hAnsi="Times New Roman" w:cs="Times New Roman"/>
          <w:sz w:val="24"/>
          <w:szCs w:val="24"/>
        </w:rPr>
        <w:fldChar w:fldCharType="end"/>
      </w:r>
      <w:r>
        <w:rPr>
          <w:rFonts w:ascii="Times New Roman" w:hAnsi="Times New Roman" w:cs="Times New Roman"/>
          <w:sz w:val="24"/>
          <w:szCs w:val="24"/>
        </w:rPr>
        <w:t xml:space="preserve">. In terms of remote sensing classification, ĸ will return a value in between 0 to 1, where the value can be interpreted by poor agreement: ĸ &lt; 0.20, fair agreement: 0.20 &lt; ĸ &lt; 0.40, moderate agreement: 0.40 &lt; ĸ &lt; 0.60; good agreement: 0.60 &lt; ĸ &lt; 0.80, very good agreement: 0.80 &lt; ĸ &lt; 1.00. Thus, a result with accuracy of above 70% and ĸ value of above 0.60 is considered an acceptable result. The ESA validation process is done by extracting the pixels matched correctly to the land cover class accordingly and compute the error matrix. </w:t>
      </w:r>
    </w:p>
    <w:p w14:paraId="23A727A3" w14:textId="77777777" w:rsidR="004A5F13" w:rsidRDefault="004A5F13">
      <w:pPr>
        <w:wordWrap/>
        <w:spacing w:line="480" w:lineRule="auto"/>
        <w:outlineLvl w:val="0"/>
        <w:rPr>
          <w:rFonts w:ascii="Times New Roman" w:hAnsi="Times New Roman" w:cs="Times New Roman"/>
          <w:b/>
          <w:sz w:val="24"/>
          <w:szCs w:val="24"/>
        </w:rPr>
      </w:pPr>
    </w:p>
    <w:p w14:paraId="5EA85A26"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Results and Discussion</w:t>
      </w:r>
    </w:p>
    <w:p w14:paraId="7B975E02" w14:textId="77777777" w:rsidR="004A5F13" w:rsidRDefault="009E2627">
      <w:pPr>
        <w:wordWrap/>
        <w:spacing w:line="480" w:lineRule="auto"/>
        <w:outlineLvl w:val="0"/>
        <w:rPr>
          <w:rFonts w:ascii="Times New Roman" w:hAnsi="Times New Roman" w:cs="Times New Roman"/>
          <w:i/>
          <w:iCs/>
          <w:sz w:val="24"/>
          <w:szCs w:val="24"/>
        </w:rPr>
      </w:pPr>
      <w:r>
        <w:rPr>
          <w:rFonts w:ascii="Times New Roman" w:hAnsi="Times New Roman" w:cs="Times New Roman"/>
          <w:i/>
          <w:iCs/>
          <w:sz w:val="24"/>
          <w:szCs w:val="24"/>
        </w:rPr>
        <w:t>Validation of ESA CCI Land Cover Data</w:t>
      </w:r>
    </w:p>
    <w:p w14:paraId="78FE7CBE" w14:textId="0B98E378"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The results of the ESA product accuracy assessment are listed in Table 2. The overall accuracy of the validation shows that ESA CCI LC data was 74.53% matched with the reference land use data, at ĸ of 0.66 where the assessment result is at substantial agreement. One of the major challenges in analyzing the accuracy of the ESA CCI LC data was the differentiation of forest and agricultural vegetation covers where the dataset classified </w:t>
      </w:r>
      <w:r>
        <w:rPr>
          <w:rFonts w:ascii="Times New Roman" w:hAnsi="Times New Roman" w:cs="Times New Roman"/>
          <w:sz w:val="24"/>
          <w:szCs w:val="24"/>
        </w:rPr>
        <w:lastRenderedPageBreak/>
        <w:t xml:space="preserve">vegetated covers as rainfed, rainfed herbaceous, rainfed tree or shrub, mosaic cropland, mosaic natural vegetation, broadleaved evergreen closed to open tree.  Reclassifying these classes into matching land use class with the dataset from Malaysian land use information provider agency would face difficulties in the case that tropical region was often covered with combination of woody and herbaceous vegetation in the forest and oil palm and rubber dominated commercial crops. The large-scaled diversity of farming crops in the KRB have contributed to the complicated vegetation covers in the region. This may induce confusion while classifying the vegetation cover with remote sensing methods. Looking into the accuracy of each year, the overall accuracies maintained at above 0.72 except for the year 2015. This event can be explained by the devasting flood on 2014 have destroyed the diversity of croplands in the basin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&lt;EndNote&gt;&lt;Cite&gt;&lt;Author&gt;Samsurijan&lt;/Author&gt;&lt;Year&gt;2018&lt;/Year&gt;&lt;RecNum&gt;167&lt;/RecNum&gt;&lt;DisplayText&gt;(Samsurijan et al., 2018)&lt;/DisplayText&gt;&lt;record&gt;&lt;rec-number&gt;167&lt;/rec-number&gt;&lt;foreign-keys&gt;&lt;key app="EN" db-id="d002edf05zxza3efrpr5sr9eaxw50ew20vap" timestamp="1609134633"&gt;167&lt;/key&gt;&lt;/foreign-keys&gt;&lt;ref-type name="Journal Article"&gt;17&lt;/ref-type&gt;&lt;contributors&gt;&lt;authors&gt;&lt;author&gt;Samsurijan, Mohamad Shaharudin&lt;/author&gt;&lt;author&gt;Adbd Rahman, Nik Norulaini&lt;/author&gt;&lt;author&gt;Syakir Ishak, Muhammad Izzuddin&lt;/author&gt;&lt;author&gt;Masron, Tajul Ariffin&lt;/author&gt;&lt;author&gt;Kadir, Omar&lt;/author&gt;&lt;/authors&gt;&lt;/contributors&gt;&lt;titles&gt;&lt;title&gt;Land use change in Kelantan: Review of the Environmental Impact Assessment (EIA) reports&lt;/title&gt;&lt;secondary-title&gt;GEOGRAFIA OnlineTM Malaysian Journal of Society and Space&lt;/secondary-title&gt;&lt;/titles&gt;&lt;periodical&gt;&lt;full-title&gt;GEOGRAFIA OnlineTM Malaysian Journal of Society and Space&lt;/full-title&gt;&lt;/periodical&gt;&lt;pages&gt;10&lt;/pages&gt;&lt;volume&gt;14&lt;/volume&gt;&lt;number&gt;4&lt;/number&gt;&lt;section&gt;322&lt;/section&gt;&lt;keywords&gt;&lt;keyword&gt;agriculture&lt;/keyword&gt;&lt;keyword&gt;deforestation&lt;/keyword&gt;&lt;keyword&gt;environment impact assessment&lt;/keyword&gt;&lt;keyword&gt;Environmental Quality Act 1974&lt;/keyword&gt;&lt;keyword&gt;flood risk&lt;/keyword&gt;&lt;keyword&gt;land use change&lt;/keyword&gt;&lt;/keywords&gt;&lt;dates&gt;&lt;year&gt;2018&lt;/year&gt;&lt;/dates&gt;&lt;isbn&gt;2680-2491&lt;/isbn&gt;&lt;urls&gt;&lt;related-urls&gt;&lt;url&gt;https://ejournal.ukm.my/gmjss/article/view/29101/8660&lt;/url&gt;&lt;/related-urls&gt;&lt;/urls&gt;&lt;electronic-resource-num&gt;https://doi.org/10.17576/geo-2018-1404-26&lt;/electronic-resource-num&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(Samsurijan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6047557" w14:textId="0AB99798"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Referring to Figure 2, the land use changes in the KRB from 1992 to 2018 can be explained through few perspectives: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unstable growth of agriculture lands; (ii) increment of forest; (iii) urban expansion; and (iv) open water surface remained unchanged. The trend was similar to the study done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AuthorYear="1"&gt;&lt;Author&gt;Udin&lt;/Author&gt;&lt;Year&gt;2017&lt;/Year&gt;&lt;RecNum&gt;168&lt;/RecNum&gt;&lt;DisplayText&gt;Udin and Zahuri (2017)&lt;/DisplayText&gt;&lt;record&gt;&lt;rec-number&gt;168&lt;/rec-number&gt;&lt;foreign-keys&gt;&lt;key app="EN" db-id="d002edf05zxza3efrpr5sr9eaxw50ew20vap" timestamp="1609160830"&gt;168&lt;/key&gt;&lt;/foreign-keys&gt;&lt;ref-type name="Journal Article"&gt;17&lt;/ref-type&gt;&lt;contributors&gt;&lt;authors&gt;&lt;author&gt;Udin, Wani Sofia&lt;/author&gt;&lt;author&gt;Zahuri, Zuhaira Nadhila&lt;/author&gt;&lt;/authors&gt;&lt;/contributors&gt;&lt;titles&gt;&lt;title&gt;Land Use and Land Cover Detection by Different Classification Systems using Remotely Sensed Data of Kuala Tiga, Tanah Merah Kelantan, Malaysia&lt;/title&gt;&lt;secondary-title&gt;Journal of Tropical Resources and Sustaonable Science&lt;/secondary-title&gt;&lt;/titles&gt;&lt;periodical&gt;&lt;full-title&gt;Journal of Tropical Resources and Sustaonable Science&lt;/full-title&gt;&lt;/periodical&gt;&lt;pages&gt;7&lt;/pages&gt;&lt;volume&gt;5&lt;/volume&gt;&lt;edition&gt;28 December 2017&lt;/edition&gt;&lt;section&gt;145&lt;/section&gt;&lt;keywords&gt;&lt;keyword&gt;accuracy&lt;/keyword&gt;&lt;keyword&gt;land use and land cover change&lt;/keyword&gt;&lt;keyword&gt;remote sensing&lt;/keyword&gt;&lt;keyword&gt;supervised&lt;/keyword&gt;&lt;keyword&gt;unsupervised classification&lt;/keyword&gt;&lt;/keywords&gt;&lt;dates&gt;&lt;year&gt;2017&lt;/year&gt;&lt;/dates&gt;&lt;urls&gt;&lt;related-urls&gt;&lt;url&gt;https://jtrss.org/JTRSS/volume5/JTRSS-12-12-17-MAZ36/5-3-145-151.pdf&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Udin and Zahuri (2017)</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sidR="00CE01FB">
        <w:rPr>
          <w:rFonts w:ascii="Times New Roman" w:hAnsi="Times New Roman" w:cs="Times New Roman"/>
          <w:sz w:val="24"/>
          <w:szCs w:val="24"/>
        </w:rPr>
        <w:instrText xml:space="preserve"> ADDIN EN.CITE &lt;EndNote&gt;&lt;Cite AuthorYear="1"&gt;&lt;Author&gt;Adnan&lt;/Author&gt;&lt;Year&gt;2011&lt;/Year&gt;&lt;RecNum&gt;165&lt;/RecNum&gt;&lt;DisplayText&gt;Adnan and Atkinson (2011)&lt;/DisplayText&gt;&lt;record&gt;&lt;rec-number&gt;165&lt;/rec-number&gt;&lt;foreign-keys&gt;&lt;key app="EN" db-id="d002edf05zxza3efrpr5sr9eaxw50ew20vap" timestamp="1608715625"&gt;165&lt;/key&gt;&lt;/foreign-keys&gt;&lt;ref-type name="Journal Article"&gt;17&lt;/ref-type&gt;&lt;contributors&gt;&lt;authors&gt;&lt;author&gt;Adnan, Nor Aizam&lt;/author&gt;&lt;author&gt;Atkinson, Peter M&lt;/author&gt;&lt;/authors&gt;&lt;/contributors&gt;&lt;titles&gt;&lt;title&gt;Exploring the impact of climate and land use changes on streamflow trends in a monsoon catchment&lt;/title&gt;&lt;secondary-title&gt;International Journal of Climatology&lt;/secondary-title&gt;&lt;/titles&gt;&lt;periodical&gt;&lt;full-title&gt;International Journal of Climatology&lt;/full-title&gt;&lt;/periodical&gt;&lt;pages&gt;17&lt;/pages&gt;&lt;volume&gt;31&lt;/volume&gt;&lt;edition&gt;11 March 2010&lt;/edition&gt;&lt;section&gt;815&lt;/section&gt;&lt;keywords&gt;&lt;keyword&gt;climate change&lt;/keyword&gt;&lt;keyword&gt;stream flow change&lt;/keyword&gt;&lt;keyword&gt;precipitation change&lt;/keyword&gt;&lt;keyword&gt;land use change&lt;/keyword&gt;&lt;keyword&gt;time-series&lt;/keyword&gt;&lt;keyword&gt;Trend analysis&lt;/keyword&gt;&lt;/keywords&gt;&lt;dates&gt;&lt;year&gt;2011&lt;/year&gt;&lt;/dates&gt;&lt;urls&gt;&lt;/urls&gt;&lt;electronic-resource-num&gt;10.1002/joc.2112&lt;/electronic-resource-num&gt;&lt;/record&gt;&lt;/Cite&gt;&lt;/EndNote&gt;</w:instrText>
      </w:r>
      <w:r>
        <w:rPr>
          <w:rFonts w:ascii="Times New Roman" w:hAnsi="Times New Roman" w:cs="Times New Roman"/>
          <w:sz w:val="24"/>
          <w:szCs w:val="24"/>
        </w:rPr>
        <w:fldChar w:fldCharType="separate"/>
      </w:r>
      <w:r w:rsidR="00CE01FB">
        <w:rPr>
          <w:rFonts w:ascii="Times New Roman" w:hAnsi="Times New Roman" w:cs="Times New Roman"/>
          <w:noProof/>
          <w:sz w:val="24"/>
          <w:szCs w:val="24"/>
        </w:rPr>
        <w:t>Adnan and Atkinson (2011)</w:t>
      </w:r>
      <w:r>
        <w:rPr>
          <w:rFonts w:ascii="Times New Roman" w:hAnsi="Times New Roman" w:cs="Times New Roman"/>
          <w:sz w:val="24"/>
          <w:szCs w:val="24"/>
        </w:rPr>
        <w:fldChar w:fldCharType="end"/>
      </w:r>
      <w:r>
        <w:rPr>
          <w:rFonts w:ascii="Times New Roman" w:hAnsi="Times New Roman" w:cs="Times New Roman"/>
          <w:sz w:val="24"/>
          <w:szCs w:val="24"/>
        </w:rPr>
        <w:t xml:space="preserve">. The first event was aligned with the East Coast Economic Region (ECER) project under the ninth Malaysia plan to transform the east coast region of Peninsula into an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-based economic region by the year of 2020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&lt;EndNote&gt;&lt;Cite&gt;&lt;Author&gt;Alam&lt;/Author&gt;&lt;Year&gt;2012&lt;/Year&gt;&lt;RecNum&gt;169&lt;/RecNum&gt;&lt;DisplayText&gt;(Alam et al., 2012)&lt;/DisplayText&gt;&lt;record&gt;&lt;rec-number&gt;169&lt;/rec-number&gt;&lt;foreign-keys&gt;&lt;key app="EN" db-id="d002edf05zxza3efrpr5sr9eaxw50ew20vap" timestamp="1609169500"&gt;169&lt;/key&gt;&lt;/foreign-keys&gt;&lt;ref-type name="Journal Article"&gt;17&lt;/ref-type&gt;&lt;contributors&gt;&lt;authors&gt;&lt;author&gt;Alam, Md Mahmudul&lt;/author&gt;&lt;author&gt;Morshed, Golam&lt;/author&gt;&lt;author&gt;Siwar, Chamburi&lt;/author&gt;&lt;author&gt;Murad, Md. Wahid&lt;/author&gt;&lt;/authors&gt;&lt;/contributors&gt;&lt;titles&gt;&lt;title&gt;Initiatives and Challenges of Agricultural Crop Sector in East Coast Economic Region (ECER) Development Projects in Malaysia&lt;/title&gt;&lt;secondary-title&gt;American-Eurasian Journal of Agricultural &amp;amp; Environmental Sciences,&lt;/secondary-title&gt;&lt;/titles&gt;&lt;periodical&gt;&lt;full-title&gt;American-Eurasian Journal of Agricultural &amp;amp; Environmental Sciences,&lt;/full-title&gt;&lt;/periodical&gt;&lt;pages&gt;14&lt;/pages&gt;&lt;volume&gt;12&lt;/volume&gt;&lt;number&gt;7&lt;/number&gt;&lt;section&gt;922&lt;/section&gt;&lt;keywords&gt;&lt;keyword&gt;ECER&lt;/keyword&gt;&lt;keyword&gt;agropolitan&lt;/keyword&gt;&lt;keyword&gt;agriculture&lt;/keyword&gt;&lt;keyword&gt;rural development&lt;/keyword&gt;&lt;keyword&gt;malaysia&lt;/keyword&gt;&lt;/keywords&gt;&lt;dates&gt;&lt;year&gt;2012&lt;/year&gt;&lt;/dates&gt;&lt;urls&gt;&lt;/urls&gt;&lt;/record&gt;&lt;/Cite&gt;&lt;/EndNote&gt;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(Alam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According to the master plan, it was projected Kelantan would be covering with approximately 456,595 hectares of cropland by 2020, with dominating rubber plantation, due to the fertile soil cover all over the state. </w:t>
      </w:r>
    </w:p>
    <w:p w14:paraId="04166F3D" w14:textId="455A11E6"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The agriculture lands in the KRB are fluctuating through the study timeline (Figure 2). This is due to the flood events occurred in the basin. According to the flood reports by DID, devasting flood happened in the KRB almost every year, especially on year 1994 and 2014. Besides that, </w:t>
      </w:r>
      <w:r>
        <w:rPr>
          <w:rFonts w:ascii="Times New Roman" w:hAnsi="Times New Roman" w:cs="Times New Roman"/>
          <w:sz w:val="24"/>
          <w:szCs w:val="24"/>
        </w:rPr>
        <w:fldChar w:fldCharType="begin"/>
      </w:r>
      <w:r w:rsidR="00CE01FB">
        <w:rPr>
          <w:rFonts w:ascii="Times New Roman" w:hAnsi="Times New Roman" w:cs="Times New Roman"/>
          <w:sz w:val="24"/>
          <w:szCs w:val="24"/>
        </w:rPr>
        <w:instrText xml:space="preserve"> ADDIN EN.CITE &lt;EndNote&gt;&lt;Cite AuthorYear="1"&gt;&lt;Author&gt;Tan&lt;/Author&gt;&lt;Year&gt;2017&lt;/Year&gt;&lt;RecNum&gt;172&lt;/RecNum&gt;&lt;DisplayText&gt;Tan, Tan, et al. (2017)&lt;/DisplayText&gt;&lt;record&gt;&lt;rec-number&gt;172&lt;/rec-number&gt;&lt;foreign-keys&gt;&lt;key app="EN" db-id="d002edf05zxza3efrpr5sr9eaxw50ew20vap" timestamp="1609781447"&gt;172&lt;/key&gt;&lt;/foreign-keys&gt;&lt;ref-type name="Journal Article"&gt;17&lt;/ref-type&gt;&lt;contributors&gt;&lt;authors&gt;&lt;author&gt;Tan, Mou Leong&lt;/author&gt;&lt;author&gt;Tan, Kok Chooi&lt;/author&gt;&lt;author&gt;Chua, Vivien P.&lt;/author&gt;&lt;author&gt;Chan, Ngai Weng&lt;/author&gt;&lt;/authors&gt;&lt;/contributors&gt;&lt;titles&gt;&lt;title&gt;Evaluation of TRMM Product for Monitoring Drought in the Kelantan River Basin, Malaysia&lt;/title&gt;&lt;secondary-title&gt;Water&lt;/secondary-title&gt;&lt;/titles&gt;&lt;periodical&gt;&lt;full-title&gt;Water&lt;/full-title&gt;&lt;/periodical&gt;&lt;pages&gt;15&lt;/pages&gt;&lt;volume&gt;9&lt;/volume&gt;&lt;number&gt;1&lt;/number&gt;&lt;keywords&gt;&lt;keyword&gt;drought&lt;/keyword&gt;&lt;keyword&gt;TRMM&lt;/keyword&gt;&lt;keyword&gt;SPI&lt;/keyword&gt;&lt;keyword&gt;Precipitation&lt;/keyword&gt;&lt;keyword&gt;Kelantan&lt;/keyword&gt;&lt;keyword&gt;Malaysia&lt;/keyword&gt;&lt;keyword&gt;tropical&lt;/keyword&gt;&lt;/keywords&gt;&lt;dates&gt;&lt;year&gt;2017&lt;/year&gt;&lt;pub-dates&gt;&lt;date&gt;17 January 2017&lt;/date&gt;&lt;/pub-dates&gt;&lt;/dates&gt;&lt;urls&gt;&lt;/urls&gt;&lt;electronic-resource-num&gt;10.3390/w9010057 &lt;/electronic-resource-num&gt;&lt;/record&gt;&lt;/Cite&gt;&lt;/EndNote&gt;</w:instrText>
      </w:r>
      <w:r>
        <w:rPr>
          <w:rFonts w:ascii="Times New Roman" w:hAnsi="Times New Roman" w:cs="Times New Roman"/>
          <w:sz w:val="24"/>
          <w:szCs w:val="24"/>
        </w:rPr>
        <w:fldChar w:fldCharType="separate"/>
      </w:r>
      <w:r w:rsidR="00CE01FB">
        <w:rPr>
          <w:rFonts w:ascii="Times New Roman" w:hAnsi="Times New Roman" w:cs="Times New Roman"/>
          <w:noProof/>
          <w:sz w:val="24"/>
          <w:szCs w:val="24"/>
        </w:rPr>
        <w:t>Tan et al. (2017</w:t>
      </w:r>
      <w:r w:rsidR="00326205">
        <w:rPr>
          <w:rFonts w:ascii="Times New Roman" w:hAnsi="Times New Roman" w:cs="Times New Roman"/>
          <w:noProof/>
          <w:sz w:val="24"/>
          <w:szCs w:val="24"/>
        </w:rPr>
        <w:t>a</w:t>
      </w:r>
      <w:r w:rsidR="00CE01F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discovered that the KRB experienced extreme drought events in 1998, 2004, 2006 and 2012. As for the 2014 flood which named as the most </w:t>
      </w:r>
      <w:r>
        <w:rPr>
          <w:rFonts w:ascii="Times New Roman" w:hAnsi="Times New Roman" w:cs="Times New Roman"/>
          <w:sz w:val="24"/>
          <w:szCs w:val="24"/>
        </w:rPr>
        <w:lastRenderedPageBreak/>
        <w:t xml:space="preserve">devasting flood event in Malaysia, large area of the agriculture lands including the animal husbandries in the KRB have been destroyed by the flood water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&lt;EndNote&gt;&lt;Cite&gt;&lt;Author&gt;Shamshuddin&lt;/Author&gt;&lt;Year&gt;2016&lt;/Year&gt;&lt;RecNum&gt;171&lt;/RecNum&gt;&lt;DisplayText&gt;(Shamshuddin et al., 2016)&lt;/DisplayText&gt;&lt;record&gt;&lt;rec-number&gt;171&lt;/rec-number&gt;&lt;foreign-keys&gt;&lt;key app="EN" db-id="d002edf05zxza3efrpr5sr9eaxw50ew20vap" timestamp="1609734320"&gt;171&lt;/key&gt;&lt;/foreign-keys&gt;&lt;ref-type name="Journal Article"&gt;17&lt;/ref-type&gt;&lt;contributors&gt;&lt;authors&gt;&lt;author&gt;Shamshuddin, Jusop&lt;/author&gt;&lt;author&gt;Panhwar, Qurban Ali&lt;/author&gt;&lt;author&gt;Othman, Radziah&lt;/author&gt;&lt;author&gt;Ismail, Roslan&lt;/author&gt;&lt;author&gt;Jol, Hamdan&lt;/author&gt;&lt;author&gt;Yusoff, Melissa Alina&lt;/author&gt;&lt;/authors&gt;&lt;/contributors&gt;&lt;titles&gt;&lt;title&gt;Effects of December 2014 Great Flood on the Physico-Chemical Properties of the Soils in the Kelantan Plains, Malaysia &lt;/title&gt;&lt;secondary-title&gt;Journal of Water Resource and Protection&lt;/secondary-title&gt;&lt;/titles&gt;&lt;periodical&gt;&lt;full-title&gt;Journal of Water Resource and Protection&lt;/full-title&gt;&lt;/periodical&gt;&lt;pages&gt;14&lt;/pages&gt;&lt;volume&gt;8&lt;/volume&gt;&lt;section&gt;263&lt;/section&gt;&lt;keywords&gt;&lt;keyword&gt;crop production&lt;/keyword&gt;&lt;keyword&gt;great flood&lt;/keyword&gt;&lt;keyword&gt;heavy rainfall&lt;/keyword&gt;&lt;keyword&gt;silted sediments&lt;/keyword&gt;&lt;keyword&gt;soil properties&lt;/keyword&gt;&lt;/keywords&gt;&lt;dates&gt;&lt;year&gt;2016&lt;/year&gt;&lt;pub-dates&gt;&lt;date&gt;25 February 2016&lt;/date&gt;&lt;/pub-dates&gt;&lt;/dates&gt;&lt;urls&gt;&lt;related-urls&gt;&lt;url&gt;https://www.researchgate.net/publication/296488920_Effects_of_December_2014_Great_Flood_on_the_Physico-Chemical_Properties_of_the_Soils_in_the_Kelantan_Plains_Malaysia&lt;/url&gt;&lt;/related-urls&gt;&lt;/urls&gt;&lt;electronic-resource-num&gt;http://dx.doi.org/10.4236/jwarp.2016.82023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(Shamshuddin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especially in the Pekan </w:t>
      </w:r>
      <w:proofErr w:type="spellStart"/>
      <w:r>
        <w:rPr>
          <w:rFonts w:ascii="Times New Roman" w:hAnsi="Times New Roman" w:cs="Times New Roman"/>
          <w:sz w:val="24"/>
          <w:szCs w:val="24"/>
        </w:rPr>
        <w:t>Hilir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Pasir</w:t>
      </w:r>
      <w:proofErr w:type="spellEnd"/>
      <w:r>
        <w:rPr>
          <w:rFonts w:ascii="Times New Roman" w:hAnsi="Times New Roman" w:cs="Times New Roman"/>
          <w:sz w:val="24"/>
          <w:szCs w:val="24"/>
        </w:rPr>
        <w:t xml:space="preserve"> Mas, Kota Bharu dan </w:t>
      </w:r>
      <w:proofErr w:type="spellStart"/>
      <w:r>
        <w:rPr>
          <w:rFonts w:ascii="Times New Roman" w:hAnsi="Times New Roman" w:cs="Times New Roman"/>
          <w:sz w:val="24"/>
          <w:szCs w:val="24"/>
        </w:rPr>
        <w:t>Tumpat</w:t>
      </w:r>
      <w:proofErr w:type="spellEnd"/>
      <w:r>
        <w:rPr>
          <w:rFonts w:ascii="Times New Roman" w:hAnsi="Times New Roman" w:cs="Times New Roman"/>
          <w:sz w:val="24"/>
          <w:szCs w:val="24"/>
        </w:rPr>
        <w:t xml:space="preserve"> districts. These phenomena explained that the agriculture production in the KRB is strongly depending on the climatic variables.     </w:t>
      </w:r>
    </w:p>
    <w:p w14:paraId="463B24A3"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 Through the accuracy assessment, it can be concluded that the ESA CCI land cover data is satisfactory to represent the land cover of KRB. Hence, the percentage of each land cover class reclassify from the ESA CCI land cover data is to be used for the spatial correlation, as presented in Figure 3. </w:t>
      </w:r>
    </w:p>
    <w:p w14:paraId="65F95F19" w14:textId="77777777" w:rsidR="004A5F13" w:rsidRDefault="004A5F13"/>
    <w:p w14:paraId="2AC232C7" w14:textId="77777777" w:rsidR="004A5F13" w:rsidRDefault="009E2627">
      <w:pPr>
        <w:wordWrap/>
        <w:spacing w:line="480" w:lineRule="auto"/>
        <w:outlineLvl w:val="0"/>
        <w:rPr>
          <w:rFonts w:ascii="Times New Roman" w:hAnsi="Times New Roman" w:cs="Times New Roman"/>
          <w:i/>
          <w:iCs/>
          <w:sz w:val="24"/>
          <w:szCs w:val="24"/>
        </w:rPr>
      </w:pPr>
      <w:r>
        <w:rPr>
          <w:rFonts w:ascii="Times New Roman" w:hAnsi="Times New Roman" w:cs="Times New Roman"/>
          <w:i/>
          <w:iCs/>
          <w:sz w:val="24"/>
          <w:szCs w:val="24"/>
        </w:rPr>
        <w:t xml:space="preserve">RF, </w:t>
      </w:r>
      <w:proofErr w:type="spellStart"/>
      <w:r>
        <w:rPr>
          <w:rFonts w:ascii="Times New Roman" w:hAnsi="Times New Roman" w:cs="Times New Roman"/>
          <w:i/>
          <w:iCs/>
          <w:sz w:val="24"/>
          <w:szCs w:val="24"/>
        </w:rPr>
        <w:t>Tmax</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Tmin</w:t>
      </w:r>
      <w:proofErr w:type="spellEnd"/>
      <w:r>
        <w:rPr>
          <w:rFonts w:ascii="Times New Roman" w:hAnsi="Times New Roman" w:cs="Times New Roman"/>
          <w:i/>
          <w:iCs/>
          <w:sz w:val="24"/>
          <w:szCs w:val="24"/>
        </w:rPr>
        <w:t xml:space="preserve"> Trends</w:t>
      </w:r>
    </w:p>
    <w:p w14:paraId="7722B6F5" w14:textId="53317E95" w:rsidR="004A5F13" w:rsidRDefault="009E2627">
      <w:pPr>
        <w:spacing w:line="480" w:lineRule="auto"/>
      </w:pPr>
      <w:r>
        <w:rPr>
          <w:rFonts w:ascii="Times New Roman" w:hAnsi="Times New Roman" w:cs="Times New Roman"/>
          <w:sz w:val="24"/>
          <w:szCs w:val="24"/>
        </w:rPr>
        <w:tab/>
        <w:t xml:space="preserve">Mann-Kendall trend analysis is done onto the RF,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climate variables to observe the trend of change from year 1979 to 2018 over 14 stations for RF and 4 stations for temperature as shown in Table 3. The annual RF of the entire Kelantan state showed an increasing trend with the highest value of 3187 mm in 1993 and the lowest value of 1823 mm in 2016, as shown in Figure 5. The MK trend test showed a significant increasing trend of annual RF can be found at the Pos </w:t>
      </w:r>
      <w:proofErr w:type="spellStart"/>
      <w:r>
        <w:rPr>
          <w:rFonts w:ascii="Times New Roman" w:hAnsi="Times New Roman" w:cs="Times New Roman"/>
          <w:sz w:val="24"/>
          <w:szCs w:val="24"/>
        </w:rPr>
        <w:t>Hau</w:t>
      </w:r>
      <w:proofErr w:type="spellEnd"/>
      <w:r>
        <w:rPr>
          <w:rFonts w:ascii="Times New Roman" w:hAnsi="Times New Roman" w:cs="Times New Roman"/>
          <w:sz w:val="24"/>
          <w:szCs w:val="24"/>
        </w:rPr>
        <w:t xml:space="preserve"> (17.50 mm/year), Pos </w:t>
      </w:r>
      <w:proofErr w:type="spellStart"/>
      <w:r>
        <w:rPr>
          <w:rFonts w:ascii="Times New Roman" w:hAnsi="Times New Roman" w:cs="Times New Roman"/>
          <w:sz w:val="24"/>
          <w:szCs w:val="24"/>
        </w:rPr>
        <w:t>Bihai</w:t>
      </w:r>
      <w:proofErr w:type="spellEnd"/>
      <w:r>
        <w:rPr>
          <w:rFonts w:ascii="Times New Roman" w:hAnsi="Times New Roman" w:cs="Times New Roman"/>
          <w:sz w:val="24"/>
          <w:szCs w:val="24"/>
        </w:rPr>
        <w:t xml:space="preserve"> (24.4 mm/year), Pos Gob (29.74 mm/year) and Kuala Krai (22.12 mm/year) stations at 95% confidence level, which mainly located in the southwestern and middle parts of the basin. On the other hand, the remaining stations experienced non-significant RF changes, varying from -10.58 to 7.33 mm/year.</w:t>
      </w:r>
      <w:r w:rsidR="00704B73">
        <w:rPr>
          <w:rFonts w:ascii="Times New Roman" w:hAnsi="Times New Roman" w:cs="Times New Roman"/>
          <w:sz w:val="24"/>
          <w:szCs w:val="24"/>
        </w:rPr>
        <w:t xml:space="preserve"> One of the functional </w:t>
      </w:r>
      <w:r w:rsidR="00300866">
        <w:rPr>
          <w:rFonts w:ascii="Times New Roman" w:hAnsi="Times New Roman" w:cs="Times New Roman"/>
          <w:sz w:val="24"/>
          <w:szCs w:val="24"/>
        </w:rPr>
        <w:t>role</w:t>
      </w:r>
      <w:r w:rsidR="00704B73">
        <w:rPr>
          <w:rFonts w:ascii="Times New Roman" w:hAnsi="Times New Roman" w:cs="Times New Roman"/>
          <w:sz w:val="24"/>
          <w:szCs w:val="24"/>
        </w:rPr>
        <w:t xml:space="preserve"> with the </w:t>
      </w:r>
      <w:r w:rsidR="00300866">
        <w:rPr>
          <w:rFonts w:ascii="Times New Roman" w:hAnsi="Times New Roman" w:cs="Times New Roman"/>
          <w:sz w:val="24"/>
          <w:szCs w:val="24"/>
        </w:rPr>
        <w:t xml:space="preserve">trend tests obtained here is that the magnitude of the RF trends revealed the </w:t>
      </w:r>
      <w:r w:rsidR="00492031">
        <w:rPr>
          <w:rFonts w:ascii="Times New Roman" w:hAnsi="Times New Roman" w:cs="Times New Roman"/>
          <w:sz w:val="24"/>
          <w:szCs w:val="24"/>
        </w:rPr>
        <w:t>hydrological condition in the basin, where a negative trend indicated drought events while a contrast positive trend indicated there is a tendency for more severe flood events in the future</w:t>
      </w:r>
      <w:r w:rsidR="00BB4A24">
        <w:rPr>
          <w:rFonts w:ascii="Times New Roman" w:hAnsi="Times New Roman" w:cs="Times New Roman"/>
          <w:sz w:val="24"/>
          <w:szCs w:val="24"/>
        </w:rPr>
        <w:t xml:space="preserve"> </w:t>
      </w:r>
      <w:r w:rsidR="00BB4A24">
        <w:rPr>
          <w:rFonts w:ascii="Times New Roman" w:hAnsi="Times New Roman" w:cs="Times New Roman"/>
          <w:sz w:val="24"/>
          <w:szCs w:val="24"/>
        </w:rPr>
        <w:fldChar w:fldCharType="begin"/>
      </w:r>
      <w:r w:rsidR="00BB4A24">
        <w:rPr>
          <w:rFonts w:ascii="Times New Roman" w:hAnsi="Times New Roman" w:cs="Times New Roman"/>
          <w:sz w:val="24"/>
          <w:szCs w:val="24"/>
        </w:rPr>
        <w:instrText xml:space="preserve"> ADDIN EN.CITE &lt;EndNote&gt;&lt;Cite&gt;&lt;Author&gt;Suhaila&lt;/Author&gt;&lt;Year&gt;2010&lt;/Year&gt;&lt;RecNum&gt;194&lt;/RecNum&gt;&lt;DisplayText&gt;(Suhaila et al., 2010)&lt;/DisplayText&gt;&lt;record&gt;&lt;rec-number&gt;194&lt;/rec-number&gt;&lt;foreign-keys&gt;&lt;key app="EN" db-id="d002edf05zxza3efrpr5sr9eaxw50ew20vap" timestamp="1622886023"&gt;194&lt;/key&gt;&lt;/foreign-keys&gt;&lt;ref-type name="Journal Article"&gt;17&lt;/ref-type&gt;&lt;contributors&gt;&lt;authors&gt;&lt;author&gt;Suhaila, Jamaludin&lt;/author&gt;&lt;author&gt;Mohd Deni, Sayang&lt;/author&gt;&lt;author&gt;Wan Zin, Wan Zawiah&lt;/author&gt;&lt;author&gt;Jemain, Abdul Aziz&lt;/author&gt;&lt;/authors&gt;&lt;/contributors&gt;&lt;titles&gt;&lt;title&gt;Trends in Peninsular Malaysia Rainfall Data During the Southwest Monsoon and Northeast Monsoon Seasons: 1975–2004&lt;/title&gt;&lt;secondary-title&gt;Sains Malaysiana&lt;/secondary-title&gt;&lt;/titles&gt;&lt;periodical&gt;&lt;full-title&gt;Sains Malaysiana&lt;/full-title&gt;&lt;/periodical&gt;&lt;pages&gt;10&lt;/pages&gt;&lt;volume&gt;39&lt;/volume&gt;&lt;number&gt;4&lt;/number&gt;&lt;section&gt;533&lt;/section&gt;&lt;keywords&gt;&lt;keyword&gt;Extreme indices&lt;/keyword&gt;&lt;keyword&gt;frequency of wet days&lt;/keyword&gt;&lt;keyword&gt;Mann-Kendall test&lt;/keyword&gt;&lt;keyword&gt;rainfall intensity, total amount of rainfall&lt;/keyword&gt;&lt;/keywords&gt;&lt;dates&gt;&lt;year&gt;2010&lt;/year&gt;&lt;pub-dates&gt;&lt;date&gt;9 November 2009&lt;/date&gt;&lt;/pub-dates&gt;&lt;/dates&gt;&lt;urls&gt;&lt;related-urls&gt;&lt;url&gt;http://www.ukm.my/jsm/pdf_files/SM-PDF-39-4-2010/03%20Jamaludin%20Suhaila.pdf&lt;/url&gt;&lt;/related-urls&gt;&lt;/urls&gt;&lt;/record&gt;&lt;/Cite&gt;&lt;/EndNote&gt;</w:instrText>
      </w:r>
      <w:r w:rsidR="00BB4A24">
        <w:rPr>
          <w:rFonts w:ascii="Times New Roman" w:hAnsi="Times New Roman" w:cs="Times New Roman"/>
          <w:sz w:val="24"/>
          <w:szCs w:val="24"/>
        </w:rPr>
        <w:fldChar w:fldCharType="separate"/>
      </w:r>
      <w:r w:rsidR="00BB4A24">
        <w:rPr>
          <w:rFonts w:ascii="Times New Roman" w:hAnsi="Times New Roman" w:cs="Times New Roman"/>
          <w:noProof/>
          <w:sz w:val="24"/>
          <w:szCs w:val="24"/>
        </w:rPr>
        <w:t>(Suhaila et al., 2010)</w:t>
      </w:r>
      <w:r w:rsidR="00BB4A24">
        <w:rPr>
          <w:rFonts w:ascii="Times New Roman" w:hAnsi="Times New Roman" w:cs="Times New Roman"/>
          <w:sz w:val="24"/>
          <w:szCs w:val="24"/>
        </w:rPr>
        <w:fldChar w:fldCharType="end"/>
      </w:r>
      <w:r w:rsidR="00492031">
        <w:rPr>
          <w:rFonts w:ascii="Times New Roman" w:hAnsi="Times New Roman" w:cs="Times New Roman"/>
          <w:sz w:val="24"/>
          <w:szCs w:val="24"/>
        </w:rPr>
        <w:t>.</w:t>
      </w:r>
      <w:r w:rsidR="00300866">
        <w:rPr>
          <w:rFonts w:ascii="Times New Roman" w:hAnsi="Times New Roman" w:cs="Times New Roman"/>
          <w:sz w:val="24"/>
          <w:szCs w:val="24"/>
        </w:rPr>
        <w:t xml:space="preserve"> </w:t>
      </w:r>
    </w:p>
    <w:p w14:paraId="5337B534" w14:textId="6D4C2B40"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Annual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in the KRB varies between 26.51°C to 28.12°C, while for annual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the value ranges from 21.77°C to 23.93°C, for the study period of 1979 to 2018, as shown in </w:t>
      </w:r>
      <w:r>
        <w:rPr>
          <w:rFonts w:ascii="Times New Roman" w:hAnsi="Times New Roman" w:cs="Times New Roman"/>
          <w:sz w:val="24"/>
          <w:szCs w:val="24"/>
        </w:rPr>
        <w:lastRenderedPageBreak/>
        <w:t xml:space="preserve">Figure 4. Generally, both the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in the KRB exerts significant increasing trends for the past 39 years at 95% confident level, with the rates of 0.01 to 0.03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/year and 0.01 to 0.05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xml:space="preserve">/year, respectively. The increasing trend is significant at the </w:t>
      </w:r>
      <w:proofErr w:type="spellStart"/>
      <w:r w:rsidR="00671D8C">
        <w:rPr>
          <w:rFonts w:ascii="Times New Roman" w:hAnsi="Times New Roman" w:cs="Times New Roman"/>
          <w:sz w:val="24"/>
          <w:szCs w:val="24"/>
        </w:rPr>
        <w:t>Pejabat</w:t>
      </w:r>
      <w:proofErr w:type="spellEnd"/>
      <w:r w:rsidR="00671D8C">
        <w:rPr>
          <w:rFonts w:ascii="Times New Roman" w:hAnsi="Times New Roman" w:cs="Times New Roman"/>
          <w:sz w:val="24"/>
          <w:szCs w:val="24"/>
        </w:rPr>
        <w:t xml:space="preserve"> Hal </w:t>
      </w:r>
      <w:proofErr w:type="spellStart"/>
      <w:r w:rsidR="00671D8C">
        <w:rPr>
          <w:rFonts w:ascii="Times New Roman" w:hAnsi="Times New Roman" w:cs="Times New Roman"/>
          <w:sz w:val="24"/>
          <w:szCs w:val="24"/>
        </w:rPr>
        <w:t>Ehwal</w:t>
      </w:r>
      <w:proofErr w:type="spellEnd"/>
      <w:r w:rsidR="00671D8C">
        <w:rPr>
          <w:rFonts w:ascii="Times New Roman" w:hAnsi="Times New Roman" w:cs="Times New Roman"/>
          <w:sz w:val="24"/>
          <w:szCs w:val="24"/>
        </w:rPr>
        <w:t xml:space="preserve"> Agama Islam </w:t>
      </w:r>
      <w:proofErr w:type="spellStart"/>
      <w:r w:rsidR="00671D8C">
        <w:rPr>
          <w:rFonts w:ascii="Times New Roman" w:hAnsi="Times New Roman" w:cs="Times New Roman"/>
          <w:sz w:val="24"/>
          <w:szCs w:val="24"/>
        </w:rPr>
        <w:t>Jajahan</w:t>
      </w:r>
      <w:proofErr w:type="spellEnd"/>
      <w:r w:rsidR="00671D8C">
        <w:rPr>
          <w:rFonts w:ascii="Times New Roman" w:hAnsi="Times New Roman" w:cs="Times New Roman"/>
          <w:sz w:val="24"/>
          <w:szCs w:val="24"/>
        </w:rPr>
        <w:t xml:space="preserve"> </w:t>
      </w:r>
      <w:proofErr w:type="spellStart"/>
      <w:r w:rsidR="00671D8C">
        <w:rPr>
          <w:rFonts w:ascii="Times New Roman" w:hAnsi="Times New Roman" w:cs="Times New Roman"/>
          <w:sz w:val="24"/>
          <w:szCs w:val="24"/>
        </w:rPr>
        <w:t>Machang</w:t>
      </w:r>
      <w:proofErr w:type="spellEnd"/>
      <w:r w:rsidR="00671D8C">
        <w:rPr>
          <w:rFonts w:ascii="Times New Roman" w:hAnsi="Times New Roman" w:cs="Times New Roman"/>
          <w:sz w:val="24"/>
          <w:szCs w:val="24"/>
        </w:rPr>
        <w:t xml:space="preserve"> (</w:t>
      </w:r>
      <w:proofErr w:type="spellStart"/>
      <w:r>
        <w:rPr>
          <w:rFonts w:ascii="Times New Roman" w:hAnsi="Times New Roman" w:cs="Times New Roman"/>
          <w:sz w:val="24"/>
          <w:szCs w:val="24"/>
        </w:rPr>
        <w:t>Pej</w:t>
      </w:r>
      <w:proofErr w:type="spellEnd"/>
      <w:r>
        <w:rPr>
          <w:rFonts w:ascii="Times New Roman" w:hAnsi="Times New Roman" w:cs="Times New Roman"/>
          <w:sz w:val="24"/>
          <w:szCs w:val="24"/>
        </w:rPr>
        <w:t xml:space="preserve">. Hai. </w:t>
      </w:r>
      <w:proofErr w:type="spellStart"/>
      <w:r>
        <w:rPr>
          <w:rFonts w:ascii="Times New Roman" w:hAnsi="Times New Roman" w:cs="Times New Roman"/>
          <w:sz w:val="24"/>
          <w:szCs w:val="24"/>
        </w:rPr>
        <w:t>Jajahan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Machang</w:t>
      </w:r>
      <w:proofErr w:type="spellEnd"/>
      <w:r w:rsidR="00671D8C">
        <w:rPr>
          <w:rFonts w:ascii="Times New Roman" w:hAnsi="Times New Roman" w:cs="Times New Roman"/>
          <w:sz w:val="24"/>
          <w:szCs w:val="24"/>
        </w:rPr>
        <w:t>)</w:t>
      </w:r>
      <w:r>
        <w:rPr>
          <w:rFonts w:ascii="Times New Roman" w:hAnsi="Times New Roman" w:cs="Times New Roman"/>
          <w:sz w:val="24"/>
          <w:szCs w:val="24"/>
        </w:rPr>
        <w:t xml:space="preserve"> and Kota Bharu stations at 95% confidence level. </w:t>
      </w:r>
    </w:p>
    <w:p w14:paraId="045BA8BD" w14:textId="6B0A3D09" w:rsidR="004A5F13" w:rsidRDefault="009E2627">
      <w:pPr>
        <w:wordWrap/>
        <w:spacing w:line="480" w:lineRule="auto"/>
        <w:ind w:firstLine="720"/>
        <w:outlineLvl w:val="0"/>
        <w:rPr>
          <w:rFonts w:ascii="Times New Roman" w:hAnsi="Times New Roman" w:cs="Times New Roman"/>
          <w:sz w:val="24"/>
          <w:szCs w:val="24"/>
          <w:lang w:val="en-MY"/>
        </w:rPr>
      </w:pPr>
      <w:r>
        <w:rPr>
          <w:rFonts w:ascii="Times New Roman" w:hAnsi="Times New Roman" w:cs="Times New Roman"/>
          <w:sz w:val="24"/>
          <w:szCs w:val="24"/>
        </w:rPr>
        <w:t xml:space="preserve">The climate trend analysis from this study </w:t>
      </w:r>
      <w:r w:rsidR="00F356F4">
        <w:rPr>
          <w:rFonts w:ascii="Times New Roman" w:hAnsi="Times New Roman" w:cs="Times New Roman"/>
          <w:sz w:val="24"/>
          <w:szCs w:val="24"/>
        </w:rPr>
        <w:t xml:space="preserve">which applied the climate data from Malaysia Meteorological Department (MMD) </w:t>
      </w:r>
      <w:r>
        <w:rPr>
          <w:rFonts w:ascii="Times New Roman" w:hAnsi="Times New Roman" w:cs="Times New Roman"/>
          <w:sz w:val="24"/>
          <w:szCs w:val="24"/>
        </w:rPr>
        <w:t xml:space="preserve">is similar as </w:t>
      </w:r>
      <w:r>
        <w:rPr>
          <w:rFonts w:ascii="Times New Roman" w:hAnsi="Times New Roman" w:cs="Times New Roman"/>
          <w:sz w:val="24"/>
          <w:szCs w:val="24"/>
          <w:highlight w:val="green"/>
        </w:rPr>
        <w:fldChar w:fldCharType="begin"/>
      </w:r>
      <w:r>
        <w:rPr>
          <w:rFonts w:ascii="Times New Roman" w:hAnsi="Times New Roman" w:cs="Times New Roman"/>
          <w:sz w:val="24"/>
          <w:szCs w:val="24"/>
          <w:highlight w:val="green"/>
        </w:rPr>
        <w:instrText xml:space="preserve"> ADDIN EN.CITE &lt;EndNote&gt;&lt;Cite AuthorYear="1"&gt;&lt;Author&gt;Adnan&lt;/Author&gt;&lt;Year&gt;2016&lt;/Year&gt;&lt;RecNum&gt;125&lt;/RecNum&gt;&lt;DisplayText&gt;Adnan et al. (2016)&lt;/DisplayText&gt;&lt;record&gt;&lt;rec-number&gt;125&lt;/rec-number&gt;&lt;foreign-keys&gt;&lt;key app="EN" db-id="d002edf05zxza3efrpr5sr9eaxw50ew20vap" timestamp="1606144324"&gt;125&lt;/key&gt;&lt;/foreign-keys&gt;&lt;ref-type name="Conference Paper"&gt;47&lt;/ref-type&gt;&lt;contributors&gt;&lt;authors&gt;&lt;author&gt;Adnan, Nor Aizam&lt;/author&gt;&lt;author&gt;Syed Ariffin, Sharifah Diyana&lt;/author&gt;&lt;author&gt;Asmat, Arnis&lt;/author&gt;&lt;author&gt;Mansor, Shattri&lt;/author&gt;&lt;/authors&gt;&lt;/contributors&gt;&lt;titles&gt;&lt;title&gt;Rainfall Trend Analysis and Geospatial Mapping of the Kelantan River Basin&lt;/title&gt;&lt;secondary-title&gt;Second International Symposium on Flood Research and Management 2015&lt;/secondary-title&gt;&lt;/titles&gt;&lt;keywords&gt;&lt;keyword&gt;rainfall time series&lt;/keyword&gt;&lt;keyword&gt;Mann kendall test&lt;/keyword&gt;&lt;keyword&gt;Sen&amp;apos;s slope estimator&lt;/keyword&gt;&lt;keyword&gt;Kriging interpolation&lt;/keyword&gt;&lt;/keywords&gt;&lt;dates&gt;&lt;year&gt;2016&lt;/year&gt;&lt;/dates&gt;&lt;pub-location&gt;Shah Alam, Malaysia&lt;/pub-location&gt;&lt;urls&gt;&lt;/urls&gt;&lt;/record&gt;&lt;/Cite&gt;&lt;/EndNote&gt;</w:instrText>
      </w:r>
      <w:r>
        <w:rPr>
          <w:rFonts w:ascii="Times New Roman" w:hAnsi="Times New Roman" w:cs="Times New Roman"/>
          <w:sz w:val="24"/>
          <w:szCs w:val="24"/>
          <w:highlight w:val="green"/>
        </w:rPr>
        <w:fldChar w:fldCharType="separate"/>
      </w:r>
      <w:r>
        <w:rPr>
          <w:rFonts w:ascii="Times New Roman" w:hAnsi="Times New Roman" w:cs="Times New Roman"/>
          <w:sz w:val="24"/>
          <w:szCs w:val="24"/>
          <w:highlight w:val="green"/>
        </w:rPr>
        <w:t>Adnan et al. (2016)</w:t>
      </w:r>
      <w:r>
        <w:rPr>
          <w:rFonts w:ascii="Times New Roman" w:hAnsi="Times New Roman" w:cs="Times New Roman"/>
          <w:sz w:val="24"/>
          <w:szCs w:val="24"/>
          <w:highlight w:val="green"/>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AuthorYear="1"&gt;&lt;Author&gt;Faizalhakim&lt;/Author&gt;&lt;Year&gt;2017&lt;/Year&gt;&lt;RecNum&gt;123&lt;/RecNum&gt;&lt;DisplayText&gt;Faizalhakim et al. (2017)&lt;/DisplayText&gt;&lt;record&gt;&lt;rec-number&gt;123&lt;/rec-number&gt;&lt;foreign-keys&gt;&lt;key app="EN" db-id="d002edf05zxza3efrpr5sr9eaxw50ew20vap" timestamp="1606143209"&gt;123&lt;/key&gt;&lt;/foreign-keys&gt;&lt;ref-type name="Journal Article"&gt;17&lt;/ref-type&gt;&lt;contributors&gt;&lt;authors&gt;&lt;author&gt;Faizalhakim, A.S.&lt;/author&gt;&lt;author&gt;Nurhidayu, S.&lt;/author&gt;&lt;author&gt;Norizah, K.&lt;/author&gt;&lt;author&gt;Shamsuddin, I.&lt;/author&gt;&lt;author&gt;Hakeem, K.R.&lt;/author&gt;&lt;author&gt;Ismail, Adnan&lt;/author&gt;&lt;/authors&gt;&lt;/contributors&gt;&lt;titles&gt;&lt;title&gt;Climate variability in relation with land use changes over a 30-year period in Kelantan River Basin&lt;/title&gt;&lt;secondary-title&gt;The Malaysian Forester&lt;/secondary-title&gt;&lt;/titles&gt;&lt;periodical&gt;&lt;full-title&gt;The Malaysian Forester&lt;/full-title&gt;&lt;/periodical&gt;&lt;pages&gt;19&lt;/pages&gt;&lt;volume&gt;80&lt;/volume&gt;&lt;number&gt;1&lt;/number&gt;&lt;section&gt;12&lt;/section&gt;&lt;keywords&gt;&lt;keyword&gt;deforestation&lt;/keyword&gt;&lt;keyword&gt;agriculture expansion&lt;/keyword&gt;&lt;keyword&gt;climate variability&lt;/keyword&gt;&lt;keyword&gt;localized effect&lt;/keyword&gt;&lt;/keywords&gt;&lt;dates&gt;&lt;year&gt;2017&lt;/year&gt;&lt;/dates&gt;&lt;urls&gt;&lt;/urls&gt;&lt;/record&gt;&lt;/Cite&gt;&lt;/EndNote&gt;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Faizalhakim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who reported insignificant changes of annual RF for most of the stations in KRB</w:t>
      </w:r>
      <w:r w:rsidR="00F356F4">
        <w:rPr>
          <w:rFonts w:ascii="Times New Roman" w:hAnsi="Times New Roman" w:cs="Times New Roman"/>
          <w:sz w:val="24"/>
          <w:szCs w:val="24"/>
        </w:rPr>
        <w:t xml:space="preserve"> with climate data from </w:t>
      </w:r>
      <w:proofErr w:type="spellStart"/>
      <w:r w:rsidR="00F356F4">
        <w:rPr>
          <w:rFonts w:ascii="Times New Roman" w:hAnsi="Times New Roman" w:cs="Times New Roman"/>
          <w:sz w:val="24"/>
          <w:szCs w:val="24"/>
        </w:rPr>
        <w:t>Jabatan</w:t>
      </w:r>
      <w:proofErr w:type="spellEnd"/>
      <w:r w:rsidR="00F356F4">
        <w:rPr>
          <w:rFonts w:ascii="Times New Roman" w:hAnsi="Times New Roman" w:cs="Times New Roman"/>
          <w:sz w:val="24"/>
          <w:szCs w:val="24"/>
        </w:rPr>
        <w:t xml:space="preserve"> </w:t>
      </w:r>
      <w:proofErr w:type="spellStart"/>
      <w:r w:rsidR="00F356F4">
        <w:rPr>
          <w:rFonts w:ascii="Times New Roman" w:hAnsi="Times New Roman" w:cs="Times New Roman"/>
          <w:sz w:val="24"/>
          <w:szCs w:val="24"/>
        </w:rPr>
        <w:t>Pengairan</w:t>
      </w:r>
      <w:proofErr w:type="spellEnd"/>
      <w:r w:rsidR="00F356F4">
        <w:rPr>
          <w:rFonts w:ascii="Times New Roman" w:hAnsi="Times New Roman" w:cs="Times New Roman"/>
          <w:sz w:val="24"/>
          <w:szCs w:val="24"/>
        </w:rPr>
        <w:t xml:space="preserve"> dan </w:t>
      </w:r>
      <w:proofErr w:type="spellStart"/>
      <w:r w:rsidR="00F356F4">
        <w:rPr>
          <w:rFonts w:ascii="Times New Roman" w:hAnsi="Times New Roman" w:cs="Times New Roman"/>
          <w:sz w:val="24"/>
          <w:szCs w:val="24"/>
        </w:rPr>
        <w:t>Saliran</w:t>
      </w:r>
      <w:proofErr w:type="spellEnd"/>
      <w:r w:rsidR="00F356F4">
        <w:rPr>
          <w:rFonts w:ascii="Times New Roman" w:hAnsi="Times New Roman" w:cs="Times New Roman"/>
          <w:sz w:val="24"/>
          <w:szCs w:val="24"/>
        </w:rPr>
        <w:t xml:space="preserve"> (JPS)</w:t>
      </w:r>
      <w:r>
        <w:rPr>
          <w:rFonts w:ascii="Times New Roman" w:hAnsi="Times New Roman" w:cs="Times New Roman"/>
          <w:sz w:val="24"/>
          <w:szCs w:val="24"/>
        </w:rPr>
        <w:t xml:space="preserve">. One of the issues that could be highlighted here is that similar to the previous studies, the present study also reported a decreasing rainfall trend at the upstream of KRB, as well as heavier rainfall at the downstream. Besides that, temperatures in the KRB also exerted increasing trends, especially high significant for the minimum temperatures, which is consistent with a national level temperature trend assessment conducted by </w:t>
      </w:r>
      <w:r>
        <w:rPr>
          <w:rFonts w:ascii="Times New Roman" w:hAnsi="Times New Roman" w:cs="Times New Roman"/>
          <w:sz w:val="24"/>
          <w:szCs w:val="24"/>
        </w:rPr>
        <w:fldChar w:fldCharType="begin"/>
      </w:r>
      <w:r w:rsidR="006E2A30">
        <w:rPr>
          <w:rFonts w:ascii="Times New Roman" w:hAnsi="Times New Roman" w:cs="Times New Roman"/>
          <w:sz w:val="24"/>
          <w:szCs w:val="24"/>
        </w:rPr>
        <w:instrText xml:space="preserve"> ADDIN EN.CITE &lt;EndNote&gt;&lt;Cite AuthorYear="1"&gt;&lt;Author&gt;Tan&lt;/Author&gt;&lt;Year&gt;2021&lt;/Year&gt;&lt;RecNum&gt;1291&lt;/RecNum&gt;&lt;DisplayText&gt;Tan et al. (2021)&lt;/DisplayText&gt;&lt;record&gt;&lt;rec-number&gt;1291&lt;/rec-number&gt;&lt;foreign-keys&gt;&lt;key app="EN" db-id="tsdetwrx2pvaafefsatvr2fgwdre50sew2zw" timestamp="1602080810"&gt;1291&lt;/key&gt;&lt;/foreign-keys&gt;&lt;ref-type name="Journal Article"&gt;17&lt;/ref-type&gt;&lt;contributors&gt;&lt;authors&gt;&lt;author&gt;Tan, Mou Leong&lt;/author&gt;&lt;author&gt;Juneng, Liew&lt;/author&gt;&lt;author&gt;Tangang, Fredolin T.&lt;/author&gt;&lt;author&gt;Chung, Jing Xiang&lt;/author&gt;&lt;author&gt;Radin Firdaus, R.B.&lt;/author&gt;&lt;/authors&gt;&lt;/contributors&gt;&lt;titles&gt;&lt;title&gt;Changes in Temperature Extremes and Their Relationship with ENSO in Malaysia from 1985 to 2018&lt;/title&gt;&lt;secondary-title&gt;International Journal of Climatology&lt;/secondary-title&gt;&lt;/titles&gt;&lt;periodical&gt;&lt;full-title&gt;International Journal of Climatology&lt;/full-title&gt;&lt;/periodical&gt;&lt;pages&gt;E2564-E2580&lt;/pages&gt;&lt;volume&gt;41&lt;/volume&gt;&lt;number&gt;S1&lt;/number&gt;&lt;dates&gt;&lt;year&gt;2021&lt;/year&gt;&lt;/dates&gt;&lt;isbn&gt;0899-8418&lt;/isbn&gt;&lt;urls&gt;&lt;related-urls&gt;&lt;url&gt;https://rmets.onlinelibrary.wiley.com/doi/abs/10.1002/joc.6864&lt;/url&gt;&lt;/related-urls&gt;&lt;/urls&gt;&lt;electronic-resource-num&gt;10.1002/joc.6864&lt;/electronic-resource-num&gt;&lt;/record&gt;&lt;/Cite&gt;&lt;/EndNote&gt;</w:instrText>
      </w:r>
      <w:r>
        <w:rPr>
          <w:rFonts w:ascii="Times New Roman" w:hAnsi="Times New Roman" w:cs="Times New Roman"/>
          <w:sz w:val="24"/>
          <w:szCs w:val="24"/>
        </w:rPr>
        <w:fldChar w:fldCharType="separate"/>
      </w:r>
      <w:r w:rsidR="006E2A30">
        <w:rPr>
          <w:rFonts w:ascii="Times New Roman" w:hAnsi="Times New Roman" w:cs="Times New Roman"/>
          <w:noProof/>
          <w:sz w:val="24"/>
          <w:szCs w:val="24"/>
        </w:rPr>
        <w:t>Tan et al. (2021)</w:t>
      </w:r>
      <w:r>
        <w:rPr>
          <w:rFonts w:ascii="Times New Roman" w:hAnsi="Times New Roman" w:cs="Times New Roman"/>
          <w:sz w:val="24"/>
          <w:szCs w:val="24"/>
        </w:rPr>
        <w:fldChar w:fldCharType="end"/>
      </w:r>
      <w:r>
        <w:rPr>
          <w:rFonts w:ascii="Times New Roman" w:hAnsi="Times New Roman" w:cs="Times New Roman"/>
          <w:sz w:val="24"/>
          <w:szCs w:val="24"/>
        </w:rPr>
        <w:t>.</w:t>
      </w:r>
      <w:r w:rsidR="006E2A30">
        <w:rPr>
          <w:rFonts w:ascii="Times New Roman" w:hAnsi="Times New Roman" w:cs="Times New Roman"/>
          <w:sz w:val="24"/>
          <w:szCs w:val="24"/>
        </w:rPr>
        <w:t xml:space="preserve"> </w:t>
      </w:r>
      <w:bookmarkStart w:id="6" w:name="_Hlk73829560"/>
      <w:r w:rsidR="006E2A30">
        <w:rPr>
          <w:rFonts w:ascii="Times New Roman" w:hAnsi="Times New Roman" w:cs="Times New Roman"/>
          <w:sz w:val="24"/>
          <w:szCs w:val="24"/>
        </w:rPr>
        <w:t xml:space="preserve">As per reported in the above-mentioned study also, there is a notable </w:t>
      </w:r>
      <w:r w:rsidR="006E2A30" w:rsidRPr="006E2A30">
        <w:rPr>
          <w:rFonts w:ascii="Times New Roman" w:hAnsi="Times New Roman" w:cs="Times New Roman"/>
          <w:sz w:val="24"/>
          <w:szCs w:val="24"/>
        </w:rPr>
        <w:t xml:space="preserve">peak of </w:t>
      </w:r>
      <w:r w:rsidR="006E2A30">
        <w:rPr>
          <w:rFonts w:ascii="Times New Roman" w:hAnsi="Times New Roman" w:cs="Times New Roman"/>
          <w:sz w:val="24"/>
          <w:szCs w:val="24"/>
        </w:rPr>
        <w:t>maximum temperature during years of 1997-1998, 2009-2010 and 2015-2016</w:t>
      </w:r>
      <w:r w:rsidR="006E2A30" w:rsidRPr="006E2A30">
        <w:rPr>
          <w:rFonts w:ascii="Times New Roman" w:hAnsi="Times New Roman" w:cs="Times New Roman"/>
          <w:sz w:val="24"/>
          <w:szCs w:val="24"/>
        </w:rPr>
        <w:t xml:space="preserve"> </w:t>
      </w:r>
      <w:r w:rsidR="006E2A30">
        <w:rPr>
          <w:rFonts w:ascii="Times New Roman" w:hAnsi="Times New Roman" w:cs="Times New Roman"/>
          <w:sz w:val="24"/>
          <w:szCs w:val="24"/>
        </w:rPr>
        <w:t>which were recorded</w:t>
      </w:r>
      <w:r w:rsidR="006E2A30" w:rsidRPr="006E2A30">
        <w:rPr>
          <w:rFonts w:ascii="Times New Roman" w:hAnsi="Times New Roman" w:cs="Times New Roman"/>
          <w:sz w:val="24"/>
          <w:szCs w:val="24"/>
        </w:rPr>
        <w:t xml:space="preserve"> strong El Niño events </w:t>
      </w:r>
      <w:r w:rsidR="006E2A30">
        <w:rPr>
          <w:rFonts w:ascii="Times New Roman" w:hAnsi="Times New Roman" w:cs="Times New Roman"/>
          <w:sz w:val="24"/>
          <w:szCs w:val="24"/>
        </w:rPr>
        <w:t>in the study area, as shown in Figure 4.</w:t>
      </w:r>
      <w:bookmarkEnd w:id="6"/>
      <w:r w:rsidR="006E2A30">
        <w:rPr>
          <w:rFonts w:ascii="Times New Roman" w:hAnsi="Times New Roman" w:cs="Times New Roman"/>
          <w:sz w:val="24"/>
          <w:szCs w:val="24"/>
        </w:rPr>
        <w:t xml:space="preserve"> Furthermore, t</w:t>
      </w:r>
      <w:r>
        <w:rPr>
          <w:rFonts w:ascii="Times New Roman" w:hAnsi="Times New Roman" w:cs="Times New Roman"/>
          <w:sz w:val="24"/>
          <w:szCs w:val="24"/>
        </w:rPr>
        <w:t xml:space="preserve">he increasing trend of minimum temperatures indicated that the KRB is experiencing warmer nights, that would be reflected in the increasing of carbon loss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&lt;EndNote&gt;&lt;Cite&gt;&lt;Author&gt;Giménezab&lt;/Author&gt;&lt;Year&gt;2021&lt;/Year&gt;&lt;RecNum&gt;177&lt;/RecNum&gt;&lt;DisplayText&gt;(Giménezab et al., 2021)&lt;/DisplayText&gt;&lt;record&gt;&lt;rec-number&gt;177&lt;/rec-number&gt;&lt;foreign-keys&gt;&lt;key app="EN" db-id="d002edf05zxza3efrpr5sr9eaxw50ew20vap" timestamp="1613315194"&gt;177&lt;/key&gt;&lt;/foreign-keys&gt;&lt;ref-type name="Journal Article"&gt;17&lt;/ref-type&gt;&lt;contributors&gt;&lt;authors&gt;&lt;author&gt;Giménezab, Víctor D.&lt;/author&gt;&lt;author&gt;Mirallesab, Daniel J.&lt;/author&gt;&lt;author&gt;Garcíacd, Guillermo A.&lt;/author&gt;&lt;author&gt;Serragoa, Román A.&lt;/author&gt;&lt;/authors&gt;&lt;/contributors&gt;&lt;titles&gt;&lt;title&gt;Can crop management reduce the negative effects of warm nights on wheat yield?&lt;/title&gt;&lt;secondary-title&gt;Field Crop Research&lt;/secondary-title&gt;&lt;/titles&gt;&lt;periodical&gt;&lt;full-title&gt;Field Crop Research&lt;/full-title&gt;&lt;/periodical&gt;&lt;volume&gt;261&lt;/volume&gt;&lt;number&gt;108010&lt;/number&gt;&lt;keywords&gt;&lt;keyword&gt;wheat&lt;/keyword&gt;&lt;keyword&gt;night temperature&lt;/keyword&gt;&lt;keyword&gt;nitrogen&lt;/keyword&gt;&lt;keyword&gt;water supply&lt;/keyword&gt;&lt;keyword&gt;adaptation strategies&lt;/keyword&gt;&lt;/keywords&gt;&lt;dates&gt;&lt;year&gt;2021&lt;/year&gt;&lt;pub-dates&gt;&lt;date&gt;1 Feb 2021&lt;/date&gt;&lt;/pub-dates&gt;&lt;/dates&gt;&lt;urls&gt;&lt;related-urls&gt;&lt;url&gt;https://www.sciencedirect.com/science/article/pii/S0378429020312946?casa_token=SvPxAKenS3EAAAAA:qZNBzdlteFXBDOJzGLl9CXvLCo691gPy7lNEq7EpjxqPPmz-2w6iBalN_YRbBKsOrQVcKOhv4cI&lt;/url&gt;&lt;/related-urls&gt;&lt;/urls&gt;&lt;electronic-resource-num&gt;https://doi.org/10.1016/j.fcr.2020.108010&lt;/electronic-resource-num&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(Giménezab et al., 2021)</w:t>
      </w:r>
      <w:r>
        <w:rPr>
          <w:rFonts w:ascii="Times New Roman" w:hAnsi="Times New Roman" w:cs="Times New Roman"/>
          <w:sz w:val="24"/>
          <w:szCs w:val="24"/>
        </w:rPr>
        <w:fldChar w:fldCharType="end"/>
      </w:r>
      <w:r>
        <w:rPr>
          <w:rFonts w:ascii="Times New Roman" w:hAnsi="Times New Roman" w:cs="Times New Roman"/>
          <w:sz w:val="24"/>
          <w:szCs w:val="24"/>
        </w:rPr>
        <w:t>, which is aligned with our land cover change study where the agriculture cover in the study area experienced reduction as compared for year 1992 and 2018.</w:t>
      </w:r>
    </w:p>
    <w:p w14:paraId="7F69000C" w14:textId="77777777" w:rsidR="004A5F13" w:rsidRDefault="004A5F13">
      <w:pPr>
        <w:wordWrap/>
        <w:spacing w:line="480" w:lineRule="auto"/>
        <w:outlineLvl w:val="0"/>
        <w:rPr>
          <w:rFonts w:ascii="Times New Roman" w:hAnsi="Times New Roman" w:cs="Times New Roman"/>
          <w:sz w:val="24"/>
          <w:szCs w:val="24"/>
        </w:rPr>
      </w:pPr>
    </w:p>
    <w:p w14:paraId="7A33C1FE" w14:textId="77777777" w:rsidR="004A5F13" w:rsidRDefault="009E2627">
      <w:pPr>
        <w:wordWrap/>
        <w:spacing w:line="480" w:lineRule="auto"/>
        <w:outlineLvl w:val="0"/>
        <w:rPr>
          <w:rFonts w:ascii="Times New Roman" w:hAnsi="Times New Roman" w:cs="Times New Roman"/>
          <w:i/>
          <w:iCs/>
          <w:sz w:val="24"/>
          <w:szCs w:val="24"/>
        </w:rPr>
      </w:pPr>
      <w:r>
        <w:rPr>
          <w:rFonts w:ascii="Times New Roman" w:hAnsi="Times New Roman" w:cs="Times New Roman"/>
          <w:i/>
          <w:iCs/>
          <w:sz w:val="24"/>
          <w:szCs w:val="24"/>
        </w:rPr>
        <w:t>Pearson’s Correlation of Land Use Change and Climate Variables in the KRB</w:t>
      </w:r>
    </w:p>
    <w:p w14:paraId="2EA6345F" w14:textId="268707FC" w:rsidR="004A5F13" w:rsidRDefault="009E262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iCs/>
          <w:sz w:val="24"/>
          <w:szCs w:val="24"/>
        </w:rPr>
        <w:t>r</w:t>
      </w:r>
      <w:r>
        <w:rPr>
          <w:rFonts w:ascii="Times New Roman" w:hAnsi="Times New Roman" w:cs="Times New Roman"/>
          <w:sz w:val="24"/>
          <w:szCs w:val="24"/>
        </w:rPr>
        <w:t xml:space="preserve"> value for each of the land cover class calculated in Excel with α = 0.05 are presented in Table 4 and 5 for RF,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respectively. Statistically, the results of </w:t>
      </w:r>
      <w:r>
        <w:rPr>
          <w:rFonts w:ascii="Times New Roman" w:hAnsi="Times New Roman" w:cs="Times New Roman"/>
          <w:i/>
          <w:iCs/>
          <w:sz w:val="24"/>
          <w:szCs w:val="24"/>
        </w:rPr>
        <w:t>r</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obtained in this study are statistically significant as 80% of the r values fall in the reasonable ranges, as the p-values for the r are below 0.05. The interpretation of the r values are based on the rule of thumb as suggested by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 AuthorYear="1"&gt;&lt;Author&gt;Moore&lt;/Author&gt;&lt;Year&gt;2013&lt;/Year&gt;&lt;RecNum&gt;180&lt;/RecNum&gt;&lt;DisplayText&gt;Moore et al. (2013)&lt;/DisplayText&gt;&lt;record&gt;&lt;rec-number&gt;180&lt;/rec-number&gt;&lt;foreign-keys&gt;&lt;key app="EN" db-id="d002edf05zxza3efrpr5sr9eaxw50ew20vap" timestamp="1613366020"&gt;180&lt;/key&gt;&lt;/foreign-keys&gt;&lt;ref-type name="Book"&gt;6&lt;/ref-type&gt;&lt;contributors&gt;&lt;authors&gt;&lt;author&gt;Moore, David S.&lt;/author&gt;&lt;author&gt;Notz, William I.&lt;/author&gt;&lt;author&gt;Fligner, Michael A.&lt;/author&gt;&lt;/authors&gt;&lt;/contributors&gt;&lt;titles&gt;&lt;title&gt;The Basic Practice of Statistics 6th edition&lt;/title&gt;&lt;secondary-title&gt;Scatterplots and Correlation&lt;/secondary-title&gt;&lt;/titles&gt;&lt;dates&gt;&lt;year&gt;2013&lt;/year&gt;&lt;/dates&gt;&lt;pub-location&gt;New York&lt;/pub-location&gt;&lt;publisher&gt;Macmilan Learning&lt;/publisher&gt;&lt;urls&gt;&lt;related-urls&gt;&lt;url&gt;https://www.westga.edu/academics/research/vrc/assets/docs/scatterplots_and_correlation_notes.pdf&lt;/url&gt;&lt;/related-urls&gt;&lt;/urls&gt;&lt;/record&gt;&lt;/Cite&gt;&lt;/EndNote&gt;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Moore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where absolute value of r for two variables at which r &lt; 0.3 indicated none or very weak relationship; 0.3 &lt; r &lt; 0.5 represents weak correlation; 0.5 &lt; r &lt; 0.7 represents moderate correlation; and r &gt; 0.7 indicated strong correlation relationship, the same goes to negative correlation relationship. However, in this study, we discovered that most of the stations had none or very weak correlation between the climate variable changes and the land cover change (r &lt; 0.3). </w:t>
      </w:r>
    </w:p>
    <w:p w14:paraId="3933E72B" w14:textId="1F46C2DB" w:rsidR="004A5F13" w:rsidRDefault="009E262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Referring to the </w:t>
      </w:r>
      <w:r>
        <w:rPr>
          <w:rFonts w:ascii="Times New Roman" w:hAnsi="Times New Roman" w:cs="Times New Roman"/>
          <w:i/>
          <w:iCs/>
          <w:sz w:val="24"/>
          <w:szCs w:val="24"/>
        </w:rPr>
        <w:t>r</w:t>
      </w:r>
      <w:r>
        <w:rPr>
          <w:rFonts w:ascii="Times New Roman" w:hAnsi="Times New Roman" w:cs="Times New Roman"/>
          <w:sz w:val="24"/>
          <w:szCs w:val="24"/>
        </w:rPr>
        <w:t xml:space="preserve"> statistics done onto the RF and the land use change, it can be concluded that at 95% confidence level the urban expansion in the Gua Musang district, the southern part of the KRB decreases the annual RF with </w:t>
      </w:r>
      <w:r>
        <w:rPr>
          <w:rFonts w:ascii="Times New Roman" w:hAnsi="Times New Roman" w:cs="Times New Roman"/>
          <w:i/>
          <w:iCs/>
          <w:sz w:val="24"/>
          <w:szCs w:val="24"/>
        </w:rPr>
        <w:t>r</w:t>
      </w:r>
      <w:r>
        <w:rPr>
          <w:rFonts w:ascii="Times New Roman" w:hAnsi="Times New Roman" w:cs="Times New Roman"/>
          <w:sz w:val="24"/>
          <w:szCs w:val="24"/>
        </w:rPr>
        <w:t xml:space="preserve"> of -0.78 at the Pos </w:t>
      </w:r>
      <w:proofErr w:type="spellStart"/>
      <w:r>
        <w:rPr>
          <w:rFonts w:ascii="Times New Roman" w:hAnsi="Times New Roman" w:cs="Times New Roman"/>
          <w:sz w:val="24"/>
          <w:szCs w:val="24"/>
        </w:rPr>
        <w:t>Tehoi</w:t>
      </w:r>
      <w:proofErr w:type="spellEnd"/>
      <w:r>
        <w:rPr>
          <w:rFonts w:ascii="Times New Roman" w:hAnsi="Times New Roman" w:cs="Times New Roman"/>
          <w:sz w:val="24"/>
          <w:szCs w:val="24"/>
        </w:rPr>
        <w:t xml:space="preserve"> station. In contrast, deforestation in the same place exerted significant increase in RF with </w:t>
      </w:r>
      <w:r>
        <w:rPr>
          <w:rFonts w:ascii="Times New Roman" w:hAnsi="Times New Roman" w:cs="Times New Roman"/>
          <w:i/>
          <w:iCs/>
          <w:sz w:val="24"/>
          <w:szCs w:val="24"/>
        </w:rPr>
        <w:t>r</w:t>
      </w:r>
      <w:r>
        <w:rPr>
          <w:rFonts w:ascii="Times New Roman" w:hAnsi="Times New Roman" w:cs="Times New Roman"/>
          <w:sz w:val="24"/>
          <w:szCs w:val="24"/>
        </w:rPr>
        <w:t xml:space="preserve"> value of -0.46 at the Pos </w:t>
      </w:r>
      <w:proofErr w:type="spellStart"/>
      <w:r>
        <w:rPr>
          <w:rFonts w:ascii="Times New Roman" w:hAnsi="Times New Roman" w:cs="Times New Roman"/>
          <w:sz w:val="24"/>
          <w:szCs w:val="24"/>
        </w:rPr>
        <w:t>Wias</w:t>
      </w:r>
      <w:proofErr w:type="spellEnd"/>
      <w:r>
        <w:rPr>
          <w:rFonts w:ascii="Times New Roman" w:hAnsi="Times New Roman" w:cs="Times New Roman"/>
          <w:sz w:val="24"/>
          <w:szCs w:val="24"/>
        </w:rPr>
        <w:t xml:space="preserve"> station. Besides that, the spatial relationship between the land cover change and climate changes tested with the correlation test also revealed that the expansion of agricultural activities in the Gua Musang and Tanah Merah increases the RF trend, that can be seen in the Pos </w:t>
      </w:r>
      <w:proofErr w:type="spellStart"/>
      <w:r>
        <w:rPr>
          <w:rFonts w:ascii="Times New Roman" w:hAnsi="Times New Roman" w:cs="Times New Roman"/>
          <w:sz w:val="24"/>
          <w:szCs w:val="24"/>
        </w:rPr>
        <w:t>Wias</w:t>
      </w:r>
      <w:proofErr w:type="spellEnd"/>
      <w:r>
        <w:rPr>
          <w:rFonts w:ascii="Times New Roman" w:hAnsi="Times New Roman" w:cs="Times New Roman"/>
          <w:sz w:val="24"/>
          <w:szCs w:val="24"/>
        </w:rPr>
        <w:t xml:space="preserve"> and </w:t>
      </w:r>
      <w:r w:rsidR="00F356F4">
        <w:rPr>
          <w:rFonts w:ascii="Times New Roman" w:hAnsi="Times New Roman" w:cs="Times New Roman"/>
          <w:sz w:val="24"/>
          <w:szCs w:val="24"/>
        </w:rPr>
        <w:t xml:space="preserve">Pusat Latihan </w:t>
      </w:r>
      <w:proofErr w:type="spellStart"/>
      <w:r w:rsidR="00F356F4">
        <w:rPr>
          <w:rFonts w:ascii="Times New Roman" w:hAnsi="Times New Roman" w:cs="Times New Roman"/>
          <w:sz w:val="24"/>
          <w:szCs w:val="24"/>
        </w:rPr>
        <w:t>Pertahanan</w:t>
      </w:r>
      <w:proofErr w:type="spellEnd"/>
      <w:r w:rsidR="00F356F4">
        <w:rPr>
          <w:rFonts w:ascii="Times New Roman" w:hAnsi="Times New Roman" w:cs="Times New Roman"/>
          <w:sz w:val="24"/>
          <w:szCs w:val="24"/>
        </w:rPr>
        <w:t xml:space="preserve"> </w:t>
      </w:r>
      <w:proofErr w:type="spellStart"/>
      <w:r w:rsidR="00F356F4">
        <w:rPr>
          <w:rFonts w:ascii="Times New Roman" w:hAnsi="Times New Roman" w:cs="Times New Roman"/>
          <w:sz w:val="24"/>
          <w:szCs w:val="24"/>
        </w:rPr>
        <w:t>Batang</w:t>
      </w:r>
      <w:proofErr w:type="spellEnd"/>
      <w:r w:rsidR="00F356F4">
        <w:rPr>
          <w:rFonts w:ascii="Times New Roman" w:hAnsi="Times New Roman" w:cs="Times New Roman"/>
          <w:sz w:val="24"/>
          <w:szCs w:val="24"/>
        </w:rPr>
        <w:t xml:space="preserve"> Merbau (</w:t>
      </w:r>
      <w:r>
        <w:rPr>
          <w:rFonts w:ascii="Times New Roman" w:hAnsi="Times New Roman" w:cs="Times New Roman"/>
          <w:sz w:val="24"/>
          <w:szCs w:val="24"/>
        </w:rPr>
        <w:t xml:space="preserve">P. Pert.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Merbau</w:t>
      </w:r>
      <w:r w:rsidR="00F356F4">
        <w:rPr>
          <w:rFonts w:ascii="Times New Roman" w:hAnsi="Times New Roman" w:cs="Times New Roman"/>
          <w:sz w:val="24"/>
          <w:szCs w:val="24"/>
        </w:rPr>
        <w:t>)</w:t>
      </w:r>
      <w:r>
        <w:rPr>
          <w:rFonts w:ascii="Times New Roman" w:hAnsi="Times New Roman" w:cs="Times New Roman"/>
          <w:sz w:val="24"/>
          <w:szCs w:val="24"/>
        </w:rPr>
        <w:t xml:space="preserve"> stations with </w:t>
      </w:r>
      <w:r>
        <w:rPr>
          <w:rFonts w:ascii="Times New Roman" w:hAnsi="Times New Roman" w:cs="Times New Roman"/>
          <w:i/>
          <w:iCs/>
          <w:sz w:val="24"/>
          <w:szCs w:val="24"/>
        </w:rPr>
        <w:t>r</w:t>
      </w:r>
      <w:r>
        <w:rPr>
          <w:rFonts w:ascii="Times New Roman" w:hAnsi="Times New Roman" w:cs="Times New Roman"/>
          <w:sz w:val="24"/>
          <w:szCs w:val="24"/>
        </w:rPr>
        <w:t xml:space="preserve"> values of 0.46 and 0.43 respectively.</w:t>
      </w:r>
    </w:p>
    <w:p w14:paraId="1738417A" w14:textId="77777777" w:rsidR="004A5F13" w:rsidRDefault="009E262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for the impact of land use change towards temperature variations, deforestation has significant in increasing the maximum temperature over Tanah Merah at 95%, that can be seen from P. Pert.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Merbau station with </w:t>
      </w:r>
      <w:r>
        <w:rPr>
          <w:rFonts w:ascii="Times New Roman" w:hAnsi="Times New Roman" w:cs="Times New Roman"/>
          <w:i/>
          <w:iCs/>
          <w:sz w:val="24"/>
          <w:szCs w:val="24"/>
        </w:rPr>
        <w:t>r</w:t>
      </w:r>
      <w:r>
        <w:rPr>
          <w:rFonts w:ascii="Times New Roman" w:hAnsi="Times New Roman" w:cs="Times New Roman"/>
          <w:sz w:val="24"/>
          <w:szCs w:val="24"/>
        </w:rPr>
        <w:t xml:space="preserve"> value of 0.37. The other factors somehow showed mild correlation. </w:t>
      </w:r>
    </w:p>
    <w:p w14:paraId="6434AB87" w14:textId="7BB1A380" w:rsidR="004A5F13" w:rsidRDefault="009E262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the other hand, the impacts of the land use change towards minimum temperature variations in the KRB is much significant. The agricultural cropland expansion in the P. Pert.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Merbau and Kota Bharu stations had increases the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of the KRB, with </w:t>
      </w:r>
      <w:r>
        <w:rPr>
          <w:rFonts w:ascii="Times New Roman" w:hAnsi="Times New Roman" w:cs="Times New Roman"/>
          <w:i/>
          <w:iCs/>
          <w:sz w:val="24"/>
          <w:szCs w:val="24"/>
        </w:rPr>
        <w:t>r</w:t>
      </w:r>
      <w:r>
        <w:rPr>
          <w:rFonts w:ascii="Times New Roman" w:hAnsi="Times New Roman" w:cs="Times New Roman"/>
          <w:sz w:val="24"/>
          <w:szCs w:val="24"/>
        </w:rPr>
        <w:t xml:space="preserve"> values of -0.72 and -0.37 respectively. The deforestation process increases the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of the KRB, also </w:t>
      </w:r>
      <w:r>
        <w:rPr>
          <w:rFonts w:ascii="Times New Roman" w:hAnsi="Times New Roman" w:cs="Times New Roman"/>
          <w:sz w:val="24"/>
          <w:szCs w:val="24"/>
        </w:rPr>
        <w:lastRenderedPageBreak/>
        <w:t xml:space="preserve">can be seen from the two above mentioned stations with </w:t>
      </w:r>
      <w:r>
        <w:rPr>
          <w:rFonts w:ascii="Times New Roman" w:hAnsi="Times New Roman" w:cs="Times New Roman"/>
          <w:i/>
          <w:iCs/>
          <w:sz w:val="24"/>
          <w:szCs w:val="24"/>
        </w:rPr>
        <w:t>r</w:t>
      </w:r>
      <w:r>
        <w:rPr>
          <w:rFonts w:ascii="Times New Roman" w:hAnsi="Times New Roman" w:cs="Times New Roman"/>
          <w:sz w:val="24"/>
          <w:szCs w:val="24"/>
        </w:rPr>
        <w:t xml:space="preserve"> values of 0.73 and 0.37 respectively. As for the urban expansion factor, the correlation result showed significant in three stations: P. Pert.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Merbau (</w:t>
      </w:r>
      <w:r>
        <w:rPr>
          <w:rFonts w:ascii="Times New Roman" w:hAnsi="Times New Roman" w:cs="Times New Roman"/>
          <w:i/>
          <w:iCs/>
          <w:sz w:val="24"/>
          <w:szCs w:val="24"/>
        </w:rPr>
        <w:t>r</w:t>
      </w:r>
      <w:r>
        <w:rPr>
          <w:rFonts w:ascii="Times New Roman" w:hAnsi="Times New Roman" w:cs="Times New Roman"/>
          <w:sz w:val="24"/>
          <w:szCs w:val="24"/>
        </w:rPr>
        <w:t xml:space="preserve"> = 0.36), Kota Bharu (</w:t>
      </w:r>
      <w:r>
        <w:rPr>
          <w:rFonts w:ascii="Times New Roman" w:hAnsi="Times New Roman" w:cs="Times New Roman"/>
          <w:i/>
          <w:iCs/>
          <w:sz w:val="24"/>
          <w:szCs w:val="24"/>
        </w:rPr>
        <w:t>r</w:t>
      </w:r>
      <w:r>
        <w:rPr>
          <w:rFonts w:ascii="Times New Roman" w:hAnsi="Times New Roman" w:cs="Times New Roman"/>
          <w:sz w:val="24"/>
          <w:szCs w:val="24"/>
        </w:rPr>
        <w:t xml:space="preserve"> = 0.55) and Kuala Krai (</w:t>
      </w:r>
      <w:r>
        <w:rPr>
          <w:rFonts w:ascii="Times New Roman" w:hAnsi="Times New Roman" w:cs="Times New Roman"/>
          <w:i/>
          <w:iCs/>
          <w:sz w:val="24"/>
          <w:szCs w:val="24"/>
        </w:rPr>
        <w:t>r</w:t>
      </w:r>
      <w:r>
        <w:rPr>
          <w:rFonts w:ascii="Times New Roman" w:hAnsi="Times New Roman" w:cs="Times New Roman"/>
          <w:sz w:val="24"/>
          <w:szCs w:val="24"/>
        </w:rPr>
        <w:t xml:space="preserve"> = 0.60) where these stations were spatially located at the downstream of the KRB that major economic activities took place in the Kelantan state.</w:t>
      </w:r>
    </w:p>
    <w:p w14:paraId="04E689B7" w14:textId="77777777" w:rsidR="004A5F13" w:rsidRDefault="009E262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Meanwhile, the </w:t>
      </w:r>
      <w:r>
        <w:rPr>
          <w:rFonts w:ascii="Times New Roman" w:hAnsi="Times New Roman" w:cs="Times New Roman"/>
          <w:i/>
          <w:iCs/>
          <w:sz w:val="24"/>
          <w:szCs w:val="24"/>
        </w:rPr>
        <w:t>r</w:t>
      </w:r>
      <w:r>
        <w:rPr>
          <w:rFonts w:ascii="Times New Roman" w:hAnsi="Times New Roman" w:cs="Times New Roman"/>
          <w:sz w:val="24"/>
          <w:szCs w:val="24"/>
        </w:rPr>
        <w:t xml:space="preserve"> of all RF,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shown distinctive negative correlation towards elevation of the KRB. The </w:t>
      </w:r>
      <w:r>
        <w:rPr>
          <w:rFonts w:ascii="Times New Roman" w:hAnsi="Times New Roman" w:cs="Times New Roman"/>
          <w:i/>
          <w:iCs/>
          <w:sz w:val="24"/>
          <w:szCs w:val="24"/>
        </w:rPr>
        <w:t>r</w:t>
      </w:r>
      <w:r>
        <w:rPr>
          <w:rFonts w:ascii="Times New Roman" w:hAnsi="Times New Roman" w:cs="Times New Roman"/>
          <w:sz w:val="24"/>
          <w:szCs w:val="24"/>
        </w:rPr>
        <w:t xml:space="preserve"> of RF and elevation is -0.21; </w:t>
      </w:r>
      <w:proofErr w:type="spellStart"/>
      <w:r>
        <w:rPr>
          <w:rFonts w:ascii="Times New Roman" w:hAnsi="Times New Roman" w:cs="Times New Roman"/>
          <w:sz w:val="24"/>
          <w:szCs w:val="24"/>
        </w:rPr>
        <w:t>Tmax</w:t>
      </w:r>
      <w:proofErr w:type="spellEnd"/>
      <w:r>
        <w:rPr>
          <w:rFonts w:ascii="Times New Roman" w:hAnsi="Times New Roman" w:cs="Times New Roman"/>
          <w:sz w:val="24"/>
          <w:szCs w:val="24"/>
        </w:rPr>
        <w:t xml:space="preserve"> and elevation is -0.67; while </w:t>
      </w:r>
      <w:proofErr w:type="spellStart"/>
      <w:r>
        <w:rPr>
          <w:rFonts w:ascii="Times New Roman" w:hAnsi="Times New Roman" w:cs="Times New Roman"/>
          <w:sz w:val="24"/>
          <w:szCs w:val="24"/>
        </w:rPr>
        <w:t>Tmin</w:t>
      </w:r>
      <w:proofErr w:type="spellEnd"/>
      <w:r>
        <w:rPr>
          <w:rFonts w:ascii="Times New Roman" w:hAnsi="Times New Roman" w:cs="Times New Roman"/>
          <w:sz w:val="24"/>
          <w:szCs w:val="24"/>
        </w:rPr>
        <w:t xml:space="preserve"> is -0.95. These values can be interpreted as the higher the elevation, the lower the climate variations in the KRB.   </w:t>
      </w:r>
      <w:r>
        <w:rPr>
          <w:rFonts w:ascii="Times New Roman" w:hAnsi="Times New Roman" w:cs="Times New Roman"/>
          <w:sz w:val="24"/>
          <w:szCs w:val="24"/>
        </w:rPr>
        <w:tab/>
      </w:r>
    </w:p>
    <w:p w14:paraId="1B3DEA47" w14:textId="77777777" w:rsidR="004A5F13" w:rsidRDefault="004A5F13">
      <w:pPr>
        <w:spacing w:line="480" w:lineRule="auto"/>
        <w:ind w:firstLine="720"/>
        <w:rPr>
          <w:rFonts w:ascii="Times New Roman" w:hAnsi="Times New Roman" w:cs="Times New Roman"/>
          <w:sz w:val="24"/>
          <w:szCs w:val="24"/>
        </w:rPr>
      </w:pPr>
    </w:p>
    <w:p w14:paraId="3151737F" w14:textId="77777777" w:rsidR="004A5F13" w:rsidRDefault="009E2627">
      <w:pPr>
        <w:spacing w:line="480" w:lineRule="auto"/>
        <w:rPr>
          <w:rFonts w:ascii="Times New Roman" w:hAnsi="Times New Roman" w:cs="Times New Roman"/>
          <w:i/>
          <w:sz w:val="24"/>
          <w:szCs w:val="24"/>
        </w:rPr>
      </w:pPr>
      <w:r>
        <w:rPr>
          <w:rFonts w:ascii="Times New Roman" w:hAnsi="Times New Roman" w:cs="Times New Roman"/>
          <w:i/>
          <w:sz w:val="24"/>
          <w:szCs w:val="24"/>
        </w:rPr>
        <w:t>Discussion</w:t>
      </w:r>
    </w:p>
    <w:p w14:paraId="1CC8907A" w14:textId="66DB52F0"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In this study, the ESA CCI LC dataset over KRB is validated with the land use dataset provided by Malaysian land use data provider agency. The result shows that the dataset is presenting the land cover of KRB at substantial agreement. </w:t>
      </w:r>
      <w:bookmarkStart w:id="7" w:name="_Hlk73827986"/>
      <w:r>
        <w:rPr>
          <w:rFonts w:ascii="Times New Roman" w:hAnsi="Times New Roman" w:cs="Times New Roman"/>
          <w:sz w:val="24"/>
          <w:szCs w:val="24"/>
        </w:rPr>
        <w:t>However, one of the major issues that should be consider</w:t>
      </w:r>
      <w:r>
        <w:rPr>
          <w:rFonts w:ascii="Times New Roman" w:hAnsi="Times New Roman" w:cs="Times New Roman"/>
          <w:sz w:val="24"/>
          <w:szCs w:val="24"/>
          <w:lang w:val="en-MY"/>
        </w:rPr>
        <w:t>ed</w:t>
      </w:r>
      <w:r>
        <w:rPr>
          <w:rFonts w:ascii="Times New Roman" w:hAnsi="Times New Roman" w:cs="Times New Roman"/>
          <w:sz w:val="24"/>
          <w:szCs w:val="24"/>
        </w:rPr>
        <w:t xml:space="preserve"> on using the dataset is that there are confusion of agriculture covers and forest cover found in our study area, which has been discovered by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&lt;EndNote&gt;&lt;Cite&gt;&lt;Author&gt;Alkhalil&lt;/Author&gt;&lt;Year&gt;2020&lt;/Year&gt;&lt;RecNum&gt;164&lt;/RecNum&gt;&lt;DisplayText&gt;(Alkhalil et al., 2020)&lt;/DisplayText&gt;&lt;record&gt;&lt;rec-number&gt;164&lt;/rec-number&gt;&lt;foreign-keys&gt;&lt;key app="EN" db-id="d002edf05zxza3efrpr5sr9eaxw50ew20vap" timestamp="1608652947"&gt;164&lt;/key&gt;&lt;/foreign-keys&gt;&lt;ref-type name="Journal Article"&gt;17&lt;/ref-type&gt;&lt;contributors&gt;&lt;authors&gt;&lt;author&gt;Alkhalil, Adoum&lt;/author&gt;&lt;author&gt;Kadaoure, Ibrahima&lt;/author&gt;&lt;author&gt;Kouadio, Michel&lt;/author&gt;&lt;/authors&gt;&lt;/contributors&gt;&lt;titles&gt;&lt;title&gt;An Evaluation of 20-m ESA-CCI S2 Prototype LC Product&lt;/title&gt;&lt;secondary-title&gt;Frontiers in Sustainable Food Systems&lt;/secondary-title&gt;&lt;/titles&gt;&lt;periodical&gt;&lt;full-title&gt;Frontiers in Sustainable Food Systems&lt;/full-title&gt;&lt;/periodical&gt;&lt;pages&gt;7&lt;/pages&gt;&lt;volume&gt;4&lt;/volume&gt;&lt;number&gt;504334&lt;/number&gt;&lt;edition&gt;23 October 2020&lt;/edition&gt;&lt;keywords&gt;&lt;keyword&gt;Classification&lt;/keyword&gt;&lt;keyword&gt;ESA-CCI S2 prototype LC 20 m map&lt;/keyword&gt;&lt;keyword&gt;accuracy&lt;/keyword&gt;&lt;keyword&gt;precision&lt;/keyword&gt;&lt;keyword&gt;recall and Fβ measure&lt;/keyword&gt;&lt;/keywords&gt;&lt;dates&gt;&lt;year&gt;2020&lt;/year&gt;&lt;/dates&gt;&lt;urls&gt;&lt;related-urls&gt;&lt;url&gt;https://www.frontiersin.org/articles/10.3389/fsufs.2020.504334/full?&amp;amp;utm_source=Email_to_authors_&amp;amp;utm_medium=Email&amp;amp;utm_content=T1_11.5e1_author&amp;amp;utm_campaign=Email_publication&amp;amp;field=&amp;amp;journalName=Frontiers_in_Sustainable_Food_Systems&amp;amp;id=504334&lt;/url&gt;&lt;/related-urls&gt;&lt;/urls&gt;&lt;electronic-resource-num&gt;https://doi.org/10.3389/fsufs.2020.504334&lt;/electronic-resource-num&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(Alkhalil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as well. The possible reason behind might be the reflectance value of tropical agriculture species, particularly rubber and oil palm, were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ones that were analyzed as forest, particularly broadleaved evergreen forest in the FAO vegetation dictionary. It is challenging in extracting rubber and oil palm information (known as the major agriculture plantations in Malaysia) that believed to have accumulated the basin by approximately 21% (8% oil palm and 13% rubber) according to the agency land use data from the ESA CCI land cover product. </w:t>
      </w:r>
      <w:bookmarkStart w:id="8" w:name="_Hlk73795663"/>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further increase the accuracy of the dataset at local scale, data enhancement needs to be done by spatial filtering or manually altering the pixel values to the respective vegetation class in order to match with the local real vegetation cover. </w:t>
      </w:r>
      <w:bookmarkEnd w:id="7"/>
      <w:bookmarkEnd w:id="8"/>
    </w:p>
    <w:p w14:paraId="555B5AC8" w14:textId="5E34E9EC"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lastRenderedPageBreak/>
        <w:tab/>
        <w:t xml:space="preserve">The rainfall and temperature trends in the KRB shown increasing trends from 1979 to 2018. According to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 AuthorYear="1"&gt;&lt;Author&gt;Tan&lt;/Author&gt;&lt;Year&gt;2021&lt;/Year&gt;&lt;RecNum&gt;2&lt;/RecNum&gt;&lt;DisplayText&gt;Tan et al. (2021)&lt;/DisplayText&gt;&lt;record&gt;&lt;rec-number&gt;2&lt;/rec-number&gt;&lt;foreign-keys&gt;&lt;key app="EN" db-id="dawtzpfxms29aues02qxt5w9tfe29pfdppa0" timestamp="1613663616"&gt;2&lt;/key&gt;&lt;/foreign-keys&gt;&lt;ref-type name="Journal Article"&gt;17&lt;/ref-type&gt;&lt;contributors&gt;&lt;authors&gt;&lt;author&gt;Tan, Mou Leong&lt;/author&gt;&lt;author&gt;Juneng, Liew&lt;/author&gt;&lt;author&gt;Tangang, Fredolin T.&lt;/author&gt;&lt;author&gt;Chung, Jing Xiang&lt;/author&gt;&lt;author&gt;Radin Firdaus, R.B.&lt;/author&gt;&lt;/authors&gt;&lt;/contributors&gt;&lt;titles&gt;&lt;title&gt;Changes in Temperature Extremes and Their Relationship with ENSO in Malaysia from 1985 to 2018&lt;/title&gt;&lt;secondary-title&gt;International Journal of Climatology&lt;/secondary-title&gt;&lt;/titles&gt;&lt;pages&gt;E2564-E2580&lt;/pages&gt;&lt;volume&gt;41&lt;/volume&gt;&lt;number&gt;S1&lt;/number&gt;&lt;dates&gt;&lt;year&gt;2021&lt;/year&gt;&lt;/dates&gt;&lt;isbn&gt;0899-8418&lt;/isbn&gt;&lt;urls&gt;&lt;related-urls&gt;&lt;url&gt;https://rmets.onlinelibrary.wiley.com/doi/abs/10.1002/joc.6864&lt;/url&gt;&lt;/related-urls&gt;&lt;/urls&gt;&lt;electronic-resource-num&gt;10.1002/joc.6864&lt;/electronic-resource-num&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Tan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a greater increasing warm index as well as cold extreme index was found in the southern Peninsular Malaysia, which implied climate change induced more warm days in the last decade that could be led by rapid urbanization and industrialization. The present correlation analysis between the temperature variations and the land use change in the KRB shown the same finding where the correlation is higher negative values on the forest change. These evidence of increasing trends in rainfall and temperatures could lead to severe hydroclimatic disaster in the future such as flood and drought. As Kelantan is marked as the state with high risk for flood disaster in the Peninsular, the Federal Department of Town and Country Planning had listed some regulations for the development of the state such as maintaining the flood reservoir areas as agriculture areas </w:t>
      </w:r>
      <w:r>
        <w:rPr>
          <w:rFonts w:ascii="Times New Roman" w:hAnsi="Times New Roman" w:cs="Times New Roman"/>
          <w:sz w:val="24"/>
          <w:szCs w:val="24"/>
        </w:rPr>
        <w:fldChar w:fldCharType="begin"/>
      </w:r>
      <w:r w:rsidR="00C51DE7">
        <w:rPr>
          <w:rFonts w:ascii="Times New Roman" w:hAnsi="Times New Roman" w:cs="Times New Roman"/>
          <w:sz w:val="24"/>
          <w:szCs w:val="24"/>
        </w:rPr>
        <w:instrText xml:space="preserve"> ADDIN EN.CITE &lt;EndNote&gt;&lt;Cite&gt;&lt;Author&gt;Arifin Norizan&lt;/Author&gt;&lt;Year&gt;2021&lt;/Year&gt;&lt;RecNum&gt;179&lt;/RecNum&gt;&lt;DisplayText&gt;(Arifin Norizan et al., 2021)&lt;/DisplayText&gt;&lt;record&gt;&lt;rec-number&gt;179&lt;/rec-number&gt;&lt;foreign-keys&gt;&lt;key app="EN" db-id="d002edf05zxza3efrpr5sr9eaxw50ew20vap" timestamp="1613322150"&gt;179&lt;/key&gt;&lt;/foreign-keys&gt;&lt;ref-type name="Journal Article"&gt;17&lt;/ref-type&gt;&lt;contributors&gt;&lt;authors&gt;&lt;author&gt;Arifin Norizan, Nur Zainul&lt;/author&gt;&lt;author&gt;Hassan, Norhaslina&lt;/author&gt;&lt;author&gt;Mohd Yusoff, Mariney&lt;/author&gt;&lt;/authors&gt;&lt;/contributors&gt;&lt;titles&gt;&lt;title&gt;Strengthening flood resilient development in malaysia through integration of flood risk reduction measures in local plans&lt;/title&gt;&lt;secondary-title&gt;Land Use Policy&lt;/secondary-title&gt;&lt;/titles&gt;&lt;periodical&gt;&lt;full-title&gt;Land Use Policy&lt;/full-title&gt;&lt;/periodical&gt;&lt;volume&gt;102&lt;/volume&gt;&lt;number&gt;105178&lt;/number&gt;&lt;keywords&gt;&lt;keyword&gt;resilience&lt;/keyword&gt;&lt;keyword&gt;disaster risk reduction&lt;/keyword&gt;&lt;keyword&gt;flood risk reduction&lt;/keyword&gt;&lt;keyword&gt;urban planning&lt;/keyword&gt;&lt;keyword&gt;local plan&lt;/keyword&gt;&lt;/keywords&gt;&lt;dates&gt;&lt;year&gt;2021&lt;/year&gt;&lt;pub-dates&gt;&lt;date&gt;19 December 2020&lt;/date&gt;&lt;/pub-dates&gt;&lt;/dates&gt;&lt;urls&gt;&lt;related-urls&gt;&lt;url&gt;https://www.sciencedirect.com/science/article/pii/S0264837720325163?casa_token=83OAGJTVpcQAAAAA:5lWnhzaucLYiHm69pRcoXoL4D90SOnncTqKq5nQCpvKbofN79lwxQ4vuY5nFEEV7cYmpzrrBVro&lt;/url&gt;&lt;/related-urls&gt;&lt;/urls&gt;&lt;electronic-resource-num&gt;https://doi.org/10.1016/j.landusepol.2020.105178&lt;/electronic-resource-num&gt;&lt;/record&gt;&lt;/Cite&gt;&lt;/EndNote&gt;</w:instrText>
      </w:r>
      <w:r>
        <w:rPr>
          <w:rFonts w:ascii="Times New Roman" w:hAnsi="Times New Roman" w:cs="Times New Roman"/>
          <w:sz w:val="24"/>
          <w:szCs w:val="24"/>
        </w:rPr>
        <w:fldChar w:fldCharType="separate"/>
      </w:r>
      <w:r w:rsidR="00C51DE7">
        <w:rPr>
          <w:rFonts w:ascii="Times New Roman" w:hAnsi="Times New Roman" w:cs="Times New Roman"/>
          <w:noProof/>
          <w:sz w:val="24"/>
          <w:szCs w:val="24"/>
        </w:rPr>
        <w:t>(Arifin Norizan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CB688EB" w14:textId="77777777"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 xml:space="preserve">Another topic to be discussed from the findings is that the </w:t>
      </w:r>
      <w:r>
        <w:rPr>
          <w:rFonts w:ascii="Times New Roman" w:hAnsi="Times New Roman" w:cs="Times New Roman"/>
          <w:i/>
          <w:iCs/>
          <w:sz w:val="24"/>
          <w:szCs w:val="24"/>
        </w:rPr>
        <w:t>r</w:t>
      </w:r>
      <w:r>
        <w:rPr>
          <w:rFonts w:ascii="Times New Roman" w:hAnsi="Times New Roman" w:cs="Times New Roman"/>
          <w:sz w:val="24"/>
          <w:szCs w:val="24"/>
        </w:rPr>
        <w:t xml:space="preserve"> values computed in this study are relatively low, where most of the stations showed very weak or no relationship between land cover change and the changes of rainfall and maximum and minimum temperatures. This can be explained with the fact that the land cover changes over the stations are not large scaled, or land cover change of 26 years is not long termed enough to represent the shift of land cover change in the KRB. This issue can be later studied further with hydrological modelling such as SWAT modelling. </w:t>
      </w:r>
    </w:p>
    <w:p w14:paraId="71AF662D" w14:textId="77777777" w:rsidR="004A5F13" w:rsidRDefault="004A5F13">
      <w:pPr>
        <w:wordWrap/>
        <w:spacing w:line="480" w:lineRule="auto"/>
        <w:outlineLvl w:val="0"/>
        <w:rPr>
          <w:rFonts w:ascii="Times New Roman" w:hAnsi="Times New Roman" w:cs="Times New Roman"/>
          <w:sz w:val="24"/>
          <w:szCs w:val="24"/>
        </w:rPr>
      </w:pPr>
    </w:p>
    <w:p w14:paraId="70EFBF23"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Conclusion</w:t>
      </w:r>
    </w:p>
    <w:p w14:paraId="3884860B"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Based on the statistical analyses, it can be concluded that the annual rainfall, maximum temperature, and minimum temperature of the KRB had significant increasing trends for the past 39 years (1979 to 2018) at 95% confidence.  The event is especially notable in the downstream and south-west of the KRB, which are the Kota Bharu, Tanah </w:t>
      </w:r>
      <w:r>
        <w:rPr>
          <w:rFonts w:ascii="Times New Roman" w:hAnsi="Times New Roman" w:cs="Times New Roman"/>
          <w:sz w:val="24"/>
          <w:szCs w:val="24"/>
        </w:rPr>
        <w:lastRenderedPageBreak/>
        <w:t>Merah and Gua Musang districts. The urban expansion at the Gua Musang decreases the annual rainfall with r of -0.78, where this event can be explained by decrease of evapotranspiration in the area due to the loss of evergreen forest. Another finding to be highlighted in this study is the conversion of forest into croplands over the Tanah Merah and Gua Musang (</w:t>
      </w:r>
      <w:proofErr w:type="spellStart"/>
      <w:r>
        <w:rPr>
          <w:rFonts w:ascii="Times New Roman" w:hAnsi="Times New Roman" w:cs="Times New Roman"/>
          <w:sz w:val="24"/>
          <w:szCs w:val="24"/>
        </w:rPr>
        <w:t>neighbouring</w:t>
      </w:r>
      <w:proofErr w:type="spellEnd"/>
      <w:r>
        <w:rPr>
          <w:rFonts w:ascii="Times New Roman" w:hAnsi="Times New Roman" w:cs="Times New Roman"/>
          <w:sz w:val="24"/>
          <w:szCs w:val="24"/>
        </w:rPr>
        <w:t xml:space="preserve"> to Perak state) had increased the minimum temperature of the area with r of -0.72 and -0.37 respectively. This event can be explained by the conversion of evergreen forests to herbaceous covers induced land surface temperature increment in the area. </w:t>
      </w:r>
    </w:p>
    <w:p w14:paraId="4F17363A" w14:textId="77777777" w:rsidR="004A5F13" w:rsidRDefault="009E2627">
      <w:pPr>
        <w:wordWrap/>
        <w:spacing w:line="480" w:lineRule="auto"/>
        <w:ind w:firstLine="720"/>
        <w:outlineLvl w:val="0"/>
        <w:rPr>
          <w:rFonts w:ascii="Times New Roman" w:hAnsi="Times New Roman" w:cs="Times New Roman"/>
          <w:sz w:val="24"/>
          <w:szCs w:val="24"/>
        </w:rPr>
      </w:pPr>
      <w:r>
        <w:rPr>
          <w:rFonts w:ascii="Times New Roman" w:hAnsi="Times New Roman" w:cs="Times New Roman"/>
          <w:sz w:val="24"/>
          <w:szCs w:val="24"/>
        </w:rPr>
        <w:t xml:space="preserve">Land use change and climate change is inter-relatable. Land use change is a driver towards climate change in terms of changing the concentration of greenhouse gases, but at the same time a changing climate can lead to switching of land cover types to coop with the current climate. In tropical region such as </w:t>
      </w:r>
      <w:proofErr w:type="gramStart"/>
      <w:r>
        <w:rPr>
          <w:rFonts w:ascii="Times New Roman" w:hAnsi="Times New Roman" w:cs="Times New Roman"/>
          <w:sz w:val="24"/>
          <w:szCs w:val="24"/>
        </w:rPr>
        <w:t>South East</w:t>
      </w:r>
      <w:proofErr w:type="gramEnd"/>
      <w:r>
        <w:rPr>
          <w:rFonts w:ascii="Times New Roman" w:hAnsi="Times New Roman" w:cs="Times New Roman"/>
          <w:sz w:val="24"/>
          <w:szCs w:val="24"/>
        </w:rPr>
        <w:t xml:space="preserve"> Asia, the changing climate is initiating a shift in agriculture industry to plant higher economic valued crops that can adapt the changing climate. The process would then alter the hydrology systems of the region.  </w:t>
      </w:r>
    </w:p>
    <w:p w14:paraId="48882DEE" w14:textId="77777777"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ab/>
        <w:t>Meanwhile, the validation of ESA CCI land cover data also proved that the dataset is adequate to represent the actual land cover in KRB. This could open an opportunity for future studies to utilize the open-source land cover data where it would not lead to confidential data and result sharing issues.</w:t>
      </w:r>
    </w:p>
    <w:p w14:paraId="2B56DBA7" w14:textId="77777777" w:rsidR="004A5F13" w:rsidRDefault="004A5F13">
      <w:pPr>
        <w:wordWrap/>
        <w:spacing w:line="480" w:lineRule="auto"/>
        <w:outlineLvl w:val="0"/>
        <w:rPr>
          <w:rFonts w:ascii="Times New Roman" w:hAnsi="Times New Roman" w:cs="Times New Roman"/>
          <w:sz w:val="24"/>
          <w:szCs w:val="24"/>
        </w:rPr>
      </w:pPr>
    </w:p>
    <w:p w14:paraId="3E35677D"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Acknowledgements</w:t>
      </w:r>
    </w:p>
    <w:p w14:paraId="21D00DBD" w14:textId="77777777"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t>This research was funded by the Ministry of Higher Education Malaysia under the Newton-NERC grant (</w:t>
      </w:r>
      <w:proofErr w:type="spellStart"/>
      <w:r>
        <w:rPr>
          <w:rFonts w:ascii="Times New Roman" w:hAnsi="Times New Roman" w:cs="Times New Roman"/>
          <w:sz w:val="24"/>
          <w:szCs w:val="24"/>
        </w:rPr>
        <w:t>IMpacts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PRecipitation</w:t>
      </w:r>
      <w:proofErr w:type="spellEnd"/>
      <w:r>
        <w:rPr>
          <w:rFonts w:ascii="Times New Roman" w:hAnsi="Times New Roman" w:cs="Times New Roman"/>
          <w:sz w:val="24"/>
          <w:szCs w:val="24"/>
        </w:rPr>
        <w:t xml:space="preserve"> from Extreme </w:t>
      </w:r>
      <w:proofErr w:type="spellStart"/>
      <w:r>
        <w:rPr>
          <w:rFonts w:ascii="Times New Roman" w:hAnsi="Times New Roman" w:cs="Times New Roman"/>
          <w:sz w:val="24"/>
          <w:szCs w:val="24"/>
        </w:rPr>
        <w:t>StormS</w:t>
      </w:r>
      <w:proofErr w:type="spellEnd"/>
      <w:r>
        <w:rPr>
          <w:rFonts w:ascii="Times New Roman" w:hAnsi="Times New Roman" w:cs="Times New Roman"/>
          <w:sz w:val="24"/>
          <w:szCs w:val="24"/>
        </w:rPr>
        <w:t>, Malaysia (IMPRESS-MALAYSIA), 203.PHUMANITI.6780001). The author would like to acknowledge the Malaysia Meteorological Department (MMD), Department of Agriculture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and Malaysian Center of Geospatial Data Infrastructure (</w:t>
      </w:r>
      <w:proofErr w:type="spellStart"/>
      <w:r>
        <w:rPr>
          <w:rFonts w:ascii="Times New Roman" w:hAnsi="Times New Roman" w:cs="Times New Roman"/>
          <w:sz w:val="24"/>
          <w:szCs w:val="24"/>
        </w:rPr>
        <w:t>MaCGDI</w:t>
      </w:r>
      <w:proofErr w:type="spellEnd"/>
      <w:r>
        <w:rPr>
          <w:rFonts w:ascii="Times New Roman" w:hAnsi="Times New Roman" w:cs="Times New Roman"/>
          <w:sz w:val="24"/>
          <w:szCs w:val="24"/>
        </w:rPr>
        <w:t xml:space="preserve">) for sharing the climate and </w:t>
      </w:r>
      <w:r>
        <w:rPr>
          <w:rFonts w:ascii="Times New Roman" w:hAnsi="Times New Roman" w:cs="Times New Roman"/>
          <w:sz w:val="24"/>
          <w:szCs w:val="24"/>
        </w:rPr>
        <w:lastRenderedPageBreak/>
        <w:t xml:space="preserve">land use data.   </w:t>
      </w:r>
    </w:p>
    <w:p w14:paraId="45ABD1A5" w14:textId="77777777" w:rsidR="004A5F13" w:rsidRDefault="004A5F13">
      <w:pPr>
        <w:wordWrap/>
        <w:spacing w:line="480" w:lineRule="auto"/>
        <w:jc w:val="center"/>
        <w:outlineLvl w:val="0"/>
        <w:rPr>
          <w:rFonts w:ascii="Times New Roman" w:hAnsi="Times New Roman" w:cs="Times New Roman"/>
          <w:b/>
          <w:sz w:val="24"/>
          <w:szCs w:val="24"/>
        </w:rPr>
      </w:pPr>
    </w:p>
    <w:p w14:paraId="6B967371" w14:textId="77777777" w:rsidR="004A5F13" w:rsidRDefault="009E2627">
      <w:pPr>
        <w:wordWrap/>
        <w:spacing w:line="48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References </w:t>
      </w:r>
    </w:p>
    <w:p w14:paraId="0A48C97B" w14:textId="52148ADB" w:rsidR="006E2A30" w:rsidRPr="001862F3" w:rsidRDefault="009E2627" w:rsidP="001862F3">
      <w:pPr>
        <w:pStyle w:val="EndNoteBibliography"/>
        <w:spacing w:line="480" w:lineRule="auto"/>
        <w:ind w:left="720" w:hanging="720"/>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6E2A30" w:rsidRPr="001862F3">
        <w:rPr>
          <w:rFonts w:ascii="Times New Roman" w:hAnsi="Times New Roman" w:cs="Times New Roman"/>
          <w:noProof/>
          <w:sz w:val="24"/>
          <w:szCs w:val="24"/>
        </w:rPr>
        <w:t xml:space="preserve">Abungba, J. A., Khare, D., Pingale, S. M., Adjei, K. A., Gyamfi, C., &amp; Odai, S. N. (2020). Assessment of Hydro‑climatic Trends and Variability over the Black Volta Basin in Ghana. </w:t>
      </w:r>
      <w:r w:rsidR="006E2A30" w:rsidRPr="001862F3">
        <w:rPr>
          <w:rFonts w:ascii="Times New Roman" w:hAnsi="Times New Roman" w:cs="Times New Roman"/>
          <w:i/>
          <w:noProof/>
          <w:sz w:val="24"/>
          <w:szCs w:val="24"/>
        </w:rPr>
        <w:t>Earth Systems and Environment</w:t>
      </w:r>
      <w:r w:rsidR="006E2A30" w:rsidRPr="001862F3">
        <w:rPr>
          <w:rFonts w:ascii="Times New Roman" w:hAnsi="Times New Roman" w:cs="Times New Roman"/>
          <w:noProof/>
          <w:sz w:val="24"/>
          <w:szCs w:val="24"/>
        </w:rPr>
        <w:t>, 17. doi:</w:t>
      </w:r>
      <w:hyperlink r:id="rId10" w:history="1">
        <w:r w:rsidR="006E2A30" w:rsidRPr="001862F3">
          <w:rPr>
            <w:rStyle w:val="Hyperlink"/>
            <w:rFonts w:ascii="Times New Roman" w:hAnsi="Times New Roman" w:cs="Times New Roman"/>
            <w:noProof/>
            <w:sz w:val="24"/>
            <w:szCs w:val="24"/>
          </w:rPr>
          <w:t>https://doi.org/10.1007/s41748-020-00171-9</w:t>
        </w:r>
      </w:hyperlink>
    </w:p>
    <w:p w14:paraId="59BFCFA9"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Adnan, N. A., &amp; Atkinson, P. M. (2011). Exploring the impact of climate and land use changes on streamflow trends in a monsoon catchment. </w:t>
      </w:r>
      <w:r w:rsidRPr="001862F3">
        <w:rPr>
          <w:rFonts w:ascii="Times New Roman" w:hAnsi="Times New Roman" w:cs="Times New Roman"/>
          <w:i/>
          <w:noProof/>
          <w:sz w:val="24"/>
          <w:szCs w:val="24"/>
        </w:rPr>
        <w:t>International Journal of Climatology, 31</w:t>
      </w:r>
      <w:r w:rsidRPr="001862F3">
        <w:rPr>
          <w:rFonts w:ascii="Times New Roman" w:hAnsi="Times New Roman" w:cs="Times New Roman"/>
          <w:noProof/>
          <w:sz w:val="24"/>
          <w:szCs w:val="24"/>
        </w:rPr>
        <w:t>, 17. doi:10.1002/joc.2112</w:t>
      </w:r>
    </w:p>
    <w:p w14:paraId="41A012F3"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Adnan, N. A., Syed Ariffin, S. D., Asmat, A., &amp; Mansor, S. (2016). </w:t>
      </w:r>
      <w:r w:rsidRPr="001862F3">
        <w:rPr>
          <w:rFonts w:ascii="Times New Roman" w:hAnsi="Times New Roman" w:cs="Times New Roman"/>
          <w:i/>
          <w:noProof/>
          <w:sz w:val="24"/>
          <w:szCs w:val="24"/>
        </w:rPr>
        <w:t>Rainfall Trend Analysis and Geospatial Mapping of the Kelantan River Basin</w:t>
      </w:r>
      <w:r w:rsidRPr="001862F3">
        <w:rPr>
          <w:rFonts w:ascii="Times New Roman" w:hAnsi="Times New Roman" w:cs="Times New Roman"/>
          <w:noProof/>
          <w:sz w:val="24"/>
          <w:szCs w:val="24"/>
        </w:rPr>
        <w:t xml:space="preserve">. Paper presented at the Second International Symposium on Flood Research and Management 2015, Shah Alam, Malaysia. </w:t>
      </w:r>
    </w:p>
    <w:p w14:paraId="213A6A27"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Alam, M. M., Morshed, G., Siwar, C., &amp; Murad, M. W. (2012). Initiatives and Challenges of Agricultural Crop Sector in East Coast Economic Region (ECER) Development Projects in Malaysia. </w:t>
      </w:r>
      <w:r w:rsidRPr="001862F3">
        <w:rPr>
          <w:rFonts w:ascii="Times New Roman" w:hAnsi="Times New Roman" w:cs="Times New Roman"/>
          <w:i/>
          <w:noProof/>
          <w:sz w:val="24"/>
          <w:szCs w:val="24"/>
        </w:rPr>
        <w:t>American-Eurasian Journal of Agricultural &amp; Environmental Sciences,, 12</w:t>
      </w:r>
      <w:r w:rsidRPr="001862F3">
        <w:rPr>
          <w:rFonts w:ascii="Times New Roman" w:hAnsi="Times New Roman" w:cs="Times New Roman"/>
          <w:noProof/>
          <w:sz w:val="24"/>
          <w:szCs w:val="24"/>
        </w:rPr>
        <w:t xml:space="preserve">(7), 14. </w:t>
      </w:r>
    </w:p>
    <w:p w14:paraId="232B67E7"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Alexander, L. V., Zhang, X., Peterson, T. C., Caesar, J., Gleason, B., Klein Tank, A. M. G., Haylock, M., Collins, D., Trewin, B., Rahimzadeh, F., Tagipour, A., Kumar, K. R., Revadekar, J., Griffiths, G., Vincent, L., Stephenson, D. B., Burn, J., Aguilar, E., Brunet, M., Taylor, M., New, M., Zhai, P., Rusticucci, M., &amp; Vazquez-Aguirre, J. L. (2006). Global observed changes in daily climate extremes of temperatureand precipitation. </w:t>
      </w:r>
      <w:r w:rsidRPr="001862F3">
        <w:rPr>
          <w:rFonts w:ascii="Times New Roman" w:hAnsi="Times New Roman" w:cs="Times New Roman"/>
          <w:i/>
          <w:noProof/>
          <w:sz w:val="24"/>
          <w:szCs w:val="24"/>
        </w:rPr>
        <w:t>Journal of Geophysical Research, 111</w:t>
      </w:r>
      <w:r w:rsidRPr="001862F3">
        <w:rPr>
          <w:rFonts w:ascii="Times New Roman" w:hAnsi="Times New Roman" w:cs="Times New Roman"/>
          <w:noProof/>
          <w:sz w:val="24"/>
          <w:szCs w:val="24"/>
        </w:rPr>
        <w:t>(D05109), 22. doi:10.1029/2005JD006290</w:t>
      </w:r>
    </w:p>
    <w:p w14:paraId="45A7047E" w14:textId="3878F375"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lastRenderedPageBreak/>
        <w:t xml:space="preserve">Alkhalil, A., Kadaoure, I., &amp; Kouadio, M. (2020). An Evaluation of 20-m ESA-CCI S2 Prototype LC Product. </w:t>
      </w:r>
      <w:r w:rsidRPr="001862F3">
        <w:rPr>
          <w:rFonts w:ascii="Times New Roman" w:hAnsi="Times New Roman" w:cs="Times New Roman"/>
          <w:i/>
          <w:noProof/>
          <w:sz w:val="24"/>
          <w:szCs w:val="24"/>
        </w:rPr>
        <w:t>Frontiers in Sustainable Food Systems, 4</w:t>
      </w:r>
      <w:r w:rsidRPr="001862F3">
        <w:rPr>
          <w:rFonts w:ascii="Times New Roman" w:hAnsi="Times New Roman" w:cs="Times New Roman"/>
          <w:noProof/>
          <w:sz w:val="24"/>
          <w:szCs w:val="24"/>
        </w:rPr>
        <w:t>(504334), 7. doi:</w:t>
      </w:r>
      <w:hyperlink r:id="rId11" w:history="1">
        <w:r w:rsidRPr="001862F3">
          <w:rPr>
            <w:rStyle w:val="Hyperlink"/>
            <w:rFonts w:ascii="Times New Roman" w:hAnsi="Times New Roman" w:cs="Times New Roman"/>
            <w:noProof/>
            <w:sz w:val="24"/>
            <w:szCs w:val="24"/>
          </w:rPr>
          <w:t>https://doi.org/10.3389/fsufs.2020.504334</w:t>
        </w:r>
      </w:hyperlink>
    </w:p>
    <w:p w14:paraId="43D9DBA8" w14:textId="5976DA35"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Arifin Norizan, N. Z., Hassan, N., &amp; Mohd Yusoff, M. (2021). Strengthening flood resilient development in malaysia through integration of flood risk reduction measures in local plans. </w:t>
      </w:r>
      <w:r w:rsidRPr="001862F3">
        <w:rPr>
          <w:rFonts w:ascii="Times New Roman" w:hAnsi="Times New Roman" w:cs="Times New Roman"/>
          <w:i/>
          <w:noProof/>
          <w:sz w:val="24"/>
          <w:szCs w:val="24"/>
        </w:rPr>
        <w:t>Land Use Policy, 102</w:t>
      </w:r>
      <w:r w:rsidRPr="001862F3">
        <w:rPr>
          <w:rFonts w:ascii="Times New Roman" w:hAnsi="Times New Roman" w:cs="Times New Roman"/>
          <w:noProof/>
          <w:sz w:val="24"/>
          <w:szCs w:val="24"/>
        </w:rPr>
        <w:t>(105178). doi:</w:t>
      </w:r>
      <w:hyperlink r:id="rId12" w:history="1">
        <w:r w:rsidRPr="001862F3">
          <w:rPr>
            <w:rStyle w:val="Hyperlink"/>
            <w:rFonts w:ascii="Times New Roman" w:hAnsi="Times New Roman" w:cs="Times New Roman"/>
            <w:noProof/>
            <w:sz w:val="24"/>
            <w:szCs w:val="24"/>
          </w:rPr>
          <w:t>https://doi.org/10.1016/j.landusepol.2020.105178</w:t>
        </w:r>
      </w:hyperlink>
    </w:p>
    <w:p w14:paraId="2308987E" w14:textId="2EBCCD59"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Avashia, V., &amp; Garg, A. (2020). Implications of land use transitions and climate change on local flooding in urban areas: An assessment of 42 Indian cities. </w:t>
      </w:r>
      <w:r w:rsidRPr="001862F3">
        <w:rPr>
          <w:rFonts w:ascii="Times New Roman" w:hAnsi="Times New Roman" w:cs="Times New Roman"/>
          <w:i/>
          <w:noProof/>
          <w:sz w:val="24"/>
          <w:szCs w:val="24"/>
        </w:rPr>
        <w:t>Land Use Policy, 95</w:t>
      </w:r>
      <w:r w:rsidRPr="001862F3">
        <w:rPr>
          <w:rFonts w:ascii="Times New Roman" w:hAnsi="Times New Roman" w:cs="Times New Roman"/>
          <w:noProof/>
          <w:sz w:val="24"/>
          <w:szCs w:val="24"/>
        </w:rPr>
        <w:t>(104571), 9. doi:</w:t>
      </w:r>
      <w:hyperlink r:id="rId13" w:history="1">
        <w:r w:rsidRPr="001862F3">
          <w:rPr>
            <w:rStyle w:val="Hyperlink"/>
            <w:rFonts w:ascii="Times New Roman" w:hAnsi="Times New Roman" w:cs="Times New Roman"/>
            <w:noProof/>
            <w:sz w:val="24"/>
            <w:szCs w:val="24"/>
          </w:rPr>
          <w:t>https://doi.org/10.1016/j.landusepol.2020.104571</w:t>
        </w:r>
      </w:hyperlink>
    </w:p>
    <w:p w14:paraId="113C15C1"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Chen, Y. (2015). A New Methodology of Spatial CrossCorrelation Analysis. </w:t>
      </w:r>
      <w:r w:rsidRPr="001862F3">
        <w:rPr>
          <w:rFonts w:ascii="Times New Roman" w:hAnsi="Times New Roman" w:cs="Times New Roman"/>
          <w:i/>
          <w:noProof/>
          <w:sz w:val="24"/>
          <w:szCs w:val="24"/>
        </w:rPr>
        <w:t>PLoS ONE, 10</w:t>
      </w:r>
      <w:r w:rsidRPr="001862F3">
        <w:rPr>
          <w:rFonts w:ascii="Times New Roman" w:hAnsi="Times New Roman" w:cs="Times New Roman"/>
          <w:noProof/>
          <w:sz w:val="24"/>
          <w:szCs w:val="24"/>
        </w:rPr>
        <w:t>(5), 20. doi:10.1371/journal.pone.0126158</w:t>
      </w:r>
    </w:p>
    <w:p w14:paraId="37B199B3" w14:textId="0395262F"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Cohen, J. (1960). A Coefficient of Agreement for Nominal Scales. </w:t>
      </w:r>
      <w:r w:rsidRPr="001862F3">
        <w:rPr>
          <w:rFonts w:ascii="Times New Roman" w:hAnsi="Times New Roman" w:cs="Times New Roman"/>
          <w:i/>
          <w:noProof/>
          <w:sz w:val="24"/>
          <w:szCs w:val="24"/>
        </w:rPr>
        <w:t>Educational and Psychological Measurement, 20</w:t>
      </w:r>
      <w:r w:rsidRPr="001862F3">
        <w:rPr>
          <w:rFonts w:ascii="Times New Roman" w:hAnsi="Times New Roman" w:cs="Times New Roman"/>
          <w:noProof/>
          <w:sz w:val="24"/>
          <w:szCs w:val="24"/>
        </w:rPr>
        <w:t>(1), 10. doi:</w:t>
      </w:r>
      <w:hyperlink r:id="rId14" w:history="1">
        <w:r w:rsidRPr="001862F3">
          <w:rPr>
            <w:rStyle w:val="Hyperlink"/>
            <w:rFonts w:ascii="Times New Roman" w:hAnsi="Times New Roman" w:cs="Times New Roman"/>
            <w:noProof/>
            <w:sz w:val="24"/>
            <w:szCs w:val="24"/>
          </w:rPr>
          <w:t>https://doi.org/10.1177%2F001316446002000104</w:t>
        </w:r>
      </w:hyperlink>
    </w:p>
    <w:p w14:paraId="459251D3" w14:textId="40A5F0AC"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ESA. (2010). ESA Climate Change Initiative. </w:t>
      </w:r>
      <w:r w:rsidRPr="001862F3">
        <w:rPr>
          <w:rFonts w:ascii="Times New Roman" w:hAnsi="Times New Roman" w:cs="Times New Roman"/>
          <w:i/>
          <w:noProof/>
          <w:sz w:val="24"/>
          <w:szCs w:val="24"/>
        </w:rPr>
        <w:t>About the CCI LC Project.</w:t>
      </w:r>
      <w:r w:rsidRPr="001862F3">
        <w:rPr>
          <w:rFonts w:ascii="Times New Roman" w:hAnsi="Times New Roman" w:cs="Times New Roman"/>
          <w:noProof/>
          <w:sz w:val="24"/>
          <w:szCs w:val="24"/>
        </w:rPr>
        <w:t xml:space="preserve"> Retrieved from </w:t>
      </w:r>
      <w:hyperlink r:id="rId15" w:history="1">
        <w:r w:rsidRPr="001862F3">
          <w:rPr>
            <w:rStyle w:val="Hyperlink"/>
            <w:rFonts w:ascii="Times New Roman" w:hAnsi="Times New Roman" w:cs="Times New Roman"/>
            <w:noProof/>
            <w:sz w:val="24"/>
            <w:szCs w:val="24"/>
          </w:rPr>
          <w:t>http://www.esa-landcover-cci.org/?q=node/1</w:t>
        </w:r>
      </w:hyperlink>
    </w:p>
    <w:p w14:paraId="085CC408"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Faizalhakim, A. S., Nurhidayu, S., Norizah, K., Shamsuddin, I., Hakeem, K. R., &amp; Ismail, A. (2017). Climate variability in relation with land use changes over a 30-year period in Kelantan River Basin. </w:t>
      </w:r>
      <w:r w:rsidRPr="001862F3">
        <w:rPr>
          <w:rFonts w:ascii="Times New Roman" w:hAnsi="Times New Roman" w:cs="Times New Roman"/>
          <w:i/>
          <w:noProof/>
          <w:sz w:val="24"/>
          <w:szCs w:val="24"/>
        </w:rPr>
        <w:t>The Malaysian Forester, 80</w:t>
      </w:r>
      <w:r w:rsidRPr="001862F3">
        <w:rPr>
          <w:rFonts w:ascii="Times New Roman" w:hAnsi="Times New Roman" w:cs="Times New Roman"/>
          <w:noProof/>
          <w:sz w:val="24"/>
          <w:szCs w:val="24"/>
        </w:rPr>
        <w:t xml:space="preserve">(1), 19. </w:t>
      </w:r>
    </w:p>
    <w:p w14:paraId="4A5CE1AF" w14:textId="3663332F"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FAO. (2000). Land Cover Classification System (LCCS). </w:t>
      </w:r>
      <w:r w:rsidRPr="001862F3">
        <w:rPr>
          <w:rFonts w:ascii="Times New Roman" w:hAnsi="Times New Roman" w:cs="Times New Roman"/>
          <w:i/>
          <w:noProof/>
          <w:sz w:val="24"/>
          <w:szCs w:val="24"/>
        </w:rPr>
        <w:t>Classification Concepts and User Manual.</w:t>
      </w:r>
      <w:r w:rsidRPr="001862F3">
        <w:rPr>
          <w:rFonts w:ascii="Times New Roman" w:hAnsi="Times New Roman" w:cs="Times New Roman"/>
          <w:noProof/>
          <w:sz w:val="24"/>
          <w:szCs w:val="24"/>
        </w:rPr>
        <w:t xml:space="preserve"> Retrieved from </w:t>
      </w:r>
      <w:hyperlink r:id="rId16" w:history="1">
        <w:r w:rsidRPr="001862F3">
          <w:rPr>
            <w:rStyle w:val="Hyperlink"/>
            <w:rFonts w:ascii="Times New Roman" w:hAnsi="Times New Roman" w:cs="Times New Roman"/>
            <w:noProof/>
            <w:sz w:val="24"/>
            <w:szCs w:val="24"/>
          </w:rPr>
          <w:t>http://www.fao.org/3/x0596e/X0596e01n.htm</w:t>
        </w:r>
      </w:hyperlink>
    </w:p>
    <w:p w14:paraId="16E2B0E4" w14:textId="12456B34"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Giménezab, V. D., Mirallesab, D. J., Garcíacd, G. A., &amp; Serragoa, R. A. (2021). Can crop management reduce the negative effects of warm nights on wheat yield? </w:t>
      </w:r>
      <w:r w:rsidRPr="001862F3">
        <w:rPr>
          <w:rFonts w:ascii="Times New Roman" w:hAnsi="Times New Roman" w:cs="Times New Roman"/>
          <w:i/>
          <w:noProof/>
          <w:sz w:val="24"/>
          <w:szCs w:val="24"/>
        </w:rPr>
        <w:t>Field Crop Research, 261</w:t>
      </w:r>
      <w:r w:rsidRPr="001862F3">
        <w:rPr>
          <w:rFonts w:ascii="Times New Roman" w:hAnsi="Times New Roman" w:cs="Times New Roman"/>
          <w:noProof/>
          <w:sz w:val="24"/>
          <w:szCs w:val="24"/>
        </w:rPr>
        <w:t>(108010). doi:</w:t>
      </w:r>
      <w:hyperlink r:id="rId17" w:history="1">
        <w:r w:rsidRPr="001862F3">
          <w:rPr>
            <w:rStyle w:val="Hyperlink"/>
            <w:rFonts w:ascii="Times New Roman" w:hAnsi="Times New Roman" w:cs="Times New Roman"/>
            <w:noProof/>
            <w:sz w:val="24"/>
            <w:szCs w:val="24"/>
          </w:rPr>
          <w:t>https://doi.org/10.1016/j.fcr.2020.108010</w:t>
        </w:r>
      </w:hyperlink>
    </w:p>
    <w:p w14:paraId="4B3772FD" w14:textId="09C7B91C"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lastRenderedPageBreak/>
        <w:t xml:space="preserve">IPCC. (2019). </w:t>
      </w:r>
      <w:r w:rsidRPr="001862F3">
        <w:rPr>
          <w:rFonts w:ascii="Times New Roman" w:hAnsi="Times New Roman" w:cs="Times New Roman"/>
          <w:i/>
          <w:noProof/>
          <w:sz w:val="24"/>
          <w:szCs w:val="24"/>
        </w:rPr>
        <w:t>Climate Change and Land</w:t>
      </w:r>
      <w:r w:rsidRPr="001862F3">
        <w:rPr>
          <w:rFonts w:ascii="Times New Roman" w:hAnsi="Times New Roman" w:cs="Times New Roman"/>
          <w:noProof/>
          <w:sz w:val="24"/>
          <w:szCs w:val="24"/>
        </w:rPr>
        <w:t xml:space="preserve">. Retrieved from </w:t>
      </w:r>
      <w:hyperlink r:id="rId18" w:history="1">
        <w:r w:rsidRPr="001862F3">
          <w:rPr>
            <w:rStyle w:val="Hyperlink"/>
            <w:rFonts w:ascii="Times New Roman" w:hAnsi="Times New Roman" w:cs="Times New Roman"/>
            <w:noProof/>
            <w:sz w:val="24"/>
            <w:szCs w:val="24"/>
          </w:rPr>
          <w:t>https://www.ipcc.ch/site/assets/uploads/2019/08/Fullreport-1.pdf</w:t>
        </w:r>
      </w:hyperlink>
    </w:p>
    <w:p w14:paraId="0F450730"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Kendall, M. G. (1975). </w:t>
      </w:r>
      <w:r w:rsidRPr="001862F3">
        <w:rPr>
          <w:rFonts w:ascii="Times New Roman" w:hAnsi="Times New Roman" w:cs="Times New Roman"/>
          <w:i/>
          <w:noProof/>
          <w:sz w:val="24"/>
          <w:szCs w:val="24"/>
        </w:rPr>
        <w:t>Rank Correlation Methods</w:t>
      </w:r>
      <w:r w:rsidRPr="001862F3">
        <w:rPr>
          <w:rFonts w:ascii="Times New Roman" w:hAnsi="Times New Roman" w:cs="Times New Roman"/>
          <w:noProof/>
          <w:sz w:val="24"/>
          <w:szCs w:val="24"/>
        </w:rPr>
        <w:t xml:space="preserve"> (4 ed.): London: Griffin.</w:t>
      </w:r>
    </w:p>
    <w:p w14:paraId="6100D781" w14:textId="7F05706A"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Koh, L. S., Nayan, N., Hashim, M., Saleh, Y., &amp; Mahat, H. (2021). Alternative Water Resources Quality Assessment during Flood Disaster in Kuala Krai, Kelantan, Malaysia. </w:t>
      </w:r>
      <w:r w:rsidRPr="001862F3">
        <w:rPr>
          <w:rFonts w:ascii="Times New Roman" w:hAnsi="Times New Roman" w:cs="Times New Roman"/>
          <w:i/>
          <w:noProof/>
          <w:sz w:val="24"/>
          <w:szCs w:val="24"/>
        </w:rPr>
        <w:t>Sains Malaysiana, 50</w:t>
      </w:r>
      <w:r w:rsidRPr="001862F3">
        <w:rPr>
          <w:rFonts w:ascii="Times New Roman" w:hAnsi="Times New Roman" w:cs="Times New Roman"/>
          <w:noProof/>
          <w:sz w:val="24"/>
          <w:szCs w:val="24"/>
        </w:rPr>
        <w:t>(3), 10. doi:</w:t>
      </w:r>
      <w:hyperlink r:id="rId19" w:history="1">
        <w:r w:rsidRPr="001862F3">
          <w:rPr>
            <w:rStyle w:val="Hyperlink"/>
            <w:rFonts w:ascii="Times New Roman" w:hAnsi="Times New Roman" w:cs="Times New Roman"/>
            <w:noProof/>
            <w:sz w:val="24"/>
            <w:szCs w:val="24"/>
          </w:rPr>
          <w:t>http://dx.doi.org/10.17576/jsm-2021-5003-07</w:t>
        </w:r>
      </w:hyperlink>
    </w:p>
    <w:p w14:paraId="7CCA4BC3" w14:textId="1C950072"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Li, W., Ciais, P., MacBean, N., Peng, S., Defourny, P., &amp; Bontemps, S. (2016). Major forest changes and land cover transitions based on plant functional types derived from the ESA CCI Land Cover product. </w:t>
      </w:r>
      <w:r w:rsidRPr="001862F3">
        <w:rPr>
          <w:rFonts w:ascii="Times New Roman" w:hAnsi="Times New Roman" w:cs="Times New Roman"/>
          <w:i/>
          <w:noProof/>
          <w:sz w:val="24"/>
          <w:szCs w:val="24"/>
        </w:rPr>
        <w:t>International Journal of Applied Earth Observation and Geoinformation, 47</w:t>
      </w:r>
      <w:r w:rsidRPr="001862F3">
        <w:rPr>
          <w:rFonts w:ascii="Times New Roman" w:hAnsi="Times New Roman" w:cs="Times New Roman"/>
          <w:noProof/>
          <w:sz w:val="24"/>
          <w:szCs w:val="24"/>
        </w:rPr>
        <w:t>, 10. doi:</w:t>
      </w:r>
      <w:hyperlink r:id="rId20" w:history="1">
        <w:r w:rsidRPr="001862F3">
          <w:rPr>
            <w:rStyle w:val="Hyperlink"/>
            <w:rFonts w:ascii="Times New Roman" w:hAnsi="Times New Roman" w:cs="Times New Roman"/>
            <w:noProof/>
            <w:sz w:val="24"/>
            <w:szCs w:val="24"/>
          </w:rPr>
          <w:t>http://dx.doi.org/10.1016/j.jag.2015.12.006</w:t>
        </w:r>
      </w:hyperlink>
    </w:p>
    <w:p w14:paraId="75E6B78B" w14:textId="425EFAA5"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Mann, H. B. (1945). Nonparametric Tests Against Trend. </w:t>
      </w:r>
      <w:r w:rsidRPr="001862F3">
        <w:rPr>
          <w:rFonts w:ascii="Times New Roman" w:hAnsi="Times New Roman" w:cs="Times New Roman"/>
          <w:i/>
          <w:noProof/>
          <w:sz w:val="24"/>
          <w:szCs w:val="24"/>
        </w:rPr>
        <w:t>Econometrica, 13</w:t>
      </w:r>
      <w:r w:rsidRPr="001862F3">
        <w:rPr>
          <w:rFonts w:ascii="Times New Roman" w:hAnsi="Times New Roman" w:cs="Times New Roman"/>
          <w:noProof/>
          <w:sz w:val="24"/>
          <w:szCs w:val="24"/>
        </w:rPr>
        <w:t>(3), 15. doi:</w:t>
      </w:r>
      <w:hyperlink r:id="rId21" w:history="1">
        <w:r w:rsidRPr="001862F3">
          <w:rPr>
            <w:rStyle w:val="Hyperlink"/>
            <w:rFonts w:ascii="Times New Roman" w:hAnsi="Times New Roman" w:cs="Times New Roman"/>
            <w:noProof/>
            <w:sz w:val="24"/>
            <w:szCs w:val="24"/>
          </w:rPr>
          <w:t>https://doi.org/10.2307/1907187</w:t>
        </w:r>
      </w:hyperlink>
    </w:p>
    <w:p w14:paraId="1C4F41AC" w14:textId="68D0230A"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Mitchell, J. M., Chairman, J., Dzerdzeevskii, B., Flohn, H., Hofmeyr, W. L., Lamb, H. H., Rao, K. N., &amp; Wallén, C. C. (1966). </w:t>
      </w:r>
      <w:r w:rsidRPr="001862F3">
        <w:rPr>
          <w:rFonts w:ascii="Times New Roman" w:hAnsi="Times New Roman" w:cs="Times New Roman"/>
          <w:i/>
          <w:noProof/>
          <w:sz w:val="24"/>
          <w:szCs w:val="24"/>
        </w:rPr>
        <w:t>Climatic Change</w:t>
      </w:r>
      <w:r w:rsidRPr="001862F3">
        <w:rPr>
          <w:rFonts w:ascii="Times New Roman" w:hAnsi="Times New Roman" w:cs="Times New Roman"/>
          <w:noProof/>
          <w:sz w:val="24"/>
          <w:szCs w:val="24"/>
        </w:rPr>
        <w:t xml:space="preserve">. Retrieved from Geneva, Switzerland: </w:t>
      </w:r>
      <w:hyperlink r:id="rId22" w:history="1">
        <w:r w:rsidRPr="001862F3">
          <w:rPr>
            <w:rStyle w:val="Hyperlink"/>
            <w:rFonts w:ascii="Times New Roman" w:hAnsi="Times New Roman" w:cs="Times New Roman"/>
            <w:noProof/>
            <w:sz w:val="24"/>
            <w:szCs w:val="24"/>
          </w:rPr>
          <w:t>https://library.wmo.int/doc_num.php?explnum_id=865</w:t>
        </w:r>
      </w:hyperlink>
    </w:p>
    <w:p w14:paraId="6F0A36FA"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Moore, D. S., Notz, W. I., &amp; Fligner, M. A. (2013). </w:t>
      </w:r>
      <w:r w:rsidRPr="001862F3">
        <w:rPr>
          <w:rFonts w:ascii="Times New Roman" w:hAnsi="Times New Roman" w:cs="Times New Roman"/>
          <w:i/>
          <w:noProof/>
          <w:sz w:val="24"/>
          <w:szCs w:val="24"/>
        </w:rPr>
        <w:t>The Basic Practice of Statistics 6th edition</w:t>
      </w:r>
      <w:r w:rsidRPr="001862F3">
        <w:rPr>
          <w:rFonts w:ascii="Times New Roman" w:hAnsi="Times New Roman" w:cs="Times New Roman"/>
          <w:noProof/>
          <w:sz w:val="24"/>
          <w:szCs w:val="24"/>
        </w:rPr>
        <w:t>. New York: Macmilan Learning.</w:t>
      </w:r>
    </w:p>
    <w:p w14:paraId="794D8FB7" w14:textId="5450D893"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Pearson, K. (1895). Note on regression and inheritance in the case of two parents. </w:t>
      </w:r>
      <w:r w:rsidRPr="001862F3">
        <w:rPr>
          <w:rFonts w:ascii="Times New Roman" w:hAnsi="Times New Roman" w:cs="Times New Roman"/>
          <w:i/>
          <w:noProof/>
          <w:sz w:val="24"/>
          <w:szCs w:val="24"/>
        </w:rPr>
        <w:t>Proceedings of The Royal Society of London, 58</w:t>
      </w:r>
      <w:r w:rsidRPr="001862F3">
        <w:rPr>
          <w:rFonts w:ascii="Times New Roman" w:hAnsi="Times New Roman" w:cs="Times New Roman"/>
          <w:noProof/>
          <w:sz w:val="24"/>
          <w:szCs w:val="24"/>
        </w:rPr>
        <w:t>(347-352). doi:</w:t>
      </w:r>
      <w:hyperlink r:id="rId23" w:history="1">
        <w:r w:rsidRPr="001862F3">
          <w:rPr>
            <w:rStyle w:val="Hyperlink"/>
            <w:rFonts w:ascii="Times New Roman" w:hAnsi="Times New Roman" w:cs="Times New Roman"/>
            <w:noProof/>
            <w:sz w:val="24"/>
            <w:szCs w:val="24"/>
          </w:rPr>
          <w:t>https://doi.org/10.1098/rspl.1895.0041</w:t>
        </w:r>
      </w:hyperlink>
    </w:p>
    <w:p w14:paraId="1D3ED100"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Reinhart, V., Hoffmann, P., Bechtel, B., Rechid, D., &amp; Boehner, J. (2020, 2 June 2020). </w:t>
      </w:r>
      <w:r w:rsidRPr="001862F3">
        <w:rPr>
          <w:rFonts w:ascii="Times New Roman" w:hAnsi="Times New Roman" w:cs="Times New Roman"/>
          <w:i/>
          <w:noProof/>
          <w:sz w:val="24"/>
          <w:szCs w:val="24"/>
        </w:rPr>
        <w:t>Accuracy assessment of ESA CCI LC over Eastern Europe and the Baltic States from a climate modelling perspective – identification of spatial inaccuracy patterns and misclassification issues using a fuzzy comparison method.</w:t>
      </w:r>
      <w:r w:rsidRPr="001862F3">
        <w:rPr>
          <w:rFonts w:ascii="Times New Roman" w:hAnsi="Times New Roman" w:cs="Times New Roman"/>
          <w:noProof/>
          <w:sz w:val="24"/>
          <w:szCs w:val="24"/>
        </w:rPr>
        <w:t xml:space="preserve"> Paper presented at the 3rd </w:t>
      </w:r>
      <w:r w:rsidRPr="001862F3">
        <w:rPr>
          <w:rFonts w:ascii="Times New Roman" w:hAnsi="Times New Roman" w:cs="Times New Roman"/>
          <w:noProof/>
          <w:sz w:val="24"/>
          <w:szCs w:val="24"/>
        </w:rPr>
        <w:lastRenderedPageBreak/>
        <w:t>Baltic Earth Conference: Earth system changes and Baltic Sea coasts, Jastarnia, Hel Peninsula, Poland (Online).</w:t>
      </w:r>
    </w:p>
    <w:p w14:paraId="4150E34E" w14:textId="6FB0931B"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Reinhart, V., Hoffmann, P., Bechtel, B., Rechid, D., &amp; Boehner, J. (2021). Comparison of ESA climate change initiative land cover to CORINE land cover over Eastern Europe and the Baltic States from a regional climate modeling perspective. </w:t>
      </w:r>
      <w:r w:rsidRPr="001862F3">
        <w:rPr>
          <w:rFonts w:ascii="Times New Roman" w:hAnsi="Times New Roman" w:cs="Times New Roman"/>
          <w:i/>
          <w:noProof/>
          <w:sz w:val="24"/>
          <w:szCs w:val="24"/>
        </w:rPr>
        <w:t>International Journal of Applied Earth Observation and Geoinformation, 94</w:t>
      </w:r>
      <w:r w:rsidRPr="001862F3">
        <w:rPr>
          <w:rFonts w:ascii="Times New Roman" w:hAnsi="Times New Roman" w:cs="Times New Roman"/>
          <w:noProof/>
          <w:sz w:val="24"/>
          <w:szCs w:val="24"/>
        </w:rPr>
        <w:t>(102221), 12. doi:</w:t>
      </w:r>
      <w:hyperlink r:id="rId24" w:history="1">
        <w:r w:rsidRPr="001862F3">
          <w:rPr>
            <w:rStyle w:val="Hyperlink"/>
            <w:rFonts w:ascii="Times New Roman" w:hAnsi="Times New Roman" w:cs="Times New Roman"/>
            <w:noProof/>
            <w:sz w:val="24"/>
            <w:szCs w:val="24"/>
          </w:rPr>
          <w:t>https://doi.org/10.1016/j.jag.2020.102221</w:t>
        </w:r>
      </w:hyperlink>
    </w:p>
    <w:p w14:paraId="085CEC5F" w14:textId="78632B85"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Roy, P., Pal, S. C., Chakrabortty, R., Chowdhuri, I., Malik, S., &amp; Das, B. (2020). Threats of climate and land use change on future flood susceptibility. </w:t>
      </w:r>
      <w:r w:rsidRPr="001862F3">
        <w:rPr>
          <w:rFonts w:ascii="Times New Roman" w:hAnsi="Times New Roman" w:cs="Times New Roman"/>
          <w:i/>
          <w:noProof/>
          <w:sz w:val="24"/>
          <w:szCs w:val="24"/>
        </w:rPr>
        <w:t>Journal of Cleaner Production, 272</w:t>
      </w:r>
      <w:r w:rsidRPr="001862F3">
        <w:rPr>
          <w:rFonts w:ascii="Times New Roman" w:hAnsi="Times New Roman" w:cs="Times New Roman"/>
          <w:noProof/>
          <w:sz w:val="24"/>
          <w:szCs w:val="24"/>
        </w:rPr>
        <w:t>(122757), 27. doi:</w:t>
      </w:r>
      <w:hyperlink r:id="rId25" w:history="1">
        <w:r w:rsidRPr="001862F3">
          <w:rPr>
            <w:rStyle w:val="Hyperlink"/>
            <w:rFonts w:ascii="Times New Roman" w:hAnsi="Times New Roman" w:cs="Times New Roman"/>
            <w:noProof/>
            <w:sz w:val="24"/>
            <w:szCs w:val="24"/>
          </w:rPr>
          <w:t>https://doi.org/10.1016/j.jclepro.2020.122757</w:t>
        </w:r>
      </w:hyperlink>
    </w:p>
    <w:p w14:paraId="3AB30749" w14:textId="60F6CB78"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Samsurijan, M. S., Adbd Rahman, N. N., Syakir Ishak, M. I., Masron, T. A., &amp; Kadir, O. (2018). Land use change in Kelantan: Review of the Environmental Impact Assessment (EIA) reports. </w:t>
      </w:r>
      <w:r w:rsidRPr="001862F3">
        <w:rPr>
          <w:rFonts w:ascii="Times New Roman" w:hAnsi="Times New Roman" w:cs="Times New Roman"/>
          <w:i/>
          <w:noProof/>
          <w:sz w:val="24"/>
          <w:szCs w:val="24"/>
        </w:rPr>
        <w:t>GEOGRAFIA OnlineTM Malaysian Journal of Society and Space, 14</w:t>
      </w:r>
      <w:r w:rsidRPr="001862F3">
        <w:rPr>
          <w:rFonts w:ascii="Times New Roman" w:hAnsi="Times New Roman" w:cs="Times New Roman"/>
          <w:noProof/>
          <w:sz w:val="24"/>
          <w:szCs w:val="24"/>
        </w:rPr>
        <w:t>(4), 10. doi:</w:t>
      </w:r>
      <w:hyperlink r:id="rId26" w:history="1">
        <w:r w:rsidRPr="001862F3">
          <w:rPr>
            <w:rStyle w:val="Hyperlink"/>
            <w:rFonts w:ascii="Times New Roman" w:hAnsi="Times New Roman" w:cs="Times New Roman"/>
            <w:noProof/>
            <w:sz w:val="24"/>
            <w:szCs w:val="24"/>
          </w:rPr>
          <w:t>https://doi.org/10.17576/geo-2018-1404-26</w:t>
        </w:r>
      </w:hyperlink>
    </w:p>
    <w:p w14:paraId="75A326D7" w14:textId="290BBDB6"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Selek, B., &amp; Selek, Z. (2019). River Basin Management. </w:t>
      </w:r>
      <w:r w:rsidRPr="001862F3">
        <w:rPr>
          <w:rFonts w:ascii="Times New Roman" w:hAnsi="Times New Roman" w:cs="Times New Roman"/>
          <w:i/>
          <w:noProof/>
          <w:sz w:val="24"/>
          <w:szCs w:val="24"/>
        </w:rPr>
        <w:t>World Water Resources, 2</w:t>
      </w:r>
      <w:r w:rsidRPr="001862F3">
        <w:rPr>
          <w:rFonts w:ascii="Times New Roman" w:hAnsi="Times New Roman" w:cs="Times New Roman"/>
          <w:noProof/>
          <w:sz w:val="24"/>
          <w:szCs w:val="24"/>
        </w:rPr>
        <w:t>, 21. doi:</w:t>
      </w:r>
      <w:hyperlink r:id="rId27" w:history="1">
        <w:r w:rsidRPr="001862F3">
          <w:rPr>
            <w:rStyle w:val="Hyperlink"/>
            <w:rFonts w:ascii="Times New Roman" w:hAnsi="Times New Roman" w:cs="Times New Roman"/>
            <w:noProof/>
            <w:sz w:val="24"/>
            <w:szCs w:val="24"/>
          </w:rPr>
          <w:t>https://doi.org/10.1007/978-3-030-11729-0_13</w:t>
        </w:r>
      </w:hyperlink>
    </w:p>
    <w:p w14:paraId="6A13958C" w14:textId="7A300B36"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Sen, P. K. (1968). Estimates of the Regression Coefficient Basen on Kendall's Tau. </w:t>
      </w:r>
      <w:r w:rsidRPr="001862F3">
        <w:rPr>
          <w:rFonts w:ascii="Times New Roman" w:hAnsi="Times New Roman" w:cs="Times New Roman"/>
          <w:i/>
          <w:noProof/>
          <w:sz w:val="24"/>
          <w:szCs w:val="24"/>
        </w:rPr>
        <w:t>Journal of the American Statistical Association, 63</w:t>
      </w:r>
      <w:r w:rsidRPr="001862F3">
        <w:rPr>
          <w:rFonts w:ascii="Times New Roman" w:hAnsi="Times New Roman" w:cs="Times New Roman"/>
          <w:noProof/>
          <w:sz w:val="24"/>
          <w:szCs w:val="24"/>
        </w:rPr>
        <w:t>(324), 12. doi:</w:t>
      </w:r>
      <w:hyperlink r:id="rId28" w:history="1">
        <w:r w:rsidRPr="001862F3">
          <w:rPr>
            <w:rStyle w:val="Hyperlink"/>
            <w:rFonts w:ascii="Times New Roman" w:hAnsi="Times New Roman" w:cs="Times New Roman"/>
            <w:noProof/>
            <w:sz w:val="24"/>
            <w:szCs w:val="24"/>
          </w:rPr>
          <w:t>https://doi.org/10.2307%2F2285891</w:t>
        </w:r>
      </w:hyperlink>
    </w:p>
    <w:p w14:paraId="3E5FB94D" w14:textId="7A5E4E89"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Shamshuddin, J., Panhwar, Q. A., Othman, R., Ismail, R., Jol, H., &amp; Yusoff, M. A. (2016). Effects of December 2014 Great Flood on the Physico-Chemical Properties of the Soils in the Kelantan Plains, Malaysia </w:t>
      </w:r>
      <w:r w:rsidRPr="001862F3">
        <w:rPr>
          <w:rFonts w:ascii="Times New Roman" w:hAnsi="Times New Roman" w:cs="Times New Roman"/>
          <w:i/>
          <w:noProof/>
          <w:sz w:val="24"/>
          <w:szCs w:val="24"/>
        </w:rPr>
        <w:t>Journal of Water Resource and Protection, 8</w:t>
      </w:r>
      <w:r w:rsidRPr="001862F3">
        <w:rPr>
          <w:rFonts w:ascii="Times New Roman" w:hAnsi="Times New Roman" w:cs="Times New Roman"/>
          <w:noProof/>
          <w:sz w:val="24"/>
          <w:szCs w:val="24"/>
        </w:rPr>
        <w:t>, 14. doi:</w:t>
      </w:r>
      <w:hyperlink r:id="rId29" w:history="1">
        <w:r w:rsidRPr="001862F3">
          <w:rPr>
            <w:rStyle w:val="Hyperlink"/>
            <w:rFonts w:ascii="Times New Roman" w:hAnsi="Times New Roman" w:cs="Times New Roman"/>
            <w:noProof/>
            <w:sz w:val="24"/>
            <w:szCs w:val="24"/>
          </w:rPr>
          <w:t>http://dx.doi.org/10.4236/jwarp.2016.82023</w:t>
        </w:r>
      </w:hyperlink>
    </w:p>
    <w:p w14:paraId="1004F695"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Suhaila, J., Mohd Deni, S., Wan Zin, W. Z., &amp; Jemain, A. A. (2010). Trends in Peninsular Malaysia Rainfall Data During the Southwest Monsoon and Northeast Monsoon </w:t>
      </w:r>
      <w:r w:rsidRPr="001862F3">
        <w:rPr>
          <w:rFonts w:ascii="Times New Roman" w:hAnsi="Times New Roman" w:cs="Times New Roman"/>
          <w:noProof/>
          <w:sz w:val="24"/>
          <w:szCs w:val="24"/>
        </w:rPr>
        <w:lastRenderedPageBreak/>
        <w:t xml:space="preserve">Seasons: 1975–2004. </w:t>
      </w:r>
      <w:r w:rsidRPr="001862F3">
        <w:rPr>
          <w:rFonts w:ascii="Times New Roman" w:hAnsi="Times New Roman" w:cs="Times New Roman"/>
          <w:i/>
          <w:noProof/>
          <w:sz w:val="24"/>
          <w:szCs w:val="24"/>
        </w:rPr>
        <w:t>Sains Malaysiana, 39</w:t>
      </w:r>
      <w:r w:rsidRPr="001862F3">
        <w:rPr>
          <w:rFonts w:ascii="Times New Roman" w:hAnsi="Times New Roman" w:cs="Times New Roman"/>
          <w:noProof/>
          <w:sz w:val="24"/>
          <w:szCs w:val="24"/>
        </w:rPr>
        <w:t xml:space="preserve">(4), 10. </w:t>
      </w:r>
    </w:p>
    <w:p w14:paraId="421CCD00" w14:textId="2D94D3DE"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Tan, M. L., Ibrahim, A. L., Yusop, Z., Chua, V. P., &amp; Chan, N. W. (2017</w:t>
      </w:r>
      <w:r w:rsidR="00326205">
        <w:rPr>
          <w:rFonts w:ascii="Times New Roman" w:hAnsi="Times New Roman" w:cs="Times New Roman"/>
          <w:noProof/>
          <w:sz w:val="24"/>
          <w:szCs w:val="24"/>
        </w:rPr>
        <w:t>b</w:t>
      </w:r>
      <w:r w:rsidRPr="001862F3">
        <w:rPr>
          <w:rFonts w:ascii="Times New Roman" w:hAnsi="Times New Roman" w:cs="Times New Roman"/>
          <w:noProof/>
          <w:sz w:val="24"/>
          <w:szCs w:val="24"/>
        </w:rPr>
        <w:t xml:space="preserve">). Climate change impacts under CMIP5 RCP scenarios on water resources of the Kelantan River Basin, Malaysia. </w:t>
      </w:r>
      <w:r w:rsidRPr="001862F3">
        <w:rPr>
          <w:rFonts w:ascii="Times New Roman" w:hAnsi="Times New Roman" w:cs="Times New Roman"/>
          <w:i/>
          <w:noProof/>
          <w:sz w:val="24"/>
          <w:szCs w:val="24"/>
        </w:rPr>
        <w:t>Atmospheric Research, 189</w:t>
      </w:r>
      <w:r w:rsidRPr="001862F3">
        <w:rPr>
          <w:rFonts w:ascii="Times New Roman" w:hAnsi="Times New Roman" w:cs="Times New Roman"/>
          <w:noProof/>
          <w:sz w:val="24"/>
          <w:szCs w:val="24"/>
        </w:rPr>
        <w:t>, 10. doi:</w:t>
      </w:r>
      <w:hyperlink r:id="rId30" w:history="1">
        <w:r w:rsidRPr="001862F3">
          <w:rPr>
            <w:rStyle w:val="Hyperlink"/>
            <w:rFonts w:ascii="Times New Roman" w:hAnsi="Times New Roman" w:cs="Times New Roman"/>
            <w:noProof/>
            <w:sz w:val="24"/>
            <w:szCs w:val="24"/>
          </w:rPr>
          <w:t>http://dx.doi.org/10.1016/j.atmosres.2017.01.008</w:t>
        </w:r>
      </w:hyperlink>
    </w:p>
    <w:p w14:paraId="4296A1C1"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Tan, M. L., Juneng, L., Tangang, F. T., Chung, J. X., &amp; Radin Firdaus, R. B. (2021). Changes in Temperature Extremes and Their Relationship with ENSO in Malaysia from 1985 to 2018. </w:t>
      </w:r>
      <w:r w:rsidRPr="001862F3">
        <w:rPr>
          <w:rFonts w:ascii="Times New Roman" w:hAnsi="Times New Roman" w:cs="Times New Roman"/>
          <w:i/>
          <w:noProof/>
          <w:sz w:val="24"/>
          <w:szCs w:val="24"/>
        </w:rPr>
        <w:t>International Journal of Climatology, 41</w:t>
      </w:r>
      <w:r w:rsidRPr="001862F3">
        <w:rPr>
          <w:rFonts w:ascii="Times New Roman" w:hAnsi="Times New Roman" w:cs="Times New Roman"/>
          <w:noProof/>
          <w:sz w:val="24"/>
          <w:szCs w:val="24"/>
        </w:rPr>
        <w:t>(S1), E2564-E2580. doi:10.1002/joc.6864</w:t>
      </w:r>
    </w:p>
    <w:p w14:paraId="4850213A" w14:textId="7AB2034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Tan, M. L., Tan, K. C., Chua, V. P., &amp; Chan, N. W. (2017</w:t>
      </w:r>
      <w:r w:rsidR="00326205">
        <w:rPr>
          <w:rFonts w:ascii="Times New Roman" w:hAnsi="Times New Roman" w:cs="Times New Roman"/>
          <w:noProof/>
          <w:sz w:val="24"/>
          <w:szCs w:val="24"/>
        </w:rPr>
        <w:t>a</w:t>
      </w:r>
      <w:r w:rsidRPr="001862F3">
        <w:rPr>
          <w:rFonts w:ascii="Times New Roman" w:hAnsi="Times New Roman" w:cs="Times New Roman"/>
          <w:noProof/>
          <w:sz w:val="24"/>
          <w:szCs w:val="24"/>
        </w:rPr>
        <w:t xml:space="preserve">). Evaluation of TRMM Product for Monitoring Drought in the Kelantan River Basin, Malaysia. </w:t>
      </w:r>
      <w:r w:rsidRPr="001862F3">
        <w:rPr>
          <w:rFonts w:ascii="Times New Roman" w:hAnsi="Times New Roman" w:cs="Times New Roman"/>
          <w:i/>
          <w:noProof/>
          <w:sz w:val="24"/>
          <w:szCs w:val="24"/>
        </w:rPr>
        <w:t>Water, 9</w:t>
      </w:r>
      <w:r w:rsidRPr="001862F3">
        <w:rPr>
          <w:rFonts w:ascii="Times New Roman" w:hAnsi="Times New Roman" w:cs="Times New Roman"/>
          <w:noProof/>
          <w:sz w:val="24"/>
          <w:szCs w:val="24"/>
        </w:rPr>
        <w:t xml:space="preserve">(1), 15. doi:10.3390/w9010057 </w:t>
      </w:r>
    </w:p>
    <w:p w14:paraId="79973273" w14:textId="1EA124F3"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Thakur, S., Mondal, I., Bar, S., Nandi, S., Ghosh, P. B., Das, P., &amp; De, T. K. (2020). Shoreline changes and its impact on the mangrove ecosystems of some islands of Indian Sundarbans, North-East coast of India. </w:t>
      </w:r>
      <w:r w:rsidRPr="001862F3">
        <w:rPr>
          <w:rFonts w:ascii="Times New Roman" w:hAnsi="Times New Roman" w:cs="Times New Roman"/>
          <w:i/>
          <w:noProof/>
          <w:sz w:val="24"/>
          <w:szCs w:val="24"/>
        </w:rPr>
        <w:t>Journal of Cleaner Production</w:t>
      </w:r>
      <w:r w:rsidRPr="001862F3">
        <w:rPr>
          <w:rFonts w:ascii="Times New Roman" w:hAnsi="Times New Roman" w:cs="Times New Roman"/>
          <w:noProof/>
          <w:sz w:val="24"/>
          <w:szCs w:val="24"/>
        </w:rPr>
        <w:t>(124764). doi:</w:t>
      </w:r>
      <w:hyperlink r:id="rId31" w:history="1">
        <w:r w:rsidRPr="001862F3">
          <w:rPr>
            <w:rStyle w:val="Hyperlink"/>
            <w:rFonts w:ascii="Times New Roman" w:hAnsi="Times New Roman" w:cs="Times New Roman"/>
            <w:noProof/>
            <w:sz w:val="24"/>
            <w:szCs w:val="24"/>
          </w:rPr>
          <w:t>https://doi.org/10.1016/j.jclepro.2020.124764</w:t>
        </w:r>
      </w:hyperlink>
    </w:p>
    <w:p w14:paraId="53B34C6B" w14:textId="77777777" w:rsidR="006E2A30" w:rsidRPr="001862F3" w:rsidRDefault="006E2A30" w:rsidP="001862F3">
      <w:pPr>
        <w:pStyle w:val="EndNoteBibliography"/>
        <w:spacing w:line="480" w:lineRule="auto"/>
        <w:ind w:left="720" w:hanging="720"/>
        <w:rPr>
          <w:rFonts w:ascii="Times New Roman" w:hAnsi="Times New Roman" w:cs="Times New Roman"/>
          <w:noProof/>
          <w:sz w:val="24"/>
          <w:szCs w:val="24"/>
        </w:rPr>
      </w:pPr>
      <w:r w:rsidRPr="001862F3">
        <w:rPr>
          <w:rFonts w:ascii="Times New Roman" w:hAnsi="Times New Roman" w:cs="Times New Roman"/>
          <w:noProof/>
          <w:sz w:val="24"/>
          <w:szCs w:val="24"/>
        </w:rPr>
        <w:t xml:space="preserve">Udin, W. S., &amp; Zahuri, Z. N. (2017). Land Use and Land Cover Detection by Different Classification Systems using Remotely Sensed Data of Kuala Tiga, Tanah Merah Kelantan, Malaysia. </w:t>
      </w:r>
      <w:r w:rsidRPr="001862F3">
        <w:rPr>
          <w:rFonts w:ascii="Times New Roman" w:hAnsi="Times New Roman" w:cs="Times New Roman"/>
          <w:i/>
          <w:noProof/>
          <w:sz w:val="24"/>
          <w:szCs w:val="24"/>
        </w:rPr>
        <w:t>Journal of Tropical Resources and Sustaonable Science, 5</w:t>
      </w:r>
      <w:r w:rsidRPr="001862F3">
        <w:rPr>
          <w:rFonts w:ascii="Times New Roman" w:hAnsi="Times New Roman" w:cs="Times New Roman"/>
          <w:noProof/>
          <w:sz w:val="24"/>
          <w:szCs w:val="24"/>
        </w:rPr>
        <w:t xml:space="preserve">, 7. </w:t>
      </w:r>
    </w:p>
    <w:p w14:paraId="1B9AA1EF" w14:textId="77777777" w:rsidR="006E2A30" w:rsidRPr="006E2A30" w:rsidRDefault="006E2A30" w:rsidP="001862F3">
      <w:pPr>
        <w:pStyle w:val="EndNoteBibliography"/>
        <w:spacing w:line="480" w:lineRule="auto"/>
        <w:ind w:left="720" w:hanging="720"/>
        <w:rPr>
          <w:noProof/>
        </w:rPr>
      </w:pPr>
      <w:r w:rsidRPr="001862F3">
        <w:rPr>
          <w:rFonts w:ascii="Times New Roman" w:hAnsi="Times New Roman" w:cs="Times New Roman"/>
          <w:noProof/>
          <w:sz w:val="24"/>
          <w:szCs w:val="24"/>
        </w:rPr>
        <w:t xml:space="preserve">Wulder, M. A., Franklin, S. E., White, J. C., Linke, J., &amp; Magnussen, S. (2006). An accuracy assessment framework for large-area land cover classification products derived from medium-resolution satellite data. </w:t>
      </w:r>
      <w:r w:rsidRPr="001862F3">
        <w:rPr>
          <w:rFonts w:ascii="Times New Roman" w:hAnsi="Times New Roman" w:cs="Times New Roman"/>
          <w:i/>
          <w:noProof/>
          <w:sz w:val="24"/>
          <w:szCs w:val="24"/>
        </w:rPr>
        <w:t>International Journal of Remote Sensing, 27</w:t>
      </w:r>
      <w:r w:rsidRPr="001862F3">
        <w:rPr>
          <w:rFonts w:ascii="Times New Roman" w:hAnsi="Times New Roman" w:cs="Times New Roman"/>
          <w:noProof/>
          <w:sz w:val="24"/>
          <w:szCs w:val="24"/>
        </w:rPr>
        <w:t>(4), 21. doi:10.1080/01431160500185284</w:t>
      </w:r>
    </w:p>
    <w:p w14:paraId="485573BC" w14:textId="23E176E3" w:rsidR="004A5F13" w:rsidRDefault="009E2627">
      <w:pPr>
        <w:wordWrap/>
        <w:spacing w:line="480" w:lineRule="auto"/>
        <w:outlineLvl w:val="0"/>
        <w:rPr>
          <w:rFonts w:ascii="Times New Roman" w:hAnsi="Times New Roman" w:cs="Times New Roman"/>
          <w:sz w:val="24"/>
          <w:szCs w:val="24"/>
        </w:rPr>
      </w:pPr>
      <w:r>
        <w:rPr>
          <w:rFonts w:ascii="Times New Roman" w:hAnsi="Times New Roman" w:cs="Times New Roman"/>
          <w:sz w:val="24"/>
          <w:szCs w:val="24"/>
        </w:rPr>
        <w:fldChar w:fldCharType="end"/>
      </w:r>
    </w:p>
    <w:p w14:paraId="1145CA4B" w14:textId="77777777" w:rsidR="004A5F13" w:rsidRDefault="009E2627">
      <w:pPr>
        <w:widowControl/>
        <w:wordWrap/>
        <w:autoSpaceDE/>
        <w:autoSpaceDN/>
        <w:spacing w:after="160" w:line="259" w:lineRule="auto"/>
        <w:jc w:val="left"/>
        <w:rPr>
          <w:rFonts w:ascii="Times New Roman" w:hAnsi="Times New Roman" w:cs="Times New Roman"/>
          <w:sz w:val="24"/>
          <w:szCs w:val="24"/>
        </w:rPr>
      </w:pPr>
      <w:r>
        <w:rPr>
          <w:rFonts w:ascii="Times New Roman" w:hAnsi="Times New Roman" w:cs="Times New Roman"/>
          <w:b/>
          <w:bCs/>
          <w:sz w:val="24"/>
          <w:szCs w:val="24"/>
        </w:rPr>
        <w:t>List of Tables</w:t>
      </w:r>
    </w:p>
    <w:p w14:paraId="3D6E4E4D" w14:textId="77777777" w:rsidR="004A5F13" w:rsidRDefault="009E2627">
      <w:pPr>
        <w:pStyle w:val="Caption"/>
        <w:keepNext/>
        <w:rPr>
          <w:rFonts w:cs="Times New Roman"/>
          <w:szCs w:val="24"/>
        </w:rPr>
      </w:pPr>
      <w:r>
        <w:rPr>
          <w:rFonts w:cs="Times New Roman"/>
          <w:szCs w:val="24"/>
        </w:rPr>
        <w:lastRenderedPageBreak/>
        <w:t xml:space="preserve">Table </w:t>
      </w:r>
      <w:r>
        <w:rPr>
          <w:rFonts w:cs="Times New Roman"/>
          <w:szCs w:val="24"/>
        </w:rPr>
        <w:fldChar w:fldCharType="begin"/>
      </w:r>
      <w:r>
        <w:rPr>
          <w:rFonts w:cs="Times New Roman"/>
          <w:szCs w:val="24"/>
        </w:rPr>
        <w:instrText xml:space="preserve"> SEQ Table \* ARABIC </w:instrText>
      </w:r>
      <w:r>
        <w:rPr>
          <w:rFonts w:cs="Times New Roman"/>
          <w:szCs w:val="24"/>
        </w:rPr>
        <w:fldChar w:fldCharType="separate"/>
      </w:r>
      <w:r>
        <w:rPr>
          <w:rFonts w:cs="Times New Roman"/>
          <w:szCs w:val="24"/>
        </w:rPr>
        <w:t>1</w:t>
      </w:r>
      <w:r>
        <w:rPr>
          <w:rFonts w:cs="Times New Roman"/>
          <w:szCs w:val="24"/>
        </w:rPr>
        <w:fldChar w:fldCharType="end"/>
      </w:r>
      <w:r>
        <w:rPr>
          <w:rFonts w:cs="Times New Roman"/>
          <w:szCs w:val="24"/>
        </w:rPr>
        <w:t xml:space="preserve"> Climate stations.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2436"/>
        <w:gridCol w:w="1097"/>
        <w:gridCol w:w="1270"/>
        <w:gridCol w:w="1270"/>
        <w:gridCol w:w="1157"/>
        <w:gridCol w:w="1075"/>
      </w:tblGrid>
      <w:tr w:rsidR="004A5F13" w14:paraId="38C1C412" w14:textId="77777777">
        <w:tc>
          <w:tcPr>
            <w:tcW w:w="0" w:type="auto"/>
            <w:tcBorders>
              <w:top w:val="single" w:sz="4" w:space="0" w:color="auto"/>
              <w:bottom w:val="single" w:sz="4" w:space="0" w:color="auto"/>
            </w:tcBorders>
          </w:tcPr>
          <w:p w14:paraId="4BBEBC82"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ID</w:t>
            </w:r>
          </w:p>
        </w:tc>
        <w:tc>
          <w:tcPr>
            <w:tcW w:w="0" w:type="auto"/>
            <w:tcBorders>
              <w:top w:val="single" w:sz="4" w:space="0" w:color="auto"/>
              <w:bottom w:val="single" w:sz="4" w:space="0" w:color="auto"/>
            </w:tcBorders>
          </w:tcPr>
          <w:p w14:paraId="6F52AD93"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Name</w:t>
            </w:r>
          </w:p>
        </w:tc>
        <w:tc>
          <w:tcPr>
            <w:tcW w:w="0" w:type="auto"/>
            <w:tcBorders>
              <w:top w:val="single" w:sz="4" w:space="0" w:color="auto"/>
              <w:bottom w:val="single" w:sz="4" w:space="0" w:color="auto"/>
            </w:tcBorders>
          </w:tcPr>
          <w:p w14:paraId="51D9E540"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Latitude</w:t>
            </w:r>
          </w:p>
        </w:tc>
        <w:tc>
          <w:tcPr>
            <w:tcW w:w="0" w:type="auto"/>
            <w:tcBorders>
              <w:top w:val="single" w:sz="4" w:space="0" w:color="auto"/>
              <w:bottom w:val="single" w:sz="4" w:space="0" w:color="auto"/>
            </w:tcBorders>
          </w:tcPr>
          <w:p w14:paraId="2F3CA40A"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Longitude</w:t>
            </w:r>
          </w:p>
        </w:tc>
        <w:tc>
          <w:tcPr>
            <w:tcW w:w="0" w:type="auto"/>
            <w:tcBorders>
              <w:top w:val="single" w:sz="4" w:space="0" w:color="auto"/>
              <w:bottom w:val="single" w:sz="4" w:space="0" w:color="auto"/>
            </w:tcBorders>
          </w:tcPr>
          <w:p w14:paraId="446DDAAA"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Height(m)</w:t>
            </w:r>
          </w:p>
        </w:tc>
        <w:tc>
          <w:tcPr>
            <w:tcW w:w="0" w:type="auto"/>
            <w:tcBorders>
              <w:top w:val="single" w:sz="4" w:space="0" w:color="auto"/>
              <w:bottom w:val="single" w:sz="4" w:space="0" w:color="auto"/>
            </w:tcBorders>
          </w:tcPr>
          <w:p w14:paraId="456A8D17"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Start Year</w:t>
            </w:r>
          </w:p>
        </w:tc>
        <w:tc>
          <w:tcPr>
            <w:tcW w:w="0" w:type="auto"/>
            <w:tcBorders>
              <w:top w:val="single" w:sz="4" w:space="0" w:color="auto"/>
              <w:bottom w:val="single" w:sz="4" w:space="0" w:color="auto"/>
            </w:tcBorders>
          </w:tcPr>
          <w:p w14:paraId="23B38353" w14:textId="77777777" w:rsidR="004A5F13" w:rsidRDefault="009E2627">
            <w:pPr>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End Year</w:t>
            </w:r>
          </w:p>
        </w:tc>
      </w:tr>
      <w:tr w:rsidR="004A5F13" w14:paraId="3C715930" w14:textId="77777777">
        <w:tc>
          <w:tcPr>
            <w:tcW w:w="0" w:type="auto"/>
            <w:tcBorders>
              <w:top w:val="single" w:sz="4" w:space="0" w:color="auto"/>
            </w:tcBorders>
          </w:tcPr>
          <w:p w14:paraId="7C8BB3DD"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40430</w:t>
            </w:r>
          </w:p>
        </w:tc>
        <w:tc>
          <w:tcPr>
            <w:tcW w:w="0" w:type="auto"/>
            <w:tcBorders>
              <w:top w:val="single" w:sz="4" w:space="0" w:color="auto"/>
            </w:tcBorders>
          </w:tcPr>
          <w:p w14:paraId="16801083"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Brooke</w:t>
            </w:r>
          </w:p>
        </w:tc>
        <w:tc>
          <w:tcPr>
            <w:tcW w:w="0" w:type="auto"/>
            <w:tcBorders>
              <w:top w:val="single" w:sz="4" w:space="0" w:color="auto"/>
            </w:tcBorders>
          </w:tcPr>
          <w:p w14:paraId="4A06225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4.63</w:t>
            </w:r>
          </w:p>
        </w:tc>
        <w:tc>
          <w:tcPr>
            <w:tcW w:w="0" w:type="auto"/>
            <w:tcBorders>
              <w:top w:val="single" w:sz="4" w:space="0" w:color="auto"/>
            </w:tcBorders>
          </w:tcPr>
          <w:p w14:paraId="68615380"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101.48</w:t>
            </w:r>
          </w:p>
        </w:tc>
        <w:tc>
          <w:tcPr>
            <w:tcW w:w="0" w:type="auto"/>
            <w:tcBorders>
              <w:top w:val="single" w:sz="4" w:space="0" w:color="auto"/>
            </w:tcBorders>
          </w:tcPr>
          <w:p w14:paraId="78CD5028"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640.00</w:t>
            </w:r>
          </w:p>
        </w:tc>
        <w:tc>
          <w:tcPr>
            <w:tcW w:w="0" w:type="auto"/>
            <w:tcBorders>
              <w:top w:val="single" w:sz="4" w:space="0" w:color="auto"/>
            </w:tcBorders>
          </w:tcPr>
          <w:p w14:paraId="7788F5A1"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Borders>
              <w:top w:val="single" w:sz="4" w:space="0" w:color="auto"/>
            </w:tcBorders>
          </w:tcPr>
          <w:p w14:paraId="5C441F4B"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6CA5168E" w14:textId="77777777">
        <w:tc>
          <w:tcPr>
            <w:tcW w:w="0" w:type="auto"/>
          </w:tcPr>
          <w:p w14:paraId="63775137"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40431</w:t>
            </w:r>
          </w:p>
        </w:tc>
        <w:tc>
          <w:tcPr>
            <w:tcW w:w="0" w:type="auto"/>
          </w:tcPr>
          <w:p w14:paraId="73738F75"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Blau</w:t>
            </w:r>
            <w:proofErr w:type="spellEnd"/>
          </w:p>
        </w:tc>
        <w:tc>
          <w:tcPr>
            <w:tcW w:w="0" w:type="auto"/>
          </w:tcPr>
          <w:p w14:paraId="33536B99"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4.65</w:t>
            </w:r>
          </w:p>
        </w:tc>
        <w:tc>
          <w:tcPr>
            <w:tcW w:w="0" w:type="auto"/>
          </w:tcPr>
          <w:p w14:paraId="22539C3C"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101.68</w:t>
            </w:r>
          </w:p>
        </w:tc>
        <w:tc>
          <w:tcPr>
            <w:tcW w:w="0" w:type="auto"/>
          </w:tcPr>
          <w:p w14:paraId="7C9D607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244.00</w:t>
            </w:r>
          </w:p>
        </w:tc>
        <w:tc>
          <w:tcPr>
            <w:tcW w:w="0" w:type="auto"/>
          </w:tcPr>
          <w:p w14:paraId="3C8BB28B"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564D403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512515BD" w14:textId="77777777">
        <w:tc>
          <w:tcPr>
            <w:tcW w:w="0" w:type="auto"/>
          </w:tcPr>
          <w:p w14:paraId="145F359B"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40432</w:t>
            </w:r>
          </w:p>
        </w:tc>
        <w:tc>
          <w:tcPr>
            <w:tcW w:w="0" w:type="auto"/>
          </w:tcPr>
          <w:p w14:paraId="23984411"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RPS Kuala Betis</w:t>
            </w:r>
          </w:p>
        </w:tc>
        <w:tc>
          <w:tcPr>
            <w:tcW w:w="0" w:type="auto"/>
          </w:tcPr>
          <w:p w14:paraId="237801F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4.70</w:t>
            </w:r>
          </w:p>
        </w:tc>
        <w:tc>
          <w:tcPr>
            <w:tcW w:w="0" w:type="auto"/>
          </w:tcPr>
          <w:p w14:paraId="4DF026A3"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101.75</w:t>
            </w:r>
          </w:p>
        </w:tc>
        <w:tc>
          <w:tcPr>
            <w:tcW w:w="0" w:type="auto"/>
          </w:tcPr>
          <w:p w14:paraId="1107271D"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152.50</w:t>
            </w:r>
          </w:p>
        </w:tc>
        <w:tc>
          <w:tcPr>
            <w:tcW w:w="0" w:type="auto"/>
          </w:tcPr>
          <w:p w14:paraId="5A744C9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3AAB1A84"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2F11D5D6" w14:textId="77777777">
        <w:tc>
          <w:tcPr>
            <w:tcW w:w="0" w:type="auto"/>
          </w:tcPr>
          <w:p w14:paraId="16BFE10F"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40433</w:t>
            </w:r>
          </w:p>
        </w:tc>
        <w:tc>
          <w:tcPr>
            <w:tcW w:w="0" w:type="auto"/>
          </w:tcPr>
          <w:p w14:paraId="5A29B76B"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Hau</w:t>
            </w:r>
            <w:proofErr w:type="spellEnd"/>
          </w:p>
        </w:tc>
        <w:tc>
          <w:tcPr>
            <w:tcW w:w="0" w:type="auto"/>
          </w:tcPr>
          <w:p w14:paraId="0D6E5BD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4.70</w:t>
            </w:r>
          </w:p>
        </w:tc>
        <w:tc>
          <w:tcPr>
            <w:tcW w:w="0" w:type="auto"/>
          </w:tcPr>
          <w:p w14:paraId="5DC6040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101.53</w:t>
            </w:r>
          </w:p>
        </w:tc>
        <w:tc>
          <w:tcPr>
            <w:tcW w:w="0" w:type="auto"/>
          </w:tcPr>
          <w:p w14:paraId="10952782"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655.00</w:t>
            </w:r>
          </w:p>
        </w:tc>
        <w:tc>
          <w:tcPr>
            <w:tcW w:w="0" w:type="auto"/>
          </w:tcPr>
          <w:p w14:paraId="45196B16"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7B2E020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04A74804" w14:textId="77777777">
        <w:tc>
          <w:tcPr>
            <w:tcW w:w="0" w:type="auto"/>
          </w:tcPr>
          <w:p w14:paraId="5A454B3B"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40470</w:t>
            </w:r>
          </w:p>
        </w:tc>
        <w:tc>
          <w:tcPr>
            <w:tcW w:w="0" w:type="auto"/>
          </w:tcPr>
          <w:p w14:paraId="2F640421"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Lebir</w:t>
            </w:r>
            <w:proofErr w:type="spellEnd"/>
          </w:p>
        </w:tc>
        <w:tc>
          <w:tcPr>
            <w:tcW w:w="0" w:type="auto"/>
          </w:tcPr>
          <w:p w14:paraId="2AFF3CD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4.93</w:t>
            </w:r>
          </w:p>
        </w:tc>
        <w:tc>
          <w:tcPr>
            <w:tcW w:w="0" w:type="auto"/>
          </w:tcPr>
          <w:p w14:paraId="1CCD7EDD"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102.38</w:t>
            </w:r>
          </w:p>
        </w:tc>
        <w:tc>
          <w:tcPr>
            <w:tcW w:w="0" w:type="auto"/>
          </w:tcPr>
          <w:p w14:paraId="1288A2B4"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91.00</w:t>
            </w:r>
          </w:p>
        </w:tc>
        <w:tc>
          <w:tcPr>
            <w:tcW w:w="0" w:type="auto"/>
          </w:tcPr>
          <w:p w14:paraId="1ED692A2"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28C4100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2014</w:t>
            </w:r>
          </w:p>
        </w:tc>
      </w:tr>
      <w:tr w:rsidR="004A5F13" w14:paraId="633955BF" w14:textId="77777777">
        <w:tc>
          <w:tcPr>
            <w:tcW w:w="0" w:type="auto"/>
          </w:tcPr>
          <w:p w14:paraId="20827DC6"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40501</w:t>
            </w:r>
          </w:p>
        </w:tc>
        <w:tc>
          <w:tcPr>
            <w:tcW w:w="0" w:type="auto"/>
          </w:tcPr>
          <w:p w14:paraId="491FD0DF"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Belatim</w:t>
            </w:r>
            <w:proofErr w:type="spellEnd"/>
          </w:p>
        </w:tc>
        <w:tc>
          <w:tcPr>
            <w:tcW w:w="0" w:type="auto"/>
          </w:tcPr>
          <w:p w14:paraId="649CE0D6"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5.00</w:t>
            </w:r>
          </w:p>
        </w:tc>
        <w:tc>
          <w:tcPr>
            <w:tcW w:w="0" w:type="auto"/>
          </w:tcPr>
          <w:p w14:paraId="716A6C2C"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101.53</w:t>
            </w:r>
          </w:p>
        </w:tc>
        <w:tc>
          <w:tcPr>
            <w:tcW w:w="0" w:type="auto"/>
          </w:tcPr>
          <w:p w14:paraId="1AC4CC8C"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488.00</w:t>
            </w:r>
          </w:p>
        </w:tc>
        <w:tc>
          <w:tcPr>
            <w:tcW w:w="0" w:type="auto"/>
          </w:tcPr>
          <w:p w14:paraId="0AE7D461"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7ACB459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47C52DDB" w14:textId="77777777">
        <w:tc>
          <w:tcPr>
            <w:tcW w:w="0" w:type="auto"/>
          </w:tcPr>
          <w:p w14:paraId="299B5A87"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40502</w:t>
            </w:r>
          </w:p>
        </w:tc>
        <w:tc>
          <w:tcPr>
            <w:tcW w:w="0" w:type="auto"/>
          </w:tcPr>
          <w:p w14:paraId="47ECB43A"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Bihai</w:t>
            </w:r>
            <w:proofErr w:type="spellEnd"/>
          </w:p>
        </w:tc>
        <w:tc>
          <w:tcPr>
            <w:tcW w:w="0" w:type="auto"/>
          </w:tcPr>
          <w:p w14:paraId="5ECADDF9"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5.00</w:t>
            </w:r>
          </w:p>
        </w:tc>
        <w:tc>
          <w:tcPr>
            <w:tcW w:w="0" w:type="auto"/>
          </w:tcPr>
          <w:p w14:paraId="27B28F8C"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101.57</w:t>
            </w:r>
          </w:p>
        </w:tc>
        <w:tc>
          <w:tcPr>
            <w:tcW w:w="0" w:type="auto"/>
          </w:tcPr>
          <w:p w14:paraId="0839AB8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274.50</w:t>
            </w:r>
          </w:p>
        </w:tc>
        <w:tc>
          <w:tcPr>
            <w:tcW w:w="0" w:type="auto"/>
          </w:tcPr>
          <w:p w14:paraId="27762054"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79C2F886"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3500DFBE" w14:textId="77777777">
        <w:tc>
          <w:tcPr>
            <w:tcW w:w="0" w:type="auto"/>
          </w:tcPr>
          <w:p w14:paraId="727D0A17"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40510</w:t>
            </w:r>
          </w:p>
        </w:tc>
        <w:tc>
          <w:tcPr>
            <w:tcW w:w="0" w:type="auto"/>
          </w:tcPr>
          <w:p w14:paraId="41F904E6"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Tehoi</w:t>
            </w:r>
            <w:proofErr w:type="spellEnd"/>
          </w:p>
        </w:tc>
        <w:tc>
          <w:tcPr>
            <w:tcW w:w="0" w:type="auto"/>
          </w:tcPr>
          <w:p w14:paraId="093DBEC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5.05</w:t>
            </w:r>
          </w:p>
        </w:tc>
        <w:tc>
          <w:tcPr>
            <w:tcW w:w="0" w:type="auto"/>
          </w:tcPr>
          <w:p w14:paraId="20CD90BF"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101.75</w:t>
            </w:r>
          </w:p>
        </w:tc>
        <w:tc>
          <w:tcPr>
            <w:tcW w:w="0" w:type="auto"/>
          </w:tcPr>
          <w:p w14:paraId="0936B3CD"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198.30</w:t>
            </w:r>
          </w:p>
        </w:tc>
        <w:tc>
          <w:tcPr>
            <w:tcW w:w="0" w:type="auto"/>
          </w:tcPr>
          <w:p w14:paraId="129C6CBC"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160410B0"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3F8D3DFF" w14:textId="77777777">
        <w:tc>
          <w:tcPr>
            <w:tcW w:w="0" w:type="auto"/>
          </w:tcPr>
          <w:p w14:paraId="7D945183"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40512</w:t>
            </w:r>
          </w:p>
        </w:tc>
        <w:tc>
          <w:tcPr>
            <w:tcW w:w="0" w:type="auto"/>
          </w:tcPr>
          <w:p w14:paraId="3E081875"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Wias</w:t>
            </w:r>
            <w:proofErr w:type="spellEnd"/>
          </w:p>
        </w:tc>
        <w:tc>
          <w:tcPr>
            <w:tcW w:w="0" w:type="auto"/>
          </w:tcPr>
          <w:p w14:paraId="579F22BC"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5.12</w:t>
            </w:r>
          </w:p>
        </w:tc>
        <w:tc>
          <w:tcPr>
            <w:tcW w:w="0" w:type="auto"/>
          </w:tcPr>
          <w:p w14:paraId="0F046529"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101.82</w:t>
            </w:r>
          </w:p>
        </w:tc>
        <w:tc>
          <w:tcPr>
            <w:tcW w:w="0" w:type="auto"/>
          </w:tcPr>
          <w:p w14:paraId="36A987B9"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76.00</w:t>
            </w:r>
          </w:p>
        </w:tc>
        <w:tc>
          <w:tcPr>
            <w:tcW w:w="0" w:type="auto"/>
          </w:tcPr>
          <w:p w14:paraId="20C89608"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4A3071D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459B4E1A" w14:textId="77777777">
        <w:tc>
          <w:tcPr>
            <w:tcW w:w="0" w:type="auto"/>
          </w:tcPr>
          <w:p w14:paraId="28902C24"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40516</w:t>
            </w:r>
          </w:p>
        </w:tc>
        <w:tc>
          <w:tcPr>
            <w:tcW w:w="0" w:type="auto"/>
          </w:tcPr>
          <w:p w14:paraId="3DFA2603"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Pos</w:t>
            </w:r>
            <w:proofErr w:type="spellEnd"/>
            <w:r>
              <w:rPr>
                <w:rFonts w:ascii="Times New Roman" w:hAnsi="Times New Roman" w:cs="Times New Roman"/>
                <w:sz w:val="24"/>
                <w:szCs w:val="24"/>
                <w:lang w:val="en-MY"/>
              </w:rPr>
              <w:t xml:space="preserve"> Gob</w:t>
            </w:r>
          </w:p>
        </w:tc>
        <w:tc>
          <w:tcPr>
            <w:tcW w:w="0" w:type="auto"/>
          </w:tcPr>
          <w:p w14:paraId="40911F20"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5.28</w:t>
            </w:r>
          </w:p>
        </w:tc>
        <w:tc>
          <w:tcPr>
            <w:tcW w:w="0" w:type="auto"/>
          </w:tcPr>
          <w:p w14:paraId="1A63E6E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101.63</w:t>
            </w:r>
          </w:p>
        </w:tc>
        <w:tc>
          <w:tcPr>
            <w:tcW w:w="0" w:type="auto"/>
          </w:tcPr>
          <w:p w14:paraId="059D919F"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457.00</w:t>
            </w:r>
          </w:p>
        </w:tc>
        <w:tc>
          <w:tcPr>
            <w:tcW w:w="0" w:type="auto"/>
          </w:tcPr>
          <w:p w14:paraId="08E83D9B"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509029AA"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3AAE3C32" w14:textId="77777777">
        <w:tc>
          <w:tcPr>
            <w:tcW w:w="0" w:type="auto"/>
          </w:tcPr>
          <w:p w14:paraId="72101222"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40586*</w:t>
            </w:r>
          </w:p>
        </w:tc>
        <w:tc>
          <w:tcPr>
            <w:tcW w:w="0" w:type="auto"/>
          </w:tcPr>
          <w:p w14:paraId="6D94A89F" w14:textId="77777777" w:rsidR="004A5F13" w:rsidRDefault="009E2627">
            <w:pPr>
              <w:rPr>
                <w:rFonts w:ascii="Times New Roman" w:hAnsi="Times New Roman" w:cs="Times New Roman"/>
                <w:sz w:val="24"/>
                <w:szCs w:val="24"/>
                <w:lang w:val="en-MY"/>
              </w:rPr>
            </w:pPr>
            <w:proofErr w:type="spellStart"/>
            <w:r>
              <w:rPr>
                <w:rFonts w:ascii="Times New Roman" w:hAnsi="Times New Roman" w:cs="Times New Roman"/>
                <w:sz w:val="24"/>
                <w:szCs w:val="24"/>
                <w:lang w:val="en-MY"/>
              </w:rPr>
              <w:t>Pej</w:t>
            </w:r>
            <w:proofErr w:type="spellEnd"/>
            <w:r>
              <w:rPr>
                <w:rFonts w:ascii="Times New Roman" w:hAnsi="Times New Roman" w:cs="Times New Roman"/>
                <w:sz w:val="24"/>
                <w:szCs w:val="24"/>
                <w:lang w:val="en-MY"/>
              </w:rPr>
              <w:t xml:space="preserve">. Hai. </w:t>
            </w:r>
            <w:proofErr w:type="spellStart"/>
            <w:r>
              <w:rPr>
                <w:rFonts w:ascii="Times New Roman" w:hAnsi="Times New Roman" w:cs="Times New Roman"/>
                <w:sz w:val="24"/>
                <w:szCs w:val="24"/>
                <w:lang w:val="en-MY"/>
              </w:rPr>
              <w:t>Jajahan</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Machang</w:t>
            </w:r>
            <w:proofErr w:type="spellEnd"/>
          </w:p>
        </w:tc>
        <w:tc>
          <w:tcPr>
            <w:tcW w:w="0" w:type="auto"/>
          </w:tcPr>
          <w:p w14:paraId="7B15C8C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5.77</w:t>
            </w:r>
          </w:p>
        </w:tc>
        <w:tc>
          <w:tcPr>
            <w:tcW w:w="0" w:type="auto"/>
          </w:tcPr>
          <w:p w14:paraId="0DC4859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102.20</w:t>
            </w:r>
          </w:p>
        </w:tc>
        <w:tc>
          <w:tcPr>
            <w:tcW w:w="0" w:type="auto"/>
          </w:tcPr>
          <w:p w14:paraId="474598B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31.00</w:t>
            </w:r>
          </w:p>
        </w:tc>
        <w:tc>
          <w:tcPr>
            <w:tcW w:w="0" w:type="auto"/>
          </w:tcPr>
          <w:p w14:paraId="5401954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5BC89FFB"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05CF31B5" w14:textId="77777777">
        <w:tc>
          <w:tcPr>
            <w:tcW w:w="0" w:type="auto"/>
          </w:tcPr>
          <w:p w14:paraId="4948261A"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40487*</w:t>
            </w:r>
          </w:p>
        </w:tc>
        <w:tc>
          <w:tcPr>
            <w:tcW w:w="0" w:type="auto"/>
          </w:tcPr>
          <w:p w14:paraId="6FEA8869"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 xml:space="preserve">P. Pert. </w:t>
            </w:r>
            <w:proofErr w:type="spellStart"/>
            <w:r>
              <w:rPr>
                <w:rFonts w:ascii="Times New Roman" w:hAnsi="Times New Roman" w:cs="Times New Roman"/>
                <w:sz w:val="24"/>
                <w:szCs w:val="24"/>
                <w:lang w:val="en-MY"/>
              </w:rPr>
              <w:t>Batang</w:t>
            </w:r>
            <w:proofErr w:type="spellEnd"/>
            <w:r>
              <w:rPr>
                <w:rFonts w:ascii="Times New Roman" w:hAnsi="Times New Roman" w:cs="Times New Roman"/>
                <w:sz w:val="24"/>
                <w:szCs w:val="24"/>
                <w:lang w:val="en-MY"/>
              </w:rPr>
              <w:t xml:space="preserve"> Merbau</w:t>
            </w:r>
          </w:p>
        </w:tc>
        <w:tc>
          <w:tcPr>
            <w:tcW w:w="0" w:type="auto"/>
          </w:tcPr>
          <w:p w14:paraId="1380239A"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5.82</w:t>
            </w:r>
          </w:p>
        </w:tc>
        <w:tc>
          <w:tcPr>
            <w:tcW w:w="0" w:type="auto"/>
          </w:tcPr>
          <w:p w14:paraId="35E27D5F"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102.05</w:t>
            </w:r>
          </w:p>
        </w:tc>
        <w:tc>
          <w:tcPr>
            <w:tcW w:w="0" w:type="auto"/>
          </w:tcPr>
          <w:p w14:paraId="4CF088B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21.00</w:t>
            </w:r>
          </w:p>
        </w:tc>
        <w:tc>
          <w:tcPr>
            <w:tcW w:w="0" w:type="auto"/>
          </w:tcPr>
          <w:p w14:paraId="42B9C134"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6B35B0D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2016</w:t>
            </w:r>
          </w:p>
        </w:tc>
      </w:tr>
      <w:tr w:rsidR="004A5F13" w14:paraId="057C1284" w14:textId="77777777">
        <w:tc>
          <w:tcPr>
            <w:tcW w:w="0" w:type="auto"/>
          </w:tcPr>
          <w:p w14:paraId="78B2A65F"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48615*</w:t>
            </w:r>
          </w:p>
        </w:tc>
        <w:tc>
          <w:tcPr>
            <w:tcW w:w="0" w:type="auto"/>
          </w:tcPr>
          <w:p w14:paraId="78A57E7F"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Kota Bharu</w:t>
            </w:r>
          </w:p>
        </w:tc>
        <w:tc>
          <w:tcPr>
            <w:tcW w:w="0" w:type="auto"/>
          </w:tcPr>
          <w:p w14:paraId="7FF2D53B"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6.17</w:t>
            </w:r>
          </w:p>
        </w:tc>
        <w:tc>
          <w:tcPr>
            <w:tcW w:w="0" w:type="auto"/>
          </w:tcPr>
          <w:p w14:paraId="21EB2575"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102.28</w:t>
            </w:r>
          </w:p>
        </w:tc>
        <w:tc>
          <w:tcPr>
            <w:tcW w:w="0" w:type="auto"/>
          </w:tcPr>
          <w:p w14:paraId="5508B811"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4.60</w:t>
            </w:r>
          </w:p>
        </w:tc>
        <w:tc>
          <w:tcPr>
            <w:tcW w:w="0" w:type="auto"/>
          </w:tcPr>
          <w:p w14:paraId="4A8A57B7"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1979</w:t>
            </w:r>
          </w:p>
        </w:tc>
        <w:tc>
          <w:tcPr>
            <w:tcW w:w="0" w:type="auto"/>
          </w:tcPr>
          <w:p w14:paraId="3853E4C4"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2018</w:t>
            </w:r>
          </w:p>
        </w:tc>
      </w:tr>
      <w:tr w:rsidR="004A5F13" w14:paraId="5C60C795" w14:textId="77777777">
        <w:tc>
          <w:tcPr>
            <w:tcW w:w="0" w:type="auto"/>
            <w:tcBorders>
              <w:bottom w:val="single" w:sz="4" w:space="0" w:color="auto"/>
            </w:tcBorders>
          </w:tcPr>
          <w:p w14:paraId="03DF073B"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48616*</w:t>
            </w:r>
          </w:p>
        </w:tc>
        <w:tc>
          <w:tcPr>
            <w:tcW w:w="0" w:type="auto"/>
            <w:tcBorders>
              <w:bottom w:val="single" w:sz="4" w:space="0" w:color="auto"/>
            </w:tcBorders>
          </w:tcPr>
          <w:p w14:paraId="1E251B88" w14:textId="77777777" w:rsidR="004A5F13" w:rsidRDefault="009E2627">
            <w:pPr>
              <w:rPr>
                <w:rFonts w:ascii="Times New Roman" w:hAnsi="Times New Roman" w:cs="Times New Roman"/>
                <w:sz w:val="24"/>
                <w:szCs w:val="24"/>
                <w:lang w:val="en-MY"/>
              </w:rPr>
            </w:pPr>
            <w:r>
              <w:rPr>
                <w:rFonts w:ascii="Times New Roman" w:hAnsi="Times New Roman" w:cs="Times New Roman"/>
                <w:sz w:val="24"/>
                <w:szCs w:val="24"/>
                <w:lang w:val="en-MY"/>
              </w:rPr>
              <w:t>Kuala Krai</w:t>
            </w:r>
          </w:p>
        </w:tc>
        <w:tc>
          <w:tcPr>
            <w:tcW w:w="0" w:type="auto"/>
            <w:tcBorders>
              <w:bottom w:val="single" w:sz="4" w:space="0" w:color="auto"/>
            </w:tcBorders>
          </w:tcPr>
          <w:p w14:paraId="109DF39F"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5.53</w:t>
            </w:r>
          </w:p>
        </w:tc>
        <w:tc>
          <w:tcPr>
            <w:tcW w:w="0" w:type="auto"/>
            <w:tcBorders>
              <w:bottom w:val="single" w:sz="4" w:space="0" w:color="auto"/>
            </w:tcBorders>
          </w:tcPr>
          <w:p w14:paraId="1697CB9E"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102.20</w:t>
            </w:r>
          </w:p>
        </w:tc>
        <w:tc>
          <w:tcPr>
            <w:tcW w:w="0" w:type="auto"/>
            <w:tcBorders>
              <w:bottom w:val="single" w:sz="4" w:space="0" w:color="auto"/>
            </w:tcBorders>
          </w:tcPr>
          <w:p w14:paraId="586B305B"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color w:val="000000"/>
                <w:sz w:val="24"/>
                <w:szCs w:val="24"/>
                <w:lang w:val="en-MY"/>
              </w:rPr>
              <w:t>68.30</w:t>
            </w:r>
          </w:p>
        </w:tc>
        <w:tc>
          <w:tcPr>
            <w:tcW w:w="0" w:type="auto"/>
            <w:tcBorders>
              <w:bottom w:val="single" w:sz="4" w:space="0" w:color="auto"/>
            </w:tcBorders>
          </w:tcPr>
          <w:p w14:paraId="232B0999"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1984</w:t>
            </w:r>
          </w:p>
        </w:tc>
        <w:tc>
          <w:tcPr>
            <w:tcW w:w="0" w:type="auto"/>
            <w:tcBorders>
              <w:bottom w:val="single" w:sz="4" w:space="0" w:color="auto"/>
            </w:tcBorders>
          </w:tcPr>
          <w:p w14:paraId="451BF3B2" w14:textId="77777777" w:rsidR="004A5F13" w:rsidRDefault="009E2627">
            <w:pPr>
              <w:jc w:val="center"/>
              <w:rPr>
                <w:rFonts w:ascii="Times New Roman" w:hAnsi="Times New Roman" w:cs="Times New Roman"/>
                <w:sz w:val="24"/>
                <w:szCs w:val="24"/>
                <w:lang w:val="en-MY"/>
              </w:rPr>
            </w:pPr>
            <w:r>
              <w:rPr>
                <w:rFonts w:ascii="Times New Roman" w:hAnsi="Times New Roman" w:cs="Times New Roman"/>
                <w:sz w:val="24"/>
                <w:szCs w:val="24"/>
                <w:lang w:val="en-MY"/>
              </w:rPr>
              <w:t>2018</w:t>
            </w:r>
          </w:p>
        </w:tc>
      </w:tr>
    </w:tbl>
    <w:p w14:paraId="07D589C1" w14:textId="656027D9" w:rsidR="004A5F13" w:rsidRDefault="009E2627">
      <w:pPr>
        <w:wordWrap/>
        <w:spacing w:line="480" w:lineRule="auto"/>
        <w:outlineLvl w:val="0"/>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represents</w:t>
      </w:r>
      <w:proofErr w:type="gramEnd"/>
      <w:r>
        <w:rPr>
          <w:rFonts w:ascii="Times New Roman" w:hAnsi="Times New Roman" w:cs="Times New Roman"/>
          <w:bCs/>
          <w:sz w:val="24"/>
          <w:szCs w:val="24"/>
        </w:rPr>
        <w:t xml:space="preserve"> station with precipitation and temperature data.</w:t>
      </w:r>
    </w:p>
    <w:p w14:paraId="34E5979C" w14:textId="77777777" w:rsidR="0064001B" w:rsidRDefault="0064001B">
      <w:pPr>
        <w:wordWrap/>
        <w:spacing w:line="480" w:lineRule="auto"/>
        <w:outlineLvl w:val="0"/>
      </w:pPr>
    </w:p>
    <w:p w14:paraId="261276CC" w14:textId="77777777" w:rsidR="004A5F13" w:rsidRDefault="009E2627">
      <w:pPr>
        <w:pStyle w:val="Caption"/>
        <w:keepNext/>
      </w:pPr>
      <w:r>
        <w:t xml:space="preserve">Table </w:t>
      </w:r>
      <w:r>
        <w:fldChar w:fldCharType="begin"/>
      </w:r>
      <w:r>
        <w:instrText xml:space="preserve"> SEQ Table \* ARABIC </w:instrText>
      </w:r>
      <w:r>
        <w:fldChar w:fldCharType="separate"/>
      </w:r>
      <w:r>
        <w:t>2</w:t>
      </w:r>
      <w:r>
        <w:fldChar w:fldCharType="end"/>
      </w:r>
      <w:r>
        <w:t xml:space="preserve"> Accuracy assessment results for each year of dataset.</w:t>
      </w:r>
    </w:p>
    <w:tbl>
      <w:tblPr>
        <w:tblW w:w="0" w:type="auto"/>
        <w:jc w:val="center"/>
        <w:tblBorders>
          <w:top w:val="single" w:sz="4" w:space="0" w:color="auto"/>
          <w:bottom w:val="single" w:sz="4" w:space="0" w:color="auto"/>
        </w:tblBorders>
        <w:tblLook w:val="04A0" w:firstRow="1" w:lastRow="0" w:firstColumn="1" w:lastColumn="0" w:noHBand="0" w:noVBand="1"/>
      </w:tblPr>
      <w:tblGrid>
        <w:gridCol w:w="803"/>
        <w:gridCol w:w="2009"/>
        <w:gridCol w:w="2090"/>
      </w:tblGrid>
      <w:tr w:rsidR="004A5F13" w14:paraId="6CDD9DB7" w14:textId="77777777">
        <w:trPr>
          <w:trHeight w:val="288"/>
          <w:jc w:val="center"/>
        </w:trPr>
        <w:tc>
          <w:tcPr>
            <w:tcW w:w="0" w:type="auto"/>
            <w:tcBorders>
              <w:top w:val="single" w:sz="4" w:space="0" w:color="auto"/>
              <w:bottom w:val="single" w:sz="4" w:space="0" w:color="auto"/>
            </w:tcBorders>
            <w:shd w:val="clear" w:color="auto" w:fill="auto"/>
            <w:noWrap/>
            <w:vAlign w:val="bottom"/>
          </w:tcPr>
          <w:p w14:paraId="2D64471A" w14:textId="24D56C00" w:rsidR="004A5F13" w:rsidRDefault="004A5F13">
            <w:pPr>
              <w:jc w:val="center"/>
              <w:rPr>
                <w:rFonts w:ascii="Times New Roman" w:eastAsia="Times New Roman" w:hAnsi="Times New Roman" w:cs="Times New Roman"/>
                <w:b/>
                <w:bCs/>
                <w:color w:val="000000"/>
                <w:sz w:val="24"/>
                <w:szCs w:val="24"/>
              </w:rPr>
            </w:pPr>
          </w:p>
        </w:tc>
        <w:tc>
          <w:tcPr>
            <w:tcW w:w="0" w:type="auto"/>
            <w:tcBorders>
              <w:top w:val="single" w:sz="4" w:space="0" w:color="auto"/>
              <w:bottom w:val="single" w:sz="4" w:space="0" w:color="auto"/>
            </w:tcBorders>
            <w:shd w:val="clear" w:color="auto" w:fill="auto"/>
            <w:noWrap/>
            <w:vAlign w:val="bottom"/>
          </w:tcPr>
          <w:p w14:paraId="7B0885DC" w14:textId="2A9CEF67" w:rsidR="004A5F13" w:rsidRDefault="004A5F13">
            <w:pPr>
              <w:jc w:val="center"/>
              <w:rPr>
                <w:rFonts w:ascii="Times New Roman" w:eastAsia="Times New Roman" w:hAnsi="Times New Roman" w:cs="Times New Roman"/>
                <w:b/>
                <w:bCs/>
                <w:color w:val="000000"/>
                <w:sz w:val="24"/>
                <w:szCs w:val="24"/>
              </w:rPr>
            </w:pPr>
          </w:p>
        </w:tc>
        <w:tc>
          <w:tcPr>
            <w:tcW w:w="0" w:type="auto"/>
            <w:tcBorders>
              <w:top w:val="single" w:sz="4" w:space="0" w:color="auto"/>
              <w:bottom w:val="single" w:sz="4" w:space="0" w:color="auto"/>
            </w:tcBorders>
            <w:shd w:val="clear" w:color="auto" w:fill="auto"/>
            <w:noWrap/>
            <w:vAlign w:val="bottom"/>
          </w:tcPr>
          <w:p w14:paraId="11044BD3" w14:textId="61990D1F" w:rsidR="004A5F13" w:rsidRDefault="004A5F13">
            <w:pPr>
              <w:jc w:val="center"/>
              <w:rPr>
                <w:rFonts w:ascii="Times New Roman" w:eastAsia="Times New Roman" w:hAnsi="Times New Roman" w:cs="Times New Roman"/>
                <w:b/>
                <w:bCs/>
                <w:color w:val="000000"/>
                <w:sz w:val="24"/>
                <w:szCs w:val="24"/>
              </w:rPr>
            </w:pPr>
          </w:p>
        </w:tc>
      </w:tr>
      <w:tr w:rsidR="004A5F13" w14:paraId="29563B6A" w14:textId="77777777">
        <w:trPr>
          <w:trHeight w:val="288"/>
          <w:jc w:val="center"/>
        </w:trPr>
        <w:tc>
          <w:tcPr>
            <w:tcW w:w="0" w:type="auto"/>
            <w:tcBorders>
              <w:top w:val="single" w:sz="4" w:space="0" w:color="auto"/>
            </w:tcBorders>
            <w:shd w:val="clear" w:color="auto" w:fill="auto"/>
            <w:noWrap/>
            <w:vAlign w:val="bottom"/>
          </w:tcPr>
          <w:p w14:paraId="0CF85AF0" w14:textId="47993BC6" w:rsidR="004A5F13" w:rsidRDefault="004A5F13">
            <w:pPr>
              <w:jc w:val="right"/>
              <w:rPr>
                <w:rFonts w:ascii="Times New Roman" w:eastAsia="Times New Roman" w:hAnsi="Times New Roman" w:cs="Times New Roman"/>
                <w:color w:val="000000"/>
                <w:sz w:val="24"/>
                <w:szCs w:val="24"/>
              </w:rPr>
            </w:pPr>
          </w:p>
        </w:tc>
        <w:tc>
          <w:tcPr>
            <w:tcW w:w="0" w:type="auto"/>
            <w:tcBorders>
              <w:top w:val="single" w:sz="4" w:space="0" w:color="auto"/>
            </w:tcBorders>
            <w:shd w:val="clear" w:color="auto" w:fill="auto"/>
            <w:noWrap/>
            <w:vAlign w:val="bottom"/>
          </w:tcPr>
          <w:p w14:paraId="2EC55A91" w14:textId="5C96E8C7" w:rsidR="004A5F13" w:rsidRDefault="004A5F13">
            <w:pPr>
              <w:jc w:val="center"/>
              <w:rPr>
                <w:rFonts w:ascii="Times New Roman" w:eastAsia="Times New Roman" w:hAnsi="Times New Roman" w:cs="Times New Roman"/>
                <w:color w:val="000000"/>
                <w:sz w:val="24"/>
                <w:szCs w:val="24"/>
              </w:rPr>
            </w:pPr>
          </w:p>
        </w:tc>
        <w:tc>
          <w:tcPr>
            <w:tcW w:w="0" w:type="auto"/>
            <w:tcBorders>
              <w:top w:val="single" w:sz="4" w:space="0" w:color="auto"/>
            </w:tcBorders>
            <w:shd w:val="clear" w:color="auto" w:fill="auto"/>
            <w:noWrap/>
            <w:vAlign w:val="bottom"/>
          </w:tcPr>
          <w:p w14:paraId="64303B0D" w14:textId="246D0FEF" w:rsidR="004A5F13" w:rsidRDefault="004A5F13">
            <w:pPr>
              <w:jc w:val="center"/>
              <w:rPr>
                <w:rFonts w:ascii="Times New Roman" w:eastAsia="Times New Roman" w:hAnsi="Times New Roman" w:cs="Times New Roman"/>
                <w:color w:val="000000"/>
                <w:sz w:val="24"/>
                <w:szCs w:val="24"/>
              </w:rPr>
            </w:pPr>
          </w:p>
        </w:tc>
      </w:tr>
      <w:tr w:rsidR="004A5F13" w14:paraId="3E731065" w14:textId="77777777">
        <w:trPr>
          <w:trHeight w:val="288"/>
          <w:jc w:val="center"/>
        </w:trPr>
        <w:tc>
          <w:tcPr>
            <w:tcW w:w="0" w:type="auto"/>
            <w:shd w:val="clear" w:color="auto" w:fill="auto"/>
            <w:noWrap/>
            <w:vAlign w:val="bottom"/>
          </w:tcPr>
          <w:p w14:paraId="6C32153E" w14:textId="0708FE0C" w:rsidR="004A5F13" w:rsidRDefault="004A5F13">
            <w:pPr>
              <w:jc w:val="right"/>
              <w:rPr>
                <w:rFonts w:ascii="Times New Roman" w:eastAsia="Times New Roman" w:hAnsi="Times New Roman" w:cs="Times New Roman"/>
                <w:color w:val="000000"/>
                <w:sz w:val="24"/>
                <w:szCs w:val="24"/>
              </w:rPr>
            </w:pPr>
          </w:p>
        </w:tc>
        <w:tc>
          <w:tcPr>
            <w:tcW w:w="0" w:type="auto"/>
            <w:shd w:val="clear" w:color="auto" w:fill="auto"/>
            <w:noWrap/>
            <w:vAlign w:val="bottom"/>
          </w:tcPr>
          <w:p w14:paraId="5865CD27" w14:textId="7F06CB00" w:rsidR="004A5F13" w:rsidRDefault="004A5F13">
            <w:pPr>
              <w:jc w:val="center"/>
              <w:rPr>
                <w:rFonts w:ascii="Times New Roman" w:eastAsia="Times New Roman" w:hAnsi="Times New Roman" w:cs="Times New Roman"/>
                <w:color w:val="000000"/>
                <w:sz w:val="24"/>
                <w:szCs w:val="24"/>
              </w:rPr>
            </w:pPr>
          </w:p>
        </w:tc>
        <w:tc>
          <w:tcPr>
            <w:tcW w:w="0" w:type="auto"/>
            <w:shd w:val="clear" w:color="auto" w:fill="auto"/>
            <w:noWrap/>
            <w:vAlign w:val="bottom"/>
          </w:tcPr>
          <w:p w14:paraId="547C4515" w14:textId="42A6CB7E" w:rsidR="004A5F13" w:rsidRDefault="004A5F13">
            <w:pPr>
              <w:jc w:val="center"/>
              <w:rPr>
                <w:rFonts w:ascii="Times New Roman" w:eastAsia="Times New Roman" w:hAnsi="Times New Roman" w:cs="Times New Roman"/>
                <w:color w:val="000000"/>
                <w:sz w:val="24"/>
                <w:szCs w:val="24"/>
              </w:rPr>
            </w:pPr>
          </w:p>
        </w:tc>
      </w:tr>
      <w:tr w:rsidR="004A5F13" w14:paraId="6C44314C" w14:textId="77777777">
        <w:trPr>
          <w:trHeight w:val="288"/>
          <w:jc w:val="center"/>
        </w:trPr>
        <w:tc>
          <w:tcPr>
            <w:tcW w:w="0" w:type="auto"/>
            <w:shd w:val="clear" w:color="auto" w:fill="auto"/>
            <w:noWrap/>
            <w:vAlign w:val="bottom"/>
          </w:tcPr>
          <w:p w14:paraId="5F48BD65" w14:textId="13D96A6E" w:rsidR="004A5F13" w:rsidRDefault="004A5F13">
            <w:pPr>
              <w:jc w:val="right"/>
              <w:rPr>
                <w:rFonts w:ascii="Times New Roman" w:eastAsia="Times New Roman" w:hAnsi="Times New Roman" w:cs="Times New Roman"/>
                <w:color w:val="000000"/>
                <w:sz w:val="24"/>
                <w:szCs w:val="24"/>
              </w:rPr>
            </w:pPr>
          </w:p>
        </w:tc>
        <w:tc>
          <w:tcPr>
            <w:tcW w:w="0" w:type="auto"/>
            <w:shd w:val="clear" w:color="auto" w:fill="auto"/>
            <w:noWrap/>
            <w:vAlign w:val="bottom"/>
          </w:tcPr>
          <w:p w14:paraId="0496A935" w14:textId="16D4C6A5" w:rsidR="004A5F13" w:rsidRDefault="004A5F13">
            <w:pPr>
              <w:jc w:val="center"/>
              <w:rPr>
                <w:rFonts w:ascii="Times New Roman" w:eastAsia="Times New Roman" w:hAnsi="Times New Roman" w:cs="Times New Roman"/>
                <w:color w:val="000000"/>
                <w:sz w:val="24"/>
                <w:szCs w:val="24"/>
              </w:rPr>
            </w:pPr>
          </w:p>
        </w:tc>
        <w:tc>
          <w:tcPr>
            <w:tcW w:w="0" w:type="auto"/>
            <w:shd w:val="clear" w:color="auto" w:fill="auto"/>
            <w:noWrap/>
            <w:vAlign w:val="bottom"/>
          </w:tcPr>
          <w:p w14:paraId="22E5FDBE" w14:textId="7BD562C2" w:rsidR="004A5F13" w:rsidRDefault="004A5F13">
            <w:pPr>
              <w:jc w:val="center"/>
              <w:rPr>
                <w:rFonts w:ascii="Times New Roman" w:eastAsia="Times New Roman" w:hAnsi="Times New Roman" w:cs="Times New Roman"/>
                <w:color w:val="000000"/>
                <w:sz w:val="24"/>
                <w:szCs w:val="24"/>
              </w:rPr>
            </w:pPr>
          </w:p>
        </w:tc>
      </w:tr>
      <w:tr w:rsidR="004A5F13" w14:paraId="61EEE3FC" w14:textId="77777777">
        <w:trPr>
          <w:trHeight w:val="288"/>
          <w:jc w:val="center"/>
        </w:trPr>
        <w:tc>
          <w:tcPr>
            <w:tcW w:w="0" w:type="auto"/>
            <w:shd w:val="clear" w:color="auto" w:fill="auto"/>
            <w:noWrap/>
            <w:vAlign w:val="bottom"/>
          </w:tcPr>
          <w:p w14:paraId="0F241132" w14:textId="443A9CDE" w:rsidR="004A5F13" w:rsidRDefault="004A5F13">
            <w:pPr>
              <w:jc w:val="right"/>
              <w:rPr>
                <w:rFonts w:ascii="Times New Roman" w:eastAsia="Times New Roman" w:hAnsi="Times New Roman" w:cs="Times New Roman"/>
                <w:color w:val="000000"/>
                <w:sz w:val="24"/>
                <w:szCs w:val="24"/>
              </w:rPr>
            </w:pPr>
          </w:p>
        </w:tc>
        <w:tc>
          <w:tcPr>
            <w:tcW w:w="0" w:type="auto"/>
            <w:shd w:val="clear" w:color="auto" w:fill="auto"/>
            <w:noWrap/>
            <w:vAlign w:val="bottom"/>
          </w:tcPr>
          <w:p w14:paraId="75B463E2" w14:textId="17A0DC2C" w:rsidR="004A5F13" w:rsidRDefault="004A5F13">
            <w:pPr>
              <w:jc w:val="center"/>
              <w:rPr>
                <w:rFonts w:ascii="Times New Roman" w:eastAsia="Times New Roman" w:hAnsi="Times New Roman" w:cs="Times New Roman"/>
                <w:color w:val="000000"/>
                <w:sz w:val="24"/>
                <w:szCs w:val="24"/>
              </w:rPr>
            </w:pPr>
          </w:p>
        </w:tc>
        <w:tc>
          <w:tcPr>
            <w:tcW w:w="0" w:type="auto"/>
            <w:shd w:val="clear" w:color="auto" w:fill="auto"/>
            <w:noWrap/>
            <w:vAlign w:val="bottom"/>
          </w:tcPr>
          <w:p w14:paraId="2468C233" w14:textId="112B5090" w:rsidR="004A5F13" w:rsidRDefault="004A5F13">
            <w:pPr>
              <w:jc w:val="center"/>
              <w:rPr>
                <w:rFonts w:ascii="Times New Roman" w:eastAsia="Times New Roman" w:hAnsi="Times New Roman" w:cs="Times New Roman"/>
                <w:color w:val="000000"/>
                <w:sz w:val="24"/>
                <w:szCs w:val="24"/>
              </w:rPr>
            </w:pPr>
          </w:p>
        </w:tc>
      </w:tr>
      <w:tr w:rsidR="004A5F13" w14:paraId="3A361113" w14:textId="77777777">
        <w:trPr>
          <w:trHeight w:val="288"/>
          <w:jc w:val="center"/>
        </w:trPr>
        <w:tc>
          <w:tcPr>
            <w:tcW w:w="0" w:type="auto"/>
            <w:shd w:val="clear" w:color="auto" w:fill="auto"/>
            <w:noWrap/>
            <w:vAlign w:val="bottom"/>
          </w:tcPr>
          <w:p w14:paraId="24AD2300" w14:textId="45BE7037" w:rsidR="004A5F13" w:rsidRDefault="004A5F13">
            <w:pPr>
              <w:rPr>
                <w:rFonts w:ascii="Times New Roman" w:eastAsia="Times New Roman" w:hAnsi="Times New Roman" w:cs="Times New Roman"/>
                <w:b/>
                <w:bCs/>
                <w:color w:val="000000"/>
                <w:sz w:val="24"/>
                <w:szCs w:val="24"/>
              </w:rPr>
            </w:pPr>
          </w:p>
        </w:tc>
        <w:tc>
          <w:tcPr>
            <w:tcW w:w="0" w:type="auto"/>
            <w:shd w:val="clear" w:color="auto" w:fill="auto"/>
            <w:noWrap/>
            <w:vAlign w:val="bottom"/>
          </w:tcPr>
          <w:p w14:paraId="2124726C" w14:textId="35E3C7E5" w:rsidR="004A5F13" w:rsidRDefault="004A5F13">
            <w:pPr>
              <w:jc w:val="center"/>
              <w:rPr>
                <w:rFonts w:ascii="Times New Roman" w:eastAsia="Times New Roman" w:hAnsi="Times New Roman" w:cs="Times New Roman"/>
                <w:b/>
                <w:bCs/>
                <w:color w:val="000000"/>
                <w:sz w:val="24"/>
                <w:szCs w:val="24"/>
              </w:rPr>
            </w:pPr>
          </w:p>
        </w:tc>
        <w:tc>
          <w:tcPr>
            <w:tcW w:w="0" w:type="auto"/>
            <w:shd w:val="clear" w:color="auto" w:fill="auto"/>
            <w:noWrap/>
            <w:vAlign w:val="bottom"/>
          </w:tcPr>
          <w:p w14:paraId="0E464E49" w14:textId="7E7874D4" w:rsidR="004A5F13" w:rsidRDefault="004A5F13">
            <w:pPr>
              <w:jc w:val="center"/>
              <w:rPr>
                <w:rFonts w:ascii="Times New Roman" w:eastAsia="Times New Roman" w:hAnsi="Times New Roman" w:cs="Times New Roman"/>
                <w:b/>
                <w:bCs/>
                <w:color w:val="000000"/>
                <w:sz w:val="24"/>
                <w:szCs w:val="24"/>
              </w:rPr>
            </w:pPr>
          </w:p>
        </w:tc>
      </w:tr>
      <w:tr w:rsidR="00036820" w:rsidRPr="00036820" w14:paraId="3794F9DF" w14:textId="77777777" w:rsidTr="00036820">
        <w:trPr>
          <w:trHeight w:val="288"/>
          <w:jc w:val="center"/>
        </w:trPr>
        <w:tc>
          <w:tcPr>
            <w:tcW w:w="0" w:type="auto"/>
            <w:tcBorders>
              <w:top w:val="single" w:sz="4" w:space="0" w:color="auto"/>
            </w:tcBorders>
            <w:shd w:val="clear" w:color="auto" w:fill="auto"/>
            <w:noWrap/>
            <w:vAlign w:val="bottom"/>
          </w:tcPr>
          <w:p w14:paraId="677F2D10" w14:textId="77777777" w:rsidR="00036820" w:rsidRPr="00036820" w:rsidRDefault="00036820" w:rsidP="00036820">
            <w:pPr>
              <w:rPr>
                <w:rFonts w:ascii="Times New Roman" w:eastAsia="Times New Roman" w:hAnsi="Times New Roman" w:cs="Times New Roman"/>
                <w:b/>
                <w:bCs/>
                <w:color w:val="000000"/>
                <w:sz w:val="24"/>
                <w:szCs w:val="24"/>
              </w:rPr>
            </w:pPr>
            <w:r w:rsidRPr="00036820">
              <w:rPr>
                <w:rFonts w:ascii="Times New Roman" w:eastAsia="Times New Roman" w:hAnsi="Times New Roman" w:cs="Times New Roman"/>
                <w:b/>
                <w:bCs/>
                <w:color w:val="000000"/>
                <w:sz w:val="24"/>
                <w:szCs w:val="24"/>
              </w:rPr>
              <w:t>Year</w:t>
            </w:r>
          </w:p>
        </w:tc>
        <w:tc>
          <w:tcPr>
            <w:tcW w:w="0" w:type="auto"/>
            <w:tcBorders>
              <w:top w:val="single" w:sz="4" w:space="0" w:color="auto"/>
            </w:tcBorders>
            <w:shd w:val="clear" w:color="auto" w:fill="auto"/>
            <w:noWrap/>
            <w:vAlign w:val="bottom"/>
          </w:tcPr>
          <w:p w14:paraId="14F0B8F3" w14:textId="77777777" w:rsidR="00036820" w:rsidRPr="00036820" w:rsidRDefault="00036820" w:rsidP="00036820">
            <w:pPr>
              <w:jc w:val="center"/>
              <w:rPr>
                <w:rFonts w:ascii="Times New Roman" w:eastAsia="Times New Roman" w:hAnsi="Times New Roman" w:cs="Times New Roman"/>
                <w:b/>
                <w:bCs/>
                <w:color w:val="000000"/>
                <w:sz w:val="24"/>
                <w:szCs w:val="24"/>
              </w:rPr>
            </w:pPr>
            <w:r w:rsidRPr="00036820">
              <w:rPr>
                <w:rFonts w:ascii="Times New Roman" w:eastAsia="Times New Roman" w:hAnsi="Times New Roman" w:cs="Times New Roman"/>
                <w:b/>
                <w:bCs/>
                <w:color w:val="000000"/>
                <w:sz w:val="24"/>
                <w:szCs w:val="24"/>
              </w:rPr>
              <w:t>Overall Accuracy</w:t>
            </w:r>
          </w:p>
        </w:tc>
        <w:tc>
          <w:tcPr>
            <w:tcW w:w="0" w:type="auto"/>
            <w:tcBorders>
              <w:top w:val="single" w:sz="4" w:space="0" w:color="auto"/>
            </w:tcBorders>
            <w:shd w:val="clear" w:color="auto" w:fill="auto"/>
            <w:noWrap/>
            <w:vAlign w:val="bottom"/>
          </w:tcPr>
          <w:p w14:paraId="71F3F899" w14:textId="77777777" w:rsidR="00036820" w:rsidRPr="00036820" w:rsidRDefault="00036820" w:rsidP="00036820">
            <w:pPr>
              <w:jc w:val="center"/>
              <w:rPr>
                <w:rFonts w:ascii="Times New Roman" w:eastAsia="Times New Roman" w:hAnsi="Times New Roman" w:cs="Times New Roman"/>
                <w:b/>
                <w:bCs/>
                <w:color w:val="000000"/>
                <w:sz w:val="24"/>
                <w:szCs w:val="24"/>
              </w:rPr>
            </w:pPr>
            <w:r w:rsidRPr="00036820">
              <w:rPr>
                <w:rFonts w:ascii="Times New Roman" w:eastAsia="Times New Roman" w:hAnsi="Times New Roman" w:cs="Times New Roman"/>
                <w:b/>
                <w:bCs/>
                <w:color w:val="000000"/>
                <w:sz w:val="24"/>
                <w:szCs w:val="24"/>
              </w:rPr>
              <w:t>Kappa Coefficient</w:t>
            </w:r>
          </w:p>
        </w:tc>
      </w:tr>
      <w:tr w:rsidR="00036820" w:rsidRPr="00036820" w14:paraId="4E0C2320" w14:textId="77777777" w:rsidTr="00036820">
        <w:trPr>
          <w:trHeight w:val="288"/>
          <w:jc w:val="center"/>
        </w:trPr>
        <w:tc>
          <w:tcPr>
            <w:tcW w:w="0" w:type="auto"/>
            <w:shd w:val="clear" w:color="auto" w:fill="auto"/>
            <w:noWrap/>
            <w:vAlign w:val="bottom"/>
          </w:tcPr>
          <w:p w14:paraId="6942B641"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1992</w:t>
            </w:r>
          </w:p>
        </w:tc>
        <w:tc>
          <w:tcPr>
            <w:tcW w:w="0" w:type="auto"/>
            <w:shd w:val="clear" w:color="auto" w:fill="auto"/>
            <w:noWrap/>
            <w:vAlign w:val="bottom"/>
          </w:tcPr>
          <w:p w14:paraId="3F56B813"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0.7188</w:t>
            </w:r>
          </w:p>
        </w:tc>
        <w:tc>
          <w:tcPr>
            <w:tcW w:w="0" w:type="auto"/>
            <w:shd w:val="clear" w:color="auto" w:fill="auto"/>
            <w:noWrap/>
            <w:vAlign w:val="bottom"/>
          </w:tcPr>
          <w:p w14:paraId="7CE09048"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0.63</w:t>
            </w:r>
          </w:p>
        </w:tc>
      </w:tr>
      <w:tr w:rsidR="00036820" w:rsidRPr="00036820" w14:paraId="57D345FB" w14:textId="77777777" w:rsidTr="00036820">
        <w:trPr>
          <w:trHeight w:val="288"/>
          <w:jc w:val="center"/>
        </w:trPr>
        <w:tc>
          <w:tcPr>
            <w:tcW w:w="0" w:type="auto"/>
            <w:shd w:val="clear" w:color="auto" w:fill="auto"/>
            <w:noWrap/>
            <w:vAlign w:val="bottom"/>
          </w:tcPr>
          <w:p w14:paraId="42AC5DF6"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1993</w:t>
            </w:r>
          </w:p>
        </w:tc>
        <w:tc>
          <w:tcPr>
            <w:tcW w:w="0" w:type="auto"/>
            <w:shd w:val="clear" w:color="auto" w:fill="auto"/>
            <w:noWrap/>
            <w:vAlign w:val="bottom"/>
          </w:tcPr>
          <w:p w14:paraId="699D9050"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0.7250</w:t>
            </w:r>
          </w:p>
        </w:tc>
        <w:tc>
          <w:tcPr>
            <w:tcW w:w="0" w:type="auto"/>
            <w:shd w:val="clear" w:color="auto" w:fill="auto"/>
            <w:noWrap/>
            <w:vAlign w:val="bottom"/>
          </w:tcPr>
          <w:p w14:paraId="5CB6471F"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0.63</w:t>
            </w:r>
          </w:p>
        </w:tc>
      </w:tr>
      <w:tr w:rsidR="00036820" w:rsidRPr="00036820" w14:paraId="2A55FEA2" w14:textId="77777777" w:rsidTr="00036820">
        <w:trPr>
          <w:trHeight w:val="288"/>
          <w:jc w:val="center"/>
        </w:trPr>
        <w:tc>
          <w:tcPr>
            <w:tcW w:w="0" w:type="auto"/>
            <w:shd w:val="clear" w:color="auto" w:fill="auto"/>
            <w:noWrap/>
            <w:vAlign w:val="bottom"/>
          </w:tcPr>
          <w:p w14:paraId="5F30803A"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1999</w:t>
            </w:r>
          </w:p>
        </w:tc>
        <w:tc>
          <w:tcPr>
            <w:tcW w:w="0" w:type="auto"/>
            <w:shd w:val="clear" w:color="auto" w:fill="auto"/>
            <w:noWrap/>
            <w:vAlign w:val="bottom"/>
          </w:tcPr>
          <w:p w14:paraId="62B42D4D"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0.7874</w:t>
            </w:r>
          </w:p>
        </w:tc>
        <w:tc>
          <w:tcPr>
            <w:tcW w:w="0" w:type="auto"/>
            <w:shd w:val="clear" w:color="auto" w:fill="auto"/>
            <w:noWrap/>
            <w:vAlign w:val="bottom"/>
          </w:tcPr>
          <w:p w14:paraId="353AC2F5"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0.70</w:t>
            </w:r>
          </w:p>
        </w:tc>
      </w:tr>
      <w:tr w:rsidR="00036820" w:rsidRPr="00036820" w14:paraId="1D86EFE6" w14:textId="77777777" w:rsidTr="00036820">
        <w:trPr>
          <w:trHeight w:val="288"/>
          <w:jc w:val="center"/>
        </w:trPr>
        <w:tc>
          <w:tcPr>
            <w:tcW w:w="0" w:type="auto"/>
            <w:shd w:val="clear" w:color="auto" w:fill="auto"/>
            <w:noWrap/>
            <w:vAlign w:val="bottom"/>
          </w:tcPr>
          <w:p w14:paraId="40164739"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2000</w:t>
            </w:r>
          </w:p>
        </w:tc>
        <w:tc>
          <w:tcPr>
            <w:tcW w:w="0" w:type="auto"/>
            <w:shd w:val="clear" w:color="auto" w:fill="auto"/>
            <w:noWrap/>
            <w:vAlign w:val="bottom"/>
          </w:tcPr>
          <w:p w14:paraId="31B71C4A"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0.7250</w:t>
            </w:r>
          </w:p>
        </w:tc>
        <w:tc>
          <w:tcPr>
            <w:tcW w:w="0" w:type="auto"/>
            <w:shd w:val="clear" w:color="auto" w:fill="auto"/>
            <w:noWrap/>
            <w:vAlign w:val="bottom"/>
          </w:tcPr>
          <w:p w14:paraId="58C520C4"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0.63</w:t>
            </w:r>
          </w:p>
        </w:tc>
      </w:tr>
      <w:tr w:rsidR="00036820" w:rsidRPr="00036820" w14:paraId="113F853A" w14:textId="77777777" w:rsidTr="00036820">
        <w:trPr>
          <w:trHeight w:val="288"/>
          <w:jc w:val="center"/>
        </w:trPr>
        <w:tc>
          <w:tcPr>
            <w:tcW w:w="0" w:type="auto"/>
            <w:shd w:val="clear" w:color="auto" w:fill="auto"/>
            <w:noWrap/>
            <w:vAlign w:val="bottom"/>
          </w:tcPr>
          <w:p w14:paraId="5CAE0539"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2001</w:t>
            </w:r>
          </w:p>
        </w:tc>
        <w:tc>
          <w:tcPr>
            <w:tcW w:w="0" w:type="auto"/>
            <w:shd w:val="clear" w:color="auto" w:fill="auto"/>
            <w:noWrap/>
            <w:vAlign w:val="bottom"/>
          </w:tcPr>
          <w:p w14:paraId="1B0B3E2A"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0.7125</w:t>
            </w:r>
          </w:p>
        </w:tc>
        <w:tc>
          <w:tcPr>
            <w:tcW w:w="0" w:type="auto"/>
            <w:shd w:val="clear" w:color="auto" w:fill="auto"/>
            <w:noWrap/>
            <w:vAlign w:val="bottom"/>
          </w:tcPr>
          <w:p w14:paraId="195C9EA9"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0.62</w:t>
            </w:r>
          </w:p>
        </w:tc>
      </w:tr>
      <w:tr w:rsidR="00036820" w:rsidRPr="00036820" w14:paraId="177B54AF" w14:textId="77777777" w:rsidTr="00036820">
        <w:trPr>
          <w:trHeight w:val="288"/>
          <w:jc w:val="center"/>
        </w:trPr>
        <w:tc>
          <w:tcPr>
            <w:tcW w:w="0" w:type="auto"/>
            <w:shd w:val="clear" w:color="auto" w:fill="auto"/>
            <w:noWrap/>
            <w:vAlign w:val="bottom"/>
          </w:tcPr>
          <w:p w14:paraId="4CE6AEA7"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2007</w:t>
            </w:r>
          </w:p>
        </w:tc>
        <w:tc>
          <w:tcPr>
            <w:tcW w:w="0" w:type="auto"/>
            <w:shd w:val="clear" w:color="auto" w:fill="auto"/>
            <w:noWrap/>
            <w:vAlign w:val="bottom"/>
          </w:tcPr>
          <w:p w14:paraId="48C7196E"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0.7313</w:t>
            </w:r>
          </w:p>
        </w:tc>
        <w:tc>
          <w:tcPr>
            <w:tcW w:w="0" w:type="auto"/>
            <w:shd w:val="clear" w:color="auto" w:fill="auto"/>
            <w:noWrap/>
            <w:vAlign w:val="bottom"/>
          </w:tcPr>
          <w:p w14:paraId="192765DB"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0.64</w:t>
            </w:r>
          </w:p>
        </w:tc>
      </w:tr>
      <w:tr w:rsidR="00036820" w:rsidRPr="00036820" w14:paraId="1346E0B6" w14:textId="77777777" w:rsidTr="00036820">
        <w:trPr>
          <w:trHeight w:val="288"/>
          <w:jc w:val="center"/>
        </w:trPr>
        <w:tc>
          <w:tcPr>
            <w:tcW w:w="0" w:type="auto"/>
            <w:shd w:val="clear" w:color="auto" w:fill="auto"/>
            <w:noWrap/>
            <w:vAlign w:val="bottom"/>
          </w:tcPr>
          <w:p w14:paraId="716C740B"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2008</w:t>
            </w:r>
          </w:p>
        </w:tc>
        <w:tc>
          <w:tcPr>
            <w:tcW w:w="0" w:type="auto"/>
            <w:shd w:val="clear" w:color="auto" w:fill="auto"/>
            <w:noWrap/>
            <w:vAlign w:val="bottom"/>
          </w:tcPr>
          <w:p w14:paraId="68ACCC38"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0.8688</w:t>
            </w:r>
          </w:p>
        </w:tc>
        <w:tc>
          <w:tcPr>
            <w:tcW w:w="0" w:type="auto"/>
            <w:shd w:val="clear" w:color="auto" w:fill="auto"/>
            <w:noWrap/>
            <w:vAlign w:val="bottom"/>
          </w:tcPr>
          <w:p w14:paraId="482374DB"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0.83</w:t>
            </w:r>
          </w:p>
        </w:tc>
      </w:tr>
      <w:tr w:rsidR="00036820" w:rsidRPr="00036820" w14:paraId="0578014A" w14:textId="77777777" w:rsidTr="00036820">
        <w:trPr>
          <w:trHeight w:val="288"/>
          <w:jc w:val="center"/>
        </w:trPr>
        <w:tc>
          <w:tcPr>
            <w:tcW w:w="0" w:type="auto"/>
            <w:shd w:val="clear" w:color="auto" w:fill="auto"/>
            <w:noWrap/>
            <w:vAlign w:val="bottom"/>
          </w:tcPr>
          <w:p w14:paraId="21274FDB"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2009</w:t>
            </w:r>
          </w:p>
        </w:tc>
        <w:tc>
          <w:tcPr>
            <w:tcW w:w="0" w:type="auto"/>
            <w:shd w:val="clear" w:color="auto" w:fill="auto"/>
            <w:noWrap/>
            <w:vAlign w:val="bottom"/>
          </w:tcPr>
          <w:p w14:paraId="7C2F3EB3"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0.7375</w:t>
            </w:r>
          </w:p>
        </w:tc>
        <w:tc>
          <w:tcPr>
            <w:tcW w:w="0" w:type="auto"/>
            <w:shd w:val="clear" w:color="auto" w:fill="auto"/>
            <w:noWrap/>
            <w:vAlign w:val="bottom"/>
          </w:tcPr>
          <w:p w14:paraId="3B85576F"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0.65</w:t>
            </w:r>
          </w:p>
        </w:tc>
      </w:tr>
      <w:tr w:rsidR="00036820" w:rsidRPr="00036820" w14:paraId="437B763E" w14:textId="77777777" w:rsidTr="00036820">
        <w:trPr>
          <w:trHeight w:val="288"/>
          <w:jc w:val="center"/>
        </w:trPr>
        <w:tc>
          <w:tcPr>
            <w:tcW w:w="0" w:type="auto"/>
            <w:shd w:val="clear" w:color="auto" w:fill="auto"/>
            <w:noWrap/>
            <w:vAlign w:val="bottom"/>
          </w:tcPr>
          <w:p w14:paraId="67D61DB1"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2014</w:t>
            </w:r>
          </w:p>
        </w:tc>
        <w:tc>
          <w:tcPr>
            <w:tcW w:w="0" w:type="auto"/>
            <w:shd w:val="clear" w:color="auto" w:fill="auto"/>
            <w:noWrap/>
            <w:vAlign w:val="bottom"/>
          </w:tcPr>
          <w:p w14:paraId="1C3DF6C7"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0.7563</w:t>
            </w:r>
          </w:p>
        </w:tc>
        <w:tc>
          <w:tcPr>
            <w:tcW w:w="0" w:type="auto"/>
            <w:shd w:val="clear" w:color="auto" w:fill="auto"/>
            <w:noWrap/>
            <w:vAlign w:val="bottom"/>
          </w:tcPr>
          <w:p w14:paraId="10310437"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0.68</w:t>
            </w:r>
          </w:p>
        </w:tc>
      </w:tr>
      <w:tr w:rsidR="00036820" w:rsidRPr="00036820" w14:paraId="0BC388BF" w14:textId="77777777" w:rsidTr="00036820">
        <w:trPr>
          <w:trHeight w:val="288"/>
          <w:jc w:val="center"/>
        </w:trPr>
        <w:tc>
          <w:tcPr>
            <w:tcW w:w="0" w:type="auto"/>
            <w:shd w:val="clear" w:color="auto" w:fill="auto"/>
            <w:noWrap/>
            <w:vAlign w:val="bottom"/>
          </w:tcPr>
          <w:p w14:paraId="7273EE34"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2015</w:t>
            </w:r>
          </w:p>
        </w:tc>
        <w:tc>
          <w:tcPr>
            <w:tcW w:w="0" w:type="auto"/>
            <w:shd w:val="clear" w:color="auto" w:fill="auto"/>
            <w:noWrap/>
            <w:vAlign w:val="bottom"/>
          </w:tcPr>
          <w:p w14:paraId="64863E3E"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0.7250</w:t>
            </w:r>
          </w:p>
        </w:tc>
        <w:tc>
          <w:tcPr>
            <w:tcW w:w="0" w:type="auto"/>
            <w:shd w:val="clear" w:color="auto" w:fill="auto"/>
            <w:noWrap/>
            <w:vAlign w:val="bottom"/>
          </w:tcPr>
          <w:p w14:paraId="0D0ECC62"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0.63</w:t>
            </w:r>
          </w:p>
        </w:tc>
      </w:tr>
      <w:tr w:rsidR="00036820" w:rsidRPr="00036820" w14:paraId="069CA0A1" w14:textId="77777777" w:rsidTr="00036820">
        <w:trPr>
          <w:trHeight w:val="288"/>
          <w:jc w:val="center"/>
        </w:trPr>
        <w:tc>
          <w:tcPr>
            <w:tcW w:w="0" w:type="auto"/>
            <w:shd w:val="clear" w:color="auto" w:fill="auto"/>
            <w:noWrap/>
            <w:vAlign w:val="bottom"/>
          </w:tcPr>
          <w:p w14:paraId="6761C341" w14:textId="77777777" w:rsidR="00036820" w:rsidRPr="001862F3" w:rsidRDefault="00036820" w:rsidP="00036820">
            <w:pP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2016</w:t>
            </w:r>
          </w:p>
        </w:tc>
        <w:tc>
          <w:tcPr>
            <w:tcW w:w="0" w:type="auto"/>
            <w:shd w:val="clear" w:color="auto" w:fill="auto"/>
            <w:noWrap/>
            <w:vAlign w:val="bottom"/>
          </w:tcPr>
          <w:p w14:paraId="2C8C7379"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0.7313</w:t>
            </w:r>
          </w:p>
        </w:tc>
        <w:tc>
          <w:tcPr>
            <w:tcW w:w="0" w:type="auto"/>
            <w:shd w:val="clear" w:color="auto" w:fill="auto"/>
            <w:noWrap/>
            <w:vAlign w:val="bottom"/>
          </w:tcPr>
          <w:p w14:paraId="2336C126" w14:textId="77777777" w:rsidR="00036820" w:rsidRPr="001862F3" w:rsidRDefault="00036820" w:rsidP="00036820">
            <w:pPr>
              <w:jc w:val="center"/>
              <w:rPr>
                <w:rFonts w:ascii="Times New Roman" w:eastAsia="Times New Roman" w:hAnsi="Times New Roman" w:cs="Times New Roman"/>
                <w:color w:val="000000"/>
                <w:sz w:val="24"/>
                <w:szCs w:val="24"/>
              </w:rPr>
            </w:pPr>
            <w:r w:rsidRPr="001862F3">
              <w:rPr>
                <w:rFonts w:ascii="Times New Roman" w:eastAsia="Times New Roman" w:hAnsi="Times New Roman" w:cs="Times New Roman"/>
                <w:color w:val="000000"/>
                <w:sz w:val="24"/>
                <w:szCs w:val="24"/>
              </w:rPr>
              <w:t>0.64</w:t>
            </w:r>
          </w:p>
        </w:tc>
      </w:tr>
      <w:tr w:rsidR="00036820" w:rsidRPr="00036820" w14:paraId="27FA5BED" w14:textId="77777777" w:rsidTr="00036820">
        <w:trPr>
          <w:trHeight w:val="288"/>
          <w:jc w:val="center"/>
        </w:trPr>
        <w:tc>
          <w:tcPr>
            <w:tcW w:w="0" w:type="auto"/>
            <w:tcBorders>
              <w:bottom w:val="single" w:sz="4" w:space="0" w:color="auto"/>
            </w:tcBorders>
            <w:shd w:val="clear" w:color="auto" w:fill="auto"/>
            <w:noWrap/>
            <w:vAlign w:val="bottom"/>
          </w:tcPr>
          <w:p w14:paraId="41CB0174" w14:textId="77777777" w:rsidR="00036820" w:rsidRPr="00036820" w:rsidRDefault="00036820" w:rsidP="00036820">
            <w:pPr>
              <w:rPr>
                <w:rFonts w:ascii="Times New Roman" w:eastAsia="Times New Roman" w:hAnsi="Times New Roman" w:cs="Times New Roman"/>
                <w:b/>
                <w:bCs/>
                <w:color w:val="000000"/>
                <w:sz w:val="24"/>
                <w:szCs w:val="24"/>
              </w:rPr>
            </w:pPr>
            <w:r w:rsidRPr="00036820">
              <w:rPr>
                <w:rFonts w:ascii="Times New Roman" w:eastAsia="Times New Roman" w:hAnsi="Times New Roman" w:cs="Times New Roman"/>
                <w:b/>
                <w:bCs/>
                <w:color w:val="000000"/>
                <w:sz w:val="24"/>
                <w:szCs w:val="24"/>
              </w:rPr>
              <w:t>Mean</w:t>
            </w:r>
          </w:p>
        </w:tc>
        <w:tc>
          <w:tcPr>
            <w:tcW w:w="0" w:type="auto"/>
            <w:tcBorders>
              <w:bottom w:val="single" w:sz="4" w:space="0" w:color="auto"/>
            </w:tcBorders>
            <w:shd w:val="clear" w:color="auto" w:fill="auto"/>
            <w:noWrap/>
            <w:vAlign w:val="bottom"/>
          </w:tcPr>
          <w:p w14:paraId="24038520" w14:textId="77777777" w:rsidR="00036820" w:rsidRPr="00036820" w:rsidRDefault="00036820" w:rsidP="00036820">
            <w:pPr>
              <w:jc w:val="center"/>
              <w:rPr>
                <w:rFonts w:ascii="Times New Roman" w:eastAsia="Times New Roman" w:hAnsi="Times New Roman" w:cs="Times New Roman"/>
                <w:b/>
                <w:bCs/>
                <w:color w:val="000000"/>
                <w:sz w:val="24"/>
                <w:szCs w:val="24"/>
              </w:rPr>
            </w:pPr>
            <w:r w:rsidRPr="00036820">
              <w:rPr>
                <w:rFonts w:ascii="Times New Roman" w:eastAsia="Times New Roman" w:hAnsi="Times New Roman" w:cs="Times New Roman"/>
                <w:b/>
                <w:bCs/>
                <w:color w:val="000000"/>
                <w:sz w:val="24"/>
                <w:szCs w:val="24"/>
              </w:rPr>
              <w:t>0.7472</w:t>
            </w:r>
          </w:p>
        </w:tc>
        <w:tc>
          <w:tcPr>
            <w:tcW w:w="0" w:type="auto"/>
            <w:tcBorders>
              <w:bottom w:val="single" w:sz="4" w:space="0" w:color="auto"/>
            </w:tcBorders>
            <w:shd w:val="clear" w:color="auto" w:fill="auto"/>
            <w:noWrap/>
            <w:vAlign w:val="bottom"/>
          </w:tcPr>
          <w:p w14:paraId="3616E921" w14:textId="77777777" w:rsidR="00036820" w:rsidRPr="00036820" w:rsidRDefault="00036820" w:rsidP="00036820">
            <w:pPr>
              <w:jc w:val="center"/>
              <w:rPr>
                <w:rFonts w:ascii="Times New Roman" w:eastAsia="Times New Roman" w:hAnsi="Times New Roman" w:cs="Times New Roman"/>
                <w:b/>
                <w:bCs/>
                <w:color w:val="000000"/>
                <w:sz w:val="24"/>
                <w:szCs w:val="24"/>
              </w:rPr>
            </w:pPr>
            <w:r w:rsidRPr="00036820">
              <w:rPr>
                <w:rFonts w:ascii="Times New Roman" w:eastAsia="Times New Roman" w:hAnsi="Times New Roman" w:cs="Times New Roman"/>
                <w:b/>
                <w:bCs/>
                <w:color w:val="000000"/>
                <w:sz w:val="24"/>
                <w:szCs w:val="24"/>
              </w:rPr>
              <w:t>0.66</w:t>
            </w:r>
          </w:p>
        </w:tc>
      </w:tr>
    </w:tbl>
    <w:p w14:paraId="4739D57A" w14:textId="77777777" w:rsidR="004A5F13" w:rsidRDefault="004A5F13">
      <w:pPr>
        <w:widowControl/>
        <w:wordWrap/>
        <w:autoSpaceDE/>
        <w:autoSpaceDN/>
        <w:spacing w:after="160" w:line="259" w:lineRule="auto"/>
        <w:jc w:val="left"/>
      </w:pPr>
    </w:p>
    <w:p w14:paraId="10BF7F6B" w14:textId="77777777" w:rsidR="004A5F13" w:rsidRDefault="004A5F13">
      <w:pPr>
        <w:widowControl/>
        <w:wordWrap/>
        <w:autoSpaceDE/>
        <w:autoSpaceDN/>
        <w:spacing w:after="160" w:line="259" w:lineRule="auto"/>
        <w:jc w:val="left"/>
      </w:pPr>
    </w:p>
    <w:p w14:paraId="1D87D409" w14:textId="77777777" w:rsidR="004A5F13" w:rsidRDefault="009E2627">
      <w:pPr>
        <w:pStyle w:val="Caption"/>
        <w:keepNext/>
      </w:pPr>
      <w:r>
        <w:t xml:space="preserve">Table 3 Mann Kendall trend and Sen's slope estimate result for RF, </w:t>
      </w:r>
      <w:proofErr w:type="spellStart"/>
      <w:r>
        <w:t>Tmax</w:t>
      </w:r>
      <w:proofErr w:type="spellEnd"/>
      <w:r>
        <w:t xml:space="preserve"> and </w:t>
      </w:r>
      <w:proofErr w:type="spellStart"/>
      <w:r>
        <w:t>Tmin</w:t>
      </w:r>
      <w:proofErr w:type="spellEnd"/>
      <w:r>
        <w:t>.</w:t>
      </w:r>
    </w:p>
    <w:tbl>
      <w:tblPr>
        <w:tblW w:w="5000" w:type="pct"/>
        <w:tblLook w:val="04A0" w:firstRow="1" w:lastRow="0" w:firstColumn="1" w:lastColumn="0" w:noHBand="0" w:noVBand="1"/>
      </w:tblPr>
      <w:tblGrid>
        <w:gridCol w:w="1165"/>
        <w:gridCol w:w="1617"/>
        <w:gridCol w:w="1027"/>
        <w:gridCol w:w="966"/>
        <w:gridCol w:w="1014"/>
        <w:gridCol w:w="1229"/>
        <w:gridCol w:w="1112"/>
        <w:gridCol w:w="1112"/>
      </w:tblGrid>
      <w:tr w:rsidR="004A5F13" w14:paraId="6DE52C61" w14:textId="77777777">
        <w:trPr>
          <w:trHeight w:val="288"/>
        </w:trPr>
        <w:tc>
          <w:tcPr>
            <w:tcW w:w="1543" w:type="pct"/>
            <w:gridSpan w:val="2"/>
            <w:vMerge w:val="restart"/>
            <w:tcBorders>
              <w:top w:val="single" w:sz="4" w:space="0" w:color="auto"/>
            </w:tcBorders>
            <w:shd w:val="clear" w:color="auto" w:fill="auto"/>
            <w:noWrap/>
            <w:vAlign w:val="bottom"/>
          </w:tcPr>
          <w:p w14:paraId="7EDE1E87"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val="en-MY" w:eastAsia="zh-CN"/>
              </w:rPr>
              <w:t>Test</w:t>
            </w:r>
          </w:p>
        </w:tc>
        <w:tc>
          <w:tcPr>
            <w:tcW w:w="1729" w:type="pct"/>
            <w:gridSpan w:val="3"/>
            <w:tcBorders>
              <w:top w:val="single" w:sz="4" w:space="0" w:color="auto"/>
            </w:tcBorders>
            <w:shd w:val="clear" w:color="auto" w:fill="auto"/>
            <w:noWrap/>
            <w:vAlign w:val="bottom"/>
          </w:tcPr>
          <w:p w14:paraId="2A462944"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Mann-Kendall Trend</w:t>
            </w:r>
          </w:p>
        </w:tc>
        <w:tc>
          <w:tcPr>
            <w:tcW w:w="1728" w:type="pct"/>
            <w:gridSpan w:val="3"/>
            <w:tcBorders>
              <w:top w:val="single" w:sz="4" w:space="0" w:color="auto"/>
            </w:tcBorders>
            <w:shd w:val="clear" w:color="auto" w:fill="auto"/>
            <w:noWrap/>
            <w:vAlign w:val="bottom"/>
          </w:tcPr>
          <w:p w14:paraId="60A9D1DE"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Sen's Slope Estimate</w:t>
            </w:r>
          </w:p>
        </w:tc>
      </w:tr>
      <w:tr w:rsidR="004A5F13" w14:paraId="3229B7A1" w14:textId="77777777">
        <w:trPr>
          <w:trHeight w:val="288"/>
        </w:trPr>
        <w:tc>
          <w:tcPr>
            <w:tcW w:w="1543" w:type="pct"/>
            <w:gridSpan w:val="2"/>
            <w:vMerge/>
            <w:tcBorders>
              <w:bottom w:val="single" w:sz="4" w:space="0" w:color="auto"/>
            </w:tcBorders>
            <w:shd w:val="clear" w:color="auto" w:fill="auto"/>
            <w:noWrap/>
            <w:vAlign w:val="bottom"/>
          </w:tcPr>
          <w:p w14:paraId="0BE47350" w14:textId="77777777" w:rsidR="004A5F13" w:rsidRDefault="004A5F13">
            <w:pPr>
              <w:widowControl/>
              <w:wordWrap/>
              <w:autoSpaceDE/>
              <w:autoSpaceDN/>
              <w:jc w:val="left"/>
              <w:rPr>
                <w:rFonts w:ascii="Times New Roman" w:eastAsia="Times New Roman" w:hAnsi="Times New Roman" w:cs="Times New Roman"/>
                <w:b/>
                <w:bCs/>
                <w:kern w:val="0"/>
                <w:sz w:val="24"/>
                <w:szCs w:val="24"/>
                <w:lang w:val="en-MY" w:eastAsia="zh-CN"/>
              </w:rPr>
            </w:pPr>
          </w:p>
        </w:tc>
        <w:tc>
          <w:tcPr>
            <w:tcW w:w="1729" w:type="pct"/>
            <w:gridSpan w:val="3"/>
            <w:tcBorders>
              <w:bottom w:val="single" w:sz="4" w:space="0" w:color="auto"/>
            </w:tcBorders>
            <w:shd w:val="clear" w:color="auto" w:fill="auto"/>
            <w:noWrap/>
            <w:vAlign w:val="bottom"/>
          </w:tcPr>
          <w:p w14:paraId="56287118" w14:textId="77777777" w:rsidR="004A5F13" w:rsidRDefault="009E2627">
            <w:pPr>
              <w:widowControl/>
              <w:wordWrap/>
              <w:autoSpaceDE/>
              <w:autoSpaceDN/>
              <w:jc w:val="center"/>
              <w:rPr>
                <w:rFonts w:ascii="Times New Roman" w:eastAsia="Times New Roman" w:hAnsi="Times New Roman" w:cs="Times New Roman"/>
                <w:b/>
                <w:bCs/>
                <w:kern w:val="0"/>
                <w:sz w:val="24"/>
                <w:szCs w:val="24"/>
                <w:lang w:val="en-MY" w:eastAsia="zh-CN"/>
              </w:rPr>
            </w:pPr>
            <w:r>
              <w:rPr>
                <w:rFonts w:ascii="Times New Roman" w:eastAsia="Times New Roman" w:hAnsi="Times New Roman" w:cs="Times New Roman"/>
                <w:b/>
                <w:bCs/>
                <w:color w:val="000000"/>
                <w:kern w:val="0"/>
                <w:sz w:val="24"/>
                <w:szCs w:val="24"/>
                <w:lang w:eastAsia="zh-CN"/>
              </w:rPr>
              <w:t>Test Z</w:t>
            </w:r>
          </w:p>
        </w:tc>
        <w:tc>
          <w:tcPr>
            <w:tcW w:w="1728" w:type="pct"/>
            <w:gridSpan w:val="3"/>
            <w:tcBorders>
              <w:bottom w:val="single" w:sz="4" w:space="0" w:color="auto"/>
            </w:tcBorders>
            <w:shd w:val="clear" w:color="auto" w:fill="auto"/>
            <w:noWrap/>
            <w:vAlign w:val="bottom"/>
          </w:tcPr>
          <w:p w14:paraId="688785ED" w14:textId="77777777" w:rsidR="004A5F13" w:rsidRDefault="009E2627">
            <w:pPr>
              <w:widowControl/>
              <w:wordWrap/>
              <w:autoSpaceDE/>
              <w:autoSpaceDN/>
              <w:jc w:val="center"/>
              <w:rPr>
                <w:rFonts w:ascii="Times New Roman" w:eastAsia="Times New Roman" w:hAnsi="Times New Roman" w:cs="Times New Roman"/>
                <w:b/>
                <w:bCs/>
                <w:kern w:val="0"/>
                <w:sz w:val="24"/>
                <w:szCs w:val="24"/>
                <w:lang w:val="en-MY" w:eastAsia="zh-CN"/>
              </w:rPr>
            </w:pPr>
            <w:r>
              <w:rPr>
                <w:rFonts w:ascii="Times New Roman" w:eastAsia="Times New Roman" w:hAnsi="Times New Roman" w:cs="Times New Roman"/>
                <w:b/>
                <w:bCs/>
                <w:color w:val="000000"/>
                <w:kern w:val="0"/>
                <w:sz w:val="24"/>
                <w:szCs w:val="24"/>
                <w:lang w:eastAsia="zh-CN"/>
              </w:rPr>
              <w:t>Q</w:t>
            </w:r>
          </w:p>
        </w:tc>
      </w:tr>
      <w:tr w:rsidR="004A5F13" w14:paraId="1384D043" w14:textId="77777777">
        <w:trPr>
          <w:trHeight w:val="323"/>
        </w:trPr>
        <w:tc>
          <w:tcPr>
            <w:tcW w:w="1543" w:type="pct"/>
            <w:gridSpan w:val="2"/>
            <w:tcBorders>
              <w:top w:val="single" w:sz="4" w:space="0" w:color="auto"/>
            </w:tcBorders>
            <w:shd w:val="clear" w:color="auto" w:fill="auto"/>
            <w:noWrap/>
            <w:vAlign w:val="bottom"/>
          </w:tcPr>
          <w:p w14:paraId="05766FDD" w14:textId="77777777" w:rsidR="004A5F13" w:rsidRDefault="009E2627">
            <w:pPr>
              <w:widowControl/>
              <w:wordWrap/>
              <w:autoSpaceDE/>
              <w:autoSpaceDN/>
              <w:jc w:val="left"/>
              <w:rPr>
                <w:rFonts w:ascii="Times New Roman" w:eastAsia="Times New Roman" w:hAnsi="Times New Roman" w:cs="Times New Roman"/>
                <w:kern w:val="0"/>
                <w:szCs w:val="20"/>
                <w:lang w:val="en-MY" w:eastAsia="zh-CN"/>
              </w:rPr>
            </w:pPr>
            <w:r>
              <w:rPr>
                <w:rFonts w:ascii="Times New Roman" w:eastAsia="Times New Roman" w:hAnsi="Times New Roman" w:cs="Times New Roman"/>
                <w:kern w:val="0"/>
                <w:szCs w:val="20"/>
                <w:lang w:val="en-MY" w:eastAsia="zh-CN"/>
              </w:rPr>
              <w:t>*</w:t>
            </w:r>
            <w:proofErr w:type="gramStart"/>
            <w:r>
              <w:rPr>
                <w:rFonts w:ascii="Times New Roman" w:eastAsia="Times New Roman" w:hAnsi="Times New Roman" w:cs="Times New Roman"/>
                <w:kern w:val="0"/>
                <w:szCs w:val="20"/>
                <w:lang w:val="en-MY" w:eastAsia="zh-CN"/>
              </w:rPr>
              <w:t>all</w:t>
            </w:r>
            <w:proofErr w:type="gramEnd"/>
            <w:r>
              <w:rPr>
                <w:rFonts w:ascii="Times New Roman" w:eastAsia="Times New Roman" w:hAnsi="Times New Roman" w:cs="Times New Roman"/>
                <w:kern w:val="0"/>
                <w:szCs w:val="20"/>
                <w:lang w:val="en-MY" w:eastAsia="zh-CN"/>
              </w:rPr>
              <w:t xml:space="preserve"> variables are calculated on </w:t>
            </w:r>
          </w:p>
          <w:p w14:paraId="2BAE12A1" w14:textId="77777777" w:rsidR="004A5F13" w:rsidRDefault="009E2627">
            <w:pPr>
              <w:widowControl/>
              <w:wordWrap/>
              <w:autoSpaceDE/>
              <w:autoSpaceDN/>
              <w:jc w:val="left"/>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kern w:val="0"/>
                <w:szCs w:val="20"/>
                <w:lang w:val="en-MY" w:eastAsia="zh-CN"/>
              </w:rPr>
              <w:t>mean annual basis</w:t>
            </w:r>
          </w:p>
        </w:tc>
        <w:tc>
          <w:tcPr>
            <w:tcW w:w="602" w:type="pct"/>
            <w:tcBorders>
              <w:top w:val="single" w:sz="4" w:space="0" w:color="auto"/>
            </w:tcBorders>
            <w:shd w:val="clear" w:color="auto" w:fill="auto"/>
            <w:noWrap/>
            <w:vAlign w:val="bottom"/>
          </w:tcPr>
          <w:p w14:paraId="500D7DCF"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val="en-MY" w:eastAsia="zh-CN"/>
              </w:rPr>
              <w:t>RF</w:t>
            </w:r>
          </w:p>
          <w:p w14:paraId="30A04771" w14:textId="77777777" w:rsidR="004A5F13" w:rsidRDefault="004A5F13">
            <w:pPr>
              <w:jc w:val="center"/>
              <w:rPr>
                <w:rFonts w:ascii="Times New Roman" w:eastAsia="Times New Roman" w:hAnsi="Times New Roman" w:cs="Times New Roman"/>
                <w:color w:val="000000"/>
                <w:kern w:val="0"/>
                <w:sz w:val="24"/>
                <w:szCs w:val="24"/>
                <w:lang w:val="en-MY" w:eastAsia="zh-CN"/>
              </w:rPr>
            </w:pPr>
          </w:p>
        </w:tc>
        <w:tc>
          <w:tcPr>
            <w:tcW w:w="551" w:type="pct"/>
            <w:tcBorders>
              <w:top w:val="single" w:sz="4" w:space="0" w:color="auto"/>
            </w:tcBorders>
            <w:shd w:val="clear" w:color="auto" w:fill="auto"/>
            <w:noWrap/>
            <w:vAlign w:val="bottom"/>
          </w:tcPr>
          <w:p w14:paraId="0FE17A5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proofErr w:type="spellStart"/>
            <w:r>
              <w:rPr>
                <w:rFonts w:ascii="Times New Roman" w:eastAsia="Times New Roman" w:hAnsi="Times New Roman" w:cs="Times New Roman"/>
                <w:color w:val="000000"/>
                <w:kern w:val="0"/>
                <w:sz w:val="24"/>
                <w:szCs w:val="24"/>
                <w:lang w:val="en-MY" w:eastAsia="zh-CN"/>
              </w:rPr>
              <w:t>Tmax</w:t>
            </w:r>
            <w:proofErr w:type="spellEnd"/>
          </w:p>
          <w:p w14:paraId="581F2F99" w14:textId="77777777" w:rsidR="004A5F13" w:rsidRDefault="004A5F13">
            <w:pPr>
              <w:jc w:val="center"/>
              <w:rPr>
                <w:rFonts w:ascii="Times New Roman" w:eastAsia="Times New Roman" w:hAnsi="Times New Roman" w:cs="Times New Roman"/>
                <w:color w:val="000000"/>
                <w:kern w:val="0"/>
                <w:sz w:val="24"/>
                <w:szCs w:val="24"/>
                <w:lang w:val="en-MY" w:eastAsia="zh-CN"/>
              </w:rPr>
            </w:pPr>
          </w:p>
        </w:tc>
        <w:tc>
          <w:tcPr>
            <w:tcW w:w="576" w:type="pct"/>
            <w:tcBorders>
              <w:top w:val="single" w:sz="4" w:space="0" w:color="auto"/>
            </w:tcBorders>
            <w:shd w:val="clear" w:color="auto" w:fill="auto"/>
            <w:noWrap/>
            <w:vAlign w:val="bottom"/>
          </w:tcPr>
          <w:p w14:paraId="3F71F22C" w14:textId="77777777" w:rsidR="004A5F13" w:rsidRDefault="009E2627">
            <w:pPr>
              <w:widowControl/>
              <w:wordWrap/>
              <w:autoSpaceDE/>
              <w:autoSpaceDN/>
              <w:jc w:val="center"/>
              <w:rPr>
                <w:rFonts w:ascii="Times New Roman" w:eastAsia="Times New Roman" w:hAnsi="Times New Roman" w:cs="Times New Roman"/>
                <w:kern w:val="0"/>
                <w:sz w:val="24"/>
                <w:szCs w:val="24"/>
                <w:lang w:val="en-MY" w:eastAsia="zh-CN"/>
              </w:rPr>
            </w:pPr>
            <w:proofErr w:type="spellStart"/>
            <w:r>
              <w:rPr>
                <w:rFonts w:ascii="Times New Roman" w:eastAsia="Times New Roman" w:hAnsi="Times New Roman" w:cs="Times New Roman"/>
                <w:color w:val="000000"/>
                <w:kern w:val="0"/>
                <w:sz w:val="24"/>
                <w:szCs w:val="24"/>
                <w:lang w:val="en-MY" w:eastAsia="zh-CN"/>
              </w:rPr>
              <w:t>Tmin</w:t>
            </w:r>
            <w:proofErr w:type="spellEnd"/>
          </w:p>
          <w:p w14:paraId="116469EA" w14:textId="77777777" w:rsidR="004A5F13" w:rsidRDefault="004A5F13">
            <w:pPr>
              <w:jc w:val="center"/>
              <w:rPr>
                <w:rFonts w:ascii="Times New Roman" w:eastAsia="Times New Roman" w:hAnsi="Times New Roman" w:cs="Times New Roman"/>
                <w:kern w:val="0"/>
                <w:sz w:val="24"/>
                <w:szCs w:val="24"/>
                <w:lang w:val="en-MY" w:eastAsia="zh-CN"/>
              </w:rPr>
            </w:pPr>
          </w:p>
        </w:tc>
        <w:tc>
          <w:tcPr>
            <w:tcW w:w="621" w:type="pct"/>
            <w:tcBorders>
              <w:top w:val="single" w:sz="4" w:space="0" w:color="auto"/>
            </w:tcBorders>
            <w:shd w:val="clear" w:color="auto" w:fill="auto"/>
            <w:noWrap/>
            <w:vAlign w:val="bottom"/>
          </w:tcPr>
          <w:p w14:paraId="543FE703"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val="en-MY" w:eastAsia="zh-CN"/>
              </w:rPr>
              <w:t>RF</w:t>
            </w:r>
          </w:p>
          <w:p w14:paraId="328E2FFD" w14:textId="77777777" w:rsidR="004A5F13" w:rsidRDefault="009E2627">
            <w:pPr>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val="en-MY" w:eastAsia="zh-CN"/>
              </w:rPr>
              <w:t>(mm/year)</w:t>
            </w:r>
          </w:p>
        </w:tc>
        <w:tc>
          <w:tcPr>
            <w:tcW w:w="532" w:type="pct"/>
            <w:tcBorders>
              <w:top w:val="single" w:sz="4" w:space="0" w:color="auto"/>
            </w:tcBorders>
            <w:shd w:val="clear" w:color="auto" w:fill="auto"/>
            <w:noWrap/>
            <w:vAlign w:val="bottom"/>
          </w:tcPr>
          <w:p w14:paraId="13D3C4D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proofErr w:type="spellStart"/>
            <w:r>
              <w:rPr>
                <w:rFonts w:ascii="Times New Roman" w:eastAsia="Times New Roman" w:hAnsi="Times New Roman" w:cs="Times New Roman"/>
                <w:color w:val="000000"/>
                <w:kern w:val="0"/>
                <w:sz w:val="24"/>
                <w:szCs w:val="24"/>
                <w:lang w:val="en-MY" w:eastAsia="zh-CN"/>
              </w:rPr>
              <w:t>Tmax</w:t>
            </w:r>
            <w:proofErr w:type="spellEnd"/>
          </w:p>
          <w:p w14:paraId="3E335455" w14:textId="77777777" w:rsidR="004A5F13" w:rsidRDefault="009E2627">
            <w:pPr>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val="en-MY" w:eastAsia="zh-CN"/>
              </w:rPr>
              <w:t>(°C/year)</w:t>
            </w:r>
          </w:p>
        </w:tc>
        <w:tc>
          <w:tcPr>
            <w:tcW w:w="575" w:type="pct"/>
            <w:tcBorders>
              <w:top w:val="single" w:sz="4" w:space="0" w:color="auto"/>
            </w:tcBorders>
            <w:shd w:val="clear" w:color="auto" w:fill="auto"/>
            <w:noWrap/>
            <w:vAlign w:val="bottom"/>
          </w:tcPr>
          <w:p w14:paraId="52370DC1" w14:textId="77777777" w:rsidR="004A5F13" w:rsidRDefault="009E2627">
            <w:pPr>
              <w:widowControl/>
              <w:wordWrap/>
              <w:autoSpaceDE/>
              <w:autoSpaceDN/>
              <w:jc w:val="center"/>
              <w:rPr>
                <w:rFonts w:ascii="Times New Roman" w:eastAsia="Times New Roman" w:hAnsi="Times New Roman" w:cs="Times New Roman"/>
                <w:kern w:val="0"/>
                <w:sz w:val="24"/>
                <w:szCs w:val="24"/>
                <w:lang w:val="en-MY" w:eastAsia="zh-CN"/>
              </w:rPr>
            </w:pPr>
            <w:proofErr w:type="spellStart"/>
            <w:r>
              <w:rPr>
                <w:rFonts w:ascii="Times New Roman" w:eastAsia="Times New Roman" w:hAnsi="Times New Roman" w:cs="Times New Roman"/>
                <w:color w:val="000000"/>
                <w:kern w:val="0"/>
                <w:sz w:val="24"/>
                <w:szCs w:val="24"/>
                <w:lang w:val="en-MY" w:eastAsia="zh-CN"/>
              </w:rPr>
              <w:t>Tmin</w:t>
            </w:r>
            <w:proofErr w:type="spellEnd"/>
          </w:p>
          <w:p w14:paraId="25178CE4" w14:textId="77777777" w:rsidR="004A5F13" w:rsidRDefault="009E2627">
            <w:pPr>
              <w:jc w:val="center"/>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color w:val="000000"/>
                <w:kern w:val="0"/>
                <w:sz w:val="24"/>
                <w:szCs w:val="24"/>
                <w:lang w:val="en-MY" w:eastAsia="zh-CN"/>
              </w:rPr>
              <w:t>(°C/year)</w:t>
            </w:r>
          </w:p>
        </w:tc>
      </w:tr>
      <w:tr w:rsidR="004A5F13" w14:paraId="4B26C23E" w14:textId="77777777">
        <w:trPr>
          <w:trHeight w:val="288"/>
        </w:trPr>
        <w:tc>
          <w:tcPr>
            <w:tcW w:w="1543" w:type="pct"/>
            <w:gridSpan w:val="2"/>
            <w:shd w:val="clear" w:color="auto" w:fill="auto"/>
            <w:noWrap/>
            <w:vAlign w:val="bottom"/>
          </w:tcPr>
          <w:p w14:paraId="69364E1D" w14:textId="77777777" w:rsidR="004A5F13" w:rsidRDefault="009E2627">
            <w:pPr>
              <w:widowControl/>
              <w:wordWrap/>
              <w:autoSpaceDE/>
              <w:autoSpaceDN/>
              <w:jc w:val="left"/>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color w:val="000000"/>
                <w:kern w:val="0"/>
                <w:sz w:val="24"/>
                <w:szCs w:val="24"/>
                <w:lang w:eastAsia="zh-CN"/>
              </w:rPr>
              <w:t>Pos Brooke</w:t>
            </w:r>
          </w:p>
        </w:tc>
        <w:tc>
          <w:tcPr>
            <w:tcW w:w="602" w:type="pct"/>
            <w:shd w:val="clear" w:color="auto" w:fill="auto"/>
            <w:noWrap/>
            <w:vAlign w:val="bottom"/>
          </w:tcPr>
          <w:p w14:paraId="635F9C14" w14:textId="77777777" w:rsidR="004A5F13" w:rsidRDefault="009E2627">
            <w:pPr>
              <w:widowControl/>
              <w:wordWrap/>
              <w:autoSpaceDE/>
              <w:autoSpaceDN/>
              <w:jc w:val="center"/>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color w:val="000000"/>
                <w:kern w:val="0"/>
                <w:sz w:val="24"/>
                <w:szCs w:val="24"/>
                <w:lang w:eastAsia="zh-CN"/>
              </w:rPr>
              <w:t>-0.77</w:t>
            </w:r>
          </w:p>
        </w:tc>
        <w:tc>
          <w:tcPr>
            <w:tcW w:w="551" w:type="pct"/>
            <w:shd w:val="clear" w:color="auto" w:fill="auto"/>
            <w:noWrap/>
            <w:vAlign w:val="bottom"/>
          </w:tcPr>
          <w:p w14:paraId="65F39A88"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576" w:type="pct"/>
            <w:shd w:val="clear" w:color="auto" w:fill="auto"/>
            <w:noWrap/>
            <w:vAlign w:val="bottom"/>
          </w:tcPr>
          <w:p w14:paraId="4D7C497E"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341C4ACE" w14:textId="77777777" w:rsidR="004A5F13" w:rsidRDefault="009E2627">
            <w:pPr>
              <w:widowControl/>
              <w:wordWrap/>
              <w:autoSpaceDE/>
              <w:autoSpaceDN/>
              <w:jc w:val="center"/>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color w:val="000000"/>
                <w:kern w:val="0"/>
                <w:sz w:val="24"/>
                <w:szCs w:val="24"/>
                <w:lang w:eastAsia="zh-CN"/>
              </w:rPr>
              <w:t>-5.17</w:t>
            </w:r>
          </w:p>
        </w:tc>
        <w:tc>
          <w:tcPr>
            <w:tcW w:w="532" w:type="pct"/>
            <w:shd w:val="clear" w:color="auto" w:fill="auto"/>
            <w:noWrap/>
            <w:vAlign w:val="bottom"/>
          </w:tcPr>
          <w:p w14:paraId="3C6E871F"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575" w:type="pct"/>
            <w:shd w:val="clear" w:color="auto" w:fill="auto"/>
            <w:noWrap/>
            <w:vAlign w:val="bottom"/>
          </w:tcPr>
          <w:p w14:paraId="77427245"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2D36F3EF" w14:textId="77777777">
        <w:trPr>
          <w:trHeight w:val="288"/>
        </w:trPr>
        <w:tc>
          <w:tcPr>
            <w:tcW w:w="1543" w:type="pct"/>
            <w:gridSpan w:val="2"/>
            <w:shd w:val="clear" w:color="auto" w:fill="auto"/>
            <w:noWrap/>
            <w:vAlign w:val="bottom"/>
          </w:tcPr>
          <w:p w14:paraId="28F6A40F"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Blau</w:t>
            </w:r>
            <w:proofErr w:type="spellEnd"/>
          </w:p>
        </w:tc>
        <w:tc>
          <w:tcPr>
            <w:tcW w:w="602" w:type="pct"/>
            <w:shd w:val="clear" w:color="auto" w:fill="auto"/>
            <w:noWrap/>
            <w:vAlign w:val="bottom"/>
          </w:tcPr>
          <w:p w14:paraId="19009DA2"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1.08</w:t>
            </w:r>
          </w:p>
        </w:tc>
        <w:tc>
          <w:tcPr>
            <w:tcW w:w="551" w:type="pct"/>
            <w:shd w:val="clear" w:color="auto" w:fill="auto"/>
            <w:noWrap/>
            <w:vAlign w:val="bottom"/>
          </w:tcPr>
          <w:p w14:paraId="47ABFC95"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2C05CAD4"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621" w:type="pct"/>
            <w:shd w:val="clear" w:color="auto" w:fill="auto"/>
            <w:noWrap/>
            <w:vAlign w:val="bottom"/>
          </w:tcPr>
          <w:p w14:paraId="7542F3AA"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6.73</w:t>
            </w:r>
          </w:p>
        </w:tc>
        <w:tc>
          <w:tcPr>
            <w:tcW w:w="532" w:type="pct"/>
            <w:shd w:val="clear" w:color="auto" w:fill="auto"/>
            <w:noWrap/>
            <w:vAlign w:val="bottom"/>
          </w:tcPr>
          <w:p w14:paraId="248AB9FE"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790E1B37"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r>
      <w:tr w:rsidR="004A5F13" w14:paraId="1AF58EF7" w14:textId="77777777">
        <w:trPr>
          <w:trHeight w:val="288"/>
        </w:trPr>
        <w:tc>
          <w:tcPr>
            <w:tcW w:w="1543" w:type="pct"/>
            <w:gridSpan w:val="2"/>
            <w:shd w:val="clear" w:color="auto" w:fill="auto"/>
            <w:noWrap/>
            <w:vAlign w:val="bottom"/>
          </w:tcPr>
          <w:p w14:paraId="3038E17B"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RPS Kuala Betis</w:t>
            </w:r>
          </w:p>
        </w:tc>
        <w:tc>
          <w:tcPr>
            <w:tcW w:w="602" w:type="pct"/>
            <w:shd w:val="clear" w:color="auto" w:fill="auto"/>
            <w:noWrap/>
            <w:vAlign w:val="bottom"/>
          </w:tcPr>
          <w:p w14:paraId="112EF45E"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0.60</w:t>
            </w:r>
          </w:p>
        </w:tc>
        <w:tc>
          <w:tcPr>
            <w:tcW w:w="551" w:type="pct"/>
            <w:shd w:val="clear" w:color="auto" w:fill="auto"/>
            <w:noWrap/>
            <w:vAlign w:val="bottom"/>
          </w:tcPr>
          <w:p w14:paraId="516174F7"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22D11820"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4A9748C9"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3.38</w:t>
            </w:r>
          </w:p>
        </w:tc>
        <w:tc>
          <w:tcPr>
            <w:tcW w:w="532" w:type="pct"/>
            <w:shd w:val="clear" w:color="auto" w:fill="auto"/>
            <w:noWrap/>
            <w:vAlign w:val="bottom"/>
          </w:tcPr>
          <w:p w14:paraId="28D01399"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518CA07C"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55510F0F" w14:textId="77777777">
        <w:trPr>
          <w:trHeight w:val="288"/>
        </w:trPr>
        <w:tc>
          <w:tcPr>
            <w:tcW w:w="1543" w:type="pct"/>
            <w:gridSpan w:val="2"/>
            <w:shd w:val="clear" w:color="auto" w:fill="auto"/>
            <w:noWrap/>
            <w:vAlign w:val="bottom"/>
          </w:tcPr>
          <w:p w14:paraId="597A4C02"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Hau</w:t>
            </w:r>
            <w:proofErr w:type="spellEnd"/>
          </w:p>
        </w:tc>
        <w:tc>
          <w:tcPr>
            <w:tcW w:w="602" w:type="pct"/>
            <w:shd w:val="clear" w:color="auto" w:fill="F4B083" w:themeFill="accent2" w:themeFillTint="99"/>
            <w:noWrap/>
            <w:vAlign w:val="bottom"/>
          </w:tcPr>
          <w:p w14:paraId="43C2BDFF"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2.49</w:t>
            </w:r>
          </w:p>
        </w:tc>
        <w:tc>
          <w:tcPr>
            <w:tcW w:w="551" w:type="pct"/>
            <w:shd w:val="clear" w:color="auto" w:fill="auto"/>
            <w:noWrap/>
            <w:vAlign w:val="bottom"/>
          </w:tcPr>
          <w:p w14:paraId="20FFAE3D"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0BCC2265"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31503411"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17.5</w:t>
            </w:r>
          </w:p>
        </w:tc>
        <w:tc>
          <w:tcPr>
            <w:tcW w:w="532" w:type="pct"/>
            <w:shd w:val="clear" w:color="auto" w:fill="auto"/>
            <w:noWrap/>
            <w:vAlign w:val="bottom"/>
          </w:tcPr>
          <w:p w14:paraId="6CEA2C91"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6EBC9FF3"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70F661C8" w14:textId="77777777">
        <w:trPr>
          <w:trHeight w:val="288"/>
        </w:trPr>
        <w:tc>
          <w:tcPr>
            <w:tcW w:w="1543" w:type="pct"/>
            <w:gridSpan w:val="2"/>
            <w:shd w:val="clear" w:color="auto" w:fill="auto"/>
            <w:noWrap/>
            <w:vAlign w:val="bottom"/>
          </w:tcPr>
          <w:p w14:paraId="21BB8DF0"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Lebir</w:t>
            </w:r>
            <w:proofErr w:type="spellEnd"/>
          </w:p>
        </w:tc>
        <w:tc>
          <w:tcPr>
            <w:tcW w:w="602" w:type="pct"/>
            <w:shd w:val="clear" w:color="auto" w:fill="auto"/>
            <w:noWrap/>
            <w:vAlign w:val="bottom"/>
          </w:tcPr>
          <w:p w14:paraId="334101B6"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0.42</w:t>
            </w:r>
          </w:p>
        </w:tc>
        <w:tc>
          <w:tcPr>
            <w:tcW w:w="551" w:type="pct"/>
            <w:shd w:val="clear" w:color="auto" w:fill="auto"/>
            <w:noWrap/>
            <w:vAlign w:val="bottom"/>
          </w:tcPr>
          <w:p w14:paraId="5FEB6E91"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65FDAD81"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4FF61F3B"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2.44</w:t>
            </w:r>
          </w:p>
        </w:tc>
        <w:tc>
          <w:tcPr>
            <w:tcW w:w="532" w:type="pct"/>
            <w:shd w:val="clear" w:color="auto" w:fill="auto"/>
            <w:noWrap/>
            <w:vAlign w:val="bottom"/>
          </w:tcPr>
          <w:p w14:paraId="3018ED75"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475A5EDF"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69948283" w14:textId="77777777">
        <w:trPr>
          <w:trHeight w:val="288"/>
        </w:trPr>
        <w:tc>
          <w:tcPr>
            <w:tcW w:w="1543" w:type="pct"/>
            <w:gridSpan w:val="2"/>
            <w:shd w:val="clear" w:color="auto" w:fill="auto"/>
            <w:noWrap/>
            <w:vAlign w:val="bottom"/>
          </w:tcPr>
          <w:p w14:paraId="37122E84"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Belatim</w:t>
            </w:r>
            <w:proofErr w:type="spellEnd"/>
          </w:p>
        </w:tc>
        <w:tc>
          <w:tcPr>
            <w:tcW w:w="602" w:type="pct"/>
            <w:shd w:val="clear" w:color="auto" w:fill="auto"/>
            <w:noWrap/>
            <w:vAlign w:val="bottom"/>
          </w:tcPr>
          <w:p w14:paraId="4F8F575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1.28</w:t>
            </w:r>
          </w:p>
        </w:tc>
        <w:tc>
          <w:tcPr>
            <w:tcW w:w="551" w:type="pct"/>
            <w:shd w:val="clear" w:color="auto" w:fill="auto"/>
            <w:noWrap/>
            <w:vAlign w:val="bottom"/>
          </w:tcPr>
          <w:p w14:paraId="49169932"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02FFDEEC"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2D17A95A"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6.58</w:t>
            </w:r>
          </w:p>
        </w:tc>
        <w:tc>
          <w:tcPr>
            <w:tcW w:w="532" w:type="pct"/>
            <w:shd w:val="clear" w:color="auto" w:fill="auto"/>
            <w:noWrap/>
            <w:vAlign w:val="bottom"/>
          </w:tcPr>
          <w:p w14:paraId="7FC89C37"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4E1DD581"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258FBFAB" w14:textId="77777777">
        <w:trPr>
          <w:trHeight w:val="288"/>
        </w:trPr>
        <w:tc>
          <w:tcPr>
            <w:tcW w:w="1543" w:type="pct"/>
            <w:gridSpan w:val="2"/>
            <w:shd w:val="clear" w:color="auto" w:fill="auto"/>
            <w:noWrap/>
            <w:vAlign w:val="bottom"/>
          </w:tcPr>
          <w:p w14:paraId="015FD4D4"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Bihai</w:t>
            </w:r>
            <w:proofErr w:type="spellEnd"/>
          </w:p>
        </w:tc>
        <w:tc>
          <w:tcPr>
            <w:tcW w:w="602" w:type="pct"/>
            <w:shd w:val="clear" w:color="auto" w:fill="F4B083" w:themeFill="accent2" w:themeFillTint="99"/>
            <w:noWrap/>
            <w:vAlign w:val="bottom"/>
          </w:tcPr>
          <w:p w14:paraId="54747872"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3.17</w:t>
            </w:r>
          </w:p>
        </w:tc>
        <w:tc>
          <w:tcPr>
            <w:tcW w:w="551" w:type="pct"/>
            <w:shd w:val="clear" w:color="auto" w:fill="auto"/>
            <w:noWrap/>
            <w:vAlign w:val="bottom"/>
          </w:tcPr>
          <w:p w14:paraId="133D866F"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3A5B072C"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512EFB53"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24.4</w:t>
            </w:r>
          </w:p>
        </w:tc>
        <w:tc>
          <w:tcPr>
            <w:tcW w:w="532" w:type="pct"/>
            <w:shd w:val="clear" w:color="auto" w:fill="auto"/>
            <w:noWrap/>
            <w:vAlign w:val="bottom"/>
          </w:tcPr>
          <w:p w14:paraId="126C7EEA"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674D8FBA"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63A27C80" w14:textId="77777777">
        <w:trPr>
          <w:trHeight w:val="288"/>
        </w:trPr>
        <w:tc>
          <w:tcPr>
            <w:tcW w:w="1543" w:type="pct"/>
            <w:gridSpan w:val="2"/>
            <w:shd w:val="clear" w:color="auto" w:fill="auto"/>
            <w:noWrap/>
            <w:vAlign w:val="bottom"/>
          </w:tcPr>
          <w:p w14:paraId="16B8C895"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Tehoi</w:t>
            </w:r>
            <w:proofErr w:type="spellEnd"/>
          </w:p>
        </w:tc>
        <w:tc>
          <w:tcPr>
            <w:tcW w:w="602" w:type="pct"/>
            <w:shd w:val="clear" w:color="auto" w:fill="auto"/>
            <w:noWrap/>
            <w:vAlign w:val="bottom"/>
          </w:tcPr>
          <w:p w14:paraId="49F3BE37"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-1.43</w:t>
            </w:r>
          </w:p>
        </w:tc>
        <w:tc>
          <w:tcPr>
            <w:tcW w:w="551" w:type="pct"/>
            <w:shd w:val="clear" w:color="auto" w:fill="auto"/>
            <w:noWrap/>
            <w:vAlign w:val="bottom"/>
          </w:tcPr>
          <w:p w14:paraId="26D525C4"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5A168540"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2D02D92B"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-8.29</w:t>
            </w:r>
          </w:p>
        </w:tc>
        <w:tc>
          <w:tcPr>
            <w:tcW w:w="532" w:type="pct"/>
            <w:shd w:val="clear" w:color="auto" w:fill="auto"/>
            <w:noWrap/>
            <w:vAlign w:val="bottom"/>
          </w:tcPr>
          <w:p w14:paraId="61521631"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252A5242"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55B50C4D" w14:textId="77777777">
        <w:trPr>
          <w:trHeight w:val="288"/>
        </w:trPr>
        <w:tc>
          <w:tcPr>
            <w:tcW w:w="1543" w:type="pct"/>
            <w:gridSpan w:val="2"/>
            <w:shd w:val="clear" w:color="auto" w:fill="auto"/>
            <w:noWrap/>
            <w:vAlign w:val="bottom"/>
          </w:tcPr>
          <w:p w14:paraId="6B8F2220"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Pos </w:t>
            </w:r>
            <w:proofErr w:type="spellStart"/>
            <w:r>
              <w:rPr>
                <w:rFonts w:ascii="Times New Roman" w:eastAsia="Times New Roman" w:hAnsi="Times New Roman" w:cs="Times New Roman"/>
                <w:color w:val="000000"/>
                <w:kern w:val="0"/>
                <w:sz w:val="24"/>
                <w:szCs w:val="24"/>
                <w:lang w:eastAsia="zh-CN"/>
              </w:rPr>
              <w:t>Wias</w:t>
            </w:r>
            <w:proofErr w:type="spellEnd"/>
          </w:p>
        </w:tc>
        <w:tc>
          <w:tcPr>
            <w:tcW w:w="602" w:type="pct"/>
            <w:shd w:val="clear" w:color="auto" w:fill="auto"/>
            <w:noWrap/>
            <w:vAlign w:val="bottom"/>
          </w:tcPr>
          <w:p w14:paraId="6D1D077B"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-1.73</w:t>
            </w:r>
          </w:p>
        </w:tc>
        <w:tc>
          <w:tcPr>
            <w:tcW w:w="551" w:type="pct"/>
            <w:shd w:val="clear" w:color="auto" w:fill="auto"/>
            <w:noWrap/>
            <w:vAlign w:val="bottom"/>
          </w:tcPr>
          <w:p w14:paraId="0DB4DC38"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6E70FE6C"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7FDD6A45"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-10.58</w:t>
            </w:r>
          </w:p>
        </w:tc>
        <w:tc>
          <w:tcPr>
            <w:tcW w:w="532" w:type="pct"/>
            <w:shd w:val="clear" w:color="auto" w:fill="auto"/>
            <w:noWrap/>
            <w:vAlign w:val="bottom"/>
          </w:tcPr>
          <w:p w14:paraId="6C42CEC7"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5A038FEB"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34F3C055" w14:textId="77777777">
        <w:trPr>
          <w:trHeight w:val="288"/>
        </w:trPr>
        <w:tc>
          <w:tcPr>
            <w:tcW w:w="1543" w:type="pct"/>
            <w:gridSpan w:val="2"/>
            <w:shd w:val="clear" w:color="auto" w:fill="auto"/>
            <w:noWrap/>
            <w:vAlign w:val="bottom"/>
          </w:tcPr>
          <w:p w14:paraId="1DA5CF53"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Pos Gob</w:t>
            </w:r>
          </w:p>
        </w:tc>
        <w:tc>
          <w:tcPr>
            <w:tcW w:w="602" w:type="pct"/>
            <w:shd w:val="clear" w:color="auto" w:fill="F4B083" w:themeFill="accent2" w:themeFillTint="99"/>
            <w:noWrap/>
            <w:vAlign w:val="bottom"/>
          </w:tcPr>
          <w:p w14:paraId="7D0F6576"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3.55</w:t>
            </w:r>
          </w:p>
        </w:tc>
        <w:tc>
          <w:tcPr>
            <w:tcW w:w="551" w:type="pct"/>
            <w:shd w:val="clear" w:color="auto" w:fill="auto"/>
            <w:noWrap/>
            <w:vAlign w:val="bottom"/>
          </w:tcPr>
          <w:p w14:paraId="52B4568E"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6" w:type="pct"/>
            <w:shd w:val="clear" w:color="auto" w:fill="auto"/>
            <w:noWrap/>
            <w:vAlign w:val="bottom"/>
          </w:tcPr>
          <w:p w14:paraId="6B6954A2"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c>
          <w:tcPr>
            <w:tcW w:w="621" w:type="pct"/>
            <w:shd w:val="clear" w:color="auto" w:fill="auto"/>
            <w:noWrap/>
            <w:vAlign w:val="bottom"/>
          </w:tcPr>
          <w:p w14:paraId="42E0BCE5"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29.74</w:t>
            </w:r>
          </w:p>
        </w:tc>
        <w:tc>
          <w:tcPr>
            <w:tcW w:w="532" w:type="pct"/>
            <w:shd w:val="clear" w:color="auto" w:fill="auto"/>
            <w:noWrap/>
            <w:vAlign w:val="bottom"/>
          </w:tcPr>
          <w:p w14:paraId="42BB625A" w14:textId="77777777" w:rsidR="004A5F13" w:rsidRDefault="004A5F13">
            <w:pPr>
              <w:widowControl/>
              <w:wordWrap/>
              <w:autoSpaceDE/>
              <w:autoSpaceDN/>
              <w:jc w:val="center"/>
              <w:rPr>
                <w:rFonts w:ascii="Times New Roman" w:eastAsia="Times New Roman" w:hAnsi="Times New Roman" w:cs="Times New Roman"/>
                <w:color w:val="000000"/>
                <w:kern w:val="0"/>
                <w:sz w:val="24"/>
                <w:szCs w:val="24"/>
                <w:lang w:val="en-MY" w:eastAsia="zh-CN"/>
              </w:rPr>
            </w:pPr>
          </w:p>
        </w:tc>
        <w:tc>
          <w:tcPr>
            <w:tcW w:w="575" w:type="pct"/>
            <w:shd w:val="clear" w:color="auto" w:fill="auto"/>
            <w:noWrap/>
            <w:vAlign w:val="bottom"/>
          </w:tcPr>
          <w:p w14:paraId="29B8E346" w14:textId="77777777" w:rsidR="004A5F13" w:rsidRDefault="004A5F13">
            <w:pPr>
              <w:widowControl/>
              <w:wordWrap/>
              <w:autoSpaceDE/>
              <w:autoSpaceDN/>
              <w:jc w:val="center"/>
              <w:rPr>
                <w:rFonts w:ascii="Times New Roman" w:eastAsia="Times New Roman" w:hAnsi="Times New Roman" w:cs="Times New Roman"/>
                <w:kern w:val="0"/>
                <w:sz w:val="24"/>
                <w:szCs w:val="24"/>
                <w:lang w:val="en-MY" w:eastAsia="zh-CN"/>
              </w:rPr>
            </w:pPr>
          </w:p>
        </w:tc>
      </w:tr>
      <w:tr w:rsidR="004A5F13" w14:paraId="4EE7BF6C" w14:textId="77777777">
        <w:trPr>
          <w:trHeight w:val="288"/>
        </w:trPr>
        <w:tc>
          <w:tcPr>
            <w:tcW w:w="1543" w:type="pct"/>
            <w:gridSpan w:val="2"/>
            <w:shd w:val="clear" w:color="auto" w:fill="auto"/>
            <w:noWrap/>
            <w:vAlign w:val="bottom"/>
          </w:tcPr>
          <w:p w14:paraId="062656CC"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proofErr w:type="spellStart"/>
            <w:r>
              <w:rPr>
                <w:rFonts w:ascii="Times New Roman" w:eastAsia="Times New Roman" w:hAnsi="Times New Roman" w:cs="Times New Roman"/>
                <w:color w:val="000000"/>
                <w:kern w:val="0"/>
                <w:sz w:val="24"/>
                <w:szCs w:val="24"/>
                <w:lang w:eastAsia="zh-CN"/>
              </w:rPr>
              <w:t>Pej</w:t>
            </w:r>
            <w:proofErr w:type="spellEnd"/>
            <w:r>
              <w:rPr>
                <w:rFonts w:ascii="Times New Roman" w:eastAsia="Times New Roman" w:hAnsi="Times New Roman" w:cs="Times New Roman"/>
                <w:color w:val="000000"/>
                <w:kern w:val="0"/>
                <w:sz w:val="24"/>
                <w:szCs w:val="24"/>
                <w:lang w:eastAsia="zh-CN"/>
              </w:rPr>
              <w:t xml:space="preserve">. Hai. </w:t>
            </w:r>
            <w:proofErr w:type="spellStart"/>
            <w:r>
              <w:rPr>
                <w:rFonts w:ascii="Times New Roman" w:eastAsia="Times New Roman" w:hAnsi="Times New Roman" w:cs="Times New Roman"/>
                <w:color w:val="000000"/>
                <w:kern w:val="0"/>
                <w:sz w:val="24"/>
                <w:szCs w:val="24"/>
                <w:lang w:eastAsia="zh-CN"/>
              </w:rPr>
              <w:t>Jajahan</w:t>
            </w:r>
            <w:proofErr w:type="spellEnd"/>
            <w:r>
              <w:rPr>
                <w:rFonts w:ascii="Times New Roman" w:eastAsia="Times New Roman" w:hAnsi="Times New Roman" w:cs="Times New Roman"/>
                <w:color w:val="000000"/>
                <w:kern w:val="0"/>
                <w:sz w:val="24"/>
                <w:szCs w:val="24"/>
                <w:lang w:eastAsia="zh-CN"/>
              </w:rPr>
              <w:t xml:space="preserve"> </w:t>
            </w:r>
            <w:proofErr w:type="spellStart"/>
            <w:r>
              <w:rPr>
                <w:rFonts w:ascii="Times New Roman" w:eastAsia="Times New Roman" w:hAnsi="Times New Roman" w:cs="Times New Roman"/>
                <w:color w:val="000000"/>
                <w:kern w:val="0"/>
                <w:sz w:val="24"/>
                <w:szCs w:val="24"/>
                <w:lang w:eastAsia="zh-CN"/>
              </w:rPr>
              <w:t>Machang</w:t>
            </w:r>
            <w:proofErr w:type="spellEnd"/>
          </w:p>
        </w:tc>
        <w:tc>
          <w:tcPr>
            <w:tcW w:w="602" w:type="pct"/>
            <w:shd w:val="clear" w:color="auto" w:fill="auto"/>
            <w:noWrap/>
            <w:vAlign w:val="bottom"/>
          </w:tcPr>
          <w:p w14:paraId="07DC8264"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0.65</w:t>
            </w:r>
          </w:p>
        </w:tc>
        <w:tc>
          <w:tcPr>
            <w:tcW w:w="551" w:type="pct"/>
            <w:shd w:val="clear" w:color="auto" w:fill="F4B083" w:themeFill="accent2" w:themeFillTint="99"/>
            <w:noWrap/>
            <w:vAlign w:val="bottom"/>
          </w:tcPr>
          <w:p w14:paraId="3182E53C"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4.8</w:t>
            </w:r>
          </w:p>
        </w:tc>
        <w:tc>
          <w:tcPr>
            <w:tcW w:w="576" w:type="pct"/>
            <w:shd w:val="clear" w:color="auto" w:fill="F4B083" w:themeFill="accent2" w:themeFillTint="99"/>
            <w:noWrap/>
            <w:vAlign w:val="bottom"/>
          </w:tcPr>
          <w:p w14:paraId="05A0FD67" w14:textId="77777777" w:rsidR="004A5F13" w:rsidRDefault="009E2627">
            <w:pPr>
              <w:widowControl/>
              <w:wordWrap/>
              <w:autoSpaceDE/>
              <w:autoSpaceDN/>
              <w:jc w:val="center"/>
              <w:rPr>
                <w:rFonts w:ascii="Times New Roman" w:eastAsia="Times New Roman" w:hAnsi="Times New Roman" w:cs="Times New Roman"/>
                <w:b/>
                <w:bCs/>
                <w:kern w:val="0"/>
                <w:sz w:val="24"/>
                <w:szCs w:val="24"/>
                <w:lang w:val="en-MY" w:eastAsia="zh-CN"/>
              </w:rPr>
            </w:pPr>
            <w:r>
              <w:rPr>
                <w:rFonts w:ascii="Times New Roman" w:eastAsia="Times New Roman" w:hAnsi="Times New Roman" w:cs="Times New Roman"/>
                <w:b/>
                <w:bCs/>
                <w:color w:val="000000"/>
                <w:kern w:val="0"/>
                <w:sz w:val="24"/>
                <w:szCs w:val="24"/>
                <w:lang w:eastAsia="zh-CN"/>
              </w:rPr>
              <w:t>5.13</w:t>
            </w:r>
          </w:p>
        </w:tc>
        <w:tc>
          <w:tcPr>
            <w:tcW w:w="621" w:type="pct"/>
            <w:shd w:val="clear" w:color="auto" w:fill="auto"/>
            <w:noWrap/>
            <w:vAlign w:val="bottom"/>
          </w:tcPr>
          <w:p w14:paraId="0C25FA4A"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7.33</w:t>
            </w:r>
          </w:p>
        </w:tc>
        <w:tc>
          <w:tcPr>
            <w:tcW w:w="532" w:type="pct"/>
            <w:shd w:val="clear" w:color="auto" w:fill="auto"/>
            <w:noWrap/>
            <w:vAlign w:val="bottom"/>
          </w:tcPr>
          <w:p w14:paraId="27FFA042"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0.03</w:t>
            </w:r>
          </w:p>
        </w:tc>
        <w:tc>
          <w:tcPr>
            <w:tcW w:w="575" w:type="pct"/>
            <w:shd w:val="clear" w:color="auto" w:fill="auto"/>
            <w:noWrap/>
            <w:vAlign w:val="bottom"/>
          </w:tcPr>
          <w:p w14:paraId="14B3C05F" w14:textId="77777777" w:rsidR="004A5F13" w:rsidRDefault="009E2627">
            <w:pPr>
              <w:widowControl/>
              <w:wordWrap/>
              <w:autoSpaceDE/>
              <w:autoSpaceDN/>
              <w:jc w:val="center"/>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color w:val="000000"/>
                <w:kern w:val="0"/>
                <w:sz w:val="24"/>
                <w:szCs w:val="24"/>
                <w:lang w:eastAsia="zh-CN"/>
              </w:rPr>
              <w:t>0.05</w:t>
            </w:r>
          </w:p>
        </w:tc>
      </w:tr>
      <w:tr w:rsidR="004A5F13" w14:paraId="7A402517" w14:textId="77777777">
        <w:trPr>
          <w:trHeight w:val="288"/>
        </w:trPr>
        <w:tc>
          <w:tcPr>
            <w:tcW w:w="1543" w:type="pct"/>
            <w:gridSpan w:val="2"/>
            <w:shd w:val="clear" w:color="auto" w:fill="auto"/>
            <w:noWrap/>
            <w:vAlign w:val="bottom"/>
          </w:tcPr>
          <w:p w14:paraId="2BA773F1"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 Pert. </w:t>
            </w:r>
            <w:proofErr w:type="spellStart"/>
            <w:r>
              <w:rPr>
                <w:rFonts w:ascii="Times New Roman" w:eastAsia="Times New Roman" w:hAnsi="Times New Roman" w:cs="Times New Roman"/>
                <w:color w:val="000000"/>
                <w:kern w:val="0"/>
                <w:sz w:val="24"/>
                <w:szCs w:val="24"/>
                <w:lang w:eastAsia="zh-CN"/>
              </w:rPr>
              <w:t>Batang</w:t>
            </w:r>
            <w:proofErr w:type="spellEnd"/>
            <w:r>
              <w:rPr>
                <w:rFonts w:ascii="Times New Roman" w:eastAsia="Times New Roman" w:hAnsi="Times New Roman" w:cs="Times New Roman"/>
                <w:color w:val="000000"/>
                <w:kern w:val="0"/>
                <w:sz w:val="24"/>
                <w:szCs w:val="24"/>
                <w:lang w:eastAsia="zh-CN"/>
              </w:rPr>
              <w:t xml:space="preserve"> Merbau</w:t>
            </w:r>
          </w:p>
        </w:tc>
        <w:tc>
          <w:tcPr>
            <w:tcW w:w="602" w:type="pct"/>
            <w:shd w:val="clear" w:color="auto" w:fill="auto"/>
            <w:noWrap/>
            <w:vAlign w:val="bottom"/>
          </w:tcPr>
          <w:p w14:paraId="5217B8FF"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-0.35</w:t>
            </w:r>
          </w:p>
        </w:tc>
        <w:tc>
          <w:tcPr>
            <w:tcW w:w="551" w:type="pct"/>
            <w:shd w:val="clear" w:color="auto" w:fill="auto"/>
            <w:noWrap/>
            <w:vAlign w:val="bottom"/>
          </w:tcPr>
          <w:p w14:paraId="7320DD4F"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0.98</w:t>
            </w:r>
          </w:p>
        </w:tc>
        <w:tc>
          <w:tcPr>
            <w:tcW w:w="576" w:type="pct"/>
            <w:shd w:val="clear" w:color="auto" w:fill="F4B083" w:themeFill="accent2" w:themeFillTint="99"/>
            <w:noWrap/>
            <w:vAlign w:val="bottom"/>
          </w:tcPr>
          <w:p w14:paraId="4ED71543" w14:textId="77777777" w:rsidR="004A5F13" w:rsidRDefault="009E2627">
            <w:pPr>
              <w:widowControl/>
              <w:wordWrap/>
              <w:autoSpaceDE/>
              <w:autoSpaceDN/>
              <w:jc w:val="center"/>
              <w:rPr>
                <w:rFonts w:ascii="Times New Roman" w:eastAsia="Times New Roman" w:hAnsi="Times New Roman" w:cs="Times New Roman"/>
                <w:b/>
                <w:bCs/>
                <w:kern w:val="0"/>
                <w:sz w:val="24"/>
                <w:szCs w:val="24"/>
                <w:lang w:val="en-MY" w:eastAsia="zh-CN"/>
              </w:rPr>
            </w:pPr>
            <w:r>
              <w:rPr>
                <w:rFonts w:ascii="Times New Roman" w:eastAsia="Times New Roman" w:hAnsi="Times New Roman" w:cs="Times New Roman"/>
                <w:b/>
                <w:bCs/>
                <w:color w:val="000000"/>
                <w:kern w:val="0"/>
                <w:sz w:val="24"/>
                <w:szCs w:val="24"/>
                <w:lang w:eastAsia="zh-CN"/>
              </w:rPr>
              <w:t>2.36</w:t>
            </w:r>
          </w:p>
        </w:tc>
        <w:tc>
          <w:tcPr>
            <w:tcW w:w="621" w:type="pct"/>
            <w:shd w:val="clear" w:color="auto" w:fill="auto"/>
            <w:noWrap/>
            <w:vAlign w:val="bottom"/>
          </w:tcPr>
          <w:p w14:paraId="2C57850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-4.29</w:t>
            </w:r>
          </w:p>
        </w:tc>
        <w:tc>
          <w:tcPr>
            <w:tcW w:w="532" w:type="pct"/>
            <w:shd w:val="clear" w:color="auto" w:fill="auto"/>
            <w:noWrap/>
            <w:vAlign w:val="bottom"/>
          </w:tcPr>
          <w:p w14:paraId="349747A4"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0.00</w:t>
            </w:r>
          </w:p>
        </w:tc>
        <w:tc>
          <w:tcPr>
            <w:tcW w:w="575" w:type="pct"/>
            <w:shd w:val="clear" w:color="auto" w:fill="auto"/>
            <w:noWrap/>
            <w:vAlign w:val="bottom"/>
          </w:tcPr>
          <w:p w14:paraId="2AA44036" w14:textId="77777777" w:rsidR="004A5F13" w:rsidRDefault="009E2627">
            <w:pPr>
              <w:widowControl/>
              <w:wordWrap/>
              <w:autoSpaceDE/>
              <w:autoSpaceDN/>
              <w:jc w:val="center"/>
              <w:rPr>
                <w:rFonts w:ascii="Times New Roman" w:eastAsia="Times New Roman" w:hAnsi="Times New Roman" w:cs="Times New Roman"/>
                <w:kern w:val="0"/>
                <w:sz w:val="24"/>
                <w:szCs w:val="24"/>
                <w:lang w:val="en-MY" w:eastAsia="zh-CN"/>
              </w:rPr>
            </w:pPr>
            <w:r>
              <w:rPr>
                <w:rFonts w:ascii="Times New Roman" w:eastAsia="Times New Roman" w:hAnsi="Times New Roman" w:cs="Times New Roman"/>
                <w:color w:val="000000"/>
                <w:kern w:val="0"/>
                <w:sz w:val="24"/>
                <w:szCs w:val="24"/>
                <w:lang w:eastAsia="zh-CN"/>
              </w:rPr>
              <w:t>0.01</w:t>
            </w:r>
          </w:p>
        </w:tc>
      </w:tr>
      <w:tr w:rsidR="004A5F13" w14:paraId="21528AB9" w14:textId="77777777">
        <w:trPr>
          <w:trHeight w:val="288"/>
        </w:trPr>
        <w:tc>
          <w:tcPr>
            <w:tcW w:w="1543" w:type="pct"/>
            <w:gridSpan w:val="2"/>
            <w:shd w:val="clear" w:color="auto" w:fill="auto"/>
            <w:noWrap/>
            <w:vAlign w:val="bottom"/>
          </w:tcPr>
          <w:p w14:paraId="09DBDC85"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Kota Bharu</w:t>
            </w:r>
          </w:p>
        </w:tc>
        <w:tc>
          <w:tcPr>
            <w:tcW w:w="602" w:type="pct"/>
            <w:shd w:val="clear" w:color="auto" w:fill="auto"/>
            <w:noWrap/>
            <w:vAlign w:val="bottom"/>
          </w:tcPr>
          <w:p w14:paraId="52A782DA"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0.48</w:t>
            </w:r>
          </w:p>
        </w:tc>
        <w:tc>
          <w:tcPr>
            <w:tcW w:w="551" w:type="pct"/>
            <w:shd w:val="clear" w:color="auto" w:fill="F4B083" w:themeFill="accent2" w:themeFillTint="99"/>
            <w:noWrap/>
            <w:vAlign w:val="bottom"/>
          </w:tcPr>
          <w:p w14:paraId="7F53C94C"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3.44</w:t>
            </w:r>
          </w:p>
        </w:tc>
        <w:tc>
          <w:tcPr>
            <w:tcW w:w="576" w:type="pct"/>
            <w:shd w:val="clear" w:color="auto" w:fill="F4B083" w:themeFill="accent2" w:themeFillTint="99"/>
            <w:noWrap/>
            <w:vAlign w:val="bottom"/>
          </w:tcPr>
          <w:p w14:paraId="4C5E5C39"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5.93</w:t>
            </w:r>
          </w:p>
        </w:tc>
        <w:tc>
          <w:tcPr>
            <w:tcW w:w="621" w:type="pct"/>
            <w:shd w:val="clear" w:color="auto" w:fill="auto"/>
            <w:noWrap/>
            <w:vAlign w:val="bottom"/>
          </w:tcPr>
          <w:p w14:paraId="5B04DB09"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3.38</w:t>
            </w:r>
          </w:p>
        </w:tc>
        <w:tc>
          <w:tcPr>
            <w:tcW w:w="532" w:type="pct"/>
            <w:shd w:val="clear" w:color="auto" w:fill="auto"/>
            <w:noWrap/>
            <w:vAlign w:val="bottom"/>
          </w:tcPr>
          <w:p w14:paraId="6453CA6C"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0.01</w:t>
            </w:r>
          </w:p>
        </w:tc>
        <w:tc>
          <w:tcPr>
            <w:tcW w:w="575" w:type="pct"/>
            <w:shd w:val="clear" w:color="auto" w:fill="auto"/>
            <w:noWrap/>
            <w:vAlign w:val="bottom"/>
          </w:tcPr>
          <w:p w14:paraId="7D898F7C"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0.03</w:t>
            </w:r>
          </w:p>
        </w:tc>
      </w:tr>
      <w:tr w:rsidR="004A5F13" w14:paraId="58EE99D0" w14:textId="77777777">
        <w:trPr>
          <w:trHeight w:val="288"/>
        </w:trPr>
        <w:tc>
          <w:tcPr>
            <w:tcW w:w="1543" w:type="pct"/>
            <w:gridSpan w:val="2"/>
            <w:tcBorders>
              <w:bottom w:val="single" w:sz="4" w:space="0" w:color="auto"/>
            </w:tcBorders>
            <w:shd w:val="clear" w:color="auto" w:fill="auto"/>
            <w:noWrap/>
            <w:vAlign w:val="bottom"/>
          </w:tcPr>
          <w:p w14:paraId="76A0ACA7" w14:textId="77777777" w:rsidR="004A5F13" w:rsidRDefault="009E2627">
            <w:pPr>
              <w:widowControl/>
              <w:wordWrap/>
              <w:autoSpaceDE/>
              <w:autoSpaceDN/>
              <w:jc w:val="left"/>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Kuala Krai</w:t>
            </w:r>
          </w:p>
        </w:tc>
        <w:tc>
          <w:tcPr>
            <w:tcW w:w="602" w:type="pct"/>
            <w:tcBorders>
              <w:bottom w:val="single" w:sz="4" w:space="0" w:color="auto"/>
            </w:tcBorders>
            <w:shd w:val="clear" w:color="auto" w:fill="F4B083" w:themeFill="accent2" w:themeFillTint="99"/>
            <w:noWrap/>
            <w:vAlign w:val="bottom"/>
          </w:tcPr>
          <w:p w14:paraId="0D0C6D85"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2.22</w:t>
            </w:r>
          </w:p>
        </w:tc>
        <w:tc>
          <w:tcPr>
            <w:tcW w:w="551" w:type="pct"/>
            <w:tcBorders>
              <w:bottom w:val="single" w:sz="4" w:space="0" w:color="auto"/>
            </w:tcBorders>
            <w:shd w:val="clear" w:color="auto" w:fill="F4B083" w:themeFill="accent2" w:themeFillTint="99"/>
            <w:noWrap/>
            <w:vAlign w:val="bottom"/>
          </w:tcPr>
          <w:p w14:paraId="30D23BB1"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2.81</w:t>
            </w:r>
          </w:p>
        </w:tc>
        <w:tc>
          <w:tcPr>
            <w:tcW w:w="576" w:type="pct"/>
            <w:tcBorders>
              <w:bottom w:val="single" w:sz="4" w:space="0" w:color="auto"/>
            </w:tcBorders>
            <w:shd w:val="clear" w:color="auto" w:fill="F4B083" w:themeFill="accent2" w:themeFillTint="99"/>
            <w:noWrap/>
            <w:vAlign w:val="bottom"/>
          </w:tcPr>
          <w:p w14:paraId="0C48CDDF"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4.71</w:t>
            </w:r>
          </w:p>
        </w:tc>
        <w:tc>
          <w:tcPr>
            <w:tcW w:w="621" w:type="pct"/>
            <w:tcBorders>
              <w:bottom w:val="single" w:sz="4" w:space="0" w:color="auto"/>
            </w:tcBorders>
            <w:shd w:val="clear" w:color="auto" w:fill="auto"/>
            <w:noWrap/>
            <w:vAlign w:val="bottom"/>
          </w:tcPr>
          <w:p w14:paraId="600E8BF2"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22.12</w:t>
            </w:r>
          </w:p>
        </w:tc>
        <w:tc>
          <w:tcPr>
            <w:tcW w:w="532" w:type="pct"/>
            <w:tcBorders>
              <w:bottom w:val="single" w:sz="4" w:space="0" w:color="auto"/>
            </w:tcBorders>
            <w:shd w:val="clear" w:color="auto" w:fill="auto"/>
            <w:noWrap/>
            <w:vAlign w:val="bottom"/>
          </w:tcPr>
          <w:p w14:paraId="291BBC00"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0.02</w:t>
            </w:r>
          </w:p>
        </w:tc>
        <w:tc>
          <w:tcPr>
            <w:tcW w:w="575" w:type="pct"/>
            <w:tcBorders>
              <w:bottom w:val="single" w:sz="4" w:space="0" w:color="auto"/>
            </w:tcBorders>
            <w:shd w:val="clear" w:color="auto" w:fill="auto"/>
            <w:noWrap/>
            <w:vAlign w:val="bottom"/>
          </w:tcPr>
          <w:p w14:paraId="280813DC"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0.03</w:t>
            </w:r>
          </w:p>
        </w:tc>
      </w:tr>
      <w:tr w:rsidR="004A5F13" w14:paraId="2DCACBAB" w14:textId="77777777">
        <w:trPr>
          <w:trHeight w:val="288"/>
        </w:trPr>
        <w:tc>
          <w:tcPr>
            <w:tcW w:w="646" w:type="pct"/>
            <w:tcBorders>
              <w:top w:val="single" w:sz="4" w:space="0" w:color="auto"/>
            </w:tcBorders>
            <w:shd w:val="clear" w:color="auto" w:fill="F4B083" w:themeFill="accent2" w:themeFillTint="99"/>
            <w:noWrap/>
            <w:vAlign w:val="bottom"/>
          </w:tcPr>
          <w:p w14:paraId="548FB7EC" w14:textId="77777777" w:rsidR="004A5F13" w:rsidRDefault="004A5F13">
            <w:pPr>
              <w:widowControl/>
              <w:wordWrap/>
              <w:autoSpaceDE/>
              <w:autoSpaceDN/>
              <w:jc w:val="left"/>
              <w:rPr>
                <w:rFonts w:ascii="Times New Roman" w:eastAsia="Times New Roman" w:hAnsi="Times New Roman" w:cs="Times New Roman"/>
                <w:color w:val="000000"/>
                <w:kern w:val="0"/>
                <w:sz w:val="24"/>
                <w:szCs w:val="24"/>
                <w:lang w:eastAsia="zh-CN"/>
              </w:rPr>
            </w:pPr>
          </w:p>
        </w:tc>
        <w:tc>
          <w:tcPr>
            <w:tcW w:w="4354" w:type="pct"/>
            <w:gridSpan w:val="7"/>
            <w:tcBorders>
              <w:top w:val="single" w:sz="4" w:space="0" w:color="auto"/>
            </w:tcBorders>
            <w:shd w:val="clear" w:color="auto" w:fill="auto"/>
            <w:noWrap/>
            <w:vAlign w:val="bottom"/>
          </w:tcPr>
          <w:p w14:paraId="288FC023"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eastAsia="zh-CN"/>
              </w:rPr>
            </w:pPr>
            <w:r>
              <w:rPr>
                <w:rFonts w:ascii="Times New Roman" w:eastAsia="Times New Roman" w:hAnsi="Times New Roman" w:cs="Times New Roman"/>
                <w:color w:val="000000"/>
                <w:kern w:val="0"/>
                <w:sz w:val="24"/>
                <w:szCs w:val="24"/>
                <w:lang w:eastAsia="zh-CN"/>
              </w:rPr>
              <w:t>Represents trend at α = 0.05 level of significance</w:t>
            </w:r>
          </w:p>
        </w:tc>
      </w:tr>
    </w:tbl>
    <w:p w14:paraId="57F42780" w14:textId="77777777" w:rsidR="004A5F13" w:rsidRDefault="004A5F13">
      <w:pPr>
        <w:widowControl/>
        <w:wordWrap/>
        <w:autoSpaceDE/>
        <w:autoSpaceDN/>
        <w:spacing w:after="160" w:line="259" w:lineRule="auto"/>
        <w:jc w:val="left"/>
      </w:pPr>
    </w:p>
    <w:p w14:paraId="4C9C452C" w14:textId="77777777" w:rsidR="004A5F13" w:rsidRDefault="009E2627">
      <w:pPr>
        <w:pStyle w:val="Caption"/>
        <w:keepNext/>
      </w:pPr>
      <w:r>
        <w:t xml:space="preserve">Table 4 </w:t>
      </w:r>
      <w:r>
        <w:rPr>
          <w:i/>
          <w:iCs w:val="0"/>
        </w:rPr>
        <w:t>r</w:t>
      </w:r>
      <w:r>
        <w:t xml:space="preserve"> of annual RF and land use change for each station in the KRB.</w:t>
      </w:r>
    </w:p>
    <w:tbl>
      <w:tblPr>
        <w:tblW w:w="0" w:type="auto"/>
        <w:jc w:val="center"/>
        <w:tblLook w:val="04A0" w:firstRow="1" w:lastRow="0" w:firstColumn="1" w:lastColumn="0" w:noHBand="0" w:noVBand="1"/>
      </w:tblPr>
      <w:tblGrid>
        <w:gridCol w:w="2937"/>
        <w:gridCol w:w="1266"/>
        <w:gridCol w:w="913"/>
        <w:gridCol w:w="932"/>
      </w:tblGrid>
      <w:tr w:rsidR="004A5F13" w14:paraId="4ADF9448" w14:textId="77777777">
        <w:trPr>
          <w:trHeight w:val="288"/>
          <w:jc w:val="center"/>
        </w:trPr>
        <w:tc>
          <w:tcPr>
            <w:tcW w:w="0" w:type="auto"/>
            <w:tcBorders>
              <w:top w:val="single" w:sz="4" w:space="0" w:color="auto"/>
              <w:bottom w:val="single" w:sz="4" w:space="0" w:color="auto"/>
            </w:tcBorders>
            <w:shd w:val="clear" w:color="auto" w:fill="auto"/>
            <w:noWrap/>
            <w:vAlign w:val="bottom"/>
          </w:tcPr>
          <w:p w14:paraId="22168380" w14:textId="77777777" w:rsidR="004A5F13" w:rsidRDefault="009E2627">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Station</w:t>
            </w:r>
          </w:p>
        </w:tc>
        <w:tc>
          <w:tcPr>
            <w:tcW w:w="0" w:type="auto"/>
            <w:tcBorders>
              <w:top w:val="single" w:sz="4" w:space="0" w:color="auto"/>
              <w:bottom w:val="single" w:sz="4" w:space="0" w:color="auto"/>
            </w:tcBorders>
            <w:shd w:val="clear" w:color="auto" w:fill="auto"/>
            <w:noWrap/>
            <w:vAlign w:val="bottom"/>
          </w:tcPr>
          <w:p w14:paraId="54BF8929"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Cropland</w:t>
            </w:r>
          </w:p>
        </w:tc>
        <w:tc>
          <w:tcPr>
            <w:tcW w:w="0" w:type="auto"/>
            <w:tcBorders>
              <w:top w:val="single" w:sz="4" w:space="0" w:color="auto"/>
              <w:bottom w:val="single" w:sz="4" w:space="0" w:color="auto"/>
            </w:tcBorders>
            <w:shd w:val="clear" w:color="auto" w:fill="auto"/>
            <w:noWrap/>
            <w:vAlign w:val="bottom"/>
          </w:tcPr>
          <w:p w14:paraId="52FDC48F"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Forest</w:t>
            </w:r>
          </w:p>
        </w:tc>
        <w:tc>
          <w:tcPr>
            <w:tcW w:w="0" w:type="auto"/>
            <w:tcBorders>
              <w:top w:val="single" w:sz="4" w:space="0" w:color="auto"/>
              <w:bottom w:val="single" w:sz="4" w:space="0" w:color="auto"/>
            </w:tcBorders>
            <w:shd w:val="clear" w:color="auto" w:fill="auto"/>
            <w:noWrap/>
            <w:vAlign w:val="bottom"/>
          </w:tcPr>
          <w:p w14:paraId="6C6A738B"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Urban</w:t>
            </w:r>
          </w:p>
        </w:tc>
      </w:tr>
      <w:tr w:rsidR="004A5F13" w14:paraId="086181EB" w14:textId="77777777">
        <w:trPr>
          <w:trHeight w:val="288"/>
          <w:jc w:val="center"/>
        </w:trPr>
        <w:tc>
          <w:tcPr>
            <w:tcW w:w="0" w:type="auto"/>
            <w:tcBorders>
              <w:top w:val="single" w:sz="4" w:space="0" w:color="auto"/>
            </w:tcBorders>
            <w:shd w:val="clear" w:color="auto" w:fill="auto"/>
            <w:noWrap/>
            <w:vAlign w:val="bottom"/>
          </w:tcPr>
          <w:p w14:paraId="7E486080"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 Brooke</w:t>
            </w:r>
          </w:p>
        </w:tc>
        <w:tc>
          <w:tcPr>
            <w:tcW w:w="0" w:type="auto"/>
            <w:tcBorders>
              <w:top w:val="single" w:sz="4" w:space="0" w:color="auto"/>
            </w:tcBorders>
            <w:shd w:val="clear" w:color="auto" w:fill="auto"/>
            <w:noWrap/>
            <w:vAlign w:val="bottom"/>
          </w:tcPr>
          <w:p w14:paraId="39AB003E"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0" w:type="auto"/>
            <w:tcBorders>
              <w:top w:val="single" w:sz="4" w:space="0" w:color="auto"/>
            </w:tcBorders>
            <w:shd w:val="clear" w:color="auto" w:fill="auto"/>
            <w:noWrap/>
            <w:vAlign w:val="bottom"/>
          </w:tcPr>
          <w:p w14:paraId="70351A2B"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0" w:type="auto"/>
            <w:tcBorders>
              <w:top w:val="single" w:sz="4" w:space="0" w:color="auto"/>
            </w:tcBorders>
            <w:shd w:val="clear" w:color="auto" w:fill="auto"/>
            <w:noWrap/>
            <w:vAlign w:val="bottom"/>
          </w:tcPr>
          <w:p w14:paraId="4039E70C"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-0.79</w:t>
            </w:r>
          </w:p>
        </w:tc>
      </w:tr>
      <w:tr w:rsidR="004A5F13" w14:paraId="387D844E" w14:textId="77777777">
        <w:trPr>
          <w:trHeight w:val="288"/>
          <w:jc w:val="center"/>
        </w:trPr>
        <w:tc>
          <w:tcPr>
            <w:tcW w:w="0" w:type="auto"/>
            <w:shd w:val="clear" w:color="auto" w:fill="auto"/>
            <w:noWrap/>
            <w:vAlign w:val="bottom"/>
          </w:tcPr>
          <w:p w14:paraId="1FC1BD95"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Blau</w:t>
            </w:r>
            <w:proofErr w:type="spellEnd"/>
          </w:p>
        </w:tc>
        <w:tc>
          <w:tcPr>
            <w:tcW w:w="0" w:type="auto"/>
            <w:shd w:val="clear" w:color="auto" w:fill="auto"/>
            <w:noWrap/>
            <w:vAlign w:val="bottom"/>
          </w:tcPr>
          <w:p w14:paraId="6692D338"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0" w:type="auto"/>
            <w:shd w:val="clear" w:color="auto" w:fill="auto"/>
            <w:noWrap/>
            <w:vAlign w:val="bottom"/>
          </w:tcPr>
          <w:p w14:paraId="29BE003C"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0" w:type="auto"/>
            <w:shd w:val="clear" w:color="auto" w:fill="auto"/>
            <w:noWrap/>
            <w:vAlign w:val="bottom"/>
          </w:tcPr>
          <w:p w14:paraId="791BBF0E"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r>
      <w:tr w:rsidR="004A5F13" w14:paraId="651A033D" w14:textId="77777777">
        <w:trPr>
          <w:trHeight w:val="288"/>
          <w:jc w:val="center"/>
        </w:trPr>
        <w:tc>
          <w:tcPr>
            <w:tcW w:w="0" w:type="auto"/>
            <w:shd w:val="clear" w:color="auto" w:fill="auto"/>
            <w:noWrap/>
            <w:vAlign w:val="bottom"/>
          </w:tcPr>
          <w:p w14:paraId="424986DE"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RPS Kuala Betis</w:t>
            </w:r>
          </w:p>
        </w:tc>
        <w:tc>
          <w:tcPr>
            <w:tcW w:w="0" w:type="auto"/>
            <w:shd w:val="clear" w:color="auto" w:fill="auto"/>
            <w:noWrap/>
            <w:vAlign w:val="bottom"/>
          </w:tcPr>
          <w:p w14:paraId="19C7C705"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0" w:type="auto"/>
            <w:shd w:val="clear" w:color="auto" w:fill="auto"/>
            <w:noWrap/>
            <w:vAlign w:val="bottom"/>
          </w:tcPr>
          <w:p w14:paraId="202AD286"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0" w:type="auto"/>
            <w:shd w:val="clear" w:color="auto" w:fill="auto"/>
            <w:noWrap/>
            <w:vAlign w:val="bottom"/>
          </w:tcPr>
          <w:p w14:paraId="25DB3200"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-0.49</w:t>
            </w:r>
          </w:p>
        </w:tc>
      </w:tr>
      <w:tr w:rsidR="004A5F13" w14:paraId="01334FCD" w14:textId="77777777">
        <w:trPr>
          <w:trHeight w:val="288"/>
          <w:jc w:val="center"/>
        </w:trPr>
        <w:tc>
          <w:tcPr>
            <w:tcW w:w="0" w:type="auto"/>
            <w:shd w:val="clear" w:color="auto" w:fill="auto"/>
            <w:noWrap/>
            <w:vAlign w:val="bottom"/>
          </w:tcPr>
          <w:p w14:paraId="31FB21D0"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Hau</w:t>
            </w:r>
            <w:proofErr w:type="spellEnd"/>
          </w:p>
        </w:tc>
        <w:tc>
          <w:tcPr>
            <w:tcW w:w="0" w:type="auto"/>
            <w:shd w:val="clear" w:color="auto" w:fill="auto"/>
            <w:noWrap/>
            <w:vAlign w:val="bottom"/>
          </w:tcPr>
          <w:p w14:paraId="0A4CFC90"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0" w:type="auto"/>
            <w:shd w:val="clear" w:color="auto" w:fill="auto"/>
            <w:noWrap/>
            <w:vAlign w:val="bottom"/>
          </w:tcPr>
          <w:p w14:paraId="4681C52D"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0" w:type="auto"/>
            <w:shd w:val="clear" w:color="auto" w:fill="auto"/>
            <w:noWrap/>
            <w:vAlign w:val="bottom"/>
          </w:tcPr>
          <w:p w14:paraId="7B763745"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r>
      <w:tr w:rsidR="004A5F13" w14:paraId="717B57F6" w14:textId="77777777">
        <w:trPr>
          <w:trHeight w:val="288"/>
          <w:jc w:val="center"/>
        </w:trPr>
        <w:tc>
          <w:tcPr>
            <w:tcW w:w="0" w:type="auto"/>
            <w:shd w:val="clear" w:color="auto" w:fill="auto"/>
            <w:noWrap/>
            <w:vAlign w:val="bottom"/>
          </w:tcPr>
          <w:p w14:paraId="28891728"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Lebir</w:t>
            </w:r>
            <w:proofErr w:type="spellEnd"/>
          </w:p>
        </w:tc>
        <w:tc>
          <w:tcPr>
            <w:tcW w:w="0" w:type="auto"/>
            <w:shd w:val="clear" w:color="auto" w:fill="auto"/>
            <w:noWrap/>
            <w:vAlign w:val="bottom"/>
          </w:tcPr>
          <w:p w14:paraId="2E4A2F67"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0" w:type="auto"/>
            <w:shd w:val="clear" w:color="auto" w:fill="auto"/>
            <w:noWrap/>
            <w:vAlign w:val="bottom"/>
          </w:tcPr>
          <w:p w14:paraId="6F094789"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0" w:type="auto"/>
            <w:shd w:val="clear" w:color="auto" w:fill="auto"/>
            <w:noWrap/>
            <w:vAlign w:val="bottom"/>
          </w:tcPr>
          <w:p w14:paraId="520A5568"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4A5F13" w14:paraId="5DF7B8C6" w14:textId="77777777">
        <w:trPr>
          <w:trHeight w:val="288"/>
          <w:jc w:val="center"/>
        </w:trPr>
        <w:tc>
          <w:tcPr>
            <w:tcW w:w="0" w:type="auto"/>
            <w:shd w:val="clear" w:color="auto" w:fill="auto"/>
            <w:noWrap/>
            <w:vAlign w:val="bottom"/>
          </w:tcPr>
          <w:p w14:paraId="23EA68C3"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Belatim</w:t>
            </w:r>
            <w:proofErr w:type="spellEnd"/>
          </w:p>
        </w:tc>
        <w:tc>
          <w:tcPr>
            <w:tcW w:w="0" w:type="auto"/>
            <w:shd w:val="clear" w:color="auto" w:fill="auto"/>
            <w:noWrap/>
            <w:vAlign w:val="bottom"/>
          </w:tcPr>
          <w:p w14:paraId="72C1C5FF"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0" w:type="auto"/>
            <w:shd w:val="clear" w:color="auto" w:fill="auto"/>
            <w:noWrap/>
            <w:vAlign w:val="bottom"/>
          </w:tcPr>
          <w:p w14:paraId="0ED5BA94"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w:t>
            </w:r>
          </w:p>
        </w:tc>
        <w:tc>
          <w:tcPr>
            <w:tcW w:w="0" w:type="auto"/>
            <w:shd w:val="clear" w:color="auto" w:fill="auto"/>
            <w:noWrap/>
            <w:vAlign w:val="bottom"/>
          </w:tcPr>
          <w:p w14:paraId="38638BD2"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r>
      <w:tr w:rsidR="004A5F13" w14:paraId="74F7DBF6" w14:textId="77777777">
        <w:trPr>
          <w:trHeight w:val="288"/>
          <w:jc w:val="center"/>
        </w:trPr>
        <w:tc>
          <w:tcPr>
            <w:tcW w:w="0" w:type="auto"/>
            <w:shd w:val="clear" w:color="auto" w:fill="auto"/>
            <w:noWrap/>
            <w:vAlign w:val="bottom"/>
          </w:tcPr>
          <w:p w14:paraId="03787AB2"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Bihai</w:t>
            </w:r>
            <w:proofErr w:type="spellEnd"/>
          </w:p>
        </w:tc>
        <w:tc>
          <w:tcPr>
            <w:tcW w:w="0" w:type="auto"/>
            <w:shd w:val="clear" w:color="auto" w:fill="auto"/>
            <w:noWrap/>
            <w:vAlign w:val="bottom"/>
          </w:tcPr>
          <w:p w14:paraId="4007AE52"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0" w:type="auto"/>
            <w:shd w:val="clear" w:color="auto" w:fill="auto"/>
            <w:noWrap/>
            <w:vAlign w:val="bottom"/>
          </w:tcPr>
          <w:p w14:paraId="01B7475A"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tc>
        <w:tc>
          <w:tcPr>
            <w:tcW w:w="0" w:type="auto"/>
            <w:shd w:val="clear" w:color="auto" w:fill="auto"/>
            <w:noWrap/>
            <w:vAlign w:val="bottom"/>
          </w:tcPr>
          <w:p w14:paraId="6F38E6B7"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r>
      <w:tr w:rsidR="004A5F13" w14:paraId="1760FBDD" w14:textId="77777777">
        <w:trPr>
          <w:trHeight w:val="288"/>
          <w:jc w:val="center"/>
        </w:trPr>
        <w:tc>
          <w:tcPr>
            <w:tcW w:w="0" w:type="auto"/>
            <w:shd w:val="clear" w:color="auto" w:fill="auto"/>
            <w:noWrap/>
            <w:vAlign w:val="bottom"/>
          </w:tcPr>
          <w:p w14:paraId="63BE6945"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Tehoi</w:t>
            </w:r>
            <w:proofErr w:type="spellEnd"/>
          </w:p>
        </w:tc>
        <w:tc>
          <w:tcPr>
            <w:tcW w:w="0" w:type="auto"/>
            <w:shd w:val="clear" w:color="auto" w:fill="auto"/>
            <w:noWrap/>
            <w:vAlign w:val="bottom"/>
          </w:tcPr>
          <w:p w14:paraId="1AD9747B"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w:t>
            </w:r>
          </w:p>
        </w:tc>
        <w:tc>
          <w:tcPr>
            <w:tcW w:w="0" w:type="auto"/>
            <w:shd w:val="clear" w:color="auto" w:fill="auto"/>
            <w:noWrap/>
            <w:vAlign w:val="bottom"/>
          </w:tcPr>
          <w:p w14:paraId="23564231"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w:t>
            </w:r>
          </w:p>
        </w:tc>
        <w:tc>
          <w:tcPr>
            <w:tcW w:w="0" w:type="auto"/>
            <w:shd w:val="clear" w:color="auto" w:fill="auto"/>
            <w:noWrap/>
            <w:vAlign w:val="bottom"/>
          </w:tcPr>
          <w:p w14:paraId="3F360B6C"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-0.78</w:t>
            </w:r>
          </w:p>
        </w:tc>
      </w:tr>
      <w:tr w:rsidR="004A5F13" w14:paraId="5778B39E" w14:textId="77777777">
        <w:trPr>
          <w:trHeight w:val="288"/>
          <w:jc w:val="center"/>
        </w:trPr>
        <w:tc>
          <w:tcPr>
            <w:tcW w:w="0" w:type="auto"/>
            <w:shd w:val="clear" w:color="auto" w:fill="auto"/>
            <w:noWrap/>
            <w:vAlign w:val="bottom"/>
          </w:tcPr>
          <w:p w14:paraId="7EAB07A7"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 </w:t>
            </w:r>
            <w:proofErr w:type="spellStart"/>
            <w:r>
              <w:rPr>
                <w:rFonts w:ascii="Times New Roman" w:eastAsia="Times New Roman" w:hAnsi="Times New Roman" w:cs="Times New Roman"/>
                <w:color w:val="000000"/>
                <w:sz w:val="24"/>
                <w:szCs w:val="24"/>
              </w:rPr>
              <w:t>Wias</w:t>
            </w:r>
            <w:proofErr w:type="spellEnd"/>
          </w:p>
        </w:tc>
        <w:tc>
          <w:tcPr>
            <w:tcW w:w="0" w:type="auto"/>
            <w:shd w:val="clear" w:color="auto" w:fill="auto"/>
            <w:noWrap/>
            <w:vAlign w:val="bottom"/>
          </w:tcPr>
          <w:p w14:paraId="02517E9E"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0.46</w:t>
            </w:r>
          </w:p>
        </w:tc>
        <w:tc>
          <w:tcPr>
            <w:tcW w:w="0" w:type="auto"/>
            <w:shd w:val="clear" w:color="auto" w:fill="auto"/>
            <w:noWrap/>
            <w:vAlign w:val="bottom"/>
          </w:tcPr>
          <w:p w14:paraId="0B732B13" w14:textId="77777777" w:rsidR="004A5F13" w:rsidRDefault="009E262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-0.46</w:t>
            </w:r>
          </w:p>
        </w:tc>
        <w:tc>
          <w:tcPr>
            <w:tcW w:w="0" w:type="auto"/>
            <w:shd w:val="clear" w:color="auto" w:fill="auto"/>
            <w:noWrap/>
            <w:vAlign w:val="bottom"/>
          </w:tcPr>
          <w:p w14:paraId="5C4829CE"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r>
      <w:tr w:rsidR="004A5F13" w14:paraId="15E874A1" w14:textId="77777777">
        <w:trPr>
          <w:trHeight w:val="288"/>
          <w:jc w:val="center"/>
        </w:trPr>
        <w:tc>
          <w:tcPr>
            <w:tcW w:w="0" w:type="auto"/>
            <w:shd w:val="clear" w:color="auto" w:fill="auto"/>
            <w:noWrap/>
            <w:vAlign w:val="bottom"/>
          </w:tcPr>
          <w:p w14:paraId="4C8FA59D"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 Gob</w:t>
            </w:r>
          </w:p>
        </w:tc>
        <w:tc>
          <w:tcPr>
            <w:tcW w:w="0" w:type="auto"/>
            <w:shd w:val="clear" w:color="auto" w:fill="auto"/>
            <w:noWrap/>
            <w:vAlign w:val="bottom"/>
          </w:tcPr>
          <w:p w14:paraId="3DD1637C"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0" w:type="auto"/>
            <w:shd w:val="clear" w:color="auto" w:fill="auto"/>
            <w:noWrap/>
            <w:vAlign w:val="bottom"/>
          </w:tcPr>
          <w:p w14:paraId="24E251A8"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0" w:type="auto"/>
            <w:shd w:val="clear" w:color="auto" w:fill="auto"/>
            <w:noWrap/>
            <w:vAlign w:val="bottom"/>
          </w:tcPr>
          <w:p w14:paraId="19636A0F"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r>
      <w:tr w:rsidR="004A5F13" w14:paraId="5FEB34CA" w14:textId="77777777">
        <w:trPr>
          <w:trHeight w:val="288"/>
          <w:jc w:val="center"/>
        </w:trPr>
        <w:tc>
          <w:tcPr>
            <w:tcW w:w="0" w:type="auto"/>
            <w:shd w:val="clear" w:color="auto" w:fill="auto"/>
            <w:noWrap/>
            <w:vAlign w:val="bottom"/>
          </w:tcPr>
          <w:p w14:paraId="11CEFA4A" w14:textId="77777777" w:rsidR="004A5F13" w:rsidRDefault="009E2627">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Pej</w:t>
            </w:r>
            <w:proofErr w:type="spellEnd"/>
            <w:r>
              <w:rPr>
                <w:rFonts w:ascii="Times New Roman" w:eastAsia="Times New Roman" w:hAnsi="Times New Roman" w:cs="Times New Roman"/>
                <w:color w:val="000000"/>
                <w:sz w:val="24"/>
                <w:szCs w:val="24"/>
              </w:rPr>
              <w:t xml:space="preserve">. Hai. </w:t>
            </w:r>
            <w:proofErr w:type="spellStart"/>
            <w:r>
              <w:rPr>
                <w:rFonts w:ascii="Times New Roman" w:eastAsia="Times New Roman" w:hAnsi="Times New Roman" w:cs="Times New Roman"/>
                <w:color w:val="000000"/>
                <w:sz w:val="24"/>
                <w:szCs w:val="24"/>
              </w:rPr>
              <w:t>Jajahan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Machang</w:t>
            </w:r>
            <w:proofErr w:type="spellEnd"/>
          </w:p>
        </w:tc>
        <w:tc>
          <w:tcPr>
            <w:tcW w:w="0" w:type="auto"/>
            <w:shd w:val="clear" w:color="auto" w:fill="auto"/>
            <w:noWrap/>
            <w:vAlign w:val="bottom"/>
          </w:tcPr>
          <w:p w14:paraId="4C64AC65"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0" w:type="auto"/>
            <w:shd w:val="clear" w:color="auto" w:fill="auto"/>
            <w:noWrap/>
            <w:vAlign w:val="bottom"/>
          </w:tcPr>
          <w:p w14:paraId="4D366B6B"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0" w:type="auto"/>
            <w:shd w:val="clear" w:color="auto" w:fill="auto"/>
            <w:noWrap/>
            <w:vAlign w:val="bottom"/>
          </w:tcPr>
          <w:p w14:paraId="3BC3C1B6"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r>
      <w:tr w:rsidR="004A5F13" w14:paraId="3AE2D305" w14:textId="77777777">
        <w:trPr>
          <w:trHeight w:val="288"/>
          <w:jc w:val="center"/>
        </w:trPr>
        <w:tc>
          <w:tcPr>
            <w:tcW w:w="0" w:type="auto"/>
            <w:shd w:val="clear" w:color="auto" w:fill="auto"/>
            <w:noWrap/>
            <w:vAlign w:val="bottom"/>
          </w:tcPr>
          <w:p w14:paraId="5D5502C5"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Pert. </w:t>
            </w:r>
            <w:proofErr w:type="spellStart"/>
            <w:r>
              <w:rPr>
                <w:rFonts w:ascii="Times New Roman" w:eastAsia="Times New Roman" w:hAnsi="Times New Roman" w:cs="Times New Roman"/>
                <w:color w:val="000000"/>
                <w:sz w:val="24"/>
                <w:szCs w:val="24"/>
              </w:rPr>
              <w:t>Batang</w:t>
            </w:r>
            <w:proofErr w:type="spellEnd"/>
            <w:r>
              <w:rPr>
                <w:rFonts w:ascii="Times New Roman" w:eastAsia="Times New Roman" w:hAnsi="Times New Roman" w:cs="Times New Roman"/>
                <w:color w:val="000000"/>
                <w:sz w:val="24"/>
                <w:szCs w:val="24"/>
              </w:rPr>
              <w:t xml:space="preserve"> Merbau</w:t>
            </w:r>
          </w:p>
        </w:tc>
        <w:tc>
          <w:tcPr>
            <w:tcW w:w="0" w:type="auto"/>
            <w:shd w:val="clear" w:color="auto" w:fill="auto"/>
            <w:noWrap/>
            <w:vAlign w:val="bottom"/>
          </w:tcPr>
          <w:p w14:paraId="21583428"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w:t>
            </w:r>
          </w:p>
        </w:tc>
        <w:tc>
          <w:tcPr>
            <w:tcW w:w="0" w:type="auto"/>
            <w:shd w:val="clear" w:color="auto" w:fill="auto"/>
            <w:noWrap/>
            <w:vAlign w:val="bottom"/>
          </w:tcPr>
          <w:p w14:paraId="4FD5AE48"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w:t>
            </w:r>
          </w:p>
        </w:tc>
        <w:tc>
          <w:tcPr>
            <w:tcW w:w="0" w:type="auto"/>
            <w:shd w:val="clear" w:color="auto" w:fill="auto"/>
            <w:noWrap/>
            <w:vAlign w:val="bottom"/>
          </w:tcPr>
          <w:p w14:paraId="538BF27F"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w:t>
            </w:r>
          </w:p>
        </w:tc>
      </w:tr>
      <w:tr w:rsidR="004A5F13" w14:paraId="2296F4A8" w14:textId="77777777">
        <w:trPr>
          <w:trHeight w:val="288"/>
          <w:jc w:val="center"/>
        </w:trPr>
        <w:tc>
          <w:tcPr>
            <w:tcW w:w="0" w:type="auto"/>
            <w:shd w:val="clear" w:color="auto" w:fill="auto"/>
            <w:noWrap/>
            <w:vAlign w:val="bottom"/>
          </w:tcPr>
          <w:p w14:paraId="2AC63B56"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Kota Bharu</w:t>
            </w:r>
          </w:p>
        </w:tc>
        <w:tc>
          <w:tcPr>
            <w:tcW w:w="0" w:type="auto"/>
            <w:shd w:val="clear" w:color="auto" w:fill="auto"/>
            <w:noWrap/>
            <w:vAlign w:val="bottom"/>
          </w:tcPr>
          <w:p w14:paraId="11DF27E3"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0" w:type="auto"/>
            <w:shd w:val="clear" w:color="auto" w:fill="auto"/>
            <w:noWrap/>
            <w:vAlign w:val="bottom"/>
          </w:tcPr>
          <w:p w14:paraId="3909FA8B"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0" w:type="auto"/>
            <w:shd w:val="clear" w:color="auto" w:fill="auto"/>
            <w:noWrap/>
            <w:vAlign w:val="bottom"/>
          </w:tcPr>
          <w:p w14:paraId="4EDD807C"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r>
      <w:tr w:rsidR="004A5F13" w14:paraId="0291F0F5" w14:textId="77777777">
        <w:trPr>
          <w:trHeight w:val="288"/>
          <w:jc w:val="center"/>
        </w:trPr>
        <w:tc>
          <w:tcPr>
            <w:tcW w:w="0" w:type="auto"/>
            <w:tcBorders>
              <w:bottom w:val="single" w:sz="4" w:space="0" w:color="auto"/>
            </w:tcBorders>
            <w:shd w:val="clear" w:color="auto" w:fill="auto"/>
            <w:noWrap/>
            <w:vAlign w:val="bottom"/>
          </w:tcPr>
          <w:p w14:paraId="1434A22E" w14:textId="77777777" w:rsidR="004A5F13" w:rsidRDefault="009E26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Kuala Krai</w:t>
            </w:r>
          </w:p>
        </w:tc>
        <w:tc>
          <w:tcPr>
            <w:tcW w:w="0" w:type="auto"/>
            <w:tcBorders>
              <w:bottom w:val="single" w:sz="4" w:space="0" w:color="auto"/>
            </w:tcBorders>
            <w:shd w:val="clear" w:color="auto" w:fill="auto"/>
            <w:noWrap/>
            <w:vAlign w:val="bottom"/>
          </w:tcPr>
          <w:p w14:paraId="423E8DB0"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0" w:type="auto"/>
            <w:tcBorders>
              <w:bottom w:val="single" w:sz="4" w:space="0" w:color="auto"/>
            </w:tcBorders>
            <w:shd w:val="clear" w:color="auto" w:fill="auto"/>
            <w:noWrap/>
            <w:vAlign w:val="bottom"/>
          </w:tcPr>
          <w:p w14:paraId="74CE5DA5"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0" w:type="auto"/>
            <w:tcBorders>
              <w:bottom w:val="single" w:sz="4" w:space="0" w:color="auto"/>
            </w:tcBorders>
            <w:shd w:val="clear" w:color="auto" w:fill="auto"/>
            <w:noWrap/>
            <w:vAlign w:val="bottom"/>
          </w:tcPr>
          <w:p w14:paraId="2BEB7270" w14:textId="77777777" w:rsidR="004A5F13" w:rsidRDefault="009E262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r>
      <w:tr w:rsidR="004A5F13" w14:paraId="2440D61C" w14:textId="77777777">
        <w:trPr>
          <w:trHeight w:val="288"/>
          <w:jc w:val="center"/>
        </w:trPr>
        <w:tc>
          <w:tcPr>
            <w:tcW w:w="0" w:type="auto"/>
            <w:gridSpan w:val="4"/>
            <w:tcBorders>
              <w:top w:val="single" w:sz="4" w:space="0" w:color="auto"/>
            </w:tcBorders>
            <w:shd w:val="clear" w:color="auto" w:fill="auto"/>
            <w:noWrap/>
            <w:vAlign w:val="bottom"/>
          </w:tcPr>
          <w:p w14:paraId="33D5984F" w14:textId="77777777" w:rsidR="004A5F13" w:rsidRDefault="009E2627">
            <w:pP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Bolded values are of strong correlation relationship</w:t>
            </w:r>
          </w:p>
        </w:tc>
      </w:tr>
    </w:tbl>
    <w:p w14:paraId="6662BE9F" w14:textId="77777777" w:rsidR="004A5F13" w:rsidRDefault="004A5F13">
      <w:pPr>
        <w:widowControl/>
        <w:wordWrap/>
        <w:autoSpaceDE/>
        <w:autoSpaceDN/>
        <w:spacing w:after="160" w:line="259" w:lineRule="auto"/>
        <w:jc w:val="left"/>
      </w:pPr>
    </w:p>
    <w:p w14:paraId="3316E6EA" w14:textId="77777777" w:rsidR="004A5F13" w:rsidRDefault="004A5F13">
      <w:pPr>
        <w:widowControl/>
        <w:wordWrap/>
        <w:autoSpaceDE/>
        <w:autoSpaceDN/>
        <w:spacing w:after="160" w:line="259" w:lineRule="auto"/>
        <w:jc w:val="left"/>
      </w:pPr>
    </w:p>
    <w:p w14:paraId="10A57002" w14:textId="77777777" w:rsidR="004A5F13" w:rsidRDefault="009E2627">
      <w:pPr>
        <w:pStyle w:val="Caption"/>
        <w:keepNext/>
      </w:pPr>
      <w:r>
        <w:t xml:space="preserve">Table 5 </w:t>
      </w:r>
      <w:r>
        <w:rPr>
          <w:i/>
          <w:iCs w:val="0"/>
        </w:rPr>
        <w:t>r</w:t>
      </w:r>
      <w:r>
        <w:t xml:space="preserve"> of annual </w:t>
      </w:r>
      <w:proofErr w:type="spellStart"/>
      <w:r>
        <w:t>Tmax</w:t>
      </w:r>
      <w:proofErr w:type="spellEnd"/>
      <w:r>
        <w:t xml:space="preserve"> and </w:t>
      </w:r>
      <w:proofErr w:type="spellStart"/>
      <w:r>
        <w:t>Tmin</w:t>
      </w:r>
      <w:proofErr w:type="spellEnd"/>
      <w:r>
        <w:t xml:space="preserve"> with land use change for each station in the KRB.</w:t>
      </w:r>
    </w:p>
    <w:tbl>
      <w:tblPr>
        <w:tblW w:w="8899" w:type="dxa"/>
        <w:tblInd w:w="118" w:type="dxa"/>
        <w:tblBorders>
          <w:top w:val="single" w:sz="4" w:space="0" w:color="auto"/>
          <w:bottom w:val="single" w:sz="4" w:space="0" w:color="auto"/>
        </w:tblBorders>
        <w:tblLook w:val="04A0" w:firstRow="1" w:lastRow="0" w:firstColumn="1" w:lastColumn="0" w:noHBand="0" w:noVBand="1"/>
      </w:tblPr>
      <w:tblGrid>
        <w:gridCol w:w="2596"/>
        <w:gridCol w:w="1203"/>
        <w:gridCol w:w="996"/>
        <w:gridCol w:w="996"/>
        <w:gridCol w:w="996"/>
        <w:gridCol w:w="996"/>
        <w:gridCol w:w="1116"/>
      </w:tblGrid>
      <w:tr w:rsidR="004A5F13" w14:paraId="28A75AF1" w14:textId="77777777">
        <w:trPr>
          <w:trHeight w:val="288"/>
        </w:trPr>
        <w:tc>
          <w:tcPr>
            <w:tcW w:w="2596" w:type="dxa"/>
            <w:tcBorders>
              <w:top w:val="single" w:sz="4" w:space="0" w:color="auto"/>
              <w:bottom w:val="nil"/>
            </w:tcBorders>
            <w:shd w:val="clear" w:color="auto" w:fill="auto"/>
            <w:noWrap/>
            <w:vAlign w:val="center"/>
          </w:tcPr>
          <w:p w14:paraId="35C6BDC4" w14:textId="77777777" w:rsidR="004A5F13" w:rsidRDefault="009E2627">
            <w:pPr>
              <w:widowControl/>
              <w:wordWrap/>
              <w:autoSpaceDE/>
              <w:autoSpaceDN/>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Station</w:t>
            </w:r>
          </w:p>
        </w:tc>
        <w:tc>
          <w:tcPr>
            <w:tcW w:w="2199" w:type="dxa"/>
            <w:gridSpan w:val="2"/>
            <w:tcBorders>
              <w:top w:val="single" w:sz="4" w:space="0" w:color="auto"/>
              <w:bottom w:val="nil"/>
            </w:tcBorders>
            <w:shd w:val="clear" w:color="auto" w:fill="auto"/>
            <w:noWrap/>
            <w:vAlign w:val="center"/>
          </w:tcPr>
          <w:p w14:paraId="246AD528"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Cropland</w:t>
            </w:r>
          </w:p>
        </w:tc>
        <w:tc>
          <w:tcPr>
            <w:tcW w:w="1992" w:type="dxa"/>
            <w:gridSpan w:val="2"/>
            <w:tcBorders>
              <w:top w:val="single" w:sz="4" w:space="0" w:color="auto"/>
              <w:bottom w:val="nil"/>
            </w:tcBorders>
            <w:shd w:val="clear" w:color="auto" w:fill="auto"/>
            <w:noWrap/>
            <w:vAlign w:val="center"/>
          </w:tcPr>
          <w:p w14:paraId="318027EA"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Forest</w:t>
            </w:r>
          </w:p>
        </w:tc>
        <w:tc>
          <w:tcPr>
            <w:tcW w:w="2112" w:type="dxa"/>
            <w:gridSpan w:val="2"/>
            <w:tcBorders>
              <w:top w:val="single" w:sz="4" w:space="0" w:color="auto"/>
              <w:bottom w:val="nil"/>
            </w:tcBorders>
            <w:shd w:val="clear" w:color="auto" w:fill="auto"/>
            <w:noWrap/>
            <w:vAlign w:val="center"/>
          </w:tcPr>
          <w:p w14:paraId="1C880152"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Urban</w:t>
            </w:r>
          </w:p>
        </w:tc>
      </w:tr>
      <w:tr w:rsidR="004A5F13" w14:paraId="2C5BFD5F" w14:textId="77777777">
        <w:trPr>
          <w:trHeight w:val="288"/>
        </w:trPr>
        <w:tc>
          <w:tcPr>
            <w:tcW w:w="2596" w:type="dxa"/>
            <w:tcBorders>
              <w:top w:val="nil"/>
              <w:bottom w:val="single" w:sz="4" w:space="0" w:color="auto"/>
            </w:tcBorders>
            <w:shd w:val="clear" w:color="auto" w:fill="auto"/>
            <w:noWrap/>
            <w:vAlign w:val="center"/>
          </w:tcPr>
          <w:p w14:paraId="37589336" w14:textId="77777777" w:rsidR="004A5F13" w:rsidRDefault="009E2627">
            <w:pPr>
              <w:widowControl/>
              <w:wordWrap/>
              <w:autoSpaceDE/>
              <w:autoSpaceDN/>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val="en-MY" w:eastAsia="zh-CN"/>
              </w:rPr>
              <w:t>Variable</w:t>
            </w:r>
          </w:p>
        </w:tc>
        <w:tc>
          <w:tcPr>
            <w:tcW w:w="1203" w:type="dxa"/>
            <w:tcBorders>
              <w:top w:val="nil"/>
              <w:bottom w:val="single" w:sz="4" w:space="0" w:color="auto"/>
            </w:tcBorders>
            <w:shd w:val="clear" w:color="auto" w:fill="auto"/>
            <w:noWrap/>
            <w:vAlign w:val="center"/>
          </w:tcPr>
          <w:p w14:paraId="5C145947"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proofErr w:type="spellStart"/>
            <w:r>
              <w:rPr>
                <w:rFonts w:ascii="Times New Roman" w:eastAsia="Times New Roman" w:hAnsi="Times New Roman" w:cs="Times New Roman"/>
                <w:b/>
                <w:bCs/>
                <w:color w:val="000000"/>
                <w:kern w:val="0"/>
                <w:sz w:val="24"/>
                <w:szCs w:val="24"/>
                <w:lang w:val="en-MY" w:eastAsia="zh-CN"/>
              </w:rPr>
              <w:t>Tmax</w:t>
            </w:r>
            <w:proofErr w:type="spellEnd"/>
          </w:p>
        </w:tc>
        <w:tc>
          <w:tcPr>
            <w:tcW w:w="996" w:type="dxa"/>
            <w:tcBorders>
              <w:top w:val="nil"/>
              <w:bottom w:val="single" w:sz="4" w:space="0" w:color="auto"/>
            </w:tcBorders>
            <w:shd w:val="clear" w:color="auto" w:fill="auto"/>
            <w:noWrap/>
            <w:vAlign w:val="center"/>
          </w:tcPr>
          <w:p w14:paraId="13B1F0C2"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proofErr w:type="spellStart"/>
            <w:r>
              <w:rPr>
                <w:rFonts w:ascii="Times New Roman" w:eastAsia="Times New Roman" w:hAnsi="Times New Roman" w:cs="Times New Roman"/>
                <w:b/>
                <w:bCs/>
                <w:color w:val="000000"/>
                <w:kern w:val="0"/>
                <w:sz w:val="24"/>
                <w:szCs w:val="24"/>
                <w:lang w:val="en-MY" w:eastAsia="zh-CN"/>
              </w:rPr>
              <w:t>Tmin</w:t>
            </w:r>
            <w:proofErr w:type="spellEnd"/>
          </w:p>
        </w:tc>
        <w:tc>
          <w:tcPr>
            <w:tcW w:w="996" w:type="dxa"/>
            <w:tcBorders>
              <w:top w:val="nil"/>
              <w:bottom w:val="single" w:sz="4" w:space="0" w:color="auto"/>
            </w:tcBorders>
            <w:shd w:val="clear" w:color="auto" w:fill="auto"/>
            <w:noWrap/>
            <w:vAlign w:val="center"/>
          </w:tcPr>
          <w:p w14:paraId="2C6DEE89"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proofErr w:type="spellStart"/>
            <w:r>
              <w:rPr>
                <w:rFonts w:ascii="Times New Roman" w:eastAsia="Times New Roman" w:hAnsi="Times New Roman" w:cs="Times New Roman"/>
                <w:b/>
                <w:bCs/>
                <w:color w:val="000000"/>
                <w:kern w:val="0"/>
                <w:sz w:val="24"/>
                <w:szCs w:val="24"/>
                <w:lang w:val="en-MY" w:eastAsia="zh-CN"/>
              </w:rPr>
              <w:t>Tmax</w:t>
            </w:r>
            <w:proofErr w:type="spellEnd"/>
          </w:p>
        </w:tc>
        <w:tc>
          <w:tcPr>
            <w:tcW w:w="996" w:type="dxa"/>
            <w:tcBorders>
              <w:top w:val="nil"/>
              <w:bottom w:val="single" w:sz="4" w:space="0" w:color="auto"/>
            </w:tcBorders>
            <w:shd w:val="clear" w:color="auto" w:fill="auto"/>
            <w:noWrap/>
            <w:vAlign w:val="center"/>
          </w:tcPr>
          <w:p w14:paraId="1064D01E"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proofErr w:type="spellStart"/>
            <w:r>
              <w:rPr>
                <w:rFonts w:ascii="Times New Roman" w:eastAsia="Times New Roman" w:hAnsi="Times New Roman" w:cs="Times New Roman"/>
                <w:b/>
                <w:bCs/>
                <w:color w:val="000000"/>
                <w:kern w:val="0"/>
                <w:sz w:val="24"/>
                <w:szCs w:val="24"/>
                <w:lang w:val="en-MY" w:eastAsia="zh-CN"/>
              </w:rPr>
              <w:t>Tmin</w:t>
            </w:r>
            <w:proofErr w:type="spellEnd"/>
          </w:p>
        </w:tc>
        <w:tc>
          <w:tcPr>
            <w:tcW w:w="996" w:type="dxa"/>
            <w:tcBorders>
              <w:top w:val="nil"/>
              <w:bottom w:val="single" w:sz="4" w:space="0" w:color="auto"/>
            </w:tcBorders>
            <w:shd w:val="clear" w:color="auto" w:fill="auto"/>
            <w:noWrap/>
            <w:vAlign w:val="center"/>
          </w:tcPr>
          <w:p w14:paraId="0690DA48"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proofErr w:type="spellStart"/>
            <w:r>
              <w:rPr>
                <w:rFonts w:ascii="Times New Roman" w:eastAsia="Times New Roman" w:hAnsi="Times New Roman" w:cs="Times New Roman"/>
                <w:b/>
                <w:bCs/>
                <w:color w:val="000000"/>
                <w:kern w:val="0"/>
                <w:sz w:val="24"/>
                <w:szCs w:val="24"/>
                <w:lang w:val="en-MY" w:eastAsia="zh-CN"/>
              </w:rPr>
              <w:t>Tmax</w:t>
            </w:r>
            <w:proofErr w:type="spellEnd"/>
          </w:p>
        </w:tc>
        <w:tc>
          <w:tcPr>
            <w:tcW w:w="1116" w:type="dxa"/>
            <w:tcBorders>
              <w:top w:val="nil"/>
              <w:bottom w:val="single" w:sz="4" w:space="0" w:color="auto"/>
            </w:tcBorders>
            <w:shd w:val="clear" w:color="auto" w:fill="auto"/>
            <w:noWrap/>
            <w:vAlign w:val="center"/>
          </w:tcPr>
          <w:p w14:paraId="7E12A54A"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proofErr w:type="spellStart"/>
            <w:r>
              <w:rPr>
                <w:rFonts w:ascii="Times New Roman" w:eastAsia="Times New Roman" w:hAnsi="Times New Roman" w:cs="Times New Roman"/>
                <w:b/>
                <w:bCs/>
                <w:color w:val="000000"/>
                <w:kern w:val="0"/>
                <w:sz w:val="24"/>
                <w:szCs w:val="24"/>
                <w:lang w:val="en-MY" w:eastAsia="zh-CN"/>
              </w:rPr>
              <w:t>Tmin</w:t>
            </w:r>
            <w:proofErr w:type="spellEnd"/>
          </w:p>
        </w:tc>
      </w:tr>
      <w:tr w:rsidR="004A5F13" w14:paraId="626D34BE" w14:textId="77777777">
        <w:trPr>
          <w:trHeight w:val="288"/>
        </w:trPr>
        <w:tc>
          <w:tcPr>
            <w:tcW w:w="2596" w:type="dxa"/>
            <w:tcBorders>
              <w:top w:val="single" w:sz="4" w:space="0" w:color="auto"/>
            </w:tcBorders>
            <w:shd w:val="clear" w:color="auto" w:fill="auto"/>
            <w:noWrap/>
            <w:vAlign w:val="center"/>
          </w:tcPr>
          <w:p w14:paraId="6013F828" w14:textId="77777777" w:rsidR="004A5F13" w:rsidRDefault="009E2627">
            <w:pPr>
              <w:widowControl/>
              <w:wordWrap/>
              <w:autoSpaceDE/>
              <w:autoSpaceDN/>
              <w:rPr>
                <w:rFonts w:ascii="Times New Roman" w:eastAsia="Times New Roman" w:hAnsi="Times New Roman" w:cs="Times New Roman"/>
                <w:color w:val="000000"/>
                <w:kern w:val="0"/>
                <w:sz w:val="24"/>
                <w:szCs w:val="24"/>
                <w:lang w:val="en-MY" w:eastAsia="zh-CN"/>
              </w:rPr>
            </w:pPr>
            <w:proofErr w:type="spellStart"/>
            <w:r>
              <w:rPr>
                <w:rFonts w:ascii="Times New Roman" w:eastAsia="Times New Roman" w:hAnsi="Times New Roman" w:cs="Times New Roman"/>
                <w:color w:val="000000"/>
                <w:kern w:val="0"/>
                <w:sz w:val="24"/>
                <w:szCs w:val="24"/>
                <w:lang w:eastAsia="zh-CN"/>
              </w:rPr>
              <w:t>Pej</w:t>
            </w:r>
            <w:proofErr w:type="spellEnd"/>
            <w:r>
              <w:rPr>
                <w:rFonts w:ascii="Times New Roman" w:eastAsia="Times New Roman" w:hAnsi="Times New Roman" w:cs="Times New Roman"/>
                <w:color w:val="000000"/>
                <w:kern w:val="0"/>
                <w:sz w:val="24"/>
                <w:szCs w:val="24"/>
                <w:lang w:eastAsia="zh-CN"/>
              </w:rPr>
              <w:t xml:space="preserve">. Hai. </w:t>
            </w:r>
            <w:proofErr w:type="spellStart"/>
            <w:r>
              <w:rPr>
                <w:rFonts w:ascii="Times New Roman" w:eastAsia="Times New Roman" w:hAnsi="Times New Roman" w:cs="Times New Roman"/>
                <w:color w:val="000000"/>
                <w:kern w:val="0"/>
                <w:sz w:val="24"/>
                <w:szCs w:val="24"/>
                <w:lang w:eastAsia="zh-CN"/>
              </w:rPr>
              <w:t>Jajahan</w:t>
            </w:r>
            <w:proofErr w:type="spellEnd"/>
            <w:r>
              <w:rPr>
                <w:rFonts w:ascii="Times New Roman" w:eastAsia="Times New Roman" w:hAnsi="Times New Roman" w:cs="Times New Roman"/>
                <w:color w:val="000000"/>
                <w:kern w:val="0"/>
                <w:sz w:val="24"/>
                <w:szCs w:val="24"/>
                <w:lang w:eastAsia="zh-CN"/>
              </w:rPr>
              <w:t xml:space="preserve"> </w:t>
            </w:r>
            <w:proofErr w:type="spellStart"/>
            <w:r>
              <w:rPr>
                <w:rFonts w:ascii="Times New Roman" w:eastAsia="Times New Roman" w:hAnsi="Times New Roman" w:cs="Times New Roman"/>
                <w:color w:val="000000"/>
                <w:kern w:val="0"/>
                <w:sz w:val="24"/>
                <w:szCs w:val="24"/>
                <w:lang w:eastAsia="zh-CN"/>
              </w:rPr>
              <w:t>Machang</w:t>
            </w:r>
            <w:proofErr w:type="spellEnd"/>
          </w:p>
        </w:tc>
        <w:tc>
          <w:tcPr>
            <w:tcW w:w="1203" w:type="dxa"/>
            <w:tcBorders>
              <w:top w:val="single" w:sz="4" w:space="0" w:color="auto"/>
            </w:tcBorders>
            <w:shd w:val="clear" w:color="auto" w:fill="auto"/>
            <w:noWrap/>
            <w:vAlign w:val="center"/>
          </w:tcPr>
          <w:p w14:paraId="7923FDC7"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-0.38</w:t>
            </w:r>
          </w:p>
        </w:tc>
        <w:tc>
          <w:tcPr>
            <w:tcW w:w="996" w:type="dxa"/>
            <w:tcBorders>
              <w:top w:val="single" w:sz="4" w:space="0" w:color="auto"/>
            </w:tcBorders>
            <w:shd w:val="clear" w:color="auto" w:fill="auto"/>
            <w:noWrap/>
            <w:vAlign w:val="center"/>
          </w:tcPr>
          <w:p w14:paraId="74CBC708"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-0.72</w:t>
            </w:r>
          </w:p>
        </w:tc>
        <w:tc>
          <w:tcPr>
            <w:tcW w:w="996" w:type="dxa"/>
            <w:tcBorders>
              <w:top w:val="single" w:sz="4" w:space="0" w:color="auto"/>
            </w:tcBorders>
            <w:shd w:val="clear" w:color="auto" w:fill="auto"/>
            <w:noWrap/>
            <w:vAlign w:val="center"/>
          </w:tcPr>
          <w:p w14:paraId="489F74F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0.38</w:t>
            </w:r>
          </w:p>
        </w:tc>
        <w:tc>
          <w:tcPr>
            <w:tcW w:w="996" w:type="dxa"/>
            <w:tcBorders>
              <w:top w:val="single" w:sz="4" w:space="0" w:color="auto"/>
            </w:tcBorders>
            <w:shd w:val="clear" w:color="auto" w:fill="auto"/>
            <w:noWrap/>
            <w:vAlign w:val="center"/>
          </w:tcPr>
          <w:p w14:paraId="285719B3"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0.73</w:t>
            </w:r>
          </w:p>
        </w:tc>
        <w:tc>
          <w:tcPr>
            <w:tcW w:w="996" w:type="dxa"/>
            <w:tcBorders>
              <w:top w:val="single" w:sz="4" w:space="0" w:color="auto"/>
            </w:tcBorders>
            <w:shd w:val="clear" w:color="auto" w:fill="auto"/>
            <w:noWrap/>
            <w:vAlign w:val="center"/>
          </w:tcPr>
          <w:p w14:paraId="3081A612"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0.01</w:t>
            </w:r>
          </w:p>
        </w:tc>
        <w:tc>
          <w:tcPr>
            <w:tcW w:w="1116" w:type="dxa"/>
            <w:tcBorders>
              <w:top w:val="single" w:sz="4" w:space="0" w:color="auto"/>
            </w:tcBorders>
            <w:shd w:val="clear" w:color="auto" w:fill="auto"/>
            <w:noWrap/>
            <w:vAlign w:val="center"/>
          </w:tcPr>
          <w:p w14:paraId="78CCC34C"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0.21</w:t>
            </w:r>
          </w:p>
        </w:tc>
      </w:tr>
      <w:tr w:rsidR="004A5F13" w14:paraId="0166E58A" w14:textId="77777777">
        <w:trPr>
          <w:trHeight w:val="288"/>
        </w:trPr>
        <w:tc>
          <w:tcPr>
            <w:tcW w:w="2596" w:type="dxa"/>
            <w:shd w:val="clear" w:color="auto" w:fill="auto"/>
            <w:noWrap/>
            <w:vAlign w:val="center"/>
          </w:tcPr>
          <w:p w14:paraId="128D39DD" w14:textId="77777777" w:rsidR="004A5F13" w:rsidRDefault="009E2627">
            <w:pPr>
              <w:widowControl/>
              <w:wordWrap/>
              <w:autoSpaceDE/>
              <w:autoSpaceDN/>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 xml:space="preserve">P. Pert. </w:t>
            </w:r>
            <w:proofErr w:type="spellStart"/>
            <w:r>
              <w:rPr>
                <w:rFonts w:ascii="Times New Roman" w:eastAsia="Times New Roman" w:hAnsi="Times New Roman" w:cs="Times New Roman"/>
                <w:color w:val="000000"/>
                <w:kern w:val="0"/>
                <w:sz w:val="24"/>
                <w:szCs w:val="24"/>
                <w:lang w:eastAsia="zh-CN"/>
              </w:rPr>
              <w:t>Batang</w:t>
            </w:r>
            <w:proofErr w:type="spellEnd"/>
            <w:r>
              <w:rPr>
                <w:rFonts w:ascii="Times New Roman" w:eastAsia="Times New Roman" w:hAnsi="Times New Roman" w:cs="Times New Roman"/>
                <w:color w:val="000000"/>
                <w:kern w:val="0"/>
                <w:sz w:val="24"/>
                <w:szCs w:val="24"/>
                <w:lang w:eastAsia="zh-CN"/>
              </w:rPr>
              <w:t xml:space="preserve"> Merbau</w:t>
            </w:r>
          </w:p>
        </w:tc>
        <w:tc>
          <w:tcPr>
            <w:tcW w:w="1203" w:type="dxa"/>
            <w:shd w:val="clear" w:color="auto" w:fill="auto"/>
            <w:noWrap/>
            <w:vAlign w:val="center"/>
          </w:tcPr>
          <w:p w14:paraId="4EF188C9"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0.05</w:t>
            </w:r>
          </w:p>
        </w:tc>
        <w:tc>
          <w:tcPr>
            <w:tcW w:w="996" w:type="dxa"/>
            <w:shd w:val="clear" w:color="auto" w:fill="auto"/>
            <w:noWrap/>
            <w:vAlign w:val="center"/>
          </w:tcPr>
          <w:p w14:paraId="23195506"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-0.06</w:t>
            </w:r>
          </w:p>
        </w:tc>
        <w:tc>
          <w:tcPr>
            <w:tcW w:w="996" w:type="dxa"/>
            <w:shd w:val="clear" w:color="auto" w:fill="auto"/>
            <w:noWrap/>
            <w:vAlign w:val="center"/>
          </w:tcPr>
          <w:p w14:paraId="1DDF7E0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-0.04</w:t>
            </w:r>
          </w:p>
        </w:tc>
        <w:tc>
          <w:tcPr>
            <w:tcW w:w="996" w:type="dxa"/>
            <w:shd w:val="clear" w:color="auto" w:fill="auto"/>
            <w:noWrap/>
            <w:vAlign w:val="center"/>
          </w:tcPr>
          <w:p w14:paraId="21F2AAE3"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0.07</w:t>
            </w:r>
          </w:p>
        </w:tc>
        <w:tc>
          <w:tcPr>
            <w:tcW w:w="996" w:type="dxa"/>
            <w:shd w:val="clear" w:color="auto" w:fill="auto"/>
            <w:noWrap/>
            <w:vAlign w:val="center"/>
          </w:tcPr>
          <w:p w14:paraId="75927FDB"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0.14</w:t>
            </w:r>
          </w:p>
        </w:tc>
        <w:tc>
          <w:tcPr>
            <w:tcW w:w="1116" w:type="dxa"/>
            <w:shd w:val="clear" w:color="auto" w:fill="auto"/>
            <w:noWrap/>
            <w:vAlign w:val="center"/>
          </w:tcPr>
          <w:p w14:paraId="103FFA02"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0.36</w:t>
            </w:r>
          </w:p>
        </w:tc>
      </w:tr>
      <w:tr w:rsidR="004A5F13" w14:paraId="43E26BA8" w14:textId="77777777">
        <w:trPr>
          <w:trHeight w:val="50"/>
        </w:trPr>
        <w:tc>
          <w:tcPr>
            <w:tcW w:w="2596" w:type="dxa"/>
            <w:shd w:val="clear" w:color="auto" w:fill="auto"/>
            <w:noWrap/>
            <w:vAlign w:val="center"/>
          </w:tcPr>
          <w:p w14:paraId="63808532" w14:textId="77777777" w:rsidR="004A5F13" w:rsidRDefault="009E2627">
            <w:pPr>
              <w:widowControl/>
              <w:wordWrap/>
              <w:autoSpaceDE/>
              <w:autoSpaceDN/>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Kota Bharu</w:t>
            </w:r>
          </w:p>
        </w:tc>
        <w:tc>
          <w:tcPr>
            <w:tcW w:w="1203" w:type="dxa"/>
            <w:shd w:val="clear" w:color="auto" w:fill="auto"/>
            <w:noWrap/>
            <w:vAlign w:val="center"/>
          </w:tcPr>
          <w:p w14:paraId="5482B37E"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-0.04</w:t>
            </w:r>
          </w:p>
        </w:tc>
        <w:tc>
          <w:tcPr>
            <w:tcW w:w="996" w:type="dxa"/>
            <w:shd w:val="clear" w:color="auto" w:fill="auto"/>
            <w:noWrap/>
            <w:vAlign w:val="center"/>
          </w:tcPr>
          <w:p w14:paraId="352CD665"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-0.37</w:t>
            </w:r>
          </w:p>
        </w:tc>
        <w:tc>
          <w:tcPr>
            <w:tcW w:w="996" w:type="dxa"/>
            <w:shd w:val="clear" w:color="auto" w:fill="auto"/>
            <w:noWrap/>
            <w:vAlign w:val="center"/>
          </w:tcPr>
          <w:p w14:paraId="1429B091"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0.05</w:t>
            </w:r>
          </w:p>
        </w:tc>
        <w:tc>
          <w:tcPr>
            <w:tcW w:w="996" w:type="dxa"/>
            <w:shd w:val="clear" w:color="auto" w:fill="auto"/>
            <w:noWrap/>
            <w:vAlign w:val="center"/>
          </w:tcPr>
          <w:p w14:paraId="1E677648"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0.37</w:t>
            </w:r>
          </w:p>
        </w:tc>
        <w:tc>
          <w:tcPr>
            <w:tcW w:w="996" w:type="dxa"/>
            <w:shd w:val="clear" w:color="auto" w:fill="auto"/>
            <w:noWrap/>
            <w:vAlign w:val="center"/>
          </w:tcPr>
          <w:p w14:paraId="02316633"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-0.05</w:t>
            </w:r>
          </w:p>
        </w:tc>
        <w:tc>
          <w:tcPr>
            <w:tcW w:w="1116" w:type="dxa"/>
            <w:shd w:val="clear" w:color="auto" w:fill="auto"/>
            <w:noWrap/>
            <w:vAlign w:val="center"/>
          </w:tcPr>
          <w:p w14:paraId="3C2A754A"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0.55</w:t>
            </w:r>
          </w:p>
        </w:tc>
      </w:tr>
      <w:tr w:rsidR="004A5F13" w14:paraId="6E210B8A" w14:textId="77777777">
        <w:trPr>
          <w:trHeight w:val="288"/>
        </w:trPr>
        <w:tc>
          <w:tcPr>
            <w:tcW w:w="2596" w:type="dxa"/>
            <w:tcBorders>
              <w:bottom w:val="single" w:sz="4" w:space="0" w:color="auto"/>
            </w:tcBorders>
            <w:shd w:val="clear" w:color="auto" w:fill="auto"/>
            <w:noWrap/>
            <w:vAlign w:val="center"/>
          </w:tcPr>
          <w:p w14:paraId="6048D95B" w14:textId="77777777" w:rsidR="004A5F13" w:rsidRDefault="009E2627">
            <w:pPr>
              <w:widowControl/>
              <w:wordWrap/>
              <w:autoSpaceDE/>
              <w:autoSpaceDN/>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lastRenderedPageBreak/>
              <w:t>Kuala Krai</w:t>
            </w:r>
          </w:p>
        </w:tc>
        <w:tc>
          <w:tcPr>
            <w:tcW w:w="1203" w:type="dxa"/>
            <w:tcBorders>
              <w:bottom w:val="single" w:sz="4" w:space="0" w:color="auto"/>
            </w:tcBorders>
            <w:shd w:val="clear" w:color="auto" w:fill="auto"/>
            <w:noWrap/>
            <w:vAlign w:val="center"/>
          </w:tcPr>
          <w:p w14:paraId="65C76347"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0.17</w:t>
            </w:r>
          </w:p>
        </w:tc>
        <w:tc>
          <w:tcPr>
            <w:tcW w:w="996" w:type="dxa"/>
            <w:tcBorders>
              <w:bottom w:val="single" w:sz="4" w:space="0" w:color="auto"/>
            </w:tcBorders>
            <w:shd w:val="clear" w:color="auto" w:fill="auto"/>
            <w:noWrap/>
            <w:vAlign w:val="center"/>
          </w:tcPr>
          <w:p w14:paraId="2D389839"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-0.21</w:t>
            </w:r>
          </w:p>
        </w:tc>
        <w:tc>
          <w:tcPr>
            <w:tcW w:w="996" w:type="dxa"/>
            <w:tcBorders>
              <w:bottom w:val="single" w:sz="4" w:space="0" w:color="auto"/>
            </w:tcBorders>
            <w:shd w:val="clear" w:color="auto" w:fill="auto"/>
            <w:noWrap/>
            <w:vAlign w:val="center"/>
          </w:tcPr>
          <w:p w14:paraId="6F349F17"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-0.16</w:t>
            </w:r>
          </w:p>
        </w:tc>
        <w:tc>
          <w:tcPr>
            <w:tcW w:w="996" w:type="dxa"/>
            <w:tcBorders>
              <w:bottom w:val="single" w:sz="4" w:space="0" w:color="auto"/>
            </w:tcBorders>
            <w:shd w:val="clear" w:color="auto" w:fill="auto"/>
            <w:noWrap/>
            <w:vAlign w:val="center"/>
          </w:tcPr>
          <w:p w14:paraId="50C83422"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0.22</w:t>
            </w:r>
          </w:p>
        </w:tc>
        <w:tc>
          <w:tcPr>
            <w:tcW w:w="996" w:type="dxa"/>
            <w:tcBorders>
              <w:bottom w:val="single" w:sz="4" w:space="0" w:color="auto"/>
            </w:tcBorders>
            <w:shd w:val="clear" w:color="auto" w:fill="auto"/>
            <w:noWrap/>
            <w:vAlign w:val="center"/>
          </w:tcPr>
          <w:p w14:paraId="2B84E314" w14:textId="77777777" w:rsidR="004A5F13" w:rsidRDefault="009E2627">
            <w:pPr>
              <w:widowControl/>
              <w:wordWrap/>
              <w:autoSpaceDE/>
              <w:autoSpaceDN/>
              <w:jc w:val="center"/>
              <w:rPr>
                <w:rFonts w:ascii="Times New Roman" w:eastAsia="Times New Roman" w:hAnsi="Times New Roman" w:cs="Times New Roman"/>
                <w:color w:val="000000"/>
                <w:kern w:val="0"/>
                <w:sz w:val="24"/>
                <w:szCs w:val="24"/>
                <w:lang w:val="en-MY" w:eastAsia="zh-CN"/>
              </w:rPr>
            </w:pPr>
            <w:r>
              <w:rPr>
                <w:rFonts w:ascii="Times New Roman" w:eastAsia="Times New Roman" w:hAnsi="Times New Roman" w:cs="Times New Roman"/>
                <w:color w:val="000000"/>
                <w:kern w:val="0"/>
                <w:sz w:val="24"/>
                <w:szCs w:val="24"/>
                <w:lang w:eastAsia="zh-CN"/>
              </w:rPr>
              <w:t>0.24</w:t>
            </w:r>
          </w:p>
        </w:tc>
        <w:tc>
          <w:tcPr>
            <w:tcW w:w="1116" w:type="dxa"/>
            <w:tcBorders>
              <w:bottom w:val="single" w:sz="4" w:space="0" w:color="auto"/>
            </w:tcBorders>
            <w:shd w:val="clear" w:color="auto" w:fill="auto"/>
            <w:noWrap/>
            <w:vAlign w:val="center"/>
          </w:tcPr>
          <w:p w14:paraId="2408513B"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val="en-MY" w:eastAsia="zh-CN"/>
              </w:rPr>
            </w:pPr>
            <w:r>
              <w:rPr>
                <w:rFonts w:ascii="Times New Roman" w:eastAsia="Times New Roman" w:hAnsi="Times New Roman" w:cs="Times New Roman"/>
                <w:b/>
                <w:bCs/>
                <w:color w:val="000000"/>
                <w:kern w:val="0"/>
                <w:sz w:val="24"/>
                <w:szCs w:val="24"/>
                <w:lang w:eastAsia="zh-CN"/>
              </w:rPr>
              <w:t>0.60</w:t>
            </w:r>
          </w:p>
        </w:tc>
      </w:tr>
      <w:tr w:rsidR="004A5F13" w14:paraId="04A5972C" w14:textId="77777777">
        <w:trPr>
          <w:trHeight w:val="288"/>
        </w:trPr>
        <w:tc>
          <w:tcPr>
            <w:tcW w:w="8899" w:type="dxa"/>
            <w:gridSpan w:val="7"/>
            <w:tcBorders>
              <w:top w:val="single" w:sz="4" w:space="0" w:color="auto"/>
              <w:bottom w:val="nil"/>
            </w:tcBorders>
            <w:shd w:val="clear" w:color="auto" w:fill="auto"/>
            <w:noWrap/>
            <w:vAlign w:val="center"/>
          </w:tcPr>
          <w:p w14:paraId="04C49570" w14:textId="77777777" w:rsidR="004A5F13" w:rsidRDefault="009E2627">
            <w:pPr>
              <w:widowControl/>
              <w:wordWrap/>
              <w:autoSpaceDE/>
              <w:autoSpaceDN/>
              <w:jc w:val="center"/>
              <w:rPr>
                <w:rFonts w:ascii="Times New Roman" w:eastAsia="Times New Roman" w:hAnsi="Times New Roman" w:cs="Times New Roman"/>
                <w:b/>
                <w:bCs/>
                <w:color w:val="000000"/>
                <w:kern w:val="0"/>
                <w:sz w:val="24"/>
                <w:szCs w:val="24"/>
                <w:lang w:eastAsia="zh-CN"/>
              </w:rPr>
            </w:pPr>
            <w:r>
              <w:rPr>
                <w:rFonts w:ascii="Times New Roman" w:eastAsia="Times New Roman" w:hAnsi="Times New Roman" w:cs="Times New Roman"/>
                <w:color w:val="000000"/>
                <w:sz w:val="24"/>
                <w:szCs w:val="24"/>
              </w:rPr>
              <w:t>* Bolded values are of strong correlation relationship</w:t>
            </w:r>
          </w:p>
        </w:tc>
      </w:tr>
    </w:tbl>
    <w:p w14:paraId="5FA53046" w14:textId="77777777" w:rsidR="004A5F13" w:rsidRDefault="004A5F13">
      <w:pPr>
        <w:wordWrap/>
        <w:spacing w:line="480" w:lineRule="auto"/>
        <w:ind w:left="567" w:hanging="567"/>
        <w:outlineLvl w:val="0"/>
        <w:rPr>
          <w:rFonts w:ascii="Times New Roman" w:hAnsi="Times New Roman" w:cs="Times New Roman"/>
          <w:sz w:val="24"/>
          <w:szCs w:val="24"/>
          <w:lang w:val="en-MY"/>
        </w:rPr>
      </w:pPr>
    </w:p>
    <w:p w14:paraId="5F39DD99" w14:textId="77777777" w:rsidR="004A5F13" w:rsidRDefault="009E2627">
      <w:pPr>
        <w:wordWrap/>
        <w:spacing w:line="480" w:lineRule="auto"/>
        <w:ind w:left="567" w:hanging="567"/>
        <w:outlineLvl w:val="0"/>
        <w:rPr>
          <w:rFonts w:ascii="Times New Roman" w:hAnsi="Times New Roman" w:cs="Times New Roman"/>
          <w:b/>
          <w:bCs/>
          <w:sz w:val="24"/>
          <w:szCs w:val="24"/>
          <w:lang w:val="en-MY"/>
        </w:rPr>
      </w:pPr>
      <w:r>
        <w:rPr>
          <w:rFonts w:ascii="Times New Roman" w:hAnsi="Times New Roman" w:cs="Times New Roman"/>
          <w:b/>
          <w:bCs/>
          <w:sz w:val="24"/>
          <w:szCs w:val="24"/>
          <w:lang w:val="en-MY"/>
        </w:rPr>
        <w:t>List of figures</w:t>
      </w:r>
    </w:p>
    <w:p w14:paraId="49F70D33" w14:textId="77777777" w:rsidR="004A5F13" w:rsidRDefault="009E2627">
      <w:pPr>
        <w:keepNext/>
        <w:wordWrap/>
        <w:spacing w:line="480" w:lineRule="auto"/>
        <w:jc w:val="center"/>
        <w:outlineLvl w:val="0"/>
      </w:pPr>
      <w:r>
        <w:rPr>
          <w:noProof/>
        </w:rPr>
        <w:drawing>
          <wp:inline distT="0" distB="0" distL="0" distR="0" wp14:anchorId="48ED4385" wp14:editId="51442885">
            <wp:extent cx="5731510" cy="4052570"/>
            <wp:effectExtent l="0" t="0" r="254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6B06460" w14:textId="1E125F9A" w:rsidR="004A5F13" w:rsidRDefault="009E2627">
      <w:pPr>
        <w:pStyle w:val="Caption"/>
        <w:rPr>
          <w:rFonts w:cs="Times New Roman"/>
          <w:bCs/>
          <w:szCs w:val="24"/>
        </w:rPr>
      </w:pPr>
      <w:r>
        <w:t xml:space="preserve">Figure </w:t>
      </w:r>
      <w:r>
        <w:fldChar w:fldCharType="begin"/>
      </w:r>
      <w:r>
        <w:instrText xml:space="preserve"> SEQ Figure \* ARABIC </w:instrText>
      </w:r>
      <w:r>
        <w:fldChar w:fldCharType="separate"/>
      </w:r>
      <w:r>
        <w:t>1</w:t>
      </w:r>
      <w:r>
        <w:fldChar w:fldCharType="end"/>
      </w:r>
      <w:r>
        <w:t xml:space="preserve"> Kelantan River Basin and the distribution of the climate stations.</w:t>
      </w:r>
      <w:r w:rsidR="008425B0">
        <w:t xml:space="preserve"> Elevation source: SRTM (</w:t>
      </w:r>
      <w:hyperlink r:id="rId33" w:history="1">
        <w:r w:rsidR="008425B0" w:rsidRPr="00907374">
          <w:rPr>
            <w:rStyle w:val="Hyperlink"/>
          </w:rPr>
          <w:t>https://earthexplorer.usgs.gov/</w:t>
        </w:r>
      </w:hyperlink>
      <w:r w:rsidR="008425B0">
        <w:t xml:space="preserve">). </w:t>
      </w:r>
    </w:p>
    <w:p w14:paraId="580774FD" w14:textId="77777777" w:rsidR="004A5F13" w:rsidRDefault="004A5F13"/>
    <w:p w14:paraId="311FFE01" w14:textId="6E26E4A5" w:rsidR="004A5F13" w:rsidRDefault="000A28B9">
      <w:pPr>
        <w:keepNext/>
        <w:wordWrap/>
        <w:spacing w:line="480" w:lineRule="auto"/>
        <w:outlineLvl w:val="0"/>
        <w:rPr>
          <w:noProof/>
        </w:rPr>
      </w:pPr>
      <w:r w:rsidRPr="000A28B9">
        <w:rPr>
          <w:noProof/>
        </w:rPr>
        <w:t xml:space="preserve"> </w:t>
      </w:r>
      <w:r w:rsidR="00B9506C" w:rsidRPr="00B9506C">
        <w:rPr>
          <w:noProof/>
        </w:rPr>
        <w:lastRenderedPageBreak/>
        <w:drawing>
          <wp:inline distT="0" distB="0" distL="0" distR="0" wp14:anchorId="6B45CEAC" wp14:editId="4534A334">
            <wp:extent cx="5731510" cy="2675890"/>
            <wp:effectExtent l="0" t="0" r="2540" b="10160"/>
            <wp:docPr id="7" name="Chart 7">
              <a:extLst xmlns:a="http://schemas.openxmlformats.org/drawingml/2006/main">
                <a:ext uri="{FF2B5EF4-FFF2-40B4-BE49-F238E27FC236}">
                  <a16:creationId xmlns:a16="http://schemas.microsoft.com/office/drawing/2014/main" id="{4AD8A904-49A4-4746-977B-E6A8E6793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27B035" w14:textId="0EF227EE" w:rsidR="00B9506C" w:rsidRDefault="00B9506C">
      <w:pPr>
        <w:keepNext/>
        <w:wordWrap/>
        <w:spacing w:line="480" w:lineRule="auto"/>
        <w:outlineLvl w:val="0"/>
      </w:pPr>
      <w:r>
        <w:rPr>
          <w:noProof/>
        </w:rPr>
        <w:drawing>
          <wp:inline distT="0" distB="0" distL="0" distR="0" wp14:anchorId="172E53A0" wp14:editId="73CC1081">
            <wp:extent cx="5731510" cy="2743200"/>
            <wp:effectExtent l="0" t="0" r="2540" b="0"/>
            <wp:docPr id="8" name="Chart 8">
              <a:extLst xmlns:a="http://schemas.openxmlformats.org/drawingml/2006/main">
                <a:ext uri="{FF2B5EF4-FFF2-40B4-BE49-F238E27FC236}">
                  <a16:creationId xmlns:a16="http://schemas.microsoft.com/office/drawing/2014/main" id="{5FD0A6DF-888D-4608-B0CC-3953316D3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F29615" w14:textId="60BE70EE" w:rsidR="00B9506C" w:rsidRDefault="00B9506C">
      <w:pPr>
        <w:keepNext/>
        <w:wordWrap/>
        <w:spacing w:line="480" w:lineRule="auto"/>
        <w:outlineLvl w:val="0"/>
      </w:pPr>
      <w:r>
        <w:rPr>
          <w:noProof/>
        </w:rPr>
        <w:drawing>
          <wp:inline distT="0" distB="0" distL="0" distR="0" wp14:anchorId="4F686308" wp14:editId="51093948">
            <wp:extent cx="5731510" cy="2675890"/>
            <wp:effectExtent l="0" t="0" r="2540" b="10160"/>
            <wp:docPr id="10" name="Chart 10">
              <a:extLst xmlns:a="http://schemas.openxmlformats.org/drawingml/2006/main">
                <a:ext uri="{FF2B5EF4-FFF2-40B4-BE49-F238E27FC236}">
                  <a16:creationId xmlns:a16="http://schemas.microsoft.com/office/drawing/2014/main" id="{289E0A4F-3008-4F0A-94B8-0798D48DA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FF49CF" w14:textId="71A67B22" w:rsidR="00B9506C" w:rsidRDefault="00B9506C">
      <w:pPr>
        <w:keepNext/>
        <w:wordWrap/>
        <w:spacing w:line="480" w:lineRule="auto"/>
        <w:outlineLvl w:val="0"/>
      </w:pPr>
      <w:r>
        <w:rPr>
          <w:noProof/>
        </w:rPr>
        <w:lastRenderedPageBreak/>
        <w:drawing>
          <wp:inline distT="0" distB="0" distL="0" distR="0" wp14:anchorId="1ACEACE2" wp14:editId="58C28B69">
            <wp:extent cx="5722620" cy="2743200"/>
            <wp:effectExtent l="0" t="0" r="11430" b="0"/>
            <wp:docPr id="11" name="Chart 11">
              <a:extLst xmlns:a="http://schemas.openxmlformats.org/drawingml/2006/main">
                <a:ext uri="{FF2B5EF4-FFF2-40B4-BE49-F238E27FC236}">
                  <a16:creationId xmlns:a16="http://schemas.microsoft.com/office/drawing/2014/main" id="{9474C167-6286-4752-A6DC-CE5CE5FF4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EB1C27" w14:textId="77777777" w:rsidR="004A5F13" w:rsidRDefault="009E2627">
      <w:pPr>
        <w:pStyle w:val="Caption"/>
      </w:pPr>
      <w:r>
        <w:t xml:space="preserve">Figure </w:t>
      </w:r>
      <w:r>
        <w:fldChar w:fldCharType="begin"/>
      </w:r>
      <w:r>
        <w:instrText xml:space="preserve"> SEQ Figure \* ARABIC </w:instrText>
      </w:r>
      <w:r>
        <w:fldChar w:fldCharType="separate"/>
      </w:r>
      <w:r>
        <w:t>2</w:t>
      </w:r>
      <w:r>
        <w:fldChar w:fldCharType="end"/>
      </w:r>
      <w:r>
        <w:t xml:space="preserve"> Percentage of each land cover class of each year extracted from the ESA CCI land cover data.</w:t>
      </w:r>
    </w:p>
    <w:p w14:paraId="0FA3CE93" w14:textId="77777777" w:rsidR="004A5F13" w:rsidRDefault="004A5F13"/>
    <w:p w14:paraId="1A389F0B" w14:textId="77777777" w:rsidR="004A5F13" w:rsidRDefault="009E2627">
      <w:pPr>
        <w:keepNext/>
        <w:wordWrap/>
        <w:spacing w:line="480" w:lineRule="auto"/>
        <w:jc w:val="center"/>
        <w:outlineLvl w:val="0"/>
      </w:pPr>
      <w:r>
        <w:rPr>
          <w:noProof/>
        </w:rPr>
        <w:drawing>
          <wp:inline distT="0" distB="0" distL="0" distR="0" wp14:anchorId="4F1440BA" wp14:editId="5703FF7A">
            <wp:extent cx="5707380" cy="2178685"/>
            <wp:effectExtent l="0" t="0" r="762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3A20F9" w14:textId="77777777" w:rsidR="004A5F13" w:rsidRDefault="009E2627">
      <w:pPr>
        <w:pStyle w:val="Caption"/>
      </w:pPr>
      <w:r>
        <w:t>Figure 4 Trend of annual rainfall, maximum and minimum temperatures in Kelantan state from 1979 to 2018.</w:t>
      </w:r>
    </w:p>
    <w:p w14:paraId="160F97DF" w14:textId="77777777" w:rsidR="004A5F13" w:rsidRDefault="004A5F13"/>
    <w:p w14:paraId="6F420E51" w14:textId="77777777" w:rsidR="004A5F13" w:rsidRDefault="009E2627">
      <w:pPr>
        <w:keepNext/>
        <w:wordWrap/>
        <w:spacing w:line="480" w:lineRule="auto"/>
        <w:jc w:val="center"/>
        <w:outlineLvl w:val="0"/>
      </w:pPr>
      <w:r>
        <w:rPr>
          <w:noProof/>
          <w:lang w:val="en-MY" w:eastAsia="zh-CN"/>
        </w:rPr>
        <w:lastRenderedPageBreak/>
        <w:drawing>
          <wp:inline distT="0" distB="0" distL="0" distR="0" wp14:anchorId="4F6CD857" wp14:editId="1DB46676">
            <wp:extent cx="5229860" cy="8082915"/>
            <wp:effectExtent l="0" t="0" r="8890" b="0"/>
            <wp:docPr id="6" name="Picture 6" descr="A picture containing tree, broccoli,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broccoli, different&#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30368" cy="8083296"/>
                    </a:xfrm>
                    <a:prstGeom prst="rect">
                      <a:avLst/>
                    </a:prstGeom>
                  </pic:spPr>
                </pic:pic>
              </a:graphicData>
            </a:graphic>
          </wp:inline>
        </w:drawing>
      </w:r>
    </w:p>
    <w:p w14:paraId="542C1E21" w14:textId="77777777" w:rsidR="004A5F13" w:rsidRDefault="009E2627">
      <w:pPr>
        <w:pStyle w:val="Caption"/>
      </w:pPr>
      <w:r>
        <w:t>Figure 3 ESA CCI land cover data that have been reclassified into the designed class.</w:t>
      </w:r>
    </w:p>
    <w:p w14:paraId="3B8CB6A0" w14:textId="7FFD8AF4" w:rsidR="004A5F13" w:rsidRDefault="004A5F13">
      <w:pPr>
        <w:wordWrap/>
        <w:spacing w:line="480" w:lineRule="auto"/>
        <w:outlineLvl w:val="0"/>
        <w:rPr>
          <w:rFonts w:ascii="Times New Roman" w:hAnsi="Times New Roman" w:cs="Times New Roman"/>
          <w:sz w:val="24"/>
          <w:szCs w:val="24"/>
          <w:lang w:val="en-MY"/>
        </w:rPr>
      </w:pPr>
    </w:p>
    <w:sectPr w:rsidR="004A5F13">
      <w:footerReference w:type="default" r:id="rId40"/>
      <w:pgSz w:w="11906" w:h="16838"/>
      <w:pgMar w:top="1440" w:right="1440" w:bottom="1440" w:left="1440" w:header="851" w:footer="992" w:gutter="0"/>
      <w:lnNumType w:countBy="1" w:restart="continuous"/>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7A8B1" w14:textId="77777777" w:rsidR="00F54247" w:rsidRDefault="00F54247">
      <w:r>
        <w:separator/>
      </w:r>
    </w:p>
  </w:endnote>
  <w:endnote w:type="continuationSeparator" w:id="0">
    <w:p w14:paraId="10A26FB2" w14:textId="77777777" w:rsidR="00F54247" w:rsidRDefault="00F54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sdtPr>
    <w:sdtEndPr/>
    <w:sdtContent>
      <w:p w14:paraId="3188748B" w14:textId="77777777" w:rsidR="000A28B9" w:rsidRDefault="000A28B9">
        <w:pPr>
          <w:pStyle w:val="Footer"/>
          <w:jc w:val="right"/>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p>
    </w:sdtContent>
  </w:sdt>
  <w:p w14:paraId="5AEBCBE4" w14:textId="77777777" w:rsidR="000A28B9" w:rsidRDefault="000A2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F12D" w14:textId="77777777" w:rsidR="00F54247" w:rsidRDefault="00F54247">
      <w:r>
        <w:separator/>
      </w:r>
    </w:p>
  </w:footnote>
  <w:footnote w:type="continuationSeparator" w:id="0">
    <w:p w14:paraId="24CC14DF" w14:textId="77777777" w:rsidR="00F54247" w:rsidRDefault="00F542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 S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02edf05zxza3efrpr5sr9eaxw50ew20vap&quot;&gt;reviewSWAT&lt;record-ids&gt;&lt;item&gt;123&lt;/item&gt;&lt;item&gt;125&lt;/item&gt;&lt;item&gt;129&lt;/item&gt;&lt;item&gt;137&lt;/item&gt;&lt;item&gt;138&lt;/item&gt;&lt;item&gt;139&lt;/item&gt;&lt;item&gt;141&lt;/item&gt;&lt;item&gt;142&lt;/item&gt;&lt;item&gt;144&lt;/item&gt;&lt;item&gt;146&lt;/item&gt;&lt;item&gt;147&lt;/item&gt;&lt;item&gt;148&lt;/item&gt;&lt;item&gt;149&lt;/item&gt;&lt;item&gt;150&lt;/item&gt;&lt;item&gt;151&lt;/item&gt;&lt;item&gt;152&lt;/item&gt;&lt;item&gt;153&lt;/item&gt;&lt;item&gt;154&lt;/item&gt;&lt;item&gt;155&lt;/item&gt;&lt;item&gt;157&lt;/item&gt;&lt;item&gt;158&lt;/item&gt;&lt;item&gt;162&lt;/item&gt;&lt;item&gt;163&lt;/item&gt;&lt;item&gt;164&lt;/item&gt;&lt;item&gt;165&lt;/item&gt;&lt;item&gt;167&lt;/item&gt;&lt;item&gt;168&lt;/item&gt;&lt;item&gt;169&lt;/item&gt;&lt;item&gt;171&lt;/item&gt;&lt;item&gt;172&lt;/item&gt;&lt;item&gt;177&lt;/item&gt;&lt;item&gt;179&lt;/item&gt;&lt;item&gt;180&lt;/item&gt;&lt;item&gt;194&lt;/item&gt;&lt;item&gt;195&lt;/item&gt;&lt;/record-ids&gt;&lt;/item&gt;&lt;/Libraries&gt;"/>
  </w:docVars>
  <w:rsids>
    <w:rsidRoot w:val="00155586"/>
    <w:rsid w:val="00013D67"/>
    <w:rsid w:val="00025D8B"/>
    <w:rsid w:val="00026F3A"/>
    <w:rsid w:val="000324FB"/>
    <w:rsid w:val="00036039"/>
    <w:rsid w:val="00036820"/>
    <w:rsid w:val="00052388"/>
    <w:rsid w:val="00062849"/>
    <w:rsid w:val="00062890"/>
    <w:rsid w:val="00064A18"/>
    <w:rsid w:val="000706F9"/>
    <w:rsid w:val="000732DD"/>
    <w:rsid w:val="00084ACB"/>
    <w:rsid w:val="000955E6"/>
    <w:rsid w:val="00096478"/>
    <w:rsid w:val="000A0638"/>
    <w:rsid w:val="000A28B9"/>
    <w:rsid w:val="000B115C"/>
    <w:rsid w:val="000C0249"/>
    <w:rsid w:val="000C7724"/>
    <w:rsid w:val="000D503A"/>
    <w:rsid w:val="000D503E"/>
    <w:rsid w:val="000E3345"/>
    <w:rsid w:val="000F02DD"/>
    <w:rsid w:val="000F0B87"/>
    <w:rsid w:val="001001D8"/>
    <w:rsid w:val="00113CBE"/>
    <w:rsid w:val="00123B0F"/>
    <w:rsid w:val="001300F6"/>
    <w:rsid w:val="00141EAD"/>
    <w:rsid w:val="0014299B"/>
    <w:rsid w:val="00146470"/>
    <w:rsid w:val="00147393"/>
    <w:rsid w:val="00152E55"/>
    <w:rsid w:val="00155586"/>
    <w:rsid w:val="00160EBA"/>
    <w:rsid w:val="00163831"/>
    <w:rsid w:val="00165205"/>
    <w:rsid w:val="00165AC1"/>
    <w:rsid w:val="001669AF"/>
    <w:rsid w:val="00166D6B"/>
    <w:rsid w:val="001707C6"/>
    <w:rsid w:val="00171C12"/>
    <w:rsid w:val="00184457"/>
    <w:rsid w:val="001862F3"/>
    <w:rsid w:val="001936BB"/>
    <w:rsid w:val="001A2399"/>
    <w:rsid w:val="001A4A91"/>
    <w:rsid w:val="001A52CF"/>
    <w:rsid w:val="001B31B0"/>
    <w:rsid w:val="001B683D"/>
    <w:rsid w:val="001C0721"/>
    <w:rsid w:val="001C6E08"/>
    <w:rsid w:val="002034FA"/>
    <w:rsid w:val="002157DA"/>
    <w:rsid w:val="0023424C"/>
    <w:rsid w:val="0023690E"/>
    <w:rsid w:val="002404FF"/>
    <w:rsid w:val="00242BD9"/>
    <w:rsid w:val="002623D2"/>
    <w:rsid w:val="002653FD"/>
    <w:rsid w:val="002739C1"/>
    <w:rsid w:val="00274A44"/>
    <w:rsid w:val="00285B69"/>
    <w:rsid w:val="00290BE9"/>
    <w:rsid w:val="00294361"/>
    <w:rsid w:val="002A3DAD"/>
    <w:rsid w:val="002E2D4B"/>
    <w:rsid w:val="00300866"/>
    <w:rsid w:val="00306AC3"/>
    <w:rsid w:val="003127E9"/>
    <w:rsid w:val="003247F1"/>
    <w:rsid w:val="00324B6B"/>
    <w:rsid w:val="00326205"/>
    <w:rsid w:val="00333C46"/>
    <w:rsid w:val="003522D8"/>
    <w:rsid w:val="00354AC2"/>
    <w:rsid w:val="00360EC4"/>
    <w:rsid w:val="00363168"/>
    <w:rsid w:val="003637F2"/>
    <w:rsid w:val="003675FF"/>
    <w:rsid w:val="00371415"/>
    <w:rsid w:val="00372A14"/>
    <w:rsid w:val="00373AFB"/>
    <w:rsid w:val="00375BE2"/>
    <w:rsid w:val="00377E54"/>
    <w:rsid w:val="0038088E"/>
    <w:rsid w:val="00397868"/>
    <w:rsid w:val="003A4140"/>
    <w:rsid w:val="003A7C7D"/>
    <w:rsid w:val="003B3BBE"/>
    <w:rsid w:val="003D0C23"/>
    <w:rsid w:val="003D4ABF"/>
    <w:rsid w:val="003F2464"/>
    <w:rsid w:val="003F47B0"/>
    <w:rsid w:val="00411617"/>
    <w:rsid w:val="00422C66"/>
    <w:rsid w:val="00424163"/>
    <w:rsid w:val="004414C8"/>
    <w:rsid w:val="00450574"/>
    <w:rsid w:val="004603CB"/>
    <w:rsid w:val="00467922"/>
    <w:rsid w:val="004760B8"/>
    <w:rsid w:val="004814DB"/>
    <w:rsid w:val="00487337"/>
    <w:rsid w:val="00490E53"/>
    <w:rsid w:val="0049181B"/>
    <w:rsid w:val="00491B57"/>
    <w:rsid w:val="00492031"/>
    <w:rsid w:val="00492554"/>
    <w:rsid w:val="00497F50"/>
    <w:rsid w:val="004A5F13"/>
    <w:rsid w:val="004A65E4"/>
    <w:rsid w:val="004B42DA"/>
    <w:rsid w:val="004D17E7"/>
    <w:rsid w:val="004E4E7C"/>
    <w:rsid w:val="004F0A8D"/>
    <w:rsid w:val="004F3346"/>
    <w:rsid w:val="00505071"/>
    <w:rsid w:val="00516E84"/>
    <w:rsid w:val="00522BC7"/>
    <w:rsid w:val="005266C5"/>
    <w:rsid w:val="00533A25"/>
    <w:rsid w:val="00534785"/>
    <w:rsid w:val="0055380B"/>
    <w:rsid w:val="00554FB8"/>
    <w:rsid w:val="00555334"/>
    <w:rsid w:val="005574F8"/>
    <w:rsid w:val="00567C55"/>
    <w:rsid w:val="00571519"/>
    <w:rsid w:val="005729D8"/>
    <w:rsid w:val="005773CE"/>
    <w:rsid w:val="00580E1E"/>
    <w:rsid w:val="005907C7"/>
    <w:rsid w:val="005A204D"/>
    <w:rsid w:val="005B2DAA"/>
    <w:rsid w:val="005D4B9F"/>
    <w:rsid w:val="005E0006"/>
    <w:rsid w:val="005F05B4"/>
    <w:rsid w:val="005F0997"/>
    <w:rsid w:val="005F0B25"/>
    <w:rsid w:val="005F157D"/>
    <w:rsid w:val="00607991"/>
    <w:rsid w:val="00626784"/>
    <w:rsid w:val="006312DE"/>
    <w:rsid w:val="0064001B"/>
    <w:rsid w:val="00640CFC"/>
    <w:rsid w:val="00654547"/>
    <w:rsid w:val="00671D8C"/>
    <w:rsid w:val="0067568A"/>
    <w:rsid w:val="00681222"/>
    <w:rsid w:val="006946D5"/>
    <w:rsid w:val="00695277"/>
    <w:rsid w:val="0069771F"/>
    <w:rsid w:val="006A3A54"/>
    <w:rsid w:val="006B1D4E"/>
    <w:rsid w:val="006B6683"/>
    <w:rsid w:val="006E2A30"/>
    <w:rsid w:val="006E7087"/>
    <w:rsid w:val="006F2F1C"/>
    <w:rsid w:val="00704B73"/>
    <w:rsid w:val="007116DD"/>
    <w:rsid w:val="00714433"/>
    <w:rsid w:val="00734C37"/>
    <w:rsid w:val="00734D89"/>
    <w:rsid w:val="007364FB"/>
    <w:rsid w:val="00745334"/>
    <w:rsid w:val="00746C5B"/>
    <w:rsid w:val="00747125"/>
    <w:rsid w:val="00753949"/>
    <w:rsid w:val="00766419"/>
    <w:rsid w:val="00773F3B"/>
    <w:rsid w:val="0078003F"/>
    <w:rsid w:val="007811D0"/>
    <w:rsid w:val="00784D2C"/>
    <w:rsid w:val="0078680E"/>
    <w:rsid w:val="00787DA9"/>
    <w:rsid w:val="007A0081"/>
    <w:rsid w:val="007A173D"/>
    <w:rsid w:val="007A46FE"/>
    <w:rsid w:val="007A4E4B"/>
    <w:rsid w:val="007A5A98"/>
    <w:rsid w:val="007B3C9D"/>
    <w:rsid w:val="007C0FFE"/>
    <w:rsid w:val="007C12D1"/>
    <w:rsid w:val="007D0C85"/>
    <w:rsid w:val="007D1CCE"/>
    <w:rsid w:val="007E07E4"/>
    <w:rsid w:val="007E0ABF"/>
    <w:rsid w:val="007E0E81"/>
    <w:rsid w:val="007E57EB"/>
    <w:rsid w:val="007E6BE4"/>
    <w:rsid w:val="007F6CCD"/>
    <w:rsid w:val="008002AF"/>
    <w:rsid w:val="00807308"/>
    <w:rsid w:val="0081152F"/>
    <w:rsid w:val="008140B5"/>
    <w:rsid w:val="00817ED7"/>
    <w:rsid w:val="00820D1A"/>
    <w:rsid w:val="00841CFF"/>
    <w:rsid w:val="008425B0"/>
    <w:rsid w:val="0084377C"/>
    <w:rsid w:val="00845759"/>
    <w:rsid w:val="00845A5D"/>
    <w:rsid w:val="008516E7"/>
    <w:rsid w:val="0085184D"/>
    <w:rsid w:val="00861939"/>
    <w:rsid w:val="00864887"/>
    <w:rsid w:val="008664BC"/>
    <w:rsid w:val="00870AD8"/>
    <w:rsid w:val="00874CAC"/>
    <w:rsid w:val="00881670"/>
    <w:rsid w:val="008A2592"/>
    <w:rsid w:val="008A3327"/>
    <w:rsid w:val="008B0020"/>
    <w:rsid w:val="008B57D3"/>
    <w:rsid w:val="008C00DD"/>
    <w:rsid w:val="008C5E45"/>
    <w:rsid w:val="008D4567"/>
    <w:rsid w:val="008E4B34"/>
    <w:rsid w:val="008E4EB3"/>
    <w:rsid w:val="008F16EA"/>
    <w:rsid w:val="009017F6"/>
    <w:rsid w:val="00922AA3"/>
    <w:rsid w:val="00940287"/>
    <w:rsid w:val="00941F92"/>
    <w:rsid w:val="00953112"/>
    <w:rsid w:val="009624D5"/>
    <w:rsid w:val="00973A4C"/>
    <w:rsid w:val="00974500"/>
    <w:rsid w:val="00983FE2"/>
    <w:rsid w:val="0098713F"/>
    <w:rsid w:val="0099576A"/>
    <w:rsid w:val="009A1623"/>
    <w:rsid w:val="009A27FE"/>
    <w:rsid w:val="009A4AF1"/>
    <w:rsid w:val="009B4783"/>
    <w:rsid w:val="009C4375"/>
    <w:rsid w:val="009C479C"/>
    <w:rsid w:val="009E226C"/>
    <w:rsid w:val="009E2627"/>
    <w:rsid w:val="00A06A04"/>
    <w:rsid w:val="00A070F4"/>
    <w:rsid w:val="00A141E4"/>
    <w:rsid w:val="00A14E58"/>
    <w:rsid w:val="00A17B90"/>
    <w:rsid w:val="00A21849"/>
    <w:rsid w:val="00A254C0"/>
    <w:rsid w:val="00A274BA"/>
    <w:rsid w:val="00A32D39"/>
    <w:rsid w:val="00A40244"/>
    <w:rsid w:val="00A403D7"/>
    <w:rsid w:val="00A44BBD"/>
    <w:rsid w:val="00A74149"/>
    <w:rsid w:val="00A93EAD"/>
    <w:rsid w:val="00A9497E"/>
    <w:rsid w:val="00A96DB1"/>
    <w:rsid w:val="00AA4157"/>
    <w:rsid w:val="00AA61E6"/>
    <w:rsid w:val="00AB2FD8"/>
    <w:rsid w:val="00AB5BBB"/>
    <w:rsid w:val="00AB63C8"/>
    <w:rsid w:val="00AC0DEE"/>
    <w:rsid w:val="00AC169C"/>
    <w:rsid w:val="00AC2767"/>
    <w:rsid w:val="00AD11E8"/>
    <w:rsid w:val="00AE1B83"/>
    <w:rsid w:val="00AF099C"/>
    <w:rsid w:val="00AF283D"/>
    <w:rsid w:val="00B03456"/>
    <w:rsid w:val="00B035CF"/>
    <w:rsid w:val="00B16724"/>
    <w:rsid w:val="00B174E7"/>
    <w:rsid w:val="00B239D5"/>
    <w:rsid w:val="00B312A0"/>
    <w:rsid w:val="00B31308"/>
    <w:rsid w:val="00B3292B"/>
    <w:rsid w:val="00B83644"/>
    <w:rsid w:val="00B85233"/>
    <w:rsid w:val="00B91256"/>
    <w:rsid w:val="00B9506C"/>
    <w:rsid w:val="00B967BC"/>
    <w:rsid w:val="00BA6EFF"/>
    <w:rsid w:val="00BB1FEE"/>
    <w:rsid w:val="00BB4A24"/>
    <w:rsid w:val="00BB5669"/>
    <w:rsid w:val="00BC2F93"/>
    <w:rsid w:val="00BD4007"/>
    <w:rsid w:val="00BD44AE"/>
    <w:rsid w:val="00BD6DA8"/>
    <w:rsid w:val="00BD7A88"/>
    <w:rsid w:val="00BE6700"/>
    <w:rsid w:val="00BF0BA1"/>
    <w:rsid w:val="00BF10BC"/>
    <w:rsid w:val="00C03222"/>
    <w:rsid w:val="00C04A85"/>
    <w:rsid w:val="00C04C0C"/>
    <w:rsid w:val="00C25417"/>
    <w:rsid w:val="00C3595B"/>
    <w:rsid w:val="00C501F3"/>
    <w:rsid w:val="00C51DE7"/>
    <w:rsid w:val="00C6566E"/>
    <w:rsid w:val="00C67FCB"/>
    <w:rsid w:val="00C70CDE"/>
    <w:rsid w:val="00C71DD9"/>
    <w:rsid w:val="00C73DED"/>
    <w:rsid w:val="00C81176"/>
    <w:rsid w:val="00C85398"/>
    <w:rsid w:val="00C87EA5"/>
    <w:rsid w:val="00C952E9"/>
    <w:rsid w:val="00CA0894"/>
    <w:rsid w:val="00CB18EE"/>
    <w:rsid w:val="00CC3101"/>
    <w:rsid w:val="00CD5805"/>
    <w:rsid w:val="00CE01FB"/>
    <w:rsid w:val="00CE276D"/>
    <w:rsid w:val="00CE461C"/>
    <w:rsid w:val="00CE731E"/>
    <w:rsid w:val="00CF71BA"/>
    <w:rsid w:val="00D004B4"/>
    <w:rsid w:val="00D03EF7"/>
    <w:rsid w:val="00D05545"/>
    <w:rsid w:val="00D0674F"/>
    <w:rsid w:val="00D06F79"/>
    <w:rsid w:val="00D30399"/>
    <w:rsid w:val="00D31E17"/>
    <w:rsid w:val="00D334AA"/>
    <w:rsid w:val="00D410B3"/>
    <w:rsid w:val="00D54466"/>
    <w:rsid w:val="00D56761"/>
    <w:rsid w:val="00D60C63"/>
    <w:rsid w:val="00D643B2"/>
    <w:rsid w:val="00D6567A"/>
    <w:rsid w:val="00DA4D15"/>
    <w:rsid w:val="00DC2A7B"/>
    <w:rsid w:val="00DC7A25"/>
    <w:rsid w:val="00DD26E8"/>
    <w:rsid w:val="00DD320F"/>
    <w:rsid w:val="00DD5F2E"/>
    <w:rsid w:val="00DF04CD"/>
    <w:rsid w:val="00DF4CB0"/>
    <w:rsid w:val="00DF7DE8"/>
    <w:rsid w:val="00E00102"/>
    <w:rsid w:val="00E00BD5"/>
    <w:rsid w:val="00E04623"/>
    <w:rsid w:val="00E066EF"/>
    <w:rsid w:val="00E14F61"/>
    <w:rsid w:val="00E3618F"/>
    <w:rsid w:val="00E4053A"/>
    <w:rsid w:val="00E81484"/>
    <w:rsid w:val="00E829EE"/>
    <w:rsid w:val="00E9235C"/>
    <w:rsid w:val="00E92592"/>
    <w:rsid w:val="00E93E32"/>
    <w:rsid w:val="00EA37D0"/>
    <w:rsid w:val="00EB468F"/>
    <w:rsid w:val="00EC2AE4"/>
    <w:rsid w:val="00EC6C38"/>
    <w:rsid w:val="00EC7082"/>
    <w:rsid w:val="00ED0F19"/>
    <w:rsid w:val="00ED12C3"/>
    <w:rsid w:val="00F00294"/>
    <w:rsid w:val="00F0310C"/>
    <w:rsid w:val="00F175A7"/>
    <w:rsid w:val="00F20311"/>
    <w:rsid w:val="00F22E95"/>
    <w:rsid w:val="00F26881"/>
    <w:rsid w:val="00F270E6"/>
    <w:rsid w:val="00F356F4"/>
    <w:rsid w:val="00F42E75"/>
    <w:rsid w:val="00F54247"/>
    <w:rsid w:val="00F64080"/>
    <w:rsid w:val="00F7042D"/>
    <w:rsid w:val="00F71C04"/>
    <w:rsid w:val="00F83339"/>
    <w:rsid w:val="00F90140"/>
    <w:rsid w:val="00F90BEE"/>
    <w:rsid w:val="00F92BDF"/>
    <w:rsid w:val="00F93ADE"/>
    <w:rsid w:val="00FA129F"/>
    <w:rsid w:val="00FB47AD"/>
    <w:rsid w:val="00FC0598"/>
    <w:rsid w:val="00FD5A1D"/>
    <w:rsid w:val="00FD604E"/>
    <w:rsid w:val="00FE5FC2"/>
    <w:rsid w:val="00FF646B"/>
    <w:rsid w:val="00FF72E9"/>
    <w:rsid w:val="31BC26B7"/>
    <w:rsid w:val="46CE7D00"/>
    <w:rsid w:val="4F1E587B"/>
    <w:rsid w:val="76060735"/>
    <w:rsid w:val="7C705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EA9C"/>
  <w15:docId w15:val="{FBC68064-E6D9-4438-9CB8-DD4BB05C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jc w:val="both"/>
    </w:pPr>
    <w:rPr>
      <w:rFonts w:asciiTheme="minorHAnsi" w:eastAsiaTheme="minorEastAsia" w:hAnsiTheme="minorHAnsi" w:cstheme="minorBidi"/>
      <w:kern w:val="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aption">
    <w:name w:val="caption"/>
    <w:basedOn w:val="Normal"/>
    <w:next w:val="Normal"/>
    <w:uiPriority w:val="35"/>
    <w:unhideWhenUsed/>
    <w:qFormat/>
    <w:pPr>
      <w:spacing w:after="200"/>
      <w:jc w:val="center"/>
    </w:pPr>
    <w:rPr>
      <w:rFonts w:ascii="Times New Roman" w:hAnsi="Times New Roman"/>
      <w:iCs/>
      <w:sz w:val="24"/>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qFormat/>
    <w:rPr>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kern w:val="2"/>
      <w:sz w:val="20"/>
      <w:lang w:eastAsia="ko-KR"/>
    </w:rPr>
  </w:style>
  <w:style w:type="character" w:customStyle="1" w:styleId="FooterChar">
    <w:name w:val="Footer Char"/>
    <w:basedOn w:val="DefaultParagraphFont"/>
    <w:link w:val="Footer"/>
    <w:uiPriority w:val="99"/>
    <w:qFormat/>
    <w:rPr>
      <w:kern w:val="2"/>
      <w:sz w:val="20"/>
      <w:lang w:eastAsia="ko-KR"/>
    </w:rPr>
  </w:style>
  <w:style w:type="character" w:customStyle="1" w:styleId="BalloonTextChar">
    <w:name w:val="Balloon Text Char"/>
    <w:basedOn w:val="DefaultParagraphFont"/>
    <w:link w:val="BalloonText"/>
    <w:uiPriority w:val="99"/>
    <w:semiHidden/>
    <w:qFormat/>
    <w:rPr>
      <w:rFonts w:ascii="Tahoma" w:hAnsi="Tahoma" w:cs="Tahoma"/>
      <w:kern w:val="2"/>
      <w:sz w:val="16"/>
      <w:szCs w:val="16"/>
      <w:lang w:eastAsia="ko-KR"/>
    </w:rPr>
  </w:style>
  <w:style w:type="character" w:customStyle="1" w:styleId="a151">
    <w:name w:val="a151"/>
    <w:basedOn w:val="DefaultParagraphFont"/>
    <w:qFormat/>
  </w:style>
  <w:style w:type="paragraph" w:customStyle="1" w:styleId="EndNoteBibliographyTitle">
    <w:name w:val="EndNote Bibliography Title"/>
    <w:basedOn w:val="Normal"/>
    <w:link w:val="EndNoteBibliographyTitleChar"/>
    <w:qFormat/>
    <w:pPr>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eastAsiaTheme="minorEastAsia" w:hAnsi="Calibri" w:cs="Calibri"/>
      <w:kern w:val="2"/>
      <w:szCs w:val="22"/>
      <w:lang w:val="en-US" w:eastAsia="ko-KR"/>
    </w:rPr>
  </w:style>
  <w:style w:type="paragraph" w:customStyle="1" w:styleId="EndNoteBibliography">
    <w:name w:val="EndNote Bibliography"/>
    <w:basedOn w:val="Normal"/>
    <w:link w:val="EndNoteBibliographyChar"/>
    <w:qFormat/>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EastAsia" w:hAnsi="Calibri" w:cs="Calibri"/>
      <w:kern w:val="2"/>
      <w:szCs w:val="22"/>
      <w:lang w:val="en-US" w:eastAsia="ko-KR"/>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kern w:val="2"/>
      <w:sz w:val="20"/>
      <w:szCs w:val="20"/>
      <w:lang w:eastAsia="ko-KR"/>
    </w:rPr>
  </w:style>
  <w:style w:type="character" w:customStyle="1" w:styleId="CommentSubjectChar">
    <w:name w:val="Comment Subject Char"/>
    <w:basedOn w:val="CommentTextChar"/>
    <w:link w:val="CommentSubject"/>
    <w:uiPriority w:val="99"/>
    <w:semiHidden/>
    <w:qFormat/>
    <w:rPr>
      <w:b/>
      <w:bCs/>
      <w:kern w:val="2"/>
      <w:sz w:val="20"/>
      <w:szCs w:val="20"/>
      <w:lang w:eastAsia="ko-KR"/>
    </w:rPr>
  </w:style>
  <w:style w:type="paragraph" w:customStyle="1" w:styleId="Revision1">
    <w:name w:val="Revision1"/>
    <w:hidden/>
    <w:uiPriority w:val="99"/>
    <w:semiHidden/>
    <w:qFormat/>
    <w:rPr>
      <w:rFonts w:asciiTheme="minorHAnsi" w:eastAsiaTheme="minorEastAsia" w:hAnsiTheme="minorHAnsi" w:cstheme="minorBidi"/>
      <w:kern w:val="2"/>
      <w:szCs w:val="22"/>
      <w:lang w:val="en-US" w:eastAsia="ko-KR"/>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C51DE7"/>
    <w:rPr>
      <w:color w:val="605E5C"/>
      <w:shd w:val="clear" w:color="auto" w:fill="E1DFDD"/>
    </w:rPr>
  </w:style>
  <w:style w:type="paragraph" w:styleId="Revision">
    <w:name w:val="Revision"/>
    <w:hidden/>
    <w:uiPriority w:val="99"/>
    <w:semiHidden/>
    <w:rsid w:val="001862F3"/>
    <w:rPr>
      <w:rFonts w:asciiTheme="minorHAnsi" w:eastAsiaTheme="minorEastAsia" w:hAnsiTheme="minorHAnsi" w:cstheme="minorBidi"/>
      <w:kern w:val="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723223">
      <w:bodyDiv w:val="1"/>
      <w:marLeft w:val="0"/>
      <w:marRight w:val="0"/>
      <w:marTop w:val="0"/>
      <w:marBottom w:val="0"/>
      <w:divBdr>
        <w:top w:val="none" w:sz="0" w:space="0" w:color="auto"/>
        <w:left w:val="none" w:sz="0" w:space="0" w:color="auto"/>
        <w:bottom w:val="none" w:sz="0" w:space="0" w:color="auto"/>
        <w:right w:val="none" w:sz="0" w:space="0" w:color="auto"/>
      </w:divBdr>
    </w:div>
    <w:div w:id="1103308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landusepol.2020.104571" TargetMode="External"/><Relationship Id="rId18" Type="http://schemas.openxmlformats.org/officeDocument/2006/relationships/hyperlink" Target="https://www.ipcc.ch/site/assets/uploads/2019/08/Fullreport-1.pdf" TargetMode="External"/><Relationship Id="rId26" Type="http://schemas.openxmlformats.org/officeDocument/2006/relationships/hyperlink" Target="https://doi.org/10.17576/geo-2018-1404-26" TargetMode="External"/><Relationship Id="rId39" Type="http://schemas.openxmlformats.org/officeDocument/2006/relationships/image" Target="media/image3.png"/><Relationship Id="rId21" Type="http://schemas.openxmlformats.org/officeDocument/2006/relationships/hyperlink" Target="https://doi.org/10.2307/1907187" TargetMode="External"/><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www.fao.org/3/x0596e/X0596e01n.htm" TargetMode="External"/><Relationship Id="rId20" Type="http://schemas.openxmlformats.org/officeDocument/2006/relationships/hyperlink" Target="http://dx.doi.org/10.1016/j.jag.2015.12.006" TargetMode="External"/><Relationship Id="rId29" Type="http://schemas.openxmlformats.org/officeDocument/2006/relationships/hyperlink" Target="http://dx.doi.org/10.4236/jwarp.2016.8202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89/fsufs.2020.504334" TargetMode="External"/><Relationship Id="rId24" Type="http://schemas.openxmlformats.org/officeDocument/2006/relationships/hyperlink" Target="https://doi.org/10.1016/j.jag.2020.102221" TargetMode="External"/><Relationship Id="rId32" Type="http://schemas.openxmlformats.org/officeDocument/2006/relationships/image" Target="media/image2.png"/><Relationship Id="rId37" Type="http://schemas.openxmlformats.org/officeDocument/2006/relationships/chart" Target="charts/chart4.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sa-landcover-cci.org/?q=node/1" TargetMode="External"/><Relationship Id="rId23" Type="http://schemas.openxmlformats.org/officeDocument/2006/relationships/hyperlink" Target="https://doi.org/10.1098/rspl.1895.0041" TargetMode="External"/><Relationship Id="rId28" Type="http://schemas.openxmlformats.org/officeDocument/2006/relationships/hyperlink" Target="https://doi.org/10.2307%2F2285891" TargetMode="External"/><Relationship Id="rId36" Type="http://schemas.openxmlformats.org/officeDocument/2006/relationships/chart" Target="charts/chart3.xml"/><Relationship Id="rId10" Type="http://schemas.openxmlformats.org/officeDocument/2006/relationships/hyperlink" Target="https://doi.org/10.1007/s41748-020-00171-9" TargetMode="External"/><Relationship Id="rId19" Type="http://schemas.openxmlformats.org/officeDocument/2006/relationships/hyperlink" Target="http://dx.doi.org/10.17576/jsm-2021-5003-07" TargetMode="External"/><Relationship Id="rId31" Type="http://schemas.openxmlformats.org/officeDocument/2006/relationships/hyperlink" Target="https://doi.org/10.1016/j.jclepro.2020.12476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i.org/10.1177%2F001316446002000104" TargetMode="External"/><Relationship Id="rId22" Type="http://schemas.openxmlformats.org/officeDocument/2006/relationships/hyperlink" Target="https://library.wmo.int/doc_num.php?explnum_id=865" TargetMode="External"/><Relationship Id="rId27" Type="http://schemas.openxmlformats.org/officeDocument/2006/relationships/hyperlink" Target="https://doi.org/10.1007/978-3-030-11729-0_13" TargetMode="External"/><Relationship Id="rId30" Type="http://schemas.openxmlformats.org/officeDocument/2006/relationships/hyperlink" Target="http://dx.doi.org/10.1016/j.atmosres.2017.01.008" TargetMode="External"/><Relationship Id="rId35" Type="http://schemas.openxmlformats.org/officeDocument/2006/relationships/chart" Target="charts/chart2.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doi.org/10.1016/j.landusepol.2020.105178" TargetMode="External"/><Relationship Id="rId17" Type="http://schemas.openxmlformats.org/officeDocument/2006/relationships/hyperlink" Target="https://doi.org/10.1016/j.fcr.2020.108010" TargetMode="External"/><Relationship Id="rId25" Type="http://schemas.openxmlformats.org/officeDocument/2006/relationships/hyperlink" Target="https://doi.org/10.1016/j.jclepro.2020.122757" TargetMode="External"/><Relationship Id="rId33" Type="http://schemas.openxmlformats.org/officeDocument/2006/relationships/hyperlink" Target="https://earthexplorer.usgs.gov/" TargetMode="External"/><Relationship Id="rId38"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Paper1_KRB\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Paper1_KRB\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Paper1_KRB\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Paper1_KRB\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correlation.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Cropland</c:v>
                </c:pt>
              </c:strCache>
            </c:strRef>
          </c:tx>
          <c:spPr>
            <a:solidFill>
              <a:srgbClr val="FFC000"/>
            </a:solidFill>
            <a:ln>
              <a:solidFill>
                <a:schemeClr val="tx1"/>
              </a:solidFill>
            </a:ln>
            <a:effectLst/>
          </c:spPr>
          <c:invertIfNegative val="0"/>
          <c:cat>
            <c:numRef>
              <c:f>Sheet3!$B$1:$AB$1</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Sheet3!$B$2:$AB$2</c:f>
              <c:numCache>
                <c:formatCode>0.00</c:formatCode>
                <c:ptCount val="27"/>
                <c:pt idx="0">
                  <c:v>18.581810600306781</c:v>
                </c:pt>
                <c:pt idx="1">
                  <c:v>18.581810600306781</c:v>
                </c:pt>
                <c:pt idx="2">
                  <c:v>18.581065987579859</c:v>
                </c:pt>
                <c:pt idx="3">
                  <c:v>15.80068206525786</c:v>
                </c:pt>
                <c:pt idx="4">
                  <c:v>15.034475569256431</c:v>
                </c:pt>
                <c:pt idx="5">
                  <c:v>14.486440602242773</c:v>
                </c:pt>
                <c:pt idx="6">
                  <c:v>14.36953640411622</c:v>
                </c:pt>
                <c:pt idx="7">
                  <c:v>13.811821471652594</c:v>
                </c:pt>
                <c:pt idx="8">
                  <c:v>13.210174388300643</c:v>
                </c:pt>
                <c:pt idx="9">
                  <c:v>13.222088191931377</c:v>
                </c:pt>
                <c:pt idx="10">
                  <c:v>13.149116144693146</c:v>
                </c:pt>
                <c:pt idx="11">
                  <c:v>13.232512770108269</c:v>
                </c:pt>
                <c:pt idx="12">
                  <c:v>13.348672355507901</c:v>
                </c:pt>
                <c:pt idx="13">
                  <c:v>13.480468808172869</c:v>
                </c:pt>
                <c:pt idx="14">
                  <c:v>13.721723331695184</c:v>
                </c:pt>
                <c:pt idx="15">
                  <c:v>14.006165393378902</c:v>
                </c:pt>
                <c:pt idx="16">
                  <c:v>14.229549211455122</c:v>
                </c:pt>
                <c:pt idx="17">
                  <c:v>14.232527662362804</c:v>
                </c:pt>
                <c:pt idx="18">
                  <c:v>14.648021563984573</c:v>
                </c:pt>
                <c:pt idx="19">
                  <c:v>14.797688722095639</c:v>
                </c:pt>
                <c:pt idx="20">
                  <c:v>15.039687858344875</c:v>
                </c:pt>
                <c:pt idx="21">
                  <c:v>15.257114774605727</c:v>
                </c:pt>
                <c:pt idx="22">
                  <c:v>15.238499456432708</c:v>
                </c:pt>
                <c:pt idx="23">
                  <c:v>15.21988413825969</c:v>
                </c:pt>
                <c:pt idx="24">
                  <c:v>15.430609539978256</c:v>
                </c:pt>
                <c:pt idx="25">
                  <c:v>15.574319796273958</c:v>
                </c:pt>
                <c:pt idx="26">
                  <c:v>16.000238276072615</c:v>
                </c:pt>
              </c:numCache>
            </c:numRef>
          </c:val>
          <c:extLst>
            <c:ext xmlns:c16="http://schemas.microsoft.com/office/drawing/2014/chart" uri="{C3380CC4-5D6E-409C-BE32-E72D297353CC}">
              <c16:uniqueId val="{00000000-AD75-4F1B-8C10-5E876427CF37}"/>
            </c:ext>
          </c:extLst>
        </c:ser>
        <c:dLbls>
          <c:showLegendKey val="0"/>
          <c:showVal val="0"/>
          <c:showCatName val="0"/>
          <c:showSerName val="0"/>
          <c:showPercent val="0"/>
          <c:showBubbleSize val="0"/>
        </c:dLbls>
        <c:gapWidth val="0"/>
        <c:axId val="736066992"/>
        <c:axId val="736067648"/>
      </c:barChart>
      <c:catAx>
        <c:axId val="73606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6067648"/>
        <c:crosses val="autoZero"/>
        <c:auto val="1"/>
        <c:lblAlgn val="ctr"/>
        <c:lblOffset val="100"/>
        <c:noMultiLvlLbl val="0"/>
      </c:catAx>
      <c:valAx>
        <c:axId val="736067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606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Sheet3!$A$4</c:f>
              <c:strCache>
                <c:ptCount val="1"/>
                <c:pt idx="0">
                  <c:v>Forest</c:v>
                </c:pt>
              </c:strCache>
            </c:strRef>
          </c:tx>
          <c:spPr>
            <a:solidFill>
              <a:schemeClr val="accent6">
                <a:lumMod val="75000"/>
              </a:schemeClr>
            </a:solidFill>
            <a:ln>
              <a:solidFill>
                <a:schemeClr val="tx1"/>
              </a:solidFill>
            </a:ln>
            <a:effectLst/>
          </c:spPr>
          <c:invertIfNegative val="0"/>
          <c:cat>
            <c:numRef>
              <c:f>Sheet3!$B$3:$AB$3</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Sheet3!$B$4:$AB$4</c:f>
              <c:numCache>
                <c:formatCode>0.00</c:formatCode>
                <c:ptCount val="27"/>
                <c:pt idx="0">
                  <c:v>80.238722840250787</c:v>
                </c:pt>
                <c:pt idx="1">
                  <c:v>80.238722840250787</c:v>
                </c:pt>
                <c:pt idx="2">
                  <c:v>80.238722840250787</c:v>
                </c:pt>
                <c:pt idx="3">
                  <c:v>82.969962322596018</c:v>
                </c:pt>
                <c:pt idx="4">
                  <c:v>83.718298113151349</c:v>
                </c:pt>
                <c:pt idx="5">
                  <c:v>84.252185438353507</c:v>
                </c:pt>
                <c:pt idx="6">
                  <c:v>84.366855798299298</c:v>
                </c:pt>
                <c:pt idx="7">
                  <c:v>84.899253898047618</c:v>
                </c:pt>
                <c:pt idx="8">
                  <c:v>85.490476403222686</c:v>
                </c:pt>
                <c:pt idx="9">
                  <c:v>85.473350310503506</c:v>
                </c:pt>
                <c:pt idx="10">
                  <c:v>85.551534646830191</c:v>
                </c:pt>
                <c:pt idx="11">
                  <c:v>85.468138021415058</c:v>
                </c:pt>
                <c:pt idx="12">
                  <c:v>85.350489210561591</c:v>
                </c:pt>
                <c:pt idx="13">
                  <c:v>85.215714306988929</c:v>
                </c:pt>
                <c:pt idx="14">
                  <c:v>84.967758268924328</c:v>
                </c:pt>
                <c:pt idx="15">
                  <c:v>84.678848530879094</c:v>
                </c:pt>
                <c:pt idx="16">
                  <c:v>84.450252423714417</c:v>
                </c:pt>
                <c:pt idx="17">
                  <c:v>84.450252423714417</c:v>
                </c:pt>
                <c:pt idx="18">
                  <c:v>84.068266094804088</c:v>
                </c:pt>
                <c:pt idx="19">
                  <c:v>83.945404994862173</c:v>
                </c:pt>
                <c:pt idx="20">
                  <c:v>83.739891882232058</c:v>
                </c:pt>
                <c:pt idx="21">
                  <c:v>83.538846445963458</c:v>
                </c:pt>
                <c:pt idx="22">
                  <c:v>83.573098631401805</c:v>
                </c:pt>
                <c:pt idx="23">
                  <c:v>83.573098631401805</c:v>
                </c:pt>
                <c:pt idx="24">
                  <c:v>83.3467363624179</c:v>
                </c:pt>
                <c:pt idx="25">
                  <c:v>83.197069204306842</c:v>
                </c:pt>
                <c:pt idx="26">
                  <c:v>82.770406111781256</c:v>
                </c:pt>
              </c:numCache>
            </c:numRef>
          </c:val>
          <c:extLst>
            <c:ext xmlns:c16="http://schemas.microsoft.com/office/drawing/2014/chart" uri="{C3380CC4-5D6E-409C-BE32-E72D297353CC}">
              <c16:uniqueId val="{00000000-46B9-4D9B-B5A9-A9537F1AF1D2}"/>
            </c:ext>
          </c:extLst>
        </c:ser>
        <c:dLbls>
          <c:showLegendKey val="0"/>
          <c:showVal val="0"/>
          <c:showCatName val="0"/>
          <c:showSerName val="0"/>
          <c:showPercent val="0"/>
          <c:showBubbleSize val="0"/>
        </c:dLbls>
        <c:gapWidth val="0"/>
        <c:axId val="736050592"/>
        <c:axId val="736042720"/>
      </c:barChart>
      <c:catAx>
        <c:axId val="7360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6042720"/>
        <c:crosses val="autoZero"/>
        <c:auto val="1"/>
        <c:lblAlgn val="ctr"/>
        <c:lblOffset val="100"/>
        <c:noMultiLvlLbl val="0"/>
      </c:catAx>
      <c:valAx>
        <c:axId val="736042720"/>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605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Sheet3!$A$6</c:f>
              <c:strCache>
                <c:ptCount val="1"/>
                <c:pt idx="0">
                  <c:v>Urban</c:v>
                </c:pt>
              </c:strCache>
            </c:strRef>
          </c:tx>
          <c:spPr>
            <a:solidFill>
              <a:srgbClr val="FF0000"/>
            </a:solidFill>
            <a:ln>
              <a:solidFill>
                <a:schemeClr val="tx1"/>
              </a:solidFill>
            </a:ln>
            <a:effectLst/>
          </c:spPr>
          <c:invertIfNegative val="0"/>
          <c:cat>
            <c:numRef>
              <c:f>Sheet3!$B$5:$AB$5</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Sheet3!$B$6:$AB$6</c:f>
              <c:numCache>
                <c:formatCode>0.00</c:formatCode>
                <c:ptCount val="27"/>
                <c:pt idx="0">
                  <c:v>0.10350116904198127</c:v>
                </c:pt>
                <c:pt idx="1">
                  <c:v>0.10350116904198127</c:v>
                </c:pt>
                <c:pt idx="2">
                  <c:v>0.10424578176890199</c:v>
                </c:pt>
                <c:pt idx="3">
                  <c:v>0.10499039449582272</c:v>
                </c:pt>
                <c:pt idx="4">
                  <c:v>0.10499039449582272</c:v>
                </c:pt>
                <c:pt idx="5">
                  <c:v>0.10647961994966419</c:v>
                </c:pt>
                <c:pt idx="6">
                  <c:v>0.10647961994966419</c:v>
                </c:pt>
                <c:pt idx="7">
                  <c:v>0.10722423267658492</c:v>
                </c:pt>
                <c:pt idx="8">
                  <c:v>0.10796884540350564</c:v>
                </c:pt>
                <c:pt idx="9">
                  <c:v>0.10796884540350564</c:v>
                </c:pt>
                <c:pt idx="10">
                  <c:v>0.10796884540350564</c:v>
                </c:pt>
                <c:pt idx="11">
                  <c:v>0.10796884540350564</c:v>
                </c:pt>
                <c:pt idx="12">
                  <c:v>0.10796884540350564</c:v>
                </c:pt>
                <c:pt idx="13">
                  <c:v>0.10796884540350564</c:v>
                </c:pt>
                <c:pt idx="14">
                  <c:v>0.11020268358426781</c:v>
                </c:pt>
                <c:pt idx="15">
                  <c:v>0.11541497267271292</c:v>
                </c:pt>
                <c:pt idx="16">
                  <c:v>0.11764881085347512</c:v>
                </c:pt>
                <c:pt idx="17">
                  <c:v>0.12211648721499949</c:v>
                </c:pt>
                <c:pt idx="18">
                  <c:v>0.1258395508496031</c:v>
                </c:pt>
                <c:pt idx="19">
                  <c:v>0.12956261448420675</c:v>
                </c:pt>
                <c:pt idx="20">
                  <c:v>0.13998719266109697</c:v>
                </c:pt>
                <c:pt idx="21">
                  <c:v>0.17126092719176755</c:v>
                </c:pt>
                <c:pt idx="22">
                  <c:v>0.19806698536091377</c:v>
                </c:pt>
                <c:pt idx="23">
                  <c:v>0.216682303533932</c:v>
                </c:pt>
                <c:pt idx="24">
                  <c:v>0.22561765625698074</c:v>
                </c:pt>
                <c:pt idx="25">
                  <c:v>0.22859610716466366</c:v>
                </c:pt>
                <c:pt idx="26">
                  <c:v>0.22859610716466366</c:v>
                </c:pt>
              </c:numCache>
            </c:numRef>
          </c:val>
          <c:extLst>
            <c:ext xmlns:c16="http://schemas.microsoft.com/office/drawing/2014/chart" uri="{C3380CC4-5D6E-409C-BE32-E72D297353CC}">
              <c16:uniqueId val="{00000000-1407-4E2A-B1BD-79756ADF82DF}"/>
            </c:ext>
          </c:extLst>
        </c:ser>
        <c:dLbls>
          <c:showLegendKey val="0"/>
          <c:showVal val="0"/>
          <c:showCatName val="0"/>
          <c:showSerName val="0"/>
          <c:showPercent val="0"/>
          <c:showBubbleSize val="0"/>
        </c:dLbls>
        <c:gapWidth val="0"/>
        <c:axId val="733495880"/>
        <c:axId val="733499160"/>
      </c:barChart>
      <c:catAx>
        <c:axId val="73349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3499160"/>
        <c:crosses val="autoZero"/>
        <c:auto val="1"/>
        <c:lblAlgn val="ctr"/>
        <c:lblOffset val="100"/>
        <c:noMultiLvlLbl val="0"/>
      </c:catAx>
      <c:valAx>
        <c:axId val="733499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33495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Sheet3!$A$8</c:f>
              <c:strCache>
                <c:ptCount val="1"/>
                <c:pt idx="0">
                  <c:v>Water</c:v>
                </c:pt>
              </c:strCache>
            </c:strRef>
          </c:tx>
          <c:spPr>
            <a:solidFill>
              <a:srgbClr val="00B0F0"/>
            </a:solidFill>
            <a:ln>
              <a:solidFill>
                <a:schemeClr val="tx1"/>
              </a:solidFill>
            </a:ln>
            <a:effectLst/>
          </c:spPr>
          <c:invertIfNegative val="0"/>
          <c:cat>
            <c:numRef>
              <c:f>Sheet3!$B$7:$AB$7</c:f>
              <c:numCache>
                <c:formatCode>General</c:formatCode>
                <c:ptCount val="2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Sheet3!$B$8:$AB$8</c:f>
              <c:numCache>
                <c:formatCode>0.00</c:formatCode>
                <c:ptCount val="27"/>
                <c:pt idx="0">
                  <c:v>0.38570939254493736</c:v>
                </c:pt>
                <c:pt idx="1">
                  <c:v>0.38570939254493736</c:v>
                </c:pt>
                <c:pt idx="2">
                  <c:v>0.38570939254493736</c:v>
                </c:pt>
                <c:pt idx="3">
                  <c:v>0.38570939254493736</c:v>
                </c:pt>
                <c:pt idx="4">
                  <c:v>0.38570939254493736</c:v>
                </c:pt>
                <c:pt idx="5">
                  <c:v>0.38570939254493736</c:v>
                </c:pt>
                <c:pt idx="6">
                  <c:v>0.38570939254493736</c:v>
                </c:pt>
                <c:pt idx="7">
                  <c:v>0.38570939254493736</c:v>
                </c:pt>
                <c:pt idx="8">
                  <c:v>0.38570939254493736</c:v>
                </c:pt>
                <c:pt idx="9">
                  <c:v>0.38570939254493736</c:v>
                </c:pt>
                <c:pt idx="10">
                  <c:v>0.38570939254493736</c:v>
                </c:pt>
                <c:pt idx="11">
                  <c:v>0.38570939254493736</c:v>
                </c:pt>
                <c:pt idx="12">
                  <c:v>0.38570939254493736</c:v>
                </c:pt>
                <c:pt idx="13">
                  <c:v>0.38570939254493736</c:v>
                </c:pt>
                <c:pt idx="14">
                  <c:v>0.38570939254493736</c:v>
                </c:pt>
                <c:pt idx="15">
                  <c:v>0.38570939254493736</c:v>
                </c:pt>
                <c:pt idx="16">
                  <c:v>0.38570939254493736</c:v>
                </c:pt>
                <c:pt idx="17">
                  <c:v>0.38570939254493736</c:v>
                </c:pt>
                <c:pt idx="18">
                  <c:v>0.38570939254493736</c:v>
                </c:pt>
                <c:pt idx="19">
                  <c:v>0.38570939254493736</c:v>
                </c:pt>
                <c:pt idx="20">
                  <c:v>0.38496477981801663</c:v>
                </c:pt>
                <c:pt idx="21">
                  <c:v>0.38496477981801663</c:v>
                </c:pt>
                <c:pt idx="22">
                  <c:v>0.38422016709109591</c:v>
                </c:pt>
                <c:pt idx="23">
                  <c:v>0.38422016709109591</c:v>
                </c:pt>
                <c:pt idx="24">
                  <c:v>0.38422016709109591</c:v>
                </c:pt>
                <c:pt idx="25">
                  <c:v>0.38422016709109591</c:v>
                </c:pt>
                <c:pt idx="26">
                  <c:v>0.38422016709109591</c:v>
                </c:pt>
              </c:numCache>
            </c:numRef>
          </c:val>
          <c:extLst>
            <c:ext xmlns:c16="http://schemas.microsoft.com/office/drawing/2014/chart" uri="{C3380CC4-5D6E-409C-BE32-E72D297353CC}">
              <c16:uniqueId val="{00000000-AB6A-403B-BCE6-3DC075FB2A19}"/>
            </c:ext>
          </c:extLst>
        </c:ser>
        <c:dLbls>
          <c:showLegendKey val="0"/>
          <c:showVal val="0"/>
          <c:showCatName val="0"/>
          <c:showSerName val="0"/>
          <c:showPercent val="0"/>
          <c:showBubbleSize val="0"/>
        </c:dLbls>
        <c:gapWidth val="0"/>
        <c:axId val="747588288"/>
        <c:axId val="747587304"/>
      </c:barChart>
      <c:catAx>
        <c:axId val="7475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47587304"/>
        <c:crosses val="autoZero"/>
        <c:auto val="1"/>
        <c:lblAlgn val="ctr"/>
        <c:lblOffset val="100"/>
        <c:noMultiLvlLbl val="0"/>
      </c:catAx>
      <c:valAx>
        <c:axId val="747587304"/>
        <c:scaling>
          <c:orientation val="minMax"/>
          <c:max val="0.4"/>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747588288"/>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49103441509"/>
          <c:y val="2.4263261296660101E-2"/>
          <c:w val="0.80881192421040804"/>
          <c:h val="0.86676850806222905"/>
        </c:manualLayout>
      </c:layout>
      <c:barChart>
        <c:barDir val="col"/>
        <c:grouping val="clustered"/>
        <c:varyColors val="0"/>
        <c:ser>
          <c:idx val="0"/>
          <c:order val="0"/>
          <c:tx>
            <c:strRef>
              <c:f>Sheet1!$D$18</c:f>
              <c:strCache>
                <c:ptCount val="1"/>
                <c:pt idx="0">
                  <c:v>RF</c:v>
                </c:pt>
              </c:strCache>
            </c:strRef>
          </c:tx>
          <c:spPr>
            <a:solidFill>
              <a:schemeClr val="tx2">
                <a:lumMod val="40000"/>
                <a:lumOff val="60000"/>
              </a:schemeClr>
            </a:solidFill>
            <a:ln>
              <a:noFill/>
            </a:ln>
            <a:effectLst/>
          </c:spPr>
          <c:invertIfNegative val="0"/>
          <c:trendline>
            <c:spPr>
              <a:ln w="12700" cap="rnd">
                <a:solidFill>
                  <a:schemeClr val="tx2">
                    <a:lumMod val="60000"/>
                    <a:lumOff val="40000"/>
                  </a:schemeClr>
                </a:solidFill>
                <a:prstDash val="sysDot"/>
              </a:ln>
              <a:effectLst/>
            </c:spPr>
            <c:trendlineType val="linear"/>
            <c:dispRSqr val="0"/>
            <c:dispEq val="0"/>
          </c:trendline>
          <c:cat>
            <c:numRef>
              <c:f>Sheet1!$C$19:$C$58</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Sheet1!$D$19:$D$58</c:f>
              <c:numCache>
                <c:formatCode>General</c:formatCode>
                <c:ptCount val="40"/>
                <c:pt idx="0">
                  <c:v>2174.1</c:v>
                </c:pt>
                <c:pt idx="1">
                  <c:v>2124.37857142857</c:v>
                </c:pt>
                <c:pt idx="2">
                  <c:v>1934.65</c:v>
                </c:pt>
                <c:pt idx="3">
                  <c:v>2157.0500000000002</c:v>
                </c:pt>
                <c:pt idx="4">
                  <c:v>1873.07142857143</c:v>
                </c:pt>
                <c:pt idx="5">
                  <c:v>2280.5285714285701</c:v>
                </c:pt>
                <c:pt idx="6">
                  <c:v>2474.1642857142901</c:v>
                </c:pt>
                <c:pt idx="7">
                  <c:v>2307.2071428571398</c:v>
                </c:pt>
                <c:pt idx="8">
                  <c:v>2195.2285714285699</c:v>
                </c:pt>
                <c:pt idx="9">
                  <c:v>2879.5571428571402</c:v>
                </c:pt>
                <c:pt idx="10">
                  <c:v>2101.9785714285699</c:v>
                </c:pt>
                <c:pt idx="11">
                  <c:v>2455.4499999999998</c:v>
                </c:pt>
                <c:pt idx="12">
                  <c:v>2441.7642857142901</c:v>
                </c:pt>
                <c:pt idx="13">
                  <c:v>2214.5285714285701</c:v>
                </c:pt>
                <c:pt idx="14">
                  <c:v>3187.25714285714</c:v>
                </c:pt>
                <c:pt idx="15">
                  <c:v>2945.8285714285698</c:v>
                </c:pt>
                <c:pt idx="16">
                  <c:v>2751.1</c:v>
                </c:pt>
                <c:pt idx="17">
                  <c:v>2641.1071428571399</c:v>
                </c:pt>
                <c:pt idx="18">
                  <c:v>2264.11428571429</c:v>
                </c:pt>
                <c:pt idx="19">
                  <c:v>2482.9214285714302</c:v>
                </c:pt>
                <c:pt idx="20">
                  <c:v>3024.36428571429</c:v>
                </c:pt>
                <c:pt idx="21">
                  <c:v>2940.86428571429</c:v>
                </c:pt>
                <c:pt idx="22">
                  <c:v>2847.86428571428</c:v>
                </c:pt>
                <c:pt idx="23">
                  <c:v>2165.3142857142898</c:v>
                </c:pt>
                <c:pt idx="24">
                  <c:v>2521.2214285714299</c:v>
                </c:pt>
                <c:pt idx="25">
                  <c:v>2194.4714285714299</c:v>
                </c:pt>
                <c:pt idx="26">
                  <c:v>2274.85</c:v>
                </c:pt>
                <c:pt idx="27">
                  <c:v>2260.5714285714298</c:v>
                </c:pt>
                <c:pt idx="28">
                  <c:v>2478.7785714285701</c:v>
                </c:pt>
                <c:pt idx="29">
                  <c:v>2762.55</c:v>
                </c:pt>
                <c:pt idx="30">
                  <c:v>2658.3</c:v>
                </c:pt>
                <c:pt idx="31">
                  <c:v>2565.0714285714298</c:v>
                </c:pt>
                <c:pt idx="32">
                  <c:v>2911.2785714285701</c:v>
                </c:pt>
                <c:pt idx="33">
                  <c:v>2554.86428571429</c:v>
                </c:pt>
                <c:pt idx="34">
                  <c:v>2528.86428571429</c:v>
                </c:pt>
                <c:pt idx="35">
                  <c:v>3011.1428571428601</c:v>
                </c:pt>
                <c:pt idx="36">
                  <c:v>1882.8928571428601</c:v>
                </c:pt>
                <c:pt idx="37">
                  <c:v>1791.1</c:v>
                </c:pt>
                <c:pt idx="38">
                  <c:v>2819.3</c:v>
                </c:pt>
                <c:pt idx="39">
                  <c:v>2042.65</c:v>
                </c:pt>
              </c:numCache>
            </c:numRef>
          </c:val>
          <c:extLst>
            <c:ext xmlns:c16="http://schemas.microsoft.com/office/drawing/2014/chart" uri="{C3380CC4-5D6E-409C-BE32-E72D297353CC}">
              <c16:uniqueId val="{00000001-2E49-4774-BC5F-C6C6F47C742B}"/>
            </c:ext>
          </c:extLst>
        </c:ser>
        <c:dLbls>
          <c:showLegendKey val="0"/>
          <c:showVal val="0"/>
          <c:showCatName val="0"/>
          <c:showSerName val="0"/>
          <c:showPercent val="0"/>
          <c:showBubbleSize val="0"/>
        </c:dLbls>
        <c:gapWidth val="30"/>
        <c:axId val="576464472"/>
        <c:axId val="576468736"/>
      </c:barChart>
      <c:lineChart>
        <c:grouping val="standard"/>
        <c:varyColors val="0"/>
        <c:ser>
          <c:idx val="1"/>
          <c:order val="1"/>
          <c:tx>
            <c:strRef>
              <c:f>Sheet1!$E$18</c:f>
              <c:strCache>
                <c:ptCount val="1"/>
                <c:pt idx="0">
                  <c:v>Tmin</c:v>
                </c:pt>
              </c:strCache>
            </c:strRef>
          </c:tx>
          <c:spPr>
            <a:ln w="12700" cap="rnd">
              <a:solidFill>
                <a:srgbClr val="0070C0"/>
              </a:solidFill>
              <a:round/>
            </a:ln>
            <a:effectLst/>
          </c:spPr>
          <c:marker>
            <c:symbol val="none"/>
          </c:marker>
          <c:trendline>
            <c:spPr>
              <a:ln w="9525" cap="rnd">
                <a:solidFill>
                  <a:srgbClr val="002060"/>
                </a:solidFill>
                <a:prstDash val="sysDot"/>
              </a:ln>
              <a:effectLst/>
            </c:spPr>
            <c:trendlineType val="linear"/>
            <c:dispRSqr val="0"/>
            <c:dispEq val="0"/>
          </c:trendline>
          <c:cat>
            <c:numRef>
              <c:f>Sheet1!$C$19:$C$58</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Sheet1!$E$19:$E$58</c:f>
              <c:numCache>
                <c:formatCode>General</c:formatCode>
                <c:ptCount val="40"/>
                <c:pt idx="0">
                  <c:v>22.1572602739726</c:v>
                </c:pt>
                <c:pt idx="1">
                  <c:v>22.4857012750455</c:v>
                </c:pt>
                <c:pt idx="2">
                  <c:v>22.4447488584475</c:v>
                </c:pt>
                <c:pt idx="3">
                  <c:v>21.771141552511398</c:v>
                </c:pt>
                <c:pt idx="4">
                  <c:v>22.764840182648399</c:v>
                </c:pt>
                <c:pt idx="5">
                  <c:v>22.265412920853201</c:v>
                </c:pt>
                <c:pt idx="6">
                  <c:v>22.428767123287699</c:v>
                </c:pt>
                <c:pt idx="7">
                  <c:v>22.648424657534299</c:v>
                </c:pt>
                <c:pt idx="8">
                  <c:v>22.802739726027401</c:v>
                </c:pt>
                <c:pt idx="9">
                  <c:v>22.8344262295082</c:v>
                </c:pt>
                <c:pt idx="10">
                  <c:v>22.376232876712301</c:v>
                </c:pt>
                <c:pt idx="11">
                  <c:v>22.609383561643799</c:v>
                </c:pt>
                <c:pt idx="12">
                  <c:v>22.734315068493199</c:v>
                </c:pt>
                <c:pt idx="13">
                  <c:v>22.7454918032787</c:v>
                </c:pt>
                <c:pt idx="14">
                  <c:v>22.5913698630137</c:v>
                </c:pt>
                <c:pt idx="15">
                  <c:v>22.643972602739701</c:v>
                </c:pt>
                <c:pt idx="16">
                  <c:v>22.840273972602699</c:v>
                </c:pt>
                <c:pt idx="17">
                  <c:v>22.589890710382502</c:v>
                </c:pt>
                <c:pt idx="18">
                  <c:v>22.846643835616401</c:v>
                </c:pt>
                <c:pt idx="19">
                  <c:v>23.5555479452055</c:v>
                </c:pt>
                <c:pt idx="20">
                  <c:v>22.919178082191799</c:v>
                </c:pt>
                <c:pt idx="21">
                  <c:v>23.0487704918033</c:v>
                </c:pt>
                <c:pt idx="22">
                  <c:v>23.177739726027401</c:v>
                </c:pt>
                <c:pt idx="23">
                  <c:v>23.1832876712329</c:v>
                </c:pt>
                <c:pt idx="24">
                  <c:v>23.280479452054799</c:v>
                </c:pt>
                <c:pt idx="25">
                  <c:v>23.232308743169401</c:v>
                </c:pt>
                <c:pt idx="26">
                  <c:v>23.038356164383501</c:v>
                </c:pt>
                <c:pt idx="27">
                  <c:v>23.082260273972601</c:v>
                </c:pt>
                <c:pt idx="28">
                  <c:v>23.218561643835599</c:v>
                </c:pt>
                <c:pt idx="29">
                  <c:v>22.969808743169398</c:v>
                </c:pt>
                <c:pt idx="30">
                  <c:v>22.9120547945206</c:v>
                </c:pt>
                <c:pt idx="31">
                  <c:v>23.313561643835602</c:v>
                </c:pt>
                <c:pt idx="32">
                  <c:v>23.080205479452101</c:v>
                </c:pt>
                <c:pt idx="33">
                  <c:v>23.365437158469899</c:v>
                </c:pt>
                <c:pt idx="34">
                  <c:v>23.444863013698601</c:v>
                </c:pt>
                <c:pt idx="35">
                  <c:v>22.861780821917801</c:v>
                </c:pt>
                <c:pt idx="36">
                  <c:v>23.253219178082201</c:v>
                </c:pt>
                <c:pt idx="37">
                  <c:v>23.632172131147499</c:v>
                </c:pt>
                <c:pt idx="38">
                  <c:v>23.8434246575342</c:v>
                </c:pt>
                <c:pt idx="39">
                  <c:v>23.934520547945201</c:v>
                </c:pt>
              </c:numCache>
            </c:numRef>
          </c:val>
          <c:smooth val="0"/>
          <c:extLst>
            <c:ext xmlns:c16="http://schemas.microsoft.com/office/drawing/2014/chart" uri="{C3380CC4-5D6E-409C-BE32-E72D297353CC}">
              <c16:uniqueId val="{00000003-2E49-4774-BC5F-C6C6F47C742B}"/>
            </c:ext>
          </c:extLst>
        </c:ser>
        <c:ser>
          <c:idx val="2"/>
          <c:order val="2"/>
          <c:tx>
            <c:strRef>
              <c:f>Sheet1!$F$18</c:f>
              <c:strCache>
                <c:ptCount val="1"/>
                <c:pt idx="0">
                  <c:v>Tmax</c:v>
                </c:pt>
              </c:strCache>
            </c:strRef>
          </c:tx>
          <c:spPr>
            <a:ln w="12700" cap="rnd">
              <a:solidFill>
                <a:srgbClr val="FF0000"/>
              </a:solidFill>
              <a:round/>
            </a:ln>
            <a:effectLst/>
          </c:spPr>
          <c:marker>
            <c:symbol val="none"/>
          </c:marker>
          <c:trendline>
            <c:spPr>
              <a:ln w="9525" cap="rnd">
                <a:solidFill>
                  <a:srgbClr val="FF0000"/>
                </a:solidFill>
                <a:prstDash val="sysDot"/>
              </a:ln>
              <a:effectLst/>
            </c:spPr>
            <c:trendlineType val="linear"/>
            <c:dispRSqr val="0"/>
            <c:dispEq val="0"/>
          </c:trendline>
          <c:cat>
            <c:numRef>
              <c:f>Sheet1!$C$19:$C$58</c:f>
              <c:numCache>
                <c:formatCode>General</c:formatCode>
                <c:ptCount val="40"/>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numCache>
            </c:numRef>
          </c:cat>
          <c:val>
            <c:numRef>
              <c:f>Sheet1!$F$19:$F$58</c:f>
              <c:numCache>
                <c:formatCode>General</c:formatCode>
                <c:ptCount val="40"/>
                <c:pt idx="0">
                  <c:v>27.108584474885799</c:v>
                </c:pt>
                <c:pt idx="1">
                  <c:v>27.136065573770502</c:v>
                </c:pt>
                <c:pt idx="2">
                  <c:v>27.1962557077625</c:v>
                </c:pt>
                <c:pt idx="3">
                  <c:v>26.764474885844699</c:v>
                </c:pt>
                <c:pt idx="4">
                  <c:v>27.603926940639301</c:v>
                </c:pt>
                <c:pt idx="5">
                  <c:v>26.506606953992598</c:v>
                </c:pt>
                <c:pt idx="6">
                  <c:v>27.093664383561599</c:v>
                </c:pt>
                <c:pt idx="7">
                  <c:v>27.3661301369863</c:v>
                </c:pt>
                <c:pt idx="8">
                  <c:v>27.590787671232899</c:v>
                </c:pt>
                <c:pt idx="9">
                  <c:v>27.404200819672099</c:v>
                </c:pt>
                <c:pt idx="10">
                  <c:v>27.1846917808219</c:v>
                </c:pt>
                <c:pt idx="11">
                  <c:v>27.449897260274</c:v>
                </c:pt>
                <c:pt idx="12">
                  <c:v>27.445650684931501</c:v>
                </c:pt>
                <c:pt idx="13">
                  <c:v>27.529713114754099</c:v>
                </c:pt>
                <c:pt idx="14">
                  <c:v>27.293082191780801</c:v>
                </c:pt>
                <c:pt idx="15">
                  <c:v>27.274486301369901</c:v>
                </c:pt>
                <c:pt idx="16">
                  <c:v>27.529897260274002</c:v>
                </c:pt>
                <c:pt idx="17">
                  <c:v>27.487534153005502</c:v>
                </c:pt>
                <c:pt idx="18">
                  <c:v>27.592979452054799</c:v>
                </c:pt>
                <c:pt idx="19">
                  <c:v>28.323150684931498</c:v>
                </c:pt>
                <c:pt idx="20">
                  <c:v>27.3757191780822</c:v>
                </c:pt>
                <c:pt idx="21">
                  <c:v>27.5561816939891</c:v>
                </c:pt>
                <c:pt idx="22">
                  <c:v>27.753801369863002</c:v>
                </c:pt>
                <c:pt idx="23">
                  <c:v>27.886267123287698</c:v>
                </c:pt>
                <c:pt idx="24">
                  <c:v>27.659657534246598</c:v>
                </c:pt>
                <c:pt idx="25">
                  <c:v>27.761782786885199</c:v>
                </c:pt>
                <c:pt idx="26">
                  <c:v>27.690787671232901</c:v>
                </c:pt>
                <c:pt idx="27">
                  <c:v>27.601917808219198</c:v>
                </c:pt>
                <c:pt idx="28">
                  <c:v>27.431095890411001</c:v>
                </c:pt>
                <c:pt idx="29">
                  <c:v>27.262295081967199</c:v>
                </c:pt>
                <c:pt idx="30">
                  <c:v>27.294486301369901</c:v>
                </c:pt>
                <c:pt idx="31">
                  <c:v>27.8743493150685</c:v>
                </c:pt>
                <c:pt idx="32">
                  <c:v>27.398082191780901</c:v>
                </c:pt>
                <c:pt idx="33">
                  <c:v>27.750990437158499</c:v>
                </c:pt>
                <c:pt idx="34">
                  <c:v>27.722089041095899</c:v>
                </c:pt>
                <c:pt idx="35">
                  <c:v>27.523630136986299</c:v>
                </c:pt>
                <c:pt idx="36">
                  <c:v>27.872020547945201</c:v>
                </c:pt>
                <c:pt idx="37">
                  <c:v>28.115334699453499</c:v>
                </c:pt>
                <c:pt idx="38">
                  <c:v>27.710547945205501</c:v>
                </c:pt>
                <c:pt idx="39">
                  <c:v>28.018767123287699</c:v>
                </c:pt>
              </c:numCache>
            </c:numRef>
          </c:val>
          <c:smooth val="0"/>
          <c:extLst>
            <c:ext xmlns:c16="http://schemas.microsoft.com/office/drawing/2014/chart" uri="{C3380CC4-5D6E-409C-BE32-E72D297353CC}">
              <c16:uniqueId val="{00000005-2E49-4774-BC5F-C6C6F47C742B}"/>
            </c:ext>
          </c:extLst>
        </c:ser>
        <c:dLbls>
          <c:showLegendKey val="0"/>
          <c:showVal val="0"/>
          <c:showCatName val="0"/>
          <c:showSerName val="0"/>
          <c:showPercent val="0"/>
          <c:showBubbleSize val="0"/>
        </c:dLbls>
        <c:marker val="1"/>
        <c:smooth val="0"/>
        <c:axId val="604060808"/>
        <c:axId val="604058184"/>
      </c:lineChart>
      <c:catAx>
        <c:axId val="57646447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76468736"/>
        <c:crosses val="autoZero"/>
        <c:auto val="1"/>
        <c:lblAlgn val="ctr"/>
        <c:lblOffset val="100"/>
        <c:tickLblSkip val="1"/>
        <c:noMultiLvlLbl val="0"/>
      </c:catAx>
      <c:valAx>
        <c:axId val="5764687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MY"/>
                  <a:t>Rainfall (mm)</a:t>
                </a:r>
              </a:p>
            </c:rich>
          </c:tx>
          <c:layout>
            <c:manualLayout>
              <c:xMode val="edge"/>
              <c:yMode val="edge"/>
              <c:x val="4.4503782821539804E-3"/>
              <c:y val="0.375649593407897"/>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576464472"/>
        <c:crosses val="autoZero"/>
        <c:crossBetween val="between"/>
      </c:valAx>
      <c:catAx>
        <c:axId val="604060808"/>
        <c:scaling>
          <c:orientation val="minMax"/>
        </c:scaling>
        <c:delete val="1"/>
        <c:axPos val="b"/>
        <c:numFmt formatCode="General" sourceLinked="1"/>
        <c:majorTickMark val="out"/>
        <c:minorTickMark val="none"/>
        <c:tickLblPos val="nextTo"/>
        <c:crossAx val="604058184"/>
        <c:crosses val="autoZero"/>
        <c:auto val="1"/>
        <c:lblAlgn val="ctr"/>
        <c:lblOffset val="100"/>
        <c:noMultiLvlLbl val="0"/>
      </c:catAx>
      <c:valAx>
        <c:axId val="604058184"/>
        <c:scaling>
          <c:orientation val="minMax"/>
          <c:min val="21"/>
        </c:scaling>
        <c:delete val="0"/>
        <c:axPos val="r"/>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MY"/>
                  <a:t>Temperature (°C)</a:t>
                </a:r>
              </a:p>
            </c:rich>
          </c:tx>
          <c:layout>
            <c:manualLayout>
              <c:xMode val="edge"/>
              <c:yMode val="edge"/>
              <c:x val="0.96616591150405295"/>
              <c:y val="0.36263374740240001"/>
            </c:manualLayout>
          </c:layout>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604060808"/>
        <c:crosses val="max"/>
        <c:crossBetween val="between"/>
      </c:valAx>
      <c:spPr>
        <a:noFill/>
        <a:ln>
          <a:solidFill>
            <a:schemeClr val="tx1"/>
          </a:solidFill>
        </a:ln>
        <a:effectLst/>
      </c:spPr>
    </c:plotArea>
    <c:legend>
      <c:legendPos val="b"/>
      <c:layout>
        <c:manualLayout>
          <c:xMode val="edge"/>
          <c:yMode val="edge"/>
          <c:x val="0.22414365260417199"/>
          <c:y val="2.7779486548556401E-2"/>
          <c:w val="0.61085648492051703"/>
          <c:h val="5.5255789489968003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a:solidFill>
            <a:sysClr val="windowText" lastClr="000000"/>
          </a:solidFill>
          <a:latin typeface="Times New Roman" panose="02020603050405020304" charset="0"/>
          <a:cs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D2CE151-E7DE-4D40-AC12-CDE4914D92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2142</TotalTime>
  <Pages>27</Pages>
  <Words>13437</Words>
  <Characters>76592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Kwok Chun</cp:lastModifiedBy>
  <cp:revision>16</cp:revision>
  <cp:lastPrinted>2020-12-08T11:05:00Z</cp:lastPrinted>
  <dcterms:created xsi:type="dcterms:W3CDTF">2021-06-02T14:10:00Z</dcterms:created>
  <dcterms:modified xsi:type="dcterms:W3CDTF">2022-03-01T12:36:00Z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