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61" w:rsidRDefault="009A5961" w:rsidP="009A5961">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Evaluating undergraduate research conferences as vehicles for novice researchers and transferable skills development</w:t>
      </w:r>
    </w:p>
    <w:p w:rsidR="009A5961" w:rsidRDefault="009A5961" w:rsidP="009A5961">
      <w:pPr>
        <w:pStyle w:val="BodyA"/>
        <w:spacing w:after="0"/>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 xml:space="preserve">*Kneale, Pauline. E. </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Pro Vice-Chancellor Teaching and Learning</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Plymouth University,</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3 </w:t>
      </w:r>
      <w:proofErr w:type="spellStart"/>
      <w:r>
        <w:rPr>
          <w:rStyle w:val="hlfld-contribauthor"/>
          <w:rFonts w:ascii="Times New Roman" w:hAnsi="Times New Roman"/>
          <w:sz w:val="24"/>
          <w:szCs w:val="24"/>
        </w:rPr>
        <w:t>Endsleigh</w:t>
      </w:r>
      <w:proofErr w:type="spellEnd"/>
      <w:r>
        <w:rPr>
          <w:rStyle w:val="hlfld-contribauthor"/>
          <w:rFonts w:ascii="Times New Roman" w:hAnsi="Times New Roman"/>
          <w:sz w:val="24"/>
          <w:szCs w:val="24"/>
        </w:rPr>
        <w:t xml:space="preserve"> Place, </w:t>
      </w:r>
    </w:p>
    <w:p w:rsidR="009A5961" w:rsidRDefault="009A5961" w:rsidP="009A5961">
      <w:pPr>
        <w:pStyle w:val="BodyA"/>
        <w:spacing w:after="0"/>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Plymouth  PL4</w:t>
      </w:r>
      <w:proofErr w:type="gramEnd"/>
      <w:r>
        <w:rPr>
          <w:rStyle w:val="hlfld-contribauthor"/>
          <w:rFonts w:ascii="Times New Roman" w:hAnsi="Times New Roman"/>
          <w:sz w:val="24"/>
          <w:szCs w:val="24"/>
        </w:rPr>
        <w:t xml:space="preserve"> 8AA  UK</w:t>
      </w:r>
    </w:p>
    <w:p w:rsidR="009A5961" w:rsidRDefault="009A5961" w:rsidP="009A5961">
      <w:pPr>
        <w:pStyle w:val="BodyA"/>
        <w:spacing w:after="0"/>
        <w:rPr>
          <w:rFonts w:ascii="Times New Roman" w:eastAsia="Times New Roman" w:hAnsi="Times New Roman" w:cs="Times New Roman"/>
          <w:sz w:val="24"/>
          <w:szCs w:val="24"/>
        </w:rPr>
      </w:pPr>
    </w:p>
    <w:p w:rsidR="009A5961" w:rsidRPr="005C58B6" w:rsidRDefault="009A5961" w:rsidP="009A5961">
      <w:pPr>
        <w:pStyle w:val="BodyA"/>
        <w:spacing w:after="0"/>
        <w:rPr>
          <w:rStyle w:val="hlfld-contribauthor"/>
          <w:rFonts w:ascii="Times New Roman" w:eastAsia="Times New Roman" w:hAnsi="Times New Roman" w:cs="Times New Roman"/>
          <w:sz w:val="24"/>
          <w:szCs w:val="24"/>
          <w:lang w:val="de-DE"/>
        </w:rPr>
      </w:pPr>
      <w:r w:rsidRPr="005C58B6">
        <w:rPr>
          <w:rStyle w:val="hlfld-contribauthor"/>
          <w:rFonts w:ascii="Times New Roman" w:hAnsi="Times New Roman"/>
          <w:sz w:val="24"/>
          <w:szCs w:val="24"/>
          <w:lang w:val="de-DE"/>
        </w:rPr>
        <w:t xml:space="preserve">Tel + 00 44 1752 584881  </w:t>
      </w:r>
    </w:p>
    <w:p w:rsidR="009A5961" w:rsidRPr="005C58B6" w:rsidRDefault="009A5961" w:rsidP="009A5961">
      <w:pPr>
        <w:pStyle w:val="BodyA"/>
        <w:spacing w:after="0"/>
        <w:rPr>
          <w:rStyle w:val="hlfld-contribauthor"/>
          <w:rFonts w:ascii="Times New Roman" w:eastAsia="Times New Roman" w:hAnsi="Times New Roman" w:cs="Times New Roman"/>
          <w:sz w:val="24"/>
          <w:szCs w:val="24"/>
          <w:lang w:val="de-DE"/>
        </w:rPr>
      </w:pPr>
      <w:r w:rsidRPr="005C58B6">
        <w:rPr>
          <w:rStyle w:val="hlfld-contribauthor"/>
          <w:rFonts w:ascii="Times New Roman" w:hAnsi="Times New Roman"/>
          <w:sz w:val="24"/>
          <w:szCs w:val="24"/>
          <w:lang w:val="de-DE"/>
        </w:rPr>
        <w:t xml:space="preserve">pauline.kneale@plymouth.ac.uk  </w:t>
      </w:r>
    </w:p>
    <w:p w:rsidR="009A5961" w:rsidRPr="005C58B6" w:rsidRDefault="009A5961" w:rsidP="009A5961">
      <w:pPr>
        <w:pStyle w:val="BodyA"/>
        <w:spacing w:after="0"/>
        <w:rPr>
          <w:rFonts w:ascii="Times New Roman" w:eastAsia="Times New Roman" w:hAnsi="Times New Roman" w:cs="Times New Roman"/>
          <w:sz w:val="24"/>
          <w:szCs w:val="24"/>
          <w:lang w:val="de-DE"/>
        </w:rPr>
      </w:pPr>
    </w:p>
    <w:p w:rsidR="009A5961" w:rsidRPr="007605AB" w:rsidRDefault="00B47387" w:rsidP="009A5961">
      <w:pPr>
        <w:pStyle w:val="BodyA"/>
        <w:spacing w:after="0"/>
        <w:rPr>
          <w:rStyle w:val="hlfld-contribauthor"/>
          <w:rFonts w:ascii="Times New Roman" w:eastAsia="Times New Roman" w:hAnsi="Times New Roman" w:cs="Times New Roman"/>
          <w:b/>
          <w:bCs/>
          <w:sz w:val="24"/>
          <w:szCs w:val="24"/>
          <w:lang w:val="en-GB"/>
        </w:rPr>
      </w:pPr>
      <w:r>
        <w:rPr>
          <w:rStyle w:val="hlfld-contribauthor"/>
          <w:rFonts w:ascii="Times New Roman" w:hAnsi="Times New Roman"/>
          <w:b/>
          <w:bCs/>
          <w:sz w:val="24"/>
          <w:szCs w:val="24"/>
          <w:lang w:val="en-GB"/>
        </w:rPr>
        <w:t>Edwards-Jones, Andrew.</w:t>
      </w:r>
      <w:r w:rsidR="009A5961" w:rsidRPr="007605AB">
        <w:rPr>
          <w:rStyle w:val="hlfld-contribauthor"/>
          <w:rFonts w:ascii="Times New Roman" w:hAnsi="Times New Roman"/>
          <w:b/>
          <w:bCs/>
          <w:sz w:val="24"/>
          <w:szCs w:val="24"/>
          <w:lang w:val="en-GB"/>
        </w:rPr>
        <w:t xml:space="preserve"> </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Plymouth University,</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3 </w:t>
      </w:r>
      <w:proofErr w:type="spellStart"/>
      <w:r>
        <w:rPr>
          <w:rStyle w:val="hlfld-contribauthor"/>
          <w:rFonts w:ascii="Times New Roman" w:hAnsi="Times New Roman"/>
          <w:sz w:val="24"/>
          <w:szCs w:val="24"/>
        </w:rPr>
        <w:t>Endsleigh</w:t>
      </w:r>
      <w:proofErr w:type="spellEnd"/>
      <w:r>
        <w:rPr>
          <w:rStyle w:val="hlfld-contribauthor"/>
          <w:rFonts w:ascii="Times New Roman" w:hAnsi="Times New Roman"/>
          <w:sz w:val="24"/>
          <w:szCs w:val="24"/>
        </w:rPr>
        <w:t xml:space="preserve"> Place, </w:t>
      </w:r>
    </w:p>
    <w:p w:rsidR="009A5961" w:rsidRDefault="009A5961" w:rsidP="009A5961">
      <w:pPr>
        <w:pStyle w:val="BodyA"/>
        <w:spacing w:after="0"/>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Plymouth  PL4</w:t>
      </w:r>
      <w:proofErr w:type="gramEnd"/>
      <w:r>
        <w:rPr>
          <w:rStyle w:val="hlfld-contribauthor"/>
          <w:rFonts w:ascii="Times New Roman" w:hAnsi="Times New Roman"/>
          <w:sz w:val="24"/>
          <w:szCs w:val="24"/>
        </w:rPr>
        <w:t xml:space="preserve"> 8AA  UK</w:t>
      </w:r>
    </w:p>
    <w:p w:rsidR="009A5961" w:rsidRDefault="009A5961" w:rsidP="009A5961">
      <w:pPr>
        <w:pStyle w:val="BodyA"/>
        <w:spacing w:after="0"/>
        <w:rPr>
          <w:rFonts w:ascii="Times New Roman" w:eastAsia="Times New Roman" w:hAnsi="Times New Roman" w:cs="Times New Roman"/>
          <w:sz w:val="24"/>
          <w:szCs w:val="24"/>
        </w:rPr>
      </w:pPr>
    </w:p>
    <w:p w:rsidR="009A5961" w:rsidRPr="005C58B6" w:rsidRDefault="009A5961" w:rsidP="009A5961">
      <w:pPr>
        <w:pStyle w:val="BodyA"/>
        <w:spacing w:after="0"/>
        <w:rPr>
          <w:rStyle w:val="hlfld-contribauthor"/>
          <w:rFonts w:ascii="Times New Roman" w:eastAsia="Times New Roman" w:hAnsi="Times New Roman" w:cs="Times New Roman"/>
          <w:sz w:val="24"/>
          <w:szCs w:val="24"/>
          <w:lang w:val="de-DE"/>
        </w:rPr>
      </w:pPr>
      <w:r w:rsidRPr="005C58B6">
        <w:rPr>
          <w:rStyle w:val="hlfld-contribauthor"/>
          <w:rFonts w:ascii="Times New Roman" w:hAnsi="Times New Roman"/>
          <w:sz w:val="24"/>
          <w:szCs w:val="24"/>
          <w:lang w:val="de-DE"/>
        </w:rPr>
        <w:t>Tel + 00 44 1752 584879</w:t>
      </w:r>
    </w:p>
    <w:p w:rsidR="009A5961" w:rsidRPr="005C58B6" w:rsidRDefault="009A5961" w:rsidP="009A5961">
      <w:pPr>
        <w:pStyle w:val="BodyA"/>
        <w:spacing w:after="0"/>
        <w:rPr>
          <w:rStyle w:val="hlfld-contribauthor"/>
          <w:rFonts w:ascii="Times New Roman" w:eastAsia="Times New Roman" w:hAnsi="Times New Roman" w:cs="Times New Roman"/>
          <w:sz w:val="24"/>
          <w:szCs w:val="24"/>
          <w:lang w:val="de-DE"/>
        </w:rPr>
      </w:pPr>
      <w:r w:rsidRPr="005C58B6">
        <w:rPr>
          <w:rStyle w:val="hlfld-contribauthor"/>
          <w:rFonts w:ascii="Times New Roman" w:hAnsi="Times New Roman"/>
          <w:sz w:val="24"/>
          <w:szCs w:val="24"/>
          <w:lang w:val="de-DE"/>
        </w:rPr>
        <w:t>aedwards-jones@plymouth.ac.uk</w:t>
      </w:r>
    </w:p>
    <w:p w:rsidR="009A5961" w:rsidRPr="005C58B6" w:rsidRDefault="009A5961" w:rsidP="009A5961">
      <w:pPr>
        <w:pStyle w:val="BodyA"/>
        <w:spacing w:after="0"/>
        <w:rPr>
          <w:rFonts w:ascii="Times New Roman" w:eastAsia="Times New Roman" w:hAnsi="Times New Roman" w:cs="Times New Roman"/>
          <w:sz w:val="24"/>
          <w:szCs w:val="24"/>
          <w:lang w:val="de-DE"/>
        </w:rPr>
      </w:pPr>
    </w:p>
    <w:p w:rsidR="009A5961" w:rsidRPr="005C58B6" w:rsidRDefault="009A5961" w:rsidP="009A5961">
      <w:pPr>
        <w:pStyle w:val="BodyA"/>
        <w:spacing w:after="0"/>
        <w:rPr>
          <w:rStyle w:val="hlfld-contribauthor"/>
          <w:rFonts w:ascii="Times New Roman" w:eastAsia="Times New Roman" w:hAnsi="Times New Roman" w:cs="Times New Roman"/>
          <w:b/>
          <w:bCs/>
          <w:sz w:val="24"/>
          <w:szCs w:val="24"/>
          <w:lang w:val="en-GB"/>
        </w:rPr>
      </w:pPr>
      <w:r w:rsidRPr="005C58B6">
        <w:rPr>
          <w:rStyle w:val="hlfld-contribauthor"/>
          <w:rFonts w:ascii="Times New Roman" w:hAnsi="Times New Roman"/>
          <w:b/>
          <w:bCs/>
          <w:sz w:val="24"/>
          <w:szCs w:val="24"/>
          <w:lang w:val="en-GB"/>
        </w:rPr>
        <w:t xml:space="preserve">Walkington, Helen.  </w:t>
      </w:r>
    </w:p>
    <w:p w:rsidR="009A5961" w:rsidRDefault="00B47387"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Department of Social Sciences</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Oxford Brookes University</w:t>
      </w:r>
    </w:p>
    <w:p w:rsidR="009A5961" w:rsidRPr="005C58B6" w:rsidRDefault="009A5961" w:rsidP="009A5961">
      <w:pPr>
        <w:pStyle w:val="BodyA"/>
        <w:spacing w:after="0"/>
        <w:rPr>
          <w:rStyle w:val="hlfld-contribauthor"/>
          <w:rFonts w:ascii="Times New Roman" w:eastAsia="Times New Roman" w:hAnsi="Times New Roman" w:cs="Times New Roman"/>
          <w:sz w:val="24"/>
          <w:szCs w:val="24"/>
          <w:lang w:val="en-GB"/>
        </w:rPr>
      </w:pPr>
      <w:r w:rsidRPr="005C58B6">
        <w:rPr>
          <w:rStyle w:val="hlfld-contribauthor"/>
          <w:rFonts w:ascii="Times New Roman" w:hAnsi="Times New Roman"/>
          <w:sz w:val="24"/>
          <w:szCs w:val="24"/>
          <w:lang w:val="en-GB"/>
        </w:rPr>
        <w:t>Oxford OX3 0BP   UK</w:t>
      </w:r>
    </w:p>
    <w:p w:rsidR="009A5961" w:rsidRPr="005C58B6" w:rsidRDefault="009A5961" w:rsidP="009A5961">
      <w:pPr>
        <w:pStyle w:val="BodyA"/>
        <w:spacing w:after="0"/>
        <w:rPr>
          <w:rFonts w:ascii="Times New Roman" w:eastAsia="Times New Roman" w:hAnsi="Times New Roman" w:cs="Times New Roman"/>
          <w:sz w:val="24"/>
          <w:szCs w:val="24"/>
          <w:lang w:val="en-GB"/>
        </w:rPr>
      </w:pPr>
    </w:p>
    <w:p w:rsidR="009A5961" w:rsidRPr="005C58B6" w:rsidRDefault="009A5961" w:rsidP="009A5961">
      <w:pPr>
        <w:pStyle w:val="BodyA"/>
        <w:spacing w:after="0"/>
        <w:rPr>
          <w:rStyle w:val="hlfld-contribauthor"/>
          <w:rFonts w:ascii="Times New Roman" w:eastAsia="Times New Roman" w:hAnsi="Times New Roman" w:cs="Times New Roman"/>
          <w:sz w:val="24"/>
          <w:szCs w:val="24"/>
          <w:lang w:val="en-GB"/>
        </w:rPr>
      </w:pPr>
      <w:r w:rsidRPr="005C58B6">
        <w:rPr>
          <w:rStyle w:val="hlfld-contribauthor"/>
          <w:rFonts w:ascii="Times New Roman" w:hAnsi="Times New Roman"/>
          <w:sz w:val="24"/>
          <w:szCs w:val="24"/>
          <w:lang w:val="en-GB"/>
        </w:rPr>
        <w:t>Tel + 00 44 1865 483185</w:t>
      </w:r>
    </w:p>
    <w:p w:rsidR="009A5961" w:rsidRDefault="00220650" w:rsidP="009A5961">
      <w:pPr>
        <w:pStyle w:val="BodyA"/>
        <w:spacing w:after="0"/>
        <w:rPr>
          <w:rStyle w:val="hlfld-contribauthor"/>
          <w:rFonts w:ascii="Times New Roman" w:eastAsia="Times New Roman" w:hAnsi="Times New Roman" w:cs="Times New Roman"/>
          <w:sz w:val="24"/>
          <w:szCs w:val="24"/>
        </w:rPr>
      </w:pPr>
      <w:hyperlink r:id="rId7" w:history="1">
        <w:r w:rsidR="009A5961">
          <w:rPr>
            <w:rStyle w:val="Hyperlink0"/>
            <w:rFonts w:eastAsia="Arial Unicode MS"/>
          </w:rPr>
          <w:t>hwalkington@brookes.ac.uk</w:t>
        </w:r>
      </w:hyperlink>
    </w:p>
    <w:p w:rsidR="009A5961" w:rsidRDefault="009A5961" w:rsidP="009A5961">
      <w:pPr>
        <w:pStyle w:val="BodyA"/>
        <w:spacing w:after="0"/>
        <w:rPr>
          <w:rFonts w:ascii="Times New Roman" w:eastAsia="Times New Roman" w:hAnsi="Times New Roman" w:cs="Times New Roman"/>
          <w:sz w:val="24"/>
          <w:szCs w:val="24"/>
        </w:rPr>
      </w:pPr>
    </w:p>
    <w:p w:rsidR="009A5961" w:rsidRDefault="009A5961" w:rsidP="009A5961">
      <w:pPr>
        <w:pStyle w:val="BodyA"/>
        <w:spacing w:after="0"/>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Hill, Jennifer.</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Department of Geography and Environmental Management</w:t>
      </w: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University of the West of England</w:t>
      </w:r>
    </w:p>
    <w:p w:rsidR="009A5961" w:rsidRDefault="009A5961" w:rsidP="009A5961">
      <w:pPr>
        <w:pStyle w:val="BodyA"/>
        <w:spacing w:after="0"/>
        <w:rPr>
          <w:rStyle w:val="hlfld-contribauthor"/>
          <w:rFonts w:ascii="Times New Roman" w:eastAsia="Times New Roman" w:hAnsi="Times New Roman" w:cs="Times New Roman"/>
          <w:sz w:val="24"/>
          <w:szCs w:val="24"/>
          <w:u w:color="222222"/>
          <w:shd w:val="clear" w:color="auto" w:fill="FFFFFF"/>
        </w:rPr>
      </w:pPr>
      <w:proofErr w:type="spellStart"/>
      <w:r>
        <w:rPr>
          <w:rStyle w:val="hlfld-contribauthor"/>
          <w:rFonts w:ascii="Times New Roman" w:hAnsi="Times New Roman"/>
          <w:sz w:val="24"/>
          <w:szCs w:val="24"/>
          <w:u w:color="222222"/>
          <w:shd w:val="clear" w:color="auto" w:fill="FFFFFF"/>
        </w:rPr>
        <w:t>Coldharbour</w:t>
      </w:r>
      <w:proofErr w:type="spellEnd"/>
      <w:r>
        <w:rPr>
          <w:rStyle w:val="hlfld-contribauthor"/>
          <w:rFonts w:ascii="Times New Roman" w:hAnsi="Times New Roman"/>
          <w:sz w:val="24"/>
          <w:szCs w:val="24"/>
          <w:u w:color="222222"/>
          <w:shd w:val="clear" w:color="auto" w:fill="FFFFFF"/>
        </w:rPr>
        <w:t xml:space="preserve"> Lane </w:t>
      </w:r>
    </w:p>
    <w:p w:rsidR="009A5961" w:rsidRDefault="009A5961" w:rsidP="009A5961">
      <w:pPr>
        <w:pStyle w:val="BodyA"/>
        <w:spacing w:after="0"/>
        <w:rPr>
          <w:rStyle w:val="hlfld-contribauthor"/>
          <w:rFonts w:ascii="Times New Roman" w:eastAsia="Times New Roman" w:hAnsi="Times New Roman" w:cs="Times New Roman"/>
          <w:b/>
          <w:bCs/>
          <w:sz w:val="24"/>
          <w:szCs w:val="24"/>
        </w:rPr>
      </w:pPr>
      <w:r>
        <w:rPr>
          <w:rStyle w:val="hlfld-contribauthor"/>
          <w:rFonts w:ascii="Times New Roman" w:hAnsi="Times New Roman"/>
          <w:sz w:val="24"/>
          <w:szCs w:val="24"/>
          <w:u w:color="222222"/>
          <w:shd w:val="clear" w:color="auto" w:fill="FFFFFF"/>
        </w:rPr>
        <w:t>Bristol BS16 1QY   UK</w:t>
      </w:r>
    </w:p>
    <w:p w:rsidR="009A5961" w:rsidRDefault="009A5961" w:rsidP="009A5961">
      <w:pPr>
        <w:pStyle w:val="BodyA"/>
        <w:spacing w:after="0"/>
        <w:rPr>
          <w:rFonts w:ascii="Times New Roman" w:eastAsia="Times New Roman" w:hAnsi="Times New Roman" w:cs="Times New Roman"/>
          <w:sz w:val="24"/>
          <w:szCs w:val="24"/>
        </w:rPr>
      </w:pPr>
    </w:p>
    <w:p w:rsidR="009A5961" w:rsidRDefault="009A5961" w:rsidP="009A5961">
      <w:pPr>
        <w:pStyle w:val="BodyA"/>
        <w:spacing w:after="0"/>
        <w:rPr>
          <w:rStyle w:val="hlfld-contribauthor"/>
          <w:rFonts w:ascii="Times New Roman" w:hAnsi="Times New Roman"/>
          <w:sz w:val="24"/>
          <w:szCs w:val="24"/>
          <w:lang w:val="de-DE"/>
        </w:rPr>
      </w:pPr>
      <w:r>
        <w:rPr>
          <w:rStyle w:val="hlfld-contribauthor"/>
          <w:rFonts w:ascii="Times New Roman" w:hAnsi="Times New Roman"/>
          <w:sz w:val="24"/>
          <w:szCs w:val="24"/>
          <w:lang w:val="de-DE"/>
        </w:rPr>
        <w:t>Tel + 00 44 1173 283042</w:t>
      </w:r>
    </w:p>
    <w:p w:rsidR="009A5961" w:rsidRDefault="009A5961" w:rsidP="009A5961">
      <w:pPr>
        <w:pStyle w:val="BodyA"/>
        <w:spacing w:after="0"/>
        <w:rPr>
          <w:rStyle w:val="hlfld-contribauthor"/>
          <w:rFonts w:ascii="Times New Roman" w:eastAsia="Times New Roman" w:hAnsi="Times New Roman" w:cs="Times New Roman"/>
          <w:sz w:val="24"/>
          <w:szCs w:val="24"/>
          <w:lang w:val="de-DE"/>
        </w:rPr>
      </w:pPr>
      <w:r>
        <w:rPr>
          <w:rStyle w:val="hlfld-contribauthor"/>
          <w:rFonts w:ascii="Times New Roman" w:hAnsi="Times New Roman"/>
          <w:sz w:val="24"/>
          <w:szCs w:val="24"/>
          <w:lang w:val="de-DE"/>
        </w:rPr>
        <w:t>Jennifer.Hill@uwe.ac.uk</w:t>
      </w:r>
    </w:p>
    <w:p w:rsidR="009A5961" w:rsidRDefault="009A5961" w:rsidP="009A5961">
      <w:pPr>
        <w:pStyle w:val="BodyA"/>
        <w:spacing w:after="0"/>
        <w:rPr>
          <w:rStyle w:val="hlfld-contribauthor"/>
          <w:rFonts w:ascii="Times New Roman" w:eastAsia="Times New Roman" w:hAnsi="Times New Roman" w:cs="Times New Roman"/>
          <w:sz w:val="24"/>
          <w:szCs w:val="24"/>
          <w:u w:val="single" w:color="0000FF"/>
          <w:lang w:val="de-DE"/>
        </w:rPr>
      </w:pPr>
    </w:p>
    <w:p w:rsidR="009A5961" w:rsidRDefault="009A5961" w:rsidP="009A5961">
      <w:pPr>
        <w:pStyle w:val="BodyA"/>
        <w:spacing w:after="0"/>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*Corresponding author</w:t>
      </w:r>
    </w:p>
    <w:p w:rsidR="009A5961" w:rsidRDefault="009A5961" w:rsidP="009A5961">
      <w:pPr>
        <w:pStyle w:val="BodyA"/>
        <w:spacing w:after="0"/>
        <w:rPr>
          <w:rFonts w:ascii="Times New Roman" w:eastAsia="Times New Roman" w:hAnsi="Times New Roman" w:cs="Times New Roman"/>
          <w:sz w:val="24"/>
          <w:szCs w:val="24"/>
        </w:rPr>
      </w:pPr>
    </w:p>
    <w:p w:rsidR="009A5961" w:rsidRDefault="009A5961" w:rsidP="009A5961">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r>
        <w:rPr>
          <w:rStyle w:val="hlfld-contribauthor"/>
          <w:rFonts w:ascii="Times New Roman" w:eastAsia="Times New Roman" w:hAnsi="Times New Roman" w:cs="Times New Roman"/>
          <w:b/>
          <w:bCs/>
          <w:sz w:val="24"/>
          <w:szCs w:val="24"/>
        </w:rPr>
        <w:tab/>
      </w:r>
    </w:p>
    <w:p w:rsidR="009A5961" w:rsidRDefault="009A5961" w:rsidP="009A5961">
      <w:pPr>
        <w:pStyle w:val="BodyA"/>
        <w:spacing w:line="360" w:lineRule="auto"/>
        <w:rPr>
          <w:rFonts w:ascii="Times New Roman" w:eastAsia="Times New Roman" w:hAnsi="Times New Roman" w:cs="Times New Roman"/>
          <w:b/>
          <w:bCs/>
          <w:sz w:val="24"/>
          <w:szCs w:val="24"/>
        </w:rPr>
      </w:pP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lastRenderedPageBreak/>
        <w:t>Abstract</w:t>
      </w:r>
    </w:p>
    <w:p w:rsidR="00964AB0" w:rsidRDefault="009259F5">
      <w:pPr>
        <w:pStyle w:val="Default"/>
        <w:rPr>
          <w:rStyle w:val="hlfld-contribauthor"/>
          <w:rFonts w:ascii="Times New Roman" w:eastAsia="Times New Roman" w:hAnsi="Times New Roman" w:cs="Times New Roman"/>
          <w:color w:val="323232"/>
          <w:sz w:val="24"/>
          <w:szCs w:val="24"/>
          <w:u w:color="323232"/>
        </w:rPr>
      </w:pPr>
      <w:r>
        <w:rPr>
          <w:rStyle w:val="hlfld-contribauthor"/>
          <w:rFonts w:ascii="Times New Roman" w:hAnsi="Times New Roman"/>
          <w:b/>
          <w:bCs/>
          <w:color w:val="323232"/>
          <w:sz w:val="24"/>
          <w:szCs w:val="24"/>
          <w:u w:color="323232"/>
        </w:rPr>
        <w:t xml:space="preserve">Purpose </w:t>
      </w:r>
      <w:r>
        <w:rPr>
          <w:rStyle w:val="hlfld-contribauthor"/>
          <w:rFonts w:ascii="Times New Roman" w:hAnsi="Times New Roman"/>
          <w:color w:val="323232"/>
          <w:sz w:val="24"/>
          <w:szCs w:val="24"/>
          <w:u w:color="323232"/>
        </w:rPr>
        <w:t xml:space="preserve">- This paper focuses on the undergraduate research conference as its sphere of study and investigates the significance of participation and </w:t>
      </w:r>
      <w:proofErr w:type="spellStart"/>
      <w:r>
        <w:rPr>
          <w:rStyle w:val="hlfld-contribauthor"/>
          <w:rFonts w:ascii="Times New Roman" w:hAnsi="Times New Roman"/>
          <w:color w:val="323232"/>
          <w:sz w:val="24"/>
          <w:szCs w:val="24"/>
          <w:u w:color="323232"/>
        </w:rPr>
        <w:t>socialisation</w:t>
      </w:r>
      <w:proofErr w:type="spellEnd"/>
      <w:r>
        <w:rPr>
          <w:rStyle w:val="hlfld-contribauthor"/>
          <w:rFonts w:ascii="Times New Roman" w:hAnsi="Times New Roman"/>
          <w:color w:val="323232"/>
          <w:sz w:val="24"/>
          <w:szCs w:val="24"/>
          <w:u w:color="323232"/>
        </w:rPr>
        <w:t xml:space="preserve"> in such activities on student attitudes and professional development. </w:t>
      </w:r>
      <w:r w:rsidR="00302BBB" w:rsidRPr="00302BBB">
        <w:rPr>
          <w:rStyle w:val="hlfld-contribauthor"/>
          <w:rFonts w:ascii="Times New Roman" w:hAnsi="Times New Roman"/>
          <w:color w:val="323232"/>
          <w:sz w:val="24"/>
          <w:szCs w:val="24"/>
          <w:u w:color="323232"/>
        </w:rPr>
        <w:t>Using situated learning to theoretically position the undergraduate research conference as an authentic learning context, connection is also made to the concept of graduate attributes.</w:t>
      </w:r>
    </w:p>
    <w:p w:rsidR="00964AB0" w:rsidRDefault="00964AB0">
      <w:pPr>
        <w:pStyle w:val="Default"/>
        <w:rPr>
          <w:rStyle w:val="hlfld-contribauthor"/>
          <w:rFonts w:ascii="Times New Roman" w:eastAsia="Times New Roman" w:hAnsi="Times New Roman" w:cs="Times New Roman"/>
          <w:color w:val="414141"/>
          <w:sz w:val="24"/>
          <w:szCs w:val="24"/>
          <w:u w:color="414141"/>
        </w:rPr>
      </w:pPr>
    </w:p>
    <w:p w:rsidR="00964AB0" w:rsidRDefault="009259F5">
      <w:pPr>
        <w:pStyle w:val="Default"/>
        <w:rPr>
          <w:rStyle w:val="hlfld-contribauthor"/>
          <w:rFonts w:ascii="Times New Roman" w:eastAsia="Times New Roman" w:hAnsi="Times New Roman" w:cs="Times New Roman"/>
          <w:sz w:val="24"/>
          <w:szCs w:val="24"/>
        </w:rPr>
      </w:pPr>
      <w:r>
        <w:rPr>
          <w:rStyle w:val="hlfld-contribauthor"/>
          <w:rFonts w:ascii="Times New Roman" w:hAnsi="Times New Roman"/>
          <w:b/>
          <w:bCs/>
          <w:color w:val="323232"/>
          <w:sz w:val="24"/>
          <w:szCs w:val="24"/>
          <w:u w:color="323232"/>
        </w:rPr>
        <w:t xml:space="preserve">Design/methodology/approach </w:t>
      </w:r>
      <w:r>
        <w:rPr>
          <w:rStyle w:val="hlfld-contribauthor"/>
          <w:rFonts w:ascii="Times New Roman" w:hAnsi="Times New Roman"/>
          <w:color w:val="323232"/>
          <w:sz w:val="24"/>
          <w:szCs w:val="24"/>
          <w:u w:color="323232"/>
        </w:rPr>
        <w:t xml:space="preserve">- The </w:t>
      </w:r>
      <w:r>
        <w:rPr>
          <w:rStyle w:val="hlfld-contribauthor"/>
          <w:rFonts w:ascii="Times New Roman" w:hAnsi="Times New Roman"/>
          <w:sz w:val="24"/>
          <w:szCs w:val="24"/>
        </w:rPr>
        <w:t xml:space="preserve">Vitae (2014) Researcher Development Framework (RDF) is used to provide a template for charting the experiences and development of undergraduate students as researchers. This can be applied to short-term activities and </w:t>
      </w:r>
      <w:proofErr w:type="spellStart"/>
      <w:r>
        <w:rPr>
          <w:rStyle w:val="hlfld-contribauthor"/>
          <w:rFonts w:ascii="Times New Roman" w:hAnsi="Times New Roman"/>
          <w:sz w:val="24"/>
          <w:szCs w:val="24"/>
        </w:rPr>
        <w:t>programmes</w:t>
      </w:r>
      <w:proofErr w:type="spellEnd"/>
      <w:r>
        <w:rPr>
          <w:rStyle w:val="hlfld-contribauthor"/>
          <w:rFonts w:ascii="Times New Roman" w:hAnsi="Times New Roman"/>
          <w:sz w:val="24"/>
          <w:szCs w:val="24"/>
        </w:rPr>
        <w:t xml:space="preserve"> as well as to long-term career plans. The insights from 90 undergraduate students participating at three national undergraduate research conferences were obtained through interviews, and thematically </w:t>
      </w:r>
      <w:proofErr w:type="spellStart"/>
      <w:r>
        <w:rPr>
          <w:rStyle w:val="hlfld-contribauthor"/>
          <w:rFonts w:ascii="Times New Roman" w:hAnsi="Times New Roman"/>
          <w:sz w:val="24"/>
          <w:szCs w:val="24"/>
        </w:rPr>
        <w:t>analysed</w:t>
      </w:r>
      <w:proofErr w:type="spellEnd"/>
      <w:r>
        <w:rPr>
          <w:rStyle w:val="hlfld-contribauthor"/>
          <w:rFonts w:ascii="Times New Roman" w:hAnsi="Times New Roman"/>
          <w:sz w:val="24"/>
          <w:szCs w:val="24"/>
        </w:rPr>
        <w:t xml:space="preserve"> to map the students’ skills development against the RDF criteria.</w:t>
      </w:r>
    </w:p>
    <w:p w:rsidR="00964AB0" w:rsidRDefault="00964AB0">
      <w:pPr>
        <w:pStyle w:val="Default"/>
        <w:rPr>
          <w:rFonts w:ascii="Times New Roman" w:eastAsia="Times New Roman" w:hAnsi="Times New Roman" w:cs="Times New Roman"/>
          <w:sz w:val="24"/>
          <w:szCs w:val="24"/>
        </w:rPr>
      </w:pPr>
    </w:p>
    <w:p w:rsidR="00964AB0" w:rsidRDefault="009259F5">
      <w:pPr>
        <w:pStyle w:val="Default"/>
        <w:rPr>
          <w:rStyle w:val="hlfld-contribauthor"/>
          <w:rFonts w:ascii="Times New Roman" w:eastAsia="Times New Roman" w:hAnsi="Times New Roman" w:cs="Times New Roman"/>
          <w:color w:val="414141"/>
          <w:sz w:val="24"/>
          <w:szCs w:val="24"/>
          <w:u w:color="414141"/>
        </w:rPr>
      </w:pPr>
      <w:r>
        <w:rPr>
          <w:rStyle w:val="hlfld-contribauthor"/>
          <w:rFonts w:ascii="Times New Roman" w:hAnsi="Times New Roman"/>
          <w:b/>
          <w:bCs/>
          <w:color w:val="414141"/>
          <w:sz w:val="24"/>
          <w:szCs w:val="24"/>
          <w:u w:color="414141"/>
        </w:rPr>
        <w:t>Findings</w:t>
      </w:r>
      <w:r>
        <w:rPr>
          <w:rStyle w:val="hlfld-contribauthor"/>
          <w:rFonts w:ascii="Times New Roman" w:hAnsi="Times New Roman"/>
          <w:color w:val="414141"/>
          <w:sz w:val="24"/>
          <w:szCs w:val="24"/>
          <w:u w:color="414141"/>
        </w:rPr>
        <w:t xml:space="preserve"> - </w:t>
      </w:r>
      <w:r>
        <w:rPr>
          <w:rStyle w:val="hlfld-contribauthor"/>
          <w:rFonts w:ascii="Times New Roman" w:hAnsi="Times New Roman"/>
          <w:sz w:val="24"/>
          <w:szCs w:val="24"/>
        </w:rPr>
        <w:t>Three main aspects of undergraduate research conference participation were considered particularly important by the students: the value of paper presentations, the value of poster presentations, and the value of the overall conference experience.</w:t>
      </w:r>
      <w:r>
        <w:rPr>
          <w:rStyle w:val="hlfld-contribauthor"/>
          <w:rFonts w:ascii="Times New Roman" w:hAnsi="Times New Roman"/>
          <w:color w:val="414141"/>
          <w:sz w:val="24"/>
          <w:szCs w:val="24"/>
          <w:u w:color="414141"/>
        </w:rPr>
        <w:t xml:space="preserve"> Within these themes, p</w:t>
      </w:r>
      <w:r>
        <w:rPr>
          <w:rStyle w:val="hlfld-contribauthor"/>
          <w:rFonts w:ascii="Times New Roman" w:hAnsi="Times New Roman"/>
          <w:sz w:val="24"/>
          <w:szCs w:val="24"/>
        </w:rPr>
        <w:t>articipants identified a wide range of skills and attributes they felt they had developed as a result of either preparing for or participating in the conferences. The majority of these skills and attributes were able to be mapped against the different domains of the RDF, using a public engagement lens for comparing actual with expected developmental areas.</w:t>
      </w:r>
    </w:p>
    <w:p w:rsidR="00964AB0" w:rsidRDefault="00964AB0">
      <w:pPr>
        <w:pStyle w:val="Default"/>
        <w:rPr>
          <w:rStyle w:val="hlfld-contribauthor"/>
          <w:rFonts w:ascii="Times New Roman" w:eastAsia="Times New Roman" w:hAnsi="Times New Roman" w:cs="Times New Roman"/>
          <w:color w:val="414141"/>
          <w:sz w:val="24"/>
          <w:szCs w:val="24"/>
          <w:u w:color="414141"/>
        </w:rPr>
      </w:pPr>
    </w:p>
    <w:p w:rsidR="00964AB0" w:rsidRDefault="009259F5">
      <w:pPr>
        <w:pStyle w:val="Default"/>
        <w:rPr>
          <w:rStyle w:val="hlfld-contribauthor"/>
          <w:rFonts w:ascii="Times New Roman" w:eastAsia="Times New Roman" w:hAnsi="Times New Roman" w:cs="Times New Roman"/>
          <w:color w:val="414141"/>
          <w:sz w:val="24"/>
          <w:szCs w:val="24"/>
          <w:u w:color="414141"/>
        </w:rPr>
      </w:pPr>
      <w:r>
        <w:rPr>
          <w:rStyle w:val="hlfld-contribauthor"/>
          <w:rFonts w:ascii="Times New Roman" w:hAnsi="Times New Roman"/>
          <w:b/>
          <w:bCs/>
          <w:color w:val="414141"/>
          <w:sz w:val="24"/>
          <w:szCs w:val="24"/>
          <w:u w:color="414141"/>
        </w:rPr>
        <w:t>Research limitations/implications</w:t>
      </w:r>
      <w:r>
        <w:rPr>
          <w:rStyle w:val="hlfld-contribauthor"/>
          <w:rFonts w:ascii="Times New Roman" w:hAnsi="Times New Roman"/>
          <w:color w:val="414141"/>
          <w:sz w:val="24"/>
          <w:szCs w:val="24"/>
          <w:u w:color="414141"/>
        </w:rPr>
        <w:t xml:space="preserve"> - This research helps undergraduate research conference </w:t>
      </w:r>
      <w:proofErr w:type="spellStart"/>
      <w:r>
        <w:rPr>
          <w:rStyle w:val="hlfld-contribauthor"/>
          <w:rFonts w:ascii="Times New Roman" w:hAnsi="Times New Roman"/>
          <w:color w:val="414141"/>
          <w:sz w:val="24"/>
          <w:szCs w:val="24"/>
          <w:u w:color="414141"/>
        </w:rPr>
        <w:t>organisers</w:t>
      </w:r>
      <w:proofErr w:type="spellEnd"/>
      <w:r>
        <w:rPr>
          <w:rStyle w:val="hlfld-contribauthor"/>
          <w:rFonts w:ascii="Times New Roman" w:hAnsi="Times New Roman"/>
          <w:color w:val="414141"/>
          <w:sz w:val="24"/>
          <w:szCs w:val="24"/>
          <w:u w:color="414141"/>
        </w:rPr>
        <w:t xml:space="preserve"> construct </w:t>
      </w:r>
      <w:proofErr w:type="spellStart"/>
      <w:r>
        <w:rPr>
          <w:rStyle w:val="hlfld-contribauthor"/>
          <w:rFonts w:ascii="Times New Roman" w:hAnsi="Times New Roman"/>
          <w:color w:val="414141"/>
          <w:sz w:val="24"/>
          <w:szCs w:val="24"/>
          <w:u w:color="414141"/>
        </w:rPr>
        <w:t>programme</w:t>
      </w:r>
      <w:proofErr w:type="spellEnd"/>
      <w:r>
        <w:rPr>
          <w:rStyle w:val="hlfld-contribauthor"/>
          <w:rFonts w:ascii="Times New Roman" w:hAnsi="Times New Roman"/>
          <w:color w:val="414141"/>
          <w:sz w:val="24"/>
          <w:szCs w:val="24"/>
          <w:u w:color="414141"/>
        </w:rPr>
        <w:t xml:space="preserve"> content and form in such a way that student skills development can be </w:t>
      </w:r>
      <w:proofErr w:type="spellStart"/>
      <w:r>
        <w:rPr>
          <w:rStyle w:val="hlfld-contribauthor"/>
          <w:rFonts w:ascii="Times New Roman" w:hAnsi="Times New Roman"/>
          <w:color w:val="414141"/>
          <w:sz w:val="24"/>
          <w:szCs w:val="24"/>
          <w:u w:color="414141"/>
        </w:rPr>
        <w:t>maximised</w:t>
      </w:r>
      <w:proofErr w:type="spellEnd"/>
      <w:r>
        <w:rPr>
          <w:rStyle w:val="hlfld-contribauthor"/>
          <w:rFonts w:ascii="Times New Roman" w:hAnsi="Times New Roman"/>
          <w:color w:val="414141"/>
          <w:sz w:val="24"/>
          <w:szCs w:val="24"/>
          <w:u w:color="414141"/>
        </w:rPr>
        <w:t xml:space="preserve"> prior to, and during, the course of an event. Learning Developers can also use these findings to help understand the support needs of students preparing to deliver papers at such conferences. So far, little empirical research has examined students’ skills development within the undergraduate research conference arena.</w:t>
      </w:r>
    </w:p>
    <w:p w:rsidR="00964AB0" w:rsidRDefault="00964AB0">
      <w:pPr>
        <w:pStyle w:val="Default"/>
        <w:rPr>
          <w:rStyle w:val="hlfld-contribauthor"/>
          <w:rFonts w:ascii="Times New Roman" w:eastAsia="Times New Roman" w:hAnsi="Times New Roman" w:cs="Times New Roman"/>
          <w:color w:val="414141"/>
          <w:sz w:val="24"/>
          <w:szCs w:val="24"/>
          <w:u w:color="414141"/>
        </w:rPr>
      </w:pPr>
    </w:p>
    <w:p w:rsidR="00964AB0" w:rsidRDefault="009259F5">
      <w:pPr>
        <w:pStyle w:val="Default"/>
        <w:rPr>
          <w:rStyle w:val="hlfld-contribauthor"/>
          <w:rFonts w:ascii="Times New Roman" w:eastAsia="Times New Roman" w:hAnsi="Times New Roman" w:cs="Times New Roman"/>
          <w:sz w:val="24"/>
          <w:szCs w:val="24"/>
        </w:rPr>
      </w:pPr>
      <w:r>
        <w:rPr>
          <w:rStyle w:val="hlfld-contribauthor"/>
          <w:rFonts w:ascii="Times New Roman" w:hAnsi="Times New Roman"/>
          <w:b/>
          <w:bCs/>
          <w:color w:val="323232"/>
          <w:sz w:val="24"/>
          <w:szCs w:val="24"/>
          <w:u w:color="323232"/>
        </w:rPr>
        <w:t xml:space="preserve">Originality/value </w:t>
      </w:r>
      <w:r>
        <w:rPr>
          <w:rStyle w:val="hlfld-contribauthor"/>
          <w:rFonts w:ascii="Times New Roman" w:hAnsi="Times New Roman"/>
          <w:color w:val="323232"/>
          <w:sz w:val="24"/>
          <w:szCs w:val="24"/>
          <w:u w:color="323232"/>
        </w:rPr>
        <w:t xml:space="preserve">- </w:t>
      </w:r>
      <w:r>
        <w:rPr>
          <w:rStyle w:val="hlfld-contribauthor"/>
          <w:rFonts w:ascii="Times New Roman" w:hAnsi="Times New Roman"/>
          <w:sz w:val="24"/>
          <w:szCs w:val="24"/>
        </w:rPr>
        <w:t xml:space="preserve">The outcomes of this study show the diversity of skills students developed, and the value of the conference format to offer networking practice and to enhance the communication skills which employers value. </w:t>
      </w:r>
    </w:p>
    <w:p w:rsidR="00964AB0" w:rsidRDefault="00964AB0">
      <w:pPr>
        <w:pStyle w:val="Default"/>
        <w:rPr>
          <w:rFonts w:ascii="Times New Roman" w:eastAsia="Times New Roman" w:hAnsi="Times New Roman" w:cs="Times New Roman"/>
          <w:sz w:val="24"/>
          <w:szCs w:val="24"/>
        </w:rPr>
      </w:pPr>
    </w:p>
    <w:p w:rsidR="00964AB0" w:rsidRDefault="009259F5">
      <w:pPr>
        <w:pStyle w:val="BodyA"/>
        <w:spacing w:line="240" w:lineRule="auto"/>
        <w:rPr>
          <w:rStyle w:val="hlfld-contribauthor"/>
          <w:rFonts w:ascii="Times New Roman" w:eastAsia="Times New Roman" w:hAnsi="Times New Roman" w:cs="Times New Roman"/>
          <w:sz w:val="24"/>
          <w:szCs w:val="24"/>
          <w:u w:color="292526"/>
        </w:rPr>
      </w:pPr>
      <w:r>
        <w:rPr>
          <w:rStyle w:val="hlfld-contribauthor"/>
          <w:rFonts w:ascii="Times New Roman" w:hAnsi="Times New Roman"/>
          <w:b/>
          <w:bCs/>
          <w:sz w:val="24"/>
          <w:szCs w:val="24"/>
          <w:u w:color="292526"/>
        </w:rPr>
        <w:t>Keywords</w:t>
      </w:r>
      <w:r>
        <w:rPr>
          <w:rStyle w:val="hlfld-contribauthor"/>
          <w:rFonts w:ascii="Times New Roman" w:hAnsi="Times New Roman"/>
          <w:sz w:val="24"/>
          <w:szCs w:val="24"/>
          <w:u w:color="292526"/>
        </w:rPr>
        <w:t xml:space="preserve">: undergraduate research conference; communication; </w:t>
      </w:r>
      <w:r>
        <w:rPr>
          <w:rStyle w:val="hlfld-contribauthor"/>
          <w:rFonts w:ascii="Times New Roman" w:hAnsi="Times New Roman"/>
          <w:sz w:val="24"/>
          <w:szCs w:val="24"/>
        </w:rPr>
        <w:t xml:space="preserve">Researcher Development Framework; employability skills; </w:t>
      </w:r>
      <w:r>
        <w:rPr>
          <w:rStyle w:val="hlfld-contribauthor"/>
          <w:rFonts w:ascii="Times New Roman" w:hAnsi="Times New Roman"/>
          <w:sz w:val="24"/>
          <w:szCs w:val="24"/>
          <w:u w:color="292526"/>
        </w:rPr>
        <w:t>student development.</w:t>
      </w:r>
    </w:p>
    <w:p w:rsidR="00964AB0" w:rsidRDefault="009259F5">
      <w:pPr>
        <w:pStyle w:val="BodyA"/>
        <w:spacing w:line="240" w:lineRule="auto"/>
        <w:rPr>
          <w:rStyle w:val="hlfld-contribauthor"/>
          <w:rFonts w:ascii="Times New Roman" w:eastAsia="Times New Roman" w:hAnsi="Times New Roman" w:cs="Times New Roman"/>
          <w:sz w:val="24"/>
          <w:szCs w:val="24"/>
          <w:u w:color="292526"/>
        </w:rPr>
      </w:pPr>
      <w:r>
        <w:rPr>
          <w:rStyle w:val="hlfld-contribauthor"/>
          <w:rFonts w:ascii="Times New Roman" w:hAnsi="Times New Roman"/>
          <w:b/>
          <w:bCs/>
          <w:sz w:val="24"/>
          <w:szCs w:val="24"/>
          <w:u w:color="292526"/>
        </w:rPr>
        <w:t>Article Type</w:t>
      </w:r>
      <w:r>
        <w:rPr>
          <w:rStyle w:val="hlfld-contribauthor"/>
          <w:rFonts w:ascii="Times New Roman" w:hAnsi="Times New Roman"/>
          <w:sz w:val="24"/>
          <w:szCs w:val="24"/>
          <w:u w:color="292526"/>
        </w:rPr>
        <w:t>: Research Paper</w:t>
      </w:r>
    </w:p>
    <w:p w:rsidR="00964AB0" w:rsidRDefault="00964AB0">
      <w:pPr>
        <w:pStyle w:val="Body"/>
        <w:rPr>
          <w:rStyle w:val="hlfld-contribauthor"/>
          <w:u w:color="292526"/>
        </w:rPr>
      </w:pPr>
    </w:p>
    <w:p w:rsidR="00964AB0" w:rsidRDefault="009259F5">
      <w:pPr>
        <w:pStyle w:val="Body"/>
      </w:pPr>
      <w:r>
        <w:rPr>
          <w:rStyle w:val="hlfld-contribauthor"/>
          <w:rFonts w:ascii="Arial Unicode MS" w:eastAsia="Arial Unicode MS" w:hAnsi="Arial Unicode MS" w:cs="Arial Unicode MS"/>
          <w:u w:color="292526"/>
        </w:rPr>
        <w:br w:type="page"/>
      </w:r>
    </w:p>
    <w:p w:rsidR="00964AB0" w:rsidRDefault="009259F5">
      <w:pPr>
        <w:pStyle w:val="Body"/>
        <w:rPr>
          <w:rStyle w:val="hlfld-contribauthor"/>
          <w:u w:color="292526"/>
        </w:rPr>
      </w:pPr>
      <w:r w:rsidRPr="00390DA0">
        <w:rPr>
          <w:rStyle w:val="hlfld-contribauthor"/>
          <w:rFonts w:eastAsia="Arial Unicode MS" w:cs="Arial Unicode MS"/>
          <w:b/>
          <w:bCs/>
          <w:lang w:val="en-GB"/>
        </w:rPr>
        <w:lastRenderedPageBreak/>
        <w:t>Introduction</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The skills gap in the UK between education and work is well described (Archer and Davison, 2008; UKCES 2014 </w:t>
      </w:r>
      <w:proofErr w:type="gramStart"/>
      <w:r>
        <w:rPr>
          <w:rStyle w:val="hlfld-contribauthor"/>
          <w:rFonts w:ascii="Times New Roman" w:hAnsi="Times New Roman"/>
          <w:sz w:val="24"/>
          <w:szCs w:val="24"/>
        </w:rPr>
        <w:t>a and</w:t>
      </w:r>
      <w:proofErr w:type="gramEnd"/>
      <w:r>
        <w:rPr>
          <w:rStyle w:val="hlfld-contribauthor"/>
          <w:rFonts w:ascii="Times New Roman" w:hAnsi="Times New Roman"/>
          <w:sz w:val="24"/>
          <w:szCs w:val="24"/>
        </w:rPr>
        <w:t xml:space="preserve"> b). As an integral part of the research cycle, dissemination through conference participation potentially develops specific research skills that are highly sought </w:t>
      </w:r>
      <w:r w:rsidR="00524D23">
        <w:rPr>
          <w:rStyle w:val="hlfld-contribauthor"/>
          <w:rFonts w:ascii="Times New Roman" w:hAnsi="Times New Roman"/>
          <w:sz w:val="24"/>
          <w:szCs w:val="24"/>
        </w:rPr>
        <w:t xml:space="preserve">after </w:t>
      </w:r>
      <w:r>
        <w:rPr>
          <w:rStyle w:val="hlfld-contribauthor"/>
          <w:rFonts w:ascii="Times New Roman" w:hAnsi="Times New Roman"/>
          <w:sz w:val="24"/>
          <w:szCs w:val="24"/>
        </w:rPr>
        <w:t xml:space="preserve">by employers (Hill and Walkington, 2012; Walkington, 2014). The Vitae (2014) Researcher Development Framework (RDF) offers a detailed mechanism to map core skills </w:t>
      </w:r>
      <w:r>
        <w:rPr>
          <w:rStyle w:val="hlfld-contribauthor"/>
          <w:rFonts w:ascii="Times New Roman" w:hAnsi="Times New Roman"/>
          <w:sz w:val="24"/>
          <w:szCs w:val="24"/>
          <w:u w:color="111111"/>
          <w:shd w:val="clear" w:color="auto" w:fill="FFFFFF"/>
        </w:rPr>
        <w:t>that are developed or acquired through, or used in, the broader contexts of being a researcher</w:t>
      </w:r>
      <w:r>
        <w:rPr>
          <w:rStyle w:val="hlfld-contribauthor"/>
          <w:rFonts w:ascii="Times New Roman" w:hAnsi="Times New Roman"/>
          <w:sz w:val="24"/>
          <w:szCs w:val="24"/>
        </w:rPr>
        <w:t>. While primarily used with postgraduate researchers, the RDF can provide a template for evaluating and mapping undergraduates’</w:t>
      </w:r>
      <w:r>
        <w:rPr>
          <w:rStyle w:val="hlfld-contribauthor"/>
          <w:sz w:val="24"/>
          <w:szCs w:val="24"/>
        </w:rPr>
        <w:t xml:space="preserve"> </w:t>
      </w:r>
      <w:r>
        <w:rPr>
          <w:rStyle w:val="hlfld-contribauthor"/>
          <w:rFonts w:ascii="Times New Roman" w:hAnsi="Times New Roman"/>
          <w:sz w:val="24"/>
          <w:szCs w:val="24"/>
        </w:rPr>
        <w:t xml:space="preserve">skills. Bray and Boon’s (2011) evaluation of the framework concluded that participants found this approach useful in facilitating career development. </w:t>
      </w:r>
    </w:p>
    <w:p w:rsidR="00964AB0" w:rsidRDefault="00524D23" w:rsidP="00524D23">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Although i</w:t>
      </w:r>
      <w:r w:rsidR="009259F5">
        <w:rPr>
          <w:rStyle w:val="hlfld-contribauthor"/>
          <w:rFonts w:ascii="Times New Roman" w:hAnsi="Times New Roman"/>
          <w:sz w:val="24"/>
          <w:szCs w:val="24"/>
        </w:rPr>
        <w:t xml:space="preserve">nvolvement in research is </w:t>
      </w:r>
      <w:proofErr w:type="spellStart"/>
      <w:r w:rsidR="009259F5">
        <w:rPr>
          <w:rStyle w:val="hlfld-contribauthor"/>
          <w:rFonts w:ascii="Times New Roman" w:hAnsi="Times New Roman"/>
          <w:sz w:val="24"/>
          <w:szCs w:val="24"/>
        </w:rPr>
        <w:t>recognised</w:t>
      </w:r>
      <w:proofErr w:type="spellEnd"/>
      <w:r w:rsidR="009259F5">
        <w:rPr>
          <w:rStyle w:val="hlfld-contribauthor"/>
          <w:rFonts w:ascii="Times New Roman" w:hAnsi="Times New Roman"/>
          <w:sz w:val="24"/>
          <w:szCs w:val="24"/>
        </w:rPr>
        <w:t xml:space="preserve"> as offering transformational experiences for undergraduates (</w:t>
      </w:r>
      <w:proofErr w:type="spellStart"/>
      <w:r w:rsidR="009259F5">
        <w:rPr>
          <w:rStyle w:val="hlfld-contribauthor"/>
          <w:rFonts w:ascii="Times New Roman" w:hAnsi="Times New Roman"/>
          <w:sz w:val="24"/>
          <w:szCs w:val="24"/>
        </w:rPr>
        <w:t>Guterman</w:t>
      </w:r>
      <w:proofErr w:type="spellEnd"/>
      <w:r w:rsidR="009259F5">
        <w:rPr>
          <w:rStyle w:val="hlfld-contribauthor"/>
          <w:rFonts w:ascii="Times New Roman" w:hAnsi="Times New Roman"/>
          <w:sz w:val="24"/>
          <w:szCs w:val="24"/>
        </w:rPr>
        <w:t xml:space="preserve">, 2007; Hunter, </w:t>
      </w:r>
      <w:proofErr w:type="spellStart"/>
      <w:r w:rsidR="009259F5">
        <w:rPr>
          <w:rStyle w:val="hlfld-contribauthor"/>
          <w:rFonts w:ascii="Times New Roman" w:hAnsi="Times New Roman"/>
          <w:sz w:val="24"/>
          <w:szCs w:val="24"/>
        </w:rPr>
        <w:t>Laursen</w:t>
      </w:r>
      <w:proofErr w:type="spellEnd"/>
      <w:r w:rsidR="009259F5">
        <w:rPr>
          <w:rStyle w:val="hlfld-contribauthor"/>
          <w:rFonts w:ascii="Times New Roman" w:hAnsi="Times New Roman"/>
          <w:sz w:val="24"/>
          <w:szCs w:val="24"/>
        </w:rPr>
        <w:t xml:space="preserve"> and Seymour, 2007; Seymour et al., 2004), the dissemination phase is generally underplayed (Spronken-Smith et al., 2013). Specific gains from research engagement include advancing cognitive and intellectual growth, fostering professional advancement, promoting personal growth, and </w:t>
      </w:r>
      <w:proofErr w:type="spellStart"/>
      <w:r w:rsidR="009259F5">
        <w:rPr>
          <w:rStyle w:val="hlfld-contribauthor"/>
          <w:rFonts w:ascii="Times New Roman" w:hAnsi="Times New Roman"/>
          <w:sz w:val="24"/>
          <w:szCs w:val="24"/>
        </w:rPr>
        <w:t>maximising</w:t>
      </w:r>
      <w:proofErr w:type="spellEnd"/>
      <w:r w:rsidR="009259F5">
        <w:rPr>
          <w:rStyle w:val="hlfld-contribauthor"/>
          <w:rFonts w:ascii="Times New Roman" w:hAnsi="Times New Roman"/>
          <w:sz w:val="24"/>
          <w:szCs w:val="24"/>
        </w:rPr>
        <w:t xml:space="preserve"> high impact learning experiences (Osborne and </w:t>
      </w:r>
      <w:proofErr w:type="spellStart"/>
      <w:r w:rsidR="009259F5">
        <w:rPr>
          <w:rStyle w:val="hlfld-contribauthor"/>
          <w:rFonts w:ascii="Times New Roman" w:hAnsi="Times New Roman"/>
          <w:sz w:val="24"/>
          <w:szCs w:val="24"/>
        </w:rPr>
        <w:t>Karukstis</w:t>
      </w:r>
      <w:proofErr w:type="spellEnd"/>
      <w:r w:rsidR="009259F5">
        <w:rPr>
          <w:rStyle w:val="hlfld-contribauthor"/>
          <w:rFonts w:ascii="Times New Roman" w:hAnsi="Times New Roman"/>
          <w:sz w:val="24"/>
          <w:szCs w:val="24"/>
        </w:rPr>
        <w:t xml:space="preserve">, 2009). </w:t>
      </w:r>
    </w:p>
    <w:p w:rsidR="00964AB0" w:rsidRDefault="009259F5">
      <w:pPr>
        <w:pStyle w:val="BodyA"/>
        <w:spacing w:line="360" w:lineRule="auto"/>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rPr>
        <w:t>Chickering</w:t>
      </w:r>
      <w:proofErr w:type="spellEnd"/>
      <w:r>
        <w:rPr>
          <w:rStyle w:val="hlfld-contribauthor"/>
          <w:rFonts w:ascii="Times New Roman" w:hAnsi="Times New Roman"/>
          <w:sz w:val="24"/>
          <w:szCs w:val="24"/>
        </w:rPr>
        <w:t xml:space="preserve"> and </w:t>
      </w:r>
      <w:proofErr w:type="spellStart"/>
      <w:r>
        <w:rPr>
          <w:rStyle w:val="hlfld-contribauthor"/>
          <w:rFonts w:ascii="Times New Roman" w:hAnsi="Times New Roman"/>
          <w:sz w:val="24"/>
          <w:szCs w:val="24"/>
        </w:rPr>
        <w:t>Gamson</w:t>
      </w:r>
      <w:proofErr w:type="spellEnd"/>
      <w:r>
        <w:rPr>
          <w:rStyle w:val="hlfld-contribauthor"/>
          <w:rFonts w:ascii="Times New Roman" w:hAnsi="Times New Roman"/>
          <w:sz w:val="24"/>
          <w:szCs w:val="24"/>
        </w:rPr>
        <w:t xml:space="preserve"> (1999) consider the ‘integration of education and experience’</w:t>
      </w:r>
      <w:r>
        <w:rPr>
          <w:rStyle w:val="hlfld-contribauthor"/>
          <w:sz w:val="24"/>
          <w:szCs w:val="24"/>
        </w:rPr>
        <w:t xml:space="preserve"> </w:t>
      </w:r>
      <w:r>
        <w:rPr>
          <w:rStyle w:val="hlfld-contribauthor"/>
          <w:rFonts w:ascii="Times New Roman" w:hAnsi="Times New Roman"/>
          <w:sz w:val="24"/>
          <w:szCs w:val="24"/>
        </w:rPr>
        <w:t>as an attribute of quality (</w:t>
      </w:r>
      <w:proofErr w:type="spellStart"/>
      <w:r>
        <w:rPr>
          <w:rStyle w:val="hlfld-contribauthor"/>
          <w:rFonts w:ascii="Times New Roman" w:hAnsi="Times New Roman"/>
          <w:sz w:val="24"/>
          <w:szCs w:val="24"/>
        </w:rPr>
        <w:t>Ewell</w:t>
      </w:r>
      <w:proofErr w:type="spellEnd"/>
      <w:r>
        <w:rPr>
          <w:rStyle w:val="hlfld-contribauthor"/>
          <w:rFonts w:ascii="Times New Roman" w:hAnsi="Times New Roman"/>
          <w:sz w:val="24"/>
          <w:szCs w:val="24"/>
        </w:rPr>
        <w:t xml:space="preserve"> &amp; Jones, 1996). Experiential research opportunities for students might involve vacation research </w:t>
      </w:r>
      <w:proofErr w:type="spellStart"/>
      <w:r>
        <w:rPr>
          <w:rStyle w:val="hlfld-contribauthor"/>
          <w:rFonts w:ascii="Times New Roman" w:hAnsi="Times New Roman"/>
          <w:sz w:val="24"/>
          <w:szCs w:val="24"/>
        </w:rPr>
        <w:t>programmes</w:t>
      </w:r>
      <w:proofErr w:type="spellEnd"/>
      <w:r>
        <w:rPr>
          <w:rStyle w:val="hlfld-contribauthor"/>
          <w:rFonts w:ascii="Times New Roman" w:hAnsi="Times New Roman"/>
          <w:sz w:val="24"/>
          <w:szCs w:val="24"/>
        </w:rPr>
        <w:t xml:space="preserve">, staff-led research apprenticeships, capstone research projects, undergraduate conference presentations and journal publications. The National Science Foundation’s best practice guide for educational </w:t>
      </w:r>
      <w:proofErr w:type="spellStart"/>
      <w:r>
        <w:rPr>
          <w:rStyle w:val="hlfld-contribauthor"/>
          <w:rFonts w:ascii="Times New Roman" w:hAnsi="Times New Roman"/>
          <w:sz w:val="24"/>
          <w:szCs w:val="24"/>
        </w:rPr>
        <w:t>programmes</w:t>
      </w:r>
      <w:proofErr w:type="spellEnd"/>
      <w:r>
        <w:rPr>
          <w:rStyle w:val="hlfld-contribauthor"/>
          <w:rFonts w:ascii="Times New Roman" w:hAnsi="Times New Roman"/>
          <w:sz w:val="24"/>
          <w:szCs w:val="24"/>
        </w:rPr>
        <w:t xml:space="preserve"> notes the importance of dissemination as part of the provision of ‘undergraduate research opportunities that are visible, provide support, and offer a means of showcasing the product’</w:t>
      </w:r>
      <w:r>
        <w:rPr>
          <w:rStyle w:val="hlfld-contribauthor"/>
          <w:sz w:val="24"/>
          <w:szCs w:val="24"/>
        </w:rPr>
        <w:t xml:space="preserve"> </w:t>
      </w:r>
      <w:r>
        <w:rPr>
          <w:rStyle w:val="hlfld-contribauthor"/>
          <w:rFonts w:ascii="Times New Roman" w:hAnsi="Times New Roman"/>
          <w:sz w:val="24"/>
          <w:szCs w:val="24"/>
        </w:rPr>
        <w:t>(</w:t>
      </w:r>
      <w:proofErr w:type="spellStart"/>
      <w:r>
        <w:rPr>
          <w:rStyle w:val="hlfld-contribauthor"/>
          <w:rFonts w:ascii="Times New Roman" w:hAnsi="Times New Roman"/>
          <w:sz w:val="24"/>
          <w:szCs w:val="24"/>
        </w:rPr>
        <w:t>Kinkead</w:t>
      </w:r>
      <w:proofErr w:type="spellEnd"/>
      <w:r>
        <w:rPr>
          <w:rStyle w:val="hlfld-contribauthor"/>
          <w:rFonts w:ascii="Times New Roman" w:hAnsi="Times New Roman"/>
          <w:sz w:val="24"/>
          <w:szCs w:val="24"/>
        </w:rPr>
        <w:t>, 2003, p10). These criteria can be satisfied by participation in academic conferences. The experience of presenting their own research affords students an opportunity to learn about the relationship between deep understanding of their subject and the process of communicating their findings and recommendations (</w:t>
      </w:r>
      <w:proofErr w:type="spellStart"/>
      <w:r>
        <w:rPr>
          <w:rStyle w:val="hlfld-contribauthor"/>
          <w:rFonts w:ascii="Times New Roman" w:hAnsi="Times New Roman"/>
          <w:sz w:val="24"/>
          <w:szCs w:val="24"/>
        </w:rPr>
        <w:t>Spronken</w:t>
      </w:r>
      <w:proofErr w:type="spellEnd"/>
      <w:r>
        <w:rPr>
          <w:rStyle w:val="hlfld-contribauthor"/>
          <w:rFonts w:ascii="Times New Roman" w:hAnsi="Times New Roman"/>
          <w:sz w:val="24"/>
          <w:szCs w:val="24"/>
        </w:rPr>
        <w:t xml:space="preserve"> Smith et al., 2013). Research dissemination completes the research cycle, going beyond submission of a final year project for assessment, drawing students into disciplinary research practices (Healey and Jenkins, 2009; </w:t>
      </w:r>
      <w:proofErr w:type="spellStart"/>
      <w:r>
        <w:rPr>
          <w:rStyle w:val="hlfld-contribauthor"/>
          <w:rFonts w:ascii="Times New Roman" w:hAnsi="Times New Roman"/>
          <w:sz w:val="24"/>
          <w:szCs w:val="24"/>
        </w:rPr>
        <w:t>Mabrouk</w:t>
      </w:r>
      <w:proofErr w:type="spellEnd"/>
      <w:r>
        <w:rPr>
          <w:rStyle w:val="hlfld-contribauthor"/>
          <w:rFonts w:ascii="Times New Roman" w:hAnsi="Times New Roman"/>
          <w:sz w:val="24"/>
          <w:szCs w:val="24"/>
        </w:rPr>
        <w:t xml:space="preserve">, 2009).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lastRenderedPageBreak/>
        <w:t>In summary, the literature evidences a range of benefits from active participation in academic conferences: establishing good practice through observation of experts, learning how to communicate with a diverse audience,  gaining greater independence, tolerating uncertainty, problem-solving, increasing self-confidence and enhancing career prospects  (</w:t>
      </w:r>
      <w:proofErr w:type="spellStart"/>
      <w:r>
        <w:rPr>
          <w:rStyle w:val="hlfld-contribauthor"/>
          <w:rFonts w:ascii="Times New Roman" w:hAnsi="Times New Roman"/>
          <w:sz w:val="24"/>
          <w:szCs w:val="24"/>
        </w:rPr>
        <w:t>Garafa</w:t>
      </w:r>
      <w:proofErr w:type="spellEnd"/>
      <w:r>
        <w:rPr>
          <w:rStyle w:val="hlfld-contribauthor"/>
          <w:rFonts w:ascii="Times New Roman" w:hAnsi="Times New Roman"/>
          <w:sz w:val="24"/>
          <w:szCs w:val="24"/>
        </w:rPr>
        <w:t xml:space="preserve"> and </w:t>
      </w:r>
      <w:proofErr w:type="spellStart"/>
      <w:r>
        <w:rPr>
          <w:rStyle w:val="hlfld-contribauthor"/>
          <w:rFonts w:ascii="Times New Roman" w:hAnsi="Times New Roman"/>
          <w:sz w:val="24"/>
          <w:szCs w:val="24"/>
        </w:rPr>
        <w:t>Brians</w:t>
      </w:r>
      <w:proofErr w:type="spellEnd"/>
      <w:r>
        <w:rPr>
          <w:rStyle w:val="hlfld-contribauthor"/>
          <w:rFonts w:ascii="Times New Roman" w:hAnsi="Times New Roman"/>
          <w:sz w:val="24"/>
          <w:szCs w:val="24"/>
        </w:rPr>
        <w:t xml:space="preserve">, 2011; Hill and Walkington, 2016; </w:t>
      </w:r>
      <w:proofErr w:type="spellStart"/>
      <w:r>
        <w:rPr>
          <w:rStyle w:val="hlfld-contribauthor"/>
          <w:rFonts w:ascii="Times New Roman" w:hAnsi="Times New Roman"/>
          <w:sz w:val="24"/>
          <w:szCs w:val="24"/>
        </w:rPr>
        <w:t>Lopatto</w:t>
      </w:r>
      <w:proofErr w:type="spellEnd"/>
      <w:r>
        <w:rPr>
          <w:rStyle w:val="hlfld-contribauthor"/>
          <w:rFonts w:ascii="Times New Roman" w:hAnsi="Times New Roman"/>
          <w:sz w:val="24"/>
          <w:szCs w:val="24"/>
        </w:rPr>
        <w:t>, 2009; Seymour et al., 2004; Walkington, 2008</w:t>
      </w:r>
      <w:r w:rsidR="00E546D6">
        <w:rPr>
          <w:rStyle w:val="hlfld-contribauthor"/>
          <w:rFonts w:ascii="Times New Roman" w:hAnsi="Times New Roman"/>
          <w:sz w:val="24"/>
          <w:szCs w:val="24"/>
        </w:rPr>
        <w:t>; 2015</w:t>
      </w:r>
      <w:r>
        <w:rPr>
          <w:rStyle w:val="hlfld-contribauthor"/>
          <w:rFonts w:ascii="Times New Roman" w:hAnsi="Times New Roman"/>
          <w:sz w:val="24"/>
          <w:szCs w:val="24"/>
        </w:rPr>
        <w:t>).</w:t>
      </w:r>
    </w:p>
    <w:p w:rsidR="00964AB0" w:rsidRDefault="009259F5" w:rsidP="008A2D36">
      <w:pPr>
        <w:pStyle w:val="BodyA"/>
        <w:spacing w:after="0"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Opportunities are</w:t>
      </w:r>
      <w:r w:rsidR="008A2D36">
        <w:rPr>
          <w:rStyle w:val="hlfld-contribauthor"/>
          <w:rFonts w:ascii="Times New Roman" w:hAnsi="Times New Roman"/>
          <w:sz w:val="24"/>
          <w:szCs w:val="24"/>
        </w:rPr>
        <w:t>, however,</w:t>
      </w:r>
      <w:r>
        <w:rPr>
          <w:rStyle w:val="hlfld-contribauthor"/>
          <w:rFonts w:ascii="Times New Roman" w:hAnsi="Times New Roman"/>
          <w:sz w:val="24"/>
          <w:szCs w:val="24"/>
        </w:rPr>
        <w:t xml:space="preserve"> limited for student participation in research dissemination beyond institutional campuses. </w:t>
      </w:r>
      <w:r w:rsidR="008A2D36">
        <w:rPr>
          <w:rStyle w:val="hlfld-contribauthor"/>
          <w:rFonts w:ascii="Times New Roman" w:hAnsi="Times New Roman"/>
          <w:sz w:val="24"/>
          <w:szCs w:val="24"/>
        </w:rPr>
        <w:t xml:space="preserve">Many HEIs hold discipline-led undergraduate research conferences (Healey and Jenkins, 2009; Spronken-Smith et al., 2013), but </w:t>
      </w:r>
      <w:proofErr w:type="spellStart"/>
      <w:r>
        <w:rPr>
          <w:rStyle w:val="hlfld-contribauthor"/>
          <w:rFonts w:ascii="Times New Roman" w:hAnsi="Times New Roman"/>
          <w:sz w:val="24"/>
          <w:szCs w:val="24"/>
        </w:rPr>
        <w:t>Lopatto</w:t>
      </w:r>
      <w:proofErr w:type="spellEnd"/>
      <w:r>
        <w:rPr>
          <w:rStyle w:val="hlfld-contribauthor"/>
          <w:rFonts w:ascii="Times New Roman" w:hAnsi="Times New Roman"/>
          <w:sz w:val="24"/>
          <w:szCs w:val="24"/>
        </w:rPr>
        <w:t xml:space="preserve"> (2009), surveying US undergraduate research </w:t>
      </w:r>
      <w:proofErr w:type="spellStart"/>
      <w:r>
        <w:rPr>
          <w:rStyle w:val="hlfld-contribauthor"/>
          <w:rFonts w:ascii="Times New Roman" w:hAnsi="Times New Roman"/>
          <w:sz w:val="24"/>
          <w:szCs w:val="24"/>
        </w:rPr>
        <w:t>programmes</w:t>
      </w:r>
      <w:proofErr w:type="spellEnd"/>
      <w:r>
        <w:rPr>
          <w:rStyle w:val="hlfld-contribauthor"/>
          <w:rFonts w:ascii="Times New Roman" w:hAnsi="Times New Roman"/>
          <w:sz w:val="24"/>
          <w:szCs w:val="24"/>
        </w:rPr>
        <w:t xml:space="preserve">, found that professional presentations comprised just 8% of all undergraduate presentation types (the other 92% being made up of campus-based poster and </w:t>
      </w:r>
      <w:r w:rsidR="008A2D36">
        <w:rPr>
          <w:rStyle w:val="hlfld-contribauthor"/>
          <w:rFonts w:ascii="Times New Roman" w:hAnsi="Times New Roman"/>
          <w:sz w:val="24"/>
          <w:szCs w:val="24"/>
        </w:rPr>
        <w:t>verbal</w:t>
      </w:r>
      <w:r>
        <w:rPr>
          <w:rStyle w:val="hlfld-contribauthor"/>
          <w:rFonts w:ascii="Times New Roman" w:hAnsi="Times New Roman"/>
          <w:sz w:val="24"/>
          <w:szCs w:val="24"/>
        </w:rPr>
        <w:t xml:space="preserve"> paper presentations, and written papers).  However, there is increasing interest in </w:t>
      </w:r>
      <w:r w:rsidR="004D40BD">
        <w:rPr>
          <w:rStyle w:val="hlfld-contribauthor"/>
          <w:rFonts w:ascii="Times New Roman" w:hAnsi="Times New Roman"/>
          <w:sz w:val="24"/>
          <w:szCs w:val="24"/>
        </w:rPr>
        <w:t xml:space="preserve">the US for </w:t>
      </w:r>
      <w:r>
        <w:rPr>
          <w:rStyle w:val="hlfld-contribauthor"/>
          <w:rFonts w:ascii="Times New Roman" w:hAnsi="Times New Roman"/>
          <w:sz w:val="24"/>
          <w:szCs w:val="24"/>
        </w:rPr>
        <w:t xml:space="preserve">regional and national events that provide students with broader academic experiences e.g. the annual National Conference of Undergraduate Research (NCUR), the Northwest Undergraduate Conference for Literature (NUCL), and the Southern California Conferences for Undergraduate Research (SCCUR) (Swift et al., 2012).  </w:t>
      </w:r>
      <w:r w:rsidR="004D40BD">
        <w:rPr>
          <w:rStyle w:val="hlfld-contribauthor"/>
          <w:rFonts w:ascii="Times New Roman" w:hAnsi="Times New Roman"/>
          <w:sz w:val="24"/>
          <w:szCs w:val="24"/>
        </w:rPr>
        <w:t xml:space="preserve">The </w:t>
      </w:r>
      <w:r>
        <w:rPr>
          <w:rStyle w:val="hlfld-contribauthor"/>
          <w:rFonts w:ascii="Times New Roman" w:hAnsi="Times New Roman"/>
          <w:sz w:val="24"/>
          <w:szCs w:val="24"/>
        </w:rPr>
        <w:t xml:space="preserve">NCUR and The Student Conference on Conservation Science (SCCS) have international reach, the latter being hosted in several countries (Jenkins and Healey, 2007). </w:t>
      </w:r>
    </w:p>
    <w:p w:rsidR="00964AB0" w:rsidRDefault="00964AB0">
      <w:pPr>
        <w:pStyle w:val="BodyA"/>
        <w:spacing w:after="0" w:line="360" w:lineRule="auto"/>
        <w:rPr>
          <w:rFonts w:ascii="Times New Roman" w:eastAsia="Times New Roman" w:hAnsi="Times New Roman" w:cs="Times New Roman"/>
          <w:sz w:val="24"/>
          <w:szCs w:val="24"/>
        </w:rPr>
      </w:pPr>
    </w:p>
    <w:p w:rsidR="00964AB0" w:rsidRDefault="009259F5">
      <w:pPr>
        <w:pStyle w:val="BodyA"/>
        <w:spacing w:after="0"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Elsewhere, the British Conference of Undergraduate Research (BCUR), the Australian Conference of Undergraduate Research (ACUR), and the Student Research Conference in the Netherlands have growing numbers, increasing the range of learning experiences for students and situating students in a ‘marketplace of ideas’</w:t>
      </w:r>
      <w:r>
        <w:rPr>
          <w:rStyle w:val="hlfld-contribauthor"/>
          <w:sz w:val="24"/>
          <w:szCs w:val="24"/>
        </w:rPr>
        <w:t xml:space="preserve"> </w:t>
      </w:r>
      <w:r>
        <w:rPr>
          <w:rStyle w:val="hlfld-contribauthor"/>
          <w:rFonts w:ascii="Times New Roman" w:hAnsi="Times New Roman"/>
          <w:sz w:val="24"/>
          <w:szCs w:val="24"/>
        </w:rPr>
        <w:t>(</w:t>
      </w:r>
      <w:proofErr w:type="spellStart"/>
      <w:r>
        <w:rPr>
          <w:rStyle w:val="hlfld-contribauthor"/>
          <w:rFonts w:ascii="Times New Roman" w:hAnsi="Times New Roman"/>
          <w:sz w:val="24"/>
          <w:szCs w:val="24"/>
        </w:rPr>
        <w:t>Hersh</w:t>
      </w:r>
      <w:proofErr w:type="spellEnd"/>
      <w:r>
        <w:rPr>
          <w:rStyle w:val="hlfld-contribauthor"/>
          <w:rFonts w:ascii="Times New Roman" w:hAnsi="Times New Roman"/>
          <w:sz w:val="24"/>
          <w:szCs w:val="24"/>
        </w:rPr>
        <w:t xml:space="preserve">, </w:t>
      </w:r>
      <w:proofErr w:type="spellStart"/>
      <w:r>
        <w:rPr>
          <w:rStyle w:val="hlfld-contribauthor"/>
          <w:rFonts w:ascii="Times New Roman" w:hAnsi="Times New Roman"/>
          <w:sz w:val="24"/>
          <w:szCs w:val="24"/>
        </w:rPr>
        <w:t>Hiro</w:t>
      </w:r>
      <w:proofErr w:type="spellEnd"/>
      <w:r>
        <w:rPr>
          <w:rStyle w:val="hlfld-contribauthor"/>
          <w:rFonts w:ascii="Times New Roman" w:hAnsi="Times New Roman"/>
          <w:sz w:val="24"/>
          <w:szCs w:val="24"/>
        </w:rPr>
        <w:t xml:space="preserve">, and </w:t>
      </w:r>
      <w:proofErr w:type="spellStart"/>
      <w:r>
        <w:rPr>
          <w:rStyle w:val="hlfld-contribauthor"/>
          <w:rFonts w:ascii="Times New Roman" w:hAnsi="Times New Roman"/>
          <w:sz w:val="24"/>
          <w:szCs w:val="24"/>
        </w:rPr>
        <w:t>Asarnow</w:t>
      </w:r>
      <w:proofErr w:type="spellEnd"/>
      <w:r>
        <w:rPr>
          <w:rStyle w:val="hlfld-contribauthor"/>
          <w:rFonts w:ascii="Times New Roman" w:hAnsi="Times New Roman"/>
          <w:sz w:val="24"/>
          <w:szCs w:val="24"/>
        </w:rPr>
        <w:t>, 2011). Spronken-Smith et al.’s (2013) framework for dissemination of undergraduate research and inquiry situates the undergraduate conference at the summit of levels of student autonomy and exposure (a combined measure of “public-</w:t>
      </w:r>
      <w:proofErr w:type="spellStart"/>
      <w:r>
        <w:rPr>
          <w:rStyle w:val="hlfld-contribauthor"/>
          <w:rFonts w:ascii="Times New Roman" w:hAnsi="Times New Roman"/>
          <w:sz w:val="24"/>
          <w:szCs w:val="24"/>
        </w:rPr>
        <w:t>ness</w:t>
      </w:r>
      <w:proofErr w:type="spellEnd"/>
      <w:r>
        <w:rPr>
          <w:rStyle w:val="hlfld-contribauthor"/>
          <w:rFonts w:ascii="Times New Roman" w:hAnsi="Times New Roman"/>
          <w:sz w:val="24"/>
          <w:szCs w:val="24"/>
        </w:rPr>
        <w:t>”, extent of activity beyond the taught curriculum, and potential sphere of influence).</w:t>
      </w:r>
    </w:p>
    <w:p w:rsidR="00964AB0" w:rsidRDefault="00964AB0">
      <w:pPr>
        <w:pStyle w:val="BodyA"/>
        <w:spacing w:after="0" w:line="360" w:lineRule="auto"/>
        <w:rPr>
          <w:rFonts w:ascii="Times New Roman" w:eastAsia="Times New Roman" w:hAnsi="Times New Roman" w:cs="Times New Roman"/>
          <w:sz w:val="24"/>
          <w:szCs w:val="24"/>
        </w:rPr>
      </w:pPr>
    </w:p>
    <w:p w:rsidR="00964AB0" w:rsidRDefault="004D40BD" w:rsidP="004D40BD">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While a</w:t>
      </w:r>
      <w:r w:rsidR="009259F5">
        <w:rPr>
          <w:rStyle w:val="hlfld-contribauthor"/>
          <w:rFonts w:ascii="Times New Roman" w:hAnsi="Times New Roman"/>
          <w:sz w:val="24"/>
          <w:szCs w:val="24"/>
        </w:rPr>
        <w:t xml:space="preserve"> number of studies have evaluated student feedback following a conference </w:t>
      </w:r>
      <w:proofErr w:type="spellStart"/>
      <w:r w:rsidR="009259F5">
        <w:rPr>
          <w:rStyle w:val="hlfld-contribauthor"/>
          <w:rFonts w:ascii="Times New Roman" w:hAnsi="Times New Roman"/>
          <w:sz w:val="24"/>
          <w:szCs w:val="24"/>
        </w:rPr>
        <w:t>programme</w:t>
      </w:r>
      <w:proofErr w:type="spellEnd"/>
      <w:r w:rsidR="009259F5">
        <w:rPr>
          <w:rStyle w:val="hlfld-contribauthor"/>
          <w:rFonts w:ascii="Times New Roman" w:hAnsi="Times New Roman"/>
          <w:sz w:val="24"/>
          <w:szCs w:val="24"/>
        </w:rPr>
        <w:t xml:space="preserve"> (Helm and Bailey, 2013; </w:t>
      </w:r>
      <w:proofErr w:type="spellStart"/>
      <w:r w:rsidR="009259F5">
        <w:rPr>
          <w:rStyle w:val="hlfld-contribauthor"/>
          <w:rFonts w:ascii="Times New Roman" w:hAnsi="Times New Roman"/>
          <w:sz w:val="24"/>
          <w:szCs w:val="24"/>
        </w:rPr>
        <w:t>Hersh</w:t>
      </w:r>
      <w:proofErr w:type="spellEnd"/>
      <w:r w:rsidR="009259F5">
        <w:rPr>
          <w:rStyle w:val="hlfld-contribauthor"/>
          <w:rFonts w:ascii="Times New Roman" w:hAnsi="Times New Roman"/>
          <w:sz w:val="24"/>
          <w:szCs w:val="24"/>
        </w:rPr>
        <w:t xml:space="preserve">, </w:t>
      </w:r>
      <w:proofErr w:type="spellStart"/>
      <w:r w:rsidR="009259F5">
        <w:rPr>
          <w:rStyle w:val="hlfld-contribauthor"/>
          <w:rFonts w:ascii="Times New Roman" w:hAnsi="Times New Roman"/>
          <w:sz w:val="24"/>
          <w:szCs w:val="24"/>
        </w:rPr>
        <w:t>Hiro</w:t>
      </w:r>
      <w:proofErr w:type="spellEnd"/>
      <w:r w:rsidR="009259F5">
        <w:rPr>
          <w:rStyle w:val="hlfld-contribauthor"/>
          <w:rFonts w:ascii="Times New Roman" w:hAnsi="Times New Roman"/>
          <w:sz w:val="24"/>
          <w:szCs w:val="24"/>
        </w:rPr>
        <w:t xml:space="preserve">, and </w:t>
      </w:r>
      <w:proofErr w:type="spellStart"/>
      <w:r w:rsidR="009259F5">
        <w:rPr>
          <w:rStyle w:val="hlfld-contribauthor"/>
          <w:rFonts w:ascii="Times New Roman" w:hAnsi="Times New Roman"/>
          <w:sz w:val="24"/>
          <w:szCs w:val="24"/>
        </w:rPr>
        <w:t>Asarnow</w:t>
      </w:r>
      <w:proofErr w:type="spellEnd"/>
      <w:r w:rsidR="009259F5">
        <w:rPr>
          <w:rStyle w:val="hlfld-contribauthor"/>
          <w:rFonts w:ascii="Times New Roman" w:hAnsi="Times New Roman"/>
          <w:sz w:val="24"/>
          <w:szCs w:val="24"/>
        </w:rPr>
        <w:t>, 2011; Hill and Walkington, 2016)</w:t>
      </w:r>
      <w:r>
        <w:rPr>
          <w:rStyle w:val="hlfld-contribauthor"/>
          <w:rFonts w:ascii="Times New Roman" w:hAnsi="Times New Roman"/>
          <w:sz w:val="24"/>
          <w:szCs w:val="24"/>
        </w:rPr>
        <w:t>, t</w:t>
      </w:r>
      <w:r w:rsidR="009259F5">
        <w:rPr>
          <w:rStyle w:val="hlfld-contribauthor"/>
          <w:rFonts w:ascii="Times New Roman" w:hAnsi="Times New Roman"/>
          <w:sz w:val="24"/>
          <w:szCs w:val="24"/>
        </w:rPr>
        <w:t xml:space="preserve">his paper focuses on investigating the significance of participation and </w:t>
      </w:r>
      <w:proofErr w:type="spellStart"/>
      <w:r w:rsidR="009259F5">
        <w:rPr>
          <w:rStyle w:val="hlfld-contribauthor"/>
          <w:rFonts w:ascii="Times New Roman" w:hAnsi="Times New Roman"/>
          <w:sz w:val="24"/>
          <w:szCs w:val="24"/>
        </w:rPr>
        <w:t>socialisation</w:t>
      </w:r>
      <w:proofErr w:type="spellEnd"/>
      <w:r w:rsidR="009259F5">
        <w:rPr>
          <w:rStyle w:val="hlfld-contribauthor"/>
          <w:rFonts w:ascii="Times New Roman" w:hAnsi="Times New Roman"/>
          <w:sz w:val="24"/>
          <w:szCs w:val="24"/>
        </w:rPr>
        <w:t xml:space="preserve"> at three BCUR conferences, and the impact on student skills, abilities and professional growth. The results are mapped against the four domains of the RDF (Vitae, 2014) (Figure 1) to see </w:t>
      </w:r>
      <w:r w:rsidR="009259F5">
        <w:rPr>
          <w:rStyle w:val="hlfld-contribauthor"/>
          <w:rFonts w:ascii="Times New Roman" w:hAnsi="Times New Roman"/>
          <w:sz w:val="24"/>
          <w:szCs w:val="24"/>
        </w:rPr>
        <w:lastRenderedPageBreak/>
        <w:t xml:space="preserve">how these events contribute to the development of skills </w:t>
      </w:r>
      <w:r>
        <w:rPr>
          <w:rStyle w:val="hlfld-contribauthor"/>
          <w:rFonts w:ascii="Times New Roman" w:hAnsi="Times New Roman"/>
          <w:sz w:val="24"/>
          <w:szCs w:val="24"/>
        </w:rPr>
        <w:t>that</w:t>
      </w:r>
      <w:r w:rsidR="009259F5">
        <w:rPr>
          <w:rStyle w:val="hlfld-contribauthor"/>
          <w:rFonts w:ascii="Times New Roman" w:hAnsi="Times New Roman"/>
          <w:sz w:val="24"/>
          <w:szCs w:val="24"/>
        </w:rPr>
        <w:t xml:space="preserve"> </w:t>
      </w:r>
      <w:proofErr w:type="gramStart"/>
      <w:r w:rsidR="009259F5">
        <w:rPr>
          <w:rStyle w:val="hlfld-contribauthor"/>
          <w:rFonts w:ascii="Times New Roman" w:hAnsi="Times New Roman"/>
          <w:sz w:val="24"/>
          <w:szCs w:val="24"/>
        </w:rPr>
        <w:t>employers</w:t>
      </w:r>
      <w:proofErr w:type="gramEnd"/>
      <w:r w:rsidR="009259F5">
        <w:rPr>
          <w:rStyle w:val="hlfld-contribauthor"/>
          <w:rFonts w:ascii="Times New Roman" w:hAnsi="Times New Roman"/>
          <w:sz w:val="24"/>
          <w:szCs w:val="24"/>
        </w:rPr>
        <w:t xml:space="preserve"> value. The outcomes enable us to reflect on the components of a conference that have particular value to students. The mapping of interview data onto the RDF using different elements of conference activity represents a novel approach to the analysis of learning gains from an undergraduate research conference. </w:t>
      </w: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The Researcher Development Framework</w:t>
      </w:r>
    </w:p>
    <w:p w:rsidR="00964AB0" w:rsidRDefault="009259F5" w:rsidP="00FE3321">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The RDF is an operational framework that underlies the Researcher Development Statement (RDS), a strategic statement setting out the knowledge, </w:t>
      </w:r>
      <w:proofErr w:type="spellStart"/>
      <w:r>
        <w:rPr>
          <w:rStyle w:val="hlfld-contribauthor"/>
          <w:rFonts w:ascii="Times New Roman" w:hAnsi="Times New Roman"/>
          <w:sz w:val="24"/>
          <w:szCs w:val="24"/>
        </w:rPr>
        <w:t>behaviours</w:t>
      </w:r>
      <w:proofErr w:type="spellEnd"/>
      <w:r>
        <w:rPr>
          <w:rStyle w:val="hlfld-contribauthor"/>
          <w:rFonts w:ascii="Times New Roman" w:hAnsi="Times New Roman"/>
          <w:sz w:val="24"/>
          <w:szCs w:val="24"/>
        </w:rPr>
        <w:t>, skills and attributes of skilled researchers. Endorsed by Research Councils UK and Universities UK, t</w:t>
      </w:r>
      <w:r w:rsidR="00B3595D">
        <w:rPr>
          <w:rStyle w:val="hlfld-contribauthor"/>
          <w:rFonts w:ascii="Times New Roman" w:hAnsi="Times New Roman"/>
          <w:sz w:val="24"/>
          <w:szCs w:val="24"/>
        </w:rPr>
        <w:t>he two instruments</w:t>
      </w:r>
      <w:r>
        <w:rPr>
          <w:rStyle w:val="hlfld-contribauthor"/>
          <w:rFonts w:ascii="Times New Roman" w:hAnsi="Times New Roman"/>
          <w:sz w:val="24"/>
          <w:szCs w:val="24"/>
        </w:rPr>
        <w:t xml:space="preserve"> </w:t>
      </w:r>
      <w:r w:rsidR="00FE3321">
        <w:rPr>
          <w:rStyle w:val="hlfld-contribauthor"/>
          <w:rFonts w:ascii="Times New Roman" w:hAnsi="Times New Roman"/>
          <w:sz w:val="24"/>
          <w:szCs w:val="24"/>
        </w:rPr>
        <w:t>reinforce</w:t>
      </w:r>
      <w:r>
        <w:rPr>
          <w:rStyle w:val="hlfld-contribauthor"/>
          <w:rFonts w:ascii="Times New Roman" w:hAnsi="Times New Roman"/>
          <w:sz w:val="24"/>
          <w:szCs w:val="24"/>
        </w:rPr>
        <w:t xml:space="preserve"> the implementation of the Concordat to Support the Career Development of Researchers, and the QAA Code of Practice for research degree </w:t>
      </w:r>
      <w:proofErr w:type="spellStart"/>
      <w:r>
        <w:rPr>
          <w:rStyle w:val="hlfld-contribauthor"/>
          <w:rFonts w:ascii="Times New Roman" w:hAnsi="Times New Roman"/>
          <w:sz w:val="24"/>
          <w:szCs w:val="24"/>
        </w:rPr>
        <w:t>programmes</w:t>
      </w:r>
      <w:proofErr w:type="spellEnd"/>
      <w:r>
        <w:rPr>
          <w:rStyle w:val="hlfld-contribauthor"/>
          <w:rFonts w:ascii="Times New Roman" w:hAnsi="Times New Roman"/>
          <w:sz w:val="24"/>
          <w:szCs w:val="24"/>
        </w:rPr>
        <w:t xml:space="preserve"> (Vitae, 2014). The RDF was intended by its developers to represent a major new approach to researcher development, providing a tool for planning, promoting and supporting the personal, professional and career development of researchers (Vitae, 2014) The RDF is primarily aimed at those who are ‘doing a doctorate, are a member of research staff, pursuing an academic career or thinking about applying the skills developed during a PhD in another career’ (Vitae, 2014). However, the authors suggest that, because the framework is multi-layered, setting out both core </w:t>
      </w:r>
      <w:r>
        <w:rPr>
          <w:rStyle w:val="hlfld-contribauthor"/>
          <w:rFonts w:ascii="Times New Roman" w:hAnsi="Times New Roman"/>
          <w:i/>
          <w:iCs/>
          <w:sz w:val="24"/>
          <w:szCs w:val="24"/>
        </w:rPr>
        <w:t>and</w:t>
      </w:r>
      <w:r>
        <w:rPr>
          <w:rStyle w:val="hlfld-contribauthor"/>
          <w:rFonts w:ascii="Times New Roman" w:hAnsi="Times New Roman"/>
          <w:sz w:val="24"/>
          <w:szCs w:val="24"/>
        </w:rPr>
        <w:t xml:space="preserve"> advanced skills and attributes, it</w:t>
      </w:r>
      <w:r w:rsidR="00B3595D">
        <w:rPr>
          <w:rStyle w:val="hlfld-contribauthor"/>
          <w:rFonts w:ascii="Times New Roman" w:hAnsi="Times New Roman"/>
          <w:sz w:val="24"/>
          <w:szCs w:val="24"/>
        </w:rPr>
        <w:t xml:space="preserve"> </w:t>
      </w:r>
      <w:r>
        <w:rPr>
          <w:rStyle w:val="hlfld-contribauthor"/>
          <w:rFonts w:ascii="Times New Roman" w:hAnsi="Times New Roman"/>
          <w:sz w:val="24"/>
          <w:szCs w:val="24"/>
        </w:rPr>
        <w:t xml:space="preserve">might reasonably be used to map skills and attributes developed and evidenced during undergraduate research experiences.  </w:t>
      </w: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Conceptual framework</w:t>
      </w:r>
    </w:p>
    <w:p w:rsidR="00964AB0" w:rsidRDefault="009259F5" w:rsidP="00F615F4">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This study draws on situated learning theory (Lave and Wenger, 1991), based on the premise that the academic conference environment provides undergraduates with an authentic learning context in which the novice student learns and improves a range of skills, </w:t>
      </w:r>
      <w:proofErr w:type="spellStart"/>
      <w:r>
        <w:rPr>
          <w:rStyle w:val="hlfld-contribauthor"/>
          <w:rFonts w:ascii="Times New Roman" w:hAnsi="Times New Roman"/>
          <w:sz w:val="24"/>
          <w:szCs w:val="24"/>
        </w:rPr>
        <w:t>scaffolded</w:t>
      </w:r>
      <w:proofErr w:type="spellEnd"/>
      <w:r>
        <w:rPr>
          <w:rStyle w:val="hlfld-contribauthor"/>
          <w:rFonts w:ascii="Times New Roman" w:hAnsi="Times New Roman"/>
          <w:sz w:val="24"/>
          <w:szCs w:val="24"/>
        </w:rPr>
        <w:t xml:space="preserve"> through social interaction and collaboration with their peers and with more experienced members of the academic community (tutors). The learning journey experienced by each student, from pre-conference preparation, through presentation and networking, to post-conference debriefing, reflection and potential collaboration, is expected to move the student toward expert standing, a journey that can be effectively captured by the RDF. As the undergraduates participating in the BCUR conferences were particularly </w:t>
      </w:r>
      <w:r w:rsidR="00F615F4">
        <w:rPr>
          <w:rStyle w:val="hlfld-contribauthor"/>
          <w:rFonts w:ascii="Times New Roman" w:hAnsi="Times New Roman"/>
          <w:sz w:val="24"/>
          <w:szCs w:val="24"/>
        </w:rPr>
        <w:t>motivated</w:t>
      </w:r>
      <w:r>
        <w:rPr>
          <w:rStyle w:val="hlfld-contribauthor"/>
          <w:rFonts w:ascii="Times New Roman" w:hAnsi="Times New Roman"/>
          <w:sz w:val="24"/>
          <w:szCs w:val="24"/>
        </w:rPr>
        <w:t xml:space="preserve">, with many aspiring to progress their careers in research and academia, this journey will likely be </w:t>
      </w:r>
      <w:r>
        <w:rPr>
          <w:rStyle w:val="hlfld-contribauthor"/>
          <w:rFonts w:ascii="Times New Roman" w:hAnsi="Times New Roman"/>
          <w:sz w:val="24"/>
          <w:szCs w:val="24"/>
        </w:rPr>
        <w:lastRenderedPageBreak/>
        <w:t>further enhanced by a greater understanding of</w:t>
      </w:r>
      <w:r w:rsidR="00F615F4">
        <w:rPr>
          <w:rStyle w:val="hlfld-contribauthor"/>
          <w:rFonts w:ascii="Times New Roman" w:hAnsi="Times New Roman"/>
          <w:sz w:val="24"/>
          <w:szCs w:val="24"/>
        </w:rPr>
        <w:t>,</w:t>
      </w:r>
      <w:r>
        <w:rPr>
          <w:rStyle w:val="hlfld-contribauthor"/>
          <w:rFonts w:ascii="Times New Roman" w:hAnsi="Times New Roman"/>
          <w:sz w:val="24"/>
          <w:szCs w:val="24"/>
        </w:rPr>
        <w:t xml:space="preserve"> and sense of belonging to</w:t>
      </w:r>
      <w:r w:rsidR="00F615F4">
        <w:rPr>
          <w:rStyle w:val="hlfld-contribauthor"/>
          <w:rFonts w:ascii="Times New Roman" w:hAnsi="Times New Roman"/>
          <w:sz w:val="24"/>
          <w:szCs w:val="24"/>
        </w:rPr>
        <w:t>,</w:t>
      </w:r>
      <w:r>
        <w:rPr>
          <w:rStyle w:val="hlfld-contribauthor"/>
          <w:rFonts w:ascii="Times New Roman" w:hAnsi="Times New Roman"/>
          <w:sz w:val="24"/>
          <w:szCs w:val="24"/>
        </w:rPr>
        <w:t xml:space="preserve"> the academic community of practice as a result of the overall conference experience (Wenger, 1998).  </w:t>
      </w:r>
    </w:p>
    <w:p w:rsidR="00306B8F" w:rsidRDefault="009259F5" w:rsidP="00456642">
      <w:pPr>
        <w:pStyle w:val="Body"/>
        <w:spacing w:before="240" w:after="200" w:line="360" w:lineRule="auto"/>
        <w:rPr>
          <w:rStyle w:val="hlfld-contribauthor"/>
          <w:shd w:val="clear" w:color="auto" w:fill="FFFFFF"/>
        </w:rPr>
      </w:pPr>
      <w:r>
        <w:rPr>
          <w:lang w:val="en-US"/>
        </w:rPr>
        <w:t>Conferences as situated learning environments have been explored previously</w:t>
      </w:r>
      <w:r>
        <w:t xml:space="preserve">.  </w:t>
      </w:r>
      <w:r>
        <w:rPr>
          <w:lang w:val="en-US"/>
        </w:rPr>
        <w:t xml:space="preserve">Anderson and </w:t>
      </w:r>
      <w:proofErr w:type="spellStart"/>
      <w:r>
        <w:rPr>
          <w:lang w:val="en-US"/>
        </w:rPr>
        <w:t>P</w:t>
      </w:r>
      <w:r w:rsidR="00F615F4">
        <w:rPr>
          <w:lang w:val="en-US"/>
        </w:rPr>
        <w:t>assera</w:t>
      </w:r>
      <w:proofErr w:type="spellEnd"/>
      <w:r w:rsidR="00F615F4">
        <w:rPr>
          <w:lang w:val="en-US"/>
        </w:rPr>
        <w:t xml:space="preserve"> (2015), for example, </w:t>
      </w:r>
      <w:r>
        <w:rPr>
          <w:lang w:val="en-US"/>
        </w:rPr>
        <w:t xml:space="preserve">embedded a mini-conference in </w:t>
      </w:r>
      <w:r w:rsidR="00F615F4">
        <w:rPr>
          <w:lang w:val="en-US"/>
        </w:rPr>
        <w:t>their</w:t>
      </w:r>
      <w:r>
        <w:rPr>
          <w:lang w:val="en-US"/>
        </w:rPr>
        <w:t xml:space="preserve"> undergraduate business course</w:t>
      </w:r>
      <w:r w:rsidR="00F615F4">
        <w:rPr>
          <w:lang w:val="en-US"/>
        </w:rPr>
        <w:t xml:space="preserve"> where s</w:t>
      </w:r>
      <w:r>
        <w:rPr>
          <w:lang w:val="en-US"/>
        </w:rPr>
        <w:t xml:space="preserve">tudent </w:t>
      </w:r>
      <w:r>
        <w:t>‘</w:t>
      </w:r>
      <w:r w:rsidRPr="00C82DB8">
        <w:t>experts</w:t>
      </w:r>
      <w:r>
        <w:t xml:space="preserve">’, </w:t>
      </w:r>
      <w:r>
        <w:rPr>
          <w:rStyle w:val="hlfld-contribauthor"/>
          <w:shd w:val="clear" w:color="auto" w:fill="FFFFFF"/>
        </w:rPr>
        <w:t>who completed reviews of specified journal articles, co-present</w:t>
      </w:r>
      <w:r w:rsidR="00F615F4">
        <w:rPr>
          <w:rStyle w:val="hlfld-contribauthor"/>
          <w:shd w:val="clear" w:color="auto" w:fill="FFFFFF"/>
        </w:rPr>
        <w:t>ed</w:t>
      </w:r>
      <w:r>
        <w:rPr>
          <w:rStyle w:val="hlfld-contribauthor"/>
          <w:shd w:val="clear" w:color="auto" w:fill="FFFFFF"/>
        </w:rPr>
        <w:t xml:space="preserve"> on contemporary developments in their allocated research area. Meanwhile, ‘novices’, who </w:t>
      </w:r>
      <w:r w:rsidR="00F615F4">
        <w:rPr>
          <w:rStyle w:val="hlfld-contribauthor"/>
          <w:shd w:val="clear" w:color="auto" w:fill="FFFFFF"/>
        </w:rPr>
        <w:t>were</w:t>
      </w:r>
      <w:r>
        <w:rPr>
          <w:rStyle w:val="hlfld-contribauthor"/>
          <w:shd w:val="clear" w:color="auto" w:fill="FFFFFF"/>
        </w:rPr>
        <w:t xml:space="preserve"> briefed by the ‘</w:t>
      </w:r>
      <w:r w:rsidRPr="00C82DB8">
        <w:rPr>
          <w:rStyle w:val="hlfld-contribauthor"/>
          <w:shd w:val="clear" w:color="auto" w:fill="FFFFFF"/>
          <w:lang w:val="en-GB"/>
        </w:rPr>
        <w:t>experts</w:t>
      </w:r>
      <w:r>
        <w:rPr>
          <w:rStyle w:val="hlfld-contribauthor"/>
          <w:shd w:val="clear" w:color="auto" w:fill="FFFFFF"/>
        </w:rPr>
        <w:t>’, co-present</w:t>
      </w:r>
      <w:r w:rsidR="00F615F4">
        <w:rPr>
          <w:rStyle w:val="hlfld-contribauthor"/>
          <w:shd w:val="clear" w:color="auto" w:fill="FFFFFF"/>
        </w:rPr>
        <w:t>ed</w:t>
      </w:r>
      <w:r>
        <w:rPr>
          <w:rStyle w:val="hlfld-contribauthor"/>
          <w:shd w:val="clear" w:color="auto" w:fill="FFFFFF"/>
        </w:rPr>
        <w:t xml:space="preserve"> the application of their learning to practical business scenarios. The aim of the conference is to provide a non-threatening environment in which students can rehearse their ideas and share insights,</w:t>
      </w:r>
      <w:r>
        <w:rPr>
          <w:lang w:val="en-US"/>
        </w:rPr>
        <w:t xml:space="preserve"> developing analytical skills within a community of practice. Meanwhile, </w:t>
      </w:r>
      <w:proofErr w:type="spellStart"/>
      <w:r>
        <w:rPr>
          <w:lang w:val="en-US"/>
        </w:rPr>
        <w:t>Xiangdong</w:t>
      </w:r>
      <w:proofErr w:type="spellEnd"/>
      <w:r>
        <w:rPr>
          <w:rStyle w:val="hlfld-contribauthor"/>
          <w:shd w:val="clear" w:color="auto" w:fill="FFFFFF"/>
        </w:rPr>
        <w:t xml:space="preserve"> (2015) found that mock conferences for undergraduate student interpreters develop skills concerning professionalism, psychological competence and strategic competence thereby preparing students for their professional careers.</w:t>
      </w:r>
    </w:p>
    <w:p w:rsidR="00964AB0" w:rsidRDefault="009259F5" w:rsidP="00B636C4">
      <w:pPr>
        <w:pStyle w:val="Body"/>
        <w:spacing w:before="240" w:after="200" w:line="360" w:lineRule="auto"/>
        <w:rPr>
          <w:rStyle w:val="hlfld-contribauthor"/>
          <w:shd w:val="clear" w:color="auto" w:fill="FFFFFF"/>
        </w:rPr>
      </w:pPr>
      <w:r>
        <w:rPr>
          <w:rStyle w:val="hlfld-contribauthor"/>
          <w:shd w:val="clear" w:color="auto" w:fill="FFFFFF"/>
        </w:rPr>
        <w:t xml:space="preserve">The importance of </w:t>
      </w:r>
      <w:r w:rsidR="00456642">
        <w:rPr>
          <w:rStyle w:val="hlfld-contribauthor"/>
          <w:shd w:val="clear" w:color="auto" w:fill="FFFFFF"/>
        </w:rPr>
        <w:t xml:space="preserve">undergraduate students </w:t>
      </w:r>
      <w:r>
        <w:rPr>
          <w:rStyle w:val="hlfld-contribauthor"/>
          <w:shd w:val="clear" w:color="auto" w:fill="FFFFFF"/>
        </w:rPr>
        <w:t xml:space="preserve">developing research-related and other skills in order to prepare them for work is linked to the concept of graduate attributes. Many graduate attribute models explicitly include research and inquiry skills (Barrie 2004; </w:t>
      </w:r>
      <w:proofErr w:type="spellStart"/>
      <w:r>
        <w:rPr>
          <w:rStyle w:val="hlfld-contribauthor"/>
          <w:shd w:val="clear" w:color="auto" w:fill="FFFFFF"/>
        </w:rPr>
        <w:t>Hounsell</w:t>
      </w:r>
      <w:proofErr w:type="spellEnd"/>
      <w:r>
        <w:rPr>
          <w:rStyle w:val="hlfld-contribauthor"/>
          <w:shd w:val="clear" w:color="auto" w:fill="FFFFFF"/>
        </w:rPr>
        <w:t>, 2011)</w:t>
      </w:r>
      <w:r w:rsidR="00456642">
        <w:rPr>
          <w:rStyle w:val="hlfld-contribauthor"/>
          <w:shd w:val="clear" w:color="auto" w:fill="FFFFFF"/>
        </w:rPr>
        <w:t>,</w:t>
      </w:r>
      <w:r>
        <w:rPr>
          <w:rStyle w:val="hlfld-contribauthor"/>
          <w:shd w:val="clear" w:color="auto" w:fill="FFFFFF"/>
        </w:rPr>
        <w:t xml:space="preserve"> and the graduate attributes literature informed the aims of this paper. Firstly, the literature highlighted the importance of offering students co-curricular authentic learning experiences to help develop their graduate attributes (Hill and Walkington, 2016). Secondly, it demonstrated the need for students to reflect on the progressive acquisition of skills over their learning journey</w:t>
      </w:r>
      <w:r w:rsidR="00456642">
        <w:rPr>
          <w:rStyle w:val="hlfld-contribauthor"/>
          <w:shd w:val="clear" w:color="auto" w:fill="FFFFFF"/>
        </w:rPr>
        <w:t>s</w:t>
      </w:r>
      <w:r>
        <w:rPr>
          <w:rStyle w:val="hlfld-contribauthor"/>
          <w:shd w:val="clear" w:color="auto" w:fill="FFFFFF"/>
        </w:rPr>
        <w:t xml:space="preserve"> (Fraser and Thomas, 2013; Su, 2014). In response, we </w:t>
      </w:r>
      <w:proofErr w:type="spellStart"/>
      <w:r>
        <w:rPr>
          <w:rStyle w:val="hlfld-contribauthor"/>
          <w:shd w:val="clear" w:color="auto" w:fill="FFFFFF"/>
        </w:rPr>
        <w:t>recogni</w:t>
      </w:r>
      <w:r w:rsidR="00B636C4">
        <w:rPr>
          <w:rStyle w:val="hlfld-contribauthor"/>
          <w:shd w:val="clear" w:color="auto" w:fill="FFFFFF"/>
        </w:rPr>
        <w:t>s</w:t>
      </w:r>
      <w:r>
        <w:rPr>
          <w:rStyle w:val="hlfld-contribauthor"/>
          <w:shd w:val="clear" w:color="auto" w:fill="FFFFFF"/>
        </w:rPr>
        <w:t>ed</w:t>
      </w:r>
      <w:proofErr w:type="spellEnd"/>
      <w:r>
        <w:rPr>
          <w:rStyle w:val="hlfld-contribauthor"/>
          <w:shd w:val="clear" w:color="auto" w:fill="FFFFFF"/>
        </w:rPr>
        <w:t xml:space="preserve"> that BCUR conferences offer a quasi-professional space for students to practice and develop their research skills, whilst the RDF provides a framework to guide conversations between academic staff and students, </w:t>
      </w:r>
      <w:r w:rsidR="00C8151D">
        <w:rPr>
          <w:rStyle w:val="hlfld-contribauthor"/>
          <w:shd w:val="clear" w:color="auto" w:fill="FFFFFF"/>
        </w:rPr>
        <w:t xml:space="preserve">providing </w:t>
      </w:r>
      <w:r>
        <w:rPr>
          <w:rStyle w:val="hlfld-contribauthor"/>
          <w:shd w:val="clear" w:color="auto" w:fill="FFFFFF"/>
        </w:rPr>
        <w:t>transparen</w:t>
      </w:r>
      <w:r w:rsidR="00C8151D">
        <w:rPr>
          <w:rStyle w:val="hlfld-contribauthor"/>
          <w:shd w:val="clear" w:color="auto" w:fill="FFFFFF"/>
        </w:rPr>
        <w:t xml:space="preserve">cy for </w:t>
      </w:r>
      <w:r>
        <w:rPr>
          <w:rStyle w:val="hlfld-contribauthor"/>
          <w:shd w:val="clear" w:color="auto" w:fill="FFFFFF"/>
        </w:rPr>
        <w:t xml:space="preserve">the development of core skills through engagement in research.   </w:t>
      </w: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 xml:space="preserve">Methodology   </w:t>
      </w:r>
    </w:p>
    <w:p w:rsidR="00964AB0" w:rsidRDefault="009259F5" w:rsidP="00C56FF3">
      <w:pPr>
        <w:pStyle w:val="Body"/>
        <w:spacing w:after="200" w:line="360" w:lineRule="auto"/>
      </w:pPr>
      <w:r>
        <w:rPr>
          <w:lang w:val="en-US"/>
        </w:rPr>
        <w:t>Ninety semi-structured 15-30 minute interviews were conducted with students during the 2012, 2013 and 2014</w:t>
      </w:r>
      <w:r w:rsidR="00C8151D">
        <w:rPr>
          <w:lang w:val="en-US"/>
        </w:rPr>
        <w:t xml:space="preserve"> BCUR conferences</w:t>
      </w:r>
      <w:r>
        <w:rPr>
          <w:lang w:val="en-US"/>
        </w:rPr>
        <w:t xml:space="preserve">. The conference </w:t>
      </w:r>
      <w:r w:rsidR="00C8151D">
        <w:rPr>
          <w:lang w:val="en-US"/>
        </w:rPr>
        <w:t>formats</w:t>
      </w:r>
      <w:r>
        <w:rPr>
          <w:lang w:val="en-US"/>
        </w:rPr>
        <w:t xml:space="preserve"> </w:t>
      </w:r>
      <w:r w:rsidR="00C8151D">
        <w:rPr>
          <w:lang w:val="en-US"/>
        </w:rPr>
        <w:t>included both</w:t>
      </w:r>
      <w:r>
        <w:rPr>
          <w:lang w:val="en-US"/>
        </w:rPr>
        <w:t xml:space="preserve"> paper and poster sessions, with the titles of each </w:t>
      </w:r>
      <w:r w:rsidR="00C8151D">
        <w:rPr>
          <w:lang w:val="en-US"/>
        </w:rPr>
        <w:t>presentation</w:t>
      </w:r>
      <w:r>
        <w:rPr>
          <w:lang w:val="en-US"/>
        </w:rPr>
        <w:t xml:space="preserve"> detailed within the </w:t>
      </w:r>
      <w:proofErr w:type="spellStart"/>
      <w:r>
        <w:rPr>
          <w:lang w:val="en-US"/>
        </w:rPr>
        <w:t>programmes</w:t>
      </w:r>
      <w:proofErr w:type="spellEnd"/>
      <w:r>
        <w:rPr>
          <w:lang w:val="en-US"/>
        </w:rPr>
        <w:t xml:space="preserve">. Students were approached following their presentations and invited to take part in a short face-to-face interview. The number of interviews carried out was limited by the capacity of the research </w:t>
      </w:r>
      <w:r>
        <w:rPr>
          <w:lang w:val="en-US"/>
        </w:rPr>
        <w:lastRenderedPageBreak/>
        <w:t xml:space="preserve">team rather than a lack of volunteer participants. The sample across the three years represented 14% of the total number of students who presented their work at these conferences. Sampling was determined by the conference schedules rather than through selections based on gender, ethnicity or institution. The conference had a good spread of disciplines across the </w:t>
      </w:r>
      <w:hyperlink r:id="rId8" w:history="1">
        <w:r>
          <w:rPr>
            <w:lang w:val="en-US"/>
          </w:rPr>
          <w:t>arts and humanities</w:t>
        </w:r>
      </w:hyperlink>
      <w:r>
        <w:t xml:space="preserve">, </w:t>
      </w:r>
      <w:hyperlink r:id="rId9" w:history="1">
        <w:r>
          <w:rPr>
            <w:lang w:val="en-US"/>
          </w:rPr>
          <w:t>health and social care</w:t>
        </w:r>
      </w:hyperlink>
      <w:r>
        <w:t xml:space="preserve">, </w:t>
      </w:r>
      <w:hyperlink r:id="rId10" w:history="1">
        <w:r w:rsidRPr="00B422AE">
          <w:t>social sciences</w:t>
        </w:r>
      </w:hyperlink>
      <w:r>
        <w:rPr>
          <w:lang w:val="en-US"/>
        </w:rPr>
        <w:t xml:space="preserve">, and </w:t>
      </w:r>
      <w:hyperlink r:id="rId11" w:history="1">
        <w:r>
          <w:rPr>
            <w:lang w:val="en-US"/>
          </w:rPr>
          <w:t>science, technology, engineering and mathematics (STEM)</w:t>
        </w:r>
      </w:hyperlink>
      <w:r>
        <w:t xml:space="preserve">. </w:t>
      </w:r>
      <w:r>
        <w:rPr>
          <w:lang w:val="en-US"/>
        </w:rPr>
        <w:t xml:space="preserve">The majority of respondents were final-year students presenting their capstone research, summer research project or independent research. </w:t>
      </w:r>
      <w:proofErr w:type="gramStart"/>
      <w:r>
        <w:rPr>
          <w:lang w:val="en-US"/>
        </w:rPr>
        <w:t>A minority were</w:t>
      </w:r>
      <w:proofErr w:type="gramEnd"/>
      <w:r>
        <w:rPr>
          <w:lang w:val="en-US"/>
        </w:rPr>
        <w:t xml:space="preserve"> in their second year of studies and a few had undertaken independent research specifically for the conference. There were roughly equal proportions of students who delivered poster compared to verbal paper presentations and the </w:t>
      </w:r>
      <w:r w:rsidR="00C56FF3">
        <w:rPr>
          <w:lang w:val="en-US"/>
        </w:rPr>
        <w:t xml:space="preserve">participant </w:t>
      </w:r>
      <w:r>
        <w:rPr>
          <w:lang w:val="en-US"/>
        </w:rPr>
        <w:t>sample was largely balanced in terms of gender. Data were not systematically collected for demographic characteristics such as race/ethnicity or socio-economic class.</w:t>
      </w:r>
    </w:p>
    <w:p w:rsidR="00964AB0" w:rsidRDefault="009259F5" w:rsidP="00C56FF3">
      <w:pPr>
        <w:pStyle w:val="Body"/>
        <w:spacing w:after="200" w:line="360" w:lineRule="auto"/>
      </w:pPr>
      <w:r>
        <w:rPr>
          <w:lang w:val="en-US"/>
        </w:rPr>
        <w:t xml:space="preserve">The research project passed through the ethical review processes of </w:t>
      </w:r>
      <w:r w:rsidR="00C56FF3">
        <w:rPr>
          <w:lang w:val="en-US"/>
        </w:rPr>
        <w:t xml:space="preserve">Plymouth </w:t>
      </w:r>
      <w:r w:rsidR="005F5829">
        <w:rPr>
          <w:lang w:val="en-US"/>
        </w:rPr>
        <w:t>University</w:t>
      </w:r>
      <w:r>
        <w:rPr>
          <w:lang w:val="en-US"/>
        </w:rPr>
        <w:t xml:space="preserve">. Interviewees were informed about the aims of the research and their ability to withdraw from the research process at any stage. They were also assured that their comments would be cited anonymously. The respondents thereby offered informed consent to be questioned and to have their responses audio-recorded. The authors received permission from the </w:t>
      </w:r>
      <w:proofErr w:type="spellStart"/>
      <w:r>
        <w:rPr>
          <w:lang w:val="en-US"/>
        </w:rPr>
        <w:t>organising</w:t>
      </w:r>
      <w:proofErr w:type="spellEnd"/>
      <w:r>
        <w:rPr>
          <w:lang w:val="en-US"/>
        </w:rPr>
        <w:t xml:space="preserve"> committees to undertake interviews during the conferences.</w:t>
      </w:r>
    </w:p>
    <w:p w:rsidR="00902665" w:rsidRDefault="009259F5" w:rsidP="00902665">
      <w:pPr>
        <w:pStyle w:val="BodyA"/>
        <w:spacing w:line="360" w:lineRule="auto"/>
        <w:rPr>
          <w:rStyle w:val="hlfld-contribauthor"/>
          <w:rFonts w:ascii="Times New Roman" w:hAnsi="Times New Roman"/>
          <w:sz w:val="24"/>
          <w:szCs w:val="24"/>
        </w:rPr>
      </w:pPr>
      <w:r>
        <w:rPr>
          <w:rStyle w:val="hlfld-contribauthor"/>
          <w:rFonts w:ascii="Times New Roman" w:hAnsi="Times New Roman"/>
          <w:sz w:val="24"/>
          <w:szCs w:val="24"/>
        </w:rPr>
        <w:t>Semi-structured interviews were chosen as the data collection instrument because they are an efficient method for enabling deep exploration of respondents’ experiences, feelings and opinions on a subject (Miles et al., 2015). The interviews allowed students to reflect personally on their conference experience and they also permitted some flexibility in follow-up questions. They were therefore chosen for their reflexivity and immediacy (</w:t>
      </w:r>
      <w:proofErr w:type="spellStart"/>
      <w:r>
        <w:rPr>
          <w:rStyle w:val="hlfld-contribauthor"/>
          <w:rFonts w:ascii="Times New Roman" w:hAnsi="Times New Roman"/>
          <w:sz w:val="24"/>
          <w:szCs w:val="24"/>
          <w:shd w:val="clear" w:color="auto" w:fill="FFFFFF"/>
        </w:rPr>
        <w:t>Galetta</w:t>
      </w:r>
      <w:proofErr w:type="spellEnd"/>
      <w:r>
        <w:rPr>
          <w:rStyle w:val="hlfld-contribauthor"/>
          <w:rFonts w:ascii="Times New Roman" w:hAnsi="Times New Roman"/>
          <w:sz w:val="24"/>
          <w:szCs w:val="24"/>
          <w:shd w:val="clear" w:color="auto" w:fill="FFFFFF"/>
        </w:rPr>
        <w:t>, 2013)</w:t>
      </w:r>
      <w:r>
        <w:rPr>
          <w:rStyle w:val="hlfld-contribauthor"/>
          <w:rFonts w:ascii="Times New Roman" w:hAnsi="Times New Roman"/>
          <w:sz w:val="24"/>
          <w:szCs w:val="24"/>
        </w:rPr>
        <w:t>. The interviews explored student perspectives of their conference experience, including reflections on the preparation and delivery of workshop sessions, networking events, plenary sessions and social activities. The questions aimed to elicit specific skills associated with the different elements of the conference. Interviews were digitally recorded and transcribed in full.</w:t>
      </w:r>
    </w:p>
    <w:p w:rsidR="00964AB0" w:rsidRPr="00902665" w:rsidRDefault="009259F5" w:rsidP="00902665">
      <w:pPr>
        <w:pStyle w:val="BodyA"/>
        <w:spacing w:line="360" w:lineRule="auto"/>
        <w:rPr>
          <w:rFonts w:ascii="Times New Roman" w:hAnsi="Times New Roman" w:cs="Times New Roman"/>
          <w:sz w:val="24"/>
          <w:szCs w:val="24"/>
        </w:rPr>
      </w:pPr>
      <w:r w:rsidRPr="00902665">
        <w:rPr>
          <w:rFonts w:ascii="Times New Roman" w:hAnsi="Times New Roman" w:cs="Times New Roman"/>
          <w:sz w:val="24"/>
          <w:szCs w:val="24"/>
        </w:rPr>
        <w:t xml:space="preserve">Data analysis of the 90 interviews adopted a constant comparative approach (as </w:t>
      </w:r>
      <w:proofErr w:type="spellStart"/>
      <w:r w:rsidRPr="00902665">
        <w:rPr>
          <w:rFonts w:ascii="Times New Roman" w:hAnsi="Times New Roman" w:cs="Times New Roman"/>
          <w:sz w:val="24"/>
          <w:szCs w:val="24"/>
        </w:rPr>
        <w:t>summarised</w:t>
      </w:r>
      <w:proofErr w:type="spellEnd"/>
      <w:r w:rsidRPr="00902665">
        <w:rPr>
          <w:rFonts w:ascii="Times New Roman" w:hAnsi="Times New Roman" w:cs="Times New Roman"/>
          <w:sz w:val="24"/>
          <w:szCs w:val="24"/>
        </w:rPr>
        <w:t xml:space="preserve"> by Taylor and </w:t>
      </w:r>
      <w:proofErr w:type="spellStart"/>
      <w:r w:rsidRPr="00902665">
        <w:rPr>
          <w:rFonts w:ascii="Times New Roman" w:hAnsi="Times New Roman" w:cs="Times New Roman"/>
          <w:sz w:val="24"/>
          <w:szCs w:val="24"/>
        </w:rPr>
        <w:t>Bogdan</w:t>
      </w:r>
      <w:proofErr w:type="spellEnd"/>
      <w:r w:rsidRPr="00902665">
        <w:rPr>
          <w:rFonts w:ascii="Times New Roman" w:hAnsi="Times New Roman" w:cs="Times New Roman"/>
          <w:sz w:val="24"/>
          <w:szCs w:val="24"/>
        </w:rPr>
        <w:t xml:space="preserve">, 1984), </w:t>
      </w:r>
      <w:proofErr w:type="spellStart"/>
      <w:r w:rsidRPr="00902665">
        <w:rPr>
          <w:rFonts w:ascii="Times New Roman" w:hAnsi="Times New Roman" w:cs="Times New Roman"/>
          <w:sz w:val="24"/>
          <w:szCs w:val="24"/>
        </w:rPr>
        <w:t>utilising</w:t>
      </w:r>
      <w:proofErr w:type="spellEnd"/>
      <w:r w:rsidRPr="00902665">
        <w:rPr>
          <w:rFonts w:ascii="Times New Roman" w:hAnsi="Times New Roman" w:cs="Times New Roman"/>
          <w:sz w:val="24"/>
          <w:szCs w:val="24"/>
        </w:rPr>
        <w:t xml:space="preserve"> </w:t>
      </w:r>
      <w:proofErr w:type="spellStart"/>
      <w:r w:rsidRPr="00902665">
        <w:rPr>
          <w:rFonts w:ascii="Times New Roman" w:hAnsi="Times New Roman" w:cs="Times New Roman"/>
          <w:sz w:val="24"/>
          <w:szCs w:val="24"/>
        </w:rPr>
        <w:t>NVivo</w:t>
      </w:r>
      <w:proofErr w:type="spellEnd"/>
      <w:r w:rsidRPr="00902665">
        <w:rPr>
          <w:rFonts w:ascii="Times New Roman" w:hAnsi="Times New Roman" w:cs="Times New Roman"/>
          <w:sz w:val="24"/>
          <w:szCs w:val="24"/>
        </w:rPr>
        <w:t xml:space="preserve"> qualitative analysis software to assist in the thematic exploration of data (</w:t>
      </w:r>
      <w:proofErr w:type="spellStart"/>
      <w:r w:rsidRPr="00902665">
        <w:rPr>
          <w:rFonts w:ascii="Times New Roman" w:hAnsi="Times New Roman" w:cs="Times New Roman"/>
          <w:sz w:val="24"/>
          <w:szCs w:val="24"/>
        </w:rPr>
        <w:t>Bazeley</w:t>
      </w:r>
      <w:proofErr w:type="spellEnd"/>
      <w:r w:rsidRPr="00902665">
        <w:rPr>
          <w:rFonts w:ascii="Times New Roman" w:hAnsi="Times New Roman" w:cs="Times New Roman"/>
          <w:sz w:val="24"/>
          <w:szCs w:val="24"/>
        </w:rPr>
        <w:t xml:space="preserve"> and Jackson, 2013), categorical derivation of key points of interest, and building relationships between the main categories and sub-categories. </w:t>
      </w:r>
      <w:r w:rsidRPr="00902665">
        <w:rPr>
          <w:rFonts w:ascii="Times New Roman" w:hAnsi="Times New Roman" w:cs="Times New Roman"/>
          <w:sz w:val="24"/>
          <w:szCs w:val="24"/>
        </w:rPr>
        <w:lastRenderedPageBreak/>
        <w:t xml:space="preserve">Themes and categories were derived from an open coding process (Strauss and Corbin, 1998) (see Table 1). To enhance reliability of </w:t>
      </w:r>
      <w:proofErr w:type="spellStart"/>
      <w:r w:rsidRPr="00902665">
        <w:rPr>
          <w:rFonts w:ascii="Times New Roman" w:hAnsi="Times New Roman" w:cs="Times New Roman"/>
          <w:sz w:val="24"/>
          <w:szCs w:val="24"/>
        </w:rPr>
        <w:t>categorisation</w:t>
      </w:r>
      <w:proofErr w:type="spellEnd"/>
      <w:r w:rsidRPr="00902665">
        <w:rPr>
          <w:rFonts w:ascii="Times New Roman" w:hAnsi="Times New Roman" w:cs="Times New Roman"/>
          <w:sz w:val="24"/>
          <w:szCs w:val="24"/>
        </w:rPr>
        <w:t xml:space="preserve">, the process of reading the transcripts and </w:t>
      </w:r>
      <w:proofErr w:type="spellStart"/>
      <w:r w:rsidRPr="00902665">
        <w:rPr>
          <w:rFonts w:ascii="Times New Roman" w:hAnsi="Times New Roman" w:cs="Times New Roman"/>
          <w:sz w:val="24"/>
          <w:szCs w:val="24"/>
        </w:rPr>
        <w:t>organising</w:t>
      </w:r>
      <w:proofErr w:type="spellEnd"/>
      <w:r w:rsidRPr="00902665">
        <w:rPr>
          <w:rFonts w:ascii="Times New Roman" w:hAnsi="Times New Roman" w:cs="Times New Roman"/>
          <w:sz w:val="24"/>
          <w:szCs w:val="24"/>
        </w:rPr>
        <w:t xml:space="preserve"> statements under codes was repeated several times and cross-checked by the authors. After coding, the skills and attributes identified by students as having been developed during the conference were mapped onto the RDF (Table 2). </w:t>
      </w:r>
    </w:p>
    <w:p w:rsidR="00964AB0" w:rsidRDefault="00964AB0">
      <w:pPr>
        <w:pStyle w:val="BodyA"/>
        <w:spacing w:line="360" w:lineRule="auto"/>
        <w:rPr>
          <w:rFonts w:ascii="Times New Roman" w:eastAsia="Times New Roman" w:hAnsi="Times New Roman" w:cs="Times New Roman"/>
          <w:sz w:val="24"/>
          <w:szCs w:val="24"/>
        </w:rPr>
      </w:pP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Results</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Students were very positive about their experiences of participating in the BCUR conferences. Participants identified a wide range of skills and attributes they felt they had developed as a result of either preparing for or participating in the conferences. These perceived gains provide a means to evaluate each conference element. Data analysis allowed </w:t>
      </w:r>
      <w:proofErr w:type="spellStart"/>
      <w:r>
        <w:rPr>
          <w:rStyle w:val="hlfld-contribauthor"/>
          <w:rFonts w:ascii="Times New Roman" w:hAnsi="Times New Roman"/>
          <w:sz w:val="24"/>
          <w:szCs w:val="24"/>
        </w:rPr>
        <w:t>categorisation</w:t>
      </w:r>
      <w:proofErr w:type="spellEnd"/>
      <w:r>
        <w:rPr>
          <w:rStyle w:val="hlfld-contribauthor"/>
          <w:rFonts w:ascii="Times New Roman" w:hAnsi="Times New Roman"/>
          <w:sz w:val="24"/>
          <w:szCs w:val="24"/>
        </w:rPr>
        <w:t xml:space="preserve"> of the relationship between the coded benefits and the elements of the conference where they were developed and evidenced (Table 1). </w:t>
      </w:r>
    </w:p>
    <w:p w:rsidR="00964AB0" w:rsidRDefault="009259F5" w:rsidP="00306B8F">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Three main </w:t>
      </w:r>
      <w:r w:rsidR="00306B8F">
        <w:rPr>
          <w:rStyle w:val="hlfld-contribauthor"/>
          <w:rFonts w:ascii="Times New Roman" w:hAnsi="Times New Roman"/>
          <w:sz w:val="24"/>
          <w:szCs w:val="24"/>
        </w:rPr>
        <w:t>areas of learning</w:t>
      </w:r>
      <w:r>
        <w:rPr>
          <w:rStyle w:val="hlfld-contribauthor"/>
          <w:rFonts w:ascii="Times New Roman" w:hAnsi="Times New Roman"/>
          <w:sz w:val="24"/>
          <w:szCs w:val="24"/>
        </w:rPr>
        <w:t xml:space="preserve"> were identified: the value of paper presentations; the value of poster presentations; and the value of the overall conference experience. Table 1 shows how these themes were built up from sub-themes and clustered; the sub-themes being presented in order of the number of references made during the interviews  (therefore totals are sometimes higher than the number of interviewees). Each of these themes is now explored in more detail using students’</w:t>
      </w:r>
      <w:r>
        <w:rPr>
          <w:rStyle w:val="hlfld-contribauthor"/>
          <w:sz w:val="24"/>
          <w:szCs w:val="24"/>
        </w:rPr>
        <w:t xml:space="preserve"> </w:t>
      </w:r>
      <w:r>
        <w:rPr>
          <w:rStyle w:val="hlfld-contribauthor"/>
          <w:rFonts w:ascii="Times New Roman" w:hAnsi="Times New Roman"/>
          <w:sz w:val="24"/>
          <w:szCs w:val="24"/>
        </w:rPr>
        <w:t xml:space="preserve">own words. </w:t>
      </w: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b/>
          <w:bCs/>
          <w:sz w:val="24"/>
          <w:szCs w:val="24"/>
        </w:rPr>
      </w:pPr>
    </w:p>
    <w:p w:rsidR="009A5961" w:rsidRDefault="009A5961" w:rsidP="009A5961">
      <w:pPr>
        <w:pStyle w:val="BodyA"/>
        <w:rPr>
          <w:rFonts w:ascii="Times New Roman" w:eastAsia="Times New Roman" w:hAnsi="Times New Roman" w:cs="Times New Roman"/>
          <w:sz w:val="24"/>
          <w:szCs w:val="24"/>
          <w:u w:color="FF0000"/>
        </w:rPr>
      </w:pPr>
      <w:r>
        <w:rPr>
          <w:rFonts w:ascii="Times New Roman"/>
          <w:b/>
          <w:bCs/>
          <w:sz w:val="24"/>
          <w:szCs w:val="24"/>
        </w:rPr>
        <w:lastRenderedPageBreak/>
        <w:t xml:space="preserve">Table 1: Themes reflecting the perceived value of conference features  </w:t>
      </w:r>
    </w:p>
    <w:p w:rsidR="009A5961" w:rsidRDefault="009A5961" w:rsidP="009A5961">
      <w:pPr>
        <w:pStyle w:val="Body"/>
        <w:widowControl w:val="0"/>
        <w:rPr>
          <w:u w:color="FF0000"/>
        </w:rPr>
      </w:pPr>
    </w:p>
    <w:tbl>
      <w:tblPr>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096"/>
        <w:gridCol w:w="279"/>
        <w:gridCol w:w="2645"/>
      </w:tblGrid>
      <w:tr w:rsidR="009A5961" w:rsidRPr="002B45A5" w:rsidTr="00D60A14">
        <w:trPr>
          <w:trHeight w:val="687"/>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sidRPr="002B45A5">
              <w:rPr>
                <w:rFonts w:ascii="Times New Roman"/>
                <w:b/>
                <w:bCs/>
                <w:sz w:val="20"/>
                <w:szCs w:val="20"/>
              </w:rPr>
              <w:t>Theme</w:t>
            </w: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sidRPr="002B45A5">
              <w:rPr>
                <w:rFonts w:ascii="Times New Roman"/>
                <w:b/>
                <w:bCs/>
                <w:sz w:val="20"/>
                <w:szCs w:val="20"/>
              </w:rPr>
              <w:t>Number of references in interviews</w:t>
            </w:r>
          </w:p>
        </w:tc>
      </w:tr>
      <w:tr w:rsidR="009A5961" w:rsidRPr="002B45A5" w:rsidTr="00D60A14">
        <w:trPr>
          <w:trHeight w:val="300"/>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sidRPr="002B45A5">
              <w:rPr>
                <w:rFonts w:ascii="Times New Roman"/>
                <w:sz w:val="20"/>
                <w:szCs w:val="20"/>
              </w:rPr>
              <w:t xml:space="preserve">1. </w:t>
            </w:r>
            <w:r w:rsidRPr="002B45A5">
              <w:rPr>
                <w:rFonts w:ascii="Times New Roman"/>
                <w:b/>
                <w:bCs/>
                <w:sz w:val="20"/>
                <w:szCs w:val="20"/>
              </w:rPr>
              <w:t>Value of paper presentations to all participants</w:t>
            </w:r>
          </w:p>
        </w:tc>
        <w:tc>
          <w:tcPr>
            <w:tcW w:w="29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Pr>
                <w:rFonts w:ascii="Times New Roman"/>
                <w:b/>
                <w:bCs/>
                <w:sz w:val="20"/>
                <w:szCs w:val="20"/>
              </w:rPr>
              <w:t xml:space="preserve">                       </w:t>
            </w:r>
            <w:r w:rsidRPr="002B45A5">
              <w:rPr>
                <w:rFonts w:ascii="Times New Roman"/>
                <w:b/>
                <w:bCs/>
                <w:sz w:val="20"/>
                <w:szCs w:val="20"/>
              </w:rPr>
              <w:t>205</w:t>
            </w:r>
          </w:p>
        </w:tc>
      </w:tr>
      <w:tr w:rsidR="009A5961" w:rsidRPr="002B45A5" w:rsidTr="00D60A14">
        <w:trPr>
          <w:trHeight w:val="5951"/>
        </w:trPr>
        <w:tc>
          <w:tcPr>
            <w:tcW w:w="90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20" w:type="dxa"/>
            </w:tcMar>
          </w:tcPr>
          <w:p w:rsidR="009A5961" w:rsidRPr="002B45A5" w:rsidRDefault="009A5961" w:rsidP="00D60A14">
            <w:pPr>
              <w:pStyle w:val="BodyA"/>
              <w:spacing w:after="0" w:line="360" w:lineRule="auto"/>
              <w:ind w:left="176" w:right="473"/>
              <w:rPr>
                <w:rFonts w:ascii="Times New Roman" w:eastAsia="Times New Roman" w:hAnsi="Times New Roman" w:cs="Times New Roman"/>
                <w:sz w:val="20"/>
                <w:szCs w:val="20"/>
              </w:rPr>
            </w:pPr>
            <w:proofErr w:type="spellStart"/>
            <w:r w:rsidRPr="002B45A5">
              <w:rPr>
                <w:rFonts w:ascii="Times New Roman"/>
                <w:sz w:val="20"/>
                <w:szCs w:val="20"/>
              </w:rPr>
              <w:t>i</w:t>
            </w:r>
            <w:proofErr w:type="spellEnd"/>
            <w:r w:rsidRPr="002B45A5">
              <w:rPr>
                <w:rFonts w:ascii="Times New Roman"/>
                <w:sz w:val="20"/>
                <w:szCs w:val="20"/>
              </w:rPr>
              <w:t>. Developing skills (overall)</w:t>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t xml:space="preserve">      </w:t>
            </w:r>
            <w:r>
              <w:rPr>
                <w:rFonts w:ascii="Times New Roman"/>
                <w:sz w:val="20"/>
                <w:szCs w:val="20"/>
              </w:rPr>
              <w:t xml:space="preserve">                         </w:t>
            </w:r>
            <w:r w:rsidRPr="002B45A5">
              <w:rPr>
                <w:rFonts w:ascii="Times New Roman"/>
                <w:sz w:val="20"/>
                <w:szCs w:val="20"/>
              </w:rPr>
              <w:t>58</w:t>
            </w:r>
          </w:p>
          <w:p w:rsidR="009A5961" w:rsidRPr="002B45A5" w:rsidRDefault="009A5961" w:rsidP="00F4762B">
            <w:pPr>
              <w:pStyle w:val="BodyA"/>
              <w:numPr>
                <w:ilvl w:val="0"/>
                <w:numId w:val="11"/>
              </w:numPr>
              <w:tabs>
                <w:tab w:val="clear" w:pos="194"/>
                <w:tab w:val="left" w:pos="196"/>
                <w:tab w:val="num" w:pos="720"/>
              </w:tabs>
              <w:spacing w:after="0" w:line="360" w:lineRule="auto"/>
              <w:ind w:left="180" w:firstLine="387"/>
              <w:rPr>
                <w:rFonts w:ascii="Times New Roman" w:eastAsia="Times New Roman" w:hAnsi="Times New Roman" w:cs="Times New Roman"/>
                <w:sz w:val="20"/>
                <w:szCs w:val="20"/>
              </w:rPr>
            </w:pPr>
            <w:r w:rsidRPr="002B45A5">
              <w:rPr>
                <w:rFonts w:ascii="Times New Roman"/>
                <w:sz w:val="20"/>
                <w:szCs w:val="20"/>
              </w:rPr>
              <w:t xml:space="preserve">confidence and technique in public speaking </w:t>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Pr>
                <w:rFonts w:ascii="Times New Roman"/>
                <w:sz w:val="20"/>
                <w:szCs w:val="20"/>
              </w:rPr>
              <w:t xml:space="preserve">      </w:t>
            </w:r>
            <w:r w:rsidRPr="002B45A5">
              <w:rPr>
                <w:rFonts w:ascii="Times New Roman"/>
                <w:sz w:val="20"/>
                <w:szCs w:val="20"/>
              </w:rPr>
              <w:t>33</w:t>
            </w:r>
          </w:p>
          <w:p w:rsidR="009A5961" w:rsidRPr="002B45A5" w:rsidRDefault="009A5961" w:rsidP="00F4762B">
            <w:pPr>
              <w:pStyle w:val="BodyA"/>
              <w:numPr>
                <w:ilvl w:val="0"/>
                <w:numId w:val="12"/>
              </w:numPr>
              <w:tabs>
                <w:tab w:val="clear" w:pos="194"/>
                <w:tab w:val="left" w:pos="196"/>
                <w:tab w:val="num" w:pos="720"/>
              </w:tabs>
              <w:spacing w:after="0" w:line="360" w:lineRule="auto"/>
              <w:ind w:left="180" w:firstLine="387"/>
              <w:rPr>
                <w:rFonts w:ascii="Times New Roman" w:eastAsia="Times New Roman" w:hAnsi="Times New Roman" w:cs="Times New Roman"/>
                <w:sz w:val="20"/>
                <w:szCs w:val="20"/>
              </w:rPr>
            </w:pPr>
            <w:r w:rsidRPr="002B45A5">
              <w:rPr>
                <w:rFonts w:ascii="Times New Roman"/>
                <w:sz w:val="20"/>
                <w:szCs w:val="20"/>
              </w:rPr>
              <w:t>reduction of information</w:t>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Pr>
                <w:rFonts w:ascii="Times New Roman"/>
                <w:sz w:val="20"/>
                <w:szCs w:val="20"/>
              </w:rPr>
              <w:t xml:space="preserve">      </w:t>
            </w:r>
            <w:r w:rsidRPr="002B45A5">
              <w:rPr>
                <w:rFonts w:ascii="Times New Roman"/>
                <w:sz w:val="20"/>
                <w:szCs w:val="20"/>
              </w:rPr>
              <w:t>14</w:t>
            </w:r>
          </w:p>
          <w:p w:rsidR="009A5961" w:rsidRPr="002B45A5" w:rsidRDefault="009A5961" w:rsidP="00F4762B">
            <w:pPr>
              <w:pStyle w:val="BodyA"/>
              <w:numPr>
                <w:ilvl w:val="0"/>
                <w:numId w:val="13"/>
              </w:numPr>
              <w:tabs>
                <w:tab w:val="clear" w:pos="194"/>
                <w:tab w:val="left" w:pos="196"/>
                <w:tab w:val="num" w:pos="720"/>
              </w:tabs>
              <w:spacing w:after="0" w:line="360" w:lineRule="auto"/>
              <w:ind w:left="180" w:firstLine="387"/>
              <w:rPr>
                <w:rFonts w:ascii="Times New Roman" w:eastAsia="Times New Roman" w:hAnsi="Times New Roman" w:cs="Times New Roman"/>
                <w:sz w:val="20"/>
                <w:szCs w:val="20"/>
              </w:rPr>
            </w:pPr>
            <w:r w:rsidRPr="002B45A5">
              <w:rPr>
                <w:rFonts w:ascii="Times New Roman"/>
                <w:sz w:val="20"/>
                <w:szCs w:val="20"/>
              </w:rPr>
              <w:t>industry training</w:t>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Pr>
                <w:rFonts w:ascii="Times New Roman"/>
                <w:sz w:val="20"/>
                <w:szCs w:val="20"/>
              </w:rPr>
              <w:t xml:space="preserve">      </w:t>
            </w:r>
            <w:r w:rsidRPr="002B45A5">
              <w:rPr>
                <w:rFonts w:ascii="Times New Roman"/>
                <w:sz w:val="20"/>
                <w:szCs w:val="20"/>
              </w:rPr>
              <w:t xml:space="preserve"> 6</w:t>
            </w:r>
          </w:p>
          <w:p w:rsidR="009A5961" w:rsidRPr="002B45A5" w:rsidRDefault="009A5961" w:rsidP="00F4762B">
            <w:pPr>
              <w:pStyle w:val="BodyA"/>
              <w:numPr>
                <w:ilvl w:val="0"/>
                <w:numId w:val="14"/>
              </w:numPr>
              <w:tabs>
                <w:tab w:val="clear" w:pos="194"/>
                <w:tab w:val="left" w:pos="196"/>
                <w:tab w:val="num" w:pos="720"/>
              </w:tabs>
              <w:spacing w:after="0" w:line="360" w:lineRule="auto"/>
              <w:ind w:left="180" w:firstLine="387"/>
              <w:rPr>
                <w:rFonts w:ascii="Times New Roman" w:eastAsia="Times New Roman" w:hAnsi="Times New Roman" w:cs="Times New Roman"/>
                <w:sz w:val="20"/>
                <w:szCs w:val="20"/>
              </w:rPr>
            </w:pPr>
            <w:r w:rsidRPr="002B45A5">
              <w:rPr>
                <w:rFonts w:ascii="Times New Roman"/>
                <w:sz w:val="20"/>
                <w:szCs w:val="20"/>
              </w:rPr>
              <w:t>technic</w:t>
            </w:r>
            <w:r>
              <w:rPr>
                <w:rFonts w:ascii="Times New Roman"/>
                <w:sz w:val="20"/>
                <w:szCs w:val="20"/>
              </w:rPr>
              <w:t>al competence</w:t>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t xml:space="preserve">       </w:t>
            </w:r>
            <w:r w:rsidRPr="002B45A5">
              <w:rPr>
                <w:rFonts w:ascii="Times New Roman"/>
                <w:sz w:val="20"/>
                <w:szCs w:val="20"/>
              </w:rPr>
              <w:t>3</w:t>
            </w:r>
          </w:p>
          <w:p w:rsidR="009A5961" w:rsidRPr="002B45A5" w:rsidRDefault="009A5961" w:rsidP="00F4762B">
            <w:pPr>
              <w:pStyle w:val="BodyA"/>
              <w:numPr>
                <w:ilvl w:val="0"/>
                <w:numId w:val="15"/>
              </w:numPr>
              <w:tabs>
                <w:tab w:val="clear" w:pos="194"/>
                <w:tab w:val="left" w:pos="196"/>
                <w:tab w:val="num" w:pos="720"/>
              </w:tabs>
              <w:spacing w:after="0" w:line="360" w:lineRule="auto"/>
              <w:ind w:left="180" w:firstLine="387"/>
              <w:rPr>
                <w:rFonts w:ascii="Times New Roman" w:eastAsia="Times New Roman" w:hAnsi="Times New Roman" w:cs="Times New Roman"/>
                <w:sz w:val="20"/>
                <w:szCs w:val="20"/>
              </w:rPr>
            </w:pPr>
            <w:proofErr w:type="gramStart"/>
            <w:r w:rsidRPr="002B45A5">
              <w:rPr>
                <w:rFonts w:ascii="Times New Roman"/>
                <w:sz w:val="20"/>
                <w:szCs w:val="20"/>
              </w:rPr>
              <w:t>time</w:t>
            </w:r>
            <w:proofErr w:type="gramEnd"/>
            <w:r w:rsidRPr="002B45A5">
              <w:rPr>
                <w:rFonts w:ascii="Times New Roman"/>
                <w:sz w:val="20"/>
                <w:szCs w:val="20"/>
              </w:rPr>
              <w:t xml:space="preserve"> management                                                                                </w:t>
            </w:r>
            <w:r>
              <w:rPr>
                <w:rFonts w:ascii="Times New Roman"/>
                <w:sz w:val="20"/>
                <w:szCs w:val="20"/>
              </w:rPr>
              <w:t xml:space="preserve">              </w:t>
            </w:r>
            <w:r w:rsidRPr="002B45A5">
              <w:rPr>
                <w:rFonts w:ascii="Times New Roman"/>
                <w:sz w:val="20"/>
                <w:szCs w:val="20"/>
              </w:rPr>
              <w:t xml:space="preserve">2                                                                             ii. Learning to direct work at interdisciplinary audience </w:t>
            </w:r>
            <w:r w:rsidRPr="002B45A5">
              <w:rPr>
                <w:rFonts w:ascii="Times New Roman"/>
                <w:sz w:val="20"/>
                <w:szCs w:val="20"/>
              </w:rPr>
              <w:tab/>
            </w:r>
            <w:r w:rsidRPr="002B45A5">
              <w:rPr>
                <w:rFonts w:ascii="Times New Roman"/>
                <w:sz w:val="20"/>
                <w:szCs w:val="20"/>
              </w:rPr>
              <w:tab/>
              <w:t xml:space="preserve">      </w:t>
            </w:r>
            <w:r>
              <w:rPr>
                <w:rFonts w:ascii="Times New Roman"/>
                <w:sz w:val="20"/>
                <w:szCs w:val="20"/>
              </w:rPr>
              <w:t xml:space="preserve">                        </w:t>
            </w:r>
            <w:r w:rsidRPr="002B45A5">
              <w:rPr>
                <w:rFonts w:ascii="Times New Roman"/>
                <w:sz w:val="20"/>
                <w:szCs w:val="20"/>
              </w:rPr>
              <w:t xml:space="preserve"> 36</w:t>
            </w:r>
          </w:p>
          <w:p w:rsidR="009A5961" w:rsidRPr="002B45A5" w:rsidRDefault="009A5961" w:rsidP="00D60A14">
            <w:pPr>
              <w:pStyle w:val="BodyA"/>
              <w:spacing w:after="0" w:line="360" w:lineRule="auto"/>
              <w:ind w:left="176"/>
              <w:rPr>
                <w:rFonts w:ascii="Times New Roman" w:eastAsia="Times New Roman" w:hAnsi="Times New Roman" w:cs="Times New Roman"/>
                <w:sz w:val="20"/>
                <w:szCs w:val="20"/>
              </w:rPr>
            </w:pPr>
            <w:r w:rsidRPr="002B45A5">
              <w:rPr>
                <w:rFonts w:ascii="Times New Roman"/>
                <w:sz w:val="20"/>
                <w:szCs w:val="20"/>
              </w:rPr>
              <w:t xml:space="preserve">iii. Gaining new knowledge in other disciplines and insights </w:t>
            </w:r>
          </w:p>
          <w:p w:rsidR="009A5961" w:rsidRPr="002B45A5" w:rsidRDefault="009A5961" w:rsidP="00D60A14">
            <w:pPr>
              <w:pStyle w:val="BodyA"/>
              <w:spacing w:after="0" w:line="360" w:lineRule="auto"/>
              <w:ind w:left="176"/>
              <w:rPr>
                <w:rFonts w:ascii="Times New Roman" w:eastAsia="Times New Roman" w:hAnsi="Times New Roman" w:cs="Times New Roman"/>
                <w:sz w:val="20"/>
                <w:szCs w:val="20"/>
              </w:rPr>
            </w:pPr>
            <w:r w:rsidRPr="002B45A5">
              <w:rPr>
                <w:rFonts w:ascii="Times New Roman"/>
                <w:sz w:val="20"/>
                <w:szCs w:val="20"/>
              </w:rPr>
              <w:t xml:space="preserve">    about research                                                                                     </w:t>
            </w:r>
            <w:r>
              <w:rPr>
                <w:rFonts w:ascii="Times New Roman"/>
                <w:sz w:val="20"/>
                <w:szCs w:val="20"/>
              </w:rPr>
              <w:t xml:space="preserve">                              </w:t>
            </w:r>
            <w:r w:rsidRPr="002B45A5">
              <w:rPr>
                <w:rFonts w:ascii="Times New Roman"/>
                <w:sz w:val="20"/>
                <w:szCs w:val="20"/>
              </w:rPr>
              <w:t>32</w:t>
            </w:r>
          </w:p>
          <w:p w:rsidR="009A5961" w:rsidRPr="002B45A5" w:rsidRDefault="009A5961" w:rsidP="00D60A14">
            <w:pPr>
              <w:pStyle w:val="BodyA"/>
              <w:spacing w:after="0" w:line="360" w:lineRule="auto"/>
              <w:ind w:left="176"/>
              <w:rPr>
                <w:rFonts w:ascii="Times New Roman" w:eastAsia="Times New Roman" w:hAnsi="Times New Roman" w:cs="Times New Roman"/>
                <w:sz w:val="20"/>
                <w:szCs w:val="20"/>
              </w:rPr>
            </w:pPr>
            <w:r w:rsidRPr="002B45A5">
              <w:rPr>
                <w:rFonts w:ascii="Times New Roman"/>
                <w:sz w:val="20"/>
                <w:szCs w:val="20"/>
              </w:rPr>
              <w:t xml:space="preserve">iv. Receiving and giving useful or critical feedback                             </w:t>
            </w:r>
            <w:r>
              <w:rPr>
                <w:rFonts w:ascii="Times New Roman"/>
                <w:sz w:val="20"/>
                <w:szCs w:val="20"/>
              </w:rPr>
              <w:t xml:space="preserve">                             </w:t>
            </w:r>
            <w:r w:rsidRPr="002B45A5">
              <w:rPr>
                <w:rFonts w:ascii="Times New Roman"/>
                <w:sz w:val="20"/>
                <w:szCs w:val="20"/>
              </w:rPr>
              <w:t xml:space="preserve">  26</w:t>
            </w:r>
          </w:p>
          <w:p w:rsidR="009A5961" w:rsidRPr="002B45A5" w:rsidRDefault="009A5961" w:rsidP="00D60A14">
            <w:pPr>
              <w:pStyle w:val="BodyA"/>
              <w:spacing w:after="0" w:line="360" w:lineRule="auto"/>
              <w:ind w:left="176"/>
              <w:rPr>
                <w:rFonts w:ascii="Times New Roman" w:eastAsia="Times New Roman" w:hAnsi="Times New Roman" w:cs="Times New Roman"/>
                <w:sz w:val="20"/>
                <w:szCs w:val="20"/>
              </w:rPr>
            </w:pPr>
            <w:r w:rsidRPr="002B45A5">
              <w:rPr>
                <w:rFonts w:ascii="Times New Roman"/>
                <w:sz w:val="20"/>
                <w:szCs w:val="20"/>
              </w:rPr>
              <w:t>v. Observing good practice</w:t>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t xml:space="preserve">                  </w:t>
            </w:r>
            <w:r>
              <w:rPr>
                <w:rFonts w:ascii="Times New Roman"/>
                <w:sz w:val="20"/>
                <w:szCs w:val="20"/>
              </w:rPr>
              <w:t xml:space="preserve">            </w:t>
            </w:r>
            <w:r w:rsidRPr="002B45A5">
              <w:rPr>
                <w:rFonts w:ascii="Times New Roman"/>
                <w:sz w:val="20"/>
                <w:szCs w:val="20"/>
              </w:rPr>
              <w:t xml:space="preserve"> 18</w:t>
            </w:r>
          </w:p>
          <w:p w:rsidR="009A5961" w:rsidRPr="002B45A5" w:rsidRDefault="009A5961" w:rsidP="00D60A14">
            <w:pPr>
              <w:pStyle w:val="BodyA"/>
              <w:spacing w:after="0" w:line="360" w:lineRule="auto"/>
              <w:ind w:left="176"/>
              <w:rPr>
                <w:rFonts w:ascii="Times New Roman" w:eastAsia="Times New Roman" w:hAnsi="Times New Roman" w:cs="Times New Roman"/>
                <w:sz w:val="20"/>
                <w:szCs w:val="20"/>
              </w:rPr>
            </w:pPr>
            <w:r w:rsidRPr="002B45A5">
              <w:rPr>
                <w:rFonts w:ascii="Times New Roman"/>
                <w:sz w:val="20"/>
                <w:szCs w:val="20"/>
              </w:rPr>
              <w:t>vi. Shared experience</w:t>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r>
            <w:r w:rsidRPr="002B45A5">
              <w:rPr>
                <w:rFonts w:ascii="Times New Roman"/>
                <w:sz w:val="20"/>
                <w:szCs w:val="20"/>
              </w:rPr>
              <w:tab/>
              <w:t xml:space="preserve">       </w:t>
            </w:r>
            <w:r>
              <w:rPr>
                <w:rFonts w:ascii="Times New Roman"/>
                <w:sz w:val="20"/>
                <w:szCs w:val="20"/>
              </w:rPr>
              <w:t xml:space="preserve">                        </w:t>
            </w:r>
            <w:r w:rsidRPr="002B45A5">
              <w:rPr>
                <w:rFonts w:ascii="Times New Roman"/>
                <w:sz w:val="20"/>
                <w:szCs w:val="20"/>
              </w:rPr>
              <w:t>13</w:t>
            </w:r>
          </w:p>
          <w:p w:rsidR="009A5961" w:rsidRPr="002B45A5" w:rsidRDefault="009A5961" w:rsidP="00D60A14">
            <w:pPr>
              <w:pStyle w:val="BodyA"/>
              <w:spacing w:after="0" w:line="360" w:lineRule="auto"/>
              <w:ind w:left="176"/>
              <w:rPr>
                <w:rFonts w:ascii="Times New Roman" w:eastAsia="Times New Roman" w:hAnsi="Times New Roman" w:cs="Times New Roman"/>
                <w:sz w:val="20"/>
                <w:szCs w:val="20"/>
              </w:rPr>
            </w:pPr>
            <w:r w:rsidRPr="002B45A5">
              <w:rPr>
                <w:rFonts w:ascii="Times New Roman"/>
                <w:sz w:val="20"/>
                <w:szCs w:val="20"/>
              </w:rPr>
              <w:t>vii. Other:</w:t>
            </w:r>
          </w:p>
          <w:p w:rsidR="009A5961" w:rsidRPr="002B45A5" w:rsidRDefault="009A5961" w:rsidP="00F4762B">
            <w:pPr>
              <w:pStyle w:val="BodyA"/>
              <w:numPr>
                <w:ilvl w:val="0"/>
                <w:numId w:val="16"/>
              </w:numPr>
              <w:tabs>
                <w:tab w:val="clear" w:pos="214"/>
                <w:tab w:val="num" w:pos="763"/>
              </w:tabs>
              <w:spacing w:after="0" w:line="240" w:lineRule="auto"/>
              <w:ind w:left="196" w:firstLine="371"/>
              <w:rPr>
                <w:rFonts w:ascii="Times New Roman" w:eastAsia="Times New Roman" w:hAnsi="Times New Roman" w:cs="Times New Roman"/>
                <w:sz w:val="20"/>
                <w:szCs w:val="20"/>
              </w:rPr>
            </w:pPr>
            <w:r w:rsidRPr="002B45A5">
              <w:rPr>
                <w:rFonts w:ascii="Times New Roman"/>
                <w:sz w:val="20"/>
                <w:szCs w:val="20"/>
              </w:rPr>
              <w:t xml:space="preserve">progressed the research process                                                     </w:t>
            </w:r>
            <w:r>
              <w:rPr>
                <w:rFonts w:ascii="Times New Roman"/>
                <w:sz w:val="20"/>
                <w:szCs w:val="20"/>
              </w:rPr>
              <w:t xml:space="preserve">                </w:t>
            </w:r>
            <w:r w:rsidRPr="002B45A5">
              <w:rPr>
                <w:rFonts w:ascii="Times New Roman"/>
                <w:sz w:val="20"/>
                <w:szCs w:val="20"/>
              </w:rPr>
              <w:t xml:space="preserve"> 9</w:t>
            </w:r>
          </w:p>
          <w:p w:rsidR="009A5961" w:rsidRPr="002B45A5" w:rsidRDefault="009A5961" w:rsidP="00F4762B">
            <w:pPr>
              <w:pStyle w:val="BodyA"/>
              <w:numPr>
                <w:ilvl w:val="0"/>
                <w:numId w:val="17"/>
              </w:numPr>
              <w:tabs>
                <w:tab w:val="clear" w:pos="180"/>
                <w:tab w:val="num" w:pos="747"/>
              </w:tabs>
              <w:spacing w:after="0" w:line="240" w:lineRule="auto"/>
              <w:ind w:firstLine="387"/>
              <w:rPr>
                <w:rFonts w:ascii="Times New Roman" w:eastAsia="Times New Roman" w:hAnsi="Times New Roman" w:cs="Times New Roman"/>
                <w:sz w:val="20"/>
                <w:szCs w:val="20"/>
              </w:rPr>
            </w:pPr>
            <w:r w:rsidRPr="002B45A5">
              <w:rPr>
                <w:rFonts w:ascii="Times New Roman"/>
                <w:sz w:val="20"/>
                <w:szCs w:val="20"/>
              </w:rPr>
              <w:t xml:space="preserve">professional validity                                                                       </w:t>
            </w:r>
            <w:r>
              <w:rPr>
                <w:rFonts w:ascii="Times New Roman"/>
                <w:sz w:val="20"/>
                <w:szCs w:val="20"/>
              </w:rPr>
              <w:t xml:space="preserve">                </w:t>
            </w:r>
            <w:r w:rsidRPr="002B45A5">
              <w:rPr>
                <w:rFonts w:ascii="Times New Roman"/>
                <w:sz w:val="20"/>
                <w:szCs w:val="20"/>
              </w:rPr>
              <w:t xml:space="preserve"> 5</w:t>
            </w:r>
          </w:p>
          <w:p w:rsidR="009A5961" w:rsidRPr="002B45A5" w:rsidRDefault="009A5961" w:rsidP="00F4762B">
            <w:pPr>
              <w:pStyle w:val="BodyA"/>
              <w:numPr>
                <w:ilvl w:val="0"/>
                <w:numId w:val="18"/>
              </w:numPr>
              <w:tabs>
                <w:tab w:val="clear" w:pos="180"/>
                <w:tab w:val="num" w:pos="747"/>
              </w:tabs>
              <w:spacing w:after="0" w:line="240" w:lineRule="auto"/>
              <w:ind w:firstLine="387"/>
              <w:rPr>
                <w:rFonts w:ascii="Times New Roman" w:eastAsia="Times New Roman" w:hAnsi="Times New Roman" w:cs="Times New Roman"/>
                <w:sz w:val="20"/>
                <w:szCs w:val="20"/>
              </w:rPr>
            </w:pPr>
            <w:r w:rsidRPr="002B45A5">
              <w:rPr>
                <w:rFonts w:ascii="Times New Roman"/>
                <w:sz w:val="20"/>
                <w:szCs w:val="20"/>
              </w:rPr>
              <w:t xml:space="preserve">collating presentations into themes                                                 </w:t>
            </w:r>
            <w:r>
              <w:rPr>
                <w:rFonts w:ascii="Times New Roman"/>
                <w:sz w:val="20"/>
                <w:szCs w:val="20"/>
              </w:rPr>
              <w:t xml:space="preserve">                </w:t>
            </w:r>
            <w:r w:rsidRPr="002B45A5">
              <w:rPr>
                <w:rFonts w:ascii="Times New Roman"/>
                <w:sz w:val="20"/>
                <w:szCs w:val="20"/>
              </w:rPr>
              <w:t>3</w:t>
            </w:r>
          </w:p>
          <w:p w:rsidR="009A5961" w:rsidRPr="002B45A5" w:rsidRDefault="009A5961" w:rsidP="00F4762B">
            <w:pPr>
              <w:pStyle w:val="BodyA"/>
              <w:numPr>
                <w:ilvl w:val="0"/>
                <w:numId w:val="19"/>
              </w:numPr>
              <w:tabs>
                <w:tab w:val="clear" w:pos="589"/>
                <w:tab w:val="num" w:pos="735"/>
                <w:tab w:val="left" w:pos="747"/>
              </w:tabs>
              <w:spacing w:after="0" w:line="240" w:lineRule="auto"/>
              <w:ind w:firstLine="12"/>
              <w:rPr>
                <w:rFonts w:ascii="Times New Roman" w:eastAsia="Times New Roman" w:hAnsi="Times New Roman" w:cs="Times New Roman"/>
                <w:sz w:val="20"/>
                <w:szCs w:val="20"/>
              </w:rPr>
            </w:pPr>
            <w:r w:rsidRPr="002B45A5">
              <w:rPr>
                <w:rFonts w:ascii="Times New Roman"/>
                <w:sz w:val="20"/>
                <w:szCs w:val="20"/>
              </w:rPr>
              <w:t xml:space="preserve">enhanced own standards and style                                                   </w:t>
            </w:r>
            <w:r>
              <w:rPr>
                <w:rFonts w:ascii="Times New Roman"/>
                <w:sz w:val="20"/>
                <w:szCs w:val="20"/>
              </w:rPr>
              <w:t xml:space="preserve">                </w:t>
            </w:r>
            <w:r w:rsidRPr="002B45A5">
              <w:rPr>
                <w:rFonts w:ascii="Times New Roman"/>
                <w:sz w:val="20"/>
                <w:szCs w:val="20"/>
              </w:rPr>
              <w:t>3</w:t>
            </w:r>
          </w:p>
          <w:p w:rsidR="009A5961" w:rsidRPr="002B45A5" w:rsidRDefault="009A5961" w:rsidP="00F4762B">
            <w:pPr>
              <w:pStyle w:val="BodyA"/>
              <w:numPr>
                <w:ilvl w:val="0"/>
                <w:numId w:val="20"/>
              </w:numPr>
              <w:tabs>
                <w:tab w:val="clear" w:pos="589"/>
                <w:tab w:val="num" w:pos="735"/>
                <w:tab w:val="left" w:pos="747"/>
              </w:tabs>
              <w:spacing w:after="0" w:line="240" w:lineRule="auto"/>
              <w:ind w:firstLine="12"/>
              <w:rPr>
                <w:rFonts w:ascii="Times New Roman" w:eastAsia="Times New Roman" w:hAnsi="Times New Roman" w:cs="Times New Roman"/>
                <w:sz w:val="20"/>
                <w:szCs w:val="20"/>
              </w:rPr>
            </w:pPr>
            <w:r w:rsidRPr="002B45A5">
              <w:rPr>
                <w:rFonts w:ascii="Times New Roman"/>
                <w:sz w:val="20"/>
                <w:szCs w:val="20"/>
              </w:rPr>
              <w:t xml:space="preserve">paper format more suited to subject                                                </w:t>
            </w:r>
            <w:r>
              <w:rPr>
                <w:rFonts w:ascii="Times New Roman"/>
                <w:sz w:val="20"/>
                <w:szCs w:val="20"/>
              </w:rPr>
              <w:t xml:space="preserve">                </w:t>
            </w:r>
            <w:r w:rsidRPr="002B45A5">
              <w:rPr>
                <w:rFonts w:ascii="Times New Roman"/>
                <w:sz w:val="20"/>
                <w:szCs w:val="20"/>
              </w:rPr>
              <w:t>2</w:t>
            </w:r>
          </w:p>
        </w:tc>
      </w:tr>
      <w:tr w:rsidR="009A5961" w:rsidRPr="002B45A5" w:rsidTr="00D60A14">
        <w:trPr>
          <w:trHeight w:val="300"/>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sidRPr="002B45A5">
              <w:rPr>
                <w:rFonts w:ascii="Times New Roman"/>
                <w:sz w:val="20"/>
                <w:szCs w:val="20"/>
              </w:rPr>
              <w:t xml:space="preserve">   2. </w:t>
            </w:r>
            <w:r w:rsidRPr="002B45A5">
              <w:rPr>
                <w:rFonts w:ascii="Times New Roman"/>
                <w:b/>
                <w:bCs/>
                <w:sz w:val="20"/>
                <w:szCs w:val="20"/>
              </w:rPr>
              <w:t xml:space="preserve">Value of poster presentations to all participants </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Pr>
                <w:rFonts w:ascii="Times New Roman"/>
                <w:b/>
                <w:bCs/>
                <w:sz w:val="20"/>
                <w:szCs w:val="20"/>
              </w:rPr>
              <w:t xml:space="preserve">                  </w:t>
            </w:r>
            <w:r w:rsidRPr="002B45A5">
              <w:rPr>
                <w:rFonts w:ascii="Times New Roman"/>
                <w:b/>
                <w:bCs/>
                <w:sz w:val="20"/>
                <w:szCs w:val="20"/>
              </w:rPr>
              <w:t>132</w:t>
            </w:r>
          </w:p>
        </w:tc>
      </w:tr>
      <w:tr w:rsidR="009A5961" w:rsidRPr="002B45A5" w:rsidTr="00D60A14">
        <w:trPr>
          <w:trHeight w:val="4021"/>
        </w:trPr>
        <w:tc>
          <w:tcPr>
            <w:tcW w:w="90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ind w:left="284"/>
              <w:rPr>
                <w:rFonts w:ascii="Times New Roman" w:eastAsia="Times New Roman" w:hAnsi="Times New Roman" w:cs="Times New Roman"/>
                <w:sz w:val="20"/>
                <w:szCs w:val="20"/>
              </w:rPr>
            </w:pPr>
            <w:proofErr w:type="spellStart"/>
            <w:r w:rsidRPr="002B45A5">
              <w:rPr>
                <w:rFonts w:ascii="Times New Roman"/>
                <w:sz w:val="20"/>
                <w:szCs w:val="20"/>
              </w:rPr>
              <w:t>i</w:t>
            </w:r>
            <w:proofErr w:type="spellEnd"/>
            <w:r w:rsidRPr="002B45A5">
              <w:rPr>
                <w:rFonts w:ascii="Times New Roman"/>
                <w:sz w:val="20"/>
                <w:szCs w:val="20"/>
              </w:rPr>
              <w:t xml:space="preserve">. Developing skills </w:t>
            </w:r>
            <w:r w:rsidRPr="002B45A5">
              <w:rPr>
                <w:rFonts w:hAnsi="Times New Roman"/>
                <w:sz w:val="20"/>
                <w:szCs w:val="20"/>
              </w:rPr>
              <w:t>–</w:t>
            </w:r>
            <w:r w:rsidRPr="002B45A5">
              <w:rPr>
                <w:rFonts w:hAnsi="Times New Roman"/>
                <w:sz w:val="20"/>
                <w:szCs w:val="20"/>
              </w:rPr>
              <w:t xml:space="preserve"> </w:t>
            </w:r>
            <w:r w:rsidRPr="002B45A5">
              <w:rPr>
                <w:rFonts w:ascii="Times New Roman"/>
                <w:sz w:val="20"/>
                <w:szCs w:val="20"/>
              </w:rPr>
              <w:t xml:space="preserve">overall                                                               </w:t>
            </w:r>
            <w:r>
              <w:rPr>
                <w:rFonts w:ascii="Times New Roman"/>
                <w:sz w:val="20"/>
                <w:szCs w:val="20"/>
              </w:rPr>
              <w:t xml:space="preserve">                              </w:t>
            </w:r>
            <w:r w:rsidRPr="002B45A5">
              <w:rPr>
                <w:rFonts w:ascii="Times New Roman"/>
                <w:sz w:val="20"/>
                <w:szCs w:val="20"/>
              </w:rPr>
              <w:t xml:space="preserve"> 69</w:t>
            </w:r>
          </w:p>
          <w:p w:rsidR="009A5961" w:rsidRPr="002B45A5" w:rsidRDefault="009A5961" w:rsidP="00F4762B">
            <w:pPr>
              <w:pStyle w:val="BodyA"/>
              <w:numPr>
                <w:ilvl w:val="0"/>
                <w:numId w:val="21"/>
              </w:numPr>
              <w:spacing w:after="0" w:line="360" w:lineRule="auto"/>
              <w:ind w:left="167" w:firstLine="400"/>
              <w:rPr>
                <w:rFonts w:ascii="Times New Roman" w:eastAsia="Times New Roman" w:hAnsi="Times New Roman" w:cs="Times New Roman"/>
                <w:sz w:val="20"/>
                <w:szCs w:val="20"/>
              </w:rPr>
            </w:pPr>
            <w:r w:rsidRPr="002B45A5">
              <w:rPr>
                <w:rFonts w:ascii="Times New Roman"/>
                <w:sz w:val="20"/>
                <w:szCs w:val="20"/>
              </w:rPr>
              <w:t xml:space="preserve">concise writing for generic audience                                                   </w:t>
            </w:r>
            <w:r>
              <w:rPr>
                <w:rFonts w:ascii="Times New Roman"/>
                <w:sz w:val="20"/>
                <w:szCs w:val="20"/>
              </w:rPr>
              <w:t xml:space="preserve">         </w:t>
            </w:r>
            <w:r w:rsidRPr="002B45A5">
              <w:rPr>
                <w:rFonts w:ascii="Times New Roman"/>
                <w:sz w:val="20"/>
                <w:szCs w:val="20"/>
              </w:rPr>
              <w:t xml:space="preserve">  33</w:t>
            </w:r>
          </w:p>
          <w:p w:rsidR="009A5961" w:rsidRPr="002B45A5" w:rsidRDefault="009A5961" w:rsidP="00F4762B">
            <w:pPr>
              <w:pStyle w:val="BodyA"/>
              <w:numPr>
                <w:ilvl w:val="0"/>
                <w:numId w:val="22"/>
              </w:numPr>
              <w:spacing w:after="0" w:line="360" w:lineRule="auto"/>
              <w:ind w:left="167" w:firstLine="400"/>
              <w:rPr>
                <w:rFonts w:ascii="Times New Roman" w:eastAsia="Times New Roman" w:hAnsi="Times New Roman" w:cs="Times New Roman"/>
                <w:sz w:val="20"/>
                <w:szCs w:val="20"/>
              </w:rPr>
            </w:pPr>
            <w:r w:rsidRPr="002B45A5">
              <w:rPr>
                <w:rFonts w:ascii="Times New Roman"/>
                <w:sz w:val="20"/>
                <w:szCs w:val="20"/>
              </w:rPr>
              <w:t xml:space="preserve">confidence to communicate research                                                     </w:t>
            </w:r>
            <w:r>
              <w:rPr>
                <w:rFonts w:ascii="Times New Roman"/>
                <w:sz w:val="20"/>
                <w:szCs w:val="20"/>
              </w:rPr>
              <w:t xml:space="preserve">         </w:t>
            </w:r>
            <w:r w:rsidRPr="002B45A5">
              <w:rPr>
                <w:rFonts w:ascii="Times New Roman"/>
                <w:sz w:val="20"/>
                <w:szCs w:val="20"/>
              </w:rPr>
              <w:t>17</w:t>
            </w:r>
          </w:p>
          <w:p w:rsidR="009A5961" w:rsidRPr="002B45A5" w:rsidRDefault="009A5961" w:rsidP="00F4762B">
            <w:pPr>
              <w:pStyle w:val="BodyA"/>
              <w:numPr>
                <w:ilvl w:val="0"/>
                <w:numId w:val="23"/>
              </w:numPr>
              <w:spacing w:after="0" w:line="360" w:lineRule="auto"/>
              <w:ind w:left="167" w:firstLine="400"/>
              <w:rPr>
                <w:rFonts w:ascii="Times New Roman" w:eastAsia="Times New Roman" w:hAnsi="Times New Roman" w:cs="Times New Roman"/>
                <w:sz w:val="20"/>
                <w:szCs w:val="20"/>
              </w:rPr>
            </w:pPr>
            <w:r w:rsidRPr="002B45A5">
              <w:rPr>
                <w:rFonts w:ascii="Times New Roman"/>
                <w:sz w:val="20"/>
                <w:szCs w:val="20"/>
              </w:rPr>
              <w:t xml:space="preserve">enhancing employability                                                                        </w:t>
            </w:r>
            <w:r>
              <w:rPr>
                <w:rFonts w:ascii="Times New Roman"/>
                <w:sz w:val="20"/>
                <w:szCs w:val="20"/>
              </w:rPr>
              <w:t xml:space="preserve">         </w:t>
            </w:r>
            <w:r w:rsidRPr="002B45A5">
              <w:rPr>
                <w:rFonts w:ascii="Times New Roman"/>
                <w:sz w:val="20"/>
                <w:szCs w:val="20"/>
              </w:rPr>
              <w:t>14</w:t>
            </w:r>
          </w:p>
          <w:p w:rsidR="009A5961" w:rsidRPr="002B45A5" w:rsidRDefault="009A5961" w:rsidP="00F4762B">
            <w:pPr>
              <w:pStyle w:val="BodyA"/>
              <w:numPr>
                <w:ilvl w:val="0"/>
                <w:numId w:val="24"/>
              </w:numPr>
              <w:spacing w:after="0" w:line="360" w:lineRule="auto"/>
              <w:ind w:left="183" w:firstLine="384"/>
              <w:rPr>
                <w:rFonts w:ascii="Times New Roman" w:eastAsia="Times New Roman" w:hAnsi="Times New Roman" w:cs="Times New Roman"/>
                <w:sz w:val="20"/>
                <w:szCs w:val="20"/>
              </w:rPr>
            </w:pPr>
            <w:r w:rsidRPr="002B45A5">
              <w:rPr>
                <w:rFonts w:ascii="Times New Roman"/>
                <w:sz w:val="20"/>
                <w:szCs w:val="20"/>
              </w:rPr>
              <w:t xml:space="preserve">the potential usefulness of inter-disciplinary collaboration                   </w:t>
            </w:r>
            <w:r>
              <w:rPr>
                <w:rFonts w:ascii="Times New Roman"/>
                <w:sz w:val="20"/>
                <w:szCs w:val="20"/>
              </w:rPr>
              <w:t xml:space="preserve">         </w:t>
            </w:r>
            <w:r w:rsidRPr="002B45A5">
              <w:rPr>
                <w:rFonts w:ascii="Times New Roman"/>
                <w:sz w:val="20"/>
                <w:szCs w:val="20"/>
              </w:rPr>
              <w:t xml:space="preserve">  5</w:t>
            </w:r>
          </w:p>
          <w:p w:rsidR="009A5961" w:rsidRPr="002B45A5" w:rsidRDefault="009A5961" w:rsidP="00F4762B">
            <w:pPr>
              <w:pStyle w:val="BodyA"/>
              <w:numPr>
                <w:ilvl w:val="0"/>
                <w:numId w:val="25"/>
              </w:numPr>
              <w:spacing w:after="0" w:line="360" w:lineRule="auto"/>
              <w:ind w:left="167" w:firstLine="400"/>
              <w:rPr>
                <w:rFonts w:ascii="Times New Roman" w:eastAsia="Times New Roman" w:hAnsi="Times New Roman" w:cs="Times New Roman"/>
                <w:sz w:val="20"/>
                <w:szCs w:val="20"/>
              </w:rPr>
            </w:pPr>
            <w:r w:rsidRPr="002B45A5">
              <w:rPr>
                <w:rFonts w:ascii="Times New Roman"/>
                <w:sz w:val="20"/>
                <w:szCs w:val="20"/>
              </w:rPr>
              <w:t xml:space="preserve">working the crowd                                                                                  </w:t>
            </w:r>
            <w:r>
              <w:rPr>
                <w:rFonts w:ascii="Times New Roman"/>
                <w:sz w:val="20"/>
                <w:szCs w:val="20"/>
              </w:rPr>
              <w:t xml:space="preserve">         </w:t>
            </w:r>
            <w:r w:rsidRPr="002B45A5">
              <w:rPr>
                <w:rFonts w:ascii="Times New Roman"/>
                <w:sz w:val="20"/>
                <w:szCs w:val="20"/>
              </w:rPr>
              <w:t xml:space="preserve"> 2</w:t>
            </w:r>
          </w:p>
          <w:p w:rsidR="009A5961" w:rsidRPr="002B45A5" w:rsidRDefault="009A5961" w:rsidP="00D60A14">
            <w:pPr>
              <w:pStyle w:val="BodyA"/>
              <w:spacing w:after="0" w:line="360" w:lineRule="auto"/>
              <w:ind w:left="284"/>
              <w:rPr>
                <w:rFonts w:ascii="Times New Roman" w:eastAsia="Times New Roman" w:hAnsi="Times New Roman" w:cs="Times New Roman"/>
                <w:sz w:val="20"/>
                <w:szCs w:val="20"/>
              </w:rPr>
            </w:pPr>
            <w:r w:rsidRPr="002B45A5">
              <w:rPr>
                <w:rFonts w:ascii="Times New Roman"/>
                <w:sz w:val="20"/>
                <w:szCs w:val="20"/>
              </w:rPr>
              <w:t xml:space="preserve">ii. Critical feedback to improve own skills                                          </w:t>
            </w:r>
            <w:r>
              <w:rPr>
                <w:rFonts w:ascii="Times New Roman"/>
                <w:sz w:val="20"/>
                <w:szCs w:val="20"/>
              </w:rPr>
              <w:t xml:space="preserve">                              </w:t>
            </w:r>
            <w:r w:rsidRPr="002B45A5">
              <w:rPr>
                <w:rFonts w:ascii="Times New Roman"/>
                <w:sz w:val="20"/>
                <w:szCs w:val="20"/>
              </w:rPr>
              <w:t xml:space="preserve"> 20</w:t>
            </w:r>
          </w:p>
          <w:p w:rsidR="009A5961" w:rsidRPr="002B45A5" w:rsidRDefault="009A5961" w:rsidP="00D60A14">
            <w:pPr>
              <w:pStyle w:val="BodyA"/>
              <w:spacing w:after="0" w:line="360" w:lineRule="auto"/>
              <w:rPr>
                <w:rFonts w:ascii="Times New Roman" w:eastAsia="Times New Roman" w:hAnsi="Times New Roman" w:cs="Times New Roman"/>
                <w:sz w:val="20"/>
                <w:szCs w:val="20"/>
              </w:rPr>
            </w:pPr>
            <w:r w:rsidRPr="002B45A5">
              <w:rPr>
                <w:rFonts w:ascii="Times New Roman"/>
                <w:sz w:val="20"/>
                <w:szCs w:val="20"/>
              </w:rPr>
              <w:t xml:space="preserve">   iii. Other:</w:t>
            </w:r>
          </w:p>
          <w:p w:rsidR="009A5961" w:rsidRPr="002B45A5" w:rsidRDefault="009A5961" w:rsidP="00F4762B">
            <w:pPr>
              <w:pStyle w:val="BodyA"/>
              <w:numPr>
                <w:ilvl w:val="0"/>
                <w:numId w:val="26"/>
              </w:numPr>
              <w:tabs>
                <w:tab w:val="left" w:pos="747"/>
              </w:tabs>
              <w:spacing w:after="0" w:line="240" w:lineRule="auto"/>
              <w:ind w:left="165" w:firstLine="402"/>
              <w:rPr>
                <w:rFonts w:ascii="Times New Roman" w:eastAsia="Times New Roman" w:hAnsi="Times New Roman" w:cs="Times New Roman"/>
                <w:sz w:val="20"/>
                <w:szCs w:val="20"/>
              </w:rPr>
            </w:pPr>
            <w:r w:rsidRPr="002B45A5">
              <w:rPr>
                <w:rFonts w:ascii="Times New Roman"/>
                <w:sz w:val="20"/>
                <w:szCs w:val="20"/>
              </w:rPr>
              <w:t xml:space="preserve">gaining new knowledge in other disciplines                                        </w:t>
            </w:r>
            <w:r>
              <w:rPr>
                <w:rFonts w:ascii="Times New Roman"/>
                <w:sz w:val="20"/>
                <w:szCs w:val="20"/>
              </w:rPr>
              <w:t xml:space="preserve">        </w:t>
            </w:r>
            <w:r w:rsidRPr="002B45A5">
              <w:rPr>
                <w:rFonts w:ascii="Times New Roman"/>
                <w:sz w:val="20"/>
                <w:szCs w:val="20"/>
              </w:rPr>
              <w:t xml:space="preserve"> </w:t>
            </w:r>
            <w:r>
              <w:rPr>
                <w:rFonts w:ascii="Times New Roman"/>
                <w:sz w:val="20"/>
                <w:szCs w:val="20"/>
              </w:rPr>
              <w:t xml:space="preserve"> </w:t>
            </w:r>
            <w:r w:rsidRPr="002B45A5">
              <w:rPr>
                <w:rFonts w:ascii="Times New Roman"/>
                <w:sz w:val="20"/>
                <w:szCs w:val="20"/>
              </w:rPr>
              <w:t>14</w:t>
            </w:r>
          </w:p>
          <w:p w:rsidR="009A5961" w:rsidRPr="002B45A5" w:rsidRDefault="009A5961" w:rsidP="00F4762B">
            <w:pPr>
              <w:pStyle w:val="BodyA"/>
              <w:numPr>
                <w:ilvl w:val="0"/>
                <w:numId w:val="27"/>
              </w:numPr>
              <w:tabs>
                <w:tab w:val="left" w:pos="747"/>
              </w:tabs>
              <w:spacing w:after="0" w:line="240" w:lineRule="auto"/>
              <w:ind w:left="165" w:firstLine="402"/>
              <w:rPr>
                <w:rFonts w:ascii="Times New Roman" w:eastAsia="Times New Roman" w:hAnsi="Times New Roman" w:cs="Times New Roman"/>
                <w:sz w:val="20"/>
                <w:szCs w:val="20"/>
              </w:rPr>
            </w:pPr>
            <w:r w:rsidRPr="002B45A5">
              <w:rPr>
                <w:rFonts w:ascii="Times New Roman"/>
                <w:sz w:val="20"/>
                <w:szCs w:val="20"/>
              </w:rPr>
              <w:t xml:space="preserve">progressed the research process                                                           </w:t>
            </w:r>
            <w:r>
              <w:rPr>
                <w:rFonts w:ascii="Times New Roman"/>
                <w:sz w:val="20"/>
                <w:szCs w:val="20"/>
              </w:rPr>
              <w:t xml:space="preserve">         </w:t>
            </w:r>
            <w:r w:rsidRPr="002B45A5">
              <w:rPr>
                <w:rFonts w:ascii="Times New Roman"/>
                <w:sz w:val="20"/>
                <w:szCs w:val="20"/>
              </w:rPr>
              <w:t xml:space="preserve"> 12</w:t>
            </w:r>
          </w:p>
          <w:p w:rsidR="009A5961" w:rsidRPr="002B45A5" w:rsidRDefault="009A5961" w:rsidP="00F4762B">
            <w:pPr>
              <w:pStyle w:val="BodyA"/>
              <w:numPr>
                <w:ilvl w:val="0"/>
                <w:numId w:val="28"/>
              </w:numPr>
              <w:tabs>
                <w:tab w:val="left" w:pos="747"/>
              </w:tabs>
              <w:spacing w:after="0" w:line="240" w:lineRule="auto"/>
              <w:ind w:left="165" w:firstLine="402"/>
              <w:rPr>
                <w:rFonts w:ascii="Times New Roman" w:eastAsia="Times New Roman" w:hAnsi="Times New Roman" w:cs="Times New Roman"/>
                <w:sz w:val="20"/>
                <w:szCs w:val="20"/>
              </w:rPr>
            </w:pPr>
            <w:r w:rsidRPr="002B45A5">
              <w:rPr>
                <w:rFonts w:ascii="Times New Roman"/>
                <w:sz w:val="20"/>
                <w:szCs w:val="20"/>
              </w:rPr>
              <w:t xml:space="preserve">more informal introduction to dissemination                                        </w:t>
            </w:r>
            <w:r>
              <w:rPr>
                <w:rFonts w:ascii="Times New Roman"/>
                <w:sz w:val="20"/>
                <w:szCs w:val="20"/>
              </w:rPr>
              <w:t xml:space="preserve">         </w:t>
            </w:r>
            <w:r w:rsidRPr="002B45A5">
              <w:rPr>
                <w:rFonts w:ascii="Times New Roman"/>
                <w:sz w:val="20"/>
                <w:szCs w:val="20"/>
              </w:rPr>
              <w:t xml:space="preserve"> 9</w:t>
            </w:r>
          </w:p>
          <w:p w:rsidR="009A5961" w:rsidRPr="002B45A5" w:rsidRDefault="009A5961" w:rsidP="009A5961">
            <w:pPr>
              <w:pStyle w:val="BodyA"/>
              <w:numPr>
                <w:ilvl w:val="0"/>
                <w:numId w:val="5"/>
              </w:numPr>
              <w:tabs>
                <w:tab w:val="clear" w:pos="690"/>
                <w:tab w:val="num" w:pos="180"/>
                <w:tab w:val="left" w:pos="747"/>
              </w:tabs>
              <w:spacing w:after="0" w:line="240" w:lineRule="auto"/>
              <w:ind w:left="165" w:firstLine="402"/>
              <w:rPr>
                <w:rFonts w:ascii="Times New Roman" w:eastAsia="Times New Roman" w:hAnsi="Times New Roman" w:cs="Times New Roman"/>
                <w:sz w:val="20"/>
                <w:szCs w:val="20"/>
              </w:rPr>
            </w:pPr>
            <w:r w:rsidRPr="002B45A5">
              <w:rPr>
                <w:rFonts w:ascii="Times New Roman"/>
                <w:sz w:val="20"/>
                <w:szCs w:val="20"/>
              </w:rPr>
              <w:t xml:space="preserve">gaining ideas and inspiration                                                                 </w:t>
            </w:r>
            <w:r>
              <w:rPr>
                <w:rFonts w:ascii="Times New Roman"/>
                <w:sz w:val="20"/>
                <w:szCs w:val="20"/>
              </w:rPr>
              <w:t xml:space="preserve">          </w:t>
            </w:r>
            <w:r w:rsidRPr="002B45A5">
              <w:rPr>
                <w:rFonts w:ascii="Times New Roman"/>
                <w:sz w:val="20"/>
                <w:szCs w:val="20"/>
              </w:rPr>
              <w:t>8</w:t>
            </w:r>
          </w:p>
        </w:tc>
      </w:tr>
      <w:tr w:rsidR="009A5961" w:rsidRPr="002B45A5" w:rsidTr="00D60A14">
        <w:trPr>
          <w:trHeight w:val="300"/>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sidRPr="002B45A5">
              <w:rPr>
                <w:rFonts w:ascii="Times New Roman"/>
                <w:b/>
                <w:bCs/>
                <w:sz w:val="20"/>
                <w:szCs w:val="20"/>
              </w:rPr>
              <w:t>3. Value of the overall conference experience</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sz w:val="20"/>
                <w:szCs w:val="20"/>
              </w:rPr>
            </w:pPr>
            <w:r w:rsidRPr="002B45A5">
              <w:rPr>
                <w:rFonts w:ascii="Times New Roman"/>
                <w:b/>
                <w:bCs/>
                <w:sz w:val="20"/>
                <w:szCs w:val="20"/>
              </w:rPr>
              <w:t xml:space="preserve">             </w:t>
            </w:r>
            <w:r>
              <w:rPr>
                <w:rFonts w:ascii="Times New Roman"/>
                <w:b/>
                <w:bCs/>
                <w:sz w:val="20"/>
                <w:szCs w:val="20"/>
              </w:rPr>
              <w:t xml:space="preserve">     </w:t>
            </w:r>
            <w:r w:rsidRPr="002B45A5">
              <w:rPr>
                <w:rFonts w:ascii="Times New Roman"/>
                <w:b/>
                <w:bCs/>
                <w:sz w:val="20"/>
                <w:szCs w:val="20"/>
              </w:rPr>
              <w:t xml:space="preserve"> 86</w:t>
            </w:r>
          </w:p>
        </w:tc>
      </w:tr>
      <w:tr w:rsidR="009A5961" w:rsidRPr="002B45A5" w:rsidTr="00D60A14">
        <w:trPr>
          <w:trHeight w:val="1044"/>
        </w:trPr>
        <w:tc>
          <w:tcPr>
            <w:tcW w:w="9020" w:type="dxa"/>
            <w:gridSpan w:val="3"/>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rsidR="009A5961" w:rsidRPr="002B45A5" w:rsidRDefault="009A5961" w:rsidP="00D60A14">
            <w:pPr>
              <w:pStyle w:val="BodyA"/>
              <w:spacing w:after="0" w:line="360" w:lineRule="auto"/>
              <w:rPr>
                <w:rFonts w:ascii="Times New Roman" w:eastAsia="Times New Roman" w:hAnsi="Times New Roman" w:cs="Times New Roman"/>
                <w:sz w:val="20"/>
                <w:szCs w:val="20"/>
              </w:rPr>
            </w:pPr>
            <w:r w:rsidRPr="002B45A5">
              <w:rPr>
                <w:rFonts w:ascii="Times New Roman"/>
                <w:sz w:val="20"/>
                <w:szCs w:val="20"/>
              </w:rPr>
              <w:lastRenderedPageBreak/>
              <w:t xml:space="preserve">     </w:t>
            </w:r>
            <w:proofErr w:type="spellStart"/>
            <w:r w:rsidRPr="002B45A5">
              <w:rPr>
                <w:rFonts w:ascii="Times New Roman"/>
                <w:sz w:val="20"/>
                <w:szCs w:val="20"/>
              </w:rPr>
              <w:t>i</w:t>
            </w:r>
            <w:proofErr w:type="spellEnd"/>
            <w:r w:rsidRPr="002B45A5">
              <w:rPr>
                <w:rFonts w:ascii="Times New Roman"/>
                <w:sz w:val="20"/>
                <w:szCs w:val="20"/>
              </w:rPr>
              <w:t xml:space="preserve">. Active networking events and social interactions                                      </w:t>
            </w:r>
            <w:r>
              <w:rPr>
                <w:rFonts w:ascii="Times New Roman"/>
                <w:sz w:val="20"/>
                <w:szCs w:val="20"/>
              </w:rPr>
              <w:t xml:space="preserve">                      </w:t>
            </w:r>
            <w:r w:rsidRPr="002B45A5">
              <w:rPr>
                <w:rFonts w:ascii="Times New Roman"/>
                <w:sz w:val="20"/>
                <w:szCs w:val="20"/>
              </w:rPr>
              <w:t>61</w:t>
            </w:r>
          </w:p>
          <w:p w:rsidR="009A5961" w:rsidRPr="002B45A5" w:rsidRDefault="009A5961" w:rsidP="00D60A14">
            <w:pPr>
              <w:pStyle w:val="BodyA"/>
              <w:spacing w:after="0" w:line="360" w:lineRule="auto"/>
              <w:rPr>
                <w:rFonts w:ascii="Times New Roman" w:eastAsia="Times New Roman" w:hAnsi="Times New Roman" w:cs="Times New Roman"/>
                <w:sz w:val="20"/>
                <w:szCs w:val="20"/>
              </w:rPr>
            </w:pPr>
            <w:r w:rsidRPr="002B45A5">
              <w:rPr>
                <w:rFonts w:ascii="Times New Roman"/>
                <w:sz w:val="20"/>
                <w:szCs w:val="20"/>
              </w:rPr>
              <w:t xml:space="preserve">    ii. Being part of a community of practice                                                      </w:t>
            </w:r>
            <w:r>
              <w:rPr>
                <w:rFonts w:ascii="Times New Roman"/>
                <w:sz w:val="20"/>
                <w:szCs w:val="20"/>
              </w:rPr>
              <w:t xml:space="preserve">                      </w:t>
            </w:r>
            <w:r w:rsidRPr="002B45A5">
              <w:rPr>
                <w:rFonts w:ascii="Times New Roman"/>
                <w:sz w:val="20"/>
                <w:szCs w:val="20"/>
              </w:rPr>
              <w:t>20</w:t>
            </w:r>
          </w:p>
          <w:p w:rsidR="009A5961" w:rsidRPr="002B45A5" w:rsidRDefault="009A5961" w:rsidP="00D60A14">
            <w:pPr>
              <w:pStyle w:val="BodyA"/>
              <w:spacing w:after="0" w:line="360" w:lineRule="auto"/>
              <w:rPr>
                <w:sz w:val="20"/>
                <w:szCs w:val="20"/>
              </w:rPr>
            </w:pPr>
            <w:r w:rsidRPr="002B45A5">
              <w:rPr>
                <w:rFonts w:ascii="Times New Roman"/>
                <w:sz w:val="20"/>
                <w:szCs w:val="20"/>
              </w:rPr>
              <w:t xml:space="preserve">   iii. Being in a supportive and encouraging environment                               </w:t>
            </w:r>
            <w:r>
              <w:rPr>
                <w:rFonts w:ascii="Times New Roman"/>
                <w:sz w:val="20"/>
                <w:szCs w:val="20"/>
              </w:rPr>
              <w:t xml:space="preserve">                       </w:t>
            </w:r>
            <w:r w:rsidRPr="002B45A5">
              <w:rPr>
                <w:rFonts w:ascii="Times New Roman"/>
                <w:sz w:val="20"/>
                <w:szCs w:val="20"/>
              </w:rPr>
              <w:t xml:space="preserve">  5</w:t>
            </w:r>
          </w:p>
        </w:tc>
      </w:tr>
    </w:tbl>
    <w:p w:rsidR="009A5961" w:rsidRDefault="009A5961" w:rsidP="009A5961">
      <w:pPr>
        <w:pStyle w:val="Body"/>
        <w:widowControl w:val="0"/>
        <w:rPr>
          <w:u w:color="FF0000"/>
        </w:rPr>
      </w:pPr>
    </w:p>
    <w:p w:rsidR="009A5961" w:rsidRPr="002F6B74" w:rsidRDefault="009A5961" w:rsidP="009A5961">
      <w:pPr>
        <w:pStyle w:val="BodyA"/>
        <w:spacing w:line="360" w:lineRule="auto"/>
        <w:rPr>
          <w:sz w:val="24"/>
        </w:rPr>
      </w:pPr>
      <w:r>
        <w:rPr>
          <w:rFonts w:ascii="Times New Roman"/>
          <w:sz w:val="20"/>
          <w:szCs w:val="20"/>
        </w:rPr>
        <w:t xml:space="preserve">The unit of measurement for these data is the number of references made to themes during the </w:t>
      </w:r>
      <w:proofErr w:type="gramStart"/>
      <w:r>
        <w:rPr>
          <w:rFonts w:ascii="Times New Roman"/>
          <w:sz w:val="20"/>
          <w:szCs w:val="20"/>
        </w:rPr>
        <w:t>interviews,</w:t>
      </w:r>
      <w:proofErr w:type="gramEnd"/>
      <w:r>
        <w:rPr>
          <w:rFonts w:ascii="Times New Roman"/>
          <w:sz w:val="20"/>
          <w:szCs w:val="20"/>
        </w:rPr>
        <w:t xml:space="preserve"> therefore totals can be higher than the number of interviewees.</w:t>
      </w:r>
    </w:p>
    <w:p w:rsidR="00964AB0" w:rsidRDefault="00964AB0">
      <w:pPr>
        <w:pStyle w:val="BodyA"/>
        <w:spacing w:line="360" w:lineRule="auto"/>
        <w:rPr>
          <w:rFonts w:ascii="Times New Roman" w:eastAsia="Times New Roman" w:hAnsi="Times New Roman" w:cs="Times New Roman"/>
          <w:sz w:val="24"/>
          <w:szCs w:val="24"/>
        </w:rPr>
      </w:pPr>
    </w:p>
    <w:p w:rsidR="00964AB0" w:rsidRDefault="00964AB0">
      <w:pPr>
        <w:pStyle w:val="BodyA"/>
        <w:spacing w:line="360" w:lineRule="auto"/>
        <w:rPr>
          <w:rFonts w:ascii="Times New Roman" w:eastAsia="Times New Roman" w:hAnsi="Times New Roman" w:cs="Times New Roman"/>
          <w:b/>
          <w:bCs/>
          <w:sz w:val="24"/>
          <w:szCs w:val="24"/>
        </w:rPr>
      </w:pPr>
    </w:p>
    <w:p w:rsidR="00964AB0" w:rsidRDefault="009259F5">
      <w:pPr>
        <w:pStyle w:val="BodyA"/>
        <w:spacing w:line="360" w:lineRule="auto"/>
        <w:rPr>
          <w:rStyle w:val="hlfld-contribauthor"/>
          <w:rFonts w:ascii="Times New Roman" w:eastAsia="Times New Roman" w:hAnsi="Times New Roman" w:cs="Times New Roman"/>
          <w:b/>
          <w:bCs/>
          <w:i/>
          <w:iCs/>
          <w:sz w:val="24"/>
          <w:szCs w:val="24"/>
        </w:rPr>
      </w:pPr>
      <w:r>
        <w:rPr>
          <w:rStyle w:val="hlfld-contribauthor"/>
          <w:rFonts w:ascii="Times New Roman" w:hAnsi="Times New Roman"/>
          <w:b/>
          <w:bCs/>
          <w:i/>
          <w:iCs/>
          <w:sz w:val="24"/>
          <w:szCs w:val="24"/>
        </w:rPr>
        <w:t>1. Value of paper presentations to all conference participants</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Seven main sub-themes comprise this theme, which concerns the oral delivery of paper presentations by the interviewees, or the attendance by them at workshop sessions to see their peers’</w:t>
      </w:r>
      <w:r>
        <w:rPr>
          <w:rStyle w:val="hlfld-contribauthor"/>
          <w:sz w:val="24"/>
          <w:szCs w:val="24"/>
        </w:rPr>
        <w:t xml:space="preserve"> </w:t>
      </w:r>
      <w:r>
        <w:rPr>
          <w:rStyle w:val="hlfld-contribauthor"/>
          <w:rFonts w:ascii="Times New Roman" w:hAnsi="Times New Roman"/>
          <w:sz w:val="24"/>
          <w:szCs w:val="24"/>
        </w:rPr>
        <w:t xml:space="preserve">presentations. Students </w:t>
      </w:r>
      <w:proofErr w:type="spellStart"/>
      <w:r>
        <w:rPr>
          <w:rStyle w:val="hlfld-contribauthor"/>
          <w:rFonts w:ascii="Times New Roman" w:hAnsi="Times New Roman"/>
          <w:sz w:val="24"/>
          <w:szCs w:val="24"/>
        </w:rPr>
        <w:t>recognised</w:t>
      </w:r>
      <w:proofErr w:type="spellEnd"/>
      <w:r>
        <w:rPr>
          <w:rStyle w:val="hlfld-contribauthor"/>
          <w:rFonts w:ascii="Times New Roman" w:hAnsi="Times New Roman"/>
          <w:sz w:val="24"/>
          <w:szCs w:val="24"/>
        </w:rPr>
        <w:t xml:space="preserve"> that there are skills to be gained from both aspects of a workshop. </w:t>
      </w:r>
    </w:p>
    <w:p w:rsidR="00964AB0" w:rsidRDefault="009259F5">
      <w:pPr>
        <w:pStyle w:val="BodyA"/>
        <w:spacing w:line="360" w:lineRule="auto"/>
        <w:rPr>
          <w:rStyle w:val="hlfld-contribauthor"/>
          <w:rFonts w:ascii="Times New Roman" w:eastAsia="Times New Roman" w:hAnsi="Times New Roman" w:cs="Times New Roman"/>
          <w:i/>
          <w:iCs/>
          <w:sz w:val="24"/>
          <w:szCs w:val="24"/>
        </w:rPr>
      </w:pPr>
      <w:proofErr w:type="spellStart"/>
      <w:r>
        <w:rPr>
          <w:rStyle w:val="hlfld-contribauthor"/>
          <w:rFonts w:ascii="Times New Roman" w:hAnsi="Times New Roman"/>
          <w:i/>
          <w:iCs/>
          <w:sz w:val="24"/>
          <w:szCs w:val="24"/>
        </w:rPr>
        <w:t>i</w:t>
      </w:r>
      <w:proofErr w:type="spellEnd"/>
      <w:r>
        <w:rPr>
          <w:rStyle w:val="hlfld-contribauthor"/>
          <w:rFonts w:ascii="Times New Roman" w:hAnsi="Times New Roman"/>
          <w:i/>
          <w:iCs/>
          <w:sz w:val="24"/>
          <w:szCs w:val="24"/>
        </w:rPr>
        <w:t xml:space="preserve">. The development of skills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By far the most frequently reported skill was increased confidence associated with public speaking: </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‘I think just presentation skills …</w:t>
      </w:r>
      <w:r>
        <w:t xml:space="preserve"> </w:t>
      </w:r>
      <w:r>
        <w:rPr>
          <w:rStyle w:val="hlfld-contribauthor"/>
          <w:rFonts w:ascii="Times New Roman" w:hAnsi="Times New Roman"/>
        </w:rPr>
        <w:t>to actually be there as me and have the confidence to present my own work, [I] felt very vulnerable but it was actually quite a positive experience.  But once I was up there I was absolutely fine, it was just in the run up to it that I was a bit of a wreck.’</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‘The key skills I wanted to really develop were my public speaking and presentation skills; you may have noticed yesterday I was speaking very slowly in quite a relaxed cadence and that was something that I wanted to really develop …</w:t>
      </w:r>
      <w:r>
        <w:t xml:space="preserve"> </w:t>
      </w:r>
      <w:r>
        <w:rPr>
          <w:rStyle w:val="hlfld-contribauthor"/>
          <w:rFonts w:ascii="Times New Roman" w:hAnsi="Times New Roman"/>
        </w:rPr>
        <w:t>so that was the key thing that I developed there and the practicing for the paper, getting the timings down, all those were something that I wanted to work on.’</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Students learnt how to reduce large amounts of information and present the main findings in a meaningful and engaging way: </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‘Definitely laying it out, and being concise as well, trying to get an eight thousand word dissertation into like ten slides or so is difficult, but that’s the key skill I probably got from it.’</w:t>
      </w:r>
    </w:p>
    <w:p w:rsidR="00964AB0" w:rsidRDefault="009259F5" w:rsidP="00F60727">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Other </w:t>
      </w:r>
      <w:r w:rsidR="00F60727">
        <w:rPr>
          <w:rStyle w:val="hlfld-contribauthor"/>
          <w:rFonts w:ascii="Times New Roman" w:hAnsi="Times New Roman"/>
          <w:sz w:val="24"/>
          <w:szCs w:val="24"/>
        </w:rPr>
        <w:t xml:space="preserve">enhanced </w:t>
      </w:r>
      <w:r>
        <w:rPr>
          <w:rStyle w:val="hlfld-contribauthor"/>
          <w:rFonts w:ascii="Times New Roman" w:hAnsi="Times New Roman"/>
          <w:sz w:val="24"/>
          <w:szCs w:val="24"/>
        </w:rPr>
        <w:t xml:space="preserve">skills </w:t>
      </w:r>
      <w:r w:rsidR="00F60727">
        <w:rPr>
          <w:rStyle w:val="hlfld-contribauthor"/>
          <w:rFonts w:ascii="Times New Roman" w:hAnsi="Times New Roman"/>
          <w:sz w:val="24"/>
          <w:szCs w:val="24"/>
        </w:rPr>
        <w:t xml:space="preserve">reported by </w:t>
      </w:r>
      <w:r>
        <w:rPr>
          <w:rStyle w:val="hlfld-contribauthor"/>
          <w:rFonts w:ascii="Times New Roman" w:hAnsi="Times New Roman"/>
          <w:sz w:val="24"/>
          <w:szCs w:val="24"/>
        </w:rPr>
        <w:t>participants included the ability to mirror professional/industry job requirements, technical competencies and time management.</w:t>
      </w:r>
    </w:p>
    <w:p w:rsidR="00964AB0" w:rsidRDefault="009259F5">
      <w:pPr>
        <w:pStyle w:val="BodyA"/>
        <w:spacing w:line="360" w:lineRule="auto"/>
        <w:rPr>
          <w:rStyle w:val="hlfld-contribauthor"/>
          <w:rFonts w:ascii="Times New Roman" w:eastAsia="Times New Roman" w:hAnsi="Times New Roman" w:cs="Times New Roman"/>
          <w:i/>
          <w:iCs/>
          <w:sz w:val="24"/>
          <w:szCs w:val="24"/>
        </w:rPr>
      </w:pPr>
      <w:r>
        <w:rPr>
          <w:rStyle w:val="hlfld-contribauthor"/>
          <w:rFonts w:ascii="Times New Roman" w:hAnsi="Times New Roman"/>
          <w:i/>
          <w:iCs/>
          <w:sz w:val="24"/>
          <w:szCs w:val="24"/>
        </w:rPr>
        <w:lastRenderedPageBreak/>
        <w:t xml:space="preserve">ii. Learning to communicate with interdisciplinary audiences </w:t>
      </w:r>
    </w:p>
    <w:p w:rsidR="00964AB0" w:rsidRDefault="009259F5" w:rsidP="00F60727">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Students </w:t>
      </w:r>
      <w:proofErr w:type="spellStart"/>
      <w:r>
        <w:rPr>
          <w:rStyle w:val="hlfld-contribauthor"/>
          <w:rFonts w:ascii="Times New Roman" w:hAnsi="Times New Roman"/>
          <w:sz w:val="24"/>
          <w:szCs w:val="24"/>
        </w:rPr>
        <w:t>recognised</w:t>
      </w:r>
      <w:proofErr w:type="spellEnd"/>
      <w:r>
        <w:rPr>
          <w:rStyle w:val="hlfld-contribauthor"/>
          <w:rFonts w:ascii="Times New Roman" w:hAnsi="Times New Roman"/>
          <w:sz w:val="24"/>
          <w:szCs w:val="24"/>
        </w:rPr>
        <w:t xml:space="preserve"> the multi-disciplinary nature of the BCUR audiences and adapted their talks accordingly. Some individuals felt a more personal experiential approach to present</w:t>
      </w:r>
      <w:r w:rsidR="00F60727">
        <w:rPr>
          <w:rStyle w:val="hlfld-contribauthor"/>
          <w:rFonts w:ascii="Times New Roman" w:hAnsi="Times New Roman"/>
          <w:sz w:val="24"/>
          <w:szCs w:val="24"/>
        </w:rPr>
        <w:t>ing</w:t>
      </w:r>
      <w:r>
        <w:rPr>
          <w:rStyle w:val="hlfld-contribauthor"/>
          <w:rFonts w:ascii="Times New Roman" w:hAnsi="Times New Roman"/>
          <w:sz w:val="24"/>
          <w:szCs w:val="24"/>
        </w:rPr>
        <w:t xml:space="preserve"> was helpful, while others added definitions of technical terms and concepts </w:t>
      </w:r>
      <w:r w:rsidR="00F60727">
        <w:rPr>
          <w:rStyle w:val="hlfld-contribauthor"/>
          <w:rFonts w:ascii="Times New Roman" w:hAnsi="Times New Roman"/>
          <w:sz w:val="24"/>
          <w:szCs w:val="24"/>
        </w:rPr>
        <w:t>to</w:t>
      </w:r>
      <w:r>
        <w:rPr>
          <w:rStyle w:val="hlfld-contribauthor"/>
          <w:rFonts w:ascii="Times New Roman" w:hAnsi="Times New Roman"/>
          <w:sz w:val="24"/>
          <w:szCs w:val="24"/>
        </w:rPr>
        <w:t xml:space="preserve"> their slides:</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‘Actually it's quite challenging because obviously the dissertation's quite a specific piece of research but you come here to a general conference and it's quite hard to kind of communicate what the problem is, what the solution to the problem is, but also how you get there in a way that everyone can appreciate and understand.  So it was really difficult to tick all three of those boxes as well as make it interesting and engaging for the average attendee.’</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i/>
          <w:iCs/>
        </w:rPr>
        <w:t xml:space="preserve">iii. </w:t>
      </w:r>
      <w:r>
        <w:rPr>
          <w:rStyle w:val="hlfld-contribauthor"/>
          <w:rFonts w:ascii="Times New Roman" w:hAnsi="Times New Roman"/>
          <w:i/>
          <w:iCs/>
          <w:sz w:val="24"/>
          <w:szCs w:val="24"/>
        </w:rPr>
        <w:t xml:space="preserve">Gaining new knowledge in other disciplines and new awareness about research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Several of the students were surprised by the broad diversity of subjects covered by their peers’</w:t>
      </w:r>
      <w:r>
        <w:rPr>
          <w:rStyle w:val="hlfld-contribauthor"/>
          <w:sz w:val="24"/>
          <w:szCs w:val="24"/>
        </w:rPr>
        <w:t xml:space="preserve"> </w:t>
      </w:r>
      <w:r>
        <w:rPr>
          <w:rStyle w:val="hlfld-contribauthor"/>
          <w:rFonts w:ascii="Times New Roman" w:hAnsi="Times New Roman"/>
          <w:sz w:val="24"/>
          <w:szCs w:val="24"/>
        </w:rPr>
        <w:t>presentations and found genuine interest in this face-to-face learning:</w:t>
      </w:r>
    </w:p>
    <w:p w:rsidR="00964AB0" w:rsidRDefault="009259F5">
      <w:pPr>
        <w:pStyle w:val="BodyA"/>
        <w:spacing w:line="360" w:lineRule="auto"/>
        <w:ind w:left="284" w:right="237"/>
        <w:rPr>
          <w:rStyle w:val="hlfld-contribauthor"/>
          <w:rFonts w:ascii="Times New Roman" w:eastAsia="Times New Roman" w:hAnsi="Times New Roman" w:cs="Times New Roman"/>
          <w:sz w:val="24"/>
          <w:szCs w:val="24"/>
        </w:rPr>
      </w:pPr>
      <w:r>
        <w:rPr>
          <w:rStyle w:val="hlfld-contribauthor"/>
          <w:rFonts w:ascii="Times New Roman" w:hAnsi="Times New Roman"/>
        </w:rPr>
        <w:t>‘lots of people are interested in a lot of different areas of research and at these conferences, where there’s so many different subjects, you can communicate with somebody on an intellectual level about a subject which you have no idea about. So I went to some seminars on economics yesterday and I have no idea about it but found it equally interesting and understood it.’</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Participants mentioned both enjoying hearing about other people’s research, and gaining new awareness of different approaches, methods and applications of research used within disciplines other than their own.</w:t>
      </w:r>
      <w:r>
        <w:rPr>
          <w:rStyle w:val="hlfld-contribauthor"/>
          <w:rFonts w:ascii="Times New Roman" w:hAnsi="Times New Roman"/>
          <w:i/>
          <w:iCs/>
          <w:sz w:val="24"/>
          <w:szCs w:val="24"/>
        </w:rPr>
        <w:t xml:space="preserve"> </w:t>
      </w:r>
    </w:p>
    <w:p w:rsidR="00964AB0" w:rsidRDefault="009259F5">
      <w:pPr>
        <w:pStyle w:val="BodyA"/>
        <w:spacing w:line="360" w:lineRule="auto"/>
        <w:rPr>
          <w:rStyle w:val="hlfld-contribauthor"/>
          <w:rFonts w:ascii="Times New Roman" w:eastAsia="Times New Roman" w:hAnsi="Times New Roman" w:cs="Times New Roman"/>
          <w:i/>
          <w:iCs/>
          <w:sz w:val="24"/>
          <w:szCs w:val="24"/>
        </w:rPr>
      </w:pPr>
      <w:r>
        <w:rPr>
          <w:rStyle w:val="hlfld-contribauthor"/>
          <w:rFonts w:ascii="Times New Roman" w:hAnsi="Times New Roman"/>
          <w:i/>
          <w:iCs/>
        </w:rPr>
        <w:t xml:space="preserve">iv. </w:t>
      </w:r>
      <w:r>
        <w:rPr>
          <w:rStyle w:val="hlfld-contribauthor"/>
          <w:rFonts w:ascii="Times New Roman" w:hAnsi="Times New Roman"/>
          <w:i/>
          <w:iCs/>
          <w:sz w:val="24"/>
          <w:szCs w:val="24"/>
        </w:rPr>
        <w:t xml:space="preserve">Receiving and giving useful or critical feedback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Students valued the critical feedback following their own presentations and providing constructive comment to others. Often, this meant conquering fears and anxieties by deliberately placing themselves outside their comfort zone</w:t>
      </w:r>
      <w:r w:rsidR="00F60727">
        <w:rPr>
          <w:rStyle w:val="hlfld-contribauthor"/>
          <w:rFonts w:ascii="Times New Roman" w:hAnsi="Times New Roman"/>
          <w:sz w:val="24"/>
          <w:szCs w:val="24"/>
        </w:rPr>
        <w:t>s</w:t>
      </w:r>
      <w:r>
        <w:rPr>
          <w:rStyle w:val="hlfld-contribauthor"/>
          <w:rFonts w:ascii="Times New Roman" w:hAnsi="Times New Roman"/>
          <w:sz w:val="24"/>
          <w:szCs w:val="24"/>
        </w:rPr>
        <w:t xml:space="preserve">: </w:t>
      </w:r>
    </w:p>
    <w:p w:rsidR="00964AB0" w:rsidRDefault="009259F5">
      <w:pPr>
        <w:pStyle w:val="BodyA"/>
        <w:spacing w:line="360" w:lineRule="auto"/>
        <w:ind w:left="284" w:right="237"/>
        <w:rPr>
          <w:rStyle w:val="hlfld-contribauthor"/>
          <w:rFonts w:ascii="Times New Roman" w:eastAsia="Times New Roman" w:hAnsi="Times New Roman" w:cs="Times New Roman"/>
          <w:i/>
          <w:iCs/>
          <w:sz w:val="24"/>
          <w:szCs w:val="24"/>
        </w:rPr>
      </w:pPr>
      <w:r>
        <w:rPr>
          <w:rStyle w:val="hlfld-contribauthor"/>
          <w:rFonts w:ascii="Times New Roman" w:hAnsi="Times New Roman"/>
        </w:rPr>
        <w:t xml:space="preserve">‘I want the most feedback as possible, because I’ve had to make my own methodology, everything’s my own research, </w:t>
      </w:r>
      <w:proofErr w:type="gramStart"/>
      <w:r>
        <w:rPr>
          <w:rStyle w:val="hlfld-contribauthor"/>
          <w:rFonts w:ascii="Times New Roman" w:hAnsi="Times New Roman"/>
        </w:rPr>
        <w:t>with</w:t>
      </w:r>
      <w:proofErr w:type="gramEnd"/>
      <w:r>
        <w:rPr>
          <w:rStyle w:val="hlfld-contribauthor"/>
          <w:rFonts w:ascii="Times New Roman" w:hAnsi="Times New Roman"/>
        </w:rPr>
        <w:t xml:space="preserve"> a little bit of help, but what I’m doing nobody’s done yet.  So I’m trying to get lots of people to help me revise and critique it and so I can perfect it, because hopefully …</w:t>
      </w:r>
      <w:r>
        <w:t xml:space="preserve"> </w:t>
      </w:r>
      <w:r>
        <w:rPr>
          <w:rStyle w:val="hlfld-contribauthor"/>
          <w:rFonts w:ascii="Times New Roman" w:hAnsi="Times New Roman"/>
        </w:rPr>
        <w:t>people are going to use it within the field and so it’s great to finally have it as a public sort of thing, my debut.’</w:t>
      </w:r>
    </w:p>
    <w:p w:rsidR="00964AB0" w:rsidRDefault="009259F5">
      <w:pPr>
        <w:pStyle w:val="BodyA"/>
        <w:spacing w:line="360" w:lineRule="auto"/>
        <w:rPr>
          <w:rStyle w:val="hlfld-contribauthor"/>
          <w:rFonts w:ascii="Times New Roman" w:eastAsia="Times New Roman" w:hAnsi="Times New Roman" w:cs="Times New Roman"/>
          <w:i/>
          <w:iCs/>
          <w:sz w:val="24"/>
          <w:szCs w:val="24"/>
        </w:rPr>
      </w:pPr>
      <w:r>
        <w:rPr>
          <w:rStyle w:val="hlfld-contribauthor"/>
          <w:rFonts w:ascii="Times New Roman" w:hAnsi="Times New Roman"/>
          <w:i/>
          <w:iCs/>
          <w:sz w:val="24"/>
          <w:szCs w:val="24"/>
        </w:rPr>
        <w:t xml:space="preserve">v. Observing good practice </w:t>
      </w:r>
    </w:p>
    <w:p w:rsidR="00964AB0" w:rsidRDefault="009259F5">
      <w:pPr>
        <w:pStyle w:val="BodyA"/>
        <w:spacing w:line="360" w:lineRule="auto"/>
        <w:ind w:left="284" w:right="238"/>
        <w:rPr>
          <w:rStyle w:val="hlfld-contribauthor"/>
          <w:rFonts w:ascii="Times New Roman" w:eastAsia="Times New Roman" w:hAnsi="Times New Roman" w:cs="Times New Roman"/>
        </w:rPr>
      </w:pPr>
      <w:r>
        <w:rPr>
          <w:rStyle w:val="hlfld-contribauthor"/>
          <w:rFonts w:ascii="Times New Roman" w:hAnsi="Times New Roman"/>
        </w:rPr>
        <w:lastRenderedPageBreak/>
        <w:t>‘I’ve tried to go to humanities talks, which have gone a little bit over my head, but I’ve learnt a different way to communicate things and that’s been probably the most important thing that I’ve learnt, is how people get their work across to people like me.  I’m not a humanities student but I kind of got what was going on in the end so, and that’s the most important thing I’ve learnt for sure in terms of skills.’</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While attending other people’s presentations, some students noted differences in presentation techniques, use of intonation, body language, facial expressions and the benefits of an interactive approach. Students </w:t>
      </w:r>
      <w:proofErr w:type="spellStart"/>
      <w:r>
        <w:rPr>
          <w:rStyle w:val="hlfld-contribauthor"/>
          <w:rFonts w:ascii="Times New Roman" w:hAnsi="Times New Roman"/>
          <w:sz w:val="24"/>
          <w:szCs w:val="24"/>
        </w:rPr>
        <w:t>itemised</w:t>
      </w:r>
      <w:proofErr w:type="spellEnd"/>
      <w:r>
        <w:rPr>
          <w:rStyle w:val="hlfld-contribauthor"/>
          <w:rFonts w:ascii="Times New Roman" w:hAnsi="Times New Roman"/>
          <w:sz w:val="24"/>
          <w:szCs w:val="24"/>
        </w:rPr>
        <w:t xml:space="preserve"> many examples of ‘what not to do’ and better habits, most notably the importance of avoiding too much technical jargon. </w:t>
      </w:r>
    </w:p>
    <w:p w:rsidR="00964AB0" w:rsidRDefault="009259F5">
      <w:pPr>
        <w:pStyle w:val="BodyA"/>
        <w:spacing w:line="360" w:lineRule="auto"/>
        <w:rPr>
          <w:rStyle w:val="hlfld-contribauthor"/>
          <w:rFonts w:ascii="Times New Roman" w:eastAsia="Times New Roman" w:hAnsi="Times New Roman" w:cs="Times New Roman"/>
          <w:i/>
          <w:iCs/>
          <w:sz w:val="24"/>
          <w:szCs w:val="24"/>
        </w:rPr>
      </w:pPr>
      <w:r>
        <w:rPr>
          <w:rStyle w:val="hlfld-contribauthor"/>
          <w:rFonts w:ascii="Times New Roman" w:hAnsi="Times New Roman"/>
          <w:i/>
          <w:iCs/>
          <w:sz w:val="24"/>
          <w:szCs w:val="24"/>
        </w:rPr>
        <w:t xml:space="preserve">vi. A shared experience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Students </w:t>
      </w:r>
      <w:proofErr w:type="spellStart"/>
      <w:r>
        <w:rPr>
          <w:rStyle w:val="hlfld-contribauthor"/>
          <w:rFonts w:ascii="Times New Roman" w:hAnsi="Times New Roman"/>
          <w:sz w:val="24"/>
          <w:szCs w:val="24"/>
        </w:rPr>
        <w:t>recognised</w:t>
      </w:r>
      <w:proofErr w:type="spellEnd"/>
      <w:r>
        <w:rPr>
          <w:rStyle w:val="hlfld-contribauthor"/>
          <w:rFonts w:ascii="Times New Roman" w:hAnsi="Times New Roman"/>
          <w:sz w:val="24"/>
          <w:szCs w:val="24"/>
        </w:rPr>
        <w:t xml:space="preserve"> the developmental nature of BCUR and appreciated that everyone was experiencing similar anxieties, doubts and also excitement. Because most participants in these conferences do actually present at some stage, there was a general sense of mutual support: </w:t>
      </w:r>
    </w:p>
    <w:p w:rsidR="00964AB0" w:rsidRDefault="009259F5">
      <w:pPr>
        <w:pStyle w:val="BodyA"/>
        <w:spacing w:line="360" w:lineRule="auto"/>
        <w:ind w:left="283"/>
        <w:rPr>
          <w:rStyle w:val="hlfld-contribauthor"/>
          <w:rFonts w:ascii="Times New Roman" w:eastAsia="Times New Roman" w:hAnsi="Times New Roman" w:cs="Times New Roman"/>
          <w:sz w:val="24"/>
          <w:szCs w:val="24"/>
        </w:rPr>
      </w:pPr>
      <w:r>
        <w:rPr>
          <w:rStyle w:val="hlfld-contribauthor"/>
          <w:rFonts w:ascii="Times New Roman" w:hAnsi="Times New Roman"/>
        </w:rPr>
        <w:t>‘It’s a kind experience; it’s like you’ve got at least three other people on your panel and you know they’ve all done the same thing and gone through a lot of hard work, so they all know what you’re going through …</w:t>
      </w:r>
      <w:r>
        <w:t xml:space="preserve"> </w:t>
      </w:r>
      <w:r>
        <w:rPr>
          <w:rStyle w:val="hlfld-contribauthor"/>
          <w:rFonts w:ascii="Times New Roman" w:hAnsi="Times New Roman"/>
        </w:rPr>
        <w:t>everyone’s in the same boat, so no-one’s going to ridicule you here but they might if you were in a more professional kind of body.’</w:t>
      </w:r>
      <w:r>
        <w:t xml:space="preserve"> </w:t>
      </w:r>
    </w:p>
    <w:p w:rsidR="00964AB0" w:rsidRDefault="009259F5">
      <w:pPr>
        <w:pStyle w:val="BodyA"/>
        <w:spacing w:line="360" w:lineRule="auto"/>
        <w:rPr>
          <w:rStyle w:val="hlfld-contribauthor"/>
          <w:rFonts w:ascii="Times New Roman" w:eastAsia="Times New Roman" w:hAnsi="Times New Roman" w:cs="Times New Roman"/>
          <w:i/>
          <w:iCs/>
          <w:sz w:val="24"/>
          <w:szCs w:val="24"/>
        </w:rPr>
      </w:pPr>
      <w:r>
        <w:rPr>
          <w:rStyle w:val="hlfld-contribauthor"/>
          <w:rFonts w:ascii="Times New Roman" w:hAnsi="Times New Roman"/>
          <w:i/>
          <w:iCs/>
          <w:sz w:val="24"/>
          <w:szCs w:val="24"/>
        </w:rPr>
        <w:t>vii. Other</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Other ways in which individuals valued paper presentations included the influence feedback was going to have on the progression of their current research i.e. when writing up a thesis; the sense of professional validity that presenting at a conference gave them; and the additional creative freedom when University assessment criteria are removed.</w:t>
      </w:r>
    </w:p>
    <w:p w:rsidR="00964AB0" w:rsidRDefault="009259F5">
      <w:pPr>
        <w:pStyle w:val="BodyA"/>
        <w:spacing w:line="360" w:lineRule="auto"/>
        <w:rPr>
          <w:rStyle w:val="hlfld-contribauthor"/>
          <w:rFonts w:ascii="Times New Roman" w:eastAsia="Times New Roman" w:hAnsi="Times New Roman" w:cs="Times New Roman"/>
          <w:b/>
          <w:bCs/>
          <w:i/>
          <w:iCs/>
          <w:sz w:val="24"/>
          <w:szCs w:val="24"/>
        </w:rPr>
      </w:pPr>
      <w:r>
        <w:rPr>
          <w:rStyle w:val="hlfld-contribauthor"/>
          <w:rFonts w:ascii="Times New Roman" w:hAnsi="Times New Roman"/>
          <w:b/>
          <w:bCs/>
          <w:i/>
          <w:iCs/>
          <w:sz w:val="24"/>
          <w:szCs w:val="24"/>
        </w:rPr>
        <w:t>2.</w:t>
      </w:r>
      <w:r>
        <w:rPr>
          <w:rStyle w:val="hlfld-contribauthor"/>
          <w:rFonts w:ascii="Times New Roman" w:hAnsi="Times New Roman"/>
          <w:i/>
          <w:iCs/>
          <w:sz w:val="24"/>
          <w:szCs w:val="24"/>
        </w:rPr>
        <w:t xml:space="preserve"> </w:t>
      </w:r>
      <w:r>
        <w:rPr>
          <w:rStyle w:val="hlfld-contribauthor"/>
          <w:rFonts w:ascii="Times New Roman" w:hAnsi="Times New Roman"/>
          <w:b/>
          <w:bCs/>
          <w:i/>
          <w:iCs/>
          <w:sz w:val="24"/>
          <w:szCs w:val="24"/>
        </w:rPr>
        <w:t>Value of poster presentations to all conference participants</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The two dominant sub-themes emerging from students presenting posters were the development of skills and gaining critical feedback with a view to self-improvement.</w:t>
      </w:r>
    </w:p>
    <w:p w:rsidR="00964AB0" w:rsidRDefault="009259F5">
      <w:pPr>
        <w:pStyle w:val="BodyA"/>
        <w:spacing w:line="360" w:lineRule="auto"/>
        <w:rPr>
          <w:rStyle w:val="hlfld-contribauthor"/>
          <w:rFonts w:ascii="Times New Roman" w:eastAsia="Times New Roman" w:hAnsi="Times New Roman" w:cs="Times New Roman"/>
          <w:i/>
          <w:iCs/>
          <w:sz w:val="24"/>
          <w:szCs w:val="24"/>
        </w:rPr>
      </w:pPr>
      <w:proofErr w:type="spellStart"/>
      <w:r>
        <w:rPr>
          <w:rStyle w:val="hlfld-contribauthor"/>
          <w:rFonts w:ascii="Times New Roman" w:hAnsi="Times New Roman"/>
          <w:i/>
          <w:iCs/>
          <w:sz w:val="24"/>
          <w:szCs w:val="24"/>
        </w:rPr>
        <w:t>i</w:t>
      </w:r>
      <w:proofErr w:type="spellEnd"/>
      <w:r>
        <w:rPr>
          <w:rStyle w:val="hlfld-contribauthor"/>
          <w:rFonts w:ascii="Times New Roman" w:hAnsi="Times New Roman"/>
          <w:i/>
          <w:iCs/>
          <w:sz w:val="24"/>
          <w:szCs w:val="24"/>
        </w:rPr>
        <w:t xml:space="preserve">. The development of skills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Students found it a challenging and productive exercise to refocus their research findings in concise poster format:</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lastRenderedPageBreak/>
        <w:t>‘Being concise, yeah, I consistently have a problem with being concise and I think making a poster really can help you on that side of things.  It’s important to know how to be concise with what you’re trying to say, so it’s been good practice for that definitely, yeah.’</w:t>
      </w:r>
    </w:p>
    <w:p w:rsidR="00964AB0" w:rsidRDefault="009259F5">
      <w:pPr>
        <w:pStyle w:val="BodyA"/>
        <w:spacing w:line="360" w:lineRule="auto"/>
        <w:ind w:right="23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More specifically, students mentioned the need to think about selecting the most important elements of their research, ensuring the finished product was understandable and engaging for the ‘layman’. This re-thinking was evident when presenting the poster, where authors discussed their research and responded to questions:</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‘I understand something when people come and ask me lots of questions about it and then I have to re-explain it. I find it really clarifies things in my own head - it’s one of the ways I learn best’</w:t>
      </w:r>
      <w:r>
        <w:t xml:space="preserve"> </w:t>
      </w:r>
    </w:p>
    <w:p w:rsidR="00964AB0" w:rsidRDefault="009259F5" w:rsidP="004B608B">
      <w:pPr>
        <w:pStyle w:val="BodyA"/>
        <w:spacing w:line="360" w:lineRule="auto"/>
        <w:ind w:right="23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Students talked about these sessions helping to build up their confidence to communicate their research findings, enhancing their employability skills, and revealing previously </w:t>
      </w:r>
      <w:proofErr w:type="spellStart"/>
      <w:r>
        <w:rPr>
          <w:rStyle w:val="hlfld-contribauthor"/>
          <w:rFonts w:ascii="Times New Roman" w:hAnsi="Times New Roman"/>
          <w:sz w:val="24"/>
          <w:szCs w:val="24"/>
        </w:rPr>
        <w:t>unrecognised</w:t>
      </w:r>
      <w:proofErr w:type="spellEnd"/>
      <w:r>
        <w:rPr>
          <w:rStyle w:val="hlfld-contribauthor"/>
          <w:rFonts w:ascii="Times New Roman" w:hAnsi="Times New Roman"/>
          <w:sz w:val="24"/>
          <w:szCs w:val="24"/>
        </w:rPr>
        <w:t xml:space="preserve"> opportunities for collaboration between disciplines as a result of discussions with fellow participants. </w:t>
      </w:r>
    </w:p>
    <w:p w:rsidR="00964AB0" w:rsidRDefault="009259F5">
      <w:pPr>
        <w:pStyle w:val="BodyA"/>
        <w:spacing w:line="360" w:lineRule="auto"/>
        <w:rPr>
          <w:rStyle w:val="hlfld-contribauthor"/>
          <w:rFonts w:ascii="Times New Roman" w:eastAsia="Times New Roman" w:hAnsi="Times New Roman" w:cs="Times New Roman"/>
          <w:i/>
          <w:iCs/>
          <w:sz w:val="24"/>
          <w:szCs w:val="24"/>
        </w:rPr>
      </w:pPr>
      <w:r>
        <w:rPr>
          <w:rStyle w:val="hlfld-contribauthor"/>
          <w:rFonts w:ascii="Times New Roman" w:hAnsi="Times New Roman"/>
          <w:i/>
          <w:iCs/>
          <w:sz w:val="24"/>
          <w:szCs w:val="24"/>
        </w:rPr>
        <w:t xml:space="preserve">ii. The gaining of critical feedback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A number of students were actively seeking critical feedback as a personal objective of attendance at the conferences, using the experience to get suggestions for improving their research work and for self-improvement:</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‘I wanted to get real feedback, like critical feedback. I mean it’s something I want to do with my life so I would like to know how to become better and how to be a professional.’</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The multidisciplinary nature of the conferences did not prohibit presenters from asking each other challenging questions, negating frequently expressed concerns that their own research might not be of wider interest. Some students found unexpected gains with respect to their approach to research, for example being introduced to new methodologies and different applications of known methods:</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w:t>
      </w:r>
      <w:r>
        <w:t xml:space="preserve"> </w:t>
      </w:r>
      <w:proofErr w:type="gramStart"/>
      <w:r>
        <w:rPr>
          <w:rStyle w:val="hlfld-contribauthor"/>
          <w:rFonts w:ascii="Times New Roman" w:hAnsi="Times New Roman"/>
        </w:rPr>
        <w:t>being</w:t>
      </w:r>
      <w:proofErr w:type="gramEnd"/>
      <w:r>
        <w:rPr>
          <w:rStyle w:val="hlfld-contribauthor"/>
          <w:rFonts w:ascii="Times New Roman" w:hAnsi="Times New Roman"/>
        </w:rPr>
        <w:t xml:space="preserve"> asked different ways about my methodology, for example, has influenced what my methodology’s going to be for my next research project.’</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Receiving critical feedback prepares researchers for the peer review processes associated with publication, technical academic conference submissions and report writing. Overall, students respected and welcomed this developmental aspect.</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lastRenderedPageBreak/>
        <w:t xml:space="preserve">A few students indicated the experience was influencing their dissertation work. Their conversations had provided further practical ideas for additional experiments, highlighted the broader significance of results, and indicated ways to discuss results in final reports. </w:t>
      </w:r>
    </w:p>
    <w:p w:rsidR="00964AB0" w:rsidRDefault="009259F5">
      <w:pPr>
        <w:pStyle w:val="BodyA"/>
        <w:spacing w:line="360" w:lineRule="auto"/>
        <w:rPr>
          <w:rStyle w:val="hlfld-contribauthor"/>
          <w:rFonts w:ascii="Times New Roman" w:eastAsia="Times New Roman" w:hAnsi="Times New Roman" w:cs="Times New Roman"/>
          <w:b/>
          <w:bCs/>
          <w:i/>
          <w:iCs/>
          <w:sz w:val="24"/>
          <w:szCs w:val="24"/>
        </w:rPr>
      </w:pPr>
      <w:r>
        <w:rPr>
          <w:rStyle w:val="hlfld-contribauthor"/>
          <w:rFonts w:ascii="Times New Roman" w:hAnsi="Times New Roman"/>
          <w:b/>
          <w:bCs/>
          <w:i/>
          <w:iCs/>
          <w:sz w:val="24"/>
          <w:szCs w:val="24"/>
        </w:rPr>
        <w:t>3. Value of the overall conference experience</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Of the three sub-themes that were thought to best capture the students’ overall conference experience, by far the most evident was the value placed on networking and interacting with peers and tutors.</w:t>
      </w:r>
    </w:p>
    <w:p w:rsidR="00964AB0" w:rsidRDefault="009259F5">
      <w:pPr>
        <w:pStyle w:val="BodyA"/>
        <w:spacing w:line="360" w:lineRule="auto"/>
        <w:rPr>
          <w:rStyle w:val="hlfld-contribauthor"/>
          <w:rFonts w:ascii="Times New Roman" w:eastAsia="Times New Roman" w:hAnsi="Times New Roman" w:cs="Times New Roman"/>
          <w:b/>
          <w:bCs/>
          <w:i/>
          <w:iCs/>
          <w:sz w:val="24"/>
          <w:szCs w:val="24"/>
        </w:rPr>
      </w:pPr>
      <w:proofErr w:type="spellStart"/>
      <w:r>
        <w:rPr>
          <w:rStyle w:val="hlfld-contribauthor"/>
          <w:rFonts w:ascii="Times New Roman" w:hAnsi="Times New Roman"/>
          <w:i/>
          <w:iCs/>
          <w:sz w:val="24"/>
          <w:szCs w:val="24"/>
        </w:rPr>
        <w:t>i</w:t>
      </w:r>
      <w:proofErr w:type="spellEnd"/>
      <w:r>
        <w:rPr>
          <w:rStyle w:val="hlfld-contribauthor"/>
          <w:rFonts w:ascii="Times New Roman" w:hAnsi="Times New Roman"/>
          <w:i/>
          <w:iCs/>
          <w:sz w:val="24"/>
          <w:szCs w:val="24"/>
        </w:rPr>
        <w:t xml:space="preserve">. Active networking events and social interactions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The student interviewees felt that networking generated a dynamic feel to the conferences, provided opportunities to be signposted to useful resources, raised new areas of potential research interest, developed interpersonal skills, and piqued interest by introducing individuals from different cultural backgrounds and nationalities to each other. Students were generally positive about networking, </w:t>
      </w:r>
      <w:proofErr w:type="spellStart"/>
      <w:r>
        <w:rPr>
          <w:rStyle w:val="hlfld-contribauthor"/>
          <w:rFonts w:ascii="Times New Roman" w:hAnsi="Times New Roman"/>
          <w:sz w:val="24"/>
          <w:szCs w:val="24"/>
        </w:rPr>
        <w:t>recognising</w:t>
      </w:r>
      <w:proofErr w:type="spellEnd"/>
      <w:r>
        <w:rPr>
          <w:rStyle w:val="hlfld-contribauthor"/>
          <w:rFonts w:ascii="Times New Roman" w:hAnsi="Times New Roman"/>
          <w:sz w:val="24"/>
          <w:szCs w:val="24"/>
        </w:rPr>
        <w:t xml:space="preserve"> that this aspect of the conferences set them apart from institutional discipline-based events.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Several students clearly wanted to target their networking effort and use the limited time available to converse with potential collaborators or individuals involved in similar academic disciplines:</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‘I really enjoy talking to people … so yesterday I met a guy who is from a sociological background, which is what I am going in to, so it was really nice to be able to talk to him …</w:t>
      </w:r>
      <w:r>
        <w:t xml:space="preserve"> </w:t>
      </w:r>
      <w:r>
        <w:rPr>
          <w:rStyle w:val="hlfld-contribauthor"/>
          <w:rFonts w:ascii="Times New Roman" w:hAnsi="Times New Roman"/>
        </w:rPr>
        <w:t>in a few years’</w:t>
      </w:r>
      <w:r>
        <w:t xml:space="preserve"> </w:t>
      </w:r>
      <w:r>
        <w:rPr>
          <w:rStyle w:val="hlfld-contribauthor"/>
          <w:rFonts w:ascii="Times New Roman" w:hAnsi="Times New Roman"/>
        </w:rPr>
        <w:t>time we could be, you know, potentially in the same sphere, so it’s good to be able to know how to effectively network and who to target, rather than just go and talk to everybody.  Because there are so many people here, it is important to know who the people are that you should really focus on.’</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Regarding the opening sessions designed to explain how conferences work, the different styles of poster and paper presentations, the importance and value of asking questions and of practicing networking skills, most students reported that the sessions helped them to </w:t>
      </w:r>
      <w:proofErr w:type="spellStart"/>
      <w:r>
        <w:rPr>
          <w:rStyle w:val="hlfld-contribauthor"/>
          <w:rFonts w:ascii="Times New Roman" w:hAnsi="Times New Roman"/>
          <w:sz w:val="24"/>
          <w:szCs w:val="24"/>
        </w:rPr>
        <w:t>realise</w:t>
      </w:r>
      <w:proofErr w:type="spellEnd"/>
      <w:r>
        <w:rPr>
          <w:rStyle w:val="hlfld-contribauthor"/>
          <w:rFonts w:ascii="Times New Roman" w:hAnsi="Times New Roman"/>
          <w:sz w:val="24"/>
          <w:szCs w:val="24"/>
        </w:rPr>
        <w:t xml:space="preserve"> the benefits of networking. More specifically, structured activities enabled students to share different learning experiences from people at different institutions, make contacts and develop skills of condensing research information into key headlines suitable for short rapid-fire exchanges:</w:t>
      </w:r>
    </w:p>
    <w:p w:rsidR="00964AB0" w:rsidRDefault="009259F5">
      <w:pPr>
        <w:pStyle w:val="BodyA"/>
        <w:spacing w:line="360" w:lineRule="auto"/>
        <w:ind w:left="284" w:right="237"/>
        <w:rPr>
          <w:rStyle w:val="hlfld-contribauthor"/>
          <w:rFonts w:ascii="Times New Roman" w:eastAsia="Times New Roman" w:hAnsi="Times New Roman" w:cs="Times New Roman"/>
        </w:rPr>
      </w:pPr>
      <w:r>
        <w:lastRenderedPageBreak/>
        <w:t xml:space="preserve"> </w:t>
      </w:r>
      <w:r>
        <w:rPr>
          <w:rStyle w:val="hlfld-contribauthor"/>
          <w:rFonts w:ascii="Times New Roman" w:hAnsi="Times New Roman"/>
        </w:rPr>
        <w:t>‘The focused discussion of networking and what it is to network and how to network …</w:t>
      </w:r>
      <w:r>
        <w:t xml:space="preserve"> </w:t>
      </w:r>
      <w:r>
        <w:rPr>
          <w:rStyle w:val="hlfld-contribauthor"/>
          <w:rFonts w:ascii="Times New Roman" w:hAnsi="Times New Roman"/>
        </w:rPr>
        <w:t>my confidence in approaching new groups of people and breaking into new people still needs work and so every step in that direction is a good step in terms of learning specific skills.’</w:t>
      </w:r>
    </w:p>
    <w:p w:rsidR="00964AB0" w:rsidRDefault="009259F5">
      <w:pPr>
        <w:pStyle w:val="BodyA"/>
        <w:spacing w:line="360" w:lineRule="auto"/>
        <w:rPr>
          <w:rStyle w:val="hlfld-contribauthor"/>
          <w:rFonts w:ascii="Times New Roman" w:eastAsia="Times New Roman" w:hAnsi="Times New Roman" w:cs="Times New Roman"/>
          <w:b/>
          <w:bCs/>
          <w:i/>
          <w:iCs/>
          <w:sz w:val="24"/>
          <w:szCs w:val="24"/>
        </w:rPr>
      </w:pPr>
      <w:r>
        <w:rPr>
          <w:rStyle w:val="hlfld-contribauthor"/>
          <w:rFonts w:ascii="Times New Roman" w:hAnsi="Times New Roman"/>
          <w:i/>
          <w:iCs/>
          <w:sz w:val="24"/>
          <w:szCs w:val="24"/>
        </w:rPr>
        <w:t xml:space="preserve">ii. Being part of a community of practice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Many students commented on the relaxed relationships between academic staff and students, and the lack of hierarchical relationships in discussions. Even when attendees were more familiar with the conference process, there were unforeseen outcomes:</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‘I’ve been to conferences as a presenter and as an attendee and so you see that side of things, but to hear the very different ways that these guys are thinking, sort of with the publishing, how to get your work out there and disseminate your work but from the point of view of the professional academic as opposed to the student was quite an interesting thing I wouldn’t have expected to have.’</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Students gained insights into professional academic life and saw the conferences as a ‘step up’</w:t>
      </w:r>
      <w:r>
        <w:rPr>
          <w:rStyle w:val="hlfld-contribauthor"/>
          <w:sz w:val="24"/>
          <w:szCs w:val="24"/>
        </w:rPr>
        <w:t xml:space="preserve"> </w:t>
      </w:r>
      <w:r>
        <w:rPr>
          <w:rStyle w:val="hlfld-contribauthor"/>
          <w:rFonts w:ascii="Times New Roman" w:hAnsi="Times New Roman"/>
          <w:sz w:val="24"/>
          <w:szCs w:val="24"/>
        </w:rPr>
        <w:t xml:space="preserve">to the next level of professionalism. For those with PhD places, attendance and presenting offered valuable training for the future.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These conferences helped build student confidence, which can sometimes be inhibited in mainstream academic discipline conferences:</w:t>
      </w:r>
    </w:p>
    <w:p w:rsidR="00964AB0" w:rsidRDefault="009259F5">
      <w:pPr>
        <w:pStyle w:val="BodyA"/>
        <w:spacing w:line="360" w:lineRule="auto"/>
        <w:ind w:left="284" w:right="237"/>
        <w:rPr>
          <w:rStyle w:val="hlfld-contribauthor"/>
          <w:rFonts w:ascii="Times New Roman" w:eastAsia="Times New Roman" w:hAnsi="Times New Roman" w:cs="Times New Roman"/>
        </w:rPr>
      </w:pPr>
      <w:r>
        <w:rPr>
          <w:rStyle w:val="hlfld-contribauthor"/>
          <w:rFonts w:ascii="Times New Roman" w:hAnsi="Times New Roman"/>
        </w:rPr>
        <w:t>‘It’s just that I feel more like an equal here, which makes me feel more confident rather than if I go to a normal conference and then they say what do you do and I say well I'm an undergraduate student and you know, I just feel less confident then. So that’s been really good to have that.’</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There was also a sense that attending BCUR was more prestigious than participating in HEI events, and therefore more likely to impress employers in academia and beyond.</w:t>
      </w:r>
    </w:p>
    <w:p w:rsidR="00964AB0" w:rsidRDefault="009259F5">
      <w:pPr>
        <w:pStyle w:val="BodyA"/>
        <w:spacing w:line="360" w:lineRule="auto"/>
        <w:rPr>
          <w:rStyle w:val="hlfld-contribauthor"/>
          <w:rFonts w:ascii="Times New Roman" w:eastAsia="Times New Roman" w:hAnsi="Times New Roman" w:cs="Times New Roman"/>
          <w:i/>
          <w:iCs/>
          <w:sz w:val="24"/>
          <w:szCs w:val="24"/>
        </w:rPr>
      </w:pPr>
      <w:r>
        <w:rPr>
          <w:rStyle w:val="hlfld-contribauthor"/>
          <w:rFonts w:ascii="Times New Roman" w:hAnsi="Times New Roman"/>
          <w:i/>
          <w:iCs/>
          <w:sz w:val="24"/>
          <w:szCs w:val="24"/>
        </w:rPr>
        <w:t xml:space="preserve">iii. Being in a supportive and encouraging environment </w:t>
      </w:r>
    </w:p>
    <w:p w:rsidR="00964AB0" w:rsidRDefault="009259F5">
      <w:pPr>
        <w:pStyle w:val="BodyA"/>
        <w:spacing w:line="360" w:lineRule="auto"/>
        <w:rPr>
          <w:rStyle w:val="hlfld-contribauthor"/>
          <w:rFonts w:ascii="Times New Roman" w:eastAsia="Times New Roman" w:hAnsi="Times New Roman" w:cs="Times New Roman"/>
          <w:sz w:val="24"/>
          <w:szCs w:val="24"/>
          <w:u w:color="FF0000"/>
        </w:rPr>
      </w:pPr>
      <w:r>
        <w:rPr>
          <w:rStyle w:val="hlfld-contribauthor"/>
          <w:rFonts w:ascii="Times New Roman" w:hAnsi="Times New Roman"/>
          <w:sz w:val="24"/>
          <w:szCs w:val="24"/>
        </w:rPr>
        <w:t>Some students voiced their appreciation of BCUR providing a supportive environment that enabled their confidence to grow and allowed them to ‘get a feel for academia’</w:t>
      </w:r>
      <w:r>
        <w:rPr>
          <w:rStyle w:val="hlfld-contribauthor"/>
          <w:sz w:val="24"/>
          <w:szCs w:val="24"/>
        </w:rPr>
        <w:t xml:space="preserve"> </w:t>
      </w:r>
      <w:r>
        <w:rPr>
          <w:rStyle w:val="hlfld-contribauthor"/>
          <w:rFonts w:ascii="Times New Roman" w:hAnsi="Times New Roman"/>
          <w:sz w:val="24"/>
          <w:szCs w:val="24"/>
        </w:rPr>
        <w:t>before they ventured into further research and participated in professional conferences.</w:t>
      </w:r>
    </w:p>
    <w:p w:rsidR="00964AB0" w:rsidRDefault="00964AB0">
      <w:pPr>
        <w:pStyle w:val="BodyA"/>
        <w:spacing w:line="360" w:lineRule="auto"/>
        <w:rPr>
          <w:rStyle w:val="hlfld-contribauthor"/>
          <w:rFonts w:ascii="Times New Roman" w:eastAsia="Times New Roman" w:hAnsi="Times New Roman" w:cs="Times New Roman"/>
          <w:b/>
          <w:bCs/>
          <w:sz w:val="24"/>
          <w:szCs w:val="24"/>
          <w:u w:color="FF0000"/>
        </w:rPr>
      </w:pPr>
    </w:p>
    <w:p w:rsidR="009A5961" w:rsidRDefault="009A5961">
      <w:pPr>
        <w:pStyle w:val="BodyA"/>
        <w:spacing w:line="360" w:lineRule="auto"/>
        <w:rPr>
          <w:rStyle w:val="hlfld-contribauthor"/>
          <w:rFonts w:ascii="Times New Roman" w:eastAsia="Times New Roman" w:hAnsi="Times New Roman" w:cs="Times New Roman"/>
          <w:b/>
          <w:bCs/>
          <w:sz w:val="24"/>
          <w:szCs w:val="24"/>
          <w:u w:color="FF0000"/>
        </w:rPr>
      </w:pPr>
    </w:p>
    <w:p w:rsidR="009A5961" w:rsidRDefault="009A5961">
      <w:pPr>
        <w:pStyle w:val="BodyA"/>
        <w:spacing w:line="360" w:lineRule="auto"/>
        <w:rPr>
          <w:rStyle w:val="hlfld-contribauthor"/>
          <w:rFonts w:ascii="Times New Roman" w:eastAsia="Times New Roman" w:hAnsi="Times New Roman" w:cs="Times New Roman"/>
          <w:b/>
          <w:bCs/>
          <w:sz w:val="24"/>
          <w:szCs w:val="24"/>
          <w:u w:color="FF0000"/>
        </w:rPr>
      </w:pPr>
    </w:p>
    <w:p w:rsidR="009A5961" w:rsidRDefault="009A5961" w:rsidP="009A5961">
      <w:pPr>
        <w:pStyle w:val="BodyA"/>
        <w:spacing w:line="360" w:lineRule="auto"/>
        <w:jc w:val="center"/>
        <w:rPr>
          <w:rFonts w:ascii="Times New Roman" w:hAnsi="Times New Roman" w:cs="Times New Roman"/>
          <w:b/>
          <w:bCs/>
          <w:color w:val="auto"/>
          <w:sz w:val="20"/>
          <w:szCs w:val="20"/>
        </w:rPr>
      </w:pPr>
      <w:r w:rsidRPr="002D1C81">
        <w:rPr>
          <w:noProof/>
          <w:color w:val="auto"/>
          <w:sz w:val="24"/>
          <w:szCs w:val="24"/>
          <w:lang w:val="en-GB" w:eastAsia="en-GB"/>
        </w:rPr>
        <w:drawing>
          <wp:inline distT="0" distB="0" distL="0" distR="0">
            <wp:extent cx="4983947" cy="497140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2" cstate="print">
                      <a:extLst/>
                    </a:blip>
                    <a:stretch>
                      <a:fillRect/>
                    </a:stretch>
                  </pic:blipFill>
                  <pic:spPr>
                    <a:xfrm>
                      <a:off x="0" y="0"/>
                      <a:ext cx="4983947" cy="4971403"/>
                    </a:xfrm>
                    <a:prstGeom prst="rect">
                      <a:avLst/>
                    </a:prstGeom>
                    <a:ln w="12700" cap="flat">
                      <a:noFill/>
                      <a:miter lim="400000"/>
                    </a:ln>
                    <a:effectLst/>
                  </pic:spPr>
                </pic:pic>
              </a:graphicData>
            </a:graphic>
          </wp:inline>
        </w:drawing>
      </w:r>
    </w:p>
    <w:p w:rsidR="009A5961" w:rsidRPr="00E8775C" w:rsidRDefault="009A5961" w:rsidP="009A5961">
      <w:pPr>
        <w:pStyle w:val="BodyA"/>
        <w:spacing w:line="360" w:lineRule="auto"/>
        <w:jc w:val="center"/>
        <w:rPr>
          <w:rFonts w:ascii="Times New Roman" w:hAnsi="Times New Roman" w:cs="Times New Roman"/>
          <w:b/>
          <w:bCs/>
          <w:color w:val="auto"/>
          <w:sz w:val="20"/>
          <w:szCs w:val="20"/>
        </w:rPr>
      </w:pPr>
      <w:r w:rsidRPr="00E8775C">
        <w:rPr>
          <w:rFonts w:ascii="Times New Roman" w:hAnsi="Times New Roman" w:cs="Times New Roman"/>
          <w:b/>
          <w:bCs/>
          <w:color w:val="auto"/>
          <w:sz w:val="20"/>
          <w:szCs w:val="20"/>
        </w:rPr>
        <w:t xml:space="preserve">Reproduced with </w:t>
      </w:r>
      <w:r>
        <w:rPr>
          <w:rFonts w:ascii="Times New Roman" w:hAnsi="Times New Roman" w:cs="Times New Roman"/>
          <w:b/>
          <w:bCs/>
          <w:color w:val="auto"/>
          <w:sz w:val="20"/>
          <w:szCs w:val="20"/>
        </w:rPr>
        <w:t xml:space="preserve">kind </w:t>
      </w:r>
      <w:r w:rsidRPr="00E8775C">
        <w:rPr>
          <w:rFonts w:ascii="Times New Roman" w:hAnsi="Times New Roman" w:cs="Times New Roman"/>
          <w:b/>
          <w:bCs/>
          <w:color w:val="auto"/>
          <w:sz w:val="20"/>
          <w:szCs w:val="20"/>
        </w:rPr>
        <w:t>permission by Vitae</w:t>
      </w:r>
    </w:p>
    <w:p w:rsidR="009A5961" w:rsidRPr="00E8775C" w:rsidRDefault="009A5961" w:rsidP="009A5961">
      <w:pPr>
        <w:pStyle w:val="Body"/>
        <w:jc w:val="center"/>
        <w:rPr>
          <w:b/>
          <w:bCs/>
          <w:color w:val="auto"/>
        </w:rPr>
      </w:pPr>
      <w:r w:rsidRPr="00E8775C">
        <w:rPr>
          <w:b/>
          <w:bCs/>
          <w:color w:val="auto"/>
        </w:rPr>
        <w:t>Figure 1: Vitae Researcher Development Framework domains and sub domains</w:t>
      </w:r>
    </w:p>
    <w:p w:rsidR="009A5961" w:rsidRPr="009A5961" w:rsidRDefault="009A5961" w:rsidP="009A5961">
      <w:pPr>
        <w:pStyle w:val="BodyA"/>
        <w:spacing w:line="360" w:lineRule="auto"/>
        <w:jc w:val="center"/>
        <w:rPr>
          <w:rStyle w:val="hlfld-contribauthor"/>
          <w:rFonts w:ascii="Times New Roman" w:eastAsia="Times New Roman" w:hAnsi="Times New Roman" w:cs="Times New Roman"/>
          <w:b/>
          <w:bCs/>
          <w:sz w:val="24"/>
          <w:szCs w:val="24"/>
          <w:u w:color="FF0000"/>
          <w:lang w:val="en-GB"/>
        </w:rPr>
      </w:pPr>
    </w:p>
    <w:p w:rsidR="00A0702B" w:rsidRPr="00A0702B" w:rsidRDefault="00A0702B" w:rsidP="00A0702B">
      <w:pPr>
        <w:pStyle w:val="BodyA"/>
        <w:widowControl w:val="0"/>
        <w:rPr>
          <w:rFonts w:ascii="Times New Roman" w:eastAsia="Times New Roman" w:hAnsi="Times New Roman" w:cs="Times New Roman"/>
          <w:b/>
          <w:bCs/>
          <w:sz w:val="24"/>
          <w:szCs w:val="24"/>
        </w:rPr>
      </w:pPr>
      <w:r w:rsidRPr="00A0702B">
        <w:rPr>
          <w:rFonts w:ascii="Times New Roman"/>
          <w:b/>
          <w:bCs/>
          <w:sz w:val="24"/>
          <w:szCs w:val="24"/>
        </w:rPr>
        <w:t xml:space="preserve">Table 2: Mapping of BCUR presenter interview data against the public engagement lens on the Vitae (2014) Researcher Development Framework </w:t>
      </w:r>
    </w:p>
    <w:tbl>
      <w:tblPr>
        <w:tblW w:w="91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68"/>
        <w:gridCol w:w="3118"/>
        <w:gridCol w:w="2835"/>
        <w:gridCol w:w="1559"/>
      </w:tblGrid>
      <w:tr w:rsidR="00A0702B" w:rsidTr="00D60A14">
        <w:trPr>
          <w:trHeight w:val="1112"/>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pPr>
            <w:r>
              <w:rPr>
                <w:rFonts w:ascii="Times New Roman"/>
                <w:b/>
                <w:bCs/>
                <w:sz w:val="20"/>
                <w:szCs w:val="20"/>
              </w:rPr>
              <w:t>Domain/Sub Domain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b/>
                <w:bCs/>
                <w:sz w:val="20"/>
                <w:szCs w:val="20"/>
              </w:rPr>
              <w:t>Lens Descriptor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1" w:type="dxa"/>
              <w:bottom w:w="80" w:type="dxa"/>
              <w:right w:w="80" w:type="dxa"/>
            </w:tcMar>
          </w:tcPr>
          <w:p w:rsidR="00A0702B" w:rsidRDefault="00A0702B" w:rsidP="00D60A14">
            <w:pPr>
              <w:pStyle w:val="BodyA"/>
              <w:spacing w:after="0" w:line="240" w:lineRule="auto"/>
              <w:ind w:left="231" w:hanging="231"/>
            </w:pPr>
            <w:r>
              <w:rPr>
                <w:rFonts w:ascii="Times New Roman"/>
                <w:b/>
                <w:bCs/>
                <w:sz w:val="20"/>
                <w:szCs w:val="20"/>
              </w:rPr>
              <w:t>Core Skill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b/>
                <w:bCs/>
                <w:sz w:val="20"/>
                <w:szCs w:val="20"/>
              </w:rPr>
              <w:t xml:space="preserve">Evidenced from BCUR Data   </w:t>
            </w:r>
            <w:r>
              <w:rPr>
                <w:rFonts w:ascii="Times New Roman"/>
                <w:b/>
                <w:bCs/>
                <w:sz w:val="24"/>
                <w:szCs w:val="24"/>
              </w:rPr>
              <w:t>(</w:t>
            </w:r>
            <w:r>
              <w:rPr>
                <w:rFonts w:ascii="MS Mincho" w:eastAsia="MS Mincho" w:hAnsi="MS Mincho" w:cs="MS Mincho"/>
                <w:sz w:val="20"/>
                <w:szCs w:val="20"/>
              </w:rPr>
              <w:t>✓</w:t>
            </w:r>
            <w:r>
              <w:rPr>
                <w:rFonts w:ascii="Times New Roman"/>
                <w:sz w:val="20"/>
                <w:szCs w:val="20"/>
              </w:rPr>
              <w:t xml:space="preserve"> X</w:t>
            </w:r>
            <w:r>
              <w:rPr>
                <w:rFonts w:ascii="Times New Roman"/>
                <w:sz w:val="24"/>
                <w:szCs w:val="24"/>
              </w:rPr>
              <w:t>)</w:t>
            </w:r>
            <w:r>
              <w:rPr>
                <w:rFonts w:ascii="Times New Roman"/>
                <w:sz w:val="20"/>
                <w:szCs w:val="20"/>
              </w:rPr>
              <w:t xml:space="preserve"> and s</w:t>
            </w:r>
            <w:r>
              <w:rPr>
                <w:rFonts w:ascii="Times New Roman"/>
                <w:b/>
                <w:bCs/>
                <w:sz w:val="20"/>
                <w:szCs w:val="20"/>
              </w:rPr>
              <w:t>trength of skill</w:t>
            </w:r>
          </w:p>
        </w:tc>
      </w:tr>
      <w:tr w:rsidR="00A0702B" w:rsidTr="00D60A14">
        <w:trPr>
          <w:trHeight w:val="89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b/>
                <w:bCs/>
                <w:sz w:val="20"/>
                <w:szCs w:val="20"/>
              </w:rPr>
              <w:t xml:space="preserve">Domain A: </w:t>
            </w:r>
            <w:r>
              <w:rPr>
                <w:rFonts w:ascii="Times New Roman"/>
                <w:sz w:val="20"/>
                <w:szCs w:val="20"/>
              </w:rPr>
              <w:t>Knowledge and intellectual abilities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r>
      <w:tr w:rsidR="00A0702B" w:rsidTr="00D60A14">
        <w:trPr>
          <w:trHeight w:val="1854"/>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rPr>
                <w:rFonts w:ascii="Times New Roman" w:eastAsia="Times New Roman" w:hAnsi="Times New Roman" w:cs="Times New Roman"/>
                <w:sz w:val="20"/>
                <w:szCs w:val="20"/>
              </w:rPr>
            </w:pPr>
            <w:r>
              <w:rPr>
                <w:rFonts w:ascii="Times New Roman"/>
                <w:sz w:val="20"/>
                <w:szCs w:val="20"/>
              </w:rPr>
              <w:lastRenderedPageBreak/>
              <w:t>A1: Knowledge base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ListParagraph"/>
              <w:spacing w:after="0" w:line="240" w:lineRule="auto"/>
              <w:ind w:left="0"/>
            </w:pPr>
            <w:r>
              <w:rPr>
                <w:rFonts w:ascii="Times New Roman"/>
                <w:sz w:val="20"/>
                <w:szCs w:val="20"/>
              </w:rPr>
              <w:t>Engaging with the public can be used to elicit insights, knowledge and expertise from the public to inform research and better understand the relevance of research to society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29"/>
              </w:numPr>
              <w:spacing w:after="0" w:line="240" w:lineRule="auto"/>
              <w:ind w:left="254" w:hanging="254"/>
              <w:rPr>
                <w:rFonts w:ascii="Times New Roman" w:eastAsia="Times New Roman" w:hAnsi="Times New Roman" w:cs="Times New Roman"/>
              </w:rPr>
            </w:pPr>
            <w:r>
              <w:rPr>
                <w:rFonts w:ascii="Times New Roman"/>
                <w:sz w:val="20"/>
                <w:szCs w:val="20"/>
              </w:rPr>
              <w:t>Can provide an overview of their area of expertise; has a secure knowledge and understanding of the topic they are engaging about</w:t>
            </w:r>
          </w:p>
          <w:p w:rsidR="00A0702B" w:rsidRDefault="00A0702B" w:rsidP="00F4762B">
            <w:pPr>
              <w:pStyle w:val="ListParagraph"/>
              <w:numPr>
                <w:ilvl w:val="0"/>
                <w:numId w:val="30"/>
              </w:numPr>
              <w:spacing w:after="0" w:line="240" w:lineRule="auto"/>
              <w:ind w:left="254" w:hanging="254"/>
              <w:rPr>
                <w:rFonts w:ascii="Times New Roman" w:eastAsia="Times New Roman" w:hAnsi="Times New Roman" w:cs="Times New Roman"/>
              </w:rPr>
            </w:pPr>
            <w:r>
              <w:rPr>
                <w:rFonts w:ascii="Times New Roman"/>
                <w:sz w:val="20"/>
                <w:szCs w:val="20"/>
              </w:rPr>
              <w:t xml:space="preserve">Is willing to incorporate new views into their own understanding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20"/>
                <w:szCs w:val="20"/>
                <w:u w:color="548DD4"/>
              </w:rPr>
            </w:pPr>
          </w:p>
          <w:p w:rsidR="00A0702B" w:rsidRDefault="00A0702B" w:rsidP="00D60A14">
            <w:pPr>
              <w:pStyle w:val="BodyA"/>
              <w:spacing w:after="0" w:line="240" w:lineRule="auto"/>
              <w:jc w:val="center"/>
              <w:rPr>
                <w:rFonts w:ascii="Times New Roman" w:eastAsia="Times New Roman" w:hAnsi="Times New Roman" w:cs="Times New Roman"/>
                <w:sz w:val="20"/>
                <w:szCs w:val="20"/>
                <w:u w:color="548DD4"/>
              </w:rPr>
            </w:pPr>
          </w:p>
          <w:p w:rsidR="00A0702B" w:rsidRDefault="00A0702B" w:rsidP="00D60A14">
            <w:pPr>
              <w:pStyle w:val="BodyA"/>
              <w:spacing w:after="0" w:line="240" w:lineRule="auto"/>
              <w:rPr>
                <w:rFonts w:ascii="Times New Roman" w:eastAsia="Times New Roman" w:hAnsi="Times New Roman" w:cs="Times New Roman"/>
                <w:sz w:val="32"/>
                <w:szCs w:val="32"/>
              </w:rPr>
            </w:pPr>
            <w:r>
              <w:rPr>
                <w:rFonts w:ascii="MS Mincho" w:eastAsia="MS Mincho" w:hAnsi="MS Mincho" w:cs="MS Mincho"/>
                <w:sz w:val="32"/>
                <w:szCs w:val="32"/>
              </w:rPr>
              <w:t xml:space="preserve">  ✓</w:t>
            </w:r>
            <w:r>
              <w:rPr>
                <w:rFonts w:ascii="Times New Roman"/>
                <w:sz w:val="20"/>
                <w:szCs w:val="20"/>
              </w:rPr>
              <w:t xml:space="preserve"> High</w:t>
            </w: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pPr>
            <w:r>
              <w:rPr>
                <w:rFonts w:ascii="MS Mincho" w:eastAsia="MS Mincho" w:hAnsi="MS Mincho" w:cs="MS Mincho"/>
                <w:sz w:val="32"/>
                <w:szCs w:val="32"/>
              </w:rPr>
              <w:t>✓</w:t>
            </w:r>
            <w:r>
              <w:rPr>
                <w:rFonts w:ascii="Times New Roman"/>
                <w:sz w:val="20"/>
                <w:szCs w:val="20"/>
              </w:rPr>
              <w:t xml:space="preserve"> High</w:t>
            </w:r>
          </w:p>
        </w:tc>
      </w:tr>
      <w:tr w:rsidR="00A0702B" w:rsidTr="00D60A14">
        <w:trPr>
          <w:trHeight w:val="1940"/>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A2: Cognitive abilities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Collaborative working with the public can bring new insights to solve problems and approach research from a new perspective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31"/>
              </w:numPr>
              <w:ind w:left="254" w:hanging="254"/>
              <w:rPr>
                <w:rFonts w:ascii="Times New Roman" w:eastAsia="Times New Roman" w:hAnsi="Times New Roman" w:cs="Times New Roman"/>
              </w:rPr>
            </w:pPr>
            <w:r>
              <w:rPr>
                <w:rFonts w:ascii="Times New Roman"/>
                <w:sz w:val="20"/>
                <w:szCs w:val="20"/>
              </w:rPr>
              <w:t>Uses feedback mechanisms that are accessible to the public they are working with; gathers feedback on activities; is open to constructive feedback; is prepared to be disagreed with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pPr>
            <w:r>
              <w:rPr>
                <w:rFonts w:ascii="MS Mincho" w:eastAsia="MS Mincho" w:hAnsi="MS Mincho" w:cs="MS Mincho"/>
                <w:sz w:val="32"/>
                <w:szCs w:val="32"/>
              </w:rPr>
              <w:t>✓</w:t>
            </w:r>
            <w:r>
              <w:rPr>
                <w:rFonts w:ascii="Times New Roman"/>
                <w:sz w:val="20"/>
                <w:szCs w:val="20"/>
              </w:rPr>
              <w:t xml:space="preserve"> High-Med</w:t>
            </w:r>
          </w:p>
        </w:tc>
      </w:tr>
      <w:tr w:rsidR="00A0702B" w:rsidTr="00D60A14">
        <w:trPr>
          <w:trHeight w:val="199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A3: Creativity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ListParagraph"/>
              <w:spacing w:after="0" w:line="240" w:lineRule="auto"/>
              <w:ind w:left="0"/>
            </w:pPr>
            <w:r>
              <w:rPr>
                <w:rFonts w:ascii="Times New Roman"/>
                <w:sz w:val="20"/>
                <w:szCs w:val="20"/>
              </w:rPr>
              <w:t>Understanding and being able to respond to the publics</w:t>
            </w:r>
            <w:r>
              <w:rPr>
                <w:rFonts w:hAnsi="Times New Roman"/>
                <w:sz w:val="20"/>
                <w:szCs w:val="20"/>
              </w:rPr>
              <w:t>’</w:t>
            </w:r>
            <w:r>
              <w:rPr>
                <w:rFonts w:hAnsi="Times New Roman"/>
                <w:sz w:val="20"/>
                <w:szCs w:val="20"/>
              </w:rPr>
              <w:t xml:space="preserve"> </w:t>
            </w:r>
            <w:r>
              <w:rPr>
                <w:rFonts w:ascii="Times New Roman"/>
                <w:sz w:val="20"/>
                <w:szCs w:val="20"/>
              </w:rPr>
              <w:t>views of research requires an inquiring mind and being open to new sources of ideas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32"/>
              </w:numPr>
              <w:spacing w:after="0" w:line="240" w:lineRule="auto"/>
              <w:ind w:left="254" w:hanging="254"/>
              <w:rPr>
                <w:rFonts w:ascii="Times New Roman" w:eastAsia="Times New Roman" w:hAnsi="Times New Roman" w:cs="Times New Roman"/>
              </w:rPr>
            </w:pPr>
            <w:r>
              <w:rPr>
                <w:rFonts w:ascii="Times New Roman"/>
                <w:sz w:val="20"/>
                <w:szCs w:val="20"/>
              </w:rPr>
              <w:t xml:space="preserve">Is willing to provide supporting information; can answer related questions; can elicit and answer audience questions </w:t>
            </w:r>
          </w:p>
          <w:p w:rsidR="00A0702B" w:rsidRDefault="00A0702B" w:rsidP="00F4762B">
            <w:pPr>
              <w:pStyle w:val="ListParagraph"/>
              <w:numPr>
                <w:ilvl w:val="0"/>
                <w:numId w:val="33"/>
              </w:numPr>
              <w:spacing w:after="0" w:line="240" w:lineRule="auto"/>
              <w:ind w:left="254" w:hanging="254"/>
              <w:rPr>
                <w:rFonts w:ascii="Times New Roman" w:eastAsia="Times New Roman" w:hAnsi="Times New Roman" w:cs="Times New Roman"/>
              </w:rPr>
            </w:pPr>
            <w:r>
              <w:rPr>
                <w:rFonts w:ascii="Times New Roman"/>
                <w:sz w:val="20"/>
                <w:szCs w:val="20"/>
              </w:rPr>
              <w:t>Is open to new ways of working; is willing to consider differing views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20"/>
                <w:szCs w:val="20"/>
              </w:rPr>
            </w:pPr>
            <w:r>
              <w:rPr>
                <w:rFonts w:ascii="MS Mincho" w:eastAsia="MS Mincho" w:hAnsi="MS Mincho" w:cs="MS Mincho"/>
                <w:sz w:val="32"/>
                <w:szCs w:val="32"/>
              </w:rPr>
              <w:t>✓</w:t>
            </w:r>
            <w:r>
              <w:rPr>
                <w:rFonts w:ascii="Times New Roman"/>
                <w:sz w:val="20"/>
                <w:szCs w:val="20"/>
              </w:rPr>
              <w:t xml:space="preserve"> High-Med</w:t>
            </w: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pPr>
            <w:r>
              <w:rPr>
                <w:rFonts w:ascii="MS Mincho" w:eastAsia="MS Mincho" w:hAnsi="MS Mincho" w:cs="MS Mincho"/>
                <w:sz w:val="32"/>
                <w:szCs w:val="32"/>
              </w:rPr>
              <w:t>✓</w:t>
            </w:r>
            <w:r>
              <w:rPr>
                <w:rFonts w:ascii="Times New Roman"/>
                <w:sz w:val="20"/>
                <w:szCs w:val="20"/>
              </w:rPr>
              <w:t xml:space="preserve">   Med</w:t>
            </w:r>
          </w:p>
        </w:tc>
      </w:tr>
      <w:tr w:rsidR="00A0702B" w:rsidTr="00D60A14">
        <w:trPr>
          <w:trHeight w:val="67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b/>
                <w:bCs/>
                <w:sz w:val="20"/>
                <w:szCs w:val="20"/>
              </w:rPr>
              <w:t>Domain B</w:t>
            </w:r>
            <w:r>
              <w:rPr>
                <w:rFonts w:ascii="Times New Roman"/>
                <w:sz w:val="20"/>
                <w:szCs w:val="20"/>
              </w:rPr>
              <w:t>: Personal effectiveness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r>
      <w:tr w:rsidR="00A0702B" w:rsidTr="00D60A14">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B1: Personal qualities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ListParagraph"/>
              <w:spacing w:after="0" w:line="240" w:lineRule="auto"/>
              <w:ind w:left="0"/>
              <w:rPr>
                <w:rFonts w:ascii="Times New Roman" w:eastAsia="Times New Roman" w:hAnsi="Times New Roman" w:cs="Times New Roman"/>
                <w:sz w:val="20"/>
                <w:szCs w:val="20"/>
              </w:rPr>
            </w:pPr>
            <w:r>
              <w:rPr>
                <w:rFonts w:ascii="Times New Roman"/>
                <w:sz w:val="20"/>
                <w:szCs w:val="20"/>
              </w:rPr>
              <w:t>Engaged researchers report that the public</w:t>
            </w:r>
            <w:r>
              <w:rPr>
                <w:rFonts w:hAnsi="Times New Roman"/>
                <w:sz w:val="20"/>
                <w:szCs w:val="20"/>
              </w:rPr>
              <w:t>’</w:t>
            </w:r>
            <w:r>
              <w:rPr>
                <w:rFonts w:ascii="Times New Roman"/>
                <w:sz w:val="20"/>
                <w:szCs w:val="20"/>
              </w:rPr>
              <w:t xml:space="preserve">s interest in their research reignites their enthusiasm and passion for their research area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34"/>
              </w:numPr>
              <w:spacing w:after="0" w:line="240" w:lineRule="auto"/>
              <w:ind w:left="254" w:hanging="254"/>
              <w:rPr>
                <w:rFonts w:ascii="Times New Roman" w:eastAsia="Times New Roman" w:hAnsi="Times New Roman" w:cs="Times New Roman"/>
              </w:rPr>
            </w:pPr>
            <w:r>
              <w:rPr>
                <w:rFonts w:ascii="Times New Roman"/>
                <w:sz w:val="20"/>
                <w:szCs w:val="20"/>
              </w:rPr>
              <w:t xml:space="preserve">Reflects on their practice and tries to learn from their experience; shows evidence of learning; is able to </w:t>
            </w:r>
            <w:proofErr w:type="spellStart"/>
            <w:r>
              <w:rPr>
                <w:rFonts w:ascii="Times New Roman"/>
                <w:sz w:val="20"/>
                <w:szCs w:val="20"/>
              </w:rPr>
              <w:t>recognise</w:t>
            </w:r>
            <w:proofErr w:type="spellEnd"/>
            <w:r>
              <w:rPr>
                <w:rFonts w:ascii="Times New Roman"/>
                <w:sz w:val="20"/>
                <w:szCs w:val="20"/>
              </w:rPr>
              <w:t xml:space="preserve"> when professional help is needed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pPr>
            <w:r>
              <w:rPr>
                <w:rFonts w:ascii="MS Mincho" w:eastAsia="MS Mincho" w:hAnsi="MS Mincho" w:cs="MS Mincho"/>
                <w:sz w:val="32"/>
                <w:szCs w:val="32"/>
              </w:rPr>
              <w:t>✓</w:t>
            </w:r>
            <w:r>
              <w:rPr>
                <w:rFonts w:ascii="Times New Roman"/>
                <w:sz w:val="20"/>
                <w:szCs w:val="20"/>
              </w:rPr>
              <w:t xml:space="preserve"> Low</w:t>
            </w:r>
          </w:p>
        </w:tc>
      </w:tr>
      <w:tr w:rsidR="00A0702B" w:rsidTr="00D60A14">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B2: Self-management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 xml:space="preserve">Public engagement can provide an opportunity to apply and develop skills in running projects, which can develop skills such as time management, preparation and </w:t>
            </w:r>
            <w:proofErr w:type="spellStart"/>
            <w:r>
              <w:rPr>
                <w:rFonts w:ascii="Times New Roman"/>
                <w:sz w:val="20"/>
                <w:szCs w:val="20"/>
              </w:rPr>
              <w:t>prioritisation</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1" w:type="dxa"/>
              <w:bottom w:w="80" w:type="dxa"/>
              <w:right w:w="80" w:type="dxa"/>
            </w:tcMar>
          </w:tcPr>
          <w:p w:rsidR="00A0702B" w:rsidRDefault="00A0702B" w:rsidP="00D60A14">
            <w:pPr>
              <w:pStyle w:val="BodyA"/>
              <w:spacing w:after="0" w:line="240" w:lineRule="auto"/>
              <w:ind w:left="231" w:hanging="231"/>
            </w:pPr>
            <w:r>
              <w:rPr>
                <w:rFonts w:ascii="Times New Roman"/>
                <w:sz w:val="20"/>
                <w:szCs w:val="20"/>
              </w:rPr>
              <w:t>None specified (advanced skills only)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pPr>
            <w:r>
              <w:rPr>
                <w:rFonts w:ascii="MS Mincho" w:eastAsia="MS Mincho" w:hAnsi="MS Mincho" w:cs="MS Mincho"/>
                <w:sz w:val="32"/>
                <w:szCs w:val="32"/>
              </w:rPr>
              <w:t>✓</w:t>
            </w:r>
            <w:r>
              <w:rPr>
                <w:rFonts w:ascii="Times New Roman"/>
                <w:sz w:val="20"/>
                <w:szCs w:val="20"/>
              </w:rPr>
              <w:t xml:space="preserve"> Low</w:t>
            </w:r>
          </w:p>
        </w:tc>
      </w:tr>
      <w:tr w:rsidR="00A0702B" w:rsidTr="00D60A14">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B3: Professional and career development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Public engagement can raise researchers</w:t>
            </w:r>
            <w:r>
              <w:rPr>
                <w:rFonts w:hAnsi="Times New Roman"/>
                <w:sz w:val="20"/>
                <w:szCs w:val="20"/>
              </w:rPr>
              <w:t>’</w:t>
            </w:r>
            <w:r>
              <w:rPr>
                <w:rFonts w:hAnsi="Times New Roman"/>
                <w:sz w:val="20"/>
                <w:szCs w:val="20"/>
              </w:rPr>
              <w:t xml:space="preserve"> </w:t>
            </w:r>
            <w:r>
              <w:rPr>
                <w:rFonts w:ascii="Times New Roman"/>
                <w:sz w:val="20"/>
                <w:szCs w:val="20"/>
              </w:rPr>
              <w:t>profiles, enhance their reputation, build networks and relationships, and develop skills that enhance their employability both within and outside academia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1" w:type="dxa"/>
              <w:bottom w:w="80" w:type="dxa"/>
              <w:right w:w="80" w:type="dxa"/>
            </w:tcMar>
          </w:tcPr>
          <w:p w:rsidR="00A0702B" w:rsidRDefault="00A0702B" w:rsidP="00D60A14">
            <w:pPr>
              <w:pStyle w:val="BodyA"/>
              <w:spacing w:after="0" w:line="240" w:lineRule="auto"/>
              <w:ind w:left="231" w:hanging="231"/>
            </w:pPr>
            <w:r>
              <w:rPr>
                <w:rFonts w:ascii="Times New Roman"/>
                <w:sz w:val="20"/>
                <w:szCs w:val="20"/>
              </w:rPr>
              <w:t>None specified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pPr>
            <w:r>
              <w:rPr>
                <w:rFonts w:ascii="MS Mincho" w:eastAsia="MS Mincho" w:hAnsi="MS Mincho" w:cs="MS Mincho"/>
                <w:sz w:val="32"/>
                <w:szCs w:val="32"/>
              </w:rPr>
              <w:t>✓</w:t>
            </w:r>
            <w:r>
              <w:rPr>
                <w:rFonts w:ascii="Times New Roman"/>
                <w:sz w:val="20"/>
                <w:szCs w:val="20"/>
              </w:rPr>
              <w:t xml:space="preserve"> High</w:t>
            </w:r>
          </w:p>
        </w:tc>
      </w:tr>
      <w:tr w:rsidR="00A0702B" w:rsidTr="00D60A14">
        <w:trPr>
          <w:trHeight w:val="89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b/>
                <w:bCs/>
                <w:sz w:val="20"/>
                <w:szCs w:val="20"/>
              </w:rPr>
              <w:t>Domain C:</w:t>
            </w:r>
            <w:r>
              <w:rPr>
                <w:rFonts w:ascii="Times New Roman"/>
                <w:sz w:val="20"/>
                <w:szCs w:val="20"/>
              </w:rPr>
              <w:t xml:space="preserve"> Research governance and </w:t>
            </w:r>
            <w:proofErr w:type="spellStart"/>
            <w:r>
              <w:rPr>
                <w:rFonts w:ascii="Times New Roman"/>
                <w:sz w:val="20"/>
                <w:szCs w:val="20"/>
              </w:rPr>
              <w:t>organisation</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r>
      <w:tr w:rsidR="00A0702B" w:rsidTr="00D60A14">
        <w:trPr>
          <w:trHeight w:val="1211"/>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lastRenderedPageBreak/>
              <w:t>C1: Professional conduct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Engagement projects develop skills of empathy, listening, communication and respect for others.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35"/>
              </w:numPr>
              <w:spacing w:after="0" w:line="240" w:lineRule="auto"/>
              <w:ind w:left="254" w:hanging="254"/>
              <w:rPr>
                <w:rFonts w:ascii="Times New Roman" w:eastAsia="Times New Roman" w:hAnsi="Times New Roman" w:cs="Times New Roman"/>
              </w:rPr>
            </w:pPr>
            <w:r>
              <w:rPr>
                <w:rFonts w:ascii="Times New Roman"/>
                <w:sz w:val="20"/>
                <w:szCs w:val="20"/>
              </w:rPr>
              <w:t xml:space="preserve">Operates in a professional manner at all times </w:t>
            </w:r>
          </w:p>
          <w:p w:rsidR="00A0702B" w:rsidRDefault="00A0702B" w:rsidP="00F4762B">
            <w:pPr>
              <w:pStyle w:val="ListParagraph"/>
              <w:numPr>
                <w:ilvl w:val="0"/>
                <w:numId w:val="36"/>
              </w:numPr>
              <w:spacing w:after="0" w:line="240" w:lineRule="auto"/>
              <w:ind w:left="254" w:hanging="254"/>
              <w:rPr>
                <w:rFonts w:ascii="Times New Roman" w:eastAsia="Times New Roman" w:hAnsi="Times New Roman" w:cs="Times New Roman"/>
              </w:rPr>
            </w:pPr>
            <w:r>
              <w:rPr>
                <w:rFonts w:ascii="Times New Roman"/>
                <w:sz w:val="20"/>
                <w:szCs w:val="20"/>
              </w:rPr>
              <w:t xml:space="preserve">Identifies social, political and ethical issues of relevance to particular audiences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20"/>
                <w:szCs w:val="20"/>
              </w:rPr>
            </w:pPr>
            <w:r>
              <w:rPr>
                <w:rFonts w:ascii="MS Mincho" w:eastAsia="MS Mincho" w:hAnsi="MS Mincho" w:cs="MS Mincho"/>
                <w:sz w:val="32"/>
                <w:szCs w:val="32"/>
              </w:rPr>
              <w:t>✓</w:t>
            </w:r>
            <w:r>
              <w:rPr>
                <w:rFonts w:ascii="Times New Roman"/>
                <w:sz w:val="20"/>
                <w:szCs w:val="20"/>
              </w:rPr>
              <w:t xml:space="preserve"> Med</w:t>
            </w: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pPr>
            <w:r>
              <w:rPr>
                <w:rFonts w:ascii="Times New Roman"/>
                <w:sz w:val="32"/>
                <w:szCs w:val="32"/>
              </w:rPr>
              <w:t>x</w:t>
            </w:r>
          </w:p>
        </w:tc>
      </w:tr>
      <w:tr w:rsidR="00A0702B" w:rsidTr="00D60A14">
        <w:trPr>
          <w:trHeight w:val="177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C2: Research management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Public engagement activities often require an ability to plan and deliver projects, and provide a relatively easy way to use and develop these skills. Public engagement can inform research so it contributes to the wider aims of all stakeholders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1" w:type="dxa"/>
              <w:bottom w:w="80" w:type="dxa"/>
              <w:right w:w="80" w:type="dxa"/>
            </w:tcMar>
          </w:tcPr>
          <w:p w:rsidR="00A0702B" w:rsidRDefault="00A0702B" w:rsidP="00D60A14">
            <w:pPr>
              <w:pStyle w:val="BodyA"/>
              <w:spacing w:after="0" w:line="240" w:lineRule="auto"/>
              <w:ind w:left="231" w:hanging="231"/>
            </w:pPr>
            <w:r>
              <w:rPr>
                <w:rFonts w:ascii="Times New Roman"/>
                <w:sz w:val="20"/>
                <w:szCs w:val="20"/>
              </w:rPr>
              <w:t>None specified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rPr>
            </w:pPr>
          </w:p>
          <w:p w:rsidR="00A0702B" w:rsidRDefault="00A0702B" w:rsidP="00D60A14">
            <w:pPr>
              <w:pStyle w:val="BodyA"/>
              <w:spacing w:after="0" w:line="240" w:lineRule="auto"/>
              <w:jc w:val="center"/>
              <w:rPr>
                <w:rFonts w:ascii="Times New Roman" w:eastAsia="Times New Roman" w:hAnsi="Times New Roman" w:cs="Times New Roman"/>
              </w:rPr>
            </w:pPr>
          </w:p>
          <w:p w:rsidR="00A0702B" w:rsidRDefault="00A0702B" w:rsidP="00D60A14">
            <w:pPr>
              <w:pStyle w:val="BodyA"/>
              <w:spacing w:after="0" w:line="240" w:lineRule="auto"/>
              <w:jc w:val="center"/>
              <w:rPr>
                <w:rFonts w:ascii="Times New Roman" w:eastAsia="Times New Roman" w:hAnsi="Times New Roman" w:cs="Times New Roman"/>
              </w:rPr>
            </w:pPr>
          </w:p>
          <w:p w:rsidR="00A0702B" w:rsidRDefault="00A0702B" w:rsidP="00D60A14">
            <w:pPr>
              <w:pStyle w:val="BodyA"/>
              <w:spacing w:after="0" w:line="240" w:lineRule="auto"/>
              <w:jc w:val="center"/>
            </w:pPr>
            <w:r>
              <w:rPr>
                <w:rFonts w:ascii="Times New Roman"/>
              </w:rPr>
              <w:t>X</w:t>
            </w:r>
          </w:p>
        </w:tc>
      </w:tr>
      <w:tr w:rsidR="00A0702B" w:rsidTr="00D60A14">
        <w:trPr>
          <w:trHeight w:val="199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C3: Finance, funding and resources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 xml:space="preserve">Public engagement can enable researchers to </w:t>
            </w:r>
            <w:proofErr w:type="spellStart"/>
            <w:r>
              <w:rPr>
                <w:rFonts w:ascii="Times New Roman"/>
                <w:sz w:val="20"/>
                <w:szCs w:val="20"/>
              </w:rPr>
              <w:t>maximise</w:t>
            </w:r>
            <w:proofErr w:type="spellEnd"/>
            <w:r>
              <w:rPr>
                <w:rFonts w:ascii="Times New Roman"/>
                <w:sz w:val="20"/>
                <w:szCs w:val="20"/>
              </w:rPr>
              <w:t xml:space="preserve"> and communicate impact and potential impact more effectively through funding proposals, RCUK</w:t>
            </w:r>
            <w:r>
              <w:rPr>
                <w:rFonts w:hAnsi="Times New Roman"/>
                <w:sz w:val="20"/>
                <w:szCs w:val="20"/>
              </w:rPr>
              <w:t>’</w:t>
            </w:r>
            <w:r>
              <w:rPr>
                <w:rFonts w:ascii="Times New Roman"/>
                <w:sz w:val="20"/>
                <w:szCs w:val="20"/>
              </w:rPr>
              <w:t>s Pathways to Impact, Research Excellence Framework (REF) impact templates and case studies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1" w:type="dxa"/>
              <w:bottom w:w="80" w:type="dxa"/>
              <w:right w:w="80" w:type="dxa"/>
            </w:tcMar>
          </w:tcPr>
          <w:p w:rsidR="00A0702B" w:rsidRDefault="00A0702B" w:rsidP="00D60A14">
            <w:pPr>
              <w:pStyle w:val="BodyA"/>
              <w:spacing w:after="0" w:line="240" w:lineRule="auto"/>
              <w:ind w:left="231" w:hanging="231"/>
            </w:pPr>
            <w:r>
              <w:rPr>
                <w:rFonts w:ascii="Times New Roman"/>
                <w:sz w:val="20"/>
                <w:szCs w:val="20"/>
              </w:rPr>
              <w:t>None specified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24"/>
                <w:szCs w:val="24"/>
              </w:rPr>
            </w:pPr>
          </w:p>
          <w:p w:rsidR="00A0702B" w:rsidRDefault="00A0702B" w:rsidP="00D60A14">
            <w:pPr>
              <w:pStyle w:val="BodyA"/>
              <w:spacing w:after="0" w:line="240" w:lineRule="auto"/>
              <w:jc w:val="center"/>
              <w:rPr>
                <w:rFonts w:ascii="Times New Roman" w:eastAsia="Times New Roman" w:hAnsi="Times New Roman" w:cs="Times New Roman"/>
                <w:sz w:val="24"/>
                <w:szCs w:val="24"/>
              </w:rPr>
            </w:pPr>
          </w:p>
          <w:p w:rsidR="00A0702B" w:rsidRDefault="00A0702B" w:rsidP="00D60A14">
            <w:pPr>
              <w:pStyle w:val="BodyA"/>
              <w:spacing w:after="0" w:line="240" w:lineRule="auto"/>
              <w:jc w:val="center"/>
            </w:pPr>
            <w:r>
              <w:rPr>
                <w:rFonts w:ascii="Times New Roman"/>
                <w:sz w:val="24"/>
                <w:szCs w:val="24"/>
              </w:rPr>
              <w:t>X</w:t>
            </w:r>
          </w:p>
        </w:tc>
      </w:tr>
      <w:tr w:rsidR="00A0702B" w:rsidTr="00D60A14">
        <w:trPr>
          <w:trHeight w:val="89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b/>
                <w:bCs/>
                <w:sz w:val="20"/>
                <w:szCs w:val="20"/>
              </w:rPr>
              <w:t>Domain D:</w:t>
            </w:r>
            <w:r>
              <w:rPr>
                <w:rFonts w:ascii="Times New Roman"/>
                <w:sz w:val="20"/>
                <w:szCs w:val="20"/>
              </w:rPr>
              <w:t xml:space="preserve"> Engagement, influence and impact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tc>
      </w:tr>
      <w:tr w:rsidR="00A0702B" w:rsidTr="00D60A14">
        <w:trPr>
          <w:trHeight w:val="2851"/>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D1: Working with others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Public engagement requires an ability to build trust, understanding, collaboration and effective partnerships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37"/>
              </w:numPr>
              <w:spacing w:after="0" w:line="240" w:lineRule="auto"/>
              <w:ind w:left="254" w:hanging="254"/>
              <w:rPr>
                <w:rFonts w:ascii="Times New Roman" w:eastAsia="Times New Roman" w:hAnsi="Times New Roman" w:cs="Times New Roman"/>
              </w:rPr>
            </w:pPr>
            <w:r>
              <w:rPr>
                <w:rFonts w:ascii="Times New Roman"/>
                <w:sz w:val="20"/>
                <w:szCs w:val="20"/>
              </w:rPr>
              <w:t xml:space="preserve">Respects and values input from others </w:t>
            </w:r>
          </w:p>
          <w:p w:rsidR="00A0702B" w:rsidRDefault="00A0702B" w:rsidP="00A0702B">
            <w:pPr>
              <w:pStyle w:val="ListParagraph"/>
              <w:numPr>
                <w:ilvl w:val="0"/>
                <w:numId w:val="7"/>
              </w:numPr>
              <w:spacing w:after="0" w:line="240" w:lineRule="auto"/>
              <w:ind w:left="254" w:hanging="254"/>
              <w:rPr>
                <w:rFonts w:ascii="Times New Roman" w:eastAsia="Times New Roman" w:hAnsi="Times New Roman" w:cs="Times New Roman"/>
              </w:rPr>
            </w:pPr>
            <w:r>
              <w:rPr>
                <w:rFonts w:ascii="Times New Roman"/>
                <w:sz w:val="20"/>
                <w:szCs w:val="20"/>
              </w:rPr>
              <w:t>Is sensitive to issues of diversity and inclusion; relates well to different groups; appreciates how partnerships can enhance public engagement activity; responds positively to the expertise and insights of other professionals and non-experts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32"/>
                <w:szCs w:val="32"/>
              </w:rPr>
            </w:pPr>
            <w:r>
              <w:rPr>
                <w:rFonts w:ascii="MS Mincho" w:eastAsia="MS Mincho" w:hAnsi="MS Mincho" w:cs="MS Mincho"/>
                <w:sz w:val="32"/>
                <w:szCs w:val="32"/>
              </w:rPr>
              <w:t>✓</w:t>
            </w:r>
            <w:r>
              <w:rPr>
                <w:rFonts w:ascii="Times New Roman"/>
                <w:sz w:val="20"/>
                <w:szCs w:val="20"/>
              </w:rPr>
              <w:t xml:space="preserve"> High-Med</w:t>
            </w: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r>
              <w:rPr>
                <w:rFonts w:ascii="MS Mincho" w:eastAsia="MS Mincho" w:hAnsi="MS Mincho" w:cs="MS Mincho"/>
                <w:sz w:val="32"/>
                <w:szCs w:val="32"/>
              </w:rPr>
              <w:t>✓</w:t>
            </w:r>
            <w:r>
              <w:rPr>
                <w:rFonts w:ascii="Times New Roman"/>
                <w:sz w:val="20"/>
                <w:szCs w:val="20"/>
              </w:rPr>
              <w:t xml:space="preserve"> Low</w:t>
            </w: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pPr>
          </w:p>
        </w:tc>
      </w:tr>
      <w:tr w:rsidR="00A0702B" w:rsidTr="00D60A14">
        <w:trPr>
          <w:trHeight w:val="3029"/>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D2: Communication and dissemination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Effective engagement requires communication media and methods appropriate to the purpose and audience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38"/>
              </w:numPr>
              <w:spacing w:after="0" w:line="240" w:lineRule="auto"/>
              <w:ind w:left="254" w:hanging="254"/>
              <w:rPr>
                <w:rFonts w:ascii="Times New Roman" w:eastAsia="Times New Roman" w:hAnsi="Times New Roman" w:cs="Times New Roman"/>
              </w:rPr>
            </w:pPr>
            <w:r>
              <w:rPr>
                <w:rFonts w:ascii="Times New Roman"/>
                <w:sz w:val="20"/>
                <w:szCs w:val="20"/>
              </w:rPr>
              <w:t>Can differentiate how they speak or write for different audiences; communicate their personal commitment and interest in the topic; make presentations using props and AV resources; provide relevant examples, stories, activities and metaphors; adapts language to the needs of particular audiences</w:t>
            </w:r>
          </w:p>
          <w:p w:rsidR="00A0702B" w:rsidRDefault="00A0702B" w:rsidP="00F4762B">
            <w:pPr>
              <w:pStyle w:val="ListParagraph"/>
              <w:numPr>
                <w:ilvl w:val="0"/>
                <w:numId w:val="39"/>
              </w:numPr>
              <w:spacing w:after="0" w:line="240" w:lineRule="auto"/>
              <w:ind w:left="254" w:hanging="254"/>
              <w:rPr>
                <w:rFonts w:ascii="Times New Roman" w:eastAsia="Times New Roman" w:hAnsi="Times New Roman" w:cs="Times New Roman"/>
              </w:rPr>
            </w:pPr>
            <w:r>
              <w:rPr>
                <w:rFonts w:ascii="Times New Roman"/>
                <w:sz w:val="20"/>
                <w:szCs w:val="20"/>
              </w:rPr>
              <w:t>Is sensitive to the needs of audiences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r>
              <w:rPr>
                <w:rFonts w:ascii="MS Mincho" w:eastAsia="MS Mincho" w:hAnsi="MS Mincho" w:cs="MS Mincho"/>
                <w:sz w:val="32"/>
                <w:szCs w:val="32"/>
              </w:rPr>
              <w:t>✓</w:t>
            </w:r>
            <w:r>
              <w:rPr>
                <w:rFonts w:ascii="Times New Roman"/>
                <w:sz w:val="20"/>
                <w:szCs w:val="20"/>
              </w:rPr>
              <w:t xml:space="preserve"> High</w:t>
            </w: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rPr>
                <w:rFonts w:ascii="Times New Roman" w:eastAsia="Times New Roman" w:hAnsi="Times New Roman" w:cs="Times New Roman"/>
                <w:sz w:val="32"/>
                <w:szCs w:val="32"/>
              </w:rPr>
            </w:pPr>
          </w:p>
          <w:p w:rsidR="00A0702B" w:rsidRDefault="00A0702B" w:rsidP="00D60A14">
            <w:pPr>
              <w:pStyle w:val="BodyA"/>
              <w:spacing w:after="0" w:line="240" w:lineRule="auto"/>
              <w:jc w:val="center"/>
            </w:pPr>
            <w:r>
              <w:rPr>
                <w:rFonts w:ascii="Times New Roman"/>
                <w:sz w:val="32"/>
                <w:szCs w:val="32"/>
              </w:rPr>
              <w:t>x</w:t>
            </w:r>
          </w:p>
        </w:tc>
      </w:tr>
      <w:tr w:rsidR="00A0702B" w:rsidTr="00D60A14">
        <w:trPr>
          <w:trHeight w:val="1553"/>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lastRenderedPageBreak/>
              <w:t>D3: Engagement and impact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pPr>
            <w:r>
              <w:rPr>
                <w:rFonts w:ascii="Times New Roman"/>
                <w:sz w:val="20"/>
                <w:szCs w:val="20"/>
              </w:rPr>
              <w:t>Engagement projects enable researchers to develop an understanding of the social and ethical implications of their work and ensure their research has relevance to and impact on society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103" w:type="dxa"/>
              <w:bottom w:w="80" w:type="dxa"/>
              <w:right w:w="80" w:type="dxa"/>
            </w:tcMar>
          </w:tcPr>
          <w:p w:rsidR="00A0702B" w:rsidRDefault="00A0702B" w:rsidP="00F4762B">
            <w:pPr>
              <w:pStyle w:val="ListParagraph"/>
              <w:numPr>
                <w:ilvl w:val="0"/>
                <w:numId w:val="40"/>
              </w:numPr>
              <w:spacing w:after="0" w:line="240" w:lineRule="auto"/>
              <w:ind w:left="254" w:hanging="254"/>
              <w:rPr>
                <w:rFonts w:ascii="Times New Roman" w:eastAsia="Times New Roman" w:hAnsi="Times New Roman" w:cs="Times New Roman"/>
              </w:rPr>
            </w:pPr>
            <w:r>
              <w:rPr>
                <w:rFonts w:ascii="Times New Roman"/>
                <w:sz w:val="20"/>
                <w:szCs w:val="20"/>
              </w:rPr>
              <w:t xml:space="preserve">Understands their own motivation for engagement </w:t>
            </w:r>
          </w:p>
          <w:p w:rsidR="00A0702B" w:rsidRDefault="00A0702B" w:rsidP="00F4762B">
            <w:pPr>
              <w:pStyle w:val="ListParagraph"/>
              <w:numPr>
                <w:ilvl w:val="0"/>
                <w:numId w:val="41"/>
              </w:numPr>
              <w:spacing w:after="0" w:line="240" w:lineRule="auto"/>
              <w:ind w:left="254" w:hanging="254"/>
              <w:rPr>
                <w:rFonts w:ascii="Times New Roman" w:eastAsia="Times New Roman" w:hAnsi="Times New Roman" w:cs="Times New Roman"/>
              </w:rPr>
            </w:pPr>
            <w:r>
              <w:rPr>
                <w:rFonts w:ascii="Times New Roman"/>
                <w:sz w:val="20"/>
                <w:szCs w:val="20"/>
              </w:rPr>
              <w:t xml:space="preserve">Identifies social, political and ethical issues of relevance for particular audiences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702B" w:rsidRDefault="00A0702B" w:rsidP="00D60A14">
            <w:pPr>
              <w:pStyle w:val="BodyA"/>
              <w:spacing w:after="0" w:line="240" w:lineRule="auto"/>
              <w:jc w:val="center"/>
              <w:rPr>
                <w:rFonts w:ascii="Times New Roman" w:eastAsia="Times New Roman" w:hAnsi="Times New Roman" w:cs="Times New Roman"/>
                <w:sz w:val="24"/>
                <w:szCs w:val="24"/>
              </w:rPr>
            </w:pPr>
            <w:r>
              <w:rPr>
                <w:rFonts w:ascii="Times New Roman"/>
                <w:sz w:val="24"/>
                <w:szCs w:val="24"/>
              </w:rPr>
              <w:t>X</w:t>
            </w:r>
          </w:p>
          <w:p w:rsidR="00A0702B" w:rsidRDefault="00A0702B" w:rsidP="00D60A14">
            <w:pPr>
              <w:pStyle w:val="BodyA"/>
              <w:spacing w:after="0" w:line="240" w:lineRule="auto"/>
              <w:jc w:val="center"/>
              <w:rPr>
                <w:rFonts w:ascii="Times New Roman" w:eastAsia="Times New Roman" w:hAnsi="Times New Roman" w:cs="Times New Roman"/>
                <w:sz w:val="24"/>
                <w:szCs w:val="24"/>
              </w:rPr>
            </w:pPr>
          </w:p>
          <w:p w:rsidR="00A0702B" w:rsidRDefault="00A0702B" w:rsidP="00D60A14">
            <w:pPr>
              <w:pStyle w:val="BodyA"/>
              <w:spacing w:after="0" w:line="240" w:lineRule="auto"/>
              <w:jc w:val="center"/>
            </w:pPr>
            <w:r>
              <w:rPr>
                <w:rFonts w:ascii="Times New Roman"/>
                <w:sz w:val="24"/>
                <w:szCs w:val="24"/>
              </w:rPr>
              <w:t>X</w:t>
            </w:r>
          </w:p>
        </w:tc>
      </w:tr>
    </w:tbl>
    <w:p w:rsidR="00A0702B" w:rsidRDefault="00A0702B" w:rsidP="00A0702B">
      <w:pPr>
        <w:pStyle w:val="ListParagraph"/>
        <w:ind w:left="0"/>
        <w:rPr>
          <w:rFonts w:ascii="Times New Roman" w:eastAsia="Times New Roman" w:hAnsi="Times New Roman" w:cs="Times New Roman"/>
          <w:sz w:val="18"/>
          <w:szCs w:val="18"/>
          <w:u w:color="548DD4"/>
        </w:rPr>
      </w:pPr>
      <w:r>
        <w:rPr>
          <w:rFonts w:ascii="MS Mincho" w:eastAsia="MS Mincho" w:hAnsi="MS Mincho" w:cs="MS Mincho"/>
          <w:sz w:val="18"/>
          <w:szCs w:val="18"/>
        </w:rPr>
        <w:t>✓</w:t>
      </w:r>
      <w:r>
        <w:rPr>
          <w:rFonts w:ascii="Times New Roman"/>
          <w:sz w:val="18"/>
          <w:szCs w:val="18"/>
        </w:rPr>
        <w:t xml:space="preserve"> = core skill evidenced from data; x = core skill not evidenced from data</w:t>
      </w:r>
    </w:p>
    <w:p w:rsidR="00A0702B" w:rsidRDefault="00A0702B" w:rsidP="00A0702B">
      <w:pPr>
        <w:pStyle w:val="ListParagraph"/>
        <w:ind w:left="0"/>
        <w:rPr>
          <w:rFonts w:ascii="Times New Roman" w:eastAsia="Times New Roman" w:hAnsi="Times New Roman" w:cs="Times New Roman"/>
          <w:sz w:val="18"/>
          <w:szCs w:val="18"/>
        </w:rPr>
      </w:pPr>
      <w:r>
        <w:rPr>
          <w:rFonts w:ascii="Times New Roman"/>
          <w:sz w:val="18"/>
          <w:szCs w:val="18"/>
        </w:rPr>
        <w:t>Lens descriptors adapted from the NCCPE</w:t>
      </w:r>
      <w:r>
        <w:rPr>
          <w:rFonts w:hAnsi="Times New Roman"/>
          <w:sz w:val="18"/>
          <w:szCs w:val="18"/>
        </w:rPr>
        <w:t>’</w:t>
      </w:r>
      <w:r>
        <w:rPr>
          <w:rFonts w:ascii="Times New Roman"/>
          <w:sz w:val="18"/>
          <w:szCs w:val="18"/>
        </w:rPr>
        <w:t>s Public Engagement Attributes Framework (</w:t>
      </w:r>
      <w:hyperlink r:id="rId13" w:history="1">
        <w:r>
          <w:rPr>
            <w:rStyle w:val="Hyperlink3"/>
            <w:rFonts w:ascii="Times New Roman"/>
          </w:rPr>
          <w:t>www.publicengagement.ac.uk/what/skills-and-attributes</w:t>
        </w:r>
      </w:hyperlink>
      <w:r>
        <w:rPr>
          <w:rFonts w:ascii="Times New Roman"/>
          <w:sz w:val="18"/>
          <w:szCs w:val="18"/>
        </w:rPr>
        <w:t xml:space="preserve">); Vitae, </w:t>
      </w:r>
      <w:r>
        <w:rPr>
          <w:rFonts w:hAnsi="Times New Roman"/>
          <w:sz w:val="18"/>
          <w:szCs w:val="18"/>
        </w:rPr>
        <w:t>©</w:t>
      </w:r>
      <w:r>
        <w:rPr>
          <w:rFonts w:hAnsi="Times New Roman"/>
          <w:sz w:val="18"/>
          <w:szCs w:val="18"/>
        </w:rPr>
        <w:t xml:space="preserve"> </w:t>
      </w:r>
      <w:r>
        <w:rPr>
          <w:rFonts w:ascii="Times New Roman"/>
          <w:sz w:val="18"/>
          <w:szCs w:val="18"/>
        </w:rPr>
        <w:t>2010 Careers Research and Advisory Centre (CRAC) Limited</w:t>
      </w:r>
    </w:p>
    <w:p w:rsidR="00A0702B" w:rsidRPr="002F6B74" w:rsidRDefault="00A0702B" w:rsidP="00A0702B">
      <w:bookmarkStart w:id="0" w:name="_GoBack"/>
      <w:bookmarkEnd w:id="0"/>
    </w:p>
    <w:p w:rsidR="00964AB0" w:rsidRDefault="00964AB0">
      <w:pPr>
        <w:pStyle w:val="BodyA"/>
        <w:spacing w:line="360" w:lineRule="auto"/>
        <w:rPr>
          <w:rFonts w:ascii="Times New Roman" w:eastAsia="Times New Roman" w:hAnsi="Times New Roman" w:cs="Times New Roman"/>
          <w:sz w:val="24"/>
          <w:szCs w:val="24"/>
        </w:rPr>
      </w:pPr>
    </w:p>
    <w:p w:rsidR="00964AB0" w:rsidRDefault="009259F5">
      <w:pPr>
        <w:pStyle w:val="BodyA"/>
        <w:spacing w:line="360" w:lineRule="auto"/>
        <w:rPr>
          <w:rStyle w:val="hlfld-contribauthor"/>
          <w:rFonts w:ascii="Times New Roman" w:eastAsia="Times New Roman" w:hAnsi="Times New Roman" w:cs="Times New Roman"/>
          <w:b/>
          <w:bCs/>
          <w:i/>
          <w:iCs/>
          <w:sz w:val="24"/>
          <w:szCs w:val="24"/>
        </w:rPr>
      </w:pPr>
      <w:r>
        <w:rPr>
          <w:rStyle w:val="hlfld-contribauthor"/>
          <w:rFonts w:ascii="Times New Roman" w:hAnsi="Times New Roman"/>
          <w:b/>
          <w:bCs/>
          <w:i/>
          <w:iCs/>
          <w:sz w:val="24"/>
          <w:szCs w:val="24"/>
        </w:rPr>
        <w:t xml:space="preserve">The undergraduate research conference as a professional development opportunity </w:t>
      </w:r>
    </w:p>
    <w:p w:rsidR="00964AB0" w:rsidRDefault="009259F5" w:rsidP="001D4A18">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The RDF identifies the characteristics of excellent researchers, shown in the framework as ‘descriptors’, which are located within four domains and 12 sub-domains, and concern the knowledge, standards, abilities, skills and personal qualities required to be an effective researcher (Vitae, 2014) (Figure 1).  For this research, we mapped the results to the public engagement lens, as </w:t>
      </w:r>
      <w:r w:rsidR="00FA5038">
        <w:rPr>
          <w:rStyle w:val="hlfld-contribauthor"/>
          <w:rFonts w:ascii="Times New Roman" w:hAnsi="Times New Roman"/>
          <w:sz w:val="24"/>
          <w:szCs w:val="24"/>
        </w:rPr>
        <w:t xml:space="preserve">this </w:t>
      </w:r>
      <w:r>
        <w:rPr>
          <w:rStyle w:val="hlfld-contribauthor"/>
          <w:rFonts w:ascii="Times New Roman" w:hAnsi="Times New Roman"/>
          <w:sz w:val="24"/>
          <w:szCs w:val="24"/>
        </w:rPr>
        <w:t xml:space="preserve">most </w:t>
      </w:r>
      <w:r w:rsidR="00FA5038">
        <w:rPr>
          <w:rStyle w:val="hlfld-contribauthor"/>
          <w:rFonts w:ascii="Times New Roman" w:hAnsi="Times New Roman"/>
          <w:sz w:val="24"/>
          <w:szCs w:val="24"/>
        </w:rPr>
        <w:t xml:space="preserve">suited </w:t>
      </w:r>
      <w:r>
        <w:rPr>
          <w:rStyle w:val="hlfld-contribauthor"/>
          <w:rFonts w:ascii="Times New Roman" w:hAnsi="Times New Roman"/>
          <w:sz w:val="24"/>
          <w:szCs w:val="24"/>
        </w:rPr>
        <w:t xml:space="preserve">the conference process. Table 2 </w:t>
      </w:r>
      <w:proofErr w:type="spellStart"/>
      <w:r>
        <w:rPr>
          <w:rStyle w:val="hlfld-contribauthor"/>
          <w:rFonts w:ascii="Times New Roman" w:hAnsi="Times New Roman"/>
          <w:sz w:val="24"/>
          <w:szCs w:val="24"/>
        </w:rPr>
        <w:t>visualises</w:t>
      </w:r>
      <w:proofErr w:type="spellEnd"/>
      <w:r>
        <w:rPr>
          <w:rStyle w:val="hlfld-contribauthor"/>
          <w:rFonts w:ascii="Times New Roman" w:hAnsi="Times New Roman"/>
          <w:sz w:val="24"/>
          <w:szCs w:val="24"/>
        </w:rPr>
        <w:t xml:space="preserve"> the application of this lens, showing which core researcher skills are aligned against each sub-domain within the context of public engagement. The application of the RDF in this paper acknowledges that the </w:t>
      </w:r>
      <w:proofErr w:type="gramStart"/>
      <w:r>
        <w:rPr>
          <w:rStyle w:val="hlfld-contribauthor"/>
          <w:rFonts w:ascii="Times New Roman" w:hAnsi="Times New Roman"/>
          <w:sz w:val="24"/>
          <w:szCs w:val="24"/>
        </w:rPr>
        <w:t>majority of BCUR conference attendees are</w:t>
      </w:r>
      <w:proofErr w:type="gramEnd"/>
      <w:r>
        <w:rPr>
          <w:rStyle w:val="hlfld-contribauthor"/>
          <w:rFonts w:ascii="Times New Roman" w:hAnsi="Times New Roman"/>
          <w:sz w:val="24"/>
          <w:szCs w:val="24"/>
        </w:rPr>
        <w:t xml:space="preserve"> at the earliest career stage of development for most of the descriptors, and therefore concerns itself with whether a core skill has been developed as a result of participation.  Where participants made reference to an aspect of their conference experience that aligns with a core skill listed in the public engagement lens, this has been shown as being evidenced (with a tick) or not (with a cross), together with an attempt to indicate the relative strength of the development. Low strength means that there were very few, or zero, references to the use or development of the skill by those interviewed; medium means there were several such references; and high strength points to the fact that there were a significant number of relevant references in the interviews. It should be noted that the scale of strength is relative within the context of the conference experience only, not in relation to other public engagement or learning activities.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Those responsible for the professional development of researchers can use the public engagement lens to ‘strategically align training and development towards different areas of expertise’</w:t>
      </w:r>
      <w:r>
        <w:rPr>
          <w:rStyle w:val="hlfld-contribauthor"/>
          <w:sz w:val="24"/>
          <w:szCs w:val="24"/>
        </w:rPr>
        <w:t xml:space="preserve"> </w:t>
      </w:r>
      <w:r>
        <w:rPr>
          <w:rStyle w:val="hlfld-contribauthor"/>
          <w:rFonts w:ascii="Times New Roman" w:hAnsi="Times New Roman"/>
          <w:sz w:val="24"/>
          <w:szCs w:val="24"/>
        </w:rPr>
        <w:t xml:space="preserve">(Vitae, 2014). For example, by considering this study’s application of the lens, an </w:t>
      </w:r>
      <w:r>
        <w:rPr>
          <w:rStyle w:val="hlfld-contribauthor"/>
          <w:rFonts w:ascii="Times New Roman" w:hAnsi="Times New Roman"/>
          <w:sz w:val="24"/>
          <w:szCs w:val="24"/>
        </w:rPr>
        <w:lastRenderedPageBreak/>
        <w:t>undergraduate research conference could be designed to focus on specific core skills and improve levels of public engagement.</w:t>
      </w:r>
    </w:p>
    <w:p w:rsidR="00964AB0" w:rsidRDefault="00964AB0">
      <w:pPr>
        <w:pStyle w:val="BodyA"/>
        <w:spacing w:line="360" w:lineRule="auto"/>
        <w:rPr>
          <w:rFonts w:ascii="Times New Roman" w:eastAsia="Times New Roman" w:hAnsi="Times New Roman" w:cs="Times New Roman"/>
          <w:b/>
          <w:bCs/>
          <w:sz w:val="24"/>
          <w:szCs w:val="24"/>
        </w:rPr>
      </w:pP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Discussion</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The results of this study have shown which conference elements are important from the student presenter perspective, and that many of the skills developed through preparation for and participation in undergraduate conferences can be mapped onto Vitae’s RDF domains. </w:t>
      </w:r>
      <w:r w:rsidR="00675E99">
        <w:rPr>
          <w:rStyle w:val="hlfld-contribauthor"/>
          <w:rFonts w:ascii="Times New Roman" w:hAnsi="Times New Roman"/>
          <w:sz w:val="24"/>
          <w:szCs w:val="24"/>
        </w:rPr>
        <w:t>T</w:t>
      </w:r>
      <w:r>
        <w:rPr>
          <w:rStyle w:val="hlfld-contribauthor"/>
          <w:rFonts w:ascii="Times New Roman" w:hAnsi="Times New Roman"/>
          <w:sz w:val="24"/>
          <w:szCs w:val="24"/>
        </w:rPr>
        <w:t xml:space="preserve">he ability to evidence core skill development through this mapping exercise demonstrates that </w:t>
      </w:r>
      <w:r w:rsidR="00675E99">
        <w:rPr>
          <w:rStyle w:val="hlfld-contribauthor"/>
          <w:rFonts w:ascii="Times New Roman" w:hAnsi="Times New Roman"/>
          <w:sz w:val="24"/>
          <w:szCs w:val="24"/>
        </w:rPr>
        <w:t xml:space="preserve">the RDF </w:t>
      </w:r>
      <w:r>
        <w:rPr>
          <w:rStyle w:val="hlfld-contribauthor"/>
          <w:rFonts w:ascii="Times New Roman" w:hAnsi="Times New Roman"/>
          <w:sz w:val="24"/>
          <w:szCs w:val="24"/>
        </w:rPr>
        <w:t xml:space="preserve">can be used to scaffold undergraduates’ learning in </w:t>
      </w:r>
      <w:r w:rsidR="00FA5038">
        <w:rPr>
          <w:rStyle w:val="hlfld-contribauthor"/>
          <w:rFonts w:ascii="Times New Roman" w:hAnsi="Times New Roman"/>
          <w:sz w:val="24"/>
          <w:szCs w:val="24"/>
        </w:rPr>
        <w:t xml:space="preserve">terms of graduate attributes and the development of </w:t>
      </w:r>
      <w:r>
        <w:rPr>
          <w:rStyle w:val="hlfld-contribauthor"/>
          <w:rFonts w:ascii="Times New Roman" w:hAnsi="Times New Roman"/>
          <w:sz w:val="24"/>
          <w:szCs w:val="24"/>
        </w:rPr>
        <w:t>postgraduate level skills.</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The balance of oral paper and poster presentations in academic conferences varies between the disciplines. Here, delivering and observing paper presentations provided evidence of</w:t>
      </w:r>
      <w:r w:rsidR="00355A92">
        <w:rPr>
          <w:rStyle w:val="hlfld-contribauthor"/>
          <w:rFonts w:ascii="Times New Roman" w:hAnsi="Times New Roman"/>
          <w:sz w:val="24"/>
          <w:szCs w:val="24"/>
        </w:rPr>
        <w:t>:</w:t>
      </w:r>
      <w:r>
        <w:rPr>
          <w:rStyle w:val="hlfld-contribauthor"/>
          <w:rFonts w:ascii="Times New Roman" w:hAnsi="Times New Roman"/>
          <w:sz w:val="24"/>
          <w:szCs w:val="24"/>
        </w:rPr>
        <w:t xml:space="preserve"> </w:t>
      </w:r>
      <w:r w:rsidR="00355A92">
        <w:rPr>
          <w:rStyle w:val="hlfld-contribauthor"/>
          <w:rFonts w:ascii="Times New Roman" w:hAnsi="Times New Roman"/>
          <w:sz w:val="24"/>
          <w:szCs w:val="24"/>
        </w:rPr>
        <w:t xml:space="preserve">the </w:t>
      </w:r>
      <w:r>
        <w:rPr>
          <w:rStyle w:val="hlfld-contribauthor"/>
          <w:rFonts w:ascii="Times New Roman" w:hAnsi="Times New Roman"/>
          <w:sz w:val="24"/>
          <w:szCs w:val="24"/>
        </w:rPr>
        <w:t xml:space="preserve">development of confidence in public speaking; information synthesis; time management; learning to direct work at generic audiences; receiving and giving critical feedback; gaining new knowledge in unfamiliar disciplines; and exposure to good practice. A small number of attendees commented on the value of seeing presenters use very different research approaches; a learning outcome also noted by </w:t>
      </w:r>
      <w:proofErr w:type="spellStart"/>
      <w:r>
        <w:rPr>
          <w:rStyle w:val="hlfld-contribauthor"/>
          <w:rFonts w:ascii="Times New Roman" w:hAnsi="Times New Roman"/>
          <w:sz w:val="24"/>
          <w:szCs w:val="24"/>
        </w:rPr>
        <w:t>Garaffa</w:t>
      </w:r>
      <w:proofErr w:type="spellEnd"/>
      <w:r>
        <w:rPr>
          <w:rStyle w:val="hlfld-contribauthor"/>
          <w:rFonts w:ascii="Times New Roman" w:hAnsi="Times New Roman"/>
          <w:sz w:val="24"/>
          <w:szCs w:val="24"/>
        </w:rPr>
        <w:t xml:space="preserve"> and </w:t>
      </w:r>
      <w:proofErr w:type="spellStart"/>
      <w:r>
        <w:rPr>
          <w:rStyle w:val="hlfld-contribauthor"/>
          <w:rFonts w:ascii="Times New Roman" w:hAnsi="Times New Roman"/>
          <w:sz w:val="24"/>
          <w:szCs w:val="24"/>
        </w:rPr>
        <w:t>Brians</w:t>
      </w:r>
      <w:proofErr w:type="spellEnd"/>
      <w:r>
        <w:rPr>
          <w:rStyle w:val="hlfld-contribauthor"/>
          <w:rFonts w:ascii="Times New Roman" w:hAnsi="Times New Roman"/>
          <w:sz w:val="24"/>
          <w:szCs w:val="24"/>
        </w:rPr>
        <w:t xml:space="preserve"> (2011) in their account of a student’s first conference experience. This outcome appeared to take these participants by surprise, demonstrating the rather narrow research context in which many undergraduates operate.</w:t>
      </w:r>
    </w:p>
    <w:p w:rsidR="00964AB0" w:rsidRDefault="009259F5" w:rsidP="00355A92">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Seymour et al.’s (2004) study of summer research apprenticeships explained the increased confidence of participants that presented their research as</w:t>
      </w:r>
      <w:r w:rsidR="00355A92">
        <w:rPr>
          <w:rStyle w:val="hlfld-contribauthor"/>
          <w:rFonts w:ascii="Times New Roman" w:hAnsi="Times New Roman"/>
          <w:sz w:val="24"/>
          <w:szCs w:val="24"/>
        </w:rPr>
        <w:t xml:space="preserve"> being</w:t>
      </w:r>
      <w:r>
        <w:rPr>
          <w:rStyle w:val="hlfld-contribauthor"/>
          <w:rFonts w:ascii="Times New Roman" w:hAnsi="Times New Roman"/>
          <w:sz w:val="24"/>
          <w:szCs w:val="24"/>
        </w:rPr>
        <w:t xml:space="preserve"> largely d</w:t>
      </w:r>
      <w:r w:rsidR="00355A92">
        <w:rPr>
          <w:rStyle w:val="hlfld-contribauthor"/>
          <w:rFonts w:ascii="Times New Roman" w:hAnsi="Times New Roman"/>
          <w:sz w:val="24"/>
          <w:szCs w:val="24"/>
        </w:rPr>
        <w:t>ue</w:t>
      </w:r>
      <w:r>
        <w:rPr>
          <w:rStyle w:val="hlfld-contribauthor"/>
          <w:rFonts w:ascii="Times New Roman" w:hAnsi="Times New Roman"/>
          <w:sz w:val="24"/>
          <w:szCs w:val="24"/>
        </w:rPr>
        <w:t xml:space="preserve"> to a reduction of fear of exposing areas of uncertainty in their understanding. While it might be argued that the skills developed from learning to present detailed research work in a concise form are just as applicable within a disciplinary context (</w:t>
      </w:r>
      <w:proofErr w:type="spellStart"/>
      <w:r>
        <w:rPr>
          <w:rStyle w:val="hlfld-contribauthor"/>
          <w:rFonts w:ascii="Times New Roman" w:hAnsi="Times New Roman"/>
          <w:sz w:val="24"/>
          <w:szCs w:val="24"/>
        </w:rPr>
        <w:t>Orsmond</w:t>
      </w:r>
      <w:proofErr w:type="spellEnd"/>
      <w:r>
        <w:rPr>
          <w:rStyle w:val="hlfld-contribauthor"/>
          <w:rFonts w:ascii="Times New Roman" w:hAnsi="Times New Roman"/>
          <w:sz w:val="24"/>
          <w:szCs w:val="24"/>
        </w:rPr>
        <w:t xml:space="preserve">, Merry and </w:t>
      </w:r>
      <w:proofErr w:type="spellStart"/>
      <w:r>
        <w:rPr>
          <w:rStyle w:val="hlfld-contribauthor"/>
          <w:rFonts w:ascii="Times New Roman" w:hAnsi="Times New Roman"/>
          <w:sz w:val="24"/>
          <w:szCs w:val="24"/>
        </w:rPr>
        <w:t>Reiling</w:t>
      </w:r>
      <w:proofErr w:type="spellEnd"/>
      <w:r>
        <w:rPr>
          <w:rStyle w:val="hlfld-contribauthor"/>
          <w:rFonts w:ascii="Times New Roman" w:hAnsi="Times New Roman"/>
          <w:sz w:val="24"/>
          <w:szCs w:val="24"/>
        </w:rPr>
        <w:t>, 2004), the ability to present complex, technical themes in a jargon-free language accessible to a generic audience is essential for effective dissemination at a national conference (Spronken-Smith et al., 2013).</w:t>
      </w:r>
    </w:p>
    <w:p w:rsidR="00964AB0" w:rsidRDefault="009259F5">
      <w:pPr>
        <w:pStyle w:val="BodyA"/>
        <w:spacing w:line="360" w:lineRule="auto"/>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rPr>
        <w:t>Mabrouk</w:t>
      </w:r>
      <w:proofErr w:type="spellEnd"/>
      <w:r>
        <w:rPr>
          <w:rStyle w:val="hlfld-contribauthor"/>
          <w:rFonts w:ascii="Times New Roman" w:hAnsi="Times New Roman"/>
          <w:sz w:val="24"/>
          <w:szCs w:val="24"/>
        </w:rPr>
        <w:t xml:space="preserve"> (2009) found that 11% of student participants at a discipline academic conference cited oral paper sessions as the most valuable element, while 40% valued poster sessions the most. In the current study the poster sessions were perceived to advance students’</w:t>
      </w:r>
      <w:r>
        <w:rPr>
          <w:rStyle w:val="hlfld-contribauthor"/>
          <w:sz w:val="24"/>
          <w:szCs w:val="24"/>
        </w:rPr>
        <w:t xml:space="preserve"> </w:t>
      </w:r>
      <w:r>
        <w:rPr>
          <w:rStyle w:val="hlfld-contribauthor"/>
          <w:rFonts w:ascii="Times New Roman" w:hAnsi="Times New Roman"/>
          <w:sz w:val="24"/>
          <w:szCs w:val="24"/>
        </w:rPr>
        <w:t xml:space="preserve">skills and attributes in: writing concisely for an interdisciplinary audience, communicating research </w:t>
      </w:r>
      <w:r>
        <w:rPr>
          <w:rStyle w:val="hlfld-contribauthor"/>
          <w:rFonts w:ascii="Times New Roman" w:hAnsi="Times New Roman"/>
          <w:sz w:val="24"/>
          <w:szCs w:val="24"/>
        </w:rPr>
        <w:lastRenderedPageBreak/>
        <w:t xml:space="preserve">effectively and confidently giving and receiving critical feedback, employability skills and in </w:t>
      </w:r>
      <w:proofErr w:type="spellStart"/>
      <w:r>
        <w:rPr>
          <w:rStyle w:val="hlfld-contribauthor"/>
          <w:rFonts w:ascii="Times New Roman" w:hAnsi="Times New Roman"/>
          <w:sz w:val="24"/>
          <w:szCs w:val="24"/>
        </w:rPr>
        <w:t>recognising</w:t>
      </w:r>
      <w:proofErr w:type="spellEnd"/>
      <w:r>
        <w:rPr>
          <w:rStyle w:val="hlfld-contribauthor"/>
          <w:rFonts w:ascii="Times New Roman" w:hAnsi="Times New Roman"/>
          <w:sz w:val="24"/>
          <w:szCs w:val="24"/>
        </w:rPr>
        <w:t xml:space="preserve"> and fostering potential collaborations. </w:t>
      </w:r>
    </w:p>
    <w:p w:rsidR="00964AB0" w:rsidRDefault="009259F5" w:rsidP="00355A92">
      <w:pPr>
        <w:pStyle w:val="BodyA"/>
        <w:spacing w:after="0"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At the BCUR conferences, </w:t>
      </w:r>
      <w:r w:rsidR="00355A92">
        <w:rPr>
          <w:rStyle w:val="hlfld-contribauthor"/>
          <w:rFonts w:ascii="Times New Roman" w:hAnsi="Times New Roman"/>
          <w:sz w:val="24"/>
          <w:szCs w:val="24"/>
        </w:rPr>
        <w:t xml:space="preserve">oral </w:t>
      </w:r>
      <w:r>
        <w:rPr>
          <w:rStyle w:val="hlfld-contribauthor"/>
          <w:rFonts w:ascii="Times New Roman" w:hAnsi="Times New Roman"/>
          <w:sz w:val="24"/>
          <w:szCs w:val="24"/>
        </w:rPr>
        <w:t xml:space="preserve">paper presenters found the exchange of critical feedback of significant value, helping to conquer self-doubt and extending research ideas and methodologies. This aligns with Crowe, Stanford and </w:t>
      </w:r>
      <w:proofErr w:type="spellStart"/>
      <w:r>
        <w:rPr>
          <w:rStyle w:val="hlfld-contribauthor"/>
          <w:rFonts w:ascii="Times New Roman" w:hAnsi="Times New Roman"/>
          <w:sz w:val="24"/>
          <w:szCs w:val="24"/>
        </w:rPr>
        <w:t>Shattell’s</w:t>
      </w:r>
      <w:proofErr w:type="spellEnd"/>
      <w:r>
        <w:rPr>
          <w:rStyle w:val="hlfld-contribauthor"/>
          <w:rFonts w:ascii="Times New Roman" w:hAnsi="Times New Roman"/>
          <w:sz w:val="24"/>
          <w:szCs w:val="24"/>
        </w:rPr>
        <w:t xml:space="preserve"> (2010) findings where 60% of students surveyed from three NCUR conferences agreed that presentation feedback was challenging and/or helpful. The time set aside for such feedback at BCUR was generally immediately after the presentation. Such ‘question and answer’</w:t>
      </w:r>
      <w:r>
        <w:rPr>
          <w:rStyle w:val="hlfld-contribauthor"/>
          <w:sz w:val="24"/>
          <w:szCs w:val="24"/>
        </w:rPr>
        <w:t xml:space="preserve"> </w:t>
      </w:r>
      <w:r>
        <w:rPr>
          <w:rStyle w:val="hlfld-contribauthor"/>
          <w:rFonts w:ascii="Times New Roman" w:hAnsi="Times New Roman"/>
          <w:sz w:val="24"/>
          <w:szCs w:val="24"/>
        </w:rPr>
        <w:t xml:space="preserve">sessions are best supported through the allotment of ample time by conference </w:t>
      </w:r>
      <w:proofErr w:type="spellStart"/>
      <w:r>
        <w:rPr>
          <w:rStyle w:val="hlfld-contribauthor"/>
          <w:rFonts w:ascii="Times New Roman" w:hAnsi="Times New Roman"/>
          <w:sz w:val="24"/>
          <w:szCs w:val="24"/>
        </w:rPr>
        <w:t>organisers</w:t>
      </w:r>
      <w:proofErr w:type="spellEnd"/>
      <w:r>
        <w:rPr>
          <w:rStyle w:val="hlfld-contribauthor"/>
          <w:rFonts w:ascii="Times New Roman" w:hAnsi="Times New Roman"/>
          <w:sz w:val="24"/>
          <w:szCs w:val="24"/>
        </w:rPr>
        <w:t xml:space="preserve">, </w:t>
      </w:r>
      <w:r w:rsidR="00355A92">
        <w:rPr>
          <w:rStyle w:val="hlfld-contribauthor"/>
          <w:rFonts w:ascii="Times New Roman" w:hAnsi="Times New Roman"/>
          <w:sz w:val="24"/>
          <w:szCs w:val="24"/>
        </w:rPr>
        <w:t>as well as</w:t>
      </w:r>
      <w:r>
        <w:rPr>
          <w:rStyle w:val="hlfld-contribauthor"/>
          <w:rFonts w:ascii="Times New Roman" w:hAnsi="Times New Roman"/>
          <w:sz w:val="24"/>
          <w:szCs w:val="24"/>
        </w:rPr>
        <w:t xml:space="preserve"> effective facilitation by trained session chairs (</w:t>
      </w:r>
      <w:proofErr w:type="spellStart"/>
      <w:r>
        <w:rPr>
          <w:rStyle w:val="hlfld-contribauthor"/>
          <w:rFonts w:ascii="Times New Roman" w:hAnsi="Times New Roman"/>
          <w:sz w:val="24"/>
          <w:szCs w:val="24"/>
        </w:rPr>
        <w:t>Hersh</w:t>
      </w:r>
      <w:proofErr w:type="spellEnd"/>
      <w:r>
        <w:rPr>
          <w:rStyle w:val="hlfld-contribauthor"/>
          <w:rFonts w:ascii="Times New Roman" w:hAnsi="Times New Roman"/>
          <w:sz w:val="24"/>
          <w:szCs w:val="24"/>
        </w:rPr>
        <w:t xml:space="preserve"> et al., 2011). An equal proportion of poster presenters also found critical feedback beneficial to them, hence the importance of specific timed slots when poster authors were required to be situated with their displays. </w:t>
      </w:r>
    </w:p>
    <w:p w:rsidR="00964AB0" w:rsidRDefault="00964AB0">
      <w:pPr>
        <w:pStyle w:val="BodyA"/>
        <w:spacing w:after="0" w:line="360" w:lineRule="auto"/>
        <w:rPr>
          <w:rFonts w:ascii="Times New Roman" w:eastAsia="Times New Roman" w:hAnsi="Times New Roman" w:cs="Times New Roman"/>
          <w:sz w:val="24"/>
          <w:szCs w:val="24"/>
        </w:rPr>
      </w:pPr>
    </w:p>
    <w:p w:rsidR="00964AB0" w:rsidRDefault="009259F5">
      <w:pPr>
        <w:pStyle w:val="BodyA"/>
        <w:spacing w:line="360" w:lineRule="auto"/>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Networking activities and opportunities, both academic and social, are important and an expected aspect of a conference experience.</w:t>
      </w:r>
      <w:proofErr w:type="gramEnd"/>
      <w:r>
        <w:rPr>
          <w:rStyle w:val="hlfld-contribauthor"/>
          <w:rFonts w:ascii="Times New Roman" w:hAnsi="Times New Roman"/>
          <w:sz w:val="24"/>
          <w:szCs w:val="24"/>
        </w:rPr>
        <w:t xml:space="preserve"> Critical learning occurs during social, informal exchanges that populate a conference. These ‘casual conversations’</w:t>
      </w:r>
      <w:r>
        <w:rPr>
          <w:rStyle w:val="hlfld-contribauthor"/>
          <w:sz w:val="24"/>
          <w:szCs w:val="24"/>
        </w:rPr>
        <w:t xml:space="preserve"> </w:t>
      </w:r>
      <w:r>
        <w:rPr>
          <w:rStyle w:val="hlfld-contribauthor"/>
          <w:rFonts w:ascii="Times New Roman" w:hAnsi="Times New Roman"/>
          <w:sz w:val="24"/>
          <w:szCs w:val="24"/>
        </w:rPr>
        <w:t>(</w:t>
      </w:r>
      <w:proofErr w:type="spellStart"/>
      <w:r>
        <w:rPr>
          <w:rStyle w:val="hlfld-contribauthor"/>
          <w:rFonts w:ascii="Times New Roman" w:hAnsi="Times New Roman"/>
          <w:sz w:val="24"/>
          <w:szCs w:val="24"/>
        </w:rPr>
        <w:t>Mabrouk</w:t>
      </w:r>
      <w:proofErr w:type="spellEnd"/>
      <w:r>
        <w:rPr>
          <w:rStyle w:val="hlfld-contribauthor"/>
          <w:rFonts w:ascii="Times New Roman" w:hAnsi="Times New Roman"/>
          <w:sz w:val="24"/>
          <w:szCs w:val="24"/>
        </w:rPr>
        <w:t xml:space="preserve">, 2009, p 1335) allow students to acquire knowledge about how research processes work within academic social frameworks. Perhaps less expected was the outcome for many attendees that the conference, through engaging students in authentic environments and engendering situated learning (Lave and Wenger, 1991), created an academic community of practice for student researchers. </w:t>
      </w:r>
      <w:proofErr w:type="spellStart"/>
      <w:r>
        <w:rPr>
          <w:rStyle w:val="hlfld-contribauthor"/>
          <w:rFonts w:ascii="Times New Roman" w:hAnsi="Times New Roman"/>
          <w:sz w:val="24"/>
          <w:szCs w:val="24"/>
        </w:rPr>
        <w:t>Mabrouk</w:t>
      </w:r>
      <w:proofErr w:type="spellEnd"/>
      <w:r>
        <w:rPr>
          <w:rStyle w:val="hlfld-contribauthor"/>
          <w:rFonts w:ascii="Times New Roman" w:hAnsi="Times New Roman"/>
          <w:sz w:val="24"/>
          <w:szCs w:val="24"/>
        </w:rPr>
        <w:t xml:space="preserve"> (2009) found that many undergraduates attending technical conferences were motivated to explore potential collaborations, to travel, and to improve their résumé</w:t>
      </w:r>
      <w:r w:rsidR="0072312B">
        <w:rPr>
          <w:rStyle w:val="hlfld-contribauthor"/>
          <w:rFonts w:ascii="Times New Roman" w:hAnsi="Times New Roman"/>
          <w:sz w:val="24"/>
          <w:szCs w:val="24"/>
        </w:rPr>
        <w:t>s</w:t>
      </w:r>
      <w:r>
        <w:rPr>
          <w:rStyle w:val="hlfld-contribauthor"/>
          <w:rFonts w:ascii="Times New Roman" w:hAnsi="Times New Roman"/>
          <w:sz w:val="24"/>
          <w:szCs w:val="24"/>
        </w:rPr>
        <w:t>; effectively embracing many of the elements that make up a professional conference experience.</w:t>
      </w:r>
    </w:p>
    <w:p w:rsidR="00964AB0" w:rsidRDefault="009259F5">
      <w:pPr>
        <w:pStyle w:val="BodyA"/>
        <w:spacing w:line="360" w:lineRule="auto"/>
        <w:rPr>
          <w:rFonts w:ascii="Times New Roman" w:eastAsia="Times New Roman" w:hAnsi="Times New Roman" w:cs="Times New Roman"/>
          <w:b/>
          <w:bCs/>
          <w:sz w:val="24"/>
          <w:szCs w:val="24"/>
        </w:rPr>
      </w:pPr>
      <w:r>
        <w:rPr>
          <w:rStyle w:val="hlfld-contribauthor"/>
          <w:rFonts w:ascii="Times New Roman" w:hAnsi="Times New Roman"/>
          <w:sz w:val="24"/>
          <w:szCs w:val="24"/>
        </w:rPr>
        <w:t xml:space="preserve">It is important that conferences are dynamic, enriching and beneficial experiences, providing opportunities for the majority, if not all, participants to present their research, rather than simply attending (Helm and Bailey, 2013; </w:t>
      </w:r>
      <w:proofErr w:type="spellStart"/>
      <w:r>
        <w:rPr>
          <w:rStyle w:val="hlfld-contribauthor"/>
          <w:rFonts w:ascii="Times New Roman" w:hAnsi="Times New Roman"/>
          <w:sz w:val="24"/>
          <w:szCs w:val="24"/>
        </w:rPr>
        <w:t>Mekolichick</w:t>
      </w:r>
      <w:proofErr w:type="spellEnd"/>
      <w:r>
        <w:rPr>
          <w:rStyle w:val="hlfld-contribauthor"/>
          <w:rFonts w:ascii="Times New Roman" w:hAnsi="Times New Roman"/>
          <w:sz w:val="24"/>
          <w:szCs w:val="24"/>
        </w:rPr>
        <w:t xml:space="preserve"> and Bellamy, 2012; Wakefield, </w:t>
      </w:r>
      <w:proofErr w:type="spellStart"/>
      <w:r>
        <w:rPr>
          <w:rStyle w:val="hlfld-contribauthor"/>
          <w:rFonts w:ascii="Times New Roman" w:hAnsi="Times New Roman"/>
          <w:sz w:val="24"/>
          <w:szCs w:val="24"/>
        </w:rPr>
        <w:t>Ribchester</w:t>
      </w:r>
      <w:proofErr w:type="spellEnd"/>
      <w:r>
        <w:rPr>
          <w:rStyle w:val="hlfld-contribauthor"/>
          <w:rFonts w:ascii="Times New Roman" w:hAnsi="Times New Roman"/>
          <w:sz w:val="24"/>
          <w:szCs w:val="24"/>
        </w:rPr>
        <w:t xml:space="preserve">, and France, 2008). There is likely to be a continuum of personal skills development, a confidence continuum, based on the level of active participation in a conference. Undergraduate research conferences arguably provide the flexibility to be </w:t>
      </w:r>
      <w:proofErr w:type="spellStart"/>
      <w:r>
        <w:rPr>
          <w:rStyle w:val="hlfld-contribauthor"/>
          <w:rFonts w:ascii="Times New Roman" w:hAnsi="Times New Roman"/>
          <w:sz w:val="24"/>
          <w:szCs w:val="24"/>
        </w:rPr>
        <w:t>customised</w:t>
      </w:r>
      <w:proofErr w:type="spellEnd"/>
      <w:r>
        <w:rPr>
          <w:rStyle w:val="hlfld-contribauthor"/>
          <w:rFonts w:ascii="Times New Roman" w:hAnsi="Times New Roman"/>
          <w:sz w:val="24"/>
          <w:szCs w:val="24"/>
        </w:rPr>
        <w:t xml:space="preserve"> to allow various stages of research activity to be presented by students, rather than the more customary research cycle in its entirety. </w:t>
      </w:r>
      <w:r w:rsidR="00675E99" w:rsidDel="00CE6845">
        <w:rPr>
          <w:rStyle w:val="hlfld-contribauthor"/>
          <w:rFonts w:ascii="Times New Roman" w:hAnsi="Times New Roman"/>
          <w:sz w:val="24"/>
          <w:szCs w:val="24"/>
        </w:rPr>
        <w:t xml:space="preserve"> </w:t>
      </w: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lastRenderedPageBreak/>
        <w:t>Conclusion</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A number of institutions use department or university-wide undergraduate student research events to prepare students for national research conferences (Healey and Jenkins, 2009; Seymour et al., 2004). The results here suggest these </w:t>
      </w:r>
      <w:r w:rsidR="0072312B">
        <w:rPr>
          <w:rStyle w:val="hlfld-contribauthor"/>
          <w:rFonts w:ascii="Times New Roman" w:hAnsi="Times New Roman"/>
          <w:sz w:val="24"/>
          <w:szCs w:val="24"/>
        </w:rPr>
        <w:t xml:space="preserve">conference </w:t>
      </w:r>
      <w:r>
        <w:rPr>
          <w:rStyle w:val="hlfld-contribauthor"/>
          <w:rFonts w:ascii="Times New Roman" w:hAnsi="Times New Roman"/>
          <w:sz w:val="24"/>
          <w:szCs w:val="24"/>
        </w:rPr>
        <w:t xml:space="preserve">opportunities have significant value for students and enhance their wider professional development, including the public engagement and communication skills that employers value (Archer and Davison, 2008). </w:t>
      </w:r>
    </w:p>
    <w:p w:rsidR="00964AB0" w:rsidRDefault="009259F5" w:rsidP="0072312B">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Undergraduate research conferences provide rich experiences that offer participants a range of activities, including plenary, panel, workshop, poster and symposia sessions, and networking opportunities. For those interested in the professional development of novice researchers, the alignment of the findings from this study with the RDF provides evidence for the range of impacts on </w:t>
      </w:r>
      <w:r w:rsidR="0072312B">
        <w:rPr>
          <w:rStyle w:val="hlfld-contribauthor"/>
          <w:rFonts w:ascii="Times New Roman" w:hAnsi="Times New Roman"/>
          <w:sz w:val="24"/>
          <w:szCs w:val="24"/>
        </w:rPr>
        <w:t>inexperienced</w:t>
      </w:r>
      <w:r>
        <w:rPr>
          <w:rStyle w:val="hlfld-contribauthor"/>
          <w:rFonts w:ascii="Times New Roman" w:hAnsi="Times New Roman"/>
          <w:sz w:val="24"/>
          <w:szCs w:val="24"/>
        </w:rPr>
        <w:t xml:space="preserve"> practitioners.</w:t>
      </w:r>
    </w:p>
    <w:p w:rsidR="007605AB" w:rsidRDefault="009259F5" w:rsidP="007605AB">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Within the broader context of supporting institutional strategies to develop undergraduate research and inquiry (Jenkins and Healey, 2009), HEI’s might well view undergraduate research conferences as an economic opportunity to enhance student/graduate research skills and wider graduate attributes (Barrie, 2004; Hill and Walkington, 2016). Such vehicles can also stimulate </w:t>
      </w:r>
      <w:r w:rsidR="00D66E4C">
        <w:rPr>
          <w:rStyle w:val="hlfld-contribauthor"/>
          <w:rFonts w:ascii="Times New Roman" w:hAnsi="Times New Roman"/>
          <w:sz w:val="24"/>
          <w:szCs w:val="24"/>
        </w:rPr>
        <w:t xml:space="preserve">broader </w:t>
      </w:r>
      <w:r>
        <w:rPr>
          <w:rStyle w:val="hlfld-contribauthor"/>
          <w:rFonts w:ascii="Times New Roman" w:hAnsi="Times New Roman"/>
          <w:sz w:val="24"/>
          <w:szCs w:val="24"/>
        </w:rPr>
        <w:t xml:space="preserve">interest in undergraduate research within institutions (BCUR, 2015), aligning and/or supplementing </w:t>
      </w:r>
      <w:r w:rsidR="007605AB">
        <w:rPr>
          <w:rStyle w:val="hlfld-contribauthor"/>
          <w:rFonts w:ascii="Times New Roman" w:hAnsi="Times New Roman"/>
          <w:sz w:val="24"/>
          <w:szCs w:val="24"/>
        </w:rPr>
        <w:t xml:space="preserve">opportunities to engage students in research in a much wider variety of formats than just conferences, such as undergraduate journals, research apprenticeships, and work placements (Walkington, 2015; Walkington and Jenkins, 2008). </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Across the ninety interviews we see a collective student experience generating benefits that contribute toward an individual’s professional development. To ensure these experiences are </w:t>
      </w:r>
      <w:proofErr w:type="spellStart"/>
      <w:r>
        <w:rPr>
          <w:rStyle w:val="hlfld-contribauthor"/>
          <w:rFonts w:ascii="Times New Roman" w:hAnsi="Times New Roman"/>
          <w:sz w:val="24"/>
          <w:szCs w:val="24"/>
        </w:rPr>
        <w:t>maximised</w:t>
      </w:r>
      <w:proofErr w:type="spellEnd"/>
      <w:r>
        <w:rPr>
          <w:rStyle w:val="hlfld-contribauthor"/>
          <w:rFonts w:ascii="Times New Roman" w:hAnsi="Times New Roman"/>
          <w:sz w:val="24"/>
          <w:szCs w:val="24"/>
        </w:rPr>
        <w:t xml:space="preserve"> and that student participants will learn the skills needed in order to meet certain RDF targets (Table 2), conference </w:t>
      </w:r>
      <w:proofErr w:type="spellStart"/>
      <w:r>
        <w:rPr>
          <w:rStyle w:val="hlfld-contribauthor"/>
          <w:rFonts w:ascii="Times New Roman" w:hAnsi="Times New Roman"/>
          <w:sz w:val="24"/>
          <w:szCs w:val="24"/>
        </w:rPr>
        <w:t>organisers</w:t>
      </w:r>
      <w:proofErr w:type="spellEnd"/>
      <w:r>
        <w:rPr>
          <w:rStyle w:val="hlfld-contribauthor"/>
          <w:rFonts w:ascii="Times New Roman" w:hAnsi="Times New Roman"/>
          <w:sz w:val="24"/>
          <w:szCs w:val="24"/>
        </w:rPr>
        <w:t xml:space="preserve"> may wish to:</w:t>
      </w:r>
    </w:p>
    <w:p w:rsidR="00964AB0" w:rsidRDefault="009259F5">
      <w:pPr>
        <w:pStyle w:val="ListParagraph"/>
        <w:numPr>
          <w:ilvl w:val="0"/>
          <w:numId w:val="2"/>
        </w:numPr>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Ensure equal space, time, attention and importance is afforded to poster sessions and to oral paper presentations  </w:t>
      </w:r>
    </w:p>
    <w:p w:rsidR="00964AB0" w:rsidRDefault="009259F5">
      <w:pPr>
        <w:pStyle w:val="ListParagraph"/>
        <w:numPr>
          <w:ilvl w:val="0"/>
          <w:numId w:val="4"/>
        </w:numPr>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Allocate adequate time for question and answer sessions following each paper presentation</w:t>
      </w:r>
    </w:p>
    <w:p w:rsidR="00964AB0" w:rsidRDefault="009259F5" w:rsidP="0072312B">
      <w:pPr>
        <w:pStyle w:val="ListParagraph"/>
        <w:numPr>
          <w:ilvl w:val="0"/>
          <w:numId w:val="6"/>
        </w:numPr>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lastRenderedPageBreak/>
        <w:t xml:space="preserve">Provide dedicated networking time and activities throughout the </w:t>
      </w:r>
      <w:proofErr w:type="spellStart"/>
      <w:r>
        <w:rPr>
          <w:rStyle w:val="hlfld-contribauthor"/>
          <w:rFonts w:ascii="Times New Roman" w:hAnsi="Times New Roman"/>
          <w:sz w:val="24"/>
          <w:szCs w:val="24"/>
        </w:rPr>
        <w:t>programme</w:t>
      </w:r>
      <w:proofErr w:type="spellEnd"/>
      <w:r>
        <w:rPr>
          <w:rStyle w:val="hlfld-contribauthor"/>
          <w:rFonts w:ascii="Times New Roman" w:hAnsi="Times New Roman"/>
          <w:sz w:val="24"/>
          <w:szCs w:val="24"/>
        </w:rPr>
        <w:t xml:space="preserve"> to enable conversations between students, and for students to understand the skills gained through practice </w:t>
      </w:r>
    </w:p>
    <w:p w:rsidR="00964AB0" w:rsidRDefault="009259F5">
      <w:pPr>
        <w:pStyle w:val="ListParagraph"/>
        <w:numPr>
          <w:ilvl w:val="0"/>
          <w:numId w:val="8"/>
        </w:numPr>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Encourage pre-presentation practice, allowing students to understand how a conference looks and feels, and develop their confidence in presenting </w:t>
      </w:r>
    </w:p>
    <w:p w:rsidR="00964AB0" w:rsidRDefault="009259F5">
      <w:pPr>
        <w:pStyle w:val="ListParagraph"/>
        <w:numPr>
          <w:ilvl w:val="0"/>
          <w:numId w:val="10"/>
        </w:numPr>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Facilitate attendance by non-presenters so that they also benefit from the overall conference experience and gain sufficient confidence to participate more actively in future events</w:t>
      </w:r>
    </w:p>
    <w:p w:rsidR="00964AB0" w:rsidRDefault="009259F5">
      <w:pPr>
        <w:pStyle w:val="BodyA"/>
        <w:spacing w:line="360" w:lineRule="auto"/>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A conference is just one fleeting event in an academic career. Making participants aware of this type of research dissemination and of the RDF in conference briefings and de-briefings could help participants to better understand and articulate their own academic, professional and employability development (</w:t>
      </w:r>
      <w:r>
        <w:rPr>
          <w:rStyle w:val="hlfld-contribauthor"/>
          <w:rFonts w:ascii="Times New Roman" w:hAnsi="Times New Roman"/>
          <w:sz w:val="24"/>
          <w:szCs w:val="24"/>
          <w:shd w:val="clear" w:color="auto" w:fill="FFFFFF"/>
        </w:rPr>
        <w:t>Fraser and Thomas, 2013; Su, 2014)</w:t>
      </w:r>
      <w:r>
        <w:rPr>
          <w:rStyle w:val="hlfld-contribauthor"/>
          <w:rFonts w:ascii="Times New Roman" w:hAnsi="Times New Roman"/>
          <w:sz w:val="24"/>
          <w:szCs w:val="24"/>
        </w:rPr>
        <w:t xml:space="preserve">.  </w:t>
      </w:r>
    </w:p>
    <w:p w:rsidR="00964AB0" w:rsidRDefault="00964AB0">
      <w:pPr>
        <w:pStyle w:val="BodyA"/>
        <w:spacing w:line="360" w:lineRule="auto"/>
        <w:rPr>
          <w:rFonts w:ascii="Times New Roman" w:eastAsia="Times New Roman" w:hAnsi="Times New Roman" w:cs="Times New Roman"/>
          <w:b/>
          <w:bCs/>
          <w:sz w:val="24"/>
          <w:szCs w:val="24"/>
        </w:rPr>
      </w:pPr>
    </w:p>
    <w:p w:rsidR="00964AB0" w:rsidRDefault="009259F5">
      <w:pPr>
        <w:pStyle w:val="BodyA"/>
        <w:spacing w:line="360" w:lineRule="auto"/>
        <w:rPr>
          <w:rStyle w:val="hlfld-contribauthor"/>
          <w:rFonts w:ascii="Times New Roman" w:eastAsia="Times New Roman" w:hAnsi="Times New Roman" w:cs="Times New Roman"/>
          <w:b/>
          <w:bCs/>
          <w:sz w:val="24"/>
          <w:szCs w:val="24"/>
        </w:rPr>
      </w:pPr>
      <w:r>
        <w:rPr>
          <w:rStyle w:val="hlfld-contribauthor"/>
          <w:rFonts w:ascii="Times New Roman" w:hAnsi="Times New Roman"/>
          <w:b/>
          <w:bCs/>
          <w:sz w:val="24"/>
          <w:szCs w:val="24"/>
        </w:rPr>
        <w:t>References</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Anderson, D. and </w:t>
      </w:r>
      <w:proofErr w:type="spellStart"/>
      <w:r>
        <w:rPr>
          <w:rStyle w:val="hlfld-contribauthor"/>
          <w:rFonts w:ascii="Times New Roman" w:hAnsi="Times New Roman"/>
          <w:sz w:val="24"/>
          <w:szCs w:val="24"/>
        </w:rPr>
        <w:t>Passera</w:t>
      </w:r>
      <w:proofErr w:type="spellEnd"/>
      <w:r>
        <w:rPr>
          <w:rStyle w:val="hlfld-contribauthor"/>
          <w:rFonts w:ascii="Times New Roman" w:hAnsi="Times New Roman"/>
          <w:sz w:val="24"/>
          <w:szCs w:val="24"/>
        </w:rPr>
        <w:t>, M. (2015).</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“Experts and Novices” up-dated: introducing the mini conference.</w:t>
      </w:r>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In Festival of Learning conference 2015, 12-16 Jan 2015.</w:t>
      </w:r>
      <w:proofErr w:type="gramEnd"/>
      <w:r>
        <w:rPr>
          <w:rStyle w:val="hlfld-contribauthor"/>
          <w:rFonts w:ascii="Times New Roman" w:hAnsi="Times New Roman"/>
          <w:sz w:val="24"/>
          <w:szCs w:val="24"/>
        </w:rPr>
        <w:t xml:space="preserve"> Kingston </w:t>
      </w:r>
      <w:proofErr w:type="gramStart"/>
      <w:r>
        <w:rPr>
          <w:rStyle w:val="hlfld-contribauthor"/>
          <w:rFonts w:ascii="Times New Roman" w:hAnsi="Times New Roman"/>
          <w:sz w:val="24"/>
          <w:szCs w:val="24"/>
        </w:rPr>
        <w:t>Upon</w:t>
      </w:r>
      <w:proofErr w:type="gramEnd"/>
      <w:r>
        <w:rPr>
          <w:rStyle w:val="hlfld-contribauthor"/>
          <w:rFonts w:ascii="Times New Roman" w:hAnsi="Times New Roman"/>
          <w:sz w:val="24"/>
          <w:szCs w:val="24"/>
        </w:rPr>
        <w:t xml:space="preserve"> Thames: Kingston University. </w:t>
      </w:r>
      <w:proofErr w:type="gramStart"/>
      <w:r>
        <w:rPr>
          <w:rStyle w:val="hlfld-contribauthor"/>
          <w:rFonts w:ascii="Times New Roman" w:hAnsi="Times New Roman"/>
          <w:sz w:val="24"/>
          <w:szCs w:val="24"/>
        </w:rPr>
        <w:t>Accessed 3 March 2016.</w:t>
      </w:r>
      <w:proofErr w:type="gramEnd"/>
      <w:r>
        <w:rPr>
          <w:rStyle w:val="hlfld-contribauthor"/>
          <w:rFonts w:ascii="Times New Roman" w:hAnsi="Times New Roman"/>
          <w:sz w:val="24"/>
          <w:szCs w:val="24"/>
        </w:rPr>
        <w:t xml:space="preserve"> http://eprints.kingston.ac.uk/id/eprint/32882.</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Archer, W. and Davison, J. (2008).</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Graduate Employability: what do employers think and want?</w:t>
      </w:r>
      <w:r>
        <w:rPr>
          <w:rStyle w:val="hlfld-contribauthor"/>
          <w:rFonts w:ascii="Times New Roman" w:hAnsi="Times New Roman"/>
          <w:sz w:val="24"/>
          <w:szCs w:val="24"/>
        </w:rPr>
        <w:t xml:space="preserve"> London: The Council for Industry and Higher Education.</w:t>
      </w:r>
    </w:p>
    <w:p w:rsidR="00964AB0" w:rsidRPr="009F4F9F" w:rsidRDefault="009259F5">
      <w:pPr>
        <w:pStyle w:val="BodyA"/>
        <w:spacing w:line="360" w:lineRule="auto"/>
        <w:ind w:left="567" w:hanging="567"/>
        <w:rPr>
          <w:rStyle w:val="hlfld-contribauthor"/>
          <w:rFonts w:ascii="Times New Roman" w:eastAsia="Times New Roman" w:hAnsi="Times New Roman" w:cs="Times New Roman"/>
          <w:sz w:val="24"/>
          <w:szCs w:val="24"/>
        </w:rPr>
      </w:pPr>
      <w:r w:rsidRPr="009F4F9F">
        <w:rPr>
          <w:rStyle w:val="hlfld-contribauthor"/>
          <w:rFonts w:ascii="Times New Roman" w:hAnsi="Times New Roman"/>
          <w:sz w:val="24"/>
          <w:szCs w:val="24"/>
        </w:rPr>
        <w:t xml:space="preserve">Barrie, S.C. (2004). A research-based approach to generic graduate attributes policy. </w:t>
      </w:r>
      <w:r w:rsidRPr="009F4F9F">
        <w:rPr>
          <w:rStyle w:val="hlfld-contribauthor"/>
          <w:rFonts w:ascii="Times New Roman" w:hAnsi="Times New Roman"/>
          <w:i/>
          <w:iCs/>
          <w:sz w:val="24"/>
          <w:szCs w:val="24"/>
        </w:rPr>
        <w:t>Higher Education Research &amp; Development</w:t>
      </w:r>
      <w:r w:rsidRPr="009F4F9F">
        <w:rPr>
          <w:rStyle w:val="hlfld-contribauthor"/>
          <w:rFonts w:ascii="Times New Roman" w:hAnsi="Times New Roman"/>
          <w:sz w:val="24"/>
          <w:szCs w:val="24"/>
        </w:rPr>
        <w:t xml:space="preserve">, 23, 261-275.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proofErr w:type="gramStart"/>
      <w:r>
        <w:rPr>
          <w:rStyle w:val="hlfld-contribauthor"/>
          <w:rFonts w:ascii="Times New Roman" w:hAnsi="Times New Roman"/>
          <w:sz w:val="24"/>
          <w:szCs w:val="24"/>
        </w:rPr>
        <w:t>Bazeley</w:t>
      </w:r>
      <w:proofErr w:type="spellEnd"/>
      <w:r>
        <w:rPr>
          <w:rStyle w:val="hlfld-contribauthor"/>
          <w:rFonts w:ascii="Times New Roman" w:hAnsi="Times New Roman"/>
          <w:sz w:val="24"/>
          <w:szCs w:val="24"/>
        </w:rPr>
        <w:t>, P. and Jackson, K. (2013).</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i/>
          <w:iCs/>
          <w:sz w:val="24"/>
          <w:szCs w:val="24"/>
        </w:rPr>
        <w:t xml:space="preserve">Qualitative Data Analysis with </w:t>
      </w:r>
      <w:proofErr w:type="spellStart"/>
      <w:r>
        <w:rPr>
          <w:rStyle w:val="hlfld-contribauthor"/>
          <w:rFonts w:ascii="Times New Roman" w:hAnsi="Times New Roman"/>
          <w:i/>
          <w:iCs/>
          <w:sz w:val="24"/>
          <w:szCs w:val="24"/>
        </w:rPr>
        <w:t>NVivo</w:t>
      </w:r>
      <w:proofErr w:type="spellEnd"/>
      <w:r>
        <w:rPr>
          <w:rStyle w:val="hlfld-contribauthor"/>
          <w:rFonts w:ascii="Times New Roman" w:hAnsi="Times New Roman"/>
          <w:sz w:val="24"/>
          <w:szCs w:val="24"/>
        </w:rPr>
        <w:t>.</w:t>
      </w:r>
      <w:proofErr w:type="gramEnd"/>
      <w:r>
        <w:rPr>
          <w:rStyle w:val="hlfld-contribauthor"/>
          <w:rFonts w:ascii="Times New Roman" w:hAnsi="Times New Roman"/>
          <w:sz w:val="24"/>
          <w:szCs w:val="24"/>
        </w:rPr>
        <w:t xml:space="preserve"> London: Sage.</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British Conference of Undergraduate Research (BCUR) (2015).</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i/>
          <w:iCs/>
          <w:sz w:val="24"/>
          <w:szCs w:val="24"/>
        </w:rPr>
        <w:t>Developing Undergraduate Research: A Support Pack by the British Conference of Undergraduate Research</w:t>
      </w:r>
      <w:r>
        <w:rPr>
          <w:rStyle w:val="hlfld-contribauthor"/>
          <w:rFonts w:ascii="Times New Roman" w:hAnsi="Times New Roman"/>
          <w:sz w:val="24"/>
          <w:szCs w:val="24"/>
        </w:rPr>
        <w:t>.</w:t>
      </w:r>
      <w:proofErr w:type="gramEnd"/>
      <w:r>
        <w:rPr>
          <w:rStyle w:val="hlfld-contribauthor"/>
          <w:rFonts w:ascii="Times New Roman" w:hAnsi="Times New Roman"/>
          <w:sz w:val="24"/>
          <w:szCs w:val="24"/>
        </w:rPr>
        <w:t xml:space="preserve"> University of Central Lancashire: Centre for Research-informed Teaching.</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Bray, R. and Boon, S. (2011). </w:t>
      </w:r>
      <w:proofErr w:type="gramStart"/>
      <w:r>
        <w:rPr>
          <w:rStyle w:val="hlfld-contribauthor"/>
          <w:rFonts w:ascii="Times New Roman" w:hAnsi="Times New Roman"/>
          <w:sz w:val="24"/>
          <w:szCs w:val="24"/>
        </w:rPr>
        <w:t>Towards a framework for research career development.</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International Journal for Researcher Development</w:t>
      </w:r>
      <w:r>
        <w:rPr>
          <w:rStyle w:val="hlfld-contribauthor"/>
          <w:rFonts w:ascii="Times New Roman" w:hAnsi="Times New Roman"/>
          <w:sz w:val="24"/>
          <w:szCs w:val="24"/>
        </w:rPr>
        <w:t>, 2 (2): 99-116.</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proofErr w:type="gramStart"/>
      <w:r>
        <w:rPr>
          <w:rStyle w:val="hlfld-contribauthor"/>
          <w:rFonts w:ascii="Times New Roman" w:hAnsi="Times New Roman"/>
          <w:sz w:val="24"/>
          <w:szCs w:val="24"/>
        </w:rPr>
        <w:lastRenderedPageBreak/>
        <w:t>Chickering</w:t>
      </w:r>
      <w:proofErr w:type="spellEnd"/>
      <w:r>
        <w:rPr>
          <w:rStyle w:val="hlfld-contribauthor"/>
          <w:rFonts w:ascii="Times New Roman" w:hAnsi="Times New Roman"/>
          <w:sz w:val="24"/>
          <w:szCs w:val="24"/>
        </w:rPr>
        <w:t xml:space="preserve">, A. W. and </w:t>
      </w:r>
      <w:proofErr w:type="spellStart"/>
      <w:r>
        <w:rPr>
          <w:rStyle w:val="hlfld-contribauthor"/>
          <w:rFonts w:ascii="Times New Roman" w:hAnsi="Times New Roman"/>
          <w:sz w:val="24"/>
          <w:szCs w:val="24"/>
        </w:rPr>
        <w:t>Gamson</w:t>
      </w:r>
      <w:proofErr w:type="spellEnd"/>
      <w:r>
        <w:rPr>
          <w:rStyle w:val="hlfld-contribauthor"/>
          <w:rFonts w:ascii="Times New Roman" w:hAnsi="Times New Roman"/>
          <w:sz w:val="24"/>
          <w:szCs w:val="24"/>
        </w:rPr>
        <w:t>, Z. F. (1999).</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Development and Adaptations of the Seven Principles for Good Practice in Undergraduate Education.</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New Directions for Teaching and Learning</w:t>
      </w:r>
      <w:r>
        <w:rPr>
          <w:rStyle w:val="hlfld-contribauthor"/>
          <w:rFonts w:ascii="Times New Roman" w:hAnsi="Times New Roman"/>
          <w:sz w:val="24"/>
          <w:szCs w:val="24"/>
        </w:rPr>
        <w:t xml:space="preserve">, 80: 75–81.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Crowe, M., Stanford, D. and </w:t>
      </w:r>
      <w:proofErr w:type="spellStart"/>
      <w:r>
        <w:rPr>
          <w:rStyle w:val="hlfld-contribauthor"/>
          <w:rFonts w:ascii="Times New Roman" w:hAnsi="Times New Roman"/>
          <w:sz w:val="24"/>
          <w:szCs w:val="24"/>
        </w:rPr>
        <w:t>Shattell</w:t>
      </w:r>
      <w:proofErr w:type="spellEnd"/>
      <w:r>
        <w:rPr>
          <w:rStyle w:val="hlfld-contribauthor"/>
          <w:rFonts w:ascii="Times New Roman" w:hAnsi="Times New Roman"/>
          <w:sz w:val="24"/>
          <w:szCs w:val="24"/>
        </w:rPr>
        <w:t>, M. (2010).</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Student and Faculty Perceptions of the National Conference on Undergraduate Research (NCUR).</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Council on Undergraduate Research Quarterly</w:t>
      </w:r>
      <w:r>
        <w:rPr>
          <w:rStyle w:val="hlfld-contribauthor"/>
          <w:rFonts w:ascii="Times New Roman" w:hAnsi="Times New Roman"/>
          <w:sz w:val="24"/>
          <w:szCs w:val="24"/>
        </w:rPr>
        <w:t>, 31 (1): 14-17.</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proofErr w:type="gramStart"/>
      <w:r>
        <w:rPr>
          <w:rStyle w:val="hlfld-contribauthor"/>
          <w:rFonts w:ascii="Times New Roman" w:hAnsi="Times New Roman"/>
          <w:sz w:val="24"/>
          <w:szCs w:val="24"/>
        </w:rPr>
        <w:t>Ewell</w:t>
      </w:r>
      <w:proofErr w:type="spellEnd"/>
      <w:r>
        <w:rPr>
          <w:rStyle w:val="hlfld-contribauthor"/>
          <w:rFonts w:ascii="Times New Roman" w:hAnsi="Times New Roman"/>
          <w:sz w:val="24"/>
          <w:szCs w:val="24"/>
        </w:rPr>
        <w:t>, P. and Jones, D. (1996).</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Indicators of "good practice" in undergraduate education: A handbook for development and implementation</w:t>
      </w:r>
      <w:r>
        <w:rPr>
          <w:rStyle w:val="hlfld-contribauthor"/>
          <w:rFonts w:ascii="Times New Roman" w:hAnsi="Times New Roman"/>
          <w:sz w:val="24"/>
          <w:szCs w:val="24"/>
        </w:rPr>
        <w:t>. Boulder, CO: National Center for Higher Education Management Systems.</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Fraser, K. and Thomas, T. (2013).</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Challenges of assuring the development of graduate attributes in a Bachelor of Arts.</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Higher Education Research &amp; Development</w:t>
      </w:r>
      <w:r>
        <w:rPr>
          <w:rStyle w:val="hlfld-contribauthor"/>
          <w:rFonts w:ascii="Times New Roman" w:hAnsi="Times New Roman"/>
          <w:sz w:val="24"/>
          <w:szCs w:val="24"/>
        </w:rPr>
        <w:t>, 32, 545-560.</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shd w:val="clear" w:color="auto" w:fill="FFFFFF"/>
        </w:rPr>
        <w:t>Galetta</w:t>
      </w:r>
      <w:proofErr w:type="spellEnd"/>
      <w:r>
        <w:rPr>
          <w:rStyle w:val="hlfld-contribauthor"/>
          <w:rFonts w:ascii="Times New Roman" w:hAnsi="Times New Roman"/>
          <w:sz w:val="24"/>
          <w:szCs w:val="24"/>
          <w:shd w:val="clear" w:color="auto" w:fill="FFFFFF"/>
        </w:rPr>
        <w:t xml:space="preserve">, A. (2013). </w:t>
      </w:r>
      <w:r>
        <w:rPr>
          <w:rStyle w:val="hlfld-contribauthor"/>
          <w:rFonts w:ascii="Times New Roman" w:hAnsi="Times New Roman"/>
          <w:i/>
          <w:iCs/>
          <w:sz w:val="24"/>
          <w:szCs w:val="24"/>
          <w:shd w:val="clear" w:color="auto" w:fill="FFFFFF"/>
        </w:rPr>
        <w:t>Mastering the Semi-structured Interview and Beyond</w:t>
      </w:r>
      <w:r>
        <w:rPr>
          <w:rStyle w:val="hlfld-contribauthor"/>
          <w:rFonts w:ascii="Times New Roman" w:hAnsi="Times New Roman"/>
          <w:sz w:val="24"/>
          <w:szCs w:val="24"/>
          <w:shd w:val="clear" w:color="auto" w:fill="FFFFFF"/>
        </w:rPr>
        <w:t>. London: New York University Press.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proofErr w:type="gramStart"/>
      <w:r>
        <w:rPr>
          <w:rStyle w:val="hlfld-contribauthor"/>
          <w:rFonts w:ascii="Times New Roman" w:hAnsi="Times New Roman"/>
          <w:sz w:val="24"/>
          <w:szCs w:val="24"/>
        </w:rPr>
        <w:t>Garaffa</w:t>
      </w:r>
      <w:proofErr w:type="spellEnd"/>
      <w:r>
        <w:rPr>
          <w:rStyle w:val="hlfld-contribauthor"/>
          <w:rFonts w:ascii="Times New Roman" w:hAnsi="Times New Roman"/>
          <w:sz w:val="24"/>
          <w:szCs w:val="24"/>
        </w:rPr>
        <w:t xml:space="preserve">, T. and </w:t>
      </w:r>
      <w:proofErr w:type="spellStart"/>
      <w:r>
        <w:rPr>
          <w:rStyle w:val="hlfld-contribauthor"/>
          <w:rFonts w:ascii="Times New Roman" w:hAnsi="Times New Roman"/>
          <w:sz w:val="24"/>
          <w:szCs w:val="24"/>
        </w:rPr>
        <w:t>Brians</w:t>
      </w:r>
      <w:proofErr w:type="spellEnd"/>
      <w:r>
        <w:rPr>
          <w:rStyle w:val="hlfld-contribauthor"/>
          <w:rFonts w:ascii="Times New Roman" w:hAnsi="Times New Roman"/>
          <w:sz w:val="24"/>
          <w:szCs w:val="24"/>
        </w:rPr>
        <w:t>, C. (2011).</w:t>
      </w:r>
      <w:proofErr w:type="gramEnd"/>
      <w:r>
        <w:rPr>
          <w:rStyle w:val="hlfld-contribauthor"/>
          <w:rFonts w:ascii="Times New Roman" w:hAnsi="Times New Roman"/>
          <w:sz w:val="24"/>
          <w:szCs w:val="24"/>
        </w:rPr>
        <w:t xml:space="preserve"> Two Views of a Conference Presentation: An Undergraduate's First Research Conference Experience, </w:t>
      </w:r>
      <w:r>
        <w:rPr>
          <w:rStyle w:val="hlfld-contribauthor"/>
          <w:rFonts w:ascii="Times New Roman" w:hAnsi="Times New Roman"/>
          <w:i/>
          <w:iCs/>
          <w:sz w:val="24"/>
          <w:szCs w:val="24"/>
        </w:rPr>
        <w:t>Journal of Political Science Education</w:t>
      </w:r>
      <w:r>
        <w:rPr>
          <w:rStyle w:val="hlfld-contribauthor"/>
          <w:rFonts w:ascii="Times New Roman" w:hAnsi="Times New Roman"/>
          <w:sz w:val="24"/>
          <w:szCs w:val="24"/>
        </w:rPr>
        <w:t>, 7 (2): 240-242.</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rPr>
        <w:t>Guterman</w:t>
      </w:r>
      <w:proofErr w:type="spellEnd"/>
      <w:r>
        <w:rPr>
          <w:rStyle w:val="hlfld-contribauthor"/>
          <w:rFonts w:ascii="Times New Roman" w:hAnsi="Times New Roman"/>
          <w:sz w:val="24"/>
          <w:szCs w:val="24"/>
        </w:rPr>
        <w:t xml:space="preserve">, L. (2007). What good is undergraduate research, anyway? </w:t>
      </w:r>
      <w:r>
        <w:rPr>
          <w:rStyle w:val="hlfld-contribauthor"/>
          <w:rFonts w:ascii="Times New Roman" w:hAnsi="Times New Roman"/>
          <w:i/>
          <w:iCs/>
          <w:sz w:val="24"/>
          <w:szCs w:val="24"/>
        </w:rPr>
        <w:t>The Chronicle of Higher Education</w:t>
      </w:r>
      <w:r>
        <w:rPr>
          <w:rStyle w:val="hlfld-contribauthor"/>
          <w:rFonts w:ascii="Times New Roman" w:hAnsi="Times New Roman"/>
          <w:sz w:val="24"/>
          <w:szCs w:val="24"/>
        </w:rPr>
        <w:t>, 53 (50): 1-6.</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Healey, M. and Jenkins, A. (2009) </w:t>
      </w:r>
      <w:r>
        <w:rPr>
          <w:rStyle w:val="hlfld-contribauthor"/>
          <w:rFonts w:ascii="Times New Roman" w:hAnsi="Times New Roman"/>
          <w:i/>
          <w:iCs/>
          <w:sz w:val="24"/>
          <w:szCs w:val="24"/>
        </w:rPr>
        <w:t>Developing undergraduate research and inquiry</w:t>
      </w:r>
      <w:r>
        <w:rPr>
          <w:rStyle w:val="hlfld-contribauthor"/>
          <w:rFonts w:ascii="Times New Roman" w:hAnsi="Times New Roman"/>
          <w:sz w:val="24"/>
          <w:szCs w:val="24"/>
        </w:rPr>
        <w:t>.</w:t>
      </w:r>
      <w:proofErr w:type="gramEnd"/>
      <w:r>
        <w:rPr>
          <w:rStyle w:val="hlfld-contribauthor"/>
          <w:rFonts w:ascii="Times New Roman" w:hAnsi="Times New Roman"/>
          <w:sz w:val="24"/>
          <w:szCs w:val="24"/>
        </w:rPr>
        <w:t xml:space="preserve"> York: HE Academy. </w:t>
      </w:r>
      <w:proofErr w:type="gramStart"/>
      <w:r>
        <w:rPr>
          <w:rStyle w:val="hlfld-contribauthor"/>
          <w:rFonts w:ascii="Times New Roman" w:hAnsi="Times New Roman"/>
        </w:rPr>
        <w:t>Accessed April 2015.</w:t>
      </w:r>
      <w:proofErr w:type="gramEnd"/>
      <w:r>
        <w:rPr>
          <w:rStyle w:val="hlfld-contribauthor"/>
          <w:rFonts w:ascii="Times New Roman" w:hAnsi="Times New Roman"/>
        </w:rPr>
        <w:t xml:space="preserve"> h</w:t>
      </w:r>
      <w:r>
        <w:rPr>
          <w:rStyle w:val="hlfld-contribauthor"/>
          <w:rFonts w:ascii="Times New Roman" w:hAnsi="Times New Roman"/>
          <w:sz w:val="24"/>
          <w:szCs w:val="24"/>
        </w:rPr>
        <w:t>ttps://www.heacademy.ac.uk/node/3146</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Helm, H. and Bailey, K. (2013).</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Perceived Benefits of Presenting Undergraduate Research at a Professional Conference.</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North American Journal of Psychology</w:t>
      </w:r>
      <w:r>
        <w:rPr>
          <w:rStyle w:val="hlfld-contribauthor"/>
          <w:rFonts w:ascii="Times New Roman" w:hAnsi="Times New Roman"/>
          <w:sz w:val="24"/>
          <w:szCs w:val="24"/>
        </w:rPr>
        <w:t>, 15 (3): 527-536.</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proofErr w:type="gramStart"/>
      <w:r>
        <w:rPr>
          <w:rStyle w:val="hlfld-contribauthor"/>
          <w:rFonts w:ascii="Times New Roman" w:hAnsi="Times New Roman"/>
          <w:sz w:val="24"/>
          <w:szCs w:val="24"/>
        </w:rPr>
        <w:t>Hersh</w:t>
      </w:r>
      <w:proofErr w:type="spellEnd"/>
      <w:r>
        <w:rPr>
          <w:rStyle w:val="hlfld-contribauthor"/>
          <w:rFonts w:ascii="Times New Roman" w:hAnsi="Times New Roman"/>
          <w:sz w:val="24"/>
          <w:szCs w:val="24"/>
        </w:rPr>
        <w:t xml:space="preserve">, C., </w:t>
      </w:r>
      <w:proofErr w:type="spellStart"/>
      <w:r>
        <w:rPr>
          <w:rStyle w:val="hlfld-contribauthor"/>
          <w:rFonts w:ascii="Times New Roman" w:hAnsi="Times New Roman"/>
          <w:sz w:val="24"/>
          <w:szCs w:val="24"/>
        </w:rPr>
        <w:t>Hiro</w:t>
      </w:r>
      <w:proofErr w:type="spellEnd"/>
      <w:r>
        <w:rPr>
          <w:rStyle w:val="hlfld-contribauthor"/>
          <w:rFonts w:ascii="Times New Roman" w:hAnsi="Times New Roman"/>
          <w:sz w:val="24"/>
          <w:szCs w:val="24"/>
        </w:rPr>
        <w:t xml:space="preserve">, M. and </w:t>
      </w:r>
      <w:proofErr w:type="spellStart"/>
      <w:r>
        <w:rPr>
          <w:rStyle w:val="hlfld-contribauthor"/>
          <w:rFonts w:ascii="Times New Roman" w:hAnsi="Times New Roman"/>
          <w:sz w:val="24"/>
          <w:szCs w:val="24"/>
        </w:rPr>
        <w:t>Asarnow</w:t>
      </w:r>
      <w:proofErr w:type="spellEnd"/>
      <w:r>
        <w:rPr>
          <w:rStyle w:val="hlfld-contribauthor"/>
          <w:rFonts w:ascii="Times New Roman" w:hAnsi="Times New Roman"/>
          <w:sz w:val="24"/>
          <w:szCs w:val="24"/>
        </w:rPr>
        <w:t>, H. (2011).</w:t>
      </w:r>
      <w:proofErr w:type="gramEnd"/>
      <w:r>
        <w:rPr>
          <w:rStyle w:val="hlfld-contribauthor"/>
          <w:rFonts w:ascii="Times New Roman" w:hAnsi="Times New Roman"/>
          <w:sz w:val="24"/>
          <w:szCs w:val="24"/>
        </w:rPr>
        <w:t xml:space="preserve"> The Undergraduate Literature Conference: A Report from the Field. </w:t>
      </w:r>
      <w:r>
        <w:rPr>
          <w:rStyle w:val="hlfld-contribauthor"/>
          <w:rFonts w:ascii="Times New Roman" w:hAnsi="Times New Roman"/>
          <w:i/>
          <w:iCs/>
          <w:sz w:val="24"/>
          <w:szCs w:val="24"/>
        </w:rPr>
        <w:t>Pedagogy</w:t>
      </w:r>
      <w:r>
        <w:rPr>
          <w:rStyle w:val="hlfld-contribauthor"/>
          <w:rFonts w:ascii="Times New Roman" w:hAnsi="Times New Roman"/>
          <w:sz w:val="24"/>
          <w:szCs w:val="24"/>
        </w:rPr>
        <w:t xml:space="preserve"> 11(2): 395-404.</w:t>
      </w:r>
    </w:p>
    <w:p w:rsidR="00964AB0" w:rsidRDefault="009259F5">
      <w:pPr>
        <w:pStyle w:val="Default"/>
        <w:spacing w:after="120"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Hill, J. and Walkington, H. (2012).</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One step closer to the real world’: engaging students in authentic research dissemination beyond the curriculum</w:t>
      </w:r>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ISSOTL Conference, Hamilton, Ontario, Canada [paper] 27/10/12.</w:t>
      </w:r>
      <w:proofErr w:type="gramEnd"/>
      <w:r>
        <w:rPr>
          <w:rStyle w:val="hlfld-contribauthor"/>
          <w:rFonts w:ascii="Times New Roman" w:hAnsi="Times New Roman"/>
          <w:sz w:val="24"/>
          <w:szCs w:val="24"/>
        </w:rPr>
        <w:t xml:space="preserve"> </w:t>
      </w:r>
    </w:p>
    <w:p w:rsidR="00964AB0" w:rsidRDefault="009259F5">
      <w:pPr>
        <w:pStyle w:val="Default"/>
        <w:spacing w:after="120"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lastRenderedPageBreak/>
        <w:t>Hill, J.</w:t>
      </w:r>
      <w:r>
        <w:rPr>
          <w:rStyle w:val="hlfld-contribauthor"/>
          <w:rFonts w:ascii="Times New Roman" w:hAnsi="Times New Roman"/>
          <w:b/>
          <w:bCs/>
          <w:sz w:val="24"/>
          <w:szCs w:val="24"/>
        </w:rPr>
        <w:t xml:space="preserve"> </w:t>
      </w:r>
      <w:r>
        <w:rPr>
          <w:rStyle w:val="hlfld-contribauthor"/>
          <w:rFonts w:ascii="Times New Roman" w:hAnsi="Times New Roman"/>
          <w:sz w:val="24"/>
          <w:szCs w:val="24"/>
        </w:rPr>
        <w:t>and Walkington, H. (2016)</w:t>
      </w:r>
      <w:r>
        <w:rPr>
          <w:rStyle w:val="hlfld-contribauthor"/>
          <w:rFonts w:ascii="Times New Roman" w:hAnsi="Times New Roman"/>
          <w:b/>
          <w:bCs/>
          <w:sz w:val="24"/>
          <w:szCs w:val="24"/>
        </w:rPr>
        <w:t xml:space="preserve"> </w:t>
      </w:r>
      <w:r>
        <w:rPr>
          <w:rStyle w:val="hlfld-contribauthor"/>
          <w:rFonts w:ascii="Times New Roman" w:hAnsi="Times New Roman"/>
          <w:sz w:val="24"/>
          <w:szCs w:val="24"/>
        </w:rPr>
        <w:t xml:space="preserve">Developing graduate attributes through participation in undergraduate research conferences. </w:t>
      </w:r>
      <w:proofErr w:type="gramStart"/>
      <w:r>
        <w:rPr>
          <w:rStyle w:val="hlfld-contribauthor"/>
          <w:rFonts w:ascii="Times New Roman" w:hAnsi="Times New Roman"/>
          <w:i/>
          <w:iCs/>
          <w:sz w:val="24"/>
          <w:szCs w:val="24"/>
        </w:rPr>
        <w:t>Journal of Geography in Higher Education</w:t>
      </w:r>
      <w:r>
        <w:rPr>
          <w:rStyle w:val="hlfld-contribauthor"/>
          <w:rFonts w:ascii="Times New Roman" w:hAnsi="Times New Roman"/>
          <w:sz w:val="24"/>
          <w:szCs w:val="24"/>
        </w:rPr>
        <w:t xml:space="preserve"> (in press).</w:t>
      </w:r>
      <w:proofErr w:type="gramEnd"/>
      <w:r>
        <w:t xml:space="preserve"> </w:t>
      </w:r>
      <w:r>
        <w:rPr>
          <w:rStyle w:val="hlfld-contribauthor"/>
          <w:rFonts w:ascii="Times New Roman" w:hAnsi="Times New Roman"/>
          <w:sz w:val="24"/>
          <w:szCs w:val="24"/>
        </w:rPr>
        <w:t>DOI: 10.1080/03098265.2016.1140128.</w:t>
      </w:r>
    </w:p>
    <w:p w:rsidR="00964AB0" w:rsidRDefault="009259F5">
      <w:pPr>
        <w:pStyle w:val="Default"/>
        <w:spacing w:after="120" w:line="360" w:lineRule="auto"/>
        <w:ind w:left="567" w:hanging="567"/>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rPr>
        <w:t>Hounsell</w:t>
      </w:r>
      <w:proofErr w:type="spellEnd"/>
      <w:r>
        <w:rPr>
          <w:rStyle w:val="hlfld-contribauthor"/>
          <w:rFonts w:ascii="Times New Roman" w:hAnsi="Times New Roman"/>
          <w:sz w:val="24"/>
          <w:szCs w:val="24"/>
        </w:rPr>
        <w:t xml:space="preserve">, D. (2011). </w:t>
      </w:r>
      <w:r>
        <w:rPr>
          <w:rStyle w:val="hlfld-contribauthor"/>
          <w:rFonts w:ascii="Times New Roman" w:hAnsi="Times New Roman"/>
          <w:i/>
          <w:iCs/>
          <w:sz w:val="24"/>
          <w:szCs w:val="24"/>
        </w:rPr>
        <w:t>Graduates for the 21st Century: Integrating the Enhancement Themes</w:t>
      </w:r>
      <w:r>
        <w:rPr>
          <w:rStyle w:val="hlfld-contribauthor"/>
          <w:rFonts w:ascii="Times New Roman" w:hAnsi="Times New Roman"/>
          <w:sz w:val="24"/>
          <w:szCs w:val="24"/>
        </w:rPr>
        <w:t>. Gloucester: The Quality Assurance Agency for Higher Education.</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Hunter, A-B., </w:t>
      </w:r>
      <w:proofErr w:type="spellStart"/>
      <w:r>
        <w:rPr>
          <w:rStyle w:val="hlfld-contribauthor"/>
          <w:rFonts w:ascii="Times New Roman" w:hAnsi="Times New Roman"/>
          <w:sz w:val="24"/>
          <w:szCs w:val="24"/>
        </w:rPr>
        <w:t>Laursen</w:t>
      </w:r>
      <w:proofErr w:type="spellEnd"/>
      <w:r>
        <w:rPr>
          <w:rStyle w:val="hlfld-contribauthor"/>
          <w:rFonts w:ascii="Times New Roman" w:hAnsi="Times New Roman"/>
          <w:sz w:val="24"/>
          <w:szCs w:val="24"/>
        </w:rPr>
        <w:t>, S. and Seymour, E. (2007).</w:t>
      </w:r>
      <w:proofErr w:type="gramEnd"/>
      <w:r>
        <w:rPr>
          <w:rStyle w:val="hlfld-contribauthor"/>
          <w:rFonts w:ascii="Times New Roman" w:hAnsi="Times New Roman"/>
          <w:sz w:val="24"/>
          <w:szCs w:val="24"/>
        </w:rPr>
        <w:t xml:space="preserve"> </w:t>
      </w:r>
      <w:r>
        <w:rPr>
          <w:rStyle w:val="hlfld-contribauthor"/>
          <w:rFonts w:ascii="Times New Roman" w:hAnsi="Times New Roman"/>
        </w:rPr>
        <w:t xml:space="preserve"> </w:t>
      </w:r>
      <w:proofErr w:type="gramStart"/>
      <w:r>
        <w:rPr>
          <w:rStyle w:val="hlfld-contribauthor"/>
          <w:rFonts w:ascii="Times New Roman" w:hAnsi="Times New Roman"/>
          <w:sz w:val="24"/>
          <w:szCs w:val="24"/>
        </w:rPr>
        <w:t>Becoming a Scientist: The Role of Undergraduate Research in Students’</w:t>
      </w:r>
      <w:r>
        <w:rPr>
          <w:rStyle w:val="hlfld-contribauthor"/>
          <w:sz w:val="24"/>
          <w:szCs w:val="24"/>
        </w:rPr>
        <w:t xml:space="preserve"> </w:t>
      </w:r>
      <w:r>
        <w:rPr>
          <w:rStyle w:val="hlfld-contribauthor"/>
          <w:rFonts w:ascii="Times New Roman" w:hAnsi="Times New Roman"/>
          <w:sz w:val="24"/>
          <w:szCs w:val="24"/>
        </w:rPr>
        <w:t>Cognitive, Personal, and Professional Development.</w:t>
      </w:r>
      <w:proofErr w:type="gramEnd"/>
      <w:r>
        <w:rPr>
          <w:rStyle w:val="hlfld-contribauthor"/>
          <w:rFonts w:ascii="Times New Roman" w:hAnsi="Times New Roman"/>
          <w:sz w:val="24"/>
          <w:szCs w:val="24"/>
        </w:rPr>
        <w:t xml:space="preserve"> Science Education, 91 (1): 36-74.</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Jenkins, A. and Healey, M. (2007), ‘UK-based undergraduate research </w:t>
      </w:r>
      <w:proofErr w:type="spellStart"/>
      <w:r>
        <w:rPr>
          <w:rStyle w:val="hlfld-contribauthor"/>
          <w:rFonts w:ascii="Times New Roman" w:hAnsi="Times New Roman"/>
          <w:sz w:val="24"/>
          <w:szCs w:val="24"/>
        </w:rPr>
        <w:t>programmes’</w:t>
      </w:r>
      <w:proofErr w:type="spellEnd"/>
      <w:r>
        <w:rPr>
          <w:rStyle w:val="hlfld-contribauthor"/>
          <w:rFonts w:ascii="Times New Roman" w:hAnsi="Times New Roman"/>
          <w:sz w:val="24"/>
          <w:szCs w:val="24"/>
        </w:rPr>
        <w:t xml:space="preserve">, </w:t>
      </w:r>
      <w:r>
        <w:rPr>
          <w:rStyle w:val="hlfld-contribauthor"/>
          <w:rFonts w:ascii="Times New Roman" w:hAnsi="Times New Roman"/>
        </w:rPr>
        <w:t xml:space="preserve">Accessed April 2015. </w:t>
      </w:r>
      <w:hyperlink r:id="rId14" w:history="1">
        <w:r>
          <w:rPr>
            <w:rStyle w:val="Hyperlink6"/>
            <w:rFonts w:eastAsia="Arial Unicode MS"/>
          </w:rPr>
          <w:t>http://www2.warwick.ac.uk/fac/soc/sociology/research/cetl/ugresearch/</w:t>
        </w:r>
      </w:hyperlink>
      <w:r>
        <w:rPr>
          <w:rStyle w:val="hlfld-contribauthor"/>
          <w:rFonts w:ascii="Times New Roman" w:hAnsi="Times New Roman"/>
          <w:sz w:val="24"/>
          <w:szCs w:val="24"/>
        </w:rPr>
        <w:t xml:space="preserve">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Jenkins, A.</w:t>
      </w:r>
      <w:r w:rsidR="00902665">
        <w:rPr>
          <w:rStyle w:val="hlfld-contribauthor"/>
          <w:rFonts w:ascii="Times New Roman" w:hAnsi="Times New Roman"/>
          <w:sz w:val="24"/>
          <w:szCs w:val="24"/>
        </w:rPr>
        <w:t xml:space="preserve"> </w:t>
      </w:r>
      <w:r>
        <w:rPr>
          <w:rStyle w:val="hlfld-contribauthor"/>
          <w:rFonts w:ascii="Times New Roman" w:hAnsi="Times New Roman"/>
          <w:sz w:val="24"/>
          <w:szCs w:val="24"/>
        </w:rPr>
        <w:t>and Healey, M. (2009).</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i/>
          <w:iCs/>
          <w:sz w:val="24"/>
          <w:szCs w:val="24"/>
        </w:rPr>
        <w:t>Developing undergraduate research and inquiry</w:t>
      </w:r>
      <w:r>
        <w:rPr>
          <w:rStyle w:val="hlfld-contribauthor"/>
          <w:rFonts w:ascii="Times New Roman" w:hAnsi="Times New Roman"/>
          <w:sz w:val="24"/>
          <w:szCs w:val="24"/>
        </w:rPr>
        <w:t>.</w:t>
      </w:r>
      <w:proofErr w:type="gramEnd"/>
      <w:r>
        <w:rPr>
          <w:rStyle w:val="hlfld-contribauthor"/>
          <w:rFonts w:ascii="Times New Roman" w:hAnsi="Times New Roman"/>
          <w:sz w:val="24"/>
          <w:szCs w:val="24"/>
        </w:rPr>
        <w:t xml:space="preserve"> York: The Higher Education Academy.</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rPr>
        <w:t>Kinkead</w:t>
      </w:r>
      <w:proofErr w:type="spellEnd"/>
      <w:r>
        <w:rPr>
          <w:rStyle w:val="hlfld-contribauthor"/>
          <w:rFonts w:ascii="Times New Roman" w:hAnsi="Times New Roman"/>
          <w:sz w:val="24"/>
          <w:szCs w:val="24"/>
        </w:rPr>
        <w:t xml:space="preserve">, J. (2003). Learning </w:t>
      </w:r>
      <w:proofErr w:type="gramStart"/>
      <w:r>
        <w:rPr>
          <w:rStyle w:val="hlfld-contribauthor"/>
          <w:rFonts w:ascii="Times New Roman" w:hAnsi="Times New Roman"/>
          <w:sz w:val="24"/>
          <w:szCs w:val="24"/>
        </w:rPr>
        <w:t>Through</w:t>
      </w:r>
      <w:proofErr w:type="gramEnd"/>
      <w:r>
        <w:rPr>
          <w:rStyle w:val="hlfld-contribauthor"/>
          <w:rFonts w:ascii="Times New Roman" w:hAnsi="Times New Roman"/>
          <w:sz w:val="24"/>
          <w:szCs w:val="24"/>
        </w:rPr>
        <w:t xml:space="preserve"> Inquiry: An Overview of Undergraduate Research. </w:t>
      </w:r>
      <w:r>
        <w:rPr>
          <w:rStyle w:val="hlfld-contribauthor"/>
          <w:rFonts w:ascii="Times New Roman" w:hAnsi="Times New Roman"/>
          <w:i/>
          <w:iCs/>
          <w:sz w:val="24"/>
          <w:szCs w:val="24"/>
        </w:rPr>
        <w:t>New Directions for Teaching and Learning</w:t>
      </w:r>
      <w:r>
        <w:rPr>
          <w:rStyle w:val="hlfld-contribauthor"/>
          <w:rFonts w:ascii="Times New Roman" w:hAnsi="Times New Roman"/>
          <w:sz w:val="24"/>
          <w:szCs w:val="24"/>
        </w:rPr>
        <w:t xml:space="preserve">, 2003 (93): 5–18.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Lave,</w:t>
      </w:r>
      <w:proofErr w:type="gramEnd"/>
      <w:r>
        <w:rPr>
          <w:rStyle w:val="hlfld-contribauthor"/>
          <w:rFonts w:ascii="Times New Roman" w:hAnsi="Times New Roman"/>
          <w:sz w:val="24"/>
          <w:szCs w:val="24"/>
        </w:rPr>
        <w:t xml:space="preserve"> J. and Wenger, E. (1991). </w:t>
      </w:r>
      <w:proofErr w:type="gramStart"/>
      <w:r>
        <w:rPr>
          <w:rStyle w:val="hlfld-contribauthor"/>
          <w:rFonts w:ascii="Times New Roman" w:hAnsi="Times New Roman"/>
          <w:i/>
          <w:iCs/>
          <w:sz w:val="24"/>
          <w:szCs w:val="24"/>
        </w:rPr>
        <w:t>Situated Learning: legitimate peripheral participation</w:t>
      </w:r>
      <w:r>
        <w:rPr>
          <w:rStyle w:val="hlfld-contribauthor"/>
          <w:rFonts w:ascii="Times New Roman" w:hAnsi="Times New Roman"/>
          <w:sz w:val="24"/>
          <w:szCs w:val="24"/>
        </w:rPr>
        <w:t>.</w:t>
      </w:r>
      <w:proofErr w:type="gramEnd"/>
      <w:r>
        <w:rPr>
          <w:rStyle w:val="hlfld-contribauthor"/>
          <w:rFonts w:ascii="Times New Roman" w:hAnsi="Times New Roman"/>
          <w:sz w:val="24"/>
          <w:szCs w:val="24"/>
        </w:rPr>
        <w:t xml:space="preserve"> Cambridge: Cambridge University Press.</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rPr>
        <w:t>Lopatto</w:t>
      </w:r>
      <w:proofErr w:type="spellEnd"/>
      <w:r>
        <w:rPr>
          <w:rStyle w:val="hlfld-contribauthor"/>
          <w:rFonts w:ascii="Times New Roman" w:hAnsi="Times New Roman"/>
          <w:sz w:val="24"/>
          <w:szCs w:val="24"/>
        </w:rPr>
        <w:t xml:space="preserve">, D. (2009) </w:t>
      </w:r>
      <w:r>
        <w:rPr>
          <w:rStyle w:val="hlfld-contribauthor"/>
          <w:rFonts w:ascii="Times New Roman" w:hAnsi="Times New Roman"/>
          <w:i/>
          <w:iCs/>
          <w:sz w:val="24"/>
          <w:szCs w:val="24"/>
        </w:rPr>
        <w:t>Science in Solution: The Impact of Undergraduate Research on Student Learning</w:t>
      </w:r>
      <w:r>
        <w:rPr>
          <w:rStyle w:val="hlfld-contribauthor"/>
          <w:rFonts w:ascii="Times New Roman" w:hAnsi="Times New Roman"/>
          <w:sz w:val="24"/>
          <w:szCs w:val="24"/>
        </w:rPr>
        <w:t xml:space="preserve">. Tucson, AZ: Research Corporation for Science </w:t>
      </w:r>
      <w:proofErr w:type="gramStart"/>
      <w:r>
        <w:rPr>
          <w:rStyle w:val="hlfld-contribauthor"/>
          <w:rFonts w:ascii="Times New Roman" w:hAnsi="Times New Roman"/>
          <w:sz w:val="24"/>
          <w:szCs w:val="24"/>
        </w:rPr>
        <w:t>Advancement .</w:t>
      </w:r>
      <w:proofErr w:type="gramEnd"/>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r>
        <w:rPr>
          <w:rStyle w:val="hlfld-contribauthor"/>
          <w:rFonts w:ascii="Times New Roman" w:hAnsi="Times New Roman"/>
          <w:sz w:val="24"/>
          <w:szCs w:val="24"/>
        </w:rPr>
        <w:t>Mabrouk</w:t>
      </w:r>
      <w:proofErr w:type="spellEnd"/>
      <w:r>
        <w:rPr>
          <w:rStyle w:val="hlfld-contribauthor"/>
          <w:rFonts w:ascii="Times New Roman" w:hAnsi="Times New Roman"/>
          <w:sz w:val="24"/>
          <w:szCs w:val="24"/>
        </w:rPr>
        <w:t xml:space="preserve">, P. (2009). </w:t>
      </w:r>
      <w:proofErr w:type="gramStart"/>
      <w:r>
        <w:rPr>
          <w:rStyle w:val="hlfld-contribauthor"/>
          <w:rFonts w:ascii="Times New Roman" w:hAnsi="Times New Roman"/>
          <w:sz w:val="24"/>
          <w:szCs w:val="24"/>
        </w:rPr>
        <w:t>Survey Study Investigating the Significance of Conference Participation to Undergraduate Research Students.</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Journal of Chemical Education</w:t>
      </w:r>
      <w:r>
        <w:rPr>
          <w:rStyle w:val="hlfld-contribauthor"/>
          <w:rFonts w:ascii="Times New Roman" w:hAnsi="Times New Roman"/>
          <w:sz w:val="24"/>
          <w:szCs w:val="24"/>
        </w:rPr>
        <w:t>, 86 (11): 1335-1340.</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proofErr w:type="gramStart"/>
      <w:r>
        <w:rPr>
          <w:rStyle w:val="hlfld-contribauthor"/>
          <w:rFonts w:ascii="Times New Roman" w:hAnsi="Times New Roman"/>
          <w:sz w:val="24"/>
          <w:szCs w:val="24"/>
        </w:rPr>
        <w:t>Mekolichick</w:t>
      </w:r>
      <w:proofErr w:type="spellEnd"/>
      <w:r>
        <w:rPr>
          <w:rStyle w:val="hlfld-contribauthor"/>
          <w:rFonts w:ascii="Times New Roman" w:hAnsi="Times New Roman"/>
          <w:sz w:val="24"/>
          <w:szCs w:val="24"/>
        </w:rPr>
        <w:t>, J. and Bellamy, J. (2012).</w:t>
      </w:r>
      <w:proofErr w:type="gramEnd"/>
      <w:r>
        <w:rPr>
          <w:rStyle w:val="hlfld-contribauthor"/>
          <w:rFonts w:ascii="Times New Roman" w:hAnsi="Times New Roman"/>
          <w:sz w:val="24"/>
          <w:szCs w:val="24"/>
        </w:rPr>
        <w:t xml:space="preserve"> Research Experiences for Undergraduates: Student Presenters’</w:t>
      </w:r>
      <w:r>
        <w:rPr>
          <w:rStyle w:val="hlfld-contribauthor"/>
          <w:sz w:val="24"/>
          <w:szCs w:val="24"/>
        </w:rPr>
        <w:t xml:space="preserve"> </w:t>
      </w:r>
      <w:r>
        <w:rPr>
          <w:rStyle w:val="hlfld-contribauthor"/>
          <w:rFonts w:ascii="Times New Roman" w:hAnsi="Times New Roman"/>
          <w:sz w:val="24"/>
          <w:szCs w:val="24"/>
        </w:rPr>
        <w:t xml:space="preserve">Perceptions of Mentoring and Conference Presentation by Generational Status and Sex. </w:t>
      </w:r>
      <w:r>
        <w:rPr>
          <w:rStyle w:val="hlfld-contribauthor"/>
          <w:rFonts w:ascii="Times New Roman" w:hAnsi="Times New Roman"/>
          <w:i/>
          <w:iCs/>
          <w:sz w:val="24"/>
          <w:szCs w:val="24"/>
        </w:rPr>
        <w:t>Perspectives on Undergraduate Research and Mentoring (PURM)</w:t>
      </w:r>
      <w:r>
        <w:rPr>
          <w:rStyle w:val="hlfld-contribauthor"/>
          <w:rFonts w:ascii="Times New Roman" w:hAnsi="Times New Roman"/>
          <w:sz w:val="24"/>
          <w:szCs w:val="24"/>
        </w:rPr>
        <w:t>, 1 (2): 1-14.</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Miles, M.B., </w:t>
      </w:r>
      <w:proofErr w:type="spellStart"/>
      <w:r>
        <w:rPr>
          <w:rStyle w:val="hlfld-contribauthor"/>
          <w:rFonts w:ascii="Times New Roman" w:hAnsi="Times New Roman"/>
          <w:sz w:val="24"/>
          <w:szCs w:val="24"/>
        </w:rPr>
        <w:t>Huberman</w:t>
      </w:r>
      <w:proofErr w:type="spellEnd"/>
      <w:r>
        <w:rPr>
          <w:rStyle w:val="hlfld-contribauthor"/>
          <w:rFonts w:ascii="Times New Roman" w:hAnsi="Times New Roman"/>
          <w:sz w:val="24"/>
          <w:szCs w:val="24"/>
        </w:rPr>
        <w:t>, A.M. &amp; Saldana, J. (2015).</w:t>
      </w:r>
      <w:proofErr w:type="gramEnd"/>
      <w:r>
        <w:rPr>
          <w:rStyle w:val="hlfld-contribauthor"/>
          <w:rFonts w:ascii="Times New Roman" w:hAnsi="Times New Roman"/>
          <w:sz w:val="24"/>
          <w:szCs w:val="24"/>
        </w:rPr>
        <w:t xml:space="preserve"> Qualitative Data Analysis: A Methods Sourcebook, 3</w:t>
      </w:r>
      <w:r>
        <w:rPr>
          <w:rStyle w:val="hlfld-contribauthor"/>
          <w:rFonts w:ascii="Times New Roman" w:hAnsi="Times New Roman"/>
          <w:sz w:val="24"/>
          <w:szCs w:val="24"/>
          <w:vertAlign w:val="superscript"/>
        </w:rPr>
        <w:t xml:space="preserve">rd </w:t>
      </w:r>
      <w:r>
        <w:rPr>
          <w:rStyle w:val="hlfld-contribauthor"/>
          <w:rFonts w:ascii="Times New Roman" w:hAnsi="Times New Roman"/>
          <w:sz w:val="24"/>
          <w:szCs w:val="24"/>
        </w:rPr>
        <w:t>ed. London: Sage Publications.</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spellStart"/>
      <w:proofErr w:type="gramStart"/>
      <w:r>
        <w:rPr>
          <w:rStyle w:val="hlfld-contribauthor"/>
          <w:rFonts w:ascii="Times New Roman" w:hAnsi="Times New Roman"/>
          <w:sz w:val="24"/>
          <w:szCs w:val="24"/>
        </w:rPr>
        <w:lastRenderedPageBreak/>
        <w:t>Orsmond</w:t>
      </w:r>
      <w:proofErr w:type="spellEnd"/>
      <w:r>
        <w:rPr>
          <w:rStyle w:val="hlfld-contribauthor"/>
          <w:rFonts w:ascii="Times New Roman" w:hAnsi="Times New Roman"/>
          <w:sz w:val="24"/>
          <w:szCs w:val="24"/>
        </w:rPr>
        <w:t xml:space="preserve">, P., Merry, S. and </w:t>
      </w:r>
      <w:proofErr w:type="spellStart"/>
      <w:r>
        <w:rPr>
          <w:rStyle w:val="hlfld-contribauthor"/>
          <w:rFonts w:ascii="Times New Roman" w:hAnsi="Times New Roman"/>
          <w:sz w:val="24"/>
          <w:szCs w:val="24"/>
        </w:rPr>
        <w:t>Reiling</w:t>
      </w:r>
      <w:proofErr w:type="spellEnd"/>
      <w:r>
        <w:rPr>
          <w:rStyle w:val="hlfld-contribauthor"/>
          <w:rFonts w:ascii="Times New Roman" w:hAnsi="Times New Roman"/>
          <w:sz w:val="24"/>
          <w:szCs w:val="24"/>
        </w:rPr>
        <w:t>, K. (2004).</w:t>
      </w:r>
      <w:proofErr w:type="gramEnd"/>
      <w:r>
        <w:rPr>
          <w:rStyle w:val="hlfld-contribauthor"/>
          <w:rFonts w:ascii="Times New Roman" w:hAnsi="Times New Roman"/>
          <w:sz w:val="24"/>
          <w:szCs w:val="24"/>
        </w:rPr>
        <w:t xml:space="preserve"> Undergraduate project work: Can directed tutor support enhance skills development</w:t>
      </w:r>
      <w:r>
        <w:rPr>
          <w:rStyle w:val="hlfld-contribauthor"/>
          <w:rFonts w:ascii="Times New Roman" w:hAnsi="Times New Roman"/>
          <w:i/>
          <w:iCs/>
          <w:sz w:val="24"/>
          <w:szCs w:val="24"/>
        </w:rPr>
        <w:t>? Assessment &amp; Evaluation in Higher Education,</w:t>
      </w:r>
      <w:r>
        <w:rPr>
          <w:rStyle w:val="hlfld-contribauthor"/>
          <w:rFonts w:ascii="Times New Roman" w:hAnsi="Times New Roman"/>
          <w:sz w:val="24"/>
          <w:szCs w:val="24"/>
        </w:rPr>
        <w:t xml:space="preserve"> 29 (5): 625-642.</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sidRPr="00B636C4">
        <w:rPr>
          <w:rStyle w:val="hlfld-contribauthor"/>
          <w:rFonts w:ascii="Times New Roman" w:hAnsi="Times New Roman"/>
          <w:sz w:val="24"/>
          <w:szCs w:val="24"/>
          <w:lang w:val="en-GB"/>
        </w:rPr>
        <w:t xml:space="preserve">Osborn, J. and </w:t>
      </w:r>
      <w:proofErr w:type="spellStart"/>
      <w:r w:rsidRPr="00B636C4">
        <w:rPr>
          <w:rStyle w:val="hlfld-contribauthor"/>
          <w:rFonts w:ascii="Times New Roman" w:hAnsi="Times New Roman"/>
          <w:sz w:val="24"/>
          <w:szCs w:val="24"/>
          <w:lang w:val="en-GB"/>
        </w:rPr>
        <w:t>Karukstis</w:t>
      </w:r>
      <w:proofErr w:type="spellEnd"/>
      <w:r w:rsidRPr="00B636C4">
        <w:rPr>
          <w:rStyle w:val="hlfld-contribauthor"/>
          <w:rFonts w:ascii="Times New Roman" w:hAnsi="Times New Roman"/>
          <w:sz w:val="24"/>
          <w:szCs w:val="24"/>
          <w:lang w:val="en-GB"/>
        </w:rPr>
        <w:t>, K. (2009).</w:t>
      </w:r>
      <w:proofErr w:type="gramEnd"/>
      <w:r w:rsidRPr="00B636C4">
        <w:rPr>
          <w:rStyle w:val="hlfld-contribauthor"/>
          <w:rFonts w:ascii="Times New Roman" w:hAnsi="Times New Roman"/>
          <w:sz w:val="24"/>
          <w:szCs w:val="24"/>
          <w:lang w:val="en-GB"/>
        </w:rPr>
        <w:t xml:space="preserve"> </w:t>
      </w:r>
      <w:proofErr w:type="gramStart"/>
      <w:r>
        <w:rPr>
          <w:rStyle w:val="hlfld-contribauthor"/>
          <w:rFonts w:ascii="Times New Roman" w:hAnsi="Times New Roman"/>
          <w:sz w:val="24"/>
          <w:szCs w:val="24"/>
        </w:rPr>
        <w:t>The benefits of undergraduate research, scholarship, and creative activity.</w:t>
      </w:r>
      <w:proofErr w:type="gramEnd"/>
      <w:r>
        <w:rPr>
          <w:rStyle w:val="hlfld-contribauthor"/>
          <w:rFonts w:ascii="Times New Roman" w:hAnsi="Times New Roman"/>
          <w:sz w:val="24"/>
          <w:szCs w:val="24"/>
        </w:rPr>
        <w:t xml:space="preserve"> In: M. Boyd and J. </w:t>
      </w:r>
      <w:proofErr w:type="spellStart"/>
      <w:r>
        <w:rPr>
          <w:rStyle w:val="hlfld-contribauthor"/>
          <w:rFonts w:ascii="Times New Roman" w:hAnsi="Times New Roman"/>
          <w:sz w:val="24"/>
          <w:szCs w:val="24"/>
        </w:rPr>
        <w:t>Wesemann</w:t>
      </w:r>
      <w:proofErr w:type="spellEnd"/>
      <w:r>
        <w:rPr>
          <w:rStyle w:val="hlfld-contribauthor"/>
          <w:rFonts w:ascii="Times New Roman" w:hAnsi="Times New Roman"/>
          <w:sz w:val="24"/>
          <w:szCs w:val="24"/>
        </w:rPr>
        <w:t xml:space="preserve"> (Eds.), </w:t>
      </w:r>
      <w:r>
        <w:rPr>
          <w:rStyle w:val="hlfld-contribauthor"/>
          <w:rFonts w:ascii="Times New Roman" w:hAnsi="Times New Roman"/>
          <w:i/>
          <w:iCs/>
          <w:sz w:val="24"/>
          <w:szCs w:val="24"/>
        </w:rPr>
        <w:t>Broadening Participation in Undergraduate Research: Fostering Excellence and Enhancing the Impact</w:t>
      </w:r>
      <w:r>
        <w:rPr>
          <w:rStyle w:val="hlfld-contribauthor"/>
          <w:rFonts w:ascii="Times New Roman" w:hAnsi="Times New Roman"/>
          <w:sz w:val="24"/>
          <w:szCs w:val="24"/>
        </w:rPr>
        <w:t>. Washington, DC: Council on Undergraduate Research, 41-53.</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Seymour, E., Hunter, A.-B., </w:t>
      </w:r>
      <w:proofErr w:type="spellStart"/>
      <w:r>
        <w:rPr>
          <w:rStyle w:val="hlfld-contribauthor"/>
          <w:rFonts w:ascii="Times New Roman" w:hAnsi="Times New Roman"/>
          <w:sz w:val="24"/>
          <w:szCs w:val="24"/>
        </w:rPr>
        <w:t>Laursen</w:t>
      </w:r>
      <w:proofErr w:type="spellEnd"/>
      <w:r>
        <w:rPr>
          <w:rStyle w:val="hlfld-contribauthor"/>
          <w:rFonts w:ascii="Times New Roman" w:hAnsi="Times New Roman"/>
          <w:sz w:val="24"/>
          <w:szCs w:val="24"/>
        </w:rPr>
        <w:t xml:space="preserve">, S. L. and </w:t>
      </w:r>
      <w:proofErr w:type="spellStart"/>
      <w:r>
        <w:rPr>
          <w:rStyle w:val="hlfld-contribauthor"/>
          <w:rFonts w:ascii="Times New Roman" w:hAnsi="Times New Roman"/>
          <w:sz w:val="24"/>
          <w:szCs w:val="24"/>
        </w:rPr>
        <w:t>DeAntoni</w:t>
      </w:r>
      <w:proofErr w:type="spellEnd"/>
      <w:r>
        <w:rPr>
          <w:rStyle w:val="hlfld-contribauthor"/>
          <w:rFonts w:ascii="Times New Roman" w:hAnsi="Times New Roman"/>
          <w:sz w:val="24"/>
          <w:szCs w:val="24"/>
        </w:rPr>
        <w:t>, T. (2004).</w:t>
      </w:r>
      <w:proofErr w:type="gramEnd"/>
      <w:r>
        <w:rPr>
          <w:rStyle w:val="hlfld-contribauthor"/>
          <w:rFonts w:ascii="Times New Roman" w:hAnsi="Times New Roman"/>
          <w:sz w:val="24"/>
          <w:szCs w:val="24"/>
        </w:rPr>
        <w:t xml:space="preserve"> Establishing the benefits of research experiences for undergraduates in the sciences: First findings from a three-year study. </w:t>
      </w:r>
      <w:r>
        <w:rPr>
          <w:rStyle w:val="hlfld-contribauthor"/>
          <w:rFonts w:ascii="Times New Roman" w:hAnsi="Times New Roman"/>
          <w:i/>
          <w:iCs/>
          <w:sz w:val="24"/>
          <w:szCs w:val="24"/>
        </w:rPr>
        <w:t>Science Education</w:t>
      </w:r>
      <w:r>
        <w:rPr>
          <w:rStyle w:val="hlfld-contribauthor"/>
          <w:rFonts w:ascii="Times New Roman" w:hAnsi="Times New Roman"/>
          <w:sz w:val="24"/>
          <w:szCs w:val="24"/>
        </w:rPr>
        <w:t>, 88: 493–534.</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Spronken-Smith, R., </w:t>
      </w:r>
      <w:proofErr w:type="spellStart"/>
      <w:r>
        <w:rPr>
          <w:rStyle w:val="hlfld-contribauthor"/>
          <w:rFonts w:ascii="Times New Roman" w:hAnsi="Times New Roman"/>
          <w:sz w:val="24"/>
          <w:szCs w:val="24"/>
        </w:rPr>
        <w:t>Brodeur</w:t>
      </w:r>
      <w:proofErr w:type="spellEnd"/>
      <w:r>
        <w:rPr>
          <w:rStyle w:val="hlfld-contribauthor"/>
          <w:rFonts w:ascii="Times New Roman" w:hAnsi="Times New Roman"/>
          <w:sz w:val="24"/>
          <w:szCs w:val="24"/>
        </w:rPr>
        <w:t xml:space="preserve">, J., </w:t>
      </w:r>
      <w:proofErr w:type="spellStart"/>
      <w:r>
        <w:rPr>
          <w:rStyle w:val="hlfld-contribauthor"/>
          <w:rFonts w:ascii="Times New Roman" w:hAnsi="Times New Roman"/>
          <w:sz w:val="24"/>
          <w:szCs w:val="24"/>
        </w:rPr>
        <w:t>Kajaks</w:t>
      </w:r>
      <w:proofErr w:type="spellEnd"/>
      <w:r>
        <w:rPr>
          <w:rStyle w:val="hlfld-contribauthor"/>
          <w:rFonts w:ascii="Times New Roman" w:hAnsi="Times New Roman"/>
          <w:sz w:val="24"/>
          <w:szCs w:val="24"/>
        </w:rPr>
        <w:t xml:space="preserve">, T., Luck, M., Myatt, P., </w:t>
      </w:r>
      <w:proofErr w:type="spellStart"/>
      <w:r>
        <w:rPr>
          <w:rStyle w:val="hlfld-contribauthor"/>
          <w:rFonts w:ascii="Times New Roman" w:hAnsi="Times New Roman"/>
          <w:sz w:val="24"/>
          <w:szCs w:val="24"/>
        </w:rPr>
        <w:t>Verburgh</w:t>
      </w:r>
      <w:proofErr w:type="spellEnd"/>
      <w:r>
        <w:rPr>
          <w:rStyle w:val="hlfld-contribauthor"/>
          <w:rFonts w:ascii="Times New Roman" w:hAnsi="Times New Roman"/>
          <w:sz w:val="24"/>
          <w:szCs w:val="24"/>
        </w:rPr>
        <w:t xml:space="preserve">, A., Walkington, H. and </w:t>
      </w:r>
      <w:proofErr w:type="spellStart"/>
      <w:r>
        <w:rPr>
          <w:rStyle w:val="hlfld-contribauthor"/>
          <w:rFonts w:ascii="Times New Roman" w:hAnsi="Times New Roman"/>
          <w:sz w:val="24"/>
          <w:szCs w:val="24"/>
        </w:rPr>
        <w:t>Wuetherick</w:t>
      </w:r>
      <w:proofErr w:type="spellEnd"/>
      <w:r>
        <w:rPr>
          <w:rStyle w:val="hlfld-contribauthor"/>
          <w:rFonts w:ascii="Times New Roman" w:hAnsi="Times New Roman"/>
          <w:sz w:val="24"/>
          <w:szCs w:val="24"/>
        </w:rPr>
        <w:t>, B. (2013).</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Completing the Research Cycle: A Framework for Promoting Dissemination of Undergraduate Research and Inquiry.</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Teaching and Learning Inquiry: The ISSOTL Journal</w:t>
      </w:r>
      <w:r>
        <w:rPr>
          <w:rStyle w:val="hlfld-contribauthor"/>
          <w:rFonts w:ascii="Times New Roman" w:hAnsi="Times New Roman"/>
          <w:sz w:val="24"/>
          <w:szCs w:val="24"/>
        </w:rPr>
        <w:t>, 1 (2): 105-118.</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Strauss, A. and Corbin, J. (1998).</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Basic</w:t>
      </w:r>
      <w:r w:rsidR="007605AB">
        <w:rPr>
          <w:rStyle w:val="hlfld-contribauthor"/>
          <w:rFonts w:ascii="Times New Roman" w:hAnsi="Times New Roman"/>
          <w:i/>
          <w:iCs/>
          <w:sz w:val="24"/>
          <w:szCs w:val="24"/>
        </w:rPr>
        <w:t>s</w:t>
      </w:r>
      <w:r>
        <w:rPr>
          <w:rStyle w:val="hlfld-contribauthor"/>
          <w:rFonts w:ascii="Times New Roman" w:hAnsi="Times New Roman"/>
          <w:i/>
          <w:iCs/>
          <w:sz w:val="24"/>
          <w:szCs w:val="24"/>
        </w:rPr>
        <w:t xml:space="preserve"> of Qualitative Research – Techniques and Procedures for Developing Grounded Theory</w:t>
      </w:r>
      <w:r>
        <w:rPr>
          <w:rStyle w:val="hlfld-contribauthor"/>
          <w:rFonts w:ascii="Times New Roman" w:hAnsi="Times New Roman"/>
          <w:sz w:val="24"/>
          <w:szCs w:val="24"/>
        </w:rPr>
        <w:t>, 2</w:t>
      </w:r>
      <w:r>
        <w:rPr>
          <w:rStyle w:val="hlfld-contribauthor"/>
          <w:rFonts w:ascii="Times New Roman" w:hAnsi="Times New Roman"/>
          <w:sz w:val="24"/>
          <w:szCs w:val="24"/>
          <w:vertAlign w:val="superscript"/>
        </w:rPr>
        <w:t>nd</w:t>
      </w:r>
      <w:r>
        <w:rPr>
          <w:rStyle w:val="hlfld-contribauthor"/>
          <w:rFonts w:ascii="Times New Roman" w:hAnsi="Times New Roman"/>
          <w:sz w:val="24"/>
          <w:szCs w:val="24"/>
        </w:rPr>
        <w:t xml:space="preserve"> ed. London: Sage Publications.</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Su, Y. (2014). Self-directed, genuine graduate attributes: the person-based approach. </w:t>
      </w:r>
      <w:r>
        <w:rPr>
          <w:rStyle w:val="hlfld-contribauthor"/>
          <w:rFonts w:ascii="Times New Roman" w:hAnsi="Times New Roman"/>
          <w:i/>
          <w:iCs/>
          <w:sz w:val="24"/>
          <w:szCs w:val="24"/>
        </w:rPr>
        <w:t>Higher Education Research &amp; Development</w:t>
      </w:r>
      <w:r>
        <w:rPr>
          <w:rStyle w:val="hlfld-contribauthor"/>
          <w:rFonts w:ascii="Times New Roman" w:hAnsi="Times New Roman"/>
          <w:sz w:val="24"/>
          <w:szCs w:val="24"/>
        </w:rPr>
        <w:t xml:space="preserve">, 33, 1208-1220.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Swift, J., Ambos, E., Swift, C. and Ash, C. (2012).</w:t>
      </w:r>
      <w:proofErr w:type="gramEnd"/>
      <w:r>
        <w:rPr>
          <w:rStyle w:val="hlfld-contribauthor"/>
          <w:rFonts w:ascii="Times New Roman" w:hAnsi="Times New Roman"/>
          <w:sz w:val="24"/>
          <w:szCs w:val="24"/>
        </w:rPr>
        <w:t xml:space="preserve"> A Regional Undergraduate Research Conference Comes of Age in Southern California. </w:t>
      </w:r>
      <w:r>
        <w:rPr>
          <w:rStyle w:val="hlfld-contribauthor"/>
          <w:rFonts w:ascii="Times New Roman" w:hAnsi="Times New Roman"/>
          <w:i/>
          <w:iCs/>
          <w:sz w:val="24"/>
          <w:szCs w:val="24"/>
        </w:rPr>
        <w:t>Council on Undergraduate Research Quarterly</w:t>
      </w:r>
      <w:r>
        <w:rPr>
          <w:rStyle w:val="hlfld-contribauthor"/>
          <w:rFonts w:ascii="Times New Roman" w:hAnsi="Times New Roman"/>
          <w:sz w:val="24"/>
          <w:szCs w:val="24"/>
        </w:rPr>
        <w:t>, 32 (4): 21-27.</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t xml:space="preserve">Taylor, S. and </w:t>
      </w:r>
      <w:proofErr w:type="spellStart"/>
      <w:r>
        <w:rPr>
          <w:rStyle w:val="hlfld-contribauthor"/>
          <w:rFonts w:ascii="Times New Roman" w:hAnsi="Times New Roman"/>
          <w:sz w:val="24"/>
          <w:szCs w:val="24"/>
        </w:rPr>
        <w:t>Bogdan</w:t>
      </w:r>
      <w:proofErr w:type="spellEnd"/>
      <w:r>
        <w:rPr>
          <w:rStyle w:val="hlfld-contribauthor"/>
          <w:rFonts w:ascii="Times New Roman" w:hAnsi="Times New Roman"/>
          <w:sz w:val="24"/>
          <w:szCs w:val="24"/>
        </w:rPr>
        <w:t>, R. (1984).</w:t>
      </w:r>
      <w:proofErr w:type="gramEnd"/>
      <w:r>
        <w:rPr>
          <w:rStyle w:val="hlfld-contribauthor"/>
          <w:rFonts w:ascii="Times New Roman" w:hAnsi="Times New Roman"/>
          <w:sz w:val="24"/>
          <w:szCs w:val="24"/>
        </w:rPr>
        <w:t xml:space="preserve"> </w:t>
      </w:r>
      <w:r>
        <w:rPr>
          <w:rStyle w:val="hlfld-contribauthor"/>
          <w:rFonts w:ascii="Times New Roman" w:hAnsi="Times New Roman"/>
          <w:i/>
          <w:iCs/>
          <w:sz w:val="24"/>
          <w:szCs w:val="24"/>
        </w:rPr>
        <w:t>Introduction to Qualitative Research Methods: The Search for Meanings.</w:t>
      </w:r>
      <w:r>
        <w:rPr>
          <w:rStyle w:val="hlfld-contribauthor"/>
          <w:rFonts w:ascii="Times New Roman" w:hAnsi="Times New Roman"/>
          <w:sz w:val="24"/>
          <w:szCs w:val="24"/>
        </w:rPr>
        <w:t xml:space="preserve"> New York: Wiley.</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UKCES (2014a), </w:t>
      </w:r>
      <w:r>
        <w:rPr>
          <w:rStyle w:val="hlfld-contribauthor"/>
          <w:rFonts w:ascii="Times New Roman" w:hAnsi="Times New Roman"/>
          <w:i/>
          <w:iCs/>
          <w:sz w:val="24"/>
          <w:szCs w:val="24"/>
        </w:rPr>
        <w:t>Working Futures 2012-2022</w:t>
      </w:r>
      <w:r>
        <w:rPr>
          <w:rStyle w:val="hlfld-contribauthor"/>
          <w:rFonts w:ascii="Times New Roman" w:hAnsi="Times New Roman"/>
          <w:sz w:val="24"/>
          <w:szCs w:val="24"/>
        </w:rPr>
        <w:t xml:space="preserve">. </w:t>
      </w:r>
      <w:proofErr w:type="gramStart"/>
      <w:r>
        <w:rPr>
          <w:rStyle w:val="hlfld-contribauthor"/>
          <w:rFonts w:ascii="Times New Roman" w:hAnsi="Times New Roman"/>
        </w:rPr>
        <w:t>Accessed April 2015.</w:t>
      </w:r>
      <w:proofErr w:type="gramEnd"/>
      <w:r>
        <w:rPr>
          <w:rStyle w:val="hlfld-contribauthor"/>
          <w:rFonts w:ascii="Times New Roman" w:hAnsi="Times New Roman"/>
        </w:rPr>
        <w:t xml:space="preserve"> </w:t>
      </w:r>
      <w:r>
        <w:rPr>
          <w:rStyle w:val="hlfld-contribauthor"/>
          <w:rFonts w:ascii="Times New Roman" w:hAnsi="Times New Roman"/>
          <w:sz w:val="24"/>
          <w:szCs w:val="24"/>
        </w:rPr>
        <w:t xml:space="preserve">https://www.gov.uk/government/uploads/system/uploads/attachment_data/file/298510/working-futures-2012-2022-main-report.pdf;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UKCES (2014b) </w:t>
      </w:r>
      <w:r>
        <w:rPr>
          <w:rStyle w:val="hlfld-contribauthor"/>
          <w:rFonts w:ascii="Times New Roman" w:hAnsi="Times New Roman"/>
          <w:i/>
          <w:iCs/>
          <w:sz w:val="24"/>
          <w:szCs w:val="24"/>
        </w:rPr>
        <w:t>Forging Futures, building higher level skills through university and employer collaboration</w:t>
      </w:r>
      <w:r>
        <w:rPr>
          <w:rStyle w:val="hlfld-contribauthor"/>
          <w:rFonts w:ascii="Times New Roman" w:hAnsi="Times New Roman"/>
          <w:sz w:val="24"/>
          <w:szCs w:val="24"/>
        </w:rPr>
        <w:t xml:space="preserve">. </w:t>
      </w:r>
      <w:proofErr w:type="gramStart"/>
      <w:r>
        <w:rPr>
          <w:rStyle w:val="hlfld-contribauthor"/>
          <w:rFonts w:ascii="Times New Roman" w:hAnsi="Times New Roman"/>
        </w:rPr>
        <w:t>Accessed April 2015.</w:t>
      </w:r>
      <w:proofErr w:type="gramEnd"/>
      <w:r>
        <w:rPr>
          <w:rStyle w:val="hlfld-contribauthor"/>
          <w:rFonts w:ascii="Times New Roman" w:hAnsi="Times New Roman"/>
        </w:rPr>
        <w:t xml:space="preserve"> </w:t>
      </w:r>
      <w:hyperlink r:id="rId15" w:history="1">
        <w:r>
          <w:rPr>
            <w:rStyle w:val="Hyperlink7"/>
            <w:rFonts w:eastAsia="Arial Unicode MS"/>
          </w:rPr>
          <w:t>http://www.universitiesuk.ac.uk/highereducation/Documents/2014/ForgingFutures.pdf</w:t>
        </w:r>
      </w:hyperlink>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Pr>
          <w:rStyle w:val="hlfld-contribauthor"/>
          <w:rFonts w:ascii="Times New Roman" w:hAnsi="Times New Roman"/>
          <w:sz w:val="24"/>
          <w:szCs w:val="24"/>
        </w:rPr>
        <w:lastRenderedPageBreak/>
        <w:t xml:space="preserve">Vitae (2014) </w:t>
      </w:r>
      <w:r>
        <w:rPr>
          <w:rStyle w:val="hlfld-contribauthor"/>
          <w:rFonts w:ascii="Times New Roman" w:hAnsi="Times New Roman"/>
          <w:i/>
          <w:iCs/>
          <w:sz w:val="24"/>
          <w:szCs w:val="24"/>
        </w:rPr>
        <w:t>About the Vitae Researcher Development Framework.</w:t>
      </w:r>
      <w:proofErr w:type="gramEnd"/>
      <w:r>
        <w:rPr>
          <w:rStyle w:val="hlfld-contribauthor"/>
          <w:rFonts w:ascii="Times New Roman" w:hAnsi="Times New Roman"/>
          <w:i/>
          <w:iCs/>
          <w:sz w:val="24"/>
          <w:szCs w:val="24"/>
        </w:rPr>
        <w:t xml:space="preserve"> </w:t>
      </w:r>
      <w:proofErr w:type="gramStart"/>
      <w:r>
        <w:rPr>
          <w:rStyle w:val="hlfld-contribauthor"/>
          <w:rFonts w:ascii="Times New Roman" w:hAnsi="Times New Roman"/>
          <w:sz w:val="24"/>
          <w:szCs w:val="24"/>
        </w:rPr>
        <w:t>[Online].</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rPr>
        <w:t>Accessed April 2015.</w:t>
      </w:r>
      <w:proofErr w:type="gramEnd"/>
      <w:r>
        <w:rPr>
          <w:rStyle w:val="hlfld-contribauthor"/>
          <w:rFonts w:ascii="Times New Roman" w:hAnsi="Times New Roman"/>
        </w:rPr>
        <w:t xml:space="preserve"> </w:t>
      </w:r>
      <w:hyperlink r:id="rId16" w:history="1">
        <w:r>
          <w:rPr>
            <w:rStyle w:val="Hyperlink6"/>
            <w:rFonts w:eastAsia="Arial Unicode MS"/>
          </w:rPr>
          <w:t>https://www.vitae.ac.uk/researchers-professional-development/about-the-vitae-researcher-development-framework</w:t>
        </w:r>
      </w:hyperlink>
      <w:r>
        <w:rPr>
          <w:rStyle w:val="hlfld-contribauthor"/>
          <w:rFonts w:ascii="Times New Roman" w:hAnsi="Times New Roman"/>
          <w:sz w:val="24"/>
          <w:szCs w:val="24"/>
        </w:rPr>
        <w:t xml:space="preserve">.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Wakefield, K., </w:t>
      </w:r>
      <w:proofErr w:type="spellStart"/>
      <w:r>
        <w:rPr>
          <w:rStyle w:val="hlfld-contribauthor"/>
          <w:rFonts w:ascii="Times New Roman" w:hAnsi="Times New Roman"/>
          <w:sz w:val="24"/>
          <w:szCs w:val="24"/>
        </w:rPr>
        <w:t>Ribchester</w:t>
      </w:r>
      <w:proofErr w:type="spellEnd"/>
      <w:r>
        <w:rPr>
          <w:rStyle w:val="hlfld-contribauthor"/>
          <w:rFonts w:ascii="Times New Roman" w:hAnsi="Times New Roman"/>
          <w:sz w:val="24"/>
          <w:szCs w:val="24"/>
        </w:rPr>
        <w:t xml:space="preserve">, C. and France, D. (2008) </w:t>
      </w:r>
      <w:proofErr w:type="gramStart"/>
      <w:r>
        <w:rPr>
          <w:rStyle w:val="hlfld-contribauthor"/>
          <w:rFonts w:ascii="Times New Roman" w:hAnsi="Times New Roman"/>
          <w:sz w:val="24"/>
          <w:szCs w:val="24"/>
        </w:rPr>
        <w:t>The</w:t>
      </w:r>
      <w:proofErr w:type="gramEnd"/>
      <w:r>
        <w:rPr>
          <w:rStyle w:val="hlfld-contribauthor"/>
          <w:rFonts w:ascii="Times New Roman" w:hAnsi="Times New Roman"/>
          <w:sz w:val="24"/>
          <w:szCs w:val="24"/>
        </w:rPr>
        <w:t xml:space="preserve"> Chester Graduate/Undergraduate </w:t>
      </w:r>
      <w:r w:rsidRPr="000545D1">
        <w:rPr>
          <w:rStyle w:val="hlfld-contribauthor"/>
          <w:rFonts w:ascii="Times New Roman" w:hAnsi="Times New Roman"/>
          <w:sz w:val="24"/>
          <w:szCs w:val="24"/>
        </w:rPr>
        <w:t>Employability</w:t>
      </w:r>
      <w:r>
        <w:rPr>
          <w:rStyle w:val="hlfld-contribauthor"/>
          <w:rFonts w:ascii="Times New Roman" w:hAnsi="Times New Roman"/>
          <w:sz w:val="24"/>
          <w:szCs w:val="24"/>
        </w:rPr>
        <w:t xml:space="preserve"> Conference and Employability Strategy, </w:t>
      </w:r>
      <w:r>
        <w:rPr>
          <w:rStyle w:val="hlfld-contribauthor"/>
          <w:rFonts w:ascii="Times New Roman" w:hAnsi="Times New Roman"/>
          <w:i/>
          <w:iCs/>
          <w:sz w:val="24"/>
          <w:szCs w:val="24"/>
        </w:rPr>
        <w:t>Planet</w:t>
      </w:r>
      <w:r>
        <w:rPr>
          <w:rStyle w:val="hlfld-contribauthor"/>
          <w:rFonts w:ascii="Times New Roman" w:hAnsi="Times New Roman"/>
          <w:sz w:val="24"/>
          <w:szCs w:val="24"/>
        </w:rPr>
        <w:t>, 21: 33-36.</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Walkington, H. (2008). </w:t>
      </w:r>
      <w:proofErr w:type="spellStart"/>
      <w:r>
        <w:rPr>
          <w:rStyle w:val="hlfld-contribauthor"/>
          <w:rFonts w:ascii="Times New Roman" w:hAnsi="Times New Roman"/>
          <w:sz w:val="24"/>
          <w:szCs w:val="24"/>
        </w:rPr>
        <w:t>Geoverse</w:t>
      </w:r>
      <w:proofErr w:type="spellEnd"/>
      <w:r>
        <w:rPr>
          <w:rStyle w:val="hlfld-contribauthor"/>
          <w:rFonts w:ascii="Times New Roman" w:hAnsi="Times New Roman"/>
          <w:sz w:val="24"/>
          <w:szCs w:val="24"/>
        </w:rPr>
        <w:t xml:space="preserve">: piloting a national e-journal of undergraduate research in geography. </w:t>
      </w:r>
      <w:r>
        <w:rPr>
          <w:rStyle w:val="hlfld-contribauthor"/>
          <w:rFonts w:ascii="Times New Roman" w:hAnsi="Times New Roman"/>
          <w:i/>
          <w:iCs/>
          <w:sz w:val="24"/>
          <w:szCs w:val="24"/>
        </w:rPr>
        <w:t>Planet</w:t>
      </w:r>
      <w:r>
        <w:rPr>
          <w:rStyle w:val="hlfld-contribauthor"/>
          <w:rFonts w:ascii="Times New Roman" w:hAnsi="Times New Roman"/>
          <w:sz w:val="24"/>
          <w:szCs w:val="24"/>
        </w:rPr>
        <w:t>, 20: 41-46.</w:t>
      </w:r>
    </w:p>
    <w:p w:rsidR="00964AB0" w:rsidRPr="000545D1" w:rsidRDefault="009259F5">
      <w:pPr>
        <w:pStyle w:val="BodyA"/>
        <w:spacing w:line="360" w:lineRule="auto"/>
        <w:ind w:left="567" w:hanging="567"/>
        <w:rPr>
          <w:rStyle w:val="hlfld-contribauthor"/>
          <w:rFonts w:ascii="Times New Roman" w:eastAsia="Times New Roman" w:hAnsi="Times New Roman" w:cs="Times New Roman"/>
          <w:sz w:val="24"/>
          <w:szCs w:val="24"/>
        </w:rPr>
      </w:pPr>
      <w:proofErr w:type="gramStart"/>
      <w:r w:rsidRPr="000545D1">
        <w:rPr>
          <w:rStyle w:val="hlfld-contribauthor"/>
          <w:rFonts w:ascii="Times New Roman" w:hAnsi="Times New Roman" w:cs="Times New Roman"/>
          <w:sz w:val="24"/>
          <w:szCs w:val="24"/>
        </w:rPr>
        <w:t>Walkington, H. and Jenkins, A. (2008).</w:t>
      </w:r>
      <w:proofErr w:type="gramEnd"/>
      <w:r w:rsidRPr="000545D1">
        <w:rPr>
          <w:rStyle w:val="hlfld-contribauthor"/>
          <w:rFonts w:ascii="Times New Roman" w:hAnsi="Times New Roman" w:cs="Times New Roman"/>
          <w:sz w:val="24"/>
          <w:szCs w:val="24"/>
        </w:rPr>
        <w:t xml:space="preserve"> </w:t>
      </w:r>
      <w:proofErr w:type="gramStart"/>
      <w:r w:rsidRPr="000545D1">
        <w:rPr>
          <w:rStyle w:val="hlfld-contribauthor"/>
          <w:rFonts w:ascii="Times New Roman" w:hAnsi="Times New Roman" w:cs="Times New Roman"/>
          <w:sz w:val="24"/>
          <w:szCs w:val="24"/>
        </w:rPr>
        <w:t>Embedding Undergraduate Research Publication in the Student Learning Experience.</w:t>
      </w:r>
      <w:proofErr w:type="gramEnd"/>
      <w:r w:rsidRPr="000545D1">
        <w:rPr>
          <w:rStyle w:val="hlfld-contribauthor"/>
          <w:rFonts w:ascii="Times New Roman" w:hAnsi="Times New Roman" w:cs="Times New Roman"/>
        </w:rPr>
        <w:t xml:space="preserve"> </w:t>
      </w:r>
      <w:proofErr w:type="gramStart"/>
      <w:r w:rsidRPr="000545D1">
        <w:rPr>
          <w:rStyle w:val="hlfld-contribauthor"/>
          <w:rFonts w:ascii="Times New Roman" w:hAnsi="Times New Roman" w:cs="Times New Roman"/>
          <w:i/>
          <w:iCs/>
          <w:sz w:val="24"/>
          <w:szCs w:val="24"/>
        </w:rPr>
        <w:t>Brookes E-journal of Learning and Teaching</w:t>
      </w:r>
      <w:r w:rsidRPr="000545D1">
        <w:rPr>
          <w:rStyle w:val="hlfld-contribauthor"/>
          <w:rFonts w:ascii="Times New Roman" w:hAnsi="Times New Roman" w:cs="Times New Roman"/>
          <w:sz w:val="24"/>
          <w:szCs w:val="24"/>
        </w:rPr>
        <w:t>, 2 (3).</w:t>
      </w:r>
      <w:proofErr w:type="gramEnd"/>
      <w:r w:rsidRPr="000545D1">
        <w:rPr>
          <w:rStyle w:val="hlfld-contribauthor"/>
          <w:rFonts w:ascii="Times New Roman" w:hAnsi="Times New Roman" w:cs="Times New Roman"/>
          <w:sz w:val="24"/>
          <w:szCs w:val="24"/>
        </w:rPr>
        <w:t xml:space="preserve"> </w:t>
      </w:r>
      <w:proofErr w:type="gramStart"/>
      <w:r w:rsidRPr="000545D1">
        <w:rPr>
          <w:rStyle w:val="hlfld-contribauthor"/>
          <w:rFonts w:ascii="Times New Roman" w:hAnsi="Times New Roman" w:cs="Times New Roman"/>
          <w:sz w:val="24"/>
          <w:szCs w:val="24"/>
        </w:rPr>
        <w:t>Accessed April 2015.</w:t>
      </w:r>
      <w:proofErr w:type="gramEnd"/>
      <w:r w:rsidRPr="000545D1">
        <w:rPr>
          <w:rStyle w:val="hlfld-contribauthor"/>
          <w:rFonts w:ascii="Times New Roman" w:hAnsi="Times New Roman" w:cs="Times New Roman"/>
          <w:sz w:val="24"/>
          <w:szCs w:val="24"/>
        </w:rPr>
        <w:t xml:space="preserve"> </w:t>
      </w:r>
      <w:hyperlink r:id="rId17" w:history="1">
        <w:r w:rsidRPr="000545D1">
          <w:rPr>
            <w:rStyle w:val="Hyperlink7"/>
            <w:rFonts w:eastAsia="Arial Unicode MS"/>
            <w:sz w:val="24"/>
            <w:szCs w:val="24"/>
          </w:rPr>
          <w:t>http://bejlt.brookes.ac.uk/article/embedding_undergraduate_research_publication_in_the_student_learning_experi/</w:t>
        </w:r>
      </w:hyperlink>
      <w:r w:rsidRPr="000545D1">
        <w:rPr>
          <w:rStyle w:val="hlfld-contribauthor"/>
          <w:rFonts w:ascii="Times New Roman" w:hAnsi="Times New Roman" w:cs="Times New Roman"/>
          <w:sz w:val="24"/>
          <w:szCs w:val="24"/>
        </w:rPr>
        <w:t xml:space="preserve">. </w:t>
      </w:r>
    </w:p>
    <w:p w:rsidR="00964AB0" w:rsidRDefault="009259F5">
      <w:pPr>
        <w:pStyle w:val="BodyA"/>
        <w:spacing w:line="360" w:lineRule="auto"/>
        <w:ind w:left="567" w:hanging="567"/>
        <w:rPr>
          <w:rStyle w:val="hlfld-contribauthor"/>
          <w:rFonts w:ascii="Times New Roman" w:eastAsia="Times New Roman" w:hAnsi="Times New Roman" w:cs="Times New Roman"/>
          <w:sz w:val="24"/>
          <w:szCs w:val="24"/>
        </w:rPr>
      </w:pPr>
      <w:r>
        <w:rPr>
          <w:rStyle w:val="hlfld-contribauthor"/>
          <w:rFonts w:ascii="Times New Roman" w:hAnsi="Times New Roman"/>
          <w:sz w:val="24"/>
          <w:szCs w:val="24"/>
        </w:rPr>
        <w:t xml:space="preserve">Walkington, H. (2014). </w:t>
      </w:r>
      <w:proofErr w:type="gramStart"/>
      <w:r>
        <w:rPr>
          <w:rStyle w:val="hlfld-contribauthor"/>
          <w:rFonts w:ascii="Times New Roman" w:hAnsi="Times New Roman"/>
          <w:sz w:val="24"/>
          <w:szCs w:val="24"/>
        </w:rPr>
        <w:t>Quality enhancement of undergraduate research - further strategies to increase student engagement in research dissemination.</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i/>
          <w:iCs/>
          <w:sz w:val="24"/>
          <w:szCs w:val="24"/>
        </w:rPr>
        <w:t>Brookes E-journal of Learning and Teaching</w:t>
      </w:r>
      <w:r>
        <w:rPr>
          <w:rStyle w:val="hlfld-contribauthor"/>
          <w:rFonts w:ascii="Times New Roman" w:hAnsi="Times New Roman"/>
          <w:sz w:val="24"/>
          <w:szCs w:val="24"/>
        </w:rPr>
        <w:t>, 6 (1).</w:t>
      </w:r>
      <w:proofErr w:type="gramEnd"/>
      <w:r>
        <w:rPr>
          <w:rStyle w:val="hlfld-contribauthor"/>
          <w:rFonts w:ascii="Times New Roman" w:hAnsi="Times New Roman"/>
          <w:sz w:val="24"/>
          <w:szCs w:val="24"/>
        </w:rPr>
        <w:t xml:space="preserve"> </w:t>
      </w:r>
      <w:proofErr w:type="gramStart"/>
      <w:r>
        <w:rPr>
          <w:rStyle w:val="hlfld-contribauthor"/>
          <w:rFonts w:ascii="Times New Roman" w:hAnsi="Times New Roman"/>
          <w:sz w:val="24"/>
          <w:szCs w:val="24"/>
        </w:rPr>
        <w:t>Accessed April 2015.</w:t>
      </w:r>
      <w:proofErr w:type="gramEnd"/>
      <w:r>
        <w:rPr>
          <w:rStyle w:val="hlfld-contribauthor"/>
          <w:rFonts w:ascii="Times New Roman" w:hAnsi="Times New Roman"/>
          <w:sz w:val="24"/>
          <w:szCs w:val="24"/>
        </w:rPr>
        <w:t xml:space="preserve"> http://bejlt.brookes.ac.uk/paper/quality-enhancement-of-undergraduate-research-further-strategies-to-increase-student-engagement-in-research-dissemination/</w:t>
      </w:r>
    </w:p>
    <w:p w:rsidR="00CE6845" w:rsidRDefault="00CE6845" w:rsidP="007605AB">
      <w:pPr>
        <w:pStyle w:val="BodyB"/>
        <w:spacing w:line="360" w:lineRule="auto"/>
        <w:ind w:left="567" w:hanging="567"/>
      </w:pPr>
      <w:r>
        <w:t xml:space="preserve">Walkington, H. 2015. </w:t>
      </w:r>
      <w:r w:rsidRPr="007605AB">
        <w:rPr>
          <w:i/>
          <w:iCs/>
        </w:rPr>
        <w:t>Students as researchers: Supporting undergraduate research in the disciplines in Higher Education</w:t>
      </w:r>
      <w:r w:rsidR="007605AB" w:rsidRPr="007605AB">
        <w:rPr>
          <w:i/>
          <w:iCs/>
        </w:rPr>
        <w:t>.</w:t>
      </w:r>
      <w:r>
        <w:t xml:space="preserve"> York: Higher Education Academy. </w:t>
      </w:r>
    </w:p>
    <w:p w:rsidR="00CE6845" w:rsidRDefault="00CE6845" w:rsidP="007605AB">
      <w:pPr>
        <w:pStyle w:val="BodyB"/>
        <w:spacing w:line="360" w:lineRule="auto"/>
        <w:ind w:left="567"/>
      </w:pPr>
      <w:r>
        <w:t xml:space="preserve">Accessed August 2015 </w:t>
      </w:r>
      <w:hyperlink r:id="rId18" w:history="1">
        <w:r w:rsidRPr="00F07528">
          <w:rPr>
            <w:rStyle w:val="Hyperlink"/>
          </w:rPr>
          <w:t>https://www.heacademy.ac.uk/sites/default/files/resources/Students%20as%20researchers_1.pdf</w:t>
        </w:r>
      </w:hyperlink>
    </w:p>
    <w:p w:rsidR="00CE6845" w:rsidRDefault="00CE6845" w:rsidP="009F4F9F">
      <w:pPr>
        <w:pStyle w:val="BodyB"/>
        <w:ind w:left="567" w:hanging="567"/>
      </w:pPr>
    </w:p>
    <w:p w:rsidR="00964AB0" w:rsidRDefault="009259F5" w:rsidP="007605AB">
      <w:pPr>
        <w:pStyle w:val="BodyB"/>
        <w:spacing w:line="360" w:lineRule="auto"/>
        <w:ind w:left="567" w:hanging="567"/>
      </w:pPr>
      <w:r>
        <w:t xml:space="preserve">Wenger, E. (1998). </w:t>
      </w:r>
      <w:proofErr w:type="gramStart"/>
      <w:r>
        <w:rPr>
          <w:rStyle w:val="hlfld-contribauthor"/>
          <w:i/>
          <w:iCs/>
        </w:rPr>
        <w:t>Communities of Practice; learning, meaning and identity</w:t>
      </w:r>
      <w:r>
        <w:t>.</w:t>
      </w:r>
      <w:proofErr w:type="gramEnd"/>
      <w:r>
        <w:t xml:space="preserve"> Cambridge: Cambridge University Press.</w:t>
      </w:r>
    </w:p>
    <w:p w:rsidR="00964AB0" w:rsidRDefault="00964AB0" w:rsidP="007605AB">
      <w:pPr>
        <w:pStyle w:val="BodyB"/>
        <w:spacing w:line="360" w:lineRule="auto"/>
        <w:ind w:left="567" w:hanging="567"/>
      </w:pPr>
    </w:p>
    <w:p w:rsidR="00964AB0" w:rsidRDefault="009259F5" w:rsidP="00302BBB">
      <w:pPr>
        <w:pStyle w:val="BodyB"/>
        <w:spacing w:line="360" w:lineRule="auto"/>
        <w:ind w:left="567" w:hanging="567"/>
      </w:pPr>
      <w:proofErr w:type="spellStart"/>
      <w:r>
        <w:t>Xiangdong</w:t>
      </w:r>
      <w:proofErr w:type="spellEnd"/>
      <w:r>
        <w:t xml:space="preserve">, L. (2015). </w:t>
      </w:r>
      <w:proofErr w:type="gramStart"/>
      <w:r>
        <w:t>Mock conference as a situated learning activity in interpreter training: a case study of its design and effect as perceived by trainee interpreters.</w:t>
      </w:r>
      <w:proofErr w:type="gramEnd"/>
      <w:r>
        <w:t xml:space="preserve"> </w:t>
      </w:r>
      <w:proofErr w:type="gramStart"/>
      <w:r>
        <w:rPr>
          <w:rStyle w:val="hlfld-contribauthor"/>
          <w:i/>
          <w:iCs/>
        </w:rPr>
        <w:t>The Interpreter and Translator Trainer</w:t>
      </w:r>
      <w:r>
        <w:t>, 9 (3).</w:t>
      </w:r>
      <w:proofErr w:type="gramEnd"/>
    </w:p>
    <w:p w:rsidR="00964AB0" w:rsidRDefault="00964AB0">
      <w:pPr>
        <w:pStyle w:val="BodyB"/>
        <w:rPr>
          <w:b/>
          <w:bCs/>
        </w:rPr>
      </w:pPr>
    </w:p>
    <w:sectPr w:rsidR="00964AB0" w:rsidSect="00220650">
      <w:footerReference w:type="default" r:id="rId19"/>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46" w:rsidRDefault="00265146">
      <w:r>
        <w:separator/>
      </w:r>
    </w:p>
  </w:endnote>
  <w:endnote w:type="continuationSeparator" w:id="0">
    <w:p w:rsidR="00265146" w:rsidRDefault="00265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9F5" w:rsidRDefault="00220650">
    <w:pPr>
      <w:pStyle w:val="Footer"/>
      <w:tabs>
        <w:tab w:val="clear" w:pos="9026"/>
        <w:tab w:val="right" w:pos="9000"/>
      </w:tabs>
      <w:jc w:val="center"/>
    </w:pPr>
    <w:r>
      <w:fldChar w:fldCharType="begin"/>
    </w:r>
    <w:r w:rsidR="009259F5">
      <w:instrText xml:space="preserve"> PAGE </w:instrText>
    </w:r>
    <w:r>
      <w:fldChar w:fldCharType="separate"/>
    </w:r>
    <w:r w:rsidR="00B4738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46" w:rsidRDefault="00265146">
      <w:r>
        <w:separator/>
      </w:r>
    </w:p>
  </w:footnote>
  <w:footnote w:type="continuationSeparator" w:id="0">
    <w:p w:rsidR="00265146" w:rsidRDefault="00265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90B"/>
    <w:multiLevelType w:val="hybridMultilevel"/>
    <w:tmpl w:val="1EF40060"/>
    <w:styleLink w:val="List21"/>
    <w:lvl w:ilvl="0" w:tplc="D618E97E">
      <w:start w:val="1"/>
      <w:numFmt w:val="bullet"/>
      <w:lvlText w:val="•"/>
      <w:lvlJc w:val="left"/>
      <w:pPr>
        <w:tabs>
          <w:tab w:val="left" w:pos="690"/>
        </w:tabs>
        <w:ind w:left="6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B7A6452">
      <w:start w:val="1"/>
      <w:numFmt w:val="bullet"/>
      <w:lvlText w:val="o"/>
      <w:lvlJc w:val="left"/>
      <w:pPr>
        <w:tabs>
          <w:tab w:val="left" w:pos="690"/>
        </w:tabs>
        <w:ind w:left="13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A6B510">
      <w:start w:val="1"/>
      <w:numFmt w:val="bullet"/>
      <w:lvlText w:val="▪"/>
      <w:lvlJc w:val="left"/>
      <w:pPr>
        <w:tabs>
          <w:tab w:val="left" w:pos="690"/>
        </w:tabs>
        <w:ind w:left="21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77A6BB4">
      <w:start w:val="1"/>
      <w:numFmt w:val="bullet"/>
      <w:lvlText w:val="•"/>
      <w:lvlJc w:val="left"/>
      <w:pPr>
        <w:tabs>
          <w:tab w:val="left" w:pos="690"/>
        </w:tabs>
        <w:ind w:left="28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5DC0A90">
      <w:start w:val="1"/>
      <w:numFmt w:val="bullet"/>
      <w:lvlText w:val="o"/>
      <w:lvlJc w:val="left"/>
      <w:pPr>
        <w:tabs>
          <w:tab w:val="left" w:pos="690"/>
        </w:tabs>
        <w:ind w:left="354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89A8D40">
      <w:start w:val="1"/>
      <w:numFmt w:val="bullet"/>
      <w:lvlText w:val="▪"/>
      <w:lvlJc w:val="left"/>
      <w:pPr>
        <w:tabs>
          <w:tab w:val="left" w:pos="690"/>
        </w:tabs>
        <w:ind w:left="42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6A69D40">
      <w:start w:val="1"/>
      <w:numFmt w:val="bullet"/>
      <w:lvlText w:val="•"/>
      <w:lvlJc w:val="left"/>
      <w:pPr>
        <w:tabs>
          <w:tab w:val="left" w:pos="690"/>
        </w:tabs>
        <w:ind w:left="49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876508A">
      <w:start w:val="1"/>
      <w:numFmt w:val="bullet"/>
      <w:lvlText w:val="o"/>
      <w:lvlJc w:val="left"/>
      <w:pPr>
        <w:tabs>
          <w:tab w:val="left" w:pos="690"/>
        </w:tabs>
        <w:ind w:left="57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92DC5C">
      <w:start w:val="1"/>
      <w:numFmt w:val="bullet"/>
      <w:lvlText w:val="▪"/>
      <w:lvlJc w:val="left"/>
      <w:pPr>
        <w:tabs>
          <w:tab w:val="left" w:pos="690"/>
        </w:tabs>
        <w:ind w:left="64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02563E7A"/>
    <w:multiLevelType w:val="multilevel"/>
    <w:tmpl w:val="3E721996"/>
    <w:styleLink w:val="List9"/>
    <w:lvl w:ilvl="0">
      <w:numFmt w:val="bullet"/>
      <w:lvlText w:val="•"/>
      <w:lvlJc w:val="left"/>
      <w:pPr>
        <w:tabs>
          <w:tab w:val="num" w:pos="214"/>
        </w:tabs>
        <w:ind w:left="214" w:hanging="214"/>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
    <w:nsid w:val="0AB979D9"/>
    <w:multiLevelType w:val="multilevel"/>
    <w:tmpl w:val="8DD83AA4"/>
    <w:styleLink w:val="List32"/>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
    <w:nsid w:val="0B061619"/>
    <w:multiLevelType w:val="multilevel"/>
    <w:tmpl w:val="ECFAD5DE"/>
    <w:styleLink w:val="List23"/>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4">
    <w:nsid w:val="0F722C3E"/>
    <w:multiLevelType w:val="multilevel"/>
    <w:tmpl w:val="03DC5F8A"/>
    <w:lvl w:ilvl="0">
      <w:numFmt w:val="bullet"/>
      <w:lvlText w:val="•"/>
      <w:lvlJc w:val="left"/>
      <w:pPr>
        <w:tabs>
          <w:tab w:val="num" w:pos="589"/>
        </w:tabs>
        <w:ind w:left="589" w:hanging="134"/>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5">
    <w:nsid w:val="0FD16BEA"/>
    <w:multiLevelType w:val="multilevel"/>
    <w:tmpl w:val="775EF34A"/>
    <w:styleLink w:val="List6"/>
    <w:lvl w:ilvl="0">
      <w:numFmt w:val="bullet"/>
      <w:lvlText w:val="•"/>
      <w:lvlJc w:val="left"/>
      <w:pPr>
        <w:tabs>
          <w:tab w:val="num" w:pos="194"/>
        </w:tabs>
        <w:ind w:left="194" w:hanging="167"/>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6">
    <w:nsid w:val="106D5E9B"/>
    <w:multiLevelType w:val="multilevel"/>
    <w:tmpl w:val="40EC2346"/>
    <w:styleLink w:val="List17"/>
    <w:lvl w:ilvl="0">
      <w:numFmt w:val="bullet"/>
      <w:lvlText w:val="•"/>
      <w:lvlJc w:val="left"/>
      <w:pPr>
        <w:tabs>
          <w:tab w:val="num" w:pos="180"/>
        </w:tabs>
        <w:ind w:left="180" w:hanging="153"/>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7">
    <w:nsid w:val="15F05F3E"/>
    <w:multiLevelType w:val="multilevel"/>
    <w:tmpl w:val="2726403E"/>
    <w:styleLink w:val="List24"/>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8">
    <w:nsid w:val="16DB09A3"/>
    <w:multiLevelType w:val="multilevel"/>
    <w:tmpl w:val="C0065DD2"/>
    <w:styleLink w:val="List33"/>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9">
    <w:nsid w:val="1B2E67B4"/>
    <w:multiLevelType w:val="multilevel"/>
    <w:tmpl w:val="7C38E4D4"/>
    <w:styleLink w:val="List30"/>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0">
    <w:nsid w:val="1F1E0C78"/>
    <w:multiLevelType w:val="multilevel"/>
    <w:tmpl w:val="04FC7A72"/>
    <w:styleLink w:val="List25"/>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1">
    <w:nsid w:val="1F6F1E8E"/>
    <w:multiLevelType w:val="multilevel"/>
    <w:tmpl w:val="DED08A5C"/>
    <w:styleLink w:val="List35"/>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2">
    <w:nsid w:val="25A13CE5"/>
    <w:multiLevelType w:val="multilevel"/>
    <w:tmpl w:val="9920D67C"/>
    <w:styleLink w:val="List28"/>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3">
    <w:nsid w:val="25A60415"/>
    <w:multiLevelType w:val="hybridMultilevel"/>
    <w:tmpl w:val="8F32EF76"/>
    <w:styleLink w:val="List31"/>
    <w:lvl w:ilvl="0" w:tplc="042EBCE4">
      <w:start w:val="1"/>
      <w:numFmt w:val="bullet"/>
      <w:lvlText w:val="•"/>
      <w:lvlJc w:val="left"/>
      <w:pPr>
        <w:tabs>
          <w:tab w:val="left" w:pos="690"/>
        </w:tabs>
        <w:ind w:left="6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3A8072">
      <w:start w:val="1"/>
      <w:numFmt w:val="bullet"/>
      <w:lvlText w:val="o"/>
      <w:lvlJc w:val="left"/>
      <w:pPr>
        <w:tabs>
          <w:tab w:val="left" w:pos="690"/>
        </w:tabs>
        <w:ind w:left="13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28451DC">
      <w:start w:val="1"/>
      <w:numFmt w:val="bullet"/>
      <w:lvlText w:val="▪"/>
      <w:lvlJc w:val="left"/>
      <w:pPr>
        <w:tabs>
          <w:tab w:val="left" w:pos="690"/>
        </w:tabs>
        <w:ind w:left="21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787448">
      <w:start w:val="1"/>
      <w:numFmt w:val="bullet"/>
      <w:lvlText w:val="•"/>
      <w:lvlJc w:val="left"/>
      <w:pPr>
        <w:tabs>
          <w:tab w:val="left" w:pos="690"/>
        </w:tabs>
        <w:ind w:left="28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1AE1E2">
      <w:start w:val="1"/>
      <w:numFmt w:val="bullet"/>
      <w:lvlText w:val="o"/>
      <w:lvlJc w:val="left"/>
      <w:pPr>
        <w:tabs>
          <w:tab w:val="left" w:pos="690"/>
        </w:tabs>
        <w:ind w:left="354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98687CC">
      <w:start w:val="1"/>
      <w:numFmt w:val="bullet"/>
      <w:lvlText w:val="▪"/>
      <w:lvlJc w:val="left"/>
      <w:pPr>
        <w:tabs>
          <w:tab w:val="left" w:pos="690"/>
        </w:tabs>
        <w:ind w:left="42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392E1CA">
      <w:start w:val="1"/>
      <w:numFmt w:val="bullet"/>
      <w:lvlText w:val="•"/>
      <w:lvlJc w:val="left"/>
      <w:pPr>
        <w:tabs>
          <w:tab w:val="left" w:pos="690"/>
        </w:tabs>
        <w:ind w:left="49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1C8B5AE">
      <w:start w:val="1"/>
      <w:numFmt w:val="bullet"/>
      <w:lvlText w:val="o"/>
      <w:lvlJc w:val="left"/>
      <w:pPr>
        <w:tabs>
          <w:tab w:val="left" w:pos="690"/>
        </w:tabs>
        <w:ind w:left="57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92B926">
      <w:start w:val="1"/>
      <w:numFmt w:val="bullet"/>
      <w:lvlText w:val="▪"/>
      <w:lvlJc w:val="left"/>
      <w:pPr>
        <w:tabs>
          <w:tab w:val="left" w:pos="690"/>
        </w:tabs>
        <w:ind w:left="64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28102E46"/>
    <w:multiLevelType w:val="multilevel"/>
    <w:tmpl w:val="DD9C306E"/>
    <w:styleLink w:val="List14"/>
    <w:lvl w:ilvl="0">
      <w:numFmt w:val="bullet"/>
      <w:lvlText w:val="•"/>
      <w:lvlJc w:val="left"/>
      <w:pPr>
        <w:tabs>
          <w:tab w:val="num" w:pos="180"/>
        </w:tabs>
        <w:ind w:left="180" w:hanging="153"/>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5">
    <w:nsid w:val="28AE454E"/>
    <w:multiLevelType w:val="multilevel"/>
    <w:tmpl w:val="EE8AD49E"/>
    <w:styleLink w:val="List26"/>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6">
    <w:nsid w:val="2BDC54BD"/>
    <w:multiLevelType w:val="multilevel"/>
    <w:tmpl w:val="2CB0A3C8"/>
    <w:styleLink w:val="List29"/>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17">
    <w:nsid w:val="2FB8674F"/>
    <w:multiLevelType w:val="multilevel"/>
    <w:tmpl w:val="3F9A7C4E"/>
    <w:styleLink w:val="List8"/>
    <w:lvl w:ilvl="0">
      <w:numFmt w:val="bullet"/>
      <w:lvlText w:val="•"/>
      <w:lvlJc w:val="left"/>
      <w:pPr>
        <w:tabs>
          <w:tab w:val="num" w:pos="194"/>
        </w:tabs>
        <w:ind w:left="194" w:hanging="167"/>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8">
    <w:nsid w:val="346418E8"/>
    <w:multiLevelType w:val="hybridMultilevel"/>
    <w:tmpl w:val="7F7E90DE"/>
    <w:styleLink w:val="List0"/>
    <w:lvl w:ilvl="0" w:tplc="06A8998C">
      <w:start w:val="1"/>
      <w:numFmt w:val="bullet"/>
      <w:lvlText w:val="•"/>
      <w:lvlJc w:val="left"/>
      <w:pPr>
        <w:tabs>
          <w:tab w:val="left" w:pos="690"/>
        </w:tabs>
        <w:ind w:left="6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602BD2">
      <w:start w:val="1"/>
      <w:numFmt w:val="bullet"/>
      <w:lvlText w:val="o"/>
      <w:lvlJc w:val="left"/>
      <w:pPr>
        <w:tabs>
          <w:tab w:val="left" w:pos="690"/>
        </w:tabs>
        <w:ind w:left="13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48C3384">
      <w:start w:val="1"/>
      <w:numFmt w:val="bullet"/>
      <w:lvlText w:val="▪"/>
      <w:lvlJc w:val="left"/>
      <w:pPr>
        <w:tabs>
          <w:tab w:val="left" w:pos="690"/>
        </w:tabs>
        <w:ind w:left="21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BE2B62">
      <w:start w:val="1"/>
      <w:numFmt w:val="bullet"/>
      <w:lvlText w:val="•"/>
      <w:lvlJc w:val="left"/>
      <w:pPr>
        <w:tabs>
          <w:tab w:val="left" w:pos="690"/>
        </w:tabs>
        <w:ind w:left="28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66B0B6">
      <w:start w:val="1"/>
      <w:numFmt w:val="bullet"/>
      <w:lvlText w:val="o"/>
      <w:lvlJc w:val="left"/>
      <w:pPr>
        <w:tabs>
          <w:tab w:val="left" w:pos="690"/>
        </w:tabs>
        <w:ind w:left="354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5644E0">
      <w:start w:val="1"/>
      <w:numFmt w:val="bullet"/>
      <w:lvlText w:val="▪"/>
      <w:lvlJc w:val="left"/>
      <w:pPr>
        <w:tabs>
          <w:tab w:val="left" w:pos="690"/>
        </w:tabs>
        <w:ind w:left="42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8C2B214">
      <w:start w:val="1"/>
      <w:numFmt w:val="bullet"/>
      <w:lvlText w:val="•"/>
      <w:lvlJc w:val="left"/>
      <w:pPr>
        <w:tabs>
          <w:tab w:val="left" w:pos="690"/>
        </w:tabs>
        <w:ind w:left="49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9B0D3FE">
      <w:start w:val="1"/>
      <w:numFmt w:val="bullet"/>
      <w:lvlText w:val="o"/>
      <w:lvlJc w:val="left"/>
      <w:pPr>
        <w:tabs>
          <w:tab w:val="left" w:pos="690"/>
        </w:tabs>
        <w:ind w:left="57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E0430B8">
      <w:start w:val="1"/>
      <w:numFmt w:val="bullet"/>
      <w:lvlText w:val="▪"/>
      <w:lvlJc w:val="left"/>
      <w:pPr>
        <w:tabs>
          <w:tab w:val="left" w:pos="690"/>
        </w:tabs>
        <w:ind w:left="64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38FC5A03"/>
    <w:multiLevelType w:val="hybridMultilevel"/>
    <w:tmpl w:val="1EF40060"/>
    <w:numStyleLink w:val="List21"/>
  </w:abstractNum>
  <w:abstractNum w:abstractNumId="20">
    <w:nsid w:val="398F5A17"/>
    <w:multiLevelType w:val="multilevel"/>
    <w:tmpl w:val="D5189C56"/>
    <w:styleLink w:val="List7"/>
    <w:lvl w:ilvl="0">
      <w:numFmt w:val="bullet"/>
      <w:lvlText w:val="•"/>
      <w:lvlJc w:val="left"/>
      <w:pPr>
        <w:tabs>
          <w:tab w:val="num" w:pos="194"/>
        </w:tabs>
        <w:ind w:left="194" w:hanging="167"/>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1">
    <w:nsid w:val="3B310974"/>
    <w:multiLevelType w:val="hybridMultilevel"/>
    <w:tmpl w:val="8F32EF76"/>
    <w:numStyleLink w:val="List31"/>
  </w:abstractNum>
  <w:abstractNum w:abstractNumId="22">
    <w:nsid w:val="3D2D3882"/>
    <w:multiLevelType w:val="hybridMultilevel"/>
    <w:tmpl w:val="7F7E90DE"/>
    <w:numStyleLink w:val="List0"/>
  </w:abstractNum>
  <w:abstractNum w:abstractNumId="23">
    <w:nsid w:val="3E480823"/>
    <w:multiLevelType w:val="hybridMultilevel"/>
    <w:tmpl w:val="435A204A"/>
    <w:numStyleLink w:val="List1"/>
  </w:abstractNum>
  <w:abstractNum w:abstractNumId="24">
    <w:nsid w:val="44873F48"/>
    <w:multiLevelType w:val="multilevel"/>
    <w:tmpl w:val="E01C3EA0"/>
    <w:styleLink w:val="List13"/>
    <w:lvl w:ilvl="0">
      <w:numFmt w:val="bullet"/>
      <w:lvlText w:val="•"/>
      <w:lvlJc w:val="left"/>
      <w:pPr>
        <w:tabs>
          <w:tab w:val="num" w:pos="180"/>
        </w:tabs>
        <w:ind w:left="180" w:hanging="153"/>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5">
    <w:nsid w:val="4C423480"/>
    <w:multiLevelType w:val="hybridMultilevel"/>
    <w:tmpl w:val="B246AAE0"/>
    <w:numStyleLink w:val="List41"/>
  </w:abstractNum>
  <w:abstractNum w:abstractNumId="26">
    <w:nsid w:val="4DAE4810"/>
    <w:multiLevelType w:val="hybridMultilevel"/>
    <w:tmpl w:val="B246AAE0"/>
    <w:styleLink w:val="List41"/>
    <w:lvl w:ilvl="0" w:tplc="F4B43AD4">
      <w:start w:val="1"/>
      <w:numFmt w:val="bullet"/>
      <w:lvlText w:val="•"/>
      <w:lvlJc w:val="left"/>
      <w:pPr>
        <w:tabs>
          <w:tab w:val="left" w:pos="690"/>
        </w:tabs>
        <w:ind w:left="6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39CE816">
      <w:start w:val="1"/>
      <w:numFmt w:val="bullet"/>
      <w:lvlText w:val="o"/>
      <w:lvlJc w:val="left"/>
      <w:pPr>
        <w:tabs>
          <w:tab w:val="left" w:pos="690"/>
        </w:tabs>
        <w:ind w:left="13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704CF30">
      <w:start w:val="1"/>
      <w:numFmt w:val="bullet"/>
      <w:lvlText w:val="▪"/>
      <w:lvlJc w:val="left"/>
      <w:pPr>
        <w:tabs>
          <w:tab w:val="left" w:pos="690"/>
        </w:tabs>
        <w:ind w:left="21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1C8C4E2">
      <w:start w:val="1"/>
      <w:numFmt w:val="bullet"/>
      <w:lvlText w:val="•"/>
      <w:lvlJc w:val="left"/>
      <w:pPr>
        <w:tabs>
          <w:tab w:val="left" w:pos="690"/>
        </w:tabs>
        <w:ind w:left="28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F22A45E">
      <w:start w:val="1"/>
      <w:numFmt w:val="bullet"/>
      <w:lvlText w:val="o"/>
      <w:lvlJc w:val="left"/>
      <w:pPr>
        <w:tabs>
          <w:tab w:val="left" w:pos="690"/>
        </w:tabs>
        <w:ind w:left="354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3042302">
      <w:start w:val="1"/>
      <w:numFmt w:val="bullet"/>
      <w:lvlText w:val="▪"/>
      <w:lvlJc w:val="left"/>
      <w:pPr>
        <w:tabs>
          <w:tab w:val="left" w:pos="690"/>
        </w:tabs>
        <w:ind w:left="42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C5E0782">
      <w:start w:val="1"/>
      <w:numFmt w:val="bullet"/>
      <w:lvlText w:val="•"/>
      <w:lvlJc w:val="left"/>
      <w:pPr>
        <w:tabs>
          <w:tab w:val="left" w:pos="690"/>
        </w:tabs>
        <w:ind w:left="49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ECE314">
      <w:start w:val="1"/>
      <w:numFmt w:val="bullet"/>
      <w:lvlText w:val="o"/>
      <w:lvlJc w:val="left"/>
      <w:pPr>
        <w:tabs>
          <w:tab w:val="left" w:pos="690"/>
        </w:tabs>
        <w:ind w:left="57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002451A">
      <w:start w:val="1"/>
      <w:numFmt w:val="bullet"/>
      <w:lvlText w:val="▪"/>
      <w:lvlJc w:val="left"/>
      <w:pPr>
        <w:tabs>
          <w:tab w:val="left" w:pos="690"/>
        </w:tabs>
        <w:ind w:left="64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nsid w:val="4F50080D"/>
    <w:multiLevelType w:val="multilevel"/>
    <w:tmpl w:val="14266916"/>
    <w:styleLink w:val="List12"/>
    <w:lvl w:ilvl="0">
      <w:numFmt w:val="bullet"/>
      <w:lvlText w:val="•"/>
      <w:lvlJc w:val="left"/>
      <w:pPr>
        <w:tabs>
          <w:tab w:val="num" w:pos="589"/>
        </w:tabs>
        <w:ind w:left="589" w:hanging="134"/>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8">
    <w:nsid w:val="56EE3C89"/>
    <w:multiLevelType w:val="multilevel"/>
    <w:tmpl w:val="3250B3BA"/>
    <w:styleLink w:val="List15"/>
    <w:lvl w:ilvl="0">
      <w:numFmt w:val="bullet"/>
      <w:lvlText w:val="•"/>
      <w:lvlJc w:val="left"/>
      <w:pPr>
        <w:tabs>
          <w:tab w:val="num" w:pos="180"/>
        </w:tabs>
        <w:ind w:left="180" w:hanging="153"/>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9">
    <w:nsid w:val="59BB1596"/>
    <w:multiLevelType w:val="multilevel"/>
    <w:tmpl w:val="AEE03D34"/>
    <w:styleLink w:val="List34"/>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0">
    <w:nsid w:val="5B1E548A"/>
    <w:multiLevelType w:val="multilevel"/>
    <w:tmpl w:val="F2A43992"/>
    <w:styleLink w:val="List27"/>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abstractNum w:abstractNumId="31">
    <w:nsid w:val="5D984F54"/>
    <w:multiLevelType w:val="multilevel"/>
    <w:tmpl w:val="1CF44466"/>
    <w:styleLink w:val="List11"/>
    <w:lvl w:ilvl="0">
      <w:numFmt w:val="bullet"/>
      <w:lvlText w:val="•"/>
      <w:lvlJc w:val="left"/>
      <w:pPr>
        <w:tabs>
          <w:tab w:val="num" w:pos="180"/>
        </w:tabs>
        <w:ind w:left="180" w:hanging="18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32">
    <w:nsid w:val="5DCA67CC"/>
    <w:multiLevelType w:val="multilevel"/>
    <w:tmpl w:val="9434196E"/>
    <w:styleLink w:val="List18"/>
    <w:lvl w:ilvl="0">
      <w:numFmt w:val="bullet"/>
      <w:lvlText w:val="•"/>
      <w:lvlJc w:val="left"/>
      <w:pPr>
        <w:tabs>
          <w:tab w:val="num" w:pos="180"/>
        </w:tabs>
        <w:ind w:left="180" w:hanging="18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3">
    <w:nsid w:val="6123447D"/>
    <w:multiLevelType w:val="hybridMultilevel"/>
    <w:tmpl w:val="435A204A"/>
    <w:styleLink w:val="List1"/>
    <w:lvl w:ilvl="0" w:tplc="1E3662E4">
      <w:start w:val="1"/>
      <w:numFmt w:val="bullet"/>
      <w:lvlText w:val="•"/>
      <w:lvlJc w:val="left"/>
      <w:pPr>
        <w:tabs>
          <w:tab w:val="left" w:pos="690"/>
        </w:tabs>
        <w:ind w:left="6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24A6956">
      <w:start w:val="1"/>
      <w:numFmt w:val="bullet"/>
      <w:lvlText w:val="o"/>
      <w:lvlJc w:val="left"/>
      <w:pPr>
        <w:tabs>
          <w:tab w:val="left" w:pos="690"/>
        </w:tabs>
        <w:ind w:left="13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C3AE3AE">
      <w:start w:val="1"/>
      <w:numFmt w:val="bullet"/>
      <w:lvlText w:val="▪"/>
      <w:lvlJc w:val="left"/>
      <w:pPr>
        <w:tabs>
          <w:tab w:val="left" w:pos="690"/>
        </w:tabs>
        <w:ind w:left="21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AC7F6A">
      <w:start w:val="1"/>
      <w:numFmt w:val="bullet"/>
      <w:lvlText w:val="•"/>
      <w:lvlJc w:val="left"/>
      <w:pPr>
        <w:tabs>
          <w:tab w:val="left" w:pos="690"/>
        </w:tabs>
        <w:ind w:left="28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41E0C2A">
      <w:start w:val="1"/>
      <w:numFmt w:val="bullet"/>
      <w:lvlText w:val="o"/>
      <w:lvlJc w:val="left"/>
      <w:pPr>
        <w:tabs>
          <w:tab w:val="left" w:pos="690"/>
        </w:tabs>
        <w:ind w:left="354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AD8DADC">
      <w:start w:val="1"/>
      <w:numFmt w:val="bullet"/>
      <w:lvlText w:val="▪"/>
      <w:lvlJc w:val="left"/>
      <w:pPr>
        <w:tabs>
          <w:tab w:val="left" w:pos="690"/>
        </w:tabs>
        <w:ind w:left="426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D36CFEC">
      <w:start w:val="1"/>
      <w:numFmt w:val="bullet"/>
      <w:lvlText w:val="•"/>
      <w:lvlJc w:val="left"/>
      <w:pPr>
        <w:tabs>
          <w:tab w:val="left" w:pos="690"/>
        </w:tabs>
        <w:ind w:left="498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E7204E0">
      <w:start w:val="1"/>
      <w:numFmt w:val="bullet"/>
      <w:lvlText w:val="o"/>
      <w:lvlJc w:val="left"/>
      <w:pPr>
        <w:tabs>
          <w:tab w:val="left" w:pos="690"/>
        </w:tabs>
        <w:ind w:left="570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D268A8">
      <w:start w:val="1"/>
      <w:numFmt w:val="bullet"/>
      <w:lvlText w:val="▪"/>
      <w:lvlJc w:val="left"/>
      <w:pPr>
        <w:tabs>
          <w:tab w:val="left" w:pos="690"/>
        </w:tabs>
        <w:ind w:left="6423" w:hanging="30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4">
    <w:nsid w:val="68DF1383"/>
    <w:multiLevelType w:val="multilevel"/>
    <w:tmpl w:val="8DF8F37A"/>
    <w:styleLink w:val="List51"/>
    <w:lvl w:ilvl="0">
      <w:numFmt w:val="bullet"/>
      <w:lvlText w:val="•"/>
      <w:lvlJc w:val="left"/>
      <w:pPr>
        <w:tabs>
          <w:tab w:val="num" w:pos="194"/>
        </w:tabs>
        <w:ind w:left="194" w:hanging="167"/>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5">
    <w:nsid w:val="6E2B34E8"/>
    <w:multiLevelType w:val="multilevel"/>
    <w:tmpl w:val="AAA2B258"/>
    <w:lvl w:ilvl="0">
      <w:numFmt w:val="bullet"/>
      <w:lvlText w:val="•"/>
      <w:lvlJc w:val="left"/>
      <w:pPr>
        <w:tabs>
          <w:tab w:val="num" w:pos="194"/>
        </w:tabs>
        <w:ind w:left="194" w:hanging="167"/>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376"/>
        </w:tabs>
        <w:ind w:left="376" w:hanging="196"/>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556"/>
        </w:tabs>
        <w:ind w:left="556" w:hanging="1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736"/>
        </w:tabs>
        <w:ind w:left="736" w:hanging="196"/>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916"/>
        </w:tabs>
        <w:ind w:left="916" w:hanging="196"/>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096"/>
        </w:tabs>
        <w:ind w:left="1096" w:hanging="1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276"/>
        </w:tabs>
        <w:ind w:left="1276" w:hanging="196"/>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456"/>
        </w:tabs>
        <w:ind w:left="1456" w:hanging="196"/>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636"/>
        </w:tabs>
        <w:ind w:left="1636" w:hanging="1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6">
    <w:nsid w:val="75051096"/>
    <w:multiLevelType w:val="multilevel"/>
    <w:tmpl w:val="E2E4CB14"/>
    <w:styleLink w:val="List19"/>
    <w:lvl w:ilvl="0">
      <w:numFmt w:val="bullet"/>
      <w:lvlText w:val="•"/>
      <w:lvlJc w:val="left"/>
      <w:pPr>
        <w:tabs>
          <w:tab w:val="num" w:pos="180"/>
        </w:tabs>
        <w:ind w:left="180" w:hanging="18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7">
    <w:nsid w:val="77A967A7"/>
    <w:multiLevelType w:val="multilevel"/>
    <w:tmpl w:val="8B06C7F8"/>
    <w:styleLink w:val="List16"/>
    <w:lvl w:ilvl="0">
      <w:numFmt w:val="bullet"/>
      <w:lvlText w:val="•"/>
      <w:lvlJc w:val="left"/>
      <w:pPr>
        <w:tabs>
          <w:tab w:val="num" w:pos="196"/>
        </w:tabs>
        <w:ind w:left="196" w:hanging="153"/>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116"/>
        </w:tabs>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8">
    <w:nsid w:val="78FE061A"/>
    <w:multiLevelType w:val="multilevel"/>
    <w:tmpl w:val="78A6DC82"/>
    <w:styleLink w:val="List20"/>
    <w:lvl w:ilvl="0">
      <w:numFmt w:val="bullet"/>
      <w:lvlText w:val="•"/>
      <w:lvlJc w:val="left"/>
      <w:pPr>
        <w:tabs>
          <w:tab w:val="num" w:pos="180"/>
        </w:tabs>
        <w:ind w:left="180" w:hanging="18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9">
    <w:nsid w:val="7B7B75FE"/>
    <w:multiLevelType w:val="multilevel"/>
    <w:tmpl w:val="AF7C95E0"/>
    <w:styleLink w:val="List10"/>
    <w:lvl w:ilvl="0">
      <w:numFmt w:val="bullet"/>
      <w:lvlText w:val="•"/>
      <w:lvlJc w:val="left"/>
      <w:pPr>
        <w:tabs>
          <w:tab w:val="num" w:pos="180"/>
        </w:tabs>
        <w:ind w:left="180" w:hanging="18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747"/>
        </w:tabs>
        <w:ind w:left="747"/>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927"/>
        </w:tabs>
        <w:ind w:left="927"/>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107"/>
        </w:tabs>
        <w:ind w:left="1107"/>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1287"/>
        </w:tabs>
        <w:ind w:left="1287"/>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1467"/>
        </w:tabs>
        <w:ind w:left="1467"/>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1647"/>
        </w:tabs>
        <w:ind w:left="1647"/>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1827"/>
        </w:tabs>
        <w:ind w:left="1827"/>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2007"/>
        </w:tabs>
        <w:ind w:left="2007"/>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40">
    <w:nsid w:val="7D560F9F"/>
    <w:multiLevelType w:val="multilevel"/>
    <w:tmpl w:val="F446AB62"/>
    <w:styleLink w:val="List22"/>
    <w:lvl w:ilvl="0">
      <w:numFmt w:val="bullet"/>
      <w:lvlText w:val="•"/>
      <w:lvlJc w:val="left"/>
      <w:pPr>
        <w:tabs>
          <w:tab w:val="num" w:pos="210"/>
        </w:tabs>
        <w:ind w:left="210" w:hanging="21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30"/>
        </w:tabs>
        <w:ind w:left="1330" w:hanging="250"/>
      </w:pPr>
      <w:rPr>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050"/>
        </w:tabs>
        <w:ind w:left="2050" w:hanging="250"/>
      </w:pPr>
      <w:rPr>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770"/>
        </w:tabs>
        <w:ind w:left="2770" w:hanging="250"/>
      </w:pPr>
      <w:rPr>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490"/>
        </w:tabs>
        <w:ind w:left="3490" w:hanging="250"/>
      </w:pPr>
      <w:rPr>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10"/>
        </w:tabs>
        <w:ind w:left="4210" w:hanging="250"/>
      </w:pPr>
      <w:rPr>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30"/>
        </w:tabs>
        <w:ind w:left="4930" w:hanging="250"/>
      </w:pPr>
      <w:rPr>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650"/>
        </w:tabs>
        <w:ind w:left="5650" w:hanging="250"/>
      </w:pPr>
      <w:rPr>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370"/>
        </w:tabs>
        <w:ind w:left="6370" w:hanging="250"/>
      </w:pPr>
      <w:rPr>
        <w:caps w:val="0"/>
        <w:smallCaps w:val="0"/>
        <w:strike w:val="0"/>
        <w:dstrike w:val="0"/>
        <w:outline w:val="0"/>
        <w:color w:val="000000"/>
        <w:spacing w:val="0"/>
        <w:kern w:val="0"/>
        <w:position w:val="0"/>
        <w:sz w:val="20"/>
        <w:szCs w:val="20"/>
        <w:u w:val="none" w:color="000000"/>
        <w:vertAlign w:val="baseline"/>
        <w:lang w:val="en-US"/>
      </w:rPr>
    </w:lvl>
  </w:abstractNum>
  <w:num w:numId="1">
    <w:abstractNumId w:val="18"/>
  </w:num>
  <w:num w:numId="2">
    <w:abstractNumId w:val="22"/>
  </w:num>
  <w:num w:numId="3">
    <w:abstractNumId w:val="33"/>
  </w:num>
  <w:num w:numId="4">
    <w:abstractNumId w:val="23"/>
  </w:num>
  <w:num w:numId="5">
    <w:abstractNumId w:val="0"/>
  </w:num>
  <w:num w:numId="6">
    <w:abstractNumId w:val="19"/>
  </w:num>
  <w:num w:numId="7">
    <w:abstractNumId w:val="13"/>
  </w:num>
  <w:num w:numId="8">
    <w:abstractNumId w:val="21"/>
  </w:num>
  <w:num w:numId="9">
    <w:abstractNumId w:val="26"/>
  </w:num>
  <w:num w:numId="10">
    <w:abstractNumId w:val="25"/>
  </w:num>
  <w:num w:numId="11">
    <w:abstractNumId w:val="34"/>
  </w:num>
  <w:num w:numId="12">
    <w:abstractNumId w:val="5"/>
  </w:num>
  <w:num w:numId="13">
    <w:abstractNumId w:val="20"/>
  </w:num>
  <w:num w:numId="14">
    <w:abstractNumId w:val="35"/>
  </w:num>
  <w:num w:numId="15">
    <w:abstractNumId w:val="17"/>
  </w:num>
  <w:num w:numId="16">
    <w:abstractNumId w:val="1"/>
  </w:num>
  <w:num w:numId="17">
    <w:abstractNumId w:val="39"/>
  </w:num>
  <w:num w:numId="18">
    <w:abstractNumId w:val="31"/>
  </w:num>
  <w:num w:numId="19">
    <w:abstractNumId w:val="4"/>
  </w:num>
  <w:num w:numId="20">
    <w:abstractNumId w:val="27"/>
  </w:num>
  <w:num w:numId="21">
    <w:abstractNumId w:val="24"/>
  </w:num>
  <w:num w:numId="22">
    <w:abstractNumId w:val="14"/>
  </w:num>
  <w:num w:numId="23">
    <w:abstractNumId w:val="28"/>
  </w:num>
  <w:num w:numId="24">
    <w:abstractNumId w:val="37"/>
  </w:num>
  <w:num w:numId="25">
    <w:abstractNumId w:val="6"/>
  </w:num>
  <w:num w:numId="26">
    <w:abstractNumId w:val="32"/>
  </w:num>
  <w:num w:numId="27">
    <w:abstractNumId w:val="36"/>
  </w:num>
  <w:num w:numId="28">
    <w:abstractNumId w:val="38"/>
  </w:num>
  <w:num w:numId="29">
    <w:abstractNumId w:val="40"/>
  </w:num>
  <w:num w:numId="30">
    <w:abstractNumId w:val="3"/>
  </w:num>
  <w:num w:numId="31">
    <w:abstractNumId w:val="7"/>
  </w:num>
  <w:num w:numId="32">
    <w:abstractNumId w:val="10"/>
  </w:num>
  <w:num w:numId="33">
    <w:abstractNumId w:val="15"/>
  </w:num>
  <w:num w:numId="34">
    <w:abstractNumId w:val="30"/>
  </w:num>
  <w:num w:numId="35">
    <w:abstractNumId w:val="12"/>
  </w:num>
  <w:num w:numId="36">
    <w:abstractNumId w:val="16"/>
  </w:num>
  <w:num w:numId="37">
    <w:abstractNumId w:val="9"/>
  </w:num>
  <w:num w:numId="38">
    <w:abstractNumId w:val="2"/>
  </w:num>
  <w:num w:numId="39">
    <w:abstractNumId w:val="8"/>
  </w:num>
  <w:num w:numId="40">
    <w:abstractNumId w:val="29"/>
  </w:num>
  <w:num w:numId="41">
    <w:abstractNumId w:val="1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64AB0"/>
    <w:rsid w:val="000545D1"/>
    <w:rsid w:val="001D4A18"/>
    <w:rsid w:val="00220650"/>
    <w:rsid w:val="0024418E"/>
    <w:rsid w:val="00265146"/>
    <w:rsid w:val="002B19B4"/>
    <w:rsid w:val="002E5C28"/>
    <w:rsid w:val="00302BBB"/>
    <w:rsid w:val="00306B8F"/>
    <w:rsid w:val="00355A92"/>
    <w:rsid w:val="00390DA0"/>
    <w:rsid w:val="00417775"/>
    <w:rsid w:val="00456642"/>
    <w:rsid w:val="00497B4E"/>
    <w:rsid w:val="004B608B"/>
    <w:rsid w:val="004D40BD"/>
    <w:rsid w:val="004F7C2F"/>
    <w:rsid w:val="00524D23"/>
    <w:rsid w:val="005F5829"/>
    <w:rsid w:val="00675E99"/>
    <w:rsid w:val="006F0E4E"/>
    <w:rsid w:val="0072312B"/>
    <w:rsid w:val="007605AB"/>
    <w:rsid w:val="007E1580"/>
    <w:rsid w:val="008A2D36"/>
    <w:rsid w:val="00902665"/>
    <w:rsid w:val="009259F5"/>
    <w:rsid w:val="009417D6"/>
    <w:rsid w:val="00964AB0"/>
    <w:rsid w:val="009A5961"/>
    <w:rsid w:val="009F4F9F"/>
    <w:rsid w:val="00A0702B"/>
    <w:rsid w:val="00A121AC"/>
    <w:rsid w:val="00B3595D"/>
    <w:rsid w:val="00B422AE"/>
    <w:rsid w:val="00B47387"/>
    <w:rsid w:val="00B636C4"/>
    <w:rsid w:val="00C56FF3"/>
    <w:rsid w:val="00C8151D"/>
    <w:rsid w:val="00C82DB8"/>
    <w:rsid w:val="00CE6845"/>
    <w:rsid w:val="00D66E4C"/>
    <w:rsid w:val="00D76B43"/>
    <w:rsid w:val="00E546D6"/>
    <w:rsid w:val="00E66F0A"/>
    <w:rsid w:val="00F4762B"/>
    <w:rsid w:val="00F60727"/>
    <w:rsid w:val="00F615F4"/>
    <w:rsid w:val="00FA5038"/>
    <w:rsid w:val="00FE33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65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0650"/>
    <w:rPr>
      <w:u w:val="single"/>
    </w:rPr>
  </w:style>
  <w:style w:type="paragraph" w:customStyle="1" w:styleId="HeaderFooter">
    <w:name w:val="Header &amp; Footer"/>
    <w:rsid w:val="00220650"/>
    <w:pPr>
      <w:tabs>
        <w:tab w:val="right" w:pos="9020"/>
      </w:tabs>
    </w:pPr>
    <w:rPr>
      <w:rFonts w:ascii="Helvetica" w:hAnsi="Helvetica" w:cs="Arial Unicode MS"/>
      <w:color w:val="000000"/>
      <w:sz w:val="24"/>
      <w:szCs w:val="24"/>
    </w:rPr>
  </w:style>
  <w:style w:type="paragraph" w:styleId="Footer">
    <w:name w:val="footer"/>
    <w:rsid w:val="00220650"/>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rsid w:val="00220650"/>
    <w:pPr>
      <w:spacing w:after="200" w:line="276" w:lineRule="auto"/>
    </w:pPr>
    <w:rPr>
      <w:rFonts w:ascii="Arial" w:hAnsi="Arial" w:cs="Arial Unicode MS"/>
      <w:color w:val="000000"/>
      <w:sz w:val="22"/>
      <w:szCs w:val="22"/>
      <w:u w:color="000000"/>
      <w:lang w:val="en-US"/>
    </w:rPr>
  </w:style>
  <w:style w:type="character" w:customStyle="1" w:styleId="hlfld-contribauthor">
    <w:name w:val="hlfld-contribauthor"/>
    <w:rsid w:val="00220650"/>
    <w:rPr>
      <w:lang w:val="en-US"/>
    </w:rPr>
  </w:style>
  <w:style w:type="character" w:customStyle="1" w:styleId="Hyperlink0">
    <w:name w:val="Hyperlink.0"/>
    <w:basedOn w:val="hlfld-contribauthor"/>
    <w:rsid w:val="00220650"/>
    <w:rPr>
      <w:rFonts w:ascii="Times New Roman" w:eastAsia="Times New Roman" w:hAnsi="Times New Roman" w:cs="Times New Roman"/>
      <w:color w:val="000000"/>
      <w:sz w:val="24"/>
      <w:szCs w:val="24"/>
      <w:u w:val="none" w:color="000000"/>
      <w:lang w:val="en-US"/>
    </w:rPr>
  </w:style>
  <w:style w:type="character" w:customStyle="1" w:styleId="Hyperlink1">
    <w:name w:val="Hyperlink.1"/>
    <w:basedOn w:val="hlfld-contribauthor"/>
    <w:rsid w:val="00220650"/>
    <w:rPr>
      <w:rFonts w:ascii="Times New Roman" w:eastAsia="Times New Roman" w:hAnsi="Times New Roman" w:cs="Times New Roman"/>
      <w:sz w:val="24"/>
      <w:szCs w:val="24"/>
      <w:u w:val="none" w:color="0000FF"/>
      <w:lang w:val="de-DE"/>
    </w:rPr>
  </w:style>
  <w:style w:type="paragraph" w:customStyle="1" w:styleId="Default">
    <w:name w:val="Default"/>
    <w:rsid w:val="00220650"/>
    <w:rPr>
      <w:rFonts w:ascii="Helvetica" w:hAnsi="Helvetica" w:cs="Arial Unicode MS"/>
      <w:color w:val="000000"/>
      <w:sz w:val="22"/>
      <w:szCs w:val="22"/>
      <w:u w:color="000000"/>
      <w:lang w:val="en-US"/>
    </w:rPr>
  </w:style>
  <w:style w:type="paragraph" w:customStyle="1" w:styleId="Body">
    <w:name w:val="Body"/>
    <w:rsid w:val="00220650"/>
    <w:rPr>
      <w:rFonts w:eastAsia="Times New Roman"/>
      <w:color w:val="000000"/>
      <w:sz w:val="24"/>
      <w:szCs w:val="24"/>
      <w:u w:color="000000"/>
    </w:rPr>
  </w:style>
  <w:style w:type="character" w:customStyle="1" w:styleId="Hyperlink2">
    <w:name w:val="Hyperlink.2"/>
    <w:basedOn w:val="Hyperlink"/>
    <w:rsid w:val="00220650"/>
    <w:rPr>
      <w:u w:val="single"/>
    </w:rPr>
  </w:style>
  <w:style w:type="character" w:customStyle="1" w:styleId="Hyperlink3">
    <w:name w:val="Hyperlink.3"/>
    <w:basedOn w:val="Hyperlink"/>
    <w:rsid w:val="00220650"/>
    <w:rPr>
      <w:u w:val="single"/>
    </w:rPr>
  </w:style>
  <w:style w:type="character" w:customStyle="1" w:styleId="Hyperlink4">
    <w:name w:val="Hyperlink.4"/>
    <w:basedOn w:val="Hyperlink"/>
    <w:rsid w:val="00220650"/>
    <w:rPr>
      <w:u w:val="single"/>
    </w:rPr>
  </w:style>
  <w:style w:type="character" w:customStyle="1" w:styleId="Hyperlink5">
    <w:name w:val="Hyperlink.5"/>
    <w:basedOn w:val="Hyperlink"/>
    <w:rsid w:val="00220650"/>
    <w:rPr>
      <w:u w:val="single"/>
    </w:rPr>
  </w:style>
  <w:style w:type="paragraph" w:styleId="ListParagraph">
    <w:name w:val="List Paragraph"/>
    <w:rsid w:val="00220650"/>
    <w:pPr>
      <w:spacing w:after="200" w:line="276" w:lineRule="auto"/>
      <w:ind w:left="720"/>
    </w:pPr>
    <w:rPr>
      <w:rFonts w:ascii="Arial" w:hAnsi="Arial" w:cs="Arial Unicode MS"/>
      <w:color w:val="000000"/>
      <w:sz w:val="22"/>
      <w:szCs w:val="22"/>
      <w:u w:color="000000"/>
      <w:lang w:val="en-US"/>
    </w:rPr>
  </w:style>
  <w:style w:type="numbering" w:customStyle="1" w:styleId="List0">
    <w:name w:val="List 0"/>
    <w:rsid w:val="00220650"/>
    <w:pPr>
      <w:numPr>
        <w:numId w:val="1"/>
      </w:numPr>
    </w:pPr>
  </w:style>
  <w:style w:type="numbering" w:customStyle="1" w:styleId="List1">
    <w:name w:val="List 1"/>
    <w:rsid w:val="00220650"/>
    <w:pPr>
      <w:numPr>
        <w:numId w:val="3"/>
      </w:numPr>
    </w:pPr>
  </w:style>
  <w:style w:type="numbering" w:customStyle="1" w:styleId="List21">
    <w:name w:val="List 21"/>
    <w:rsid w:val="00220650"/>
    <w:pPr>
      <w:numPr>
        <w:numId w:val="5"/>
      </w:numPr>
    </w:pPr>
  </w:style>
  <w:style w:type="numbering" w:customStyle="1" w:styleId="List31">
    <w:name w:val="List 31"/>
    <w:rsid w:val="00220650"/>
    <w:pPr>
      <w:numPr>
        <w:numId w:val="7"/>
      </w:numPr>
    </w:pPr>
  </w:style>
  <w:style w:type="numbering" w:customStyle="1" w:styleId="List41">
    <w:name w:val="List 41"/>
    <w:rsid w:val="00220650"/>
    <w:pPr>
      <w:numPr>
        <w:numId w:val="9"/>
      </w:numPr>
    </w:pPr>
  </w:style>
  <w:style w:type="character" w:customStyle="1" w:styleId="Hyperlink6">
    <w:name w:val="Hyperlink.6"/>
    <w:basedOn w:val="hlfld-contribauthor"/>
    <w:rsid w:val="00220650"/>
    <w:rPr>
      <w:rFonts w:ascii="Times New Roman" w:eastAsia="Times New Roman" w:hAnsi="Times New Roman" w:cs="Times New Roman"/>
      <w:color w:val="000000"/>
      <w:sz w:val="24"/>
      <w:szCs w:val="24"/>
      <w:u w:val="single" w:color="000000"/>
      <w:lang w:val="en-US"/>
    </w:rPr>
  </w:style>
  <w:style w:type="character" w:customStyle="1" w:styleId="Hyperlink7">
    <w:name w:val="Hyperlink.7"/>
    <w:basedOn w:val="hlfld-contribauthor"/>
    <w:rsid w:val="00220650"/>
    <w:rPr>
      <w:rFonts w:ascii="Times New Roman" w:eastAsia="Times New Roman" w:hAnsi="Times New Roman" w:cs="Times New Roman"/>
      <w:color w:val="000000"/>
      <w:u w:val="single" w:color="000000"/>
      <w:lang w:val="en-US"/>
    </w:rPr>
  </w:style>
  <w:style w:type="paragraph" w:customStyle="1" w:styleId="BodyB">
    <w:name w:val="Body B"/>
    <w:rsid w:val="00220650"/>
    <w:rPr>
      <w:rFonts w:cs="Arial Unicode MS"/>
      <w:color w:val="000000"/>
      <w:sz w:val="24"/>
      <w:szCs w:val="24"/>
      <w:u w:color="000000"/>
      <w:lang w:val="en-US"/>
    </w:rPr>
  </w:style>
  <w:style w:type="character" w:customStyle="1" w:styleId="Hyperlink8">
    <w:name w:val="Hyperlink.8"/>
    <w:basedOn w:val="hlfld-contribauthor"/>
    <w:rsid w:val="00220650"/>
    <w:rPr>
      <w:rFonts w:ascii="Times New Roman" w:eastAsia="Times New Roman" w:hAnsi="Times New Roman" w:cs="Times New Roman"/>
      <w:color w:val="000000"/>
      <w:sz w:val="18"/>
      <w:szCs w:val="18"/>
      <w:u w:val="single" w:color="000000"/>
      <w:lang w:val="en-US"/>
    </w:rPr>
  </w:style>
  <w:style w:type="paragraph" w:styleId="CommentText">
    <w:name w:val="annotation text"/>
    <w:basedOn w:val="Normal"/>
    <w:link w:val="CommentTextChar"/>
    <w:uiPriority w:val="99"/>
    <w:semiHidden/>
    <w:unhideWhenUsed/>
    <w:rsid w:val="00220650"/>
    <w:rPr>
      <w:sz w:val="20"/>
      <w:szCs w:val="20"/>
    </w:rPr>
  </w:style>
  <w:style w:type="character" w:customStyle="1" w:styleId="CommentTextChar">
    <w:name w:val="Comment Text Char"/>
    <w:basedOn w:val="DefaultParagraphFont"/>
    <w:link w:val="CommentText"/>
    <w:uiPriority w:val="99"/>
    <w:semiHidden/>
    <w:rsid w:val="00220650"/>
    <w:rPr>
      <w:lang w:val="en-US" w:eastAsia="en-US"/>
    </w:rPr>
  </w:style>
  <w:style w:type="character" w:styleId="CommentReference">
    <w:name w:val="annotation reference"/>
    <w:basedOn w:val="DefaultParagraphFont"/>
    <w:uiPriority w:val="99"/>
    <w:semiHidden/>
    <w:unhideWhenUsed/>
    <w:rsid w:val="00220650"/>
    <w:rPr>
      <w:sz w:val="16"/>
      <w:szCs w:val="16"/>
    </w:rPr>
  </w:style>
  <w:style w:type="paragraph" w:styleId="BalloonText">
    <w:name w:val="Balloon Text"/>
    <w:basedOn w:val="Normal"/>
    <w:link w:val="BalloonTextChar"/>
    <w:uiPriority w:val="99"/>
    <w:semiHidden/>
    <w:unhideWhenUsed/>
    <w:rsid w:val="00390DA0"/>
    <w:rPr>
      <w:rFonts w:ascii="Tahoma" w:hAnsi="Tahoma" w:cs="Tahoma"/>
      <w:sz w:val="16"/>
      <w:szCs w:val="16"/>
    </w:rPr>
  </w:style>
  <w:style w:type="character" w:customStyle="1" w:styleId="BalloonTextChar">
    <w:name w:val="Balloon Text Char"/>
    <w:basedOn w:val="DefaultParagraphFont"/>
    <w:link w:val="BalloonText"/>
    <w:uiPriority w:val="99"/>
    <w:semiHidden/>
    <w:rsid w:val="00390DA0"/>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2E5C28"/>
    <w:rPr>
      <w:b/>
      <w:bCs/>
    </w:rPr>
  </w:style>
  <w:style w:type="character" w:customStyle="1" w:styleId="CommentSubjectChar">
    <w:name w:val="Comment Subject Char"/>
    <w:basedOn w:val="CommentTextChar"/>
    <w:link w:val="CommentSubject"/>
    <w:uiPriority w:val="99"/>
    <w:semiHidden/>
    <w:rsid w:val="002E5C28"/>
    <w:rPr>
      <w:b/>
      <w:bCs/>
      <w:lang w:val="en-US" w:eastAsia="en-US"/>
    </w:rPr>
  </w:style>
  <w:style w:type="numbering" w:customStyle="1" w:styleId="List51">
    <w:name w:val="List 51"/>
    <w:basedOn w:val="NoList"/>
    <w:rsid w:val="009A5961"/>
    <w:pPr>
      <w:numPr>
        <w:numId w:val="11"/>
      </w:numPr>
    </w:pPr>
  </w:style>
  <w:style w:type="numbering" w:customStyle="1" w:styleId="List6">
    <w:name w:val="List 6"/>
    <w:basedOn w:val="NoList"/>
    <w:rsid w:val="009A5961"/>
    <w:pPr>
      <w:numPr>
        <w:numId w:val="12"/>
      </w:numPr>
    </w:pPr>
  </w:style>
  <w:style w:type="numbering" w:customStyle="1" w:styleId="List7">
    <w:name w:val="List 7"/>
    <w:basedOn w:val="NoList"/>
    <w:rsid w:val="009A5961"/>
    <w:pPr>
      <w:numPr>
        <w:numId w:val="13"/>
      </w:numPr>
    </w:pPr>
  </w:style>
  <w:style w:type="numbering" w:customStyle="1" w:styleId="List8">
    <w:name w:val="List 8"/>
    <w:basedOn w:val="NoList"/>
    <w:rsid w:val="009A5961"/>
    <w:pPr>
      <w:numPr>
        <w:numId w:val="15"/>
      </w:numPr>
    </w:pPr>
  </w:style>
  <w:style w:type="numbering" w:customStyle="1" w:styleId="List9">
    <w:name w:val="List 9"/>
    <w:basedOn w:val="NoList"/>
    <w:rsid w:val="009A5961"/>
    <w:pPr>
      <w:numPr>
        <w:numId w:val="16"/>
      </w:numPr>
    </w:pPr>
  </w:style>
  <w:style w:type="numbering" w:customStyle="1" w:styleId="List10">
    <w:name w:val="List 10"/>
    <w:basedOn w:val="NoList"/>
    <w:rsid w:val="009A5961"/>
    <w:pPr>
      <w:numPr>
        <w:numId w:val="17"/>
      </w:numPr>
    </w:pPr>
  </w:style>
  <w:style w:type="numbering" w:customStyle="1" w:styleId="List11">
    <w:name w:val="List 11"/>
    <w:basedOn w:val="NoList"/>
    <w:rsid w:val="009A5961"/>
    <w:pPr>
      <w:numPr>
        <w:numId w:val="18"/>
      </w:numPr>
    </w:pPr>
  </w:style>
  <w:style w:type="numbering" w:customStyle="1" w:styleId="List12">
    <w:name w:val="List 12"/>
    <w:basedOn w:val="NoList"/>
    <w:rsid w:val="009A5961"/>
    <w:pPr>
      <w:numPr>
        <w:numId w:val="20"/>
      </w:numPr>
    </w:pPr>
  </w:style>
  <w:style w:type="numbering" w:customStyle="1" w:styleId="List13">
    <w:name w:val="List 13"/>
    <w:basedOn w:val="NoList"/>
    <w:rsid w:val="009A5961"/>
    <w:pPr>
      <w:numPr>
        <w:numId w:val="21"/>
      </w:numPr>
    </w:pPr>
  </w:style>
  <w:style w:type="numbering" w:customStyle="1" w:styleId="List14">
    <w:name w:val="List 14"/>
    <w:basedOn w:val="NoList"/>
    <w:rsid w:val="009A5961"/>
    <w:pPr>
      <w:numPr>
        <w:numId w:val="22"/>
      </w:numPr>
    </w:pPr>
  </w:style>
  <w:style w:type="numbering" w:customStyle="1" w:styleId="List15">
    <w:name w:val="List 15"/>
    <w:basedOn w:val="NoList"/>
    <w:rsid w:val="009A5961"/>
    <w:pPr>
      <w:numPr>
        <w:numId w:val="23"/>
      </w:numPr>
    </w:pPr>
  </w:style>
  <w:style w:type="numbering" w:customStyle="1" w:styleId="List16">
    <w:name w:val="List 16"/>
    <w:basedOn w:val="NoList"/>
    <w:rsid w:val="009A5961"/>
    <w:pPr>
      <w:numPr>
        <w:numId w:val="24"/>
      </w:numPr>
    </w:pPr>
  </w:style>
  <w:style w:type="numbering" w:customStyle="1" w:styleId="List17">
    <w:name w:val="List 17"/>
    <w:basedOn w:val="NoList"/>
    <w:rsid w:val="009A5961"/>
    <w:pPr>
      <w:numPr>
        <w:numId w:val="25"/>
      </w:numPr>
    </w:pPr>
  </w:style>
  <w:style w:type="numbering" w:customStyle="1" w:styleId="List18">
    <w:name w:val="List 18"/>
    <w:basedOn w:val="NoList"/>
    <w:rsid w:val="009A5961"/>
    <w:pPr>
      <w:numPr>
        <w:numId w:val="26"/>
      </w:numPr>
    </w:pPr>
  </w:style>
  <w:style w:type="numbering" w:customStyle="1" w:styleId="List19">
    <w:name w:val="List 19"/>
    <w:basedOn w:val="NoList"/>
    <w:rsid w:val="009A5961"/>
    <w:pPr>
      <w:numPr>
        <w:numId w:val="27"/>
      </w:numPr>
    </w:pPr>
  </w:style>
  <w:style w:type="numbering" w:customStyle="1" w:styleId="List20">
    <w:name w:val="List 20"/>
    <w:basedOn w:val="NoList"/>
    <w:rsid w:val="009A5961"/>
    <w:pPr>
      <w:numPr>
        <w:numId w:val="28"/>
      </w:numPr>
    </w:pPr>
  </w:style>
  <w:style w:type="numbering" w:customStyle="1" w:styleId="List22">
    <w:name w:val="List 22"/>
    <w:basedOn w:val="NoList"/>
    <w:rsid w:val="00A0702B"/>
    <w:pPr>
      <w:numPr>
        <w:numId w:val="29"/>
      </w:numPr>
    </w:pPr>
  </w:style>
  <w:style w:type="numbering" w:customStyle="1" w:styleId="List23">
    <w:name w:val="List 23"/>
    <w:basedOn w:val="NoList"/>
    <w:rsid w:val="00A0702B"/>
    <w:pPr>
      <w:numPr>
        <w:numId w:val="30"/>
      </w:numPr>
    </w:pPr>
  </w:style>
  <w:style w:type="numbering" w:customStyle="1" w:styleId="List24">
    <w:name w:val="List 24"/>
    <w:basedOn w:val="NoList"/>
    <w:rsid w:val="00A0702B"/>
    <w:pPr>
      <w:numPr>
        <w:numId w:val="31"/>
      </w:numPr>
    </w:pPr>
  </w:style>
  <w:style w:type="numbering" w:customStyle="1" w:styleId="List25">
    <w:name w:val="List 25"/>
    <w:basedOn w:val="NoList"/>
    <w:rsid w:val="00A0702B"/>
    <w:pPr>
      <w:numPr>
        <w:numId w:val="32"/>
      </w:numPr>
    </w:pPr>
  </w:style>
  <w:style w:type="numbering" w:customStyle="1" w:styleId="List26">
    <w:name w:val="List 26"/>
    <w:basedOn w:val="NoList"/>
    <w:rsid w:val="00A0702B"/>
    <w:pPr>
      <w:numPr>
        <w:numId w:val="33"/>
      </w:numPr>
    </w:pPr>
  </w:style>
  <w:style w:type="numbering" w:customStyle="1" w:styleId="List27">
    <w:name w:val="List 27"/>
    <w:basedOn w:val="NoList"/>
    <w:rsid w:val="00A0702B"/>
    <w:pPr>
      <w:numPr>
        <w:numId w:val="34"/>
      </w:numPr>
    </w:pPr>
  </w:style>
  <w:style w:type="numbering" w:customStyle="1" w:styleId="List28">
    <w:name w:val="List 28"/>
    <w:basedOn w:val="NoList"/>
    <w:rsid w:val="00A0702B"/>
    <w:pPr>
      <w:numPr>
        <w:numId w:val="35"/>
      </w:numPr>
    </w:pPr>
  </w:style>
  <w:style w:type="numbering" w:customStyle="1" w:styleId="List29">
    <w:name w:val="List 29"/>
    <w:basedOn w:val="NoList"/>
    <w:rsid w:val="00A0702B"/>
    <w:pPr>
      <w:numPr>
        <w:numId w:val="36"/>
      </w:numPr>
    </w:pPr>
  </w:style>
  <w:style w:type="numbering" w:customStyle="1" w:styleId="List30">
    <w:name w:val="List 30"/>
    <w:basedOn w:val="NoList"/>
    <w:rsid w:val="00A0702B"/>
    <w:pPr>
      <w:numPr>
        <w:numId w:val="37"/>
      </w:numPr>
    </w:pPr>
  </w:style>
  <w:style w:type="numbering" w:customStyle="1" w:styleId="List32">
    <w:name w:val="List 32"/>
    <w:basedOn w:val="NoList"/>
    <w:rsid w:val="00A0702B"/>
    <w:pPr>
      <w:numPr>
        <w:numId w:val="38"/>
      </w:numPr>
    </w:pPr>
  </w:style>
  <w:style w:type="numbering" w:customStyle="1" w:styleId="List33">
    <w:name w:val="List 33"/>
    <w:basedOn w:val="NoList"/>
    <w:rsid w:val="00A0702B"/>
    <w:pPr>
      <w:numPr>
        <w:numId w:val="39"/>
      </w:numPr>
    </w:pPr>
  </w:style>
  <w:style w:type="numbering" w:customStyle="1" w:styleId="List34">
    <w:name w:val="List 34"/>
    <w:basedOn w:val="NoList"/>
    <w:rsid w:val="00A0702B"/>
    <w:pPr>
      <w:numPr>
        <w:numId w:val="40"/>
      </w:numPr>
    </w:pPr>
  </w:style>
  <w:style w:type="numbering" w:customStyle="1" w:styleId="List35">
    <w:name w:val="List 35"/>
    <w:basedOn w:val="NoList"/>
    <w:rsid w:val="00A0702B"/>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pPr>
      <w:spacing w:after="200" w:line="276" w:lineRule="auto"/>
    </w:pPr>
    <w:rPr>
      <w:rFonts w:ascii="Arial" w:hAnsi="Arial" w:cs="Arial Unicode MS"/>
      <w:color w:val="000000"/>
      <w:sz w:val="22"/>
      <w:szCs w:val="22"/>
      <w:u w:color="000000"/>
      <w:lang w:val="en-US"/>
    </w:rPr>
  </w:style>
  <w:style w:type="character" w:customStyle="1" w:styleId="hlfld-contribauthor">
    <w:name w:val="hlfld-contribauthor"/>
    <w:rPr>
      <w:lang w:val="en-US"/>
    </w:rPr>
  </w:style>
  <w:style w:type="character" w:customStyle="1" w:styleId="Hyperlink0">
    <w:name w:val="Hyperlink.0"/>
    <w:basedOn w:val="hlfld-contribauthor"/>
    <w:rPr>
      <w:rFonts w:ascii="Times New Roman" w:eastAsia="Times New Roman" w:hAnsi="Times New Roman" w:cs="Times New Roman"/>
      <w:color w:val="000000"/>
      <w:sz w:val="24"/>
      <w:szCs w:val="24"/>
      <w:u w:val="none" w:color="000000"/>
      <w:lang w:val="en-US"/>
    </w:rPr>
  </w:style>
  <w:style w:type="character" w:customStyle="1" w:styleId="Hyperlink1">
    <w:name w:val="Hyperlink.1"/>
    <w:basedOn w:val="hlfld-contribauthor"/>
    <w:rPr>
      <w:rFonts w:ascii="Times New Roman" w:eastAsia="Times New Roman" w:hAnsi="Times New Roman" w:cs="Times New Roman"/>
      <w:sz w:val="24"/>
      <w:szCs w:val="24"/>
      <w:u w:val="none" w:color="0000FF"/>
      <w:lang w:val="de-DE"/>
    </w:rPr>
  </w:style>
  <w:style w:type="paragraph" w:customStyle="1" w:styleId="Default">
    <w:name w:val="Default"/>
    <w:rPr>
      <w:rFonts w:ascii="Helvetica" w:hAnsi="Helvetica" w:cs="Arial Unicode MS"/>
      <w:color w:val="000000"/>
      <w:sz w:val="22"/>
      <w:szCs w:val="22"/>
      <w:u w:color="000000"/>
      <w:lang w:val="en-US"/>
    </w:rPr>
  </w:style>
  <w:style w:type="paragraph" w:customStyle="1" w:styleId="Body">
    <w:name w:val="Body"/>
    <w:rPr>
      <w:rFonts w:eastAsia="Times New Roman"/>
      <w:color w:val="000000"/>
      <w:sz w:val="24"/>
      <w:szCs w:val="24"/>
      <w:u w:color="000000"/>
    </w:rPr>
  </w:style>
  <w:style w:type="character" w:customStyle="1" w:styleId="Hyperlink2">
    <w:name w:val="Hyperlink.2"/>
    <w:basedOn w:val="Hyperlink"/>
    <w:rPr>
      <w:u w:val="single"/>
    </w:rPr>
  </w:style>
  <w:style w:type="character" w:customStyle="1" w:styleId="Hyperlink3">
    <w:name w:val="Hyperlink.3"/>
    <w:basedOn w:val="Hyperlink"/>
    <w:rPr>
      <w:u w:val="single"/>
    </w:rPr>
  </w:style>
  <w:style w:type="character" w:customStyle="1" w:styleId="Hyperlink4">
    <w:name w:val="Hyperlink.4"/>
    <w:basedOn w:val="Hyperlink"/>
    <w:rPr>
      <w:u w:val="single"/>
    </w:rPr>
  </w:style>
  <w:style w:type="character" w:customStyle="1" w:styleId="Hyperlink5">
    <w:name w:val="Hyperlink.5"/>
    <w:basedOn w:val="Hyperlink"/>
    <w:rPr>
      <w:u w:val="single"/>
    </w:rPr>
  </w:style>
  <w:style w:type="paragraph" w:styleId="ListParagraph">
    <w:name w:val="List Paragraph"/>
    <w:pPr>
      <w:spacing w:after="200" w:line="276" w:lineRule="auto"/>
      <w:ind w:left="720"/>
    </w:pPr>
    <w:rPr>
      <w:rFonts w:ascii="Arial" w:hAnsi="Arial" w:cs="Arial Unicode MS"/>
      <w:color w:val="000000"/>
      <w:sz w:val="22"/>
      <w:szCs w:val="22"/>
      <w:u w:color="000000"/>
      <w:lang w:val="en-US"/>
    </w:rPr>
  </w:style>
  <w:style w:type="numbering" w:customStyle="1" w:styleId="List0">
    <w:name w:val="List 0"/>
    <w:pPr>
      <w:numPr>
        <w:numId w:val="1"/>
      </w:numPr>
    </w:pPr>
  </w:style>
  <w:style w:type="numbering" w:customStyle="1" w:styleId="List1">
    <w:name w:val="List 1"/>
    <w:pPr>
      <w:numPr>
        <w:numId w:val="3"/>
      </w:numPr>
    </w:pPr>
  </w:style>
  <w:style w:type="numbering" w:customStyle="1" w:styleId="List21">
    <w:name w:val="List 21"/>
    <w:pPr>
      <w:numPr>
        <w:numId w:val="5"/>
      </w:numPr>
    </w:pPr>
  </w:style>
  <w:style w:type="numbering" w:customStyle="1" w:styleId="List31">
    <w:name w:val="List 31"/>
    <w:pPr>
      <w:numPr>
        <w:numId w:val="7"/>
      </w:numPr>
    </w:pPr>
  </w:style>
  <w:style w:type="numbering" w:customStyle="1" w:styleId="List41">
    <w:name w:val="List 41"/>
    <w:pPr>
      <w:numPr>
        <w:numId w:val="9"/>
      </w:numPr>
    </w:pPr>
  </w:style>
  <w:style w:type="character" w:customStyle="1" w:styleId="Hyperlink6">
    <w:name w:val="Hyperlink.6"/>
    <w:basedOn w:val="hlfld-contribauthor"/>
    <w:rPr>
      <w:rFonts w:ascii="Times New Roman" w:eastAsia="Times New Roman" w:hAnsi="Times New Roman" w:cs="Times New Roman"/>
      <w:color w:val="000000"/>
      <w:sz w:val="24"/>
      <w:szCs w:val="24"/>
      <w:u w:val="single" w:color="000000"/>
      <w:lang w:val="en-US"/>
    </w:rPr>
  </w:style>
  <w:style w:type="character" w:customStyle="1" w:styleId="Hyperlink7">
    <w:name w:val="Hyperlink.7"/>
    <w:basedOn w:val="hlfld-contribauthor"/>
    <w:rPr>
      <w:rFonts w:ascii="Times New Roman" w:eastAsia="Times New Roman" w:hAnsi="Times New Roman" w:cs="Times New Roman"/>
      <w:color w:val="000000"/>
      <w:u w:val="single" w:color="000000"/>
      <w:lang w:val="en-US"/>
    </w:rPr>
  </w:style>
  <w:style w:type="paragraph" w:customStyle="1" w:styleId="BodyB">
    <w:name w:val="Body B"/>
    <w:rPr>
      <w:rFonts w:cs="Arial Unicode MS"/>
      <w:color w:val="000000"/>
      <w:sz w:val="24"/>
      <w:szCs w:val="24"/>
      <w:u w:color="000000"/>
      <w:lang w:val="en-US"/>
    </w:rPr>
  </w:style>
  <w:style w:type="character" w:customStyle="1" w:styleId="Hyperlink8">
    <w:name w:val="Hyperlink.8"/>
    <w:basedOn w:val="hlfld-contribauthor"/>
    <w:rPr>
      <w:rFonts w:ascii="Times New Roman" w:eastAsia="Times New Roman" w:hAnsi="Times New Roman" w:cs="Times New Roman"/>
      <w:color w:val="000000"/>
      <w:sz w:val="18"/>
      <w:szCs w:val="18"/>
      <w:u w:val="single"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0DA0"/>
    <w:rPr>
      <w:rFonts w:ascii="Tahoma" w:hAnsi="Tahoma" w:cs="Tahoma"/>
      <w:sz w:val="16"/>
      <w:szCs w:val="16"/>
    </w:rPr>
  </w:style>
  <w:style w:type="character" w:customStyle="1" w:styleId="BalloonTextChar">
    <w:name w:val="Balloon Text Char"/>
    <w:basedOn w:val="DefaultParagraphFont"/>
    <w:link w:val="BalloonText"/>
    <w:uiPriority w:val="99"/>
    <w:semiHidden/>
    <w:rsid w:val="00390DA0"/>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2E5C28"/>
    <w:rPr>
      <w:b/>
      <w:bCs/>
    </w:rPr>
  </w:style>
  <w:style w:type="character" w:customStyle="1" w:styleId="CommentSubjectChar">
    <w:name w:val="Comment Subject Char"/>
    <w:basedOn w:val="CommentTextChar"/>
    <w:link w:val="CommentSubject"/>
    <w:uiPriority w:val="99"/>
    <w:semiHidden/>
    <w:rsid w:val="002E5C28"/>
    <w:rPr>
      <w:b/>
      <w:bCs/>
      <w:lang w:val="en-US" w:eastAsia="en-US"/>
    </w:rPr>
  </w:style>
  <w:style w:type="numbering" w:customStyle="1" w:styleId="List51">
    <w:name w:val="List 51"/>
    <w:basedOn w:val="NoList"/>
    <w:rsid w:val="009A5961"/>
    <w:pPr>
      <w:numPr>
        <w:numId w:val="11"/>
      </w:numPr>
    </w:pPr>
  </w:style>
  <w:style w:type="numbering" w:customStyle="1" w:styleId="List6">
    <w:name w:val="List 6"/>
    <w:basedOn w:val="NoList"/>
    <w:rsid w:val="009A5961"/>
    <w:pPr>
      <w:numPr>
        <w:numId w:val="12"/>
      </w:numPr>
    </w:pPr>
  </w:style>
  <w:style w:type="numbering" w:customStyle="1" w:styleId="List7">
    <w:name w:val="List 7"/>
    <w:basedOn w:val="NoList"/>
    <w:rsid w:val="009A5961"/>
    <w:pPr>
      <w:numPr>
        <w:numId w:val="13"/>
      </w:numPr>
    </w:pPr>
  </w:style>
  <w:style w:type="numbering" w:customStyle="1" w:styleId="List8">
    <w:name w:val="List 8"/>
    <w:basedOn w:val="NoList"/>
    <w:rsid w:val="009A5961"/>
    <w:pPr>
      <w:numPr>
        <w:numId w:val="15"/>
      </w:numPr>
    </w:pPr>
  </w:style>
  <w:style w:type="numbering" w:customStyle="1" w:styleId="List9">
    <w:name w:val="List 9"/>
    <w:basedOn w:val="NoList"/>
    <w:rsid w:val="009A5961"/>
    <w:pPr>
      <w:numPr>
        <w:numId w:val="16"/>
      </w:numPr>
    </w:pPr>
  </w:style>
  <w:style w:type="numbering" w:customStyle="1" w:styleId="List10">
    <w:name w:val="List 10"/>
    <w:basedOn w:val="NoList"/>
    <w:rsid w:val="009A5961"/>
    <w:pPr>
      <w:numPr>
        <w:numId w:val="17"/>
      </w:numPr>
    </w:pPr>
  </w:style>
  <w:style w:type="numbering" w:customStyle="1" w:styleId="List11">
    <w:name w:val="List 11"/>
    <w:basedOn w:val="NoList"/>
    <w:rsid w:val="009A5961"/>
    <w:pPr>
      <w:numPr>
        <w:numId w:val="18"/>
      </w:numPr>
    </w:pPr>
  </w:style>
  <w:style w:type="numbering" w:customStyle="1" w:styleId="List12">
    <w:name w:val="List 12"/>
    <w:basedOn w:val="NoList"/>
    <w:rsid w:val="009A5961"/>
    <w:pPr>
      <w:numPr>
        <w:numId w:val="20"/>
      </w:numPr>
    </w:pPr>
  </w:style>
  <w:style w:type="numbering" w:customStyle="1" w:styleId="List13">
    <w:name w:val="List 13"/>
    <w:basedOn w:val="NoList"/>
    <w:rsid w:val="009A5961"/>
    <w:pPr>
      <w:numPr>
        <w:numId w:val="21"/>
      </w:numPr>
    </w:pPr>
  </w:style>
  <w:style w:type="numbering" w:customStyle="1" w:styleId="List14">
    <w:name w:val="List 14"/>
    <w:basedOn w:val="NoList"/>
    <w:rsid w:val="009A5961"/>
    <w:pPr>
      <w:numPr>
        <w:numId w:val="22"/>
      </w:numPr>
    </w:pPr>
  </w:style>
  <w:style w:type="numbering" w:customStyle="1" w:styleId="List15">
    <w:name w:val="List 15"/>
    <w:basedOn w:val="NoList"/>
    <w:rsid w:val="009A5961"/>
    <w:pPr>
      <w:numPr>
        <w:numId w:val="23"/>
      </w:numPr>
    </w:pPr>
  </w:style>
  <w:style w:type="numbering" w:customStyle="1" w:styleId="List16">
    <w:name w:val="List 16"/>
    <w:basedOn w:val="NoList"/>
    <w:rsid w:val="009A5961"/>
    <w:pPr>
      <w:numPr>
        <w:numId w:val="24"/>
      </w:numPr>
    </w:pPr>
  </w:style>
  <w:style w:type="numbering" w:customStyle="1" w:styleId="List17">
    <w:name w:val="List 17"/>
    <w:basedOn w:val="NoList"/>
    <w:rsid w:val="009A5961"/>
    <w:pPr>
      <w:numPr>
        <w:numId w:val="25"/>
      </w:numPr>
    </w:pPr>
  </w:style>
  <w:style w:type="numbering" w:customStyle="1" w:styleId="List18">
    <w:name w:val="List 18"/>
    <w:basedOn w:val="NoList"/>
    <w:rsid w:val="009A5961"/>
    <w:pPr>
      <w:numPr>
        <w:numId w:val="26"/>
      </w:numPr>
    </w:pPr>
  </w:style>
  <w:style w:type="numbering" w:customStyle="1" w:styleId="List19">
    <w:name w:val="List 19"/>
    <w:basedOn w:val="NoList"/>
    <w:rsid w:val="009A5961"/>
    <w:pPr>
      <w:numPr>
        <w:numId w:val="27"/>
      </w:numPr>
    </w:pPr>
  </w:style>
  <w:style w:type="numbering" w:customStyle="1" w:styleId="List20">
    <w:name w:val="List 20"/>
    <w:basedOn w:val="NoList"/>
    <w:rsid w:val="009A5961"/>
    <w:pPr>
      <w:numPr>
        <w:numId w:val="28"/>
      </w:numPr>
    </w:pPr>
  </w:style>
  <w:style w:type="numbering" w:customStyle="1" w:styleId="List22">
    <w:name w:val="List 22"/>
    <w:basedOn w:val="NoList"/>
    <w:rsid w:val="00A0702B"/>
    <w:pPr>
      <w:numPr>
        <w:numId w:val="29"/>
      </w:numPr>
    </w:pPr>
  </w:style>
  <w:style w:type="numbering" w:customStyle="1" w:styleId="List23">
    <w:name w:val="List 23"/>
    <w:basedOn w:val="NoList"/>
    <w:rsid w:val="00A0702B"/>
    <w:pPr>
      <w:numPr>
        <w:numId w:val="30"/>
      </w:numPr>
    </w:pPr>
  </w:style>
  <w:style w:type="numbering" w:customStyle="1" w:styleId="List24">
    <w:name w:val="List 24"/>
    <w:basedOn w:val="NoList"/>
    <w:rsid w:val="00A0702B"/>
    <w:pPr>
      <w:numPr>
        <w:numId w:val="31"/>
      </w:numPr>
    </w:pPr>
  </w:style>
  <w:style w:type="numbering" w:customStyle="1" w:styleId="List25">
    <w:name w:val="List 25"/>
    <w:basedOn w:val="NoList"/>
    <w:rsid w:val="00A0702B"/>
    <w:pPr>
      <w:numPr>
        <w:numId w:val="32"/>
      </w:numPr>
    </w:pPr>
  </w:style>
  <w:style w:type="numbering" w:customStyle="1" w:styleId="List26">
    <w:name w:val="List 26"/>
    <w:basedOn w:val="NoList"/>
    <w:rsid w:val="00A0702B"/>
    <w:pPr>
      <w:numPr>
        <w:numId w:val="33"/>
      </w:numPr>
    </w:pPr>
  </w:style>
  <w:style w:type="numbering" w:customStyle="1" w:styleId="List27">
    <w:name w:val="List 27"/>
    <w:basedOn w:val="NoList"/>
    <w:rsid w:val="00A0702B"/>
    <w:pPr>
      <w:numPr>
        <w:numId w:val="34"/>
      </w:numPr>
    </w:pPr>
  </w:style>
  <w:style w:type="numbering" w:customStyle="1" w:styleId="List28">
    <w:name w:val="List 28"/>
    <w:basedOn w:val="NoList"/>
    <w:rsid w:val="00A0702B"/>
    <w:pPr>
      <w:numPr>
        <w:numId w:val="35"/>
      </w:numPr>
    </w:pPr>
  </w:style>
  <w:style w:type="numbering" w:customStyle="1" w:styleId="List29">
    <w:name w:val="List 29"/>
    <w:basedOn w:val="NoList"/>
    <w:rsid w:val="00A0702B"/>
    <w:pPr>
      <w:numPr>
        <w:numId w:val="36"/>
      </w:numPr>
    </w:pPr>
  </w:style>
  <w:style w:type="numbering" w:customStyle="1" w:styleId="List30">
    <w:name w:val="List 30"/>
    <w:basedOn w:val="NoList"/>
    <w:rsid w:val="00A0702B"/>
    <w:pPr>
      <w:numPr>
        <w:numId w:val="37"/>
      </w:numPr>
    </w:pPr>
  </w:style>
  <w:style w:type="numbering" w:customStyle="1" w:styleId="List32">
    <w:name w:val="List 32"/>
    <w:basedOn w:val="NoList"/>
    <w:rsid w:val="00A0702B"/>
    <w:pPr>
      <w:numPr>
        <w:numId w:val="38"/>
      </w:numPr>
    </w:pPr>
  </w:style>
  <w:style w:type="numbering" w:customStyle="1" w:styleId="List33">
    <w:name w:val="List 33"/>
    <w:basedOn w:val="NoList"/>
    <w:rsid w:val="00A0702B"/>
    <w:pPr>
      <w:numPr>
        <w:numId w:val="39"/>
      </w:numPr>
    </w:pPr>
  </w:style>
  <w:style w:type="numbering" w:customStyle="1" w:styleId="List34">
    <w:name w:val="List 34"/>
    <w:basedOn w:val="NoList"/>
    <w:rsid w:val="00A0702B"/>
    <w:pPr>
      <w:numPr>
        <w:numId w:val="40"/>
      </w:numPr>
    </w:pPr>
  </w:style>
  <w:style w:type="numbering" w:customStyle="1" w:styleId="List35">
    <w:name w:val="List 35"/>
    <w:basedOn w:val="NoList"/>
    <w:rsid w:val="00A0702B"/>
    <w:pPr>
      <w:numPr>
        <w:numId w:val="4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eacademy.ac.uk/node/309" TargetMode="External"/><Relationship Id="rId13" Type="http://schemas.openxmlformats.org/officeDocument/2006/relationships/hyperlink" Target="http://www.publicengagement.ac.uk/what/skills-and-attributes" TargetMode="External"/><Relationship Id="rId18" Type="http://schemas.openxmlformats.org/officeDocument/2006/relationships/hyperlink" Target="https://www.heacademy.ac.uk/sites/default/files/resources/Students%20as%20researchers_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walkington@brookes.ac.uk" TargetMode="External"/><Relationship Id="rId12" Type="http://schemas.openxmlformats.org/officeDocument/2006/relationships/image" Target="media/image1.png"/><Relationship Id="rId17" Type="http://schemas.openxmlformats.org/officeDocument/2006/relationships/hyperlink" Target="http://bejlt.brookes.ac.uk/article/embedding_undergraduate_research_publication_in_the_student_learning_experi/" TargetMode="External"/><Relationship Id="rId2" Type="http://schemas.openxmlformats.org/officeDocument/2006/relationships/styles" Target="styles.xml"/><Relationship Id="rId16" Type="http://schemas.openxmlformats.org/officeDocument/2006/relationships/hyperlink" Target="https://www.vitae.ac.uk/researchers-professional-development/about-the-vitae-researcher-development-framewor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cademy.ac.uk/node/192" TargetMode="External"/><Relationship Id="rId5" Type="http://schemas.openxmlformats.org/officeDocument/2006/relationships/footnotes" Target="footnotes.xml"/><Relationship Id="rId15" Type="http://schemas.openxmlformats.org/officeDocument/2006/relationships/hyperlink" Target="http://www.universitiesuk.ac.uk/highereducation/Documents/2014/ForgingFutures.pdf" TargetMode="External"/><Relationship Id="rId10" Type="http://schemas.openxmlformats.org/officeDocument/2006/relationships/hyperlink" Target="https://www.heacademy.ac.uk/node/3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cademy.ac.uk/node/109" TargetMode="External"/><Relationship Id="rId14" Type="http://schemas.openxmlformats.org/officeDocument/2006/relationships/hyperlink" Target="http://www2.warwick.ac.uk/fac/soc/sociology/research/cetl/ugresearch/" TargetMode="External"/><Relationship Id="rId2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8754</Words>
  <Characters>49900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Edwards-Jones</dc:creator>
  <cp:lastModifiedBy>Jennifer Hill</cp:lastModifiedBy>
  <cp:revision>3</cp:revision>
  <dcterms:created xsi:type="dcterms:W3CDTF">2016-07-04T09:41:00Z</dcterms:created>
  <dcterms:modified xsi:type="dcterms:W3CDTF">2016-08-08T11:25:00Z</dcterms:modified>
</cp:coreProperties>
</file>