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4C4BBE" w14:textId="1477EF95" w:rsidR="00826D0E" w:rsidRPr="001E6503" w:rsidRDefault="00057EBC" w:rsidP="000B1A46">
      <w:pPr>
        <w:pStyle w:val="NormalWeb"/>
        <w:shd w:val="clear" w:color="auto" w:fill="FFFFFF"/>
        <w:spacing w:before="120" w:beforeAutospacing="0" w:after="120" w:afterAutospacing="0" w:line="480" w:lineRule="auto"/>
        <w:jc w:val="center"/>
        <w:rPr>
          <w:b/>
        </w:rPr>
      </w:pPr>
      <w:r w:rsidRPr="001E6503">
        <w:rPr>
          <w:b/>
        </w:rPr>
        <w:t xml:space="preserve">A cross-sectional investigation of public attitudes </w:t>
      </w:r>
      <w:r w:rsidR="00994792" w:rsidRPr="001E6503">
        <w:rPr>
          <w:b/>
        </w:rPr>
        <w:t>towards dementia in Bris</w:t>
      </w:r>
      <w:r w:rsidR="00611294" w:rsidRPr="001E6503">
        <w:rPr>
          <w:b/>
        </w:rPr>
        <w:t>tol and South Gloucestershire</w:t>
      </w:r>
      <w:r w:rsidRPr="001E6503">
        <w:rPr>
          <w:b/>
        </w:rPr>
        <w:t xml:space="preserve"> </w:t>
      </w:r>
      <w:r w:rsidR="00994792" w:rsidRPr="001E6503">
        <w:rPr>
          <w:b/>
        </w:rPr>
        <w:t>using the Approaches to Dementia Questionnaire</w:t>
      </w:r>
    </w:p>
    <w:p w14:paraId="164D2F56" w14:textId="77777777" w:rsidR="00B766AF" w:rsidRPr="005F76B0" w:rsidRDefault="00B766AF" w:rsidP="000B1A46">
      <w:pPr>
        <w:pStyle w:val="NormalWeb"/>
        <w:shd w:val="clear" w:color="auto" w:fill="FFFFFF"/>
        <w:spacing w:before="120" w:beforeAutospacing="0" w:after="120" w:afterAutospacing="0" w:line="480" w:lineRule="auto"/>
        <w:rPr>
          <w:b/>
          <w:lang w:val="en-US"/>
        </w:rPr>
      </w:pPr>
    </w:p>
    <w:p w14:paraId="2B0264AF" w14:textId="70C07368" w:rsidR="00994792" w:rsidRPr="001E6503" w:rsidRDefault="000D64C6" w:rsidP="000B1A46">
      <w:pPr>
        <w:pStyle w:val="NormalWeb"/>
        <w:shd w:val="clear" w:color="auto" w:fill="FFFFFF"/>
        <w:spacing w:before="120" w:beforeAutospacing="0" w:after="120" w:afterAutospacing="0" w:line="480" w:lineRule="auto"/>
      </w:pPr>
      <w:r w:rsidRPr="001E6503">
        <w:rPr>
          <w:b/>
        </w:rPr>
        <w:t>Running title</w:t>
      </w:r>
      <w:r w:rsidRPr="001E6503">
        <w:t>: Attitudes to</w:t>
      </w:r>
      <w:r w:rsidR="006D4D84" w:rsidRPr="001E6503">
        <w:t>ward dementia</w:t>
      </w:r>
    </w:p>
    <w:p w14:paraId="2A1DBA0E" w14:textId="77777777" w:rsidR="00B766AF" w:rsidRPr="001E6503" w:rsidRDefault="00B766AF" w:rsidP="000B1A46">
      <w:pPr>
        <w:pStyle w:val="NormalWeb"/>
        <w:shd w:val="clear" w:color="auto" w:fill="FFFFFF"/>
        <w:spacing w:before="120" w:beforeAutospacing="0" w:after="120" w:afterAutospacing="0" w:line="480" w:lineRule="auto"/>
        <w:rPr>
          <w:b/>
        </w:rPr>
      </w:pPr>
    </w:p>
    <w:p w14:paraId="7F94D2A5" w14:textId="06648EC3" w:rsidR="00826D0E" w:rsidRPr="001E6503" w:rsidRDefault="000D64C6" w:rsidP="000B1A46">
      <w:pPr>
        <w:pStyle w:val="NormalWeb"/>
        <w:shd w:val="clear" w:color="auto" w:fill="FFFFFF"/>
        <w:spacing w:before="120" w:beforeAutospacing="0" w:after="120" w:afterAutospacing="0" w:line="480" w:lineRule="auto"/>
      </w:pPr>
      <w:r w:rsidRPr="001E6503">
        <w:rPr>
          <w:b/>
        </w:rPr>
        <w:t xml:space="preserve">Authors: </w:t>
      </w:r>
      <w:r w:rsidR="00E057CD" w:rsidRPr="001E6503">
        <w:t xml:space="preserve">Professor Richard </w:t>
      </w:r>
      <w:r w:rsidR="00E50A35" w:rsidRPr="001E6503">
        <w:t>Cheston</w:t>
      </w:r>
      <w:r w:rsidR="00D9093F" w:rsidRPr="001E6503">
        <w:rPr>
          <w:vertAlign w:val="superscript"/>
        </w:rPr>
        <w:t>1</w:t>
      </w:r>
      <w:r w:rsidR="00310701" w:rsidRPr="001E6503">
        <w:t>,</w:t>
      </w:r>
      <w:r w:rsidR="00E057CD" w:rsidRPr="001E6503">
        <w:t xml:space="preserve"> Dr Jude Hancock</w:t>
      </w:r>
      <w:r w:rsidR="004407A6" w:rsidRPr="001E6503">
        <w:rPr>
          <w:vertAlign w:val="superscript"/>
        </w:rPr>
        <w:t>2</w:t>
      </w:r>
      <w:r w:rsidR="00E50A35" w:rsidRPr="001E6503">
        <w:t xml:space="preserve"> and </w:t>
      </w:r>
      <w:r w:rsidR="00E057CD" w:rsidRPr="001E6503">
        <w:t xml:space="preserve">Dr Paul </w:t>
      </w:r>
      <w:r w:rsidR="003A392C" w:rsidRPr="001E6503">
        <w:t>White</w:t>
      </w:r>
      <w:r w:rsidR="004407A6" w:rsidRPr="001E6503">
        <w:rPr>
          <w:vertAlign w:val="superscript"/>
        </w:rPr>
        <w:t>1</w:t>
      </w:r>
      <w:r w:rsidR="003A392C" w:rsidRPr="001E6503">
        <w:t xml:space="preserve"> </w:t>
      </w:r>
      <w:r w:rsidR="00994792" w:rsidRPr="001E6503">
        <w:t>on behalf of the Bristol</w:t>
      </w:r>
      <w:r w:rsidR="004407A6" w:rsidRPr="001E6503">
        <w:t xml:space="preserve"> Health Partners</w:t>
      </w:r>
      <w:r w:rsidR="00994792" w:rsidRPr="001E6503">
        <w:t xml:space="preserve"> </w:t>
      </w:r>
      <w:r w:rsidR="00254097" w:rsidRPr="001E6503">
        <w:t>Dementia Health Integration T</w:t>
      </w:r>
      <w:r w:rsidR="00994792" w:rsidRPr="001E6503">
        <w:t>eam</w:t>
      </w:r>
      <w:r w:rsidR="00890C92">
        <w:t xml:space="preserve"> (HIT)</w:t>
      </w:r>
    </w:p>
    <w:p w14:paraId="51776D52" w14:textId="77777777" w:rsidR="00B766AF" w:rsidRPr="001E6503" w:rsidRDefault="00B766AF" w:rsidP="000B1A46">
      <w:pPr>
        <w:pStyle w:val="NormalWeb"/>
        <w:shd w:val="clear" w:color="auto" w:fill="FFFFFF"/>
        <w:spacing w:before="120" w:beforeAutospacing="0" w:after="120" w:afterAutospacing="0" w:line="480" w:lineRule="auto"/>
        <w:rPr>
          <w:b/>
        </w:rPr>
      </w:pPr>
    </w:p>
    <w:p w14:paraId="763F2FA9" w14:textId="701B1A98" w:rsidR="004407A6" w:rsidRPr="001E6503" w:rsidRDefault="00D9093F" w:rsidP="000B1A46">
      <w:pPr>
        <w:pStyle w:val="NormalWeb"/>
        <w:shd w:val="clear" w:color="auto" w:fill="FFFFFF"/>
        <w:spacing w:before="120" w:beforeAutospacing="0" w:after="120" w:afterAutospacing="0" w:line="480" w:lineRule="auto"/>
      </w:pPr>
      <w:r w:rsidRPr="001E6503">
        <w:rPr>
          <w:b/>
        </w:rPr>
        <w:t>Authors affiliations:</w:t>
      </w:r>
      <w:r w:rsidR="004407A6" w:rsidRPr="001E6503">
        <w:rPr>
          <w:b/>
        </w:rPr>
        <w:t xml:space="preserve"> </w:t>
      </w:r>
      <w:r w:rsidR="004407A6" w:rsidRPr="001E6503">
        <w:rPr>
          <w:vertAlign w:val="superscript"/>
        </w:rPr>
        <w:t>1</w:t>
      </w:r>
      <w:r w:rsidR="004407A6" w:rsidRPr="001E6503">
        <w:t xml:space="preserve">The University of the West of England, Bristol, UK; </w:t>
      </w:r>
      <w:r w:rsidR="004407A6" w:rsidRPr="001E6503">
        <w:rPr>
          <w:vertAlign w:val="superscript"/>
        </w:rPr>
        <w:t>2</w:t>
      </w:r>
      <w:r w:rsidR="004407A6" w:rsidRPr="001E6503">
        <w:t>Avon and Wiltshire Mental Health Partnership NHS Trust, Bristol, UK</w:t>
      </w:r>
    </w:p>
    <w:p w14:paraId="6DA9D281" w14:textId="77777777" w:rsidR="00B766AF" w:rsidRPr="001E6503" w:rsidRDefault="00B766AF" w:rsidP="000B1A46">
      <w:pPr>
        <w:pStyle w:val="NormalWeb"/>
        <w:shd w:val="clear" w:color="auto" w:fill="FFFFFF"/>
        <w:spacing w:before="120" w:beforeAutospacing="0" w:after="120" w:afterAutospacing="0" w:line="480" w:lineRule="auto"/>
        <w:rPr>
          <w:b/>
        </w:rPr>
      </w:pPr>
    </w:p>
    <w:p w14:paraId="432AFE65" w14:textId="26FD9866" w:rsidR="00994792" w:rsidRPr="001E6503" w:rsidRDefault="000D64C6" w:rsidP="000B1A46">
      <w:pPr>
        <w:pStyle w:val="NormalWeb"/>
        <w:shd w:val="clear" w:color="auto" w:fill="FFFFFF"/>
        <w:spacing w:before="120" w:beforeAutospacing="0" w:after="120" w:afterAutospacing="0" w:line="480" w:lineRule="auto"/>
        <w:rPr>
          <w:b/>
        </w:rPr>
      </w:pPr>
      <w:r w:rsidRPr="001E6503">
        <w:rPr>
          <w:b/>
        </w:rPr>
        <w:t>Corresponding author</w:t>
      </w:r>
      <w:r w:rsidR="00B766AF" w:rsidRPr="001E6503">
        <w:rPr>
          <w:b/>
        </w:rPr>
        <w:t>:</w:t>
      </w:r>
    </w:p>
    <w:p w14:paraId="636E4DFE" w14:textId="77777777" w:rsidR="000D64C6" w:rsidRPr="001E6503" w:rsidRDefault="000D64C6" w:rsidP="000B1A46">
      <w:pPr>
        <w:pStyle w:val="NormalWeb"/>
        <w:shd w:val="clear" w:color="auto" w:fill="FFFFFF"/>
        <w:spacing w:before="120" w:beforeAutospacing="0" w:after="120" w:afterAutospacing="0" w:line="480" w:lineRule="auto"/>
        <w:contextualSpacing/>
      </w:pPr>
      <w:r w:rsidRPr="001E6503">
        <w:t>Professor Richard Cheston</w:t>
      </w:r>
    </w:p>
    <w:p w14:paraId="19B2F94B" w14:textId="77777777" w:rsidR="00142CAA" w:rsidRPr="001E6503" w:rsidRDefault="00142CAA" w:rsidP="000B1A46">
      <w:pPr>
        <w:pStyle w:val="NormalWeb"/>
        <w:shd w:val="clear" w:color="auto" w:fill="FFFFFF"/>
        <w:spacing w:before="120" w:beforeAutospacing="0" w:after="120" w:afterAutospacing="0" w:line="480" w:lineRule="auto"/>
        <w:contextualSpacing/>
      </w:pPr>
      <w:r w:rsidRPr="001E6503">
        <w:t>University of the West of England</w:t>
      </w:r>
    </w:p>
    <w:p w14:paraId="02127AEE" w14:textId="37338A0C" w:rsidR="00142CAA" w:rsidRPr="001E6503" w:rsidRDefault="004407A6" w:rsidP="000B1A46">
      <w:pPr>
        <w:pStyle w:val="NormalWeb"/>
        <w:shd w:val="clear" w:color="auto" w:fill="FFFFFF"/>
        <w:spacing w:before="120" w:beforeAutospacing="0" w:after="120" w:afterAutospacing="0" w:line="480" w:lineRule="auto"/>
        <w:contextualSpacing/>
      </w:pPr>
      <w:proofErr w:type="spellStart"/>
      <w:r w:rsidRPr="001E6503">
        <w:t>Frenchay</w:t>
      </w:r>
      <w:proofErr w:type="spellEnd"/>
      <w:r w:rsidR="00142CAA" w:rsidRPr="001E6503">
        <w:t xml:space="preserve"> Campus</w:t>
      </w:r>
    </w:p>
    <w:p w14:paraId="1A02B748" w14:textId="77777777" w:rsidR="00142CAA" w:rsidRPr="001E6503" w:rsidRDefault="00142CAA" w:rsidP="000B1A46">
      <w:pPr>
        <w:pStyle w:val="NormalWeb"/>
        <w:shd w:val="clear" w:color="auto" w:fill="FFFFFF"/>
        <w:spacing w:before="120" w:beforeAutospacing="0" w:after="120" w:afterAutospacing="0" w:line="480" w:lineRule="auto"/>
        <w:contextualSpacing/>
      </w:pPr>
      <w:r w:rsidRPr="001E6503">
        <w:t>Bristol</w:t>
      </w:r>
    </w:p>
    <w:p w14:paraId="753E0F2F" w14:textId="77777777" w:rsidR="00142CAA" w:rsidRPr="001E6503" w:rsidRDefault="00142CAA" w:rsidP="000B1A46">
      <w:pPr>
        <w:pStyle w:val="NormalWeb"/>
        <w:shd w:val="clear" w:color="auto" w:fill="FFFFFF"/>
        <w:spacing w:before="120" w:beforeAutospacing="0" w:after="120" w:afterAutospacing="0" w:line="480" w:lineRule="auto"/>
        <w:contextualSpacing/>
      </w:pPr>
      <w:r w:rsidRPr="001E6503">
        <w:t>BS16 1DD</w:t>
      </w:r>
    </w:p>
    <w:p w14:paraId="68D98099" w14:textId="77777777" w:rsidR="00142CAA" w:rsidRPr="001E6503" w:rsidRDefault="00142CAA" w:rsidP="000B1A46">
      <w:pPr>
        <w:pStyle w:val="NormalWeb"/>
        <w:shd w:val="clear" w:color="auto" w:fill="FFFFFF"/>
        <w:spacing w:before="120" w:beforeAutospacing="0" w:after="120" w:afterAutospacing="0" w:line="480" w:lineRule="auto"/>
        <w:contextualSpacing/>
      </w:pPr>
      <w:r w:rsidRPr="001E6503">
        <w:t>Richard.Cheston@uwe.ac.uk</w:t>
      </w:r>
    </w:p>
    <w:p w14:paraId="7B27579A" w14:textId="77777777" w:rsidR="00142CAA" w:rsidRPr="001E6503" w:rsidRDefault="00142CAA" w:rsidP="000B1A46">
      <w:pPr>
        <w:pStyle w:val="NormalWeb"/>
        <w:shd w:val="clear" w:color="auto" w:fill="FFFFFF"/>
        <w:spacing w:before="120" w:beforeAutospacing="0" w:after="120" w:afterAutospacing="0" w:line="480" w:lineRule="auto"/>
      </w:pPr>
    </w:p>
    <w:p w14:paraId="2F58AFF9" w14:textId="62EA4260" w:rsidR="00994792" w:rsidRPr="001E6503" w:rsidRDefault="005336EB" w:rsidP="000B1A46">
      <w:pPr>
        <w:pStyle w:val="NormalWeb"/>
        <w:shd w:val="clear" w:color="auto" w:fill="FFFFFF"/>
        <w:spacing w:before="120" w:beforeAutospacing="0" w:after="120" w:afterAutospacing="0" w:line="480" w:lineRule="auto"/>
      </w:pPr>
      <w:r>
        <w:t>8</w:t>
      </w:r>
      <w:r w:rsidR="00331468" w:rsidRPr="00331468">
        <w:rPr>
          <w:vertAlign w:val="superscript"/>
        </w:rPr>
        <w:t>th</w:t>
      </w:r>
      <w:r w:rsidR="00331468">
        <w:t xml:space="preserve"> </w:t>
      </w:r>
      <w:r>
        <w:t>March</w:t>
      </w:r>
      <w:r w:rsidR="00331468">
        <w:t xml:space="preserve"> 2016</w:t>
      </w:r>
    </w:p>
    <w:p w14:paraId="242B6C40" w14:textId="6EE13022" w:rsidR="000D64C6" w:rsidRPr="001E6503" w:rsidRDefault="00FA0A31" w:rsidP="000B1A46">
      <w:pPr>
        <w:pStyle w:val="NormalWeb"/>
        <w:shd w:val="clear" w:color="auto" w:fill="FFFFFF"/>
        <w:spacing w:before="120" w:beforeAutospacing="0" w:after="120" w:afterAutospacing="0" w:line="480" w:lineRule="auto"/>
        <w:rPr>
          <w:i/>
        </w:rPr>
      </w:pPr>
      <w:r w:rsidRPr="001E6503">
        <w:t xml:space="preserve">For submission to </w:t>
      </w:r>
      <w:r w:rsidRPr="001E6503">
        <w:rPr>
          <w:i/>
        </w:rPr>
        <w:t xml:space="preserve">International </w:t>
      </w:r>
      <w:proofErr w:type="spellStart"/>
      <w:r w:rsidR="00AE7581" w:rsidRPr="001E6503">
        <w:rPr>
          <w:i/>
        </w:rPr>
        <w:t>Psychogeriatrics</w:t>
      </w:r>
      <w:proofErr w:type="spellEnd"/>
    </w:p>
    <w:p w14:paraId="152B1E65" w14:textId="6AB71DC1" w:rsidR="00057EBC" w:rsidRPr="00C91189" w:rsidRDefault="000D64C6" w:rsidP="000B1A46">
      <w:pPr>
        <w:pStyle w:val="NormalWeb"/>
        <w:shd w:val="clear" w:color="auto" w:fill="FFFFFF"/>
        <w:spacing w:before="120" w:beforeAutospacing="0" w:after="120" w:afterAutospacing="0" w:line="480" w:lineRule="auto"/>
      </w:pPr>
      <w:r w:rsidRPr="001E6503">
        <w:t>Word count of the body text</w:t>
      </w:r>
      <w:r w:rsidR="00142CAA" w:rsidRPr="001E6503">
        <w:t xml:space="preserve">: </w:t>
      </w:r>
      <w:r w:rsidR="00801B17">
        <w:t>3,</w:t>
      </w:r>
      <w:r w:rsidR="002C13C1">
        <w:t>619</w:t>
      </w:r>
      <w:r w:rsidR="00783468" w:rsidRPr="003F4781">
        <w:t xml:space="preserve"> words</w:t>
      </w:r>
    </w:p>
    <w:p w14:paraId="005AE2BA" w14:textId="77777777" w:rsidR="00826D0E" w:rsidRPr="001E6503" w:rsidRDefault="00826D0E" w:rsidP="000B1A46">
      <w:pPr>
        <w:pStyle w:val="NormalWeb"/>
        <w:shd w:val="clear" w:color="auto" w:fill="FFFFFF"/>
        <w:spacing w:before="120" w:beforeAutospacing="0" w:after="120" w:afterAutospacing="0" w:line="480" w:lineRule="auto"/>
        <w:rPr>
          <w:b/>
        </w:rPr>
      </w:pPr>
      <w:r w:rsidRPr="001E6503">
        <w:rPr>
          <w:b/>
        </w:rPr>
        <w:lastRenderedPageBreak/>
        <w:t>Abstract</w:t>
      </w:r>
    </w:p>
    <w:p w14:paraId="39B8BAC3" w14:textId="64628F6B" w:rsidR="00142CAA" w:rsidRPr="001E6503" w:rsidRDefault="00AC2751" w:rsidP="000B1A46">
      <w:pPr>
        <w:spacing w:line="480" w:lineRule="auto"/>
        <w:rPr>
          <w:rFonts w:ascii="Times New Roman" w:hAnsi="Times New Roman" w:cs="Times New Roman"/>
          <w:sz w:val="24"/>
          <w:szCs w:val="24"/>
        </w:rPr>
      </w:pPr>
      <w:r w:rsidRPr="001E6503">
        <w:rPr>
          <w:rFonts w:ascii="Times New Roman" w:hAnsi="Times New Roman" w:cs="Times New Roman"/>
          <w:b/>
          <w:sz w:val="24"/>
          <w:szCs w:val="24"/>
        </w:rPr>
        <w:t>Background</w:t>
      </w:r>
      <w:r w:rsidR="00B766AF" w:rsidRPr="001E6503">
        <w:rPr>
          <w:rFonts w:ascii="Times New Roman" w:hAnsi="Times New Roman" w:cs="Times New Roman"/>
          <w:sz w:val="24"/>
          <w:szCs w:val="24"/>
        </w:rPr>
        <w:t>:</w:t>
      </w:r>
      <w:r w:rsidRPr="001E6503">
        <w:rPr>
          <w:rFonts w:ascii="Times New Roman" w:hAnsi="Times New Roman" w:cs="Times New Roman"/>
          <w:sz w:val="24"/>
          <w:szCs w:val="24"/>
        </w:rPr>
        <w:t xml:space="preserve"> Globally, estimates suggest 36 million people were living with dementia in 2010, with around 800,000 of these living in</w:t>
      </w:r>
      <w:r w:rsidR="00865DD2" w:rsidRPr="001E6503">
        <w:rPr>
          <w:rFonts w:ascii="Times New Roman" w:hAnsi="Times New Roman" w:cs="Times New Roman"/>
          <w:sz w:val="24"/>
          <w:szCs w:val="24"/>
        </w:rPr>
        <w:t xml:space="preserve"> </w:t>
      </w:r>
      <w:r w:rsidRPr="001E6503">
        <w:rPr>
          <w:rFonts w:ascii="Times New Roman" w:hAnsi="Times New Roman" w:cs="Times New Roman"/>
          <w:sz w:val="24"/>
          <w:szCs w:val="24"/>
        </w:rPr>
        <w:t xml:space="preserve">the United Kingdom. These figures are expected to rise. To date, attitudes toward dementia have largely been explored with health care professionals supporting people affected by dementia. </w:t>
      </w:r>
      <w:r w:rsidR="00865DD2" w:rsidRPr="001E6503">
        <w:rPr>
          <w:rFonts w:ascii="Times New Roman" w:hAnsi="Times New Roman" w:cs="Times New Roman"/>
          <w:sz w:val="24"/>
          <w:szCs w:val="24"/>
        </w:rPr>
        <w:t>This study sample</w:t>
      </w:r>
      <w:r w:rsidR="00266610">
        <w:rPr>
          <w:rFonts w:ascii="Times New Roman" w:hAnsi="Times New Roman" w:cs="Times New Roman"/>
          <w:sz w:val="24"/>
          <w:szCs w:val="24"/>
        </w:rPr>
        <w:t>d</w:t>
      </w:r>
      <w:r w:rsidR="00865DD2" w:rsidRPr="001E6503">
        <w:rPr>
          <w:rFonts w:ascii="Times New Roman" w:hAnsi="Times New Roman" w:cs="Times New Roman"/>
          <w:sz w:val="24"/>
          <w:szCs w:val="24"/>
        </w:rPr>
        <w:t xml:space="preserve"> person-centred attitudes to dementia across the Bristol and South Gloucestershire area</w:t>
      </w:r>
      <w:r w:rsidRPr="001E6503">
        <w:rPr>
          <w:rFonts w:ascii="Times New Roman" w:hAnsi="Times New Roman" w:cs="Times New Roman"/>
          <w:sz w:val="24"/>
          <w:szCs w:val="24"/>
        </w:rPr>
        <w:t xml:space="preserve"> </w:t>
      </w:r>
      <w:r w:rsidR="0079115B">
        <w:rPr>
          <w:rFonts w:ascii="Times New Roman" w:hAnsi="Times New Roman" w:cs="Times New Roman"/>
          <w:sz w:val="24"/>
          <w:szCs w:val="24"/>
        </w:rPr>
        <w:t>general population</w:t>
      </w:r>
      <w:r w:rsidR="00711051" w:rsidRPr="001E6503">
        <w:rPr>
          <w:rFonts w:ascii="Times New Roman" w:hAnsi="Times New Roman" w:cs="Times New Roman"/>
          <w:sz w:val="24"/>
          <w:szCs w:val="24"/>
        </w:rPr>
        <w:t>.</w:t>
      </w:r>
      <w:r w:rsidR="0079115B">
        <w:rPr>
          <w:rFonts w:ascii="Times New Roman" w:hAnsi="Times New Roman" w:cs="Times New Roman"/>
          <w:sz w:val="24"/>
          <w:szCs w:val="24"/>
        </w:rPr>
        <w:t xml:space="preserve"> This is important as </w:t>
      </w:r>
      <w:r w:rsidR="0079115B" w:rsidRPr="001E6503">
        <w:rPr>
          <w:rFonts w:ascii="Times New Roman" w:hAnsi="Times New Roman" w:cs="Times New Roman"/>
          <w:sz w:val="24"/>
          <w:szCs w:val="24"/>
        </w:rPr>
        <w:t xml:space="preserve">positive attitudes are </w:t>
      </w:r>
      <w:r w:rsidR="0079115B">
        <w:rPr>
          <w:rFonts w:ascii="Times New Roman" w:hAnsi="Times New Roman" w:cs="Times New Roman"/>
          <w:sz w:val="24"/>
          <w:szCs w:val="24"/>
        </w:rPr>
        <w:t xml:space="preserve">consistently associated with more </w:t>
      </w:r>
      <w:r w:rsidR="0079115B" w:rsidRPr="001E6503">
        <w:rPr>
          <w:rFonts w:ascii="Times New Roman" w:hAnsi="Times New Roman" w:cs="Times New Roman"/>
          <w:sz w:val="24"/>
          <w:szCs w:val="24"/>
        </w:rPr>
        <w:t>favourable behaviour</w:t>
      </w:r>
      <w:r w:rsidR="0079115B">
        <w:rPr>
          <w:rFonts w:ascii="Times New Roman" w:hAnsi="Times New Roman" w:cs="Times New Roman"/>
          <w:sz w:val="24"/>
          <w:szCs w:val="24"/>
        </w:rPr>
        <w:t>s</w:t>
      </w:r>
      <w:r w:rsidR="0079115B" w:rsidRPr="001E6503">
        <w:rPr>
          <w:rFonts w:ascii="Times New Roman" w:hAnsi="Times New Roman" w:cs="Times New Roman"/>
          <w:sz w:val="24"/>
          <w:szCs w:val="24"/>
        </w:rPr>
        <w:t>.</w:t>
      </w:r>
    </w:p>
    <w:p w14:paraId="7EE1965C" w14:textId="4DC0DE17" w:rsidR="00327130" w:rsidRPr="001E6503" w:rsidRDefault="00327130" w:rsidP="000B1A46">
      <w:pPr>
        <w:spacing w:line="480" w:lineRule="auto"/>
        <w:rPr>
          <w:rFonts w:ascii="Times New Roman" w:hAnsi="Times New Roman" w:cs="Times New Roman"/>
          <w:sz w:val="24"/>
          <w:szCs w:val="24"/>
        </w:rPr>
      </w:pPr>
      <w:r w:rsidRPr="001E6503">
        <w:rPr>
          <w:rFonts w:ascii="Times New Roman" w:hAnsi="Times New Roman" w:cs="Times New Roman"/>
          <w:b/>
          <w:sz w:val="24"/>
          <w:szCs w:val="24"/>
        </w:rPr>
        <w:t>M</w:t>
      </w:r>
      <w:r w:rsidR="00142CAA" w:rsidRPr="001E6503">
        <w:rPr>
          <w:rFonts w:ascii="Times New Roman" w:hAnsi="Times New Roman" w:cs="Times New Roman"/>
          <w:b/>
          <w:sz w:val="24"/>
          <w:szCs w:val="24"/>
        </w:rPr>
        <w:t>ethods</w:t>
      </w:r>
      <w:r w:rsidR="00B766AF" w:rsidRPr="001E6503">
        <w:rPr>
          <w:rFonts w:ascii="Times New Roman" w:hAnsi="Times New Roman" w:cs="Times New Roman"/>
          <w:sz w:val="24"/>
          <w:szCs w:val="24"/>
        </w:rPr>
        <w:t>:</w:t>
      </w:r>
      <w:r w:rsidR="00865DD2" w:rsidRPr="001E6503">
        <w:rPr>
          <w:rFonts w:ascii="Times New Roman" w:hAnsi="Times New Roman" w:cs="Times New Roman"/>
          <w:sz w:val="24"/>
          <w:szCs w:val="24"/>
        </w:rPr>
        <w:t xml:space="preserve"> A survey was carried out using a modified version of the Approaches to Dementia Questionnaire </w:t>
      </w:r>
      <w:r w:rsidR="0079115B">
        <w:rPr>
          <w:rFonts w:ascii="Times New Roman" w:hAnsi="Times New Roman" w:cs="Times New Roman"/>
          <w:sz w:val="24"/>
          <w:szCs w:val="24"/>
        </w:rPr>
        <w:t>(ADQ)</w:t>
      </w:r>
      <w:r w:rsidR="00865DD2" w:rsidRPr="001E6503">
        <w:rPr>
          <w:rFonts w:ascii="Times New Roman" w:hAnsi="Times New Roman" w:cs="Times New Roman"/>
          <w:sz w:val="24"/>
          <w:szCs w:val="24"/>
        </w:rPr>
        <w:t xml:space="preserve"> Data from people living outside the area, and people who were working with people affected by dementia were omitted from the analysis</w:t>
      </w:r>
      <w:r w:rsidR="003B711C">
        <w:rPr>
          <w:rFonts w:ascii="Times New Roman" w:hAnsi="Times New Roman" w:cs="Times New Roman"/>
          <w:sz w:val="24"/>
          <w:szCs w:val="24"/>
        </w:rPr>
        <w:t>. R</w:t>
      </w:r>
      <w:r w:rsidR="0079115B">
        <w:rPr>
          <w:rFonts w:ascii="Times New Roman" w:hAnsi="Times New Roman" w:cs="Times New Roman"/>
          <w:sz w:val="24"/>
          <w:szCs w:val="24"/>
        </w:rPr>
        <w:t xml:space="preserve">esponses from </w:t>
      </w:r>
      <w:r w:rsidR="00865DD2" w:rsidRPr="001E6503">
        <w:rPr>
          <w:rFonts w:ascii="Times New Roman" w:hAnsi="Times New Roman" w:cs="Times New Roman"/>
          <w:sz w:val="24"/>
          <w:szCs w:val="24"/>
        </w:rPr>
        <w:t xml:space="preserve">the remaining 794 </w:t>
      </w:r>
      <w:r w:rsidR="0079115B">
        <w:rPr>
          <w:rFonts w:ascii="Times New Roman" w:hAnsi="Times New Roman" w:cs="Times New Roman"/>
          <w:sz w:val="24"/>
          <w:szCs w:val="24"/>
        </w:rPr>
        <w:t xml:space="preserve">ADQ </w:t>
      </w:r>
      <w:r w:rsidR="00865DD2" w:rsidRPr="001E6503">
        <w:rPr>
          <w:rFonts w:ascii="Times New Roman" w:hAnsi="Times New Roman" w:cs="Times New Roman"/>
          <w:sz w:val="24"/>
          <w:szCs w:val="24"/>
        </w:rPr>
        <w:t xml:space="preserve">questionnaires were weighted </w:t>
      </w:r>
      <w:r w:rsidR="00711051" w:rsidRPr="001E6503">
        <w:rPr>
          <w:rFonts w:ascii="Times New Roman" w:hAnsi="Times New Roman" w:cs="Times New Roman"/>
          <w:sz w:val="24"/>
          <w:szCs w:val="24"/>
        </w:rPr>
        <w:t>to correct for</w:t>
      </w:r>
      <w:r w:rsidR="00B166FC" w:rsidRPr="001E6503">
        <w:rPr>
          <w:rFonts w:ascii="Times New Roman" w:hAnsi="Times New Roman" w:cs="Times New Roman"/>
          <w:sz w:val="24"/>
          <w:szCs w:val="24"/>
        </w:rPr>
        <w:t xml:space="preserve"> under-represented</w:t>
      </w:r>
      <w:r w:rsidR="00711051" w:rsidRPr="001E6503">
        <w:rPr>
          <w:rFonts w:ascii="Times New Roman" w:hAnsi="Times New Roman" w:cs="Times New Roman"/>
          <w:sz w:val="24"/>
          <w:szCs w:val="24"/>
        </w:rPr>
        <w:t xml:space="preserve"> age, gender and ethnic</w:t>
      </w:r>
      <w:r w:rsidR="00B166FC" w:rsidRPr="001E6503">
        <w:rPr>
          <w:rFonts w:ascii="Times New Roman" w:hAnsi="Times New Roman" w:cs="Times New Roman"/>
          <w:sz w:val="24"/>
          <w:szCs w:val="24"/>
        </w:rPr>
        <w:t xml:space="preserve"> groups</w:t>
      </w:r>
      <w:r w:rsidR="00711051" w:rsidRPr="001E6503">
        <w:rPr>
          <w:rFonts w:ascii="Times New Roman" w:hAnsi="Times New Roman" w:cs="Times New Roman"/>
          <w:sz w:val="24"/>
          <w:szCs w:val="24"/>
        </w:rPr>
        <w:t>.</w:t>
      </w:r>
    </w:p>
    <w:p w14:paraId="2F523AF6" w14:textId="12A1E8F4" w:rsidR="00327130" w:rsidRPr="001E6503" w:rsidRDefault="00327130" w:rsidP="000B1A46">
      <w:pPr>
        <w:spacing w:line="480" w:lineRule="auto"/>
        <w:rPr>
          <w:rFonts w:ascii="Times New Roman" w:hAnsi="Times New Roman" w:cs="Times New Roman"/>
          <w:sz w:val="24"/>
          <w:szCs w:val="24"/>
        </w:rPr>
      </w:pPr>
      <w:r w:rsidRPr="001E6503">
        <w:rPr>
          <w:rFonts w:ascii="Times New Roman" w:hAnsi="Times New Roman" w:cs="Times New Roman"/>
          <w:b/>
          <w:sz w:val="24"/>
          <w:szCs w:val="24"/>
        </w:rPr>
        <w:t>R</w:t>
      </w:r>
      <w:r w:rsidR="00142CAA" w:rsidRPr="001E6503">
        <w:rPr>
          <w:rFonts w:ascii="Times New Roman" w:hAnsi="Times New Roman" w:cs="Times New Roman"/>
          <w:b/>
          <w:sz w:val="24"/>
          <w:szCs w:val="24"/>
        </w:rPr>
        <w:t>esults</w:t>
      </w:r>
      <w:r w:rsidR="00B766AF" w:rsidRPr="001E6503">
        <w:rPr>
          <w:rFonts w:ascii="Times New Roman" w:hAnsi="Times New Roman" w:cs="Times New Roman"/>
          <w:sz w:val="24"/>
          <w:szCs w:val="24"/>
        </w:rPr>
        <w:t>:</w:t>
      </w:r>
      <w:r w:rsidR="00711051" w:rsidRPr="001E6503">
        <w:rPr>
          <w:rFonts w:ascii="Times New Roman" w:hAnsi="Times New Roman" w:cs="Times New Roman"/>
          <w:sz w:val="24"/>
          <w:szCs w:val="24"/>
        </w:rPr>
        <w:t xml:space="preserve"> </w:t>
      </w:r>
      <w:r w:rsidR="00CD5773">
        <w:rPr>
          <w:rFonts w:ascii="Times New Roman" w:hAnsi="Times New Roman" w:cs="Times New Roman"/>
          <w:sz w:val="24"/>
          <w:szCs w:val="24"/>
        </w:rPr>
        <w:t>Younger people held more positive attitudes toward dementia than older people. Individuals who identified themselves as White held</w:t>
      </w:r>
      <w:r w:rsidR="00711051" w:rsidRPr="001E6503">
        <w:rPr>
          <w:rFonts w:ascii="Times New Roman" w:hAnsi="Times New Roman" w:cs="Times New Roman"/>
          <w:sz w:val="24"/>
          <w:szCs w:val="24"/>
        </w:rPr>
        <w:t xml:space="preserve"> </w:t>
      </w:r>
      <w:r w:rsidR="00CD5773">
        <w:rPr>
          <w:rFonts w:ascii="Times New Roman" w:hAnsi="Times New Roman" w:cs="Times New Roman"/>
          <w:sz w:val="24"/>
          <w:szCs w:val="24"/>
        </w:rPr>
        <w:t>more positive attitudes than non-White individuals. Individuals with p</w:t>
      </w:r>
      <w:r w:rsidR="00711051" w:rsidRPr="001E6503">
        <w:rPr>
          <w:rFonts w:ascii="Times New Roman" w:hAnsi="Times New Roman" w:cs="Times New Roman"/>
          <w:sz w:val="24"/>
          <w:szCs w:val="24"/>
        </w:rPr>
        <w:t>ersonal experience of dementia</w:t>
      </w:r>
      <w:r w:rsidR="00CD5773">
        <w:rPr>
          <w:rFonts w:ascii="Times New Roman" w:hAnsi="Times New Roman" w:cs="Times New Roman"/>
          <w:sz w:val="24"/>
          <w:szCs w:val="24"/>
        </w:rPr>
        <w:t xml:space="preserve"> held more positive attitudes than those with no experience of dementia</w:t>
      </w:r>
      <w:r w:rsidR="00711051" w:rsidRPr="001E6503">
        <w:rPr>
          <w:rFonts w:ascii="Times New Roman" w:hAnsi="Times New Roman" w:cs="Times New Roman"/>
          <w:sz w:val="24"/>
          <w:szCs w:val="24"/>
        </w:rPr>
        <w:t>. When considering age differences gender play</w:t>
      </w:r>
      <w:r w:rsidR="00CD5773">
        <w:rPr>
          <w:rFonts w:ascii="Times New Roman" w:hAnsi="Times New Roman" w:cs="Times New Roman"/>
          <w:sz w:val="24"/>
          <w:szCs w:val="24"/>
        </w:rPr>
        <w:t>ed</w:t>
      </w:r>
      <w:r w:rsidR="00711051" w:rsidRPr="001E6503">
        <w:rPr>
          <w:rFonts w:ascii="Times New Roman" w:hAnsi="Times New Roman" w:cs="Times New Roman"/>
          <w:sz w:val="24"/>
          <w:szCs w:val="24"/>
        </w:rPr>
        <w:t xml:space="preserve"> a role</w:t>
      </w:r>
      <w:r w:rsidR="00CD5773">
        <w:rPr>
          <w:rFonts w:ascii="Times New Roman" w:hAnsi="Times New Roman" w:cs="Times New Roman"/>
          <w:sz w:val="24"/>
          <w:szCs w:val="24"/>
        </w:rPr>
        <w:t>,</w:t>
      </w:r>
      <w:r w:rsidR="00711051" w:rsidRPr="001E6503">
        <w:rPr>
          <w:rFonts w:ascii="Times New Roman" w:hAnsi="Times New Roman" w:cs="Times New Roman"/>
          <w:sz w:val="24"/>
          <w:szCs w:val="24"/>
        </w:rPr>
        <w:t xml:space="preserve"> with young</w:t>
      </w:r>
      <w:r w:rsidR="00CD5773">
        <w:rPr>
          <w:rFonts w:ascii="Times New Roman" w:hAnsi="Times New Roman" w:cs="Times New Roman"/>
          <w:sz w:val="24"/>
          <w:szCs w:val="24"/>
        </w:rPr>
        <w:t>er</w:t>
      </w:r>
      <w:r w:rsidR="00711051" w:rsidRPr="001E6503">
        <w:rPr>
          <w:rFonts w:ascii="Times New Roman" w:hAnsi="Times New Roman" w:cs="Times New Roman"/>
          <w:sz w:val="24"/>
          <w:szCs w:val="24"/>
        </w:rPr>
        <w:t xml:space="preserve"> men having more positive scores</w:t>
      </w:r>
      <w:r w:rsidR="00CD5773">
        <w:rPr>
          <w:rFonts w:ascii="Times New Roman" w:hAnsi="Times New Roman" w:cs="Times New Roman"/>
          <w:sz w:val="24"/>
          <w:szCs w:val="24"/>
        </w:rPr>
        <w:t xml:space="preserve"> than other groups</w:t>
      </w:r>
      <w:r w:rsidR="00711051" w:rsidRPr="001E6503">
        <w:rPr>
          <w:rFonts w:ascii="Times New Roman" w:hAnsi="Times New Roman" w:cs="Times New Roman"/>
          <w:sz w:val="24"/>
          <w:szCs w:val="24"/>
        </w:rPr>
        <w:t>.</w:t>
      </w:r>
    </w:p>
    <w:p w14:paraId="00ACCCCF" w14:textId="0FB7E0FF" w:rsidR="0058628A" w:rsidRPr="001E6503" w:rsidRDefault="00327130" w:rsidP="000B1A46">
      <w:pPr>
        <w:spacing w:line="480" w:lineRule="auto"/>
        <w:rPr>
          <w:rFonts w:ascii="Times New Roman" w:hAnsi="Times New Roman" w:cs="Times New Roman"/>
          <w:sz w:val="24"/>
          <w:szCs w:val="24"/>
        </w:rPr>
      </w:pPr>
      <w:r w:rsidRPr="001E6503">
        <w:rPr>
          <w:rFonts w:ascii="Times New Roman" w:hAnsi="Times New Roman" w:cs="Times New Roman"/>
          <w:b/>
          <w:sz w:val="24"/>
          <w:szCs w:val="24"/>
        </w:rPr>
        <w:t>C</w:t>
      </w:r>
      <w:r w:rsidR="00142CAA" w:rsidRPr="001E6503">
        <w:rPr>
          <w:rFonts w:ascii="Times New Roman" w:hAnsi="Times New Roman" w:cs="Times New Roman"/>
          <w:b/>
          <w:sz w:val="24"/>
          <w:szCs w:val="24"/>
        </w:rPr>
        <w:t>onclusions</w:t>
      </w:r>
      <w:r w:rsidR="00B766AF" w:rsidRPr="001E6503">
        <w:rPr>
          <w:rFonts w:ascii="Times New Roman" w:hAnsi="Times New Roman" w:cs="Times New Roman"/>
          <w:sz w:val="24"/>
          <w:szCs w:val="24"/>
        </w:rPr>
        <w:t>:</w:t>
      </w:r>
      <w:r w:rsidR="00711051" w:rsidRPr="001E6503">
        <w:rPr>
          <w:rFonts w:ascii="Times New Roman" w:hAnsi="Times New Roman" w:cs="Times New Roman"/>
          <w:sz w:val="24"/>
          <w:szCs w:val="24"/>
        </w:rPr>
        <w:t xml:space="preserve"> This is one of the first surveys of public attitudes to dementia to use a validated questionnaire such as the ADQ. </w:t>
      </w:r>
      <w:r w:rsidR="00783468" w:rsidRPr="001E6503">
        <w:rPr>
          <w:rFonts w:ascii="Times New Roman" w:hAnsi="Times New Roman" w:cs="Times New Roman"/>
          <w:sz w:val="24"/>
          <w:szCs w:val="24"/>
        </w:rPr>
        <w:t>The study</w:t>
      </w:r>
      <w:r w:rsidR="00711051" w:rsidRPr="001E6503">
        <w:rPr>
          <w:rFonts w:ascii="Times New Roman" w:hAnsi="Times New Roman" w:cs="Times New Roman"/>
          <w:sz w:val="24"/>
          <w:szCs w:val="24"/>
        </w:rPr>
        <w:t xml:space="preserve"> provides a baseline of attitudes towards dementia for the Bristol and South Gloucestershire areas, against which we will be able to compare </w:t>
      </w:r>
      <w:proofErr w:type="gramStart"/>
      <w:r w:rsidR="00711051" w:rsidRPr="001E6503">
        <w:rPr>
          <w:rFonts w:ascii="Times New Roman" w:hAnsi="Times New Roman" w:cs="Times New Roman"/>
          <w:sz w:val="24"/>
          <w:szCs w:val="24"/>
        </w:rPr>
        <w:t>changes</w:t>
      </w:r>
      <w:proofErr w:type="gramEnd"/>
      <w:r w:rsidR="00711051" w:rsidRPr="001E6503">
        <w:rPr>
          <w:rFonts w:ascii="Times New Roman" w:hAnsi="Times New Roman" w:cs="Times New Roman"/>
          <w:sz w:val="24"/>
          <w:szCs w:val="24"/>
        </w:rPr>
        <w:t xml:space="preserve"> over time.</w:t>
      </w:r>
    </w:p>
    <w:p w14:paraId="47BCA6DE" w14:textId="1D8F138D" w:rsidR="00223DD6" w:rsidRPr="001E6503" w:rsidRDefault="00D9093F" w:rsidP="000B1A46">
      <w:pPr>
        <w:pStyle w:val="NormalWeb"/>
        <w:shd w:val="clear" w:color="auto" w:fill="FFFFFF"/>
        <w:spacing w:before="120" w:beforeAutospacing="0" w:after="120" w:afterAutospacing="0" w:line="480" w:lineRule="auto"/>
        <w:rPr>
          <w:b/>
        </w:rPr>
      </w:pPr>
      <w:r w:rsidRPr="001E6503">
        <w:rPr>
          <w:b/>
        </w:rPr>
        <w:t>Keywords</w:t>
      </w:r>
      <w:r w:rsidRPr="001E6503">
        <w:t>:</w:t>
      </w:r>
      <w:r w:rsidRPr="001E6503">
        <w:rPr>
          <w:b/>
        </w:rPr>
        <w:t xml:space="preserve"> </w:t>
      </w:r>
      <w:r w:rsidR="00B766AF" w:rsidRPr="001E6503">
        <w:t>d</w:t>
      </w:r>
      <w:r w:rsidR="00D86E15" w:rsidRPr="001E6503">
        <w:t xml:space="preserve">ementia, </w:t>
      </w:r>
      <w:r w:rsidR="00E77119">
        <w:t>Alzheimer</w:t>
      </w:r>
      <w:r w:rsidR="00E77119" w:rsidRPr="001E6503">
        <w:t>’s disease</w:t>
      </w:r>
      <w:r w:rsidR="00B766AF" w:rsidRPr="001E6503">
        <w:t>, a</w:t>
      </w:r>
      <w:r w:rsidRPr="001E6503">
        <w:t>ttitudes, Approaches to Dementia Quest</w:t>
      </w:r>
      <w:r w:rsidR="00B766AF" w:rsidRPr="001E6503">
        <w:t>ionnaire General (ADQ), s</w:t>
      </w:r>
      <w:r w:rsidRPr="001E6503">
        <w:t>tigma</w:t>
      </w:r>
    </w:p>
    <w:p w14:paraId="2B5A6FB6" w14:textId="75EADFDC" w:rsidR="00092411" w:rsidRPr="001E6503" w:rsidRDefault="00870305" w:rsidP="000B1A46">
      <w:pPr>
        <w:pStyle w:val="NormalWeb"/>
        <w:shd w:val="clear" w:color="auto" w:fill="FFFFFF"/>
        <w:spacing w:before="120" w:beforeAutospacing="0" w:after="120" w:afterAutospacing="0" w:line="480" w:lineRule="auto"/>
        <w:jc w:val="center"/>
        <w:rPr>
          <w:b/>
        </w:rPr>
      </w:pPr>
      <w:r w:rsidRPr="001E6503">
        <w:rPr>
          <w:b/>
        </w:rPr>
        <w:lastRenderedPageBreak/>
        <w:t>Attitudes toward</w:t>
      </w:r>
      <w:r w:rsidR="00092411" w:rsidRPr="001E6503">
        <w:rPr>
          <w:b/>
        </w:rPr>
        <w:t xml:space="preserve"> dementia in Bris</w:t>
      </w:r>
      <w:r w:rsidR="002E3ED6" w:rsidRPr="001E6503">
        <w:rPr>
          <w:b/>
        </w:rPr>
        <w:t>tol and South Gloucestershire: A</w:t>
      </w:r>
      <w:r w:rsidR="00092411" w:rsidRPr="001E6503">
        <w:rPr>
          <w:b/>
        </w:rPr>
        <w:t xml:space="preserve"> cross-sectional investigation using the Approaches to Dementia Questionnaire</w:t>
      </w:r>
    </w:p>
    <w:p w14:paraId="477C6385" w14:textId="77777777" w:rsidR="00826D0E" w:rsidRPr="001E6503" w:rsidRDefault="00142CAA" w:rsidP="000B1A46">
      <w:pPr>
        <w:pStyle w:val="NormalWeb"/>
        <w:shd w:val="clear" w:color="auto" w:fill="FFFFFF"/>
        <w:spacing w:before="120" w:beforeAutospacing="0" w:after="120" w:afterAutospacing="0" w:line="480" w:lineRule="auto"/>
        <w:rPr>
          <w:b/>
        </w:rPr>
      </w:pPr>
      <w:r w:rsidRPr="001E6503">
        <w:rPr>
          <w:b/>
        </w:rPr>
        <w:t>Introduction</w:t>
      </w:r>
    </w:p>
    <w:p w14:paraId="0A02CD52" w14:textId="7B9A9832" w:rsidR="00115BE6" w:rsidRDefault="003A392C" w:rsidP="000B1A46">
      <w:pPr>
        <w:pStyle w:val="NormalWeb"/>
        <w:shd w:val="clear" w:color="auto" w:fill="FFFFFF"/>
        <w:spacing w:before="120" w:beforeAutospacing="0" w:after="120" w:afterAutospacing="0" w:line="480" w:lineRule="auto"/>
      </w:pPr>
      <w:r w:rsidRPr="001E6503">
        <w:t>Global estimates suggest there were</w:t>
      </w:r>
      <w:r w:rsidR="002E3ED6" w:rsidRPr="001E6503">
        <w:t xml:space="preserve"> </w:t>
      </w:r>
      <w:r w:rsidRPr="001E6503">
        <w:t xml:space="preserve">36 million people living with dementia in 2010, and this figure is set to </w:t>
      </w:r>
      <w:r w:rsidR="00B369A7">
        <w:t xml:space="preserve">increase </w:t>
      </w:r>
      <w:r w:rsidRPr="001E6503">
        <w:t xml:space="preserve">to 66 million by </w:t>
      </w:r>
      <w:r w:rsidR="0058628A" w:rsidRPr="001E6503">
        <w:t xml:space="preserve">2030 and to 115 million by 2050 </w:t>
      </w:r>
      <w:r w:rsidRPr="001E6503">
        <w:t>(Alzheimer’s Disease International, 20</w:t>
      </w:r>
      <w:r w:rsidR="004F32B3" w:rsidRPr="001E6503">
        <w:t>13</w:t>
      </w:r>
      <w:r w:rsidRPr="001E6503">
        <w:t xml:space="preserve">). </w:t>
      </w:r>
      <w:r w:rsidR="004817CC" w:rsidRPr="001E6503">
        <w:t>In the U</w:t>
      </w:r>
      <w:r w:rsidR="00AC2751" w:rsidRPr="001E6503">
        <w:t xml:space="preserve">nited </w:t>
      </w:r>
      <w:r w:rsidR="004817CC" w:rsidRPr="001E6503">
        <w:t>K</w:t>
      </w:r>
      <w:r w:rsidR="00AC2751" w:rsidRPr="001E6503">
        <w:t>ingdom (UK)</w:t>
      </w:r>
      <w:r w:rsidR="004817CC" w:rsidRPr="001E6503">
        <w:t xml:space="preserve">, there </w:t>
      </w:r>
      <w:r w:rsidRPr="001E6503">
        <w:t xml:space="preserve">are likely to be </w:t>
      </w:r>
      <w:r w:rsidR="004817CC" w:rsidRPr="001E6503">
        <w:t xml:space="preserve">between 670,000 and 800,000 people living with dementia (Matthews </w:t>
      </w:r>
      <w:r w:rsidR="00B166FC" w:rsidRPr="001E6503">
        <w:rPr>
          <w:i/>
        </w:rPr>
        <w:t>et al.,</w:t>
      </w:r>
      <w:r w:rsidR="004817CC" w:rsidRPr="001E6503">
        <w:t xml:space="preserve"> 2013), </w:t>
      </w:r>
      <w:r w:rsidRPr="001E6503">
        <w:t xml:space="preserve">and again this </w:t>
      </w:r>
      <w:r w:rsidR="004817CC" w:rsidRPr="001E6503">
        <w:t xml:space="preserve">figure is expected to rise towards 1.7 million by 2051 (Knapp and Prince, 2007). </w:t>
      </w:r>
      <w:r w:rsidR="00CB1831" w:rsidRPr="001E6503">
        <w:rPr>
          <w:rFonts w:eastAsia="Arial Unicode MS"/>
          <w:shd w:val="clear" w:color="auto" w:fill="FFFFFF"/>
        </w:rPr>
        <w:t>In anticipation of these major global demographic changes, many countries, and in particular those countries with major economies that are part of the G20, have begun to develop and enact plans to address Alzheimer’s disease as a national priority (</w:t>
      </w:r>
      <w:proofErr w:type="spellStart"/>
      <w:r w:rsidR="00CB1831" w:rsidRPr="001E6503">
        <w:rPr>
          <w:rFonts w:eastAsia="Arial Unicode MS"/>
          <w:shd w:val="clear" w:color="auto" w:fill="FFFFFF"/>
        </w:rPr>
        <w:t>Rosow</w:t>
      </w:r>
      <w:proofErr w:type="spellEnd"/>
      <w:r w:rsidR="00CB1831" w:rsidRPr="001E6503">
        <w:rPr>
          <w:rFonts w:eastAsia="Arial Unicode MS"/>
          <w:shd w:val="clear" w:color="auto" w:fill="FFFFFF"/>
        </w:rPr>
        <w:t xml:space="preserve"> </w:t>
      </w:r>
      <w:r w:rsidR="00B166FC" w:rsidRPr="001E6503">
        <w:rPr>
          <w:rFonts w:eastAsia="Arial Unicode MS"/>
          <w:i/>
          <w:shd w:val="clear" w:color="auto" w:fill="FFFFFF"/>
        </w:rPr>
        <w:t>et al.,</w:t>
      </w:r>
      <w:r w:rsidR="00CB1831" w:rsidRPr="001E6503">
        <w:rPr>
          <w:rFonts w:eastAsia="Arial Unicode MS"/>
          <w:shd w:val="clear" w:color="auto" w:fill="FFFFFF"/>
        </w:rPr>
        <w:t xml:space="preserve"> 2011). </w:t>
      </w:r>
      <w:r w:rsidR="00115BE6" w:rsidRPr="001E6503">
        <w:rPr>
          <w:rFonts w:eastAsia="Arial Unicode MS"/>
          <w:shd w:val="clear" w:color="auto" w:fill="FFFFFF"/>
        </w:rPr>
        <w:t>Across</w:t>
      </w:r>
      <w:r w:rsidR="00CB1831" w:rsidRPr="001E6503">
        <w:rPr>
          <w:rFonts w:eastAsia="Arial Unicode MS"/>
          <w:shd w:val="clear" w:color="auto" w:fill="FFFFFF"/>
        </w:rPr>
        <w:t xml:space="preserve"> </w:t>
      </w:r>
      <w:r w:rsidR="00115BE6" w:rsidRPr="001E6503">
        <w:rPr>
          <w:rFonts w:eastAsia="Arial Unicode MS"/>
          <w:shd w:val="clear" w:color="auto" w:fill="FFFFFF"/>
        </w:rPr>
        <w:t>the UK</w:t>
      </w:r>
      <w:r w:rsidR="00CB1831" w:rsidRPr="001E6503">
        <w:rPr>
          <w:rFonts w:eastAsia="Arial Unicode MS"/>
          <w:shd w:val="clear" w:color="auto" w:fill="FFFFFF"/>
        </w:rPr>
        <w:t xml:space="preserve">, </w:t>
      </w:r>
      <w:r w:rsidR="00CB1831" w:rsidRPr="001E6503">
        <w:t xml:space="preserve">policy priorities </w:t>
      </w:r>
      <w:r w:rsidR="00115BE6" w:rsidRPr="001E6503">
        <w:t>have focussed on achieving an early diagnosis, and preventing or delaying admission into institutional care (</w:t>
      </w:r>
      <w:r w:rsidR="00646405">
        <w:t>Department of Health (</w:t>
      </w:r>
      <w:proofErr w:type="spellStart"/>
      <w:r w:rsidR="00646405">
        <w:t>DoH</w:t>
      </w:r>
      <w:proofErr w:type="spellEnd"/>
      <w:r w:rsidR="00646405">
        <w:t>), 2013</w:t>
      </w:r>
      <w:r w:rsidR="00115BE6" w:rsidRPr="001E6503">
        <w:t xml:space="preserve">). This increased emphasis on people affected by dementia living well within the community means that public attitudes towards people affected by dementia have become of increasing importance in the UK </w:t>
      </w:r>
      <w:r w:rsidR="00147CCE">
        <w:t>as evidence by, for instance</w:t>
      </w:r>
      <w:r w:rsidR="00115BE6" w:rsidRPr="001E6503">
        <w:t xml:space="preserve"> awareness campaigns</w:t>
      </w:r>
      <w:r w:rsidR="00147CCE">
        <w:t xml:space="preserve"> launched to build ‘</w:t>
      </w:r>
      <w:r w:rsidR="00115BE6" w:rsidRPr="001E6503">
        <w:t xml:space="preserve">dementia </w:t>
      </w:r>
      <w:r w:rsidR="002D4BF5" w:rsidRPr="001E6503">
        <w:t>f</w:t>
      </w:r>
      <w:r w:rsidR="00147CCE">
        <w:t>riendly’</w:t>
      </w:r>
      <w:r w:rsidR="00212CDD">
        <w:t xml:space="preserve"> communities in order</w:t>
      </w:r>
      <w:r w:rsidR="00115BE6" w:rsidRPr="001E6503">
        <w:t xml:space="preserve"> to reduce stigma and improve public attitudes to dementia. </w:t>
      </w:r>
    </w:p>
    <w:p w14:paraId="057F6188" w14:textId="77777777" w:rsidR="00AF598F" w:rsidRDefault="00AF598F" w:rsidP="000B1A46">
      <w:pPr>
        <w:pStyle w:val="NormalWeb"/>
        <w:shd w:val="clear" w:color="auto" w:fill="FFFFFF"/>
        <w:spacing w:before="120" w:beforeAutospacing="0" w:after="120" w:afterAutospacing="0" w:line="480" w:lineRule="auto"/>
      </w:pPr>
    </w:p>
    <w:p w14:paraId="0E20D5A2" w14:textId="4A6AC25C" w:rsidR="00DA6B26" w:rsidRDefault="00DA6B26" w:rsidP="00DA6B26">
      <w:pPr>
        <w:pStyle w:val="NormalWeb"/>
        <w:shd w:val="clear" w:color="auto" w:fill="FFFFFF"/>
        <w:spacing w:before="120" w:beforeAutospacing="0" w:after="120" w:afterAutospacing="0" w:line="480" w:lineRule="auto"/>
        <w:ind w:firstLine="720"/>
      </w:pPr>
      <w:r w:rsidRPr="001E6503">
        <w:t>In order to meet the health needs of people living in Bristol and South Gloucestershire, the Clinical Commissioning groups, local authorities, Universities, NHS trusts and third sector organisations collaborated in 2012 to establish Bristol Health Partners (BHP). The aim of BHP is to address the major public health needs across the city, and in order to achi</w:t>
      </w:r>
      <w:r>
        <w:t>eve this aim, BHP established 18</w:t>
      </w:r>
      <w:r w:rsidRPr="001E6503">
        <w:t xml:space="preserve"> Health Integration Teams (HITs), one of which </w:t>
      </w:r>
      <w:r w:rsidRPr="001E6503">
        <w:lastRenderedPageBreak/>
        <w:t>focussed on developing services for roughly 7,500 people affected by dementia in Bristol and South Gloucestershire</w:t>
      </w:r>
      <w:r w:rsidRPr="001E6503">
        <w:rPr>
          <w:rStyle w:val="FootnoteReference"/>
        </w:rPr>
        <w:footnoteReference w:id="1"/>
      </w:r>
      <w:r w:rsidR="00731942">
        <w:t>.  The d</w:t>
      </w:r>
      <w:r w:rsidRPr="001E6503">
        <w:t>ementia HIT continues the interdisciplinary and cross-organisational ethos of BHP by bringing together academics, clinicians and commissioners with expertise in dementia care in order to achieve the best quality of life for people and families affecte</w:t>
      </w:r>
      <w:r w:rsidR="00731942">
        <w:t>d by dementia. The aims of the d</w:t>
      </w:r>
      <w:r w:rsidRPr="001E6503">
        <w:t>ementia HIT include improving the training and education of staff working in Bristol with people affected by dementia, to promote public awareness of dementia and to improve attitudes across the city towards people who are affected by the illness.</w:t>
      </w:r>
    </w:p>
    <w:p w14:paraId="02CD4AB1" w14:textId="77777777" w:rsidR="00AF598F" w:rsidRPr="001E6503" w:rsidRDefault="00AF598F" w:rsidP="00DA6B26">
      <w:pPr>
        <w:pStyle w:val="NormalWeb"/>
        <w:shd w:val="clear" w:color="auto" w:fill="FFFFFF"/>
        <w:spacing w:before="120" w:beforeAutospacing="0" w:after="120" w:afterAutospacing="0" w:line="480" w:lineRule="auto"/>
        <w:ind w:firstLine="720"/>
      </w:pPr>
    </w:p>
    <w:p w14:paraId="0724522A" w14:textId="1F5E664A" w:rsidR="007014E0" w:rsidRPr="001E6503" w:rsidRDefault="005F76B0" w:rsidP="000B1A46">
      <w:pPr>
        <w:spacing w:before="120" w:after="120" w:line="480" w:lineRule="auto"/>
        <w:rPr>
          <w:rFonts w:ascii="Times New Roman" w:hAnsi="Times New Roman" w:cs="Times New Roman"/>
          <w:b/>
          <w:sz w:val="24"/>
          <w:szCs w:val="24"/>
        </w:rPr>
      </w:pPr>
      <w:r>
        <w:rPr>
          <w:rFonts w:ascii="Times New Roman" w:hAnsi="Times New Roman" w:cs="Times New Roman"/>
          <w:b/>
          <w:sz w:val="24"/>
          <w:szCs w:val="24"/>
        </w:rPr>
        <w:t xml:space="preserve">Attitudes and </w:t>
      </w:r>
      <w:r w:rsidRPr="005F76B0">
        <w:rPr>
          <w:rFonts w:ascii="Times New Roman" w:hAnsi="Times New Roman" w:cs="Times New Roman"/>
          <w:b/>
          <w:sz w:val="24"/>
          <w:szCs w:val="24"/>
          <w:lang w:val="en-US"/>
        </w:rPr>
        <w:t>behavio</w:t>
      </w:r>
      <w:r w:rsidR="00DA3624" w:rsidRPr="005F76B0">
        <w:rPr>
          <w:rFonts w:ascii="Times New Roman" w:hAnsi="Times New Roman" w:cs="Times New Roman"/>
          <w:b/>
          <w:sz w:val="24"/>
          <w:szCs w:val="24"/>
          <w:lang w:val="en-US"/>
        </w:rPr>
        <w:t>r</w:t>
      </w:r>
    </w:p>
    <w:p w14:paraId="288B7AC3" w14:textId="4A44723A" w:rsidR="00DA3624" w:rsidRDefault="00DA3624" w:rsidP="000B1A46">
      <w:pPr>
        <w:spacing w:before="120" w:after="120" w:line="480" w:lineRule="auto"/>
        <w:rPr>
          <w:rFonts w:ascii="Times New Roman" w:hAnsi="Times New Roman" w:cs="Times New Roman"/>
          <w:sz w:val="24"/>
          <w:szCs w:val="24"/>
        </w:rPr>
      </w:pPr>
      <w:r w:rsidRPr="001E6503">
        <w:rPr>
          <w:rFonts w:ascii="Times New Roman" w:hAnsi="Times New Roman" w:cs="Times New Roman"/>
          <w:sz w:val="24"/>
          <w:szCs w:val="24"/>
        </w:rPr>
        <w:t xml:space="preserve">There is a large body of evidence indicating a link between attitudes and behaviour </w:t>
      </w:r>
      <w:r w:rsidR="00092411" w:rsidRPr="001E6503">
        <w:rPr>
          <w:rFonts w:ascii="Times New Roman" w:hAnsi="Times New Roman" w:cs="Times New Roman"/>
          <w:sz w:val="24"/>
          <w:szCs w:val="24"/>
        </w:rPr>
        <w:t>with, t</w:t>
      </w:r>
      <w:r w:rsidRPr="001E6503">
        <w:rPr>
          <w:rFonts w:ascii="Times New Roman" w:hAnsi="Times New Roman" w:cs="Times New Roman"/>
          <w:sz w:val="24"/>
          <w:szCs w:val="24"/>
        </w:rPr>
        <w:t>ypically</w:t>
      </w:r>
      <w:r w:rsidR="00092411" w:rsidRPr="001E6503">
        <w:rPr>
          <w:rFonts w:ascii="Times New Roman" w:hAnsi="Times New Roman" w:cs="Times New Roman"/>
          <w:sz w:val="24"/>
          <w:szCs w:val="24"/>
        </w:rPr>
        <w:t>,</w:t>
      </w:r>
      <w:r w:rsidRPr="001E6503">
        <w:rPr>
          <w:rFonts w:ascii="Times New Roman" w:hAnsi="Times New Roman" w:cs="Times New Roman"/>
          <w:sz w:val="24"/>
          <w:szCs w:val="24"/>
        </w:rPr>
        <w:t xml:space="preserve"> more favourable attitudes result</w:t>
      </w:r>
      <w:r w:rsidR="00092411" w:rsidRPr="001E6503">
        <w:rPr>
          <w:rFonts w:ascii="Times New Roman" w:hAnsi="Times New Roman" w:cs="Times New Roman"/>
          <w:sz w:val="24"/>
          <w:szCs w:val="24"/>
        </w:rPr>
        <w:t>ing</w:t>
      </w:r>
      <w:r w:rsidRPr="001E6503">
        <w:rPr>
          <w:rFonts w:ascii="Times New Roman" w:hAnsi="Times New Roman" w:cs="Times New Roman"/>
          <w:sz w:val="24"/>
          <w:szCs w:val="24"/>
        </w:rPr>
        <w:t xml:space="preserve"> in positive re</w:t>
      </w:r>
      <w:r w:rsidR="00B74C00" w:rsidRPr="001E6503">
        <w:rPr>
          <w:rFonts w:ascii="Times New Roman" w:hAnsi="Times New Roman" w:cs="Times New Roman"/>
          <w:sz w:val="24"/>
          <w:szCs w:val="24"/>
        </w:rPr>
        <w:t>sponses</w:t>
      </w:r>
      <w:r w:rsidR="002E46E9">
        <w:rPr>
          <w:rFonts w:ascii="Times New Roman" w:hAnsi="Times New Roman" w:cs="Times New Roman"/>
          <w:sz w:val="24"/>
          <w:szCs w:val="24"/>
        </w:rPr>
        <w:t xml:space="preserve"> to the attitude object</w:t>
      </w:r>
      <w:r w:rsidR="00B74C00" w:rsidRPr="001E6503">
        <w:rPr>
          <w:rFonts w:ascii="Times New Roman" w:hAnsi="Times New Roman" w:cs="Times New Roman"/>
          <w:sz w:val="24"/>
          <w:szCs w:val="24"/>
        </w:rPr>
        <w:t xml:space="preserve"> (</w:t>
      </w:r>
      <w:proofErr w:type="spellStart"/>
      <w:r w:rsidR="00B74C00" w:rsidRPr="001E6503">
        <w:rPr>
          <w:rFonts w:ascii="Times New Roman" w:hAnsi="Times New Roman" w:cs="Times New Roman"/>
          <w:sz w:val="24"/>
          <w:szCs w:val="24"/>
        </w:rPr>
        <w:t>Fishbein</w:t>
      </w:r>
      <w:proofErr w:type="spellEnd"/>
      <w:r w:rsidR="00B74C00" w:rsidRPr="001E6503">
        <w:rPr>
          <w:rFonts w:ascii="Times New Roman" w:hAnsi="Times New Roman" w:cs="Times New Roman"/>
          <w:sz w:val="24"/>
          <w:szCs w:val="24"/>
        </w:rPr>
        <w:t xml:space="preserve"> and</w:t>
      </w:r>
      <w:r w:rsidRPr="001E6503">
        <w:rPr>
          <w:rFonts w:ascii="Times New Roman" w:hAnsi="Times New Roman" w:cs="Times New Roman"/>
          <w:sz w:val="24"/>
          <w:szCs w:val="24"/>
        </w:rPr>
        <w:t xml:space="preserve"> </w:t>
      </w:r>
      <w:proofErr w:type="spellStart"/>
      <w:r w:rsidRPr="001E6503">
        <w:rPr>
          <w:rFonts w:ascii="Times New Roman" w:hAnsi="Times New Roman" w:cs="Times New Roman"/>
          <w:sz w:val="24"/>
          <w:szCs w:val="24"/>
        </w:rPr>
        <w:t>Ajzen</w:t>
      </w:r>
      <w:proofErr w:type="spellEnd"/>
      <w:r w:rsidRPr="001E6503">
        <w:rPr>
          <w:rFonts w:ascii="Times New Roman" w:hAnsi="Times New Roman" w:cs="Times New Roman"/>
          <w:sz w:val="24"/>
          <w:szCs w:val="24"/>
        </w:rPr>
        <w:t>, 2010). In the case of dementia this had been widely explored in relation to professionals working with individuals living with dementia (</w:t>
      </w:r>
      <w:r w:rsidR="0080324F" w:rsidRPr="001E6503">
        <w:rPr>
          <w:rFonts w:ascii="Times New Roman" w:hAnsi="Times New Roman" w:cs="Times New Roman"/>
          <w:sz w:val="24"/>
          <w:szCs w:val="24"/>
        </w:rPr>
        <w:t>e.g.,</w:t>
      </w:r>
      <w:r w:rsidR="002D4BF5" w:rsidRPr="001E6503">
        <w:rPr>
          <w:rFonts w:ascii="Times New Roman" w:hAnsi="Times New Roman" w:cs="Times New Roman"/>
          <w:sz w:val="24"/>
          <w:szCs w:val="24"/>
        </w:rPr>
        <w:t xml:space="preserve"> </w:t>
      </w:r>
      <w:r w:rsidRPr="001E6503">
        <w:rPr>
          <w:rFonts w:ascii="Times New Roman" w:hAnsi="Times New Roman" w:cs="Times New Roman"/>
          <w:sz w:val="24"/>
          <w:szCs w:val="24"/>
        </w:rPr>
        <w:t xml:space="preserve">Kokkonen </w:t>
      </w:r>
      <w:r w:rsidR="00B166FC" w:rsidRPr="001E6503">
        <w:rPr>
          <w:rFonts w:ascii="Times New Roman" w:hAnsi="Times New Roman" w:cs="Times New Roman"/>
          <w:i/>
          <w:sz w:val="24"/>
          <w:szCs w:val="24"/>
        </w:rPr>
        <w:t>et al.,</w:t>
      </w:r>
      <w:r w:rsidRPr="001E6503">
        <w:rPr>
          <w:rFonts w:ascii="Times New Roman" w:hAnsi="Times New Roman" w:cs="Times New Roman"/>
          <w:sz w:val="24"/>
          <w:szCs w:val="24"/>
        </w:rPr>
        <w:t xml:space="preserve"> 2014; </w:t>
      </w:r>
      <w:r w:rsidR="00BF13E0" w:rsidRPr="001E6503">
        <w:rPr>
          <w:rFonts w:ascii="Times New Roman" w:hAnsi="Times New Roman" w:cs="Times New Roman"/>
          <w:sz w:val="24"/>
          <w:szCs w:val="24"/>
        </w:rPr>
        <w:t xml:space="preserve">Leung </w:t>
      </w:r>
      <w:r w:rsidR="00B166FC" w:rsidRPr="001E6503">
        <w:rPr>
          <w:rFonts w:ascii="Times New Roman" w:hAnsi="Times New Roman" w:cs="Times New Roman"/>
          <w:i/>
          <w:sz w:val="24"/>
          <w:szCs w:val="24"/>
        </w:rPr>
        <w:t>et al.,</w:t>
      </w:r>
      <w:r w:rsidR="00BF13E0" w:rsidRPr="001E6503">
        <w:rPr>
          <w:rFonts w:ascii="Times New Roman" w:hAnsi="Times New Roman" w:cs="Times New Roman"/>
          <w:sz w:val="24"/>
          <w:szCs w:val="24"/>
        </w:rPr>
        <w:t xml:space="preserve"> 2013; </w:t>
      </w:r>
      <w:proofErr w:type="spellStart"/>
      <w:r w:rsidR="00662A12">
        <w:rPr>
          <w:rFonts w:ascii="Times New Roman" w:hAnsi="Times New Roman" w:cs="Times New Roman"/>
          <w:sz w:val="24"/>
          <w:szCs w:val="24"/>
        </w:rPr>
        <w:t>Lintern</w:t>
      </w:r>
      <w:proofErr w:type="spellEnd"/>
      <w:r w:rsidR="00662A12">
        <w:rPr>
          <w:rFonts w:ascii="Times New Roman" w:hAnsi="Times New Roman" w:cs="Times New Roman"/>
          <w:sz w:val="24"/>
          <w:szCs w:val="24"/>
        </w:rPr>
        <w:t>, 2001</w:t>
      </w:r>
      <w:r w:rsidRPr="001E6503">
        <w:rPr>
          <w:rFonts w:ascii="Times New Roman" w:hAnsi="Times New Roman" w:cs="Times New Roman"/>
          <w:sz w:val="24"/>
          <w:szCs w:val="24"/>
        </w:rPr>
        <w:t>). Positive attitudes</w:t>
      </w:r>
      <w:r w:rsidR="00192DFA" w:rsidRPr="001E6503">
        <w:rPr>
          <w:rFonts w:ascii="Times New Roman" w:hAnsi="Times New Roman" w:cs="Times New Roman"/>
          <w:sz w:val="24"/>
          <w:szCs w:val="24"/>
        </w:rPr>
        <w:t xml:space="preserve"> amongst nursing staff working within institutional care </w:t>
      </w:r>
      <w:r w:rsidRPr="001E6503">
        <w:rPr>
          <w:rFonts w:ascii="Times New Roman" w:hAnsi="Times New Roman" w:cs="Times New Roman"/>
          <w:sz w:val="24"/>
          <w:szCs w:val="24"/>
        </w:rPr>
        <w:t xml:space="preserve">have been linked to </w:t>
      </w:r>
      <w:r w:rsidR="00C842B3" w:rsidRPr="001E6503">
        <w:rPr>
          <w:rFonts w:ascii="Times New Roman" w:hAnsi="Times New Roman" w:cs="Times New Roman"/>
          <w:sz w:val="24"/>
          <w:szCs w:val="24"/>
        </w:rPr>
        <w:t>training</w:t>
      </w:r>
      <w:r w:rsidRPr="001E6503">
        <w:rPr>
          <w:rFonts w:ascii="Times New Roman" w:hAnsi="Times New Roman" w:cs="Times New Roman"/>
          <w:sz w:val="24"/>
          <w:szCs w:val="24"/>
        </w:rPr>
        <w:t xml:space="preserve">, </w:t>
      </w:r>
      <w:r w:rsidR="00C842B3" w:rsidRPr="001E6503">
        <w:rPr>
          <w:rFonts w:ascii="Times New Roman" w:hAnsi="Times New Roman" w:cs="Times New Roman"/>
          <w:sz w:val="24"/>
          <w:szCs w:val="24"/>
        </w:rPr>
        <w:t xml:space="preserve">with those </w:t>
      </w:r>
      <w:r w:rsidRPr="001E6503">
        <w:rPr>
          <w:rFonts w:ascii="Times New Roman" w:hAnsi="Times New Roman" w:cs="Times New Roman"/>
          <w:sz w:val="24"/>
          <w:szCs w:val="24"/>
        </w:rPr>
        <w:t xml:space="preserve">staff </w:t>
      </w:r>
      <w:r w:rsidR="00C842B3" w:rsidRPr="001E6503">
        <w:rPr>
          <w:rFonts w:ascii="Times New Roman" w:hAnsi="Times New Roman" w:cs="Times New Roman"/>
          <w:sz w:val="24"/>
          <w:szCs w:val="24"/>
        </w:rPr>
        <w:t>who had received training having</w:t>
      </w:r>
      <w:r w:rsidRPr="001E6503">
        <w:rPr>
          <w:rFonts w:ascii="Times New Roman" w:hAnsi="Times New Roman" w:cs="Times New Roman"/>
          <w:sz w:val="24"/>
          <w:szCs w:val="24"/>
        </w:rPr>
        <w:t xml:space="preserve"> more positive attitudes about people living with dementia (Leung </w:t>
      </w:r>
      <w:r w:rsidR="00B166FC" w:rsidRPr="001E6503">
        <w:rPr>
          <w:rFonts w:ascii="Times New Roman" w:hAnsi="Times New Roman" w:cs="Times New Roman"/>
          <w:i/>
          <w:sz w:val="24"/>
          <w:szCs w:val="24"/>
        </w:rPr>
        <w:t>et al.,</w:t>
      </w:r>
      <w:r w:rsidRPr="001E6503">
        <w:rPr>
          <w:rFonts w:ascii="Times New Roman" w:hAnsi="Times New Roman" w:cs="Times New Roman"/>
          <w:sz w:val="24"/>
          <w:szCs w:val="24"/>
        </w:rPr>
        <w:t xml:space="preserve"> 2013). </w:t>
      </w:r>
      <w:r w:rsidR="00FA0A31" w:rsidRPr="001E6503">
        <w:rPr>
          <w:rFonts w:ascii="Times New Roman" w:hAnsi="Times New Roman" w:cs="Times New Roman"/>
          <w:sz w:val="24"/>
          <w:szCs w:val="24"/>
        </w:rPr>
        <w:t>In turn, p</w:t>
      </w:r>
      <w:r w:rsidRPr="001E6503">
        <w:rPr>
          <w:rFonts w:ascii="Times New Roman" w:hAnsi="Times New Roman" w:cs="Times New Roman"/>
          <w:sz w:val="24"/>
          <w:szCs w:val="24"/>
        </w:rPr>
        <w:t xml:space="preserve">ositive attitudes toward dementia </w:t>
      </w:r>
      <w:r w:rsidR="00FA0A31" w:rsidRPr="001E6503">
        <w:rPr>
          <w:rFonts w:ascii="Times New Roman" w:hAnsi="Times New Roman" w:cs="Times New Roman"/>
          <w:sz w:val="24"/>
          <w:szCs w:val="24"/>
        </w:rPr>
        <w:t xml:space="preserve">are associated with </w:t>
      </w:r>
      <w:r w:rsidR="002E46E9">
        <w:rPr>
          <w:rFonts w:ascii="Times New Roman" w:hAnsi="Times New Roman" w:cs="Times New Roman"/>
          <w:sz w:val="24"/>
          <w:szCs w:val="24"/>
        </w:rPr>
        <w:t>the provision of</w:t>
      </w:r>
      <w:r w:rsidR="00FA0A31" w:rsidRPr="001E6503">
        <w:rPr>
          <w:rFonts w:ascii="Times New Roman" w:hAnsi="Times New Roman" w:cs="Times New Roman"/>
          <w:sz w:val="24"/>
          <w:szCs w:val="24"/>
        </w:rPr>
        <w:t xml:space="preserve"> higher </w:t>
      </w:r>
      <w:r w:rsidRPr="001E6503">
        <w:rPr>
          <w:rFonts w:ascii="Times New Roman" w:hAnsi="Times New Roman" w:cs="Times New Roman"/>
          <w:sz w:val="24"/>
          <w:szCs w:val="24"/>
        </w:rPr>
        <w:t xml:space="preserve">quality </w:t>
      </w:r>
      <w:r w:rsidR="002E46E9">
        <w:rPr>
          <w:rFonts w:ascii="Times New Roman" w:hAnsi="Times New Roman" w:cs="Times New Roman"/>
          <w:sz w:val="24"/>
          <w:szCs w:val="24"/>
        </w:rPr>
        <w:t xml:space="preserve">by </w:t>
      </w:r>
      <w:r w:rsidRPr="001E6503">
        <w:rPr>
          <w:rFonts w:ascii="Times New Roman" w:hAnsi="Times New Roman" w:cs="Times New Roman"/>
          <w:sz w:val="24"/>
          <w:szCs w:val="24"/>
        </w:rPr>
        <w:t xml:space="preserve">staff </w:t>
      </w:r>
      <w:r w:rsidR="00FA0A31" w:rsidRPr="001E6503">
        <w:rPr>
          <w:rFonts w:ascii="Times New Roman" w:hAnsi="Times New Roman" w:cs="Times New Roman"/>
          <w:sz w:val="24"/>
          <w:szCs w:val="24"/>
        </w:rPr>
        <w:t>(</w:t>
      </w:r>
      <w:proofErr w:type="spellStart"/>
      <w:r w:rsidR="00FA0A31" w:rsidRPr="001E6503">
        <w:rPr>
          <w:rFonts w:ascii="Times New Roman" w:hAnsi="Times New Roman" w:cs="Times New Roman"/>
          <w:sz w:val="24"/>
          <w:szCs w:val="24"/>
        </w:rPr>
        <w:t>DoH</w:t>
      </w:r>
      <w:proofErr w:type="spellEnd"/>
      <w:r w:rsidR="00FA0A31" w:rsidRPr="001E6503">
        <w:rPr>
          <w:rFonts w:ascii="Times New Roman" w:hAnsi="Times New Roman" w:cs="Times New Roman"/>
          <w:sz w:val="24"/>
          <w:szCs w:val="24"/>
        </w:rPr>
        <w:t>,</w:t>
      </w:r>
      <w:r w:rsidR="00646405">
        <w:rPr>
          <w:rFonts w:ascii="Times New Roman" w:hAnsi="Times New Roman" w:cs="Times New Roman"/>
          <w:sz w:val="24"/>
          <w:szCs w:val="24"/>
        </w:rPr>
        <w:t xml:space="preserve"> 2013</w:t>
      </w:r>
      <w:r w:rsidRPr="001E6503">
        <w:rPr>
          <w:rFonts w:ascii="Times New Roman" w:hAnsi="Times New Roman" w:cs="Times New Roman"/>
          <w:sz w:val="24"/>
          <w:szCs w:val="24"/>
        </w:rPr>
        <w:t xml:space="preserve">; </w:t>
      </w:r>
      <w:proofErr w:type="spellStart"/>
      <w:r w:rsidRPr="001E6503">
        <w:rPr>
          <w:rFonts w:ascii="Times New Roman" w:hAnsi="Times New Roman" w:cs="Times New Roman"/>
          <w:sz w:val="24"/>
          <w:szCs w:val="24"/>
        </w:rPr>
        <w:t>Lintern</w:t>
      </w:r>
      <w:proofErr w:type="spellEnd"/>
      <w:r w:rsidRPr="001E6503">
        <w:rPr>
          <w:rFonts w:ascii="Times New Roman" w:hAnsi="Times New Roman" w:cs="Times New Roman"/>
          <w:sz w:val="24"/>
          <w:szCs w:val="24"/>
        </w:rPr>
        <w:t>, 200</w:t>
      </w:r>
      <w:r w:rsidR="005C0238" w:rsidRPr="001E6503">
        <w:rPr>
          <w:rFonts w:ascii="Times New Roman" w:hAnsi="Times New Roman" w:cs="Times New Roman"/>
          <w:sz w:val="24"/>
          <w:szCs w:val="24"/>
        </w:rPr>
        <w:t>1</w:t>
      </w:r>
      <w:r w:rsidRPr="001E6503">
        <w:rPr>
          <w:rFonts w:ascii="Times New Roman" w:hAnsi="Times New Roman" w:cs="Times New Roman"/>
          <w:sz w:val="24"/>
          <w:szCs w:val="24"/>
        </w:rPr>
        <w:t xml:space="preserve">; Travers </w:t>
      </w:r>
      <w:r w:rsidR="00B166FC" w:rsidRPr="001E6503">
        <w:rPr>
          <w:rFonts w:ascii="Times New Roman" w:hAnsi="Times New Roman" w:cs="Times New Roman"/>
          <w:i/>
          <w:sz w:val="24"/>
          <w:szCs w:val="24"/>
        </w:rPr>
        <w:t>et al.,</w:t>
      </w:r>
      <w:r w:rsidRPr="001E6503">
        <w:rPr>
          <w:rFonts w:ascii="Times New Roman" w:hAnsi="Times New Roman" w:cs="Times New Roman"/>
          <w:sz w:val="24"/>
          <w:szCs w:val="24"/>
        </w:rPr>
        <w:t xml:space="preserve"> 2013).</w:t>
      </w:r>
    </w:p>
    <w:p w14:paraId="18B72931" w14:textId="77777777" w:rsidR="00AF598F" w:rsidRPr="001E6503" w:rsidRDefault="00AF598F" w:rsidP="000B1A46">
      <w:pPr>
        <w:spacing w:before="120" w:after="120" w:line="480" w:lineRule="auto"/>
        <w:rPr>
          <w:rFonts w:ascii="Times New Roman" w:hAnsi="Times New Roman" w:cs="Times New Roman"/>
          <w:sz w:val="24"/>
          <w:szCs w:val="24"/>
        </w:rPr>
      </w:pPr>
    </w:p>
    <w:p w14:paraId="0AE16DB5" w14:textId="483B7104" w:rsidR="00E50A35" w:rsidRDefault="0056764E" w:rsidP="002E7E58">
      <w:pPr>
        <w:autoSpaceDE w:val="0"/>
        <w:autoSpaceDN w:val="0"/>
        <w:adjustRightInd w:val="0"/>
        <w:spacing w:before="120" w:after="120" w:line="480" w:lineRule="auto"/>
        <w:ind w:firstLine="720"/>
        <w:rPr>
          <w:rFonts w:ascii="Times New Roman" w:eastAsia="Times New Roman" w:hAnsi="Times New Roman" w:cs="Times New Roman"/>
          <w:sz w:val="24"/>
          <w:szCs w:val="24"/>
          <w:shd w:val="clear" w:color="auto" w:fill="FFFFFF"/>
        </w:rPr>
      </w:pPr>
      <w:r w:rsidRPr="001E6503">
        <w:rPr>
          <w:rFonts w:ascii="Times New Roman" w:hAnsi="Times New Roman" w:cs="Times New Roman"/>
          <w:sz w:val="24"/>
          <w:szCs w:val="24"/>
        </w:rPr>
        <w:t xml:space="preserve">Research into </w:t>
      </w:r>
      <w:r w:rsidR="00463A12" w:rsidRPr="001E6503">
        <w:rPr>
          <w:rFonts w:ascii="Times New Roman" w:hAnsi="Times New Roman" w:cs="Times New Roman"/>
          <w:sz w:val="24"/>
          <w:szCs w:val="24"/>
        </w:rPr>
        <w:t xml:space="preserve">attitudes toward dementia has tended to focus </w:t>
      </w:r>
      <w:r w:rsidRPr="001E6503">
        <w:rPr>
          <w:rFonts w:ascii="Times New Roman" w:hAnsi="Times New Roman" w:cs="Times New Roman"/>
          <w:sz w:val="24"/>
          <w:szCs w:val="24"/>
        </w:rPr>
        <w:t xml:space="preserve">specific issues such as screening for dementia (Bond </w:t>
      </w:r>
      <w:r w:rsidR="00B166FC" w:rsidRPr="001E6503">
        <w:rPr>
          <w:rFonts w:ascii="Times New Roman" w:hAnsi="Times New Roman" w:cs="Times New Roman"/>
          <w:i/>
          <w:sz w:val="24"/>
          <w:szCs w:val="24"/>
        </w:rPr>
        <w:t>et al.,</w:t>
      </w:r>
      <w:r w:rsidRPr="001E6503">
        <w:rPr>
          <w:rFonts w:ascii="Times New Roman" w:hAnsi="Times New Roman" w:cs="Times New Roman"/>
          <w:sz w:val="24"/>
          <w:szCs w:val="24"/>
        </w:rPr>
        <w:t xml:space="preserve"> 2010) or euthanasia (Williams </w:t>
      </w:r>
      <w:r w:rsidR="00B166FC" w:rsidRPr="001E6503">
        <w:rPr>
          <w:rFonts w:ascii="Times New Roman" w:hAnsi="Times New Roman" w:cs="Times New Roman"/>
          <w:i/>
          <w:sz w:val="24"/>
          <w:szCs w:val="24"/>
        </w:rPr>
        <w:t>et al.,</w:t>
      </w:r>
      <w:r w:rsidRPr="001E6503">
        <w:rPr>
          <w:rFonts w:ascii="Times New Roman" w:hAnsi="Times New Roman" w:cs="Times New Roman"/>
          <w:sz w:val="24"/>
          <w:szCs w:val="24"/>
        </w:rPr>
        <w:t xml:space="preserve"> 2007). </w:t>
      </w:r>
      <w:r w:rsidR="00713A8B">
        <w:rPr>
          <w:rFonts w:ascii="Times New Roman" w:hAnsi="Times New Roman" w:cs="Times New Roman"/>
          <w:sz w:val="24"/>
          <w:szCs w:val="24"/>
        </w:rPr>
        <w:t>P</w:t>
      </w:r>
      <w:r w:rsidR="00463A12" w:rsidRPr="001E6503">
        <w:rPr>
          <w:rFonts w:ascii="Times New Roman" w:hAnsi="Times New Roman" w:cs="Times New Roman"/>
          <w:sz w:val="24"/>
          <w:szCs w:val="24"/>
        </w:rPr>
        <w:t xml:space="preserve">ublic </w:t>
      </w:r>
      <w:r w:rsidR="00463A12">
        <w:rPr>
          <w:rFonts w:ascii="Times New Roman" w:hAnsi="Times New Roman" w:cs="Times New Roman"/>
          <w:sz w:val="24"/>
          <w:szCs w:val="24"/>
        </w:rPr>
        <w:t xml:space="preserve">survey </w:t>
      </w:r>
      <w:r w:rsidR="00713A8B">
        <w:rPr>
          <w:rFonts w:ascii="Times New Roman" w:hAnsi="Times New Roman" w:cs="Times New Roman"/>
          <w:sz w:val="24"/>
          <w:szCs w:val="24"/>
        </w:rPr>
        <w:t xml:space="preserve">of </w:t>
      </w:r>
      <w:r w:rsidR="00463A12" w:rsidRPr="001E6503">
        <w:rPr>
          <w:rFonts w:ascii="Times New Roman" w:hAnsi="Times New Roman" w:cs="Times New Roman"/>
          <w:sz w:val="24"/>
          <w:szCs w:val="24"/>
        </w:rPr>
        <w:t xml:space="preserve">attitudes toward dementia </w:t>
      </w:r>
      <w:r w:rsidR="00713A8B">
        <w:rPr>
          <w:rFonts w:ascii="Times New Roman" w:hAnsi="Times New Roman" w:cs="Times New Roman"/>
          <w:sz w:val="24"/>
          <w:szCs w:val="24"/>
        </w:rPr>
        <w:t xml:space="preserve">have been undertaken </w:t>
      </w:r>
      <w:r w:rsidR="00713A8B" w:rsidRPr="001E6503">
        <w:rPr>
          <w:rFonts w:ascii="Times New Roman" w:hAnsi="Times New Roman" w:cs="Times New Roman"/>
          <w:sz w:val="24"/>
          <w:szCs w:val="24"/>
        </w:rPr>
        <w:t xml:space="preserve">(e.g., McParland </w:t>
      </w:r>
      <w:r w:rsidR="00713A8B" w:rsidRPr="001E6503">
        <w:rPr>
          <w:rFonts w:ascii="Times New Roman" w:hAnsi="Times New Roman" w:cs="Times New Roman"/>
          <w:i/>
          <w:sz w:val="24"/>
          <w:szCs w:val="24"/>
        </w:rPr>
        <w:t>et al.,</w:t>
      </w:r>
      <w:r w:rsidR="00713A8B" w:rsidRPr="001E6503">
        <w:rPr>
          <w:rFonts w:ascii="Times New Roman" w:hAnsi="Times New Roman" w:cs="Times New Roman"/>
          <w:sz w:val="24"/>
          <w:szCs w:val="24"/>
        </w:rPr>
        <w:t xml:space="preserve"> 2012)</w:t>
      </w:r>
      <w:r w:rsidR="00713A8B">
        <w:rPr>
          <w:rFonts w:ascii="Times New Roman" w:hAnsi="Times New Roman" w:cs="Times New Roman"/>
          <w:sz w:val="24"/>
          <w:szCs w:val="24"/>
        </w:rPr>
        <w:t xml:space="preserve">, but </w:t>
      </w:r>
      <w:r w:rsidR="00713A8B">
        <w:rPr>
          <w:rFonts w:ascii="Times New Roman" w:hAnsi="Times New Roman" w:cs="Times New Roman"/>
          <w:sz w:val="24"/>
          <w:szCs w:val="24"/>
        </w:rPr>
        <w:lastRenderedPageBreak/>
        <w:t>these have been outside of England, UK</w:t>
      </w:r>
      <w:r w:rsidR="00463A12">
        <w:rPr>
          <w:rFonts w:ascii="Times New Roman" w:hAnsi="Times New Roman" w:cs="Times New Roman"/>
          <w:sz w:val="24"/>
          <w:szCs w:val="24"/>
        </w:rPr>
        <w:t xml:space="preserve">. </w:t>
      </w:r>
      <w:r w:rsidR="00463A12">
        <w:rPr>
          <w:rFonts w:ascii="Times New Roman" w:eastAsia="Times New Roman" w:hAnsi="Times New Roman" w:cs="Times New Roman"/>
          <w:sz w:val="24"/>
          <w:szCs w:val="24"/>
          <w:shd w:val="clear" w:color="auto" w:fill="FFFFFF"/>
        </w:rPr>
        <w:t>These</w:t>
      </w:r>
      <w:r w:rsidRPr="001E6503">
        <w:rPr>
          <w:rFonts w:ascii="Times New Roman" w:eastAsia="Times New Roman" w:hAnsi="Times New Roman" w:cs="Times New Roman"/>
          <w:sz w:val="24"/>
          <w:szCs w:val="24"/>
          <w:shd w:val="clear" w:color="auto" w:fill="FFFFFF"/>
        </w:rPr>
        <w:t xml:space="preserve"> survey</w:t>
      </w:r>
      <w:r w:rsidR="00B166FC" w:rsidRPr="001E6503">
        <w:rPr>
          <w:rFonts w:ascii="Times New Roman" w:eastAsia="Times New Roman" w:hAnsi="Times New Roman" w:cs="Times New Roman"/>
          <w:sz w:val="24"/>
          <w:szCs w:val="24"/>
          <w:shd w:val="clear" w:color="auto" w:fill="FFFFFF"/>
        </w:rPr>
        <w:t>s</w:t>
      </w:r>
      <w:r w:rsidRPr="001E6503">
        <w:rPr>
          <w:rFonts w:ascii="Times New Roman" w:eastAsia="Times New Roman" w:hAnsi="Times New Roman" w:cs="Times New Roman"/>
          <w:sz w:val="24"/>
          <w:szCs w:val="24"/>
          <w:shd w:val="clear" w:color="auto" w:fill="FFFFFF"/>
        </w:rPr>
        <w:t xml:space="preserve"> suggest that the general public has, at best, a fair to moderate knowledge about dementia, and that there are often both misconceptions (</w:t>
      </w:r>
      <w:r w:rsidR="0080324F" w:rsidRPr="001E6503">
        <w:rPr>
          <w:rFonts w:ascii="Times New Roman" w:eastAsia="Times New Roman" w:hAnsi="Times New Roman" w:cs="Times New Roman"/>
          <w:sz w:val="24"/>
          <w:szCs w:val="24"/>
          <w:shd w:val="clear" w:color="auto" w:fill="FFFFFF"/>
        </w:rPr>
        <w:t>e.g.,</w:t>
      </w:r>
      <w:r w:rsidRPr="001E6503">
        <w:rPr>
          <w:rFonts w:ascii="Times New Roman" w:eastAsia="Times New Roman" w:hAnsi="Times New Roman" w:cs="Times New Roman"/>
          <w:sz w:val="24"/>
          <w:szCs w:val="24"/>
          <w:shd w:val="clear" w:color="auto" w:fill="FFFFFF"/>
        </w:rPr>
        <w:t xml:space="preserve"> dementia is a normal part of ageing)</w:t>
      </w:r>
      <w:r w:rsidR="00463A12">
        <w:rPr>
          <w:rFonts w:ascii="Times New Roman" w:eastAsia="Times New Roman" w:hAnsi="Times New Roman" w:cs="Times New Roman"/>
          <w:sz w:val="24"/>
          <w:szCs w:val="24"/>
          <w:shd w:val="clear" w:color="auto" w:fill="FFFFFF"/>
        </w:rPr>
        <w:t>,</w:t>
      </w:r>
      <w:r w:rsidRPr="001E6503">
        <w:rPr>
          <w:rFonts w:ascii="Times New Roman" w:eastAsia="Times New Roman" w:hAnsi="Times New Roman" w:cs="Times New Roman"/>
          <w:sz w:val="24"/>
          <w:szCs w:val="24"/>
          <w:shd w:val="clear" w:color="auto" w:fill="FFFFFF"/>
        </w:rPr>
        <w:t xml:space="preserve"> and a lack of clarity about at which point normal age-related memory loss problems become severe enough to indicate dementia. Moreover, many surveys did not make use of validated scales (Cahill </w:t>
      </w:r>
      <w:r w:rsidR="00B166FC" w:rsidRPr="001E6503">
        <w:rPr>
          <w:rFonts w:ascii="Times New Roman" w:eastAsia="Times New Roman" w:hAnsi="Times New Roman" w:cs="Times New Roman"/>
          <w:i/>
          <w:sz w:val="24"/>
          <w:szCs w:val="24"/>
          <w:shd w:val="clear" w:color="auto" w:fill="FFFFFF"/>
        </w:rPr>
        <w:t>et al.,</w:t>
      </w:r>
      <w:r w:rsidRPr="001E6503">
        <w:rPr>
          <w:rFonts w:ascii="Times New Roman" w:eastAsia="Times New Roman" w:hAnsi="Times New Roman" w:cs="Times New Roman"/>
          <w:sz w:val="24"/>
          <w:szCs w:val="24"/>
          <w:shd w:val="clear" w:color="auto" w:fill="FFFFFF"/>
        </w:rPr>
        <w:t xml:space="preserve"> 2015), </w:t>
      </w:r>
      <w:r w:rsidR="002E46E9">
        <w:rPr>
          <w:rFonts w:ascii="Times New Roman" w:eastAsia="Times New Roman" w:hAnsi="Times New Roman" w:cs="Times New Roman"/>
          <w:sz w:val="24"/>
          <w:szCs w:val="24"/>
          <w:shd w:val="clear" w:color="auto" w:fill="FFFFFF"/>
        </w:rPr>
        <w:t>thus limiting</w:t>
      </w:r>
      <w:r w:rsidRPr="001E6503">
        <w:rPr>
          <w:rFonts w:ascii="Times New Roman" w:eastAsia="Times New Roman" w:hAnsi="Times New Roman" w:cs="Times New Roman"/>
          <w:sz w:val="24"/>
          <w:szCs w:val="24"/>
          <w:shd w:val="clear" w:color="auto" w:fill="FFFFFF"/>
        </w:rPr>
        <w:t xml:space="preserve"> the ability of researchers to make meaningful comparisons across settings</w:t>
      </w:r>
      <w:r w:rsidR="00463A12">
        <w:rPr>
          <w:rFonts w:ascii="Times New Roman" w:eastAsia="Times New Roman" w:hAnsi="Times New Roman" w:cs="Times New Roman"/>
          <w:sz w:val="24"/>
          <w:szCs w:val="24"/>
          <w:shd w:val="clear" w:color="auto" w:fill="FFFFFF"/>
        </w:rPr>
        <w:t>,</w:t>
      </w:r>
      <w:r w:rsidRPr="001E6503">
        <w:rPr>
          <w:rFonts w:ascii="Times New Roman" w:eastAsia="Times New Roman" w:hAnsi="Times New Roman" w:cs="Times New Roman"/>
          <w:sz w:val="24"/>
          <w:szCs w:val="24"/>
          <w:shd w:val="clear" w:color="auto" w:fill="FFFFFF"/>
        </w:rPr>
        <w:t xml:space="preserve"> populations</w:t>
      </w:r>
      <w:r w:rsidR="00463A12">
        <w:rPr>
          <w:rFonts w:ascii="Times New Roman" w:eastAsia="Times New Roman" w:hAnsi="Times New Roman" w:cs="Times New Roman"/>
          <w:sz w:val="24"/>
          <w:szCs w:val="24"/>
          <w:shd w:val="clear" w:color="auto" w:fill="FFFFFF"/>
        </w:rPr>
        <w:t>, or</w:t>
      </w:r>
      <w:r w:rsidRPr="001E6503">
        <w:rPr>
          <w:rFonts w:ascii="Times New Roman" w:eastAsia="Times New Roman" w:hAnsi="Times New Roman" w:cs="Times New Roman"/>
          <w:sz w:val="24"/>
          <w:szCs w:val="24"/>
          <w:shd w:val="clear" w:color="auto" w:fill="FFFFFF"/>
        </w:rPr>
        <w:t xml:space="preserve"> over time.</w:t>
      </w:r>
    </w:p>
    <w:p w14:paraId="45B3FBD1" w14:textId="77777777" w:rsidR="00AF598F" w:rsidRPr="002E7E58" w:rsidRDefault="00AF598F" w:rsidP="002E7E58">
      <w:pPr>
        <w:autoSpaceDE w:val="0"/>
        <w:autoSpaceDN w:val="0"/>
        <w:adjustRightInd w:val="0"/>
        <w:spacing w:before="120" w:after="120" w:line="480" w:lineRule="auto"/>
        <w:ind w:firstLine="720"/>
        <w:rPr>
          <w:rFonts w:ascii="Times New Roman" w:eastAsia="Times New Roman" w:hAnsi="Times New Roman" w:cs="Times New Roman"/>
          <w:sz w:val="24"/>
          <w:szCs w:val="24"/>
          <w:shd w:val="clear" w:color="auto" w:fill="FFFFFF"/>
        </w:rPr>
      </w:pPr>
    </w:p>
    <w:p w14:paraId="4CEE99DF" w14:textId="77777777" w:rsidR="007014E0" w:rsidRPr="001E6503" w:rsidRDefault="00C842B3" w:rsidP="000B1A46">
      <w:pPr>
        <w:pStyle w:val="NormalWeb"/>
        <w:shd w:val="clear" w:color="auto" w:fill="FFFFFF"/>
        <w:spacing w:before="120" w:beforeAutospacing="0" w:after="120" w:afterAutospacing="0" w:line="480" w:lineRule="auto"/>
        <w:rPr>
          <w:b/>
        </w:rPr>
      </w:pPr>
      <w:r w:rsidRPr="001E6503">
        <w:rPr>
          <w:b/>
        </w:rPr>
        <w:t>Surveying public attitudes towards dementia in Bristol</w:t>
      </w:r>
      <w:r w:rsidR="006D4D84" w:rsidRPr="001E6503">
        <w:rPr>
          <w:b/>
        </w:rPr>
        <w:t xml:space="preserve"> and South Gloucestershire</w:t>
      </w:r>
    </w:p>
    <w:p w14:paraId="2B6B8A42" w14:textId="57A3DDB7" w:rsidR="002E7E58" w:rsidRDefault="002E7E58" w:rsidP="000B1A46">
      <w:pPr>
        <w:pStyle w:val="NormalWeb"/>
        <w:shd w:val="clear" w:color="auto" w:fill="FFFFFF"/>
        <w:spacing w:before="120" w:beforeAutospacing="0" w:after="120" w:afterAutospacing="0" w:line="480" w:lineRule="auto"/>
      </w:pPr>
      <w:r w:rsidRPr="001E6503">
        <w:t xml:space="preserve">One widely used measure is the Approaches to Dementia Questionnaire </w:t>
      </w:r>
      <w:r>
        <w:t xml:space="preserve">(ADQ, </w:t>
      </w:r>
      <w:proofErr w:type="spellStart"/>
      <w:r w:rsidRPr="001E6503">
        <w:t>Lintern</w:t>
      </w:r>
      <w:proofErr w:type="spellEnd"/>
      <w:r>
        <w:t>,</w:t>
      </w:r>
      <w:r w:rsidRPr="001E6503">
        <w:t xml:space="preserve"> 2001). Originally developed for exploring attitudes in staff working with people affected by dementia, the 19-item scale had a score range from 19 to 95. The ADQ is made up of two sub-scales: ‘</w:t>
      </w:r>
      <w:r w:rsidRPr="001E6503">
        <w:rPr>
          <w:i/>
        </w:rPr>
        <w:t>Recognition of Personhood</w:t>
      </w:r>
      <w:r w:rsidRPr="001E6503">
        <w:t>’</w:t>
      </w:r>
      <w:r>
        <w:t xml:space="preserve"> (</w:t>
      </w:r>
      <w:proofErr w:type="spellStart"/>
      <w:r>
        <w:t>RoP</w:t>
      </w:r>
      <w:proofErr w:type="spellEnd"/>
      <w:r>
        <w:t>)</w:t>
      </w:r>
      <w:r w:rsidRPr="001E6503">
        <w:t xml:space="preserve"> (11 items reflecting the extent to which people have a person-centred understanding of dementia or recognise people affected by dementia as unique individuals with the same value as any other person); and </w:t>
      </w:r>
      <w:r>
        <w:t>‘</w:t>
      </w:r>
      <w:r w:rsidRPr="001E6503">
        <w:rPr>
          <w:i/>
        </w:rPr>
        <w:t>H</w:t>
      </w:r>
      <w:r>
        <w:rPr>
          <w:i/>
        </w:rPr>
        <w:t>ope’</w:t>
      </w:r>
      <w:r w:rsidRPr="001E6503">
        <w:t xml:space="preserve"> (8 items indicative of a sense of optimism or pessimism about the abilities and the future of the person affected by dementia). Higher scores indicate more positive attitudes towards people with dementia. Each item uses a 5-point Likert scale to measure agreement or disagreement toward the statement. The ADQ has been shown to be consistently reliable and easy to administer and score (Kokkonen </w:t>
      </w:r>
      <w:r w:rsidRPr="001E6503">
        <w:rPr>
          <w:i/>
        </w:rPr>
        <w:t>et al.,</w:t>
      </w:r>
      <w:r w:rsidRPr="001E6503">
        <w:t xml:space="preserve"> 2014)</w:t>
      </w:r>
      <w:r>
        <w:t>, and used to collect data from large samples</w:t>
      </w:r>
      <w:r w:rsidRPr="001E6503">
        <w:t xml:space="preserve"> (Travers </w:t>
      </w:r>
      <w:r w:rsidRPr="001E6503">
        <w:rPr>
          <w:i/>
        </w:rPr>
        <w:t>et al.,</w:t>
      </w:r>
      <w:r w:rsidRPr="001E6503">
        <w:t xml:space="preserve"> 2013)</w:t>
      </w:r>
      <w:r>
        <w:t>.</w:t>
      </w:r>
    </w:p>
    <w:p w14:paraId="24D0688E" w14:textId="77777777" w:rsidR="00AF598F" w:rsidRDefault="00AF598F" w:rsidP="000B1A46">
      <w:pPr>
        <w:pStyle w:val="NormalWeb"/>
        <w:shd w:val="clear" w:color="auto" w:fill="FFFFFF"/>
        <w:spacing w:before="120" w:beforeAutospacing="0" w:after="120" w:afterAutospacing="0" w:line="480" w:lineRule="auto"/>
      </w:pPr>
    </w:p>
    <w:p w14:paraId="3B7E57A3" w14:textId="2EB78C96" w:rsidR="00406789" w:rsidRDefault="00406789" w:rsidP="002E7E58">
      <w:pPr>
        <w:pStyle w:val="NormalWeb"/>
        <w:shd w:val="clear" w:color="auto" w:fill="FFFFFF"/>
        <w:spacing w:before="120" w:beforeAutospacing="0" w:after="120" w:afterAutospacing="0" w:line="480" w:lineRule="auto"/>
        <w:ind w:firstLine="720"/>
      </w:pPr>
      <w:r w:rsidRPr="001E6503">
        <w:t xml:space="preserve">Over the last few years, online surveys have increasingly replaced the use of either interviews or pen and paper questionnaires as a means of collecting data. An online survey </w:t>
      </w:r>
      <w:r w:rsidRPr="001E6503">
        <w:lastRenderedPageBreak/>
        <w:t xml:space="preserve">has a number of advantages over more traditional forms of evaluation including being </w:t>
      </w:r>
      <w:r>
        <w:t>efficient</w:t>
      </w:r>
      <w:r w:rsidRPr="001E6503">
        <w:t xml:space="preserve"> and </w:t>
      </w:r>
      <w:r>
        <w:t>cost-effective</w:t>
      </w:r>
      <w:r w:rsidRPr="001E6503">
        <w:t xml:space="preserve"> to administer (Sommer a</w:t>
      </w:r>
      <w:r>
        <w:t>nd Sommer, 2001</w:t>
      </w:r>
      <w:r w:rsidRPr="001E6503">
        <w:t xml:space="preserve">), and allowing participants to access and complete the survey at a time that is convenient to </w:t>
      </w:r>
      <w:r>
        <w:t>them (</w:t>
      </w:r>
      <w:proofErr w:type="spellStart"/>
      <w:r>
        <w:t>Eysenbach</w:t>
      </w:r>
      <w:proofErr w:type="spellEnd"/>
      <w:r>
        <w:t xml:space="preserve"> and Wyatt, 2002</w:t>
      </w:r>
      <w:r w:rsidRPr="001E6503">
        <w:t>).</w:t>
      </w:r>
      <w:r>
        <w:t xml:space="preserve"> The ADQ has been used as </w:t>
      </w:r>
      <w:r w:rsidRPr="001E6503">
        <w:t xml:space="preserve">an online </w:t>
      </w:r>
      <w:r w:rsidR="001F746A" w:rsidRPr="001E6503">
        <w:t>survey</w:t>
      </w:r>
      <w:r w:rsidR="001F746A">
        <w:t>;</w:t>
      </w:r>
      <w:r w:rsidRPr="001E6503">
        <w:t xml:space="preserve"> </w:t>
      </w:r>
      <w:r>
        <w:t xml:space="preserve">a </w:t>
      </w:r>
      <w:r w:rsidRPr="001E6503">
        <w:t xml:space="preserve">Chinese version of the ADQ reported results from 1,700 care-home staff (Leung </w:t>
      </w:r>
      <w:r w:rsidRPr="001E6503">
        <w:rPr>
          <w:i/>
        </w:rPr>
        <w:t>et al.</w:t>
      </w:r>
      <w:r w:rsidRPr="001E6503">
        <w:t>, 2013).</w:t>
      </w:r>
    </w:p>
    <w:p w14:paraId="6A47CB14" w14:textId="77777777" w:rsidR="00AF598F" w:rsidRDefault="00AF598F" w:rsidP="002E7E58">
      <w:pPr>
        <w:pStyle w:val="NormalWeb"/>
        <w:shd w:val="clear" w:color="auto" w:fill="FFFFFF"/>
        <w:spacing w:before="120" w:beforeAutospacing="0" w:after="120" w:afterAutospacing="0" w:line="480" w:lineRule="auto"/>
        <w:ind w:firstLine="720"/>
      </w:pPr>
    </w:p>
    <w:p w14:paraId="4A359430" w14:textId="77777777" w:rsidR="007014E0" w:rsidRPr="001E6503" w:rsidRDefault="007014E0" w:rsidP="000B1A46">
      <w:pPr>
        <w:spacing w:before="120" w:after="120" w:line="480" w:lineRule="auto"/>
        <w:rPr>
          <w:rFonts w:ascii="Times New Roman" w:hAnsi="Times New Roman" w:cs="Times New Roman"/>
          <w:b/>
          <w:sz w:val="24"/>
          <w:szCs w:val="24"/>
        </w:rPr>
      </w:pPr>
      <w:r w:rsidRPr="001E6503">
        <w:rPr>
          <w:rFonts w:ascii="Times New Roman" w:hAnsi="Times New Roman" w:cs="Times New Roman"/>
          <w:b/>
          <w:sz w:val="24"/>
          <w:szCs w:val="24"/>
        </w:rPr>
        <w:t xml:space="preserve">Aim of this study </w:t>
      </w:r>
    </w:p>
    <w:p w14:paraId="1CB65158" w14:textId="6AB3773D" w:rsidR="007014E0" w:rsidRDefault="007014E0" w:rsidP="000B1A46">
      <w:pPr>
        <w:spacing w:before="120" w:after="120" w:line="480" w:lineRule="auto"/>
        <w:rPr>
          <w:rFonts w:ascii="Times New Roman" w:hAnsi="Times New Roman" w:cs="Times New Roman"/>
          <w:sz w:val="24"/>
          <w:szCs w:val="24"/>
        </w:rPr>
      </w:pPr>
      <w:r w:rsidRPr="001E6503">
        <w:rPr>
          <w:rFonts w:ascii="Times New Roman" w:hAnsi="Times New Roman" w:cs="Times New Roman"/>
          <w:sz w:val="24"/>
          <w:szCs w:val="24"/>
        </w:rPr>
        <w:t xml:space="preserve">The </w:t>
      </w:r>
      <w:r w:rsidR="00F37564">
        <w:rPr>
          <w:rFonts w:ascii="Times New Roman" w:hAnsi="Times New Roman" w:cs="Times New Roman"/>
          <w:sz w:val="24"/>
          <w:szCs w:val="24"/>
        </w:rPr>
        <w:t>aim of the current</w:t>
      </w:r>
      <w:r w:rsidRPr="001E6503">
        <w:rPr>
          <w:rFonts w:ascii="Times New Roman" w:hAnsi="Times New Roman" w:cs="Times New Roman"/>
          <w:sz w:val="24"/>
          <w:szCs w:val="24"/>
        </w:rPr>
        <w:t xml:space="preserve"> study was to carry out a survey of public attitudes </w:t>
      </w:r>
      <w:r w:rsidR="001F746A" w:rsidRPr="001E6503">
        <w:rPr>
          <w:rFonts w:ascii="Times New Roman" w:hAnsi="Times New Roman" w:cs="Times New Roman"/>
          <w:sz w:val="24"/>
          <w:szCs w:val="24"/>
        </w:rPr>
        <w:t>towards people affected by dementia</w:t>
      </w:r>
      <w:r w:rsidR="001F746A" w:rsidRPr="001E6503">
        <w:rPr>
          <w:rFonts w:ascii="Times New Roman" w:eastAsia="Times New Roman" w:hAnsi="Times New Roman" w:cs="Times New Roman"/>
          <w:sz w:val="24"/>
          <w:szCs w:val="24"/>
        </w:rPr>
        <w:t xml:space="preserve"> </w:t>
      </w:r>
      <w:r w:rsidRPr="001E6503">
        <w:rPr>
          <w:rFonts w:ascii="Times New Roman" w:eastAsia="Times New Roman" w:hAnsi="Times New Roman" w:cs="Times New Roman"/>
          <w:sz w:val="24"/>
          <w:szCs w:val="24"/>
        </w:rPr>
        <w:t>in Bristol and South Gloucestershire</w:t>
      </w:r>
      <w:r w:rsidRPr="001E6503">
        <w:rPr>
          <w:rFonts w:ascii="Times New Roman" w:hAnsi="Times New Roman" w:cs="Times New Roman"/>
          <w:sz w:val="24"/>
          <w:szCs w:val="24"/>
        </w:rPr>
        <w:t xml:space="preserve">. As well as being of interest in its own right, this survey would also act as a baseline measure against which </w:t>
      </w:r>
      <w:r w:rsidRPr="001E6503">
        <w:rPr>
          <w:rFonts w:ascii="Times New Roman" w:eastAsia="Times New Roman" w:hAnsi="Times New Roman" w:cs="Times New Roman"/>
          <w:sz w:val="24"/>
          <w:szCs w:val="24"/>
        </w:rPr>
        <w:t xml:space="preserve">changes in attitudes towards people affected by dementia could be reassessed at timely intervals. This is anticipated to provide a gauge against which to measure </w:t>
      </w:r>
      <w:r w:rsidRPr="001E6503">
        <w:rPr>
          <w:rFonts w:ascii="Times New Roman" w:hAnsi="Times New Roman" w:cs="Times New Roman"/>
          <w:sz w:val="24"/>
          <w:szCs w:val="24"/>
        </w:rPr>
        <w:t>whether there are changes in local attitudes toward dementia (</w:t>
      </w:r>
      <w:r w:rsidR="00134C33" w:rsidRPr="001E6503">
        <w:rPr>
          <w:rFonts w:ascii="Times New Roman" w:hAnsi="Times New Roman" w:cs="Times New Roman"/>
          <w:sz w:val="24"/>
          <w:szCs w:val="24"/>
        </w:rPr>
        <w:t xml:space="preserve">Sommer and Sommer, </w:t>
      </w:r>
      <w:r w:rsidR="00904856">
        <w:rPr>
          <w:rFonts w:ascii="Times New Roman" w:hAnsi="Times New Roman" w:cs="Times New Roman"/>
          <w:sz w:val="24"/>
          <w:szCs w:val="24"/>
        </w:rPr>
        <w:t>2001</w:t>
      </w:r>
      <w:r w:rsidRPr="001E6503">
        <w:rPr>
          <w:rFonts w:ascii="Times New Roman" w:hAnsi="Times New Roman" w:cs="Times New Roman"/>
          <w:sz w:val="24"/>
          <w:szCs w:val="24"/>
        </w:rPr>
        <w:t xml:space="preserve">). </w:t>
      </w:r>
    </w:p>
    <w:p w14:paraId="5F46A0A5" w14:textId="77777777" w:rsidR="00AF598F" w:rsidRPr="001E6503" w:rsidRDefault="00AF598F" w:rsidP="000B1A46">
      <w:pPr>
        <w:spacing w:before="120" w:after="120" w:line="480" w:lineRule="auto"/>
        <w:rPr>
          <w:rFonts w:ascii="Times New Roman" w:eastAsia="Times New Roman" w:hAnsi="Times New Roman" w:cs="Times New Roman"/>
          <w:sz w:val="24"/>
          <w:szCs w:val="24"/>
        </w:rPr>
      </w:pPr>
    </w:p>
    <w:p w14:paraId="2EF7B25B" w14:textId="2862A450" w:rsidR="009F515F" w:rsidRPr="001E6503" w:rsidRDefault="007014E0" w:rsidP="000B1A46">
      <w:pPr>
        <w:shd w:val="clear" w:color="auto" w:fill="FFFFFF"/>
        <w:spacing w:before="120" w:after="120" w:line="480" w:lineRule="auto"/>
        <w:rPr>
          <w:rFonts w:ascii="Times New Roman" w:eastAsia="Times New Roman" w:hAnsi="Times New Roman" w:cs="Times New Roman"/>
          <w:b/>
          <w:sz w:val="24"/>
          <w:szCs w:val="24"/>
        </w:rPr>
      </w:pPr>
      <w:r w:rsidRPr="001E6503">
        <w:rPr>
          <w:rFonts w:ascii="Times New Roman" w:eastAsia="Times New Roman" w:hAnsi="Times New Roman" w:cs="Times New Roman"/>
          <w:b/>
          <w:sz w:val="24"/>
          <w:szCs w:val="24"/>
        </w:rPr>
        <w:t>Methods</w:t>
      </w:r>
    </w:p>
    <w:p w14:paraId="657F7537" w14:textId="77777777" w:rsidR="007014E0" w:rsidRPr="001E6503" w:rsidRDefault="007014E0" w:rsidP="000B1A46">
      <w:pPr>
        <w:pStyle w:val="PlainText"/>
        <w:spacing w:before="120" w:after="120" w:line="480" w:lineRule="auto"/>
        <w:contextualSpacing/>
        <w:rPr>
          <w:rStyle w:val="apple-converted-space"/>
          <w:rFonts w:ascii="Times New Roman" w:hAnsi="Times New Roman"/>
          <w:b/>
          <w:sz w:val="24"/>
          <w:szCs w:val="24"/>
          <w:shd w:val="clear" w:color="auto" w:fill="FFFFFF"/>
        </w:rPr>
      </w:pPr>
      <w:r w:rsidRPr="001E6503">
        <w:rPr>
          <w:rStyle w:val="apple-converted-space"/>
          <w:rFonts w:ascii="Times New Roman" w:hAnsi="Times New Roman"/>
          <w:b/>
          <w:sz w:val="24"/>
          <w:szCs w:val="24"/>
          <w:shd w:val="clear" w:color="auto" w:fill="FFFFFF"/>
        </w:rPr>
        <w:t>Ethics</w:t>
      </w:r>
      <w:r w:rsidR="009F515F" w:rsidRPr="001E6503">
        <w:rPr>
          <w:rStyle w:val="apple-converted-space"/>
          <w:rFonts w:ascii="Times New Roman" w:hAnsi="Times New Roman"/>
          <w:b/>
          <w:sz w:val="24"/>
          <w:szCs w:val="24"/>
          <w:shd w:val="clear" w:color="auto" w:fill="FFFFFF"/>
        </w:rPr>
        <w:t xml:space="preserve"> </w:t>
      </w:r>
    </w:p>
    <w:p w14:paraId="338DC6BD" w14:textId="606B2137" w:rsidR="00AF598F" w:rsidRDefault="00F97A3A" w:rsidP="000B1A46">
      <w:pPr>
        <w:pStyle w:val="PlainText"/>
        <w:spacing w:before="120" w:after="120" w:line="480" w:lineRule="auto"/>
        <w:contextualSpacing/>
        <w:rPr>
          <w:rFonts w:ascii="Times New Roman" w:hAnsi="Times New Roman"/>
          <w:sz w:val="24"/>
          <w:szCs w:val="24"/>
        </w:rPr>
      </w:pPr>
      <w:r w:rsidRPr="001E6503">
        <w:rPr>
          <w:rStyle w:val="apple-converted-space"/>
          <w:rFonts w:ascii="Times New Roman" w:hAnsi="Times New Roman"/>
          <w:sz w:val="24"/>
          <w:szCs w:val="24"/>
          <w:shd w:val="clear" w:color="auto" w:fill="FFFFFF"/>
        </w:rPr>
        <w:t xml:space="preserve">Ethical </w:t>
      </w:r>
      <w:r w:rsidRPr="001E6503">
        <w:rPr>
          <w:rFonts w:ascii="Times New Roman" w:hAnsi="Times New Roman"/>
          <w:sz w:val="24"/>
          <w:szCs w:val="24"/>
        </w:rPr>
        <w:t>approval was granted by the University of the West of England</w:t>
      </w:r>
      <w:r w:rsidR="0079115B">
        <w:rPr>
          <w:rFonts w:ascii="Times New Roman" w:hAnsi="Times New Roman"/>
          <w:sz w:val="24"/>
          <w:szCs w:val="24"/>
        </w:rPr>
        <w:t xml:space="preserve"> (UWE)</w:t>
      </w:r>
      <w:r w:rsidRPr="001E6503">
        <w:rPr>
          <w:rFonts w:ascii="Times New Roman" w:hAnsi="Times New Roman"/>
          <w:sz w:val="24"/>
          <w:szCs w:val="24"/>
        </w:rPr>
        <w:t xml:space="preserve">. </w:t>
      </w:r>
      <w:r w:rsidR="009F515F" w:rsidRPr="001E6503">
        <w:rPr>
          <w:rFonts w:ascii="Times New Roman" w:hAnsi="Times New Roman"/>
          <w:sz w:val="24"/>
          <w:szCs w:val="24"/>
        </w:rPr>
        <w:t xml:space="preserve">The </w:t>
      </w:r>
      <w:r w:rsidRPr="001E6503">
        <w:rPr>
          <w:rFonts w:ascii="Times New Roman" w:hAnsi="Times New Roman"/>
          <w:sz w:val="24"/>
          <w:szCs w:val="24"/>
        </w:rPr>
        <w:t>on</w:t>
      </w:r>
      <w:r w:rsidR="009F515F" w:rsidRPr="001E6503">
        <w:rPr>
          <w:rFonts w:ascii="Times New Roman" w:hAnsi="Times New Roman"/>
          <w:sz w:val="24"/>
          <w:szCs w:val="24"/>
        </w:rPr>
        <w:t xml:space="preserve">line survey was hosted by the </w:t>
      </w:r>
      <w:r w:rsidRPr="001E6503">
        <w:rPr>
          <w:rFonts w:ascii="Times New Roman" w:hAnsi="Times New Roman"/>
          <w:sz w:val="24"/>
          <w:szCs w:val="24"/>
        </w:rPr>
        <w:t>Avon and Wiltshire Mental Health Partnership NHS Trust</w:t>
      </w:r>
      <w:r w:rsidR="009F515F" w:rsidRPr="001E6503">
        <w:rPr>
          <w:rStyle w:val="FootnoteReference"/>
          <w:rFonts w:ascii="Times New Roman" w:hAnsi="Times New Roman"/>
          <w:sz w:val="24"/>
          <w:szCs w:val="24"/>
        </w:rPr>
        <w:footnoteReference w:id="2"/>
      </w:r>
      <w:r w:rsidR="009F515F" w:rsidRPr="001E6503">
        <w:rPr>
          <w:rFonts w:ascii="Times New Roman" w:hAnsi="Times New Roman"/>
          <w:sz w:val="24"/>
          <w:szCs w:val="24"/>
        </w:rPr>
        <w:t>. Participants were informed that the study was being carried out by B</w:t>
      </w:r>
      <w:r w:rsidRPr="001E6503">
        <w:rPr>
          <w:rFonts w:ascii="Times New Roman" w:hAnsi="Times New Roman"/>
          <w:sz w:val="24"/>
          <w:szCs w:val="24"/>
        </w:rPr>
        <w:t>HP</w:t>
      </w:r>
      <w:r w:rsidR="009F515F" w:rsidRPr="001E6503">
        <w:rPr>
          <w:rFonts w:ascii="Times New Roman" w:hAnsi="Times New Roman"/>
          <w:sz w:val="24"/>
          <w:szCs w:val="24"/>
        </w:rPr>
        <w:t xml:space="preserve"> (with the </w:t>
      </w:r>
      <w:r w:rsidR="00DE674C">
        <w:rPr>
          <w:rFonts w:ascii="Times New Roman" w:hAnsi="Times New Roman"/>
          <w:sz w:val="24"/>
          <w:szCs w:val="24"/>
        </w:rPr>
        <w:t>partner organisations</w:t>
      </w:r>
      <w:r w:rsidR="00A84823">
        <w:rPr>
          <w:rFonts w:ascii="Times New Roman" w:hAnsi="Times New Roman"/>
          <w:sz w:val="24"/>
          <w:szCs w:val="24"/>
        </w:rPr>
        <w:t xml:space="preserve"> listed)</w:t>
      </w:r>
      <w:r w:rsidR="009F515F" w:rsidRPr="001E6503">
        <w:rPr>
          <w:rFonts w:ascii="Times New Roman" w:hAnsi="Times New Roman"/>
          <w:sz w:val="24"/>
          <w:szCs w:val="24"/>
        </w:rPr>
        <w:t xml:space="preserve">. </w:t>
      </w:r>
    </w:p>
    <w:p w14:paraId="08E63498" w14:textId="77777777" w:rsidR="00AF598F" w:rsidRPr="001E6503" w:rsidRDefault="00AF598F" w:rsidP="000B1A46">
      <w:pPr>
        <w:pStyle w:val="PlainText"/>
        <w:spacing w:before="120" w:after="120" w:line="480" w:lineRule="auto"/>
        <w:contextualSpacing/>
        <w:rPr>
          <w:rFonts w:ascii="Times New Roman" w:hAnsi="Times New Roman"/>
          <w:sz w:val="24"/>
          <w:szCs w:val="24"/>
        </w:rPr>
      </w:pPr>
    </w:p>
    <w:p w14:paraId="3CA0E193" w14:textId="7A07417B" w:rsidR="007014E0" w:rsidRPr="001E6503" w:rsidRDefault="007014E0" w:rsidP="000B1A46">
      <w:pPr>
        <w:shd w:val="clear" w:color="auto" w:fill="FFFFFF"/>
        <w:spacing w:before="120" w:after="120" w:line="480" w:lineRule="auto"/>
        <w:rPr>
          <w:rFonts w:ascii="Times New Roman" w:eastAsia="Times New Roman" w:hAnsi="Times New Roman" w:cs="Times New Roman"/>
          <w:b/>
          <w:sz w:val="24"/>
          <w:szCs w:val="24"/>
        </w:rPr>
      </w:pPr>
      <w:r w:rsidRPr="001E6503">
        <w:rPr>
          <w:rFonts w:ascii="Times New Roman" w:eastAsia="Times New Roman" w:hAnsi="Times New Roman" w:cs="Times New Roman"/>
          <w:b/>
          <w:sz w:val="24"/>
          <w:szCs w:val="24"/>
        </w:rPr>
        <w:t>Alterations to the ADQ</w:t>
      </w:r>
    </w:p>
    <w:p w14:paraId="610E109B" w14:textId="588AD06F" w:rsidR="00AF598F" w:rsidRDefault="00E50A35" w:rsidP="000B1A46">
      <w:pPr>
        <w:shd w:val="clear" w:color="auto" w:fill="FFFFFF"/>
        <w:spacing w:before="120" w:after="120" w:line="480" w:lineRule="auto"/>
        <w:rPr>
          <w:rFonts w:ascii="Times New Roman" w:eastAsia="Times New Roman" w:hAnsi="Times New Roman" w:cs="Times New Roman"/>
          <w:sz w:val="24"/>
          <w:szCs w:val="24"/>
        </w:rPr>
      </w:pPr>
      <w:r w:rsidRPr="001E6503">
        <w:rPr>
          <w:rFonts w:ascii="Times New Roman" w:hAnsi="Times New Roman" w:cs="Times New Roman"/>
          <w:sz w:val="24"/>
          <w:szCs w:val="24"/>
        </w:rPr>
        <w:lastRenderedPageBreak/>
        <w:t>W</w:t>
      </w:r>
      <w:r w:rsidRPr="001E6503">
        <w:rPr>
          <w:rFonts w:ascii="Times New Roman" w:eastAsia="Times New Roman" w:hAnsi="Times New Roman" w:cs="Times New Roman"/>
          <w:sz w:val="24"/>
          <w:szCs w:val="24"/>
        </w:rPr>
        <w:t xml:space="preserve">ith </w:t>
      </w:r>
      <w:r w:rsidR="009F515F" w:rsidRPr="001E6503">
        <w:rPr>
          <w:rFonts w:ascii="Times New Roman" w:eastAsia="Times New Roman" w:hAnsi="Times New Roman" w:cs="Times New Roman"/>
          <w:sz w:val="24"/>
          <w:szCs w:val="24"/>
        </w:rPr>
        <w:t xml:space="preserve">the </w:t>
      </w:r>
      <w:r w:rsidRPr="001E6503">
        <w:rPr>
          <w:rFonts w:ascii="Times New Roman" w:eastAsia="Times New Roman" w:hAnsi="Times New Roman" w:cs="Times New Roman"/>
          <w:sz w:val="24"/>
          <w:szCs w:val="24"/>
        </w:rPr>
        <w:t xml:space="preserve">permission </w:t>
      </w:r>
      <w:r w:rsidR="009F515F" w:rsidRPr="001E6503">
        <w:rPr>
          <w:rFonts w:ascii="Times New Roman" w:eastAsia="Times New Roman" w:hAnsi="Times New Roman" w:cs="Times New Roman"/>
          <w:sz w:val="24"/>
          <w:szCs w:val="24"/>
        </w:rPr>
        <w:t xml:space="preserve">of </w:t>
      </w:r>
      <w:r w:rsidRPr="001E6503">
        <w:rPr>
          <w:rFonts w:ascii="Times New Roman" w:eastAsia="Times New Roman" w:hAnsi="Times New Roman" w:cs="Times New Roman"/>
          <w:sz w:val="24"/>
          <w:szCs w:val="24"/>
        </w:rPr>
        <w:t>the authors of the questionnaire, t</w:t>
      </w:r>
      <w:r w:rsidR="007D1005" w:rsidRPr="001E6503">
        <w:rPr>
          <w:rFonts w:ascii="Times New Roman" w:eastAsia="Times New Roman" w:hAnsi="Times New Roman" w:cs="Times New Roman"/>
          <w:sz w:val="24"/>
          <w:szCs w:val="24"/>
        </w:rPr>
        <w:t xml:space="preserve">he wording of some questions </w:t>
      </w:r>
      <w:r w:rsidRPr="001E6503">
        <w:rPr>
          <w:rFonts w:ascii="Times New Roman" w:eastAsia="Times New Roman" w:hAnsi="Times New Roman" w:cs="Times New Roman"/>
          <w:sz w:val="24"/>
          <w:szCs w:val="24"/>
        </w:rPr>
        <w:t xml:space="preserve">of the </w:t>
      </w:r>
      <w:r w:rsidR="003B711C">
        <w:rPr>
          <w:rFonts w:ascii="Times New Roman" w:eastAsia="Times New Roman" w:hAnsi="Times New Roman" w:cs="Times New Roman"/>
          <w:sz w:val="24"/>
          <w:szCs w:val="24"/>
        </w:rPr>
        <w:t>online</w:t>
      </w:r>
      <w:r w:rsidRPr="001E6503">
        <w:rPr>
          <w:rFonts w:ascii="Times New Roman" w:eastAsia="Times New Roman" w:hAnsi="Times New Roman" w:cs="Times New Roman"/>
          <w:sz w:val="24"/>
          <w:szCs w:val="24"/>
        </w:rPr>
        <w:t xml:space="preserve"> version </w:t>
      </w:r>
      <w:r w:rsidR="007D1005" w:rsidRPr="001E6503">
        <w:rPr>
          <w:rFonts w:ascii="Times New Roman" w:eastAsia="Times New Roman" w:hAnsi="Times New Roman" w:cs="Times New Roman"/>
          <w:sz w:val="24"/>
          <w:szCs w:val="24"/>
        </w:rPr>
        <w:t xml:space="preserve">was adapted </w:t>
      </w:r>
      <w:r w:rsidR="002915DD" w:rsidRPr="001E6503">
        <w:rPr>
          <w:rFonts w:ascii="Times New Roman" w:eastAsia="Times New Roman" w:hAnsi="Times New Roman" w:cs="Times New Roman"/>
          <w:sz w:val="24"/>
          <w:szCs w:val="24"/>
        </w:rPr>
        <w:t xml:space="preserve">in order to be consistent </w:t>
      </w:r>
      <w:r w:rsidR="002915DD" w:rsidRPr="001E6503">
        <w:rPr>
          <w:rFonts w:ascii="Times New Roman" w:hAnsi="Times New Roman" w:cs="Times New Roman"/>
          <w:sz w:val="24"/>
          <w:szCs w:val="24"/>
        </w:rPr>
        <w:t>with contemporary language in dementia care</w:t>
      </w:r>
      <w:r w:rsidR="00B36E70">
        <w:rPr>
          <w:rFonts w:ascii="Times New Roman" w:eastAsia="Times New Roman" w:hAnsi="Times New Roman" w:cs="Times New Roman"/>
          <w:sz w:val="24"/>
          <w:szCs w:val="24"/>
        </w:rPr>
        <w:t>. In all six</w:t>
      </w:r>
      <w:r w:rsidR="007D1005" w:rsidRPr="001E6503">
        <w:rPr>
          <w:rFonts w:ascii="Times New Roman" w:eastAsia="Times New Roman" w:hAnsi="Times New Roman" w:cs="Times New Roman"/>
          <w:sz w:val="24"/>
          <w:szCs w:val="24"/>
        </w:rPr>
        <w:t xml:space="preserve"> of the items were changed (three relating to the Hope and three to the </w:t>
      </w:r>
      <w:proofErr w:type="spellStart"/>
      <w:r w:rsidR="007D1005" w:rsidRPr="001E6503">
        <w:rPr>
          <w:rFonts w:ascii="Times New Roman" w:eastAsia="Times New Roman" w:hAnsi="Times New Roman" w:cs="Times New Roman"/>
          <w:sz w:val="24"/>
          <w:szCs w:val="24"/>
        </w:rPr>
        <w:t>R</w:t>
      </w:r>
      <w:r w:rsidR="00DC0081" w:rsidRPr="001E6503">
        <w:rPr>
          <w:rFonts w:ascii="Times New Roman" w:eastAsia="Times New Roman" w:hAnsi="Times New Roman" w:cs="Times New Roman"/>
          <w:sz w:val="24"/>
          <w:szCs w:val="24"/>
        </w:rPr>
        <w:t>o</w:t>
      </w:r>
      <w:r w:rsidR="00F97A3A" w:rsidRPr="001E6503">
        <w:rPr>
          <w:rFonts w:ascii="Times New Roman" w:eastAsia="Times New Roman" w:hAnsi="Times New Roman" w:cs="Times New Roman"/>
          <w:sz w:val="24"/>
          <w:szCs w:val="24"/>
        </w:rPr>
        <w:t>P</w:t>
      </w:r>
      <w:proofErr w:type="spellEnd"/>
      <w:r w:rsidR="00280A28">
        <w:rPr>
          <w:rFonts w:ascii="Times New Roman" w:eastAsia="Times New Roman" w:hAnsi="Times New Roman" w:cs="Times New Roman"/>
          <w:sz w:val="24"/>
          <w:szCs w:val="24"/>
        </w:rPr>
        <w:t xml:space="preserve"> </w:t>
      </w:r>
      <w:r w:rsidR="006B68C5">
        <w:rPr>
          <w:rFonts w:ascii="Times New Roman" w:eastAsia="Times New Roman" w:hAnsi="Times New Roman" w:cs="Times New Roman"/>
          <w:sz w:val="24"/>
          <w:szCs w:val="24"/>
        </w:rPr>
        <w:t>scale</w:t>
      </w:r>
      <w:r w:rsidR="00F97A3A" w:rsidRPr="001E6503">
        <w:rPr>
          <w:rFonts w:ascii="Times New Roman" w:eastAsia="Times New Roman" w:hAnsi="Times New Roman" w:cs="Times New Roman"/>
          <w:sz w:val="24"/>
          <w:szCs w:val="24"/>
        </w:rPr>
        <w:t>)</w:t>
      </w:r>
      <w:r w:rsidR="007D1005" w:rsidRPr="001E6503">
        <w:rPr>
          <w:rStyle w:val="FootnoteReference"/>
          <w:rFonts w:ascii="Times New Roman" w:eastAsia="Times New Roman" w:hAnsi="Times New Roman" w:cs="Times New Roman"/>
          <w:sz w:val="24"/>
          <w:szCs w:val="24"/>
        </w:rPr>
        <w:footnoteReference w:id="3"/>
      </w:r>
      <w:r w:rsidR="00F97A3A" w:rsidRPr="001E6503">
        <w:rPr>
          <w:rFonts w:ascii="Times New Roman" w:eastAsia="Times New Roman" w:hAnsi="Times New Roman" w:cs="Times New Roman"/>
          <w:sz w:val="24"/>
          <w:szCs w:val="24"/>
        </w:rPr>
        <w:t>.</w:t>
      </w:r>
    </w:p>
    <w:p w14:paraId="027C5721" w14:textId="77777777" w:rsidR="00AF598F" w:rsidRPr="001E6503" w:rsidRDefault="00AF598F" w:rsidP="000B1A46">
      <w:pPr>
        <w:shd w:val="clear" w:color="auto" w:fill="FFFFFF"/>
        <w:spacing w:before="120" w:after="120" w:line="480" w:lineRule="auto"/>
        <w:rPr>
          <w:rFonts w:ascii="Times New Roman" w:eastAsia="Times New Roman" w:hAnsi="Times New Roman" w:cs="Times New Roman"/>
          <w:sz w:val="24"/>
          <w:szCs w:val="24"/>
        </w:rPr>
      </w:pPr>
    </w:p>
    <w:p w14:paraId="77DEF803" w14:textId="77777777" w:rsidR="007014E0" w:rsidRPr="001E6503" w:rsidRDefault="007014E0" w:rsidP="000B1A46">
      <w:pPr>
        <w:spacing w:line="480" w:lineRule="auto"/>
        <w:rPr>
          <w:rFonts w:ascii="Times New Roman" w:hAnsi="Times New Roman" w:cs="Times New Roman"/>
          <w:b/>
          <w:sz w:val="24"/>
          <w:szCs w:val="24"/>
        </w:rPr>
      </w:pPr>
      <w:r w:rsidRPr="001E6503">
        <w:rPr>
          <w:rFonts w:ascii="Times New Roman" w:hAnsi="Times New Roman" w:cs="Times New Roman"/>
          <w:b/>
          <w:sz w:val="24"/>
          <w:szCs w:val="24"/>
        </w:rPr>
        <w:t>Distribution of the survey</w:t>
      </w:r>
      <w:r w:rsidR="009F515F" w:rsidRPr="001E6503">
        <w:rPr>
          <w:rFonts w:ascii="Times New Roman" w:hAnsi="Times New Roman" w:cs="Times New Roman"/>
          <w:b/>
          <w:sz w:val="24"/>
          <w:szCs w:val="24"/>
        </w:rPr>
        <w:t xml:space="preserve"> </w:t>
      </w:r>
    </w:p>
    <w:p w14:paraId="73A0033D" w14:textId="359998D0" w:rsidR="00AF598F" w:rsidRDefault="007D23F7" w:rsidP="000B1A46">
      <w:pPr>
        <w:spacing w:line="480" w:lineRule="auto"/>
        <w:rPr>
          <w:rFonts w:ascii="Times New Roman" w:hAnsi="Times New Roman" w:cs="Times New Roman"/>
          <w:sz w:val="24"/>
          <w:szCs w:val="24"/>
        </w:rPr>
      </w:pPr>
      <w:r>
        <w:rPr>
          <w:rFonts w:ascii="Times New Roman" w:hAnsi="Times New Roman" w:cs="Times New Roman"/>
          <w:sz w:val="24"/>
          <w:szCs w:val="24"/>
        </w:rPr>
        <w:t>P</w:t>
      </w:r>
      <w:r w:rsidR="00791288" w:rsidRPr="001E6503">
        <w:rPr>
          <w:rFonts w:ascii="Times New Roman" w:hAnsi="Times New Roman" w:cs="Times New Roman"/>
          <w:sz w:val="24"/>
          <w:szCs w:val="24"/>
        </w:rPr>
        <w:t xml:space="preserve">eople </w:t>
      </w:r>
      <w:r>
        <w:rPr>
          <w:rFonts w:ascii="Times New Roman" w:hAnsi="Times New Roman" w:cs="Times New Roman"/>
          <w:sz w:val="24"/>
          <w:szCs w:val="24"/>
        </w:rPr>
        <w:t xml:space="preserve">living and working locally were encouraged to complete the </w:t>
      </w:r>
      <w:r w:rsidRPr="001E6503">
        <w:rPr>
          <w:rFonts w:ascii="Times New Roman" w:eastAsia="Times New Roman" w:hAnsi="Times New Roman" w:cs="Times New Roman"/>
          <w:sz w:val="24"/>
          <w:szCs w:val="24"/>
        </w:rPr>
        <w:t>online ADQ</w:t>
      </w:r>
      <w:r w:rsidRPr="001E6503">
        <w:rPr>
          <w:rFonts w:ascii="Times New Roman" w:hAnsi="Times New Roman" w:cs="Times New Roman"/>
          <w:sz w:val="24"/>
          <w:szCs w:val="24"/>
        </w:rPr>
        <w:t xml:space="preserve"> </w:t>
      </w:r>
      <w:r w:rsidR="00791288" w:rsidRPr="001E6503">
        <w:rPr>
          <w:rFonts w:ascii="Times New Roman" w:hAnsi="Times New Roman" w:cs="Times New Roman"/>
          <w:sz w:val="24"/>
          <w:szCs w:val="24"/>
        </w:rPr>
        <w:t xml:space="preserve">during a </w:t>
      </w:r>
      <w:r w:rsidR="00791288" w:rsidRPr="001E6503">
        <w:rPr>
          <w:rFonts w:ascii="Times New Roman" w:eastAsia="Times New Roman" w:hAnsi="Times New Roman" w:cs="Times New Roman"/>
          <w:sz w:val="24"/>
          <w:szCs w:val="24"/>
        </w:rPr>
        <w:t>seven-month period between September 2013 and March 2014</w:t>
      </w:r>
      <w:r w:rsidR="00791288" w:rsidRPr="001E6503">
        <w:rPr>
          <w:rFonts w:ascii="Times New Roman" w:hAnsi="Times New Roman" w:cs="Times New Roman"/>
          <w:sz w:val="24"/>
          <w:szCs w:val="24"/>
        </w:rPr>
        <w:t>. An</w:t>
      </w:r>
      <w:r w:rsidR="004A1DB9" w:rsidRPr="001E6503">
        <w:rPr>
          <w:rFonts w:ascii="Times New Roman" w:hAnsi="Times New Roman" w:cs="Times New Roman"/>
          <w:b/>
          <w:sz w:val="24"/>
          <w:szCs w:val="24"/>
        </w:rPr>
        <w:t xml:space="preserve"> </w:t>
      </w:r>
      <w:r w:rsidR="00F97A3A" w:rsidRPr="001E6503">
        <w:rPr>
          <w:rFonts w:ascii="Times New Roman" w:eastAsia="Times New Roman" w:hAnsi="Times New Roman" w:cs="Times New Roman"/>
          <w:sz w:val="24"/>
          <w:szCs w:val="24"/>
        </w:rPr>
        <w:t xml:space="preserve">opportunistic sampling method was </w:t>
      </w:r>
      <w:r w:rsidR="00791288" w:rsidRPr="001E6503">
        <w:rPr>
          <w:rFonts w:ascii="Times New Roman" w:eastAsia="Times New Roman" w:hAnsi="Times New Roman" w:cs="Times New Roman"/>
          <w:sz w:val="24"/>
          <w:szCs w:val="24"/>
        </w:rPr>
        <w:t xml:space="preserve">used </w:t>
      </w:r>
      <w:r w:rsidR="00F97A3A" w:rsidRPr="001E6503">
        <w:rPr>
          <w:rFonts w:ascii="Times New Roman" w:eastAsia="Times New Roman" w:hAnsi="Times New Roman" w:cs="Times New Roman"/>
          <w:sz w:val="24"/>
          <w:szCs w:val="24"/>
        </w:rPr>
        <w:t>(</w:t>
      </w:r>
      <w:r w:rsidR="00AB508F" w:rsidRPr="001E6503">
        <w:rPr>
          <w:rFonts w:ascii="Times New Roman" w:hAnsi="Times New Roman" w:cs="Times New Roman"/>
          <w:sz w:val="24"/>
          <w:szCs w:val="24"/>
        </w:rPr>
        <w:t xml:space="preserve">Sommer and Sommer, </w:t>
      </w:r>
      <w:r w:rsidR="00904856">
        <w:rPr>
          <w:rFonts w:ascii="Times New Roman" w:hAnsi="Times New Roman" w:cs="Times New Roman"/>
          <w:sz w:val="24"/>
          <w:szCs w:val="24"/>
        </w:rPr>
        <w:t>2001</w:t>
      </w:r>
      <w:r w:rsidR="00F97A3A" w:rsidRPr="001E6503">
        <w:rPr>
          <w:rFonts w:ascii="Times New Roman" w:eastAsia="Times New Roman" w:hAnsi="Times New Roman" w:cs="Times New Roman"/>
          <w:sz w:val="24"/>
          <w:szCs w:val="24"/>
        </w:rPr>
        <w:t>)</w:t>
      </w:r>
      <w:r w:rsidR="00791288" w:rsidRPr="001E6503">
        <w:rPr>
          <w:rFonts w:ascii="Times New Roman" w:eastAsia="Times New Roman" w:hAnsi="Times New Roman" w:cs="Times New Roman"/>
          <w:sz w:val="24"/>
          <w:szCs w:val="24"/>
        </w:rPr>
        <w:t xml:space="preserve"> with t</w:t>
      </w:r>
      <w:r w:rsidR="009F515F" w:rsidRPr="001E6503">
        <w:rPr>
          <w:rFonts w:ascii="Times New Roman" w:hAnsi="Times New Roman" w:cs="Times New Roman"/>
          <w:sz w:val="24"/>
          <w:szCs w:val="24"/>
        </w:rPr>
        <w:t xml:space="preserve">he </w:t>
      </w:r>
      <w:r w:rsidR="004A1DB9" w:rsidRPr="001E6503">
        <w:rPr>
          <w:rFonts w:ascii="Times New Roman" w:hAnsi="Times New Roman" w:cs="Times New Roman"/>
          <w:sz w:val="24"/>
          <w:szCs w:val="24"/>
        </w:rPr>
        <w:t xml:space="preserve">online </w:t>
      </w:r>
      <w:r w:rsidR="009F515F" w:rsidRPr="001E6503">
        <w:rPr>
          <w:rFonts w:ascii="Times New Roman" w:hAnsi="Times New Roman" w:cs="Times New Roman"/>
          <w:sz w:val="24"/>
          <w:szCs w:val="24"/>
        </w:rPr>
        <w:t xml:space="preserve">survey </w:t>
      </w:r>
      <w:r w:rsidR="00791288" w:rsidRPr="001E6503">
        <w:rPr>
          <w:rFonts w:ascii="Times New Roman" w:hAnsi="Times New Roman" w:cs="Times New Roman"/>
          <w:sz w:val="24"/>
          <w:szCs w:val="24"/>
        </w:rPr>
        <w:t xml:space="preserve">being </w:t>
      </w:r>
      <w:r w:rsidR="009F515F" w:rsidRPr="001E6503">
        <w:rPr>
          <w:rFonts w:ascii="Times New Roman" w:hAnsi="Times New Roman" w:cs="Times New Roman"/>
          <w:sz w:val="24"/>
          <w:szCs w:val="24"/>
        </w:rPr>
        <w:t>publicised across the Bristol and South Gloucestershire a</w:t>
      </w:r>
      <w:r w:rsidR="00731942">
        <w:rPr>
          <w:rFonts w:ascii="Times New Roman" w:hAnsi="Times New Roman" w:cs="Times New Roman"/>
          <w:sz w:val="24"/>
          <w:szCs w:val="24"/>
        </w:rPr>
        <w:t>rea through the members of the d</w:t>
      </w:r>
      <w:r w:rsidR="009F515F" w:rsidRPr="001E6503">
        <w:rPr>
          <w:rFonts w:ascii="Times New Roman" w:hAnsi="Times New Roman" w:cs="Times New Roman"/>
          <w:sz w:val="24"/>
          <w:szCs w:val="24"/>
        </w:rPr>
        <w:t>ementia HIT, including via social media. This survey was ope</w:t>
      </w:r>
      <w:r w:rsidR="00066A74">
        <w:rPr>
          <w:rFonts w:ascii="Times New Roman" w:hAnsi="Times New Roman" w:cs="Times New Roman"/>
          <w:sz w:val="24"/>
          <w:szCs w:val="24"/>
        </w:rPr>
        <w:t xml:space="preserve">n to everyone living in the BHP </w:t>
      </w:r>
      <w:r w:rsidR="009F515F" w:rsidRPr="001E6503">
        <w:rPr>
          <w:rFonts w:ascii="Times New Roman" w:hAnsi="Times New Roman" w:cs="Times New Roman"/>
          <w:sz w:val="24"/>
          <w:szCs w:val="24"/>
        </w:rPr>
        <w:t xml:space="preserve">area </w:t>
      </w:r>
      <w:r w:rsidR="00066A74">
        <w:rPr>
          <w:rFonts w:ascii="Times New Roman" w:hAnsi="Times New Roman" w:cs="Times New Roman"/>
          <w:sz w:val="24"/>
          <w:szCs w:val="24"/>
        </w:rPr>
        <w:t>including</w:t>
      </w:r>
      <w:r w:rsidR="009F515F" w:rsidRPr="001E6503">
        <w:rPr>
          <w:rFonts w:ascii="Times New Roman" w:hAnsi="Times New Roman" w:cs="Times New Roman"/>
          <w:sz w:val="24"/>
          <w:szCs w:val="24"/>
        </w:rPr>
        <w:t xml:space="preserve"> people affected by dementia, staff who worked in dementia care, as well as those who had more limited knowledge of the condition. </w:t>
      </w:r>
      <w:r w:rsidR="004A1DB9" w:rsidRPr="001E6503">
        <w:rPr>
          <w:rFonts w:ascii="Times New Roman" w:eastAsia="Times New Roman" w:hAnsi="Times New Roman" w:cs="Times New Roman"/>
          <w:sz w:val="24"/>
          <w:szCs w:val="24"/>
        </w:rPr>
        <w:t>During this period paper versions of the ADQ were also distributed</w:t>
      </w:r>
      <w:r w:rsidR="008E4435">
        <w:rPr>
          <w:rFonts w:ascii="Times New Roman" w:eastAsia="Times New Roman" w:hAnsi="Times New Roman" w:cs="Times New Roman"/>
          <w:sz w:val="24"/>
          <w:szCs w:val="24"/>
        </w:rPr>
        <w:t>:</w:t>
      </w:r>
      <w:r w:rsidR="001E358B" w:rsidRPr="001E6503">
        <w:rPr>
          <w:rFonts w:ascii="Times New Roman" w:eastAsia="Times New Roman" w:hAnsi="Times New Roman" w:cs="Times New Roman"/>
          <w:sz w:val="24"/>
          <w:szCs w:val="24"/>
        </w:rPr>
        <w:t xml:space="preserve"> to people attending dementia </w:t>
      </w:r>
      <w:r w:rsidR="004A3E26">
        <w:rPr>
          <w:rFonts w:ascii="Times New Roman" w:eastAsia="Times New Roman" w:hAnsi="Times New Roman" w:cs="Times New Roman"/>
          <w:sz w:val="24"/>
          <w:szCs w:val="24"/>
        </w:rPr>
        <w:t>awareness</w:t>
      </w:r>
      <w:r>
        <w:rPr>
          <w:rFonts w:ascii="Times New Roman" w:eastAsia="Times New Roman" w:hAnsi="Times New Roman" w:cs="Times New Roman"/>
          <w:sz w:val="24"/>
          <w:szCs w:val="24"/>
        </w:rPr>
        <w:t xml:space="preserve"> </w:t>
      </w:r>
      <w:r w:rsidR="00711051" w:rsidRPr="001E6503">
        <w:rPr>
          <w:rFonts w:ascii="Times New Roman" w:eastAsia="Times New Roman" w:hAnsi="Times New Roman" w:cs="Times New Roman"/>
          <w:sz w:val="24"/>
          <w:szCs w:val="24"/>
        </w:rPr>
        <w:t>training</w:t>
      </w:r>
      <w:r w:rsidR="00092C8B">
        <w:rPr>
          <w:rFonts w:ascii="Times New Roman" w:eastAsia="Times New Roman" w:hAnsi="Times New Roman" w:cs="Times New Roman"/>
          <w:sz w:val="24"/>
          <w:szCs w:val="24"/>
        </w:rPr>
        <w:t>,</w:t>
      </w:r>
      <w:r w:rsidR="001E358B" w:rsidRPr="001E6503">
        <w:rPr>
          <w:rFonts w:ascii="Times New Roman" w:eastAsia="Times New Roman" w:hAnsi="Times New Roman" w:cs="Times New Roman"/>
          <w:sz w:val="24"/>
          <w:szCs w:val="24"/>
        </w:rPr>
        <w:t xml:space="preserve"> </w:t>
      </w:r>
      <w:r w:rsidR="00791288" w:rsidRPr="001E6503">
        <w:rPr>
          <w:rFonts w:ascii="Times New Roman" w:eastAsia="Times New Roman" w:hAnsi="Times New Roman" w:cs="Times New Roman"/>
          <w:sz w:val="24"/>
          <w:szCs w:val="24"/>
        </w:rPr>
        <w:t xml:space="preserve">to </w:t>
      </w:r>
      <w:r w:rsidR="001E358B" w:rsidRPr="001E6503">
        <w:rPr>
          <w:rFonts w:ascii="Times New Roman" w:hAnsi="Times New Roman" w:cs="Times New Roman"/>
          <w:sz w:val="24"/>
          <w:szCs w:val="24"/>
        </w:rPr>
        <w:t>health champions who were working directly in the community with no specialist knowledge of dementia</w:t>
      </w:r>
      <w:r w:rsidR="00092C8B">
        <w:rPr>
          <w:rFonts w:ascii="Times New Roman" w:hAnsi="Times New Roman" w:cs="Times New Roman"/>
          <w:sz w:val="24"/>
          <w:szCs w:val="24"/>
        </w:rPr>
        <w:t>,</w:t>
      </w:r>
      <w:r w:rsidR="001E358B" w:rsidRPr="001E6503">
        <w:rPr>
          <w:rFonts w:ascii="Times New Roman" w:hAnsi="Times New Roman" w:cs="Times New Roman"/>
          <w:sz w:val="24"/>
          <w:szCs w:val="24"/>
        </w:rPr>
        <w:t xml:space="preserve"> and to community groups who were about to start a reminiscence project.</w:t>
      </w:r>
    </w:p>
    <w:p w14:paraId="77275165" w14:textId="77777777" w:rsidR="00AF598F" w:rsidRPr="00AF598F" w:rsidRDefault="00AF598F" w:rsidP="000B1A46">
      <w:pPr>
        <w:spacing w:line="480" w:lineRule="auto"/>
        <w:rPr>
          <w:rFonts w:ascii="Times New Roman" w:hAnsi="Times New Roman" w:cs="Times New Roman"/>
          <w:sz w:val="24"/>
          <w:szCs w:val="24"/>
        </w:rPr>
      </w:pPr>
    </w:p>
    <w:p w14:paraId="5D80AFF5" w14:textId="77777777" w:rsidR="00AF598F" w:rsidRDefault="007014E0" w:rsidP="000B1A46">
      <w:pPr>
        <w:shd w:val="clear" w:color="auto" w:fill="FFFFFF"/>
        <w:spacing w:before="120" w:after="120" w:line="480" w:lineRule="auto"/>
        <w:rPr>
          <w:rFonts w:ascii="Times New Roman" w:eastAsia="Times New Roman" w:hAnsi="Times New Roman" w:cs="Times New Roman"/>
          <w:b/>
          <w:sz w:val="24"/>
          <w:szCs w:val="24"/>
        </w:rPr>
      </w:pPr>
      <w:r w:rsidRPr="001E6503">
        <w:rPr>
          <w:rFonts w:ascii="Times New Roman" w:eastAsia="Times New Roman" w:hAnsi="Times New Roman" w:cs="Times New Roman"/>
          <w:b/>
          <w:sz w:val="24"/>
          <w:szCs w:val="24"/>
        </w:rPr>
        <w:t>Demographic information</w:t>
      </w:r>
    </w:p>
    <w:p w14:paraId="5CA941CE" w14:textId="2CEB438A" w:rsidR="00AF598F" w:rsidRDefault="00501AC9" w:rsidP="000B1A46">
      <w:pPr>
        <w:shd w:val="clear" w:color="auto" w:fill="FFFFFF"/>
        <w:spacing w:before="120" w:after="120" w:line="480" w:lineRule="auto"/>
        <w:rPr>
          <w:rFonts w:ascii="Times New Roman" w:hAnsi="Times New Roman" w:cs="Times New Roman"/>
          <w:sz w:val="24"/>
          <w:szCs w:val="24"/>
        </w:rPr>
      </w:pPr>
      <w:r w:rsidRPr="001E6503">
        <w:rPr>
          <w:rFonts w:ascii="Times New Roman" w:hAnsi="Times New Roman" w:cs="Times New Roman"/>
          <w:sz w:val="24"/>
          <w:szCs w:val="24"/>
        </w:rPr>
        <w:lastRenderedPageBreak/>
        <w:t xml:space="preserve">Participants were also asked to </w:t>
      </w:r>
      <w:r w:rsidR="008E4435">
        <w:rPr>
          <w:rFonts w:ascii="Times New Roman" w:hAnsi="Times New Roman" w:cs="Times New Roman"/>
          <w:sz w:val="24"/>
          <w:szCs w:val="24"/>
        </w:rPr>
        <w:t>provide</w:t>
      </w:r>
      <w:r w:rsidRPr="001E6503">
        <w:rPr>
          <w:rFonts w:ascii="Times New Roman" w:hAnsi="Times New Roman" w:cs="Times New Roman"/>
          <w:sz w:val="24"/>
          <w:szCs w:val="24"/>
        </w:rPr>
        <w:t xml:space="preserve"> general background information on </w:t>
      </w:r>
      <w:r w:rsidR="00275924" w:rsidRPr="001E6503">
        <w:rPr>
          <w:rFonts w:ascii="Times New Roman" w:hAnsi="Times New Roman" w:cs="Times New Roman"/>
          <w:sz w:val="24"/>
          <w:szCs w:val="24"/>
        </w:rPr>
        <w:t xml:space="preserve">their </w:t>
      </w:r>
      <w:r w:rsidRPr="001E6503">
        <w:rPr>
          <w:rFonts w:ascii="Times New Roman" w:hAnsi="Times New Roman" w:cs="Times New Roman"/>
          <w:sz w:val="24"/>
          <w:szCs w:val="24"/>
        </w:rPr>
        <w:t>age</w:t>
      </w:r>
      <w:r w:rsidR="00275924" w:rsidRPr="001E6503">
        <w:rPr>
          <w:rFonts w:ascii="Times New Roman" w:hAnsi="Times New Roman" w:cs="Times New Roman"/>
          <w:sz w:val="24"/>
          <w:szCs w:val="24"/>
        </w:rPr>
        <w:t>,</w:t>
      </w:r>
      <w:r w:rsidRPr="001E6503">
        <w:rPr>
          <w:rFonts w:ascii="Times New Roman" w:hAnsi="Times New Roman" w:cs="Times New Roman"/>
          <w:sz w:val="24"/>
          <w:szCs w:val="24"/>
        </w:rPr>
        <w:t xml:space="preserve"> gender</w:t>
      </w:r>
      <w:r w:rsidR="00275924" w:rsidRPr="001E6503">
        <w:rPr>
          <w:rFonts w:ascii="Times New Roman" w:hAnsi="Times New Roman" w:cs="Times New Roman"/>
          <w:sz w:val="24"/>
          <w:szCs w:val="24"/>
        </w:rPr>
        <w:t>,</w:t>
      </w:r>
      <w:r w:rsidRPr="001E6503">
        <w:rPr>
          <w:rFonts w:ascii="Times New Roman" w:hAnsi="Times New Roman" w:cs="Times New Roman"/>
          <w:sz w:val="24"/>
          <w:szCs w:val="24"/>
        </w:rPr>
        <w:t xml:space="preserve"> </w:t>
      </w:r>
      <w:proofErr w:type="gramStart"/>
      <w:r w:rsidRPr="001E6503">
        <w:rPr>
          <w:rFonts w:ascii="Times New Roman" w:hAnsi="Times New Roman" w:cs="Times New Roman"/>
          <w:sz w:val="24"/>
          <w:szCs w:val="24"/>
        </w:rPr>
        <w:t>ethnicity</w:t>
      </w:r>
      <w:proofErr w:type="gramEnd"/>
      <w:r w:rsidR="00275924" w:rsidRPr="001E6503">
        <w:rPr>
          <w:rFonts w:ascii="Times New Roman" w:hAnsi="Times New Roman" w:cs="Times New Roman"/>
          <w:sz w:val="24"/>
          <w:szCs w:val="24"/>
        </w:rPr>
        <w:t xml:space="preserve">, </w:t>
      </w:r>
      <w:r w:rsidRPr="001E6503">
        <w:rPr>
          <w:rFonts w:ascii="Times New Roman" w:hAnsi="Times New Roman" w:cs="Times New Roman"/>
          <w:sz w:val="24"/>
          <w:szCs w:val="24"/>
        </w:rPr>
        <w:t xml:space="preserve">whether they were living in the Bristol </w:t>
      </w:r>
      <w:r w:rsidR="00163921">
        <w:rPr>
          <w:rFonts w:ascii="Times New Roman" w:hAnsi="Times New Roman" w:cs="Times New Roman"/>
          <w:sz w:val="24"/>
          <w:szCs w:val="24"/>
        </w:rPr>
        <w:t>or</w:t>
      </w:r>
      <w:r w:rsidRPr="001E6503">
        <w:rPr>
          <w:rFonts w:ascii="Times New Roman" w:hAnsi="Times New Roman" w:cs="Times New Roman"/>
          <w:sz w:val="24"/>
          <w:szCs w:val="24"/>
        </w:rPr>
        <w:t xml:space="preserve"> South Gloucestershire area</w:t>
      </w:r>
      <w:r w:rsidR="00275924" w:rsidRPr="001E6503">
        <w:rPr>
          <w:rFonts w:ascii="Times New Roman" w:hAnsi="Times New Roman" w:cs="Times New Roman"/>
          <w:sz w:val="24"/>
          <w:szCs w:val="24"/>
        </w:rPr>
        <w:t xml:space="preserve">, </w:t>
      </w:r>
      <w:r w:rsidRPr="001E6503">
        <w:rPr>
          <w:rFonts w:ascii="Times New Roman" w:hAnsi="Times New Roman" w:cs="Times New Roman"/>
          <w:sz w:val="24"/>
          <w:szCs w:val="24"/>
        </w:rPr>
        <w:t>whether they have been affected by dementia</w:t>
      </w:r>
      <w:r w:rsidR="00275924" w:rsidRPr="001E6503">
        <w:rPr>
          <w:rFonts w:ascii="Times New Roman" w:hAnsi="Times New Roman" w:cs="Times New Roman"/>
          <w:sz w:val="24"/>
          <w:szCs w:val="24"/>
        </w:rPr>
        <w:t xml:space="preserve">, </w:t>
      </w:r>
      <w:r w:rsidRPr="001E6503">
        <w:rPr>
          <w:rFonts w:ascii="Times New Roman" w:hAnsi="Times New Roman" w:cs="Times New Roman"/>
          <w:sz w:val="24"/>
          <w:szCs w:val="24"/>
        </w:rPr>
        <w:t>and whether they work</w:t>
      </w:r>
      <w:r w:rsidR="00275924" w:rsidRPr="001E6503">
        <w:rPr>
          <w:rFonts w:ascii="Times New Roman" w:hAnsi="Times New Roman" w:cs="Times New Roman"/>
          <w:sz w:val="24"/>
          <w:szCs w:val="24"/>
        </w:rPr>
        <w:t>ed</w:t>
      </w:r>
      <w:r w:rsidRPr="001E6503">
        <w:rPr>
          <w:rFonts w:ascii="Times New Roman" w:hAnsi="Times New Roman" w:cs="Times New Roman"/>
          <w:sz w:val="24"/>
          <w:szCs w:val="24"/>
        </w:rPr>
        <w:t xml:space="preserve"> with people with dementia.</w:t>
      </w:r>
    </w:p>
    <w:p w14:paraId="3A6A89AD" w14:textId="77777777" w:rsidR="00AF598F" w:rsidRPr="00AF598F" w:rsidRDefault="00AF598F" w:rsidP="000B1A46">
      <w:pPr>
        <w:shd w:val="clear" w:color="auto" w:fill="FFFFFF"/>
        <w:spacing w:before="120" w:after="120" w:line="480" w:lineRule="auto"/>
        <w:rPr>
          <w:rFonts w:ascii="Times New Roman" w:eastAsia="Times New Roman" w:hAnsi="Times New Roman" w:cs="Times New Roman"/>
          <w:b/>
          <w:sz w:val="24"/>
          <w:szCs w:val="24"/>
        </w:rPr>
      </w:pPr>
    </w:p>
    <w:p w14:paraId="060A0497" w14:textId="77777777" w:rsidR="007014E0" w:rsidRPr="001E6503" w:rsidRDefault="007014E0" w:rsidP="000B1A46">
      <w:pPr>
        <w:shd w:val="clear" w:color="auto" w:fill="FFFFFF"/>
        <w:spacing w:before="120" w:after="120" w:line="480" w:lineRule="auto"/>
        <w:rPr>
          <w:rFonts w:ascii="Times New Roman" w:hAnsi="Times New Roman" w:cs="Times New Roman"/>
          <w:b/>
          <w:sz w:val="24"/>
          <w:szCs w:val="24"/>
        </w:rPr>
      </w:pPr>
      <w:r w:rsidRPr="001E6503">
        <w:rPr>
          <w:rFonts w:ascii="Times New Roman" w:hAnsi="Times New Roman" w:cs="Times New Roman"/>
          <w:b/>
          <w:sz w:val="24"/>
          <w:szCs w:val="24"/>
        </w:rPr>
        <w:t>Participants</w:t>
      </w:r>
    </w:p>
    <w:p w14:paraId="644E6568" w14:textId="49EC9867" w:rsidR="00AF598F" w:rsidRDefault="003C1192" w:rsidP="000B1A46">
      <w:pPr>
        <w:spacing w:line="480" w:lineRule="auto"/>
        <w:rPr>
          <w:rFonts w:ascii="Times New Roman" w:hAnsi="Times New Roman" w:cs="Times New Roman"/>
          <w:sz w:val="24"/>
          <w:szCs w:val="24"/>
        </w:rPr>
      </w:pPr>
      <w:r w:rsidRPr="001E6503">
        <w:rPr>
          <w:rFonts w:ascii="Times New Roman" w:hAnsi="Times New Roman" w:cs="Times New Roman"/>
          <w:sz w:val="24"/>
          <w:szCs w:val="24"/>
        </w:rPr>
        <w:t xml:space="preserve">Responses from 2,201 individuals were obtained (online, 1918; </w:t>
      </w:r>
      <w:r w:rsidR="00092C8B">
        <w:rPr>
          <w:rFonts w:ascii="Times New Roman" w:hAnsi="Times New Roman" w:cs="Times New Roman"/>
          <w:sz w:val="24"/>
          <w:szCs w:val="24"/>
        </w:rPr>
        <w:t>paper</w:t>
      </w:r>
      <w:r w:rsidRPr="001E6503">
        <w:rPr>
          <w:rFonts w:ascii="Times New Roman" w:hAnsi="Times New Roman" w:cs="Times New Roman"/>
          <w:sz w:val="24"/>
          <w:szCs w:val="24"/>
        </w:rPr>
        <w:t>, 283).</w:t>
      </w:r>
      <w:r>
        <w:rPr>
          <w:rFonts w:ascii="Times New Roman" w:hAnsi="Times New Roman" w:cs="Times New Roman"/>
          <w:sz w:val="24"/>
          <w:szCs w:val="24"/>
        </w:rPr>
        <w:t xml:space="preserve"> </w:t>
      </w:r>
      <w:r w:rsidRPr="001E6503">
        <w:rPr>
          <w:rFonts w:ascii="Times New Roman" w:hAnsi="Times New Roman" w:cs="Times New Roman"/>
          <w:sz w:val="24"/>
          <w:szCs w:val="24"/>
        </w:rPr>
        <w:t xml:space="preserve">In order to examine public attitudes towards dementia of people living within Bristol and South Gloucestershire, </w:t>
      </w:r>
      <w:r>
        <w:rPr>
          <w:rFonts w:ascii="Times New Roman" w:hAnsi="Times New Roman" w:cs="Times New Roman"/>
          <w:sz w:val="24"/>
          <w:szCs w:val="24"/>
        </w:rPr>
        <w:t>only</w:t>
      </w:r>
      <w:r w:rsidR="009A17CF">
        <w:rPr>
          <w:rFonts w:ascii="Times New Roman" w:hAnsi="Times New Roman" w:cs="Times New Roman"/>
          <w:sz w:val="24"/>
          <w:szCs w:val="24"/>
        </w:rPr>
        <w:t xml:space="preserve"> </w:t>
      </w:r>
      <w:r w:rsidR="009A17CF" w:rsidRPr="001E6503">
        <w:rPr>
          <w:rFonts w:ascii="Times New Roman" w:hAnsi="Times New Roman" w:cs="Times New Roman"/>
          <w:sz w:val="24"/>
          <w:szCs w:val="24"/>
        </w:rPr>
        <w:t>data</w:t>
      </w:r>
      <w:r>
        <w:rPr>
          <w:rFonts w:ascii="Times New Roman" w:hAnsi="Times New Roman" w:cs="Times New Roman"/>
          <w:sz w:val="24"/>
          <w:szCs w:val="24"/>
        </w:rPr>
        <w:t xml:space="preserve"> </w:t>
      </w:r>
      <w:r w:rsidRPr="001E6503">
        <w:rPr>
          <w:rFonts w:ascii="Times New Roman" w:hAnsi="Times New Roman" w:cs="Times New Roman"/>
          <w:sz w:val="24"/>
          <w:szCs w:val="24"/>
        </w:rPr>
        <w:t>from individuals who identified themselves as living in this area</w:t>
      </w:r>
      <w:r w:rsidR="009A17CF">
        <w:rPr>
          <w:rFonts w:ascii="Times New Roman" w:hAnsi="Times New Roman" w:cs="Times New Roman"/>
          <w:sz w:val="24"/>
          <w:szCs w:val="24"/>
        </w:rPr>
        <w:t xml:space="preserve"> were analysed</w:t>
      </w:r>
      <w:r>
        <w:rPr>
          <w:rFonts w:ascii="Times New Roman" w:hAnsi="Times New Roman" w:cs="Times New Roman"/>
          <w:sz w:val="24"/>
          <w:szCs w:val="24"/>
        </w:rPr>
        <w:t xml:space="preserve">, </w:t>
      </w:r>
      <w:r w:rsidR="009A17CF">
        <w:rPr>
          <w:rFonts w:ascii="Times New Roman" w:hAnsi="Times New Roman" w:cs="Times New Roman"/>
          <w:sz w:val="24"/>
          <w:szCs w:val="24"/>
        </w:rPr>
        <w:t>thereby</w:t>
      </w:r>
      <w:r w:rsidRPr="001E6503">
        <w:rPr>
          <w:rFonts w:ascii="Times New Roman" w:hAnsi="Times New Roman" w:cs="Times New Roman"/>
          <w:sz w:val="24"/>
          <w:szCs w:val="24"/>
        </w:rPr>
        <w:t xml:space="preserve"> exclud</w:t>
      </w:r>
      <w:r w:rsidR="009A17CF">
        <w:rPr>
          <w:rFonts w:ascii="Times New Roman" w:hAnsi="Times New Roman" w:cs="Times New Roman"/>
          <w:sz w:val="24"/>
          <w:szCs w:val="24"/>
        </w:rPr>
        <w:t>ing</w:t>
      </w:r>
      <w:r w:rsidRPr="001E6503">
        <w:rPr>
          <w:rFonts w:ascii="Times New Roman" w:hAnsi="Times New Roman" w:cs="Times New Roman"/>
          <w:sz w:val="24"/>
          <w:szCs w:val="24"/>
        </w:rPr>
        <w:t xml:space="preserve"> respondents who identified themselv</w:t>
      </w:r>
      <w:r w:rsidR="005F6B3D">
        <w:rPr>
          <w:rFonts w:ascii="Times New Roman" w:hAnsi="Times New Roman" w:cs="Times New Roman"/>
          <w:sz w:val="24"/>
          <w:szCs w:val="24"/>
        </w:rPr>
        <w:t>es as having worked</w:t>
      </w:r>
      <w:r w:rsidRPr="001E6503">
        <w:rPr>
          <w:rFonts w:ascii="Times New Roman" w:hAnsi="Times New Roman" w:cs="Times New Roman"/>
          <w:sz w:val="24"/>
          <w:szCs w:val="24"/>
        </w:rPr>
        <w:t xml:space="preserve"> with people affected by dementia i</w:t>
      </w:r>
      <w:bookmarkStart w:id="0" w:name="_GoBack"/>
      <w:bookmarkEnd w:id="0"/>
      <w:r w:rsidRPr="001E6503">
        <w:rPr>
          <w:rFonts w:ascii="Times New Roman" w:hAnsi="Times New Roman" w:cs="Times New Roman"/>
          <w:sz w:val="24"/>
          <w:szCs w:val="24"/>
        </w:rPr>
        <w:t xml:space="preserve">n order to maximise the representativeness of this sample. In all, </w:t>
      </w:r>
      <w:r>
        <w:rPr>
          <w:rFonts w:ascii="Times New Roman" w:hAnsi="Times New Roman" w:cs="Times New Roman"/>
          <w:sz w:val="24"/>
          <w:szCs w:val="24"/>
        </w:rPr>
        <w:t xml:space="preserve">data from </w:t>
      </w:r>
      <w:r w:rsidRPr="001E6503">
        <w:rPr>
          <w:rFonts w:ascii="Times New Roman" w:hAnsi="Times New Roman" w:cs="Times New Roman"/>
          <w:sz w:val="24"/>
          <w:szCs w:val="24"/>
        </w:rPr>
        <w:t>794 individuals</w:t>
      </w:r>
      <w:r>
        <w:rPr>
          <w:rFonts w:ascii="Times New Roman" w:hAnsi="Times New Roman" w:cs="Times New Roman"/>
          <w:sz w:val="24"/>
          <w:szCs w:val="24"/>
        </w:rPr>
        <w:t xml:space="preserve"> were included (online, </w:t>
      </w:r>
      <w:r w:rsidRPr="001E6503">
        <w:rPr>
          <w:rFonts w:ascii="Times New Roman" w:hAnsi="Times New Roman" w:cs="Times New Roman"/>
          <w:sz w:val="24"/>
          <w:szCs w:val="24"/>
        </w:rPr>
        <w:t>761</w:t>
      </w:r>
      <w:r>
        <w:rPr>
          <w:rFonts w:ascii="Times New Roman" w:hAnsi="Times New Roman" w:cs="Times New Roman"/>
          <w:sz w:val="24"/>
          <w:szCs w:val="24"/>
        </w:rPr>
        <w:t>;</w:t>
      </w:r>
      <w:r w:rsidRPr="001E6503">
        <w:rPr>
          <w:rFonts w:ascii="Times New Roman" w:hAnsi="Times New Roman" w:cs="Times New Roman"/>
          <w:sz w:val="24"/>
          <w:szCs w:val="24"/>
        </w:rPr>
        <w:t xml:space="preserve"> </w:t>
      </w:r>
      <w:r w:rsidR="009A17CF">
        <w:rPr>
          <w:rFonts w:ascii="Times New Roman" w:hAnsi="Times New Roman" w:cs="Times New Roman"/>
          <w:sz w:val="24"/>
          <w:szCs w:val="24"/>
        </w:rPr>
        <w:t>paper</w:t>
      </w:r>
      <w:r>
        <w:rPr>
          <w:rFonts w:ascii="Times New Roman" w:hAnsi="Times New Roman" w:cs="Times New Roman"/>
          <w:sz w:val="24"/>
          <w:szCs w:val="24"/>
        </w:rPr>
        <w:t>;</w:t>
      </w:r>
      <w:r w:rsidRPr="001E6503">
        <w:rPr>
          <w:rFonts w:ascii="Times New Roman" w:hAnsi="Times New Roman" w:cs="Times New Roman"/>
          <w:sz w:val="24"/>
          <w:szCs w:val="24"/>
        </w:rPr>
        <w:t xml:space="preserve"> 33</w:t>
      </w:r>
      <w:r>
        <w:rPr>
          <w:rFonts w:ascii="Times New Roman" w:hAnsi="Times New Roman" w:cs="Times New Roman"/>
          <w:sz w:val="24"/>
          <w:szCs w:val="24"/>
        </w:rPr>
        <w:t xml:space="preserve">) </w:t>
      </w:r>
      <w:r w:rsidR="00A8152F">
        <w:rPr>
          <w:rFonts w:ascii="Times New Roman" w:hAnsi="Times New Roman" w:cs="Times New Roman"/>
          <w:sz w:val="24"/>
          <w:szCs w:val="24"/>
        </w:rPr>
        <w:t xml:space="preserve">as </w:t>
      </w:r>
      <w:r>
        <w:rPr>
          <w:rFonts w:ascii="Times New Roman" w:hAnsi="Times New Roman" w:cs="Times New Roman"/>
          <w:sz w:val="24"/>
          <w:szCs w:val="24"/>
        </w:rPr>
        <w:t>shown in Table 1.</w:t>
      </w:r>
      <w:r w:rsidRPr="001E6503">
        <w:rPr>
          <w:rFonts w:ascii="Times New Roman" w:hAnsi="Times New Roman" w:cs="Times New Roman"/>
          <w:sz w:val="24"/>
          <w:szCs w:val="24"/>
        </w:rPr>
        <w:t xml:space="preserve"> Data from this subset was then weighted according to population statistics from the Office of National Statistics  </w:t>
      </w:r>
      <w:r w:rsidR="00A8152F">
        <w:rPr>
          <w:rFonts w:ascii="Times New Roman" w:hAnsi="Times New Roman" w:cs="Times New Roman"/>
          <w:sz w:val="24"/>
          <w:szCs w:val="24"/>
        </w:rPr>
        <w:t>in order to adjust for the over-</w:t>
      </w:r>
      <w:r w:rsidRPr="001E6503">
        <w:rPr>
          <w:rFonts w:ascii="Times New Roman" w:hAnsi="Times New Roman" w:cs="Times New Roman"/>
          <w:sz w:val="24"/>
          <w:szCs w:val="24"/>
        </w:rPr>
        <w:t>repres</w:t>
      </w:r>
      <w:r w:rsidR="00890C92">
        <w:rPr>
          <w:rFonts w:ascii="Times New Roman" w:hAnsi="Times New Roman" w:cs="Times New Roman"/>
          <w:sz w:val="24"/>
          <w:szCs w:val="24"/>
        </w:rPr>
        <w:t>entation of some groups (e.g., W</w:t>
      </w:r>
      <w:r w:rsidRPr="001E6503">
        <w:rPr>
          <w:rFonts w:ascii="Times New Roman" w:hAnsi="Times New Roman" w:cs="Times New Roman"/>
          <w:sz w:val="24"/>
          <w:szCs w:val="24"/>
        </w:rPr>
        <w:t xml:space="preserve">hite females) and an under-representation of other communities (e.g., males of mixed ethnicity) (Gorman </w:t>
      </w:r>
      <w:r w:rsidRPr="001E6503">
        <w:rPr>
          <w:rFonts w:ascii="Times New Roman" w:hAnsi="Times New Roman" w:cs="Times New Roman"/>
          <w:i/>
          <w:sz w:val="24"/>
          <w:szCs w:val="24"/>
        </w:rPr>
        <w:t>et al.,</w:t>
      </w:r>
      <w:r w:rsidRPr="001E6503">
        <w:rPr>
          <w:rFonts w:ascii="Times New Roman" w:hAnsi="Times New Roman" w:cs="Times New Roman"/>
          <w:sz w:val="24"/>
          <w:szCs w:val="24"/>
        </w:rPr>
        <w:t xml:space="preserve"> 2014)</w:t>
      </w:r>
      <w:r w:rsidRPr="001E6503">
        <w:rPr>
          <w:rStyle w:val="FootnoteReference"/>
          <w:rFonts w:ascii="Times New Roman" w:hAnsi="Times New Roman" w:cs="Times New Roman"/>
          <w:sz w:val="24"/>
          <w:szCs w:val="24"/>
        </w:rPr>
        <w:footnoteReference w:id="4"/>
      </w:r>
      <w:r w:rsidRPr="001E6503">
        <w:rPr>
          <w:rFonts w:ascii="Times New Roman" w:hAnsi="Times New Roman" w:cs="Times New Roman"/>
          <w:sz w:val="24"/>
          <w:szCs w:val="24"/>
        </w:rPr>
        <w:t xml:space="preserve">. </w:t>
      </w:r>
    </w:p>
    <w:p w14:paraId="243097AD" w14:textId="77777777" w:rsidR="00AF598F" w:rsidRPr="001E6503" w:rsidRDefault="00AF598F" w:rsidP="000B1A46">
      <w:pPr>
        <w:spacing w:line="480" w:lineRule="auto"/>
        <w:rPr>
          <w:rFonts w:ascii="Times New Roman" w:hAnsi="Times New Roman" w:cs="Times New Roman"/>
          <w:sz w:val="24"/>
          <w:szCs w:val="24"/>
        </w:rPr>
      </w:pPr>
    </w:p>
    <w:p w14:paraId="2ED6F39F" w14:textId="77777777" w:rsidR="007014E0" w:rsidRPr="001E6503" w:rsidRDefault="007014E0" w:rsidP="000B1A46">
      <w:pPr>
        <w:pStyle w:val="PlainText"/>
        <w:spacing w:before="120" w:after="120" w:line="480" w:lineRule="auto"/>
        <w:contextualSpacing/>
        <w:rPr>
          <w:rFonts w:ascii="Times New Roman" w:hAnsi="Times New Roman"/>
          <w:b/>
          <w:sz w:val="24"/>
          <w:szCs w:val="24"/>
        </w:rPr>
      </w:pPr>
      <w:r w:rsidRPr="001E6503">
        <w:rPr>
          <w:rFonts w:ascii="Times New Roman" w:hAnsi="Times New Roman"/>
          <w:b/>
          <w:sz w:val="24"/>
          <w:szCs w:val="24"/>
        </w:rPr>
        <w:t>Statistical analysis</w:t>
      </w:r>
    </w:p>
    <w:p w14:paraId="5DB1D829" w14:textId="00E115C5" w:rsidR="007014E0" w:rsidRDefault="007014E0" w:rsidP="000B1A46">
      <w:pPr>
        <w:pStyle w:val="PlainText"/>
        <w:spacing w:before="120" w:after="120" w:line="480" w:lineRule="auto"/>
        <w:contextualSpacing/>
        <w:rPr>
          <w:rFonts w:ascii="Times New Roman" w:hAnsi="Times New Roman"/>
          <w:iCs/>
          <w:sz w:val="24"/>
          <w:szCs w:val="24"/>
        </w:rPr>
      </w:pPr>
      <w:r w:rsidRPr="001E6503">
        <w:rPr>
          <w:rFonts w:ascii="Times New Roman" w:hAnsi="Times New Roman"/>
          <w:sz w:val="24"/>
          <w:szCs w:val="24"/>
        </w:rPr>
        <w:t>A series of exploratory and main analyses were conducted on the ADQ data. Chi-square was used to undertake exploratory an</w:t>
      </w:r>
      <w:r w:rsidRPr="00485032">
        <w:rPr>
          <w:rFonts w:ascii="Times New Roman" w:hAnsi="Times New Roman"/>
          <w:sz w:val="24"/>
          <w:szCs w:val="24"/>
        </w:rPr>
        <w:t xml:space="preserve">alysis with regards to the representativeness of the sample. </w:t>
      </w:r>
      <w:r w:rsidR="00485032" w:rsidRPr="00485032">
        <w:rPr>
          <w:rFonts w:ascii="Times New Roman" w:hAnsi="Times New Roman"/>
          <w:sz w:val="24"/>
          <w:szCs w:val="24"/>
        </w:rPr>
        <w:t xml:space="preserve">Prior to this analysis, </w:t>
      </w:r>
      <w:r w:rsidR="00561E40">
        <w:rPr>
          <w:rFonts w:ascii="Times New Roman" w:hAnsi="Times New Roman"/>
          <w:sz w:val="24"/>
          <w:szCs w:val="24"/>
        </w:rPr>
        <w:t xml:space="preserve">demographic </w:t>
      </w:r>
      <w:r w:rsidR="00A06F34">
        <w:rPr>
          <w:rFonts w:ascii="Times New Roman" w:hAnsi="Times New Roman"/>
          <w:sz w:val="24"/>
          <w:szCs w:val="24"/>
        </w:rPr>
        <w:t>d</w:t>
      </w:r>
      <w:r w:rsidR="00485032" w:rsidRPr="00485032">
        <w:rPr>
          <w:rFonts w:ascii="Times New Roman" w:hAnsi="Times New Roman"/>
          <w:sz w:val="24"/>
          <w:szCs w:val="24"/>
        </w:rPr>
        <w:t>ata were re-grouped</w:t>
      </w:r>
      <w:r w:rsidR="004D255D">
        <w:rPr>
          <w:rFonts w:ascii="Times New Roman" w:hAnsi="Times New Roman"/>
          <w:sz w:val="24"/>
          <w:szCs w:val="24"/>
        </w:rPr>
        <w:t xml:space="preserve"> into dichotomous variables</w:t>
      </w:r>
      <w:r w:rsidR="00485032" w:rsidRPr="00485032">
        <w:rPr>
          <w:rFonts w:ascii="Times New Roman" w:hAnsi="Times New Roman"/>
          <w:sz w:val="24"/>
          <w:szCs w:val="24"/>
        </w:rPr>
        <w:t xml:space="preserve"> as some demographic samples had only one individual assigned to the group. </w:t>
      </w:r>
      <w:r w:rsidRPr="001E6503">
        <w:rPr>
          <w:rFonts w:ascii="Times New Roman" w:hAnsi="Times New Roman"/>
          <w:sz w:val="24"/>
          <w:szCs w:val="24"/>
        </w:rPr>
        <w:t>For the main analyses</w:t>
      </w:r>
      <w:r w:rsidR="000B1A46">
        <w:rPr>
          <w:rFonts w:ascii="Times New Roman" w:hAnsi="Times New Roman"/>
          <w:sz w:val="24"/>
          <w:szCs w:val="24"/>
        </w:rPr>
        <w:t>, t</w:t>
      </w:r>
      <w:r w:rsidR="000B1A46" w:rsidRPr="001E6503">
        <w:rPr>
          <w:rFonts w:ascii="Times New Roman" w:hAnsi="Times New Roman"/>
          <w:sz w:val="24"/>
          <w:szCs w:val="24"/>
        </w:rPr>
        <w:t xml:space="preserve">wo-sided </w:t>
      </w:r>
      <w:r w:rsidR="000B1A46" w:rsidRPr="001E6503">
        <w:rPr>
          <w:rFonts w:ascii="Times New Roman" w:hAnsi="Times New Roman"/>
          <w:i/>
          <w:sz w:val="24"/>
          <w:szCs w:val="24"/>
        </w:rPr>
        <w:t>t</w:t>
      </w:r>
      <w:r w:rsidR="000B1A46" w:rsidRPr="001E6503">
        <w:rPr>
          <w:rFonts w:ascii="Times New Roman" w:hAnsi="Times New Roman"/>
          <w:sz w:val="24"/>
          <w:szCs w:val="24"/>
        </w:rPr>
        <w:t xml:space="preserve">-test analyses were performed on the weighted data </w:t>
      </w:r>
      <w:r w:rsidRPr="001E6503">
        <w:rPr>
          <w:rFonts w:ascii="Times New Roman" w:hAnsi="Times New Roman"/>
          <w:sz w:val="24"/>
          <w:szCs w:val="24"/>
        </w:rPr>
        <w:t xml:space="preserve">to explore differences in scale scores between demographic groups in respect to the ADQ responses. </w:t>
      </w:r>
      <w:r w:rsidR="003C1192" w:rsidRPr="003C1192">
        <w:rPr>
          <w:rFonts w:ascii="Times New Roman" w:hAnsi="Times New Roman"/>
          <w:iCs/>
          <w:sz w:val="24"/>
          <w:szCs w:val="24"/>
        </w:rPr>
        <w:t xml:space="preserve">Cohen’s d was used to </w:t>
      </w:r>
      <w:r w:rsidR="003C1192" w:rsidRPr="003C1192">
        <w:rPr>
          <w:rFonts w:ascii="Times New Roman" w:hAnsi="Times New Roman"/>
          <w:iCs/>
          <w:sz w:val="24"/>
          <w:szCs w:val="24"/>
        </w:rPr>
        <w:lastRenderedPageBreak/>
        <w:t xml:space="preserve">quantify effect size.  In general, Ellis (2010) cautiously gives broad rules of thumb for the interpretation of </w:t>
      </w:r>
      <w:r w:rsidR="003C1192" w:rsidRPr="00A04B78">
        <w:rPr>
          <w:rFonts w:ascii="Times New Roman" w:hAnsi="Times New Roman"/>
          <w:i/>
          <w:iCs/>
          <w:sz w:val="24"/>
          <w:szCs w:val="24"/>
        </w:rPr>
        <w:t>d</w:t>
      </w:r>
      <w:r w:rsidR="003C1192" w:rsidRPr="003C1192">
        <w:rPr>
          <w:rFonts w:ascii="Times New Roman" w:hAnsi="Times New Roman"/>
          <w:iCs/>
          <w:sz w:val="24"/>
          <w:szCs w:val="24"/>
        </w:rPr>
        <w:t xml:space="preserve">, to the effect that </w:t>
      </w:r>
      <w:r w:rsidR="003C1192" w:rsidRPr="00A04B78">
        <w:rPr>
          <w:rFonts w:ascii="Times New Roman" w:hAnsi="Times New Roman"/>
          <w:i/>
          <w:iCs/>
          <w:sz w:val="24"/>
          <w:szCs w:val="24"/>
        </w:rPr>
        <w:t>d</w:t>
      </w:r>
      <w:r w:rsidR="003C1192" w:rsidRPr="003C1192">
        <w:rPr>
          <w:rFonts w:ascii="Times New Roman" w:hAnsi="Times New Roman"/>
          <w:iCs/>
          <w:sz w:val="24"/>
          <w:szCs w:val="24"/>
        </w:rPr>
        <w:t xml:space="preserve"> &lt;</w:t>
      </w:r>
      <w:r w:rsidR="004B693B">
        <w:rPr>
          <w:rFonts w:ascii="Times New Roman" w:hAnsi="Times New Roman"/>
          <w:iCs/>
          <w:sz w:val="24"/>
          <w:szCs w:val="24"/>
        </w:rPr>
        <w:t xml:space="preserve"> 0.1 indicates a trivial effect, 0.1 &lt; </w:t>
      </w:r>
      <w:r w:rsidR="004B693B" w:rsidRPr="00A04B78">
        <w:rPr>
          <w:rFonts w:ascii="Times New Roman" w:hAnsi="Times New Roman"/>
          <w:i/>
          <w:iCs/>
          <w:sz w:val="24"/>
          <w:szCs w:val="24"/>
        </w:rPr>
        <w:t>d</w:t>
      </w:r>
      <w:r w:rsidR="004B693B">
        <w:rPr>
          <w:rFonts w:ascii="Times New Roman" w:hAnsi="Times New Roman"/>
          <w:iCs/>
          <w:sz w:val="24"/>
          <w:szCs w:val="24"/>
        </w:rPr>
        <w:t xml:space="preserve"> &lt; 0.3</w:t>
      </w:r>
      <w:r w:rsidR="003C1192" w:rsidRPr="003C1192">
        <w:rPr>
          <w:rFonts w:ascii="Times New Roman" w:hAnsi="Times New Roman"/>
          <w:iCs/>
          <w:sz w:val="24"/>
          <w:szCs w:val="24"/>
        </w:rPr>
        <w:t xml:space="preserve"> a small effect, 0.3 &lt; </w:t>
      </w:r>
      <w:r w:rsidR="003C1192" w:rsidRPr="00A04B78">
        <w:rPr>
          <w:rFonts w:ascii="Times New Roman" w:hAnsi="Times New Roman"/>
          <w:i/>
          <w:iCs/>
          <w:sz w:val="24"/>
          <w:szCs w:val="24"/>
        </w:rPr>
        <w:t>d</w:t>
      </w:r>
      <w:r w:rsidR="003C1192" w:rsidRPr="003C1192">
        <w:rPr>
          <w:rFonts w:ascii="Times New Roman" w:hAnsi="Times New Roman"/>
          <w:iCs/>
          <w:sz w:val="24"/>
          <w:szCs w:val="24"/>
        </w:rPr>
        <w:t xml:space="preserve"> &lt; 0.5 a moderate effect, </w:t>
      </w:r>
      <w:r w:rsidR="004B693B">
        <w:rPr>
          <w:rFonts w:ascii="Times New Roman" w:hAnsi="Times New Roman"/>
          <w:iCs/>
          <w:sz w:val="24"/>
          <w:szCs w:val="24"/>
        </w:rPr>
        <w:t xml:space="preserve">0.5 &lt; </w:t>
      </w:r>
      <w:r w:rsidR="004B693B" w:rsidRPr="00A04B78">
        <w:rPr>
          <w:rFonts w:ascii="Times New Roman" w:hAnsi="Times New Roman"/>
          <w:i/>
          <w:iCs/>
          <w:sz w:val="24"/>
          <w:szCs w:val="24"/>
        </w:rPr>
        <w:t>d</w:t>
      </w:r>
      <w:r w:rsidR="004B693B">
        <w:rPr>
          <w:rFonts w:ascii="Times New Roman" w:hAnsi="Times New Roman"/>
          <w:iCs/>
          <w:sz w:val="24"/>
          <w:szCs w:val="24"/>
        </w:rPr>
        <w:t xml:space="preserve"> &lt; 0.8 a medium effect,</w:t>
      </w:r>
      <w:r w:rsidR="003C1192" w:rsidRPr="003C1192">
        <w:rPr>
          <w:rFonts w:ascii="Times New Roman" w:hAnsi="Times New Roman"/>
          <w:iCs/>
          <w:sz w:val="24"/>
          <w:szCs w:val="24"/>
        </w:rPr>
        <w:t xml:space="preserve"> 0.8 &lt; </w:t>
      </w:r>
      <w:r w:rsidR="003C1192" w:rsidRPr="00A04B78">
        <w:rPr>
          <w:rFonts w:ascii="Times New Roman" w:hAnsi="Times New Roman"/>
          <w:i/>
          <w:iCs/>
          <w:sz w:val="24"/>
          <w:szCs w:val="24"/>
        </w:rPr>
        <w:t>d</w:t>
      </w:r>
      <w:r w:rsidR="003C1192" w:rsidRPr="003C1192">
        <w:rPr>
          <w:rFonts w:ascii="Times New Roman" w:hAnsi="Times New Roman"/>
          <w:iCs/>
          <w:sz w:val="24"/>
          <w:szCs w:val="24"/>
        </w:rPr>
        <w:t xml:space="preserve"> &lt; 1.3 as large, and </w:t>
      </w:r>
      <w:r w:rsidR="003C1192" w:rsidRPr="00A04B78">
        <w:rPr>
          <w:rFonts w:ascii="Times New Roman" w:hAnsi="Times New Roman"/>
          <w:i/>
          <w:iCs/>
          <w:sz w:val="24"/>
          <w:szCs w:val="24"/>
        </w:rPr>
        <w:t>d</w:t>
      </w:r>
      <w:r w:rsidR="003C1192" w:rsidRPr="003C1192">
        <w:rPr>
          <w:rFonts w:ascii="Times New Roman" w:hAnsi="Times New Roman"/>
          <w:iCs/>
          <w:sz w:val="24"/>
          <w:szCs w:val="24"/>
        </w:rPr>
        <w:t xml:space="preserve"> &gt; 1.3 a very large effect.</w:t>
      </w:r>
    </w:p>
    <w:p w14:paraId="2E95445D" w14:textId="77777777" w:rsidR="00AF598F" w:rsidRPr="001E6503" w:rsidRDefault="00AF598F" w:rsidP="000B1A46">
      <w:pPr>
        <w:pStyle w:val="PlainText"/>
        <w:spacing w:before="120" w:after="120" w:line="480" w:lineRule="auto"/>
        <w:contextualSpacing/>
        <w:rPr>
          <w:rFonts w:ascii="Times New Roman" w:hAnsi="Times New Roman"/>
          <w:b/>
          <w:sz w:val="24"/>
          <w:szCs w:val="24"/>
        </w:rPr>
      </w:pPr>
    </w:p>
    <w:p w14:paraId="39ED76FE" w14:textId="27216993" w:rsidR="00E61B7B" w:rsidRPr="001E6503" w:rsidRDefault="007014E0" w:rsidP="000B1A46">
      <w:pPr>
        <w:pStyle w:val="PlainText"/>
        <w:spacing w:before="120" w:after="120" w:line="480" w:lineRule="auto"/>
        <w:contextualSpacing/>
        <w:rPr>
          <w:rFonts w:ascii="Times New Roman" w:hAnsi="Times New Roman"/>
          <w:b/>
          <w:sz w:val="24"/>
          <w:szCs w:val="24"/>
        </w:rPr>
      </w:pPr>
      <w:r w:rsidRPr="001E6503">
        <w:rPr>
          <w:rFonts w:ascii="Times New Roman" w:hAnsi="Times New Roman"/>
          <w:b/>
          <w:sz w:val="24"/>
          <w:szCs w:val="24"/>
        </w:rPr>
        <w:t>Results</w:t>
      </w:r>
    </w:p>
    <w:p w14:paraId="08212ECE" w14:textId="77777777" w:rsidR="000B1A46" w:rsidRDefault="007014E0" w:rsidP="000B1A46">
      <w:pPr>
        <w:shd w:val="clear" w:color="auto" w:fill="FFFFFF"/>
        <w:spacing w:before="120" w:after="120" w:line="480" w:lineRule="auto"/>
        <w:rPr>
          <w:rFonts w:ascii="Times New Roman" w:hAnsi="Times New Roman" w:cs="Times New Roman"/>
          <w:b/>
          <w:sz w:val="24"/>
          <w:szCs w:val="24"/>
        </w:rPr>
      </w:pPr>
      <w:r w:rsidRPr="001E6503">
        <w:rPr>
          <w:rFonts w:ascii="Times New Roman" w:hAnsi="Times New Roman" w:cs="Times New Roman"/>
          <w:b/>
          <w:sz w:val="24"/>
          <w:szCs w:val="24"/>
        </w:rPr>
        <w:t>ADQ i</w:t>
      </w:r>
      <w:r w:rsidR="008D7E4A" w:rsidRPr="001E6503">
        <w:rPr>
          <w:rFonts w:ascii="Times New Roman" w:hAnsi="Times New Roman" w:cs="Times New Roman"/>
          <w:b/>
          <w:sz w:val="24"/>
          <w:szCs w:val="24"/>
        </w:rPr>
        <w:t>nternal reliability</w:t>
      </w:r>
      <w:r w:rsidR="00994792" w:rsidRPr="001E6503">
        <w:rPr>
          <w:rFonts w:ascii="Times New Roman" w:hAnsi="Times New Roman" w:cs="Times New Roman"/>
          <w:b/>
          <w:sz w:val="24"/>
          <w:szCs w:val="24"/>
        </w:rPr>
        <w:t xml:space="preserve"> </w:t>
      </w:r>
    </w:p>
    <w:p w14:paraId="2F6C67BF" w14:textId="4D6FDB57" w:rsidR="00AF598F" w:rsidRDefault="000C5A1C" w:rsidP="000B1A46">
      <w:pPr>
        <w:shd w:val="clear" w:color="auto" w:fill="FFFFFF"/>
        <w:spacing w:before="120" w:after="120" w:line="480" w:lineRule="auto"/>
        <w:rPr>
          <w:rFonts w:ascii="Times New Roman" w:hAnsi="Times New Roman" w:cs="Times New Roman"/>
          <w:sz w:val="24"/>
          <w:szCs w:val="24"/>
        </w:rPr>
      </w:pPr>
      <w:r w:rsidRPr="001E6503">
        <w:rPr>
          <w:rFonts w:ascii="Times New Roman" w:hAnsi="Times New Roman" w:cs="Times New Roman"/>
          <w:sz w:val="24"/>
          <w:szCs w:val="24"/>
        </w:rPr>
        <w:t xml:space="preserve">The </w:t>
      </w:r>
      <w:r w:rsidR="00DC0081" w:rsidRPr="001E6503">
        <w:rPr>
          <w:rFonts w:ascii="Times New Roman" w:hAnsi="Times New Roman" w:cs="Times New Roman"/>
          <w:sz w:val="24"/>
          <w:szCs w:val="24"/>
        </w:rPr>
        <w:t xml:space="preserve">altered </w:t>
      </w:r>
      <w:r w:rsidRPr="001E6503">
        <w:rPr>
          <w:rFonts w:ascii="Times New Roman" w:hAnsi="Times New Roman" w:cs="Times New Roman"/>
          <w:sz w:val="24"/>
          <w:szCs w:val="24"/>
        </w:rPr>
        <w:t xml:space="preserve">scale demonstrated good internal reliability </w:t>
      </w:r>
      <w:r w:rsidR="003416BE" w:rsidRPr="001E6503">
        <w:rPr>
          <w:rFonts w:ascii="Times New Roman" w:hAnsi="Times New Roman" w:cs="Times New Roman"/>
          <w:sz w:val="24"/>
          <w:szCs w:val="24"/>
        </w:rPr>
        <w:t>with a C</w:t>
      </w:r>
      <w:r w:rsidR="00DC0081" w:rsidRPr="001E6503">
        <w:rPr>
          <w:rFonts w:ascii="Times New Roman" w:hAnsi="Times New Roman" w:cs="Times New Roman"/>
          <w:sz w:val="24"/>
          <w:szCs w:val="24"/>
        </w:rPr>
        <w:t>ronbach’s Alpha</w:t>
      </w:r>
      <w:r w:rsidR="008D4CED" w:rsidRPr="001E6503">
        <w:rPr>
          <w:rFonts w:ascii="Times New Roman" w:hAnsi="Times New Roman" w:cs="Times New Roman"/>
          <w:sz w:val="24"/>
          <w:szCs w:val="24"/>
        </w:rPr>
        <w:t xml:space="preserve"> of 0.86</w:t>
      </w:r>
      <w:r w:rsidR="00582F6F" w:rsidRPr="001E6503">
        <w:rPr>
          <w:rFonts w:ascii="Times New Roman" w:hAnsi="Times New Roman" w:cs="Times New Roman"/>
          <w:sz w:val="24"/>
          <w:szCs w:val="24"/>
        </w:rPr>
        <w:t xml:space="preserve"> (95% Confidence Interval (CI) 0.85 – 0.87)</w:t>
      </w:r>
      <w:r w:rsidR="00DC0081" w:rsidRPr="001E6503">
        <w:rPr>
          <w:rFonts w:ascii="Times New Roman" w:hAnsi="Times New Roman" w:cs="Times New Roman"/>
          <w:sz w:val="24"/>
          <w:szCs w:val="24"/>
        </w:rPr>
        <w:t>, and</w:t>
      </w:r>
      <w:r w:rsidR="003416BE" w:rsidRPr="001E6503">
        <w:rPr>
          <w:rFonts w:ascii="Times New Roman" w:hAnsi="Times New Roman" w:cs="Times New Roman"/>
          <w:sz w:val="24"/>
          <w:szCs w:val="24"/>
        </w:rPr>
        <w:t xml:space="preserve"> Alpha</w:t>
      </w:r>
      <w:r w:rsidR="00DC0081" w:rsidRPr="001E6503">
        <w:rPr>
          <w:rFonts w:ascii="Times New Roman" w:hAnsi="Times New Roman" w:cs="Times New Roman"/>
          <w:sz w:val="24"/>
          <w:szCs w:val="24"/>
        </w:rPr>
        <w:t>s</w:t>
      </w:r>
      <w:r w:rsidR="008D4CED" w:rsidRPr="001E6503">
        <w:rPr>
          <w:rFonts w:ascii="Times New Roman" w:hAnsi="Times New Roman" w:cs="Times New Roman"/>
          <w:sz w:val="24"/>
          <w:szCs w:val="24"/>
        </w:rPr>
        <w:t xml:space="preserve"> of 0.77 </w:t>
      </w:r>
      <w:r w:rsidR="00582F6F" w:rsidRPr="001E6503">
        <w:rPr>
          <w:rFonts w:ascii="Times New Roman" w:hAnsi="Times New Roman" w:cs="Times New Roman"/>
          <w:sz w:val="24"/>
          <w:szCs w:val="24"/>
        </w:rPr>
        <w:t xml:space="preserve">(95% CI 0.76 – 0.79) </w:t>
      </w:r>
      <w:r w:rsidR="008D4CED" w:rsidRPr="001E6503">
        <w:rPr>
          <w:rFonts w:ascii="Times New Roman" w:hAnsi="Times New Roman" w:cs="Times New Roman"/>
          <w:sz w:val="24"/>
          <w:szCs w:val="24"/>
        </w:rPr>
        <w:t>f</w:t>
      </w:r>
      <w:r w:rsidR="003416BE" w:rsidRPr="001E6503">
        <w:rPr>
          <w:rFonts w:ascii="Times New Roman" w:hAnsi="Times New Roman" w:cs="Times New Roman"/>
          <w:sz w:val="24"/>
          <w:szCs w:val="24"/>
        </w:rPr>
        <w:t>or</w:t>
      </w:r>
      <w:r w:rsidR="008D4CED" w:rsidRPr="001E6503">
        <w:rPr>
          <w:rFonts w:ascii="Times New Roman" w:hAnsi="Times New Roman" w:cs="Times New Roman"/>
          <w:sz w:val="24"/>
          <w:szCs w:val="24"/>
        </w:rPr>
        <w:t xml:space="preserve"> the Hope and 0.84</w:t>
      </w:r>
      <w:r w:rsidR="003416BE" w:rsidRPr="001E6503">
        <w:rPr>
          <w:rFonts w:ascii="Times New Roman" w:hAnsi="Times New Roman" w:cs="Times New Roman"/>
          <w:sz w:val="24"/>
          <w:szCs w:val="24"/>
        </w:rPr>
        <w:t xml:space="preserve"> </w:t>
      </w:r>
      <w:r w:rsidR="00582F6F" w:rsidRPr="001E6503">
        <w:rPr>
          <w:rFonts w:ascii="Times New Roman" w:hAnsi="Times New Roman" w:cs="Times New Roman"/>
          <w:sz w:val="24"/>
          <w:szCs w:val="24"/>
        </w:rPr>
        <w:t xml:space="preserve">(95% CI 0.83 – 0.85) </w:t>
      </w:r>
      <w:proofErr w:type="spellStart"/>
      <w:r w:rsidR="003416BE" w:rsidRPr="001E6503">
        <w:rPr>
          <w:rFonts w:ascii="Times New Roman" w:hAnsi="Times New Roman" w:cs="Times New Roman"/>
          <w:sz w:val="24"/>
          <w:szCs w:val="24"/>
        </w:rPr>
        <w:t>RoP</w:t>
      </w:r>
      <w:proofErr w:type="spellEnd"/>
      <w:r w:rsidR="003416BE" w:rsidRPr="001E6503">
        <w:rPr>
          <w:rFonts w:ascii="Times New Roman" w:hAnsi="Times New Roman" w:cs="Times New Roman"/>
          <w:sz w:val="24"/>
          <w:szCs w:val="24"/>
        </w:rPr>
        <w:t xml:space="preserve"> </w:t>
      </w:r>
      <w:r w:rsidR="00DC0081" w:rsidRPr="001E6503">
        <w:rPr>
          <w:rFonts w:ascii="Times New Roman" w:hAnsi="Times New Roman" w:cs="Times New Roman"/>
          <w:sz w:val="24"/>
          <w:szCs w:val="24"/>
        </w:rPr>
        <w:t>sub-</w:t>
      </w:r>
      <w:r w:rsidR="003416BE" w:rsidRPr="001E6503">
        <w:rPr>
          <w:rFonts w:ascii="Times New Roman" w:hAnsi="Times New Roman" w:cs="Times New Roman"/>
          <w:sz w:val="24"/>
          <w:szCs w:val="24"/>
        </w:rPr>
        <w:t>scale</w:t>
      </w:r>
      <w:r w:rsidR="00DC0081" w:rsidRPr="001E6503">
        <w:rPr>
          <w:rFonts w:ascii="Times New Roman" w:hAnsi="Times New Roman" w:cs="Times New Roman"/>
          <w:sz w:val="24"/>
          <w:szCs w:val="24"/>
        </w:rPr>
        <w:t>s</w:t>
      </w:r>
      <w:r w:rsidR="003416BE" w:rsidRPr="001E6503">
        <w:rPr>
          <w:rFonts w:ascii="Times New Roman" w:hAnsi="Times New Roman" w:cs="Times New Roman"/>
          <w:sz w:val="24"/>
          <w:szCs w:val="24"/>
        </w:rPr>
        <w:t xml:space="preserve"> respectively</w:t>
      </w:r>
      <w:r w:rsidR="00DC0081" w:rsidRPr="001E6503">
        <w:rPr>
          <w:rFonts w:ascii="Times New Roman" w:hAnsi="Times New Roman" w:cs="Times New Roman"/>
          <w:sz w:val="24"/>
          <w:szCs w:val="24"/>
        </w:rPr>
        <w:t>.</w:t>
      </w:r>
      <w:r w:rsidR="003416BE" w:rsidRPr="001E6503">
        <w:rPr>
          <w:rFonts w:ascii="Times New Roman" w:hAnsi="Times New Roman" w:cs="Times New Roman"/>
          <w:sz w:val="24"/>
          <w:szCs w:val="24"/>
        </w:rPr>
        <w:t xml:space="preserve"> </w:t>
      </w:r>
    </w:p>
    <w:p w14:paraId="77379BEA" w14:textId="77777777" w:rsidR="00AF598F" w:rsidRPr="00AF598F" w:rsidRDefault="00AF598F" w:rsidP="000B1A46">
      <w:pPr>
        <w:shd w:val="clear" w:color="auto" w:fill="FFFFFF"/>
        <w:spacing w:before="120" w:after="120" w:line="480" w:lineRule="auto"/>
        <w:rPr>
          <w:rFonts w:ascii="Times New Roman" w:hAnsi="Times New Roman" w:cs="Times New Roman"/>
          <w:sz w:val="24"/>
          <w:szCs w:val="24"/>
        </w:rPr>
      </w:pPr>
    </w:p>
    <w:p w14:paraId="29739F4A" w14:textId="77777777" w:rsidR="007014E0" w:rsidRPr="001E6503" w:rsidRDefault="007014E0" w:rsidP="000B1A46">
      <w:pPr>
        <w:spacing w:line="480" w:lineRule="auto"/>
        <w:rPr>
          <w:rFonts w:ascii="Times New Roman" w:hAnsi="Times New Roman" w:cs="Times New Roman"/>
          <w:sz w:val="24"/>
          <w:szCs w:val="24"/>
        </w:rPr>
      </w:pPr>
      <w:r w:rsidRPr="001E6503">
        <w:rPr>
          <w:rFonts w:ascii="Times New Roman" w:hAnsi="Times New Roman" w:cs="Times New Roman"/>
          <w:b/>
          <w:sz w:val="24"/>
          <w:szCs w:val="24"/>
        </w:rPr>
        <w:t>Representativeness check</w:t>
      </w:r>
      <w:r w:rsidR="000C5A1C" w:rsidRPr="001E6503">
        <w:rPr>
          <w:rFonts w:ascii="Times New Roman" w:hAnsi="Times New Roman" w:cs="Times New Roman"/>
          <w:sz w:val="24"/>
          <w:szCs w:val="24"/>
        </w:rPr>
        <w:t xml:space="preserve"> </w:t>
      </w:r>
    </w:p>
    <w:p w14:paraId="6CD4DA8F" w14:textId="4714884D" w:rsidR="00AF598F" w:rsidRDefault="00B261F2" w:rsidP="000B1A46">
      <w:pPr>
        <w:spacing w:line="480" w:lineRule="auto"/>
        <w:rPr>
          <w:rFonts w:ascii="Times New Roman" w:hAnsi="Times New Roman" w:cs="Times New Roman"/>
          <w:sz w:val="24"/>
          <w:szCs w:val="24"/>
        </w:rPr>
      </w:pPr>
      <w:r w:rsidRPr="001E6503">
        <w:rPr>
          <w:rFonts w:ascii="Times New Roman" w:hAnsi="Times New Roman" w:cs="Times New Roman"/>
          <w:sz w:val="24"/>
          <w:szCs w:val="24"/>
        </w:rPr>
        <w:t xml:space="preserve">A series of chi-squared analyses were carried out to </w:t>
      </w:r>
      <w:r w:rsidR="00E61B7B" w:rsidRPr="001E6503">
        <w:rPr>
          <w:rFonts w:ascii="Times New Roman" w:hAnsi="Times New Roman" w:cs="Times New Roman"/>
          <w:sz w:val="24"/>
          <w:szCs w:val="24"/>
        </w:rPr>
        <w:t xml:space="preserve">explore whether there were differences in </w:t>
      </w:r>
      <w:r w:rsidR="00280A28">
        <w:rPr>
          <w:rFonts w:ascii="Times New Roman" w:hAnsi="Times New Roman" w:cs="Times New Roman"/>
          <w:sz w:val="24"/>
          <w:szCs w:val="24"/>
        </w:rPr>
        <w:t xml:space="preserve">between </w:t>
      </w:r>
      <w:r w:rsidR="00057EBC" w:rsidRPr="001E6503">
        <w:rPr>
          <w:rFonts w:ascii="Times New Roman" w:hAnsi="Times New Roman" w:cs="Times New Roman"/>
          <w:sz w:val="24"/>
          <w:szCs w:val="24"/>
        </w:rPr>
        <w:t xml:space="preserve">participants </w:t>
      </w:r>
      <w:r w:rsidR="00280A28">
        <w:rPr>
          <w:rFonts w:ascii="Times New Roman" w:hAnsi="Times New Roman" w:cs="Times New Roman"/>
          <w:sz w:val="24"/>
          <w:szCs w:val="24"/>
        </w:rPr>
        <w:t xml:space="preserve">who either </w:t>
      </w:r>
      <w:r w:rsidR="00C50167">
        <w:rPr>
          <w:rFonts w:ascii="Times New Roman" w:hAnsi="Times New Roman" w:cs="Times New Roman"/>
          <w:sz w:val="24"/>
          <w:szCs w:val="24"/>
        </w:rPr>
        <w:t>were or were not affected by dementia</w:t>
      </w:r>
      <w:r w:rsidRPr="001E6503">
        <w:rPr>
          <w:rFonts w:ascii="Times New Roman" w:hAnsi="Times New Roman" w:cs="Times New Roman"/>
          <w:sz w:val="24"/>
          <w:szCs w:val="24"/>
        </w:rPr>
        <w:t xml:space="preserve">. </w:t>
      </w:r>
      <w:r w:rsidR="000C5A1C" w:rsidRPr="001E6503">
        <w:rPr>
          <w:rFonts w:ascii="Times New Roman" w:hAnsi="Times New Roman" w:cs="Times New Roman"/>
          <w:sz w:val="24"/>
          <w:szCs w:val="24"/>
        </w:rPr>
        <w:t>No differences were detected in terms of gender (</w:t>
      </w:r>
      <w:proofErr w:type="gramStart"/>
      <w:r w:rsidR="000C5A1C" w:rsidRPr="001E6503">
        <w:rPr>
          <w:rFonts w:ascii="Times New Roman" w:hAnsi="Times New Roman" w:cs="Times New Roman"/>
          <w:sz w:val="24"/>
          <w:szCs w:val="24"/>
        </w:rPr>
        <w:t>χ</w:t>
      </w:r>
      <w:r w:rsidR="000C5A1C" w:rsidRPr="001E6503">
        <w:rPr>
          <w:rFonts w:ascii="Times New Roman" w:hAnsi="Times New Roman" w:cs="Times New Roman"/>
          <w:sz w:val="24"/>
          <w:szCs w:val="24"/>
          <w:vertAlign w:val="superscript"/>
        </w:rPr>
        <w:t>2</w:t>
      </w:r>
      <w:r w:rsidR="003852C4" w:rsidRPr="001E6503">
        <w:rPr>
          <w:rFonts w:ascii="Times New Roman" w:hAnsi="Times New Roman" w:cs="Times New Roman"/>
          <w:sz w:val="24"/>
          <w:szCs w:val="24"/>
        </w:rPr>
        <w:t>(</w:t>
      </w:r>
      <w:proofErr w:type="gramEnd"/>
      <w:r w:rsidR="003852C4" w:rsidRPr="001E6503">
        <w:rPr>
          <w:rFonts w:ascii="Times New Roman" w:hAnsi="Times New Roman" w:cs="Times New Roman"/>
          <w:sz w:val="24"/>
          <w:szCs w:val="24"/>
        </w:rPr>
        <w:t>1) = 0.0</w:t>
      </w:r>
      <w:r w:rsidR="000C5A1C" w:rsidRPr="001E6503">
        <w:rPr>
          <w:rFonts w:ascii="Times New Roman" w:hAnsi="Times New Roman" w:cs="Times New Roman"/>
          <w:sz w:val="24"/>
          <w:szCs w:val="24"/>
        </w:rPr>
        <w:t>0</w:t>
      </w:r>
      <w:r w:rsidR="003852C4" w:rsidRPr="001E6503">
        <w:rPr>
          <w:rFonts w:ascii="Times New Roman" w:hAnsi="Times New Roman" w:cs="Times New Roman"/>
          <w:sz w:val="24"/>
          <w:szCs w:val="24"/>
        </w:rPr>
        <w:t>1</w:t>
      </w:r>
      <w:r w:rsidR="000C5A1C" w:rsidRPr="001E6503">
        <w:rPr>
          <w:rFonts w:ascii="Times New Roman" w:hAnsi="Times New Roman" w:cs="Times New Roman"/>
          <w:sz w:val="24"/>
          <w:szCs w:val="24"/>
        </w:rPr>
        <w:t xml:space="preserve">, </w:t>
      </w:r>
      <w:r w:rsidR="000C5A1C" w:rsidRPr="001E6503">
        <w:rPr>
          <w:rFonts w:ascii="Times New Roman" w:hAnsi="Times New Roman" w:cs="Times New Roman"/>
          <w:i/>
          <w:sz w:val="24"/>
          <w:szCs w:val="24"/>
        </w:rPr>
        <w:t>p</w:t>
      </w:r>
      <w:r w:rsidR="003852C4" w:rsidRPr="001E6503">
        <w:rPr>
          <w:rFonts w:ascii="Times New Roman" w:hAnsi="Times New Roman" w:cs="Times New Roman"/>
          <w:sz w:val="24"/>
          <w:szCs w:val="24"/>
        </w:rPr>
        <w:t xml:space="preserve"> = .98</w:t>
      </w:r>
      <w:r w:rsidR="000C5A1C" w:rsidRPr="001E6503">
        <w:rPr>
          <w:rFonts w:ascii="Times New Roman" w:hAnsi="Times New Roman" w:cs="Times New Roman"/>
          <w:sz w:val="24"/>
          <w:szCs w:val="24"/>
        </w:rPr>
        <w:t>),</w:t>
      </w:r>
      <w:r w:rsidR="003852C4" w:rsidRPr="001E6503">
        <w:rPr>
          <w:rFonts w:ascii="Times New Roman" w:hAnsi="Times New Roman" w:cs="Times New Roman"/>
          <w:sz w:val="24"/>
          <w:szCs w:val="24"/>
        </w:rPr>
        <w:t xml:space="preserve"> age group</w:t>
      </w:r>
      <w:r w:rsidRPr="001E6503">
        <w:rPr>
          <w:rFonts w:ascii="Times New Roman" w:hAnsi="Times New Roman" w:cs="Times New Roman"/>
          <w:sz w:val="24"/>
          <w:szCs w:val="24"/>
        </w:rPr>
        <w:t xml:space="preserve"> (those aged under 65 and those aged 65 and over)</w:t>
      </w:r>
      <w:r w:rsidR="003852C4" w:rsidRPr="001E6503">
        <w:rPr>
          <w:rFonts w:ascii="Times New Roman" w:hAnsi="Times New Roman" w:cs="Times New Roman"/>
          <w:sz w:val="24"/>
          <w:szCs w:val="24"/>
        </w:rPr>
        <w:t xml:space="preserve"> (χ</w:t>
      </w:r>
      <w:r w:rsidR="003852C4" w:rsidRPr="001E6503">
        <w:rPr>
          <w:rFonts w:ascii="Times New Roman" w:hAnsi="Times New Roman" w:cs="Times New Roman"/>
          <w:sz w:val="24"/>
          <w:szCs w:val="24"/>
          <w:vertAlign w:val="superscript"/>
        </w:rPr>
        <w:t>2</w:t>
      </w:r>
      <w:r w:rsidR="003852C4" w:rsidRPr="001E6503">
        <w:rPr>
          <w:rFonts w:ascii="Times New Roman" w:hAnsi="Times New Roman" w:cs="Times New Roman"/>
          <w:sz w:val="24"/>
          <w:szCs w:val="24"/>
        </w:rPr>
        <w:t xml:space="preserve">(1) = 0.81, </w:t>
      </w:r>
      <w:r w:rsidR="003852C4" w:rsidRPr="001E6503">
        <w:rPr>
          <w:rFonts w:ascii="Times New Roman" w:hAnsi="Times New Roman" w:cs="Times New Roman"/>
          <w:i/>
          <w:sz w:val="24"/>
          <w:szCs w:val="24"/>
        </w:rPr>
        <w:t>p</w:t>
      </w:r>
      <w:r w:rsidR="003852C4" w:rsidRPr="001E6503">
        <w:rPr>
          <w:rFonts w:ascii="Times New Roman" w:hAnsi="Times New Roman" w:cs="Times New Roman"/>
          <w:sz w:val="24"/>
          <w:szCs w:val="24"/>
        </w:rPr>
        <w:t xml:space="preserve"> = .37),</w:t>
      </w:r>
      <w:r w:rsidR="000C5A1C" w:rsidRPr="001E6503">
        <w:rPr>
          <w:rFonts w:ascii="Times New Roman" w:hAnsi="Times New Roman" w:cs="Times New Roman"/>
          <w:sz w:val="24"/>
          <w:szCs w:val="24"/>
        </w:rPr>
        <w:t xml:space="preserve"> or having worked with someone affected by dementia (χ</w:t>
      </w:r>
      <w:r w:rsidR="000C5A1C" w:rsidRPr="001E6503">
        <w:rPr>
          <w:rFonts w:ascii="Times New Roman" w:hAnsi="Times New Roman" w:cs="Times New Roman"/>
          <w:sz w:val="24"/>
          <w:szCs w:val="24"/>
          <w:vertAlign w:val="superscript"/>
        </w:rPr>
        <w:t>2</w:t>
      </w:r>
      <w:r w:rsidR="003852C4" w:rsidRPr="001E6503">
        <w:rPr>
          <w:rFonts w:ascii="Times New Roman" w:hAnsi="Times New Roman" w:cs="Times New Roman"/>
          <w:sz w:val="24"/>
          <w:szCs w:val="24"/>
        </w:rPr>
        <w:t>(1) = 1.59</w:t>
      </w:r>
      <w:r w:rsidR="000C5A1C" w:rsidRPr="001E6503">
        <w:rPr>
          <w:rFonts w:ascii="Times New Roman" w:hAnsi="Times New Roman" w:cs="Times New Roman"/>
          <w:sz w:val="24"/>
          <w:szCs w:val="24"/>
        </w:rPr>
        <w:t xml:space="preserve">, </w:t>
      </w:r>
      <w:r w:rsidR="000C5A1C" w:rsidRPr="001E6503">
        <w:rPr>
          <w:rFonts w:ascii="Times New Roman" w:hAnsi="Times New Roman" w:cs="Times New Roman"/>
          <w:i/>
          <w:sz w:val="24"/>
          <w:szCs w:val="24"/>
        </w:rPr>
        <w:t>p</w:t>
      </w:r>
      <w:r w:rsidR="003852C4" w:rsidRPr="001E6503">
        <w:rPr>
          <w:rFonts w:ascii="Times New Roman" w:hAnsi="Times New Roman" w:cs="Times New Roman"/>
          <w:sz w:val="24"/>
          <w:szCs w:val="24"/>
        </w:rPr>
        <w:t xml:space="preserve"> = .21</w:t>
      </w:r>
      <w:r w:rsidR="000C5A1C" w:rsidRPr="001E6503">
        <w:rPr>
          <w:rFonts w:ascii="Times New Roman" w:hAnsi="Times New Roman" w:cs="Times New Roman"/>
          <w:sz w:val="24"/>
          <w:szCs w:val="24"/>
        </w:rPr>
        <w:t xml:space="preserve">). </w:t>
      </w:r>
      <w:r w:rsidR="00057EBC" w:rsidRPr="001E6503">
        <w:rPr>
          <w:rFonts w:ascii="Times New Roman" w:hAnsi="Times New Roman" w:cs="Times New Roman"/>
          <w:sz w:val="24"/>
          <w:szCs w:val="24"/>
        </w:rPr>
        <w:t xml:space="preserve">However, </w:t>
      </w:r>
      <w:r w:rsidR="00AF598F">
        <w:rPr>
          <w:rFonts w:ascii="Times New Roman" w:hAnsi="Times New Roman" w:cs="Times New Roman"/>
          <w:sz w:val="24"/>
          <w:szCs w:val="24"/>
        </w:rPr>
        <w:t>there was a difference between White and non-W</w:t>
      </w:r>
      <w:r w:rsidR="00057EBC" w:rsidRPr="001E6503">
        <w:rPr>
          <w:rFonts w:ascii="Times New Roman" w:hAnsi="Times New Roman" w:cs="Times New Roman"/>
          <w:sz w:val="24"/>
          <w:szCs w:val="24"/>
        </w:rPr>
        <w:t xml:space="preserve">hite participants, with </w:t>
      </w:r>
      <w:r w:rsidR="00D96D5B" w:rsidRPr="001E6503">
        <w:rPr>
          <w:rFonts w:ascii="Times New Roman" w:hAnsi="Times New Roman" w:cs="Times New Roman"/>
          <w:sz w:val="24"/>
          <w:szCs w:val="24"/>
        </w:rPr>
        <w:t xml:space="preserve">a larger proportion of </w:t>
      </w:r>
      <w:r w:rsidR="00890C92">
        <w:rPr>
          <w:rFonts w:ascii="Times New Roman" w:hAnsi="Times New Roman" w:cs="Times New Roman"/>
          <w:sz w:val="24"/>
          <w:szCs w:val="24"/>
        </w:rPr>
        <w:t>W</w:t>
      </w:r>
      <w:r w:rsidR="00057EBC" w:rsidRPr="001E6503">
        <w:rPr>
          <w:rFonts w:ascii="Times New Roman" w:hAnsi="Times New Roman" w:cs="Times New Roman"/>
          <w:sz w:val="24"/>
          <w:szCs w:val="24"/>
        </w:rPr>
        <w:t xml:space="preserve">hite </w:t>
      </w:r>
      <w:r w:rsidR="00D96D5B" w:rsidRPr="001E6503">
        <w:rPr>
          <w:rFonts w:ascii="Times New Roman" w:hAnsi="Times New Roman" w:cs="Times New Roman"/>
          <w:sz w:val="24"/>
          <w:szCs w:val="24"/>
        </w:rPr>
        <w:t xml:space="preserve">individuals </w:t>
      </w:r>
      <w:r w:rsidR="00057EBC" w:rsidRPr="001E6503">
        <w:rPr>
          <w:rFonts w:ascii="Times New Roman" w:hAnsi="Times New Roman" w:cs="Times New Roman"/>
          <w:sz w:val="24"/>
          <w:szCs w:val="24"/>
        </w:rPr>
        <w:t>(44.8</w:t>
      </w:r>
      <w:r w:rsidR="0080324F" w:rsidRPr="001E6503">
        <w:rPr>
          <w:rFonts w:ascii="Times New Roman" w:hAnsi="Times New Roman" w:cs="Times New Roman"/>
          <w:sz w:val="24"/>
          <w:szCs w:val="24"/>
        </w:rPr>
        <w:t>%</w:t>
      </w:r>
      <w:r w:rsidR="00057EBC" w:rsidRPr="001E6503">
        <w:rPr>
          <w:rFonts w:ascii="Times New Roman" w:hAnsi="Times New Roman" w:cs="Times New Roman"/>
          <w:sz w:val="24"/>
          <w:szCs w:val="24"/>
        </w:rPr>
        <w:t xml:space="preserve">) </w:t>
      </w:r>
      <w:r w:rsidR="00D96D5B" w:rsidRPr="001E6503">
        <w:rPr>
          <w:rFonts w:ascii="Times New Roman" w:hAnsi="Times New Roman" w:cs="Times New Roman"/>
          <w:sz w:val="24"/>
          <w:szCs w:val="24"/>
        </w:rPr>
        <w:t>report</w:t>
      </w:r>
      <w:r w:rsidR="007237B2" w:rsidRPr="001E6503">
        <w:rPr>
          <w:rFonts w:ascii="Times New Roman" w:hAnsi="Times New Roman" w:cs="Times New Roman"/>
          <w:sz w:val="24"/>
          <w:szCs w:val="24"/>
        </w:rPr>
        <w:t>ing</w:t>
      </w:r>
      <w:r w:rsidR="00D96D5B" w:rsidRPr="001E6503">
        <w:rPr>
          <w:rFonts w:ascii="Times New Roman" w:hAnsi="Times New Roman" w:cs="Times New Roman"/>
          <w:sz w:val="24"/>
          <w:szCs w:val="24"/>
        </w:rPr>
        <w:t xml:space="preserve"> being </w:t>
      </w:r>
      <w:r w:rsidR="00057EBC" w:rsidRPr="001E6503">
        <w:rPr>
          <w:rFonts w:ascii="Times New Roman" w:hAnsi="Times New Roman" w:cs="Times New Roman"/>
          <w:sz w:val="24"/>
          <w:szCs w:val="24"/>
        </w:rPr>
        <w:t xml:space="preserve">personally </w:t>
      </w:r>
      <w:r w:rsidR="00D96D5B" w:rsidRPr="001E6503">
        <w:rPr>
          <w:rFonts w:ascii="Times New Roman" w:hAnsi="Times New Roman" w:cs="Times New Roman"/>
          <w:sz w:val="24"/>
          <w:szCs w:val="24"/>
        </w:rPr>
        <w:t xml:space="preserve">affected by dementia </w:t>
      </w:r>
      <w:r w:rsidR="00057EBC" w:rsidRPr="001E6503">
        <w:rPr>
          <w:rFonts w:ascii="Times New Roman" w:hAnsi="Times New Roman" w:cs="Times New Roman"/>
          <w:sz w:val="24"/>
          <w:szCs w:val="24"/>
        </w:rPr>
        <w:t xml:space="preserve">than </w:t>
      </w:r>
      <w:r w:rsidR="00D96D5B" w:rsidRPr="001E6503">
        <w:rPr>
          <w:rFonts w:ascii="Times New Roman" w:hAnsi="Times New Roman" w:cs="Times New Roman"/>
          <w:sz w:val="24"/>
          <w:szCs w:val="24"/>
        </w:rPr>
        <w:t>non-</w:t>
      </w:r>
      <w:r w:rsidR="00AF598F">
        <w:rPr>
          <w:rFonts w:ascii="Times New Roman" w:hAnsi="Times New Roman" w:cs="Times New Roman"/>
          <w:sz w:val="24"/>
          <w:szCs w:val="24"/>
        </w:rPr>
        <w:t>W</w:t>
      </w:r>
      <w:r w:rsidR="00057EBC" w:rsidRPr="001E6503">
        <w:rPr>
          <w:rFonts w:ascii="Times New Roman" w:hAnsi="Times New Roman" w:cs="Times New Roman"/>
          <w:sz w:val="24"/>
          <w:szCs w:val="24"/>
        </w:rPr>
        <w:t xml:space="preserve">hite respondents </w:t>
      </w:r>
      <w:r w:rsidR="00585D2D" w:rsidRPr="001E6503">
        <w:rPr>
          <w:rFonts w:ascii="Times New Roman" w:hAnsi="Times New Roman" w:cs="Times New Roman"/>
          <w:sz w:val="24"/>
          <w:szCs w:val="24"/>
        </w:rPr>
        <w:t>(2.2</w:t>
      </w:r>
      <w:r w:rsidR="00D96D5B" w:rsidRPr="001E6503">
        <w:rPr>
          <w:rFonts w:ascii="Times New Roman" w:hAnsi="Times New Roman" w:cs="Times New Roman"/>
          <w:sz w:val="24"/>
          <w:szCs w:val="24"/>
        </w:rPr>
        <w:t xml:space="preserve">%), </w:t>
      </w:r>
      <w:proofErr w:type="gramStart"/>
      <w:r w:rsidR="00D96D5B" w:rsidRPr="001E6503">
        <w:rPr>
          <w:rFonts w:ascii="Times New Roman" w:hAnsi="Times New Roman" w:cs="Times New Roman"/>
          <w:sz w:val="24"/>
          <w:szCs w:val="24"/>
        </w:rPr>
        <w:t>χ</w:t>
      </w:r>
      <w:r w:rsidR="00D96D5B" w:rsidRPr="001E6503">
        <w:rPr>
          <w:rFonts w:ascii="Times New Roman" w:hAnsi="Times New Roman" w:cs="Times New Roman"/>
          <w:sz w:val="24"/>
          <w:szCs w:val="24"/>
          <w:vertAlign w:val="superscript"/>
        </w:rPr>
        <w:t>2</w:t>
      </w:r>
      <w:r w:rsidR="00585D2D" w:rsidRPr="001E6503">
        <w:rPr>
          <w:rFonts w:ascii="Times New Roman" w:hAnsi="Times New Roman" w:cs="Times New Roman"/>
          <w:sz w:val="24"/>
          <w:szCs w:val="24"/>
        </w:rPr>
        <w:t>(</w:t>
      </w:r>
      <w:proofErr w:type="gramEnd"/>
      <w:r w:rsidR="00585D2D" w:rsidRPr="001E6503">
        <w:rPr>
          <w:rFonts w:ascii="Times New Roman" w:hAnsi="Times New Roman" w:cs="Times New Roman"/>
          <w:sz w:val="24"/>
          <w:szCs w:val="24"/>
        </w:rPr>
        <w:t>1) = 45.53</w:t>
      </w:r>
      <w:r w:rsidR="00D96D5B" w:rsidRPr="001E6503">
        <w:rPr>
          <w:rFonts w:ascii="Times New Roman" w:hAnsi="Times New Roman" w:cs="Times New Roman"/>
          <w:sz w:val="24"/>
          <w:szCs w:val="24"/>
        </w:rPr>
        <w:t xml:space="preserve">, </w:t>
      </w:r>
      <w:r w:rsidR="00D96D5B" w:rsidRPr="001E6503">
        <w:rPr>
          <w:rFonts w:ascii="Times New Roman" w:hAnsi="Times New Roman" w:cs="Times New Roman"/>
          <w:i/>
          <w:sz w:val="24"/>
          <w:szCs w:val="24"/>
        </w:rPr>
        <w:t>p</w:t>
      </w:r>
      <w:r w:rsidR="00585D2D" w:rsidRPr="001E6503">
        <w:rPr>
          <w:rFonts w:ascii="Times New Roman" w:hAnsi="Times New Roman" w:cs="Times New Roman"/>
          <w:sz w:val="24"/>
          <w:szCs w:val="24"/>
        </w:rPr>
        <w:t xml:space="preserve"> &lt;</w:t>
      </w:r>
      <w:r w:rsidR="00D96D5B" w:rsidRPr="001E6503">
        <w:rPr>
          <w:rFonts w:ascii="Times New Roman" w:hAnsi="Times New Roman" w:cs="Times New Roman"/>
          <w:sz w:val="24"/>
          <w:szCs w:val="24"/>
        </w:rPr>
        <w:t xml:space="preserve"> .001.</w:t>
      </w:r>
      <w:r w:rsidR="003852C4" w:rsidRPr="001E6503">
        <w:rPr>
          <w:rFonts w:ascii="Times New Roman" w:hAnsi="Times New Roman" w:cs="Times New Roman"/>
          <w:sz w:val="24"/>
          <w:szCs w:val="24"/>
        </w:rPr>
        <w:t xml:space="preserve"> </w:t>
      </w:r>
      <w:r w:rsidR="00057EBC" w:rsidRPr="001E6503">
        <w:rPr>
          <w:rFonts w:ascii="Times New Roman" w:hAnsi="Times New Roman" w:cs="Times New Roman"/>
          <w:sz w:val="24"/>
          <w:szCs w:val="24"/>
        </w:rPr>
        <w:t xml:space="preserve">In addition, </w:t>
      </w:r>
      <w:r w:rsidR="000C5A1C" w:rsidRPr="001E6503">
        <w:rPr>
          <w:rFonts w:ascii="Times New Roman" w:hAnsi="Times New Roman" w:cs="Times New Roman"/>
          <w:sz w:val="24"/>
          <w:szCs w:val="24"/>
        </w:rPr>
        <w:t xml:space="preserve">a larger proportion of </w:t>
      </w:r>
      <w:r w:rsidR="00744B64" w:rsidRPr="001E6503">
        <w:rPr>
          <w:rFonts w:ascii="Times New Roman" w:hAnsi="Times New Roman" w:cs="Times New Roman"/>
          <w:sz w:val="24"/>
          <w:szCs w:val="24"/>
        </w:rPr>
        <w:t>women</w:t>
      </w:r>
      <w:r w:rsidR="000C5A1C" w:rsidRPr="001E6503">
        <w:rPr>
          <w:rFonts w:ascii="Times New Roman" w:hAnsi="Times New Roman" w:cs="Times New Roman"/>
          <w:sz w:val="24"/>
          <w:szCs w:val="24"/>
        </w:rPr>
        <w:t xml:space="preserve"> reported working with people affected by dementia compared to </w:t>
      </w:r>
      <w:r w:rsidR="00744B64" w:rsidRPr="001E6503">
        <w:rPr>
          <w:rFonts w:ascii="Times New Roman" w:hAnsi="Times New Roman" w:cs="Times New Roman"/>
          <w:sz w:val="24"/>
          <w:szCs w:val="24"/>
        </w:rPr>
        <w:t>men</w:t>
      </w:r>
      <w:r w:rsidR="00585D2D" w:rsidRPr="001E6503">
        <w:rPr>
          <w:rFonts w:ascii="Times New Roman" w:hAnsi="Times New Roman" w:cs="Times New Roman"/>
          <w:sz w:val="24"/>
          <w:szCs w:val="24"/>
        </w:rPr>
        <w:t xml:space="preserve"> (</w:t>
      </w:r>
      <w:r w:rsidR="000C5A1C" w:rsidRPr="001E6503">
        <w:rPr>
          <w:rFonts w:ascii="Times New Roman" w:hAnsi="Times New Roman" w:cs="Times New Roman"/>
          <w:sz w:val="24"/>
          <w:szCs w:val="24"/>
        </w:rPr>
        <w:t>4</w:t>
      </w:r>
      <w:r w:rsidR="00585D2D" w:rsidRPr="001E6503">
        <w:rPr>
          <w:rFonts w:ascii="Times New Roman" w:hAnsi="Times New Roman" w:cs="Times New Roman"/>
          <w:sz w:val="24"/>
          <w:szCs w:val="24"/>
        </w:rPr>
        <w:t>1.2% versus 8.6</w:t>
      </w:r>
      <w:r w:rsidR="000C5A1C" w:rsidRPr="001E6503">
        <w:rPr>
          <w:rFonts w:ascii="Times New Roman" w:hAnsi="Times New Roman" w:cs="Times New Roman"/>
          <w:sz w:val="24"/>
          <w:szCs w:val="24"/>
        </w:rPr>
        <w:t>% respectively),</w:t>
      </w:r>
      <w:r w:rsidR="0055270D" w:rsidRPr="001E6503">
        <w:rPr>
          <w:rFonts w:ascii="Times New Roman" w:hAnsi="Times New Roman" w:cs="Times New Roman"/>
          <w:sz w:val="24"/>
          <w:szCs w:val="24"/>
        </w:rPr>
        <w:t xml:space="preserve"> </w:t>
      </w:r>
      <w:proofErr w:type="gramStart"/>
      <w:r w:rsidR="000C5A1C" w:rsidRPr="001E6503">
        <w:rPr>
          <w:rFonts w:ascii="Times New Roman" w:hAnsi="Times New Roman" w:cs="Times New Roman"/>
          <w:sz w:val="24"/>
          <w:szCs w:val="24"/>
        </w:rPr>
        <w:t>χ</w:t>
      </w:r>
      <w:r w:rsidR="000C5A1C" w:rsidRPr="001E6503">
        <w:rPr>
          <w:rFonts w:ascii="Times New Roman" w:hAnsi="Times New Roman" w:cs="Times New Roman"/>
          <w:sz w:val="24"/>
          <w:szCs w:val="24"/>
          <w:vertAlign w:val="superscript"/>
        </w:rPr>
        <w:t>2</w:t>
      </w:r>
      <w:r w:rsidR="00585D2D" w:rsidRPr="001E6503">
        <w:rPr>
          <w:rFonts w:ascii="Times New Roman" w:hAnsi="Times New Roman" w:cs="Times New Roman"/>
          <w:sz w:val="24"/>
          <w:szCs w:val="24"/>
        </w:rPr>
        <w:t>(</w:t>
      </w:r>
      <w:proofErr w:type="gramEnd"/>
      <w:r w:rsidR="00585D2D" w:rsidRPr="001E6503">
        <w:rPr>
          <w:rFonts w:ascii="Times New Roman" w:hAnsi="Times New Roman" w:cs="Times New Roman"/>
          <w:sz w:val="24"/>
          <w:szCs w:val="24"/>
        </w:rPr>
        <w:t>1) = 17.77</w:t>
      </w:r>
      <w:r w:rsidR="000C5A1C" w:rsidRPr="001E6503">
        <w:rPr>
          <w:rFonts w:ascii="Times New Roman" w:hAnsi="Times New Roman" w:cs="Times New Roman"/>
          <w:sz w:val="24"/>
          <w:szCs w:val="24"/>
        </w:rPr>
        <w:t xml:space="preserve">, </w:t>
      </w:r>
      <w:r w:rsidR="000C5A1C" w:rsidRPr="001E6503">
        <w:rPr>
          <w:rFonts w:ascii="Times New Roman" w:hAnsi="Times New Roman" w:cs="Times New Roman"/>
          <w:i/>
          <w:sz w:val="24"/>
          <w:szCs w:val="24"/>
        </w:rPr>
        <w:t>p</w:t>
      </w:r>
      <w:r w:rsidR="00585D2D" w:rsidRPr="001E6503">
        <w:rPr>
          <w:rFonts w:ascii="Times New Roman" w:hAnsi="Times New Roman" w:cs="Times New Roman"/>
          <w:sz w:val="24"/>
          <w:szCs w:val="24"/>
        </w:rPr>
        <w:t xml:space="preserve"> &lt;</w:t>
      </w:r>
      <w:r w:rsidR="000C5A1C" w:rsidRPr="001E6503">
        <w:rPr>
          <w:rFonts w:ascii="Times New Roman" w:hAnsi="Times New Roman" w:cs="Times New Roman"/>
          <w:sz w:val="24"/>
          <w:szCs w:val="24"/>
        </w:rPr>
        <w:t xml:space="preserve"> .001.</w:t>
      </w:r>
    </w:p>
    <w:p w14:paraId="2B655892" w14:textId="77777777" w:rsidR="00AF598F" w:rsidRDefault="00AF598F" w:rsidP="000B1A46">
      <w:pPr>
        <w:spacing w:line="480" w:lineRule="auto"/>
        <w:rPr>
          <w:rFonts w:ascii="Times New Roman" w:hAnsi="Times New Roman" w:cs="Times New Roman"/>
          <w:sz w:val="24"/>
          <w:szCs w:val="24"/>
        </w:rPr>
      </w:pPr>
    </w:p>
    <w:p w14:paraId="6099D988" w14:textId="50200B89" w:rsidR="00264CD6" w:rsidRPr="00264CD6" w:rsidRDefault="00264CD6" w:rsidP="000B1A46">
      <w:pPr>
        <w:spacing w:line="480" w:lineRule="auto"/>
        <w:rPr>
          <w:rFonts w:ascii="Times New Roman" w:hAnsi="Times New Roman" w:cs="Times New Roman"/>
          <w:b/>
          <w:sz w:val="24"/>
          <w:szCs w:val="24"/>
        </w:rPr>
      </w:pPr>
      <w:r w:rsidRPr="00264CD6">
        <w:rPr>
          <w:rFonts w:ascii="Times New Roman" w:hAnsi="Times New Roman" w:cs="Times New Roman"/>
          <w:b/>
          <w:sz w:val="24"/>
          <w:szCs w:val="24"/>
        </w:rPr>
        <w:t xml:space="preserve">Exploring demographic differences in responses on the ADQ </w:t>
      </w:r>
    </w:p>
    <w:p w14:paraId="3CD1876D" w14:textId="4D453497" w:rsidR="00AF598F" w:rsidRDefault="003C1192" w:rsidP="00AF598F">
      <w:pPr>
        <w:spacing w:line="480" w:lineRule="auto"/>
        <w:rPr>
          <w:rFonts w:ascii="Times New Roman" w:hAnsi="Times New Roman" w:cs="Times New Roman"/>
          <w:sz w:val="24"/>
          <w:szCs w:val="24"/>
        </w:rPr>
      </w:pPr>
      <w:r w:rsidRPr="00E56E55">
        <w:rPr>
          <w:rFonts w:ascii="Times New Roman" w:hAnsi="Times New Roman" w:cs="Times New Roman"/>
          <w:sz w:val="24"/>
          <w:szCs w:val="24"/>
        </w:rPr>
        <w:lastRenderedPageBreak/>
        <w:t xml:space="preserve">Table 2 shows the weighted descriptive statistics of the ADQ arranged by the demographic background of participants. </w:t>
      </w:r>
      <w:r w:rsidR="00E56E55" w:rsidRPr="00E56E55">
        <w:rPr>
          <w:rFonts w:ascii="Times New Roman" w:hAnsi="Times New Roman" w:cs="Times New Roman"/>
          <w:sz w:val="24"/>
          <w:szCs w:val="24"/>
        </w:rPr>
        <w:t>Whilst overall data indicates a largely positive attitude toward people affected by dementia in the sub-sample</w:t>
      </w:r>
      <w:r w:rsidR="00E56E55" w:rsidRPr="001E6503">
        <w:rPr>
          <w:rFonts w:ascii="Times New Roman" w:hAnsi="Times New Roman" w:cs="Times New Roman"/>
          <w:sz w:val="24"/>
          <w:szCs w:val="24"/>
        </w:rPr>
        <w:t xml:space="preserve"> </w:t>
      </w:r>
      <w:r w:rsidR="00E56E55">
        <w:rPr>
          <w:rFonts w:ascii="Times New Roman" w:hAnsi="Times New Roman" w:cs="Times New Roman"/>
          <w:sz w:val="24"/>
          <w:szCs w:val="24"/>
        </w:rPr>
        <w:t xml:space="preserve">(Hope and </w:t>
      </w:r>
      <w:proofErr w:type="spellStart"/>
      <w:r w:rsidR="00E56E55">
        <w:rPr>
          <w:rFonts w:ascii="Times New Roman" w:hAnsi="Times New Roman" w:cs="Times New Roman"/>
          <w:sz w:val="24"/>
          <w:szCs w:val="24"/>
        </w:rPr>
        <w:t>RoP</w:t>
      </w:r>
      <w:proofErr w:type="spellEnd"/>
      <w:r w:rsidR="00E56E55">
        <w:rPr>
          <w:rFonts w:ascii="Times New Roman" w:hAnsi="Times New Roman" w:cs="Times New Roman"/>
          <w:sz w:val="24"/>
          <w:szCs w:val="24"/>
        </w:rPr>
        <w:t xml:space="preserve"> mean item scores 3.41 and 4.32 respectively, out of a maximum of 5), </w:t>
      </w:r>
      <w:r w:rsidR="00E56E55" w:rsidRPr="00E56E55">
        <w:rPr>
          <w:rFonts w:ascii="Times New Roman" w:hAnsi="Times New Roman" w:cs="Times New Roman"/>
          <w:sz w:val="24"/>
          <w:szCs w:val="24"/>
        </w:rPr>
        <w:t>there may be some differences in attitude based on demographic characteristics</w:t>
      </w:r>
      <w:r w:rsidR="00E56E55">
        <w:rPr>
          <w:rFonts w:ascii="Times New Roman" w:hAnsi="Times New Roman" w:cs="Times New Roman"/>
          <w:sz w:val="24"/>
          <w:szCs w:val="24"/>
        </w:rPr>
        <w:t xml:space="preserve"> (e.g., </w:t>
      </w:r>
      <w:r w:rsidR="00E56E55" w:rsidRPr="001E6503">
        <w:rPr>
          <w:rFonts w:ascii="Times New Roman" w:hAnsi="Times New Roman" w:cs="Times New Roman"/>
          <w:sz w:val="24"/>
          <w:szCs w:val="24"/>
        </w:rPr>
        <w:t>mean item score o</w:t>
      </w:r>
      <w:r w:rsidR="00E56E55">
        <w:rPr>
          <w:rFonts w:ascii="Times New Roman" w:hAnsi="Times New Roman" w:cs="Times New Roman"/>
          <w:sz w:val="24"/>
          <w:szCs w:val="24"/>
        </w:rPr>
        <w:t xml:space="preserve">f women on the Hope are </w:t>
      </w:r>
      <w:proofErr w:type="spellStart"/>
      <w:r w:rsidR="00E56E55">
        <w:rPr>
          <w:rFonts w:ascii="Times New Roman" w:hAnsi="Times New Roman" w:cs="Times New Roman"/>
          <w:sz w:val="24"/>
          <w:szCs w:val="24"/>
        </w:rPr>
        <w:t>RoP</w:t>
      </w:r>
      <w:proofErr w:type="spellEnd"/>
      <w:r w:rsidR="00E56E55">
        <w:rPr>
          <w:rFonts w:ascii="Times New Roman" w:hAnsi="Times New Roman" w:cs="Times New Roman"/>
          <w:sz w:val="24"/>
          <w:szCs w:val="24"/>
        </w:rPr>
        <w:t xml:space="preserve"> scale are</w:t>
      </w:r>
      <w:r w:rsidR="00E56E55" w:rsidRPr="001E6503">
        <w:rPr>
          <w:rFonts w:ascii="Times New Roman" w:hAnsi="Times New Roman" w:cs="Times New Roman"/>
          <w:sz w:val="24"/>
          <w:szCs w:val="24"/>
        </w:rPr>
        <w:t xml:space="preserve"> 3.39</w:t>
      </w:r>
      <w:r w:rsidR="00E56E55">
        <w:rPr>
          <w:rFonts w:ascii="Times New Roman" w:hAnsi="Times New Roman" w:cs="Times New Roman"/>
          <w:sz w:val="24"/>
          <w:szCs w:val="24"/>
        </w:rPr>
        <w:t>,</w:t>
      </w:r>
      <w:r w:rsidR="00E56E55" w:rsidRPr="001E6503">
        <w:rPr>
          <w:rFonts w:ascii="Times New Roman" w:hAnsi="Times New Roman" w:cs="Times New Roman"/>
          <w:sz w:val="24"/>
          <w:szCs w:val="24"/>
        </w:rPr>
        <w:t xml:space="preserve"> and 4.45</w:t>
      </w:r>
      <w:r w:rsidR="00E56E55">
        <w:rPr>
          <w:rFonts w:ascii="Times New Roman" w:hAnsi="Times New Roman" w:cs="Times New Roman"/>
          <w:sz w:val="24"/>
          <w:szCs w:val="24"/>
        </w:rPr>
        <w:t xml:space="preserve"> respectively</w:t>
      </w:r>
      <w:r w:rsidR="00E56E55" w:rsidRPr="001E6503">
        <w:rPr>
          <w:rFonts w:ascii="Times New Roman" w:hAnsi="Times New Roman" w:cs="Times New Roman"/>
          <w:sz w:val="24"/>
          <w:szCs w:val="24"/>
        </w:rPr>
        <w:t xml:space="preserve">. Men achieved an identical mean score on the Hope scale to women, and a slightly lower average item score of 4.35 on the </w:t>
      </w:r>
      <w:proofErr w:type="spellStart"/>
      <w:r w:rsidR="00E56E55" w:rsidRPr="001E6503">
        <w:rPr>
          <w:rFonts w:ascii="Times New Roman" w:hAnsi="Times New Roman" w:cs="Times New Roman"/>
          <w:sz w:val="24"/>
          <w:szCs w:val="24"/>
        </w:rPr>
        <w:t>RoP</w:t>
      </w:r>
      <w:proofErr w:type="spellEnd"/>
      <w:r w:rsidR="00E56E55">
        <w:rPr>
          <w:rFonts w:ascii="Times New Roman" w:hAnsi="Times New Roman" w:cs="Times New Roman"/>
          <w:sz w:val="24"/>
          <w:szCs w:val="24"/>
        </w:rPr>
        <w:t xml:space="preserve"> scale.). </w:t>
      </w:r>
      <w:r w:rsidR="00E56E55" w:rsidRPr="00E56E55">
        <w:rPr>
          <w:rFonts w:ascii="Times New Roman" w:hAnsi="Times New Roman" w:cs="Times New Roman"/>
          <w:sz w:val="24"/>
          <w:szCs w:val="24"/>
        </w:rPr>
        <w:t>In order to explore this, a series of analyses were conducted examining gender, age, ethnicity and experience with dementia.</w:t>
      </w:r>
    </w:p>
    <w:p w14:paraId="6A03968E" w14:textId="77777777" w:rsidR="00AF598F" w:rsidRPr="00E56E55" w:rsidRDefault="00AF598F" w:rsidP="00AF598F">
      <w:pPr>
        <w:spacing w:line="480" w:lineRule="auto"/>
        <w:rPr>
          <w:rFonts w:ascii="Times New Roman" w:hAnsi="Times New Roman" w:cs="Times New Roman"/>
          <w:sz w:val="24"/>
          <w:szCs w:val="24"/>
        </w:rPr>
      </w:pPr>
    </w:p>
    <w:p w14:paraId="49128E49" w14:textId="77777777" w:rsidR="00B369A7" w:rsidRPr="001E6503" w:rsidRDefault="00B369A7" w:rsidP="00B369A7">
      <w:pPr>
        <w:spacing w:line="480" w:lineRule="auto"/>
        <w:rPr>
          <w:rFonts w:ascii="Times New Roman" w:hAnsi="Times New Roman" w:cs="Times New Roman"/>
          <w:b/>
          <w:sz w:val="24"/>
          <w:szCs w:val="24"/>
        </w:rPr>
      </w:pPr>
      <w:r>
        <w:rPr>
          <w:rFonts w:ascii="Times New Roman" w:hAnsi="Times New Roman" w:cs="Times New Roman"/>
          <w:b/>
          <w:sz w:val="24"/>
          <w:szCs w:val="24"/>
        </w:rPr>
        <w:t>G</w:t>
      </w:r>
      <w:r w:rsidRPr="001E6503">
        <w:rPr>
          <w:rFonts w:ascii="Times New Roman" w:hAnsi="Times New Roman" w:cs="Times New Roman"/>
          <w:b/>
          <w:sz w:val="24"/>
          <w:szCs w:val="24"/>
        </w:rPr>
        <w:t>ender</w:t>
      </w:r>
      <w:r>
        <w:rPr>
          <w:rFonts w:ascii="Times New Roman" w:hAnsi="Times New Roman" w:cs="Times New Roman"/>
          <w:b/>
          <w:sz w:val="24"/>
          <w:szCs w:val="24"/>
        </w:rPr>
        <w:t xml:space="preserve"> differences</w:t>
      </w:r>
    </w:p>
    <w:p w14:paraId="67E96D78" w14:textId="77777777" w:rsidR="00B369A7" w:rsidRDefault="00B369A7" w:rsidP="00B369A7">
      <w:pPr>
        <w:spacing w:line="480" w:lineRule="auto"/>
        <w:rPr>
          <w:rFonts w:ascii="Times New Roman" w:hAnsi="Times New Roman" w:cs="Times New Roman"/>
          <w:sz w:val="24"/>
          <w:szCs w:val="24"/>
        </w:rPr>
      </w:pPr>
      <w:r w:rsidRPr="001E6503">
        <w:rPr>
          <w:rFonts w:ascii="Times New Roman" w:hAnsi="Times New Roman" w:cs="Times New Roman"/>
          <w:sz w:val="24"/>
          <w:szCs w:val="24"/>
        </w:rPr>
        <w:t>No differences in scores were found between the genders</w:t>
      </w:r>
      <w:r>
        <w:rPr>
          <w:rFonts w:ascii="Times New Roman" w:hAnsi="Times New Roman" w:cs="Times New Roman"/>
          <w:sz w:val="24"/>
          <w:szCs w:val="24"/>
        </w:rPr>
        <w:t xml:space="preserve"> on the Hope </w:t>
      </w:r>
      <w:r w:rsidRPr="001E6503">
        <w:rPr>
          <w:rFonts w:ascii="Times New Roman" w:hAnsi="Times New Roman" w:cs="Times New Roman"/>
          <w:sz w:val="24"/>
          <w:szCs w:val="24"/>
        </w:rPr>
        <w:t>(</w:t>
      </w:r>
      <w:proofErr w:type="gramStart"/>
      <w:r w:rsidRPr="001E6503">
        <w:rPr>
          <w:rFonts w:ascii="Times New Roman" w:hAnsi="Times New Roman" w:cs="Times New Roman"/>
          <w:i/>
          <w:sz w:val="24"/>
          <w:szCs w:val="24"/>
        </w:rPr>
        <w:t>t</w:t>
      </w:r>
      <w:r>
        <w:rPr>
          <w:rFonts w:ascii="Times New Roman" w:hAnsi="Times New Roman" w:cs="Times New Roman"/>
          <w:sz w:val="24"/>
          <w:szCs w:val="24"/>
        </w:rPr>
        <w:t>(</w:t>
      </w:r>
      <w:proofErr w:type="gramEnd"/>
      <w:r>
        <w:rPr>
          <w:rFonts w:ascii="Times New Roman" w:hAnsi="Times New Roman" w:cs="Times New Roman"/>
          <w:sz w:val="24"/>
          <w:szCs w:val="24"/>
        </w:rPr>
        <w:t>790</w:t>
      </w:r>
      <w:r w:rsidRPr="001E6503">
        <w:rPr>
          <w:rFonts w:ascii="Times New Roman" w:hAnsi="Times New Roman" w:cs="Times New Roman"/>
          <w:sz w:val="24"/>
          <w:szCs w:val="24"/>
        </w:rPr>
        <w:t xml:space="preserve">) = </w:t>
      </w:r>
      <w:r>
        <w:rPr>
          <w:rFonts w:ascii="Times New Roman" w:hAnsi="Times New Roman" w:cs="Times New Roman"/>
          <w:sz w:val="24"/>
          <w:szCs w:val="24"/>
        </w:rPr>
        <w:t>-1.06</w:t>
      </w:r>
      <w:r w:rsidRPr="001E6503">
        <w:rPr>
          <w:rFonts w:ascii="Times New Roman" w:hAnsi="Times New Roman" w:cs="Times New Roman"/>
          <w:sz w:val="24"/>
          <w:szCs w:val="24"/>
        </w:rPr>
        <w:t xml:space="preserve">, </w:t>
      </w:r>
      <w:r w:rsidRPr="001E6503">
        <w:rPr>
          <w:rFonts w:ascii="Times New Roman" w:hAnsi="Times New Roman" w:cs="Times New Roman"/>
          <w:i/>
          <w:sz w:val="24"/>
          <w:szCs w:val="24"/>
        </w:rPr>
        <w:t>p</w:t>
      </w:r>
      <w:r>
        <w:rPr>
          <w:rFonts w:ascii="Times New Roman" w:hAnsi="Times New Roman" w:cs="Times New Roman"/>
          <w:sz w:val="24"/>
          <w:szCs w:val="24"/>
        </w:rPr>
        <w:t xml:space="preserve"> =</w:t>
      </w:r>
      <w:r w:rsidRPr="001E6503">
        <w:rPr>
          <w:rFonts w:ascii="Times New Roman" w:hAnsi="Times New Roman" w:cs="Times New Roman"/>
          <w:sz w:val="24"/>
          <w:szCs w:val="24"/>
        </w:rPr>
        <w:t xml:space="preserve"> .</w:t>
      </w:r>
      <w:r>
        <w:rPr>
          <w:rFonts w:ascii="Times New Roman" w:hAnsi="Times New Roman" w:cs="Times New Roman"/>
          <w:sz w:val="24"/>
          <w:szCs w:val="24"/>
        </w:rPr>
        <w:t>29</w:t>
      </w:r>
      <w:r w:rsidRPr="001E6503">
        <w:rPr>
          <w:rFonts w:ascii="Times New Roman" w:hAnsi="Times New Roman" w:cs="Times New Roman"/>
          <w:sz w:val="24"/>
          <w:szCs w:val="24"/>
        </w:rPr>
        <w:t xml:space="preserve">, </w:t>
      </w:r>
      <w:r w:rsidRPr="001E6503">
        <w:rPr>
          <w:rFonts w:ascii="Times New Roman" w:hAnsi="Times New Roman" w:cs="Times New Roman"/>
          <w:i/>
          <w:sz w:val="24"/>
          <w:szCs w:val="24"/>
        </w:rPr>
        <w:t>d</w:t>
      </w:r>
      <w:r w:rsidRPr="001E6503">
        <w:rPr>
          <w:rFonts w:ascii="Times New Roman" w:hAnsi="Times New Roman" w:cs="Times New Roman"/>
          <w:sz w:val="24"/>
          <w:szCs w:val="24"/>
        </w:rPr>
        <w:t xml:space="preserve"> = .</w:t>
      </w:r>
      <w:r>
        <w:rPr>
          <w:rFonts w:ascii="Times New Roman" w:hAnsi="Times New Roman" w:cs="Times New Roman"/>
          <w:sz w:val="24"/>
          <w:szCs w:val="24"/>
        </w:rPr>
        <w:t>08</w:t>
      </w:r>
      <w:r w:rsidRPr="001E6503">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RoP</w:t>
      </w:r>
      <w:proofErr w:type="spellEnd"/>
      <w:r>
        <w:rPr>
          <w:rFonts w:ascii="Times New Roman" w:hAnsi="Times New Roman" w:cs="Times New Roman"/>
          <w:sz w:val="24"/>
          <w:szCs w:val="24"/>
        </w:rPr>
        <w:t xml:space="preserve"> </w:t>
      </w:r>
      <w:r w:rsidRPr="001E6503">
        <w:rPr>
          <w:rFonts w:ascii="Times New Roman" w:hAnsi="Times New Roman" w:cs="Times New Roman"/>
          <w:sz w:val="24"/>
          <w:szCs w:val="24"/>
        </w:rPr>
        <w:t>(</w:t>
      </w:r>
      <w:r w:rsidRPr="001E6503">
        <w:rPr>
          <w:rFonts w:ascii="Times New Roman" w:hAnsi="Times New Roman" w:cs="Times New Roman"/>
          <w:i/>
          <w:sz w:val="24"/>
          <w:szCs w:val="24"/>
        </w:rPr>
        <w:t>t</w:t>
      </w:r>
      <w:r>
        <w:rPr>
          <w:rFonts w:ascii="Times New Roman" w:hAnsi="Times New Roman" w:cs="Times New Roman"/>
          <w:sz w:val="24"/>
          <w:szCs w:val="24"/>
        </w:rPr>
        <w:t>(790</w:t>
      </w:r>
      <w:r w:rsidRPr="001E6503">
        <w:rPr>
          <w:rFonts w:ascii="Times New Roman" w:hAnsi="Times New Roman" w:cs="Times New Roman"/>
          <w:sz w:val="24"/>
          <w:szCs w:val="24"/>
        </w:rPr>
        <w:t xml:space="preserve">) = </w:t>
      </w:r>
      <w:r>
        <w:rPr>
          <w:rFonts w:ascii="Times New Roman" w:hAnsi="Times New Roman" w:cs="Times New Roman"/>
          <w:sz w:val="24"/>
          <w:szCs w:val="24"/>
        </w:rPr>
        <w:t>-1.55</w:t>
      </w:r>
      <w:r w:rsidRPr="001E6503">
        <w:rPr>
          <w:rFonts w:ascii="Times New Roman" w:hAnsi="Times New Roman" w:cs="Times New Roman"/>
          <w:sz w:val="24"/>
          <w:szCs w:val="24"/>
        </w:rPr>
        <w:t xml:space="preserve">, </w:t>
      </w:r>
      <w:r w:rsidRPr="001E6503">
        <w:rPr>
          <w:rFonts w:ascii="Times New Roman" w:hAnsi="Times New Roman" w:cs="Times New Roman"/>
          <w:i/>
          <w:sz w:val="24"/>
          <w:szCs w:val="24"/>
        </w:rPr>
        <w:t>p</w:t>
      </w:r>
      <w:r>
        <w:rPr>
          <w:rFonts w:ascii="Times New Roman" w:hAnsi="Times New Roman" w:cs="Times New Roman"/>
          <w:sz w:val="24"/>
          <w:szCs w:val="24"/>
        </w:rPr>
        <w:t xml:space="preserve"> = .</w:t>
      </w:r>
      <w:r w:rsidRPr="001E6503">
        <w:rPr>
          <w:rFonts w:ascii="Times New Roman" w:hAnsi="Times New Roman" w:cs="Times New Roman"/>
          <w:sz w:val="24"/>
          <w:szCs w:val="24"/>
        </w:rPr>
        <w:t>1</w:t>
      </w:r>
      <w:r>
        <w:rPr>
          <w:rFonts w:ascii="Times New Roman" w:hAnsi="Times New Roman" w:cs="Times New Roman"/>
          <w:sz w:val="24"/>
          <w:szCs w:val="24"/>
        </w:rPr>
        <w:t>2</w:t>
      </w:r>
      <w:r w:rsidRPr="001E6503">
        <w:rPr>
          <w:rFonts w:ascii="Times New Roman" w:hAnsi="Times New Roman" w:cs="Times New Roman"/>
          <w:sz w:val="24"/>
          <w:szCs w:val="24"/>
        </w:rPr>
        <w:t xml:space="preserve">, </w:t>
      </w:r>
      <w:r w:rsidRPr="001E6503">
        <w:rPr>
          <w:rFonts w:ascii="Times New Roman" w:hAnsi="Times New Roman" w:cs="Times New Roman"/>
          <w:i/>
          <w:sz w:val="24"/>
          <w:szCs w:val="24"/>
        </w:rPr>
        <w:t>d</w:t>
      </w:r>
      <w:r w:rsidRPr="001E6503">
        <w:rPr>
          <w:rFonts w:ascii="Times New Roman" w:hAnsi="Times New Roman" w:cs="Times New Roman"/>
          <w:sz w:val="24"/>
          <w:szCs w:val="24"/>
        </w:rPr>
        <w:t xml:space="preserve"> = .</w:t>
      </w:r>
      <w:r>
        <w:rPr>
          <w:rFonts w:ascii="Times New Roman" w:hAnsi="Times New Roman" w:cs="Times New Roman"/>
          <w:sz w:val="24"/>
          <w:szCs w:val="24"/>
        </w:rPr>
        <w:t>11</w:t>
      </w:r>
      <w:r w:rsidRPr="001E6503">
        <w:rPr>
          <w:rFonts w:ascii="Times New Roman" w:hAnsi="Times New Roman" w:cs="Times New Roman"/>
          <w:sz w:val="24"/>
          <w:szCs w:val="24"/>
        </w:rPr>
        <w:t>)</w:t>
      </w:r>
      <w:r>
        <w:rPr>
          <w:rFonts w:ascii="Times New Roman" w:hAnsi="Times New Roman" w:cs="Times New Roman"/>
          <w:sz w:val="24"/>
          <w:szCs w:val="24"/>
        </w:rPr>
        <w:t xml:space="preserve">, or total scores </w:t>
      </w:r>
      <w:r w:rsidRPr="001E6503">
        <w:rPr>
          <w:rFonts w:ascii="Times New Roman" w:hAnsi="Times New Roman" w:cs="Times New Roman"/>
          <w:sz w:val="24"/>
          <w:szCs w:val="24"/>
        </w:rPr>
        <w:t>(</w:t>
      </w:r>
      <w:r w:rsidRPr="001E6503">
        <w:rPr>
          <w:rFonts w:ascii="Times New Roman" w:hAnsi="Times New Roman" w:cs="Times New Roman"/>
          <w:i/>
          <w:sz w:val="24"/>
          <w:szCs w:val="24"/>
        </w:rPr>
        <w:t>t</w:t>
      </w:r>
      <w:r>
        <w:rPr>
          <w:rFonts w:ascii="Times New Roman" w:hAnsi="Times New Roman" w:cs="Times New Roman"/>
          <w:sz w:val="24"/>
          <w:szCs w:val="24"/>
        </w:rPr>
        <w:t>(790</w:t>
      </w:r>
      <w:r w:rsidRPr="001E6503">
        <w:rPr>
          <w:rFonts w:ascii="Times New Roman" w:hAnsi="Times New Roman" w:cs="Times New Roman"/>
          <w:sz w:val="24"/>
          <w:szCs w:val="24"/>
        </w:rPr>
        <w:t xml:space="preserve">) = </w:t>
      </w:r>
      <w:r>
        <w:rPr>
          <w:rFonts w:ascii="Times New Roman" w:hAnsi="Times New Roman" w:cs="Times New Roman"/>
          <w:sz w:val="24"/>
          <w:szCs w:val="24"/>
        </w:rPr>
        <w:t>-1.52</w:t>
      </w:r>
      <w:r w:rsidRPr="001E6503">
        <w:rPr>
          <w:rFonts w:ascii="Times New Roman" w:hAnsi="Times New Roman" w:cs="Times New Roman"/>
          <w:sz w:val="24"/>
          <w:szCs w:val="24"/>
        </w:rPr>
        <w:t xml:space="preserve">, </w:t>
      </w:r>
      <w:r w:rsidRPr="001E6503">
        <w:rPr>
          <w:rFonts w:ascii="Times New Roman" w:hAnsi="Times New Roman" w:cs="Times New Roman"/>
          <w:i/>
          <w:sz w:val="24"/>
          <w:szCs w:val="24"/>
        </w:rPr>
        <w:t>p</w:t>
      </w:r>
      <w:r>
        <w:rPr>
          <w:rFonts w:ascii="Times New Roman" w:hAnsi="Times New Roman" w:cs="Times New Roman"/>
          <w:sz w:val="24"/>
          <w:szCs w:val="24"/>
        </w:rPr>
        <w:t xml:space="preserve"> = .</w:t>
      </w:r>
      <w:r w:rsidRPr="001E6503">
        <w:rPr>
          <w:rFonts w:ascii="Times New Roman" w:hAnsi="Times New Roman" w:cs="Times New Roman"/>
          <w:sz w:val="24"/>
          <w:szCs w:val="24"/>
        </w:rPr>
        <w:t>1</w:t>
      </w:r>
      <w:r>
        <w:rPr>
          <w:rFonts w:ascii="Times New Roman" w:hAnsi="Times New Roman" w:cs="Times New Roman"/>
          <w:sz w:val="24"/>
          <w:szCs w:val="24"/>
        </w:rPr>
        <w:t>3</w:t>
      </w:r>
      <w:r w:rsidRPr="001E6503">
        <w:rPr>
          <w:rFonts w:ascii="Times New Roman" w:hAnsi="Times New Roman" w:cs="Times New Roman"/>
          <w:sz w:val="24"/>
          <w:szCs w:val="24"/>
        </w:rPr>
        <w:t xml:space="preserve">, </w:t>
      </w:r>
      <w:r w:rsidRPr="001E6503">
        <w:rPr>
          <w:rFonts w:ascii="Times New Roman" w:hAnsi="Times New Roman" w:cs="Times New Roman"/>
          <w:i/>
          <w:sz w:val="24"/>
          <w:szCs w:val="24"/>
        </w:rPr>
        <w:t>d</w:t>
      </w:r>
      <w:r w:rsidRPr="001E6503">
        <w:rPr>
          <w:rFonts w:ascii="Times New Roman" w:hAnsi="Times New Roman" w:cs="Times New Roman"/>
          <w:sz w:val="24"/>
          <w:szCs w:val="24"/>
        </w:rPr>
        <w:t xml:space="preserve"> = .</w:t>
      </w:r>
      <w:r>
        <w:rPr>
          <w:rFonts w:ascii="Times New Roman" w:hAnsi="Times New Roman" w:cs="Times New Roman"/>
          <w:sz w:val="24"/>
          <w:szCs w:val="24"/>
        </w:rPr>
        <w:t>11</w:t>
      </w:r>
      <w:r w:rsidRPr="001E6503">
        <w:rPr>
          <w:rFonts w:ascii="Times New Roman" w:hAnsi="Times New Roman" w:cs="Times New Roman"/>
          <w:sz w:val="24"/>
          <w:szCs w:val="24"/>
        </w:rPr>
        <w:t>).</w:t>
      </w:r>
    </w:p>
    <w:p w14:paraId="26B3A44C" w14:textId="77777777" w:rsidR="00AF598F" w:rsidRPr="001E6503" w:rsidRDefault="00AF598F" w:rsidP="00B369A7">
      <w:pPr>
        <w:spacing w:line="480" w:lineRule="auto"/>
        <w:rPr>
          <w:rFonts w:ascii="Times New Roman" w:hAnsi="Times New Roman" w:cs="Times New Roman"/>
          <w:i/>
          <w:sz w:val="24"/>
          <w:szCs w:val="24"/>
        </w:rPr>
      </w:pPr>
    </w:p>
    <w:p w14:paraId="1C58E110" w14:textId="64CA39BD" w:rsidR="007014E0" w:rsidRPr="00264CD6" w:rsidRDefault="004B693B" w:rsidP="000B1A46">
      <w:pPr>
        <w:spacing w:line="480" w:lineRule="auto"/>
        <w:rPr>
          <w:rFonts w:ascii="Times New Roman" w:hAnsi="Times New Roman" w:cs="Times New Roman"/>
          <w:sz w:val="24"/>
          <w:szCs w:val="24"/>
        </w:rPr>
      </w:pPr>
      <w:r>
        <w:rPr>
          <w:rFonts w:ascii="Times New Roman" w:hAnsi="Times New Roman" w:cs="Times New Roman"/>
          <w:b/>
          <w:sz w:val="24"/>
          <w:szCs w:val="24"/>
        </w:rPr>
        <w:t>A</w:t>
      </w:r>
      <w:r w:rsidR="00264CD6">
        <w:rPr>
          <w:rFonts w:ascii="Times New Roman" w:hAnsi="Times New Roman" w:cs="Times New Roman"/>
          <w:b/>
          <w:sz w:val="24"/>
          <w:szCs w:val="24"/>
        </w:rPr>
        <w:t xml:space="preserve">ge </w:t>
      </w:r>
      <w:r>
        <w:rPr>
          <w:rFonts w:ascii="Times New Roman" w:hAnsi="Times New Roman" w:cs="Times New Roman"/>
          <w:b/>
          <w:sz w:val="24"/>
          <w:szCs w:val="24"/>
        </w:rPr>
        <w:t>differences</w:t>
      </w:r>
    </w:p>
    <w:p w14:paraId="7F14548A" w14:textId="68C41559" w:rsidR="00AD0BDB" w:rsidRDefault="00D62D96" w:rsidP="000B1A46">
      <w:pPr>
        <w:spacing w:line="480" w:lineRule="auto"/>
        <w:rPr>
          <w:rFonts w:ascii="Times New Roman" w:hAnsi="Times New Roman" w:cs="Times New Roman"/>
          <w:sz w:val="24"/>
          <w:szCs w:val="24"/>
        </w:rPr>
      </w:pPr>
      <w:r w:rsidRPr="001E6503">
        <w:rPr>
          <w:rFonts w:ascii="Times New Roman" w:hAnsi="Times New Roman" w:cs="Times New Roman"/>
          <w:sz w:val="24"/>
          <w:szCs w:val="24"/>
        </w:rPr>
        <w:t xml:space="preserve">Younger </w:t>
      </w:r>
      <w:r w:rsidR="00681BAC" w:rsidRPr="001E6503">
        <w:rPr>
          <w:rFonts w:ascii="Times New Roman" w:hAnsi="Times New Roman" w:cs="Times New Roman"/>
          <w:sz w:val="24"/>
          <w:szCs w:val="24"/>
        </w:rPr>
        <w:t xml:space="preserve">respondents (those aged </w:t>
      </w:r>
      <w:r w:rsidRPr="001E6503">
        <w:rPr>
          <w:rFonts w:ascii="Times New Roman" w:hAnsi="Times New Roman" w:cs="Times New Roman"/>
          <w:sz w:val="24"/>
          <w:szCs w:val="24"/>
        </w:rPr>
        <w:t xml:space="preserve">under </w:t>
      </w:r>
      <w:r w:rsidR="00681BAC" w:rsidRPr="001E6503">
        <w:rPr>
          <w:rFonts w:ascii="Times New Roman" w:hAnsi="Times New Roman" w:cs="Times New Roman"/>
          <w:sz w:val="24"/>
          <w:szCs w:val="24"/>
        </w:rPr>
        <w:t>65)</w:t>
      </w:r>
      <w:r w:rsidR="00681BAC" w:rsidRPr="001E6503">
        <w:rPr>
          <w:rFonts w:ascii="Times New Roman" w:hAnsi="Times New Roman" w:cs="Times New Roman"/>
          <w:i/>
          <w:sz w:val="24"/>
          <w:szCs w:val="24"/>
        </w:rPr>
        <w:t xml:space="preserve"> </w:t>
      </w:r>
      <w:r w:rsidR="00681BAC" w:rsidRPr="001E6503">
        <w:rPr>
          <w:rFonts w:ascii="Times New Roman" w:hAnsi="Times New Roman" w:cs="Times New Roman"/>
          <w:sz w:val="24"/>
          <w:szCs w:val="24"/>
        </w:rPr>
        <w:t xml:space="preserve">scored at a </w:t>
      </w:r>
      <w:r w:rsidRPr="001E6503">
        <w:rPr>
          <w:rFonts w:ascii="Times New Roman" w:hAnsi="Times New Roman" w:cs="Times New Roman"/>
          <w:sz w:val="24"/>
          <w:szCs w:val="24"/>
        </w:rPr>
        <w:t xml:space="preserve">higher </w:t>
      </w:r>
      <w:r w:rsidR="00681BAC" w:rsidRPr="001E6503">
        <w:rPr>
          <w:rFonts w:ascii="Times New Roman" w:hAnsi="Times New Roman" w:cs="Times New Roman"/>
          <w:sz w:val="24"/>
          <w:szCs w:val="24"/>
        </w:rPr>
        <w:t>level on both the Hope (</w:t>
      </w:r>
      <w:proofErr w:type="gramStart"/>
      <w:r w:rsidR="00681BAC" w:rsidRPr="001E6503">
        <w:rPr>
          <w:rFonts w:ascii="Times New Roman" w:hAnsi="Times New Roman" w:cs="Times New Roman"/>
          <w:i/>
          <w:sz w:val="24"/>
          <w:szCs w:val="24"/>
        </w:rPr>
        <w:t>t</w:t>
      </w:r>
      <w:r w:rsidR="00681BAC" w:rsidRPr="001E6503">
        <w:rPr>
          <w:rFonts w:ascii="Times New Roman" w:hAnsi="Times New Roman" w:cs="Times New Roman"/>
          <w:sz w:val="24"/>
          <w:szCs w:val="24"/>
        </w:rPr>
        <w:t>(</w:t>
      </w:r>
      <w:proofErr w:type="gramEnd"/>
      <w:r w:rsidR="00681BAC" w:rsidRPr="001E6503">
        <w:rPr>
          <w:rFonts w:ascii="Times New Roman" w:hAnsi="Times New Roman" w:cs="Times New Roman"/>
          <w:sz w:val="24"/>
          <w:szCs w:val="24"/>
        </w:rPr>
        <w:t xml:space="preserve">790) = 5.83, </w:t>
      </w:r>
      <w:r w:rsidR="00681BAC" w:rsidRPr="001E6503">
        <w:rPr>
          <w:rFonts w:ascii="Times New Roman" w:hAnsi="Times New Roman" w:cs="Times New Roman"/>
          <w:i/>
          <w:sz w:val="24"/>
          <w:szCs w:val="24"/>
        </w:rPr>
        <w:t>p</w:t>
      </w:r>
      <w:r w:rsidR="00681BAC" w:rsidRPr="001E6503">
        <w:rPr>
          <w:rFonts w:ascii="Times New Roman" w:hAnsi="Times New Roman" w:cs="Times New Roman"/>
          <w:sz w:val="24"/>
          <w:szCs w:val="24"/>
        </w:rPr>
        <w:t xml:space="preserve"> &lt; .001, </w:t>
      </w:r>
      <w:r w:rsidR="00681BAC" w:rsidRPr="001E6503">
        <w:rPr>
          <w:rFonts w:ascii="Times New Roman" w:hAnsi="Times New Roman" w:cs="Times New Roman"/>
          <w:i/>
          <w:sz w:val="24"/>
          <w:szCs w:val="24"/>
        </w:rPr>
        <w:t>d</w:t>
      </w:r>
      <w:r w:rsidR="00681BAC" w:rsidRPr="001E6503">
        <w:rPr>
          <w:rFonts w:ascii="Times New Roman" w:hAnsi="Times New Roman" w:cs="Times New Roman"/>
          <w:sz w:val="24"/>
          <w:szCs w:val="24"/>
        </w:rPr>
        <w:t xml:space="preserve"> = .50), and the </w:t>
      </w:r>
      <w:proofErr w:type="spellStart"/>
      <w:r w:rsidR="00681BAC" w:rsidRPr="001E6503">
        <w:rPr>
          <w:rFonts w:ascii="Times New Roman" w:hAnsi="Times New Roman" w:cs="Times New Roman"/>
          <w:sz w:val="24"/>
          <w:szCs w:val="24"/>
        </w:rPr>
        <w:t>RoP</w:t>
      </w:r>
      <w:proofErr w:type="spellEnd"/>
      <w:r w:rsidR="002C4E7E">
        <w:rPr>
          <w:rFonts w:ascii="Times New Roman" w:hAnsi="Times New Roman" w:cs="Times New Roman"/>
          <w:sz w:val="24"/>
          <w:szCs w:val="24"/>
        </w:rPr>
        <w:t xml:space="preserve"> </w:t>
      </w:r>
      <w:r w:rsidR="00681BAC" w:rsidRPr="001E6503">
        <w:rPr>
          <w:rFonts w:ascii="Times New Roman" w:hAnsi="Times New Roman" w:cs="Times New Roman"/>
          <w:sz w:val="24"/>
          <w:szCs w:val="24"/>
        </w:rPr>
        <w:t>s</w:t>
      </w:r>
      <w:r w:rsidR="002C4E7E">
        <w:rPr>
          <w:rFonts w:ascii="Times New Roman" w:hAnsi="Times New Roman" w:cs="Times New Roman"/>
          <w:sz w:val="24"/>
          <w:szCs w:val="24"/>
        </w:rPr>
        <w:t>cales</w:t>
      </w:r>
      <w:r w:rsidR="00681BAC" w:rsidRPr="001E6503">
        <w:rPr>
          <w:rFonts w:ascii="Times New Roman" w:hAnsi="Times New Roman" w:cs="Times New Roman"/>
          <w:sz w:val="24"/>
          <w:szCs w:val="24"/>
        </w:rPr>
        <w:t xml:space="preserve"> (</w:t>
      </w:r>
      <w:r w:rsidR="00681BAC" w:rsidRPr="001E6503">
        <w:rPr>
          <w:rFonts w:ascii="Times New Roman" w:hAnsi="Times New Roman" w:cs="Times New Roman"/>
          <w:i/>
          <w:sz w:val="24"/>
          <w:szCs w:val="24"/>
        </w:rPr>
        <w:t>t</w:t>
      </w:r>
      <w:r w:rsidR="00681BAC" w:rsidRPr="001E6503">
        <w:rPr>
          <w:rFonts w:ascii="Times New Roman" w:hAnsi="Times New Roman" w:cs="Times New Roman"/>
          <w:sz w:val="24"/>
          <w:szCs w:val="24"/>
        </w:rPr>
        <w:t xml:space="preserve">(790) = 3.03, </w:t>
      </w:r>
      <w:r w:rsidR="00681BAC" w:rsidRPr="001E6503">
        <w:rPr>
          <w:rFonts w:ascii="Times New Roman" w:hAnsi="Times New Roman" w:cs="Times New Roman"/>
          <w:i/>
          <w:sz w:val="24"/>
          <w:szCs w:val="24"/>
        </w:rPr>
        <w:t>p</w:t>
      </w:r>
      <w:r w:rsidR="00681BAC" w:rsidRPr="001E6503">
        <w:rPr>
          <w:rFonts w:ascii="Times New Roman" w:hAnsi="Times New Roman" w:cs="Times New Roman"/>
          <w:sz w:val="24"/>
          <w:szCs w:val="24"/>
        </w:rPr>
        <w:t xml:space="preserve"> = .002, </w:t>
      </w:r>
      <w:r w:rsidR="00681BAC" w:rsidRPr="001E6503">
        <w:rPr>
          <w:rFonts w:ascii="Times New Roman" w:hAnsi="Times New Roman" w:cs="Times New Roman"/>
          <w:i/>
          <w:sz w:val="24"/>
          <w:szCs w:val="24"/>
        </w:rPr>
        <w:t>d</w:t>
      </w:r>
      <w:r w:rsidR="00681BAC" w:rsidRPr="001E6503">
        <w:rPr>
          <w:rFonts w:ascii="Times New Roman" w:hAnsi="Times New Roman" w:cs="Times New Roman"/>
          <w:sz w:val="24"/>
          <w:szCs w:val="24"/>
        </w:rPr>
        <w:t xml:space="preserve"> = .28) than </w:t>
      </w:r>
      <w:r w:rsidRPr="001E6503">
        <w:rPr>
          <w:rFonts w:ascii="Times New Roman" w:hAnsi="Times New Roman" w:cs="Times New Roman"/>
          <w:sz w:val="24"/>
          <w:szCs w:val="24"/>
        </w:rPr>
        <w:t>those aged 65 and over</w:t>
      </w:r>
      <w:r w:rsidR="00681BAC" w:rsidRPr="001E6503">
        <w:rPr>
          <w:rFonts w:ascii="Times New Roman" w:hAnsi="Times New Roman" w:cs="Times New Roman"/>
          <w:sz w:val="24"/>
          <w:szCs w:val="24"/>
        </w:rPr>
        <w:t>.</w:t>
      </w:r>
      <w:r w:rsidRPr="001E6503">
        <w:rPr>
          <w:rFonts w:ascii="Times New Roman" w:hAnsi="Times New Roman" w:cs="Times New Roman"/>
          <w:sz w:val="24"/>
          <w:szCs w:val="24"/>
        </w:rPr>
        <w:t xml:space="preserve"> Similarly, the total ADQ score was significantly higher for the younger age group</w:t>
      </w:r>
      <w:r w:rsidR="00A30307" w:rsidRPr="001E6503">
        <w:rPr>
          <w:rFonts w:ascii="Times New Roman" w:hAnsi="Times New Roman" w:cs="Times New Roman"/>
          <w:sz w:val="24"/>
          <w:szCs w:val="24"/>
        </w:rPr>
        <w:t xml:space="preserve"> compared to the older age group</w:t>
      </w:r>
      <w:r w:rsidRPr="001E6503">
        <w:rPr>
          <w:rFonts w:ascii="Times New Roman" w:hAnsi="Times New Roman" w:cs="Times New Roman"/>
          <w:sz w:val="24"/>
          <w:szCs w:val="24"/>
        </w:rPr>
        <w:t xml:space="preserve"> (</w:t>
      </w:r>
      <w:proofErr w:type="gramStart"/>
      <w:r w:rsidRPr="001E6503">
        <w:rPr>
          <w:rFonts w:ascii="Times New Roman" w:hAnsi="Times New Roman" w:cs="Times New Roman"/>
          <w:i/>
          <w:sz w:val="24"/>
          <w:szCs w:val="24"/>
        </w:rPr>
        <w:t>t</w:t>
      </w:r>
      <w:r w:rsidRPr="001E6503">
        <w:rPr>
          <w:rFonts w:ascii="Times New Roman" w:hAnsi="Times New Roman" w:cs="Times New Roman"/>
          <w:sz w:val="24"/>
          <w:szCs w:val="24"/>
        </w:rPr>
        <w:t>(</w:t>
      </w:r>
      <w:proofErr w:type="gramEnd"/>
      <w:r w:rsidRPr="001E6503">
        <w:rPr>
          <w:rFonts w:ascii="Times New Roman" w:hAnsi="Times New Roman" w:cs="Times New Roman"/>
          <w:sz w:val="24"/>
          <w:szCs w:val="24"/>
        </w:rPr>
        <w:t xml:space="preserve">790) = 5.13, </w:t>
      </w:r>
      <w:r w:rsidRPr="001E6503">
        <w:rPr>
          <w:rFonts w:ascii="Times New Roman" w:hAnsi="Times New Roman" w:cs="Times New Roman"/>
          <w:i/>
          <w:sz w:val="24"/>
          <w:szCs w:val="24"/>
        </w:rPr>
        <w:t>p</w:t>
      </w:r>
      <w:r w:rsidRPr="001E6503">
        <w:rPr>
          <w:rFonts w:ascii="Times New Roman" w:hAnsi="Times New Roman" w:cs="Times New Roman"/>
          <w:sz w:val="24"/>
          <w:szCs w:val="24"/>
        </w:rPr>
        <w:t xml:space="preserve"> &lt; .001, </w:t>
      </w:r>
      <w:r w:rsidRPr="001E6503">
        <w:rPr>
          <w:rFonts w:ascii="Times New Roman" w:hAnsi="Times New Roman" w:cs="Times New Roman"/>
          <w:i/>
          <w:sz w:val="24"/>
          <w:szCs w:val="24"/>
        </w:rPr>
        <w:t>d</w:t>
      </w:r>
      <w:r w:rsidRPr="001E6503">
        <w:rPr>
          <w:rFonts w:ascii="Times New Roman" w:hAnsi="Times New Roman" w:cs="Times New Roman"/>
          <w:sz w:val="24"/>
          <w:szCs w:val="24"/>
        </w:rPr>
        <w:t xml:space="preserve"> = .47)</w:t>
      </w:r>
      <w:r w:rsidR="00AF598F">
        <w:rPr>
          <w:rFonts w:ascii="Times New Roman" w:hAnsi="Times New Roman" w:cs="Times New Roman"/>
          <w:sz w:val="24"/>
          <w:szCs w:val="24"/>
        </w:rPr>
        <w:t>.</w:t>
      </w:r>
    </w:p>
    <w:p w14:paraId="54B2C1DD" w14:textId="77777777" w:rsidR="00AF598F" w:rsidRPr="001E6503" w:rsidRDefault="00AF598F" w:rsidP="000B1A46">
      <w:pPr>
        <w:spacing w:line="480" w:lineRule="auto"/>
        <w:rPr>
          <w:rFonts w:ascii="Times New Roman" w:hAnsi="Times New Roman" w:cs="Times New Roman"/>
          <w:sz w:val="24"/>
          <w:szCs w:val="24"/>
        </w:rPr>
      </w:pPr>
    </w:p>
    <w:p w14:paraId="6E9410A1" w14:textId="5B22D274" w:rsidR="007014E0" w:rsidRPr="001E6503" w:rsidRDefault="006B0BA4" w:rsidP="000B1A46">
      <w:pPr>
        <w:spacing w:line="480" w:lineRule="auto"/>
        <w:rPr>
          <w:rFonts w:ascii="Times New Roman" w:hAnsi="Times New Roman" w:cs="Times New Roman"/>
          <w:sz w:val="24"/>
          <w:szCs w:val="24"/>
        </w:rPr>
      </w:pPr>
      <w:r>
        <w:rPr>
          <w:rFonts w:ascii="Times New Roman" w:hAnsi="Times New Roman" w:cs="Times New Roman"/>
          <w:b/>
          <w:sz w:val="24"/>
          <w:szCs w:val="24"/>
        </w:rPr>
        <w:t>E</w:t>
      </w:r>
      <w:r w:rsidR="00AD0BDB" w:rsidRPr="001E6503">
        <w:rPr>
          <w:rFonts w:ascii="Times New Roman" w:hAnsi="Times New Roman" w:cs="Times New Roman"/>
          <w:b/>
          <w:sz w:val="24"/>
          <w:szCs w:val="24"/>
        </w:rPr>
        <w:t>thnicity</w:t>
      </w:r>
      <w:r w:rsidR="00264CD6">
        <w:rPr>
          <w:rFonts w:ascii="Times New Roman" w:hAnsi="Times New Roman" w:cs="Times New Roman"/>
          <w:b/>
          <w:sz w:val="24"/>
          <w:szCs w:val="24"/>
        </w:rPr>
        <w:t xml:space="preserve"> </w:t>
      </w:r>
      <w:r>
        <w:rPr>
          <w:rFonts w:ascii="Times New Roman" w:hAnsi="Times New Roman" w:cs="Times New Roman"/>
          <w:b/>
          <w:sz w:val="24"/>
          <w:szCs w:val="24"/>
        </w:rPr>
        <w:t>differences</w:t>
      </w:r>
    </w:p>
    <w:p w14:paraId="67E52470" w14:textId="34F11220" w:rsidR="00AD0BDB" w:rsidRDefault="00681BAC" w:rsidP="000B1A46">
      <w:pPr>
        <w:spacing w:line="480" w:lineRule="auto"/>
        <w:rPr>
          <w:rFonts w:ascii="Times New Roman" w:hAnsi="Times New Roman" w:cs="Times New Roman"/>
          <w:sz w:val="24"/>
          <w:szCs w:val="24"/>
        </w:rPr>
      </w:pPr>
      <w:r w:rsidRPr="001E6503">
        <w:rPr>
          <w:rFonts w:ascii="Times New Roman" w:hAnsi="Times New Roman" w:cs="Times New Roman"/>
          <w:sz w:val="24"/>
          <w:szCs w:val="24"/>
        </w:rPr>
        <w:lastRenderedPageBreak/>
        <w:t xml:space="preserve">Individuals who identified themselves as White scored at a higher level on the </w:t>
      </w:r>
      <w:r w:rsidR="008E4435">
        <w:rPr>
          <w:rFonts w:ascii="Times New Roman" w:hAnsi="Times New Roman" w:cs="Times New Roman"/>
          <w:sz w:val="24"/>
          <w:szCs w:val="24"/>
        </w:rPr>
        <w:t>H</w:t>
      </w:r>
      <w:r w:rsidRPr="001E6503">
        <w:rPr>
          <w:rFonts w:ascii="Times New Roman" w:hAnsi="Times New Roman" w:cs="Times New Roman"/>
          <w:sz w:val="24"/>
          <w:szCs w:val="24"/>
        </w:rPr>
        <w:t>ope (</w:t>
      </w:r>
      <w:proofErr w:type="gramStart"/>
      <w:r w:rsidRPr="001E6503">
        <w:rPr>
          <w:rFonts w:ascii="Times New Roman" w:hAnsi="Times New Roman" w:cs="Times New Roman"/>
          <w:i/>
          <w:sz w:val="24"/>
          <w:szCs w:val="24"/>
        </w:rPr>
        <w:t>t</w:t>
      </w:r>
      <w:r w:rsidRPr="001E6503">
        <w:rPr>
          <w:rFonts w:ascii="Times New Roman" w:hAnsi="Times New Roman" w:cs="Times New Roman"/>
          <w:sz w:val="24"/>
          <w:szCs w:val="24"/>
        </w:rPr>
        <w:t>(</w:t>
      </w:r>
      <w:proofErr w:type="gramEnd"/>
      <w:r w:rsidRPr="001E6503">
        <w:rPr>
          <w:rFonts w:ascii="Times New Roman" w:hAnsi="Times New Roman" w:cs="Times New Roman"/>
          <w:sz w:val="24"/>
          <w:szCs w:val="24"/>
        </w:rPr>
        <w:t xml:space="preserve">789) = 5.46, </w:t>
      </w:r>
      <w:r w:rsidRPr="001E6503">
        <w:rPr>
          <w:rFonts w:ascii="Times New Roman" w:hAnsi="Times New Roman" w:cs="Times New Roman"/>
          <w:i/>
          <w:sz w:val="24"/>
          <w:szCs w:val="24"/>
        </w:rPr>
        <w:t>p</w:t>
      </w:r>
      <w:r w:rsidRPr="001E6503">
        <w:rPr>
          <w:rFonts w:ascii="Times New Roman" w:hAnsi="Times New Roman" w:cs="Times New Roman"/>
          <w:sz w:val="24"/>
          <w:szCs w:val="24"/>
        </w:rPr>
        <w:t xml:space="preserve"> &lt; .001, </w:t>
      </w:r>
      <w:r w:rsidRPr="001E6503">
        <w:rPr>
          <w:rFonts w:ascii="Times New Roman" w:hAnsi="Times New Roman" w:cs="Times New Roman"/>
          <w:i/>
          <w:sz w:val="24"/>
          <w:szCs w:val="24"/>
        </w:rPr>
        <w:t>d</w:t>
      </w:r>
      <w:r w:rsidRPr="001E6503">
        <w:rPr>
          <w:rFonts w:ascii="Times New Roman" w:hAnsi="Times New Roman" w:cs="Times New Roman"/>
          <w:sz w:val="24"/>
          <w:szCs w:val="24"/>
        </w:rPr>
        <w:t xml:space="preserve"> = .72) and the </w:t>
      </w:r>
      <w:proofErr w:type="spellStart"/>
      <w:r w:rsidRPr="001E6503">
        <w:rPr>
          <w:rFonts w:ascii="Times New Roman" w:hAnsi="Times New Roman" w:cs="Times New Roman"/>
          <w:sz w:val="24"/>
          <w:szCs w:val="24"/>
        </w:rPr>
        <w:t>RoP</w:t>
      </w:r>
      <w:proofErr w:type="spellEnd"/>
      <w:r w:rsidRPr="001E6503">
        <w:rPr>
          <w:rFonts w:ascii="Times New Roman" w:hAnsi="Times New Roman" w:cs="Times New Roman"/>
          <w:sz w:val="24"/>
          <w:szCs w:val="24"/>
        </w:rPr>
        <w:t xml:space="preserve"> s</w:t>
      </w:r>
      <w:r w:rsidR="002C4E7E">
        <w:rPr>
          <w:rFonts w:ascii="Times New Roman" w:hAnsi="Times New Roman" w:cs="Times New Roman"/>
          <w:sz w:val="24"/>
          <w:szCs w:val="24"/>
        </w:rPr>
        <w:t>cales</w:t>
      </w:r>
      <w:r w:rsidRPr="001E6503">
        <w:rPr>
          <w:rFonts w:ascii="Times New Roman" w:hAnsi="Times New Roman" w:cs="Times New Roman"/>
          <w:sz w:val="24"/>
          <w:szCs w:val="24"/>
        </w:rPr>
        <w:t xml:space="preserve"> (</w:t>
      </w:r>
      <w:r w:rsidRPr="001E6503">
        <w:rPr>
          <w:rFonts w:ascii="Times New Roman" w:hAnsi="Times New Roman" w:cs="Times New Roman"/>
          <w:i/>
          <w:sz w:val="24"/>
          <w:szCs w:val="24"/>
        </w:rPr>
        <w:t>t</w:t>
      </w:r>
      <w:r w:rsidRPr="001E6503">
        <w:rPr>
          <w:rFonts w:ascii="Times New Roman" w:hAnsi="Times New Roman" w:cs="Times New Roman"/>
          <w:sz w:val="24"/>
          <w:szCs w:val="24"/>
        </w:rPr>
        <w:t xml:space="preserve">(789) = 3.90, </w:t>
      </w:r>
      <w:r w:rsidRPr="001E6503">
        <w:rPr>
          <w:rFonts w:ascii="Times New Roman" w:hAnsi="Times New Roman" w:cs="Times New Roman"/>
          <w:i/>
          <w:sz w:val="24"/>
          <w:szCs w:val="24"/>
        </w:rPr>
        <w:t>p</w:t>
      </w:r>
      <w:r w:rsidRPr="001E6503">
        <w:rPr>
          <w:rFonts w:ascii="Times New Roman" w:hAnsi="Times New Roman" w:cs="Times New Roman"/>
          <w:sz w:val="24"/>
          <w:szCs w:val="24"/>
        </w:rPr>
        <w:t xml:space="preserve"> = &lt;.001, </w:t>
      </w:r>
      <w:r w:rsidRPr="001E6503">
        <w:rPr>
          <w:rFonts w:ascii="Times New Roman" w:hAnsi="Times New Roman" w:cs="Times New Roman"/>
          <w:i/>
          <w:sz w:val="24"/>
          <w:szCs w:val="24"/>
        </w:rPr>
        <w:t>d</w:t>
      </w:r>
      <w:r w:rsidRPr="001E6503">
        <w:rPr>
          <w:rFonts w:ascii="Times New Roman" w:hAnsi="Times New Roman" w:cs="Times New Roman"/>
          <w:sz w:val="24"/>
          <w:szCs w:val="24"/>
        </w:rPr>
        <w:t xml:space="preserve"> = .66) as well as on the total scores (</w:t>
      </w:r>
      <w:r w:rsidRPr="001E6503">
        <w:rPr>
          <w:rFonts w:ascii="Times New Roman" w:hAnsi="Times New Roman" w:cs="Times New Roman"/>
          <w:i/>
          <w:sz w:val="24"/>
          <w:szCs w:val="24"/>
        </w:rPr>
        <w:t>t</w:t>
      </w:r>
      <w:r w:rsidRPr="001E6503">
        <w:rPr>
          <w:rFonts w:ascii="Times New Roman" w:hAnsi="Times New Roman" w:cs="Times New Roman"/>
          <w:sz w:val="24"/>
          <w:szCs w:val="24"/>
        </w:rPr>
        <w:t xml:space="preserve">(789) = 5.44, </w:t>
      </w:r>
      <w:r w:rsidRPr="001E6503">
        <w:rPr>
          <w:rFonts w:ascii="Times New Roman" w:hAnsi="Times New Roman" w:cs="Times New Roman"/>
          <w:i/>
          <w:sz w:val="24"/>
          <w:szCs w:val="24"/>
        </w:rPr>
        <w:t>p</w:t>
      </w:r>
      <w:r w:rsidRPr="001E6503">
        <w:rPr>
          <w:rFonts w:ascii="Times New Roman" w:hAnsi="Times New Roman" w:cs="Times New Roman"/>
          <w:sz w:val="24"/>
          <w:szCs w:val="24"/>
        </w:rPr>
        <w:t xml:space="preserve"> &lt; .001, </w:t>
      </w:r>
      <w:r w:rsidRPr="001E6503">
        <w:rPr>
          <w:rFonts w:ascii="Times New Roman" w:hAnsi="Times New Roman" w:cs="Times New Roman"/>
          <w:i/>
          <w:sz w:val="24"/>
          <w:szCs w:val="24"/>
        </w:rPr>
        <w:t>d</w:t>
      </w:r>
      <w:r w:rsidRPr="001E6503">
        <w:rPr>
          <w:rFonts w:ascii="Times New Roman" w:hAnsi="Times New Roman" w:cs="Times New Roman"/>
          <w:sz w:val="24"/>
          <w:szCs w:val="24"/>
        </w:rPr>
        <w:t xml:space="preserve"> = .83)</w:t>
      </w:r>
      <w:r w:rsidR="00A30307" w:rsidRPr="001E6503">
        <w:rPr>
          <w:rFonts w:ascii="Times New Roman" w:hAnsi="Times New Roman" w:cs="Times New Roman"/>
          <w:sz w:val="24"/>
          <w:szCs w:val="24"/>
        </w:rPr>
        <w:t xml:space="preserve"> than individuals of non-White ethnic groups</w:t>
      </w:r>
      <w:r w:rsidRPr="001E6503">
        <w:rPr>
          <w:rFonts w:ascii="Times New Roman" w:hAnsi="Times New Roman" w:cs="Times New Roman"/>
          <w:sz w:val="24"/>
          <w:szCs w:val="24"/>
        </w:rPr>
        <w:t>.</w:t>
      </w:r>
    </w:p>
    <w:p w14:paraId="4573DDE9" w14:textId="77777777" w:rsidR="00AF598F" w:rsidRPr="001E6503" w:rsidRDefault="00AF598F" w:rsidP="000B1A46">
      <w:pPr>
        <w:spacing w:line="480" w:lineRule="auto"/>
        <w:rPr>
          <w:rFonts w:ascii="Times New Roman" w:hAnsi="Times New Roman" w:cs="Times New Roman"/>
          <w:i/>
          <w:sz w:val="24"/>
          <w:szCs w:val="24"/>
        </w:rPr>
      </w:pPr>
    </w:p>
    <w:p w14:paraId="465C587B" w14:textId="40624903" w:rsidR="007014E0" w:rsidRPr="006B0BA4" w:rsidRDefault="00264CD6" w:rsidP="000B1A46">
      <w:pPr>
        <w:spacing w:line="480" w:lineRule="auto"/>
        <w:rPr>
          <w:rFonts w:ascii="Times New Roman" w:hAnsi="Times New Roman" w:cs="Times New Roman"/>
          <w:sz w:val="24"/>
          <w:szCs w:val="24"/>
        </w:rPr>
      </w:pPr>
      <w:r>
        <w:rPr>
          <w:rFonts w:ascii="Times New Roman" w:hAnsi="Times New Roman" w:cs="Times New Roman"/>
          <w:b/>
          <w:sz w:val="24"/>
          <w:szCs w:val="24"/>
        </w:rPr>
        <w:t xml:space="preserve">Differences based on </w:t>
      </w:r>
      <w:r w:rsidR="006B0BA4">
        <w:rPr>
          <w:rFonts w:ascii="Times New Roman" w:hAnsi="Times New Roman" w:cs="Times New Roman"/>
          <w:b/>
          <w:sz w:val="24"/>
          <w:szCs w:val="24"/>
        </w:rPr>
        <w:t>individual’s</w:t>
      </w:r>
      <w:r>
        <w:rPr>
          <w:rFonts w:ascii="Times New Roman" w:hAnsi="Times New Roman" w:cs="Times New Roman"/>
          <w:b/>
          <w:sz w:val="24"/>
          <w:szCs w:val="24"/>
        </w:rPr>
        <w:t xml:space="preserve"> p</w:t>
      </w:r>
      <w:r w:rsidR="00681BAC" w:rsidRPr="001E6503">
        <w:rPr>
          <w:rFonts w:ascii="Times New Roman" w:hAnsi="Times New Roman" w:cs="Times New Roman"/>
          <w:b/>
          <w:sz w:val="24"/>
          <w:szCs w:val="24"/>
        </w:rPr>
        <w:t>ersonal experience of dementia</w:t>
      </w:r>
    </w:p>
    <w:p w14:paraId="481FAA03" w14:textId="09DE6B2A" w:rsidR="005E6AF9" w:rsidRDefault="00681BAC" w:rsidP="000B1A46">
      <w:pPr>
        <w:spacing w:line="480" w:lineRule="auto"/>
        <w:rPr>
          <w:rFonts w:ascii="Times New Roman" w:hAnsi="Times New Roman" w:cs="Times New Roman"/>
          <w:sz w:val="24"/>
          <w:szCs w:val="24"/>
        </w:rPr>
      </w:pPr>
      <w:r w:rsidRPr="001E6503">
        <w:rPr>
          <w:rFonts w:ascii="Times New Roman" w:hAnsi="Times New Roman" w:cs="Times New Roman"/>
          <w:sz w:val="24"/>
          <w:szCs w:val="24"/>
        </w:rPr>
        <w:t>There was a significant d</w:t>
      </w:r>
      <w:r w:rsidR="006B2FD9" w:rsidRPr="001E6503">
        <w:rPr>
          <w:rFonts w:ascii="Times New Roman" w:hAnsi="Times New Roman" w:cs="Times New Roman"/>
          <w:sz w:val="24"/>
          <w:szCs w:val="24"/>
        </w:rPr>
        <w:t xml:space="preserve">ifference between individuals who </w:t>
      </w:r>
      <w:r w:rsidRPr="001E6503">
        <w:rPr>
          <w:rFonts w:ascii="Times New Roman" w:hAnsi="Times New Roman" w:cs="Times New Roman"/>
          <w:sz w:val="24"/>
          <w:szCs w:val="24"/>
        </w:rPr>
        <w:t xml:space="preserve">reported having been affected by dementia and those who had not been. People who had been affected by dementia scored higher on </w:t>
      </w:r>
      <w:r w:rsidR="006B2FD9" w:rsidRPr="001E6503">
        <w:rPr>
          <w:rFonts w:ascii="Times New Roman" w:hAnsi="Times New Roman" w:cs="Times New Roman"/>
          <w:sz w:val="24"/>
          <w:szCs w:val="24"/>
        </w:rPr>
        <w:t xml:space="preserve">the </w:t>
      </w:r>
      <w:proofErr w:type="spellStart"/>
      <w:r w:rsidR="006B2FD9" w:rsidRPr="001E6503">
        <w:rPr>
          <w:rFonts w:ascii="Times New Roman" w:hAnsi="Times New Roman" w:cs="Times New Roman"/>
          <w:sz w:val="24"/>
          <w:szCs w:val="24"/>
        </w:rPr>
        <w:t>RoP</w:t>
      </w:r>
      <w:proofErr w:type="spellEnd"/>
      <w:r w:rsidRPr="001E6503">
        <w:rPr>
          <w:rFonts w:ascii="Times New Roman" w:hAnsi="Times New Roman" w:cs="Times New Roman"/>
          <w:sz w:val="24"/>
          <w:szCs w:val="24"/>
        </w:rPr>
        <w:t xml:space="preserve"> scale</w:t>
      </w:r>
      <w:r w:rsidR="006B2FD9" w:rsidRPr="001E6503">
        <w:rPr>
          <w:rFonts w:ascii="Times New Roman" w:hAnsi="Times New Roman" w:cs="Times New Roman"/>
          <w:sz w:val="24"/>
          <w:szCs w:val="24"/>
        </w:rPr>
        <w:t xml:space="preserve"> (</w:t>
      </w:r>
      <w:proofErr w:type="gramStart"/>
      <w:r w:rsidR="006B2FD9" w:rsidRPr="001E6503">
        <w:rPr>
          <w:rFonts w:ascii="Times New Roman" w:hAnsi="Times New Roman" w:cs="Times New Roman"/>
          <w:i/>
          <w:sz w:val="24"/>
          <w:szCs w:val="24"/>
        </w:rPr>
        <w:t>t</w:t>
      </w:r>
      <w:r w:rsidR="006B2FD9" w:rsidRPr="001E6503">
        <w:rPr>
          <w:rFonts w:ascii="Times New Roman" w:hAnsi="Times New Roman" w:cs="Times New Roman"/>
          <w:sz w:val="24"/>
          <w:szCs w:val="24"/>
        </w:rPr>
        <w:t>(</w:t>
      </w:r>
      <w:proofErr w:type="gramEnd"/>
      <w:r w:rsidR="006B2FD9" w:rsidRPr="001E6503">
        <w:rPr>
          <w:rFonts w:ascii="Times New Roman" w:hAnsi="Times New Roman" w:cs="Times New Roman"/>
          <w:sz w:val="24"/>
          <w:szCs w:val="24"/>
        </w:rPr>
        <w:t xml:space="preserve">792) = 4.57, </w:t>
      </w:r>
      <w:r w:rsidR="006B2FD9" w:rsidRPr="001E6503">
        <w:rPr>
          <w:rFonts w:ascii="Times New Roman" w:hAnsi="Times New Roman" w:cs="Times New Roman"/>
          <w:i/>
          <w:sz w:val="24"/>
          <w:szCs w:val="24"/>
        </w:rPr>
        <w:t>p</w:t>
      </w:r>
      <w:r w:rsidR="006B2FD9" w:rsidRPr="001E6503">
        <w:rPr>
          <w:rFonts w:ascii="Times New Roman" w:hAnsi="Times New Roman" w:cs="Times New Roman"/>
          <w:sz w:val="24"/>
          <w:szCs w:val="24"/>
        </w:rPr>
        <w:t xml:space="preserve"> &lt; .001, </w:t>
      </w:r>
      <w:r w:rsidR="006B2FD9" w:rsidRPr="001E6503">
        <w:rPr>
          <w:rFonts w:ascii="Times New Roman" w:hAnsi="Times New Roman" w:cs="Times New Roman"/>
          <w:i/>
          <w:sz w:val="24"/>
          <w:szCs w:val="24"/>
        </w:rPr>
        <w:t>d</w:t>
      </w:r>
      <w:r w:rsidR="006B2FD9" w:rsidRPr="001E6503">
        <w:rPr>
          <w:rFonts w:ascii="Times New Roman" w:hAnsi="Times New Roman" w:cs="Times New Roman"/>
          <w:sz w:val="24"/>
          <w:szCs w:val="24"/>
        </w:rPr>
        <w:t xml:space="preserve"> = .</w:t>
      </w:r>
      <w:r w:rsidR="00A06CAC" w:rsidRPr="001E6503">
        <w:rPr>
          <w:rFonts w:ascii="Times New Roman" w:hAnsi="Times New Roman" w:cs="Times New Roman"/>
          <w:sz w:val="24"/>
          <w:szCs w:val="24"/>
        </w:rPr>
        <w:t>32</w:t>
      </w:r>
      <w:r w:rsidR="006B2FD9" w:rsidRPr="001E6503">
        <w:rPr>
          <w:rFonts w:ascii="Times New Roman" w:hAnsi="Times New Roman" w:cs="Times New Roman"/>
          <w:sz w:val="24"/>
          <w:szCs w:val="24"/>
        </w:rPr>
        <w:t xml:space="preserve">) and </w:t>
      </w:r>
      <w:r w:rsidRPr="001E6503">
        <w:rPr>
          <w:rFonts w:ascii="Times New Roman" w:hAnsi="Times New Roman" w:cs="Times New Roman"/>
          <w:sz w:val="24"/>
          <w:szCs w:val="24"/>
        </w:rPr>
        <w:t xml:space="preserve">overall </w:t>
      </w:r>
      <w:r w:rsidR="006B2FD9" w:rsidRPr="001E6503">
        <w:rPr>
          <w:rFonts w:ascii="Times New Roman" w:hAnsi="Times New Roman" w:cs="Times New Roman"/>
          <w:sz w:val="24"/>
          <w:szCs w:val="24"/>
        </w:rPr>
        <w:t>(</w:t>
      </w:r>
      <w:r w:rsidR="006B2FD9" w:rsidRPr="001E6503">
        <w:rPr>
          <w:rFonts w:ascii="Times New Roman" w:hAnsi="Times New Roman" w:cs="Times New Roman"/>
          <w:i/>
          <w:sz w:val="24"/>
          <w:szCs w:val="24"/>
        </w:rPr>
        <w:t>t</w:t>
      </w:r>
      <w:r w:rsidR="006B2FD9" w:rsidRPr="001E6503">
        <w:rPr>
          <w:rFonts w:ascii="Times New Roman" w:hAnsi="Times New Roman" w:cs="Times New Roman"/>
          <w:sz w:val="24"/>
          <w:szCs w:val="24"/>
        </w:rPr>
        <w:t xml:space="preserve">(792) = 3.07, </w:t>
      </w:r>
      <w:r w:rsidR="006B2FD9" w:rsidRPr="001E6503">
        <w:rPr>
          <w:rFonts w:ascii="Times New Roman" w:hAnsi="Times New Roman" w:cs="Times New Roman"/>
          <w:i/>
          <w:sz w:val="24"/>
          <w:szCs w:val="24"/>
        </w:rPr>
        <w:t>p</w:t>
      </w:r>
      <w:r w:rsidR="006B2FD9" w:rsidRPr="001E6503">
        <w:rPr>
          <w:rFonts w:ascii="Times New Roman" w:hAnsi="Times New Roman" w:cs="Times New Roman"/>
          <w:sz w:val="24"/>
          <w:szCs w:val="24"/>
        </w:rPr>
        <w:t xml:space="preserve"> = .002, </w:t>
      </w:r>
      <w:r w:rsidR="006B2FD9" w:rsidRPr="001E6503">
        <w:rPr>
          <w:rFonts w:ascii="Times New Roman" w:hAnsi="Times New Roman" w:cs="Times New Roman"/>
          <w:i/>
          <w:sz w:val="24"/>
          <w:szCs w:val="24"/>
        </w:rPr>
        <w:t>d</w:t>
      </w:r>
      <w:r w:rsidR="006B2FD9" w:rsidRPr="001E6503">
        <w:rPr>
          <w:rFonts w:ascii="Times New Roman" w:hAnsi="Times New Roman" w:cs="Times New Roman"/>
          <w:sz w:val="24"/>
          <w:szCs w:val="24"/>
        </w:rPr>
        <w:t xml:space="preserve"> = .</w:t>
      </w:r>
      <w:r w:rsidR="00A06CAC" w:rsidRPr="001E6503">
        <w:rPr>
          <w:rFonts w:ascii="Times New Roman" w:hAnsi="Times New Roman" w:cs="Times New Roman"/>
          <w:sz w:val="24"/>
          <w:szCs w:val="24"/>
        </w:rPr>
        <w:t>22</w:t>
      </w:r>
      <w:r w:rsidR="006B2FD9" w:rsidRPr="001E6503">
        <w:rPr>
          <w:rFonts w:ascii="Times New Roman" w:hAnsi="Times New Roman" w:cs="Times New Roman"/>
          <w:sz w:val="24"/>
          <w:szCs w:val="24"/>
        </w:rPr>
        <w:t>)</w:t>
      </w:r>
      <w:r w:rsidR="00A30307" w:rsidRPr="001E6503">
        <w:rPr>
          <w:rFonts w:ascii="Times New Roman" w:hAnsi="Times New Roman" w:cs="Times New Roman"/>
          <w:sz w:val="24"/>
          <w:szCs w:val="24"/>
        </w:rPr>
        <w:t>,</w:t>
      </w:r>
      <w:r w:rsidRPr="001E6503">
        <w:rPr>
          <w:rFonts w:ascii="Times New Roman" w:hAnsi="Times New Roman" w:cs="Times New Roman"/>
          <w:sz w:val="24"/>
          <w:szCs w:val="24"/>
        </w:rPr>
        <w:t xml:space="preserve"> although there was no difference between these two groups on </w:t>
      </w:r>
      <w:r w:rsidR="006B2FD9" w:rsidRPr="001E6503">
        <w:rPr>
          <w:rFonts w:ascii="Times New Roman" w:hAnsi="Times New Roman" w:cs="Times New Roman"/>
          <w:sz w:val="24"/>
          <w:szCs w:val="24"/>
        </w:rPr>
        <w:t xml:space="preserve">the </w:t>
      </w:r>
      <w:r w:rsidR="008E4435">
        <w:rPr>
          <w:rFonts w:ascii="Times New Roman" w:hAnsi="Times New Roman" w:cs="Times New Roman"/>
          <w:sz w:val="24"/>
          <w:szCs w:val="24"/>
        </w:rPr>
        <w:t>H</w:t>
      </w:r>
      <w:r w:rsidR="006B2FD9" w:rsidRPr="001E6503">
        <w:rPr>
          <w:rFonts w:ascii="Times New Roman" w:hAnsi="Times New Roman" w:cs="Times New Roman"/>
          <w:sz w:val="24"/>
          <w:szCs w:val="24"/>
        </w:rPr>
        <w:t>ope scale.</w:t>
      </w:r>
    </w:p>
    <w:p w14:paraId="55B75FFB" w14:textId="77777777" w:rsidR="00AF598F" w:rsidRDefault="00AF598F" w:rsidP="000B1A46">
      <w:pPr>
        <w:spacing w:line="480" w:lineRule="auto"/>
        <w:rPr>
          <w:rFonts w:ascii="Times New Roman" w:hAnsi="Times New Roman" w:cs="Times New Roman"/>
          <w:sz w:val="24"/>
          <w:szCs w:val="24"/>
        </w:rPr>
      </w:pPr>
    </w:p>
    <w:p w14:paraId="2B0EC022" w14:textId="264A2E2F" w:rsidR="00552229" w:rsidRPr="00552229" w:rsidRDefault="00552229" w:rsidP="000B1A46">
      <w:pPr>
        <w:spacing w:line="480" w:lineRule="auto"/>
        <w:rPr>
          <w:rFonts w:ascii="Times New Roman" w:hAnsi="Times New Roman" w:cs="Times New Roman"/>
          <w:b/>
          <w:sz w:val="24"/>
          <w:szCs w:val="24"/>
        </w:rPr>
      </w:pPr>
      <w:r>
        <w:rPr>
          <w:rFonts w:ascii="Times New Roman" w:hAnsi="Times New Roman" w:cs="Times New Roman"/>
          <w:b/>
          <w:sz w:val="24"/>
          <w:szCs w:val="24"/>
        </w:rPr>
        <w:t>Gender and age differences</w:t>
      </w:r>
    </w:p>
    <w:p w14:paraId="5F910B83" w14:textId="0C462E90" w:rsidR="005E6AF9" w:rsidRDefault="00552229" w:rsidP="000B1A46">
      <w:pPr>
        <w:pStyle w:val="ListParagraph"/>
        <w:spacing w:before="120" w:after="120" w:line="480" w:lineRule="auto"/>
        <w:ind w:left="0"/>
        <w:rPr>
          <w:rFonts w:ascii="Times New Roman" w:hAnsi="Times New Roman" w:cs="Times New Roman"/>
          <w:sz w:val="24"/>
          <w:szCs w:val="24"/>
        </w:rPr>
      </w:pPr>
      <w:r w:rsidRPr="00552229">
        <w:rPr>
          <w:rFonts w:ascii="Times New Roman" w:hAnsi="Times New Roman" w:cs="Times New Roman"/>
          <w:sz w:val="24"/>
          <w:szCs w:val="24"/>
        </w:rPr>
        <w:t xml:space="preserve">Previous research indicates </w:t>
      </w:r>
      <w:r w:rsidR="008E4435">
        <w:rPr>
          <w:rFonts w:ascii="Times New Roman" w:hAnsi="Times New Roman" w:cs="Times New Roman"/>
          <w:sz w:val="24"/>
          <w:szCs w:val="24"/>
        </w:rPr>
        <w:t xml:space="preserve">that </w:t>
      </w:r>
      <w:r w:rsidRPr="00552229">
        <w:rPr>
          <w:rFonts w:ascii="Times New Roman" w:hAnsi="Times New Roman" w:cs="Times New Roman"/>
          <w:sz w:val="24"/>
          <w:szCs w:val="24"/>
        </w:rPr>
        <w:t>gender</w:t>
      </w:r>
      <w:r w:rsidR="00F76DA8">
        <w:rPr>
          <w:rFonts w:ascii="Times New Roman" w:hAnsi="Times New Roman" w:cs="Times New Roman"/>
          <w:sz w:val="24"/>
          <w:szCs w:val="24"/>
        </w:rPr>
        <w:t>,</w:t>
      </w:r>
      <w:r w:rsidRPr="00552229">
        <w:rPr>
          <w:rFonts w:ascii="Times New Roman" w:hAnsi="Times New Roman" w:cs="Times New Roman"/>
          <w:sz w:val="24"/>
          <w:szCs w:val="24"/>
        </w:rPr>
        <w:t xml:space="preserve"> </w:t>
      </w:r>
      <w:r w:rsidR="00902312" w:rsidRPr="00552229">
        <w:rPr>
          <w:rFonts w:ascii="Times New Roman" w:hAnsi="Times New Roman" w:cs="Times New Roman"/>
          <w:sz w:val="24"/>
          <w:szCs w:val="24"/>
        </w:rPr>
        <w:t xml:space="preserve">age </w:t>
      </w:r>
      <w:r w:rsidR="00F76DA8" w:rsidRPr="00552229">
        <w:rPr>
          <w:rFonts w:ascii="Times New Roman" w:hAnsi="Times New Roman" w:cs="Times New Roman"/>
          <w:sz w:val="24"/>
          <w:szCs w:val="24"/>
        </w:rPr>
        <w:t xml:space="preserve">and </w:t>
      </w:r>
      <w:r w:rsidR="00F76DA8">
        <w:rPr>
          <w:rFonts w:ascii="Times New Roman" w:hAnsi="Times New Roman" w:cs="Times New Roman"/>
          <w:sz w:val="24"/>
          <w:szCs w:val="24"/>
        </w:rPr>
        <w:t xml:space="preserve">experience of dementia </w:t>
      </w:r>
      <w:r w:rsidR="008E4435">
        <w:rPr>
          <w:rFonts w:ascii="Times New Roman" w:hAnsi="Times New Roman" w:cs="Times New Roman"/>
          <w:sz w:val="24"/>
          <w:szCs w:val="24"/>
        </w:rPr>
        <w:t>are all</w:t>
      </w:r>
      <w:r w:rsidR="008E4435" w:rsidRPr="00552229">
        <w:rPr>
          <w:rFonts w:ascii="Times New Roman" w:hAnsi="Times New Roman" w:cs="Times New Roman"/>
          <w:sz w:val="24"/>
          <w:szCs w:val="24"/>
        </w:rPr>
        <w:t xml:space="preserve"> </w:t>
      </w:r>
      <w:r w:rsidRPr="00552229">
        <w:rPr>
          <w:rFonts w:ascii="Times New Roman" w:hAnsi="Times New Roman" w:cs="Times New Roman"/>
          <w:sz w:val="24"/>
          <w:szCs w:val="24"/>
        </w:rPr>
        <w:t>likely to influence attitudes (</w:t>
      </w:r>
      <w:proofErr w:type="spellStart"/>
      <w:r w:rsidRPr="00552229">
        <w:rPr>
          <w:rFonts w:ascii="Times New Roman" w:hAnsi="Times New Roman" w:cs="Times New Roman"/>
          <w:sz w:val="24"/>
          <w:szCs w:val="24"/>
        </w:rPr>
        <w:t>Fishbein</w:t>
      </w:r>
      <w:proofErr w:type="spellEnd"/>
      <w:r w:rsidRPr="00552229">
        <w:rPr>
          <w:rFonts w:ascii="Times New Roman" w:hAnsi="Times New Roman" w:cs="Times New Roman"/>
          <w:sz w:val="24"/>
          <w:szCs w:val="24"/>
        </w:rPr>
        <w:t xml:space="preserve"> and </w:t>
      </w:r>
      <w:proofErr w:type="spellStart"/>
      <w:r w:rsidRPr="00552229">
        <w:rPr>
          <w:rFonts w:ascii="Times New Roman" w:hAnsi="Times New Roman" w:cs="Times New Roman"/>
          <w:sz w:val="24"/>
          <w:szCs w:val="24"/>
        </w:rPr>
        <w:t>Ajzen</w:t>
      </w:r>
      <w:proofErr w:type="spellEnd"/>
      <w:r w:rsidRPr="00552229">
        <w:rPr>
          <w:rFonts w:ascii="Times New Roman" w:hAnsi="Times New Roman" w:cs="Times New Roman"/>
          <w:sz w:val="24"/>
          <w:szCs w:val="24"/>
        </w:rPr>
        <w:t xml:space="preserve">, 2010), </w:t>
      </w:r>
      <w:proofErr w:type="gramStart"/>
      <w:r w:rsidRPr="00552229">
        <w:rPr>
          <w:rFonts w:ascii="Times New Roman" w:hAnsi="Times New Roman" w:cs="Times New Roman"/>
          <w:sz w:val="24"/>
          <w:szCs w:val="24"/>
        </w:rPr>
        <w:t>therefore</w:t>
      </w:r>
      <w:proofErr w:type="gramEnd"/>
      <w:r w:rsidR="005F76B0">
        <w:rPr>
          <w:rFonts w:ascii="Times New Roman" w:hAnsi="Times New Roman" w:cs="Times New Roman"/>
          <w:sz w:val="24"/>
          <w:szCs w:val="24"/>
        </w:rPr>
        <w:t>,</w:t>
      </w:r>
      <w:r w:rsidRPr="00552229">
        <w:rPr>
          <w:rFonts w:ascii="Times New Roman" w:hAnsi="Times New Roman" w:cs="Times New Roman"/>
          <w:sz w:val="24"/>
          <w:szCs w:val="24"/>
        </w:rPr>
        <w:t xml:space="preserve"> a further </w:t>
      </w:r>
      <w:r w:rsidR="00F76DA8">
        <w:rPr>
          <w:rFonts w:ascii="Times New Roman" w:hAnsi="Times New Roman" w:cs="Times New Roman"/>
          <w:sz w:val="24"/>
          <w:szCs w:val="24"/>
        </w:rPr>
        <w:t xml:space="preserve">chi-square and </w:t>
      </w:r>
      <w:r w:rsidRPr="00552229">
        <w:rPr>
          <w:rFonts w:ascii="Times New Roman" w:hAnsi="Times New Roman" w:cs="Times New Roman"/>
          <w:sz w:val="24"/>
          <w:szCs w:val="24"/>
        </w:rPr>
        <w:t xml:space="preserve">ANOVA </w:t>
      </w:r>
      <w:r w:rsidR="00F76DA8">
        <w:rPr>
          <w:rFonts w:ascii="Times New Roman" w:hAnsi="Times New Roman" w:cs="Times New Roman"/>
          <w:sz w:val="24"/>
          <w:szCs w:val="24"/>
        </w:rPr>
        <w:t xml:space="preserve">analysis </w:t>
      </w:r>
      <w:r w:rsidRPr="00552229">
        <w:rPr>
          <w:rFonts w:ascii="Times New Roman" w:hAnsi="Times New Roman" w:cs="Times New Roman"/>
          <w:sz w:val="24"/>
          <w:szCs w:val="24"/>
        </w:rPr>
        <w:t>was run to explore potential interactions.</w:t>
      </w:r>
      <w:r w:rsidR="00723354">
        <w:rPr>
          <w:rFonts w:ascii="Times New Roman" w:hAnsi="Times New Roman" w:cs="Times New Roman"/>
          <w:sz w:val="24"/>
          <w:szCs w:val="24"/>
        </w:rPr>
        <w:t xml:space="preserve"> </w:t>
      </w:r>
      <w:r w:rsidR="008C37C1">
        <w:rPr>
          <w:rFonts w:ascii="Times New Roman" w:hAnsi="Times New Roman" w:cs="Times New Roman"/>
          <w:sz w:val="24"/>
          <w:szCs w:val="24"/>
        </w:rPr>
        <w:t>Splitting the sample into four demographic subgroups (m</w:t>
      </w:r>
      <w:r w:rsidR="008C37C1" w:rsidRPr="008C37C1">
        <w:rPr>
          <w:rFonts w:ascii="Times New Roman" w:hAnsi="Times New Roman" w:cs="Times New Roman"/>
          <w:sz w:val="24"/>
          <w:szCs w:val="24"/>
        </w:rPr>
        <w:t>ale</w:t>
      </w:r>
      <w:r w:rsidR="008E4435">
        <w:rPr>
          <w:rFonts w:ascii="Times New Roman" w:hAnsi="Times New Roman" w:cs="Times New Roman"/>
          <w:sz w:val="24"/>
          <w:szCs w:val="24"/>
        </w:rPr>
        <w:t>s</w:t>
      </w:r>
      <w:r w:rsidR="008C37C1" w:rsidRPr="008C37C1">
        <w:rPr>
          <w:rFonts w:ascii="Times New Roman" w:hAnsi="Times New Roman" w:cs="Times New Roman"/>
          <w:sz w:val="24"/>
          <w:szCs w:val="24"/>
        </w:rPr>
        <w:t xml:space="preserve"> aged ≤64</w:t>
      </w:r>
      <w:r w:rsidR="008C37C1">
        <w:rPr>
          <w:rFonts w:ascii="Times New Roman" w:hAnsi="Times New Roman" w:cs="Times New Roman"/>
          <w:sz w:val="24"/>
          <w:szCs w:val="24"/>
        </w:rPr>
        <w:t>, male</w:t>
      </w:r>
      <w:r w:rsidR="008E4435">
        <w:rPr>
          <w:rFonts w:ascii="Times New Roman" w:hAnsi="Times New Roman" w:cs="Times New Roman"/>
          <w:sz w:val="24"/>
          <w:szCs w:val="24"/>
        </w:rPr>
        <w:t>s</w:t>
      </w:r>
      <w:r w:rsidR="008C37C1">
        <w:rPr>
          <w:rFonts w:ascii="Times New Roman" w:hAnsi="Times New Roman" w:cs="Times New Roman"/>
          <w:sz w:val="24"/>
          <w:szCs w:val="24"/>
        </w:rPr>
        <w:t xml:space="preserve"> aged ≥65, female</w:t>
      </w:r>
      <w:r w:rsidR="008E4435">
        <w:rPr>
          <w:rFonts w:ascii="Times New Roman" w:hAnsi="Times New Roman" w:cs="Times New Roman"/>
          <w:sz w:val="24"/>
          <w:szCs w:val="24"/>
        </w:rPr>
        <w:t>s</w:t>
      </w:r>
      <w:r w:rsidR="008C37C1" w:rsidRPr="008C37C1">
        <w:rPr>
          <w:rFonts w:ascii="Times New Roman" w:hAnsi="Times New Roman" w:cs="Times New Roman"/>
          <w:sz w:val="24"/>
          <w:szCs w:val="24"/>
        </w:rPr>
        <w:t xml:space="preserve"> aged ≤64</w:t>
      </w:r>
      <w:r w:rsidR="008C37C1">
        <w:rPr>
          <w:rFonts w:ascii="Times New Roman" w:hAnsi="Times New Roman" w:cs="Times New Roman"/>
          <w:sz w:val="24"/>
          <w:szCs w:val="24"/>
        </w:rPr>
        <w:t>, female</w:t>
      </w:r>
      <w:r w:rsidR="008E4435">
        <w:rPr>
          <w:rFonts w:ascii="Times New Roman" w:hAnsi="Times New Roman" w:cs="Times New Roman"/>
          <w:sz w:val="24"/>
          <w:szCs w:val="24"/>
        </w:rPr>
        <w:t>s</w:t>
      </w:r>
      <w:r w:rsidR="008C37C1">
        <w:rPr>
          <w:rFonts w:ascii="Times New Roman" w:hAnsi="Times New Roman" w:cs="Times New Roman"/>
          <w:sz w:val="24"/>
          <w:szCs w:val="24"/>
        </w:rPr>
        <w:t xml:space="preserve"> aged ≥65), c</w:t>
      </w:r>
      <w:r w:rsidR="00F76DA8">
        <w:rPr>
          <w:rFonts w:ascii="Times New Roman" w:hAnsi="Times New Roman" w:cs="Times New Roman"/>
          <w:sz w:val="24"/>
          <w:szCs w:val="24"/>
        </w:rPr>
        <w:t xml:space="preserve">hi-square results indicated no differences between demographic groups and personal experience of dementia </w:t>
      </w:r>
      <w:r w:rsidR="00F76DA8" w:rsidRPr="001E6503">
        <w:rPr>
          <w:rFonts w:ascii="Times New Roman" w:hAnsi="Times New Roman" w:cs="Times New Roman"/>
          <w:sz w:val="24"/>
          <w:szCs w:val="24"/>
        </w:rPr>
        <w:t>(</w:t>
      </w:r>
      <w:proofErr w:type="gramStart"/>
      <w:r w:rsidR="00F76DA8" w:rsidRPr="001E6503">
        <w:rPr>
          <w:rFonts w:ascii="Times New Roman" w:hAnsi="Times New Roman" w:cs="Times New Roman"/>
          <w:sz w:val="24"/>
          <w:szCs w:val="24"/>
        </w:rPr>
        <w:t>χ</w:t>
      </w:r>
      <w:r w:rsidR="00F76DA8" w:rsidRPr="001E6503">
        <w:rPr>
          <w:rFonts w:ascii="Times New Roman" w:hAnsi="Times New Roman" w:cs="Times New Roman"/>
          <w:sz w:val="24"/>
          <w:szCs w:val="24"/>
          <w:vertAlign w:val="superscript"/>
        </w:rPr>
        <w:t>2</w:t>
      </w:r>
      <w:r w:rsidR="00F76DA8">
        <w:rPr>
          <w:rFonts w:ascii="Times New Roman" w:hAnsi="Times New Roman" w:cs="Times New Roman"/>
          <w:sz w:val="24"/>
          <w:szCs w:val="24"/>
        </w:rPr>
        <w:t>(</w:t>
      </w:r>
      <w:proofErr w:type="gramEnd"/>
      <w:r w:rsidR="00F76DA8">
        <w:rPr>
          <w:rFonts w:ascii="Times New Roman" w:hAnsi="Times New Roman" w:cs="Times New Roman"/>
          <w:sz w:val="24"/>
          <w:szCs w:val="24"/>
        </w:rPr>
        <w:t>3) = 1</w:t>
      </w:r>
      <w:r w:rsidR="00F76DA8" w:rsidRPr="001E6503">
        <w:rPr>
          <w:rFonts w:ascii="Times New Roman" w:hAnsi="Times New Roman" w:cs="Times New Roman"/>
          <w:sz w:val="24"/>
          <w:szCs w:val="24"/>
        </w:rPr>
        <w:t>.</w:t>
      </w:r>
      <w:r w:rsidR="00F76DA8">
        <w:rPr>
          <w:rFonts w:ascii="Times New Roman" w:hAnsi="Times New Roman" w:cs="Times New Roman"/>
          <w:sz w:val="24"/>
          <w:szCs w:val="24"/>
        </w:rPr>
        <w:t>33</w:t>
      </w:r>
      <w:r w:rsidR="00F76DA8" w:rsidRPr="001E6503">
        <w:rPr>
          <w:rFonts w:ascii="Times New Roman" w:hAnsi="Times New Roman" w:cs="Times New Roman"/>
          <w:sz w:val="24"/>
          <w:szCs w:val="24"/>
        </w:rPr>
        <w:t xml:space="preserve">, </w:t>
      </w:r>
      <w:r w:rsidR="00F76DA8" w:rsidRPr="001E6503">
        <w:rPr>
          <w:rFonts w:ascii="Times New Roman" w:hAnsi="Times New Roman" w:cs="Times New Roman"/>
          <w:i/>
          <w:sz w:val="24"/>
          <w:szCs w:val="24"/>
        </w:rPr>
        <w:t>p</w:t>
      </w:r>
      <w:r w:rsidR="00F76DA8">
        <w:rPr>
          <w:rFonts w:ascii="Times New Roman" w:hAnsi="Times New Roman" w:cs="Times New Roman"/>
          <w:sz w:val="24"/>
          <w:szCs w:val="24"/>
        </w:rPr>
        <w:t xml:space="preserve"> = .72</w:t>
      </w:r>
      <w:r w:rsidR="00F76DA8" w:rsidRPr="001E6503">
        <w:rPr>
          <w:rFonts w:ascii="Times New Roman" w:hAnsi="Times New Roman" w:cs="Times New Roman"/>
          <w:sz w:val="24"/>
          <w:szCs w:val="24"/>
        </w:rPr>
        <w:t>)</w:t>
      </w:r>
      <w:r w:rsidR="00F76DA8">
        <w:rPr>
          <w:rFonts w:ascii="Times New Roman" w:hAnsi="Times New Roman" w:cs="Times New Roman"/>
          <w:sz w:val="24"/>
          <w:szCs w:val="24"/>
        </w:rPr>
        <w:t>. However, ANOVA r</w:t>
      </w:r>
      <w:r w:rsidR="009E3A6D" w:rsidRPr="00552229">
        <w:rPr>
          <w:rFonts w:ascii="Times New Roman" w:hAnsi="Times New Roman" w:cs="Times New Roman"/>
          <w:sz w:val="24"/>
          <w:szCs w:val="24"/>
        </w:rPr>
        <w:t xml:space="preserve">esults indicated </w:t>
      </w:r>
      <w:r w:rsidR="00C50167">
        <w:rPr>
          <w:rFonts w:ascii="Times New Roman" w:hAnsi="Times New Roman" w:cs="Times New Roman"/>
          <w:sz w:val="24"/>
          <w:szCs w:val="24"/>
        </w:rPr>
        <w:t>a</w:t>
      </w:r>
      <w:r w:rsidR="005E6AF9" w:rsidRPr="00552229">
        <w:rPr>
          <w:rFonts w:ascii="Times New Roman" w:hAnsi="Times New Roman" w:cs="Times New Roman"/>
          <w:sz w:val="24"/>
          <w:szCs w:val="24"/>
        </w:rPr>
        <w:t>n interaction between gender and age group (</w:t>
      </w:r>
      <w:proofErr w:type="gramStart"/>
      <w:r w:rsidR="005E6AF9" w:rsidRPr="00552229">
        <w:rPr>
          <w:rFonts w:ascii="Times New Roman" w:hAnsi="Times New Roman" w:cs="Times New Roman"/>
          <w:i/>
          <w:sz w:val="24"/>
          <w:szCs w:val="24"/>
        </w:rPr>
        <w:t>F</w:t>
      </w:r>
      <w:r w:rsidR="004E6E80">
        <w:rPr>
          <w:rFonts w:ascii="Times New Roman" w:hAnsi="Times New Roman" w:cs="Times New Roman"/>
          <w:sz w:val="24"/>
          <w:szCs w:val="24"/>
        </w:rPr>
        <w:t>(</w:t>
      </w:r>
      <w:proofErr w:type="gramEnd"/>
      <w:r w:rsidR="004E6E80">
        <w:rPr>
          <w:rFonts w:ascii="Times New Roman" w:hAnsi="Times New Roman" w:cs="Times New Roman"/>
          <w:sz w:val="24"/>
          <w:szCs w:val="24"/>
        </w:rPr>
        <w:t>2,790</w:t>
      </w:r>
      <w:r w:rsidR="005E6AF9" w:rsidRPr="00552229">
        <w:rPr>
          <w:rFonts w:ascii="Times New Roman" w:hAnsi="Times New Roman" w:cs="Times New Roman"/>
          <w:sz w:val="24"/>
          <w:szCs w:val="24"/>
        </w:rPr>
        <w:t xml:space="preserve">) = 3.40, </w:t>
      </w:r>
      <w:r w:rsidR="005E6AF9" w:rsidRPr="00552229">
        <w:rPr>
          <w:rFonts w:ascii="Times New Roman" w:hAnsi="Times New Roman" w:cs="Times New Roman"/>
          <w:i/>
          <w:sz w:val="24"/>
          <w:szCs w:val="24"/>
        </w:rPr>
        <w:t>p</w:t>
      </w:r>
      <w:r w:rsidR="005E6AF9" w:rsidRPr="00552229">
        <w:rPr>
          <w:rFonts w:ascii="Times New Roman" w:hAnsi="Times New Roman" w:cs="Times New Roman"/>
          <w:sz w:val="24"/>
          <w:szCs w:val="24"/>
        </w:rPr>
        <w:t xml:space="preserve"> = .03). Univariate follow-up tests showed interactions present on the </w:t>
      </w:r>
      <w:proofErr w:type="spellStart"/>
      <w:r w:rsidR="005E6AF9" w:rsidRPr="00552229">
        <w:rPr>
          <w:rFonts w:ascii="Times New Roman" w:hAnsi="Times New Roman" w:cs="Times New Roman"/>
          <w:sz w:val="24"/>
          <w:szCs w:val="24"/>
        </w:rPr>
        <w:t>RoP</w:t>
      </w:r>
      <w:proofErr w:type="spellEnd"/>
      <w:r w:rsidR="005E6AF9" w:rsidRPr="00552229">
        <w:rPr>
          <w:rFonts w:ascii="Times New Roman" w:hAnsi="Times New Roman" w:cs="Times New Roman"/>
          <w:sz w:val="24"/>
          <w:szCs w:val="24"/>
        </w:rPr>
        <w:t xml:space="preserve"> (</w:t>
      </w:r>
      <w:proofErr w:type="gramStart"/>
      <w:r w:rsidR="005E6AF9" w:rsidRPr="00552229">
        <w:rPr>
          <w:rFonts w:ascii="Times New Roman" w:hAnsi="Times New Roman" w:cs="Times New Roman"/>
          <w:i/>
          <w:sz w:val="24"/>
          <w:szCs w:val="24"/>
        </w:rPr>
        <w:t>F</w:t>
      </w:r>
      <w:r w:rsidR="004E6E80">
        <w:rPr>
          <w:rFonts w:ascii="Times New Roman" w:hAnsi="Times New Roman" w:cs="Times New Roman"/>
          <w:sz w:val="24"/>
          <w:szCs w:val="24"/>
        </w:rPr>
        <w:t>(</w:t>
      </w:r>
      <w:proofErr w:type="gramEnd"/>
      <w:r w:rsidR="004E6E80">
        <w:rPr>
          <w:rFonts w:ascii="Times New Roman" w:hAnsi="Times New Roman" w:cs="Times New Roman"/>
          <w:sz w:val="24"/>
          <w:szCs w:val="24"/>
        </w:rPr>
        <w:t>1,789</w:t>
      </w:r>
      <w:r w:rsidR="005E6AF9" w:rsidRPr="00552229">
        <w:rPr>
          <w:rFonts w:ascii="Times New Roman" w:hAnsi="Times New Roman" w:cs="Times New Roman"/>
          <w:sz w:val="24"/>
          <w:szCs w:val="24"/>
        </w:rPr>
        <w:t xml:space="preserve">) = 6.69, </w:t>
      </w:r>
      <w:r w:rsidR="005E6AF9" w:rsidRPr="00552229">
        <w:rPr>
          <w:rFonts w:ascii="Times New Roman" w:hAnsi="Times New Roman" w:cs="Times New Roman"/>
          <w:i/>
          <w:sz w:val="24"/>
          <w:szCs w:val="24"/>
        </w:rPr>
        <w:t>p</w:t>
      </w:r>
      <w:r w:rsidR="005E6AF9" w:rsidRPr="00552229">
        <w:rPr>
          <w:rFonts w:ascii="Times New Roman" w:hAnsi="Times New Roman" w:cs="Times New Roman"/>
          <w:sz w:val="24"/>
          <w:szCs w:val="24"/>
        </w:rPr>
        <w:t xml:space="preserve"> = .01) and total scores (</w:t>
      </w:r>
      <w:r w:rsidR="005E6AF9" w:rsidRPr="00552229">
        <w:rPr>
          <w:rFonts w:ascii="Times New Roman" w:hAnsi="Times New Roman" w:cs="Times New Roman"/>
          <w:i/>
          <w:sz w:val="24"/>
          <w:szCs w:val="24"/>
        </w:rPr>
        <w:t>F</w:t>
      </w:r>
      <w:r w:rsidR="005E6AF9" w:rsidRPr="00552229">
        <w:rPr>
          <w:rFonts w:ascii="Times New Roman" w:hAnsi="Times New Roman" w:cs="Times New Roman"/>
          <w:sz w:val="24"/>
          <w:szCs w:val="24"/>
        </w:rPr>
        <w:t>(1,</w:t>
      </w:r>
      <w:r w:rsidR="004E6E80" w:rsidRPr="004E6E80">
        <w:rPr>
          <w:rFonts w:ascii="Times New Roman" w:hAnsi="Times New Roman" w:cs="Times New Roman"/>
          <w:sz w:val="24"/>
          <w:szCs w:val="24"/>
        </w:rPr>
        <w:t xml:space="preserve"> </w:t>
      </w:r>
      <w:r w:rsidR="004E6E80">
        <w:rPr>
          <w:rFonts w:ascii="Times New Roman" w:hAnsi="Times New Roman" w:cs="Times New Roman"/>
          <w:sz w:val="24"/>
          <w:szCs w:val="24"/>
        </w:rPr>
        <w:t>789</w:t>
      </w:r>
      <w:r w:rsidR="005E6AF9" w:rsidRPr="00552229">
        <w:rPr>
          <w:rFonts w:ascii="Times New Roman" w:hAnsi="Times New Roman" w:cs="Times New Roman"/>
          <w:sz w:val="24"/>
          <w:szCs w:val="24"/>
        </w:rPr>
        <w:t xml:space="preserve">) = 6.28, </w:t>
      </w:r>
      <w:r w:rsidR="005E6AF9" w:rsidRPr="00552229">
        <w:rPr>
          <w:rFonts w:ascii="Times New Roman" w:hAnsi="Times New Roman" w:cs="Times New Roman"/>
          <w:i/>
          <w:sz w:val="24"/>
          <w:szCs w:val="24"/>
        </w:rPr>
        <w:t>p</w:t>
      </w:r>
      <w:r w:rsidR="005E6AF9" w:rsidRPr="00552229">
        <w:rPr>
          <w:rFonts w:ascii="Times New Roman" w:hAnsi="Times New Roman" w:cs="Times New Roman"/>
          <w:sz w:val="24"/>
          <w:szCs w:val="24"/>
        </w:rPr>
        <w:t xml:space="preserve"> = .01), but not the </w:t>
      </w:r>
      <w:r w:rsidR="008E4435">
        <w:rPr>
          <w:rFonts w:ascii="Times New Roman" w:hAnsi="Times New Roman" w:cs="Times New Roman"/>
          <w:sz w:val="24"/>
          <w:szCs w:val="24"/>
        </w:rPr>
        <w:t>H</w:t>
      </w:r>
      <w:r w:rsidR="005E6AF9" w:rsidRPr="00552229">
        <w:rPr>
          <w:rFonts w:ascii="Times New Roman" w:hAnsi="Times New Roman" w:cs="Times New Roman"/>
          <w:sz w:val="24"/>
          <w:szCs w:val="24"/>
        </w:rPr>
        <w:t>ope scale (</w:t>
      </w:r>
      <w:r w:rsidR="005E6AF9" w:rsidRPr="00552229">
        <w:rPr>
          <w:rFonts w:ascii="Times New Roman" w:hAnsi="Times New Roman" w:cs="Times New Roman"/>
          <w:i/>
          <w:sz w:val="24"/>
          <w:szCs w:val="24"/>
        </w:rPr>
        <w:t>F</w:t>
      </w:r>
      <w:r w:rsidR="005E6AF9" w:rsidRPr="00552229">
        <w:rPr>
          <w:rFonts w:ascii="Times New Roman" w:hAnsi="Times New Roman" w:cs="Times New Roman"/>
          <w:sz w:val="24"/>
          <w:szCs w:val="24"/>
        </w:rPr>
        <w:t>(1,</w:t>
      </w:r>
      <w:r w:rsidR="004E6E80" w:rsidRPr="004E6E80">
        <w:rPr>
          <w:rFonts w:ascii="Times New Roman" w:hAnsi="Times New Roman" w:cs="Times New Roman"/>
          <w:sz w:val="24"/>
          <w:szCs w:val="24"/>
        </w:rPr>
        <w:t xml:space="preserve"> </w:t>
      </w:r>
      <w:r w:rsidR="004E6E80">
        <w:rPr>
          <w:rFonts w:ascii="Times New Roman" w:hAnsi="Times New Roman" w:cs="Times New Roman"/>
          <w:sz w:val="24"/>
          <w:szCs w:val="24"/>
        </w:rPr>
        <w:t>789</w:t>
      </w:r>
      <w:r w:rsidR="005E6AF9" w:rsidRPr="00552229">
        <w:rPr>
          <w:rFonts w:ascii="Times New Roman" w:hAnsi="Times New Roman" w:cs="Times New Roman"/>
          <w:sz w:val="24"/>
          <w:szCs w:val="24"/>
        </w:rPr>
        <w:t xml:space="preserve">) = 2.97, </w:t>
      </w:r>
      <w:r w:rsidR="005E6AF9" w:rsidRPr="00552229">
        <w:rPr>
          <w:rFonts w:ascii="Times New Roman" w:hAnsi="Times New Roman" w:cs="Times New Roman"/>
          <w:i/>
          <w:sz w:val="24"/>
          <w:szCs w:val="24"/>
        </w:rPr>
        <w:t>p</w:t>
      </w:r>
      <w:r w:rsidR="005E6AF9" w:rsidRPr="00552229">
        <w:rPr>
          <w:rFonts w:ascii="Times New Roman" w:hAnsi="Times New Roman" w:cs="Times New Roman"/>
          <w:sz w:val="24"/>
          <w:szCs w:val="24"/>
        </w:rPr>
        <w:t xml:space="preserve"> = .09</w:t>
      </w:r>
      <w:r w:rsidR="009E3A6D" w:rsidRPr="00552229">
        <w:rPr>
          <w:rFonts w:ascii="Times New Roman" w:hAnsi="Times New Roman" w:cs="Times New Roman"/>
          <w:sz w:val="24"/>
          <w:szCs w:val="24"/>
        </w:rPr>
        <w:t xml:space="preserve">). Examination of mean scores showed </w:t>
      </w:r>
      <w:r w:rsidR="005E6AF9" w:rsidRPr="00552229">
        <w:rPr>
          <w:rFonts w:ascii="Times New Roman" w:hAnsi="Times New Roman" w:cs="Times New Roman"/>
          <w:sz w:val="24"/>
          <w:szCs w:val="24"/>
        </w:rPr>
        <w:t>younger men scor</w:t>
      </w:r>
      <w:r w:rsidR="009E3A6D" w:rsidRPr="00552229">
        <w:rPr>
          <w:rFonts w:ascii="Times New Roman" w:hAnsi="Times New Roman" w:cs="Times New Roman"/>
          <w:sz w:val="24"/>
          <w:szCs w:val="24"/>
        </w:rPr>
        <w:t>ed</w:t>
      </w:r>
      <w:r w:rsidR="005E6AF9" w:rsidRPr="00552229">
        <w:rPr>
          <w:rFonts w:ascii="Times New Roman" w:hAnsi="Times New Roman" w:cs="Times New Roman"/>
          <w:sz w:val="24"/>
          <w:szCs w:val="24"/>
        </w:rPr>
        <w:t xml:space="preserve"> </w:t>
      </w:r>
      <w:r w:rsidR="00532901">
        <w:rPr>
          <w:rFonts w:ascii="Times New Roman" w:hAnsi="Times New Roman" w:cs="Times New Roman"/>
          <w:sz w:val="24"/>
          <w:szCs w:val="24"/>
        </w:rPr>
        <w:t>slightly higher</w:t>
      </w:r>
      <w:r w:rsidR="005E6AF9" w:rsidRPr="00552229">
        <w:rPr>
          <w:rFonts w:ascii="Times New Roman" w:hAnsi="Times New Roman" w:cs="Times New Roman"/>
          <w:sz w:val="24"/>
          <w:szCs w:val="24"/>
        </w:rPr>
        <w:t xml:space="preserve"> than the other groups</w:t>
      </w:r>
      <w:r w:rsidR="009E3A6D" w:rsidRPr="00552229">
        <w:rPr>
          <w:rFonts w:ascii="Times New Roman" w:hAnsi="Times New Roman" w:cs="Times New Roman"/>
          <w:sz w:val="24"/>
          <w:szCs w:val="24"/>
        </w:rPr>
        <w:t xml:space="preserve"> on these scales</w:t>
      </w:r>
      <w:r w:rsidR="008E4435">
        <w:rPr>
          <w:rFonts w:ascii="Times New Roman" w:hAnsi="Times New Roman" w:cs="Times New Roman"/>
          <w:sz w:val="24"/>
          <w:szCs w:val="24"/>
        </w:rPr>
        <w:t xml:space="preserve"> (</w:t>
      </w:r>
      <w:r w:rsidR="00723354">
        <w:rPr>
          <w:rFonts w:ascii="Times New Roman" w:hAnsi="Times New Roman" w:cs="Times New Roman"/>
          <w:sz w:val="24"/>
          <w:szCs w:val="24"/>
        </w:rPr>
        <w:t>weighted means are shown in Table 3</w:t>
      </w:r>
      <w:r w:rsidR="008E4435">
        <w:rPr>
          <w:rFonts w:ascii="Times New Roman" w:hAnsi="Times New Roman" w:cs="Times New Roman"/>
          <w:sz w:val="24"/>
          <w:szCs w:val="24"/>
        </w:rPr>
        <w:t>)</w:t>
      </w:r>
      <w:r w:rsidR="00723354">
        <w:rPr>
          <w:rFonts w:ascii="Times New Roman" w:hAnsi="Times New Roman" w:cs="Times New Roman"/>
          <w:sz w:val="24"/>
          <w:szCs w:val="24"/>
        </w:rPr>
        <w:t>.</w:t>
      </w:r>
      <w:r w:rsidR="00F76DA8">
        <w:rPr>
          <w:rFonts w:ascii="Times New Roman" w:hAnsi="Times New Roman" w:cs="Times New Roman"/>
          <w:sz w:val="24"/>
          <w:szCs w:val="24"/>
        </w:rPr>
        <w:t xml:space="preserve"> </w:t>
      </w:r>
    </w:p>
    <w:p w14:paraId="76E9F4ED" w14:textId="77777777" w:rsidR="00AF598F" w:rsidRPr="001E6503" w:rsidRDefault="00AF598F" w:rsidP="000B1A46">
      <w:pPr>
        <w:pStyle w:val="ListParagraph"/>
        <w:spacing w:before="120" w:after="120" w:line="480" w:lineRule="auto"/>
        <w:ind w:left="0"/>
        <w:rPr>
          <w:rFonts w:ascii="Times New Roman" w:hAnsi="Times New Roman" w:cs="Times New Roman"/>
          <w:sz w:val="24"/>
          <w:szCs w:val="24"/>
        </w:rPr>
      </w:pPr>
    </w:p>
    <w:p w14:paraId="324E2C1E" w14:textId="77777777" w:rsidR="00DA2FBE" w:rsidRPr="001E6503" w:rsidRDefault="00DA2FBE" w:rsidP="000B1A46">
      <w:pPr>
        <w:spacing w:line="480" w:lineRule="auto"/>
        <w:rPr>
          <w:rFonts w:ascii="Times New Roman" w:eastAsia="ArialMT" w:hAnsi="Times New Roman" w:cs="Times New Roman"/>
          <w:b/>
          <w:sz w:val="24"/>
          <w:szCs w:val="24"/>
        </w:rPr>
      </w:pPr>
      <w:r w:rsidRPr="001E6503">
        <w:rPr>
          <w:rFonts w:ascii="Times New Roman" w:eastAsia="ArialMT" w:hAnsi="Times New Roman" w:cs="Times New Roman"/>
          <w:b/>
          <w:sz w:val="24"/>
          <w:szCs w:val="24"/>
        </w:rPr>
        <w:lastRenderedPageBreak/>
        <w:t>Discussion</w:t>
      </w:r>
    </w:p>
    <w:p w14:paraId="1722576B" w14:textId="3D3278B2" w:rsidR="00837F65" w:rsidRDefault="00F24C10" w:rsidP="000B1A46">
      <w:pPr>
        <w:spacing w:line="480" w:lineRule="auto"/>
        <w:rPr>
          <w:rFonts w:ascii="Times New Roman" w:hAnsi="Times New Roman" w:cs="Times New Roman"/>
          <w:sz w:val="24"/>
          <w:szCs w:val="24"/>
        </w:rPr>
      </w:pPr>
      <w:r w:rsidRPr="001E6503">
        <w:rPr>
          <w:rFonts w:ascii="Times New Roman" w:hAnsi="Times New Roman" w:cs="Times New Roman"/>
          <w:sz w:val="24"/>
          <w:szCs w:val="24"/>
        </w:rPr>
        <w:t>This</w:t>
      </w:r>
      <w:r w:rsidR="00144E93" w:rsidRPr="001E6503">
        <w:rPr>
          <w:rFonts w:ascii="Times New Roman" w:hAnsi="Times New Roman" w:cs="Times New Roman"/>
          <w:sz w:val="24"/>
          <w:szCs w:val="24"/>
        </w:rPr>
        <w:t xml:space="preserve"> is </w:t>
      </w:r>
      <w:r w:rsidRPr="001E6503">
        <w:rPr>
          <w:rFonts w:ascii="Times New Roman" w:hAnsi="Times New Roman" w:cs="Times New Roman"/>
          <w:sz w:val="24"/>
          <w:szCs w:val="24"/>
        </w:rPr>
        <w:t xml:space="preserve">one of </w:t>
      </w:r>
      <w:r w:rsidR="00144E93" w:rsidRPr="001E6503">
        <w:rPr>
          <w:rFonts w:ascii="Times New Roman" w:hAnsi="Times New Roman" w:cs="Times New Roman"/>
          <w:sz w:val="24"/>
          <w:szCs w:val="24"/>
        </w:rPr>
        <w:t>the first survey</w:t>
      </w:r>
      <w:r w:rsidRPr="001E6503">
        <w:rPr>
          <w:rFonts w:ascii="Times New Roman" w:hAnsi="Times New Roman" w:cs="Times New Roman"/>
          <w:sz w:val="24"/>
          <w:szCs w:val="24"/>
        </w:rPr>
        <w:t>s</w:t>
      </w:r>
      <w:r w:rsidR="00144E93" w:rsidRPr="001E6503">
        <w:rPr>
          <w:rFonts w:ascii="Times New Roman" w:hAnsi="Times New Roman" w:cs="Times New Roman"/>
          <w:sz w:val="24"/>
          <w:szCs w:val="24"/>
        </w:rPr>
        <w:t xml:space="preserve"> of public attitudes to</w:t>
      </w:r>
      <w:r w:rsidR="00AC5319" w:rsidRPr="001E6503">
        <w:rPr>
          <w:rFonts w:ascii="Times New Roman" w:hAnsi="Times New Roman" w:cs="Times New Roman"/>
          <w:sz w:val="24"/>
          <w:szCs w:val="24"/>
        </w:rPr>
        <w:t>ward</w:t>
      </w:r>
      <w:r w:rsidR="00C50167">
        <w:rPr>
          <w:rFonts w:ascii="Times New Roman" w:hAnsi="Times New Roman" w:cs="Times New Roman"/>
          <w:sz w:val="24"/>
          <w:szCs w:val="24"/>
        </w:rPr>
        <w:t>s</w:t>
      </w:r>
      <w:r w:rsidR="00144E93" w:rsidRPr="001E6503">
        <w:rPr>
          <w:rFonts w:ascii="Times New Roman" w:hAnsi="Times New Roman" w:cs="Times New Roman"/>
          <w:sz w:val="24"/>
          <w:szCs w:val="24"/>
        </w:rPr>
        <w:t xml:space="preserve"> dementia t</w:t>
      </w:r>
      <w:r w:rsidR="00A31F85" w:rsidRPr="001E6503">
        <w:rPr>
          <w:rFonts w:ascii="Times New Roman" w:hAnsi="Times New Roman" w:cs="Times New Roman"/>
          <w:sz w:val="24"/>
          <w:szCs w:val="24"/>
        </w:rPr>
        <w:t>o</w:t>
      </w:r>
      <w:r w:rsidR="00144E93" w:rsidRPr="001E6503">
        <w:rPr>
          <w:rFonts w:ascii="Times New Roman" w:hAnsi="Times New Roman" w:cs="Times New Roman"/>
          <w:sz w:val="24"/>
          <w:szCs w:val="24"/>
        </w:rPr>
        <w:t xml:space="preserve"> use a validated questionnaire such as the ADQ. </w:t>
      </w:r>
      <w:r w:rsidRPr="001E6503">
        <w:rPr>
          <w:rFonts w:ascii="Times New Roman" w:hAnsi="Times New Roman" w:cs="Times New Roman"/>
          <w:sz w:val="24"/>
          <w:szCs w:val="24"/>
        </w:rPr>
        <w:t>Typically</w:t>
      </w:r>
      <w:r w:rsidR="009F13C4">
        <w:rPr>
          <w:rFonts w:ascii="Times New Roman" w:hAnsi="Times New Roman" w:cs="Times New Roman"/>
          <w:sz w:val="24"/>
          <w:szCs w:val="24"/>
        </w:rPr>
        <w:t xml:space="preserve"> where</w:t>
      </w:r>
      <w:r w:rsidRPr="001E6503">
        <w:rPr>
          <w:rFonts w:ascii="Times New Roman" w:hAnsi="Times New Roman" w:cs="Times New Roman"/>
          <w:sz w:val="24"/>
          <w:szCs w:val="24"/>
        </w:rPr>
        <w:t xml:space="preserve"> </w:t>
      </w:r>
      <w:r w:rsidR="00144E93" w:rsidRPr="001E6503">
        <w:rPr>
          <w:rFonts w:ascii="Times New Roman" w:hAnsi="Times New Roman" w:cs="Times New Roman"/>
          <w:sz w:val="24"/>
          <w:szCs w:val="24"/>
        </w:rPr>
        <w:t xml:space="preserve">large-scale surveys have </w:t>
      </w:r>
      <w:r w:rsidR="00FC0729" w:rsidRPr="001E6503">
        <w:rPr>
          <w:rFonts w:ascii="Times New Roman" w:hAnsi="Times New Roman" w:cs="Times New Roman"/>
          <w:sz w:val="24"/>
          <w:szCs w:val="24"/>
        </w:rPr>
        <w:t xml:space="preserve">focussed on the general public </w:t>
      </w:r>
      <w:proofErr w:type="spellStart"/>
      <w:r w:rsidR="00144E93" w:rsidRPr="001E6503">
        <w:rPr>
          <w:rFonts w:ascii="Times New Roman" w:hAnsi="Times New Roman" w:cs="Times New Roman"/>
          <w:sz w:val="24"/>
          <w:szCs w:val="24"/>
        </w:rPr>
        <w:t>unvalidated</w:t>
      </w:r>
      <w:proofErr w:type="spellEnd"/>
      <w:r w:rsidR="00144E93" w:rsidRPr="001E6503">
        <w:rPr>
          <w:rFonts w:ascii="Times New Roman" w:hAnsi="Times New Roman" w:cs="Times New Roman"/>
          <w:sz w:val="24"/>
          <w:szCs w:val="24"/>
        </w:rPr>
        <w:t xml:space="preserve"> questionnaires</w:t>
      </w:r>
      <w:r w:rsidR="00A31F85" w:rsidRPr="001E6503">
        <w:rPr>
          <w:rFonts w:ascii="Times New Roman" w:hAnsi="Times New Roman" w:cs="Times New Roman"/>
          <w:sz w:val="24"/>
          <w:szCs w:val="24"/>
        </w:rPr>
        <w:t xml:space="preserve"> </w:t>
      </w:r>
      <w:r w:rsidR="009F13C4">
        <w:rPr>
          <w:rFonts w:ascii="Times New Roman" w:hAnsi="Times New Roman" w:cs="Times New Roman"/>
          <w:sz w:val="24"/>
          <w:szCs w:val="24"/>
        </w:rPr>
        <w:t xml:space="preserve">were </w:t>
      </w:r>
      <w:r w:rsidR="009F13C4" w:rsidRPr="001E6503">
        <w:rPr>
          <w:rFonts w:ascii="Times New Roman" w:hAnsi="Times New Roman" w:cs="Times New Roman"/>
          <w:sz w:val="24"/>
          <w:szCs w:val="24"/>
        </w:rPr>
        <w:t xml:space="preserve">used </w:t>
      </w:r>
      <w:r w:rsidR="00144E93" w:rsidRPr="001E6503">
        <w:rPr>
          <w:rFonts w:ascii="Times New Roman" w:hAnsi="Times New Roman" w:cs="Times New Roman"/>
          <w:sz w:val="24"/>
          <w:szCs w:val="24"/>
        </w:rPr>
        <w:t>(</w:t>
      </w:r>
      <w:r w:rsidR="0080324F" w:rsidRPr="001E6503">
        <w:rPr>
          <w:rFonts w:ascii="Times New Roman" w:hAnsi="Times New Roman" w:cs="Times New Roman"/>
          <w:sz w:val="24"/>
          <w:szCs w:val="24"/>
        </w:rPr>
        <w:t>e.g.,</w:t>
      </w:r>
      <w:r w:rsidR="00144E93" w:rsidRPr="001E6503">
        <w:rPr>
          <w:rFonts w:ascii="Times New Roman" w:hAnsi="Times New Roman" w:cs="Times New Roman"/>
          <w:sz w:val="24"/>
          <w:szCs w:val="24"/>
        </w:rPr>
        <w:t xml:space="preserve"> </w:t>
      </w:r>
      <w:r w:rsidRPr="001E6503">
        <w:rPr>
          <w:rFonts w:ascii="Times New Roman" w:hAnsi="Times New Roman" w:cs="Times New Roman"/>
          <w:sz w:val="24"/>
          <w:szCs w:val="24"/>
        </w:rPr>
        <w:t xml:space="preserve">McParland </w:t>
      </w:r>
      <w:r w:rsidR="00B166FC" w:rsidRPr="001E6503">
        <w:rPr>
          <w:rFonts w:ascii="Times New Roman" w:hAnsi="Times New Roman" w:cs="Times New Roman"/>
          <w:i/>
          <w:sz w:val="24"/>
          <w:szCs w:val="24"/>
        </w:rPr>
        <w:t>et al.,</w:t>
      </w:r>
      <w:r w:rsidRPr="001E6503">
        <w:rPr>
          <w:rFonts w:ascii="Times New Roman" w:hAnsi="Times New Roman" w:cs="Times New Roman"/>
          <w:sz w:val="24"/>
          <w:szCs w:val="24"/>
        </w:rPr>
        <w:t xml:space="preserve"> 2012</w:t>
      </w:r>
      <w:r w:rsidR="00144E93" w:rsidRPr="001E6503">
        <w:rPr>
          <w:rFonts w:ascii="Times New Roman" w:hAnsi="Times New Roman" w:cs="Times New Roman"/>
          <w:sz w:val="24"/>
          <w:szCs w:val="24"/>
        </w:rPr>
        <w:t>)</w:t>
      </w:r>
      <w:r w:rsidR="00304FB4">
        <w:rPr>
          <w:rFonts w:ascii="Times New Roman" w:hAnsi="Times New Roman" w:cs="Times New Roman"/>
          <w:sz w:val="24"/>
          <w:szCs w:val="24"/>
        </w:rPr>
        <w:t>.</w:t>
      </w:r>
      <w:r w:rsidR="00144E93" w:rsidRPr="001E6503">
        <w:rPr>
          <w:rFonts w:ascii="Times New Roman" w:hAnsi="Times New Roman" w:cs="Times New Roman"/>
          <w:sz w:val="24"/>
          <w:szCs w:val="24"/>
        </w:rPr>
        <w:t xml:space="preserve"> </w:t>
      </w:r>
      <w:r w:rsidR="00304FB4">
        <w:rPr>
          <w:rFonts w:ascii="Times New Roman" w:hAnsi="Times New Roman" w:cs="Times New Roman"/>
          <w:sz w:val="24"/>
          <w:szCs w:val="24"/>
        </w:rPr>
        <w:t>In instances where</w:t>
      </w:r>
      <w:r w:rsidR="00144E93" w:rsidRPr="001E6503">
        <w:rPr>
          <w:rFonts w:ascii="Times New Roman" w:hAnsi="Times New Roman" w:cs="Times New Roman"/>
          <w:sz w:val="24"/>
          <w:szCs w:val="24"/>
        </w:rPr>
        <w:t xml:space="preserve"> </w:t>
      </w:r>
      <w:r w:rsidR="00FC0729" w:rsidRPr="001E6503">
        <w:rPr>
          <w:rFonts w:ascii="Times New Roman" w:hAnsi="Times New Roman" w:cs="Times New Roman"/>
          <w:sz w:val="24"/>
          <w:szCs w:val="24"/>
        </w:rPr>
        <w:t>validated scales</w:t>
      </w:r>
      <w:r w:rsidR="00304FB4">
        <w:rPr>
          <w:rFonts w:ascii="Times New Roman" w:hAnsi="Times New Roman" w:cs="Times New Roman"/>
          <w:sz w:val="24"/>
          <w:szCs w:val="24"/>
        </w:rPr>
        <w:t xml:space="preserve"> were </w:t>
      </w:r>
      <w:r w:rsidR="00304FB4" w:rsidRPr="001E6503">
        <w:rPr>
          <w:rFonts w:ascii="Times New Roman" w:hAnsi="Times New Roman" w:cs="Times New Roman"/>
          <w:sz w:val="24"/>
          <w:szCs w:val="24"/>
        </w:rPr>
        <w:t>used</w:t>
      </w:r>
      <w:r w:rsidR="00FC0729" w:rsidRPr="001E6503">
        <w:rPr>
          <w:rFonts w:ascii="Times New Roman" w:hAnsi="Times New Roman" w:cs="Times New Roman"/>
          <w:sz w:val="24"/>
          <w:szCs w:val="24"/>
        </w:rPr>
        <w:t xml:space="preserve">, </w:t>
      </w:r>
      <w:r w:rsidR="00304FB4">
        <w:rPr>
          <w:rFonts w:ascii="Times New Roman" w:hAnsi="Times New Roman" w:cs="Times New Roman"/>
          <w:sz w:val="24"/>
          <w:szCs w:val="24"/>
        </w:rPr>
        <w:t>the focus was</w:t>
      </w:r>
      <w:r w:rsidR="00AC5319" w:rsidRPr="001E6503">
        <w:rPr>
          <w:rFonts w:ascii="Times New Roman" w:hAnsi="Times New Roman" w:cs="Times New Roman"/>
          <w:sz w:val="24"/>
          <w:szCs w:val="24"/>
        </w:rPr>
        <w:t xml:space="preserve"> on </w:t>
      </w:r>
      <w:r w:rsidR="00FC0729" w:rsidRPr="001E6503">
        <w:rPr>
          <w:rFonts w:ascii="Times New Roman" w:hAnsi="Times New Roman" w:cs="Times New Roman"/>
          <w:sz w:val="24"/>
          <w:szCs w:val="24"/>
        </w:rPr>
        <w:t xml:space="preserve">attitudes of </w:t>
      </w:r>
      <w:r w:rsidRPr="001E6503">
        <w:rPr>
          <w:rFonts w:ascii="Times New Roman" w:hAnsi="Times New Roman" w:cs="Times New Roman"/>
          <w:sz w:val="24"/>
          <w:szCs w:val="24"/>
        </w:rPr>
        <w:t xml:space="preserve">staff </w:t>
      </w:r>
      <w:r w:rsidR="00144E93" w:rsidRPr="001E6503">
        <w:rPr>
          <w:rFonts w:ascii="Times New Roman" w:hAnsi="Times New Roman" w:cs="Times New Roman"/>
          <w:sz w:val="24"/>
          <w:szCs w:val="24"/>
        </w:rPr>
        <w:t>work</w:t>
      </w:r>
      <w:r w:rsidRPr="001E6503">
        <w:rPr>
          <w:rFonts w:ascii="Times New Roman" w:hAnsi="Times New Roman" w:cs="Times New Roman"/>
          <w:sz w:val="24"/>
          <w:szCs w:val="24"/>
        </w:rPr>
        <w:t>ing</w:t>
      </w:r>
      <w:r w:rsidR="00144E93" w:rsidRPr="001E6503">
        <w:rPr>
          <w:rFonts w:ascii="Times New Roman" w:hAnsi="Times New Roman" w:cs="Times New Roman"/>
          <w:sz w:val="24"/>
          <w:szCs w:val="24"/>
        </w:rPr>
        <w:t xml:space="preserve"> in dementia care</w:t>
      </w:r>
      <w:r w:rsidR="00304FB4">
        <w:rPr>
          <w:rFonts w:ascii="Times New Roman" w:hAnsi="Times New Roman" w:cs="Times New Roman"/>
          <w:sz w:val="24"/>
          <w:szCs w:val="24"/>
        </w:rPr>
        <w:t xml:space="preserve"> rather than the general public</w:t>
      </w:r>
      <w:r w:rsidR="00144E93" w:rsidRPr="001E6503">
        <w:rPr>
          <w:rFonts w:ascii="Times New Roman" w:hAnsi="Times New Roman" w:cs="Times New Roman"/>
          <w:sz w:val="24"/>
          <w:szCs w:val="24"/>
        </w:rPr>
        <w:t xml:space="preserve"> (</w:t>
      </w:r>
      <w:r w:rsidR="0080324F" w:rsidRPr="001E6503">
        <w:rPr>
          <w:rFonts w:ascii="Times New Roman" w:hAnsi="Times New Roman" w:cs="Times New Roman"/>
          <w:sz w:val="24"/>
          <w:szCs w:val="24"/>
        </w:rPr>
        <w:t>e.g.,</w:t>
      </w:r>
      <w:r w:rsidR="00144E93" w:rsidRPr="001E6503">
        <w:rPr>
          <w:rFonts w:ascii="Times New Roman" w:hAnsi="Times New Roman" w:cs="Times New Roman"/>
          <w:sz w:val="24"/>
          <w:szCs w:val="24"/>
        </w:rPr>
        <w:t xml:space="preserve"> </w:t>
      </w:r>
      <w:proofErr w:type="spellStart"/>
      <w:r w:rsidR="004074FA">
        <w:rPr>
          <w:rFonts w:ascii="Times New Roman" w:hAnsi="Times New Roman" w:cs="Times New Roman"/>
          <w:sz w:val="24"/>
          <w:szCs w:val="24"/>
        </w:rPr>
        <w:t>Lintern</w:t>
      </w:r>
      <w:proofErr w:type="spellEnd"/>
      <w:r w:rsidR="004074FA">
        <w:rPr>
          <w:rFonts w:ascii="Times New Roman" w:hAnsi="Times New Roman" w:cs="Times New Roman"/>
          <w:sz w:val="24"/>
          <w:szCs w:val="24"/>
        </w:rPr>
        <w:t xml:space="preserve">, 2001; </w:t>
      </w:r>
      <w:r w:rsidR="00A31F85" w:rsidRPr="001E6503">
        <w:rPr>
          <w:rFonts w:ascii="Times New Roman" w:hAnsi="Times New Roman" w:cs="Times New Roman"/>
          <w:sz w:val="24"/>
          <w:szCs w:val="24"/>
        </w:rPr>
        <w:t xml:space="preserve">Moyle </w:t>
      </w:r>
      <w:r w:rsidR="00B166FC" w:rsidRPr="001E6503">
        <w:rPr>
          <w:rFonts w:ascii="Times New Roman" w:hAnsi="Times New Roman" w:cs="Times New Roman"/>
          <w:i/>
          <w:sz w:val="24"/>
          <w:szCs w:val="24"/>
        </w:rPr>
        <w:t>et al.,</w:t>
      </w:r>
      <w:r w:rsidR="00A31F85" w:rsidRPr="001E6503">
        <w:rPr>
          <w:rFonts w:ascii="Times New Roman" w:hAnsi="Times New Roman" w:cs="Times New Roman"/>
          <w:sz w:val="24"/>
          <w:szCs w:val="24"/>
        </w:rPr>
        <w:t xml:space="preserve"> 2012</w:t>
      </w:r>
      <w:r w:rsidR="00144E93" w:rsidRPr="001E6503">
        <w:rPr>
          <w:rFonts w:ascii="Times New Roman" w:hAnsi="Times New Roman" w:cs="Times New Roman"/>
          <w:sz w:val="24"/>
          <w:szCs w:val="24"/>
        </w:rPr>
        <w:t xml:space="preserve">). </w:t>
      </w:r>
      <w:r w:rsidR="000B0608" w:rsidRPr="001E6503">
        <w:rPr>
          <w:rFonts w:ascii="Times New Roman" w:hAnsi="Times New Roman" w:cs="Times New Roman"/>
          <w:sz w:val="24"/>
          <w:szCs w:val="24"/>
        </w:rPr>
        <w:t xml:space="preserve">By contrast, this study provides </w:t>
      </w:r>
      <w:r w:rsidR="00401C8F" w:rsidRPr="001E6503">
        <w:rPr>
          <w:rFonts w:ascii="Times New Roman" w:hAnsi="Times New Roman" w:cs="Times New Roman"/>
          <w:sz w:val="24"/>
          <w:szCs w:val="24"/>
        </w:rPr>
        <w:t xml:space="preserve">a baseline of attitudes </w:t>
      </w:r>
      <w:r w:rsidR="00B45A1C">
        <w:rPr>
          <w:rFonts w:ascii="Times New Roman" w:hAnsi="Times New Roman" w:cs="Times New Roman"/>
          <w:sz w:val="24"/>
          <w:szCs w:val="24"/>
        </w:rPr>
        <w:t xml:space="preserve">held by the layperson </w:t>
      </w:r>
      <w:r w:rsidR="00401C8F" w:rsidRPr="001E6503">
        <w:rPr>
          <w:rFonts w:ascii="Times New Roman" w:hAnsi="Times New Roman" w:cs="Times New Roman"/>
          <w:sz w:val="24"/>
          <w:szCs w:val="24"/>
        </w:rPr>
        <w:t xml:space="preserve">towards dementia for the Bristol and South Gloucestershire areas, </w:t>
      </w:r>
      <w:r w:rsidR="00144E93" w:rsidRPr="001E6503">
        <w:rPr>
          <w:rFonts w:ascii="Times New Roman" w:hAnsi="Times New Roman" w:cs="Times New Roman"/>
          <w:sz w:val="24"/>
          <w:szCs w:val="24"/>
        </w:rPr>
        <w:t xml:space="preserve">against which we will be able to compare changes over time. </w:t>
      </w:r>
    </w:p>
    <w:p w14:paraId="086612A6" w14:textId="77777777" w:rsidR="00AF598F" w:rsidRPr="001E6503" w:rsidRDefault="00AF598F" w:rsidP="000B1A46">
      <w:pPr>
        <w:spacing w:line="480" w:lineRule="auto"/>
        <w:rPr>
          <w:rFonts w:ascii="Times New Roman" w:hAnsi="Times New Roman" w:cs="Times New Roman"/>
          <w:sz w:val="24"/>
          <w:szCs w:val="24"/>
        </w:rPr>
      </w:pPr>
    </w:p>
    <w:p w14:paraId="3BA43B1A" w14:textId="55ED4302" w:rsidR="00A31F85" w:rsidRDefault="000B0608" w:rsidP="000B1A46">
      <w:pPr>
        <w:spacing w:line="480" w:lineRule="auto"/>
        <w:ind w:firstLine="720"/>
        <w:rPr>
          <w:rFonts w:ascii="Times New Roman" w:eastAsia="Times New Roman" w:hAnsi="Times New Roman" w:cs="Times New Roman"/>
          <w:sz w:val="24"/>
          <w:szCs w:val="24"/>
        </w:rPr>
      </w:pPr>
      <w:r w:rsidRPr="001E6503">
        <w:rPr>
          <w:rFonts w:ascii="Times New Roman" w:hAnsi="Times New Roman" w:cs="Times New Roman"/>
          <w:sz w:val="24"/>
          <w:szCs w:val="24"/>
        </w:rPr>
        <w:t xml:space="preserve">In addition to its role as a baseline measure, </w:t>
      </w:r>
      <w:r w:rsidR="00144E93" w:rsidRPr="001E6503">
        <w:rPr>
          <w:rFonts w:ascii="Times New Roman" w:hAnsi="Times New Roman" w:cs="Times New Roman"/>
          <w:sz w:val="24"/>
          <w:szCs w:val="24"/>
        </w:rPr>
        <w:t xml:space="preserve">a number of elements </w:t>
      </w:r>
      <w:r w:rsidR="00247DF1" w:rsidRPr="001E6503">
        <w:rPr>
          <w:rFonts w:ascii="Times New Roman" w:hAnsi="Times New Roman" w:cs="Times New Roman"/>
          <w:sz w:val="24"/>
          <w:szCs w:val="24"/>
        </w:rPr>
        <w:t>stand out</w:t>
      </w:r>
      <w:r w:rsidR="00FC0729" w:rsidRPr="001E6503">
        <w:rPr>
          <w:rFonts w:ascii="Times New Roman" w:hAnsi="Times New Roman" w:cs="Times New Roman"/>
          <w:sz w:val="24"/>
          <w:szCs w:val="24"/>
        </w:rPr>
        <w:t xml:space="preserve"> from this current sampling</w:t>
      </w:r>
      <w:r w:rsidR="00144E93" w:rsidRPr="001E6503">
        <w:rPr>
          <w:rFonts w:ascii="Times New Roman" w:hAnsi="Times New Roman" w:cs="Times New Roman"/>
          <w:sz w:val="24"/>
          <w:szCs w:val="24"/>
        </w:rPr>
        <w:t>.</w:t>
      </w:r>
      <w:r w:rsidR="00FC0729" w:rsidRPr="001E6503">
        <w:rPr>
          <w:rFonts w:ascii="Times New Roman" w:hAnsi="Times New Roman" w:cs="Times New Roman"/>
          <w:sz w:val="24"/>
          <w:szCs w:val="24"/>
        </w:rPr>
        <w:t xml:space="preserve"> Importantly, although</w:t>
      </w:r>
      <w:r w:rsidR="00A31F85" w:rsidRPr="001E6503">
        <w:rPr>
          <w:rFonts w:ascii="Times New Roman" w:hAnsi="Times New Roman" w:cs="Times New Roman"/>
          <w:sz w:val="24"/>
          <w:szCs w:val="24"/>
        </w:rPr>
        <w:t xml:space="preserve"> we have identified </w:t>
      </w:r>
      <w:r w:rsidR="001F478E">
        <w:rPr>
          <w:rFonts w:ascii="Times New Roman" w:hAnsi="Times New Roman" w:cs="Times New Roman"/>
          <w:sz w:val="24"/>
          <w:szCs w:val="24"/>
        </w:rPr>
        <w:t xml:space="preserve">age, ethnicity and experience of dementia </w:t>
      </w:r>
      <w:r w:rsidR="00A31F85" w:rsidRPr="001E6503">
        <w:rPr>
          <w:rFonts w:ascii="Times New Roman" w:hAnsi="Times New Roman" w:cs="Times New Roman"/>
          <w:sz w:val="24"/>
          <w:szCs w:val="24"/>
        </w:rPr>
        <w:t>variation</w:t>
      </w:r>
      <w:r w:rsidR="001F478E">
        <w:rPr>
          <w:rFonts w:ascii="Times New Roman" w:hAnsi="Times New Roman" w:cs="Times New Roman"/>
          <w:sz w:val="24"/>
          <w:szCs w:val="24"/>
        </w:rPr>
        <w:t xml:space="preserve"> in attitudes</w:t>
      </w:r>
      <w:r w:rsidR="00A31F85" w:rsidRPr="001E6503">
        <w:rPr>
          <w:rFonts w:ascii="Times New Roman" w:hAnsi="Times New Roman" w:cs="Times New Roman"/>
          <w:sz w:val="24"/>
          <w:szCs w:val="24"/>
        </w:rPr>
        <w:t xml:space="preserve"> within the general population in Bristol and South Gloucestershire, nevertheless scores on the ADQ were generally positive, and certainly seem to be comparable with those found amongst dementia care workers.</w:t>
      </w:r>
      <w:r w:rsidR="00BB2C96" w:rsidRPr="001E6503">
        <w:rPr>
          <w:rFonts w:ascii="Times New Roman" w:hAnsi="Times New Roman" w:cs="Times New Roman"/>
          <w:sz w:val="24"/>
          <w:szCs w:val="24"/>
        </w:rPr>
        <w:t xml:space="preserve"> </w:t>
      </w:r>
      <w:r w:rsidR="00960C43">
        <w:rPr>
          <w:rFonts w:ascii="Times New Roman" w:hAnsi="Times New Roman" w:cs="Times New Roman"/>
          <w:sz w:val="24"/>
          <w:szCs w:val="24"/>
        </w:rPr>
        <w:t xml:space="preserve">The </w:t>
      </w:r>
      <w:r w:rsidR="00960C43">
        <w:rPr>
          <w:rFonts w:ascii="Times New Roman" w:eastAsia="Times New Roman" w:hAnsi="Times New Roman" w:cs="Times New Roman"/>
          <w:sz w:val="24"/>
          <w:szCs w:val="24"/>
        </w:rPr>
        <w:t>average item score in this study of</w:t>
      </w:r>
      <w:r w:rsidR="00960C43" w:rsidRPr="001E6503">
        <w:rPr>
          <w:rFonts w:ascii="Times New Roman" w:eastAsia="Times New Roman" w:hAnsi="Times New Roman" w:cs="Times New Roman"/>
          <w:sz w:val="24"/>
          <w:szCs w:val="24"/>
        </w:rPr>
        <w:t xml:space="preserve"> </w:t>
      </w:r>
      <w:r w:rsidR="00960C43">
        <w:rPr>
          <w:rFonts w:ascii="Times New Roman" w:hAnsi="Times New Roman" w:cs="Times New Roman"/>
          <w:sz w:val="24"/>
          <w:szCs w:val="24"/>
        </w:rPr>
        <w:t xml:space="preserve">3.41 on the Hope scale and 4.32 on the </w:t>
      </w:r>
      <w:proofErr w:type="spellStart"/>
      <w:r w:rsidR="00960C43">
        <w:rPr>
          <w:rFonts w:ascii="Times New Roman" w:hAnsi="Times New Roman" w:cs="Times New Roman"/>
          <w:sz w:val="24"/>
          <w:szCs w:val="24"/>
        </w:rPr>
        <w:t>RoP</w:t>
      </w:r>
      <w:proofErr w:type="spellEnd"/>
      <w:r w:rsidR="00960C43">
        <w:rPr>
          <w:rFonts w:ascii="Times New Roman" w:hAnsi="Times New Roman" w:cs="Times New Roman"/>
          <w:sz w:val="24"/>
          <w:szCs w:val="24"/>
        </w:rPr>
        <w:t xml:space="preserve"> scale</w:t>
      </w:r>
      <w:r w:rsidR="000B1A46">
        <w:rPr>
          <w:rFonts w:ascii="Times New Roman" w:eastAsia="Times New Roman" w:hAnsi="Times New Roman" w:cs="Times New Roman"/>
          <w:sz w:val="24"/>
          <w:szCs w:val="24"/>
        </w:rPr>
        <w:t xml:space="preserve"> </w:t>
      </w:r>
      <w:r w:rsidR="00960C43">
        <w:rPr>
          <w:rFonts w:ascii="Times New Roman" w:eastAsia="Times New Roman" w:hAnsi="Times New Roman" w:cs="Times New Roman"/>
          <w:sz w:val="24"/>
          <w:szCs w:val="24"/>
        </w:rPr>
        <w:t xml:space="preserve">are similar </w:t>
      </w:r>
      <w:r w:rsidR="000B1A46">
        <w:rPr>
          <w:rFonts w:ascii="Times New Roman" w:eastAsia="Times New Roman" w:hAnsi="Times New Roman" w:cs="Times New Roman"/>
          <w:sz w:val="24"/>
          <w:szCs w:val="24"/>
        </w:rPr>
        <w:t xml:space="preserve">to </w:t>
      </w:r>
      <w:r w:rsidR="00960C43">
        <w:rPr>
          <w:rFonts w:ascii="Times New Roman" w:eastAsia="Times New Roman" w:hAnsi="Times New Roman" w:cs="Times New Roman"/>
          <w:sz w:val="24"/>
          <w:szCs w:val="24"/>
        </w:rPr>
        <w:t xml:space="preserve">the </w:t>
      </w:r>
      <w:r w:rsidR="000B1A46">
        <w:rPr>
          <w:rFonts w:ascii="Times New Roman" w:eastAsia="Times New Roman" w:hAnsi="Times New Roman" w:cs="Times New Roman"/>
          <w:sz w:val="24"/>
          <w:szCs w:val="24"/>
        </w:rPr>
        <w:t xml:space="preserve">reported </w:t>
      </w:r>
      <w:r w:rsidR="00BB2C96" w:rsidRPr="001E6503">
        <w:rPr>
          <w:rFonts w:ascii="Times New Roman" w:eastAsia="Times New Roman" w:hAnsi="Times New Roman" w:cs="Times New Roman"/>
          <w:sz w:val="24"/>
          <w:szCs w:val="24"/>
        </w:rPr>
        <w:t>average item sco</w:t>
      </w:r>
      <w:r w:rsidR="000B1A46">
        <w:rPr>
          <w:rFonts w:ascii="Times New Roman" w:eastAsia="Times New Roman" w:hAnsi="Times New Roman" w:cs="Times New Roman"/>
          <w:sz w:val="24"/>
          <w:szCs w:val="24"/>
        </w:rPr>
        <w:t>res of care staff for the Hope</w:t>
      </w:r>
      <w:r w:rsidR="00BB2C96" w:rsidRPr="001E6503">
        <w:rPr>
          <w:rFonts w:ascii="Times New Roman" w:eastAsia="Times New Roman" w:hAnsi="Times New Roman" w:cs="Times New Roman"/>
          <w:sz w:val="24"/>
          <w:szCs w:val="24"/>
        </w:rPr>
        <w:t xml:space="preserve"> </w:t>
      </w:r>
      <w:r w:rsidR="00960C43">
        <w:rPr>
          <w:rFonts w:ascii="Times New Roman" w:eastAsia="Times New Roman" w:hAnsi="Times New Roman" w:cs="Times New Roman"/>
          <w:sz w:val="24"/>
          <w:szCs w:val="24"/>
        </w:rPr>
        <w:t xml:space="preserve">scale of </w:t>
      </w:r>
      <w:r w:rsidR="00BB2C96" w:rsidRPr="001E6503">
        <w:rPr>
          <w:rFonts w:ascii="Times New Roman" w:eastAsia="Times New Roman" w:hAnsi="Times New Roman" w:cs="Times New Roman"/>
          <w:sz w:val="24"/>
          <w:szCs w:val="24"/>
        </w:rPr>
        <w:t xml:space="preserve">3.66 (Moyle </w:t>
      </w:r>
      <w:r w:rsidR="00B166FC" w:rsidRPr="001E6503">
        <w:rPr>
          <w:rFonts w:ascii="Times New Roman" w:eastAsia="Times New Roman" w:hAnsi="Times New Roman" w:cs="Times New Roman"/>
          <w:i/>
          <w:sz w:val="24"/>
          <w:szCs w:val="24"/>
        </w:rPr>
        <w:t>et al.,</w:t>
      </w:r>
      <w:r w:rsidR="00BB2C96" w:rsidRPr="001E6503">
        <w:rPr>
          <w:rFonts w:ascii="Times New Roman" w:eastAsia="Times New Roman" w:hAnsi="Times New Roman" w:cs="Times New Roman"/>
          <w:sz w:val="24"/>
          <w:szCs w:val="24"/>
        </w:rPr>
        <w:t xml:space="preserve"> 2012) and 3.71 (Travers </w:t>
      </w:r>
      <w:r w:rsidR="00B166FC" w:rsidRPr="001E6503">
        <w:rPr>
          <w:rFonts w:ascii="Times New Roman" w:eastAsia="Times New Roman" w:hAnsi="Times New Roman" w:cs="Times New Roman"/>
          <w:i/>
          <w:sz w:val="24"/>
          <w:szCs w:val="24"/>
        </w:rPr>
        <w:t>et al.,</w:t>
      </w:r>
      <w:r w:rsidR="00BB2C96" w:rsidRPr="001E6503">
        <w:rPr>
          <w:rFonts w:ascii="Times New Roman" w:eastAsia="Times New Roman" w:hAnsi="Times New Roman" w:cs="Times New Roman"/>
          <w:sz w:val="24"/>
          <w:szCs w:val="24"/>
        </w:rPr>
        <w:t xml:space="preserve"> 2013), and 4.35 and 4.49 </w:t>
      </w:r>
      <w:r w:rsidR="00960C43">
        <w:rPr>
          <w:rFonts w:ascii="Times New Roman" w:eastAsia="Times New Roman" w:hAnsi="Times New Roman" w:cs="Times New Roman"/>
          <w:sz w:val="24"/>
          <w:szCs w:val="24"/>
        </w:rPr>
        <w:t xml:space="preserve">for the </w:t>
      </w:r>
      <w:proofErr w:type="spellStart"/>
      <w:r w:rsidR="00960C43" w:rsidRPr="001E6503">
        <w:rPr>
          <w:rFonts w:ascii="Times New Roman" w:eastAsia="Times New Roman" w:hAnsi="Times New Roman" w:cs="Times New Roman"/>
          <w:sz w:val="24"/>
          <w:szCs w:val="24"/>
        </w:rPr>
        <w:t>RoP</w:t>
      </w:r>
      <w:proofErr w:type="spellEnd"/>
      <w:r w:rsidR="00960C43" w:rsidRPr="001E6503">
        <w:rPr>
          <w:rFonts w:ascii="Times New Roman" w:eastAsia="Times New Roman" w:hAnsi="Times New Roman" w:cs="Times New Roman"/>
          <w:sz w:val="24"/>
          <w:szCs w:val="24"/>
        </w:rPr>
        <w:t xml:space="preserve"> scale</w:t>
      </w:r>
      <w:r w:rsidR="00960C43">
        <w:rPr>
          <w:rFonts w:ascii="Times New Roman" w:eastAsia="Times New Roman" w:hAnsi="Times New Roman" w:cs="Times New Roman"/>
          <w:sz w:val="24"/>
          <w:szCs w:val="24"/>
        </w:rPr>
        <w:t>s</w:t>
      </w:r>
      <w:r w:rsidR="00BB2C96" w:rsidRPr="001E6503">
        <w:rPr>
          <w:rFonts w:ascii="Times New Roman" w:eastAsia="Times New Roman" w:hAnsi="Times New Roman" w:cs="Times New Roman"/>
          <w:sz w:val="24"/>
          <w:szCs w:val="24"/>
        </w:rPr>
        <w:t>.</w:t>
      </w:r>
    </w:p>
    <w:p w14:paraId="4EE6292B" w14:textId="77777777" w:rsidR="00AF598F" w:rsidRPr="001E6503" w:rsidRDefault="00AF598F" w:rsidP="000B1A46">
      <w:pPr>
        <w:spacing w:line="480" w:lineRule="auto"/>
        <w:ind w:firstLine="720"/>
        <w:rPr>
          <w:rFonts w:ascii="Times New Roman" w:hAnsi="Times New Roman" w:cs="Times New Roman"/>
          <w:sz w:val="24"/>
          <w:szCs w:val="24"/>
        </w:rPr>
      </w:pPr>
    </w:p>
    <w:p w14:paraId="01B99A6C" w14:textId="77BCF267" w:rsidR="00960C43" w:rsidRDefault="00FF4EA3" w:rsidP="00331468">
      <w:pPr>
        <w:spacing w:before="120" w:after="120" w:line="480" w:lineRule="auto"/>
        <w:ind w:firstLine="720"/>
        <w:rPr>
          <w:rFonts w:ascii="Times New Roman" w:hAnsi="Times New Roman" w:cs="Times New Roman"/>
          <w:sz w:val="24"/>
          <w:szCs w:val="24"/>
        </w:rPr>
      </w:pPr>
      <w:r w:rsidRPr="001E6503">
        <w:rPr>
          <w:rFonts w:ascii="Times New Roman" w:hAnsi="Times New Roman" w:cs="Times New Roman"/>
          <w:sz w:val="24"/>
          <w:szCs w:val="24"/>
        </w:rPr>
        <w:t xml:space="preserve">A consistent finding within the research literature is that age plays an important role in mediating a range of attitudes and beliefs about dementia, both for staff working in dementia care, and of the general public. Thus Leung </w:t>
      </w:r>
      <w:r w:rsidR="00B166FC" w:rsidRPr="001E6503">
        <w:rPr>
          <w:rFonts w:ascii="Times New Roman" w:hAnsi="Times New Roman" w:cs="Times New Roman"/>
          <w:i/>
          <w:sz w:val="24"/>
          <w:szCs w:val="24"/>
        </w:rPr>
        <w:t>et al.,</w:t>
      </w:r>
      <w:r w:rsidR="00B531A7" w:rsidRPr="001E6503">
        <w:rPr>
          <w:rFonts w:ascii="Times New Roman" w:hAnsi="Times New Roman" w:cs="Times New Roman"/>
          <w:sz w:val="24"/>
          <w:szCs w:val="24"/>
        </w:rPr>
        <w:t xml:space="preserve"> </w:t>
      </w:r>
      <w:r w:rsidR="005123D2">
        <w:rPr>
          <w:rFonts w:ascii="Times New Roman" w:hAnsi="Times New Roman" w:cs="Times New Roman"/>
          <w:sz w:val="24"/>
          <w:szCs w:val="24"/>
        </w:rPr>
        <w:t xml:space="preserve">(2013) reported </w:t>
      </w:r>
      <w:r w:rsidR="00CC1ABF">
        <w:rPr>
          <w:rFonts w:ascii="Times New Roman" w:hAnsi="Times New Roman" w:cs="Times New Roman"/>
          <w:sz w:val="24"/>
          <w:szCs w:val="24"/>
        </w:rPr>
        <w:t>staff working in residential h</w:t>
      </w:r>
      <w:r w:rsidRPr="001E6503">
        <w:rPr>
          <w:rFonts w:ascii="Times New Roman" w:hAnsi="Times New Roman" w:cs="Times New Roman"/>
          <w:sz w:val="24"/>
          <w:szCs w:val="24"/>
        </w:rPr>
        <w:t xml:space="preserve">omes in Hong Kong who were in their twenties scored at a higher level on the </w:t>
      </w:r>
      <w:r w:rsidRPr="001E6503">
        <w:rPr>
          <w:rFonts w:ascii="Times New Roman" w:hAnsi="Times New Roman" w:cs="Times New Roman"/>
          <w:sz w:val="24"/>
          <w:szCs w:val="24"/>
        </w:rPr>
        <w:lastRenderedPageBreak/>
        <w:t xml:space="preserve">ADQ than did their older colleagues, while </w:t>
      </w:r>
      <w:proofErr w:type="spellStart"/>
      <w:r w:rsidRPr="001E6503">
        <w:rPr>
          <w:rFonts w:ascii="Times New Roman" w:hAnsi="Times New Roman" w:cs="Times New Roman"/>
          <w:sz w:val="24"/>
          <w:szCs w:val="24"/>
        </w:rPr>
        <w:t>Kada</w:t>
      </w:r>
      <w:proofErr w:type="spellEnd"/>
      <w:r w:rsidRPr="001E6503">
        <w:rPr>
          <w:rFonts w:ascii="Times New Roman" w:hAnsi="Times New Roman" w:cs="Times New Roman"/>
          <w:sz w:val="24"/>
          <w:szCs w:val="24"/>
        </w:rPr>
        <w:t xml:space="preserve"> </w:t>
      </w:r>
      <w:r w:rsidR="00B166FC" w:rsidRPr="001E6503">
        <w:rPr>
          <w:rFonts w:ascii="Times New Roman" w:hAnsi="Times New Roman" w:cs="Times New Roman"/>
          <w:i/>
          <w:sz w:val="24"/>
          <w:szCs w:val="24"/>
        </w:rPr>
        <w:t>et al.,</w:t>
      </w:r>
      <w:r w:rsidRPr="001E6503">
        <w:rPr>
          <w:rFonts w:ascii="Times New Roman" w:hAnsi="Times New Roman" w:cs="Times New Roman"/>
          <w:sz w:val="24"/>
          <w:szCs w:val="24"/>
        </w:rPr>
        <w:t xml:space="preserve"> (2009</w:t>
      </w:r>
      <w:r w:rsidR="00CC1ABF">
        <w:rPr>
          <w:rFonts w:ascii="Times New Roman" w:hAnsi="Times New Roman" w:cs="Times New Roman"/>
          <w:sz w:val="24"/>
          <w:szCs w:val="24"/>
        </w:rPr>
        <w:t>) found staff within Norwegian nursing h</w:t>
      </w:r>
      <w:r w:rsidRPr="001E6503">
        <w:rPr>
          <w:rFonts w:ascii="Times New Roman" w:hAnsi="Times New Roman" w:cs="Times New Roman"/>
          <w:sz w:val="24"/>
          <w:szCs w:val="24"/>
        </w:rPr>
        <w:t xml:space="preserve">omes aged over 50 years of age reported significantly lower hope attitudes than did those aged under 40. Similarly, in a survey of public opinion about dementia in Northern Ireland, McParland </w:t>
      </w:r>
      <w:r w:rsidR="00B166FC" w:rsidRPr="001E6503">
        <w:rPr>
          <w:rFonts w:ascii="Times New Roman" w:hAnsi="Times New Roman" w:cs="Times New Roman"/>
          <w:i/>
          <w:sz w:val="24"/>
          <w:szCs w:val="24"/>
        </w:rPr>
        <w:t>et al.,</w:t>
      </w:r>
      <w:r w:rsidRPr="001E6503">
        <w:rPr>
          <w:rFonts w:ascii="Times New Roman" w:hAnsi="Times New Roman" w:cs="Times New Roman"/>
          <w:sz w:val="24"/>
          <w:szCs w:val="24"/>
        </w:rPr>
        <w:t xml:space="preserve"> (2012) </w:t>
      </w:r>
      <w:r w:rsidR="005123D2">
        <w:rPr>
          <w:rFonts w:ascii="Times New Roman" w:hAnsi="Times New Roman" w:cs="Times New Roman"/>
          <w:sz w:val="24"/>
          <w:szCs w:val="24"/>
        </w:rPr>
        <w:t>reported</w:t>
      </w:r>
      <w:r w:rsidRPr="001E6503">
        <w:rPr>
          <w:rFonts w:ascii="Times New Roman" w:hAnsi="Times New Roman" w:cs="Times New Roman"/>
          <w:sz w:val="24"/>
          <w:szCs w:val="24"/>
        </w:rPr>
        <w:t xml:space="preserve"> older people were more likely to hold stigmatising views such as being more likely to believe newly diagnosed </w:t>
      </w:r>
      <w:r w:rsidR="005123D2" w:rsidRPr="001E6503">
        <w:rPr>
          <w:rFonts w:ascii="Times New Roman" w:hAnsi="Times New Roman" w:cs="Times New Roman"/>
          <w:sz w:val="24"/>
          <w:szCs w:val="24"/>
        </w:rPr>
        <w:t xml:space="preserve">people with dementia </w:t>
      </w:r>
      <w:r w:rsidRPr="001E6503">
        <w:rPr>
          <w:rFonts w:ascii="Times New Roman" w:hAnsi="Times New Roman" w:cs="Times New Roman"/>
          <w:sz w:val="24"/>
          <w:szCs w:val="24"/>
        </w:rPr>
        <w:t>were not able to be able to lead independent lives. This difference in attitudes also seems to be apparent in emotional responses to dementia</w:t>
      </w:r>
      <w:r w:rsidR="00E07C25">
        <w:rPr>
          <w:rFonts w:ascii="Times New Roman" w:hAnsi="Times New Roman" w:cs="Times New Roman"/>
          <w:sz w:val="24"/>
          <w:szCs w:val="24"/>
        </w:rPr>
        <w:t xml:space="preserve">. A </w:t>
      </w:r>
      <w:r w:rsidRPr="001E6503">
        <w:rPr>
          <w:rFonts w:ascii="Times New Roman" w:hAnsi="Times New Roman" w:cs="Times New Roman"/>
          <w:sz w:val="24"/>
          <w:szCs w:val="24"/>
          <w:lang w:val="en-US"/>
        </w:rPr>
        <w:t>20</w:t>
      </w:r>
      <w:r w:rsidR="00CC1ABF">
        <w:rPr>
          <w:rFonts w:ascii="Times New Roman" w:hAnsi="Times New Roman" w:cs="Times New Roman"/>
          <w:sz w:val="24"/>
          <w:szCs w:val="24"/>
          <w:lang w:val="en-US"/>
        </w:rPr>
        <w:t xml:space="preserve">14 </w:t>
      </w:r>
      <w:proofErr w:type="spellStart"/>
      <w:r w:rsidR="00CC1ABF">
        <w:rPr>
          <w:rFonts w:ascii="Times New Roman" w:hAnsi="Times New Roman" w:cs="Times New Roman"/>
          <w:sz w:val="24"/>
          <w:szCs w:val="24"/>
          <w:lang w:val="en-US"/>
        </w:rPr>
        <w:t>YouGov</w:t>
      </w:r>
      <w:proofErr w:type="spellEnd"/>
      <w:r w:rsidR="00CC1ABF">
        <w:rPr>
          <w:rFonts w:ascii="Times New Roman" w:hAnsi="Times New Roman" w:cs="Times New Roman"/>
          <w:sz w:val="24"/>
          <w:szCs w:val="24"/>
          <w:lang w:val="en-US"/>
        </w:rPr>
        <w:t xml:space="preserve"> poll commissioned by c</w:t>
      </w:r>
      <w:r w:rsidRPr="001E6503">
        <w:rPr>
          <w:rFonts w:ascii="Times New Roman" w:hAnsi="Times New Roman" w:cs="Times New Roman"/>
          <w:sz w:val="24"/>
          <w:szCs w:val="24"/>
          <w:lang w:val="en-US"/>
        </w:rPr>
        <w:t>ha</w:t>
      </w:r>
      <w:r w:rsidR="00CC1ABF">
        <w:rPr>
          <w:rFonts w:ascii="Times New Roman" w:hAnsi="Times New Roman" w:cs="Times New Roman"/>
          <w:sz w:val="24"/>
          <w:szCs w:val="24"/>
          <w:lang w:val="en-US"/>
        </w:rPr>
        <w:t>nnel f</w:t>
      </w:r>
      <w:r w:rsidR="00E07C25">
        <w:rPr>
          <w:rFonts w:ascii="Times New Roman" w:hAnsi="Times New Roman" w:cs="Times New Roman"/>
          <w:sz w:val="24"/>
          <w:szCs w:val="24"/>
          <w:lang w:val="en-US"/>
        </w:rPr>
        <w:t xml:space="preserve">ive news in the UK found </w:t>
      </w:r>
      <w:r w:rsidRPr="001E6503">
        <w:rPr>
          <w:rFonts w:ascii="Times New Roman" w:hAnsi="Times New Roman" w:cs="Times New Roman"/>
          <w:sz w:val="24"/>
          <w:szCs w:val="24"/>
          <w:lang w:val="en-US"/>
        </w:rPr>
        <w:t>the fear of dementia was particularly strong amongst older people</w:t>
      </w:r>
      <w:r w:rsidR="00E07C25">
        <w:rPr>
          <w:rFonts w:ascii="Times New Roman" w:hAnsi="Times New Roman" w:cs="Times New Roman"/>
          <w:sz w:val="24"/>
          <w:szCs w:val="24"/>
          <w:lang w:val="en-US"/>
        </w:rPr>
        <w:t>,</w:t>
      </w:r>
      <w:r w:rsidRPr="001E6503">
        <w:rPr>
          <w:rFonts w:ascii="Times New Roman" w:hAnsi="Times New Roman" w:cs="Times New Roman"/>
          <w:sz w:val="24"/>
          <w:szCs w:val="24"/>
          <w:lang w:val="en-US"/>
        </w:rPr>
        <w:t xml:space="preserve"> where </w:t>
      </w:r>
      <w:r w:rsidR="00E07C25">
        <w:rPr>
          <w:rFonts w:ascii="Times New Roman" w:hAnsi="Times New Roman" w:cs="Times New Roman"/>
          <w:sz w:val="24"/>
          <w:szCs w:val="24"/>
          <w:lang w:val="en-US"/>
        </w:rPr>
        <w:t>dementias</w:t>
      </w:r>
      <w:r w:rsidRPr="001E6503">
        <w:rPr>
          <w:rFonts w:ascii="Times New Roman" w:hAnsi="Times New Roman" w:cs="Times New Roman"/>
          <w:sz w:val="24"/>
          <w:szCs w:val="24"/>
          <w:lang w:val="en-US"/>
        </w:rPr>
        <w:t xml:space="preserve"> was feared even more strongly than cancer</w:t>
      </w:r>
      <w:r w:rsidRPr="001E6503">
        <w:rPr>
          <w:rStyle w:val="FootnoteReference"/>
          <w:rFonts w:ascii="Times New Roman" w:hAnsi="Times New Roman" w:cs="Times New Roman"/>
          <w:sz w:val="24"/>
          <w:szCs w:val="24"/>
          <w:lang w:val="en-US"/>
        </w:rPr>
        <w:footnoteReference w:id="5"/>
      </w:r>
      <w:r w:rsidRPr="001E6503">
        <w:rPr>
          <w:rFonts w:ascii="Times New Roman" w:hAnsi="Times New Roman" w:cs="Times New Roman"/>
          <w:sz w:val="24"/>
          <w:szCs w:val="24"/>
          <w:lang w:val="en-US"/>
        </w:rPr>
        <w:t>.</w:t>
      </w:r>
      <w:r w:rsidRPr="001E6503">
        <w:rPr>
          <w:rFonts w:ascii="Times New Roman" w:hAnsi="Times New Roman" w:cs="Times New Roman"/>
          <w:sz w:val="24"/>
          <w:szCs w:val="24"/>
        </w:rPr>
        <w:t xml:space="preserve"> </w:t>
      </w:r>
      <w:r w:rsidR="00C50167">
        <w:rPr>
          <w:rFonts w:ascii="Times New Roman" w:hAnsi="Times New Roman" w:cs="Times New Roman"/>
          <w:sz w:val="24"/>
          <w:szCs w:val="24"/>
        </w:rPr>
        <w:t>Other previous research indicates that g</w:t>
      </w:r>
      <w:r w:rsidR="00144E93" w:rsidRPr="001E6503">
        <w:rPr>
          <w:rFonts w:ascii="Times New Roman" w:hAnsi="Times New Roman" w:cs="Times New Roman"/>
          <w:sz w:val="24"/>
          <w:szCs w:val="24"/>
        </w:rPr>
        <w:t xml:space="preserve">ender </w:t>
      </w:r>
      <w:r w:rsidR="00960C43">
        <w:rPr>
          <w:rFonts w:ascii="Times New Roman" w:hAnsi="Times New Roman" w:cs="Times New Roman"/>
          <w:sz w:val="24"/>
          <w:szCs w:val="24"/>
        </w:rPr>
        <w:t xml:space="preserve">also </w:t>
      </w:r>
      <w:r w:rsidR="00144E93" w:rsidRPr="001E6503">
        <w:rPr>
          <w:rFonts w:ascii="Times New Roman" w:hAnsi="Times New Roman" w:cs="Times New Roman"/>
          <w:sz w:val="24"/>
          <w:szCs w:val="24"/>
        </w:rPr>
        <w:t xml:space="preserve">plays a significant role in attitudes towards people affected by dementia, with women having more positive views than men. </w:t>
      </w:r>
      <w:r w:rsidR="008C326C" w:rsidRPr="001E6503">
        <w:rPr>
          <w:rFonts w:ascii="Times New Roman" w:hAnsi="Times New Roman" w:cs="Times New Roman"/>
          <w:sz w:val="24"/>
          <w:szCs w:val="24"/>
        </w:rPr>
        <w:t xml:space="preserve">McParland </w:t>
      </w:r>
      <w:r w:rsidR="00B166FC" w:rsidRPr="001E6503">
        <w:rPr>
          <w:rFonts w:ascii="Times New Roman" w:hAnsi="Times New Roman" w:cs="Times New Roman"/>
          <w:i/>
          <w:sz w:val="24"/>
          <w:szCs w:val="24"/>
        </w:rPr>
        <w:t>et al.,</w:t>
      </w:r>
      <w:r w:rsidR="008C326C" w:rsidRPr="001E6503">
        <w:rPr>
          <w:rFonts w:ascii="Times New Roman" w:hAnsi="Times New Roman" w:cs="Times New Roman"/>
          <w:sz w:val="24"/>
          <w:szCs w:val="24"/>
        </w:rPr>
        <w:t xml:space="preserve"> (2012) found that across some of their items women had slightly different attitudes to men – for instance they we</w:t>
      </w:r>
      <w:r w:rsidR="006806AF" w:rsidRPr="001E6503">
        <w:rPr>
          <w:rFonts w:ascii="Times New Roman" w:hAnsi="Times New Roman" w:cs="Times New Roman"/>
          <w:sz w:val="24"/>
          <w:szCs w:val="24"/>
        </w:rPr>
        <w:t xml:space="preserve">re </w:t>
      </w:r>
      <w:r w:rsidR="008C326C" w:rsidRPr="001E6503">
        <w:rPr>
          <w:rFonts w:ascii="Times New Roman" w:hAnsi="Times New Roman" w:cs="Times New Roman"/>
          <w:sz w:val="24"/>
          <w:szCs w:val="24"/>
        </w:rPr>
        <w:t xml:space="preserve">a little less likely to agree that </w:t>
      </w:r>
      <w:r w:rsidR="006806AF" w:rsidRPr="001E6503">
        <w:rPr>
          <w:rFonts w:ascii="Times New Roman" w:hAnsi="Times New Roman" w:cs="Times New Roman"/>
          <w:sz w:val="24"/>
          <w:szCs w:val="24"/>
        </w:rPr>
        <w:t>“</w:t>
      </w:r>
      <w:r w:rsidR="006806AF" w:rsidRPr="001E6503">
        <w:rPr>
          <w:rFonts w:ascii="Times New Roman" w:hAnsi="Times New Roman" w:cs="Times New Roman"/>
          <w:i/>
          <w:sz w:val="24"/>
          <w:szCs w:val="24"/>
        </w:rPr>
        <w:t>t</w:t>
      </w:r>
      <w:r w:rsidR="008C326C" w:rsidRPr="001E6503">
        <w:rPr>
          <w:rFonts w:ascii="Times New Roman" w:hAnsi="Times New Roman" w:cs="Times New Roman"/>
          <w:i/>
          <w:sz w:val="24"/>
          <w:szCs w:val="24"/>
        </w:rPr>
        <w:t>here comes a time</w:t>
      </w:r>
      <w:r w:rsidR="006806AF" w:rsidRPr="001E6503">
        <w:rPr>
          <w:rFonts w:ascii="Times New Roman" w:hAnsi="Times New Roman" w:cs="Times New Roman"/>
          <w:i/>
          <w:sz w:val="24"/>
          <w:szCs w:val="24"/>
        </w:rPr>
        <w:t xml:space="preserve"> </w:t>
      </w:r>
      <w:r w:rsidR="008C326C" w:rsidRPr="001E6503">
        <w:rPr>
          <w:rFonts w:ascii="Times New Roman" w:hAnsi="Times New Roman" w:cs="Times New Roman"/>
          <w:i/>
          <w:sz w:val="24"/>
          <w:szCs w:val="24"/>
        </w:rPr>
        <w:t>when all you can do for someone with dementia is to keep them clean, healthy and safe</w:t>
      </w:r>
      <w:r w:rsidR="006806AF" w:rsidRPr="001E6503">
        <w:rPr>
          <w:rFonts w:ascii="Times New Roman" w:hAnsi="Times New Roman" w:cs="Times New Roman"/>
          <w:sz w:val="24"/>
          <w:szCs w:val="24"/>
        </w:rPr>
        <w:t>”</w:t>
      </w:r>
      <w:r w:rsidR="008C326C" w:rsidRPr="001E6503">
        <w:rPr>
          <w:rFonts w:ascii="Times New Roman" w:hAnsi="Times New Roman" w:cs="Times New Roman"/>
          <w:sz w:val="24"/>
          <w:szCs w:val="24"/>
        </w:rPr>
        <w:t xml:space="preserve"> and </w:t>
      </w:r>
      <w:r w:rsidR="006806AF" w:rsidRPr="001E6503">
        <w:rPr>
          <w:rFonts w:ascii="Times New Roman" w:hAnsi="Times New Roman" w:cs="Times New Roman"/>
          <w:sz w:val="24"/>
          <w:szCs w:val="24"/>
        </w:rPr>
        <w:t xml:space="preserve">slightly </w:t>
      </w:r>
      <w:r w:rsidR="008C326C" w:rsidRPr="001E6503">
        <w:rPr>
          <w:rFonts w:ascii="Times New Roman" w:hAnsi="Times New Roman" w:cs="Times New Roman"/>
          <w:sz w:val="24"/>
          <w:szCs w:val="24"/>
        </w:rPr>
        <w:t>more likely</w:t>
      </w:r>
      <w:r w:rsidR="006806AF" w:rsidRPr="001E6503">
        <w:rPr>
          <w:rFonts w:ascii="Times New Roman" w:hAnsi="Times New Roman" w:cs="Times New Roman"/>
          <w:sz w:val="24"/>
          <w:szCs w:val="24"/>
        </w:rPr>
        <w:t xml:space="preserve"> </w:t>
      </w:r>
      <w:r w:rsidR="008C326C" w:rsidRPr="001E6503">
        <w:rPr>
          <w:rFonts w:ascii="Times New Roman" w:hAnsi="Times New Roman" w:cs="Times New Roman"/>
          <w:sz w:val="24"/>
          <w:szCs w:val="24"/>
        </w:rPr>
        <w:t xml:space="preserve">to feel that </w:t>
      </w:r>
      <w:r w:rsidR="006806AF" w:rsidRPr="001E6503">
        <w:rPr>
          <w:rFonts w:ascii="Times New Roman" w:hAnsi="Times New Roman" w:cs="Times New Roman"/>
          <w:sz w:val="24"/>
          <w:szCs w:val="24"/>
        </w:rPr>
        <w:t>“</w:t>
      </w:r>
      <w:r w:rsidR="008C326C" w:rsidRPr="001E6503">
        <w:rPr>
          <w:rFonts w:ascii="Times New Roman" w:hAnsi="Times New Roman" w:cs="Times New Roman"/>
          <w:i/>
          <w:sz w:val="24"/>
          <w:szCs w:val="24"/>
        </w:rPr>
        <w:t>people with dementia are not treated like thinking human beings</w:t>
      </w:r>
      <w:r w:rsidR="006806AF" w:rsidRPr="001E6503">
        <w:rPr>
          <w:rFonts w:ascii="Times New Roman" w:hAnsi="Times New Roman" w:cs="Times New Roman"/>
          <w:sz w:val="24"/>
          <w:szCs w:val="24"/>
        </w:rPr>
        <w:t xml:space="preserve">”. </w:t>
      </w:r>
      <w:r w:rsidR="004D0D81" w:rsidRPr="001E6503">
        <w:rPr>
          <w:rFonts w:ascii="Times New Roman" w:hAnsi="Times New Roman" w:cs="Times New Roman"/>
          <w:sz w:val="24"/>
          <w:szCs w:val="24"/>
        </w:rPr>
        <w:t xml:space="preserve">Women </w:t>
      </w:r>
      <w:r w:rsidR="006806AF" w:rsidRPr="001E6503">
        <w:rPr>
          <w:rFonts w:ascii="Times New Roman" w:hAnsi="Times New Roman" w:cs="Times New Roman"/>
          <w:sz w:val="24"/>
          <w:szCs w:val="24"/>
        </w:rPr>
        <w:t>we</w:t>
      </w:r>
      <w:r w:rsidR="008C326C" w:rsidRPr="001E6503">
        <w:rPr>
          <w:rFonts w:ascii="Times New Roman" w:hAnsi="Times New Roman" w:cs="Times New Roman"/>
          <w:sz w:val="24"/>
          <w:szCs w:val="24"/>
        </w:rPr>
        <w:t>re also distinctly more</w:t>
      </w:r>
      <w:r w:rsidR="006806AF" w:rsidRPr="001E6503">
        <w:rPr>
          <w:rFonts w:ascii="Times New Roman" w:hAnsi="Times New Roman" w:cs="Times New Roman"/>
          <w:sz w:val="24"/>
          <w:szCs w:val="24"/>
        </w:rPr>
        <w:t xml:space="preserve"> </w:t>
      </w:r>
      <w:r w:rsidR="008C326C" w:rsidRPr="001E6503">
        <w:rPr>
          <w:rFonts w:ascii="Times New Roman" w:hAnsi="Times New Roman" w:cs="Times New Roman"/>
          <w:sz w:val="24"/>
          <w:szCs w:val="24"/>
        </w:rPr>
        <w:t>reluctant to see residential care as the best option.</w:t>
      </w:r>
      <w:r w:rsidR="004D0D81" w:rsidRPr="001E6503">
        <w:rPr>
          <w:rFonts w:ascii="Times New Roman" w:hAnsi="Times New Roman" w:cs="Times New Roman"/>
          <w:sz w:val="24"/>
          <w:szCs w:val="24"/>
        </w:rPr>
        <w:t xml:space="preserve"> </w:t>
      </w:r>
    </w:p>
    <w:p w14:paraId="6EC63FAB" w14:textId="77777777" w:rsidR="00AF598F" w:rsidRDefault="00AF598F" w:rsidP="00331468">
      <w:pPr>
        <w:spacing w:before="120" w:after="120" w:line="480" w:lineRule="auto"/>
        <w:ind w:firstLine="720"/>
        <w:rPr>
          <w:rFonts w:ascii="Times New Roman" w:hAnsi="Times New Roman" w:cs="Times New Roman"/>
          <w:sz w:val="24"/>
          <w:szCs w:val="24"/>
        </w:rPr>
      </w:pPr>
    </w:p>
    <w:p w14:paraId="30A8DA68" w14:textId="5E4CB6DE" w:rsidR="0049082C" w:rsidRPr="001E6503" w:rsidRDefault="00960C43" w:rsidP="00331468">
      <w:pPr>
        <w:spacing w:before="120" w:after="120" w:line="480" w:lineRule="auto"/>
        <w:ind w:firstLine="720"/>
        <w:rPr>
          <w:rFonts w:ascii="Times New Roman" w:hAnsi="Times New Roman" w:cs="Times New Roman"/>
          <w:sz w:val="24"/>
          <w:szCs w:val="24"/>
        </w:rPr>
      </w:pPr>
      <w:r>
        <w:rPr>
          <w:rFonts w:ascii="Times New Roman" w:hAnsi="Times New Roman" w:cs="Times New Roman"/>
          <w:sz w:val="24"/>
          <w:szCs w:val="24"/>
        </w:rPr>
        <w:t>I</w:t>
      </w:r>
      <w:r w:rsidR="004D0D81" w:rsidRPr="001E6503">
        <w:rPr>
          <w:rFonts w:ascii="Times New Roman" w:hAnsi="Times New Roman" w:cs="Times New Roman"/>
          <w:sz w:val="24"/>
          <w:szCs w:val="24"/>
        </w:rPr>
        <w:t xml:space="preserve">n </w:t>
      </w:r>
      <w:r>
        <w:rPr>
          <w:rFonts w:ascii="Times New Roman" w:hAnsi="Times New Roman" w:cs="Times New Roman"/>
          <w:sz w:val="24"/>
          <w:szCs w:val="24"/>
        </w:rPr>
        <w:t>this</w:t>
      </w:r>
      <w:r w:rsidRPr="001E6503">
        <w:rPr>
          <w:rFonts w:ascii="Times New Roman" w:hAnsi="Times New Roman" w:cs="Times New Roman"/>
          <w:sz w:val="24"/>
          <w:szCs w:val="24"/>
        </w:rPr>
        <w:t xml:space="preserve"> </w:t>
      </w:r>
      <w:r w:rsidR="004D0D81" w:rsidRPr="001E6503">
        <w:rPr>
          <w:rFonts w:ascii="Times New Roman" w:hAnsi="Times New Roman" w:cs="Times New Roman"/>
          <w:sz w:val="24"/>
          <w:szCs w:val="24"/>
        </w:rPr>
        <w:t>study</w:t>
      </w:r>
      <w:r>
        <w:rPr>
          <w:rFonts w:ascii="Times New Roman" w:hAnsi="Times New Roman" w:cs="Times New Roman"/>
          <w:sz w:val="24"/>
          <w:szCs w:val="24"/>
        </w:rPr>
        <w:t>,</w:t>
      </w:r>
      <w:r w:rsidR="004D0D81" w:rsidRPr="001E6503">
        <w:rPr>
          <w:rFonts w:ascii="Times New Roman" w:hAnsi="Times New Roman" w:cs="Times New Roman"/>
          <w:sz w:val="24"/>
          <w:szCs w:val="24"/>
        </w:rPr>
        <w:t xml:space="preserve"> although we found that gender</w:t>
      </w:r>
      <w:r w:rsidR="00E07C25">
        <w:rPr>
          <w:rFonts w:ascii="Times New Roman" w:hAnsi="Times New Roman" w:cs="Times New Roman"/>
          <w:sz w:val="24"/>
          <w:szCs w:val="24"/>
        </w:rPr>
        <w:t xml:space="preserve"> was not significant on its own</w:t>
      </w:r>
      <w:r w:rsidR="004D0D81" w:rsidRPr="001E6503">
        <w:rPr>
          <w:rFonts w:ascii="Times New Roman" w:hAnsi="Times New Roman" w:cs="Times New Roman"/>
          <w:sz w:val="24"/>
          <w:szCs w:val="24"/>
        </w:rPr>
        <w:t xml:space="preserve">, there was an interaction between age and gender, with </w:t>
      </w:r>
      <w:r w:rsidR="004D0D81" w:rsidRPr="00182411">
        <w:rPr>
          <w:rFonts w:ascii="Times New Roman" w:hAnsi="Times New Roman" w:cs="Times New Roman"/>
          <w:sz w:val="24"/>
          <w:szCs w:val="24"/>
        </w:rPr>
        <w:t>younger men having significantly more positive attitudes</w:t>
      </w:r>
      <w:r w:rsidR="002C0A5F" w:rsidRPr="00182411">
        <w:rPr>
          <w:rFonts w:ascii="Times New Roman" w:hAnsi="Times New Roman" w:cs="Times New Roman"/>
          <w:sz w:val="24"/>
          <w:szCs w:val="24"/>
        </w:rPr>
        <w:t xml:space="preserve"> than </w:t>
      </w:r>
      <w:r w:rsidRPr="00182411">
        <w:rPr>
          <w:rFonts w:ascii="Times New Roman" w:hAnsi="Times New Roman" w:cs="Times New Roman"/>
          <w:sz w:val="24"/>
          <w:szCs w:val="24"/>
        </w:rPr>
        <w:t xml:space="preserve">either </w:t>
      </w:r>
      <w:r w:rsidR="002C0A5F" w:rsidRPr="00182411">
        <w:rPr>
          <w:rFonts w:ascii="Times New Roman" w:hAnsi="Times New Roman" w:cs="Times New Roman"/>
          <w:sz w:val="24"/>
          <w:szCs w:val="24"/>
        </w:rPr>
        <w:t xml:space="preserve">older men </w:t>
      </w:r>
      <w:r w:rsidRPr="00182411">
        <w:rPr>
          <w:rFonts w:ascii="Times New Roman" w:hAnsi="Times New Roman" w:cs="Times New Roman"/>
          <w:sz w:val="24"/>
          <w:szCs w:val="24"/>
        </w:rPr>
        <w:t xml:space="preserve">or </w:t>
      </w:r>
      <w:r w:rsidR="002C0A5F" w:rsidRPr="00182411">
        <w:rPr>
          <w:rFonts w:ascii="Times New Roman" w:hAnsi="Times New Roman" w:cs="Times New Roman"/>
          <w:sz w:val="24"/>
          <w:szCs w:val="24"/>
        </w:rPr>
        <w:t>women of all ages</w:t>
      </w:r>
      <w:r w:rsidR="004D0D81" w:rsidRPr="00182411">
        <w:rPr>
          <w:rFonts w:ascii="Times New Roman" w:hAnsi="Times New Roman" w:cs="Times New Roman"/>
          <w:sz w:val="24"/>
          <w:szCs w:val="24"/>
        </w:rPr>
        <w:t>.</w:t>
      </w:r>
      <w:r w:rsidR="00532901" w:rsidRPr="00182411">
        <w:rPr>
          <w:rFonts w:ascii="Times New Roman" w:hAnsi="Times New Roman" w:cs="Times New Roman"/>
          <w:sz w:val="24"/>
          <w:szCs w:val="24"/>
        </w:rPr>
        <w:t xml:space="preserve"> </w:t>
      </w:r>
      <w:r w:rsidR="00182411" w:rsidRPr="00331468">
        <w:rPr>
          <w:rFonts w:ascii="Times New Roman" w:hAnsi="Times New Roman" w:cs="Times New Roman"/>
          <w:sz w:val="24"/>
          <w:szCs w:val="24"/>
        </w:rPr>
        <w:t xml:space="preserve">Although </w:t>
      </w:r>
      <w:r w:rsidR="00182411" w:rsidRPr="00182411">
        <w:rPr>
          <w:rFonts w:ascii="Times New Roman" w:hAnsi="Times New Roman" w:cs="Times New Roman"/>
          <w:sz w:val="24"/>
          <w:szCs w:val="24"/>
        </w:rPr>
        <w:t>there was no significant difference between the groups on their personal experiences of dementia, we do not know the nature or the quality of these personal experiences. Thus, it may be that even young men with some personal experience of dementia have less experience of providing personal care than women or older people.</w:t>
      </w:r>
      <w:r w:rsidR="00532901">
        <w:rPr>
          <w:rFonts w:ascii="Times New Roman" w:hAnsi="Times New Roman" w:cs="Times New Roman"/>
          <w:sz w:val="24"/>
          <w:szCs w:val="24"/>
        </w:rPr>
        <w:t xml:space="preserve"> </w:t>
      </w:r>
    </w:p>
    <w:p w14:paraId="561F0550" w14:textId="68495FED" w:rsidR="00D96CE5" w:rsidRDefault="0049082C" w:rsidP="00B87D4E">
      <w:pPr>
        <w:spacing w:before="120" w:after="120"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Research elsewhere suggests that t</w:t>
      </w:r>
      <w:r w:rsidRPr="001E6503">
        <w:rPr>
          <w:rFonts w:ascii="Times New Roman" w:hAnsi="Times New Roman" w:cs="Times New Roman"/>
          <w:sz w:val="24"/>
          <w:szCs w:val="24"/>
          <w:shd w:val="clear" w:color="auto" w:fill="FFFFFF"/>
        </w:rPr>
        <w:t xml:space="preserve">he </w:t>
      </w:r>
      <w:r w:rsidR="00B9182E" w:rsidRPr="001E6503">
        <w:rPr>
          <w:rFonts w:ascii="Times New Roman" w:hAnsi="Times New Roman" w:cs="Times New Roman"/>
          <w:sz w:val="24"/>
          <w:szCs w:val="24"/>
          <w:shd w:val="clear" w:color="auto" w:fill="FFFFFF"/>
        </w:rPr>
        <w:t>impact of personal experience of dementia on attitude</w:t>
      </w:r>
      <w:r>
        <w:rPr>
          <w:rFonts w:ascii="Times New Roman" w:hAnsi="Times New Roman" w:cs="Times New Roman"/>
          <w:sz w:val="24"/>
          <w:szCs w:val="24"/>
          <w:shd w:val="clear" w:color="auto" w:fill="FFFFFF"/>
        </w:rPr>
        <w:t xml:space="preserve">s is complex. Thus, </w:t>
      </w:r>
      <w:r w:rsidR="00B87D4E" w:rsidRPr="001E6503">
        <w:rPr>
          <w:rFonts w:ascii="Times New Roman" w:hAnsi="Times New Roman" w:cs="Times New Roman"/>
          <w:sz w:val="24"/>
          <w:szCs w:val="24"/>
        </w:rPr>
        <w:t xml:space="preserve">McParland </w:t>
      </w:r>
      <w:r w:rsidR="00B87D4E" w:rsidRPr="001E6503">
        <w:rPr>
          <w:rFonts w:ascii="Times New Roman" w:hAnsi="Times New Roman" w:cs="Times New Roman"/>
          <w:i/>
          <w:sz w:val="24"/>
          <w:szCs w:val="24"/>
        </w:rPr>
        <w:t>et al.</w:t>
      </w:r>
      <w:r w:rsidR="00B87D4E">
        <w:rPr>
          <w:rFonts w:ascii="Times New Roman" w:hAnsi="Times New Roman" w:cs="Times New Roman"/>
          <w:i/>
          <w:sz w:val="24"/>
          <w:szCs w:val="24"/>
        </w:rPr>
        <w:t xml:space="preserve"> </w:t>
      </w:r>
      <w:r w:rsidR="00B87D4E" w:rsidRPr="00331468">
        <w:rPr>
          <w:rFonts w:ascii="Times New Roman" w:hAnsi="Times New Roman" w:cs="Times New Roman"/>
          <w:sz w:val="24"/>
          <w:szCs w:val="24"/>
        </w:rPr>
        <w:t>(</w:t>
      </w:r>
      <w:r w:rsidR="00B87D4E" w:rsidRPr="001E6503">
        <w:rPr>
          <w:rFonts w:ascii="Times New Roman" w:hAnsi="Times New Roman" w:cs="Times New Roman"/>
          <w:sz w:val="24"/>
          <w:szCs w:val="24"/>
        </w:rPr>
        <w:t>2012)</w:t>
      </w:r>
      <w:r w:rsidR="00B87D4E">
        <w:rPr>
          <w:rFonts w:ascii="Times New Roman" w:hAnsi="Times New Roman" w:cs="Times New Roman"/>
          <w:sz w:val="24"/>
          <w:szCs w:val="24"/>
        </w:rPr>
        <w:t xml:space="preserve"> found that </w:t>
      </w:r>
      <w:r w:rsidR="00B87D4E" w:rsidRPr="001E6503">
        <w:rPr>
          <w:rFonts w:ascii="Times New Roman" w:hAnsi="Times New Roman" w:cs="Times New Roman"/>
          <w:sz w:val="24"/>
          <w:szCs w:val="24"/>
        </w:rPr>
        <w:t>knowing someone affected by dementia was not associated with a more positive attitude toward dementia</w:t>
      </w:r>
      <w:r w:rsidR="00B87D4E">
        <w:rPr>
          <w:rFonts w:ascii="Times New Roman" w:hAnsi="Times New Roman" w:cs="Times New Roman"/>
          <w:sz w:val="24"/>
          <w:szCs w:val="24"/>
        </w:rPr>
        <w:t xml:space="preserve">, although in our study we did find that personal experience of dementia was significantly associated with a </w:t>
      </w:r>
      <w:r w:rsidR="00ED2659">
        <w:rPr>
          <w:rFonts w:ascii="Times New Roman" w:hAnsi="Times New Roman" w:cs="Times New Roman"/>
          <w:sz w:val="24"/>
          <w:szCs w:val="24"/>
        </w:rPr>
        <w:t xml:space="preserve">higher </w:t>
      </w:r>
      <w:proofErr w:type="spellStart"/>
      <w:r w:rsidR="00801B17">
        <w:rPr>
          <w:rFonts w:ascii="Times New Roman" w:hAnsi="Times New Roman" w:cs="Times New Roman"/>
          <w:sz w:val="24"/>
          <w:szCs w:val="24"/>
        </w:rPr>
        <w:t>RoP</w:t>
      </w:r>
      <w:proofErr w:type="spellEnd"/>
      <w:r w:rsidR="00B87D4E">
        <w:rPr>
          <w:rFonts w:ascii="Times New Roman" w:hAnsi="Times New Roman" w:cs="Times New Roman"/>
          <w:sz w:val="24"/>
          <w:szCs w:val="24"/>
        </w:rPr>
        <w:t xml:space="preserve"> score. However, while personal experience may enable people to be more aware of the enduring human nature of people affected by dementia, it does not necessarily mean that people will also be more hopeful about </w:t>
      </w:r>
      <w:r w:rsidR="000042A9">
        <w:rPr>
          <w:rFonts w:ascii="Times New Roman" w:hAnsi="Times New Roman" w:cs="Times New Roman"/>
          <w:sz w:val="24"/>
          <w:szCs w:val="24"/>
        </w:rPr>
        <w:t xml:space="preserve">living well with </w:t>
      </w:r>
      <w:r w:rsidR="00B87D4E">
        <w:rPr>
          <w:rFonts w:ascii="Times New Roman" w:hAnsi="Times New Roman" w:cs="Times New Roman"/>
          <w:sz w:val="24"/>
          <w:szCs w:val="24"/>
        </w:rPr>
        <w:t xml:space="preserve">dementia. Thus, </w:t>
      </w:r>
      <w:r w:rsidRPr="001E6503">
        <w:rPr>
          <w:rFonts w:ascii="Times New Roman" w:hAnsi="Times New Roman" w:cs="Times New Roman"/>
          <w:sz w:val="24"/>
          <w:szCs w:val="24"/>
        </w:rPr>
        <w:t>having a par</w:t>
      </w:r>
      <w:r>
        <w:rPr>
          <w:rFonts w:ascii="Times New Roman" w:hAnsi="Times New Roman" w:cs="Times New Roman"/>
          <w:sz w:val="24"/>
          <w:szCs w:val="24"/>
        </w:rPr>
        <w:t>ent who develop</w:t>
      </w:r>
      <w:r w:rsidR="000042A9">
        <w:rPr>
          <w:rFonts w:ascii="Times New Roman" w:hAnsi="Times New Roman" w:cs="Times New Roman"/>
          <w:sz w:val="24"/>
          <w:szCs w:val="24"/>
        </w:rPr>
        <w:t>s</w:t>
      </w:r>
      <w:r>
        <w:rPr>
          <w:rFonts w:ascii="Times New Roman" w:hAnsi="Times New Roman" w:cs="Times New Roman"/>
          <w:sz w:val="24"/>
          <w:szCs w:val="24"/>
        </w:rPr>
        <w:t xml:space="preserve"> dementia h</w:t>
      </w:r>
      <w:r w:rsidRPr="001E6503">
        <w:rPr>
          <w:rFonts w:ascii="Times New Roman" w:hAnsi="Times New Roman" w:cs="Times New Roman"/>
          <w:sz w:val="24"/>
          <w:szCs w:val="24"/>
        </w:rPr>
        <w:t xml:space="preserve">as </w:t>
      </w:r>
      <w:r>
        <w:rPr>
          <w:rFonts w:ascii="Times New Roman" w:hAnsi="Times New Roman" w:cs="Times New Roman"/>
          <w:sz w:val="24"/>
          <w:szCs w:val="24"/>
        </w:rPr>
        <w:t xml:space="preserve">been </w:t>
      </w:r>
      <w:r w:rsidRPr="001E6503">
        <w:rPr>
          <w:rFonts w:ascii="Times New Roman" w:hAnsi="Times New Roman" w:cs="Times New Roman"/>
          <w:sz w:val="24"/>
          <w:szCs w:val="24"/>
        </w:rPr>
        <w:t>associated with greater personal concern</w:t>
      </w:r>
      <w:r>
        <w:rPr>
          <w:rFonts w:ascii="Times New Roman" w:hAnsi="Times New Roman" w:cs="Times New Roman"/>
          <w:sz w:val="24"/>
          <w:szCs w:val="24"/>
        </w:rPr>
        <w:t>s</w:t>
      </w:r>
      <w:r w:rsidRPr="001E6503">
        <w:rPr>
          <w:rFonts w:ascii="Times New Roman" w:hAnsi="Times New Roman" w:cs="Times New Roman"/>
          <w:sz w:val="24"/>
          <w:szCs w:val="24"/>
        </w:rPr>
        <w:t xml:space="preserve"> about </w:t>
      </w:r>
      <w:r w:rsidRPr="001E6503">
        <w:rPr>
          <w:rFonts w:ascii="Times New Roman" w:hAnsi="Times New Roman" w:cs="Times New Roman"/>
          <w:sz w:val="24"/>
          <w:szCs w:val="24"/>
          <w:shd w:val="clear" w:color="auto" w:fill="FFFFFF"/>
        </w:rPr>
        <w:t>developing the disease</w:t>
      </w:r>
      <w:r>
        <w:rPr>
          <w:rFonts w:ascii="Times New Roman" w:hAnsi="Times New Roman" w:cs="Times New Roman"/>
          <w:sz w:val="24"/>
          <w:szCs w:val="24"/>
          <w:shd w:val="clear" w:color="auto" w:fill="FFFFFF"/>
        </w:rPr>
        <w:t xml:space="preserve"> oneself </w:t>
      </w:r>
      <w:r w:rsidR="00D96CE5">
        <w:rPr>
          <w:rFonts w:ascii="Times New Roman" w:hAnsi="Times New Roman" w:cs="Times New Roman"/>
          <w:sz w:val="24"/>
          <w:szCs w:val="24"/>
          <w:shd w:val="clear" w:color="auto" w:fill="FFFFFF"/>
        </w:rPr>
        <w:t xml:space="preserve">but does not translate into greater levels of anticipatory anxiety about dementia </w:t>
      </w:r>
      <w:r w:rsidRPr="001E6503">
        <w:rPr>
          <w:rFonts w:ascii="Times New Roman" w:hAnsi="Times New Roman" w:cs="Times New Roman"/>
          <w:sz w:val="24"/>
          <w:szCs w:val="24"/>
          <w:shd w:val="clear" w:color="auto" w:fill="FFFFFF"/>
        </w:rPr>
        <w:t>(Cutler and Hodgson, 1996)</w:t>
      </w:r>
      <w:r>
        <w:rPr>
          <w:rFonts w:ascii="Times New Roman" w:hAnsi="Times New Roman" w:cs="Times New Roman"/>
          <w:sz w:val="24"/>
          <w:szCs w:val="24"/>
          <w:shd w:val="clear" w:color="auto" w:fill="FFFFFF"/>
        </w:rPr>
        <w:t xml:space="preserve">. This is consistent </w:t>
      </w:r>
      <w:r w:rsidR="00B87D4E">
        <w:rPr>
          <w:rFonts w:ascii="Times New Roman" w:hAnsi="Times New Roman" w:cs="Times New Roman"/>
          <w:sz w:val="24"/>
          <w:szCs w:val="24"/>
          <w:shd w:val="clear" w:color="auto" w:fill="FFFFFF"/>
        </w:rPr>
        <w:t xml:space="preserve">with our finding of no difference between </w:t>
      </w:r>
      <w:r w:rsidR="00B9182E" w:rsidRPr="001E6503">
        <w:rPr>
          <w:rFonts w:ascii="Times New Roman" w:hAnsi="Times New Roman" w:cs="Times New Roman"/>
          <w:sz w:val="24"/>
          <w:szCs w:val="24"/>
          <w:shd w:val="clear" w:color="auto" w:fill="FFFFFF"/>
        </w:rPr>
        <w:t xml:space="preserve">participants </w:t>
      </w:r>
      <w:r w:rsidR="00D96CE5">
        <w:rPr>
          <w:rFonts w:ascii="Times New Roman" w:hAnsi="Times New Roman" w:cs="Times New Roman"/>
          <w:sz w:val="24"/>
          <w:szCs w:val="24"/>
          <w:shd w:val="clear" w:color="auto" w:fill="FFFFFF"/>
        </w:rPr>
        <w:t xml:space="preserve">with and without personal experience of dementia on the </w:t>
      </w:r>
      <w:r w:rsidR="00ED2659">
        <w:rPr>
          <w:rFonts w:ascii="Times New Roman" w:hAnsi="Times New Roman" w:cs="Times New Roman"/>
          <w:sz w:val="24"/>
          <w:szCs w:val="24"/>
          <w:shd w:val="clear" w:color="auto" w:fill="FFFFFF"/>
        </w:rPr>
        <w:t>h</w:t>
      </w:r>
      <w:r w:rsidR="00B9182E" w:rsidRPr="001E6503">
        <w:rPr>
          <w:rFonts w:ascii="Times New Roman" w:hAnsi="Times New Roman" w:cs="Times New Roman"/>
          <w:sz w:val="24"/>
          <w:szCs w:val="24"/>
          <w:shd w:val="clear" w:color="auto" w:fill="FFFFFF"/>
        </w:rPr>
        <w:t>ope</w:t>
      </w:r>
      <w:r w:rsidR="00D96CE5">
        <w:rPr>
          <w:rFonts w:ascii="Times New Roman" w:hAnsi="Times New Roman" w:cs="Times New Roman"/>
          <w:sz w:val="24"/>
          <w:szCs w:val="24"/>
          <w:shd w:val="clear" w:color="auto" w:fill="FFFFFF"/>
        </w:rPr>
        <w:t xml:space="preserve"> scale</w:t>
      </w:r>
      <w:r w:rsidR="00B9182E" w:rsidRPr="001E6503">
        <w:rPr>
          <w:rFonts w:ascii="Times New Roman" w:hAnsi="Times New Roman" w:cs="Times New Roman"/>
          <w:sz w:val="24"/>
          <w:szCs w:val="24"/>
          <w:shd w:val="clear" w:color="auto" w:fill="FFFFFF"/>
        </w:rPr>
        <w:t>.</w:t>
      </w:r>
      <w:r w:rsidR="00D96CE5">
        <w:rPr>
          <w:rFonts w:ascii="Times New Roman" w:hAnsi="Times New Roman" w:cs="Times New Roman"/>
          <w:sz w:val="24"/>
          <w:szCs w:val="24"/>
          <w:shd w:val="clear" w:color="auto" w:fill="FFFFFF"/>
        </w:rPr>
        <w:t xml:space="preserve"> </w:t>
      </w:r>
    </w:p>
    <w:p w14:paraId="46857649" w14:textId="77777777" w:rsidR="00AF598F" w:rsidRPr="001E6503" w:rsidRDefault="00AF598F" w:rsidP="00B87D4E">
      <w:pPr>
        <w:spacing w:before="120" w:after="120" w:line="480" w:lineRule="auto"/>
        <w:ind w:firstLine="720"/>
        <w:rPr>
          <w:rFonts w:ascii="Times New Roman" w:hAnsi="Times New Roman" w:cs="Times New Roman"/>
          <w:sz w:val="24"/>
          <w:szCs w:val="24"/>
        </w:rPr>
      </w:pPr>
    </w:p>
    <w:p w14:paraId="0A17C083" w14:textId="6BCF2FAA" w:rsidR="00144E93" w:rsidRDefault="00C63316" w:rsidP="000B1A46">
      <w:pPr>
        <w:spacing w:before="120" w:after="120" w:line="480" w:lineRule="auto"/>
        <w:ind w:firstLine="720"/>
        <w:rPr>
          <w:rFonts w:ascii="Times New Roman" w:hAnsi="Times New Roman" w:cs="Times New Roman"/>
          <w:sz w:val="24"/>
          <w:szCs w:val="24"/>
        </w:rPr>
      </w:pPr>
      <w:r w:rsidRPr="001E6503">
        <w:rPr>
          <w:rFonts w:ascii="Times New Roman" w:hAnsi="Times New Roman" w:cs="Times New Roman"/>
          <w:sz w:val="24"/>
          <w:szCs w:val="24"/>
        </w:rPr>
        <w:t xml:space="preserve">It is likely that there are differences between people from different communities in their knowledge and attitudes towards dementia. </w:t>
      </w:r>
      <w:r w:rsidR="00ED2659">
        <w:rPr>
          <w:rFonts w:ascii="Times New Roman" w:hAnsi="Times New Roman" w:cs="Times New Roman"/>
          <w:sz w:val="24"/>
          <w:szCs w:val="24"/>
        </w:rPr>
        <w:t>C</w:t>
      </w:r>
      <w:r w:rsidRPr="001E6503">
        <w:rPr>
          <w:rFonts w:ascii="Times New Roman" w:hAnsi="Times New Roman" w:cs="Times New Roman"/>
          <w:sz w:val="24"/>
          <w:szCs w:val="24"/>
        </w:rPr>
        <w:t xml:space="preserve">ompared to </w:t>
      </w:r>
      <w:r w:rsidR="00ED2659" w:rsidRPr="001E6503">
        <w:rPr>
          <w:rFonts w:ascii="Times New Roman" w:hAnsi="Times New Roman" w:cs="Times New Roman"/>
          <w:sz w:val="24"/>
          <w:szCs w:val="24"/>
        </w:rPr>
        <w:t>similar</w:t>
      </w:r>
      <w:r w:rsidRPr="001E6503">
        <w:rPr>
          <w:rFonts w:ascii="Times New Roman" w:hAnsi="Times New Roman" w:cs="Times New Roman"/>
          <w:sz w:val="24"/>
          <w:szCs w:val="24"/>
        </w:rPr>
        <w:t xml:space="preserve"> Caucasian communities, Chinese people are more likely to believe that Alzheimer’s disease is a normal part of ageing (Gray </w:t>
      </w:r>
      <w:r w:rsidR="00B166FC" w:rsidRPr="001E6503">
        <w:rPr>
          <w:rFonts w:ascii="Times New Roman" w:hAnsi="Times New Roman" w:cs="Times New Roman"/>
          <w:i/>
          <w:sz w:val="24"/>
          <w:szCs w:val="24"/>
        </w:rPr>
        <w:t>et al.,</w:t>
      </w:r>
      <w:r w:rsidRPr="001E6503">
        <w:rPr>
          <w:rFonts w:ascii="Times New Roman" w:hAnsi="Times New Roman" w:cs="Times New Roman"/>
          <w:sz w:val="24"/>
          <w:szCs w:val="24"/>
        </w:rPr>
        <w:t xml:space="preserve"> 2009; Low </w:t>
      </w:r>
      <w:r w:rsidR="00B166FC" w:rsidRPr="001E6503">
        <w:rPr>
          <w:rFonts w:ascii="Times New Roman" w:hAnsi="Times New Roman" w:cs="Times New Roman"/>
          <w:i/>
          <w:sz w:val="24"/>
          <w:szCs w:val="24"/>
        </w:rPr>
        <w:t>et al.,</w:t>
      </w:r>
      <w:r w:rsidRPr="001E6503">
        <w:rPr>
          <w:rFonts w:ascii="Times New Roman" w:hAnsi="Times New Roman" w:cs="Times New Roman"/>
          <w:sz w:val="24"/>
          <w:szCs w:val="24"/>
        </w:rPr>
        <w:t xml:space="preserve"> 2010), less likely to correctly recognize </w:t>
      </w:r>
      <w:r w:rsidR="00096FC5" w:rsidRPr="001E6503">
        <w:rPr>
          <w:rFonts w:ascii="Times New Roman" w:hAnsi="Times New Roman" w:cs="Times New Roman"/>
          <w:sz w:val="24"/>
          <w:szCs w:val="24"/>
        </w:rPr>
        <w:t xml:space="preserve">symptoms </w:t>
      </w:r>
      <w:r w:rsidR="00096FC5">
        <w:rPr>
          <w:rFonts w:ascii="Times New Roman" w:hAnsi="Times New Roman" w:cs="Times New Roman"/>
          <w:sz w:val="24"/>
          <w:szCs w:val="24"/>
        </w:rPr>
        <w:t xml:space="preserve">of </w:t>
      </w:r>
      <w:r w:rsidRPr="001E6503">
        <w:rPr>
          <w:rFonts w:ascii="Times New Roman" w:hAnsi="Times New Roman" w:cs="Times New Roman"/>
          <w:sz w:val="24"/>
          <w:szCs w:val="24"/>
        </w:rPr>
        <w:t xml:space="preserve">dementia (Low </w:t>
      </w:r>
      <w:r w:rsidR="00B166FC" w:rsidRPr="001E6503">
        <w:rPr>
          <w:rFonts w:ascii="Times New Roman" w:hAnsi="Times New Roman" w:cs="Times New Roman"/>
          <w:i/>
          <w:sz w:val="24"/>
          <w:szCs w:val="24"/>
        </w:rPr>
        <w:t>et al.,</w:t>
      </w:r>
      <w:r w:rsidRPr="001E6503">
        <w:rPr>
          <w:rFonts w:ascii="Times New Roman" w:hAnsi="Times New Roman" w:cs="Times New Roman"/>
          <w:sz w:val="24"/>
          <w:szCs w:val="24"/>
        </w:rPr>
        <w:t xml:space="preserve"> 2010), and have less knowledge about Alzheimer’s disease (</w:t>
      </w:r>
      <w:proofErr w:type="spellStart"/>
      <w:r w:rsidRPr="001E6503">
        <w:rPr>
          <w:rFonts w:ascii="Times New Roman" w:hAnsi="Times New Roman" w:cs="Times New Roman"/>
          <w:sz w:val="24"/>
          <w:szCs w:val="24"/>
        </w:rPr>
        <w:t>Ayalon</w:t>
      </w:r>
      <w:proofErr w:type="spellEnd"/>
      <w:r w:rsidRPr="001E6503">
        <w:rPr>
          <w:rFonts w:ascii="Times New Roman" w:hAnsi="Times New Roman" w:cs="Times New Roman"/>
          <w:sz w:val="24"/>
          <w:szCs w:val="24"/>
        </w:rPr>
        <w:t xml:space="preserve"> and </w:t>
      </w:r>
      <w:proofErr w:type="spellStart"/>
      <w:r w:rsidRPr="001E6503">
        <w:rPr>
          <w:rFonts w:ascii="Times New Roman" w:hAnsi="Times New Roman" w:cs="Times New Roman"/>
          <w:sz w:val="24"/>
          <w:szCs w:val="24"/>
        </w:rPr>
        <w:t>Arean</w:t>
      </w:r>
      <w:proofErr w:type="spellEnd"/>
      <w:r w:rsidRPr="001E6503">
        <w:rPr>
          <w:rFonts w:ascii="Times New Roman" w:hAnsi="Times New Roman" w:cs="Times New Roman"/>
          <w:sz w:val="24"/>
          <w:szCs w:val="24"/>
        </w:rPr>
        <w:t>, 2004). In this study, while</w:t>
      </w:r>
      <w:r w:rsidR="00890C92">
        <w:rPr>
          <w:rFonts w:ascii="Times New Roman" w:hAnsi="Times New Roman" w:cs="Times New Roman"/>
          <w:sz w:val="24"/>
          <w:szCs w:val="24"/>
        </w:rPr>
        <w:t xml:space="preserve"> we were able to identify that W</w:t>
      </w:r>
      <w:r w:rsidRPr="001E6503">
        <w:rPr>
          <w:rFonts w:ascii="Times New Roman" w:hAnsi="Times New Roman" w:cs="Times New Roman"/>
          <w:sz w:val="24"/>
          <w:szCs w:val="24"/>
        </w:rPr>
        <w:t>hite participants had more positive attit</w:t>
      </w:r>
      <w:r w:rsidR="00890C92">
        <w:rPr>
          <w:rFonts w:ascii="Times New Roman" w:hAnsi="Times New Roman" w:cs="Times New Roman"/>
          <w:sz w:val="24"/>
          <w:szCs w:val="24"/>
        </w:rPr>
        <w:t>udes towards dementia than non-W</w:t>
      </w:r>
      <w:r w:rsidRPr="001E6503">
        <w:rPr>
          <w:rFonts w:ascii="Times New Roman" w:hAnsi="Times New Roman" w:cs="Times New Roman"/>
          <w:sz w:val="24"/>
          <w:szCs w:val="24"/>
        </w:rPr>
        <w:t xml:space="preserve">hite participants, disappointingly, due to lack of data we were not able either to examine interactions between variables, </w:t>
      </w:r>
      <w:proofErr w:type="gramStart"/>
      <w:r w:rsidRPr="001E6503">
        <w:rPr>
          <w:rFonts w:ascii="Times New Roman" w:hAnsi="Times New Roman" w:cs="Times New Roman"/>
          <w:sz w:val="24"/>
          <w:szCs w:val="24"/>
        </w:rPr>
        <w:t>nor</w:t>
      </w:r>
      <w:proofErr w:type="gramEnd"/>
      <w:r w:rsidRPr="001E6503">
        <w:rPr>
          <w:rFonts w:ascii="Times New Roman" w:hAnsi="Times New Roman" w:cs="Times New Roman"/>
          <w:sz w:val="24"/>
          <w:szCs w:val="24"/>
        </w:rPr>
        <w:t xml:space="preserve"> to look at a more </w:t>
      </w:r>
      <w:r w:rsidR="00D96CE5">
        <w:rPr>
          <w:rFonts w:ascii="Times New Roman" w:hAnsi="Times New Roman" w:cs="Times New Roman"/>
          <w:sz w:val="24"/>
          <w:szCs w:val="24"/>
        </w:rPr>
        <w:t>detailed</w:t>
      </w:r>
      <w:r w:rsidR="00D96CE5" w:rsidRPr="001E6503">
        <w:rPr>
          <w:rFonts w:ascii="Times New Roman" w:hAnsi="Times New Roman" w:cs="Times New Roman"/>
          <w:sz w:val="24"/>
          <w:szCs w:val="24"/>
        </w:rPr>
        <w:t xml:space="preserve"> </w:t>
      </w:r>
      <w:r w:rsidRPr="001E6503">
        <w:rPr>
          <w:rFonts w:ascii="Times New Roman" w:hAnsi="Times New Roman" w:cs="Times New Roman"/>
          <w:sz w:val="24"/>
          <w:szCs w:val="24"/>
        </w:rPr>
        <w:t>breakdown by ethnicity.</w:t>
      </w:r>
    </w:p>
    <w:p w14:paraId="0917AF68" w14:textId="77777777" w:rsidR="00AF598F" w:rsidRDefault="00AF598F" w:rsidP="000B1A46">
      <w:pPr>
        <w:spacing w:before="120" w:after="120" w:line="480" w:lineRule="auto"/>
        <w:ind w:firstLine="720"/>
        <w:rPr>
          <w:rFonts w:ascii="Times New Roman" w:hAnsi="Times New Roman" w:cs="Times New Roman"/>
          <w:sz w:val="24"/>
          <w:szCs w:val="24"/>
        </w:rPr>
      </w:pPr>
    </w:p>
    <w:p w14:paraId="36B7E3C6" w14:textId="47AA017D" w:rsidR="00784EE6" w:rsidRDefault="00784EE6" w:rsidP="00784EE6">
      <w:pPr>
        <w:spacing w:before="120" w:after="120" w:line="480" w:lineRule="auto"/>
        <w:rPr>
          <w:rFonts w:ascii="Times New Roman" w:hAnsi="Times New Roman" w:cs="Times New Roman"/>
          <w:sz w:val="24"/>
          <w:szCs w:val="24"/>
        </w:rPr>
      </w:pPr>
      <w:r w:rsidRPr="00784EE6">
        <w:rPr>
          <w:rFonts w:ascii="Times New Roman" w:hAnsi="Times New Roman" w:cs="Times New Roman"/>
          <w:b/>
          <w:sz w:val="24"/>
          <w:szCs w:val="24"/>
        </w:rPr>
        <w:t>Study limitations</w:t>
      </w:r>
    </w:p>
    <w:p w14:paraId="6007FB17" w14:textId="7E7C8567" w:rsidR="00784EE6" w:rsidRDefault="00832F6B" w:rsidP="00784EE6">
      <w:pPr>
        <w:spacing w:before="120" w:after="12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Although </w:t>
      </w:r>
      <w:r w:rsidR="00D96CE5">
        <w:rPr>
          <w:rFonts w:ascii="Times New Roman" w:hAnsi="Times New Roman" w:cs="Times New Roman"/>
          <w:sz w:val="24"/>
          <w:szCs w:val="24"/>
        </w:rPr>
        <w:t xml:space="preserve">the data </w:t>
      </w:r>
      <w:r w:rsidR="00406476">
        <w:rPr>
          <w:rFonts w:ascii="Times New Roman" w:hAnsi="Times New Roman" w:cs="Times New Roman"/>
          <w:sz w:val="24"/>
          <w:szCs w:val="24"/>
        </w:rPr>
        <w:t>collected was weighted</w:t>
      </w:r>
      <w:r w:rsidR="00D96CE5">
        <w:rPr>
          <w:rFonts w:ascii="Times New Roman" w:hAnsi="Times New Roman" w:cs="Times New Roman"/>
          <w:sz w:val="24"/>
          <w:szCs w:val="24"/>
        </w:rPr>
        <w:t xml:space="preserve"> in order </w:t>
      </w:r>
      <w:r>
        <w:rPr>
          <w:rFonts w:ascii="Times New Roman" w:hAnsi="Times New Roman" w:cs="Times New Roman"/>
          <w:sz w:val="24"/>
          <w:szCs w:val="24"/>
        </w:rPr>
        <w:t xml:space="preserve">to make </w:t>
      </w:r>
      <w:r w:rsidR="00D96CE5">
        <w:rPr>
          <w:rFonts w:ascii="Times New Roman" w:hAnsi="Times New Roman" w:cs="Times New Roman"/>
          <w:sz w:val="24"/>
          <w:szCs w:val="24"/>
        </w:rPr>
        <w:t xml:space="preserve">the </w:t>
      </w:r>
      <w:r>
        <w:rPr>
          <w:rFonts w:ascii="Times New Roman" w:hAnsi="Times New Roman" w:cs="Times New Roman"/>
          <w:sz w:val="24"/>
          <w:szCs w:val="24"/>
        </w:rPr>
        <w:t xml:space="preserve">sample more representative of the Bristol and South Gloucestershire population, </w:t>
      </w:r>
      <w:r w:rsidR="00986CB9">
        <w:rPr>
          <w:rFonts w:ascii="Times New Roman" w:hAnsi="Times New Roman" w:cs="Times New Roman"/>
          <w:sz w:val="24"/>
          <w:szCs w:val="24"/>
        </w:rPr>
        <w:t xml:space="preserve">there are a number of reasons why the results are </w:t>
      </w:r>
      <w:r>
        <w:rPr>
          <w:rFonts w:ascii="Times New Roman" w:hAnsi="Times New Roman" w:cs="Times New Roman"/>
          <w:sz w:val="24"/>
          <w:szCs w:val="24"/>
        </w:rPr>
        <w:t xml:space="preserve">not </w:t>
      </w:r>
      <w:r w:rsidR="00986CB9">
        <w:rPr>
          <w:rFonts w:ascii="Times New Roman" w:hAnsi="Times New Roman" w:cs="Times New Roman"/>
          <w:sz w:val="24"/>
          <w:szCs w:val="24"/>
        </w:rPr>
        <w:t xml:space="preserve">completely </w:t>
      </w:r>
      <w:r>
        <w:rPr>
          <w:rFonts w:ascii="Times New Roman" w:hAnsi="Times New Roman" w:cs="Times New Roman"/>
          <w:sz w:val="24"/>
          <w:szCs w:val="24"/>
        </w:rPr>
        <w:t>representative of the population currently living in the</w:t>
      </w:r>
      <w:r w:rsidR="00890C92">
        <w:rPr>
          <w:rFonts w:ascii="Times New Roman" w:hAnsi="Times New Roman" w:cs="Times New Roman"/>
          <w:sz w:val="24"/>
          <w:szCs w:val="24"/>
        </w:rPr>
        <w:t xml:space="preserve"> d</w:t>
      </w:r>
      <w:r>
        <w:rPr>
          <w:rFonts w:ascii="Times New Roman" w:hAnsi="Times New Roman" w:cs="Times New Roman"/>
          <w:sz w:val="24"/>
          <w:szCs w:val="24"/>
        </w:rPr>
        <w:t xml:space="preserve">ementia HIT area. </w:t>
      </w:r>
      <w:r w:rsidR="00986CB9">
        <w:rPr>
          <w:rFonts w:ascii="Times New Roman" w:hAnsi="Times New Roman" w:cs="Times New Roman"/>
          <w:sz w:val="24"/>
          <w:szCs w:val="24"/>
        </w:rPr>
        <w:t>For instance</w:t>
      </w:r>
      <w:r>
        <w:rPr>
          <w:rFonts w:ascii="Times New Roman" w:hAnsi="Times New Roman" w:cs="Times New Roman"/>
          <w:sz w:val="24"/>
          <w:szCs w:val="24"/>
        </w:rPr>
        <w:t xml:space="preserve">, </w:t>
      </w:r>
      <w:r w:rsidR="00D77F41">
        <w:rPr>
          <w:rFonts w:ascii="Times New Roman" w:hAnsi="Times New Roman" w:cs="Times New Roman"/>
          <w:sz w:val="24"/>
          <w:szCs w:val="24"/>
        </w:rPr>
        <w:t xml:space="preserve">data on </w:t>
      </w:r>
      <w:r>
        <w:rPr>
          <w:rFonts w:ascii="Times New Roman" w:hAnsi="Times New Roman" w:cs="Times New Roman"/>
          <w:sz w:val="24"/>
          <w:szCs w:val="24"/>
        </w:rPr>
        <w:t>education</w:t>
      </w:r>
      <w:r w:rsidR="00986CB9">
        <w:rPr>
          <w:rFonts w:ascii="Times New Roman" w:hAnsi="Times New Roman" w:cs="Times New Roman"/>
          <w:sz w:val="24"/>
          <w:szCs w:val="24"/>
        </w:rPr>
        <w:t>al</w:t>
      </w:r>
      <w:r>
        <w:rPr>
          <w:rFonts w:ascii="Times New Roman" w:hAnsi="Times New Roman" w:cs="Times New Roman"/>
          <w:sz w:val="24"/>
          <w:szCs w:val="24"/>
        </w:rPr>
        <w:t xml:space="preserve"> level</w:t>
      </w:r>
      <w:r w:rsidR="00D77F41">
        <w:rPr>
          <w:rFonts w:ascii="Times New Roman" w:hAnsi="Times New Roman" w:cs="Times New Roman"/>
          <w:sz w:val="24"/>
          <w:szCs w:val="24"/>
        </w:rPr>
        <w:t xml:space="preserve"> was not collected</w:t>
      </w:r>
      <w:r>
        <w:rPr>
          <w:rFonts w:ascii="Times New Roman" w:hAnsi="Times New Roman" w:cs="Times New Roman"/>
          <w:sz w:val="24"/>
          <w:szCs w:val="24"/>
        </w:rPr>
        <w:t>.</w:t>
      </w:r>
      <w:r w:rsidR="00D77F41">
        <w:rPr>
          <w:rFonts w:ascii="Times New Roman" w:hAnsi="Times New Roman" w:cs="Times New Roman"/>
          <w:sz w:val="24"/>
          <w:szCs w:val="24"/>
        </w:rPr>
        <w:t xml:space="preserve"> There was an underrepresentation of views from people of non-White ethnicity. </w:t>
      </w:r>
      <w:r>
        <w:rPr>
          <w:rFonts w:ascii="Times New Roman" w:hAnsi="Times New Roman" w:cs="Times New Roman"/>
          <w:sz w:val="24"/>
          <w:szCs w:val="24"/>
        </w:rPr>
        <w:t xml:space="preserve"> Furthermore, </w:t>
      </w:r>
      <w:r w:rsidR="00C66826" w:rsidRPr="001E6503">
        <w:rPr>
          <w:rFonts w:ascii="Times New Roman" w:hAnsi="Times New Roman" w:cs="Times New Roman"/>
          <w:sz w:val="24"/>
          <w:szCs w:val="24"/>
        </w:rPr>
        <w:t xml:space="preserve">even though we </w:t>
      </w:r>
      <w:r w:rsidR="00C66826">
        <w:rPr>
          <w:rFonts w:ascii="Times New Roman" w:hAnsi="Times New Roman" w:cs="Times New Roman"/>
          <w:sz w:val="24"/>
          <w:szCs w:val="24"/>
        </w:rPr>
        <w:t xml:space="preserve">were able to </w:t>
      </w:r>
      <w:r w:rsidR="00C66826" w:rsidRPr="001E6503">
        <w:rPr>
          <w:rFonts w:ascii="Times New Roman" w:hAnsi="Times New Roman" w:cs="Times New Roman"/>
          <w:sz w:val="24"/>
          <w:szCs w:val="24"/>
        </w:rPr>
        <w:t xml:space="preserve">exclude people who worked in dementia care from our analysis, nevertheless our method of sampling is likely to have meant that people with an interest in dementia </w:t>
      </w:r>
      <w:r w:rsidR="00406476">
        <w:rPr>
          <w:rFonts w:ascii="Times New Roman" w:hAnsi="Times New Roman" w:cs="Times New Roman"/>
          <w:sz w:val="24"/>
          <w:szCs w:val="24"/>
        </w:rPr>
        <w:t xml:space="preserve">from the general population </w:t>
      </w:r>
      <w:r w:rsidR="00C66826" w:rsidRPr="001E6503">
        <w:rPr>
          <w:rFonts w:ascii="Times New Roman" w:hAnsi="Times New Roman" w:cs="Times New Roman"/>
          <w:sz w:val="24"/>
          <w:szCs w:val="24"/>
        </w:rPr>
        <w:t>would still have been over-represented.</w:t>
      </w:r>
    </w:p>
    <w:p w14:paraId="6CB0D6EF" w14:textId="77777777" w:rsidR="00AF598F" w:rsidRPr="00784EE6" w:rsidRDefault="00AF598F" w:rsidP="00784EE6">
      <w:pPr>
        <w:spacing w:before="120" w:after="120" w:line="480" w:lineRule="auto"/>
        <w:rPr>
          <w:rFonts w:ascii="Times New Roman" w:hAnsi="Times New Roman" w:cs="Times New Roman"/>
          <w:sz w:val="24"/>
          <w:szCs w:val="24"/>
        </w:rPr>
      </w:pPr>
    </w:p>
    <w:p w14:paraId="6E07679E" w14:textId="77777777" w:rsidR="00142CAA" w:rsidRPr="001E6503" w:rsidRDefault="00142CAA" w:rsidP="000B1A46">
      <w:pPr>
        <w:autoSpaceDE w:val="0"/>
        <w:autoSpaceDN w:val="0"/>
        <w:adjustRightInd w:val="0"/>
        <w:spacing w:before="120" w:after="120" w:line="480" w:lineRule="auto"/>
        <w:rPr>
          <w:rFonts w:ascii="Times New Roman" w:hAnsi="Times New Roman" w:cs="Times New Roman"/>
          <w:b/>
          <w:sz w:val="24"/>
          <w:szCs w:val="24"/>
        </w:rPr>
      </w:pPr>
      <w:r w:rsidRPr="001E6503">
        <w:rPr>
          <w:rFonts w:ascii="Times New Roman" w:hAnsi="Times New Roman" w:cs="Times New Roman"/>
          <w:b/>
          <w:sz w:val="24"/>
          <w:szCs w:val="24"/>
        </w:rPr>
        <w:t>Conclusion</w:t>
      </w:r>
    </w:p>
    <w:p w14:paraId="4904D888" w14:textId="77777777" w:rsidR="00AF598F" w:rsidRDefault="00C66826" w:rsidP="000B1A46">
      <w:pPr>
        <w:autoSpaceDE w:val="0"/>
        <w:autoSpaceDN w:val="0"/>
        <w:adjustRightInd w:val="0"/>
        <w:spacing w:before="120" w:after="120" w:line="480" w:lineRule="auto"/>
        <w:rPr>
          <w:rFonts w:ascii="Times New Roman" w:hAnsi="Times New Roman" w:cs="Times New Roman"/>
          <w:sz w:val="24"/>
          <w:szCs w:val="24"/>
        </w:rPr>
      </w:pPr>
      <w:r>
        <w:rPr>
          <w:rFonts w:ascii="Times New Roman" w:hAnsi="Times New Roman" w:cs="Times New Roman"/>
          <w:sz w:val="24"/>
          <w:szCs w:val="24"/>
        </w:rPr>
        <w:t>As i</w:t>
      </w:r>
      <w:r w:rsidRPr="001E6503">
        <w:rPr>
          <w:rFonts w:ascii="Times New Roman" w:hAnsi="Times New Roman" w:cs="Times New Roman"/>
          <w:sz w:val="24"/>
          <w:szCs w:val="24"/>
        </w:rPr>
        <w:t xml:space="preserve">ncreasing </w:t>
      </w:r>
      <w:r w:rsidR="00770B53" w:rsidRPr="001E6503">
        <w:rPr>
          <w:rFonts w:ascii="Times New Roman" w:hAnsi="Times New Roman" w:cs="Times New Roman"/>
          <w:sz w:val="24"/>
          <w:szCs w:val="24"/>
        </w:rPr>
        <w:t xml:space="preserve">emphasis </w:t>
      </w:r>
      <w:r>
        <w:rPr>
          <w:rFonts w:ascii="Times New Roman" w:hAnsi="Times New Roman" w:cs="Times New Roman"/>
          <w:sz w:val="24"/>
          <w:szCs w:val="24"/>
        </w:rPr>
        <w:t xml:space="preserve">in the UK and elsewhere </w:t>
      </w:r>
      <w:r w:rsidR="00770B53" w:rsidRPr="001E6503">
        <w:rPr>
          <w:rFonts w:ascii="Times New Roman" w:hAnsi="Times New Roman" w:cs="Times New Roman"/>
          <w:sz w:val="24"/>
          <w:szCs w:val="24"/>
        </w:rPr>
        <w:t>is being placed on promoting public awareness of dementia and overcoming the stigm</w:t>
      </w:r>
      <w:r w:rsidR="00C81A50">
        <w:rPr>
          <w:rFonts w:ascii="Times New Roman" w:hAnsi="Times New Roman" w:cs="Times New Roman"/>
          <w:sz w:val="24"/>
          <w:szCs w:val="24"/>
        </w:rPr>
        <w:t>a that ha</w:t>
      </w:r>
      <w:r>
        <w:rPr>
          <w:rFonts w:ascii="Times New Roman" w:hAnsi="Times New Roman" w:cs="Times New Roman"/>
          <w:sz w:val="24"/>
          <w:szCs w:val="24"/>
        </w:rPr>
        <w:t>s</w:t>
      </w:r>
      <w:r w:rsidR="00C81A50">
        <w:rPr>
          <w:rFonts w:ascii="Times New Roman" w:hAnsi="Times New Roman" w:cs="Times New Roman"/>
          <w:sz w:val="24"/>
          <w:szCs w:val="24"/>
        </w:rPr>
        <w:t xml:space="preserve"> surrounded </w:t>
      </w:r>
      <w:r>
        <w:rPr>
          <w:rFonts w:ascii="Times New Roman" w:hAnsi="Times New Roman" w:cs="Times New Roman"/>
          <w:sz w:val="24"/>
          <w:szCs w:val="24"/>
        </w:rPr>
        <w:t>the condition</w:t>
      </w:r>
      <w:r w:rsidR="00C81A50">
        <w:rPr>
          <w:rFonts w:ascii="Times New Roman" w:hAnsi="Times New Roman" w:cs="Times New Roman"/>
          <w:sz w:val="24"/>
          <w:szCs w:val="24"/>
        </w:rPr>
        <w:t xml:space="preserve">, </w:t>
      </w:r>
      <w:r w:rsidR="00770B53" w:rsidRPr="001E6503">
        <w:rPr>
          <w:rFonts w:ascii="Times New Roman" w:hAnsi="Times New Roman" w:cs="Times New Roman"/>
          <w:sz w:val="24"/>
          <w:szCs w:val="24"/>
        </w:rPr>
        <w:t xml:space="preserve">it </w:t>
      </w:r>
      <w:r>
        <w:rPr>
          <w:rFonts w:ascii="Times New Roman" w:hAnsi="Times New Roman" w:cs="Times New Roman"/>
          <w:sz w:val="24"/>
          <w:szCs w:val="24"/>
        </w:rPr>
        <w:t xml:space="preserve">is </w:t>
      </w:r>
      <w:r w:rsidR="00770B53" w:rsidRPr="001E6503">
        <w:rPr>
          <w:rFonts w:ascii="Times New Roman" w:hAnsi="Times New Roman" w:cs="Times New Roman"/>
          <w:sz w:val="24"/>
          <w:szCs w:val="24"/>
        </w:rPr>
        <w:t xml:space="preserve">important to understand and </w:t>
      </w:r>
      <w:r>
        <w:rPr>
          <w:rFonts w:ascii="Times New Roman" w:hAnsi="Times New Roman" w:cs="Times New Roman"/>
          <w:sz w:val="24"/>
          <w:szCs w:val="24"/>
        </w:rPr>
        <w:t xml:space="preserve">to </w:t>
      </w:r>
      <w:r w:rsidR="00770B53" w:rsidRPr="001E6503">
        <w:rPr>
          <w:rFonts w:ascii="Times New Roman" w:hAnsi="Times New Roman" w:cs="Times New Roman"/>
          <w:sz w:val="24"/>
          <w:szCs w:val="24"/>
        </w:rPr>
        <w:t>track changes in public understanding of dementia.</w:t>
      </w:r>
      <w:r w:rsidR="00CC6872" w:rsidRPr="001E6503">
        <w:rPr>
          <w:rFonts w:ascii="Times New Roman" w:hAnsi="Times New Roman" w:cs="Times New Roman"/>
          <w:sz w:val="24"/>
          <w:szCs w:val="24"/>
        </w:rPr>
        <w:t xml:space="preserve"> </w:t>
      </w:r>
      <w:r w:rsidR="00F3003C" w:rsidRPr="001E6503">
        <w:rPr>
          <w:rFonts w:ascii="Times New Roman" w:hAnsi="Times New Roman" w:cs="Times New Roman"/>
          <w:sz w:val="24"/>
          <w:szCs w:val="24"/>
        </w:rPr>
        <w:t xml:space="preserve">The distribution of a slightly modified version of the Attitudes to Dementia Questionnaire across the Bristol and South Gloucestershire area has enabled us to </w:t>
      </w:r>
      <w:r w:rsidR="00CC6872" w:rsidRPr="001E6503">
        <w:rPr>
          <w:rFonts w:ascii="Times New Roman" w:hAnsi="Times New Roman" w:cs="Times New Roman"/>
          <w:sz w:val="24"/>
          <w:szCs w:val="24"/>
        </w:rPr>
        <w:t xml:space="preserve">sample </w:t>
      </w:r>
      <w:r w:rsidR="00F3003C" w:rsidRPr="001E6503">
        <w:rPr>
          <w:rFonts w:ascii="Times New Roman" w:hAnsi="Times New Roman" w:cs="Times New Roman"/>
          <w:sz w:val="24"/>
          <w:szCs w:val="24"/>
        </w:rPr>
        <w:t>person-centred attitudes across the area. Having weighted the data to reflect the diverse nature of the population, our analysis is consistent with research elsewhere</w:t>
      </w:r>
      <w:r w:rsidR="00463A12">
        <w:rPr>
          <w:rFonts w:ascii="Times New Roman" w:hAnsi="Times New Roman" w:cs="Times New Roman"/>
          <w:sz w:val="24"/>
          <w:szCs w:val="24"/>
        </w:rPr>
        <w:t xml:space="preserve"> such as the finding that</w:t>
      </w:r>
      <w:r w:rsidR="00F3003C" w:rsidRPr="001E6503">
        <w:rPr>
          <w:rFonts w:ascii="Times New Roman" w:hAnsi="Times New Roman" w:cs="Times New Roman"/>
          <w:sz w:val="24"/>
          <w:szCs w:val="24"/>
        </w:rPr>
        <w:t xml:space="preserve"> </w:t>
      </w:r>
      <w:r w:rsidR="004200B0" w:rsidRPr="001E6503">
        <w:rPr>
          <w:rFonts w:ascii="Times New Roman" w:hAnsi="Times New Roman" w:cs="Times New Roman"/>
          <w:sz w:val="24"/>
          <w:szCs w:val="24"/>
        </w:rPr>
        <w:t>younger people tend to have more positive attitudes</w:t>
      </w:r>
      <w:r w:rsidR="00463A12">
        <w:rPr>
          <w:rFonts w:ascii="Times New Roman" w:hAnsi="Times New Roman" w:cs="Times New Roman"/>
          <w:sz w:val="24"/>
          <w:szCs w:val="24"/>
        </w:rPr>
        <w:t>.</w:t>
      </w:r>
      <w:r w:rsidR="004200B0" w:rsidRPr="001E6503">
        <w:rPr>
          <w:rFonts w:ascii="Times New Roman" w:hAnsi="Times New Roman" w:cs="Times New Roman"/>
          <w:sz w:val="24"/>
          <w:szCs w:val="24"/>
        </w:rPr>
        <w:t xml:space="preserve"> </w:t>
      </w:r>
      <w:r w:rsidR="00463A12">
        <w:rPr>
          <w:rFonts w:ascii="Times New Roman" w:hAnsi="Times New Roman" w:cs="Times New Roman"/>
          <w:sz w:val="24"/>
          <w:szCs w:val="24"/>
        </w:rPr>
        <w:t>The study also highlights</w:t>
      </w:r>
      <w:r w:rsidR="004200B0" w:rsidRPr="001E6503">
        <w:rPr>
          <w:rFonts w:ascii="Times New Roman" w:hAnsi="Times New Roman" w:cs="Times New Roman"/>
          <w:sz w:val="24"/>
          <w:szCs w:val="24"/>
        </w:rPr>
        <w:t xml:space="preserve"> new areas for future study</w:t>
      </w:r>
      <w:r w:rsidR="00463A12">
        <w:rPr>
          <w:rFonts w:ascii="Times New Roman" w:hAnsi="Times New Roman" w:cs="Times New Roman"/>
          <w:sz w:val="24"/>
          <w:szCs w:val="24"/>
        </w:rPr>
        <w:t>, such as</w:t>
      </w:r>
      <w:r w:rsidR="004200B0" w:rsidRPr="001E6503">
        <w:rPr>
          <w:rFonts w:ascii="Times New Roman" w:hAnsi="Times New Roman" w:cs="Times New Roman"/>
          <w:sz w:val="24"/>
          <w:szCs w:val="24"/>
        </w:rPr>
        <w:t xml:space="preserve"> </w:t>
      </w:r>
      <w:r w:rsidR="00463A12">
        <w:rPr>
          <w:rFonts w:ascii="Times New Roman" w:hAnsi="Times New Roman" w:cs="Times New Roman"/>
          <w:sz w:val="24"/>
          <w:szCs w:val="24"/>
        </w:rPr>
        <w:t>exploring further the finding that</w:t>
      </w:r>
      <w:r w:rsidR="004200B0" w:rsidRPr="001E6503">
        <w:rPr>
          <w:rFonts w:ascii="Times New Roman" w:hAnsi="Times New Roman" w:cs="Times New Roman"/>
          <w:sz w:val="24"/>
          <w:szCs w:val="24"/>
        </w:rPr>
        <w:t xml:space="preserve"> when considering the impact of age,</w:t>
      </w:r>
      <w:r w:rsidR="00463A12">
        <w:rPr>
          <w:rFonts w:ascii="Times New Roman" w:hAnsi="Times New Roman" w:cs="Times New Roman"/>
          <w:sz w:val="24"/>
          <w:szCs w:val="24"/>
        </w:rPr>
        <w:t xml:space="preserve"> it was clear</w:t>
      </w:r>
      <w:r w:rsidR="004200B0" w:rsidRPr="001E6503">
        <w:rPr>
          <w:rFonts w:ascii="Times New Roman" w:hAnsi="Times New Roman" w:cs="Times New Roman"/>
          <w:sz w:val="24"/>
          <w:szCs w:val="24"/>
        </w:rPr>
        <w:t xml:space="preserve"> gender played a </w:t>
      </w:r>
      <w:r w:rsidR="00463A12">
        <w:rPr>
          <w:rFonts w:ascii="Times New Roman" w:hAnsi="Times New Roman" w:cs="Times New Roman"/>
          <w:sz w:val="24"/>
          <w:szCs w:val="24"/>
        </w:rPr>
        <w:t>role in attitudes</w:t>
      </w:r>
      <w:r w:rsidR="004200B0" w:rsidRPr="001E6503">
        <w:rPr>
          <w:rFonts w:ascii="Times New Roman" w:hAnsi="Times New Roman" w:cs="Times New Roman"/>
          <w:sz w:val="24"/>
          <w:szCs w:val="24"/>
        </w:rPr>
        <w:t xml:space="preserve">. </w:t>
      </w:r>
      <w:r w:rsidR="00865DD2" w:rsidRPr="001E6503">
        <w:rPr>
          <w:rFonts w:ascii="Times New Roman" w:hAnsi="Times New Roman" w:cs="Times New Roman"/>
          <w:sz w:val="24"/>
          <w:szCs w:val="24"/>
        </w:rPr>
        <w:t xml:space="preserve">In addition, </w:t>
      </w:r>
      <w:r w:rsidR="00463A12">
        <w:rPr>
          <w:rFonts w:ascii="Times New Roman" w:hAnsi="Times New Roman" w:cs="Times New Roman"/>
          <w:sz w:val="24"/>
          <w:szCs w:val="24"/>
        </w:rPr>
        <w:t>having now created</w:t>
      </w:r>
      <w:r w:rsidR="004200B0" w:rsidRPr="001E6503">
        <w:rPr>
          <w:rFonts w:ascii="Times New Roman" w:hAnsi="Times New Roman" w:cs="Times New Roman"/>
          <w:sz w:val="24"/>
          <w:szCs w:val="24"/>
        </w:rPr>
        <w:t xml:space="preserve"> a baseline</w:t>
      </w:r>
      <w:r w:rsidR="00463A12">
        <w:rPr>
          <w:rFonts w:ascii="Times New Roman" w:hAnsi="Times New Roman" w:cs="Times New Roman"/>
          <w:sz w:val="24"/>
          <w:szCs w:val="24"/>
        </w:rPr>
        <w:t>, it will be possible</w:t>
      </w:r>
      <w:r w:rsidR="004200B0" w:rsidRPr="001E6503">
        <w:rPr>
          <w:rFonts w:ascii="Times New Roman" w:hAnsi="Times New Roman" w:cs="Times New Roman"/>
          <w:sz w:val="24"/>
          <w:szCs w:val="24"/>
        </w:rPr>
        <w:t xml:space="preserve"> </w:t>
      </w:r>
      <w:r w:rsidR="00865DD2" w:rsidRPr="001E6503">
        <w:rPr>
          <w:rFonts w:ascii="Times New Roman" w:hAnsi="Times New Roman" w:cs="Times New Roman"/>
          <w:sz w:val="24"/>
          <w:szCs w:val="24"/>
        </w:rPr>
        <w:t xml:space="preserve">to chart changes </w:t>
      </w:r>
      <w:r w:rsidR="00463A12">
        <w:rPr>
          <w:rFonts w:ascii="Times New Roman" w:hAnsi="Times New Roman" w:cs="Times New Roman"/>
          <w:sz w:val="24"/>
          <w:szCs w:val="24"/>
        </w:rPr>
        <w:t xml:space="preserve">in attitudes </w:t>
      </w:r>
      <w:r w:rsidR="00865DD2" w:rsidRPr="001E6503">
        <w:rPr>
          <w:rFonts w:ascii="Times New Roman" w:hAnsi="Times New Roman" w:cs="Times New Roman"/>
          <w:sz w:val="24"/>
          <w:szCs w:val="24"/>
        </w:rPr>
        <w:t>across time</w:t>
      </w:r>
      <w:r w:rsidR="00463A12">
        <w:rPr>
          <w:rFonts w:ascii="Times New Roman" w:hAnsi="Times New Roman" w:cs="Times New Roman"/>
          <w:sz w:val="24"/>
          <w:szCs w:val="24"/>
        </w:rPr>
        <w:t xml:space="preserve"> as the work of the dementia HIT continues to grow</w:t>
      </w:r>
      <w:r w:rsidR="00865DD2" w:rsidRPr="001E6503">
        <w:rPr>
          <w:rFonts w:ascii="Times New Roman" w:hAnsi="Times New Roman" w:cs="Times New Roman"/>
          <w:sz w:val="24"/>
          <w:szCs w:val="24"/>
        </w:rPr>
        <w:t>.</w:t>
      </w:r>
      <w:r w:rsidR="004200B0" w:rsidRPr="001E6503">
        <w:rPr>
          <w:rFonts w:ascii="Times New Roman" w:hAnsi="Times New Roman" w:cs="Times New Roman"/>
          <w:sz w:val="24"/>
          <w:szCs w:val="24"/>
        </w:rPr>
        <w:t xml:space="preserve"> </w:t>
      </w:r>
    </w:p>
    <w:p w14:paraId="76415D45" w14:textId="77777777" w:rsidR="00AF598F" w:rsidRDefault="00AF598F" w:rsidP="000B1A46">
      <w:pPr>
        <w:autoSpaceDE w:val="0"/>
        <w:autoSpaceDN w:val="0"/>
        <w:adjustRightInd w:val="0"/>
        <w:spacing w:before="120" w:after="120" w:line="480" w:lineRule="auto"/>
        <w:rPr>
          <w:rFonts w:ascii="Times New Roman" w:hAnsi="Times New Roman" w:cs="Times New Roman"/>
          <w:sz w:val="24"/>
          <w:szCs w:val="24"/>
        </w:rPr>
      </w:pPr>
    </w:p>
    <w:p w14:paraId="47DF4A67" w14:textId="59F3BA5D" w:rsidR="00736AD3" w:rsidRPr="001E6503" w:rsidRDefault="00736AD3" w:rsidP="000B1A46">
      <w:pPr>
        <w:autoSpaceDE w:val="0"/>
        <w:autoSpaceDN w:val="0"/>
        <w:adjustRightInd w:val="0"/>
        <w:spacing w:before="120" w:after="120" w:line="480" w:lineRule="auto"/>
        <w:rPr>
          <w:rFonts w:ascii="Times New Roman" w:hAnsi="Times New Roman" w:cs="Times New Roman"/>
          <w:b/>
          <w:sz w:val="24"/>
          <w:szCs w:val="24"/>
        </w:rPr>
      </w:pPr>
      <w:r w:rsidRPr="001E6503">
        <w:rPr>
          <w:rFonts w:ascii="Times New Roman" w:hAnsi="Times New Roman" w:cs="Times New Roman"/>
          <w:b/>
          <w:sz w:val="24"/>
          <w:szCs w:val="24"/>
        </w:rPr>
        <w:t xml:space="preserve">Conflict of Interest </w:t>
      </w:r>
    </w:p>
    <w:p w14:paraId="5F00883F" w14:textId="5C361BBF" w:rsidR="00736AD3" w:rsidRPr="001E6503" w:rsidRDefault="00736AD3" w:rsidP="000B1A46">
      <w:pPr>
        <w:autoSpaceDE w:val="0"/>
        <w:autoSpaceDN w:val="0"/>
        <w:adjustRightInd w:val="0"/>
        <w:spacing w:before="120" w:after="120" w:line="480" w:lineRule="auto"/>
        <w:rPr>
          <w:rFonts w:ascii="Times New Roman" w:hAnsi="Times New Roman" w:cs="Times New Roman"/>
          <w:b/>
          <w:sz w:val="24"/>
          <w:szCs w:val="24"/>
        </w:rPr>
      </w:pPr>
      <w:r w:rsidRPr="001E6503">
        <w:rPr>
          <w:rFonts w:ascii="Times New Roman" w:hAnsi="Times New Roman" w:cs="Times New Roman"/>
          <w:sz w:val="24"/>
          <w:szCs w:val="24"/>
        </w:rPr>
        <w:t>None</w:t>
      </w:r>
    </w:p>
    <w:p w14:paraId="038BA25E" w14:textId="77777777" w:rsidR="00305B65" w:rsidRPr="001E6503" w:rsidRDefault="00736AD3" w:rsidP="000B1A46">
      <w:pPr>
        <w:autoSpaceDE w:val="0"/>
        <w:autoSpaceDN w:val="0"/>
        <w:adjustRightInd w:val="0"/>
        <w:spacing w:line="480" w:lineRule="auto"/>
        <w:rPr>
          <w:rFonts w:ascii="Times New Roman" w:hAnsi="Times New Roman" w:cs="Times New Roman"/>
          <w:b/>
          <w:sz w:val="24"/>
          <w:szCs w:val="24"/>
        </w:rPr>
      </w:pPr>
      <w:r w:rsidRPr="001E6503">
        <w:rPr>
          <w:rFonts w:ascii="Times New Roman" w:hAnsi="Times New Roman" w:cs="Times New Roman"/>
          <w:b/>
          <w:sz w:val="24"/>
          <w:szCs w:val="24"/>
        </w:rPr>
        <w:lastRenderedPageBreak/>
        <w:t>Description of authors’ roles</w:t>
      </w:r>
    </w:p>
    <w:p w14:paraId="21725F7A" w14:textId="57AD1358" w:rsidR="00736AD3" w:rsidRDefault="00736AD3" w:rsidP="000B1A46">
      <w:pPr>
        <w:autoSpaceDE w:val="0"/>
        <w:autoSpaceDN w:val="0"/>
        <w:adjustRightInd w:val="0"/>
        <w:spacing w:line="480" w:lineRule="auto"/>
        <w:rPr>
          <w:rFonts w:ascii="Times New Roman" w:hAnsi="Times New Roman" w:cs="Times New Roman"/>
          <w:sz w:val="24"/>
          <w:szCs w:val="24"/>
        </w:rPr>
      </w:pPr>
      <w:r w:rsidRPr="001E6503">
        <w:rPr>
          <w:rFonts w:ascii="Times New Roman" w:hAnsi="Times New Roman" w:cs="Times New Roman"/>
          <w:sz w:val="24"/>
          <w:szCs w:val="24"/>
        </w:rPr>
        <w:t>R. Cheston designed the study, and co-wrote the paper. J. Hancock facilitated the set-up of the online questionnaire to collect the data, carried out the statistical analysis, and co-wrote the paper. P. White was responsible for checking the statistical analysis, and commenting on drafts of the paper.</w:t>
      </w:r>
      <w:r w:rsidR="00C66826">
        <w:rPr>
          <w:rFonts w:ascii="Times New Roman" w:hAnsi="Times New Roman" w:cs="Times New Roman"/>
          <w:sz w:val="24"/>
          <w:szCs w:val="24"/>
        </w:rPr>
        <w:t xml:space="preserve"> Other members of the Bristol and South Gloucestershire Dementia HIT have contributed to the development and implementation of the study at different stages, and have opportunities to comment on the paper.</w:t>
      </w:r>
    </w:p>
    <w:p w14:paraId="44A417F4" w14:textId="77777777" w:rsidR="00AF598F" w:rsidRPr="001E6503" w:rsidRDefault="00AF598F" w:rsidP="000B1A46">
      <w:pPr>
        <w:autoSpaceDE w:val="0"/>
        <w:autoSpaceDN w:val="0"/>
        <w:adjustRightInd w:val="0"/>
        <w:spacing w:line="480" w:lineRule="auto"/>
        <w:rPr>
          <w:rFonts w:ascii="Times New Roman" w:hAnsi="Times New Roman" w:cs="Times New Roman"/>
          <w:b/>
          <w:sz w:val="24"/>
          <w:szCs w:val="24"/>
        </w:rPr>
      </w:pPr>
    </w:p>
    <w:p w14:paraId="56B55F16" w14:textId="77777777" w:rsidR="00305B65" w:rsidRPr="001E6503" w:rsidRDefault="00305B65" w:rsidP="000B1A46">
      <w:pPr>
        <w:autoSpaceDE w:val="0"/>
        <w:autoSpaceDN w:val="0"/>
        <w:adjustRightInd w:val="0"/>
        <w:spacing w:line="480" w:lineRule="auto"/>
        <w:rPr>
          <w:rFonts w:ascii="Times New Roman" w:hAnsi="Times New Roman" w:cs="Times New Roman"/>
          <w:b/>
          <w:sz w:val="24"/>
          <w:szCs w:val="24"/>
        </w:rPr>
      </w:pPr>
      <w:r w:rsidRPr="001E6503">
        <w:rPr>
          <w:rFonts w:ascii="Times New Roman" w:hAnsi="Times New Roman" w:cs="Times New Roman"/>
          <w:b/>
          <w:sz w:val="24"/>
          <w:szCs w:val="24"/>
        </w:rPr>
        <w:t>Acknowledgements</w:t>
      </w:r>
    </w:p>
    <w:p w14:paraId="5087BDA3" w14:textId="1C47588E" w:rsidR="00447C92" w:rsidRDefault="00FF4040" w:rsidP="000B1A46">
      <w:pPr>
        <w:pStyle w:val="NormalWeb"/>
        <w:shd w:val="clear" w:color="auto" w:fill="FFFFFF"/>
        <w:spacing w:before="0" w:beforeAutospacing="0" w:after="0" w:afterAutospacing="0" w:line="480" w:lineRule="auto"/>
      </w:pPr>
      <w:r w:rsidRPr="001E6503">
        <w:t>The analysis of data within this study was supported by a grant from B</w:t>
      </w:r>
      <w:r w:rsidR="008C6FE7" w:rsidRPr="001E6503">
        <w:t>HP</w:t>
      </w:r>
      <w:r w:rsidRPr="001E6503">
        <w:t xml:space="preserve">. </w:t>
      </w:r>
      <w:r w:rsidR="00305B65" w:rsidRPr="001E6503">
        <w:t>We would like to acknowledge</w:t>
      </w:r>
      <w:r w:rsidRPr="001E6503">
        <w:t xml:space="preserve"> the i</w:t>
      </w:r>
      <w:r w:rsidR="00305B65" w:rsidRPr="001E6503">
        <w:t xml:space="preserve">nstitutions affiliated to </w:t>
      </w:r>
      <w:r w:rsidR="008C6FE7" w:rsidRPr="001E6503">
        <w:t>the Dementia HIT</w:t>
      </w:r>
      <w:r w:rsidR="00305B65" w:rsidRPr="001E6503">
        <w:t xml:space="preserve"> who promoted the survey; University of the West of England, Avon and Wiltshire Mental Health Partnership NHS Trust, Bristol City Council, Bristol Clinical Commissioning Group, North Bristol NHS Trust, South Gloucestershire Clinical Commissioning Group, South Gloucestershire Council, University of Bristol</w:t>
      </w:r>
      <w:r w:rsidR="00447C92" w:rsidRPr="001E6503">
        <w:t xml:space="preserve">, and </w:t>
      </w:r>
      <w:r w:rsidR="00305B65" w:rsidRPr="001E6503">
        <w:t>University Hospitals Bristol NHS Trust</w:t>
      </w:r>
      <w:r w:rsidR="00447C92" w:rsidRPr="001E6503">
        <w:t xml:space="preserve">. Additionally, </w:t>
      </w:r>
      <w:r w:rsidR="0071151A" w:rsidRPr="001E6503">
        <w:t>past members of the Dement</w:t>
      </w:r>
      <w:r w:rsidR="00447C92" w:rsidRPr="001E6503">
        <w:t>ia H</w:t>
      </w:r>
      <w:r w:rsidR="008C6FE7" w:rsidRPr="001E6503">
        <w:t xml:space="preserve">IT </w:t>
      </w:r>
      <w:r w:rsidR="00447C92" w:rsidRPr="001E6503">
        <w:t>who were involved in the original design of this study include</w:t>
      </w:r>
      <w:r w:rsidR="0071151A" w:rsidRPr="001E6503">
        <w:t xml:space="preserve"> </w:t>
      </w:r>
      <w:r w:rsidR="00447C92" w:rsidRPr="001E6503">
        <w:t>I</w:t>
      </w:r>
      <w:r w:rsidR="00E50A35" w:rsidRPr="001E6503">
        <w:t>an</w:t>
      </w:r>
      <w:r w:rsidR="00E50A35" w:rsidRPr="001E6503">
        <w:rPr>
          <w:b/>
        </w:rPr>
        <w:t xml:space="preserve"> </w:t>
      </w:r>
      <w:r w:rsidR="00E50A35" w:rsidRPr="001E6503">
        <w:t>Popperwell</w:t>
      </w:r>
      <w:r w:rsidR="005D7353" w:rsidRPr="001E6503">
        <w:t xml:space="preserve">, </w:t>
      </w:r>
      <w:r w:rsidR="002C0A5F" w:rsidRPr="001E6503">
        <w:t xml:space="preserve">Dr </w:t>
      </w:r>
      <w:r w:rsidR="005D7353" w:rsidRPr="001E6503">
        <w:t>Sarah Cullum</w:t>
      </w:r>
      <w:r w:rsidR="0071151A" w:rsidRPr="001E6503">
        <w:t xml:space="preserve"> and </w:t>
      </w:r>
      <w:r w:rsidR="002C0A5F" w:rsidRPr="001E6503">
        <w:t xml:space="preserve">Professor </w:t>
      </w:r>
      <w:r w:rsidR="0071151A" w:rsidRPr="001E6503">
        <w:t>Richard Gray.</w:t>
      </w:r>
      <w:r w:rsidR="00F3003C" w:rsidRPr="001E6503">
        <w:t xml:space="preserve"> We would also like to thank Avon and Wiltshire Mental Health Partnership Trust for hosting the </w:t>
      </w:r>
      <w:r w:rsidR="003B711C">
        <w:t>online</w:t>
      </w:r>
      <w:r w:rsidR="00F3003C" w:rsidRPr="001E6503">
        <w:t xml:space="preserve"> survey, Jan </w:t>
      </w:r>
      <w:proofErr w:type="spellStart"/>
      <w:r w:rsidR="00F3003C" w:rsidRPr="001E6503">
        <w:t>Connett</w:t>
      </w:r>
      <w:proofErr w:type="spellEnd"/>
      <w:r w:rsidR="00F3003C" w:rsidRPr="001E6503">
        <w:t xml:space="preserve"> for distributing the paper version</w:t>
      </w:r>
      <w:r w:rsidR="00447C92" w:rsidRPr="001E6503">
        <w:t>,</w:t>
      </w:r>
      <w:r w:rsidR="00F3003C" w:rsidRPr="001E6503">
        <w:t xml:space="preserve"> and </w:t>
      </w:r>
      <w:r w:rsidR="008C6FE7" w:rsidRPr="001E6503">
        <w:t>BHP</w:t>
      </w:r>
      <w:r w:rsidR="00F3003C" w:rsidRPr="001E6503">
        <w:t xml:space="preserve"> for funding the statistical analysis.</w:t>
      </w:r>
    </w:p>
    <w:p w14:paraId="63E785E1" w14:textId="77777777" w:rsidR="000B1A46" w:rsidRPr="000B1A46" w:rsidRDefault="000B1A46" w:rsidP="000B1A46">
      <w:pPr>
        <w:pStyle w:val="NormalWeb"/>
        <w:shd w:val="clear" w:color="auto" w:fill="FFFFFF"/>
        <w:spacing w:before="0" w:beforeAutospacing="0" w:after="0" w:afterAutospacing="0" w:line="480" w:lineRule="auto"/>
      </w:pPr>
    </w:p>
    <w:p w14:paraId="733D72CD" w14:textId="77777777" w:rsidR="008E4435" w:rsidRDefault="008E4435" w:rsidP="000B1A46">
      <w:pPr>
        <w:spacing w:line="480" w:lineRule="auto"/>
        <w:rPr>
          <w:rFonts w:ascii="Times New Roman" w:hAnsi="Times New Roman" w:cs="Times New Roman"/>
          <w:b/>
          <w:sz w:val="24"/>
          <w:szCs w:val="24"/>
        </w:rPr>
      </w:pPr>
      <w:r>
        <w:rPr>
          <w:rFonts w:ascii="Times New Roman" w:hAnsi="Times New Roman" w:cs="Times New Roman"/>
          <w:b/>
          <w:sz w:val="24"/>
          <w:szCs w:val="24"/>
        </w:rPr>
        <w:br w:type="page"/>
      </w:r>
    </w:p>
    <w:p w14:paraId="47B41B8B" w14:textId="2E079074" w:rsidR="00A217BF" w:rsidRPr="001E6503" w:rsidRDefault="00447C92" w:rsidP="000B1A46">
      <w:pPr>
        <w:spacing w:line="480" w:lineRule="auto"/>
        <w:rPr>
          <w:rFonts w:ascii="Times New Roman" w:hAnsi="Times New Roman" w:cs="Times New Roman"/>
          <w:b/>
          <w:sz w:val="24"/>
          <w:szCs w:val="24"/>
        </w:rPr>
      </w:pPr>
      <w:r w:rsidRPr="001E6503">
        <w:rPr>
          <w:rFonts w:ascii="Times New Roman" w:hAnsi="Times New Roman" w:cs="Times New Roman"/>
          <w:b/>
          <w:sz w:val="24"/>
          <w:szCs w:val="24"/>
        </w:rPr>
        <w:lastRenderedPageBreak/>
        <w:t>References</w:t>
      </w:r>
    </w:p>
    <w:p w14:paraId="0F38C65C" w14:textId="7D699AFC" w:rsidR="00152AD4" w:rsidRPr="001E6503" w:rsidRDefault="00152AD4" w:rsidP="000B1A46">
      <w:pPr>
        <w:spacing w:after="0" w:line="480" w:lineRule="auto"/>
        <w:ind w:left="567" w:hanging="567"/>
        <w:rPr>
          <w:rFonts w:ascii="Times New Roman" w:hAnsi="Times New Roman" w:cs="Times New Roman"/>
          <w:sz w:val="24"/>
          <w:szCs w:val="24"/>
        </w:rPr>
      </w:pPr>
      <w:proofErr w:type="gramStart"/>
      <w:r w:rsidRPr="001E6503">
        <w:rPr>
          <w:rFonts w:ascii="Times New Roman" w:hAnsi="Times New Roman" w:cs="Times New Roman"/>
          <w:sz w:val="24"/>
          <w:szCs w:val="24"/>
        </w:rPr>
        <w:t>Alzheimer’s Disease</w:t>
      </w:r>
      <w:proofErr w:type="gramEnd"/>
      <w:r w:rsidRPr="001E6503">
        <w:rPr>
          <w:rFonts w:ascii="Times New Roman" w:hAnsi="Times New Roman" w:cs="Times New Roman"/>
          <w:sz w:val="24"/>
          <w:szCs w:val="24"/>
        </w:rPr>
        <w:t xml:space="preserve"> International</w:t>
      </w:r>
      <w:r w:rsidR="008A4CE1" w:rsidRPr="001E6503">
        <w:rPr>
          <w:rFonts w:ascii="Times New Roman" w:hAnsi="Times New Roman" w:cs="Times New Roman"/>
          <w:sz w:val="24"/>
          <w:szCs w:val="24"/>
        </w:rPr>
        <w:t>.</w:t>
      </w:r>
      <w:r w:rsidR="00B531A7" w:rsidRPr="001E6503">
        <w:rPr>
          <w:rFonts w:ascii="Times New Roman" w:hAnsi="Times New Roman" w:cs="Times New Roman"/>
          <w:sz w:val="24"/>
          <w:szCs w:val="24"/>
        </w:rPr>
        <w:t xml:space="preserve"> </w:t>
      </w:r>
      <w:r w:rsidR="008A4CE1" w:rsidRPr="001E6503">
        <w:rPr>
          <w:rFonts w:ascii="Times New Roman" w:hAnsi="Times New Roman" w:cs="Times New Roman"/>
          <w:sz w:val="24"/>
          <w:szCs w:val="24"/>
        </w:rPr>
        <w:t>(</w:t>
      </w:r>
      <w:r w:rsidRPr="001E6503">
        <w:rPr>
          <w:rFonts w:ascii="Times New Roman" w:hAnsi="Times New Roman" w:cs="Times New Roman"/>
          <w:sz w:val="24"/>
          <w:szCs w:val="24"/>
        </w:rPr>
        <w:t>2013</w:t>
      </w:r>
      <w:r w:rsidR="008A4CE1" w:rsidRPr="001E6503">
        <w:rPr>
          <w:rFonts w:ascii="Times New Roman" w:hAnsi="Times New Roman" w:cs="Times New Roman"/>
          <w:sz w:val="24"/>
          <w:szCs w:val="24"/>
        </w:rPr>
        <w:t>)</w:t>
      </w:r>
      <w:r w:rsidRPr="001E6503">
        <w:rPr>
          <w:rFonts w:ascii="Times New Roman" w:hAnsi="Times New Roman" w:cs="Times New Roman"/>
          <w:sz w:val="24"/>
          <w:szCs w:val="24"/>
        </w:rPr>
        <w:t xml:space="preserve">. Policy Brief for Heads of Government: The Global Impact of Dementia 2013–2050. [Online] Available from: </w:t>
      </w:r>
      <w:r w:rsidRPr="000B1A46">
        <w:rPr>
          <w:rFonts w:ascii="Times New Roman" w:hAnsi="Times New Roman" w:cs="Times New Roman"/>
          <w:sz w:val="24"/>
          <w:szCs w:val="24"/>
        </w:rPr>
        <w:t>https://www.alz.co.uk/research/GlobalImpactDementia2013.pdf</w:t>
      </w:r>
      <w:r w:rsidRPr="001E6503">
        <w:rPr>
          <w:rFonts w:ascii="Times New Roman" w:hAnsi="Times New Roman" w:cs="Times New Roman"/>
          <w:sz w:val="24"/>
          <w:szCs w:val="24"/>
        </w:rPr>
        <w:t xml:space="preserve"> [Accessed: 20 April 2015]</w:t>
      </w:r>
    </w:p>
    <w:p w14:paraId="7BCC5625" w14:textId="05FC9A81" w:rsidR="00152AD4" w:rsidRPr="001E6503" w:rsidRDefault="00B531A7" w:rsidP="000B1A46">
      <w:pPr>
        <w:spacing w:line="480" w:lineRule="auto"/>
        <w:ind w:left="426" w:hanging="426"/>
        <w:rPr>
          <w:rFonts w:ascii="Times New Roman" w:hAnsi="Times New Roman" w:cs="Times New Roman"/>
          <w:sz w:val="24"/>
          <w:szCs w:val="24"/>
        </w:rPr>
      </w:pPr>
      <w:proofErr w:type="spellStart"/>
      <w:proofErr w:type="gramStart"/>
      <w:r w:rsidRPr="001E6503">
        <w:rPr>
          <w:rFonts w:ascii="Times New Roman" w:hAnsi="Times New Roman" w:cs="Times New Roman"/>
          <w:sz w:val="24"/>
          <w:szCs w:val="24"/>
        </w:rPr>
        <w:t>Ayalon</w:t>
      </w:r>
      <w:proofErr w:type="spellEnd"/>
      <w:r w:rsidR="008A4CE1" w:rsidRPr="001E6503">
        <w:rPr>
          <w:rFonts w:ascii="Times New Roman" w:hAnsi="Times New Roman" w:cs="Times New Roman"/>
          <w:sz w:val="24"/>
          <w:szCs w:val="24"/>
        </w:rPr>
        <w:t>,</w:t>
      </w:r>
      <w:r w:rsidRPr="001E6503">
        <w:rPr>
          <w:rFonts w:ascii="Times New Roman" w:hAnsi="Times New Roman" w:cs="Times New Roman"/>
          <w:sz w:val="24"/>
          <w:szCs w:val="24"/>
        </w:rPr>
        <w:t xml:space="preserve"> L</w:t>
      </w:r>
      <w:r w:rsidR="008A4CE1" w:rsidRPr="001E6503">
        <w:rPr>
          <w:rFonts w:ascii="Times New Roman" w:hAnsi="Times New Roman" w:cs="Times New Roman"/>
          <w:sz w:val="24"/>
          <w:szCs w:val="24"/>
        </w:rPr>
        <w:t>.</w:t>
      </w:r>
      <w:r w:rsidR="00152AD4" w:rsidRPr="001E6503">
        <w:rPr>
          <w:rFonts w:ascii="Times New Roman" w:hAnsi="Times New Roman" w:cs="Times New Roman"/>
          <w:sz w:val="24"/>
          <w:szCs w:val="24"/>
        </w:rPr>
        <w:t xml:space="preserve"> </w:t>
      </w:r>
      <w:r w:rsidR="001E6503">
        <w:rPr>
          <w:rFonts w:ascii="Times New Roman" w:hAnsi="Times New Roman" w:cs="Times New Roman"/>
          <w:sz w:val="24"/>
          <w:szCs w:val="24"/>
        </w:rPr>
        <w:t xml:space="preserve">and </w:t>
      </w:r>
      <w:proofErr w:type="spellStart"/>
      <w:r w:rsidRPr="001E6503">
        <w:rPr>
          <w:rFonts w:ascii="Times New Roman" w:hAnsi="Times New Roman" w:cs="Times New Roman"/>
          <w:sz w:val="24"/>
          <w:szCs w:val="24"/>
        </w:rPr>
        <w:t>Arean</w:t>
      </w:r>
      <w:proofErr w:type="spellEnd"/>
      <w:r w:rsidR="008A4CE1" w:rsidRPr="001E6503">
        <w:rPr>
          <w:rFonts w:ascii="Times New Roman" w:hAnsi="Times New Roman" w:cs="Times New Roman"/>
          <w:sz w:val="24"/>
          <w:szCs w:val="24"/>
        </w:rPr>
        <w:t>,</w:t>
      </w:r>
      <w:r w:rsidRPr="001E6503">
        <w:rPr>
          <w:rFonts w:ascii="Times New Roman" w:hAnsi="Times New Roman" w:cs="Times New Roman"/>
          <w:sz w:val="24"/>
          <w:szCs w:val="24"/>
        </w:rPr>
        <w:t xml:space="preserve"> P.A. </w:t>
      </w:r>
      <w:r w:rsidR="008A4CE1" w:rsidRPr="001E6503">
        <w:rPr>
          <w:rFonts w:ascii="Times New Roman" w:hAnsi="Times New Roman" w:cs="Times New Roman"/>
          <w:sz w:val="24"/>
          <w:szCs w:val="24"/>
        </w:rPr>
        <w:t>(</w:t>
      </w:r>
      <w:r w:rsidRPr="001E6503">
        <w:rPr>
          <w:rFonts w:ascii="Times New Roman" w:hAnsi="Times New Roman" w:cs="Times New Roman"/>
          <w:sz w:val="24"/>
          <w:szCs w:val="24"/>
        </w:rPr>
        <w:t>2004</w:t>
      </w:r>
      <w:r w:rsidR="008A4CE1" w:rsidRPr="001E6503">
        <w:rPr>
          <w:rFonts w:ascii="Times New Roman" w:hAnsi="Times New Roman" w:cs="Times New Roman"/>
          <w:sz w:val="24"/>
          <w:szCs w:val="24"/>
        </w:rPr>
        <w:t>)</w:t>
      </w:r>
      <w:r w:rsidRPr="001E6503">
        <w:rPr>
          <w:rFonts w:ascii="Times New Roman" w:hAnsi="Times New Roman" w:cs="Times New Roman"/>
          <w:sz w:val="24"/>
          <w:szCs w:val="24"/>
        </w:rPr>
        <w:t>.</w:t>
      </w:r>
      <w:proofErr w:type="gramEnd"/>
      <w:r w:rsidR="00152AD4" w:rsidRPr="001E6503">
        <w:rPr>
          <w:rFonts w:ascii="Times New Roman" w:hAnsi="Times New Roman" w:cs="Times New Roman"/>
          <w:sz w:val="24"/>
          <w:szCs w:val="24"/>
        </w:rPr>
        <w:t xml:space="preserve"> </w:t>
      </w:r>
      <w:proofErr w:type="gramStart"/>
      <w:r w:rsidR="00152AD4" w:rsidRPr="001E6503">
        <w:rPr>
          <w:rFonts w:ascii="Times New Roman" w:hAnsi="Times New Roman" w:cs="Times New Roman"/>
          <w:sz w:val="24"/>
          <w:szCs w:val="24"/>
        </w:rPr>
        <w:t>Knowledge of Alzheimer's disease in four ethnic groups of older adults.</w:t>
      </w:r>
      <w:proofErr w:type="gramEnd"/>
      <w:r w:rsidR="00152AD4" w:rsidRPr="001E6503">
        <w:rPr>
          <w:rFonts w:ascii="Times New Roman" w:hAnsi="Times New Roman" w:cs="Times New Roman"/>
          <w:sz w:val="24"/>
          <w:szCs w:val="24"/>
        </w:rPr>
        <w:t xml:space="preserve"> </w:t>
      </w:r>
      <w:r w:rsidR="00152AD4" w:rsidRPr="001E6503">
        <w:rPr>
          <w:rFonts w:ascii="Times New Roman" w:hAnsi="Times New Roman" w:cs="Times New Roman"/>
          <w:i/>
          <w:sz w:val="24"/>
          <w:szCs w:val="24"/>
        </w:rPr>
        <w:t>I</w:t>
      </w:r>
      <w:r w:rsidR="008A4CE1" w:rsidRPr="001E6503">
        <w:rPr>
          <w:rFonts w:ascii="Times New Roman" w:hAnsi="Times New Roman" w:cs="Times New Roman"/>
          <w:i/>
          <w:sz w:val="24"/>
          <w:szCs w:val="24"/>
        </w:rPr>
        <w:t>nternational</w:t>
      </w:r>
      <w:r w:rsidRPr="001E6503">
        <w:rPr>
          <w:rFonts w:ascii="Times New Roman" w:hAnsi="Times New Roman" w:cs="Times New Roman"/>
          <w:i/>
          <w:sz w:val="24"/>
          <w:szCs w:val="24"/>
        </w:rPr>
        <w:t xml:space="preserve"> </w:t>
      </w:r>
      <w:r w:rsidR="00152AD4" w:rsidRPr="001E6503">
        <w:rPr>
          <w:rFonts w:ascii="Times New Roman" w:hAnsi="Times New Roman" w:cs="Times New Roman"/>
          <w:i/>
          <w:sz w:val="24"/>
          <w:szCs w:val="24"/>
        </w:rPr>
        <w:t>J</w:t>
      </w:r>
      <w:r w:rsidR="008A4CE1" w:rsidRPr="001E6503">
        <w:rPr>
          <w:rFonts w:ascii="Times New Roman" w:hAnsi="Times New Roman" w:cs="Times New Roman"/>
          <w:i/>
          <w:sz w:val="24"/>
          <w:szCs w:val="24"/>
        </w:rPr>
        <w:t>ournal of</w:t>
      </w:r>
      <w:r w:rsidR="00152AD4" w:rsidRPr="001E6503">
        <w:rPr>
          <w:rFonts w:ascii="Times New Roman" w:hAnsi="Times New Roman" w:cs="Times New Roman"/>
          <w:i/>
          <w:sz w:val="24"/>
          <w:szCs w:val="24"/>
        </w:rPr>
        <w:t xml:space="preserve"> Geriat</w:t>
      </w:r>
      <w:r w:rsidR="008A4CE1" w:rsidRPr="001E6503">
        <w:rPr>
          <w:rFonts w:ascii="Times New Roman" w:hAnsi="Times New Roman" w:cs="Times New Roman"/>
          <w:i/>
          <w:sz w:val="24"/>
          <w:szCs w:val="24"/>
        </w:rPr>
        <w:t>ric</w:t>
      </w:r>
      <w:r w:rsidR="00152AD4" w:rsidRPr="001E6503">
        <w:rPr>
          <w:rFonts w:ascii="Times New Roman" w:hAnsi="Times New Roman" w:cs="Times New Roman"/>
          <w:i/>
          <w:sz w:val="24"/>
          <w:szCs w:val="24"/>
        </w:rPr>
        <w:t xml:space="preserve"> Psychiatry</w:t>
      </w:r>
      <w:r w:rsidR="008A4CE1" w:rsidRPr="001E6503">
        <w:rPr>
          <w:rFonts w:ascii="Times New Roman" w:hAnsi="Times New Roman" w:cs="Times New Roman"/>
          <w:i/>
          <w:sz w:val="24"/>
          <w:szCs w:val="24"/>
        </w:rPr>
        <w:t>,</w:t>
      </w:r>
      <w:r w:rsidR="00152AD4" w:rsidRPr="001E6503">
        <w:rPr>
          <w:rFonts w:ascii="Times New Roman" w:hAnsi="Times New Roman" w:cs="Times New Roman"/>
          <w:sz w:val="24"/>
          <w:szCs w:val="24"/>
        </w:rPr>
        <w:t xml:space="preserve"> 19</w:t>
      </w:r>
      <w:r w:rsidR="008A4CE1" w:rsidRPr="001E6503">
        <w:rPr>
          <w:rFonts w:ascii="Times New Roman" w:hAnsi="Times New Roman" w:cs="Times New Roman"/>
          <w:sz w:val="24"/>
          <w:szCs w:val="24"/>
        </w:rPr>
        <w:t>,</w:t>
      </w:r>
      <w:r w:rsidR="00152AD4" w:rsidRPr="001E6503">
        <w:rPr>
          <w:rFonts w:ascii="Times New Roman" w:hAnsi="Times New Roman" w:cs="Times New Roman"/>
          <w:sz w:val="24"/>
          <w:szCs w:val="24"/>
        </w:rPr>
        <w:t xml:space="preserve"> 51-57.</w:t>
      </w:r>
      <w:r w:rsidR="008A4CE1" w:rsidRPr="001E6503">
        <w:rPr>
          <w:rFonts w:ascii="Times New Roman" w:hAnsi="Times New Roman" w:cs="Times New Roman"/>
          <w:sz w:val="24"/>
          <w:szCs w:val="24"/>
        </w:rPr>
        <w:t xml:space="preserve"> </w:t>
      </w:r>
      <w:proofErr w:type="spellStart"/>
      <w:proofErr w:type="gramStart"/>
      <w:r w:rsidR="008A4CE1" w:rsidRPr="001E6503">
        <w:rPr>
          <w:rFonts w:ascii="Times New Roman" w:hAnsi="Times New Roman" w:cs="Times New Roman"/>
          <w:sz w:val="24"/>
          <w:szCs w:val="24"/>
        </w:rPr>
        <w:t>doi</w:t>
      </w:r>
      <w:proofErr w:type="spellEnd"/>
      <w:proofErr w:type="gramEnd"/>
      <w:r w:rsidR="008A4CE1" w:rsidRPr="001E6503">
        <w:rPr>
          <w:rFonts w:ascii="Times New Roman" w:hAnsi="Times New Roman" w:cs="Times New Roman"/>
          <w:sz w:val="24"/>
          <w:szCs w:val="24"/>
        </w:rPr>
        <w:t>:</w:t>
      </w:r>
      <w:r w:rsidR="00152AD4" w:rsidRPr="001E6503">
        <w:rPr>
          <w:rFonts w:ascii="Times New Roman" w:hAnsi="Times New Roman" w:cs="Times New Roman"/>
          <w:sz w:val="24"/>
          <w:szCs w:val="24"/>
        </w:rPr>
        <w:t xml:space="preserve"> </w:t>
      </w:r>
      <w:r w:rsidR="008A4CE1" w:rsidRPr="001E6503">
        <w:rPr>
          <w:rFonts w:ascii="Times New Roman" w:hAnsi="Times New Roman" w:cs="Times New Roman"/>
          <w:sz w:val="24"/>
          <w:szCs w:val="24"/>
        </w:rPr>
        <w:t>10.1002/gps.1037</w:t>
      </w:r>
    </w:p>
    <w:p w14:paraId="236706BE" w14:textId="0A8001EA" w:rsidR="00152AD4" w:rsidRPr="001E6503" w:rsidRDefault="00A6023A" w:rsidP="00904856">
      <w:pPr>
        <w:spacing w:line="480" w:lineRule="auto"/>
        <w:ind w:left="426" w:hanging="426"/>
        <w:rPr>
          <w:rFonts w:ascii="Times New Roman" w:hAnsi="Times New Roman" w:cs="Times New Roman"/>
          <w:sz w:val="24"/>
          <w:szCs w:val="24"/>
        </w:rPr>
      </w:pPr>
      <w:proofErr w:type="gramStart"/>
      <w:r w:rsidRPr="001E6503">
        <w:rPr>
          <w:rFonts w:ascii="Times New Roman" w:hAnsi="Times New Roman" w:cs="Times New Roman"/>
          <w:sz w:val="24"/>
          <w:szCs w:val="24"/>
        </w:rPr>
        <w:t xml:space="preserve">Bond, J., Graham, N., </w:t>
      </w:r>
      <w:proofErr w:type="spellStart"/>
      <w:r w:rsidRPr="001E6503">
        <w:rPr>
          <w:rFonts w:ascii="Times New Roman" w:hAnsi="Times New Roman" w:cs="Times New Roman"/>
          <w:sz w:val="24"/>
          <w:szCs w:val="24"/>
        </w:rPr>
        <w:t>Padovani</w:t>
      </w:r>
      <w:proofErr w:type="spellEnd"/>
      <w:r w:rsidRPr="001E6503">
        <w:rPr>
          <w:rFonts w:ascii="Times New Roman" w:hAnsi="Times New Roman" w:cs="Times New Roman"/>
          <w:sz w:val="24"/>
          <w:szCs w:val="24"/>
        </w:rPr>
        <w:t xml:space="preserve">, A., </w:t>
      </w:r>
      <w:proofErr w:type="spellStart"/>
      <w:r w:rsidRPr="001E6503">
        <w:rPr>
          <w:rFonts w:ascii="Times New Roman" w:hAnsi="Times New Roman" w:cs="Times New Roman"/>
          <w:sz w:val="24"/>
          <w:szCs w:val="24"/>
        </w:rPr>
        <w:t>Mackell</w:t>
      </w:r>
      <w:proofErr w:type="spellEnd"/>
      <w:r w:rsidRPr="001E6503">
        <w:rPr>
          <w:rFonts w:ascii="Times New Roman" w:hAnsi="Times New Roman" w:cs="Times New Roman"/>
          <w:sz w:val="24"/>
          <w:szCs w:val="24"/>
        </w:rPr>
        <w:t>, J., Knox, S.</w:t>
      </w:r>
      <w:r w:rsidR="001E6503">
        <w:rPr>
          <w:rFonts w:ascii="Times New Roman" w:hAnsi="Times New Roman" w:cs="Times New Roman"/>
          <w:sz w:val="24"/>
          <w:szCs w:val="24"/>
        </w:rPr>
        <w:t xml:space="preserve"> and</w:t>
      </w:r>
      <w:r w:rsidRPr="001E6503">
        <w:rPr>
          <w:rFonts w:ascii="Times New Roman" w:hAnsi="Times New Roman" w:cs="Times New Roman"/>
          <w:sz w:val="24"/>
          <w:szCs w:val="24"/>
        </w:rPr>
        <w:t xml:space="preserve"> Atkinson, J. (2010).</w:t>
      </w:r>
      <w:proofErr w:type="gramEnd"/>
      <w:r w:rsidRPr="001E6503">
        <w:rPr>
          <w:rFonts w:ascii="Times New Roman" w:hAnsi="Times New Roman" w:cs="Times New Roman"/>
          <w:sz w:val="24"/>
          <w:szCs w:val="24"/>
        </w:rPr>
        <w:t xml:space="preserve"> Screening for cognitive impairment, Alzheimer’s disease and other dementias: opinions of European caregivers, </w:t>
      </w:r>
      <w:proofErr w:type="spellStart"/>
      <w:r w:rsidRPr="001E6503">
        <w:rPr>
          <w:rFonts w:ascii="Times New Roman" w:hAnsi="Times New Roman" w:cs="Times New Roman"/>
          <w:sz w:val="24"/>
          <w:szCs w:val="24"/>
        </w:rPr>
        <w:t>payors</w:t>
      </w:r>
      <w:proofErr w:type="spellEnd"/>
      <w:r w:rsidRPr="001E6503">
        <w:rPr>
          <w:rFonts w:ascii="Times New Roman" w:hAnsi="Times New Roman" w:cs="Times New Roman"/>
          <w:sz w:val="24"/>
          <w:szCs w:val="24"/>
        </w:rPr>
        <w:t xml:space="preserve">, physicians and the general public. </w:t>
      </w:r>
      <w:r w:rsidRPr="001E6503">
        <w:rPr>
          <w:rFonts w:ascii="Times New Roman" w:hAnsi="Times New Roman" w:cs="Times New Roman"/>
          <w:i/>
          <w:iCs/>
          <w:sz w:val="24"/>
          <w:szCs w:val="24"/>
        </w:rPr>
        <w:t>The Journal of Nutrition, Health &amp; Aging</w:t>
      </w:r>
      <w:r w:rsidRPr="001E6503">
        <w:rPr>
          <w:rFonts w:ascii="Times New Roman" w:hAnsi="Times New Roman" w:cs="Times New Roman"/>
          <w:sz w:val="24"/>
          <w:szCs w:val="24"/>
        </w:rPr>
        <w:t xml:space="preserve">, </w:t>
      </w:r>
      <w:r w:rsidRPr="001E6503">
        <w:rPr>
          <w:rFonts w:ascii="Times New Roman" w:hAnsi="Times New Roman" w:cs="Times New Roman"/>
          <w:iCs/>
          <w:sz w:val="24"/>
          <w:szCs w:val="24"/>
        </w:rPr>
        <w:t>14</w:t>
      </w:r>
      <w:r w:rsidRPr="001E6503">
        <w:rPr>
          <w:rFonts w:ascii="Times New Roman" w:hAnsi="Times New Roman" w:cs="Times New Roman"/>
          <w:sz w:val="24"/>
          <w:szCs w:val="24"/>
        </w:rPr>
        <w:t xml:space="preserve">, 558-562. </w:t>
      </w:r>
      <w:proofErr w:type="spellStart"/>
      <w:proofErr w:type="gramStart"/>
      <w:r w:rsidRPr="001E6503">
        <w:rPr>
          <w:rFonts w:ascii="Times New Roman" w:hAnsi="Times New Roman" w:cs="Times New Roman"/>
          <w:sz w:val="24"/>
          <w:szCs w:val="24"/>
        </w:rPr>
        <w:t>doi</w:t>
      </w:r>
      <w:proofErr w:type="spellEnd"/>
      <w:proofErr w:type="gramEnd"/>
      <w:r w:rsidRPr="001E6503">
        <w:rPr>
          <w:rFonts w:ascii="Times New Roman" w:hAnsi="Times New Roman" w:cs="Times New Roman"/>
          <w:sz w:val="24"/>
          <w:szCs w:val="24"/>
        </w:rPr>
        <w:t>: 10.100</w:t>
      </w:r>
      <w:r w:rsidR="00904856">
        <w:rPr>
          <w:rFonts w:ascii="Times New Roman" w:hAnsi="Times New Roman" w:cs="Times New Roman"/>
          <w:sz w:val="24"/>
          <w:szCs w:val="24"/>
        </w:rPr>
        <w:t>7/s12603-010-0268-6</w:t>
      </w:r>
    </w:p>
    <w:p w14:paraId="6BC64878" w14:textId="78A352E0" w:rsidR="00152AD4" w:rsidRPr="001E6503" w:rsidRDefault="001E6503" w:rsidP="000B1A46">
      <w:pPr>
        <w:spacing w:line="480" w:lineRule="auto"/>
        <w:ind w:left="426" w:hanging="426"/>
        <w:rPr>
          <w:rFonts w:ascii="Times New Roman" w:hAnsi="Times New Roman" w:cs="Times New Roman"/>
          <w:sz w:val="24"/>
          <w:szCs w:val="24"/>
        </w:rPr>
      </w:pPr>
      <w:r w:rsidRPr="001E6503">
        <w:rPr>
          <w:rFonts w:ascii="Times New Roman" w:hAnsi="Times New Roman" w:cs="Times New Roman"/>
          <w:sz w:val="24"/>
          <w:szCs w:val="24"/>
        </w:rPr>
        <w:t>Cahill, S., Pierce, M., Werner, P., Darley, A.</w:t>
      </w:r>
      <w:r>
        <w:rPr>
          <w:rFonts w:ascii="Times New Roman" w:hAnsi="Times New Roman" w:cs="Times New Roman"/>
          <w:sz w:val="24"/>
          <w:szCs w:val="24"/>
        </w:rPr>
        <w:t xml:space="preserve"> and</w:t>
      </w:r>
      <w:r w:rsidRPr="001E6503">
        <w:rPr>
          <w:rFonts w:ascii="Times New Roman" w:hAnsi="Times New Roman" w:cs="Times New Roman"/>
          <w:sz w:val="24"/>
          <w:szCs w:val="24"/>
        </w:rPr>
        <w:t xml:space="preserve"> </w:t>
      </w:r>
      <w:proofErr w:type="spellStart"/>
      <w:r w:rsidRPr="001E6503">
        <w:rPr>
          <w:rFonts w:ascii="Times New Roman" w:hAnsi="Times New Roman" w:cs="Times New Roman"/>
          <w:sz w:val="24"/>
          <w:szCs w:val="24"/>
        </w:rPr>
        <w:t>Bobersky</w:t>
      </w:r>
      <w:proofErr w:type="spellEnd"/>
      <w:r w:rsidRPr="001E6503">
        <w:rPr>
          <w:rFonts w:ascii="Times New Roman" w:hAnsi="Times New Roman" w:cs="Times New Roman"/>
          <w:sz w:val="24"/>
          <w:szCs w:val="24"/>
        </w:rPr>
        <w:t xml:space="preserve">, A. (2015). A Systematic Review of the Public’s Knowledge and Understanding of </w:t>
      </w:r>
      <w:proofErr w:type="gramStart"/>
      <w:r w:rsidRPr="001E6503">
        <w:rPr>
          <w:rFonts w:ascii="Times New Roman" w:hAnsi="Times New Roman" w:cs="Times New Roman"/>
          <w:sz w:val="24"/>
          <w:szCs w:val="24"/>
        </w:rPr>
        <w:t>Alzheimer’s Disease</w:t>
      </w:r>
      <w:proofErr w:type="gramEnd"/>
      <w:r w:rsidRPr="001E6503">
        <w:rPr>
          <w:rFonts w:ascii="Times New Roman" w:hAnsi="Times New Roman" w:cs="Times New Roman"/>
          <w:sz w:val="24"/>
          <w:szCs w:val="24"/>
        </w:rPr>
        <w:t xml:space="preserve"> and Dementia. </w:t>
      </w:r>
      <w:r w:rsidRPr="001E6503">
        <w:rPr>
          <w:rFonts w:ascii="Times New Roman" w:hAnsi="Times New Roman" w:cs="Times New Roman"/>
          <w:i/>
          <w:iCs/>
          <w:sz w:val="24"/>
          <w:szCs w:val="24"/>
        </w:rPr>
        <w:t>Alzheimer Disease &amp; Associated Disorders</w:t>
      </w:r>
      <w:r w:rsidRPr="001E6503">
        <w:rPr>
          <w:rFonts w:ascii="Times New Roman" w:hAnsi="Times New Roman" w:cs="Times New Roman"/>
          <w:sz w:val="24"/>
          <w:szCs w:val="24"/>
        </w:rPr>
        <w:t xml:space="preserve">, </w:t>
      </w:r>
      <w:r w:rsidRPr="001E6503">
        <w:rPr>
          <w:rFonts w:ascii="Times New Roman" w:hAnsi="Times New Roman" w:cs="Times New Roman"/>
          <w:iCs/>
          <w:sz w:val="24"/>
          <w:szCs w:val="24"/>
        </w:rPr>
        <w:t>29</w:t>
      </w:r>
      <w:r w:rsidRPr="001E6503">
        <w:rPr>
          <w:rFonts w:ascii="Times New Roman" w:hAnsi="Times New Roman" w:cs="Times New Roman"/>
          <w:sz w:val="24"/>
          <w:szCs w:val="24"/>
        </w:rPr>
        <w:t>, 255-275.</w:t>
      </w:r>
      <w:r w:rsidRPr="001E6503">
        <w:rPr>
          <w:rFonts w:ascii="Times New Roman" w:eastAsia="Times New Roman" w:hAnsi="Times New Roman" w:cs="Times New Roman"/>
          <w:sz w:val="24"/>
          <w:szCs w:val="24"/>
          <w:shd w:val="clear" w:color="auto" w:fill="FFFFFF"/>
        </w:rPr>
        <w:t>doi: 10.1097/WAD.0000000000000102</w:t>
      </w:r>
    </w:p>
    <w:p w14:paraId="21C0C9E0" w14:textId="4A87DD79" w:rsidR="00152AD4" w:rsidRPr="003D4FC3" w:rsidRDefault="00047FFD" w:rsidP="000B1A46">
      <w:pPr>
        <w:spacing w:line="480" w:lineRule="auto"/>
        <w:ind w:left="709" w:hanging="709"/>
        <w:rPr>
          <w:rFonts w:ascii="Times New Roman" w:hAnsi="Times New Roman" w:cs="Times New Roman"/>
          <w:sz w:val="24"/>
          <w:szCs w:val="24"/>
        </w:rPr>
      </w:pPr>
      <w:proofErr w:type="gramStart"/>
      <w:r w:rsidRPr="001E6503">
        <w:rPr>
          <w:rFonts w:ascii="Times New Roman" w:hAnsi="Times New Roman" w:cs="Times New Roman"/>
          <w:sz w:val="24"/>
          <w:szCs w:val="24"/>
          <w:shd w:val="clear" w:color="auto" w:fill="FFFFFF"/>
        </w:rPr>
        <w:t>Cutler</w:t>
      </w:r>
      <w:r w:rsidR="003D4FC3">
        <w:rPr>
          <w:rFonts w:ascii="Times New Roman" w:hAnsi="Times New Roman" w:cs="Times New Roman"/>
          <w:sz w:val="24"/>
          <w:szCs w:val="24"/>
          <w:shd w:val="clear" w:color="auto" w:fill="FFFFFF"/>
        </w:rPr>
        <w:t>,</w:t>
      </w:r>
      <w:r w:rsidRPr="001E6503">
        <w:rPr>
          <w:rFonts w:ascii="Times New Roman" w:hAnsi="Times New Roman" w:cs="Times New Roman"/>
          <w:sz w:val="24"/>
          <w:szCs w:val="24"/>
          <w:shd w:val="clear" w:color="auto" w:fill="FFFFFF"/>
        </w:rPr>
        <w:t xml:space="preserve"> S</w:t>
      </w:r>
      <w:r w:rsidR="003D4FC3">
        <w:rPr>
          <w:rFonts w:ascii="Times New Roman" w:hAnsi="Times New Roman" w:cs="Times New Roman"/>
          <w:sz w:val="24"/>
          <w:szCs w:val="24"/>
          <w:shd w:val="clear" w:color="auto" w:fill="FFFFFF"/>
        </w:rPr>
        <w:t>.</w:t>
      </w:r>
      <w:r w:rsidRPr="001E6503">
        <w:rPr>
          <w:rFonts w:ascii="Times New Roman" w:hAnsi="Times New Roman" w:cs="Times New Roman"/>
          <w:sz w:val="24"/>
          <w:szCs w:val="24"/>
          <w:shd w:val="clear" w:color="auto" w:fill="FFFFFF"/>
        </w:rPr>
        <w:t>J</w:t>
      </w:r>
      <w:r w:rsidR="003D4FC3">
        <w:rPr>
          <w:rFonts w:ascii="Times New Roman" w:hAnsi="Times New Roman" w:cs="Times New Roman"/>
          <w:sz w:val="24"/>
          <w:szCs w:val="24"/>
          <w:shd w:val="clear" w:color="auto" w:fill="FFFFFF"/>
        </w:rPr>
        <w:t>. and</w:t>
      </w:r>
      <w:r w:rsidR="00152AD4" w:rsidRPr="001E6503">
        <w:rPr>
          <w:rFonts w:ascii="Times New Roman" w:hAnsi="Times New Roman" w:cs="Times New Roman"/>
          <w:sz w:val="24"/>
          <w:szCs w:val="24"/>
          <w:shd w:val="clear" w:color="auto" w:fill="FFFFFF"/>
        </w:rPr>
        <w:t xml:space="preserve"> </w:t>
      </w:r>
      <w:r w:rsidRPr="001E6503">
        <w:rPr>
          <w:rFonts w:ascii="Times New Roman" w:hAnsi="Times New Roman" w:cs="Times New Roman"/>
          <w:sz w:val="24"/>
          <w:szCs w:val="24"/>
          <w:shd w:val="clear" w:color="auto" w:fill="FFFFFF"/>
        </w:rPr>
        <w:t>Hodgson</w:t>
      </w:r>
      <w:r w:rsidR="003D4FC3">
        <w:rPr>
          <w:rFonts w:ascii="Times New Roman" w:hAnsi="Times New Roman" w:cs="Times New Roman"/>
          <w:sz w:val="24"/>
          <w:szCs w:val="24"/>
          <w:shd w:val="clear" w:color="auto" w:fill="FFFFFF"/>
        </w:rPr>
        <w:t>,</w:t>
      </w:r>
      <w:r w:rsidRPr="001E6503">
        <w:rPr>
          <w:rFonts w:ascii="Times New Roman" w:hAnsi="Times New Roman" w:cs="Times New Roman"/>
          <w:sz w:val="24"/>
          <w:szCs w:val="24"/>
          <w:shd w:val="clear" w:color="auto" w:fill="FFFFFF"/>
        </w:rPr>
        <w:t xml:space="preserve"> L</w:t>
      </w:r>
      <w:r w:rsidR="003D4FC3">
        <w:rPr>
          <w:rFonts w:ascii="Times New Roman" w:hAnsi="Times New Roman" w:cs="Times New Roman"/>
          <w:sz w:val="24"/>
          <w:szCs w:val="24"/>
          <w:shd w:val="clear" w:color="auto" w:fill="FFFFFF"/>
        </w:rPr>
        <w:t>.</w:t>
      </w:r>
      <w:r w:rsidRPr="001E6503">
        <w:rPr>
          <w:rFonts w:ascii="Times New Roman" w:hAnsi="Times New Roman" w:cs="Times New Roman"/>
          <w:sz w:val="24"/>
          <w:szCs w:val="24"/>
          <w:shd w:val="clear" w:color="auto" w:fill="FFFFFF"/>
        </w:rPr>
        <w:t xml:space="preserve">G. </w:t>
      </w:r>
      <w:r w:rsidR="003D4FC3">
        <w:rPr>
          <w:rFonts w:ascii="Times New Roman" w:hAnsi="Times New Roman" w:cs="Times New Roman"/>
          <w:sz w:val="24"/>
          <w:szCs w:val="24"/>
          <w:shd w:val="clear" w:color="auto" w:fill="FFFFFF"/>
        </w:rPr>
        <w:t>(</w:t>
      </w:r>
      <w:r w:rsidRPr="001E6503">
        <w:rPr>
          <w:rFonts w:ascii="Times New Roman" w:hAnsi="Times New Roman" w:cs="Times New Roman"/>
          <w:sz w:val="24"/>
          <w:szCs w:val="24"/>
          <w:shd w:val="clear" w:color="auto" w:fill="FFFFFF"/>
        </w:rPr>
        <w:t>1996</w:t>
      </w:r>
      <w:r w:rsidR="003D4FC3">
        <w:rPr>
          <w:rFonts w:ascii="Times New Roman" w:hAnsi="Times New Roman" w:cs="Times New Roman"/>
          <w:sz w:val="24"/>
          <w:szCs w:val="24"/>
          <w:shd w:val="clear" w:color="auto" w:fill="FFFFFF"/>
        </w:rPr>
        <w:t>)</w:t>
      </w:r>
      <w:r w:rsidR="00152AD4" w:rsidRPr="001E6503">
        <w:rPr>
          <w:rFonts w:ascii="Times New Roman" w:hAnsi="Times New Roman" w:cs="Times New Roman"/>
          <w:sz w:val="24"/>
          <w:szCs w:val="24"/>
          <w:shd w:val="clear" w:color="auto" w:fill="FFFFFF"/>
        </w:rPr>
        <w:t>.</w:t>
      </w:r>
      <w:proofErr w:type="gramEnd"/>
      <w:r w:rsidR="00152AD4" w:rsidRPr="001E6503">
        <w:rPr>
          <w:rFonts w:ascii="Times New Roman" w:hAnsi="Times New Roman" w:cs="Times New Roman"/>
          <w:sz w:val="24"/>
          <w:szCs w:val="24"/>
          <w:shd w:val="clear" w:color="auto" w:fill="FFFFFF"/>
        </w:rPr>
        <w:t xml:space="preserve"> Anticipatory dementia: A link between memory appraisals and concerns about developing Alzheimer’s disease. </w:t>
      </w:r>
      <w:r w:rsidR="00152AD4" w:rsidRPr="001E6503">
        <w:rPr>
          <w:rFonts w:ascii="Times New Roman" w:hAnsi="Times New Roman" w:cs="Times New Roman"/>
          <w:i/>
          <w:sz w:val="24"/>
          <w:szCs w:val="24"/>
          <w:shd w:val="clear" w:color="auto" w:fill="FFFFFF"/>
        </w:rPr>
        <w:t>The Gerontologist</w:t>
      </w:r>
      <w:r w:rsidR="003D4FC3">
        <w:rPr>
          <w:rFonts w:ascii="Times New Roman" w:hAnsi="Times New Roman" w:cs="Times New Roman"/>
          <w:sz w:val="24"/>
          <w:szCs w:val="24"/>
          <w:shd w:val="clear" w:color="auto" w:fill="FFFFFF"/>
        </w:rPr>
        <w:t>,</w:t>
      </w:r>
      <w:r w:rsidR="00152AD4" w:rsidRPr="001E6503">
        <w:rPr>
          <w:rFonts w:ascii="Times New Roman" w:hAnsi="Times New Roman" w:cs="Times New Roman"/>
          <w:sz w:val="24"/>
          <w:szCs w:val="24"/>
          <w:shd w:val="clear" w:color="auto" w:fill="FFFFFF"/>
        </w:rPr>
        <w:t xml:space="preserve"> </w:t>
      </w:r>
      <w:r w:rsidR="00152AD4" w:rsidRPr="003D4FC3">
        <w:rPr>
          <w:rFonts w:ascii="Times New Roman" w:hAnsi="Times New Roman" w:cs="Times New Roman"/>
          <w:sz w:val="24"/>
          <w:szCs w:val="24"/>
          <w:shd w:val="clear" w:color="auto" w:fill="FFFFFF"/>
        </w:rPr>
        <w:t>36</w:t>
      </w:r>
      <w:r w:rsidR="003D4FC3">
        <w:rPr>
          <w:rFonts w:ascii="Times New Roman" w:hAnsi="Times New Roman" w:cs="Times New Roman"/>
          <w:sz w:val="24"/>
          <w:szCs w:val="24"/>
          <w:shd w:val="clear" w:color="auto" w:fill="FFFFFF"/>
        </w:rPr>
        <w:t>,</w:t>
      </w:r>
      <w:r w:rsidR="00152AD4" w:rsidRPr="001E6503">
        <w:rPr>
          <w:rFonts w:ascii="Times New Roman" w:hAnsi="Times New Roman" w:cs="Times New Roman"/>
          <w:sz w:val="24"/>
          <w:szCs w:val="24"/>
          <w:shd w:val="clear" w:color="auto" w:fill="FFFFFF"/>
        </w:rPr>
        <w:t xml:space="preserve"> 657-664.</w:t>
      </w:r>
      <w:r w:rsidR="003D4FC3">
        <w:rPr>
          <w:rFonts w:ascii="Times New Roman" w:hAnsi="Times New Roman" w:cs="Times New Roman"/>
          <w:sz w:val="24"/>
          <w:szCs w:val="24"/>
          <w:shd w:val="clear" w:color="auto" w:fill="FFFFFF"/>
        </w:rPr>
        <w:t xml:space="preserve"> </w:t>
      </w:r>
      <w:proofErr w:type="spellStart"/>
      <w:proofErr w:type="gramStart"/>
      <w:r w:rsidR="003D4FC3">
        <w:rPr>
          <w:rFonts w:ascii="Times New Roman" w:hAnsi="Times New Roman" w:cs="Times New Roman"/>
          <w:sz w:val="24"/>
          <w:szCs w:val="24"/>
          <w:shd w:val="clear" w:color="auto" w:fill="FFFFFF"/>
        </w:rPr>
        <w:t>doi</w:t>
      </w:r>
      <w:proofErr w:type="spellEnd"/>
      <w:proofErr w:type="gramEnd"/>
      <w:r w:rsidR="003D4FC3">
        <w:rPr>
          <w:rFonts w:ascii="Times New Roman" w:hAnsi="Times New Roman" w:cs="Times New Roman"/>
          <w:sz w:val="24"/>
          <w:szCs w:val="24"/>
          <w:shd w:val="clear" w:color="auto" w:fill="FFFFFF"/>
        </w:rPr>
        <w:t xml:space="preserve">: </w:t>
      </w:r>
      <w:r w:rsidR="003D4FC3">
        <w:rPr>
          <w:rFonts w:ascii="Times New Roman" w:hAnsi="Times New Roman" w:cs="Times New Roman"/>
          <w:sz w:val="24"/>
          <w:szCs w:val="24"/>
        </w:rPr>
        <w:t>10.1093/</w:t>
      </w:r>
      <w:proofErr w:type="spellStart"/>
      <w:r w:rsidR="003D4FC3">
        <w:rPr>
          <w:rFonts w:ascii="Times New Roman" w:hAnsi="Times New Roman" w:cs="Times New Roman"/>
          <w:sz w:val="24"/>
          <w:szCs w:val="24"/>
        </w:rPr>
        <w:t>geront</w:t>
      </w:r>
      <w:proofErr w:type="spellEnd"/>
      <w:r w:rsidR="003D4FC3">
        <w:rPr>
          <w:rFonts w:ascii="Times New Roman" w:hAnsi="Times New Roman" w:cs="Times New Roman"/>
          <w:sz w:val="24"/>
          <w:szCs w:val="24"/>
        </w:rPr>
        <w:t>/36.5.657</w:t>
      </w:r>
    </w:p>
    <w:p w14:paraId="7C0D577C" w14:textId="154531B7" w:rsidR="00152AD4" w:rsidRPr="001E6503" w:rsidRDefault="00152AD4" w:rsidP="000B1A46">
      <w:pPr>
        <w:spacing w:line="480" w:lineRule="auto"/>
        <w:ind w:left="432" w:hanging="432"/>
        <w:rPr>
          <w:rFonts w:ascii="Times New Roman" w:hAnsi="Times New Roman" w:cs="Times New Roman"/>
          <w:sz w:val="24"/>
          <w:szCs w:val="24"/>
        </w:rPr>
      </w:pPr>
      <w:proofErr w:type="gramStart"/>
      <w:r w:rsidRPr="001E6503">
        <w:rPr>
          <w:rFonts w:ascii="Times New Roman" w:hAnsi="Times New Roman" w:cs="Times New Roman"/>
          <w:sz w:val="24"/>
          <w:szCs w:val="24"/>
        </w:rPr>
        <w:t>Dementia Prevalence Calculator</w:t>
      </w:r>
      <w:r w:rsidR="00047FFD" w:rsidRPr="001E6503">
        <w:rPr>
          <w:rFonts w:ascii="Times New Roman" w:hAnsi="Times New Roman" w:cs="Times New Roman"/>
          <w:sz w:val="24"/>
          <w:szCs w:val="24"/>
        </w:rPr>
        <w:t>.</w:t>
      </w:r>
      <w:proofErr w:type="gramEnd"/>
      <w:r w:rsidR="00047FFD" w:rsidRPr="001E6503">
        <w:rPr>
          <w:rFonts w:ascii="Times New Roman" w:hAnsi="Times New Roman" w:cs="Times New Roman"/>
          <w:sz w:val="24"/>
          <w:szCs w:val="24"/>
        </w:rPr>
        <w:t xml:space="preserve"> </w:t>
      </w:r>
      <w:r w:rsidR="003D4FC3">
        <w:rPr>
          <w:rFonts w:ascii="Times New Roman" w:hAnsi="Times New Roman" w:cs="Times New Roman"/>
          <w:sz w:val="24"/>
          <w:szCs w:val="24"/>
        </w:rPr>
        <w:t>(</w:t>
      </w:r>
      <w:r w:rsidRPr="001E6503">
        <w:rPr>
          <w:rFonts w:ascii="Times New Roman" w:hAnsi="Times New Roman" w:cs="Times New Roman"/>
          <w:sz w:val="24"/>
          <w:szCs w:val="24"/>
        </w:rPr>
        <w:t>2015</w:t>
      </w:r>
      <w:r w:rsidR="003D4FC3">
        <w:rPr>
          <w:rFonts w:ascii="Times New Roman" w:hAnsi="Times New Roman" w:cs="Times New Roman"/>
          <w:sz w:val="24"/>
          <w:szCs w:val="24"/>
        </w:rPr>
        <w:t>)</w:t>
      </w:r>
      <w:r w:rsidRPr="001E6503">
        <w:rPr>
          <w:rFonts w:ascii="Times New Roman" w:hAnsi="Times New Roman" w:cs="Times New Roman"/>
          <w:sz w:val="24"/>
          <w:szCs w:val="24"/>
        </w:rPr>
        <w:t xml:space="preserve">. [Online] Available from: </w:t>
      </w:r>
      <w:r w:rsidRPr="003D4FC3">
        <w:rPr>
          <w:rFonts w:ascii="Times New Roman" w:hAnsi="Times New Roman" w:cs="Times New Roman"/>
          <w:sz w:val="24"/>
          <w:szCs w:val="24"/>
        </w:rPr>
        <w:t>http://dementiapartnerships.com/diagnosis/dementia-prevalence-calculator/</w:t>
      </w:r>
      <w:r w:rsidRPr="001E6503">
        <w:rPr>
          <w:rFonts w:ascii="Times New Roman" w:hAnsi="Times New Roman" w:cs="Times New Roman"/>
          <w:sz w:val="24"/>
          <w:szCs w:val="24"/>
        </w:rPr>
        <w:t xml:space="preserve"> [Accessed 29 June 2015]</w:t>
      </w:r>
    </w:p>
    <w:p w14:paraId="4D7EC323" w14:textId="027F75EC" w:rsidR="00152AD4" w:rsidRPr="001E6503" w:rsidRDefault="00152AD4" w:rsidP="000B1A46">
      <w:pPr>
        <w:autoSpaceDE w:val="0"/>
        <w:autoSpaceDN w:val="0"/>
        <w:adjustRightInd w:val="0"/>
        <w:spacing w:line="480" w:lineRule="auto"/>
        <w:ind w:left="432" w:hanging="432"/>
        <w:rPr>
          <w:rFonts w:ascii="Times New Roman" w:hAnsi="Times New Roman" w:cs="Times New Roman"/>
          <w:sz w:val="24"/>
          <w:szCs w:val="24"/>
        </w:rPr>
      </w:pPr>
      <w:proofErr w:type="gramStart"/>
      <w:r w:rsidRPr="001E6503">
        <w:rPr>
          <w:rFonts w:ascii="Times New Roman" w:hAnsi="Times New Roman" w:cs="Times New Roman"/>
          <w:sz w:val="24"/>
          <w:szCs w:val="24"/>
        </w:rPr>
        <w:lastRenderedPageBreak/>
        <w:t>Department of Health</w:t>
      </w:r>
      <w:r w:rsidR="00047FFD" w:rsidRPr="001E6503">
        <w:rPr>
          <w:rFonts w:ascii="Times New Roman" w:hAnsi="Times New Roman" w:cs="Times New Roman"/>
          <w:sz w:val="24"/>
          <w:szCs w:val="24"/>
        </w:rPr>
        <w:t>.</w:t>
      </w:r>
      <w:proofErr w:type="gramEnd"/>
      <w:r w:rsidR="00047FFD" w:rsidRPr="001E6503">
        <w:rPr>
          <w:rFonts w:ascii="Times New Roman" w:hAnsi="Times New Roman" w:cs="Times New Roman"/>
          <w:sz w:val="24"/>
          <w:szCs w:val="24"/>
        </w:rPr>
        <w:t xml:space="preserve"> </w:t>
      </w:r>
      <w:proofErr w:type="gramStart"/>
      <w:r w:rsidR="003D4FC3">
        <w:rPr>
          <w:rFonts w:ascii="Times New Roman" w:hAnsi="Times New Roman" w:cs="Times New Roman"/>
          <w:sz w:val="24"/>
          <w:szCs w:val="24"/>
        </w:rPr>
        <w:t>(</w:t>
      </w:r>
      <w:r w:rsidRPr="001E6503">
        <w:rPr>
          <w:rFonts w:ascii="Times New Roman" w:hAnsi="Times New Roman" w:cs="Times New Roman"/>
          <w:sz w:val="24"/>
          <w:szCs w:val="24"/>
        </w:rPr>
        <w:t>2013</w:t>
      </w:r>
      <w:r w:rsidR="003D4FC3">
        <w:rPr>
          <w:rFonts w:ascii="Times New Roman" w:hAnsi="Times New Roman" w:cs="Times New Roman"/>
          <w:sz w:val="24"/>
          <w:szCs w:val="24"/>
        </w:rPr>
        <w:t>)</w:t>
      </w:r>
      <w:r w:rsidRPr="001E6503">
        <w:rPr>
          <w:rFonts w:ascii="Times New Roman" w:hAnsi="Times New Roman" w:cs="Times New Roman"/>
          <w:sz w:val="24"/>
          <w:szCs w:val="24"/>
        </w:rPr>
        <w:t xml:space="preserve">. </w:t>
      </w:r>
      <w:r w:rsidRPr="001E6503">
        <w:rPr>
          <w:rFonts w:ascii="Times New Roman" w:hAnsi="Times New Roman" w:cs="Times New Roman"/>
          <w:i/>
          <w:sz w:val="24"/>
          <w:szCs w:val="24"/>
        </w:rPr>
        <w:t>Dementia – A state of the nation report on dementia and care and support in England.</w:t>
      </w:r>
      <w:proofErr w:type="gramEnd"/>
      <w:r w:rsidRPr="001E6503">
        <w:rPr>
          <w:rFonts w:ascii="Times New Roman" w:hAnsi="Times New Roman" w:cs="Times New Roman"/>
          <w:sz w:val="24"/>
          <w:szCs w:val="24"/>
        </w:rPr>
        <w:t xml:space="preserve"> [Online] Available from: </w:t>
      </w:r>
      <w:r w:rsidRPr="003D4FC3">
        <w:rPr>
          <w:rFonts w:ascii="Times New Roman" w:hAnsi="Times New Roman" w:cs="Times New Roman"/>
          <w:sz w:val="24"/>
          <w:szCs w:val="24"/>
        </w:rPr>
        <w:t>https://www.gov.uk/government/uploads/system/uploads/attachment_data/file/262139/Dementia.pdf</w:t>
      </w:r>
      <w:r w:rsidRPr="001E6503">
        <w:rPr>
          <w:rFonts w:ascii="Times New Roman" w:hAnsi="Times New Roman" w:cs="Times New Roman"/>
          <w:sz w:val="24"/>
          <w:szCs w:val="24"/>
        </w:rPr>
        <w:t xml:space="preserve"> [Accessed: 29 June 2015]</w:t>
      </w:r>
    </w:p>
    <w:p w14:paraId="3C4E7F05" w14:textId="79D641C9" w:rsidR="003C1192" w:rsidRPr="003C1192" w:rsidRDefault="003C1192" w:rsidP="000B1A46">
      <w:pPr>
        <w:spacing w:after="0" w:line="480" w:lineRule="auto"/>
        <w:ind w:left="426" w:hanging="426"/>
        <w:rPr>
          <w:rFonts w:ascii="Times New Roman" w:eastAsia="Times New Roman" w:hAnsi="Times New Roman" w:cs="Times New Roman"/>
          <w:sz w:val="24"/>
          <w:szCs w:val="24"/>
        </w:rPr>
      </w:pPr>
      <w:r w:rsidRPr="003C1192">
        <w:rPr>
          <w:rFonts w:ascii="Times New Roman" w:eastAsia="Times New Roman" w:hAnsi="Times New Roman" w:cs="Times New Roman"/>
          <w:sz w:val="24"/>
          <w:szCs w:val="24"/>
        </w:rPr>
        <w:t xml:space="preserve">Ellis, P. D. (2010). </w:t>
      </w:r>
      <w:r w:rsidRPr="003C1192">
        <w:rPr>
          <w:rFonts w:ascii="Times New Roman" w:eastAsia="Times New Roman" w:hAnsi="Times New Roman" w:cs="Times New Roman"/>
          <w:i/>
          <w:sz w:val="24"/>
          <w:szCs w:val="24"/>
        </w:rPr>
        <w:t>The essential guide to effect sizes: Statistical Power, Meta-Analysis, and the Interpretation of Research Results</w:t>
      </w:r>
      <w:r>
        <w:rPr>
          <w:rFonts w:ascii="Times New Roman" w:eastAsia="Times New Roman" w:hAnsi="Times New Roman" w:cs="Times New Roman"/>
          <w:sz w:val="24"/>
          <w:szCs w:val="24"/>
        </w:rPr>
        <w:t>.</w:t>
      </w:r>
      <w:r w:rsidRPr="003C1192">
        <w:rPr>
          <w:rFonts w:ascii="Times New Roman" w:eastAsia="Times New Roman" w:hAnsi="Times New Roman" w:cs="Times New Roman"/>
          <w:sz w:val="24"/>
          <w:szCs w:val="24"/>
        </w:rPr>
        <w:t xml:space="preserve"> Cambridge</w:t>
      </w:r>
      <w:r>
        <w:rPr>
          <w:rFonts w:ascii="Times New Roman" w:eastAsia="Times New Roman" w:hAnsi="Times New Roman" w:cs="Times New Roman"/>
          <w:sz w:val="24"/>
          <w:szCs w:val="24"/>
        </w:rPr>
        <w:t>:</w:t>
      </w:r>
      <w:r w:rsidRPr="003C1192">
        <w:rPr>
          <w:rFonts w:ascii="Times New Roman" w:eastAsia="Times New Roman" w:hAnsi="Times New Roman" w:cs="Times New Roman"/>
          <w:sz w:val="24"/>
          <w:szCs w:val="24"/>
        </w:rPr>
        <w:t xml:space="preserve"> Cambridge University Press</w:t>
      </w:r>
    </w:p>
    <w:p w14:paraId="31478793" w14:textId="7967433E" w:rsidR="005C2E93" w:rsidRPr="001E6503" w:rsidRDefault="005C2E93" w:rsidP="000B1A46">
      <w:pPr>
        <w:autoSpaceDE w:val="0"/>
        <w:autoSpaceDN w:val="0"/>
        <w:adjustRightInd w:val="0"/>
        <w:spacing w:line="480" w:lineRule="auto"/>
        <w:ind w:left="432" w:hanging="432"/>
        <w:rPr>
          <w:rFonts w:ascii="Times New Roman" w:hAnsi="Times New Roman" w:cs="Times New Roman"/>
          <w:sz w:val="24"/>
          <w:szCs w:val="24"/>
        </w:rPr>
      </w:pPr>
      <w:proofErr w:type="spellStart"/>
      <w:proofErr w:type="gramStart"/>
      <w:r w:rsidRPr="001E6503">
        <w:rPr>
          <w:rFonts w:ascii="Times New Roman" w:hAnsi="Times New Roman" w:cs="Times New Roman"/>
          <w:sz w:val="24"/>
          <w:szCs w:val="24"/>
        </w:rPr>
        <w:t>Eysenbach</w:t>
      </w:r>
      <w:proofErr w:type="spellEnd"/>
      <w:r w:rsidR="003D4FC3">
        <w:rPr>
          <w:rFonts w:ascii="Times New Roman" w:hAnsi="Times New Roman" w:cs="Times New Roman"/>
          <w:sz w:val="24"/>
          <w:szCs w:val="24"/>
        </w:rPr>
        <w:t xml:space="preserve">, G. and </w:t>
      </w:r>
      <w:r w:rsidRPr="001E6503">
        <w:rPr>
          <w:rFonts w:ascii="Times New Roman" w:hAnsi="Times New Roman" w:cs="Times New Roman"/>
          <w:sz w:val="24"/>
          <w:szCs w:val="24"/>
        </w:rPr>
        <w:t>Wyatt</w:t>
      </w:r>
      <w:r w:rsidR="003D4FC3">
        <w:rPr>
          <w:rFonts w:ascii="Times New Roman" w:hAnsi="Times New Roman" w:cs="Times New Roman"/>
          <w:sz w:val="24"/>
          <w:szCs w:val="24"/>
        </w:rPr>
        <w:t>,</w:t>
      </w:r>
      <w:r w:rsidRPr="001E6503">
        <w:rPr>
          <w:rFonts w:ascii="Times New Roman" w:hAnsi="Times New Roman" w:cs="Times New Roman"/>
          <w:sz w:val="24"/>
          <w:szCs w:val="24"/>
        </w:rPr>
        <w:t xml:space="preserve"> J. </w:t>
      </w:r>
      <w:r w:rsidR="003D4FC3">
        <w:rPr>
          <w:rFonts w:ascii="Times New Roman" w:hAnsi="Times New Roman" w:cs="Times New Roman"/>
          <w:sz w:val="24"/>
          <w:szCs w:val="24"/>
        </w:rPr>
        <w:t>(</w:t>
      </w:r>
      <w:r w:rsidRPr="001E6503">
        <w:rPr>
          <w:rFonts w:ascii="Times New Roman" w:hAnsi="Times New Roman" w:cs="Times New Roman"/>
          <w:sz w:val="24"/>
          <w:szCs w:val="24"/>
        </w:rPr>
        <w:t>2002</w:t>
      </w:r>
      <w:r w:rsidR="003D4FC3">
        <w:rPr>
          <w:rFonts w:ascii="Times New Roman" w:hAnsi="Times New Roman" w:cs="Times New Roman"/>
          <w:sz w:val="24"/>
          <w:szCs w:val="24"/>
        </w:rPr>
        <w:t>)</w:t>
      </w:r>
      <w:r w:rsidRPr="001E6503">
        <w:rPr>
          <w:rFonts w:ascii="Times New Roman" w:hAnsi="Times New Roman" w:cs="Times New Roman"/>
          <w:sz w:val="24"/>
          <w:szCs w:val="24"/>
        </w:rPr>
        <w:t>.</w:t>
      </w:r>
      <w:proofErr w:type="gramEnd"/>
      <w:r w:rsidRPr="001E6503">
        <w:rPr>
          <w:rFonts w:ascii="Times New Roman" w:hAnsi="Times New Roman" w:cs="Times New Roman"/>
          <w:sz w:val="24"/>
          <w:szCs w:val="24"/>
        </w:rPr>
        <w:t xml:space="preserve"> </w:t>
      </w:r>
      <w:proofErr w:type="gramStart"/>
      <w:r w:rsidRPr="001E6503">
        <w:rPr>
          <w:rFonts w:ascii="Times New Roman" w:hAnsi="Times New Roman" w:cs="Times New Roman"/>
          <w:sz w:val="24"/>
          <w:szCs w:val="24"/>
        </w:rPr>
        <w:t>Using the Internet for surveys and health research.</w:t>
      </w:r>
      <w:proofErr w:type="gramEnd"/>
      <w:r w:rsidRPr="001E6503">
        <w:rPr>
          <w:rFonts w:ascii="Times New Roman" w:hAnsi="Times New Roman" w:cs="Times New Roman"/>
          <w:sz w:val="24"/>
          <w:szCs w:val="24"/>
        </w:rPr>
        <w:t xml:space="preserve"> </w:t>
      </w:r>
      <w:proofErr w:type="gramStart"/>
      <w:r w:rsidRPr="001E6503">
        <w:rPr>
          <w:rFonts w:ascii="Times New Roman" w:hAnsi="Times New Roman" w:cs="Times New Roman"/>
          <w:i/>
          <w:sz w:val="24"/>
          <w:szCs w:val="24"/>
        </w:rPr>
        <w:t>J</w:t>
      </w:r>
      <w:r w:rsidR="003D4FC3">
        <w:rPr>
          <w:rFonts w:ascii="Times New Roman" w:hAnsi="Times New Roman" w:cs="Times New Roman"/>
          <w:i/>
          <w:sz w:val="24"/>
          <w:szCs w:val="24"/>
        </w:rPr>
        <w:t>ournal of</w:t>
      </w:r>
      <w:r w:rsidRPr="001E6503">
        <w:rPr>
          <w:rFonts w:ascii="Times New Roman" w:hAnsi="Times New Roman" w:cs="Times New Roman"/>
          <w:i/>
          <w:sz w:val="24"/>
          <w:szCs w:val="24"/>
        </w:rPr>
        <w:t xml:space="preserve"> Med</w:t>
      </w:r>
      <w:r w:rsidR="003D4FC3">
        <w:rPr>
          <w:rFonts w:ascii="Times New Roman" w:hAnsi="Times New Roman" w:cs="Times New Roman"/>
          <w:i/>
          <w:sz w:val="24"/>
          <w:szCs w:val="24"/>
        </w:rPr>
        <w:t>ical</w:t>
      </w:r>
      <w:r w:rsidRPr="001E6503">
        <w:rPr>
          <w:rFonts w:ascii="Times New Roman" w:hAnsi="Times New Roman" w:cs="Times New Roman"/>
          <w:i/>
          <w:sz w:val="24"/>
          <w:szCs w:val="24"/>
        </w:rPr>
        <w:t xml:space="preserve"> Internet Res</w:t>
      </w:r>
      <w:r w:rsidR="003D4FC3">
        <w:rPr>
          <w:rFonts w:ascii="Times New Roman" w:hAnsi="Times New Roman" w:cs="Times New Roman"/>
          <w:i/>
          <w:sz w:val="24"/>
          <w:szCs w:val="24"/>
        </w:rPr>
        <w:t>earch,</w:t>
      </w:r>
      <w:r w:rsidRPr="001E6503">
        <w:rPr>
          <w:rFonts w:ascii="Times New Roman" w:hAnsi="Times New Roman" w:cs="Times New Roman"/>
          <w:sz w:val="24"/>
          <w:szCs w:val="24"/>
        </w:rPr>
        <w:t xml:space="preserve"> </w:t>
      </w:r>
      <w:r w:rsidRPr="003D4FC3">
        <w:rPr>
          <w:rFonts w:ascii="Times New Roman" w:hAnsi="Times New Roman" w:cs="Times New Roman"/>
          <w:sz w:val="24"/>
          <w:szCs w:val="24"/>
        </w:rPr>
        <w:t>4</w:t>
      </w:r>
      <w:r w:rsidR="003D4FC3">
        <w:rPr>
          <w:rFonts w:ascii="Times New Roman" w:hAnsi="Times New Roman" w:cs="Times New Roman"/>
          <w:sz w:val="24"/>
          <w:szCs w:val="24"/>
        </w:rPr>
        <w:t xml:space="preserve">, </w:t>
      </w:r>
      <w:r w:rsidRPr="001E6503">
        <w:rPr>
          <w:rFonts w:ascii="Times New Roman" w:hAnsi="Times New Roman" w:cs="Times New Roman"/>
          <w:sz w:val="24"/>
          <w:szCs w:val="24"/>
        </w:rPr>
        <w:t>e13.</w:t>
      </w:r>
      <w:proofErr w:type="gramEnd"/>
      <w:r w:rsidR="003D4FC3">
        <w:rPr>
          <w:rFonts w:ascii="Times New Roman" w:hAnsi="Times New Roman" w:cs="Times New Roman"/>
          <w:sz w:val="24"/>
          <w:szCs w:val="24"/>
        </w:rPr>
        <w:t xml:space="preserve"> </w:t>
      </w:r>
      <w:proofErr w:type="spellStart"/>
      <w:proofErr w:type="gramStart"/>
      <w:r w:rsidR="003D4FC3">
        <w:rPr>
          <w:rFonts w:ascii="Times New Roman" w:hAnsi="Times New Roman" w:cs="Times New Roman"/>
          <w:sz w:val="24"/>
          <w:szCs w:val="24"/>
        </w:rPr>
        <w:t>doi</w:t>
      </w:r>
      <w:proofErr w:type="spellEnd"/>
      <w:proofErr w:type="gramEnd"/>
      <w:r w:rsidR="003D4FC3">
        <w:rPr>
          <w:rFonts w:ascii="Times New Roman" w:hAnsi="Times New Roman" w:cs="Times New Roman"/>
          <w:sz w:val="24"/>
          <w:szCs w:val="24"/>
        </w:rPr>
        <w:t xml:space="preserve">: </w:t>
      </w:r>
      <w:r w:rsidR="003D4FC3" w:rsidRPr="003D4FC3">
        <w:rPr>
          <w:rFonts w:ascii="Times New Roman" w:hAnsi="Times New Roman" w:cs="Times New Roman"/>
          <w:sz w:val="24"/>
          <w:szCs w:val="24"/>
        </w:rPr>
        <w:t>10.2196%2Fjmir.4.2.e13</w:t>
      </w:r>
    </w:p>
    <w:p w14:paraId="2C22FAA6" w14:textId="058B9F9D" w:rsidR="00152AD4" w:rsidRPr="003D4FC3" w:rsidRDefault="00152AD4" w:rsidP="000B1A46">
      <w:pPr>
        <w:spacing w:line="480" w:lineRule="auto"/>
        <w:ind w:left="432" w:hanging="432"/>
        <w:rPr>
          <w:rFonts w:ascii="Times New Roman" w:hAnsi="Times New Roman" w:cs="Times New Roman"/>
          <w:sz w:val="24"/>
          <w:szCs w:val="24"/>
        </w:rPr>
      </w:pPr>
      <w:proofErr w:type="spellStart"/>
      <w:proofErr w:type="gramStart"/>
      <w:r w:rsidRPr="001E6503">
        <w:rPr>
          <w:rFonts w:ascii="Times New Roman" w:hAnsi="Times New Roman" w:cs="Times New Roman"/>
          <w:sz w:val="24"/>
          <w:szCs w:val="24"/>
        </w:rPr>
        <w:t>Fishbein</w:t>
      </w:r>
      <w:proofErr w:type="spellEnd"/>
      <w:r w:rsidR="003D4FC3">
        <w:rPr>
          <w:rFonts w:ascii="Times New Roman" w:hAnsi="Times New Roman" w:cs="Times New Roman"/>
          <w:sz w:val="24"/>
          <w:szCs w:val="24"/>
        </w:rPr>
        <w:t xml:space="preserve">, M. and </w:t>
      </w:r>
      <w:proofErr w:type="spellStart"/>
      <w:r w:rsidRPr="001E6503">
        <w:rPr>
          <w:rFonts w:ascii="Times New Roman" w:hAnsi="Times New Roman" w:cs="Times New Roman"/>
          <w:sz w:val="24"/>
          <w:szCs w:val="24"/>
        </w:rPr>
        <w:t>Ajzen</w:t>
      </w:r>
      <w:proofErr w:type="spellEnd"/>
      <w:r w:rsidR="003D4FC3">
        <w:rPr>
          <w:rFonts w:ascii="Times New Roman" w:hAnsi="Times New Roman" w:cs="Times New Roman"/>
          <w:sz w:val="24"/>
          <w:szCs w:val="24"/>
        </w:rPr>
        <w:t>,</w:t>
      </w:r>
      <w:r w:rsidRPr="001E6503">
        <w:rPr>
          <w:rFonts w:ascii="Times New Roman" w:hAnsi="Times New Roman" w:cs="Times New Roman"/>
          <w:sz w:val="24"/>
          <w:szCs w:val="24"/>
        </w:rPr>
        <w:t xml:space="preserve"> I. </w:t>
      </w:r>
      <w:r w:rsidR="003D4FC3">
        <w:rPr>
          <w:rFonts w:ascii="Times New Roman" w:hAnsi="Times New Roman" w:cs="Times New Roman"/>
          <w:sz w:val="24"/>
          <w:szCs w:val="24"/>
        </w:rPr>
        <w:t>(</w:t>
      </w:r>
      <w:r w:rsidRPr="001E6503">
        <w:rPr>
          <w:rFonts w:ascii="Times New Roman" w:hAnsi="Times New Roman" w:cs="Times New Roman"/>
          <w:sz w:val="24"/>
          <w:szCs w:val="24"/>
        </w:rPr>
        <w:t>2010</w:t>
      </w:r>
      <w:r w:rsidR="003D4FC3">
        <w:rPr>
          <w:rFonts w:ascii="Times New Roman" w:hAnsi="Times New Roman" w:cs="Times New Roman"/>
          <w:sz w:val="24"/>
          <w:szCs w:val="24"/>
        </w:rPr>
        <w:t>)</w:t>
      </w:r>
      <w:r w:rsidRPr="001E6503">
        <w:rPr>
          <w:rFonts w:ascii="Times New Roman" w:hAnsi="Times New Roman" w:cs="Times New Roman"/>
          <w:sz w:val="24"/>
          <w:szCs w:val="24"/>
        </w:rPr>
        <w:t>.</w:t>
      </w:r>
      <w:proofErr w:type="gramEnd"/>
      <w:r w:rsidRPr="001E6503">
        <w:rPr>
          <w:rFonts w:ascii="Times New Roman" w:hAnsi="Times New Roman" w:cs="Times New Roman"/>
          <w:sz w:val="24"/>
          <w:szCs w:val="24"/>
        </w:rPr>
        <w:t xml:space="preserve"> </w:t>
      </w:r>
      <w:r w:rsidRPr="001E6503">
        <w:rPr>
          <w:rFonts w:ascii="Times New Roman" w:hAnsi="Times New Roman" w:cs="Times New Roman"/>
          <w:i/>
          <w:sz w:val="24"/>
          <w:szCs w:val="24"/>
        </w:rPr>
        <w:t xml:space="preserve">Predicting and changing </w:t>
      </w:r>
      <w:proofErr w:type="spellStart"/>
      <w:r w:rsidRPr="001E6503">
        <w:rPr>
          <w:rFonts w:ascii="Times New Roman" w:hAnsi="Times New Roman" w:cs="Times New Roman"/>
          <w:i/>
          <w:sz w:val="24"/>
          <w:szCs w:val="24"/>
        </w:rPr>
        <w:t>behavior</w:t>
      </w:r>
      <w:proofErr w:type="spellEnd"/>
      <w:r w:rsidRPr="001E6503">
        <w:rPr>
          <w:rFonts w:ascii="Times New Roman" w:hAnsi="Times New Roman" w:cs="Times New Roman"/>
          <w:i/>
          <w:sz w:val="24"/>
          <w:szCs w:val="24"/>
        </w:rPr>
        <w:t xml:space="preserve">: The reasoned action </w:t>
      </w:r>
      <w:r w:rsidRPr="003D4FC3">
        <w:rPr>
          <w:rFonts w:ascii="Times New Roman" w:hAnsi="Times New Roman" w:cs="Times New Roman"/>
          <w:i/>
          <w:sz w:val="24"/>
          <w:szCs w:val="24"/>
        </w:rPr>
        <w:t>approach</w:t>
      </w:r>
      <w:r w:rsidRPr="003D4FC3">
        <w:rPr>
          <w:rFonts w:ascii="Times New Roman" w:hAnsi="Times New Roman" w:cs="Times New Roman"/>
          <w:sz w:val="24"/>
          <w:szCs w:val="24"/>
        </w:rPr>
        <w:t>. New York, US: Psychology Press.</w:t>
      </w:r>
    </w:p>
    <w:p w14:paraId="54F6725E" w14:textId="43146E6D" w:rsidR="00152AD4" w:rsidRPr="003D4FC3" w:rsidRDefault="003D4FC3" w:rsidP="000B1A46">
      <w:pPr>
        <w:spacing w:line="480" w:lineRule="auto"/>
        <w:ind w:left="709" w:hanging="709"/>
        <w:rPr>
          <w:rFonts w:ascii="Times New Roman" w:hAnsi="Times New Roman" w:cs="Times New Roman"/>
          <w:i/>
          <w:iCs/>
          <w:sz w:val="24"/>
          <w:szCs w:val="24"/>
        </w:rPr>
      </w:pPr>
      <w:r w:rsidRPr="003D4FC3">
        <w:rPr>
          <w:rFonts w:ascii="Times New Roman" w:hAnsi="Times New Roman" w:cs="Times New Roman"/>
          <w:sz w:val="24"/>
          <w:szCs w:val="24"/>
        </w:rPr>
        <w:t xml:space="preserve">Gorman, E., Leyland, A.H., McCartney, G., White, I.R., </w:t>
      </w:r>
      <w:proofErr w:type="spellStart"/>
      <w:r w:rsidRPr="003D4FC3">
        <w:rPr>
          <w:rFonts w:ascii="Times New Roman" w:hAnsi="Times New Roman" w:cs="Times New Roman"/>
          <w:sz w:val="24"/>
          <w:szCs w:val="24"/>
        </w:rPr>
        <w:t>Katikireddi</w:t>
      </w:r>
      <w:proofErr w:type="spellEnd"/>
      <w:r w:rsidRPr="003D4FC3">
        <w:rPr>
          <w:rFonts w:ascii="Times New Roman" w:hAnsi="Times New Roman" w:cs="Times New Roman"/>
          <w:sz w:val="24"/>
          <w:szCs w:val="24"/>
        </w:rPr>
        <w:t xml:space="preserve">, S.V., Rutherford, L., Graham, L. and Gray, L., 2014. </w:t>
      </w:r>
      <w:proofErr w:type="gramStart"/>
      <w:r w:rsidRPr="003D4FC3">
        <w:rPr>
          <w:rFonts w:ascii="Times New Roman" w:hAnsi="Times New Roman" w:cs="Times New Roman"/>
          <w:sz w:val="24"/>
          <w:szCs w:val="24"/>
        </w:rPr>
        <w:t>Assessing the representativeness of population-sampled health surveys through linkage to administrative data on alcohol-related outcomes.</w:t>
      </w:r>
      <w:proofErr w:type="gramEnd"/>
      <w:r w:rsidRPr="003D4FC3">
        <w:rPr>
          <w:rFonts w:ascii="Times New Roman" w:hAnsi="Times New Roman" w:cs="Times New Roman"/>
          <w:sz w:val="24"/>
          <w:szCs w:val="24"/>
        </w:rPr>
        <w:t xml:space="preserve"> </w:t>
      </w:r>
      <w:r w:rsidR="00152AD4" w:rsidRPr="003D4FC3">
        <w:rPr>
          <w:rFonts w:ascii="Times New Roman" w:hAnsi="Times New Roman" w:cs="Times New Roman"/>
          <w:i/>
          <w:iCs/>
          <w:sz w:val="24"/>
          <w:szCs w:val="24"/>
        </w:rPr>
        <w:t>Am</w:t>
      </w:r>
      <w:r w:rsidR="00375E92" w:rsidRPr="003D4FC3">
        <w:rPr>
          <w:rFonts w:ascii="Times New Roman" w:hAnsi="Times New Roman" w:cs="Times New Roman"/>
          <w:i/>
          <w:iCs/>
          <w:sz w:val="24"/>
          <w:szCs w:val="24"/>
        </w:rPr>
        <w:t>erican</w:t>
      </w:r>
      <w:r w:rsidR="00152AD4" w:rsidRPr="003D4FC3">
        <w:rPr>
          <w:rFonts w:ascii="Times New Roman" w:hAnsi="Times New Roman" w:cs="Times New Roman"/>
          <w:i/>
          <w:iCs/>
          <w:sz w:val="24"/>
          <w:szCs w:val="24"/>
        </w:rPr>
        <w:t xml:space="preserve"> J</w:t>
      </w:r>
      <w:r w:rsidR="00375E92" w:rsidRPr="003D4FC3">
        <w:rPr>
          <w:rFonts w:ascii="Times New Roman" w:hAnsi="Times New Roman" w:cs="Times New Roman"/>
          <w:i/>
          <w:iCs/>
          <w:sz w:val="24"/>
          <w:szCs w:val="24"/>
        </w:rPr>
        <w:t>ournal of</w:t>
      </w:r>
      <w:r w:rsidR="00152AD4" w:rsidRPr="003D4FC3">
        <w:rPr>
          <w:rFonts w:ascii="Times New Roman" w:hAnsi="Times New Roman" w:cs="Times New Roman"/>
          <w:i/>
          <w:iCs/>
          <w:sz w:val="24"/>
          <w:szCs w:val="24"/>
        </w:rPr>
        <w:t xml:space="preserve"> </w:t>
      </w:r>
      <w:r w:rsidR="00375E92" w:rsidRPr="003D4FC3">
        <w:rPr>
          <w:rFonts w:ascii="Times New Roman" w:hAnsi="Times New Roman" w:cs="Times New Roman"/>
          <w:i/>
          <w:iCs/>
          <w:sz w:val="24"/>
          <w:szCs w:val="24"/>
        </w:rPr>
        <w:t>Epidemiology,</w:t>
      </w:r>
      <w:r w:rsidR="00152AD4" w:rsidRPr="003D4FC3">
        <w:rPr>
          <w:rFonts w:ascii="Times New Roman" w:hAnsi="Times New Roman" w:cs="Times New Roman"/>
          <w:sz w:val="24"/>
          <w:szCs w:val="24"/>
        </w:rPr>
        <w:t xml:space="preserve"> kwu207.</w:t>
      </w:r>
      <w:r w:rsidR="00375E92" w:rsidRPr="003D4FC3">
        <w:rPr>
          <w:rFonts w:ascii="Times New Roman" w:hAnsi="Times New Roman" w:cs="Times New Roman"/>
          <w:sz w:val="24"/>
          <w:szCs w:val="24"/>
        </w:rPr>
        <w:t xml:space="preserve"> </w:t>
      </w:r>
      <w:proofErr w:type="spellStart"/>
      <w:proofErr w:type="gramStart"/>
      <w:r w:rsidR="00375E92" w:rsidRPr="003D4FC3">
        <w:rPr>
          <w:rFonts w:ascii="Times New Roman" w:hAnsi="Times New Roman" w:cs="Times New Roman"/>
          <w:sz w:val="24"/>
          <w:szCs w:val="24"/>
        </w:rPr>
        <w:t>doi</w:t>
      </w:r>
      <w:proofErr w:type="spellEnd"/>
      <w:proofErr w:type="gramEnd"/>
      <w:r w:rsidR="00375E92" w:rsidRPr="003D4FC3">
        <w:rPr>
          <w:rFonts w:ascii="Times New Roman" w:hAnsi="Times New Roman" w:cs="Times New Roman"/>
          <w:sz w:val="24"/>
          <w:szCs w:val="24"/>
        </w:rPr>
        <w:t>: 10.1093/</w:t>
      </w:r>
      <w:proofErr w:type="spellStart"/>
      <w:r w:rsidR="00375E92" w:rsidRPr="003D4FC3">
        <w:rPr>
          <w:rFonts w:ascii="Times New Roman" w:hAnsi="Times New Roman" w:cs="Times New Roman"/>
          <w:sz w:val="24"/>
          <w:szCs w:val="24"/>
        </w:rPr>
        <w:t>aje</w:t>
      </w:r>
      <w:proofErr w:type="spellEnd"/>
      <w:r w:rsidR="00375E92" w:rsidRPr="003D4FC3">
        <w:rPr>
          <w:rFonts w:ascii="Times New Roman" w:hAnsi="Times New Roman" w:cs="Times New Roman"/>
          <w:sz w:val="24"/>
          <w:szCs w:val="24"/>
        </w:rPr>
        <w:t>/kwu207</w:t>
      </w:r>
    </w:p>
    <w:p w14:paraId="57A8E856" w14:textId="0B1B9D71" w:rsidR="003D4FC3" w:rsidRPr="003D4FC3" w:rsidRDefault="003D4FC3" w:rsidP="000B1A46">
      <w:pPr>
        <w:spacing w:line="480" w:lineRule="auto"/>
        <w:ind w:left="709" w:hanging="709"/>
        <w:rPr>
          <w:rFonts w:ascii="Times New Roman" w:hAnsi="Times New Roman" w:cs="Times New Roman"/>
          <w:sz w:val="24"/>
          <w:szCs w:val="24"/>
        </w:rPr>
      </w:pPr>
      <w:proofErr w:type="gramStart"/>
      <w:r w:rsidRPr="003D4FC3">
        <w:rPr>
          <w:rFonts w:ascii="Times New Roman" w:hAnsi="Times New Roman" w:cs="Times New Roman"/>
          <w:sz w:val="24"/>
          <w:szCs w:val="24"/>
        </w:rPr>
        <w:t xml:space="preserve">Gray, H.L., Jimenez, D.E., </w:t>
      </w:r>
      <w:proofErr w:type="spellStart"/>
      <w:r w:rsidRPr="003D4FC3">
        <w:rPr>
          <w:rFonts w:ascii="Times New Roman" w:hAnsi="Times New Roman" w:cs="Times New Roman"/>
          <w:sz w:val="24"/>
          <w:szCs w:val="24"/>
        </w:rPr>
        <w:t>Cucciare</w:t>
      </w:r>
      <w:proofErr w:type="spellEnd"/>
      <w:r w:rsidRPr="003D4FC3">
        <w:rPr>
          <w:rFonts w:ascii="Times New Roman" w:hAnsi="Times New Roman" w:cs="Times New Roman"/>
          <w:sz w:val="24"/>
          <w:szCs w:val="24"/>
        </w:rPr>
        <w:t xml:space="preserve">, M.A., Tong, </w:t>
      </w:r>
      <w:r w:rsidR="00844F86">
        <w:rPr>
          <w:rFonts w:ascii="Times New Roman" w:hAnsi="Times New Roman" w:cs="Times New Roman"/>
          <w:sz w:val="24"/>
          <w:szCs w:val="24"/>
        </w:rPr>
        <w:t>H.Q. and Gallagher-Thompson, D.</w:t>
      </w:r>
      <w:r w:rsidRPr="003D4FC3">
        <w:rPr>
          <w:rFonts w:ascii="Times New Roman" w:hAnsi="Times New Roman" w:cs="Times New Roman"/>
          <w:sz w:val="24"/>
          <w:szCs w:val="24"/>
        </w:rPr>
        <w:t xml:space="preserve"> </w:t>
      </w:r>
      <w:r>
        <w:rPr>
          <w:rFonts w:ascii="Times New Roman" w:hAnsi="Times New Roman" w:cs="Times New Roman"/>
          <w:sz w:val="24"/>
          <w:szCs w:val="24"/>
        </w:rPr>
        <w:t>(</w:t>
      </w:r>
      <w:r w:rsidRPr="003D4FC3">
        <w:rPr>
          <w:rFonts w:ascii="Times New Roman" w:hAnsi="Times New Roman" w:cs="Times New Roman"/>
          <w:sz w:val="24"/>
          <w:szCs w:val="24"/>
        </w:rPr>
        <w:t>2009</w:t>
      </w:r>
      <w:r>
        <w:rPr>
          <w:rFonts w:ascii="Times New Roman" w:hAnsi="Times New Roman" w:cs="Times New Roman"/>
          <w:sz w:val="24"/>
          <w:szCs w:val="24"/>
        </w:rPr>
        <w:t>)</w:t>
      </w:r>
      <w:r w:rsidRPr="003D4FC3">
        <w:rPr>
          <w:rFonts w:ascii="Times New Roman" w:hAnsi="Times New Roman" w:cs="Times New Roman"/>
          <w:sz w:val="24"/>
          <w:szCs w:val="24"/>
        </w:rPr>
        <w:t>.</w:t>
      </w:r>
      <w:proofErr w:type="gramEnd"/>
      <w:r w:rsidRPr="003D4FC3">
        <w:rPr>
          <w:rFonts w:ascii="Times New Roman" w:hAnsi="Times New Roman" w:cs="Times New Roman"/>
          <w:sz w:val="24"/>
          <w:szCs w:val="24"/>
        </w:rPr>
        <w:t xml:space="preserve"> </w:t>
      </w:r>
      <w:proofErr w:type="gramStart"/>
      <w:r w:rsidRPr="003D4FC3">
        <w:rPr>
          <w:rFonts w:ascii="Times New Roman" w:hAnsi="Times New Roman" w:cs="Times New Roman"/>
          <w:sz w:val="24"/>
          <w:szCs w:val="24"/>
        </w:rPr>
        <w:t>Ethnic differences in beliefs regarding Alzheimer disease among dementia family caregivers.</w:t>
      </w:r>
      <w:proofErr w:type="gramEnd"/>
      <w:r w:rsidRPr="003D4FC3">
        <w:rPr>
          <w:rFonts w:ascii="Times New Roman" w:hAnsi="Times New Roman" w:cs="Times New Roman"/>
          <w:sz w:val="24"/>
          <w:szCs w:val="24"/>
        </w:rPr>
        <w:t xml:space="preserve"> </w:t>
      </w:r>
      <w:r w:rsidRPr="003D4FC3">
        <w:rPr>
          <w:rFonts w:ascii="Times New Roman" w:hAnsi="Times New Roman" w:cs="Times New Roman"/>
          <w:i/>
          <w:iCs/>
          <w:sz w:val="24"/>
          <w:szCs w:val="24"/>
        </w:rPr>
        <w:t>The American Journal of Geriatric Psychiatry</w:t>
      </w:r>
      <w:r w:rsidRPr="003D4FC3">
        <w:rPr>
          <w:rFonts w:ascii="Times New Roman" w:hAnsi="Times New Roman" w:cs="Times New Roman"/>
          <w:sz w:val="24"/>
          <w:szCs w:val="24"/>
        </w:rPr>
        <w:t xml:space="preserve">, </w:t>
      </w:r>
      <w:r w:rsidRPr="003D4FC3">
        <w:rPr>
          <w:rFonts w:ascii="Times New Roman" w:hAnsi="Times New Roman" w:cs="Times New Roman"/>
          <w:iCs/>
          <w:sz w:val="24"/>
          <w:szCs w:val="24"/>
        </w:rPr>
        <w:t>17</w:t>
      </w:r>
      <w:r w:rsidRPr="003D4FC3">
        <w:rPr>
          <w:rFonts w:ascii="Times New Roman" w:hAnsi="Times New Roman" w:cs="Times New Roman"/>
          <w:sz w:val="24"/>
          <w:szCs w:val="24"/>
        </w:rPr>
        <w:t>, 925-933.</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doi</w:t>
      </w:r>
      <w:proofErr w:type="spellEnd"/>
      <w:proofErr w:type="gramEnd"/>
      <w:r>
        <w:rPr>
          <w:rFonts w:ascii="Times New Roman" w:hAnsi="Times New Roman" w:cs="Times New Roman"/>
          <w:sz w:val="24"/>
          <w:szCs w:val="24"/>
        </w:rPr>
        <w:t xml:space="preserve">: </w:t>
      </w:r>
      <w:r w:rsidR="00844F86" w:rsidRPr="00844F86">
        <w:rPr>
          <w:rFonts w:ascii="Times New Roman" w:hAnsi="Times New Roman" w:cs="Times New Roman"/>
          <w:sz w:val="24"/>
          <w:szCs w:val="24"/>
        </w:rPr>
        <w:t>10.1097/JGP.0b013e3181ad4f3c</w:t>
      </w:r>
    </w:p>
    <w:p w14:paraId="0F250456" w14:textId="11865D80" w:rsidR="00844F86" w:rsidRPr="00844F86" w:rsidRDefault="00844F86" w:rsidP="000B1A46">
      <w:pPr>
        <w:spacing w:line="480" w:lineRule="auto"/>
        <w:ind w:left="709" w:hanging="709"/>
        <w:rPr>
          <w:rFonts w:ascii="Times New Roman" w:hAnsi="Times New Roman" w:cs="Times New Roman"/>
          <w:sz w:val="24"/>
          <w:szCs w:val="24"/>
        </w:rPr>
      </w:pPr>
      <w:proofErr w:type="spellStart"/>
      <w:proofErr w:type="gramStart"/>
      <w:r w:rsidRPr="00844F86">
        <w:rPr>
          <w:rFonts w:ascii="Times New Roman" w:hAnsi="Times New Roman" w:cs="Times New Roman"/>
          <w:sz w:val="24"/>
          <w:szCs w:val="24"/>
        </w:rPr>
        <w:t>Kada</w:t>
      </w:r>
      <w:proofErr w:type="spellEnd"/>
      <w:r w:rsidRPr="00844F86">
        <w:rPr>
          <w:rFonts w:ascii="Times New Roman" w:hAnsi="Times New Roman" w:cs="Times New Roman"/>
          <w:sz w:val="24"/>
          <w:szCs w:val="24"/>
        </w:rPr>
        <w:t xml:space="preserve">, S., </w:t>
      </w:r>
      <w:proofErr w:type="spellStart"/>
      <w:r w:rsidRPr="00844F86">
        <w:rPr>
          <w:rFonts w:ascii="Times New Roman" w:hAnsi="Times New Roman" w:cs="Times New Roman"/>
          <w:sz w:val="24"/>
          <w:szCs w:val="24"/>
        </w:rPr>
        <w:t>Nygaard</w:t>
      </w:r>
      <w:proofErr w:type="spellEnd"/>
      <w:r w:rsidRPr="00844F86">
        <w:rPr>
          <w:rFonts w:ascii="Times New Roman" w:hAnsi="Times New Roman" w:cs="Times New Roman"/>
          <w:sz w:val="24"/>
          <w:szCs w:val="24"/>
        </w:rPr>
        <w:t xml:space="preserve">, H.A., </w:t>
      </w:r>
      <w:proofErr w:type="spellStart"/>
      <w:r w:rsidRPr="00844F86">
        <w:rPr>
          <w:rFonts w:ascii="Times New Roman" w:hAnsi="Times New Roman" w:cs="Times New Roman"/>
          <w:sz w:val="24"/>
          <w:szCs w:val="24"/>
        </w:rPr>
        <w:t>Muke</w:t>
      </w:r>
      <w:r>
        <w:rPr>
          <w:rFonts w:ascii="Times New Roman" w:hAnsi="Times New Roman" w:cs="Times New Roman"/>
          <w:sz w:val="24"/>
          <w:szCs w:val="24"/>
        </w:rPr>
        <w:t>sh</w:t>
      </w:r>
      <w:proofErr w:type="spellEnd"/>
      <w:r>
        <w:rPr>
          <w:rFonts w:ascii="Times New Roman" w:hAnsi="Times New Roman" w:cs="Times New Roman"/>
          <w:sz w:val="24"/>
          <w:szCs w:val="24"/>
        </w:rPr>
        <w:t xml:space="preserve">, B.N. and </w:t>
      </w:r>
      <w:proofErr w:type="spellStart"/>
      <w:r>
        <w:rPr>
          <w:rFonts w:ascii="Times New Roman" w:hAnsi="Times New Roman" w:cs="Times New Roman"/>
          <w:sz w:val="24"/>
          <w:szCs w:val="24"/>
        </w:rPr>
        <w:t>Geitung</w:t>
      </w:r>
      <w:proofErr w:type="spellEnd"/>
      <w:r>
        <w:rPr>
          <w:rFonts w:ascii="Times New Roman" w:hAnsi="Times New Roman" w:cs="Times New Roman"/>
          <w:sz w:val="24"/>
          <w:szCs w:val="24"/>
        </w:rPr>
        <w:t>, J.T.</w:t>
      </w:r>
      <w:r w:rsidRPr="00844F86">
        <w:rPr>
          <w:rFonts w:ascii="Times New Roman" w:hAnsi="Times New Roman" w:cs="Times New Roman"/>
          <w:sz w:val="24"/>
          <w:szCs w:val="24"/>
        </w:rPr>
        <w:t xml:space="preserve"> </w:t>
      </w:r>
      <w:r>
        <w:rPr>
          <w:rFonts w:ascii="Times New Roman" w:hAnsi="Times New Roman" w:cs="Times New Roman"/>
          <w:sz w:val="24"/>
          <w:szCs w:val="24"/>
        </w:rPr>
        <w:t>(</w:t>
      </w:r>
      <w:r w:rsidRPr="00844F86">
        <w:rPr>
          <w:rFonts w:ascii="Times New Roman" w:hAnsi="Times New Roman" w:cs="Times New Roman"/>
          <w:sz w:val="24"/>
          <w:szCs w:val="24"/>
        </w:rPr>
        <w:t>2009</w:t>
      </w:r>
      <w:r>
        <w:rPr>
          <w:rFonts w:ascii="Times New Roman" w:hAnsi="Times New Roman" w:cs="Times New Roman"/>
          <w:sz w:val="24"/>
          <w:szCs w:val="24"/>
        </w:rPr>
        <w:t>)</w:t>
      </w:r>
      <w:r w:rsidRPr="00844F86">
        <w:rPr>
          <w:rFonts w:ascii="Times New Roman" w:hAnsi="Times New Roman" w:cs="Times New Roman"/>
          <w:sz w:val="24"/>
          <w:szCs w:val="24"/>
        </w:rPr>
        <w:t>.</w:t>
      </w:r>
      <w:proofErr w:type="gramEnd"/>
      <w:r w:rsidRPr="00844F86">
        <w:rPr>
          <w:rFonts w:ascii="Times New Roman" w:hAnsi="Times New Roman" w:cs="Times New Roman"/>
          <w:sz w:val="24"/>
          <w:szCs w:val="24"/>
        </w:rPr>
        <w:t xml:space="preserve"> </w:t>
      </w:r>
      <w:proofErr w:type="gramStart"/>
      <w:r w:rsidRPr="00844F86">
        <w:rPr>
          <w:rFonts w:ascii="Times New Roman" w:hAnsi="Times New Roman" w:cs="Times New Roman"/>
          <w:sz w:val="24"/>
          <w:szCs w:val="24"/>
        </w:rPr>
        <w:t>Staff attitudes towards institutionalised dementia residents.</w:t>
      </w:r>
      <w:proofErr w:type="gramEnd"/>
      <w:r w:rsidRPr="00844F86">
        <w:rPr>
          <w:rFonts w:ascii="Times New Roman" w:hAnsi="Times New Roman" w:cs="Times New Roman"/>
          <w:sz w:val="24"/>
          <w:szCs w:val="24"/>
        </w:rPr>
        <w:t xml:space="preserve"> </w:t>
      </w:r>
      <w:proofErr w:type="gramStart"/>
      <w:r w:rsidRPr="00844F86">
        <w:rPr>
          <w:rFonts w:ascii="Times New Roman" w:hAnsi="Times New Roman" w:cs="Times New Roman"/>
          <w:i/>
          <w:iCs/>
          <w:sz w:val="24"/>
          <w:szCs w:val="24"/>
        </w:rPr>
        <w:t>Journal of Clinical Nursing</w:t>
      </w:r>
      <w:r w:rsidRPr="00844F86">
        <w:rPr>
          <w:rFonts w:ascii="Times New Roman" w:hAnsi="Times New Roman" w:cs="Times New Roman"/>
          <w:sz w:val="24"/>
          <w:szCs w:val="24"/>
        </w:rPr>
        <w:t xml:space="preserve">, </w:t>
      </w:r>
      <w:r w:rsidRPr="00844F86">
        <w:rPr>
          <w:rFonts w:ascii="Times New Roman" w:hAnsi="Times New Roman" w:cs="Times New Roman"/>
          <w:iCs/>
          <w:sz w:val="24"/>
          <w:szCs w:val="24"/>
        </w:rPr>
        <w:t>18</w:t>
      </w:r>
      <w:r w:rsidRPr="00844F86">
        <w:rPr>
          <w:rFonts w:ascii="Times New Roman" w:hAnsi="Times New Roman" w:cs="Times New Roman"/>
          <w:sz w:val="24"/>
          <w:szCs w:val="24"/>
        </w:rPr>
        <w:t>, 383-2392.</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doi</w:t>
      </w:r>
      <w:proofErr w:type="spellEnd"/>
      <w:proofErr w:type="gramEnd"/>
      <w:r>
        <w:rPr>
          <w:rFonts w:ascii="Times New Roman" w:hAnsi="Times New Roman" w:cs="Times New Roman"/>
          <w:sz w:val="24"/>
          <w:szCs w:val="24"/>
        </w:rPr>
        <w:t xml:space="preserve">: </w:t>
      </w:r>
      <w:r w:rsidRPr="00844F86">
        <w:rPr>
          <w:rFonts w:ascii="Times New Roman" w:hAnsi="Times New Roman" w:cs="Times New Roman"/>
          <w:sz w:val="24"/>
          <w:szCs w:val="24"/>
        </w:rPr>
        <w:t>1</w:t>
      </w:r>
      <w:r>
        <w:rPr>
          <w:rFonts w:ascii="Times New Roman" w:hAnsi="Times New Roman" w:cs="Times New Roman"/>
          <w:sz w:val="24"/>
          <w:szCs w:val="24"/>
        </w:rPr>
        <w:t>0.1111/j.1365-2702.2009.02791.x</w:t>
      </w:r>
    </w:p>
    <w:p w14:paraId="56FE34F8" w14:textId="2318E362" w:rsidR="00152AD4" w:rsidRPr="001E6503" w:rsidRDefault="00152AD4" w:rsidP="000B1A46">
      <w:pPr>
        <w:spacing w:line="480" w:lineRule="auto"/>
        <w:ind w:left="432" w:hanging="432"/>
        <w:rPr>
          <w:rFonts w:ascii="Times New Roman" w:hAnsi="Times New Roman" w:cs="Times New Roman"/>
          <w:sz w:val="24"/>
          <w:szCs w:val="24"/>
        </w:rPr>
      </w:pPr>
      <w:proofErr w:type="gramStart"/>
      <w:r w:rsidRPr="001E6503">
        <w:rPr>
          <w:rFonts w:ascii="Times New Roman" w:hAnsi="Times New Roman" w:cs="Times New Roman"/>
          <w:sz w:val="24"/>
          <w:szCs w:val="24"/>
        </w:rPr>
        <w:t>Knapp</w:t>
      </w:r>
      <w:r w:rsidR="00844F86">
        <w:rPr>
          <w:rFonts w:ascii="Times New Roman" w:hAnsi="Times New Roman" w:cs="Times New Roman"/>
          <w:sz w:val="24"/>
          <w:szCs w:val="24"/>
        </w:rPr>
        <w:t>, M. and</w:t>
      </w:r>
      <w:r w:rsidRPr="001E6503">
        <w:rPr>
          <w:rFonts w:ascii="Times New Roman" w:hAnsi="Times New Roman" w:cs="Times New Roman"/>
          <w:sz w:val="24"/>
          <w:szCs w:val="24"/>
        </w:rPr>
        <w:t xml:space="preserve"> Prince</w:t>
      </w:r>
      <w:r w:rsidR="00844F86">
        <w:rPr>
          <w:rFonts w:ascii="Times New Roman" w:hAnsi="Times New Roman" w:cs="Times New Roman"/>
          <w:sz w:val="24"/>
          <w:szCs w:val="24"/>
        </w:rPr>
        <w:t>,</w:t>
      </w:r>
      <w:r w:rsidRPr="001E6503">
        <w:rPr>
          <w:rFonts w:ascii="Times New Roman" w:hAnsi="Times New Roman" w:cs="Times New Roman"/>
          <w:sz w:val="24"/>
          <w:szCs w:val="24"/>
        </w:rPr>
        <w:t xml:space="preserve"> M. </w:t>
      </w:r>
      <w:r w:rsidR="00844F86">
        <w:rPr>
          <w:rFonts w:ascii="Times New Roman" w:hAnsi="Times New Roman" w:cs="Times New Roman"/>
          <w:sz w:val="24"/>
          <w:szCs w:val="24"/>
        </w:rPr>
        <w:t>(</w:t>
      </w:r>
      <w:r w:rsidRPr="001E6503">
        <w:rPr>
          <w:rFonts w:ascii="Times New Roman" w:hAnsi="Times New Roman" w:cs="Times New Roman"/>
          <w:sz w:val="24"/>
          <w:szCs w:val="24"/>
        </w:rPr>
        <w:t>2007</w:t>
      </w:r>
      <w:r w:rsidR="00844F86">
        <w:rPr>
          <w:rFonts w:ascii="Times New Roman" w:hAnsi="Times New Roman" w:cs="Times New Roman"/>
          <w:sz w:val="24"/>
          <w:szCs w:val="24"/>
        </w:rPr>
        <w:t>)</w:t>
      </w:r>
      <w:r w:rsidRPr="001E6503">
        <w:rPr>
          <w:rFonts w:ascii="Times New Roman" w:hAnsi="Times New Roman" w:cs="Times New Roman"/>
          <w:sz w:val="24"/>
          <w:szCs w:val="24"/>
        </w:rPr>
        <w:t>.</w:t>
      </w:r>
      <w:proofErr w:type="gramEnd"/>
      <w:r w:rsidRPr="001E6503">
        <w:rPr>
          <w:rFonts w:ascii="Times New Roman" w:hAnsi="Times New Roman" w:cs="Times New Roman"/>
          <w:sz w:val="24"/>
          <w:szCs w:val="24"/>
        </w:rPr>
        <w:t xml:space="preserve"> </w:t>
      </w:r>
      <w:proofErr w:type="gramStart"/>
      <w:r w:rsidRPr="001E6503">
        <w:rPr>
          <w:rFonts w:ascii="Times New Roman" w:hAnsi="Times New Roman" w:cs="Times New Roman"/>
          <w:i/>
          <w:sz w:val="24"/>
          <w:szCs w:val="24"/>
        </w:rPr>
        <w:t>Dementia UK.</w:t>
      </w:r>
      <w:proofErr w:type="gramEnd"/>
      <w:r w:rsidRPr="001E6503">
        <w:rPr>
          <w:rFonts w:ascii="Times New Roman" w:hAnsi="Times New Roman" w:cs="Times New Roman"/>
          <w:i/>
          <w:sz w:val="24"/>
          <w:szCs w:val="24"/>
        </w:rPr>
        <w:t xml:space="preserve"> </w:t>
      </w:r>
      <w:proofErr w:type="gramStart"/>
      <w:r w:rsidRPr="001E6503">
        <w:rPr>
          <w:rFonts w:ascii="Times New Roman" w:hAnsi="Times New Roman" w:cs="Times New Roman"/>
          <w:i/>
          <w:sz w:val="24"/>
          <w:szCs w:val="24"/>
        </w:rPr>
        <w:t>Summary of key findings</w:t>
      </w:r>
      <w:r w:rsidRPr="001E6503">
        <w:rPr>
          <w:rFonts w:ascii="Times New Roman" w:hAnsi="Times New Roman" w:cs="Times New Roman"/>
          <w:sz w:val="24"/>
          <w:szCs w:val="24"/>
        </w:rPr>
        <w:t>.</w:t>
      </w:r>
      <w:proofErr w:type="gramEnd"/>
      <w:r w:rsidRPr="001E6503">
        <w:rPr>
          <w:rFonts w:ascii="Times New Roman" w:hAnsi="Times New Roman" w:cs="Times New Roman"/>
          <w:sz w:val="24"/>
          <w:szCs w:val="24"/>
        </w:rPr>
        <w:t xml:space="preserve"> London, Alzheimer’s Society.</w:t>
      </w:r>
    </w:p>
    <w:p w14:paraId="7142F784" w14:textId="693E14E1" w:rsidR="00152AD4" w:rsidRPr="001E6503" w:rsidRDefault="00844F86" w:rsidP="000B1A46">
      <w:pPr>
        <w:spacing w:line="480" w:lineRule="auto"/>
        <w:ind w:left="426" w:hanging="426"/>
        <w:rPr>
          <w:rFonts w:ascii="Times New Roman" w:hAnsi="Times New Roman" w:cs="Times New Roman"/>
          <w:sz w:val="24"/>
          <w:szCs w:val="24"/>
        </w:rPr>
      </w:pPr>
      <w:proofErr w:type="gramStart"/>
      <w:r w:rsidRPr="00844F86">
        <w:rPr>
          <w:rFonts w:ascii="Times New Roman" w:hAnsi="Times New Roman" w:cs="Times New Roman"/>
          <w:sz w:val="24"/>
          <w:szCs w:val="24"/>
        </w:rPr>
        <w:lastRenderedPageBreak/>
        <w:t>Kokkonen, T.M., Cheston, R</w:t>
      </w:r>
      <w:r>
        <w:rPr>
          <w:rFonts w:ascii="Times New Roman" w:hAnsi="Times New Roman" w:cs="Times New Roman"/>
          <w:sz w:val="24"/>
          <w:szCs w:val="24"/>
        </w:rPr>
        <w:t xml:space="preserve">.I., </w:t>
      </w:r>
      <w:proofErr w:type="spellStart"/>
      <w:r>
        <w:rPr>
          <w:rFonts w:ascii="Times New Roman" w:hAnsi="Times New Roman" w:cs="Times New Roman"/>
          <w:sz w:val="24"/>
          <w:szCs w:val="24"/>
        </w:rPr>
        <w:t>Dallos</w:t>
      </w:r>
      <w:proofErr w:type="spellEnd"/>
      <w:r>
        <w:rPr>
          <w:rFonts w:ascii="Times New Roman" w:hAnsi="Times New Roman" w:cs="Times New Roman"/>
          <w:sz w:val="24"/>
          <w:szCs w:val="24"/>
        </w:rPr>
        <w:t>, R. and Smart, C.A.</w:t>
      </w:r>
      <w:r w:rsidRPr="00844F86">
        <w:rPr>
          <w:rFonts w:ascii="Times New Roman" w:hAnsi="Times New Roman" w:cs="Times New Roman"/>
          <w:sz w:val="24"/>
          <w:szCs w:val="24"/>
        </w:rPr>
        <w:t xml:space="preserve"> </w:t>
      </w:r>
      <w:r>
        <w:rPr>
          <w:rFonts w:ascii="Times New Roman" w:hAnsi="Times New Roman" w:cs="Times New Roman"/>
          <w:sz w:val="24"/>
          <w:szCs w:val="24"/>
        </w:rPr>
        <w:t>(</w:t>
      </w:r>
      <w:r w:rsidRPr="00844F86">
        <w:rPr>
          <w:rFonts w:ascii="Times New Roman" w:hAnsi="Times New Roman" w:cs="Times New Roman"/>
          <w:sz w:val="24"/>
          <w:szCs w:val="24"/>
        </w:rPr>
        <w:t>2014</w:t>
      </w:r>
      <w:r>
        <w:rPr>
          <w:rFonts w:ascii="Times New Roman" w:hAnsi="Times New Roman" w:cs="Times New Roman"/>
          <w:sz w:val="24"/>
          <w:szCs w:val="24"/>
        </w:rPr>
        <w:t>)</w:t>
      </w:r>
      <w:r w:rsidRPr="00844F86">
        <w:rPr>
          <w:rFonts w:ascii="Times New Roman" w:hAnsi="Times New Roman" w:cs="Times New Roman"/>
          <w:sz w:val="24"/>
          <w:szCs w:val="24"/>
        </w:rPr>
        <w:t>.</w:t>
      </w:r>
      <w:proofErr w:type="gramEnd"/>
      <w:r w:rsidRPr="00844F86">
        <w:rPr>
          <w:rFonts w:ascii="Times New Roman" w:hAnsi="Times New Roman" w:cs="Times New Roman"/>
          <w:sz w:val="24"/>
          <w:szCs w:val="24"/>
        </w:rPr>
        <w:t xml:space="preserve"> Attachment and coping of dementia care staff: The role of staff attachment style, geriatric nursing self-efficacy, and approaches to dementia in burnout. </w:t>
      </w:r>
      <w:r w:rsidRPr="00844F86">
        <w:rPr>
          <w:rFonts w:ascii="Times New Roman" w:hAnsi="Times New Roman" w:cs="Times New Roman"/>
          <w:i/>
          <w:iCs/>
          <w:sz w:val="24"/>
          <w:szCs w:val="24"/>
        </w:rPr>
        <w:t>Dementia</w:t>
      </w:r>
      <w:r w:rsidRPr="00844F86">
        <w:rPr>
          <w:rFonts w:ascii="Times New Roman" w:hAnsi="Times New Roman" w:cs="Times New Roman"/>
          <w:sz w:val="24"/>
          <w:szCs w:val="24"/>
        </w:rPr>
        <w:t xml:space="preserve">, </w:t>
      </w:r>
      <w:r w:rsidRPr="00844F86">
        <w:rPr>
          <w:rFonts w:ascii="Times New Roman" w:hAnsi="Times New Roman" w:cs="Times New Roman"/>
          <w:iCs/>
          <w:sz w:val="24"/>
          <w:szCs w:val="24"/>
        </w:rPr>
        <w:t>13</w:t>
      </w:r>
      <w:r w:rsidRPr="00844F86">
        <w:rPr>
          <w:rFonts w:ascii="Times New Roman" w:hAnsi="Times New Roman" w:cs="Times New Roman"/>
          <w:sz w:val="24"/>
          <w:szCs w:val="24"/>
        </w:rPr>
        <w:t>, 544-568.</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doi</w:t>
      </w:r>
      <w:proofErr w:type="spellEnd"/>
      <w:proofErr w:type="gramEnd"/>
      <w:r>
        <w:rPr>
          <w:rFonts w:ascii="Times New Roman" w:hAnsi="Times New Roman" w:cs="Times New Roman"/>
          <w:sz w:val="24"/>
          <w:szCs w:val="24"/>
        </w:rPr>
        <w:t xml:space="preserve">: </w:t>
      </w:r>
      <w:r w:rsidRPr="00844F86">
        <w:rPr>
          <w:rFonts w:ascii="Times New Roman" w:hAnsi="Times New Roman" w:cs="Times New Roman"/>
          <w:sz w:val="24"/>
          <w:szCs w:val="24"/>
        </w:rPr>
        <w:t>10.117</w:t>
      </w:r>
      <w:r>
        <w:rPr>
          <w:rFonts w:ascii="Times New Roman" w:hAnsi="Times New Roman" w:cs="Times New Roman"/>
          <w:sz w:val="24"/>
          <w:szCs w:val="24"/>
        </w:rPr>
        <w:t>7/1471301213479469</w:t>
      </w:r>
    </w:p>
    <w:p w14:paraId="781F23EE" w14:textId="0115F33A" w:rsidR="00152AD4" w:rsidRPr="001E6503" w:rsidRDefault="00223984" w:rsidP="000B1A46">
      <w:pPr>
        <w:autoSpaceDE w:val="0"/>
        <w:autoSpaceDN w:val="0"/>
        <w:adjustRightInd w:val="0"/>
        <w:spacing w:before="100" w:after="100" w:line="480" w:lineRule="auto"/>
        <w:ind w:left="426" w:hanging="426"/>
        <w:rPr>
          <w:rFonts w:ascii="Times New Roman" w:hAnsi="Times New Roman" w:cs="Times New Roman"/>
          <w:sz w:val="24"/>
          <w:szCs w:val="24"/>
        </w:rPr>
      </w:pPr>
      <w:proofErr w:type="gramStart"/>
      <w:r w:rsidRPr="00223984">
        <w:rPr>
          <w:rFonts w:ascii="Times New Roman" w:hAnsi="Times New Roman" w:cs="Times New Roman"/>
          <w:sz w:val="24"/>
          <w:szCs w:val="24"/>
        </w:rPr>
        <w:t xml:space="preserve">Leung, J.L.M., </w:t>
      </w:r>
      <w:proofErr w:type="spellStart"/>
      <w:r w:rsidRPr="00223984">
        <w:rPr>
          <w:rFonts w:ascii="Times New Roman" w:hAnsi="Times New Roman" w:cs="Times New Roman"/>
          <w:sz w:val="24"/>
          <w:szCs w:val="24"/>
        </w:rPr>
        <w:t>Sezto</w:t>
      </w:r>
      <w:proofErr w:type="spellEnd"/>
      <w:r w:rsidRPr="00223984">
        <w:rPr>
          <w:rFonts w:ascii="Times New Roman" w:hAnsi="Times New Roman" w:cs="Times New Roman"/>
          <w:sz w:val="24"/>
          <w:szCs w:val="24"/>
        </w:rPr>
        <w:t>, N.W., Chan, W.C., Cheng, S</w:t>
      </w:r>
      <w:r>
        <w:rPr>
          <w:rFonts w:ascii="Times New Roman" w:hAnsi="Times New Roman" w:cs="Times New Roman"/>
          <w:sz w:val="24"/>
          <w:szCs w:val="24"/>
        </w:rPr>
        <w:t>.P., Tang, S.H. and Lam, L.C.W.</w:t>
      </w:r>
      <w:r w:rsidRPr="00223984">
        <w:rPr>
          <w:rFonts w:ascii="Times New Roman" w:hAnsi="Times New Roman" w:cs="Times New Roman"/>
          <w:sz w:val="24"/>
          <w:szCs w:val="24"/>
        </w:rPr>
        <w:t xml:space="preserve"> </w:t>
      </w:r>
      <w:r>
        <w:rPr>
          <w:rFonts w:ascii="Times New Roman" w:hAnsi="Times New Roman" w:cs="Times New Roman"/>
          <w:sz w:val="24"/>
          <w:szCs w:val="24"/>
        </w:rPr>
        <w:t>(</w:t>
      </w:r>
      <w:r w:rsidRPr="00223984">
        <w:rPr>
          <w:rFonts w:ascii="Times New Roman" w:hAnsi="Times New Roman" w:cs="Times New Roman"/>
          <w:sz w:val="24"/>
          <w:szCs w:val="24"/>
        </w:rPr>
        <w:t>2013</w:t>
      </w:r>
      <w:r>
        <w:rPr>
          <w:rFonts w:ascii="Times New Roman" w:hAnsi="Times New Roman" w:cs="Times New Roman"/>
          <w:sz w:val="24"/>
          <w:szCs w:val="24"/>
        </w:rPr>
        <w:t>)</w:t>
      </w:r>
      <w:r w:rsidRPr="00223984">
        <w:rPr>
          <w:rFonts w:ascii="Times New Roman" w:hAnsi="Times New Roman" w:cs="Times New Roman"/>
          <w:sz w:val="24"/>
          <w:szCs w:val="24"/>
        </w:rPr>
        <w:t>.</w:t>
      </w:r>
      <w:proofErr w:type="gramEnd"/>
      <w:r w:rsidRPr="00223984">
        <w:rPr>
          <w:rFonts w:ascii="Times New Roman" w:hAnsi="Times New Roman" w:cs="Times New Roman"/>
          <w:sz w:val="24"/>
          <w:szCs w:val="24"/>
        </w:rPr>
        <w:t xml:space="preserve"> Attitudes and perceived competence of residential care homes staff about dementia care. </w:t>
      </w:r>
      <w:r w:rsidRPr="00223984">
        <w:rPr>
          <w:rFonts w:ascii="Times New Roman" w:hAnsi="Times New Roman" w:cs="Times New Roman"/>
          <w:i/>
          <w:iCs/>
          <w:sz w:val="24"/>
          <w:szCs w:val="24"/>
        </w:rPr>
        <w:t>Asian Journal of Gerontology and Geriatrics</w:t>
      </w:r>
      <w:r w:rsidRPr="00223984">
        <w:rPr>
          <w:rFonts w:ascii="Times New Roman" w:hAnsi="Times New Roman" w:cs="Times New Roman"/>
          <w:sz w:val="24"/>
          <w:szCs w:val="24"/>
        </w:rPr>
        <w:t xml:space="preserve">, </w:t>
      </w:r>
      <w:r w:rsidRPr="00223984">
        <w:rPr>
          <w:rFonts w:ascii="Times New Roman" w:hAnsi="Times New Roman" w:cs="Times New Roman"/>
          <w:iCs/>
          <w:sz w:val="24"/>
          <w:szCs w:val="24"/>
        </w:rPr>
        <w:t>8</w:t>
      </w:r>
      <w:r w:rsidRPr="00223984">
        <w:rPr>
          <w:rFonts w:ascii="Times New Roman" w:hAnsi="Times New Roman" w:cs="Times New Roman"/>
          <w:sz w:val="24"/>
          <w:szCs w:val="24"/>
        </w:rPr>
        <w:t>, 21-29.</w:t>
      </w:r>
      <w:r>
        <w:rPr>
          <w:rFonts w:ascii="Times New Roman" w:hAnsi="Times New Roman" w:cs="Times New Roman"/>
          <w:sz w:val="24"/>
          <w:szCs w:val="24"/>
        </w:rPr>
        <w:t xml:space="preserve"> </w:t>
      </w:r>
    </w:p>
    <w:p w14:paraId="1FE0A281" w14:textId="639A88A6" w:rsidR="00152AD4" w:rsidRPr="00223984" w:rsidRDefault="00152AD4" w:rsidP="000B1A46">
      <w:pPr>
        <w:autoSpaceDE w:val="0"/>
        <w:autoSpaceDN w:val="0"/>
        <w:adjustRightInd w:val="0"/>
        <w:spacing w:line="480" w:lineRule="auto"/>
        <w:ind w:left="432" w:hanging="432"/>
        <w:rPr>
          <w:rFonts w:ascii="Times New Roman" w:hAnsi="Times New Roman" w:cs="Times New Roman"/>
          <w:sz w:val="24"/>
          <w:szCs w:val="24"/>
        </w:rPr>
      </w:pPr>
      <w:proofErr w:type="spellStart"/>
      <w:r w:rsidRPr="001E6503">
        <w:rPr>
          <w:rFonts w:ascii="Times New Roman" w:hAnsi="Times New Roman" w:cs="Times New Roman"/>
          <w:sz w:val="24"/>
          <w:szCs w:val="24"/>
        </w:rPr>
        <w:t>Lintern</w:t>
      </w:r>
      <w:proofErr w:type="spellEnd"/>
      <w:r w:rsidRPr="001E6503">
        <w:rPr>
          <w:rFonts w:ascii="Times New Roman" w:hAnsi="Times New Roman" w:cs="Times New Roman"/>
          <w:sz w:val="24"/>
          <w:szCs w:val="24"/>
        </w:rPr>
        <w:t xml:space="preserve"> T. </w:t>
      </w:r>
      <w:r w:rsidR="00223984">
        <w:rPr>
          <w:rFonts w:ascii="Times New Roman" w:hAnsi="Times New Roman" w:cs="Times New Roman"/>
          <w:sz w:val="24"/>
          <w:szCs w:val="24"/>
        </w:rPr>
        <w:t>(</w:t>
      </w:r>
      <w:r w:rsidRPr="001E6503">
        <w:rPr>
          <w:rFonts w:ascii="Times New Roman" w:hAnsi="Times New Roman" w:cs="Times New Roman"/>
          <w:sz w:val="24"/>
          <w:szCs w:val="24"/>
        </w:rPr>
        <w:t>2001</w:t>
      </w:r>
      <w:r w:rsidR="00223984">
        <w:rPr>
          <w:rFonts w:ascii="Times New Roman" w:hAnsi="Times New Roman" w:cs="Times New Roman"/>
          <w:sz w:val="24"/>
          <w:szCs w:val="24"/>
        </w:rPr>
        <w:t>)</w:t>
      </w:r>
      <w:r w:rsidRPr="001E6503">
        <w:rPr>
          <w:rFonts w:ascii="Times New Roman" w:hAnsi="Times New Roman" w:cs="Times New Roman"/>
          <w:sz w:val="24"/>
          <w:szCs w:val="24"/>
        </w:rPr>
        <w:t xml:space="preserve">. </w:t>
      </w:r>
      <w:r w:rsidRPr="001E6503">
        <w:rPr>
          <w:rFonts w:ascii="Times New Roman" w:hAnsi="Times New Roman" w:cs="Times New Roman"/>
          <w:i/>
          <w:iCs/>
          <w:sz w:val="24"/>
          <w:szCs w:val="24"/>
        </w:rPr>
        <w:t>Quality in dementia care: Evaluating staff attitudes and behaviour</w:t>
      </w:r>
      <w:r w:rsidRPr="001E6503">
        <w:rPr>
          <w:rFonts w:ascii="Times New Roman" w:hAnsi="Times New Roman" w:cs="Times New Roman"/>
          <w:sz w:val="24"/>
          <w:szCs w:val="24"/>
        </w:rPr>
        <w:t xml:space="preserve"> (PhD </w:t>
      </w:r>
      <w:r w:rsidRPr="00223984">
        <w:rPr>
          <w:rFonts w:ascii="Times New Roman" w:hAnsi="Times New Roman" w:cs="Times New Roman"/>
          <w:sz w:val="24"/>
          <w:szCs w:val="24"/>
        </w:rPr>
        <w:t xml:space="preserve">thesis). </w:t>
      </w:r>
      <w:proofErr w:type="gramStart"/>
      <w:r w:rsidRPr="00223984">
        <w:rPr>
          <w:rFonts w:ascii="Times New Roman" w:hAnsi="Times New Roman" w:cs="Times New Roman"/>
          <w:sz w:val="24"/>
          <w:szCs w:val="24"/>
        </w:rPr>
        <w:t>University of Wales, Bangor, UK.</w:t>
      </w:r>
      <w:proofErr w:type="gramEnd"/>
    </w:p>
    <w:p w14:paraId="415105B1" w14:textId="27A90491" w:rsidR="00223984" w:rsidRPr="00223984" w:rsidRDefault="00223984" w:rsidP="000B1A46">
      <w:pPr>
        <w:spacing w:line="480" w:lineRule="auto"/>
        <w:ind w:left="426" w:hanging="426"/>
        <w:rPr>
          <w:rFonts w:ascii="Times New Roman" w:hAnsi="Times New Roman" w:cs="Times New Roman"/>
          <w:sz w:val="24"/>
          <w:szCs w:val="24"/>
        </w:rPr>
      </w:pPr>
      <w:proofErr w:type="gramStart"/>
      <w:r w:rsidRPr="00223984">
        <w:rPr>
          <w:rFonts w:ascii="Times New Roman" w:hAnsi="Times New Roman" w:cs="Times New Roman"/>
          <w:sz w:val="24"/>
          <w:szCs w:val="24"/>
        </w:rPr>
        <w:t xml:space="preserve">Low, L.F., Anstey, K.J., </w:t>
      </w:r>
      <w:proofErr w:type="spellStart"/>
      <w:r w:rsidRPr="00223984">
        <w:rPr>
          <w:rFonts w:ascii="Times New Roman" w:hAnsi="Times New Roman" w:cs="Times New Roman"/>
          <w:sz w:val="24"/>
          <w:szCs w:val="24"/>
        </w:rPr>
        <w:t>Lackersteen</w:t>
      </w:r>
      <w:proofErr w:type="spellEnd"/>
      <w:r w:rsidRPr="00223984">
        <w:rPr>
          <w:rFonts w:ascii="Times New Roman" w:hAnsi="Times New Roman" w:cs="Times New Roman"/>
          <w:sz w:val="24"/>
          <w:szCs w:val="24"/>
        </w:rPr>
        <w:t xml:space="preserve">, S.M., </w:t>
      </w:r>
      <w:proofErr w:type="spellStart"/>
      <w:r w:rsidRPr="00223984">
        <w:rPr>
          <w:rFonts w:ascii="Times New Roman" w:hAnsi="Times New Roman" w:cs="Times New Roman"/>
          <w:sz w:val="24"/>
          <w:szCs w:val="24"/>
        </w:rPr>
        <w:t>Camit</w:t>
      </w:r>
      <w:proofErr w:type="spellEnd"/>
      <w:r w:rsidRPr="00223984">
        <w:rPr>
          <w:rFonts w:ascii="Times New Roman" w:hAnsi="Times New Roman" w:cs="Times New Roman"/>
          <w:sz w:val="24"/>
          <w:szCs w:val="24"/>
        </w:rPr>
        <w:t>, M., Harrison,</w:t>
      </w:r>
      <w:r>
        <w:rPr>
          <w:rFonts w:ascii="Times New Roman" w:hAnsi="Times New Roman" w:cs="Times New Roman"/>
          <w:sz w:val="24"/>
          <w:szCs w:val="24"/>
        </w:rPr>
        <w:t xml:space="preserve"> F., Draper, B. and </w:t>
      </w:r>
      <w:proofErr w:type="spellStart"/>
      <w:r>
        <w:rPr>
          <w:rFonts w:ascii="Times New Roman" w:hAnsi="Times New Roman" w:cs="Times New Roman"/>
          <w:sz w:val="24"/>
          <w:szCs w:val="24"/>
        </w:rPr>
        <w:t>Brodaty</w:t>
      </w:r>
      <w:proofErr w:type="spellEnd"/>
      <w:r>
        <w:rPr>
          <w:rFonts w:ascii="Times New Roman" w:hAnsi="Times New Roman" w:cs="Times New Roman"/>
          <w:sz w:val="24"/>
          <w:szCs w:val="24"/>
        </w:rPr>
        <w:t>, H.</w:t>
      </w:r>
      <w:r w:rsidRPr="00223984">
        <w:rPr>
          <w:rFonts w:ascii="Times New Roman" w:hAnsi="Times New Roman" w:cs="Times New Roman"/>
          <w:sz w:val="24"/>
          <w:szCs w:val="24"/>
        </w:rPr>
        <w:t xml:space="preserve"> </w:t>
      </w:r>
      <w:r>
        <w:rPr>
          <w:rFonts w:ascii="Times New Roman" w:hAnsi="Times New Roman" w:cs="Times New Roman"/>
          <w:sz w:val="24"/>
          <w:szCs w:val="24"/>
        </w:rPr>
        <w:t>(</w:t>
      </w:r>
      <w:r w:rsidRPr="00223984">
        <w:rPr>
          <w:rFonts w:ascii="Times New Roman" w:hAnsi="Times New Roman" w:cs="Times New Roman"/>
          <w:sz w:val="24"/>
          <w:szCs w:val="24"/>
        </w:rPr>
        <w:t>2010</w:t>
      </w:r>
      <w:r>
        <w:rPr>
          <w:rFonts w:ascii="Times New Roman" w:hAnsi="Times New Roman" w:cs="Times New Roman"/>
          <w:sz w:val="24"/>
          <w:szCs w:val="24"/>
        </w:rPr>
        <w:t>)</w:t>
      </w:r>
      <w:r w:rsidRPr="00223984">
        <w:rPr>
          <w:rFonts w:ascii="Times New Roman" w:hAnsi="Times New Roman" w:cs="Times New Roman"/>
          <w:sz w:val="24"/>
          <w:szCs w:val="24"/>
        </w:rPr>
        <w:t>.</w:t>
      </w:r>
      <w:proofErr w:type="gramEnd"/>
      <w:r w:rsidRPr="00223984">
        <w:rPr>
          <w:rFonts w:ascii="Times New Roman" w:hAnsi="Times New Roman" w:cs="Times New Roman"/>
          <w:sz w:val="24"/>
          <w:szCs w:val="24"/>
        </w:rPr>
        <w:t xml:space="preserve"> </w:t>
      </w:r>
      <w:proofErr w:type="gramStart"/>
      <w:r w:rsidRPr="00223984">
        <w:rPr>
          <w:rFonts w:ascii="Times New Roman" w:hAnsi="Times New Roman" w:cs="Times New Roman"/>
          <w:sz w:val="24"/>
          <w:szCs w:val="24"/>
        </w:rPr>
        <w:t>Recognition, attitudes and causal beliefs regarding dementia in Italian, Greek and Chinese Australians.</w:t>
      </w:r>
      <w:proofErr w:type="gramEnd"/>
      <w:r w:rsidRPr="00223984">
        <w:rPr>
          <w:rFonts w:ascii="Times New Roman" w:hAnsi="Times New Roman" w:cs="Times New Roman"/>
          <w:sz w:val="24"/>
          <w:szCs w:val="24"/>
        </w:rPr>
        <w:t xml:space="preserve"> </w:t>
      </w:r>
      <w:proofErr w:type="gramStart"/>
      <w:r w:rsidRPr="00223984">
        <w:rPr>
          <w:rFonts w:ascii="Times New Roman" w:hAnsi="Times New Roman" w:cs="Times New Roman"/>
          <w:i/>
          <w:iCs/>
          <w:sz w:val="24"/>
          <w:szCs w:val="24"/>
        </w:rPr>
        <w:t>Dementia and geriatric cognitive disorders</w:t>
      </w:r>
      <w:r w:rsidRPr="00223984">
        <w:rPr>
          <w:rFonts w:ascii="Times New Roman" w:hAnsi="Times New Roman" w:cs="Times New Roman"/>
          <w:sz w:val="24"/>
          <w:szCs w:val="24"/>
        </w:rPr>
        <w:t xml:space="preserve">, </w:t>
      </w:r>
      <w:r w:rsidRPr="00223984">
        <w:rPr>
          <w:rFonts w:ascii="Times New Roman" w:hAnsi="Times New Roman" w:cs="Times New Roman"/>
          <w:iCs/>
          <w:sz w:val="24"/>
          <w:szCs w:val="24"/>
        </w:rPr>
        <w:t>30</w:t>
      </w:r>
      <w:r w:rsidRPr="00223984">
        <w:rPr>
          <w:rFonts w:ascii="Times New Roman" w:hAnsi="Times New Roman" w:cs="Times New Roman"/>
          <w:sz w:val="24"/>
          <w:szCs w:val="24"/>
        </w:rPr>
        <w:t>, 499-508.</w:t>
      </w:r>
      <w:proofErr w:type="gramEnd"/>
      <w:r w:rsidRPr="00223984">
        <w:rPr>
          <w:rFonts w:ascii="Times New Roman" w:hAnsi="Times New Roman" w:cs="Times New Roman"/>
          <w:sz w:val="24"/>
          <w:szCs w:val="24"/>
        </w:rPr>
        <w:t xml:space="preserve"> </w:t>
      </w:r>
      <w:proofErr w:type="spellStart"/>
      <w:proofErr w:type="gramStart"/>
      <w:r w:rsidRPr="00223984">
        <w:rPr>
          <w:rFonts w:ascii="Times New Roman" w:hAnsi="Times New Roman" w:cs="Times New Roman"/>
          <w:sz w:val="24"/>
          <w:szCs w:val="24"/>
        </w:rPr>
        <w:t>doi</w:t>
      </w:r>
      <w:proofErr w:type="spellEnd"/>
      <w:proofErr w:type="gramEnd"/>
      <w:r w:rsidRPr="00223984">
        <w:rPr>
          <w:rFonts w:ascii="Times New Roman" w:hAnsi="Times New Roman" w:cs="Times New Roman"/>
          <w:sz w:val="24"/>
          <w:szCs w:val="24"/>
        </w:rPr>
        <w:t>: 10.1159/000321667</w:t>
      </w:r>
    </w:p>
    <w:p w14:paraId="43BF4E8B" w14:textId="28315880" w:rsidR="00310697" w:rsidRPr="00310697" w:rsidRDefault="00310697" w:rsidP="000B1A46">
      <w:pPr>
        <w:spacing w:line="480" w:lineRule="auto"/>
        <w:ind w:left="426" w:hanging="426"/>
        <w:rPr>
          <w:rFonts w:ascii="Times New Roman" w:hAnsi="Times New Roman" w:cs="Times New Roman"/>
          <w:sz w:val="24"/>
          <w:szCs w:val="24"/>
        </w:rPr>
      </w:pPr>
      <w:proofErr w:type="gramStart"/>
      <w:r w:rsidRPr="00310697">
        <w:rPr>
          <w:rFonts w:ascii="Times New Roman" w:hAnsi="Times New Roman" w:cs="Times New Roman"/>
          <w:sz w:val="24"/>
          <w:szCs w:val="24"/>
        </w:rPr>
        <w:t xml:space="preserve">Matthews, F.E., Arthur, A., Barnes, L.E., Bond, J., Jagger, C., Robinson, L., </w:t>
      </w:r>
      <w:proofErr w:type="spellStart"/>
      <w:r w:rsidRPr="00310697">
        <w:rPr>
          <w:rFonts w:ascii="Times New Roman" w:hAnsi="Times New Roman" w:cs="Times New Roman"/>
          <w:sz w:val="24"/>
          <w:szCs w:val="24"/>
        </w:rPr>
        <w:t>Brayne</w:t>
      </w:r>
      <w:proofErr w:type="spellEnd"/>
      <w:r w:rsidRPr="00310697">
        <w:rPr>
          <w:rFonts w:ascii="Times New Roman" w:hAnsi="Times New Roman" w:cs="Times New Roman"/>
          <w:sz w:val="24"/>
          <w:szCs w:val="24"/>
        </w:rPr>
        <w:t>, C. and Medical Research Council Cognitive Function and Ageing Collaboration</w:t>
      </w:r>
      <w:r>
        <w:rPr>
          <w:rFonts w:ascii="Times New Roman" w:hAnsi="Times New Roman" w:cs="Times New Roman"/>
          <w:sz w:val="24"/>
          <w:szCs w:val="24"/>
        </w:rPr>
        <w:t>.</w:t>
      </w:r>
      <w:proofErr w:type="gramEnd"/>
      <w:r w:rsidRPr="00310697">
        <w:rPr>
          <w:rFonts w:ascii="Times New Roman" w:hAnsi="Times New Roman" w:cs="Times New Roman"/>
          <w:sz w:val="24"/>
          <w:szCs w:val="24"/>
        </w:rPr>
        <w:t xml:space="preserve"> </w:t>
      </w:r>
      <w:r>
        <w:rPr>
          <w:rFonts w:ascii="Times New Roman" w:hAnsi="Times New Roman" w:cs="Times New Roman"/>
          <w:sz w:val="24"/>
          <w:szCs w:val="24"/>
        </w:rPr>
        <w:t>(</w:t>
      </w:r>
      <w:r w:rsidRPr="00310697">
        <w:rPr>
          <w:rFonts w:ascii="Times New Roman" w:hAnsi="Times New Roman" w:cs="Times New Roman"/>
          <w:sz w:val="24"/>
          <w:szCs w:val="24"/>
        </w:rPr>
        <w:t>2013</w:t>
      </w:r>
      <w:r>
        <w:rPr>
          <w:rFonts w:ascii="Times New Roman" w:hAnsi="Times New Roman" w:cs="Times New Roman"/>
          <w:sz w:val="24"/>
          <w:szCs w:val="24"/>
        </w:rPr>
        <w:t>)</w:t>
      </w:r>
      <w:r w:rsidRPr="00310697">
        <w:rPr>
          <w:rFonts w:ascii="Times New Roman" w:hAnsi="Times New Roman" w:cs="Times New Roman"/>
          <w:sz w:val="24"/>
          <w:szCs w:val="24"/>
        </w:rPr>
        <w:t xml:space="preserve">. </w:t>
      </w:r>
      <w:proofErr w:type="gramStart"/>
      <w:r w:rsidRPr="00310697">
        <w:rPr>
          <w:rFonts w:ascii="Times New Roman" w:hAnsi="Times New Roman" w:cs="Times New Roman"/>
          <w:sz w:val="24"/>
          <w:szCs w:val="24"/>
        </w:rPr>
        <w:t>A</w:t>
      </w:r>
      <w:proofErr w:type="gramEnd"/>
      <w:r w:rsidRPr="00310697">
        <w:rPr>
          <w:rFonts w:ascii="Times New Roman" w:hAnsi="Times New Roman" w:cs="Times New Roman"/>
          <w:sz w:val="24"/>
          <w:szCs w:val="24"/>
        </w:rPr>
        <w:t xml:space="preserve"> two-decade comparison of prevalence of dementia in individuals aged 65 years and older from three geographical areas of England: results of the Cognitive Function and Ageing Study I and II. </w:t>
      </w:r>
      <w:r w:rsidRPr="00310697">
        <w:rPr>
          <w:rFonts w:ascii="Times New Roman" w:hAnsi="Times New Roman" w:cs="Times New Roman"/>
          <w:i/>
          <w:iCs/>
          <w:sz w:val="24"/>
          <w:szCs w:val="24"/>
        </w:rPr>
        <w:t>The Lancet</w:t>
      </w:r>
      <w:r w:rsidRPr="00310697">
        <w:rPr>
          <w:rFonts w:ascii="Times New Roman" w:hAnsi="Times New Roman" w:cs="Times New Roman"/>
          <w:sz w:val="24"/>
          <w:szCs w:val="24"/>
        </w:rPr>
        <w:t xml:space="preserve">, </w:t>
      </w:r>
      <w:r w:rsidRPr="00310697">
        <w:rPr>
          <w:rFonts w:ascii="Times New Roman" w:hAnsi="Times New Roman" w:cs="Times New Roman"/>
          <w:iCs/>
          <w:sz w:val="24"/>
          <w:szCs w:val="24"/>
        </w:rPr>
        <w:t>382</w:t>
      </w:r>
      <w:r w:rsidRPr="00310697">
        <w:rPr>
          <w:rFonts w:ascii="Times New Roman" w:hAnsi="Times New Roman" w:cs="Times New Roman"/>
          <w:sz w:val="24"/>
          <w:szCs w:val="24"/>
        </w:rPr>
        <w:t xml:space="preserve">, 1405-1412. </w:t>
      </w:r>
      <w:proofErr w:type="spellStart"/>
      <w:proofErr w:type="gramStart"/>
      <w:r w:rsidRPr="00310697">
        <w:rPr>
          <w:rFonts w:ascii="Times New Roman" w:hAnsi="Times New Roman" w:cs="Times New Roman"/>
          <w:sz w:val="24"/>
          <w:szCs w:val="24"/>
        </w:rPr>
        <w:t>doi</w:t>
      </w:r>
      <w:proofErr w:type="spellEnd"/>
      <w:proofErr w:type="gramEnd"/>
      <w:r w:rsidRPr="00310697">
        <w:rPr>
          <w:rFonts w:ascii="Times New Roman" w:hAnsi="Times New Roman" w:cs="Times New Roman"/>
          <w:sz w:val="24"/>
          <w:szCs w:val="24"/>
        </w:rPr>
        <w:t>: 10.1016/S0140-6736(13)61570-6</w:t>
      </w:r>
    </w:p>
    <w:p w14:paraId="20867EEC" w14:textId="0B768625" w:rsidR="00152AD4" w:rsidRPr="001E6503" w:rsidRDefault="00103AD5" w:rsidP="000B1A46">
      <w:pPr>
        <w:spacing w:before="120" w:after="120" w:line="480" w:lineRule="auto"/>
        <w:ind w:left="720" w:hanging="720"/>
        <w:rPr>
          <w:rFonts w:ascii="Times New Roman" w:eastAsia="Times New Roman" w:hAnsi="Times New Roman" w:cs="Times New Roman"/>
          <w:sz w:val="24"/>
          <w:szCs w:val="24"/>
          <w:shd w:val="clear" w:color="auto" w:fill="FFFFFF"/>
        </w:rPr>
      </w:pPr>
      <w:r w:rsidRPr="00310697">
        <w:rPr>
          <w:rFonts w:ascii="Times New Roman" w:eastAsia="Times New Roman" w:hAnsi="Times New Roman" w:cs="Times New Roman"/>
          <w:sz w:val="24"/>
          <w:szCs w:val="24"/>
          <w:shd w:val="clear" w:color="auto" w:fill="FFFFFF"/>
        </w:rPr>
        <w:t>McParland</w:t>
      </w:r>
      <w:r w:rsidR="00310697">
        <w:rPr>
          <w:rFonts w:ascii="Times New Roman" w:eastAsia="Times New Roman" w:hAnsi="Times New Roman" w:cs="Times New Roman"/>
          <w:sz w:val="24"/>
          <w:szCs w:val="24"/>
          <w:shd w:val="clear" w:color="auto" w:fill="FFFFFF"/>
        </w:rPr>
        <w:t>,</w:t>
      </w:r>
      <w:r w:rsidRPr="00310697">
        <w:rPr>
          <w:rFonts w:ascii="Times New Roman" w:eastAsia="Times New Roman" w:hAnsi="Times New Roman" w:cs="Times New Roman"/>
          <w:sz w:val="24"/>
          <w:szCs w:val="24"/>
          <w:shd w:val="clear" w:color="auto" w:fill="FFFFFF"/>
        </w:rPr>
        <w:t xml:space="preserve"> P</w:t>
      </w:r>
      <w:r w:rsidR="00310697">
        <w:rPr>
          <w:rFonts w:ascii="Times New Roman" w:eastAsia="Times New Roman" w:hAnsi="Times New Roman" w:cs="Times New Roman"/>
          <w:sz w:val="24"/>
          <w:szCs w:val="24"/>
          <w:shd w:val="clear" w:color="auto" w:fill="FFFFFF"/>
        </w:rPr>
        <w:t>.</w:t>
      </w:r>
      <w:r w:rsidRPr="00310697">
        <w:rPr>
          <w:rFonts w:ascii="Times New Roman" w:eastAsia="Times New Roman" w:hAnsi="Times New Roman" w:cs="Times New Roman"/>
          <w:sz w:val="24"/>
          <w:szCs w:val="24"/>
          <w:shd w:val="clear" w:color="auto" w:fill="FFFFFF"/>
        </w:rPr>
        <w:t>, Devine</w:t>
      </w:r>
      <w:r w:rsidR="00310697">
        <w:rPr>
          <w:rFonts w:ascii="Times New Roman" w:eastAsia="Times New Roman" w:hAnsi="Times New Roman" w:cs="Times New Roman"/>
          <w:sz w:val="24"/>
          <w:szCs w:val="24"/>
          <w:shd w:val="clear" w:color="auto" w:fill="FFFFFF"/>
        </w:rPr>
        <w:t>,</w:t>
      </w:r>
      <w:r w:rsidRPr="00310697">
        <w:rPr>
          <w:rFonts w:ascii="Times New Roman" w:eastAsia="Times New Roman" w:hAnsi="Times New Roman" w:cs="Times New Roman"/>
          <w:sz w:val="24"/>
          <w:szCs w:val="24"/>
          <w:shd w:val="clear" w:color="auto" w:fill="FFFFFF"/>
        </w:rPr>
        <w:t xml:space="preserve"> P</w:t>
      </w:r>
      <w:r w:rsidR="00310697">
        <w:rPr>
          <w:rFonts w:ascii="Times New Roman" w:eastAsia="Times New Roman" w:hAnsi="Times New Roman" w:cs="Times New Roman"/>
          <w:sz w:val="24"/>
          <w:szCs w:val="24"/>
          <w:shd w:val="clear" w:color="auto" w:fill="FFFFFF"/>
        </w:rPr>
        <w:t>.</w:t>
      </w:r>
      <w:r w:rsidRPr="00310697">
        <w:rPr>
          <w:rFonts w:ascii="Times New Roman" w:eastAsia="Times New Roman" w:hAnsi="Times New Roman" w:cs="Times New Roman"/>
          <w:sz w:val="24"/>
          <w:szCs w:val="24"/>
          <w:shd w:val="clear" w:color="auto" w:fill="FFFFFF"/>
        </w:rPr>
        <w:t>, Innes</w:t>
      </w:r>
      <w:r w:rsidR="00310697">
        <w:rPr>
          <w:rFonts w:ascii="Times New Roman" w:eastAsia="Times New Roman" w:hAnsi="Times New Roman" w:cs="Times New Roman"/>
          <w:sz w:val="24"/>
          <w:szCs w:val="24"/>
          <w:shd w:val="clear" w:color="auto" w:fill="FFFFFF"/>
        </w:rPr>
        <w:t>,</w:t>
      </w:r>
      <w:r w:rsidRPr="00310697">
        <w:rPr>
          <w:rFonts w:ascii="Times New Roman" w:eastAsia="Times New Roman" w:hAnsi="Times New Roman" w:cs="Times New Roman"/>
          <w:sz w:val="24"/>
          <w:szCs w:val="24"/>
          <w:shd w:val="clear" w:color="auto" w:fill="FFFFFF"/>
        </w:rPr>
        <w:t xml:space="preserve"> A</w:t>
      </w:r>
      <w:r w:rsidR="00310697">
        <w:rPr>
          <w:rFonts w:ascii="Times New Roman" w:eastAsia="Times New Roman" w:hAnsi="Times New Roman" w:cs="Times New Roman"/>
          <w:sz w:val="24"/>
          <w:szCs w:val="24"/>
          <w:shd w:val="clear" w:color="auto" w:fill="FFFFFF"/>
        </w:rPr>
        <w:t>. and</w:t>
      </w:r>
      <w:r w:rsidR="00152AD4" w:rsidRPr="00310697">
        <w:rPr>
          <w:rFonts w:ascii="Times New Roman" w:eastAsia="Times New Roman" w:hAnsi="Times New Roman" w:cs="Times New Roman"/>
          <w:sz w:val="24"/>
          <w:szCs w:val="24"/>
          <w:shd w:val="clear" w:color="auto" w:fill="FFFFFF"/>
        </w:rPr>
        <w:t xml:space="preserve"> Gay</w:t>
      </w:r>
      <w:r w:rsidRPr="00310697">
        <w:rPr>
          <w:rFonts w:ascii="Times New Roman" w:eastAsia="Times New Roman" w:hAnsi="Times New Roman" w:cs="Times New Roman"/>
          <w:sz w:val="24"/>
          <w:szCs w:val="24"/>
          <w:shd w:val="clear" w:color="auto" w:fill="FFFFFF"/>
        </w:rPr>
        <w:t>le</w:t>
      </w:r>
      <w:r w:rsidR="00310697">
        <w:rPr>
          <w:rFonts w:ascii="Times New Roman" w:eastAsia="Times New Roman" w:hAnsi="Times New Roman" w:cs="Times New Roman"/>
          <w:sz w:val="24"/>
          <w:szCs w:val="24"/>
          <w:shd w:val="clear" w:color="auto" w:fill="FFFFFF"/>
        </w:rPr>
        <w:t>,</w:t>
      </w:r>
      <w:r w:rsidRPr="001E6503">
        <w:rPr>
          <w:rFonts w:ascii="Times New Roman" w:eastAsia="Times New Roman" w:hAnsi="Times New Roman" w:cs="Times New Roman"/>
          <w:sz w:val="24"/>
          <w:szCs w:val="24"/>
          <w:shd w:val="clear" w:color="auto" w:fill="FFFFFF"/>
        </w:rPr>
        <w:t xml:space="preserve"> V. </w:t>
      </w:r>
      <w:r w:rsidR="00310697">
        <w:rPr>
          <w:rFonts w:ascii="Times New Roman" w:eastAsia="Times New Roman" w:hAnsi="Times New Roman" w:cs="Times New Roman"/>
          <w:sz w:val="24"/>
          <w:szCs w:val="24"/>
          <w:shd w:val="clear" w:color="auto" w:fill="FFFFFF"/>
        </w:rPr>
        <w:t>(</w:t>
      </w:r>
      <w:r w:rsidRPr="001E6503">
        <w:rPr>
          <w:rFonts w:ascii="Times New Roman" w:eastAsia="Times New Roman" w:hAnsi="Times New Roman" w:cs="Times New Roman"/>
          <w:sz w:val="24"/>
          <w:szCs w:val="24"/>
          <w:shd w:val="clear" w:color="auto" w:fill="FFFFFF"/>
        </w:rPr>
        <w:t>2012</w:t>
      </w:r>
      <w:r w:rsidR="00664E7C">
        <w:rPr>
          <w:rFonts w:ascii="Times New Roman" w:eastAsia="Times New Roman" w:hAnsi="Times New Roman" w:cs="Times New Roman"/>
          <w:sz w:val="24"/>
          <w:szCs w:val="24"/>
          <w:shd w:val="clear" w:color="auto" w:fill="FFFFFF"/>
        </w:rPr>
        <w:t>)</w:t>
      </w:r>
      <w:r w:rsidR="00152AD4" w:rsidRPr="001E6503">
        <w:rPr>
          <w:rFonts w:ascii="Times New Roman" w:eastAsia="Times New Roman" w:hAnsi="Times New Roman" w:cs="Times New Roman"/>
          <w:sz w:val="24"/>
          <w:szCs w:val="24"/>
          <w:shd w:val="clear" w:color="auto" w:fill="FFFFFF"/>
        </w:rPr>
        <w:t>. Dementia knowledge and attitudes of the general public in Northern Ireland: an analysis of national survey data. </w:t>
      </w:r>
      <w:r w:rsidR="00152AD4" w:rsidRPr="00664E7C">
        <w:rPr>
          <w:rFonts w:ascii="Times New Roman" w:eastAsia="Times New Roman" w:hAnsi="Times New Roman" w:cs="Times New Roman"/>
          <w:i/>
          <w:iCs/>
          <w:sz w:val="24"/>
          <w:szCs w:val="24"/>
          <w:shd w:val="clear" w:color="auto" w:fill="FFFFFF"/>
        </w:rPr>
        <w:t xml:space="preserve">International </w:t>
      </w:r>
      <w:proofErr w:type="spellStart"/>
      <w:r w:rsidR="00152AD4" w:rsidRPr="00664E7C">
        <w:rPr>
          <w:rFonts w:ascii="Times New Roman" w:eastAsia="Times New Roman" w:hAnsi="Times New Roman" w:cs="Times New Roman"/>
          <w:i/>
          <w:iCs/>
          <w:sz w:val="24"/>
          <w:szCs w:val="24"/>
          <w:shd w:val="clear" w:color="auto" w:fill="FFFFFF"/>
        </w:rPr>
        <w:t>Psychogeriatrics</w:t>
      </w:r>
      <w:proofErr w:type="spellEnd"/>
      <w:r w:rsidR="00310697" w:rsidRPr="00664E7C">
        <w:rPr>
          <w:rFonts w:ascii="Times New Roman" w:eastAsia="Times New Roman" w:hAnsi="Times New Roman" w:cs="Times New Roman"/>
          <w:iCs/>
          <w:sz w:val="24"/>
          <w:szCs w:val="24"/>
          <w:shd w:val="clear" w:color="auto" w:fill="FFFFFF"/>
        </w:rPr>
        <w:t>,</w:t>
      </w:r>
      <w:r w:rsidR="00152AD4" w:rsidRPr="00664E7C">
        <w:rPr>
          <w:rFonts w:ascii="Times New Roman" w:eastAsia="Times New Roman" w:hAnsi="Times New Roman" w:cs="Times New Roman"/>
          <w:sz w:val="24"/>
          <w:szCs w:val="24"/>
          <w:shd w:val="clear" w:color="auto" w:fill="FFFFFF"/>
        </w:rPr>
        <w:t> </w:t>
      </w:r>
      <w:r w:rsidR="00152AD4" w:rsidRPr="00664E7C">
        <w:rPr>
          <w:rFonts w:ascii="Times New Roman" w:eastAsia="Times New Roman" w:hAnsi="Times New Roman" w:cs="Times New Roman"/>
          <w:iCs/>
          <w:sz w:val="24"/>
          <w:szCs w:val="24"/>
          <w:shd w:val="clear" w:color="auto" w:fill="FFFFFF"/>
        </w:rPr>
        <w:t>24</w:t>
      </w:r>
      <w:r w:rsidR="00152AD4" w:rsidRPr="00664E7C">
        <w:rPr>
          <w:rFonts w:ascii="Times New Roman" w:eastAsia="Times New Roman" w:hAnsi="Times New Roman" w:cs="Times New Roman"/>
          <w:sz w:val="24"/>
          <w:szCs w:val="24"/>
          <w:shd w:val="clear" w:color="auto" w:fill="FFFFFF"/>
        </w:rPr>
        <w:t>, 1600-1613.</w:t>
      </w:r>
      <w:r w:rsidR="00310697" w:rsidRPr="00664E7C">
        <w:rPr>
          <w:rFonts w:ascii="Times New Roman" w:eastAsia="Times New Roman" w:hAnsi="Times New Roman" w:cs="Times New Roman"/>
          <w:sz w:val="24"/>
          <w:szCs w:val="24"/>
          <w:shd w:val="clear" w:color="auto" w:fill="FFFFFF"/>
        </w:rPr>
        <w:t xml:space="preserve"> </w:t>
      </w:r>
      <w:proofErr w:type="spellStart"/>
      <w:proofErr w:type="gramStart"/>
      <w:r w:rsidR="00310697" w:rsidRPr="00664E7C">
        <w:rPr>
          <w:rFonts w:ascii="Times New Roman" w:eastAsia="Times New Roman" w:hAnsi="Times New Roman" w:cs="Times New Roman"/>
          <w:sz w:val="24"/>
          <w:szCs w:val="24"/>
          <w:shd w:val="clear" w:color="auto" w:fill="FFFFFF"/>
        </w:rPr>
        <w:t>doi</w:t>
      </w:r>
      <w:proofErr w:type="spellEnd"/>
      <w:proofErr w:type="gramEnd"/>
      <w:r w:rsidR="00310697" w:rsidRPr="00664E7C">
        <w:rPr>
          <w:rFonts w:ascii="Times New Roman" w:eastAsia="Times New Roman" w:hAnsi="Times New Roman" w:cs="Times New Roman"/>
          <w:sz w:val="24"/>
          <w:szCs w:val="24"/>
          <w:shd w:val="clear" w:color="auto" w:fill="FFFFFF"/>
        </w:rPr>
        <w:t>:</w:t>
      </w:r>
      <w:r w:rsidR="00664E7C" w:rsidRPr="00664E7C">
        <w:rPr>
          <w:rFonts w:ascii="Times New Roman" w:eastAsia="Times New Roman" w:hAnsi="Times New Roman" w:cs="Times New Roman"/>
          <w:sz w:val="24"/>
          <w:szCs w:val="24"/>
          <w:shd w:val="clear" w:color="auto" w:fill="FFFFFF"/>
        </w:rPr>
        <w:t xml:space="preserve"> 10.1017/S1041610212000658</w:t>
      </w:r>
    </w:p>
    <w:p w14:paraId="7977F89C" w14:textId="4D35185A" w:rsidR="00385180" w:rsidRPr="00385180" w:rsidRDefault="00385180" w:rsidP="000B1A46">
      <w:pPr>
        <w:spacing w:line="480" w:lineRule="auto"/>
        <w:ind w:left="426" w:hanging="426"/>
        <w:rPr>
          <w:rFonts w:ascii="Times New Roman" w:hAnsi="Times New Roman" w:cs="Times New Roman"/>
          <w:sz w:val="24"/>
          <w:szCs w:val="24"/>
        </w:rPr>
      </w:pPr>
      <w:proofErr w:type="gramStart"/>
      <w:r w:rsidRPr="00385180">
        <w:rPr>
          <w:rFonts w:ascii="Times New Roman" w:hAnsi="Times New Roman" w:cs="Times New Roman"/>
          <w:sz w:val="24"/>
          <w:szCs w:val="24"/>
        </w:rPr>
        <w:lastRenderedPageBreak/>
        <w:t xml:space="preserve">Moyle, W., </w:t>
      </w:r>
      <w:proofErr w:type="spellStart"/>
      <w:r w:rsidRPr="00385180">
        <w:rPr>
          <w:rFonts w:ascii="Times New Roman" w:hAnsi="Times New Roman" w:cs="Times New Roman"/>
          <w:sz w:val="24"/>
          <w:szCs w:val="24"/>
        </w:rPr>
        <w:t>Murfield</w:t>
      </w:r>
      <w:proofErr w:type="spellEnd"/>
      <w:r w:rsidRPr="00385180">
        <w:rPr>
          <w:rFonts w:ascii="Times New Roman" w:hAnsi="Times New Roman" w:cs="Times New Roman"/>
          <w:sz w:val="24"/>
          <w:szCs w:val="24"/>
        </w:rPr>
        <w:t xml:space="preserve">, J.E., Griffiths, S.G. and </w:t>
      </w:r>
      <w:proofErr w:type="spellStart"/>
      <w:r w:rsidRPr="00385180">
        <w:rPr>
          <w:rFonts w:ascii="Times New Roman" w:hAnsi="Times New Roman" w:cs="Times New Roman"/>
          <w:sz w:val="24"/>
          <w:szCs w:val="24"/>
        </w:rPr>
        <w:t>Venturato</w:t>
      </w:r>
      <w:proofErr w:type="spellEnd"/>
      <w:r w:rsidRPr="00385180">
        <w:rPr>
          <w:rFonts w:ascii="Times New Roman" w:hAnsi="Times New Roman" w:cs="Times New Roman"/>
          <w:sz w:val="24"/>
          <w:szCs w:val="24"/>
        </w:rPr>
        <w:t>, L., 2011.</w:t>
      </w:r>
      <w:proofErr w:type="gramEnd"/>
      <w:r w:rsidRPr="00385180">
        <w:rPr>
          <w:rFonts w:ascii="Times New Roman" w:hAnsi="Times New Roman" w:cs="Times New Roman"/>
          <w:sz w:val="24"/>
          <w:szCs w:val="24"/>
        </w:rPr>
        <w:t xml:space="preserve"> Care staff attitudes and experiences of working with older people with dementia. </w:t>
      </w:r>
      <w:r w:rsidRPr="00385180">
        <w:rPr>
          <w:rFonts w:ascii="Times New Roman" w:hAnsi="Times New Roman" w:cs="Times New Roman"/>
          <w:i/>
          <w:iCs/>
          <w:sz w:val="24"/>
          <w:szCs w:val="24"/>
        </w:rPr>
        <w:t>Australasian Journal on Ageing</w:t>
      </w:r>
      <w:r w:rsidRPr="00385180">
        <w:rPr>
          <w:rFonts w:ascii="Times New Roman" w:hAnsi="Times New Roman" w:cs="Times New Roman"/>
          <w:sz w:val="24"/>
          <w:szCs w:val="24"/>
        </w:rPr>
        <w:t xml:space="preserve">, </w:t>
      </w:r>
      <w:r w:rsidRPr="00385180">
        <w:rPr>
          <w:rFonts w:ascii="Times New Roman" w:hAnsi="Times New Roman" w:cs="Times New Roman"/>
          <w:iCs/>
          <w:sz w:val="24"/>
          <w:szCs w:val="24"/>
        </w:rPr>
        <w:t>30</w:t>
      </w:r>
      <w:r w:rsidRPr="00385180">
        <w:rPr>
          <w:rFonts w:ascii="Times New Roman" w:hAnsi="Times New Roman" w:cs="Times New Roman"/>
          <w:sz w:val="24"/>
          <w:szCs w:val="24"/>
        </w:rPr>
        <w:t xml:space="preserve">, 86-190. </w:t>
      </w:r>
      <w:proofErr w:type="spellStart"/>
      <w:proofErr w:type="gramStart"/>
      <w:r>
        <w:rPr>
          <w:rFonts w:ascii="Times New Roman" w:hAnsi="Times New Roman" w:cs="Times New Roman"/>
          <w:sz w:val="24"/>
          <w:szCs w:val="24"/>
        </w:rPr>
        <w:t>d</w:t>
      </w:r>
      <w:r w:rsidRPr="00385180">
        <w:rPr>
          <w:rFonts w:ascii="Times New Roman" w:hAnsi="Times New Roman" w:cs="Times New Roman"/>
          <w:sz w:val="24"/>
          <w:szCs w:val="24"/>
        </w:rPr>
        <w:t>oi</w:t>
      </w:r>
      <w:proofErr w:type="spellEnd"/>
      <w:proofErr w:type="gramEnd"/>
      <w:r w:rsidRPr="00385180">
        <w:rPr>
          <w:rFonts w:ascii="Times New Roman" w:hAnsi="Times New Roman" w:cs="Times New Roman"/>
          <w:sz w:val="24"/>
          <w:szCs w:val="24"/>
        </w:rPr>
        <w:t>: 10.1111/j.1741-6612.2010.00470.x</w:t>
      </w:r>
    </w:p>
    <w:p w14:paraId="46A41E68" w14:textId="4F2A8CD9" w:rsidR="00152AD4" w:rsidRPr="00032F0B" w:rsidRDefault="00152AD4" w:rsidP="000B1A46">
      <w:pPr>
        <w:spacing w:line="480" w:lineRule="auto"/>
        <w:ind w:left="709" w:hanging="709"/>
        <w:rPr>
          <w:rFonts w:ascii="Times New Roman" w:hAnsi="Times New Roman" w:cs="Times New Roman"/>
          <w:sz w:val="24"/>
          <w:szCs w:val="24"/>
        </w:rPr>
      </w:pPr>
      <w:proofErr w:type="gramStart"/>
      <w:r w:rsidRPr="00385180">
        <w:rPr>
          <w:rFonts w:ascii="Times New Roman" w:hAnsi="Times New Roman" w:cs="Times New Roman"/>
          <w:sz w:val="24"/>
          <w:szCs w:val="24"/>
        </w:rPr>
        <w:t>O'Connor</w:t>
      </w:r>
      <w:r w:rsidR="00592465">
        <w:rPr>
          <w:rFonts w:ascii="Times New Roman" w:hAnsi="Times New Roman" w:cs="Times New Roman"/>
          <w:sz w:val="24"/>
          <w:szCs w:val="24"/>
        </w:rPr>
        <w:t>,</w:t>
      </w:r>
      <w:r w:rsidRPr="001E6503">
        <w:rPr>
          <w:rFonts w:ascii="Times New Roman" w:hAnsi="Times New Roman" w:cs="Times New Roman"/>
          <w:sz w:val="24"/>
          <w:szCs w:val="24"/>
        </w:rPr>
        <w:t xml:space="preserve"> M</w:t>
      </w:r>
      <w:r w:rsidR="00592465">
        <w:rPr>
          <w:rFonts w:ascii="Times New Roman" w:hAnsi="Times New Roman" w:cs="Times New Roman"/>
          <w:sz w:val="24"/>
          <w:szCs w:val="24"/>
        </w:rPr>
        <w:t>.</w:t>
      </w:r>
      <w:r w:rsidRPr="001E6503">
        <w:rPr>
          <w:rFonts w:ascii="Times New Roman" w:hAnsi="Times New Roman" w:cs="Times New Roman"/>
          <w:sz w:val="24"/>
          <w:szCs w:val="24"/>
        </w:rPr>
        <w:t>L</w:t>
      </w:r>
      <w:r w:rsidR="00592465">
        <w:rPr>
          <w:rFonts w:ascii="Times New Roman" w:hAnsi="Times New Roman" w:cs="Times New Roman"/>
          <w:sz w:val="24"/>
          <w:szCs w:val="24"/>
        </w:rPr>
        <w:t>. and</w:t>
      </w:r>
      <w:r w:rsidRPr="001E6503">
        <w:rPr>
          <w:rFonts w:ascii="Times New Roman" w:hAnsi="Times New Roman" w:cs="Times New Roman"/>
          <w:sz w:val="24"/>
          <w:szCs w:val="24"/>
        </w:rPr>
        <w:t xml:space="preserve"> McFadden</w:t>
      </w:r>
      <w:r w:rsidR="00592465">
        <w:rPr>
          <w:rFonts w:ascii="Times New Roman" w:hAnsi="Times New Roman" w:cs="Times New Roman"/>
          <w:sz w:val="24"/>
          <w:szCs w:val="24"/>
        </w:rPr>
        <w:t>,</w:t>
      </w:r>
      <w:r w:rsidRPr="001E6503">
        <w:rPr>
          <w:rFonts w:ascii="Times New Roman" w:hAnsi="Times New Roman" w:cs="Times New Roman"/>
          <w:sz w:val="24"/>
          <w:szCs w:val="24"/>
        </w:rPr>
        <w:t xml:space="preserve"> S</w:t>
      </w:r>
      <w:r w:rsidR="00592465">
        <w:rPr>
          <w:rFonts w:ascii="Times New Roman" w:hAnsi="Times New Roman" w:cs="Times New Roman"/>
          <w:sz w:val="24"/>
          <w:szCs w:val="24"/>
        </w:rPr>
        <w:t>.</w:t>
      </w:r>
      <w:r w:rsidRPr="001E6503">
        <w:rPr>
          <w:rFonts w:ascii="Times New Roman" w:hAnsi="Times New Roman" w:cs="Times New Roman"/>
          <w:sz w:val="24"/>
          <w:szCs w:val="24"/>
        </w:rPr>
        <w:t xml:space="preserve">H. </w:t>
      </w:r>
      <w:r w:rsidR="00592465">
        <w:rPr>
          <w:rFonts w:ascii="Times New Roman" w:hAnsi="Times New Roman" w:cs="Times New Roman"/>
          <w:sz w:val="24"/>
          <w:szCs w:val="24"/>
        </w:rPr>
        <w:t>(</w:t>
      </w:r>
      <w:r w:rsidRPr="001E6503">
        <w:rPr>
          <w:rFonts w:ascii="Times New Roman" w:hAnsi="Times New Roman" w:cs="Times New Roman"/>
          <w:sz w:val="24"/>
          <w:szCs w:val="24"/>
        </w:rPr>
        <w:t>2010</w:t>
      </w:r>
      <w:r w:rsidR="00592465">
        <w:rPr>
          <w:rFonts w:ascii="Times New Roman" w:hAnsi="Times New Roman" w:cs="Times New Roman"/>
          <w:sz w:val="24"/>
          <w:szCs w:val="24"/>
        </w:rPr>
        <w:t>)</w:t>
      </w:r>
      <w:r w:rsidRPr="001E6503">
        <w:rPr>
          <w:rFonts w:ascii="Times New Roman" w:hAnsi="Times New Roman" w:cs="Times New Roman"/>
          <w:sz w:val="24"/>
          <w:szCs w:val="24"/>
        </w:rPr>
        <w:t>.</w:t>
      </w:r>
      <w:proofErr w:type="gramEnd"/>
      <w:r w:rsidRPr="001E6503">
        <w:rPr>
          <w:rFonts w:ascii="Times New Roman" w:hAnsi="Times New Roman" w:cs="Times New Roman"/>
          <w:sz w:val="24"/>
          <w:szCs w:val="24"/>
        </w:rPr>
        <w:t xml:space="preserve"> </w:t>
      </w:r>
      <w:proofErr w:type="gramStart"/>
      <w:r w:rsidRPr="001E6503">
        <w:rPr>
          <w:rFonts w:ascii="Times New Roman" w:hAnsi="Times New Roman" w:cs="Times New Roman"/>
          <w:sz w:val="24"/>
          <w:szCs w:val="24"/>
        </w:rPr>
        <w:t>Development and psychometric validation of the Dementia Attitudes Scale.</w:t>
      </w:r>
      <w:proofErr w:type="gramEnd"/>
      <w:r w:rsidRPr="001E6503">
        <w:rPr>
          <w:rFonts w:ascii="Times New Roman" w:hAnsi="Times New Roman" w:cs="Times New Roman"/>
          <w:sz w:val="24"/>
          <w:szCs w:val="24"/>
        </w:rPr>
        <w:t xml:space="preserve"> </w:t>
      </w:r>
      <w:proofErr w:type="gramStart"/>
      <w:r w:rsidRPr="001E6503">
        <w:rPr>
          <w:rFonts w:ascii="Times New Roman" w:hAnsi="Times New Roman" w:cs="Times New Roman"/>
          <w:i/>
          <w:iCs/>
          <w:sz w:val="24"/>
          <w:szCs w:val="24"/>
        </w:rPr>
        <w:t>Int</w:t>
      </w:r>
      <w:r w:rsidR="00032F0B">
        <w:rPr>
          <w:rFonts w:ascii="Times New Roman" w:hAnsi="Times New Roman" w:cs="Times New Roman"/>
          <w:i/>
          <w:iCs/>
          <w:sz w:val="24"/>
          <w:szCs w:val="24"/>
        </w:rPr>
        <w:t>ernational</w:t>
      </w:r>
      <w:r w:rsidRPr="001E6503">
        <w:rPr>
          <w:rFonts w:ascii="Times New Roman" w:hAnsi="Times New Roman" w:cs="Times New Roman"/>
          <w:i/>
          <w:iCs/>
          <w:sz w:val="24"/>
          <w:szCs w:val="24"/>
        </w:rPr>
        <w:t xml:space="preserve"> J</w:t>
      </w:r>
      <w:r w:rsidR="00032F0B">
        <w:rPr>
          <w:rFonts w:ascii="Times New Roman" w:hAnsi="Times New Roman" w:cs="Times New Roman"/>
          <w:i/>
          <w:iCs/>
          <w:sz w:val="24"/>
          <w:szCs w:val="24"/>
        </w:rPr>
        <w:t>ournal of</w:t>
      </w:r>
      <w:r w:rsidRPr="001E6503">
        <w:rPr>
          <w:rFonts w:ascii="Times New Roman" w:hAnsi="Times New Roman" w:cs="Times New Roman"/>
          <w:i/>
          <w:iCs/>
          <w:sz w:val="24"/>
          <w:szCs w:val="24"/>
        </w:rPr>
        <w:t xml:space="preserve"> Alzheimer </w:t>
      </w:r>
      <w:r w:rsidR="00592465" w:rsidRPr="001E6503">
        <w:rPr>
          <w:rFonts w:ascii="Times New Roman" w:hAnsi="Times New Roman" w:cs="Times New Roman"/>
          <w:i/>
          <w:iCs/>
          <w:sz w:val="24"/>
          <w:szCs w:val="24"/>
        </w:rPr>
        <w:t>Dis</w:t>
      </w:r>
      <w:r w:rsidR="00592465">
        <w:rPr>
          <w:rFonts w:ascii="Times New Roman" w:hAnsi="Times New Roman" w:cs="Times New Roman"/>
          <w:i/>
          <w:iCs/>
          <w:sz w:val="24"/>
          <w:szCs w:val="24"/>
        </w:rPr>
        <w:t>ease</w:t>
      </w:r>
      <w:r w:rsidR="00032F0B">
        <w:rPr>
          <w:rFonts w:ascii="Times New Roman" w:hAnsi="Times New Roman" w:cs="Times New Roman"/>
          <w:i/>
          <w:iCs/>
          <w:sz w:val="24"/>
          <w:szCs w:val="24"/>
        </w:rPr>
        <w:t>,</w:t>
      </w:r>
      <w:r w:rsidR="005C34C0" w:rsidRPr="001E6503">
        <w:rPr>
          <w:rFonts w:ascii="Times New Roman" w:hAnsi="Times New Roman" w:cs="Times New Roman"/>
          <w:sz w:val="24"/>
          <w:szCs w:val="24"/>
        </w:rPr>
        <w:t xml:space="preserve"> Article ID 454218</w:t>
      </w:r>
      <w:r w:rsidR="00032F0B">
        <w:rPr>
          <w:rFonts w:ascii="Times New Roman" w:hAnsi="Times New Roman" w:cs="Times New Roman"/>
          <w:sz w:val="24"/>
          <w:szCs w:val="24"/>
        </w:rPr>
        <w:t>.</w:t>
      </w:r>
      <w:proofErr w:type="gramEnd"/>
      <w:r w:rsidR="00032F0B">
        <w:rPr>
          <w:rFonts w:ascii="Times New Roman" w:hAnsi="Times New Roman" w:cs="Times New Roman"/>
          <w:sz w:val="24"/>
          <w:szCs w:val="24"/>
        </w:rPr>
        <w:t xml:space="preserve"> </w:t>
      </w:r>
      <w:proofErr w:type="spellStart"/>
      <w:proofErr w:type="gramStart"/>
      <w:r w:rsidR="00032F0B">
        <w:rPr>
          <w:rFonts w:ascii="Times New Roman" w:hAnsi="Times New Roman" w:cs="Times New Roman"/>
          <w:sz w:val="24"/>
          <w:szCs w:val="24"/>
        </w:rPr>
        <w:t>doi</w:t>
      </w:r>
      <w:proofErr w:type="spellEnd"/>
      <w:proofErr w:type="gramEnd"/>
      <w:r w:rsidR="00032F0B">
        <w:rPr>
          <w:rFonts w:ascii="Times New Roman" w:hAnsi="Times New Roman" w:cs="Times New Roman"/>
          <w:sz w:val="24"/>
          <w:szCs w:val="24"/>
        </w:rPr>
        <w:t xml:space="preserve">: </w:t>
      </w:r>
      <w:r w:rsidR="00032F0B" w:rsidRPr="00032F0B">
        <w:rPr>
          <w:rFonts w:ascii="Times New Roman" w:hAnsi="Times New Roman" w:cs="Times New Roman"/>
          <w:sz w:val="24"/>
          <w:szCs w:val="24"/>
        </w:rPr>
        <w:t>10.4061/2010/454218</w:t>
      </w:r>
    </w:p>
    <w:p w14:paraId="212F4849" w14:textId="4DE917A1" w:rsidR="00152AD4" w:rsidRPr="001E6503" w:rsidRDefault="00152AD4" w:rsidP="000B1A46">
      <w:pPr>
        <w:spacing w:line="480" w:lineRule="auto"/>
        <w:ind w:left="432" w:hanging="432"/>
        <w:rPr>
          <w:rFonts w:ascii="Times New Roman" w:hAnsi="Times New Roman" w:cs="Times New Roman"/>
          <w:sz w:val="24"/>
          <w:szCs w:val="24"/>
        </w:rPr>
      </w:pPr>
      <w:proofErr w:type="gramStart"/>
      <w:r w:rsidRPr="001E6503">
        <w:rPr>
          <w:rFonts w:ascii="Times New Roman" w:hAnsi="Times New Roman" w:cs="Times New Roman"/>
          <w:sz w:val="24"/>
          <w:szCs w:val="24"/>
        </w:rPr>
        <w:t>Office for National Statistics.</w:t>
      </w:r>
      <w:proofErr w:type="gramEnd"/>
      <w:r w:rsidRPr="001E6503">
        <w:rPr>
          <w:rFonts w:ascii="Times New Roman" w:hAnsi="Times New Roman" w:cs="Times New Roman"/>
          <w:sz w:val="24"/>
          <w:szCs w:val="24"/>
        </w:rPr>
        <w:t xml:space="preserve"> </w:t>
      </w:r>
      <w:r w:rsidR="00385180">
        <w:rPr>
          <w:rFonts w:ascii="Times New Roman" w:hAnsi="Times New Roman" w:cs="Times New Roman"/>
          <w:sz w:val="24"/>
          <w:szCs w:val="24"/>
        </w:rPr>
        <w:t>(</w:t>
      </w:r>
      <w:r w:rsidRPr="001E6503">
        <w:rPr>
          <w:rFonts w:ascii="Times New Roman" w:hAnsi="Times New Roman" w:cs="Times New Roman"/>
          <w:sz w:val="24"/>
          <w:szCs w:val="24"/>
        </w:rPr>
        <w:t>2015</w:t>
      </w:r>
      <w:r w:rsidR="00385180">
        <w:rPr>
          <w:rFonts w:ascii="Times New Roman" w:hAnsi="Times New Roman" w:cs="Times New Roman"/>
          <w:sz w:val="24"/>
          <w:szCs w:val="24"/>
        </w:rPr>
        <w:t>)</w:t>
      </w:r>
      <w:r w:rsidRPr="001E6503">
        <w:rPr>
          <w:rFonts w:ascii="Times New Roman" w:hAnsi="Times New Roman" w:cs="Times New Roman"/>
          <w:sz w:val="24"/>
          <w:szCs w:val="24"/>
        </w:rPr>
        <w:t xml:space="preserve">. Population estimates by age and sex. [Online] Available from: </w:t>
      </w:r>
      <w:r w:rsidRPr="00385180">
        <w:rPr>
          <w:rFonts w:ascii="Times New Roman" w:hAnsi="Times New Roman" w:cs="Times New Roman"/>
          <w:sz w:val="24"/>
          <w:szCs w:val="24"/>
        </w:rPr>
        <w:t>http://www.ons.gov.uk/ons/taxonomy/index.html?nscl=Population+Estimates+by+Age+and+Sex</w:t>
      </w:r>
      <w:r w:rsidRPr="001E6503">
        <w:rPr>
          <w:rFonts w:ascii="Times New Roman" w:hAnsi="Times New Roman" w:cs="Times New Roman"/>
          <w:sz w:val="24"/>
          <w:szCs w:val="24"/>
        </w:rPr>
        <w:t xml:space="preserve"> [Accessed 17 September 2015]</w:t>
      </w:r>
    </w:p>
    <w:p w14:paraId="68E496F3" w14:textId="7174F730" w:rsidR="002D075F" w:rsidRPr="002D075F" w:rsidRDefault="002D075F" w:rsidP="000B1A46">
      <w:pPr>
        <w:spacing w:line="480" w:lineRule="auto"/>
        <w:ind w:left="426" w:hanging="426"/>
        <w:rPr>
          <w:rFonts w:ascii="Times New Roman" w:hAnsi="Times New Roman" w:cs="Times New Roman"/>
          <w:sz w:val="24"/>
          <w:szCs w:val="24"/>
        </w:rPr>
      </w:pPr>
      <w:proofErr w:type="spellStart"/>
      <w:proofErr w:type="gramStart"/>
      <w:r w:rsidRPr="002D075F">
        <w:rPr>
          <w:rFonts w:ascii="Times New Roman" w:hAnsi="Times New Roman" w:cs="Times New Roman"/>
          <w:sz w:val="24"/>
          <w:szCs w:val="24"/>
        </w:rPr>
        <w:t>Rosow</w:t>
      </w:r>
      <w:proofErr w:type="spellEnd"/>
      <w:r w:rsidRPr="002D075F">
        <w:rPr>
          <w:rFonts w:ascii="Times New Roman" w:hAnsi="Times New Roman" w:cs="Times New Roman"/>
          <w:sz w:val="24"/>
          <w:szCs w:val="24"/>
        </w:rPr>
        <w:t xml:space="preserve">, K., </w:t>
      </w:r>
      <w:proofErr w:type="spellStart"/>
      <w:r w:rsidRPr="002D075F">
        <w:rPr>
          <w:rFonts w:ascii="Times New Roman" w:hAnsi="Times New Roman" w:cs="Times New Roman"/>
          <w:sz w:val="24"/>
          <w:szCs w:val="24"/>
        </w:rPr>
        <w:t>Holzapfel</w:t>
      </w:r>
      <w:proofErr w:type="spellEnd"/>
      <w:r w:rsidRPr="002D075F">
        <w:rPr>
          <w:rFonts w:ascii="Times New Roman" w:hAnsi="Times New Roman" w:cs="Times New Roman"/>
          <w:sz w:val="24"/>
          <w:szCs w:val="24"/>
        </w:rPr>
        <w:t xml:space="preserve">, A., </w:t>
      </w:r>
      <w:proofErr w:type="spellStart"/>
      <w:r w:rsidRPr="002D075F">
        <w:rPr>
          <w:rFonts w:ascii="Times New Roman" w:hAnsi="Times New Roman" w:cs="Times New Roman"/>
          <w:sz w:val="24"/>
          <w:szCs w:val="24"/>
        </w:rPr>
        <w:t>Karlawish</w:t>
      </w:r>
      <w:proofErr w:type="spellEnd"/>
      <w:r w:rsidRPr="002D075F">
        <w:rPr>
          <w:rFonts w:ascii="Times New Roman" w:hAnsi="Times New Roman" w:cs="Times New Roman"/>
          <w:sz w:val="24"/>
          <w:szCs w:val="24"/>
        </w:rPr>
        <w:t xml:space="preserve">, J.H., </w:t>
      </w:r>
      <w:proofErr w:type="spellStart"/>
      <w:r w:rsidRPr="002D075F">
        <w:rPr>
          <w:rFonts w:ascii="Times New Roman" w:hAnsi="Times New Roman" w:cs="Times New Roman"/>
          <w:sz w:val="24"/>
          <w:szCs w:val="24"/>
        </w:rPr>
        <w:t>Baumgart</w:t>
      </w:r>
      <w:proofErr w:type="spellEnd"/>
      <w:r w:rsidRPr="002D075F">
        <w:rPr>
          <w:rFonts w:ascii="Times New Roman" w:hAnsi="Times New Roman" w:cs="Times New Roman"/>
          <w:sz w:val="24"/>
          <w:szCs w:val="24"/>
        </w:rPr>
        <w:t>, M., Ba</w:t>
      </w:r>
      <w:r>
        <w:rPr>
          <w:rFonts w:ascii="Times New Roman" w:hAnsi="Times New Roman" w:cs="Times New Roman"/>
          <w:sz w:val="24"/>
          <w:szCs w:val="24"/>
        </w:rPr>
        <w:t>in, L.J. and Khachaturian, A.S.</w:t>
      </w:r>
      <w:r w:rsidRPr="002D075F">
        <w:rPr>
          <w:rFonts w:ascii="Times New Roman" w:hAnsi="Times New Roman" w:cs="Times New Roman"/>
          <w:sz w:val="24"/>
          <w:szCs w:val="24"/>
        </w:rPr>
        <w:t xml:space="preserve"> </w:t>
      </w:r>
      <w:r>
        <w:rPr>
          <w:rFonts w:ascii="Times New Roman" w:hAnsi="Times New Roman" w:cs="Times New Roman"/>
          <w:sz w:val="24"/>
          <w:szCs w:val="24"/>
        </w:rPr>
        <w:t>(</w:t>
      </w:r>
      <w:r w:rsidRPr="002D075F">
        <w:rPr>
          <w:rFonts w:ascii="Times New Roman" w:hAnsi="Times New Roman" w:cs="Times New Roman"/>
          <w:sz w:val="24"/>
          <w:szCs w:val="24"/>
        </w:rPr>
        <w:t>2011</w:t>
      </w:r>
      <w:r>
        <w:rPr>
          <w:rFonts w:ascii="Times New Roman" w:hAnsi="Times New Roman" w:cs="Times New Roman"/>
          <w:sz w:val="24"/>
          <w:szCs w:val="24"/>
        </w:rPr>
        <w:t>)</w:t>
      </w:r>
      <w:r w:rsidRPr="002D075F">
        <w:rPr>
          <w:rFonts w:ascii="Times New Roman" w:hAnsi="Times New Roman" w:cs="Times New Roman"/>
          <w:sz w:val="24"/>
          <w:szCs w:val="24"/>
        </w:rPr>
        <w:t>.</w:t>
      </w:r>
      <w:proofErr w:type="gramEnd"/>
      <w:r w:rsidRPr="002D075F">
        <w:rPr>
          <w:rFonts w:ascii="Times New Roman" w:hAnsi="Times New Roman" w:cs="Times New Roman"/>
          <w:sz w:val="24"/>
          <w:szCs w:val="24"/>
        </w:rPr>
        <w:t xml:space="preserve"> Countrywide strategic plans on Alzheimer’s disease: Developing the framework for the international battle against Alzheimer’s disease. </w:t>
      </w:r>
      <w:r w:rsidRPr="002D075F">
        <w:rPr>
          <w:rFonts w:ascii="Times New Roman" w:hAnsi="Times New Roman" w:cs="Times New Roman"/>
          <w:i/>
          <w:iCs/>
          <w:sz w:val="24"/>
          <w:szCs w:val="24"/>
        </w:rPr>
        <w:t>Alzheimer's &amp; Dementia</w:t>
      </w:r>
      <w:r w:rsidRPr="002D075F">
        <w:rPr>
          <w:rFonts w:ascii="Times New Roman" w:hAnsi="Times New Roman" w:cs="Times New Roman"/>
          <w:sz w:val="24"/>
          <w:szCs w:val="24"/>
        </w:rPr>
        <w:t xml:space="preserve">, </w:t>
      </w:r>
      <w:r w:rsidRPr="002D075F">
        <w:rPr>
          <w:rFonts w:ascii="Times New Roman" w:hAnsi="Times New Roman" w:cs="Times New Roman"/>
          <w:iCs/>
          <w:sz w:val="24"/>
          <w:szCs w:val="24"/>
        </w:rPr>
        <w:t>7</w:t>
      </w:r>
      <w:r w:rsidRPr="002D075F">
        <w:rPr>
          <w:rFonts w:ascii="Times New Roman" w:hAnsi="Times New Roman" w:cs="Times New Roman"/>
          <w:sz w:val="24"/>
          <w:szCs w:val="24"/>
        </w:rPr>
        <w:t>, 615-621.</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doi</w:t>
      </w:r>
      <w:proofErr w:type="spellEnd"/>
      <w:proofErr w:type="gramEnd"/>
      <w:r>
        <w:rPr>
          <w:rFonts w:ascii="Times New Roman" w:hAnsi="Times New Roman" w:cs="Times New Roman"/>
          <w:sz w:val="24"/>
          <w:szCs w:val="24"/>
        </w:rPr>
        <w:t xml:space="preserve">: </w:t>
      </w:r>
      <w:r w:rsidRPr="002D075F">
        <w:rPr>
          <w:rFonts w:ascii="Times New Roman" w:hAnsi="Times New Roman" w:cs="Times New Roman"/>
          <w:sz w:val="24"/>
          <w:szCs w:val="24"/>
        </w:rPr>
        <w:t>10.1016/j.jalz.2011.09.226</w:t>
      </w:r>
    </w:p>
    <w:p w14:paraId="12F66ED4" w14:textId="08843742" w:rsidR="00152AD4" w:rsidRPr="001E6503" w:rsidRDefault="00152AD4" w:rsidP="000B1A46">
      <w:pPr>
        <w:spacing w:line="480" w:lineRule="auto"/>
        <w:ind w:left="432" w:hanging="432"/>
        <w:rPr>
          <w:rFonts w:ascii="Times New Roman" w:hAnsi="Times New Roman" w:cs="Times New Roman"/>
          <w:i/>
          <w:sz w:val="24"/>
          <w:szCs w:val="24"/>
        </w:rPr>
      </w:pPr>
      <w:proofErr w:type="gramStart"/>
      <w:r w:rsidRPr="001E6503">
        <w:rPr>
          <w:rFonts w:ascii="Times New Roman" w:hAnsi="Times New Roman" w:cs="Times New Roman"/>
          <w:sz w:val="24"/>
          <w:szCs w:val="24"/>
        </w:rPr>
        <w:t>Sommer</w:t>
      </w:r>
      <w:r w:rsidR="005428CD">
        <w:rPr>
          <w:rFonts w:ascii="Times New Roman" w:hAnsi="Times New Roman" w:cs="Times New Roman"/>
          <w:sz w:val="24"/>
          <w:szCs w:val="24"/>
        </w:rPr>
        <w:t>,</w:t>
      </w:r>
      <w:r w:rsidRPr="001E6503">
        <w:rPr>
          <w:rFonts w:ascii="Times New Roman" w:hAnsi="Times New Roman" w:cs="Times New Roman"/>
          <w:sz w:val="24"/>
          <w:szCs w:val="24"/>
        </w:rPr>
        <w:t xml:space="preserve"> B</w:t>
      </w:r>
      <w:r w:rsidR="005428CD">
        <w:rPr>
          <w:rFonts w:ascii="Times New Roman" w:hAnsi="Times New Roman" w:cs="Times New Roman"/>
          <w:sz w:val="24"/>
          <w:szCs w:val="24"/>
        </w:rPr>
        <w:t>.</w:t>
      </w:r>
      <w:r w:rsidRPr="001E6503">
        <w:rPr>
          <w:rFonts w:ascii="Times New Roman" w:hAnsi="Times New Roman" w:cs="Times New Roman"/>
          <w:sz w:val="24"/>
          <w:szCs w:val="24"/>
        </w:rPr>
        <w:t>B</w:t>
      </w:r>
      <w:r w:rsidR="005428CD">
        <w:rPr>
          <w:rFonts w:ascii="Times New Roman" w:hAnsi="Times New Roman" w:cs="Times New Roman"/>
          <w:sz w:val="24"/>
          <w:szCs w:val="24"/>
        </w:rPr>
        <w:t>. and</w:t>
      </w:r>
      <w:r w:rsidRPr="001E6503">
        <w:rPr>
          <w:rFonts w:ascii="Times New Roman" w:hAnsi="Times New Roman" w:cs="Times New Roman"/>
          <w:sz w:val="24"/>
          <w:szCs w:val="24"/>
        </w:rPr>
        <w:t xml:space="preserve"> Sommer</w:t>
      </w:r>
      <w:r w:rsidR="005428CD">
        <w:rPr>
          <w:rFonts w:ascii="Times New Roman" w:hAnsi="Times New Roman" w:cs="Times New Roman"/>
          <w:sz w:val="24"/>
          <w:szCs w:val="24"/>
        </w:rPr>
        <w:t>,</w:t>
      </w:r>
      <w:r w:rsidRPr="001E6503">
        <w:rPr>
          <w:rFonts w:ascii="Times New Roman" w:hAnsi="Times New Roman" w:cs="Times New Roman"/>
          <w:sz w:val="24"/>
          <w:szCs w:val="24"/>
        </w:rPr>
        <w:t xml:space="preserve"> R. </w:t>
      </w:r>
      <w:r w:rsidR="005428CD">
        <w:rPr>
          <w:rFonts w:ascii="Times New Roman" w:hAnsi="Times New Roman" w:cs="Times New Roman"/>
          <w:sz w:val="24"/>
          <w:szCs w:val="24"/>
        </w:rPr>
        <w:t>(</w:t>
      </w:r>
      <w:r w:rsidR="00904856">
        <w:rPr>
          <w:rFonts w:ascii="Times New Roman" w:hAnsi="Times New Roman" w:cs="Times New Roman"/>
          <w:sz w:val="24"/>
          <w:szCs w:val="24"/>
        </w:rPr>
        <w:t>2001</w:t>
      </w:r>
      <w:r w:rsidR="005428CD">
        <w:rPr>
          <w:rFonts w:ascii="Times New Roman" w:hAnsi="Times New Roman" w:cs="Times New Roman"/>
          <w:sz w:val="24"/>
          <w:szCs w:val="24"/>
        </w:rPr>
        <w:t>)</w:t>
      </w:r>
      <w:r w:rsidRPr="001E6503">
        <w:rPr>
          <w:rFonts w:ascii="Times New Roman" w:hAnsi="Times New Roman" w:cs="Times New Roman"/>
          <w:sz w:val="24"/>
          <w:szCs w:val="24"/>
        </w:rPr>
        <w:t>.</w:t>
      </w:r>
      <w:proofErr w:type="gramEnd"/>
      <w:r w:rsidRPr="001E6503">
        <w:rPr>
          <w:rFonts w:ascii="Times New Roman" w:hAnsi="Times New Roman" w:cs="Times New Roman"/>
          <w:sz w:val="24"/>
          <w:szCs w:val="24"/>
        </w:rPr>
        <w:t xml:space="preserve"> </w:t>
      </w:r>
      <w:r w:rsidRPr="001E6503">
        <w:rPr>
          <w:rFonts w:ascii="Times New Roman" w:hAnsi="Times New Roman" w:cs="Times New Roman"/>
          <w:i/>
          <w:sz w:val="24"/>
          <w:szCs w:val="24"/>
        </w:rPr>
        <w:t xml:space="preserve">A practical guide to </w:t>
      </w:r>
      <w:proofErr w:type="spellStart"/>
      <w:r w:rsidRPr="001E6503">
        <w:rPr>
          <w:rFonts w:ascii="Times New Roman" w:hAnsi="Times New Roman" w:cs="Times New Roman"/>
          <w:i/>
          <w:sz w:val="24"/>
          <w:szCs w:val="24"/>
        </w:rPr>
        <w:t>behavioral</w:t>
      </w:r>
      <w:proofErr w:type="spellEnd"/>
      <w:r w:rsidRPr="001E6503">
        <w:rPr>
          <w:rFonts w:ascii="Times New Roman" w:hAnsi="Times New Roman" w:cs="Times New Roman"/>
          <w:i/>
          <w:sz w:val="24"/>
          <w:szCs w:val="24"/>
        </w:rPr>
        <w:t xml:space="preserve"> research: Tools and techniques. </w:t>
      </w:r>
      <w:r w:rsidR="00904856">
        <w:rPr>
          <w:rFonts w:ascii="Times New Roman" w:hAnsi="Times New Roman" w:cs="Times New Roman"/>
          <w:sz w:val="24"/>
          <w:szCs w:val="24"/>
        </w:rPr>
        <w:t>(5</w:t>
      </w:r>
      <w:r w:rsidRPr="001E6503">
        <w:rPr>
          <w:rFonts w:ascii="Times New Roman" w:hAnsi="Times New Roman" w:cs="Times New Roman"/>
          <w:sz w:val="24"/>
          <w:szCs w:val="24"/>
        </w:rPr>
        <w:t xml:space="preserve">th </w:t>
      </w:r>
      <w:proofErr w:type="gramStart"/>
      <w:r w:rsidRPr="001E6503">
        <w:rPr>
          <w:rFonts w:ascii="Times New Roman" w:hAnsi="Times New Roman" w:cs="Times New Roman"/>
          <w:sz w:val="24"/>
          <w:szCs w:val="24"/>
        </w:rPr>
        <w:t>ed</w:t>
      </w:r>
      <w:proofErr w:type="gramEnd"/>
      <w:r w:rsidRPr="001E6503">
        <w:rPr>
          <w:rFonts w:ascii="Times New Roman" w:hAnsi="Times New Roman" w:cs="Times New Roman"/>
          <w:i/>
          <w:sz w:val="24"/>
          <w:szCs w:val="24"/>
        </w:rPr>
        <w:t>.</w:t>
      </w:r>
      <w:r w:rsidRPr="001E6503">
        <w:rPr>
          <w:rFonts w:ascii="Times New Roman" w:hAnsi="Times New Roman" w:cs="Times New Roman"/>
          <w:sz w:val="24"/>
          <w:szCs w:val="24"/>
        </w:rPr>
        <w:t>). New York, US: Oxford University Press.</w:t>
      </w:r>
    </w:p>
    <w:p w14:paraId="43D80823" w14:textId="56325CCD" w:rsidR="00152AD4" w:rsidRPr="001E6503" w:rsidRDefault="00152AD4" w:rsidP="000B1A46">
      <w:pPr>
        <w:spacing w:line="480" w:lineRule="auto"/>
        <w:ind w:left="426" w:hanging="426"/>
        <w:rPr>
          <w:rFonts w:ascii="Times New Roman" w:hAnsi="Times New Roman" w:cs="Times New Roman"/>
          <w:sz w:val="24"/>
          <w:szCs w:val="24"/>
        </w:rPr>
      </w:pPr>
      <w:proofErr w:type="gramStart"/>
      <w:r w:rsidRPr="001E6503">
        <w:rPr>
          <w:rFonts w:ascii="Times New Roman" w:hAnsi="Times New Roman" w:cs="Times New Roman"/>
          <w:sz w:val="24"/>
          <w:szCs w:val="24"/>
        </w:rPr>
        <w:t>Travers</w:t>
      </w:r>
      <w:r w:rsidR="005428CD">
        <w:rPr>
          <w:rFonts w:ascii="Times New Roman" w:hAnsi="Times New Roman" w:cs="Times New Roman"/>
          <w:sz w:val="24"/>
          <w:szCs w:val="24"/>
        </w:rPr>
        <w:t>,</w:t>
      </w:r>
      <w:r w:rsidRPr="001E6503">
        <w:rPr>
          <w:rFonts w:ascii="Times New Roman" w:hAnsi="Times New Roman" w:cs="Times New Roman"/>
          <w:sz w:val="24"/>
          <w:szCs w:val="24"/>
        </w:rPr>
        <w:t xml:space="preserve"> C</w:t>
      </w:r>
      <w:r w:rsidR="005428CD">
        <w:rPr>
          <w:rFonts w:ascii="Times New Roman" w:hAnsi="Times New Roman" w:cs="Times New Roman"/>
          <w:sz w:val="24"/>
          <w:szCs w:val="24"/>
        </w:rPr>
        <w:t>.</w:t>
      </w:r>
      <w:r w:rsidRPr="001E6503">
        <w:rPr>
          <w:rFonts w:ascii="Times New Roman" w:hAnsi="Times New Roman" w:cs="Times New Roman"/>
          <w:sz w:val="24"/>
          <w:szCs w:val="24"/>
        </w:rPr>
        <w:t>M</w:t>
      </w:r>
      <w:r w:rsidR="005428CD">
        <w:rPr>
          <w:rFonts w:ascii="Times New Roman" w:hAnsi="Times New Roman" w:cs="Times New Roman"/>
          <w:sz w:val="24"/>
          <w:szCs w:val="24"/>
        </w:rPr>
        <w:t>.</w:t>
      </w:r>
      <w:r w:rsidRPr="001E6503">
        <w:rPr>
          <w:rFonts w:ascii="Times New Roman" w:hAnsi="Times New Roman" w:cs="Times New Roman"/>
          <w:sz w:val="24"/>
          <w:szCs w:val="24"/>
        </w:rPr>
        <w:t>, Beattie</w:t>
      </w:r>
      <w:r w:rsidR="005428CD">
        <w:rPr>
          <w:rFonts w:ascii="Times New Roman" w:hAnsi="Times New Roman" w:cs="Times New Roman"/>
          <w:sz w:val="24"/>
          <w:szCs w:val="24"/>
        </w:rPr>
        <w:t>,</w:t>
      </w:r>
      <w:r w:rsidRPr="001E6503">
        <w:rPr>
          <w:rFonts w:ascii="Times New Roman" w:hAnsi="Times New Roman" w:cs="Times New Roman"/>
          <w:sz w:val="24"/>
          <w:szCs w:val="24"/>
        </w:rPr>
        <w:t xml:space="preserve"> E</w:t>
      </w:r>
      <w:r w:rsidR="005428CD">
        <w:rPr>
          <w:rFonts w:ascii="Times New Roman" w:hAnsi="Times New Roman" w:cs="Times New Roman"/>
          <w:sz w:val="24"/>
          <w:szCs w:val="24"/>
        </w:rPr>
        <w:t>.</w:t>
      </w:r>
      <w:r w:rsidRPr="001E6503">
        <w:rPr>
          <w:rFonts w:ascii="Times New Roman" w:hAnsi="Times New Roman" w:cs="Times New Roman"/>
          <w:sz w:val="24"/>
          <w:szCs w:val="24"/>
        </w:rPr>
        <w:t>, Martin-Khan</w:t>
      </w:r>
      <w:r w:rsidR="005428CD">
        <w:rPr>
          <w:rFonts w:ascii="Times New Roman" w:hAnsi="Times New Roman" w:cs="Times New Roman"/>
          <w:sz w:val="24"/>
          <w:szCs w:val="24"/>
        </w:rPr>
        <w:t>, M. and</w:t>
      </w:r>
      <w:r w:rsidRPr="001E6503">
        <w:rPr>
          <w:rFonts w:ascii="Times New Roman" w:hAnsi="Times New Roman" w:cs="Times New Roman"/>
          <w:sz w:val="24"/>
          <w:szCs w:val="24"/>
        </w:rPr>
        <w:t xml:space="preserve"> Fielding</w:t>
      </w:r>
      <w:r w:rsidR="005428CD">
        <w:rPr>
          <w:rFonts w:ascii="Times New Roman" w:hAnsi="Times New Roman" w:cs="Times New Roman"/>
          <w:sz w:val="24"/>
          <w:szCs w:val="24"/>
        </w:rPr>
        <w:t>,</w:t>
      </w:r>
      <w:r w:rsidRPr="001E6503">
        <w:rPr>
          <w:rFonts w:ascii="Times New Roman" w:hAnsi="Times New Roman" w:cs="Times New Roman"/>
          <w:sz w:val="24"/>
          <w:szCs w:val="24"/>
        </w:rPr>
        <w:t xml:space="preserve"> E. </w:t>
      </w:r>
      <w:r w:rsidR="005428CD">
        <w:rPr>
          <w:rFonts w:ascii="Times New Roman" w:hAnsi="Times New Roman" w:cs="Times New Roman"/>
          <w:sz w:val="24"/>
          <w:szCs w:val="24"/>
        </w:rPr>
        <w:t>(</w:t>
      </w:r>
      <w:r w:rsidRPr="001E6503">
        <w:rPr>
          <w:rFonts w:ascii="Times New Roman" w:hAnsi="Times New Roman" w:cs="Times New Roman"/>
          <w:sz w:val="24"/>
          <w:szCs w:val="24"/>
        </w:rPr>
        <w:t>2013</w:t>
      </w:r>
      <w:r w:rsidR="005428CD">
        <w:rPr>
          <w:rFonts w:ascii="Times New Roman" w:hAnsi="Times New Roman" w:cs="Times New Roman"/>
          <w:sz w:val="24"/>
          <w:szCs w:val="24"/>
        </w:rPr>
        <w:t>)</w:t>
      </w:r>
      <w:r w:rsidR="005C34C0" w:rsidRPr="001E6503">
        <w:rPr>
          <w:rFonts w:ascii="Times New Roman" w:hAnsi="Times New Roman" w:cs="Times New Roman"/>
          <w:sz w:val="24"/>
          <w:szCs w:val="24"/>
        </w:rPr>
        <w:t>.</w:t>
      </w:r>
      <w:proofErr w:type="gramEnd"/>
      <w:r w:rsidRPr="001E6503">
        <w:rPr>
          <w:rFonts w:ascii="Times New Roman" w:hAnsi="Times New Roman" w:cs="Times New Roman"/>
          <w:sz w:val="24"/>
          <w:szCs w:val="24"/>
        </w:rPr>
        <w:t xml:space="preserve"> A survey of the Queensland healthcare workforce: attitudes towards dementia care and training. </w:t>
      </w:r>
      <w:proofErr w:type="gramStart"/>
      <w:r w:rsidR="005428CD">
        <w:rPr>
          <w:rFonts w:ascii="Times New Roman" w:hAnsi="Times New Roman" w:cs="Times New Roman"/>
          <w:i/>
          <w:iCs/>
          <w:sz w:val="24"/>
          <w:szCs w:val="24"/>
        </w:rPr>
        <w:t xml:space="preserve">BMC </w:t>
      </w:r>
      <w:r w:rsidRPr="001E6503">
        <w:rPr>
          <w:rFonts w:ascii="Times New Roman" w:hAnsi="Times New Roman" w:cs="Times New Roman"/>
          <w:i/>
          <w:iCs/>
          <w:sz w:val="24"/>
          <w:szCs w:val="24"/>
        </w:rPr>
        <w:t>Geriatrics</w:t>
      </w:r>
      <w:r w:rsidR="005428CD">
        <w:rPr>
          <w:rFonts w:ascii="Times New Roman" w:hAnsi="Times New Roman" w:cs="Times New Roman"/>
          <w:i/>
          <w:iCs/>
          <w:sz w:val="24"/>
          <w:szCs w:val="24"/>
        </w:rPr>
        <w:t>,</w:t>
      </w:r>
      <w:r w:rsidRPr="001E6503">
        <w:rPr>
          <w:rFonts w:ascii="Times New Roman" w:hAnsi="Times New Roman" w:cs="Times New Roman"/>
          <w:sz w:val="24"/>
          <w:szCs w:val="24"/>
        </w:rPr>
        <w:t xml:space="preserve"> </w:t>
      </w:r>
      <w:r w:rsidRPr="005428CD">
        <w:rPr>
          <w:rFonts w:ascii="Times New Roman" w:hAnsi="Times New Roman" w:cs="Times New Roman"/>
          <w:iCs/>
          <w:sz w:val="24"/>
          <w:szCs w:val="24"/>
        </w:rPr>
        <w:t>13</w:t>
      </w:r>
      <w:r w:rsidR="005428CD">
        <w:rPr>
          <w:rFonts w:ascii="Times New Roman" w:hAnsi="Times New Roman" w:cs="Times New Roman"/>
          <w:sz w:val="24"/>
          <w:szCs w:val="24"/>
        </w:rPr>
        <w:t>,</w:t>
      </w:r>
      <w:r w:rsidRPr="001E6503">
        <w:rPr>
          <w:rFonts w:ascii="Times New Roman" w:hAnsi="Times New Roman" w:cs="Times New Roman"/>
          <w:sz w:val="24"/>
          <w:szCs w:val="24"/>
        </w:rPr>
        <w:t xml:space="preserve"> 101.</w:t>
      </w:r>
      <w:proofErr w:type="gramEnd"/>
      <w:r w:rsidR="005428CD">
        <w:rPr>
          <w:rFonts w:ascii="Times New Roman" w:hAnsi="Times New Roman" w:cs="Times New Roman"/>
          <w:sz w:val="24"/>
          <w:szCs w:val="24"/>
        </w:rPr>
        <w:t xml:space="preserve"> </w:t>
      </w:r>
      <w:proofErr w:type="spellStart"/>
      <w:proofErr w:type="gramStart"/>
      <w:r w:rsidR="005428CD">
        <w:rPr>
          <w:rFonts w:ascii="Times New Roman" w:hAnsi="Times New Roman" w:cs="Times New Roman"/>
          <w:sz w:val="24"/>
          <w:szCs w:val="24"/>
        </w:rPr>
        <w:t>doi</w:t>
      </w:r>
      <w:proofErr w:type="spellEnd"/>
      <w:proofErr w:type="gramEnd"/>
      <w:r w:rsidR="005428CD">
        <w:rPr>
          <w:rFonts w:ascii="Times New Roman" w:hAnsi="Times New Roman" w:cs="Times New Roman"/>
          <w:sz w:val="24"/>
          <w:szCs w:val="24"/>
        </w:rPr>
        <w:t>: 10.1186/1471-2318-13-101</w:t>
      </w:r>
    </w:p>
    <w:p w14:paraId="6861D092" w14:textId="62ABAAA6" w:rsidR="00DA0917" w:rsidRDefault="005428CD" w:rsidP="00522EE5">
      <w:pPr>
        <w:spacing w:line="480" w:lineRule="auto"/>
        <w:ind w:left="426" w:hanging="426"/>
        <w:rPr>
          <w:rFonts w:ascii="Times New Roman" w:hAnsi="Times New Roman" w:cs="Times New Roman"/>
          <w:sz w:val="24"/>
          <w:szCs w:val="24"/>
        </w:rPr>
      </w:pPr>
      <w:proofErr w:type="gramStart"/>
      <w:r w:rsidRPr="005428CD">
        <w:rPr>
          <w:rFonts w:ascii="Times New Roman" w:hAnsi="Times New Roman" w:cs="Times New Roman"/>
          <w:sz w:val="24"/>
          <w:szCs w:val="24"/>
        </w:rPr>
        <w:t xml:space="preserve">Williams, N., </w:t>
      </w:r>
      <w:proofErr w:type="spellStart"/>
      <w:r w:rsidRPr="005428CD">
        <w:rPr>
          <w:rFonts w:ascii="Times New Roman" w:hAnsi="Times New Roman" w:cs="Times New Roman"/>
          <w:sz w:val="24"/>
          <w:szCs w:val="24"/>
        </w:rPr>
        <w:t>Dunford</w:t>
      </w:r>
      <w:proofErr w:type="spellEnd"/>
      <w:r w:rsidRPr="005428CD">
        <w:rPr>
          <w:rFonts w:ascii="Times New Roman" w:hAnsi="Times New Roman" w:cs="Times New Roman"/>
          <w:sz w:val="24"/>
          <w:szCs w:val="24"/>
        </w:rPr>
        <w:t>,</w:t>
      </w:r>
      <w:r>
        <w:rPr>
          <w:rFonts w:ascii="Times New Roman" w:hAnsi="Times New Roman" w:cs="Times New Roman"/>
          <w:sz w:val="24"/>
          <w:szCs w:val="24"/>
        </w:rPr>
        <w:t xml:space="preserve"> C., Knowles, A. and Warner, J.</w:t>
      </w:r>
      <w:r w:rsidRPr="005428CD">
        <w:rPr>
          <w:rFonts w:ascii="Times New Roman" w:hAnsi="Times New Roman" w:cs="Times New Roman"/>
          <w:sz w:val="24"/>
          <w:szCs w:val="24"/>
        </w:rPr>
        <w:t xml:space="preserve"> </w:t>
      </w:r>
      <w:r>
        <w:rPr>
          <w:rFonts w:ascii="Times New Roman" w:hAnsi="Times New Roman" w:cs="Times New Roman"/>
          <w:sz w:val="24"/>
          <w:szCs w:val="24"/>
        </w:rPr>
        <w:t>(</w:t>
      </w:r>
      <w:r w:rsidRPr="005428CD">
        <w:rPr>
          <w:rFonts w:ascii="Times New Roman" w:hAnsi="Times New Roman" w:cs="Times New Roman"/>
          <w:sz w:val="24"/>
          <w:szCs w:val="24"/>
        </w:rPr>
        <w:t>2007</w:t>
      </w:r>
      <w:r>
        <w:rPr>
          <w:rFonts w:ascii="Times New Roman" w:hAnsi="Times New Roman" w:cs="Times New Roman"/>
          <w:sz w:val="24"/>
          <w:szCs w:val="24"/>
        </w:rPr>
        <w:t>)</w:t>
      </w:r>
      <w:r w:rsidRPr="005428CD">
        <w:rPr>
          <w:rFonts w:ascii="Times New Roman" w:hAnsi="Times New Roman" w:cs="Times New Roman"/>
          <w:sz w:val="24"/>
          <w:szCs w:val="24"/>
        </w:rPr>
        <w:t>.</w:t>
      </w:r>
      <w:proofErr w:type="gramEnd"/>
      <w:r w:rsidRPr="005428CD">
        <w:rPr>
          <w:rFonts w:ascii="Times New Roman" w:hAnsi="Times New Roman" w:cs="Times New Roman"/>
          <w:sz w:val="24"/>
          <w:szCs w:val="24"/>
        </w:rPr>
        <w:t xml:space="preserve"> </w:t>
      </w:r>
      <w:proofErr w:type="gramStart"/>
      <w:r w:rsidRPr="005428CD">
        <w:rPr>
          <w:rFonts w:ascii="Times New Roman" w:hAnsi="Times New Roman" w:cs="Times New Roman"/>
          <w:sz w:val="24"/>
          <w:szCs w:val="24"/>
        </w:rPr>
        <w:t>Public attitudes to life</w:t>
      </w:r>
      <w:r w:rsidRPr="005428CD">
        <w:rPr>
          <w:rFonts w:ascii="Cambria Math" w:hAnsi="Cambria Math" w:cs="Cambria Math"/>
          <w:sz w:val="24"/>
          <w:szCs w:val="24"/>
        </w:rPr>
        <w:t>‐</w:t>
      </w:r>
      <w:r w:rsidRPr="005428CD">
        <w:rPr>
          <w:rFonts w:ascii="Times New Roman" w:hAnsi="Times New Roman" w:cs="Times New Roman"/>
          <w:sz w:val="24"/>
          <w:szCs w:val="24"/>
        </w:rPr>
        <w:t>sustaining treatments and euthanasia in dementia.</w:t>
      </w:r>
      <w:proofErr w:type="gramEnd"/>
      <w:r w:rsidRPr="005428CD">
        <w:rPr>
          <w:rFonts w:ascii="Times New Roman" w:hAnsi="Times New Roman" w:cs="Times New Roman"/>
          <w:sz w:val="24"/>
          <w:szCs w:val="24"/>
        </w:rPr>
        <w:t xml:space="preserve"> </w:t>
      </w:r>
      <w:proofErr w:type="gramStart"/>
      <w:r w:rsidRPr="005428CD">
        <w:rPr>
          <w:rFonts w:ascii="Times New Roman" w:hAnsi="Times New Roman" w:cs="Times New Roman"/>
          <w:i/>
          <w:iCs/>
          <w:sz w:val="24"/>
          <w:szCs w:val="24"/>
        </w:rPr>
        <w:t>International journal of geriatric psychiatry</w:t>
      </w:r>
      <w:r w:rsidRPr="005428CD">
        <w:rPr>
          <w:rFonts w:ascii="Times New Roman" w:hAnsi="Times New Roman" w:cs="Times New Roman"/>
          <w:sz w:val="24"/>
          <w:szCs w:val="24"/>
        </w:rPr>
        <w:t xml:space="preserve">, </w:t>
      </w:r>
      <w:r w:rsidRPr="005428CD">
        <w:rPr>
          <w:rFonts w:ascii="Times New Roman" w:hAnsi="Times New Roman" w:cs="Times New Roman"/>
          <w:iCs/>
          <w:sz w:val="24"/>
          <w:szCs w:val="24"/>
        </w:rPr>
        <w:t>22</w:t>
      </w:r>
      <w:r w:rsidRPr="005428CD">
        <w:rPr>
          <w:rFonts w:ascii="Times New Roman" w:hAnsi="Times New Roman" w:cs="Times New Roman"/>
          <w:sz w:val="24"/>
          <w:szCs w:val="24"/>
        </w:rPr>
        <w:t>, 1229-1234.</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doi</w:t>
      </w:r>
      <w:proofErr w:type="spellEnd"/>
      <w:proofErr w:type="gramEnd"/>
      <w:r>
        <w:rPr>
          <w:rFonts w:ascii="Times New Roman" w:hAnsi="Times New Roman" w:cs="Times New Roman"/>
          <w:sz w:val="24"/>
          <w:szCs w:val="24"/>
        </w:rPr>
        <w:t>: 10.1002/gps.1819</w:t>
      </w:r>
    </w:p>
    <w:p w14:paraId="620E1C5B" w14:textId="77777777" w:rsidR="008E4435" w:rsidRDefault="008E4435" w:rsidP="000B1A46">
      <w:pPr>
        <w:spacing w:line="480" w:lineRule="auto"/>
        <w:rPr>
          <w:rFonts w:ascii="Times New Roman" w:hAnsi="Times New Roman" w:cs="Times New Roman"/>
          <w:b/>
          <w:sz w:val="24"/>
          <w:szCs w:val="24"/>
        </w:rPr>
      </w:pPr>
      <w:r>
        <w:rPr>
          <w:rFonts w:ascii="Times New Roman" w:hAnsi="Times New Roman" w:cs="Times New Roman"/>
          <w:b/>
          <w:sz w:val="24"/>
          <w:szCs w:val="24"/>
        </w:rPr>
        <w:br w:type="page"/>
      </w:r>
    </w:p>
    <w:p w14:paraId="7C0BF127" w14:textId="7551E6BF" w:rsidR="00DA2FBE" w:rsidRPr="001E6503" w:rsidRDefault="00DA2FBE" w:rsidP="000B1A46">
      <w:pPr>
        <w:spacing w:line="480" w:lineRule="auto"/>
        <w:rPr>
          <w:rFonts w:ascii="Times New Roman" w:hAnsi="Times New Roman" w:cs="Times New Roman"/>
          <w:b/>
          <w:sz w:val="24"/>
          <w:szCs w:val="24"/>
        </w:rPr>
      </w:pPr>
      <w:proofErr w:type="gramStart"/>
      <w:r w:rsidRPr="001E6503">
        <w:rPr>
          <w:rFonts w:ascii="Times New Roman" w:hAnsi="Times New Roman" w:cs="Times New Roman"/>
          <w:b/>
          <w:sz w:val="24"/>
          <w:szCs w:val="24"/>
        </w:rPr>
        <w:lastRenderedPageBreak/>
        <w:t>Table 1</w:t>
      </w:r>
      <w:r w:rsidR="00365D41" w:rsidRPr="001E6503">
        <w:rPr>
          <w:rFonts w:ascii="Times New Roman" w:hAnsi="Times New Roman" w:cs="Times New Roman"/>
          <w:b/>
          <w:sz w:val="24"/>
          <w:szCs w:val="24"/>
        </w:rPr>
        <w:t>.</w:t>
      </w:r>
      <w:proofErr w:type="gramEnd"/>
      <w:r w:rsidR="00373576" w:rsidRPr="001E6503">
        <w:rPr>
          <w:rFonts w:ascii="Times New Roman" w:hAnsi="Times New Roman" w:cs="Times New Roman"/>
          <w:b/>
          <w:sz w:val="24"/>
          <w:szCs w:val="24"/>
        </w:rPr>
        <w:t xml:space="preserve"> </w:t>
      </w:r>
      <w:r w:rsidR="00373576" w:rsidRPr="001E6503">
        <w:rPr>
          <w:rFonts w:ascii="Times New Roman" w:hAnsi="Times New Roman" w:cs="Times New Roman"/>
          <w:sz w:val="24"/>
          <w:szCs w:val="24"/>
        </w:rPr>
        <w:t>D</w:t>
      </w:r>
      <w:r w:rsidRPr="001E6503">
        <w:rPr>
          <w:rFonts w:ascii="Times New Roman" w:hAnsi="Times New Roman" w:cs="Times New Roman"/>
          <w:sz w:val="24"/>
          <w:szCs w:val="24"/>
        </w:rPr>
        <w:t>emographic data</w:t>
      </w:r>
      <w:r w:rsidR="00B50291" w:rsidRPr="001E6503">
        <w:rPr>
          <w:rFonts w:ascii="Times New Roman" w:hAnsi="Times New Roman" w:cs="Times New Roman"/>
          <w:sz w:val="24"/>
          <w:szCs w:val="24"/>
        </w:rPr>
        <w:t xml:space="preserve"> for the sample (</w:t>
      </w:r>
      <w:r w:rsidR="00B50291" w:rsidRPr="001E6503">
        <w:rPr>
          <w:rFonts w:ascii="Times New Roman" w:hAnsi="Times New Roman" w:cs="Times New Roman"/>
          <w:i/>
          <w:sz w:val="24"/>
          <w:szCs w:val="24"/>
        </w:rPr>
        <w:t>n</w:t>
      </w:r>
      <w:r w:rsidR="00B50291" w:rsidRPr="001E6503">
        <w:rPr>
          <w:rFonts w:ascii="Times New Roman" w:hAnsi="Times New Roman" w:cs="Times New Roman"/>
          <w:sz w:val="24"/>
          <w:szCs w:val="24"/>
        </w:rPr>
        <w:t xml:space="preserve"> = </w:t>
      </w:r>
      <w:r w:rsidR="0037021B" w:rsidRPr="001E6503">
        <w:rPr>
          <w:rFonts w:ascii="Times New Roman" w:hAnsi="Times New Roman" w:cs="Times New Roman"/>
          <w:sz w:val="24"/>
          <w:szCs w:val="24"/>
        </w:rPr>
        <w:t>794</w:t>
      </w:r>
      <w:r w:rsidR="00B50291" w:rsidRPr="001E6503">
        <w:rPr>
          <w:rFonts w:ascii="Times New Roman" w:hAnsi="Times New Roman" w:cs="Times New Roman"/>
          <w:sz w:val="24"/>
          <w:szCs w:val="24"/>
        </w:rPr>
        <w:t>)</w:t>
      </w:r>
    </w:p>
    <w:tbl>
      <w:tblPr>
        <w:tblStyle w:val="TableGrid"/>
        <w:tblW w:w="927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1724"/>
        <w:gridCol w:w="1787"/>
        <w:gridCol w:w="1592"/>
        <w:gridCol w:w="1656"/>
      </w:tblGrid>
      <w:tr w:rsidR="004B1F90" w:rsidRPr="001E6503" w14:paraId="33E3F177" w14:textId="27E7FFB5" w:rsidTr="008A6CBF">
        <w:tc>
          <w:tcPr>
            <w:tcW w:w="2518" w:type="dxa"/>
            <w:tcBorders>
              <w:top w:val="single" w:sz="4" w:space="0" w:color="auto"/>
              <w:bottom w:val="single" w:sz="4" w:space="0" w:color="auto"/>
            </w:tcBorders>
          </w:tcPr>
          <w:p w14:paraId="712F6C56" w14:textId="77777777" w:rsidR="004B1F90" w:rsidRPr="001E6503" w:rsidRDefault="004B1F90" w:rsidP="000B1A46">
            <w:pPr>
              <w:spacing w:before="120" w:line="360" w:lineRule="auto"/>
              <w:jc w:val="center"/>
              <w:rPr>
                <w:b/>
                <w:sz w:val="24"/>
                <w:szCs w:val="24"/>
              </w:rPr>
            </w:pPr>
          </w:p>
        </w:tc>
        <w:tc>
          <w:tcPr>
            <w:tcW w:w="1724" w:type="dxa"/>
            <w:tcBorders>
              <w:top w:val="single" w:sz="4" w:space="0" w:color="auto"/>
              <w:bottom w:val="single" w:sz="4" w:space="0" w:color="auto"/>
            </w:tcBorders>
          </w:tcPr>
          <w:p w14:paraId="435C1328" w14:textId="77777777" w:rsidR="004B1F90" w:rsidRPr="001E6503" w:rsidRDefault="004B1F90" w:rsidP="000B1A46">
            <w:pPr>
              <w:spacing w:before="120" w:line="360" w:lineRule="auto"/>
              <w:jc w:val="center"/>
              <w:rPr>
                <w:b/>
                <w:sz w:val="24"/>
                <w:szCs w:val="24"/>
              </w:rPr>
            </w:pPr>
            <w:r w:rsidRPr="001E6503">
              <w:rPr>
                <w:b/>
                <w:sz w:val="24"/>
                <w:szCs w:val="24"/>
              </w:rPr>
              <w:t>Male</w:t>
            </w:r>
          </w:p>
        </w:tc>
        <w:tc>
          <w:tcPr>
            <w:tcW w:w="1787" w:type="dxa"/>
            <w:tcBorders>
              <w:top w:val="single" w:sz="4" w:space="0" w:color="auto"/>
              <w:bottom w:val="single" w:sz="4" w:space="0" w:color="auto"/>
            </w:tcBorders>
          </w:tcPr>
          <w:p w14:paraId="3E57BF5F" w14:textId="77777777" w:rsidR="004B1F90" w:rsidRPr="001E6503" w:rsidRDefault="004B1F90" w:rsidP="000B1A46">
            <w:pPr>
              <w:spacing w:before="120" w:line="360" w:lineRule="auto"/>
              <w:jc w:val="center"/>
              <w:rPr>
                <w:b/>
                <w:sz w:val="24"/>
                <w:szCs w:val="24"/>
              </w:rPr>
            </w:pPr>
            <w:r w:rsidRPr="001E6503">
              <w:rPr>
                <w:b/>
                <w:sz w:val="24"/>
                <w:szCs w:val="24"/>
              </w:rPr>
              <w:t>Female</w:t>
            </w:r>
          </w:p>
        </w:tc>
        <w:tc>
          <w:tcPr>
            <w:tcW w:w="1592" w:type="dxa"/>
            <w:tcBorders>
              <w:top w:val="single" w:sz="4" w:space="0" w:color="auto"/>
              <w:bottom w:val="single" w:sz="4" w:space="0" w:color="auto"/>
            </w:tcBorders>
          </w:tcPr>
          <w:p w14:paraId="4755712F" w14:textId="77777777" w:rsidR="004B1F90" w:rsidRPr="001E6503" w:rsidRDefault="004B1F90" w:rsidP="000B1A46">
            <w:pPr>
              <w:spacing w:before="120" w:line="360" w:lineRule="auto"/>
              <w:jc w:val="center"/>
              <w:rPr>
                <w:b/>
                <w:sz w:val="24"/>
                <w:szCs w:val="24"/>
              </w:rPr>
            </w:pPr>
            <w:r w:rsidRPr="001E6503">
              <w:rPr>
                <w:b/>
                <w:sz w:val="24"/>
                <w:szCs w:val="24"/>
              </w:rPr>
              <w:t>Total</w:t>
            </w:r>
          </w:p>
        </w:tc>
        <w:tc>
          <w:tcPr>
            <w:tcW w:w="1656" w:type="dxa"/>
            <w:tcBorders>
              <w:top w:val="single" w:sz="4" w:space="0" w:color="auto"/>
              <w:bottom w:val="single" w:sz="4" w:space="0" w:color="auto"/>
            </w:tcBorders>
          </w:tcPr>
          <w:p w14:paraId="7C509D82" w14:textId="77777777" w:rsidR="004B1F90" w:rsidRPr="001E6503" w:rsidRDefault="004B1F90" w:rsidP="000B1A46">
            <w:pPr>
              <w:spacing w:line="360" w:lineRule="auto"/>
              <w:jc w:val="center"/>
              <w:rPr>
                <w:b/>
                <w:sz w:val="24"/>
                <w:szCs w:val="24"/>
              </w:rPr>
            </w:pPr>
            <w:r w:rsidRPr="001E6503">
              <w:rPr>
                <w:b/>
                <w:sz w:val="24"/>
                <w:szCs w:val="24"/>
              </w:rPr>
              <w:t>Bristol/</w:t>
            </w:r>
          </w:p>
          <w:p w14:paraId="5BD8032A" w14:textId="3D4BE9FB" w:rsidR="004B1F90" w:rsidRPr="001E6503" w:rsidRDefault="004B1F90" w:rsidP="000B1A46">
            <w:pPr>
              <w:spacing w:line="360" w:lineRule="auto"/>
              <w:jc w:val="center"/>
              <w:rPr>
                <w:b/>
                <w:sz w:val="24"/>
                <w:szCs w:val="24"/>
              </w:rPr>
            </w:pPr>
            <w:r w:rsidRPr="001E6503">
              <w:rPr>
                <w:b/>
                <w:sz w:val="24"/>
                <w:szCs w:val="24"/>
              </w:rPr>
              <w:t>South Glos</w:t>
            </w:r>
            <w:r w:rsidR="00FA26A0" w:rsidRPr="001E6503">
              <w:rPr>
                <w:b/>
                <w:sz w:val="24"/>
                <w:szCs w:val="24"/>
              </w:rPr>
              <w:t>.</w:t>
            </w:r>
          </w:p>
          <w:p w14:paraId="0A4982AC" w14:textId="08FE5919" w:rsidR="004B1F90" w:rsidRPr="001E6503" w:rsidRDefault="004B1F90" w:rsidP="000B1A46">
            <w:pPr>
              <w:spacing w:line="360" w:lineRule="auto"/>
              <w:jc w:val="center"/>
              <w:rPr>
                <w:b/>
                <w:sz w:val="24"/>
                <w:szCs w:val="24"/>
              </w:rPr>
            </w:pPr>
            <w:r w:rsidRPr="001E6503">
              <w:rPr>
                <w:b/>
                <w:sz w:val="24"/>
                <w:szCs w:val="24"/>
              </w:rPr>
              <w:t>population</w:t>
            </w:r>
          </w:p>
        </w:tc>
      </w:tr>
      <w:tr w:rsidR="004B1F90" w:rsidRPr="001E6503" w14:paraId="71B13132" w14:textId="4126B1A3" w:rsidTr="008A6CBF">
        <w:tc>
          <w:tcPr>
            <w:tcW w:w="2518" w:type="dxa"/>
            <w:tcBorders>
              <w:top w:val="single" w:sz="4" w:space="0" w:color="auto"/>
            </w:tcBorders>
          </w:tcPr>
          <w:p w14:paraId="4AB33075" w14:textId="3BB78421" w:rsidR="004B1F90" w:rsidRPr="001E6503" w:rsidRDefault="004B1F90" w:rsidP="000B1A46">
            <w:pPr>
              <w:spacing w:before="120" w:line="360" w:lineRule="auto"/>
              <w:jc w:val="center"/>
              <w:rPr>
                <w:b/>
                <w:sz w:val="24"/>
                <w:szCs w:val="24"/>
              </w:rPr>
            </w:pPr>
            <w:r w:rsidRPr="001E6503">
              <w:rPr>
                <w:b/>
                <w:sz w:val="24"/>
                <w:szCs w:val="24"/>
              </w:rPr>
              <w:t>Age</w:t>
            </w:r>
          </w:p>
        </w:tc>
        <w:tc>
          <w:tcPr>
            <w:tcW w:w="1724" w:type="dxa"/>
            <w:tcBorders>
              <w:top w:val="single" w:sz="4" w:space="0" w:color="auto"/>
            </w:tcBorders>
          </w:tcPr>
          <w:p w14:paraId="5756C441" w14:textId="77777777" w:rsidR="004B1F90" w:rsidRPr="001E6503" w:rsidRDefault="004B1F90" w:rsidP="000B1A46">
            <w:pPr>
              <w:spacing w:before="120" w:line="360" w:lineRule="auto"/>
              <w:jc w:val="center"/>
              <w:rPr>
                <w:b/>
                <w:sz w:val="24"/>
                <w:szCs w:val="24"/>
              </w:rPr>
            </w:pPr>
          </w:p>
        </w:tc>
        <w:tc>
          <w:tcPr>
            <w:tcW w:w="1787" w:type="dxa"/>
            <w:tcBorders>
              <w:top w:val="single" w:sz="4" w:space="0" w:color="auto"/>
            </w:tcBorders>
          </w:tcPr>
          <w:p w14:paraId="36B3E3F4" w14:textId="77777777" w:rsidR="004B1F90" w:rsidRPr="001E6503" w:rsidRDefault="004B1F90" w:rsidP="000B1A46">
            <w:pPr>
              <w:spacing w:before="120" w:line="360" w:lineRule="auto"/>
              <w:jc w:val="center"/>
              <w:rPr>
                <w:b/>
                <w:sz w:val="24"/>
                <w:szCs w:val="24"/>
              </w:rPr>
            </w:pPr>
          </w:p>
        </w:tc>
        <w:tc>
          <w:tcPr>
            <w:tcW w:w="1592" w:type="dxa"/>
            <w:tcBorders>
              <w:top w:val="single" w:sz="4" w:space="0" w:color="auto"/>
            </w:tcBorders>
          </w:tcPr>
          <w:p w14:paraId="2E3CE886" w14:textId="77777777" w:rsidR="004B1F90" w:rsidRPr="001E6503" w:rsidRDefault="004B1F90" w:rsidP="000B1A46">
            <w:pPr>
              <w:spacing w:before="120" w:line="360" w:lineRule="auto"/>
              <w:jc w:val="center"/>
              <w:rPr>
                <w:b/>
                <w:sz w:val="24"/>
                <w:szCs w:val="24"/>
              </w:rPr>
            </w:pPr>
          </w:p>
        </w:tc>
        <w:tc>
          <w:tcPr>
            <w:tcW w:w="1656" w:type="dxa"/>
            <w:tcBorders>
              <w:top w:val="single" w:sz="4" w:space="0" w:color="auto"/>
            </w:tcBorders>
          </w:tcPr>
          <w:p w14:paraId="04799A0D" w14:textId="77777777" w:rsidR="004B1F90" w:rsidRPr="001E6503" w:rsidRDefault="004B1F90" w:rsidP="000B1A46">
            <w:pPr>
              <w:spacing w:before="120" w:line="360" w:lineRule="auto"/>
              <w:jc w:val="center"/>
              <w:rPr>
                <w:b/>
                <w:sz w:val="24"/>
                <w:szCs w:val="24"/>
              </w:rPr>
            </w:pPr>
          </w:p>
        </w:tc>
      </w:tr>
      <w:tr w:rsidR="00AC1FE9" w:rsidRPr="001E6503" w14:paraId="04CADBFC" w14:textId="4817A469" w:rsidTr="008A6CBF">
        <w:tc>
          <w:tcPr>
            <w:tcW w:w="2518" w:type="dxa"/>
          </w:tcPr>
          <w:p w14:paraId="35B9472C" w14:textId="77777777" w:rsidR="00AC1FE9" w:rsidRPr="001E6503" w:rsidRDefault="00AC1FE9" w:rsidP="000B1A46">
            <w:pPr>
              <w:spacing w:before="120" w:line="360" w:lineRule="auto"/>
              <w:jc w:val="center"/>
              <w:rPr>
                <w:sz w:val="24"/>
                <w:szCs w:val="24"/>
              </w:rPr>
            </w:pPr>
            <w:r w:rsidRPr="001E6503">
              <w:rPr>
                <w:sz w:val="24"/>
                <w:szCs w:val="24"/>
              </w:rPr>
              <w:t>16 to 24</w:t>
            </w:r>
          </w:p>
        </w:tc>
        <w:tc>
          <w:tcPr>
            <w:tcW w:w="1724" w:type="dxa"/>
          </w:tcPr>
          <w:p w14:paraId="1FEC2E24" w14:textId="5FC3C351" w:rsidR="00AC1FE9" w:rsidRPr="001E6503" w:rsidRDefault="0037021B" w:rsidP="000B1A46">
            <w:pPr>
              <w:spacing w:before="120" w:line="360" w:lineRule="auto"/>
              <w:jc w:val="center"/>
              <w:rPr>
                <w:sz w:val="24"/>
                <w:szCs w:val="24"/>
              </w:rPr>
            </w:pPr>
            <w:r w:rsidRPr="001E6503">
              <w:rPr>
                <w:sz w:val="24"/>
                <w:szCs w:val="24"/>
              </w:rPr>
              <w:t>64 (</w:t>
            </w:r>
            <w:r w:rsidR="004C20EC" w:rsidRPr="001E6503">
              <w:rPr>
                <w:sz w:val="24"/>
                <w:szCs w:val="24"/>
              </w:rPr>
              <w:t>8</w:t>
            </w:r>
            <w:r w:rsidRPr="001E6503">
              <w:rPr>
                <w:sz w:val="24"/>
                <w:szCs w:val="24"/>
              </w:rPr>
              <w:t>.1</w:t>
            </w:r>
            <w:r w:rsidR="00AC1FE9" w:rsidRPr="001E6503">
              <w:rPr>
                <w:sz w:val="24"/>
                <w:szCs w:val="24"/>
              </w:rPr>
              <w:t>%)</w:t>
            </w:r>
          </w:p>
        </w:tc>
        <w:tc>
          <w:tcPr>
            <w:tcW w:w="1787" w:type="dxa"/>
          </w:tcPr>
          <w:p w14:paraId="42B2D5AC" w14:textId="01926A9B" w:rsidR="00AC1FE9" w:rsidRPr="001E6503" w:rsidRDefault="0037021B" w:rsidP="000B1A46">
            <w:pPr>
              <w:spacing w:before="120" w:line="360" w:lineRule="auto"/>
              <w:jc w:val="center"/>
              <w:rPr>
                <w:sz w:val="24"/>
                <w:szCs w:val="24"/>
              </w:rPr>
            </w:pPr>
            <w:r w:rsidRPr="001E6503">
              <w:rPr>
                <w:sz w:val="24"/>
                <w:szCs w:val="24"/>
              </w:rPr>
              <w:t>63 (7.9</w:t>
            </w:r>
            <w:r w:rsidR="00AC1FE9" w:rsidRPr="001E6503">
              <w:rPr>
                <w:sz w:val="24"/>
                <w:szCs w:val="24"/>
              </w:rPr>
              <w:t>%)</w:t>
            </w:r>
          </w:p>
        </w:tc>
        <w:tc>
          <w:tcPr>
            <w:tcW w:w="1592" w:type="dxa"/>
          </w:tcPr>
          <w:p w14:paraId="61BC02F8" w14:textId="03D82EB4" w:rsidR="00AC1FE9" w:rsidRPr="001E6503" w:rsidRDefault="0037021B" w:rsidP="000B1A46">
            <w:pPr>
              <w:spacing w:before="120" w:line="360" w:lineRule="auto"/>
              <w:jc w:val="center"/>
              <w:rPr>
                <w:sz w:val="24"/>
                <w:szCs w:val="24"/>
              </w:rPr>
            </w:pPr>
            <w:r w:rsidRPr="001E6503">
              <w:rPr>
                <w:sz w:val="24"/>
                <w:szCs w:val="24"/>
              </w:rPr>
              <w:t>1</w:t>
            </w:r>
            <w:r w:rsidR="004C20EC" w:rsidRPr="001E6503">
              <w:rPr>
                <w:sz w:val="24"/>
                <w:szCs w:val="24"/>
              </w:rPr>
              <w:t>2</w:t>
            </w:r>
            <w:r w:rsidRPr="001E6503">
              <w:rPr>
                <w:sz w:val="24"/>
                <w:szCs w:val="24"/>
              </w:rPr>
              <w:t>7 (16.0</w:t>
            </w:r>
            <w:r w:rsidR="00AC1FE9" w:rsidRPr="001E6503">
              <w:rPr>
                <w:sz w:val="24"/>
                <w:szCs w:val="24"/>
              </w:rPr>
              <w:t>%)</w:t>
            </w:r>
          </w:p>
        </w:tc>
        <w:tc>
          <w:tcPr>
            <w:tcW w:w="1656" w:type="dxa"/>
            <w:vAlign w:val="bottom"/>
          </w:tcPr>
          <w:p w14:paraId="4E0B391E" w14:textId="1248A503" w:rsidR="00AC1FE9" w:rsidRPr="001E6503" w:rsidRDefault="001751B5" w:rsidP="000B1A46">
            <w:pPr>
              <w:spacing w:before="120" w:line="360" w:lineRule="auto"/>
              <w:jc w:val="center"/>
              <w:rPr>
                <w:sz w:val="24"/>
                <w:szCs w:val="24"/>
              </w:rPr>
            </w:pPr>
            <w:r w:rsidRPr="001E6503">
              <w:rPr>
                <w:sz w:val="24"/>
                <w:szCs w:val="24"/>
              </w:rPr>
              <w:t>98,916</w:t>
            </w:r>
          </w:p>
        </w:tc>
      </w:tr>
      <w:tr w:rsidR="00AC1FE9" w:rsidRPr="001E6503" w14:paraId="3CB6F088" w14:textId="1F9B2019" w:rsidTr="008A6CBF">
        <w:tc>
          <w:tcPr>
            <w:tcW w:w="2518" w:type="dxa"/>
          </w:tcPr>
          <w:p w14:paraId="7565F7A2" w14:textId="77777777" w:rsidR="00AC1FE9" w:rsidRPr="001E6503" w:rsidRDefault="00AC1FE9" w:rsidP="000B1A46">
            <w:pPr>
              <w:spacing w:before="120" w:line="360" w:lineRule="auto"/>
              <w:jc w:val="center"/>
              <w:rPr>
                <w:sz w:val="24"/>
                <w:szCs w:val="24"/>
              </w:rPr>
            </w:pPr>
            <w:r w:rsidRPr="001E6503">
              <w:rPr>
                <w:sz w:val="24"/>
                <w:szCs w:val="24"/>
              </w:rPr>
              <w:t>25 to 49</w:t>
            </w:r>
          </w:p>
        </w:tc>
        <w:tc>
          <w:tcPr>
            <w:tcW w:w="1724" w:type="dxa"/>
          </w:tcPr>
          <w:p w14:paraId="63D9FEAE" w14:textId="4910530C" w:rsidR="00AC1FE9" w:rsidRPr="001E6503" w:rsidRDefault="0037021B" w:rsidP="000B1A46">
            <w:pPr>
              <w:spacing w:before="120" w:line="360" w:lineRule="auto"/>
              <w:jc w:val="center"/>
              <w:rPr>
                <w:sz w:val="24"/>
                <w:szCs w:val="24"/>
              </w:rPr>
            </w:pPr>
            <w:r w:rsidRPr="001E6503">
              <w:rPr>
                <w:sz w:val="24"/>
                <w:szCs w:val="24"/>
              </w:rPr>
              <w:t>177 (22.2</w:t>
            </w:r>
            <w:r w:rsidR="00AC1FE9" w:rsidRPr="001E6503">
              <w:rPr>
                <w:sz w:val="24"/>
                <w:szCs w:val="24"/>
              </w:rPr>
              <w:t>%)</w:t>
            </w:r>
          </w:p>
        </w:tc>
        <w:tc>
          <w:tcPr>
            <w:tcW w:w="1787" w:type="dxa"/>
          </w:tcPr>
          <w:p w14:paraId="3D0C4ABA" w14:textId="3D1255D4" w:rsidR="00AC1FE9" w:rsidRPr="001E6503" w:rsidRDefault="0037021B" w:rsidP="000B1A46">
            <w:pPr>
              <w:spacing w:before="120" w:line="360" w:lineRule="auto"/>
              <w:jc w:val="center"/>
              <w:rPr>
                <w:sz w:val="24"/>
                <w:szCs w:val="24"/>
              </w:rPr>
            </w:pPr>
            <w:r w:rsidRPr="001E6503">
              <w:rPr>
                <w:sz w:val="24"/>
                <w:szCs w:val="24"/>
              </w:rPr>
              <w:t>179 (22.5</w:t>
            </w:r>
            <w:r w:rsidR="00AC1FE9" w:rsidRPr="001E6503">
              <w:rPr>
                <w:sz w:val="24"/>
                <w:szCs w:val="24"/>
              </w:rPr>
              <w:t>%)</w:t>
            </w:r>
          </w:p>
        </w:tc>
        <w:tc>
          <w:tcPr>
            <w:tcW w:w="1592" w:type="dxa"/>
          </w:tcPr>
          <w:p w14:paraId="1B9BA288" w14:textId="0AC020B6" w:rsidR="00AC1FE9" w:rsidRPr="001E6503" w:rsidRDefault="0037021B" w:rsidP="000B1A46">
            <w:pPr>
              <w:spacing w:before="120" w:line="360" w:lineRule="auto"/>
              <w:jc w:val="center"/>
              <w:rPr>
                <w:sz w:val="24"/>
                <w:szCs w:val="24"/>
              </w:rPr>
            </w:pPr>
            <w:r w:rsidRPr="001E6503">
              <w:rPr>
                <w:sz w:val="24"/>
                <w:szCs w:val="24"/>
              </w:rPr>
              <w:t>356</w:t>
            </w:r>
            <w:r w:rsidR="004C20EC" w:rsidRPr="001E6503">
              <w:rPr>
                <w:sz w:val="24"/>
                <w:szCs w:val="24"/>
              </w:rPr>
              <w:t xml:space="preserve"> </w:t>
            </w:r>
            <w:r w:rsidRPr="001E6503">
              <w:rPr>
                <w:sz w:val="24"/>
                <w:szCs w:val="24"/>
              </w:rPr>
              <w:t>(44.7</w:t>
            </w:r>
            <w:r w:rsidR="00AC1FE9" w:rsidRPr="001E6503">
              <w:rPr>
                <w:sz w:val="24"/>
                <w:szCs w:val="24"/>
              </w:rPr>
              <w:t>%)</w:t>
            </w:r>
          </w:p>
        </w:tc>
        <w:tc>
          <w:tcPr>
            <w:tcW w:w="1656" w:type="dxa"/>
            <w:vAlign w:val="bottom"/>
          </w:tcPr>
          <w:p w14:paraId="1D2B1DA6" w14:textId="21D64BB5" w:rsidR="00AC1FE9" w:rsidRPr="001E6503" w:rsidRDefault="001751B5" w:rsidP="000B1A46">
            <w:pPr>
              <w:spacing w:before="120" w:line="360" w:lineRule="auto"/>
              <w:jc w:val="center"/>
              <w:rPr>
                <w:sz w:val="24"/>
                <w:szCs w:val="24"/>
              </w:rPr>
            </w:pPr>
            <w:r w:rsidRPr="001E6503">
              <w:rPr>
                <w:sz w:val="24"/>
                <w:szCs w:val="24"/>
              </w:rPr>
              <w:t>258,7</w:t>
            </w:r>
            <w:r w:rsidR="00AC1FE9" w:rsidRPr="001E6503">
              <w:rPr>
                <w:sz w:val="24"/>
                <w:szCs w:val="24"/>
              </w:rPr>
              <w:t>0</w:t>
            </w:r>
            <w:r w:rsidRPr="001E6503">
              <w:rPr>
                <w:sz w:val="24"/>
                <w:szCs w:val="24"/>
              </w:rPr>
              <w:t>6</w:t>
            </w:r>
          </w:p>
        </w:tc>
      </w:tr>
      <w:tr w:rsidR="00AC1FE9" w:rsidRPr="001E6503" w14:paraId="628AD42C" w14:textId="1A1D367C" w:rsidTr="008A6CBF">
        <w:tc>
          <w:tcPr>
            <w:tcW w:w="2518" w:type="dxa"/>
          </w:tcPr>
          <w:p w14:paraId="513662ED" w14:textId="77777777" w:rsidR="00AC1FE9" w:rsidRPr="001E6503" w:rsidRDefault="00AC1FE9" w:rsidP="000B1A46">
            <w:pPr>
              <w:spacing w:before="120" w:line="360" w:lineRule="auto"/>
              <w:jc w:val="center"/>
              <w:rPr>
                <w:sz w:val="24"/>
                <w:szCs w:val="24"/>
              </w:rPr>
            </w:pPr>
            <w:r w:rsidRPr="001E6503">
              <w:rPr>
                <w:sz w:val="24"/>
                <w:szCs w:val="24"/>
              </w:rPr>
              <w:t>50 to 64</w:t>
            </w:r>
          </w:p>
        </w:tc>
        <w:tc>
          <w:tcPr>
            <w:tcW w:w="1724" w:type="dxa"/>
          </w:tcPr>
          <w:p w14:paraId="2E7E0FEA" w14:textId="5CFE0333" w:rsidR="00AC1FE9" w:rsidRPr="001E6503" w:rsidRDefault="0037021B" w:rsidP="000B1A46">
            <w:pPr>
              <w:spacing w:before="120" w:line="360" w:lineRule="auto"/>
              <w:jc w:val="center"/>
              <w:rPr>
                <w:sz w:val="24"/>
                <w:szCs w:val="24"/>
              </w:rPr>
            </w:pPr>
            <w:r w:rsidRPr="001E6503">
              <w:rPr>
                <w:sz w:val="24"/>
                <w:szCs w:val="24"/>
              </w:rPr>
              <w:t xml:space="preserve">  80 (10.1</w:t>
            </w:r>
            <w:r w:rsidR="00AC1FE9" w:rsidRPr="001E6503">
              <w:rPr>
                <w:sz w:val="24"/>
                <w:szCs w:val="24"/>
              </w:rPr>
              <w:t>%)</w:t>
            </w:r>
          </w:p>
        </w:tc>
        <w:tc>
          <w:tcPr>
            <w:tcW w:w="1787" w:type="dxa"/>
          </w:tcPr>
          <w:p w14:paraId="35355A7A" w14:textId="17CDA661" w:rsidR="00AC1FE9" w:rsidRPr="001E6503" w:rsidRDefault="0037021B" w:rsidP="000B1A46">
            <w:pPr>
              <w:spacing w:before="120" w:line="360" w:lineRule="auto"/>
              <w:jc w:val="center"/>
              <w:rPr>
                <w:sz w:val="24"/>
                <w:szCs w:val="24"/>
              </w:rPr>
            </w:pPr>
            <w:r w:rsidRPr="001E6503">
              <w:rPr>
                <w:sz w:val="24"/>
                <w:szCs w:val="24"/>
              </w:rPr>
              <w:t xml:space="preserve">  84 (20.6</w:t>
            </w:r>
            <w:r w:rsidR="00AC1FE9" w:rsidRPr="001E6503">
              <w:rPr>
                <w:sz w:val="24"/>
                <w:szCs w:val="24"/>
              </w:rPr>
              <w:t>%)</w:t>
            </w:r>
          </w:p>
        </w:tc>
        <w:tc>
          <w:tcPr>
            <w:tcW w:w="1592" w:type="dxa"/>
          </w:tcPr>
          <w:p w14:paraId="5ADCC552" w14:textId="61993D2A" w:rsidR="00AC1FE9" w:rsidRPr="001E6503" w:rsidRDefault="0037021B" w:rsidP="000B1A46">
            <w:pPr>
              <w:spacing w:before="120" w:line="360" w:lineRule="auto"/>
              <w:jc w:val="center"/>
              <w:rPr>
                <w:sz w:val="24"/>
                <w:szCs w:val="24"/>
              </w:rPr>
            </w:pPr>
            <w:r w:rsidRPr="001E6503">
              <w:rPr>
                <w:sz w:val="24"/>
                <w:szCs w:val="24"/>
              </w:rPr>
              <w:t>164 (</w:t>
            </w:r>
            <w:r w:rsidR="004C20EC" w:rsidRPr="001E6503">
              <w:rPr>
                <w:sz w:val="24"/>
                <w:szCs w:val="24"/>
              </w:rPr>
              <w:t>2</w:t>
            </w:r>
            <w:r w:rsidRPr="001E6503">
              <w:rPr>
                <w:sz w:val="24"/>
                <w:szCs w:val="24"/>
              </w:rPr>
              <w:t>0.7</w:t>
            </w:r>
            <w:r w:rsidR="00AC1FE9" w:rsidRPr="001E6503">
              <w:rPr>
                <w:sz w:val="24"/>
                <w:szCs w:val="24"/>
              </w:rPr>
              <w:t>%)</w:t>
            </w:r>
          </w:p>
        </w:tc>
        <w:tc>
          <w:tcPr>
            <w:tcW w:w="1656" w:type="dxa"/>
            <w:vAlign w:val="bottom"/>
          </w:tcPr>
          <w:p w14:paraId="6DBFE9F8" w14:textId="681AE991" w:rsidR="00AC1FE9" w:rsidRPr="001E6503" w:rsidRDefault="001751B5" w:rsidP="000B1A46">
            <w:pPr>
              <w:spacing w:before="120" w:line="360" w:lineRule="auto"/>
              <w:jc w:val="center"/>
              <w:rPr>
                <w:sz w:val="24"/>
                <w:szCs w:val="24"/>
              </w:rPr>
            </w:pPr>
            <w:r w:rsidRPr="001E6503">
              <w:rPr>
                <w:sz w:val="24"/>
                <w:szCs w:val="24"/>
              </w:rPr>
              <w:t>115,</w:t>
            </w:r>
            <w:r w:rsidR="00AC1FE9" w:rsidRPr="001E6503">
              <w:rPr>
                <w:sz w:val="24"/>
                <w:szCs w:val="24"/>
              </w:rPr>
              <w:t>00</w:t>
            </w:r>
            <w:r w:rsidRPr="001E6503">
              <w:rPr>
                <w:sz w:val="24"/>
                <w:szCs w:val="24"/>
              </w:rPr>
              <w:t>5</w:t>
            </w:r>
          </w:p>
        </w:tc>
      </w:tr>
      <w:tr w:rsidR="00AC1FE9" w:rsidRPr="001E6503" w14:paraId="2E77EA0A" w14:textId="767FAE66" w:rsidTr="008A6CBF">
        <w:tc>
          <w:tcPr>
            <w:tcW w:w="2518" w:type="dxa"/>
          </w:tcPr>
          <w:p w14:paraId="02FA7FB8" w14:textId="7EA95BFF" w:rsidR="00AC1FE9" w:rsidRPr="001E6503" w:rsidRDefault="00AC1FE9" w:rsidP="000B1A46">
            <w:pPr>
              <w:spacing w:before="120" w:line="360" w:lineRule="auto"/>
              <w:jc w:val="center"/>
              <w:rPr>
                <w:sz w:val="24"/>
                <w:szCs w:val="24"/>
              </w:rPr>
            </w:pPr>
            <w:r w:rsidRPr="001E6503">
              <w:rPr>
                <w:sz w:val="24"/>
                <w:szCs w:val="24"/>
              </w:rPr>
              <w:t>65 and over</w:t>
            </w:r>
          </w:p>
        </w:tc>
        <w:tc>
          <w:tcPr>
            <w:tcW w:w="1724" w:type="dxa"/>
          </w:tcPr>
          <w:p w14:paraId="5F026040" w14:textId="3E0A53A3" w:rsidR="00AC1FE9" w:rsidRPr="001E6503" w:rsidRDefault="00AC1FE9" w:rsidP="000B1A46">
            <w:pPr>
              <w:spacing w:before="120" w:line="360" w:lineRule="auto"/>
              <w:jc w:val="center"/>
              <w:rPr>
                <w:sz w:val="24"/>
                <w:szCs w:val="24"/>
              </w:rPr>
            </w:pPr>
            <w:r w:rsidRPr="001E6503">
              <w:rPr>
                <w:sz w:val="24"/>
                <w:szCs w:val="24"/>
              </w:rPr>
              <w:t>6</w:t>
            </w:r>
            <w:r w:rsidR="0037021B" w:rsidRPr="001E6503">
              <w:rPr>
                <w:sz w:val="24"/>
                <w:szCs w:val="24"/>
              </w:rPr>
              <w:t>4</w:t>
            </w:r>
            <w:r w:rsidRPr="001E6503">
              <w:rPr>
                <w:sz w:val="24"/>
                <w:szCs w:val="24"/>
              </w:rPr>
              <w:t xml:space="preserve"> </w:t>
            </w:r>
            <w:r w:rsidR="0037021B" w:rsidRPr="001E6503">
              <w:rPr>
                <w:sz w:val="24"/>
                <w:szCs w:val="24"/>
              </w:rPr>
              <w:t>(8.1</w:t>
            </w:r>
            <w:r w:rsidRPr="001E6503">
              <w:rPr>
                <w:sz w:val="24"/>
                <w:szCs w:val="24"/>
              </w:rPr>
              <w:t>%)</w:t>
            </w:r>
          </w:p>
        </w:tc>
        <w:tc>
          <w:tcPr>
            <w:tcW w:w="1787" w:type="dxa"/>
          </w:tcPr>
          <w:p w14:paraId="7933701C" w14:textId="47748B77" w:rsidR="00AC1FE9" w:rsidRPr="001E6503" w:rsidRDefault="0037021B" w:rsidP="000B1A46">
            <w:pPr>
              <w:spacing w:before="120" w:line="360" w:lineRule="auto"/>
              <w:jc w:val="center"/>
              <w:rPr>
                <w:sz w:val="24"/>
                <w:szCs w:val="24"/>
              </w:rPr>
            </w:pPr>
            <w:r w:rsidRPr="001E6503">
              <w:rPr>
                <w:sz w:val="24"/>
                <w:szCs w:val="24"/>
              </w:rPr>
              <w:t xml:space="preserve">  81 (10.2</w:t>
            </w:r>
            <w:r w:rsidR="00AC1FE9" w:rsidRPr="001E6503">
              <w:rPr>
                <w:sz w:val="24"/>
                <w:szCs w:val="24"/>
              </w:rPr>
              <w:t>%)</w:t>
            </w:r>
          </w:p>
        </w:tc>
        <w:tc>
          <w:tcPr>
            <w:tcW w:w="1592" w:type="dxa"/>
          </w:tcPr>
          <w:p w14:paraId="4560D27D" w14:textId="2C084453" w:rsidR="00AC1FE9" w:rsidRPr="001E6503" w:rsidRDefault="0037021B" w:rsidP="000B1A46">
            <w:pPr>
              <w:spacing w:before="120" w:line="360" w:lineRule="auto"/>
              <w:jc w:val="center"/>
              <w:rPr>
                <w:sz w:val="24"/>
                <w:szCs w:val="24"/>
              </w:rPr>
            </w:pPr>
            <w:r w:rsidRPr="001E6503">
              <w:rPr>
                <w:sz w:val="24"/>
                <w:szCs w:val="24"/>
              </w:rPr>
              <w:t>145 (18.3</w:t>
            </w:r>
            <w:r w:rsidR="00AC1FE9" w:rsidRPr="001E6503">
              <w:rPr>
                <w:sz w:val="24"/>
                <w:szCs w:val="24"/>
              </w:rPr>
              <w:t>%)</w:t>
            </w:r>
          </w:p>
        </w:tc>
        <w:tc>
          <w:tcPr>
            <w:tcW w:w="1656" w:type="dxa"/>
            <w:vAlign w:val="bottom"/>
          </w:tcPr>
          <w:p w14:paraId="1B52810F" w14:textId="326538E2" w:rsidR="00AC1FE9" w:rsidRPr="001E6503" w:rsidRDefault="001751B5" w:rsidP="000B1A46">
            <w:pPr>
              <w:spacing w:before="120" w:line="360" w:lineRule="auto"/>
              <w:jc w:val="center"/>
              <w:rPr>
                <w:sz w:val="24"/>
                <w:szCs w:val="24"/>
              </w:rPr>
            </w:pPr>
            <w:r w:rsidRPr="001E6503">
              <w:rPr>
                <w:sz w:val="24"/>
                <w:szCs w:val="24"/>
              </w:rPr>
              <w:t>108,267</w:t>
            </w:r>
          </w:p>
        </w:tc>
      </w:tr>
      <w:tr w:rsidR="00FA26A0" w:rsidRPr="001E6503" w14:paraId="2CE2CF5F" w14:textId="77777777" w:rsidTr="008A6CBF">
        <w:tc>
          <w:tcPr>
            <w:tcW w:w="2518" w:type="dxa"/>
          </w:tcPr>
          <w:p w14:paraId="242DB4D0" w14:textId="143A4B60" w:rsidR="00FA26A0" w:rsidRPr="001E6503" w:rsidRDefault="00FA26A0" w:rsidP="000B1A46">
            <w:pPr>
              <w:spacing w:before="120" w:line="360" w:lineRule="auto"/>
              <w:jc w:val="center"/>
              <w:rPr>
                <w:sz w:val="24"/>
                <w:szCs w:val="24"/>
              </w:rPr>
            </w:pPr>
            <w:r w:rsidRPr="001E6503">
              <w:rPr>
                <w:sz w:val="24"/>
                <w:szCs w:val="24"/>
              </w:rPr>
              <w:t>Missing</w:t>
            </w:r>
          </w:p>
        </w:tc>
        <w:tc>
          <w:tcPr>
            <w:tcW w:w="1724" w:type="dxa"/>
          </w:tcPr>
          <w:p w14:paraId="087E4BA9" w14:textId="77777777" w:rsidR="00FA26A0" w:rsidRPr="001E6503" w:rsidRDefault="00FA26A0" w:rsidP="000B1A46">
            <w:pPr>
              <w:spacing w:before="120" w:line="360" w:lineRule="auto"/>
              <w:jc w:val="center"/>
              <w:rPr>
                <w:sz w:val="24"/>
                <w:szCs w:val="24"/>
              </w:rPr>
            </w:pPr>
          </w:p>
        </w:tc>
        <w:tc>
          <w:tcPr>
            <w:tcW w:w="1787" w:type="dxa"/>
          </w:tcPr>
          <w:p w14:paraId="7029396E" w14:textId="77777777" w:rsidR="00FA26A0" w:rsidRPr="001E6503" w:rsidRDefault="00FA26A0" w:rsidP="000B1A46">
            <w:pPr>
              <w:spacing w:before="120" w:line="360" w:lineRule="auto"/>
              <w:jc w:val="center"/>
              <w:rPr>
                <w:sz w:val="24"/>
                <w:szCs w:val="24"/>
              </w:rPr>
            </w:pPr>
          </w:p>
        </w:tc>
        <w:tc>
          <w:tcPr>
            <w:tcW w:w="1592" w:type="dxa"/>
          </w:tcPr>
          <w:p w14:paraId="788D2326" w14:textId="5D171EDC" w:rsidR="00FA26A0" w:rsidRPr="001E6503" w:rsidRDefault="0037021B" w:rsidP="000B1A46">
            <w:pPr>
              <w:spacing w:before="120" w:line="360" w:lineRule="auto"/>
              <w:jc w:val="center"/>
              <w:rPr>
                <w:sz w:val="24"/>
                <w:szCs w:val="24"/>
              </w:rPr>
            </w:pPr>
            <w:r w:rsidRPr="001E6503">
              <w:rPr>
                <w:sz w:val="24"/>
                <w:szCs w:val="24"/>
              </w:rPr>
              <w:t xml:space="preserve">   2 (0.3</w:t>
            </w:r>
            <w:r w:rsidR="004C20EC" w:rsidRPr="001E6503">
              <w:rPr>
                <w:sz w:val="24"/>
                <w:szCs w:val="24"/>
              </w:rPr>
              <w:t>%)</w:t>
            </w:r>
          </w:p>
        </w:tc>
        <w:tc>
          <w:tcPr>
            <w:tcW w:w="1656" w:type="dxa"/>
            <w:vAlign w:val="bottom"/>
          </w:tcPr>
          <w:p w14:paraId="598A621D" w14:textId="77777777" w:rsidR="00FA26A0" w:rsidRPr="001E6503" w:rsidRDefault="00FA26A0" w:rsidP="000B1A46">
            <w:pPr>
              <w:spacing w:before="120" w:line="360" w:lineRule="auto"/>
              <w:jc w:val="center"/>
              <w:rPr>
                <w:sz w:val="24"/>
                <w:szCs w:val="24"/>
              </w:rPr>
            </w:pPr>
          </w:p>
        </w:tc>
      </w:tr>
      <w:tr w:rsidR="004B1F90" w:rsidRPr="001E6503" w14:paraId="0F99ACF9" w14:textId="0B0936A6" w:rsidTr="008A6CBF">
        <w:tc>
          <w:tcPr>
            <w:tcW w:w="2518" w:type="dxa"/>
          </w:tcPr>
          <w:p w14:paraId="52D7EBBD" w14:textId="7CEEB898" w:rsidR="004B1F90" w:rsidRPr="001E6503" w:rsidRDefault="00F57DBF" w:rsidP="000B1A46">
            <w:pPr>
              <w:spacing w:before="120" w:line="360" w:lineRule="auto"/>
              <w:jc w:val="center"/>
              <w:rPr>
                <w:b/>
                <w:sz w:val="24"/>
                <w:szCs w:val="24"/>
                <w:vertAlign w:val="superscript"/>
              </w:rPr>
            </w:pPr>
            <w:r w:rsidRPr="001E6503">
              <w:rPr>
                <w:b/>
                <w:sz w:val="24"/>
                <w:szCs w:val="24"/>
              </w:rPr>
              <w:t>Ethnicity</w:t>
            </w:r>
          </w:p>
        </w:tc>
        <w:tc>
          <w:tcPr>
            <w:tcW w:w="1724" w:type="dxa"/>
          </w:tcPr>
          <w:p w14:paraId="407B8295" w14:textId="77777777" w:rsidR="004B1F90" w:rsidRPr="001E6503" w:rsidRDefault="004B1F90" w:rsidP="000B1A46">
            <w:pPr>
              <w:spacing w:before="120" w:line="360" w:lineRule="auto"/>
              <w:jc w:val="center"/>
              <w:rPr>
                <w:sz w:val="24"/>
                <w:szCs w:val="24"/>
              </w:rPr>
            </w:pPr>
          </w:p>
        </w:tc>
        <w:tc>
          <w:tcPr>
            <w:tcW w:w="1787" w:type="dxa"/>
          </w:tcPr>
          <w:p w14:paraId="5D4D6E8F" w14:textId="77777777" w:rsidR="004B1F90" w:rsidRPr="001E6503" w:rsidRDefault="004B1F90" w:rsidP="000B1A46">
            <w:pPr>
              <w:spacing w:before="120" w:line="360" w:lineRule="auto"/>
              <w:jc w:val="center"/>
              <w:rPr>
                <w:sz w:val="24"/>
                <w:szCs w:val="24"/>
              </w:rPr>
            </w:pPr>
          </w:p>
        </w:tc>
        <w:tc>
          <w:tcPr>
            <w:tcW w:w="1592" w:type="dxa"/>
          </w:tcPr>
          <w:p w14:paraId="7E975B62" w14:textId="77777777" w:rsidR="004B1F90" w:rsidRPr="001E6503" w:rsidRDefault="004B1F90" w:rsidP="000B1A46">
            <w:pPr>
              <w:spacing w:before="120" w:line="360" w:lineRule="auto"/>
              <w:jc w:val="center"/>
              <w:rPr>
                <w:sz w:val="24"/>
                <w:szCs w:val="24"/>
              </w:rPr>
            </w:pPr>
          </w:p>
        </w:tc>
        <w:tc>
          <w:tcPr>
            <w:tcW w:w="1656" w:type="dxa"/>
          </w:tcPr>
          <w:p w14:paraId="7B8242A3" w14:textId="77777777" w:rsidR="004B1F90" w:rsidRPr="001E6503" w:rsidRDefault="004B1F90" w:rsidP="000B1A46">
            <w:pPr>
              <w:spacing w:before="120" w:line="360" w:lineRule="auto"/>
              <w:jc w:val="center"/>
              <w:rPr>
                <w:sz w:val="24"/>
                <w:szCs w:val="24"/>
              </w:rPr>
            </w:pPr>
          </w:p>
        </w:tc>
      </w:tr>
      <w:tr w:rsidR="00AC1FE9" w:rsidRPr="001E6503" w14:paraId="6C666538" w14:textId="4F435A3B" w:rsidTr="008A6CBF">
        <w:tc>
          <w:tcPr>
            <w:tcW w:w="2518" w:type="dxa"/>
          </w:tcPr>
          <w:p w14:paraId="158D955D" w14:textId="77777777" w:rsidR="00AC1FE9" w:rsidRPr="001E6503" w:rsidRDefault="00AC1FE9" w:rsidP="000B1A46">
            <w:pPr>
              <w:spacing w:before="120" w:line="360" w:lineRule="auto"/>
              <w:jc w:val="center"/>
              <w:rPr>
                <w:sz w:val="24"/>
                <w:szCs w:val="24"/>
              </w:rPr>
            </w:pPr>
            <w:r w:rsidRPr="001E6503">
              <w:rPr>
                <w:sz w:val="24"/>
                <w:szCs w:val="24"/>
              </w:rPr>
              <w:t>White</w:t>
            </w:r>
          </w:p>
        </w:tc>
        <w:tc>
          <w:tcPr>
            <w:tcW w:w="1724" w:type="dxa"/>
          </w:tcPr>
          <w:p w14:paraId="73A7E082" w14:textId="09A887AA" w:rsidR="00AC1FE9" w:rsidRPr="001E6503" w:rsidRDefault="0037021B" w:rsidP="000B1A46">
            <w:pPr>
              <w:spacing w:before="120" w:line="360" w:lineRule="auto"/>
              <w:jc w:val="center"/>
              <w:rPr>
                <w:sz w:val="24"/>
                <w:szCs w:val="24"/>
              </w:rPr>
            </w:pPr>
            <w:r w:rsidRPr="001E6503">
              <w:rPr>
                <w:sz w:val="24"/>
                <w:szCs w:val="24"/>
              </w:rPr>
              <w:t>368 (46.4</w:t>
            </w:r>
            <w:r w:rsidR="00AC1FE9" w:rsidRPr="001E6503">
              <w:rPr>
                <w:sz w:val="24"/>
                <w:szCs w:val="24"/>
              </w:rPr>
              <w:t>%)</w:t>
            </w:r>
          </w:p>
        </w:tc>
        <w:tc>
          <w:tcPr>
            <w:tcW w:w="1787" w:type="dxa"/>
          </w:tcPr>
          <w:p w14:paraId="0A5CBF42" w14:textId="050A96AE" w:rsidR="00AC1FE9" w:rsidRPr="001E6503" w:rsidRDefault="0049014D" w:rsidP="000B1A46">
            <w:pPr>
              <w:spacing w:before="120" w:line="360" w:lineRule="auto"/>
              <w:jc w:val="center"/>
              <w:rPr>
                <w:sz w:val="24"/>
                <w:szCs w:val="24"/>
              </w:rPr>
            </w:pPr>
            <w:r w:rsidRPr="001E6503">
              <w:rPr>
                <w:sz w:val="24"/>
                <w:szCs w:val="24"/>
              </w:rPr>
              <w:t>379</w:t>
            </w:r>
            <w:r w:rsidR="00427051" w:rsidRPr="001E6503">
              <w:rPr>
                <w:sz w:val="24"/>
                <w:szCs w:val="24"/>
              </w:rPr>
              <w:t xml:space="preserve"> (</w:t>
            </w:r>
            <w:r w:rsidRPr="001E6503">
              <w:rPr>
                <w:sz w:val="24"/>
                <w:szCs w:val="24"/>
              </w:rPr>
              <w:t>47.7</w:t>
            </w:r>
            <w:r w:rsidR="00AC1FE9" w:rsidRPr="001E6503">
              <w:rPr>
                <w:sz w:val="24"/>
                <w:szCs w:val="24"/>
              </w:rPr>
              <w:t>%)</w:t>
            </w:r>
          </w:p>
        </w:tc>
        <w:tc>
          <w:tcPr>
            <w:tcW w:w="1592" w:type="dxa"/>
          </w:tcPr>
          <w:p w14:paraId="23220D56" w14:textId="6F584649" w:rsidR="00AC1FE9" w:rsidRPr="001E6503" w:rsidRDefault="0049014D" w:rsidP="000B1A46">
            <w:pPr>
              <w:spacing w:before="120" w:line="360" w:lineRule="auto"/>
              <w:jc w:val="center"/>
              <w:rPr>
                <w:sz w:val="24"/>
                <w:szCs w:val="24"/>
              </w:rPr>
            </w:pPr>
            <w:r w:rsidRPr="001E6503">
              <w:rPr>
                <w:sz w:val="24"/>
                <w:szCs w:val="24"/>
              </w:rPr>
              <w:t>747 (94.1</w:t>
            </w:r>
            <w:r w:rsidR="00AC1FE9" w:rsidRPr="001E6503">
              <w:rPr>
                <w:sz w:val="24"/>
                <w:szCs w:val="24"/>
              </w:rPr>
              <w:t>%)</w:t>
            </w:r>
          </w:p>
        </w:tc>
        <w:tc>
          <w:tcPr>
            <w:tcW w:w="1656" w:type="dxa"/>
            <w:vAlign w:val="bottom"/>
          </w:tcPr>
          <w:p w14:paraId="65E95C61" w14:textId="7337C49A" w:rsidR="00AC1FE9" w:rsidRPr="001E6503" w:rsidRDefault="00AC1FE9" w:rsidP="000B1A46">
            <w:pPr>
              <w:spacing w:before="120" w:line="360" w:lineRule="auto"/>
              <w:jc w:val="center"/>
              <w:rPr>
                <w:sz w:val="24"/>
                <w:szCs w:val="24"/>
              </w:rPr>
            </w:pPr>
            <w:r w:rsidRPr="001E6503">
              <w:rPr>
                <w:sz w:val="24"/>
                <w:szCs w:val="24"/>
              </w:rPr>
              <w:t>609,166</w:t>
            </w:r>
          </w:p>
        </w:tc>
      </w:tr>
      <w:tr w:rsidR="00AC1FE9" w:rsidRPr="001E6503" w14:paraId="6FA034B2" w14:textId="4489D200" w:rsidTr="008A6CBF">
        <w:tc>
          <w:tcPr>
            <w:tcW w:w="2518" w:type="dxa"/>
          </w:tcPr>
          <w:p w14:paraId="2F461267" w14:textId="77777777" w:rsidR="00AC1FE9" w:rsidRPr="001E6503" w:rsidRDefault="00AC1FE9" w:rsidP="000B1A46">
            <w:pPr>
              <w:spacing w:before="120" w:line="360" w:lineRule="auto"/>
              <w:jc w:val="center"/>
              <w:rPr>
                <w:sz w:val="24"/>
                <w:szCs w:val="24"/>
              </w:rPr>
            </w:pPr>
            <w:r w:rsidRPr="001E6503">
              <w:rPr>
                <w:sz w:val="24"/>
                <w:szCs w:val="24"/>
              </w:rPr>
              <w:t>Asian/Asian British</w:t>
            </w:r>
          </w:p>
        </w:tc>
        <w:tc>
          <w:tcPr>
            <w:tcW w:w="1724" w:type="dxa"/>
          </w:tcPr>
          <w:p w14:paraId="2E3CB30A" w14:textId="7AF1BF35" w:rsidR="00AC1FE9" w:rsidRPr="001E6503" w:rsidRDefault="0037021B" w:rsidP="000B1A46">
            <w:pPr>
              <w:spacing w:before="120" w:line="360" w:lineRule="auto"/>
              <w:jc w:val="center"/>
              <w:rPr>
                <w:sz w:val="24"/>
                <w:szCs w:val="24"/>
              </w:rPr>
            </w:pPr>
            <w:r w:rsidRPr="001E6503">
              <w:rPr>
                <w:sz w:val="24"/>
                <w:szCs w:val="24"/>
              </w:rPr>
              <w:t xml:space="preserve">   0 (0.0</w:t>
            </w:r>
            <w:r w:rsidR="00AC1FE9" w:rsidRPr="001E6503">
              <w:rPr>
                <w:sz w:val="24"/>
                <w:szCs w:val="24"/>
              </w:rPr>
              <w:t>%)</w:t>
            </w:r>
          </w:p>
        </w:tc>
        <w:tc>
          <w:tcPr>
            <w:tcW w:w="1787" w:type="dxa"/>
          </w:tcPr>
          <w:p w14:paraId="69AD5442" w14:textId="7FF4C39C" w:rsidR="00AC1FE9" w:rsidRPr="001E6503" w:rsidRDefault="0049014D" w:rsidP="000B1A46">
            <w:pPr>
              <w:spacing w:before="120" w:line="360" w:lineRule="auto"/>
              <w:jc w:val="center"/>
              <w:rPr>
                <w:sz w:val="24"/>
                <w:szCs w:val="24"/>
              </w:rPr>
            </w:pPr>
            <w:r w:rsidRPr="001E6503">
              <w:rPr>
                <w:sz w:val="24"/>
                <w:szCs w:val="24"/>
              </w:rPr>
              <w:t xml:space="preserve">  8 (1.0</w:t>
            </w:r>
            <w:r w:rsidR="00AC1FE9" w:rsidRPr="001E6503">
              <w:rPr>
                <w:sz w:val="24"/>
                <w:szCs w:val="24"/>
              </w:rPr>
              <w:t>%)</w:t>
            </w:r>
          </w:p>
        </w:tc>
        <w:tc>
          <w:tcPr>
            <w:tcW w:w="1592" w:type="dxa"/>
          </w:tcPr>
          <w:p w14:paraId="398648B6" w14:textId="1F3AB113" w:rsidR="00AC1FE9" w:rsidRPr="001E6503" w:rsidRDefault="0049014D" w:rsidP="000B1A46">
            <w:pPr>
              <w:spacing w:before="120" w:line="360" w:lineRule="auto"/>
              <w:jc w:val="center"/>
              <w:rPr>
                <w:sz w:val="24"/>
                <w:szCs w:val="24"/>
              </w:rPr>
            </w:pPr>
            <w:r w:rsidRPr="001E6503">
              <w:rPr>
                <w:sz w:val="24"/>
                <w:szCs w:val="24"/>
              </w:rPr>
              <w:t xml:space="preserve">  8</w:t>
            </w:r>
            <w:r w:rsidR="00427051" w:rsidRPr="001E6503">
              <w:rPr>
                <w:sz w:val="24"/>
                <w:szCs w:val="24"/>
              </w:rPr>
              <w:t xml:space="preserve"> </w:t>
            </w:r>
            <w:r w:rsidRPr="001E6503">
              <w:rPr>
                <w:sz w:val="24"/>
                <w:szCs w:val="24"/>
              </w:rPr>
              <w:t>(1</w:t>
            </w:r>
            <w:r w:rsidR="00427051" w:rsidRPr="001E6503">
              <w:rPr>
                <w:sz w:val="24"/>
                <w:szCs w:val="24"/>
              </w:rPr>
              <w:t>.0</w:t>
            </w:r>
            <w:r w:rsidR="00AC1FE9" w:rsidRPr="001E6503">
              <w:rPr>
                <w:sz w:val="24"/>
                <w:szCs w:val="24"/>
              </w:rPr>
              <w:t>%)</w:t>
            </w:r>
          </w:p>
        </w:tc>
        <w:tc>
          <w:tcPr>
            <w:tcW w:w="1656" w:type="dxa"/>
            <w:vAlign w:val="bottom"/>
          </w:tcPr>
          <w:p w14:paraId="764A1EE4" w14:textId="3D7E4ED2" w:rsidR="00AC1FE9" w:rsidRPr="001E6503" w:rsidRDefault="00AC1FE9" w:rsidP="000B1A46">
            <w:pPr>
              <w:spacing w:before="120" w:line="360" w:lineRule="auto"/>
              <w:jc w:val="center"/>
              <w:rPr>
                <w:sz w:val="24"/>
                <w:szCs w:val="24"/>
              </w:rPr>
            </w:pPr>
            <w:r w:rsidRPr="001E6503">
              <w:rPr>
                <w:sz w:val="24"/>
                <w:szCs w:val="24"/>
              </w:rPr>
              <w:t>23,548</w:t>
            </w:r>
          </w:p>
        </w:tc>
      </w:tr>
      <w:tr w:rsidR="00AC1FE9" w:rsidRPr="001E6503" w14:paraId="4A060DF5" w14:textId="14900951" w:rsidTr="008A6CBF">
        <w:tc>
          <w:tcPr>
            <w:tcW w:w="2518" w:type="dxa"/>
          </w:tcPr>
          <w:p w14:paraId="701294E9" w14:textId="77777777" w:rsidR="00AC1FE9" w:rsidRPr="001E6503" w:rsidRDefault="00AC1FE9" w:rsidP="000B1A46">
            <w:pPr>
              <w:spacing w:before="120" w:line="360" w:lineRule="auto"/>
              <w:jc w:val="center"/>
              <w:rPr>
                <w:sz w:val="24"/>
                <w:szCs w:val="24"/>
              </w:rPr>
            </w:pPr>
            <w:r w:rsidRPr="001E6503">
              <w:rPr>
                <w:sz w:val="24"/>
                <w:szCs w:val="24"/>
              </w:rPr>
              <w:t>Black/Black British</w:t>
            </w:r>
          </w:p>
        </w:tc>
        <w:tc>
          <w:tcPr>
            <w:tcW w:w="1724" w:type="dxa"/>
          </w:tcPr>
          <w:p w14:paraId="13E79F6A" w14:textId="0835BC36" w:rsidR="00AC1FE9" w:rsidRPr="001E6503" w:rsidRDefault="0037021B" w:rsidP="000B1A46">
            <w:pPr>
              <w:spacing w:before="120" w:line="360" w:lineRule="auto"/>
              <w:jc w:val="center"/>
              <w:rPr>
                <w:sz w:val="24"/>
                <w:szCs w:val="24"/>
              </w:rPr>
            </w:pPr>
            <w:r w:rsidRPr="001E6503">
              <w:rPr>
                <w:sz w:val="24"/>
                <w:szCs w:val="24"/>
              </w:rPr>
              <w:t>14 (1.8</w:t>
            </w:r>
            <w:r w:rsidR="00AC1FE9" w:rsidRPr="001E6503">
              <w:rPr>
                <w:sz w:val="24"/>
                <w:szCs w:val="24"/>
              </w:rPr>
              <w:t>%)</w:t>
            </w:r>
          </w:p>
        </w:tc>
        <w:tc>
          <w:tcPr>
            <w:tcW w:w="1787" w:type="dxa"/>
          </w:tcPr>
          <w:p w14:paraId="37DB6739" w14:textId="6C013519" w:rsidR="00AC1FE9" w:rsidRPr="001E6503" w:rsidRDefault="0049014D" w:rsidP="000B1A46">
            <w:pPr>
              <w:spacing w:before="120" w:line="360" w:lineRule="auto"/>
              <w:jc w:val="center"/>
              <w:rPr>
                <w:sz w:val="24"/>
                <w:szCs w:val="24"/>
              </w:rPr>
            </w:pPr>
            <w:r w:rsidRPr="001E6503">
              <w:rPr>
                <w:sz w:val="24"/>
                <w:szCs w:val="24"/>
              </w:rPr>
              <w:t xml:space="preserve">  8 (1.0</w:t>
            </w:r>
            <w:r w:rsidR="00AC1FE9" w:rsidRPr="001E6503">
              <w:rPr>
                <w:sz w:val="24"/>
                <w:szCs w:val="24"/>
              </w:rPr>
              <w:t>%)</w:t>
            </w:r>
          </w:p>
        </w:tc>
        <w:tc>
          <w:tcPr>
            <w:tcW w:w="1592" w:type="dxa"/>
          </w:tcPr>
          <w:p w14:paraId="7713B4A5" w14:textId="29A7E3B8" w:rsidR="00AC1FE9" w:rsidRPr="001E6503" w:rsidRDefault="0049014D" w:rsidP="000B1A46">
            <w:pPr>
              <w:spacing w:before="120" w:line="360" w:lineRule="auto"/>
              <w:jc w:val="center"/>
              <w:rPr>
                <w:sz w:val="24"/>
                <w:szCs w:val="24"/>
              </w:rPr>
            </w:pPr>
            <w:r w:rsidRPr="001E6503">
              <w:rPr>
                <w:sz w:val="24"/>
                <w:szCs w:val="24"/>
              </w:rPr>
              <w:t xml:space="preserve"> 22</w:t>
            </w:r>
            <w:r w:rsidR="00427051" w:rsidRPr="001E6503">
              <w:rPr>
                <w:sz w:val="24"/>
                <w:szCs w:val="24"/>
              </w:rPr>
              <w:t xml:space="preserve"> (</w:t>
            </w:r>
            <w:r w:rsidRPr="001E6503">
              <w:rPr>
                <w:sz w:val="24"/>
                <w:szCs w:val="24"/>
              </w:rPr>
              <w:t>2.8</w:t>
            </w:r>
            <w:r w:rsidR="00AC1FE9" w:rsidRPr="001E6503">
              <w:rPr>
                <w:sz w:val="24"/>
                <w:szCs w:val="24"/>
              </w:rPr>
              <w:t>%)</w:t>
            </w:r>
          </w:p>
        </w:tc>
        <w:tc>
          <w:tcPr>
            <w:tcW w:w="1656" w:type="dxa"/>
            <w:vAlign w:val="bottom"/>
          </w:tcPr>
          <w:p w14:paraId="74C21EE5" w14:textId="31A2970C" w:rsidR="00AC1FE9" w:rsidRPr="001E6503" w:rsidRDefault="00AC1FE9" w:rsidP="000B1A46">
            <w:pPr>
              <w:spacing w:before="120" w:line="360" w:lineRule="auto"/>
              <w:jc w:val="center"/>
              <w:rPr>
                <w:sz w:val="24"/>
                <w:szCs w:val="24"/>
              </w:rPr>
            </w:pPr>
            <w:r w:rsidRPr="001E6503">
              <w:rPr>
                <w:sz w:val="24"/>
                <w:szCs w:val="24"/>
              </w:rPr>
              <w:t>27,772</w:t>
            </w:r>
          </w:p>
        </w:tc>
      </w:tr>
      <w:tr w:rsidR="00AC1FE9" w:rsidRPr="001E6503" w14:paraId="35A76CD6" w14:textId="5628396A" w:rsidTr="008A6CBF">
        <w:tc>
          <w:tcPr>
            <w:tcW w:w="2518" w:type="dxa"/>
          </w:tcPr>
          <w:p w14:paraId="65525F1F" w14:textId="77777777" w:rsidR="00AC1FE9" w:rsidRPr="001E6503" w:rsidRDefault="00AC1FE9" w:rsidP="000B1A46">
            <w:pPr>
              <w:spacing w:before="120" w:line="360" w:lineRule="auto"/>
              <w:jc w:val="center"/>
              <w:rPr>
                <w:sz w:val="24"/>
                <w:szCs w:val="24"/>
              </w:rPr>
            </w:pPr>
            <w:r w:rsidRPr="001E6503">
              <w:rPr>
                <w:sz w:val="24"/>
                <w:szCs w:val="24"/>
              </w:rPr>
              <w:t>Mixed Ethnicity</w:t>
            </w:r>
          </w:p>
        </w:tc>
        <w:tc>
          <w:tcPr>
            <w:tcW w:w="1724" w:type="dxa"/>
          </w:tcPr>
          <w:p w14:paraId="2418106A" w14:textId="27414852" w:rsidR="00AC1FE9" w:rsidRPr="001E6503" w:rsidRDefault="0037021B" w:rsidP="000B1A46">
            <w:pPr>
              <w:spacing w:before="120" w:line="360" w:lineRule="auto"/>
              <w:jc w:val="center"/>
              <w:rPr>
                <w:sz w:val="24"/>
                <w:szCs w:val="24"/>
              </w:rPr>
            </w:pPr>
            <w:r w:rsidRPr="001E6503">
              <w:rPr>
                <w:sz w:val="24"/>
                <w:szCs w:val="24"/>
              </w:rPr>
              <w:t xml:space="preserve">   1 (0.1</w:t>
            </w:r>
            <w:r w:rsidR="00AC1FE9" w:rsidRPr="001E6503">
              <w:rPr>
                <w:sz w:val="24"/>
                <w:szCs w:val="24"/>
              </w:rPr>
              <w:t>%)</w:t>
            </w:r>
          </w:p>
        </w:tc>
        <w:tc>
          <w:tcPr>
            <w:tcW w:w="1787" w:type="dxa"/>
          </w:tcPr>
          <w:p w14:paraId="4A3A786A" w14:textId="055F02D6" w:rsidR="00AC1FE9" w:rsidRPr="001E6503" w:rsidRDefault="0049014D" w:rsidP="000B1A46">
            <w:pPr>
              <w:spacing w:before="120" w:line="360" w:lineRule="auto"/>
              <w:jc w:val="center"/>
              <w:rPr>
                <w:sz w:val="24"/>
                <w:szCs w:val="24"/>
              </w:rPr>
            </w:pPr>
            <w:r w:rsidRPr="001E6503">
              <w:rPr>
                <w:sz w:val="24"/>
                <w:szCs w:val="24"/>
              </w:rPr>
              <w:t xml:space="preserve">  8 (1.0</w:t>
            </w:r>
            <w:r w:rsidR="00AC1FE9" w:rsidRPr="001E6503">
              <w:rPr>
                <w:sz w:val="24"/>
                <w:szCs w:val="24"/>
              </w:rPr>
              <w:t>%)</w:t>
            </w:r>
          </w:p>
        </w:tc>
        <w:tc>
          <w:tcPr>
            <w:tcW w:w="1592" w:type="dxa"/>
          </w:tcPr>
          <w:p w14:paraId="402A6668" w14:textId="7C6EEBF1" w:rsidR="00AC1FE9" w:rsidRPr="001E6503" w:rsidRDefault="0049014D" w:rsidP="000B1A46">
            <w:pPr>
              <w:spacing w:before="120" w:line="360" w:lineRule="auto"/>
              <w:jc w:val="center"/>
              <w:rPr>
                <w:sz w:val="24"/>
                <w:szCs w:val="24"/>
              </w:rPr>
            </w:pPr>
            <w:r w:rsidRPr="001E6503">
              <w:rPr>
                <w:sz w:val="24"/>
                <w:szCs w:val="24"/>
              </w:rPr>
              <w:t xml:space="preserve">   9 (1.1</w:t>
            </w:r>
            <w:r w:rsidR="00AC1FE9" w:rsidRPr="001E6503">
              <w:rPr>
                <w:sz w:val="24"/>
                <w:szCs w:val="24"/>
              </w:rPr>
              <w:t>%)</w:t>
            </w:r>
          </w:p>
        </w:tc>
        <w:tc>
          <w:tcPr>
            <w:tcW w:w="1656" w:type="dxa"/>
            <w:vAlign w:val="bottom"/>
          </w:tcPr>
          <w:p w14:paraId="602F8C05" w14:textId="45896925" w:rsidR="00AC1FE9" w:rsidRPr="001E6503" w:rsidRDefault="00AC1FE9" w:rsidP="000B1A46">
            <w:pPr>
              <w:spacing w:before="120" w:line="360" w:lineRule="auto"/>
              <w:jc w:val="center"/>
              <w:rPr>
                <w:sz w:val="24"/>
                <w:szCs w:val="24"/>
              </w:rPr>
            </w:pPr>
            <w:r w:rsidRPr="001E6503">
              <w:rPr>
                <w:sz w:val="24"/>
                <w:szCs w:val="24"/>
              </w:rPr>
              <w:t>19,105</w:t>
            </w:r>
          </w:p>
        </w:tc>
      </w:tr>
      <w:tr w:rsidR="00AC1FE9" w:rsidRPr="001E6503" w14:paraId="5F8CC3EC" w14:textId="1B1B86F7" w:rsidTr="008A6CBF">
        <w:tc>
          <w:tcPr>
            <w:tcW w:w="2518" w:type="dxa"/>
          </w:tcPr>
          <w:p w14:paraId="73072B66" w14:textId="2CAFE58E" w:rsidR="00AC1FE9" w:rsidRPr="001E6503" w:rsidRDefault="00744F19" w:rsidP="000B1A46">
            <w:pPr>
              <w:spacing w:before="120" w:line="360" w:lineRule="auto"/>
              <w:jc w:val="center"/>
              <w:rPr>
                <w:sz w:val="24"/>
                <w:szCs w:val="24"/>
              </w:rPr>
            </w:pPr>
            <w:r w:rsidRPr="001E6503">
              <w:rPr>
                <w:sz w:val="24"/>
                <w:szCs w:val="24"/>
              </w:rPr>
              <w:t>O</w:t>
            </w:r>
            <w:r w:rsidR="00AC1FE9" w:rsidRPr="001E6503">
              <w:rPr>
                <w:sz w:val="24"/>
                <w:szCs w:val="24"/>
              </w:rPr>
              <w:t>ther Ethnic Group</w:t>
            </w:r>
          </w:p>
        </w:tc>
        <w:tc>
          <w:tcPr>
            <w:tcW w:w="1724" w:type="dxa"/>
          </w:tcPr>
          <w:p w14:paraId="7518EA34" w14:textId="0E803334" w:rsidR="00AC1FE9" w:rsidRPr="001E6503" w:rsidRDefault="0037021B" w:rsidP="000B1A46">
            <w:pPr>
              <w:spacing w:before="120" w:line="360" w:lineRule="auto"/>
              <w:jc w:val="center"/>
              <w:rPr>
                <w:sz w:val="24"/>
                <w:szCs w:val="24"/>
              </w:rPr>
            </w:pPr>
            <w:r w:rsidRPr="001E6503">
              <w:rPr>
                <w:sz w:val="24"/>
                <w:szCs w:val="24"/>
              </w:rPr>
              <w:t xml:space="preserve">   2 (0.3</w:t>
            </w:r>
            <w:r w:rsidR="00AC1FE9" w:rsidRPr="001E6503">
              <w:rPr>
                <w:sz w:val="24"/>
                <w:szCs w:val="24"/>
              </w:rPr>
              <w:t>%)</w:t>
            </w:r>
          </w:p>
        </w:tc>
        <w:tc>
          <w:tcPr>
            <w:tcW w:w="1787" w:type="dxa"/>
          </w:tcPr>
          <w:p w14:paraId="57DDBA5C" w14:textId="28FC7DDF" w:rsidR="00AC1FE9" w:rsidRPr="001E6503" w:rsidRDefault="0049014D" w:rsidP="000B1A46">
            <w:pPr>
              <w:spacing w:before="120" w:line="360" w:lineRule="auto"/>
              <w:jc w:val="center"/>
              <w:rPr>
                <w:sz w:val="24"/>
                <w:szCs w:val="24"/>
              </w:rPr>
            </w:pPr>
            <w:r w:rsidRPr="001E6503">
              <w:rPr>
                <w:sz w:val="24"/>
                <w:szCs w:val="24"/>
              </w:rPr>
              <w:t xml:space="preserve">  1 (0.1</w:t>
            </w:r>
            <w:r w:rsidR="00AC1FE9" w:rsidRPr="001E6503">
              <w:rPr>
                <w:sz w:val="24"/>
                <w:szCs w:val="24"/>
              </w:rPr>
              <w:t>%)</w:t>
            </w:r>
          </w:p>
        </w:tc>
        <w:tc>
          <w:tcPr>
            <w:tcW w:w="1592" w:type="dxa"/>
          </w:tcPr>
          <w:p w14:paraId="704343CB" w14:textId="465E7E7A" w:rsidR="00AC1FE9" w:rsidRPr="001E6503" w:rsidRDefault="0049014D" w:rsidP="000B1A46">
            <w:pPr>
              <w:spacing w:before="120" w:line="360" w:lineRule="auto"/>
              <w:jc w:val="center"/>
              <w:rPr>
                <w:sz w:val="24"/>
                <w:szCs w:val="24"/>
              </w:rPr>
            </w:pPr>
            <w:r w:rsidRPr="001E6503">
              <w:rPr>
                <w:sz w:val="24"/>
                <w:szCs w:val="24"/>
              </w:rPr>
              <w:t xml:space="preserve">   3 (0.4</w:t>
            </w:r>
            <w:r w:rsidR="00AC1FE9" w:rsidRPr="001E6503">
              <w:rPr>
                <w:sz w:val="24"/>
                <w:szCs w:val="24"/>
              </w:rPr>
              <w:t>%)</w:t>
            </w:r>
          </w:p>
        </w:tc>
        <w:tc>
          <w:tcPr>
            <w:tcW w:w="1656" w:type="dxa"/>
            <w:vAlign w:val="bottom"/>
          </w:tcPr>
          <w:p w14:paraId="0A1581D5" w14:textId="73063C05" w:rsidR="00AC1FE9" w:rsidRPr="001E6503" w:rsidRDefault="00AC1FE9" w:rsidP="000B1A46">
            <w:pPr>
              <w:spacing w:before="120" w:line="360" w:lineRule="auto"/>
              <w:jc w:val="center"/>
              <w:rPr>
                <w:sz w:val="24"/>
                <w:szCs w:val="24"/>
              </w:rPr>
            </w:pPr>
            <w:r w:rsidRPr="001E6503">
              <w:rPr>
                <w:sz w:val="24"/>
                <w:szCs w:val="24"/>
              </w:rPr>
              <w:t>3,815</w:t>
            </w:r>
          </w:p>
        </w:tc>
      </w:tr>
      <w:tr w:rsidR="00FA26A0" w:rsidRPr="001E6503" w14:paraId="7059CCA0" w14:textId="77777777" w:rsidTr="008A6CBF">
        <w:tc>
          <w:tcPr>
            <w:tcW w:w="2518" w:type="dxa"/>
          </w:tcPr>
          <w:p w14:paraId="02063D62" w14:textId="4116E3DE" w:rsidR="00FA26A0" w:rsidRPr="001E6503" w:rsidRDefault="00FA26A0" w:rsidP="000B1A46">
            <w:pPr>
              <w:spacing w:before="120" w:line="360" w:lineRule="auto"/>
              <w:jc w:val="center"/>
              <w:rPr>
                <w:sz w:val="24"/>
                <w:szCs w:val="24"/>
              </w:rPr>
            </w:pPr>
            <w:r w:rsidRPr="001E6503">
              <w:rPr>
                <w:sz w:val="24"/>
                <w:szCs w:val="24"/>
              </w:rPr>
              <w:t>Missing</w:t>
            </w:r>
          </w:p>
        </w:tc>
        <w:tc>
          <w:tcPr>
            <w:tcW w:w="1724" w:type="dxa"/>
          </w:tcPr>
          <w:p w14:paraId="446D9B23" w14:textId="77777777" w:rsidR="00FA26A0" w:rsidRPr="001E6503" w:rsidRDefault="00FA26A0" w:rsidP="000B1A46">
            <w:pPr>
              <w:spacing w:before="120" w:line="360" w:lineRule="auto"/>
              <w:jc w:val="center"/>
              <w:rPr>
                <w:sz w:val="24"/>
                <w:szCs w:val="24"/>
              </w:rPr>
            </w:pPr>
          </w:p>
        </w:tc>
        <w:tc>
          <w:tcPr>
            <w:tcW w:w="1787" w:type="dxa"/>
          </w:tcPr>
          <w:p w14:paraId="3BE572F2" w14:textId="77777777" w:rsidR="00FA26A0" w:rsidRPr="001E6503" w:rsidRDefault="00FA26A0" w:rsidP="000B1A46">
            <w:pPr>
              <w:spacing w:before="120" w:line="360" w:lineRule="auto"/>
              <w:jc w:val="center"/>
              <w:rPr>
                <w:sz w:val="24"/>
                <w:szCs w:val="24"/>
              </w:rPr>
            </w:pPr>
          </w:p>
        </w:tc>
        <w:tc>
          <w:tcPr>
            <w:tcW w:w="1592" w:type="dxa"/>
          </w:tcPr>
          <w:p w14:paraId="6C77879A" w14:textId="3226E6D0" w:rsidR="00FA26A0" w:rsidRPr="001E6503" w:rsidRDefault="0049014D" w:rsidP="000B1A46">
            <w:pPr>
              <w:spacing w:before="120" w:line="360" w:lineRule="auto"/>
              <w:jc w:val="center"/>
              <w:rPr>
                <w:sz w:val="24"/>
                <w:szCs w:val="24"/>
              </w:rPr>
            </w:pPr>
            <w:r w:rsidRPr="001E6503">
              <w:rPr>
                <w:sz w:val="24"/>
                <w:szCs w:val="24"/>
              </w:rPr>
              <w:t xml:space="preserve">   5 (0.6</w:t>
            </w:r>
            <w:r w:rsidR="00427051" w:rsidRPr="001E6503">
              <w:rPr>
                <w:sz w:val="24"/>
                <w:szCs w:val="24"/>
              </w:rPr>
              <w:t>%)</w:t>
            </w:r>
          </w:p>
        </w:tc>
        <w:tc>
          <w:tcPr>
            <w:tcW w:w="1656" w:type="dxa"/>
            <w:vAlign w:val="bottom"/>
          </w:tcPr>
          <w:p w14:paraId="409A090B" w14:textId="77777777" w:rsidR="00FA26A0" w:rsidRPr="001E6503" w:rsidRDefault="00FA26A0" w:rsidP="000B1A46">
            <w:pPr>
              <w:spacing w:before="120" w:line="360" w:lineRule="auto"/>
              <w:jc w:val="center"/>
              <w:rPr>
                <w:sz w:val="24"/>
                <w:szCs w:val="24"/>
              </w:rPr>
            </w:pPr>
          </w:p>
        </w:tc>
      </w:tr>
      <w:tr w:rsidR="00FA26A0" w:rsidRPr="001E6503" w14:paraId="133249C2" w14:textId="76228285" w:rsidTr="008A6CBF">
        <w:tc>
          <w:tcPr>
            <w:tcW w:w="2518" w:type="dxa"/>
          </w:tcPr>
          <w:p w14:paraId="36451445" w14:textId="4D55F909" w:rsidR="00FA26A0" w:rsidRPr="001E6503" w:rsidRDefault="008A6CBF" w:rsidP="000B1A46">
            <w:pPr>
              <w:spacing w:before="120" w:line="360" w:lineRule="auto"/>
              <w:jc w:val="center"/>
              <w:rPr>
                <w:b/>
                <w:sz w:val="24"/>
                <w:szCs w:val="24"/>
              </w:rPr>
            </w:pPr>
            <w:r>
              <w:rPr>
                <w:b/>
                <w:sz w:val="24"/>
                <w:szCs w:val="24"/>
              </w:rPr>
              <w:t xml:space="preserve">Affected by </w:t>
            </w:r>
            <w:r w:rsidR="00FA26A0" w:rsidRPr="001E6503">
              <w:rPr>
                <w:b/>
                <w:sz w:val="24"/>
                <w:szCs w:val="24"/>
              </w:rPr>
              <w:t>dementia</w:t>
            </w:r>
          </w:p>
        </w:tc>
        <w:tc>
          <w:tcPr>
            <w:tcW w:w="1724" w:type="dxa"/>
          </w:tcPr>
          <w:p w14:paraId="13276540" w14:textId="77777777" w:rsidR="00FA26A0" w:rsidRPr="001E6503" w:rsidRDefault="00FA26A0" w:rsidP="000B1A46">
            <w:pPr>
              <w:spacing w:before="120" w:line="360" w:lineRule="auto"/>
              <w:jc w:val="center"/>
              <w:rPr>
                <w:sz w:val="24"/>
                <w:szCs w:val="24"/>
              </w:rPr>
            </w:pPr>
          </w:p>
        </w:tc>
        <w:tc>
          <w:tcPr>
            <w:tcW w:w="1787" w:type="dxa"/>
          </w:tcPr>
          <w:p w14:paraId="6963F4FB" w14:textId="77777777" w:rsidR="00FA26A0" w:rsidRPr="001E6503" w:rsidRDefault="00FA26A0" w:rsidP="000B1A46">
            <w:pPr>
              <w:spacing w:before="120" w:line="360" w:lineRule="auto"/>
              <w:jc w:val="center"/>
              <w:rPr>
                <w:sz w:val="24"/>
                <w:szCs w:val="24"/>
              </w:rPr>
            </w:pPr>
          </w:p>
        </w:tc>
        <w:tc>
          <w:tcPr>
            <w:tcW w:w="1592" w:type="dxa"/>
          </w:tcPr>
          <w:p w14:paraId="3ABA2BE2" w14:textId="77777777" w:rsidR="00FA26A0" w:rsidRPr="001E6503" w:rsidRDefault="00FA26A0" w:rsidP="000B1A46">
            <w:pPr>
              <w:spacing w:before="120" w:line="360" w:lineRule="auto"/>
              <w:jc w:val="center"/>
              <w:rPr>
                <w:sz w:val="24"/>
                <w:szCs w:val="24"/>
              </w:rPr>
            </w:pPr>
          </w:p>
        </w:tc>
        <w:tc>
          <w:tcPr>
            <w:tcW w:w="1656" w:type="dxa"/>
          </w:tcPr>
          <w:p w14:paraId="24F626B9" w14:textId="77777777" w:rsidR="00FA26A0" w:rsidRPr="001E6503" w:rsidRDefault="00FA26A0" w:rsidP="000B1A46">
            <w:pPr>
              <w:spacing w:before="120" w:line="360" w:lineRule="auto"/>
              <w:jc w:val="center"/>
              <w:rPr>
                <w:sz w:val="24"/>
                <w:szCs w:val="24"/>
              </w:rPr>
            </w:pPr>
          </w:p>
        </w:tc>
      </w:tr>
      <w:tr w:rsidR="00FA26A0" w:rsidRPr="001E6503" w14:paraId="1D4F6E96" w14:textId="12384B2C" w:rsidTr="008A6CBF">
        <w:tc>
          <w:tcPr>
            <w:tcW w:w="2518" w:type="dxa"/>
          </w:tcPr>
          <w:p w14:paraId="0B4443FD" w14:textId="77777777" w:rsidR="00FA26A0" w:rsidRPr="001E6503" w:rsidRDefault="00FA26A0" w:rsidP="000B1A46">
            <w:pPr>
              <w:spacing w:before="120" w:line="360" w:lineRule="auto"/>
              <w:jc w:val="center"/>
              <w:rPr>
                <w:sz w:val="24"/>
                <w:szCs w:val="24"/>
              </w:rPr>
            </w:pPr>
            <w:r w:rsidRPr="001E6503">
              <w:rPr>
                <w:sz w:val="24"/>
                <w:szCs w:val="24"/>
              </w:rPr>
              <w:t>Yes</w:t>
            </w:r>
          </w:p>
        </w:tc>
        <w:tc>
          <w:tcPr>
            <w:tcW w:w="1724" w:type="dxa"/>
          </w:tcPr>
          <w:p w14:paraId="54F0F057" w14:textId="37DC63C8" w:rsidR="00FA26A0" w:rsidRPr="001E6503" w:rsidRDefault="0049014D" w:rsidP="000B1A46">
            <w:pPr>
              <w:spacing w:before="120" w:line="360" w:lineRule="auto"/>
              <w:jc w:val="center"/>
              <w:rPr>
                <w:sz w:val="24"/>
                <w:szCs w:val="24"/>
              </w:rPr>
            </w:pPr>
            <w:r w:rsidRPr="001E6503">
              <w:rPr>
                <w:sz w:val="24"/>
                <w:szCs w:val="24"/>
              </w:rPr>
              <w:t>201 (25.3</w:t>
            </w:r>
            <w:r w:rsidR="00FA26A0" w:rsidRPr="001E6503">
              <w:rPr>
                <w:sz w:val="24"/>
                <w:szCs w:val="24"/>
              </w:rPr>
              <w:t>%)</w:t>
            </w:r>
          </w:p>
        </w:tc>
        <w:tc>
          <w:tcPr>
            <w:tcW w:w="1787" w:type="dxa"/>
          </w:tcPr>
          <w:p w14:paraId="3A41129F" w14:textId="3C37BE99" w:rsidR="00FA26A0" w:rsidRPr="001E6503" w:rsidRDefault="0049014D" w:rsidP="000B1A46">
            <w:pPr>
              <w:spacing w:before="120" w:line="360" w:lineRule="auto"/>
              <w:jc w:val="center"/>
              <w:rPr>
                <w:sz w:val="24"/>
                <w:szCs w:val="24"/>
              </w:rPr>
            </w:pPr>
            <w:r w:rsidRPr="001E6503">
              <w:rPr>
                <w:sz w:val="24"/>
                <w:szCs w:val="24"/>
              </w:rPr>
              <w:t>194 (24.4</w:t>
            </w:r>
            <w:r w:rsidR="00FA26A0" w:rsidRPr="001E6503">
              <w:rPr>
                <w:sz w:val="24"/>
                <w:szCs w:val="24"/>
              </w:rPr>
              <w:t>%)</w:t>
            </w:r>
          </w:p>
        </w:tc>
        <w:tc>
          <w:tcPr>
            <w:tcW w:w="1592" w:type="dxa"/>
          </w:tcPr>
          <w:p w14:paraId="6D742F82" w14:textId="440568F7" w:rsidR="00FA26A0" w:rsidRPr="001E6503" w:rsidRDefault="0049014D" w:rsidP="000B1A46">
            <w:pPr>
              <w:spacing w:before="120" w:line="360" w:lineRule="auto"/>
              <w:jc w:val="center"/>
              <w:rPr>
                <w:sz w:val="24"/>
                <w:szCs w:val="24"/>
              </w:rPr>
            </w:pPr>
            <w:r w:rsidRPr="001E6503">
              <w:rPr>
                <w:sz w:val="24"/>
                <w:szCs w:val="24"/>
              </w:rPr>
              <w:t>395 (49.7</w:t>
            </w:r>
            <w:r w:rsidR="00FA26A0" w:rsidRPr="001E6503">
              <w:rPr>
                <w:sz w:val="24"/>
                <w:szCs w:val="24"/>
              </w:rPr>
              <w:t>%)</w:t>
            </w:r>
          </w:p>
        </w:tc>
        <w:tc>
          <w:tcPr>
            <w:tcW w:w="1656" w:type="dxa"/>
          </w:tcPr>
          <w:p w14:paraId="14A880CC" w14:textId="77777777" w:rsidR="00FA26A0" w:rsidRPr="001E6503" w:rsidRDefault="00FA26A0" w:rsidP="000B1A46">
            <w:pPr>
              <w:spacing w:before="120" w:line="360" w:lineRule="auto"/>
              <w:jc w:val="center"/>
              <w:rPr>
                <w:sz w:val="24"/>
                <w:szCs w:val="24"/>
              </w:rPr>
            </w:pPr>
          </w:p>
        </w:tc>
      </w:tr>
      <w:tr w:rsidR="00FA26A0" w:rsidRPr="001E6503" w14:paraId="04DF144A" w14:textId="1F61D339" w:rsidTr="008A6CBF">
        <w:tc>
          <w:tcPr>
            <w:tcW w:w="2518" w:type="dxa"/>
          </w:tcPr>
          <w:p w14:paraId="0B523AC0" w14:textId="77777777" w:rsidR="00FA26A0" w:rsidRPr="001E6503" w:rsidRDefault="00FA26A0" w:rsidP="000B1A46">
            <w:pPr>
              <w:spacing w:before="120" w:line="360" w:lineRule="auto"/>
              <w:jc w:val="center"/>
              <w:rPr>
                <w:sz w:val="24"/>
                <w:szCs w:val="24"/>
              </w:rPr>
            </w:pPr>
            <w:r w:rsidRPr="001E6503">
              <w:rPr>
                <w:sz w:val="24"/>
                <w:szCs w:val="24"/>
              </w:rPr>
              <w:t>No</w:t>
            </w:r>
          </w:p>
        </w:tc>
        <w:tc>
          <w:tcPr>
            <w:tcW w:w="1724" w:type="dxa"/>
          </w:tcPr>
          <w:p w14:paraId="6CA48B73" w14:textId="3266BB9E" w:rsidR="00FA26A0" w:rsidRPr="001E6503" w:rsidRDefault="0049014D" w:rsidP="000B1A46">
            <w:pPr>
              <w:spacing w:before="120" w:line="360" w:lineRule="auto"/>
              <w:jc w:val="center"/>
              <w:rPr>
                <w:sz w:val="24"/>
                <w:szCs w:val="24"/>
              </w:rPr>
            </w:pPr>
            <w:r w:rsidRPr="001E6503">
              <w:rPr>
                <w:sz w:val="24"/>
                <w:szCs w:val="24"/>
              </w:rPr>
              <w:t>185 (23.3</w:t>
            </w:r>
            <w:r w:rsidR="00FA26A0" w:rsidRPr="001E6503">
              <w:rPr>
                <w:sz w:val="24"/>
                <w:szCs w:val="24"/>
              </w:rPr>
              <w:t>%)</w:t>
            </w:r>
          </w:p>
        </w:tc>
        <w:tc>
          <w:tcPr>
            <w:tcW w:w="1787" w:type="dxa"/>
          </w:tcPr>
          <w:p w14:paraId="7F86A15A" w14:textId="6B636FBF" w:rsidR="00FA26A0" w:rsidRPr="001E6503" w:rsidRDefault="0049014D" w:rsidP="000B1A46">
            <w:pPr>
              <w:spacing w:before="120" w:line="360" w:lineRule="auto"/>
              <w:jc w:val="center"/>
              <w:rPr>
                <w:sz w:val="24"/>
                <w:szCs w:val="24"/>
              </w:rPr>
            </w:pPr>
            <w:r w:rsidRPr="001E6503">
              <w:rPr>
                <w:sz w:val="24"/>
                <w:szCs w:val="24"/>
              </w:rPr>
              <w:t>2</w:t>
            </w:r>
            <w:r w:rsidR="00BA2ED0" w:rsidRPr="001E6503">
              <w:rPr>
                <w:sz w:val="24"/>
                <w:szCs w:val="24"/>
              </w:rPr>
              <w:t>1</w:t>
            </w:r>
            <w:r w:rsidRPr="001E6503">
              <w:rPr>
                <w:sz w:val="24"/>
                <w:szCs w:val="24"/>
              </w:rPr>
              <w:t>2 (26.7</w:t>
            </w:r>
            <w:r w:rsidR="00FA26A0" w:rsidRPr="001E6503">
              <w:rPr>
                <w:sz w:val="24"/>
                <w:szCs w:val="24"/>
              </w:rPr>
              <w:t>%)</w:t>
            </w:r>
          </w:p>
        </w:tc>
        <w:tc>
          <w:tcPr>
            <w:tcW w:w="1592" w:type="dxa"/>
          </w:tcPr>
          <w:p w14:paraId="6AE8ED28" w14:textId="23179604" w:rsidR="00FA26A0" w:rsidRPr="001E6503" w:rsidRDefault="0049014D" w:rsidP="000B1A46">
            <w:pPr>
              <w:spacing w:before="120" w:line="360" w:lineRule="auto"/>
              <w:jc w:val="center"/>
              <w:rPr>
                <w:sz w:val="24"/>
                <w:szCs w:val="24"/>
              </w:rPr>
            </w:pPr>
            <w:r w:rsidRPr="001E6503">
              <w:rPr>
                <w:sz w:val="24"/>
                <w:szCs w:val="24"/>
              </w:rPr>
              <w:t>397 (50.0</w:t>
            </w:r>
            <w:r w:rsidR="00FA26A0" w:rsidRPr="001E6503">
              <w:rPr>
                <w:sz w:val="24"/>
                <w:szCs w:val="24"/>
              </w:rPr>
              <w:t>%)</w:t>
            </w:r>
          </w:p>
        </w:tc>
        <w:tc>
          <w:tcPr>
            <w:tcW w:w="1656" w:type="dxa"/>
          </w:tcPr>
          <w:p w14:paraId="06F105A1" w14:textId="77777777" w:rsidR="00FA26A0" w:rsidRPr="001E6503" w:rsidRDefault="00FA26A0" w:rsidP="000B1A46">
            <w:pPr>
              <w:spacing w:before="120" w:line="360" w:lineRule="auto"/>
              <w:jc w:val="center"/>
              <w:rPr>
                <w:sz w:val="24"/>
                <w:szCs w:val="24"/>
              </w:rPr>
            </w:pPr>
          </w:p>
        </w:tc>
      </w:tr>
      <w:tr w:rsidR="00FA26A0" w:rsidRPr="001E6503" w14:paraId="44FE674F" w14:textId="77777777" w:rsidTr="008A6CBF">
        <w:tc>
          <w:tcPr>
            <w:tcW w:w="2518" w:type="dxa"/>
          </w:tcPr>
          <w:p w14:paraId="2C5F5F64" w14:textId="373D9827" w:rsidR="00FA26A0" w:rsidRPr="001E6503" w:rsidRDefault="00FA26A0" w:rsidP="000B1A46">
            <w:pPr>
              <w:spacing w:before="120" w:line="360" w:lineRule="auto"/>
              <w:jc w:val="center"/>
              <w:rPr>
                <w:sz w:val="24"/>
                <w:szCs w:val="24"/>
              </w:rPr>
            </w:pPr>
            <w:r w:rsidRPr="001E6503">
              <w:rPr>
                <w:sz w:val="24"/>
                <w:szCs w:val="24"/>
              </w:rPr>
              <w:t>Missing</w:t>
            </w:r>
          </w:p>
        </w:tc>
        <w:tc>
          <w:tcPr>
            <w:tcW w:w="1724" w:type="dxa"/>
          </w:tcPr>
          <w:p w14:paraId="61DB4FB9" w14:textId="77777777" w:rsidR="00FA26A0" w:rsidRPr="001E6503" w:rsidRDefault="00FA26A0" w:rsidP="000B1A46">
            <w:pPr>
              <w:spacing w:before="120" w:line="360" w:lineRule="auto"/>
              <w:jc w:val="center"/>
              <w:rPr>
                <w:sz w:val="24"/>
                <w:szCs w:val="24"/>
              </w:rPr>
            </w:pPr>
          </w:p>
        </w:tc>
        <w:tc>
          <w:tcPr>
            <w:tcW w:w="1787" w:type="dxa"/>
          </w:tcPr>
          <w:p w14:paraId="358E6897" w14:textId="77777777" w:rsidR="00FA26A0" w:rsidRPr="001E6503" w:rsidRDefault="00FA26A0" w:rsidP="000B1A46">
            <w:pPr>
              <w:spacing w:before="120" w:line="360" w:lineRule="auto"/>
              <w:jc w:val="center"/>
              <w:rPr>
                <w:sz w:val="24"/>
                <w:szCs w:val="24"/>
              </w:rPr>
            </w:pPr>
          </w:p>
        </w:tc>
        <w:tc>
          <w:tcPr>
            <w:tcW w:w="1592" w:type="dxa"/>
          </w:tcPr>
          <w:p w14:paraId="334F306A" w14:textId="2AA3C22F" w:rsidR="00FA26A0" w:rsidRPr="001E6503" w:rsidRDefault="0049014D" w:rsidP="000B1A46">
            <w:pPr>
              <w:spacing w:before="120" w:line="360" w:lineRule="auto"/>
              <w:jc w:val="center"/>
              <w:rPr>
                <w:sz w:val="24"/>
                <w:szCs w:val="24"/>
              </w:rPr>
            </w:pPr>
            <w:r w:rsidRPr="001E6503">
              <w:rPr>
                <w:sz w:val="24"/>
                <w:szCs w:val="24"/>
              </w:rPr>
              <w:t xml:space="preserve">   2 (0</w:t>
            </w:r>
            <w:r w:rsidR="00BA2ED0" w:rsidRPr="001E6503">
              <w:rPr>
                <w:sz w:val="24"/>
                <w:szCs w:val="24"/>
              </w:rPr>
              <w:t>.3%)</w:t>
            </w:r>
          </w:p>
        </w:tc>
        <w:tc>
          <w:tcPr>
            <w:tcW w:w="1656" w:type="dxa"/>
          </w:tcPr>
          <w:p w14:paraId="000117E5" w14:textId="77777777" w:rsidR="00FA26A0" w:rsidRPr="001E6503" w:rsidRDefault="00FA26A0" w:rsidP="000B1A46">
            <w:pPr>
              <w:spacing w:before="120" w:line="360" w:lineRule="auto"/>
              <w:jc w:val="center"/>
              <w:rPr>
                <w:sz w:val="24"/>
                <w:szCs w:val="24"/>
              </w:rPr>
            </w:pPr>
          </w:p>
        </w:tc>
      </w:tr>
    </w:tbl>
    <w:p w14:paraId="56A6A6AD" w14:textId="77777777" w:rsidR="00372EFD" w:rsidRPr="001E6503" w:rsidRDefault="00372EFD" w:rsidP="000B1A46">
      <w:pPr>
        <w:spacing w:line="480" w:lineRule="auto"/>
        <w:rPr>
          <w:rFonts w:ascii="Times New Roman" w:hAnsi="Times New Roman" w:cs="Times New Roman"/>
          <w:b/>
          <w:sz w:val="24"/>
          <w:szCs w:val="24"/>
        </w:rPr>
      </w:pPr>
      <w:r w:rsidRPr="001E6503">
        <w:rPr>
          <w:rFonts w:ascii="Times New Roman" w:hAnsi="Times New Roman" w:cs="Times New Roman"/>
          <w:b/>
          <w:sz w:val="24"/>
          <w:szCs w:val="24"/>
        </w:rPr>
        <w:br w:type="page"/>
      </w:r>
    </w:p>
    <w:p w14:paraId="3EBFF7B6" w14:textId="6CC7218F" w:rsidR="001C2E98" w:rsidRPr="001E6503" w:rsidRDefault="001C2E98" w:rsidP="000B1A46">
      <w:pPr>
        <w:spacing w:line="480" w:lineRule="auto"/>
        <w:rPr>
          <w:rFonts w:ascii="Times New Roman" w:hAnsi="Times New Roman" w:cs="Times New Roman"/>
          <w:b/>
          <w:sz w:val="24"/>
          <w:szCs w:val="24"/>
        </w:rPr>
      </w:pPr>
      <w:proofErr w:type="gramStart"/>
      <w:r w:rsidRPr="001E6503">
        <w:rPr>
          <w:rFonts w:ascii="Times New Roman" w:hAnsi="Times New Roman" w:cs="Times New Roman"/>
          <w:b/>
          <w:sz w:val="24"/>
          <w:szCs w:val="24"/>
        </w:rPr>
        <w:lastRenderedPageBreak/>
        <w:t xml:space="preserve">Table </w:t>
      </w:r>
      <w:r w:rsidR="0080324F" w:rsidRPr="001E6503">
        <w:rPr>
          <w:rFonts w:ascii="Times New Roman" w:hAnsi="Times New Roman" w:cs="Times New Roman"/>
          <w:b/>
          <w:sz w:val="24"/>
          <w:szCs w:val="24"/>
        </w:rPr>
        <w:t>2</w:t>
      </w:r>
      <w:r w:rsidR="00365D41" w:rsidRPr="001E6503">
        <w:rPr>
          <w:rFonts w:ascii="Times New Roman" w:hAnsi="Times New Roman" w:cs="Times New Roman"/>
          <w:b/>
          <w:sz w:val="24"/>
          <w:szCs w:val="24"/>
        </w:rPr>
        <w:t>.</w:t>
      </w:r>
      <w:proofErr w:type="gramEnd"/>
      <w:r w:rsidRPr="001E6503">
        <w:rPr>
          <w:rFonts w:ascii="Times New Roman" w:hAnsi="Times New Roman" w:cs="Times New Roman"/>
          <w:b/>
          <w:sz w:val="24"/>
          <w:szCs w:val="24"/>
        </w:rPr>
        <w:t xml:space="preserve"> </w:t>
      </w:r>
      <w:r w:rsidRPr="001E6503">
        <w:rPr>
          <w:rFonts w:ascii="Times New Roman" w:hAnsi="Times New Roman" w:cs="Times New Roman"/>
          <w:sz w:val="24"/>
          <w:szCs w:val="24"/>
        </w:rPr>
        <w:t xml:space="preserve">Descriptive statistics of ADQ </w:t>
      </w:r>
      <w:r w:rsidR="00635DBC" w:rsidRPr="001E6503">
        <w:rPr>
          <w:rFonts w:ascii="Times New Roman" w:hAnsi="Times New Roman" w:cs="Times New Roman"/>
          <w:sz w:val="24"/>
          <w:szCs w:val="24"/>
        </w:rPr>
        <w:t xml:space="preserve">data </w:t>
      </w:r>
      <w:r w:rsidR="00C634CB" w:rsidRPr="001E6503">
        <w:rPr>
          <w:rFonts w:ascii="Times New Roman" w:hAnsi="Times New Roman" w:cs="Times New Roman"/>
          <w:sz w:val="24"/>
          <w:szCs w:val="24"/>
        </w:rPr>
        <w:t xml:space="preserve">for people living in the Bristol Health Partners area </w:t>
      </w:r>
      <w:r w:rsidR="00635DBC" w:rsidRPr="001E6503">
        <w:rPr>
          <w:rFonts w:ascii="Times New Roman" w:hAnsi="Times New Roman" w:cs="Times New Roman"/>
          <w:sz w:val="24"/>
          <w:szCs w:val="24"/>
        </w:rPr>
        <w:t xml:space="preserve">weighted to account for ethnicity, gender and age </w:t>
      </w:r>
      <w:r w:rsidRPr="001E6503">
        <w:rPr>
          <w:rFonts w:ascii="Times New Roman" w:hAnsi="Times New Roman" w:cs="Times New Roman"/>
          <w:sz w:val="24"/>
          <w:szCs w:val="24"/>
        </w:rPr>
        <w:t>(</w:t>
      </w:r>
      <w:r w:rsidRPr="001E6503">
        <w:rPr>
          <w:rFonts w:ascii="Times New Roman" w:hAnsi="Times New Roman" w:cs="Times New Roman"/>
          <w:i/>
          <w:sz w:val="24"/>
          <w:szCs w:val="24"/>
        </w:rPr>
        <w:t>n</w:t>
      </w:r>
      <w:r w:rsidRPr="001E6503">
        <w:rPr>
          <w:rFonts w:ascii="Times New Roman" w:hAnsi="Times New Roman" w:cs="Times New Roman"/>
          <w:sz w:val="24"/>
          <w:szCs w:val="24"/>
        </w:rPr>
        <w:t xml:space="preserve"> = 794).</w:t>
      </w:r>
    </w:p>
    <w:tbl>
      <w:tblPr>
        <w:tblStyle w:val="TableGrid"/>
        <w:tblW w:w="1015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1922"/>
        <w:gridCol w:w="1701"/>
        <w:gridCol w:w="1843"/>
        <w:gridCol w:w="2172"/>
      </w:tblGrid>
      <w:tr w:rsidR="00635DBC" w:rsidRPr="001E6503" w14:paraId="562F547C" w14:textId="77777777" w:rsidTr="00681BAC">
        <w:tc>
          <w:tcPr>
            <w:tcW w:w="2518" w:type="dxa"/>
            <w:tcBorders>
              <w:bottom w:val="nil"/>
            </w:tcBorders>
          </w:tcPr>
          <w:p w14:paraId="658EC8AC" w14:textId="77777777" w:rsidR="00635DBC" w:rsidRPr="001E6503" w:rsidRDefault="00635DBC" w:rsidP="000B1A46">
            <w:pPr>
              <w:spacing w:line="480" w:lineRule="auto"/>
              <w:rPr>
                <w:b/>
                <w:sz w:val="24"/>
                <w:szCs w:val="24"/>
              </w:rPr>
            </w:pPr>
          </w:p>
        </w:tc>
        <w:tc>
          <w:tcPr>
            <w:tcW w:w="1922" w:type="dxa"/>
            <w:tcBorders>
              <w:bottom w:val="nil"/>
            </w:tcBorders>
          </w:tcPr>
          <w:p w14:paraId="31B55A3C" w14:textId="77777777" w:rsidR="00635DBC" w:rsidRPr="001E6503" w:rsidRDefault="00635DBC" w:rsidP="000B1A46">
            <w:pPr>
              <w:spacing w:line="480" w:lineRule="auto"/>
              <w:rPr>
                <w:b/>
                <w:sz w:val="24"/>
                <w:szCs w:val="24"/>
              </w:rPr>
            </w:pPr>
          </w:p>
        </w:tc>
        <w:tc>
          <w:tcPr>
            <w:tcW w:w="1701" w:type="dxa"/>
            <w:tcBorders>
              <w:bottom w:val="nil"/>
            </w:tcBorders>
          </w:tcPr>
          <w:p w14:paraId="3C3978E9" w14:textId="77777777" w:rsidR="00635DBC" w:rsidRPr="001E6503" w:rsidRDefault="00635DBC" w:rsidP="000B1A46">
            <w:pPr>
              <w:spacing w:line="480" w:lineRule="auto"/>
              <w:rPr>
                <w:b/>
                <w:sz w:val="24"/>
                <w:szCs w:val="24"/>
              </w:rPr>
            </w:pPr>
            <w:r w:rsidRPr="001E6503">
              <w:rPr>
                <w:b/>
                <w:sz w:val="24"/>
                <w:szCs w:val="24"/>
              </w:rPr>
              <w:t>Hope scale</w:t>
            </w:r>
          </w:p>
        </w:tc>
        <w:tc>
          <w:tcPr>
            <w:tcW w:w="1843" w:type="dxa"/>
            <w:tcBorders>
              <w:bottom w:val="nil"/>
            </w:tcBorders>
          </w:tcPr>
          <w:p w14:paraId="03E05DB0" w14:textId="77777777" w:rsidR="00635DBC" w:rsidRPr="001E6503" w:rsidRDefault="00635DBC" w:rsidP="000B1A46">
            <w:pPr>
              <w:spacing w:line="480" w:lineRule="auto"/>
              <w:rPr>
                <w:b/>
                <w:sz w:val="24"/>
                <w:szCs w:val="24"/>
              </w:rPr>
            </w:pPr>
            <w:proofErr w:type="spellStart"/>
            <w:r w:rsidRPr="001E6503">
              <w:rPr>
                <w:b/>
                <w:sz w:val="24"/>
                <w:szCs w:val="24"/>
              </w:rPr>
              <w:t>RoP</w:t>
            </w:r>
            <w:proofErr w:type="spellEnd"/>
            <w:r w:rsidRPr="001E6503">
              <w:rPr>
                <w:b/>
                <w:sz w:val="24"/>
                <w:szCs w:val="24"/>
              </w:rPr>
              <w:t xml:space="preserve"> scale</w:t>
            </w:r>
          </w:p>
        </w:tc>
        <w:tc>
          <w:tcPr>
            <w:tcW w:w="2172" w:type="dxa"/>
            <w:tcBorders>
              <w:bottom w:val="nil"/>
            </w:tcBorders>
          </w:tcPr>
          <w:p w14:paraId="5176D0A6" w14:textId="77777777" w:rsidR="00635DBC" w:rsidRPr="001E6503" w:rsidRDefault="00635DBC" w:rsidP="000B1A46">
            <w:pPr>
              <w:spacing w:line="480" w:lineRule="auto"/>
              <w:rPr>
                <w:b/>
                <w:sz w:val="24"/>
                <w:szCs w:val="24"/>
              </w:rPr>
            </w:pPr>
            <w:r w:rsidRPr="001E6503">
              <w:rPr>
                <w:b/>
                <w:sz w:val="24"/>
                <w:szCs w:val="24"/>
              </w:rPr>
              <w:t>Total</w:t>
            </w:r>
          </w:p>
        </w:tc>
      </w:tr>
      <w:tr w:rsidR="00635DBC" w:rsidRPr="001E6503" w14:paraId="0046BC34" w14:textId="77777777" w:rsidTr="00681BAC">
        <w:tc>
          <w:tcPr>
            <w:tcW w:w="2518" w:type="dxa"/>
            <w:tcBorders>
              <w:top w:val="nil"/>
              <w:bottom w:val="single" w:sz="4" w:space="0" w:color="auto"/>
            </w:tcBorders>
          </w:tcPr>
          <w:p w14:paraId="70C8ED43" w14:textId="77777777" w:rsidR="00635DBC" w:rsidRPr="001E6503" w:rsidRDefault="00635DBC" w:rsidP="000B1A46">
            <w:pPr>
              <w:spacing w:line="480" w:lineRule="auto"/>
              <w:rPr>
                <w:b/>
                <w:sz w:val="24"/>
                <w:szCs w:val="24"/>
              </w:rPr>
            </w:pPr>
            <w:r w:rsidRPr="001E6503">
              <w:rPr>
                <w:b/>
                <w:sz w:val="24"/>
                <w:szCs w:val="24"/>
              </w:rPr>
              <w:t>Demographic</w:t>
            </w:r>
          </w:p>
        </w:tc>
        <w:tc>
          <w:tcPr>
            <w:tcW w:w="1922" w:type="dxa"/>
            <w:tcBorders>
              <w:top w:val="nil"/>
              <w:bottom w:val="single" w:sz="4" w:space="0" w:color="auto"/>
            </w:tcBorders>
          </w:tcPr>
          <w:p w14:paraId="674329D6" w14:textId="77777777" w:rsidR="00635DBC" w:rsidRPr="001E6503" w:rsidRDefault="00635DBC" w:rsidP="000B1A46">
            <w:pPr>
              <w:spacing w:line="480" w:lineRule="auto"/>
              <w:rPr>
                <w:b/>
                <w:sz w:val="24"/>
                <w:szCs w:val="24"/>
              </w:rPr>
            </w:pPr>
          </w:p>
        </w:tc>
        <w:tc>
          <w:tcPr>
            <w:tcW w:w="1701" w:type="dxa"/>
            <w:tcBorders>
              <w:top w:val="nil"/>
              <w:bottom w:val="single" w:sz="4" w:space="0" w:color="auto"/>
            </w:tcBorders>
          </w:tcPr>
          <w:p w14:paraId="659BB2B2" w14:textId="77777777" w:rsidR="00635DBC" w:rsidRPr="001E6503" w:rsidRDefault="00635DBC" w:rsidP="000B1A46">
            <w:pPr>
              <w:spacing w:line="480" w:lineRule="auto"/>
              <w:rPr>
                <w:b/>
                <w:sz w:val="24"/>
                <w:szCs w:val="24"/>
              </w:rPr>
            </w:pPr>
            <w:r w:rsidRPr="001E6503">
              <w:rPr>
                <w:b/>
                <w:sz w:val="24"/>
                <w:szCs w:val="24"/>
              </w:rPr>
              <w:t>Mean ± SD</w:t>
            </w:r>
          </w:p>
        </w:tc>
        <w:tc>
          <w:tcPr>
            <w:tcW w:w="1843" w:type="dxa"/>
            <w:tcBorders>
              <w:top w:val="nil"/>
              <w:bottom w:val="single" w:sz="4" w:space="0" w:color="auto"/>
            </w:tcBorders>
          </w:tcPr>
          <w:p w14:paraId="2123403D" w14:textId="77777777" w:rsidR="00635DBC" w:rsidRPr="001E6503" w:rsidRDefault="00635DBC" w:rsidP="000B1A46">
            <w:pPr>
              <w:spacing w:line="480" w:lineRule="auto"/>
              <w:rPr>
                <w:b/>
                <w:sz w:val="24"/>
                <w:szCs w:val="24"/>
              </w:rPr>
            </w:pPr>
            <w:r w:rsidRPr="001E6503">
              <w:rPr>
                <w:b/>
                <w:sz w:val="24"/>
                <w:szCs w:val="24"/>
              </w:rPr>
              <w:t>Mean ± SD</w:t>
            </w:r>
          </w:p>
        </w:tc>
        <w:tc>
          <w:tcPr>
            <w:tcW w:w="2172" w:type="dxa"/>
            <w:tcBorders>
              <w:top w:val="nil"/>
              <w:bottom w:val="single" w:sz="4" w:space="0" w:color="auto"/>
            </w:tcBorders>
          </w:tcPr>
          <w:p w14:paraId="60643B60" w14:textId="77777777" w:rsidR="00635DBC" w:rsidRPr="001E6503" w:rsidRDefault="00635DBC" w:rsidP="000B1A46">
            <w:pPr>
              <w:spacing w:line="480" w:lineRule="auto"/>
              <w:rPr>
                <w:b/>
                <w:sz w:val="24"/>
                <w:szCs w:val="24"/>
              </w:rPr>
            </w:pPr>
            <w:r w:rsidRPr="001E6503">
              <w:rPr>
                <w:b/>
                <w:sz w:val="24"/>
                <w:szCs w:val="24"/>
              </w:rPr>
              <w:t>Mean ± SD</w:t>
            </w:r>
          </w:p>
        </w:tc>
      </w:tr>
      <w:tr w:rsidR="00635DBC" w:rsidRPr="001E6503" w14:paraId="419D281C" w14:textId="77777777" w:rsidTr="00681BAC">
        <w:tc>
          <w:tcPr>
            <w:tcW w:w="2518" w:type="dxa"/>
            <w:tcBorders>
              <w:top w:val="single" w:sz="4" w:space="0" w:color="auto"/>
            </w:tcBorders>
          </w:tcPr>
          <w:p w14:paraId="34AEC0B4" w14:textId="77777777" w:rsidR="00635DBC" w:rsidRPr="001E6503" w:rsidRDefault="00635DBC" w:rsidP="000B1A46">
            <w:pPr>
              <w:spacing w:line="480" w:lineRule="auto"/>
              <w:rPr>
                <w:sz w:val="24"/>
                <w:szCs w:val="24"/>
              </w:rPr>
            </w:pPr>
            <w:r w:rsidRPr="001E6503">
              <w:rPr>
                <w:sz w:val="24"/>
                <w:szCs w:val="24"/>
              </w:rPr>
              <w:t>Gender</w:t>
            </w:r>
          </w:p>
        </w:tc>
        <w:tc>
          <w:tcPr>
            <w:tcW w:w="1922" w:type="dxa"/>
            <w:tcBorders>
              <w:top w:val="single" w:sz="4" w:space="0" w:color="auto"/>
            </w:tcBorders>
          </w:tcPr>
          <w:p w14:paraId="2F237A82" w14:textId="77777777" w:rsidR="00635DBC" w:rsidRPr="001E6503" w:rsidRDefault="00635DBC" w:rsidP="000B1A46">
            <w:pPr>
              <w:spacing w:line="480" w:lineRule="auto"/>
              <w:rPr>
                <w:sz w:val="24"/>
                <w:szCs w:val="24"/>
              </w:rPr>
            </w:pPr>
            <w:r w:rsidRPr="001E6503">
              <w:rPr>
                <w:sz w:val="24"/>
                <w:szCs w:val="24"/>
              </w:rPr>
              <w:t>Female</w:t>
            </w:r>
          </w:p>
        </w:tc>
        <w:tc>
          <w:tcPr>
            <w:tcW w:w="1701" w:type="dxa"/>
            <w:tcBorders>
              <w:top w:val="single" w:sz="4" w:space="0" w:color="auto"/>
            </w:tcBorders>
          </w:tcPr>
          <w:p w14:paraId="77DE1C72" w14:textId="3DAD4E55" w:rsidR="00635DBC" w:rsidRPr="001E6503" w:rsidRDefault="00635DBC" w:rsidP="000B1A46">
            <w:pPr>
              <w:spacing w:line="480" w:lineRule="auto"/>
              <w:rPr>
                <w:sz w:val="24"/>
                <w:szCs w:val="24"/>
              </w:rPr>
            </w:pPr>
            <w:r w:rsidRPr="001E6503">
              <w:rPr>
                <w:sz w:val="24"/>
                <w:szCs w:val="24"/>
              </w:rPr>
              <w:t>27.08± 5.04</w:t>
            </w:r>
          </w:p>
        </w:tc>
        <w:tc>
          <w:tcPr>
            <w:tcW w:w="1843" w:type="dxa"/>
            <w:tcBorders>
              <w:top w:val="single" w:sz="4" w:space="0" w:color="auto"/>
            </w:tcBorders>
          </w:tcPr>
          <w:p w14:paraId="1EF63BED" w14:textId="490B2976" w:rsidR="00635DBC" w:rsidRPr="001E6503" w:rsidRDefault="00635DBC" w:rsidP="000B1A46">
            <w:pPr>
              <w:spacing w:line="480" w:lineRule="auto"/>
              <w:rPr>
                <w:sz w:val="24"/>
                <w:szCs w:val="24"/>
              </w:rPr>
            </w:pPr>
            <w:r w:rsidRPr="001E6503">
              <w:rPr>
                <w:sz w:val="24"/>
                <w:szCs w:val="24"/>
              </w:rPr>
              <w:t>48.95 ± 4.61</w:t>
            </w:r>
          </w:p>
        </w:tc>
        <w:tc>
          <w:tcPr>
            <w:tcW w:w="2172" w:type="dxa"/>
            <w:tcBorders>
              <w:top w:val="single" w:sz="4" w:space="0" w:color="auto"/>
            </w:tcBorders>
          </w:tcPr>
          <w:p w14:paraId="6765A5F9" w14:textId="5BAD3684" w:rsidR="00635DBC" w:rsidRPr="001E6503" w:rsidRDefault="00635DBC" w:rsidP="000B1A46">
            <w:pPr>
              <w:spacing w:line="480" w:lineRule="auto"/>
              <w:rPr>
                <w:sz w:val="24"/>
                <w:szCs w:val="24"/>
              </w:rPr>
            </w:pPr>
            <w:r w:rsidRPr="001E6503">
              <w:rPr>
                <w:sz w:val="24"/>
                <w:szCs w:val="24"/>
              </w:rPr>
              <w:t>77.70 ± 8.48</w:t>
            </w:r>
          </w:p>
        </w:tc>
      </w:tr>
      <w:tr w:rsidR="00635DBC" w:rsidRPr="001E6503" w14:paraId="12A6EFDC" w14:textId="77777777" w:rsidTr="00681BAC">
        <w:tc>
          <w:tcPr>
            <w:tcW w:w="2518" w:type="dxa"/>
          </w:tcPr>
          <w:p w14:paraId="385A8EA7" w14:textId="77777777" w:rsidR="00635DBC" w:rsidRPr="001E6503" w:rsidRDefault="00635DBC" w:rsidP="000B1A46">
            <w:pPr>
              <w:spacing w:line="480" w:lineRule="auto"/>
              <w:rPr>
                <w:sz w:val="24"/>
                <w:szCs w:val="24"/>
              </w:rPr>
            </w:pPr>
          </w:p>
        </w:tc>
        <w:tc>
          <w:tcPr>
            <w:tcW w:w="1922" w:type="dxa"/>
          </w:tcPr>
          <w:p w14:paraId="051F5E16" w14:textId="77777777" w:rsidR="00635DBC" w:rsidRPr="001E6503" w:rsidRDefault="00635DBC" w:rsidP="000B1A46">
            <w:pPr>
              <w:spacing w:line="480" w:lineRule="auto"/>
              <w:rPr>
                <w:sz w:val="24"/>
                <w:szCs w:val="24"/>
              </w:rPr>
            </w:pPr>
            <w:r w:rsidRPr="001E6503">
              <w:rPr>
                <w:sz w:val="24"/>
                <w:szCs w:val="24"/>
              </w:rPr>
              <w:t>Male</w:t>
            </w:r>
          </w:p>
        </w:tc>
        <w:tc>
          <w:tcPr>
            <w:tcW w:w="1701" w:type="dxa"/>
          </w:tcPr>
          <w:p w14:paraId="1D59BA97" w14:textId="258A86AF" w:rsidR="00635DBC" w:rsidRPr="001E6503" w:rsidRDefault="00635DBC" w:rsidP="000B1A46">
            <w:pPr>
              <w:spacing w:line="480" w:lineRule="auto"/>
              <w:rPr>
                <w:sz w:val="24"/>
                <w:szCs w:val="24"/>
              </w:rPr>
            </w:pPr>
            <w:r w:rsidRPr="001E6503">
              <w:rPr>
                <w:sz w:val="24"/>
                <w:szCs w:val="24"/>
              </w:rPr>
              <w:t>27.08 ± 5.16</w:t>
            </w:r>
          </w:p>
        </w:tc>
        <w:tc>
          <w:tcPr>
            <w:tcW w:w="1843" w:type="dxa"/>
          </w:tcPr>
          <w:p w14:paraId="1657FA0A" w14:textId="60B6C9B1" w:rsidR="00635DBC" w:rsidRPr="001E6503" w:rsidRDefault="00635DBC" w:rsidP="000B1A46">
            <w:pPr>
              <w:spacing w:line="480" w:lineRule="auto"/>
              <w:rPr>
                <w:sz w:val="24"/>
                <w:szCs w:val="24"/>
              </w:rPr>
            </w:pPr>
            <w:r w:rsidRPr="001E6503">
              <w:rPr>
                <w:sz w:val="24"/>
                <w:szCs w:val="24"/>
              </w:rPr>
              <w:t>47.84 ± 5.09</w:t>
            </w:r>
          </w:p>
        </w:tc>
        <w:tc>
          <w:tcPr>
            <w:tcW w:w="2172" w:type="dxa"/>
          </w:tcPr>
          <w:p w14:paraId="48201A8A" w14:textId="28149AE6" w:rsidR="00635DBC" w:rsidRPr="001E6503" w:rsidRDefault="00635DBC" w:rsidP="000B1A46">
            <w:pPr>
              <w:spacing w:line="480" w:lineRule="auto"/>
              <w:rPr>
                <w:sz w:val="24"/>
                <w:szCs w:val="24"/>
              </w:rPr>
            </w:pPr>
            <w:r w:rsidRPr="001E6503">
              <w:rPr>
                <w:sz w:val="24"/>
                <w:szCs w:val="24"/>
              </w:rPr>
              <w:t>75.58 ± 9.03</w:t>
            </w:r>
          </w:p>
        </w:tc>
      </w:tr>
      <w:tr w:rsidR="00635DBC" w:rsidRPr="001E6503" w14:paraId="17FF31A3" w14:textId="77777777" w:rsidTr="00681BAC">
        <w:tc>
          <w:tcPr>
            <w:tcW w:w="2518" w:type="dxa"/>
          </w:tcPr>
          <w:p w14:paraId="482CBAAF" w14:textId="77777777" w:rsidR="00635DBC" w:rsidRPr="001E6503" w:rsidRDefault="00635DBC" w:rsidP="000B1A46">
            <w:pPr>
              <w:spacing w:line="480" w:lineRule="auto"/>
              <w:rPr>
                <w:sz w:val="24"/>
                <w:szCs w:val="24"/>
              </w:rPr>
            </w:pPr>
            <w:r w:rsidRPr="001E6503">
              <w:rPr>
                <w:sz w:val="24"/>
                <w:szCs w:val="24"/>
              </w:rPr>
              <w:t>Age group</w:t>
            </w:r>
          </w:p>
        </w:tc>
        <w:tc>
          <w:tcPr>
            <w:tcW w:w="1922" w:type="dxa"/>
          </w:tcPr>
          <w:p w14:paraId="7702A9FB" w14:textId="75FE0C64" w:rsidR="00635DBC" w:rsidRPr="001E6503" w:rsidRDefault="008C37C1" w:rsidP="008C37C1">
            <w:pPr>
              <w:spacing w:line="480" w:lineRule="auto"/>
              <w:rPr>
                <w:sz w:val="24"/>
                <w:szCs w:val="24"/>
              </w:rPr>
            </w:pPr>
            <w:r>
              <w:rPr>
                <w:sz w:val="24"/>
                <w:szCs w:val="24"/>
              </w:rPr>
              <w:t>≤64</w:t>
            </w:r>
          </w:p>
        </w:tc>
        <w:tc>
          <w:tcPr>
            <w:tcW w:w="1701" w:type="dxa"/>
          </w:tcPr>
          <w:p w14:paraId="7DE4EA81" w14:textId="78C0E07D" w:rsidR="00635DBC" w:rsidRPr="001E6503" w:rsidRDefault="00635DBC" w:rsidP="000B1A46">
            <w:pPr>
              <w:spacing w:line="480" w:lineRule="auto"/>
              <w:rPr>
                <w:sz w:val="24"/>
                <w:szCs w:val="24"/>
              </w:rPr>
            </w:pPr>
            <w:r w:rsidRPr="001E6503">
              <w:rPr>
                <w:sz w:val="24"/>
                <w:szCs w:val="24"/>
              </w:rPr>
              <w:t>27.70 ± 4.29</w:t>
            </w:r>
          </w:p>
        </w:tc>
        <w:tc>
          <w:tcPr>
            <w:tcW w:w="1843" w:type="dxa"/>
          </w:tcPr>
          <w:p w14:paraId="520542E9" w14:textId="1A71037D" w:rsidR="00635DBC" w:rsidRPr="001E6503" w:rsidRDefault="00635DBC" w:rsidP="000B1A46">
            <w:pPr>
              <w:spacing w:line="480" w:lineRule="auto"/>
              <w:rPr>
                <w:sz w:val="24"/>
                <w:szCs w:val="24"/>
              </w:rPr>
            </w:pPr>
            <w:r w:rsidRPr="001E6503">
              <w:rPr>
                <w:sz w:val="24"/>
                <w:szCs w:val="24"/>
              </w:rPr>
              <w:t>47.82 ± 4.70</w:t>
            </w:r>
          </w:p>
        </w:tc>
        <w:tc>
          <w:tcPr>
            <w:tcW w:w="2172" w:type="dxa"/>
          </w:tcPr>
          <w:p w14:paraId="2EE4BBA3" w14:textId="1EA5F645" w:rsidR="00635DBC" w:rsidRPr="001E6503" w:rsidRDefault="00635DBC" w:rsidP="000B1A46">
            <w:pPr>
              <w:spacing w:line="480" w:lineRule="auto"/>
              <w:ind w:left="-63" w:right="-589"/>
              <w:rPr>
                <w:sz w:val="24"/>
                <w:szCs w:val="24"/>
              </w:rPr>
            </w:pPr>
            <w:r w:rsidRPr="001E6503">
              <w:rPr>
                <w:sz w:val="24"/>
                <w:szCs w:val="24"/>
              </w:rPr>
              <w:t>75.52 ± 7.84</w:t>
            </w:r>
          </w:p>
        </w:tc>
      </w:tr>
      <w:tr w:rsidR="00635DBC" w:rsidRPr="001E6503" w14:paraId="21A28B49" w14:textId="77777777" w:rsidTr="00681BAC">
        <w:tc>
          <w:tcPr>
            <w:tcW w:w="2518" w:type="dxa"/>
          </w:tcPr>
          <w:p w14:paraId="28E3070D" w14:textId="77777777" w:rsidR="00635DBC" w:rsidRPr="001E6503" w:rsidRDefault="00635DBC" w:rsidP="000B1A46">
            <w:pPr>
              <w:spacing w:line="480" w:lineRule="auto"/>
              <w:rPr>
                <w:sz w:val="24"/>
                <w:szCs w:val="24"/>
              </w:rPr>
            </w:pPr>
          </w:p>
        </w:tc>
        <w:tc>
          <w:tcPr>
            <w:tcW w:w="1922" w:type="dxa"/>
          </w:tcPr>
          <w:p w14:paraId="289239AB" w14:textId="408907DD" w:rsidR="00635DBC" w:rsidRPr="001E6503" w:rsidRDefault="008C37C1" w:rsidP="008C37C1">
            <w:pPr>
              <w:spacing w:line="480" w:lineRule="auto"/>
              <w:rPr>
                <w:sz w:val="24"/>
                <w:szCs w:val="24"/>
              </w:rPr>
            </w:pPr>
            <w:r>
              <w:rPr>
                <w:sz w:val="24"/>
                <w:szCs w:val="24"/>
              </w:rPr>
              <w:t>≥</w:t>
            </w:r>
            <w:r w:rsidR="00635DBC" w:rsidRPr="001E6503">
              <w:rPr>
                <w:sz w:val="24"/>
                <w:szCs w:val="24"/>
              </w:rPr>
              <w:t>65</w:t>
            </w:r>
          </w:p>
        </w:tc>
        <w:tc>
          <w:tcPr>
            <w:tcW w:w="1701" w:type="dxa"/>
          </w:tcPr>
          <w:p w14:paraId="00119291" w14:textId="27E07379" w:rsidR="00635DBC" w:rsidRPr="001E6503" w:rsidRDefault="00635DBC" w:rsidP="000B1A46">
            <w:pPr>
              <w:spacing w:line="480" w:lineRule="auto"/>
              <w:rPr>
                <w:sz w:val="24"/>
                <w:szCs w:val="24"/>
                <w:highlight w:val="yellow"/>
              </w:rPr>
            </w:pPr>
            <w:r w:rsidRPr="001E6503">
              <w:rPr>
                <w:sz w:val="24"/>
                <w:szCs w:val="24"/>
              </w:rPr>
              <w:t>25.30 ± 5.31</w:t>
            </w:r>
          </w:p>
        </w:tc>
        <w:tc>
          <w:tcPr>
            <w:tcW w:w="1843" w:type="dxa"/>
          </w:tcPr>
          <w:p w14:paraId="3D307082" w14:textId="68BAAE7D" w:rsidR="00635DBC" w:rsidRPr="001E6503" w:rsidRDefault="00635DBC" w:rsidP="000B1A46">
            <w:pPr>
              <w:spacing w:line="480" w:lineRule="auto"/>
              <w:rPr>
                <w:sz w:val="24"/>
                <w:szCs w:val="24"/>
                <w:highlight w:val="yellow"/>
              </w:rPr>
            </w:pPr>
            <w:r w:rsidRPr="001E6503">
              <w:rPr>
                <w:sz w:val="24"/>
                <w:szCs w:val="24"/>
              </w:rPr>
              <w:t>46.53 ± 4.35</w:t>
            </w:r>
          </w:p>
        </w:tc>
        <w:tc>
          <w:tcPr>
            <w:tcW w:w="2172" w:type="dxa"/>
          </w:tcPr>
          <w:p w14:paraId="06590F09" w14:textId="413FC5C6" w:rsidR="00635DBC" w:rsidRPr="001E6503" w:rsidRDefault="00635DBC" w:rsidP="000B1A46">
            <w:pPr>
              <w:spacing w:line="480" w:lineRule="auto"/>
              <w:rPr>
                <w:sz w:val="24"/>
                <w:szCs w:val="24"/>
                <w:highlight w:val="yellow"/>
              </w:rPr>
            </w:pPr>
            <w:r w:rsidRPr="001E6503">
              <w:rPr>
                <w:sz w:val="24"/>
                <w:szCs w:val="24"/>
              </w:rPr>
              <w:t>71.80 ± 7.90</w:t>
            </w:r>
          </w:p>
        </w:tc>
      </w:tr>
      <w:tr w:rsidR="00635DBC" w:rsidRPr="001E6503" w14:paraId="5D6B6D6B" w14:textId="77777777" w:rsidTr="00681BAC">
        <w:tc>
          <w:tcPr>
            <w:tcW w:w="2518" w:type="dxa"/>
          </w:tcPr>
          <w:p w14:paraId="2BB5C352" w14:textId="77777777" w:rsidR="00635DBC" w:rsidRPr="001E6503" w:rsidRDefault="00635DBC" w:rsidP="000B1A46">
            <w:pPr>
              <w:spacing w:line="480" w:lineRule="auto"/>
              <w:rPr>
                <w:sz w:val="24"/>
                <w:szCs w:val="24"/>
              </w:rPr>
            </w:pPr>
            <w:r w:rsidRPr="001E6503">
              <w:rPr>
                <w:sz w:val="24"/>
                <w:szCs w:val="24"/>
              </w:rPr>
              <w:t>Ethnicity</w:t>
            </w:r>
          </w:p>
        </w:tc>
        <w:tc>
          <w:tcPr>
            <w:tcW w:w="1922" w:type="dxa"/>
          </w:tcPr>
          <w:p w14:paraId="7712DE4D" w14:textId="77777777" w:rsidR="00635DBC" w:rsidRPr="001E6503" w:rsidRDefault="00635DBC" w:rsidP="000B1A46">
            <w:pPr>
              <w:spacing w:line="480" w:lineRule="auto"/>
              <w:rPr>
                <w:sz w:val="24"/>
                <w:szCs w:val="24"/>
              </w:rPr>
            </w:pPr>
            <w:r w:rsidRPr="001E6503">
              <w:rPr>
                <w:sz w:val="24"/>
                <w:szCs w:val="24"/>
              </w:rPr>
              <w:t>White</w:t>
            </w:r>
          </w:p>
        </w:tc>
        <w:tc>
          <w:tcPr>
            <w:tcW w:w="1701" w:type="dxa"/>
          </w:tcPr>
          <w:p w14:paraId="25EAD79D" w14:textId="6A991AED" w:rsidR="00635DBC" w:rsidRPr="001E6503" w:rsidRDefault="00635DBC" w:rsidP="000B1A46">
            <w:pPr>
              <w:spacing w:line="480" w:lineRule="auto"/>
              <w:rPr>
                <w:sz w:val="24"/>
                <w:szCs w:val="24"/>
              </w:rPr>
            </w:pPr>
            <w:r w:rsidRPr="001E6503">
              <w:rPr>
                <w:sz w:val="24"/>
                <w:szCs w:val="24"/>
              </w:rPr>
              <w:t xml:space="preserve">27.46 ±4.40 </w:t>
            </w:r>
          </w:p>
        </w:tc>
        <w:tc>
          <w:tcPr>
            <w:tcW w:w="1843" w:type="dxa"/>
          </w:tcPr>
          <w:p w14:paraId="3D5E7C19" w14:textId="25D370AC" w:rsidR="00635DBC" w:rsidRPr="001E6503" w:rsidRDefault="00635DBC" w:rsidP="000B1A46">
            <w:pPr>
              <w:spacing w:line="480" w:lineRule="auto"/>
              <w:ind w:right="-720"/>
              <w:rPr>
                <w:sz w:val="24"/>
                <w:szCs w:val="24"/>
              </w:rPr>
            </w:pPr>
            <w:r w:rsidRPr="001E6503">
              <w:rPr>
                <w:sz w:val="24"/>
                <w:szCs w:val="24"/>
              </w:rPr>
              <w:t>47.72 ± 4.67</w:t>
            </w:r>
          </w:p>
        </w:tc>
        <w:tc>
          <w:tcPr>
            <w:tcW w:w="2172" w:type="dxa"/>
          </w:tcPr>
          <w:p w14:paraId="6CCBB1A8" w14:textId="1F97BA92" w:rsidR="00635DBC" w:rsidRPr="001E6503" w:rsidRDefault="00635DBC" w:rsidP="000B1A46">
            <w:pPr>
              <w:spacing w:line="480" w:lineRule="auto"/>
              <w:rPr>
                <w:sz w:val="24"/>
                <w:szCs w:val="24"/>
              </w:rPr>
            </w:pPr>
            <w:r w:rsidRPr="001E6503">
              <w:rPr>
                <w:sz w:val="24"/>
                <w:szCs w:val="24"/>
              </w:rPr>
              <w:t>75.17 ± 7.82</w:t>
            </w:r>
          </w:p>
        </w:tc>
      </w:tr>
      <w:tr w:rsidR="00635DBC" w:rsidRPr="001E6503" w14:paraId="53E74F90" w14:textId="77777777" w:rsidTr="00681BAC">
        <w:tc>
          <w:tcPr>
            <w:tcW w:w="2518" w:type="dxa"/>
          </w:tcPr>
          <w:p w14:paraId="5A93C4BB" w14:textId="77777777" w:rsidR="00635DBC" w:rsidRPr="001E6503" w:rsidRDefault="00635DBC" w:rsidP="000B1A46">
            <w:pPr>
              <w:spacing w:line="480" w:lineRule="auto"/>
              <w:rPr>
                <w:sz w:val="24"/>
                <w:szCs w:val="24"/>
              </w:rPr>
            </w:pPr>
          </w:p>
        </w:tc>
        <w:tc>
          <w:tcPr>
            <w:tcW w:w="1922" w:type="dxa"/>
          </w:tcPr>
          <w:p w14:paraId="71EF0EAD" w14:textId="77777777" w:rsidR="00635DBC" w:rsidRPr="001E6503" w:rsidRDefault="00635DBC" w:rsidP="000B1A46">
            <w:pPr>
              <w:spacing w:line="480" w:lineRule="auto"/>
              <w:rPr>
                <w:sz w:val="24"/>
                <w:szCs w:val="24"/>
              </w:rPr>
            </w:pPr>
            <w:r w:rsidRPr="001E6503">
              <w:rPr>
                <w:sz w:val="24"/>
                <w:szCs w:val="24"/>
              </w:rPr>
              <w:t>Non-White</w:t>
            </w:r>
          </w:p>
        </w:tc>
        <w:tc>
          <w:tcPr>
            <w:tcW w:w="1701" w:type="dxa"/>
          </w:tcPr>
          <w:p w14:paraId="202A20C6" w14:textId="5B5E3433" w:rsidR="00635DBC" w:rsidRPr="001E6503" w:rsidRDefault="00635DBC" w:rsidP="000B1A46">
            <w:pPr>
              <w:spacing w:line="480" w:lineRule="auto"/>
              <w:rPr>
                <w:sz w:val="24"/>
                <w:szCs w:val="24"/>
              </w:rPr>
            </w:pPr>
            <w:r w:rsidRPr="001E6503">
              <w:rPr>
                <w:sz w:val="24"/>
                <w:szCs w:val="24"/>
              </w:rPr>
              <w:t>23.61 ± 6.15</w:t>
            </w:r>
          </w:p>
        </w:tc>
        <w:tc>
          <w:tcPr>
            <w:tcW w:w="1843" w:type="dxa"/>
          </w:tcPr>
          <w:p w14:paraId="0B3800C2" w14:textId="62AFC9C9" w:rsidR="00635DBC" w:rsidRPr="001E6503" w:rsidRDefault="00635DBC" w:rsidP="000B1A46">
            <w:pPr>
              <w:spacing w:line="480" w:lineRule="auto"/>
              <w:rPr>
                <w:sz w:val="24"/>
                <w:szCs w:val="24"/>
              </w:rPr>
            </w:pPr>
            <w:r w:rsidRPr="001E6503">
              <w:rPr>
                <w:sz w:val="24"/>
                <w:szCs w:val="24"/>
              </w:rPr>
              <w:t>44.91 ± 3.75</w:t>
            </w:r>
          </w:p>
        </w:tc>
        <w:tc>
          <w:tcPr>
            <w:tcW w:w="2172" w:type="dxa"/>
          </w:tcPr>
          <w:p w14:paraId="7E81C81F" w14:textId="0CF5E3E1" w:rsidR="00635DBC" w:rsidRPr="001E6503" w:rsidRDefault="00635DBC" w:rsidP="000B1A46">
            <w:pPr>
              <w:spacing w:line="480" w:lineRule="auto"/>
              <w:rPr>
                <w:sz w:val="24"/>
                <w:szCs w:val="24"/>
              </w:rPr>
            </w:pPr>
            <w:r w:rsidRPr="001E6503">
              <w:rPr>
                <w:sz w:val="24"/>
                <w:szCs w:val="24"/>
              </w:rPr>
              <w:t>68.52 ± 8.23</w:t>
            </w:r>
          </w:p>
        </w:tc>
      </w:tr>
      <w:tr w:rsidR="00635DBC" w:rsidRPr="001E6503" w14:paraId="1E5E39D8" w14:textId="77777777" w:rsidTr="00681BAC">
        <w:tc>
          <w:tcPr>
            <w:tcW w:w="2518" w:type="dxa"/>
            <w:vMerge w:val="restart"/>
          </w:tcPr>
          <w:p w14:paraId="65EC67A9" w14:textId="77777777" w:rsidR="00635DBC" w:rsidRPr="001E6503" w:rsidRDefault="00635DBC" w:rsidP="000B1A46">
            <w:pPr>
              <w:spacing w:line="480" w:lineRule="auto"/>
              <w:rPr>
                <w:sz w:val="24"/>
                <w:szCs w:val="24"/>
              </w:rPr>
            </w:pPr>
            <w:r w:rsidRPr="001E6503">
              <w:rPr>
                <w:sz w:val="24"/>
                <w:szCs w:val="24"/>
              </w:rPr>
              <w:t>Affected by dementia</w:t>
            </w:r>
          </w:p>
        </w:tc>
        <w:tc>
          <w:tcPr>
            <w:tcW w:w="1922" w:type="dxa"/>
          </w:tcPr>
          <w:p w14:paraId="3951A738" w14:textId="77777777" w:rsidR="00635DBC" w:rsidRPr="001E6503" w:rsidRDefault="00635DBC" w:rsidP="000B1A46">
            <w:pPr>
              <w:spacing w:line="480" w:lineRule="auto"/>
              <w:rPr>
                <w:sz w:val="24"/>
                <w:szCs w:val="24"/>
              </w:rPr>
            </w:pPr>
            <w:r w:rsidRPr="001E6503">
              <w:rPr>
                <w:sz w:val="24"/>
                <w:szCs w:val="24"/>
              </w:rPr>
              <w:t>Yes</w:t>
            </w:r>
          </w:p>
        </w:tc>
        <w:tc>
          <w:tcPr>
            <w:tcW w:w="1701" w:type="dxa"/>
          </w:tcPr>
          <w:p w14:paraId="7C101A1D" w14:textId="0AC1C913" w:rsidR="00635DBC" w:rsidRPr="001E6503" w:rsidRDefault="00635DBC" w:rsidP="000B1A46">
            <w:pPr>
              <w:spacing w:line="480" w:lineRule="auto"/>
              <w:rPr>
                <w:sz w:val="24"/>
                <w:szCs w:val="24"/>
              </w:rPr>
            </w:pPr>
            <w:r w:rsidRPr="001E6503">
              <w:rPr>
                <w:sz w:val="24"/>
                <w:szCs w:val="24"/>
              </w:rPr>
              <w:t>27.37 ± 4.69</w:t>
            </w:r>
          </w:p>
        </w:tc>
        <w:tc>
          <w:tcPr>
            <w:tcW w:w="1843" w:type="dxa"/>
          </w:tcPr>
          <w:p w14:paraId="10C6BD54" w14:textId="2081C234" w:rsidR="00635DBC" w:rsidRPr="001E6503" w:rsidRDefault="00635DBC" w:rsidP="000B1A46">
            <w:pPr>
              <w:spacing w:line="480" w:lineRule="auto"/>
              <w:rPr>
                <w:sz w:val="24"/>
                <w:szCs w:val="24"/>
              </w:rPr>
            </w:pPr>
            <w:r w:rsidRPr="001E6503">
              <w:rPr>
                <w:sz w:val="24"/>
                <w:szCs w:val="24"/>
              </w:rPr>
              <w:t>48.32 ± 4.47</w:t>
            </w:r>
          </w:p>
        </w:tc>
        <w:tc>
          <w:tcPr>
            <w:tcW w:w="2172" w:type="dxa"/>
          </w:tcPr>
          <w:p w14:paraId="3359FD7C" w14:textId="0FE1431C" w:rsidR="00635DBC" w:rsidRPr="001E6503" w:rsidRDefault="00635DBC" w:rsidP="000B1A46">
            <w:pPr>
              <w:spacing w:line="480" w:lineRule="auto"/>
              <w:rPr>
                <w:sz w:val="24"/>
                <w:szCs w:val="24"/>
              </w:rPr>
            </w:pPr>
            <w:r w:rsidRPr="001E6503">
              <w:rPr>
                <w:sz w:val="24"/>
                <w:szCs w:val="24"/>
              </w:rPr>
              <w:t>75.69 ± 7.87</w:t>
            </w:r>
          </w:p>
        </w:tc>
      </w:tr>
      <w:tr w:rsidR="00635DBC" w:rsidRPr="001E6503" w14:paraId="1DEC8667" w14:textId="77777777" w:rsidTr="00681BAC">
        <w:tc>
          <w:tcPr>
            <w:tcW w:w="2518" w:type="dxa"/>
            <w:vMerge/>
          </w:tcPr>
          <w:p w14:paraId="02EE9D43" w14:textId="77777777" w:rsidR="00635DBC" w:rsidRPr="001E6503" w:rsidRDefault="00635DBC" w:rsidP="000B1A46">
            <w:pPr>
              <w:spacing w:line="480" w:lineRule="auto"/>
              <w:rPr>
                <w:sz w:val="24"/>
                <w:szCs w:val="24"/>
              </w:rPr>
            </w:pPr>
          </w:p>
        </w:tc>
        <w:tc>
          <w:tcPr>
            <w:tcW w:w="1922" w:type="dxa"/>
          </w:tcPr>
          <w:p w14:paraId="1713BBE1" w14:textId="77777777" w:rsidR="00635DBC" w:rsidRPr="001E6503" w:rsidRDefault="00635DBC" w:rsidP="000B1A46">
            <w:pPr>
              <w:spacing w:line="480" w:lineRule="auto"/>
              <w:rPr>
                <w:sz w:val="24"/>
                <w:szCs w:val="24"/>
              </w:rPr>
            </w:pPr>
            <w:r w:rsidRPr="001E6503">
              <w:rPr>
                <w:sz w:val="24"/>
                <w:szCs w:val="24"/>
              </w:rPr>
              <w:t>No</w:t>
            </w:r>
          </w:p>
        </w:tc>
        <w:tc>
          <w:tcPr>
            <w:tcW w:w="1701" w:type="dxa"/>
          </w:tcPr>
          <w:p w14:paraId="14EAA6F1" w14:textId="7F15508A" w:rsidR="00635DBC" w:rsidRPr="001E6503" w:rsidRDefault="00635DBC" w:rsidP="000B1A46">
            <w:pPr>
              <w:spacing w:line="480" w:lineRule="auto"/>
              <w:rPr>
                <w:sz w:val="24"/>
                <w:szCs w:val="24"/>
              </w:rPr>
            </w:pPr>
            <w:r w:rsidRPr="001E6503">
              <w:rPr>
                <w:sz w:val="24"/>
                <w:szCs w:val="24"/>
              </w:rPr>
              <w:t>27.14 ± 4.49</w:t>
            </w:r>
          </w:p>
        </w:tc>
        <w:tc>
          <w:tcPr>
            <w:tcW w:w="1843" w:type="dxa"/>
          </w:tcPr>
          <w:p w14:paraId="09132061" w14:textId="301E331F" w:rsidR="00635DBC" w:rsidRPr="001E6503" w:rsidRDefault="00635DBC" w:rsidP="000B1A46">
            <w:pPr>
              <w:spacing w:line="480" w:lineRule="auto"/>
              <w:rPr>
                <w:sz w:val="24"/>
                <w:szCs w:val="24"/>
              </w:rPr>
            </w:pPr>
            <w:r w:rsidRPr="001E6503">
              <w:rPr>
                <w:sz w:val="24"/>
                <w:szCs w:val="24"/>
              </w:rPr>
              <w:t>46.83 ± 4.74</w:t>
            </w:r>
          </w:p>
        </w:tc>
        <w:tc>
          <w:tcPr>
            <w:tcW w:w="2172" w:type="dxa"/>
          </w:tcPr>
          <w:p w14:paraId="3DCDDEE3" w14:textId="33CD3C26" w:rsidR="00635DBC" w:rsidRPr="001E6503" w:rsidRDefault="00635DBC" w:rsidP="000B1A46">
            <w:pPr>
              <w:spacing w:line="480" w:lineRule="auto"/>
              <w:rPr>
                <w:sz w:val="24"/>
                <w:szCs w:val="24"/>
              </w:rPr>
            </w:pPr>
            <w:r w:rsidRPr="001E6503">
              <w:rPr>
                <w:sz w:val="24"/>
                <w:szCs w:val="24"/>
              </w:rPr>
              <w:t>73.97 ± 8.00</w:t>
            </w:r>
          </w:p>
        </w:tc>
      </w:tr>
    </w:tbl>
    <w:p w14:paraId="4E160B65" w14:textId="6D0D9C12" w:rsidR="001C2E98" w:rsidRDefault="001C2E98" w:rsidP="000B1A46">
      <w:pPr>
        <w:spacing w:line="480" w:lineRule="auto"/>
        <w:rPr>
          <w:rFonts w:ascii="Times New Roman" w:hAnsi="Times New Roman" w:cs="Times New Roman"/>
          <w:sz w:val="24"/>
          <w:szCs w:val="24"/>
        </w:rPr>
      </w:pPr>
      <w:r w:rsidRPr="001E6503">
        <w:rPr>
          <w:rFonts w:ascii="Times New Roman" w:hAnsi="Times New Roman" w:cs="Times New Roman"/>
          <w:sz w:val="24"/>
          <w:szCs w:val="24"/>
        </w:rPr>
        <w:t xml:space="preserve">Note: </w:t>
      </w:r>
      <w:proofErr w:type="spellStart"/>
      <w:r w:rsidRPr="001E6503">
        <w:rPr>
          <w:rFonts w:ascii="Times New Roman" w:hAnsi="Times New Roman" w:cs="Times New Roman"/>
          <w:sz w:val="24"/>
          <w:szCs w:val="24"/>
        </w:rPr>
        <w:t>RoP</w:t>
      </w:r>
      <w:proofErr w:type="spellEnd"/>
      <w:r w:rsidRPr="001E6503">
        <w:rPr>
          <w:rFonts w:ascii="Times New Roman" w:hAnsi="Times New Roman" w:cs="Times New Roman"/>
          <w:sz w:val="24"/>
          <w:szCs w:val="24"/>
        </w:rPr>
        <w:t xml:space="preserve"> scale = Recognition of personhood scale</w:t>
      </w:r>
    </w:p>
    <w:p w14:paraId="2B1BF61B" w14:textId="77777777" w:rsidR="0056304F" w:rsidRDefault="0056304F" w:rsidP="000B1A46">
      <w:pPr>
        <w:spacing w:line="480" w:lineRule="auto"/>
        <w:rPr>
          <w:rFonts w:ascii="Times New Roman" w:hAnsi="Times New Roman" w:cs="Times New Roman"/>
          <w:sz w:val="24"/>
          <w:szCs w:val="24"/>
        </w:rPr>
      </w:pPr>
    </w:p>
    <w:p w14:paraId="6ABD3F73" w14:textId="77777777" w:rsidR="0056304F" w:rsidRDefault="0056304F" w:rsidP="000B1A46">
      <w:pPr>
        <w:spacing w:line="480" w:lineRule="auto"/>
        <w:rPr>
          <w:rFonts w:ascii="Times New Roman" w:hAnsi="Times New Roman" w:cs="Times New Roman"/>
          <w:sz w:val="24"/>
          <w:szCs w:val="24"/>
        </w:rPr>
      </w:pPr>
    </w:p>
    <w:p w14:paraId="79381037" w14:textId="77777777" w:rsidR="0056304F" w:rsidRDefault="0056304F" w:rsidP="000B1A46">
      <w:pPr>
        <w:spacing w:line="480" w:lineRule="auto"/>
        <w:rPr>
          <w:rFonts w:ascii="Times New Roman" w:hAnsi="Times New Roman" w:cs="Times New Roman"/>
          <w:sz w:val="24"/>
          <w:szCs w:val="24"/>
        </w:rPr>
      </w:pPr>
    </w:p>
    <w:p w14:paraId="76D30E54" w14:textId="77777777" w:rsidR="0056304F" w:rsidRDefault="0056304F" w:rsidP="000B1A46">
      <w:pPr>
        <w:spacing w:line="480" w:lineRule="auto"/>
        <w:rPr>
          <w:rFonts w:ascii="Times New Roman" w:hAnsi="Times New Roman" w:cs="Times New Roman"/>
          <w:sz w:val="24"/>
          <w:szCs w:val="24"/>
        </w:rPr>
      </w:pPr>
    </w:p>
    <w:p w14:paraId="19D9B291" w14:textId="77777777" w:rsidR="0056304F" w:rsidRDefault="0056304F" w:rsidP="000B1A46">
      <w:pPr>
        <w:spacing w:line="480" w:lineRule="auto"/>
        <w:rPr>
          <w:rFonts w:ascii="Times New Roman" w:hAnsi="Times New Roman" w:cs="Times New Roman"/>
          <w:sz w:val="24"/>
          <w:szCs w:val="24"/>
        </w:rPr>
      </w:pPr>
    </w:p>
    <w:p w14:paraId="4FA41681" w14:textId="77777777" w:rsidR="0056304F" w:rsidRDefault="0056304F" w:rsidP="000B1A46">
      <w:pPr>
        <w:spacing w:line="480" w:lineRule="auto"/>
        <w:rPr>
          <w:rFonts w:ascii="Times New Roman" w:hAnsi="Times New Roman" w:cs="Times New Roman"/>
          <w:sz w:val="24"/>
          <w:szCs w:val="24"/>
        </w:rPr>
      </w:pPr>
    </w:p>
    <w:p w14:paraId="650024AF" w14:textId="77777777" w:rsidR="0056304F" w:rsidRDefault="0056304F" w:rsidP="000B1A46">
      <w:pPr>
        <w:spacing w:line="480" w:lineRule="auto"/>
        <w:rPr>
          <w:rFonts w:ascii="Times New Roman" w:hAnsi="Times New Roman" w:cs="Times New Roman"/>
          <w:sz w:val="24"/>
          <w:szCs w:val="24"/>
        </w:rPr>
      </w:pPr>
    </w:p>
    <w:p w14:paraId="518C34E6" w14:textId="77777777" w:rsidR="0056304F" w:rsidRDefault="0056304F" w:rsidP="000B1A46">
      <w:pPr>
        <w:spacing w:line="480" w:lineRule="auto"/>
        <w:rPr>
          <w:rFonts w:ascii="Times New Roman" w:hAnsi="Times New Roman" w:cs="Times New Roman"/>
          <w:sz w:val="24"/>
          <w:szCs w:val="24"/>
        </w:rPr>
      </w:pPr>
    </w:p>
    <w:p w14:paraId="0AD647E8" w14:textId="77777777" w:rsidR="0056304F" w:rsidRDefault="0056304F" w:rsidP="000B1A46">
      <w:pPr>
        <w:spacing w:line="480" w:lineRule="auto"/>
        <w:rPr>
          <w:rFonts w:ascii="Times New Roman" w:hAnsi="Times New Roman" w:cs="Times New Roman"/>
          <w:sz w:val="24"/>
          <w:szCs w:val="24"/>
        </w:rPr>
      </w:pPr>
    </w:p>
    <w:p w14:paraId="32BB352B" w14:textId="4740121D" w:rsidR="0056304F" w:rsidRPr="001E6503" w:rsidRDefault="0056304F" w:rsidP="0056304F">
      <w:pPr>
        <w:spacing w:line="480" w:lineRule="auto"/>
        <w:rPr>
          <w:rFonts w:ascii="Times New Roman" w:hAnsi="Times New Roman" w:cs="Times New Roman"/>
          <w:b/>
          <w:sz w:val="24"/>
          <w:szCs w:val="24"/>
        </w:rPr>
      </w:pPr>
      <w:proofErr w:type="gramStart"/>
      <w:r w:rsidRPr="001E6503">
        <w:rPr>
          <w:rFonts w:ascii="Times New Roman" w:hAnsi="Times New Roman" w:cs="Times New Roman"/>
          <w:b/>
          <w:sz w:val="24"/>
          <w:szCs w:val="24"/>
        </w:rPr>
        <w:lastRenderedPageBreak/>
        <w:t xml:space="preserve">Table </w:t>
      </w:r>
      <w:r>
        <w:rPr>
          <w:rFonts w:ascii="Times New Roman" w:hAnsi="Times New Roman" w:cs="Times New Roman"/>
          <w:b/>
          <w:sz w:val="24"/>
          <w:szCs w:val="24"/>
        </w:rPr>
        <w:t>3</w:t>
      </w:r>
      <w:r w:rsidRPr="001E6503">
        <w:rPr>
          <w:rFonts w:ascii="Times New Roman" w:hAnsi="Times New Roman" w:cs="Times New Roman"/>
          <w:b/>
          <w:sz w:val="24"/>
          <w:szCs w:val="24"/>
        </w:rPr>
        <w:t>.</w:t>
      </w:r>
      <w:proofErr w:type="gramEnd"/>
      <w:r w:rsidRPr="001E6503">
        <w:rPr>
          <w:rFonts w:ascii="Times New Roman" w:hAnsi="Times New Roman" w:cs="Times New Roman"/>
          <w:b/>
          <w:sz w:val="24"/>
          <w:szCs w:val="24"/>
        </w:rPr>
        <w:t xml:space="preserve"> </w:t>
      </w:r>
      <w:proofErr w:type="gramStart"/>
      <w:r w:rsidRPr="0056304F">
        <w:rPr>
          <w:rFonts w:ascii="Times New Roman" w:hAnsi="Times New Roman" w:cs="Times New Roman"/>
          <w:sz w:val="24"/>
          <w:szCs w:val="24"/>
        </w:rPr>
        <w:t xml:space="preserve">Weighted </w:t>
      </w:r>
      <w:r>
        <w:rPr>
          <w:rFonts w:ascii="Times New Roman" w:hAnsi="Times New Roman" w:cs="Times New Roman"/>
          <w:sz w:val="24"/>
          <w:szCs w:val="24"/>
        </w:rPr>
        <w:t>d</w:t>
      </w:r>
      <w:r w:rsidRPr="001E6503">
        <w:rPr>
          <w:rFonts w:ascii="Times New Roman" w:hAnsi="Times New Roman" w:cs="Times New Roman"/>
          <w:sz w:val="24"/>
          <w:szCs w:val="24"/>
        </w:rPr>
        <w:t xml:space="preserve">escriptive statistics of ADQ data </w:t>
      </w:r>
      <w:r>
        <w:rPr>
          <w:rFonts w:ascii="Times New Roman" w:hAnsi="Times New Roman" w:cs="Times New Roman"/>
          <w:sz w:val="24"/>
          <w:szCs w:val="24"/>
        </w:rPr>
        <w:t>by</w:t>
      </w:r>
      <w:r w:rsidR="00966D47">
        <w:rPr>
          <w:rFonts w:ascii="Times New Roman" w:hAnsi="Times New Roman" w:cs="Times New Roman"/>
          <w:sz w:val="24"/>
          <w:szCs w:val="24"/>
        </w:rPr>
        <w:t xml:space="preserve"> gender </w:t>
      </w:r>
      <w:r w:rsidRPr="001E6503">
        <w:rPr>
          <w:rFonts w:ascii="Times New Roman" w:hAnsi="Times New Roman" w:cs="Times New Roman"/>
          <w:sz w:val="24"/>
          <w:szCs w:val="24"/>
        </w:rPr>
        <w:t>and age</w:t>
      </w:r>
      <w:r>
        <w:rPr>
          <w:rFonts w:ascii="Times New Roman" w:hAnsi="Times New Roman" w:cs="Times New Roman"/>
          <w:sz w:val="24"/>
          <w:szCs w:val="24"/>
        </w:rPr>
        <w:t xml:space="preserve"> group</w:t>
      </w:r>
      <w:r w:rsidRPr="001E6503">
        <w:rPr>
          <w:rFonts w:ascii="Times New Roman" w:hAnsi="Times New Roman" w:cs="Times New Roman"/>
          <w:sz w:val="24"/>
          <w:szCs w:val="24"/>
        </w:rPr>
        <w:t>.</w:t>
      </w:r>
      <w:proofErr w:type="gramEnd"/>
    </w:p>
    <w:tbl>
      <w:tblPr>
        <w:tblStyle w:val="TableGrid"/>
        <w:tblW w:w="951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1701"/>
        <w:gridCol w:w="1843"/>
        <w:gridCol w:w="2172"/>
      </w:tblGrid>
      <w:tr w:rsidR="0056304F" w:rsidRPr="001E6503" w14:paraId="488E4902" w14:textId="77777777" w:rsidTr="00406AFD">
        <w:tc>
          <w:tcPr>
            <w:tcW w:w="3794" w:type="dxa"/>
            <w:tcBorders>
              <w:bottom w:val="nil"/>
            </w:tcBorders>
          </w:tcPr>
          <w:p w14:paraId="6501554B" w14:textId="77777777" w:rsidR="0056304F" w:rsidRPr="001E6503" w:rsidRDefault="0056304F" w:rsidP="00966D47">
            <w:pPr>
              <w:spacing w:line="480" w:lineRule="auto"/>
              <w:rPr>
                <w:b/>
                <w:sz w:val="24"/>
                <w:szCs w:val="24"/>
              </w:rPr>
            </w:pPr>
          </w:p>
        </w:tc>
        <w:tc>
          <w:tcPr>
            <w:tcW w:w="1701" w:type="dxa"/>
            <w:tcBorders>
              <w:bottom w:val="nil"/>
            </w:tcBorders>
          </w:tcPr>
          <w:p w14:paraId="7F321D65" w14:textId="77777777" w:rsidR="0056304F" w:rsidRPr="001E6503" w:rsidRDefault="0056304F" w:rsidP="00966D47">
            <w:pPr>
              <w:spacing w:line="480" w:lineRule="auto"/>
              <w:rPr>
                <w:b/>
                <w:sz w:val="24"/>
                <w:szCs w:val="24"/>
              </w:rPr>
            </w:pPr>
            <w:r w:rsidRPr="001E6503">
              <w:rPr>
                <w:b/>
                <w:sz w:val="24"/>
                <w:szCs w:val="24"/>
              </w:rPr>
              <w:t>Hope scale</w:t>
            </w:r>
          </w:p>
        </w:tc>
        <w:tc>
          <w:tcPr>
            <w:tcW w:w="1843" w:type="dxa"/>
            <w:tcBorders>
              <w:bottom w:val="nil"/>
            </w:tcBorders>
          </w:tcPr>
          <w:p w14:paraId="409EB543" w14:textId="77777777" w:rsidR="0056304F" w:rsidRPr="001E6503" w:rsidRDefault="0056304F" w:rsidP="00966D47">
            <w:pPr>
              <w:spacing w:line="480" w:lineRule="auto"/>
              <w:rPr>
                <w:b/>
                <w:sz w:val="24"/>
                <w:szCs w:val="24"/>
              </w:rPr>
            </w:pPr>
            <w:proofErr w:type="spellStart"/>
            <w:r w:rsidRPr="001E6503">
              <w:rPr>
                <w:b/>
                <w:sz w:val="24"/>
                <w:szCs w:val="24"/>
              </w:rPr>
              <w:t>RoP</w:t>
            </w:r>
            <w:proofErr w:type="spellEnd"/>
            <w:r w:rsidRPr="001E6503">
              <w:rPr>
                <w:b/>
                <w:sz w:val="24"/>
                <w:szCs w:val="24"/>
              </w:rPr>
              <w:t xml:space="preserve"> scale</w:t>
            </w:r>
          </w:p>
        </w:tc>
        <w:tc>
          <w:tcPr>
            <w:tcW w:w="2172" w:type="dxa"/>
            <w:tcBorders>
              <w:bottom w:val="nil"/>
            </w:tcBorders>
          </w:tcPr>
          <w:p w14:paraId="239C91B3" w14:textId="77777777" w:rsidR="0056304F" w:rsidRPr="001E6503" w:rsidRDefault="0056304F" w:rsidP="00966D47">
            <w:pPr>
              <w:spacing w:line="480" w:lineRule="auto"/>
              <w:rPr>
                <w:b/>
                <w:sz w:val="24"/>
                <w:szCs w:val="24"/>
              </w:rPr>
            </w:pPr>
            <w:r w:rsidRPr="001E6503">
              <w:rPr>
                <w:b/>
                <w:sz w:val="24"/>
                <w:szCs w:val="24"/>
              </w:rPr>
              <w:t>Total</w:t>
            </w:r>
          </w:p>
        </w:tc>
      </w:tr>
      <w:tr w:rsidR="0056304F" w:rsidRPr="001E6503" w14:paraId="55D74C2C" w14:textId="77777777" w:rsidTr="00406AFD">
        <w:tc>
          <w:tcPr>
            <w:tcW w:w="3794" w:type="dxa"/>
            <w:tcBorders>
              <w:top w:val="nil"/>
              <w:bottom w:val="single" w:sz="4" w:space="0" w:color="auto"/>
            </w:tcBorders>
          </w:tcPr>
          <w:p w14:paraId="5CB0F0C7" w14:textId="2078F685" w:rsidR="0056304F" w:rsidRPr="001E6503" w:rsidRDefault="0056304F" w:rsidP="00966D47">
            <w:pPr>
              <w:spacing w:line="480" w:lineRule="auto"/>
              <w:rPr>
                <w:b/>
                <w:sz w:val="24"/>
                <w:szCs w:val="24"/>
              </w:rPr>
            </w:pPr>
            <w:r w:rsidRPr="001E6503">
              <w:rPr>
                <w:b/>
                <w:sz w:val="24"/>
                <w:szCs w:val="24"/>
              </w:rPr>
              <w:t>Demographic</w:t>
            </w:r>
            <w:r>
              <w:rPr>
                <w:b/>
                <w:sz w:val="24"/>
                <w:szCs w:val="24"/>
              </w:rPr>
              <w:t xml:space="preserve"> group</w:t>
            </w:r>
          </w:p>
        </w:tc>
        <w:tc>
          <w:tcPr>
            <w:tcW w:w="1701" w:type="dxa"/>
            <w:tcBorders>
              <w:top w:val="nil"/>
              <w:bottom w:val="single" w:sz="4" w:space="0" w:color="auto"/>
            </w:tcBorders>
          </w:tcPr>
          <w:p w14:paraId="0B11EF51" w14:textId="77777777" w:rsidR="0056304F" w:rsidRPr="001E6503" w:rsidRDefault="0056304F" w:rsidP="00966D47">
            <w:pPr>
              <w:spacing w:line="480" w:lineRule="auto"/>
              <w:rPr>
                <w:b/>
                <w:sz w:val="24"/>
                <w:szCs w:val="24"/>
              </w:rPr>
            </w:pPr>
            <w:r w:rsidRPr="001E6503">
              <w:rPr>
                <w:b/>
                <w:sz w:val="24"/>
                <w:szCs w:val="24"/>
              </w:rPr>
              <w:t>Mean ± SD</w:t>
            </w:r>
          </w:p>
        </w:tc>
        <w:tc>
          <w:tcPr>
            <w:tcW w:w="1843" w:type="dxa"/>
            <w:tcBorders>
              <w:top w:val="nil"/>
              <w:bottom w:val="single" w:sz="4" w:space="0" w:color="auto"/>
            </w:tcBorders>
          </w:tcPr>
          <w:p w14:paraId="4A16B4EA" w14:textId="77777777" w:rsidR="0056304F" w:rsidRPr="001E6503" w:rsidRDefault="0056304F" w:rsidP="00966D47">
            <w:pPr>
              <w:spacing w:line="480" w:lineRule="auto"/>
              <w:rPr>
                <w:b/>
                <w:sz w:val="24"/>
                <w:szCs w:val="24"/>
              </w:rPr>
            </w:pPr>
            <w:r w:rsidRPr="001E6503">
              <w:rPr>
                <w:b/>
                <w:sz w:val="24"/>
                <w:szCs w:val="24"/>
              </w:rPr>
              <w:t>Mean ± SD</w:t>
            </w:r>
          </w:p>
        </w:tc>
        <w:tc>
          <w:tcPr>
            <w:tcW w:w="2172" w:type="dxa"/>
            <w:tcBorders>
              <w:top w:val="nil"/>
              <w:bottom w:val="single" w:sz="4" w:space="0" w:color="auto"/>
            </w:tcBorders>
          </w:tcPr>
          <w:p w14:paraId="64276194" w14:textId="77777777" w:rsidR="0056304F" w:rsidRPr="001E6503" w:rsidRDefault="0056304F" w:rsidP="00966D47">
            <w:pPr>
              <w:spacing w:line="480" w:lineRule="auto"/>
              <w:rPr>
                <w:b/>
                <w:sz w:val="24"/>
                <w:szCs w:val="24"/>
              </w:rPr>
            </w:pPr>
            <w:r w:rsidRPr="001E6503">
              <w:rPr>
                <w:b/>
                <w:sz w:val="24"/>
                <w:szCs w:val="24"/>
              </w:rPr>
              <w:t>Mean ± SD</w:t>
            </w:r>
          </w:p>
        </w:tc>
      </w:tr>
      <w:tr w:rsidR="0056304F" w:rsidRPr="001E6503" w14:paraId="7D0A6712" w14:textId="77777777" w:rsidTr="00406AFD">
        <w:tc>
          <w:tcPr>
            <w:tcW w:w="3794" w:type="dxa"/>
          </w:tcPr>
          <w:p w14:paraId="0D44CB10" w14:textId="4157CE25" w:rsidR="0056304F" w:rsidRPr="001E6503" w:rsidRDefault="0056304F" w:rsidP="008C37C1">
            <w:pPr>
              <w:spacing w:line="480" w:lineRule="auto"/>
              <w:rPr>
                <w:sz w:val="24"/>
                <w:szCs w:val="24"/>
              </w:rPr>
            </w:pPr>
            <w:r>
              <w:rPr>
                <w:sz w:val="24"/>
                <w:szCs w:val="24"/>
              </w:rPr>
              <w:t xml:space="preserve">Male aged </w:t>
            </w:r>
            <w:r w:rsidR="008C37C1">
              <w:rPr>
                <w:sz w:val="24"/>
                <w:szCs w:val="24"/>
              </w:rPr>
              <w:t>≤</w:t>
            </w:r>
            <w:r>
              <w:rPr>
                <w:sz w:val="24"/>
                <w:szCs w:val="24"/>
              </w:rPr>
              <w:t xml:space="preserve">64 </w:t>
            </w:r>
            <w:r w:rsidR="00406AFD">
              <w:rPr>
                <w:sz w:val="24"/>
                <w:szCs w:val="24"/>
              </w:rPr>
              <w:t>(</w:t>
            </w:r>
            <w:r w:rsidR="00406AFD" w:rsidRPr="00406AFD">
              <w:rPr>
                <w:i/>
                <w:sz w:val="24"/>
                <w:szCs w:val="24"/>
              </w:rPr>
              <w:t>n</w:t>
            </w:r>
            <w:r w:rsidR="00406AFD">
              <w:rPr>
                <w:sz w:val="24"/>
                <w:szCs w:val="24"/>
              </w:rPr>
              <w:t xml:space="preserve"> = 321)</w:t>
            </w:r>
          </w:p>
        </w:tc>
        <w:tc>
          <w:tcPr>
            <w:tcW w:w="1701" w:type="dxa"/>
          </w:tcPr>
          <w:p w14:paraId="232ED90A" w14:textId="53F47F79" w:rsidR="0056304F" w:rsidRPr="001E6503" w:rsidRDefault="0056304F" w:rsidP="00966D47">
            <w:pPr>
              <w:spacing w:line="480" w:lineRule="auto"/>
              <w:rPr>
                <w:sz w:val="24"/>
                <w:szCs w:val="24"/>
              </w:rPr>
            </w:pPr>
            <w:r>
              <w:rPr>
                <w:sz w:val="24"/>
                <w:szCs w:val="24"/>
              </w:rPr>
              <w:t>27.70 ± 7.71</w:t>
            </w:r>
          </w:p>
        </w:tc>
        <w:tc>
          <w:tcPr>
            <w:tcW w:w="1843" w:type="dxa"/>
          </w:tcPr>
          <w:p w14:paraId="57491F43" w14:textId="2061B2E6" w:rsidR="0056304F" w:rsidRPr="001E6503" w:rsidRDefault="0056304F" w:rsidP="00966D47">
            <w:pPr>
              <w:spacing w:line="480" w:lineRule="auto"/>
              <w:rPr>
                <w:sz w:val="24"/>
                <w:szCs w:val="24"/>
              </w:rPr>
            </w:pPr>
            <w:r>
              <w:rPr>
                <w:sz w:val="24"/>
                <w:szCs w:val="24"/>
              </w:rPr>
              <w:t>48.96 ± 12.24</w:t>
            </w:r>
          </w:p>
        </w:tc>
        <w:tc>
          <w:tcPr>
            <w:tcW w:w="2172" w:type="dxa"/>
          </w:tcPr>
          <w:p w14:paraId="2B4123E2" w14:textId="10369170" w:rsidR="0056304F" w:rsidRPr="001E6503" w:rsidRDefault="0056304F" w:rsidP="00966D47">
            <w:pPr>
              <w:spacing w:line="480" w:lineRule="auto"/>
              <w:ind w:left="-63" w:right="-589"/>
              <w:rPr>
                <w:sz w:val="24"/>
                <w:szCs w:val="24"/>
              </w:rPr>
            </w:pPr>
            <w:r>
              <w:rPr>
                <w:sz w:val="24"/>
                <w:szCs w:val="24"/>
              </w:rPr>
              <w:t xml:space="preserve"> 76.75 ± 18.30</w:t>
            </w:r>
          </w:p>
        </w:tc>
      </w:tr>
      <w:tr w:rsidR="0056304F" w:rsidRPr="001E6503" w14:paraId="164EB4EF" w14:textId="77777777" w:rsidTr="00406AFD">
        <w:tc>
          <w:tcPr>
            <w:tcW w:w="3794" w:type="dxa"/>
          </w:tcPr>
          <w:p w14:paraId="76DB26A6" w14:textId="608C33C9" w:rsidR="0056304F" w:rsidRPr="001E6503" w:rsidRDefault="0056304F" w:rsidP="008C37C1">
            <w:pPr>
              <w:spacing w:line="480" w:lineRule="auto"/>
              <w:rPr>
                <w:sz w:val="24"/>
                <w:szCs w:val="24"/>
              </w:rPr>
            </w:pPr>
            <w:r>
              <w:rPr>
                <w:sz w:val="24"/>
                <w:szCs w:val="24"/>
              </w:rPr>
              <w:t xml:space="preserve">Male aged </w:t>
            </w:r>
            <w:r w:rsidR="008C37C1">
              <w:rPr>
                <w:sz w:val="24"/>
                <w:szCs w:val="24"/>
              </w:rPr>
              <w:t>≥</w:t>
            </w:r>
            <w:r w:rsidRPr="001E6503">
              <w:rPr>
                <w:sz w:val="24"/>
                <w:szCs w:val="24"/>
              </w:rPr>
              <w:t xml:space="preserve">65 </w:t>
            </w:r>
            <w:r w:rsidR="00406AFD">
              <w:rPr>
                <w:sz w:val="24"/>
                <w:szCs w:val="24"/>
              </w:rPr>
              <w:t>(</w:t>
            </w:r>
            <w:r w:rsidR="00406AFD" w:rsidRPr="00406AFD">
              <w:rPr>
                <w:i/>
                <w:sz w:val="24"/>
                <w:szCs w:val="24"/>
              </w:rPr>
              <w:t>n</w:t>
            </w:r>
            <w:r w:rsidR="00406AFD">
              <w:rPr>
                <w:sz w:val="24"/>
                <w:szCs w:val="24"/>
              </w:rPr>
              <w:t xml:space="preserve"> = 64)</w:t>
            </w:r>
          </w:p>
        </w:tc>
        <w:tc>
          <w:tcPr>
            <w:tcW w:w="1701" w:type="dxa"/>
          </w:tcPr>
          <w:p w14:paraId="5066A8E3" w14:textId="19B9B5E6" w:rsidR="0056304F" w:rsidRPr="001E6503" w:rsidRDefault="0056304F" w:rsidP="00966D47">
            <w:pPr>
              <w:spacing w:line="480" w:lineRule="auto"/>
              <w:rPr>
                <w:sz w:val="24"/>
                <w:szCs w:val="24"/>
                <w:highlight w:val="yellow"/>
              </w:rPr>
            </w:pPr>
            <w:r>
              <w:rPr>
                <w:sz w:val="24"/>
                <w:szCs w:val="24"/>
              </w:rPr>
              <w:t>24.71 ± 8.06</w:t>
            </w:r>
          </w:p>
        </w:tc>
        <w:tc>
          <w:tcPr>
            <w:tcW w:w="1843" w:type="dxa"/>
          </w:tcPr>
          <w:p w14:paraId="0D69EC9A" w14:textId="65097546" w:rsidR="0056304F" w:rsidRPr="001E6503" w:rsidRDefault="0056304F" w:rsidP="00966D47">
            <w:pPr>
              <w:spacing w:line="480" w:lineRule="auto"/>
              <w:rPr>
                <w:sz w:val="24"/>
                <w:szCs w:val="24"/>
                <w:highlight w:val="yellow"/>
              </w:rPr>
            </w:pPr>
            <w:r>
              <w:rPr>
                <w:sz w:val="24"/>
                <w:szCs w:val="24"/>
              </w:rPr>
              <w:t>45.69 ± 6.16</w:t>
            </w:r>
          </w:p>
        </w:tc>
        <w:tc>
          <w:tcPr>
            <w:tcW w:w="2172" w:type="dxa"/>
          </w:tcPr>
          <w:p w14:paraId="33A68525" w14:textId="02D078E2" w:rsidR="0056304F" w:rsidRPr="001E6503" w:rsidRDefault="0056304F" w:rsidP="00966D47">
            <w:pPr>
              <w:spacing w:line="480" w:lineRule="auto"/>
              <w:rPr>
                <w:sz w:val="24"/>
                <w:szCs w:val="24"/>
                <w:highlight w:val="yellow"/>
              </w:rPr>
            </w:pPr>
            <w:r>
              <w:rPr>
                <w:sz w:val="24"/>
                <w:szCs w:val="24"/>
              </w:rPr>
              <w:t>70.41 ± 11.62</w:t>
            </w:r>
          </w:p>
        </w:tc>
      </w:tr>
      <w:tr w:rsidR="0056304F" w:rsidRPr="001E6503" w14:paraId="398FD27F" w14:textId="77777777" w:rsidTr="00406AFD">
        <w:tc>
          <w:tcPr>
            <w:tcW w:w="3794" w:type="dxa"/>
          </w:tcPr>
          <w:p w14:paraId="1CF96160" w14:textId="529ADA04" w:rsidR="0056304F" w:rsidRPr="001E6503" w:rsidRDefault="0056304F" w:rsidP="008C37C1">
            <w:pPr>
              <w:spacing w:line="480" w:lineRule="auto"/>
              <w:rPr>
                <w:sz w:val="24"/>
                <w:szCs w:val="24"/>
              </w:rPr>
            </w:pPr>
            <w:r>
              <w:rPr>
                <w:sz w:val="24"/>
                <w:szCs w:val="24"/>
              </w:rPr>
              <w:t xml:space="preserve">Female aged </w:t>
            </w:r>
            <w:r w:rsidR="008C37C1">
              <w:rPr>
                <w:sz w:val="24"/>
                <w:szCs w:val="24"/>
              </w:rPr>
              <w:t>≤</w:t>
            </w:r>
            <w:r>
              <w:rPr>
                <w:sz w:val="24"/>
                <w:szCs w:val="24"/>
              </w:rPr>
              <w:t xml:space="preserve">64 </w:t>
            </w:r>
            <w:r w:rsidR="00406AFD">
              <w:rPr>
                <w:sz w:val="24"/>
                <w:szCs w:val="24"/>
              </w:rPr>
              <w:t>(</w:t>
            </w:r>
            <w:r w:rsidR="00406AFD" w:rsidRPr="00406AFD">
              <w:rPr>
                <w:i/>
                <w:sz w:val="24"/>
                <w:szCs w:val="24"/>
              </w:rPr>
              <w:t>n</w:t>
            </w:r>
            <w:r w:rsidR="00406AFD">
              <w:rPr>
                <w:sz w:val="24"/>
                <w:szCs w:val="24"/>
              </w:rPr>
              <w:t xml:space="preserve"> = 326)</w:t>
            </w:r>
          </w:p>
        </w:tc>
        <w:tc>
          <w:tcPr>
            <w:tcW w:w="1701" w:type="dxa"/>
          </w:tcPr>
          <w:p w14:paraId="2619675C" w14:textId="262C88BE" w:rsidR="0056304F" w:rsidRPr="001E6503" w:rsidRDefault="0056304F" w:rsidP="00966D47">
            <w:pPr>
              <w:spacing w:line="480" w:lineRule="auto"/>
              <w:rPr>
                <w:sz w:val="24"/>
                <w:szCs w:val="24"/>
              </w:rPr>
            </w:pPr>
            <w:r>
              <w:rPr>
                <w:sz w:val="24"/>
                <w:szCs w:val="24"/>
              </w:rPr>
              <w:t>27.47</w:t>
            </w:r>
            <w:r w:rsidRPr="001E6503">
              <w:rPr>
                <w:sz w:val="24"/>
                <w:szCs w:val="24"/>
              </w:rPr>
              <w:t xml:space="preserve"> ±</w:t>
            </w:r>
            <w:r>
              <w:rPr>
                <w:sz w:val="24"/>
                <w:szCs w:val="24"/>
              </w:rPr>
              <w:t xml:space="preserve"> 3.74</w:t>
            </w:r>
            <w:r w:rsidRPr="001E6503">
              <w:rPr>
                <w:sz w:val="24"/>
                <w:szCs w:val="24"/>
              </w:rPr>
              <w:t xml:space="preserve"> </w:t>
            </w:r>
          </w:p>
        </w:tc>
        <w:tc>
          <w:tcPr>
            <w:tcW w:w="1843" w:type="dxa"/>
          </w:tcPr>
          <w:p w14:paraId="379EF2D7" w14:textId="3D704700" w:rsidR="0056304F" w:rsidRPr="001E6503" w:rsidRDefault="0056304F" w:rsidP="00966D47">
            <w:pPr>
              <w:spacing w:line="480" w:lineRule="auto"/>
              <w:ind w:right="-720"/>
              <w:rPr>
                <w:sz w:val="24"/>
                <w:szCs w:val="24"/>
              </w:rPr>
            </w:pPr>
            <w:r>
              <w:rPr>
                <w:sz w:val="24"/>
                <w:szCs w:val="24"/>
              </w:rPr>
              <w:t>47.65 ± 4.00</w:t>
            </w:r>
          </w:p>
        </w:tc>
        <w:tc>
          <w:tcPr>
            <w:tcW w:w="2172" w:type="dxa"/>
          </w:tcPr>
          <w:p w14:paraId="67D6E158" w14:textId="03DB6A6A" w:rsidR="0056304F" w:rsidRPr="001E6503" w:rsidRDefault="0056304F" w:rsidP="00966D47">
            <w:pPr>
              <w:spacing w:line="480" w:lineRule="auto"/>
              <w:rPr>
                <w:sz w:val="24"/>
                <w:szCs w:val="24"/>
              </w:rPr>
            </w:pPr>
            <w:r>
              <w:rPr>
                <w:sz w:val="24"/>
                <w:szCs w:val="24"/>
              </w:rPr>
              <w:t>75.11 ± 6.64</w:t>
            </w:r>
          </w:p>
        </w:tc>
      </w:tr>
      <w:tr w:rsidR="0056304F" w:rsidRPr="001E6503" w14:paraId="5A95BA8E" w14:textId="77777777" w:rsidTr="00406AFD">
        <w:tc>
          <w:tcPr>
            <w:tcW w:w="3794" w:type="dxa"/>
          </w:tcPr>
          <w:p w14:paraId="3FD7FF58" w14:textId="3AE9E357" w:rsidR="0056304F" w:rsidRPr="001E6503" w:rsidRDefault="0056304F" w:rsidP="008C37C1">
            <w:pPr>
              <w:spacing w:line="480" w:lineRule="auto"/>
              <w:rPr>
                <w:sz w:val="24"/>
                <w:szCs w:val="24"/>
              </w:rPr>
            </w:pPr>
            <w:r>
              <w:rPr>
                <w:sz w:val="24"/>
                <w:szCs w:val="24"/>
              </w:rPr>
              <w:t xml:space="preserve">Female aged </w:t>
            </w:r>
            <w:r w:rsidR="008C37C1">
              <w:rPr>
                <w:sz w:val="24"/>
                <w:szCs w:val="24"/>
              </w:rPr>
              <w:t>≥</w:t>
            </w:r>
            <w:r w:rsidRPr="001E6503">
              <w:rPr>
                <w:sz w:val="24"/>
                <w:szCs w:val="24"/>
              </w:rPr>
              <w:t>65</w:t>
            </w:r>
            <w:r w:rsidR="00406AFD">
              <w:rPr>
                <w:sz w:val="24"/>
                <w:szCs w:val="24"/>
              </w:rPr>
              <w:t xml:space="preserve"> (</w:t>
            </w:r>
            <w:r w:rsidR="00406AFD" w:rsidRPr="00406AFD">
              <w:rPr>
                <w:i/>
                <w:sz w:val="24"/>
                <w:szCs w:val="24"/>
              </w:rPr>
              <w:t>n</w:t>
            </w:r>
            <w:r w:rsidR="00406AFD">
              <w:rPr>
                <w:sz w:val="24"/>
                <w:szCs w:val="24"/>
              </w:rPr>
              <w:t xml:space="preserve"> = 81)</w:t>
            </w:r>
          </w:p>
        </w:tc>
        <w:tc>
          <w:tcPr>
            <w:tcW w:w="1701" w:type="dxa"/>
          </w:tcPr>
          <w:p w14:paraId="5C6BB546" w14:textId="660FCBC9" w:rsidR="0056304F" w:rsidRPr="001E6503" w:rsidRDefault="0056304F" w:rsidP="00966D47">
            <w:pPr>
              <w:spacing w:line="480" w:lineRule="auto"/>
              <w:rPr>
                <w:sz w:val="24"/>
                <w:szCs w:val="24"/>
              </w:rPr>
            </w:pPr>
            <w:r>
              <w:rPr>
                <w:sz w:val="24"/>
                <w:szCs w:val="24"/>
              </w:rPr>
              <w:t>25.80 ± 6.89</w:t>
            </w:r>
          </w:p>
        </w:tc>
        <w:tc>
          <w:tcPr>
            <w:tcW w:w="1843" w:type="dxa"/>
          </w:tcPr>
          <w:p w14:paraId="2B162442" w14:textId="2361F762" w:rsidR="0056304F" w:rsidRPr="001E6503" w:rsidRDefault="0056304F" w:rsidP="00966D47">
            <w:pPr>
              <w:spacing w:line="480" w:lineRule="auto"/>
              <w:rPr>
                <w:sz w:val="24"/>
                <w:szCs w:val="24"/>
              </w:rPr>
            </w:pPr>
            <w:r>
              <w:rPr>
                <w:sz w:val="24"/>
                <w:szCs w:val="24"/>
              </w:rPr>
              <w:t>47.</w:t>
            </w:r>
            <w:r w:rsidRPr="001E6503">
              <w:rPr>
                <w:sz w:val="24"/>
                <w:szCs w:val="24"/>
              </w:rPr>
              <w:t>1</w:t>
            </w:r>
            <w:r>
              <w:rPr>
                <w:sz w:val="24"/>
                <w:szCs w:val="24"/>
              </w:rPr>
              <w:t>8 ± 5.87</w:t>
            </w:r>
          </w:p>
        </w:tc>
        <w:tc>
          <w:tcPr>
            <w:tcW w:w="2172" w:type="dxa"/>
          </w:tcPr>
          <w:p w14:paraId="0B79CC0D" w14:textId="4FBB8EDD" w:rsidR="0056304F" w:rsidRPr="001E6503" w:rsidRDefault="0056304F" w:rsidP="00966D47">
            <w:pPr>
              <w:spacing w:line="480" w:lineRule="auto"/>
              <w:rPr>
                <w:sz w:val="24"/>
                <w:szCs w:val="24"/>
              </w:rPr>
            </w:pPr>
            <w:r>
              <w:rPr>
                <w:sz w:val="24"/>
                <w:szCs w:val="24"/>
              </w:rPr>
              <w:t>72.97 ± 10.16</w:t>
            </w:r>
          </w:p>
        </w:tc>
      </w:tr>
    </w:tbl>
    <w:p w14:paraId="339CD0AF" w14:textId="77777777" w:rsidR="0056304F" w:rsidRPr="001E6503" w:rsidRDefault="0056304F" w:rsidP="0056304F">
      <w:pPr>
        <w:spacing w:line="480" w:lineRule="auto"/>
        <w:rPr>
          <w:rFonts w:ascii="Times New Roman" w:hAnsi="Times New Roman" w:cs="Times New Roman"/>
          <w:sz w:val="24"/>
          <w:szCs w:val="24"/>
        </w:rPr>
      </w:pPr>
      <w:r w:rsidRPr="001E6503">
        <w:rPr>
          <w:rFonts w:ascii="Times New Roman" w:hAnsi="Times New Roman" w:cs="Times New Roman"/>
          <w:sz w:val="24"/>
          <w:szCs w:val="24"/>
        </w:rPr>
        <w:t xml:space="preserve">Note: </w:t>
      </w:r>
      <w:proofErr w:type="spellStart"/>
      <w:r w:rsidRPr="001E6503">
        <w:rPr>
          <w:rFonts w:ascii="Times New Roman" w:hAnsi="Times New Roman" w:cs="Times New Roman"/>
          <w:sz w:val="24"/>
          <w:szCs w:val="24"/>
        </w:rPr>
        <w:t>RoP</w:t>
      </w:r>
      <w:proofErr w:type="spellEnd"/>
      <w:r w:rsidRPr="001E6503">
        <w:rPr>
          <w:rFonts w:ascii="Times New Roman" w:hAnsi="Times New Roman" w:cs="Times New Roman"/>
          <w:sz w:val="24"/>
          <w:szCs w:val="24"/>
        </w:rPr>
        <w:t xml:space="preserve"> scale = Recognition of personhood scale</w:t>
      </w:r>
    </w:p>
    <w:p w14:paraId="5991356B" w14:textId="77777777" w:rsidR="0056304F" w:rsidRPr="001E6503" w:rsidRDefault="0056304F" w:rsidP="000B1A46">
      <w:pPr>
        <w:spacing w:line="480" w:lineRule="auto"/>
        <w:rPr>
          <w:rFonts w:ascii="Times New Roman" w:hAnsi="Times New Roman" w:cs="Times New Roman"/>
          <w:sz w:val="24"/>
          <w:szCs w:val="24"/>
        </w:rPr>
      </w:pPr>
    </w:p>
    <w:sectPr w:rsidR="0056304F" w:rsidRPr="001E6503" w:rsidSect="00C8488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B61C25" w14:textId="77777777" w:rsidR="00696901" w:rsidRDefault="00696901" w:rsidP="007D1005">
      <w:pPr>
        <w:spacing w:after="0" w:line="240" w:lineRule="auto"/>
      </w:pPr>
      <w:r>
        <w:separator/>
      </w:r>
    </w:p>
  </w:endnote>
  <w:endnote w:type="continuationSeparator" w:id="0">
    <w:p w14:paraId="52CF097D" w14:textId="77777777" w:rsidR="00696901" w:rsidRDefault="00696901" w:rsidP="007D1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M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0575"/>
      <w:docPartObj>
        <w:docPartGallery w:val="Page Numbers (Bottom of Page)"/>
        <w:docPartUnique/>
      </w:docPartObj>
    </w:sdtPr>
    <w:sdtEndPr/>
    <w:sdtContent>
      <w:p w14:paraId="0EF20976" w14:textId="77777777" w:rsidR="002E7E58" w:rsidRDefault="002E7E58">
        <w:pPr>
          <w:pStyle w:val="Footer"/>
          <w:jc w:val="center"/>
        </w:pPr>
        <w:r>
          <w:fldChar w:fldCharType="begin"/>
        </w:r>
        <w:r>
          <w:instrText xml:space="preserve"> PAGE   \* MERGEFORMAT </w:instrText>
        </w:r>
        <w:r>
          <w:fldChar w:fldCharType="separate"/>
        </w:r>
        <w:r w:rsidR="00C3242C">
          <w:rPr>
            <w:noProof/>
          </w:rPr>
          <w:t>8</w:t>
        </w:r>
        <w:r>
          <w:rPr>
            <w:noProof/>
          </w:rPr>
          <w:fldChar w:fldCharType="end"/>
        </w:r>
      </w:p>
    </w:sdtContent>
  </w:sdt>
  <w:p w14:paraId="76619FD9" w14:textId="77777777" w:rsidR="002E7E58" w:rsidRDefault="002E7E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EFDA5F" w14:textId="77777777" w:rsidR="00696901" w:rsidRDefault="00696901" w:rsidP="007D1005">
      <w:pPr>
        <w:spacing w:after="0" w:line="240" w:lineRule="auto"/>
      </w:pPr>
      <w:r>
        <w:separator/>
      </w:r>
    </w:p>
  </w:footnote>
  <w:footnote w:type="continuationSeparator" w:id="0">
    <w:p w14:paraId="1D88AF46" w14:textId="77777777" w:rsidR="00696901" w:rsidRDefault="00696901" w:rsidP="007D1005">
      <w:pPr>
        <w:spacing w:after="0" w:line="240" w:lineRule="auto"/>
      </w:pPr>
      <w:r>
        <w:continuationSeparator/>
      </w:r>
    </w:p>
  </w:footnote>
  <w:footnote w:id="1">
    <w:p w14:paraId="0ACA4134" w14:textId="77777777" w:rsidR="002E7E58" w:rsidRPr="00C81A50" w:rsidRDefault="002E7E58" w:rsidP="00DA6B26">
      <w:pPr>
        <w:pStyle w:val="FootnoteText"/>
        <w:rPr>
          <w:rFonts w:ascii="Times New Roman" w:hAnsi="Times New Roman" w:cs="Times New Roman"/>
        </w:rPr>
      </w:pPr>
      <w:r w:rsidRPr="00C81A50">
        <w:rPr>
          <w:rStyle w:val="FootnoteReference"/>
          <w:rFonts w:ascii="Times New Roman" w:hAnsi="Times New Roman" w:cs="Times New Roman"/>
        </w:rPr>
        <w:footnoteRef/>
      </w:r>
      <w:r w:rsidRPr="00C81A50">
        <w:rPr>
          <w:rFonts w:ascii="Times New Roman" w:hAnsi="Times New Roman" w:cs="Times New Roman"/>
        </w:rPr>
        <w:t xml:space="preserve"> Although 4,609 people have a formally recorded diagnosis of dementia in Bristol, it is believed that there is a significant dementia gap of roughly 3,500 people who are undiagnosed (Dementia Prevalence Calculator, 2015).</w:t>
      </w:r>
    </w:p>
  </w:footnote>
  <w:footnote w:id="2">
    <w:p w14:paraId="2D1B086D" w14:textId="77777777" w:rsidR="002E7E58" w:rsidRPr="00C81A50" w:rsidRDefault="002E7E58" w:rsidP="009F515F">
      <w:pPr>
        <w:pStyle w:val="FootnoteText"/>
        <w:rPr>
          <w:rFonts w:ascii="Times New Roman" w:hAnsi="Times New Roman" w:cs="Times New Roman"/>
        </w:rPr>
      </w:pPr>
      <w:r w:rsidRPr="00C81A50">
        <w:rPr>
          <w:rStyle w:val="FootnoteReference"/>
          <w:rFonts w:ascii="Times New Roman" w:hAnsi="Times New Roman" w:cs="Times New Roman"/>
        </w:rPr>
        <w:footnoteRef/>
      </w:r>
      <w:r w:rsidRPr="00C81A50">
        <w:rPr>
          <w:rFonts w:ascii="Times New Roman" w:hAnsi="Times New Roman" w:cs="Times New Roman"/>
        </w:rPr>
        <w:t xml:space="preserve"> </w:t>
      </w:r>
      <w:hyperlink r:id="rId1" w:history="1">
        <w:r w:rsidRPr="00C81A50">
          <w:rPr>
            <w:rStyle w:val="Hyperlink"/>
            <w:rFonts w:ascii="Times New Roman" w:hAnsi="Times New Roman" w:cs="Times New Roman"/>
          </w:rPr>
          <w:t>https://www.oc-meridian.com/AWP/survey/ApproachesToDementia</w:t>
        </w:r>
      </w:hyperlink>
    </w:p>
  </w:footnote>
  <w:footnote w:id="3">
    <w:p w14:paraId="1D327F22" w14:textId="77777777" w:rsidR="002E7E58" w:rsidRDefault="002E7E58">
      <w:pPr>
        <w:pStyle w:val="FootnoteText"/>
      </w:pPr>
      <w:r>
        <w:rPr>
          <w:rStyle w:val="FootnoteReference"/>
        </w:rPr>
        <w:footnoteRef/>
      </w:r>
      <w:r w:rsidRPr="00C81A50">
        <w:rPr>
          <w:rFonts w:ascii="Times New Roman" w:hAnsi="Times New Roman" w:cs="Times New Roman"/>
        </w:rPr>
        <w:t xml:space="preserve"> Items 1 and 6 referred to “</w:t>
      </w:r>
      <w:r w:rsidRPr="00C81A50">
        <w:rPr>
          <w:rFonts w:ascii="Times New Roman" w:hAnsi="Times New Roman" w:cs="Times New Roman"/>
          <w:i/>
        </w:rPr>
        <w:t>dementia sufferers</w:t>
      </w:r>
      <w:r w:rsidRPr="00C81A50">
        <w:rPr>
          <w:rFonts w:ascii="Times New Roman" w:hAnsi="Times New Roman" w:cs="Times New Roman"/>
        </w:rPr>
        <w:t>” and this was replaced by the phrase “</w:t>
      </w:r>
      <w:r w:rsidRPr="00C81A50">
        <w:rPr>
          <w:rFonts w:ascii="Times New Roman" w:hAnsi="Times New Roman" w:cs="Times New Roman"/>
          <w:i/>
        </w:rPr>
        <w:t>people with dementia</w:t>
      </w:r>
      <w:r w:rsidRPr="00C81A50">
        <w:rPr>
          <w:rFonts w:ascii="Times New Roman" w:hAnsi="Times New Roman" w:cs="Times New Roman"/>
        </w:rPr>
        <w:t>”. Item 5 (“</w:t>
      </w:r>
      <w:r w:rsidRPr="00C81A50">
        <w:rPr>
          <w:rFonts w:ascii="Times New Roman" w:hAnsi="Times New Roman" w:cs="Times New Roman"/>
          <w:i/>
        </w:rPr>
        <w:t>It is important for people with dementia to have stimulating and enjoyable activities to occupy their time</w:t>
      </w:r>
      <w:r w:rsidRPr="00C81A50">
        <w:rPr>
          <w:rFonts w:ascii="Times New Roman" w:hAnsi="Times New Roman" w:cs="Times New Roman"/>
        </w:rPr>
        <w:t>”) and 12 (“</w:t>
      </w:r>
      <w:r w:rsidRPr="00C81A50">
        <w:rPr>
          <w:rFonts w:ascii="Times New Roman" w:hAnsi="Times New Roman" w:cs="Times New Roman"/>
          <w:i/>
        </w:rPr>
        <w:t>Good dementia care involves caring for a person's psychological needs as well as their physical needs</w:t>
      </w:r>
      <w:r w:rsidRPr="00C81A50">
        <w:rPr>
          <w:rFonts w:ascii="Times New Roman" w:hAnsi="Times New Roman" w:cs="Times New Roman"/>
        </w:rPr>
        <w:t>”) were thought to be oriented towards a care environment. Both were slightly modified in order to be more inclusive. They now read “</w:t>
      </w:r>
      <w:r w:rsidRPr="00C81A50">
        <w:rPr>
          <w:rFonts w:ascii="Times New Roman" w:hAnsi="Times New Roman" w:cs="Times New Roman"/>
          <w:i/>
        </w:rPr>
        <w:t xml:space="preserve">It is important for people with dementia to continue to be active and involved in the things that interest them” </w:t>
      </w:r>
      <w:r w:rsidRPr="00C81A50">
        <w:rPr>
          <w:rFonts w:ascii="Times New Roman" w:hAnsi="Times New Roman" w:cs="Times New Roman"/>
        </w:rPr>
        <w:t xml:space="preserve">and </w:t>
      </w:r>
      <w:r w:rsidRPr="00C81A50">
        <w:rPr>
          <w:rFonts w:ascii="Times New Roman" w:hAnsi="Times New Roman" w:cs="Times New Roman"/>
          <w:b/>
        </w:rPr>
        <w:t>“</w:t>
      </w:r>
      <w:r w:rsidRPr="00C81A50">
        <w:rPr>
          <w:rFonts w:ascii="Times New Roman" w:hAnsi="Times New Roman" w:cs="Times New Roman"/>
          <w:i/>
        </w:rPr>
        <w:t>Achieving a good quality of life for people with dementia involves taking account of their psychological and social needs as well as their physical needs”</w:t>
      </w:r>
      <w:r w:rsidRPr="00C81A50">
        <w:rPr>
          <w:rFonts w:ascii="Times New Roman" w:hAnsi="Times New Roman" w:cs="Times New Roman"/>
        </w:rPr>
        <w:t>. Item 13 (“It is important not to become too attached to residents”) was altered to “</w:t>
      </w:r>
      <w:r w:rsidRPr="00C81A50">
        <w:rPr>
          <w:rFonts w:ascii="Times New Roman" w:hAnsi="Times New Roman" w:cs="Times New Roman"/>
          <w:i/>
        </w:rPr>
        <w:t>It is important not to get too attached to someone with dementia”</w:t>
      </w:r>
      <w:r w:rsidRPr="00C81A50">
        <w:rPr>
          <w:rFonts w:ascii="Times New Roman" w:hAnsi="Times New Roman" w:cs="Times New Roman"/>
        </w:rPr>
        <w:t>, while in item 19 the word “special” was replaced by “</w:t>
      </w:r>
      <w:r w:rsidRPr="00C81A50">
        <w:rPr>
          <w:rFonts w:ascii="Times New Roman" w:hAnsi="Times New Roman" w:cs="Times New Roman"/>
          <w:i/>
        </w:rPr>
        <w:t>particular</w:t>
      </w:r>
      <w:r w:rsidRPr="00C81A50">
        <w:rPr>
          <w:rFonts w:ascii="Times New Roman" w:hAnsi="Times New Roman" w:cs="Times New Roman"/>
        </w:rPr>
        <w:t>” as “</w:t>
      </w:r>
      <w:r w:rsidRPr="00C81A50">
        <w:rPr>
          <w:rFonts w:ascii="Times New Roman" w:hAnsi="Times New Roman" w:cs="Times New Roman"/>
          <w:i/>
        </w:rPr>
        <w:t>special</w:t>
      </w:r>
      <w:r w:rsidRPr="00C81A50">
        <w:rPr>
          <w:rFonts w:ascii="Times New Roman" w:hAnsi="Times New Roman" w:cs="Times New Roman"/>
        </w:rPr>
        <w:t>” is a word associated with services and disability.</w:t>
      </w:r>
    </w:p>
  </w:footnote>
  <w:footnote w:id="4">
    <w:p w14:paraId="110A6F14" w14:textId="3E34A2BA" w:rsidR="002E7E58" w:rsidRPr="00176D86" w:rsidRDefault="002E7E58" w:rsidP="003C1192">
      <w:pPr>
        <w:pStyle w:val="FootnoteText"/>
        <w:rPr>
          <w:lang w:val="en-US"/>
        </w:rPr>
      </w:pPr>
      <w:r>
        <w:rPr>
          <w:rStyle w:val="FootnoteReference"/>
        </w:rPr>
        <w:footnoteRef/>
      </w:r>
      <w:r>
        <w:t xml:space="preserve"> </w:t>
      </w:r>
      <w:hyperlink r:id="rId2" w:history="1">
        <w:r w:rsidRPr="004966B6">
          <w:rPr>
            <w:rStyle w:val="Hyperlink"/>
            <w:rFonts w:eastAsia="Times New Roman" w:cs="Times New Roman"/>
            <w:szCs w:val="22"/>
          </w:rPr>
          <w:t>http://www.ons.gov.uk/census</w:t>
        </w:r>
      </w:hyperlink>
      <w:r>
        <w:rPr>
          <w:rStyle w:val="Hyperlink"/>
          <w:rFonts w:eastAsia="Times New Roman" w:cs="Times New Roman"/>
          <w:szCs w:val="22"/>
        </w:rPr>
        <w:t xml:space="preserve">, </w:t>
      </w:r>
      <w:r w:rsidRPr="00176D86">
        <w:rPr>
          <w:szCs w:val="22"/>
        </w:rPr>
        <w:t>downloaded on 26</w:t>
      </w:r>
      <w:r w:rsidRPr="000B1A46">
        <w:rPr>
          <w:szCs w:val="22"/>
          <w:vertAlign w:val="superscript"/>
        </w:rPr>
        <w:t>th</w:t>
      </w:r>
      <w:r>
        <w:rPr>
          <w:szCs w:val="22"/>
        </w:rPr>
        <w:t xml:space="preserve"> August 20</w:t>
      </w:r>
      <w:r w:rsidRPr="00176D86">
        <w:rPr>
          <w:szCs w:val="22"/>
        </w:rPr>
        <w:t>15.</w:t>
      </w:r>
    </w:p>
  </w:footnote>
  <w:footnote w:id="5">
    <w:p w14:paraId="2D808743" w14:textId="77777777" w:rsidR="002E7E58" w:rsidRPr="00530FDE" w:rsidRDefault="002E7E58" w:rsidP="00FF4EA3">
      <w:pPr>
        <w:pStyle w:val="FootnoteText"/>
        <w:rPr>
          <w:lang w:val="en-US"/>
        </w:rPr>
      </w:pPr>
      <w:r>
        <w:rPr>
          <w:rStyle w:val="FootnoteReference"/>
        </w:rPr>
        <w:footnoteRef/>
      </w:r>
      <w:r>
        <w:t xml:space="preserve"> </w:t>
      </w:r>
      <w:hyperlink r:id="rId3" w:history="1">
        <w:r w:rsidRPr="00C81A50">
          <w:rPr>
            <w:rStyle w:val="Hyperlink"/>
            <w:rFonts w:ascii="Times New Roman" w:hAnsi="Times New Roman" w:cs="Times New Roman"/>
            <w:lang w:val="en-US"/>
          </w:rPr>
          <w:t>http://www.channel5.com/shows/5-news/features-archived/channel-5-news-poll-people-fear-dementia-warning-more-than-cancer-research</w:t>
        </w:r>
      </w:hyperlink>
      <w:r w:rsidRPr="00C81A50">
        <w:rPr>
          <w:rFonts w:ascii="Times New Roman" w:hAnsi="Times New Roman" w:cs="Times New Roman"/>
          <w:lang w:val="en-US"/>
        </w:rPr>
        <w:t xml:space="preserve"> (accessed 7th October,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EA2D3" w14:textId="2A9BDB25" w:rsidR="002E7E58" w:rsidRPr="00331468" w:rsidRDefault="002E7E58" w:rsidP="00327130">
    <w:pPr>
      <w:pStyle w:val="Header"/>
      <w:jc w:val="right"/>
      <w:rPr>
        <w:rFonts w:ascii="Times New Roman" w:hAnsi="Times New Roman" w:cs="Times New Roman"/>
      </w:rPr>
    </w:pPr>
    <w:r w:rsidRPr="00331468">
      <w:rPr>
        <w:rFonts w:ascii="Times New Roman" w:hAnsi="Times New Roman" w:cs="Times New Roman"/>
      </w:rPr>
      <w:t>Attitudes toward dementia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2754E"/>
    <w:multiLevelType w:val="multilevel"/>
    <w:tmpl w:val="F2544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306749"/>
    <w:multiLevelType w:val="hybridMultilevel"/>
    <w:tmpl w:val="73BED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1C3136"/>
    <w:multiLevelType w:val="multilevel"/>
    <w:tmpl w:val="51DE3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A84617"/>
    <w:multiLevelType w:val="multilevel"/>
    <w:tmpl w:val="661EE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6D74B5F"/>
    <w:multiLevelType w:val="multilevel"/>
    <w:tmpl w:val="6352D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384426"/>
    <w:multiLevelType w:val="hybridMultilevel"/>
    <w:tmpl w:val="5C5221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F47590E"/>
    <w:multiLevelType w:val="hybridMultilevel"/>
    <w:tmpl w:val="614C3F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49051B9"/>
    <w:multiLevelType w:val="hybridMultilevel"/>
    <w:tmpl w:val="CFA4582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6094546F"/>
    <w:multiLevelType w:val="hybridMultilevel"/>
    <w:tmpl w:val="D1AE9F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5A70486"/>
    <w:multiLevelType w:val="hybridMultilevel"/>
    <w:tmpl w:val="848082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29B0210"/>
    <w:multiLevelType w:val="hybridMultilevel"/>
    <w:tmpl w:val="A8960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10"/>
  </w:num>
  <w:num w:numId="6">
    <w:abstractNumId w:val="3"/>
  </w:num>
  <w:num w:numId="7">
    <w:abstractNumId w:val="9"/>
  </w:num>
  <w:num w:numId="8">
    <w:abstractNumId w:val="8"/>
  </w:num>
  <w:num w:numId="9">
    <w:abstractNumId w:val="6"/>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F86"/>
    <w:rsid w:val="000025B3"/>
    <w:rsid w:val="000042A9"/>
    <w:rsid w:val="00015DE4"/>
    <w:rsid w:val="00017C5C"/>
    <w:rsid w:val="00027F0C"/>
    <w:rsid w:val="00032F0B"/>
    <w:rsid w:val="00047FFD"/>
    <w:rsid w:val="00056ADE"/>
    <w:rsid w:val="00057EBC"/>
    <w:rsid w:val="00060330"/>
    <w:rsid w:val="00063E6B"/>
    <w:rsid w:val="00066A74"/>
    <w:rsid w:val="00076B0D"/>
    <w:rsid w:val="00077EC0"/>
    <w:rsid w:val="000804AD"/>
    <w:rsid w:val="00092411"/>
    <w:rsid w:val="00092C8B"/>
    <w:rsid w:val="00092EAC"/>
    <w:rsid w:val="00096FC5"/>
    <w:rsid w:val="000A17CD"/>
    <w:rsid w:val="000A6A22"/>
    <w:rsid w:val="000B0608"/>
    <w:rsid w:val="000B1A46"/>
    <w:rsid w:val="000B4F77"/>
    <w:rsid w:val="000B515C"/>
    <w:rsid w:val="000C5A1C"/>
    <w:rsid w:val="000D3148"/>
    <w:rsid w:val="000D639E"/>
    <w:rsid w:val="000D64C6"/>
    <w:rsid w:val="000E28CC"/>
    <w:rsid w:val="000E3D3A"/>
    <w:rsid w:val="001011A4"/>
    <w:rsid w:val="00103AD5"/>
    <w:rsid w:val="00111166"/>
    <w:rsid w:val="00115BE6"/>
    <w:rsid w:val="0012336F"/>
    <w:rsid w:val="0013451E"/>
    <w:rsid w:val="00134C33"/>
    <w:rsid w:val="00142CAA"/>
    <w:rsid w:val="00144E93"/>
    <w:rsid w:val="00147CCE"/>
    <w:rsid w:val="00152AD4"/>
    <w:rsid w:val="00156BE6"/>
    <w:rsid w:val="00163921"/>
    <w:rsid w:val="00163B8A"/>
    <w:rsid w:val="001751B5"/>
    <w:rsid w:val="00176D86"/>
    <w:rsid w:val="00182411"/>
    <w:rsid w:val="00192DFA"/>
    <w:rsid w:val="001C2C4A"/>
    <w:rsid w:val="001C2E98"/>
    <w:rsid w:val="001E358B"/>
    <w:rsid w:val="001E631B"/>
    <w:rsid w:val="001E6503"/>
    <w:rsid w:val="001F2A5F"/>
    <w:rsid w:val="001F478E"/>
    <w:rsid w:val="001F746A"/>
    <w:rsid w:val="0020712B"/>
    <w:rsid w:val="00212CDD"/>
    <w:rsid w:val="00215E25"/>
    <w:rsid w:val="00223984"/>
    <w:rsid w:val="00223DD6"/>
    <w:rsid w:val="002477DB"/>
    <w:rsid w:val="00247DF1"/>
    <w:rsid w:val="00254097"/>
    <w:rsid w:val="00262C22"/>
    <w:rsid w:val="00264CD6"/>
    <w:rsid w:val="00266610"/>
    <w:rsid w:val="00275924"/>
    <w:rsid w:val="00280A28"/>
    <w:rsid w:val="002915DD"/>
    <w:rsid w:val="0029219E"/>
    <w:rsid w:val="00295791"/>
    <w:rsid w:val="002A5E7E"/>
    <w:rsid w:val="002B7C06"/>
    <w:rsid w:val="002C0A5F"/>
    <w:rsid w:val="002C13C1"/>
    <w:rsid w:val="002C4E7E"/>
    <w:rsid w:val="002D075F"/>
    <w:rsid w:val="002D1FB3"/>
    <w:rsid w:val="002D4BF5"/>
    <w:rsid w:val="002E3ED6"/>
    <w:rsid w:val="002E46E9"/>
    <w:rsid w:val="002E7E58"/>
    <w:rsid w:val="00300E2D"/>
    <w:rsid w:val="00304FB4"/>
    <w:rsid w:val="00305B65"/>
    <w:rsid w:val="00307AB0"/>
    <w:rsid w:val="00310697"/>
    <w:rsid w:val="00310701"/>
    <w:rsid w:val="00321EC7"/>
    <w:rsid w:val="00327130"/>
    <w:rsid w:val="00331468"/>
    <w:rsid w:val="00340E41"/>
    <w:rsid w:val="003416BE"/>
    <w:rsid w:val="003558B6"/>
    <w:rsid w:val="00365D41"/>
    <w:rsid w:val="0037021B"/>
    <w:rsid w:val="00372EFD"/>
    <w:rsid w:val="00373576"/>
    <w:rsid w:val="00375E92"/>
    <w:rsid w:val="00385180"/>
    <w:rsid w:val="003852C4"/>
    <w:rsid w:val="003908AF"/>
    <w:rsid w:val="003A392C"/>
    <w:rsid w:val="003B6B6A"/>
    <w:rsid w:val="003B711C"/>
    <w:rsid w:val="003C1192"/>
    <w:rsid w:val="003C4D7E"/>
    <w:rsid w:val="003C5DEE"/>
    <w:rsid w:val="003D4FC3"/>
    <w:rsid w:val="003E2D64"/>
    <w:rsid w:val="003F4538"/>
    <w:rsid w:val="003F4781"/>
    <w:rsid w:val="00401C8F"/>
    <w:rsid w:val="00405341"/>
    <w:rsid w:val="00406476"/>
    <w:rsid w:val="00406789"/>
    <w:rsid w:val="00406AFD"/>
    <w:rsid w:val="004074FA"/>
    <w:rsid w:val="004200B0"/>
    <w:rsid w:val="00421493"/>
    <w:rsid w:val="00427051"/>
    <w:rsid w:val="004407A6"/>
    <w:rsid w:val="00447C92"/>
    <w:rsid w:val="004519D8"/>
    <w:rsid w:val="004533EA"/>
    <w:rsid w:val="004536DD"/>
    <w:rsid w:val="00462D1A"/>
    <w:rsid w:val="00463A12"/>
    <w:rsid w:val="00463D81"/>
    <w:rsid w:val="004817CC"/>
    <w:rsid w:val="00485032"/>
    <w:rsid w:val="0049014D"/>
    <w:rsid w:val="0049082C"/>
    <w:rsid w:val="004A1DB9"/>
    <w:rsid w:val="004A3E26"/>
    <w:rsid w:val="004B1F90"/>
    <w:rsid w:val="004B693B"/>
    <w:rsid w:val="004B779B"/>
    <w:rsid w:val="004B7FD2"/>
    <w:rsid w:val="004C20EC"/>
    <w:rsid w:val="004D0D81"/>
    <w:rsid w:val="004D255D"/>
    <w:rsid w:val="004E0990"/>
    <w:rsid w:val="004E4502"/>
    <w:rsid w:val="004E5077"/>
    <w:rsid w:val="004E6E80"/>
    <w:rsid w:val="004F32B3"/>
    <w:rsid w:val="004F4EB6"/>
    <w:rsid w:val="00501AC9"/>
    <w:rsid w:val="005123D2"/>
    <w:rsid w:val="00522EE5"/>
    <w:rsid w:val="005264C1"/>
    <w:rsid w:val="00530FDE"/>
    <w:rsid w:val="005325E7"/>
    <w:rsid w:val="00532901"/>
    <w:rsid w:val="005336EB"/>
    <w:rsid w:val="005428CD"/>
    <w:rsid w:val="0054436D"/>
    <w:rsid w:val="00552229"/>
    <w:rsid w:val="0055270D"/>
    <w:rsid w:val="005603D4"/>
    <w:rsid w:val="00561E40"/>
    <w:rsid w:val="0056247E"/>
    <w:rsid w:val="0056304F"/>
    <w:rsid w:val="00564108"/>
    <w:rsid w:val="0056764E"/>
    <w:rsid w:val="005729E1"/>
    <w:rsid w:val="00576E64"/>
    <w:rsid w:val="0058000D"/>
    <w:rsid w:val="00582F6F"/>
    <w:rsid w:val="005840E0"/>
    <w:rsid w:val="00585D2D"/>
    <w:rsid w:val="0058628A"/>
    <w:rsid w:val="00590846"/>
    <w:rsid w:val="00591A08"/>
    <w:rsid w:val="00592465"/>
    <w:rsid w:val="005B6E28"/>
    <w:rsid w:val="005C0238"/>
    <w:rsid w:val="005C2E93"/>
    <w:rsid w:val="005C34C0"/>
    <w:rsid w:val="005D7353"/>
    <w:rsid w:val="005E6AF9"/>
    <w:rsid w:val="005F6B3D"/>
    <w:rsid w:val="005F76B0"/>
    <w:rsid w:val="00605016"/>
    <w:rsid w:val="00611294"/>
    <w:rsid w:val="006278D0"/>
    <w:rsid w:val="00635DBC"/>
    <w:rsid w:val="0063778C"/>
    <w:rsid w:val="006404FF"/>
    <w:rsid w:val="00641E6E"/>
    <w:rsid w:val="00646405"/>
    <w:rsid w:val="006625F3"/>
    <w:rsid w:val="00662A12"/>
    <w:rsid w:val="00664E7C"/>
    <w:rsid w:val="006712E6"/>
    <w:rsid w:val="00671D6F"/>
    <w:rsid w:val="00673D63"/>
    <w:rsid w:val="006756DE"/>
    <w:rsid w:val="006806AF"/>
    <w:rsid w:val="00681BAC"/>
    <w:rsid w:val="00683EAC"/>
    <w:rsid w:val="00696901"/>
    <w:rsid w:val="006B0BA4"/>
    <w:rsid w:val="006B2FD9"/>
    <w:rsid w:val="006B68C5"/>
    <w:rsid w:val="006D4D84"/>
    <w:rsid w:val="007014E0"/>
    <w:rsid w:val="00711051"/>
    <w:rsid w:val="0071151A"/>
    <w:rsid w:val="00713A8B"/>
    <w:rsid w:val="00723354"/>
    <w:rsid w:val="007237B2"/>
    <w:rsid w:val="00727F81"/>
    <w:rsid w:val="00731942"/>
    <w:rsid w:val="00736AD3"/>
    <w:rsid w:val="0074046D"/>
    <w:rsid w:val="00744B64"/>
    <w:rsid w:val="00744F19"/>
    <w:rsid w:val="00753CC3"/>
    <w:rsid w:val="007648AE"/>
    <w:rsid w:val="00770B53"/>
    <w:rsid w:val="00783468"/>
    <w:rsid w:val="00784EE6"/>
    <w:rsid w:val="0078500D"/>
    <w:rsid w:val="0079115B"/>
    <w:rsid w:val="00791288"/>
    <w:rsid w:val="007A65F6"/>
    <w:rsid w:val="007B3815"/>
    <w:rsid w:val="007B59F7"/>
    <w:rsid w:val="007D1005"/>
    <w:rsid w:val="007D23F7"/>
    <w:rsid w:val="007D327B"/>
    <w:rsid w:val="00801B17"/>
    <w:rsid w:val="0080324F"/>
    <w:rsid w:val="00812DF6"/>
    <w:rsid w:val="008245D5"/>
    <w:rsid w:val="00826D0E"/>
    <w:rsid w:val="00832F6B"/>
    <w:rsid w:val="00835A91"/>
    <w:rsid w:val="00837F65"/>
    <w:rsid w:val="00844F86"/>
    <w:rsid w:val="00865DD2"/>
    <w:rsid w:val="00870305"/>
    <w:rsid w:val="00890C92"/>
    <w:rsid w:val="008930BC"/>
    <w:rsid w:val="00897C55"/>
    <w:rsid w:val="008A4CE1"/>
    <w:rsid w:val="008A6CBF"/>
    <w:rsid w:val="008B137E"/>
    <w:rsid w:val="008C326C"/>
    <w:rsid w:val="008C37C1"/>
    <w:rsid w:val="008C6FE7"/>
    <w:rsid w:val="008D4CED"/>
    <w:rsid w:val="008D7313"/>
    <w:rsid w:val="008D7E4A"/>
    <w:rsid w:val="008E4435"/>
    <w:rsid w:val="00902312"/>
    <w:rsid w:val="00904856"/>
    <w:rsid w:val="009048DB"/>
    <w:rsid w:val="009270CE"/>
    <w:rsid w:val="0095282B"/>
    <w:rsid w:val="009535DE"/>
    <w:rsid w:val="00954012"/>
    <w:rsid w:val="00960C43"/>
    <w:rsid w:val="00966D47"/>
    <w:rsid w:val="009760FE"/>
    <w:rsid w:val="009867D4"/>
    <w:rsid w:val="00986CB9"/>
    <w:rsid w:val="00994792"/>
    <w:rsid w:val="0099557B"/>
    <w:rsid w:val="009A17CF"/>
    <w:rsid w:val="009A4DD1"/>
    <w:rsid w:val="009A68E7"/>
    <w:rsid w:val="009C7F26"/>
    <w:rsid w:val="009D110B"/>
    <w:rsid w:val="009D5084"/>
    <w:rsid w:val="009D67A4"/>
    <w:rsid w:val="009E3A6D"/>
    <w:rsid w:val="009E64CF"/>
    <w:rsid w:val="009F13C4"/>
    <w:rsid w:val="009F515F"/>
    <w:rsid w:val="009F795A"/>
    <w:rsid w:val="00A04B78"/>
    <w:rsid w:val="00A05430"/>
    <w:rsid w:val="00A06CAC"/>
    <w:rsid w:val="00A06F34"/>
    <w:rsid w:val="00A13C52"/>
    <w:rsid w:val="00A14394"/>
    <w:rsid w:val="00A217BF"/>
    <w:rsid w:val="00A23137"/>
    <w:rsid w:val="00A30307"/>
    <w:rsid w:val="00A31F85"/>
    <w:rsid w:val="00A34C23"/>
    <w:rsid w:val="00A44A37"/>
    <w:rsid w:val="00A6023A"/>
    <w:rsid w:val="00A6235D"/>
    <w:rsid w:val="00A74544"/>
    <w:rsid w:val="00A8152F"/>
    <w:rsid w:val="00A83F04"/>
    <w:rsid w:val="00A84823"/>
    <w:rsid w:val="00A9181B"/>
    <w:rsid w:val="00AB1582"/>
    <w:rsid w:val="00AB508F"/>
    <w:rsid w:val="00AC1FE9"/>
    <w:rsid w:val="00AC2751"/>
    <w:rsid w:val="00AC2D57"/>
    <w:rsid w:val="00AC5319"/>
    <w:rsid w:val="00AD0BDB"/>
    <w:rsid w:val="00AD2F5A"/>
    <w:rsid w:val="00AE7581"/>
    <w:rsid w:val="00AF598F"/>
    <w:rsid w:val="00B0695E"/>
    <w:rsid w:val="00B124DD"/>
    <w:rsid w:val="00B166FC"/>
    <w:rsid w:val="00B20AA1"/>
    <w:rsid w:val="00B261F2"/>
    <w:rsid w:val="00B329C6"/>
    <w:rsid w:val="00B369A7"/>
    <w:rsid w:val="00B36E70"/>
    <w:rsid w:val="00B45A1C"/>
    <w:rsid w:val="00B50291"/>
    <w:rsid w:val="00B531A7"/>
    <w:rsid w:val="00B5576B"/>
    <w:rsid w:val="00B71A27"/>
    <w:rsid w:val="00B738F8"/>
    <w:rsid w:val="00B74C00"/>
    <w:rsid w:val="00B75AF8"/>
    <w:rsid w:val="00B766AF"/>
    <w:rsid w:val="00B87D4E"/>
    <w:rsid w:val="00B9182E"/>
    <w:rsid w:val="00BA2ED0"/>
    <w:rsid w:val="00BB2C96"/>
    <w:rsid w:val="00BC6A1D"/>
    <w:rsid w:val="00BC6BD8"/>
    <w:rsid w:val="00BD0D0E"/>
    <w:rsid w:val="00BD79C9"/>
    <w:rsid w:val="00BF13E0"/>
    <w:rsid w:val="00C11C24"/>
    <w:rsid w:val="00C2156F"/>
    <w:rsid w:val="00C24687"/>
    <w:rsid w:val="00C3242C"/>
    <w:rsid w:val="00C50167"/>
    <w:rsid w:val="00C56865"/>
    <w:rsid w:val="00C63316"/>
    <w:rsid w:val="00C634CB"/>
    <w:rsid w:val="00C66826"/>
    <w:rsid w:val="00C759E0"/>
    <w:rsid w:val="00C81A50"/>
    <w:rsid w:val="00C842B3"/>
    <w:rsid w:val="00C84884"/>
    <w:rsid w:val="00C91189"/>
    <w:rsid w:val="00C95F24"/>
    <w:rsid w:val="00CA5A52"/>
    <w:rsid w:val="00CB1831"/>
    <w:rsid w:val="00CB1B9F"/>
    <w:rsid w:val="00CC1ABF"/>
    <w:rsid w:val="00CC6872"/>
    <w:rsid w:val="00CD10EB"/>
    <w:rsid w:val="00CD5773"/>
    <w:rsid w:val="00CE3278"/>
    <w:rsid w:val="00D02F86"/>
    <w:rsid w:val="00D325BE"/>
    <w:rsid w:val="00D43DBA"/>
    <w:rsid w:val="00D51437"/>
    <w:rsid w:val="00D61AB4"/>
    <w:rsid w:val="00D62D96"/>
    <w:rsid w:val="00D77F41"/>
    <w:rsid w:val="00D80873"/>
    <w:rsid w:val="00D86E15"/>
    <w:rsid w:val="00D9027A"/>
    <w:rsid w:val="00D9093F"/>
    <w:rsid w:val="00D930B4"/>
    <w:rsid w:val="00D93B5D"/>
    <w:rsid w:val="00D96CE5"/>
    <w:rsid w:val="00D96D5B"/>
    <w:rsid w:val="00DA0917"/>
    <w:rsid w:val="00DA2FBE"/>
    <w:rsid w:val="00DA3624"/>
    <w:rsid w:val="00DA544A"/>
    <w:rsid w:val="00DA6B26"/>
    <w:rsid w:val="00DB491A"/>
    <w:rsid w:val="00DC0081"/>
    <w:rsid w:val="00DC5415"/>
    <w:rsid w:val="00DC6C40"/>
    <w:rsid w:val="00DD1572"/>
    <w:rsid w:val="00DD3963"/>
    <w:rsid w:val="00DD79F6"/>
    <w:rsid w:val="00DE674C"/>
    <w:rsid w:val="00DE6F6E"/>
    <w:rsid w:val="00DF02D0"/>
    <w:rsid w:val="00DF3221"/>
    <w:rsid w:val="00E057CD"/>
    <w:rsid w:val="00E07C25"/>
    <w:rsid w:val="00E21075"/>
    <w:rsid w:val="00E30121"/>
    <w:rsid w:val="00E431A4"/>
    <w:rsid w:val="00E50A35"/>
    <w:rsid w:val="00E56E55"/>
    <w:rsid w:val="00E61B7B"/>
    <w:rsid w:val="00E631BE"/>
    <w:rsid w:val="00E67ABD"/>
    <w:rsid w:val="00E740CF"/>
    <w:rsid w:val="00E77119"/>
    <w:rsid w:val="00EB0580"/>
    <w:rsid w:val="00ED2659"/>
    <w:rsid w:val="00ED3D3F"/>
    <w:rsid w:val="00EF0371"/>
    <w:rsid w:val="00F0763A"/>
    <w:rsid w:val="00F106D2"/>
    <w:rsid w:val="00F134B3"/>
    <w:rsid w:val="00F17A28"/>
    <w:rsid w:val="00F24C10"/>
    <w:rsid w:val="00F3003C"/>
    <w:rsid w:val="00F364C4"/>
    <w:rsid w:val="00F37564"/>
    <w:rsid w:val="00F43E1A"/>
    <w:rsid w:val="00F52B39"/>
    <w:rsid w:val="00F57DBF"/>
    <w:rsid w:val="00F61B44"/>
    <w:rsid w:val="00F66EC5"/>
    <w:rsid w:val="00F70035"/>
    <w:rsid w:val="00F73A0B"/>
    <w:rsid w:val="00F76DA8"/>
    <w:rsid w:val="00F92E98"/>
    <w:rsid w:val="00F94EDF"/>
    <w:rsid w:val="00F97A3A"/>
    <w:rsid w:val="00FA0A31"/>
    <w:rsid w:val="00FA26A0"/>
    <w:rsid w:val="00FB085F"/>
    <w:rsid w:val="00FB20FF"/>
    <w:rsid w:val="00FB3328"/>
    <w:rsid w:val="00FC0729"/>
    <w:rsid w:val="00FC2AC2"/>
    <w:rsid w:val="00FC4815"/>
    <w:rsid w:val="00FE4BBD"/>
    <w:rsid w:val="00FF4040"/>
    <w:rsid w:val="00FF4E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EE0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A52"/>
  </w:style>
  <w:style w:type="paragraph" w:styleId="Heading2">
    <w:name w:val="heading 2"/>
    <w:basedOn w:val="Normal"/>
    <w:link w:val="Heading2Char"/>
    <w:uiPriority w:val="9"/>
    <w:qFormat/>
    <w:rsid w:val="00D02F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2F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xmsonormal">
    <w:name w:val="ecxmsonormal"/>
    <w:basedOn w:val="Normal"/>
    <w:rsid w:val="00D02F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02F86"/>
  </w:style>
  <w:style w:type="character" w:customStyle="1" w:styleId="Heading2Char">
    <w:name w:val="Heading 2 Char"/>
    <w:basedOn w:val="DefaultParagraphFont"/>
    <w:link w:val="Heading2"/>
    <w:uiPriority w:val="9"/>
    <w:rsid w:val="00D02F86"/>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D02F86"/>
    <w:rPr>
      <w:color w:val="0000FF"/>
      <w:u w:val="single"/>
    </w:rPr>
  </w:style>
  <w:style w:type="paragraph" w:customStyle="1" w:styleId="nospacing">
    <w:name w:val="nospacing"/>
    <w:basedOn w:val="Normal"/>
    <w:rsid w:val="00D02F8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217BF"/>
    <w:pPr>
      <w:ind w:left="720"/>
      <w:contextualSpacing/>
    </w:pPr>
  </w:style>
  <w:style w:type="paragraph" w:styleId="PlainText">
    <w:name w:val="Plain Text"/>
    <w:basedOn w:val="Normal"/>
    <w:link w:val="PlainTextChar"/>
    <w:uiPriority w:val="99"/>
    <w:unhideWhenUsed/>
    <w:rsid w:val="00A217BF"/>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A217BF"/>
    <w:rPr>
      <w:rFonts w:ascii="Calibri" w:eastAsia="Times New Roman" w:hAnsi="Calibri" w:cs="Times New Roman"/>
      <w:szCs w:val="21"/>
      <w:lang w:eastAsia="en-GB"/>
    </w:rPr>
  </w:style>
  <w:style w:type="paragraph" w:customStyle="1" w:styleId="Default">
    <w:name w:val="Default"/>
    <w:rsid w:val="005264C1"/>
    <w:pPr>
      <w:autoSpaceDE w:val="0"/>
      <w:autoSpaceDN w:val="0"/>
      <w:adjustRightInd w:val="0"/>
      <w:spacing w:after="0" w:line="240" w:lineRule="auto"/>
    </w:pPr>
    <w:rPr>
      <w:rFonts w:ascii="Trebuchet MS" w:hAnsi="Trebuchet MS" w:cs="Trebuchet MS"/>
      <w:color w:val="000000"/>
      <w:sz w:val="24"/>
      <w:szCs w:val="24"/>
    </w:rPr>
  </w:style>
  <w:style w:type="character" w:styleId="CommentReference">
    <w:name w:val="annotation reference"/>
    <w:basedOn w:val="DefaultParagraphFont"/>
    <w:semiHidden/>
    <w:unhideWhenUsed/>
    <w:rsid w:val="005603D4"/>
    <w:rPr>
      <w:sz w:val="16"/>
      <w:szCs w:val="16"/>
    </w:rPr>
  </w:style>
  <w:style w:type="paragraph" w:styleId="CommentText">
    <w:name w:val="annotation text"/>
    <w:basedOn w:val="Normal"/>
    <w:link w:val="CommentTextChar"/>
    <w:unhideWhenUsed/>
    <w:rsid w:val="005603D4"/>
    <w:pPr>
      <w:spacing w:line="240" w:lineRule="auto"/>
    </w:pPr>
    <w:rPr>
      <w:sz w:val="20"/>
      <w:szCs w:val="20"/>
    </w:rPr>
  </w:style>
  <w:style w:type="character" w:customStyle="1" w:styleId="CommentTextChar">
    <w:name w:val="Comment Text Char"/>
    <w:basedOn w:val="DefaultParagraphFont"/>
    <w:link w:val="CommentText"/>
    <w:rsid w:val="005603D4"/>
    <w:rPr>
      <w:sz w:val="20"/>
      <w:szCs w:val="20"/>
    </w:rPr>
  </w:style>
  <w:style w:type="paragraph" w:styleId="CommentSubject">
    <w:name w:val="annotation subject"/>
    <w:basedOn w:val="CommentText"/>
    <w:next w:val="CommentText"/>
    <w:link w:val="CommentSubjectChar"/>
    <w:uiPriority w:val="99"/>
    <w:semiHidden/>
    <w:unhideWhenUsed/>
    <w:rsid w:val="005603D4"/>
    <w:rPr>
      <w:b/>
      <w:bCs/>
    </w:rPr>
  </w:style>
  <w:style w:type="character" w:customStyle="1" w:styleId="CommentSubjectChar">
    <w:name w:val="Comment Subject Char"/>
    <w:basedOn w:val="CommentTextChar"/>
    <w:link w:val="CommentSubject"/>
    <w:uiPriority w:val="99"/>
    <w:semiHidden/>
    <w:rsid w:val="005603D4"/>
    <w:rPr>
      <w:b/>
      <w:bCs/>
      <w:sz w:val="20"/>
      <w:szCs w:val="20"/>
    </w:rPr>
  </w:style>
  <w:style w:type="paragraph" w:styleId="BalloonText">
    <w:name w:val="Balloon Text"/>
    <w:basedOn w:val="Normal"/>
    <w:link w:val="BalloonTextChar"/>
    <w:uiPriority w:val="99"/>
    <w:semiHidden/>
    <w:unhideWhenUsed/>
    <w:rsid w:val="005603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3D4"/>
    <w:rPr>
      <w:rFonts w:ascii="Tahoma" w:hAnsi="Tahoma" w:cs="Tahoma"/>
      <w:sz w:val="16"/>
      <w:szCs w:val="16"/>
    </w:rPr>
  </w:style>
  <w:style w:type="paragraph" w:styleId="FootnoteText">
    <w:name w:val="footnote text"/>
    <w:basedOn w:val="Normal"/>
    <w:link w:val="FootnoteTextChar"/>
    <w:uiPriority w:val="99"/>
    <w:unhideWhenUsed/>
    <w:rsid w:val="007D1005"/>
    <w:pPr>
      <w:spacing w:after="0" w:line="240" w:lineRule="auto"/>
    </w:pPr>
    <w:rPr>
      <w:sz w:val="20"/>
      <w:szCs w:val="20"/>
    </w:rPr>
  </w:style>
  <w:style w:type="character" w:customStyle="1" w:styleId="FootnoteTextChar">
    <w:name w:val="Footnote Text Char"/>
    <w:basedOn w:val="DefaultParagraphFont"/>
    <w:link w:val="FootnoteText"/>
    <w:uiPriority w:val="99"/>
    <w:rsid w:val="007D1005"/>
    <w:rPr>
      <w:sz w:val="20"/>
      <w:szCs w:val="20"/>
    </w:rPr>
  </w:style>
  <w:style w:type="character" w:styleId="FootnoteReference">
    <w:name w:val="footnote reference"/>
    <w:basedOn w:val="DefaultParagraphFont"/>
    <w:uiPriority w:val="99"/>
    <w:unhideWhenUsed/>
    <w:rsid w:val="007D1005"/>
    <w:rPr>
      <w:vertAlign w:val="superscript"/>
    </w:rPr>
  </w:style>
  <w:style w:type="table" w:styleId="TableGrid">
    <w:name w:val="Table Grid"/>
    <w:basedOn w:val="TableNormal"/>
    <w:rsid w:val="00DA2F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journal">
    <w:name w:val="ref-journal"/>
    <w:basedOn w:val="DefaultParagraphFont"/>
    <w:rsid w:val="00C842B3"/>
  </w:style>
  <w:style w:type="character" w:styleId="Emphasis">
    <w:name w:val="Emphasis"/>
    <w:basedOn w:val="DefaultParagraphFont"/>
    <w:uiPriority w:val="20"/>
    <w:qFormat/>
    <w:rsid w:val="00C842B3"/>
    <w:rPr>
      <w:i/>
      <w:iCs/>
    </w:rPr>
  </w:style>
  <w:style w:type="character" w:customStyle="1" w:styleId="ref-vol">
    <w:name w:val="ref-vol"/>
    <w:basedOn w:val="DefaultParagraphFont"/>
    <w:rsid w:val="00C842B3"/>
  </w:style>
  <w:style w:type="paragraph" w:styleId="Header">
    <w:name w:val="header"/>
    <w:basedOn w:val="Normal"/>
    <w:link w:val="HeaderChar"/>
    <w:uiPriority w:val="99"/>
    <w:unhideWhenUsed/>
    <w:rsid w:val="003271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7130"/>
  </w:style>
  <w:style w:type="paragraph" w:styleId="Footer">
    <w:name w:val="footer"/>
    <w:basedOn w:val="Normal"/>
    <w:link w:val="FooterChar"/>
    <w:uiPriority w:val="99"/>
    <w:unhideWhenUsed/>
    <w:rsid w:val="003271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130"/>
  </w:style>
  <w:style w:type="character" w:styleId="FollowedHyperlink">
    <w:name w:val="FollowedHyperlink"/>
    <w:basedOn w:val="DefaultParagraphFont"/>
    <w:uiPriority w:val="99"/>
    <w:semiHidden/>
    <w:unhideWhenUsed/>
    <w:rsid w:val="00176D86"/>
    <w:rPr>
      <w:color w:val="800080" w:themeColor="followedHyperlink"/>
      <w:u w:val="single"/>
    </w:rPr>
  </w:style>
  <w:style w:type="paragraph" w:styleId="Revision">
    <w:name w:val="Revision"/>
    <w:hidden/>
    <w:uiPriority w:val="99"/>
    <w:semiHidden/>
    <w:rsid w:val="00635DBC"/>
    <w:pPr>
      <w:spacing w:after="0" w:line="240" w:lineRule="auto"/>
    </w:pPr>
  </w:style>
  <w:style w:type="paragraph" w:customStyle="1" w:styleId="DefinitionList">
    <w:name w:val="Definition List"/>
    <w:basedOn w:val="Normal"/>
    <w:next w:val="Normal"/>
    <w:uiPriority w:val="99"/>
    <w:rsid w:val="00223984"/>
    <w:pPr>
      <w:autoSpaceDE w:val="0"/>
      <w:autoSpaceDN w:val="0"/>
      <w:adjustRightInd w:val="0"/>
      <w:spacing w:after="0" w:line="240" w:lineRule="auto"/>
      <w:ind w:left="360"/>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A52"/>
  </w:style>
  <w:style w:type="paragraph" w:styleId="Heading2">
    <w:name w:val="heading 2"/>
    <w:basedOn w:val="Normal"/>
    <w:link w:val="Heading2Char"/>
    <w:uiPriority w:val="9"/>
    <w:qFormat/>
    <w:rsid w:val="00D02F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2F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xmsonormal">
    <w:name w:val="ecxmsonormal"/>
    <w:basedOn w:val="Normal"/>
    <w:rsid w:val="00D02F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02F86"/>
  </w:style>
  <w:style w:type="character" w:customStyle="1" w:styleId="Heading2Char">
    <w:name w:val="Heading 2 Char"/>
    <w:basedOn w:val="DefaultParagraphFont"/>
    <w:link w:val="Heading2"/>
    <w:uiPriority w:val="9"/>
    <w:rsid w:val="00D02F86"/>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D02F86"/>
    <w:rPr>
      <w:color w:val="0000FF"/>
      <w:u w:val="single"/>
    </w:rPr>
  </w:style>
  <w:style w:type="paragraph" w:customStyle="1" w:styleId="nospacing">
    <w:name w:val="nospacing"/>
    <w:basedOn w:val="Normal"/>
    <w:rsid w:val="00D02F8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217BF"/>
    <w:pPr>
      <w:ind w:left="720"/>
      <w:contextualSpacing/>
    </w:pPr>
  </w:style>
  <w:style w:type="paragraph" w:styleId="PlainText">
    <w:name w:val="Plain Text"/>
    <w:basedOn w:val="Normal"/>
    <w:link w:val="PlainTextChar"/>
    <w:uiPriority w:val="99"/>
    <w:unhideWhenUsed/>
    <w:rsid w:val="00A217BF"/>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A217BF"/>
    <w:rPr>
      <w:rFonts w:ascii="Calibri" w:eastAsia="Times New Roman" w:hAnsi="Calibri" w:cs="Times New Roman"/>
      <w:szCs w:val="21"/>
      <w:lang w:eastAsia="en-GB"/>
    </w:rPr>
  </w:style>
  <w:style w:type="paragraph" w:customStyle="1" w:styleId="Default">
    <w:name w:val="Default"/>
    <w:rsid w:val="005264C1"/>
    <w:pPr>
      <w:autoSpaceDE w:val="0"/>
      <w:autoSpaceDN w:val="0"/>
      <w:adjustRightInd w:val="0"/>
      <w:spacing w:after="0" w:line="240" w:lineRule="auto"/>
    </w:pPr>
    <w:rPr>
      <w:rFonts w:ascii="Trebuchet MS" w:hAnsi="Trebuchet MS" w:cs="Trebuchet MS"/>
      <w:color w:val="000000"/>
      <w:sz w:val="24"/>
      <w:szCs w:val="24"/>
    </w:rPr>
  </w:style>
  <w:style w:type="character" w:styleId="CommentReference">
    <w:name w:val="annotation reference"/>
    <w:basedOn w:val="DefaultParagraphFont"/>
    <w:semiHidden/>
    <w:unhideWhenUsed/>
    <w:rsid w:val="005603D4"/>
    <w:rPr>
      <w:sz w:val="16"/>
      <w:szCs w:val="16"/>
    </w:rPr>
  </w:style>
  <w:style w:type="paragraph" w:styleId="CommentText">
    <w:name w:val="annotation text"/>
    <w:basedOn w:val="Normal"/>
    <w:link w:val="CommentTextChar"/>
    <w:unhideWhenUsed/>
    <w:rsid w:val="005603D4"/>
    <w:pPr>
      <w:spacing w:line="240" w:lineRule="auto"/>
    </w:pPr>
    <w:rPr>
      <w:sz w:val="20"/>
      <w:szCs w:val="20"/>
    </w:rPr>
  </w:style>
  <w:style w:type="character" w:customStyle="1" w:styleId="CommentTextChar">
    <w:name w:val="Comment Text Char"/>
    <w:basedOn w:val="DefaultParagraphFont"/>
    <w:link w:val="CommentText"/>
    <w:rsid w:val="005603D4"/>
    <w:rPr>
      <w:sz w:val="20"/>
      <w:szCs w:val="20"/>
    </w:rPr>
  </w:style>
  <w:style w:type="paragraph" w:styleId="CommentSubject">
    <w:name w:val="annotation subject"/>
    <w:basedOn w:val="CommentText"/>
    <w:next w:val="CommentText"/>
    <w:link w:val="CommentSubjectChar"/>
    <w:uiPriority w:val="99"/>
    <w:semiHidden/>
    <w:unhideWhenUsed/>
    <w:rsid w:val="005603D4"/>
    <w:rPr>
      <w:b/>
      <w:bCs/>
    </w:rPr>
  </w:style>
  <w:style w:type="character" w:customStyle="1" w:styleId="CommentSubjectChar">
    <w:name w:val="Comment Subject Char"/>
    <w:basedOn w:val="CommentTextChar"/>
    <w:link w:val="CommentSubject"/>
    <w:uiPriority w:val="99"/>
    <w:semiHidden/>
    <w:rsid w:val="005603D4"/>
    <w:rPr>
      <w:b/>
      <w:bCs/>
      <w:sz w:val="20"/>
      <w:szCs w:val="20"/>
    </w:rPr>
  </w:style>
  <w:style w:type="paragraph" w:styleId="BalloonText">
    <w:name w:val="Balloon Text"/>
    <w:basedOn w:val="Normal"/>
    <w:link w:val="BalloonTextChar"/>
    <w:uiPriority w:val="99"/>
    <w:semiHidden/>
    <w:unhideWhenUsed/>
    <w:rsid w:val="005603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3D4"/>
    <w:rPr>
      <w:rFonts w:ascii="Tahoma" w:hAnsi="Tahoma" w:cs="Tahoma"/>
      <w:sz w:val="16"/>
      <w:szCs w:val="16"/>
    </w:rPr>
  </w:style>
  <w:style w:type="paragraph" w:styleId="FootnoteText">
    <w:name w:val="footnote text"/>
    <w:basedOn w:val="Normal"/>
    <w:link w:val="FootnoteTextChar"/>
    <w:uiPriority w:val="99"/>
    <w:unhideWhenUsed/>
    <w:rsid w:val="007D1005"/>
    <w:pPr>
      <w:spacing w:after="0" w:line="240" w:lineRule="auto"/>
    </w:pPr>
    <w:rPr>
      <w:sz w:val="20"/>
      <w:szCs w:val="20"/>
    </w:rPr>
  </w:style>
  <w:style w:type="character" w:customStyle="1" w:styleId="FootnoteTextChar">
    <w:name w:val="Footnote Text Char"/>
    <w:basedOn w:val="DefaultParagraphFont"/>
    <w:link w:val="FootnoteText"/>
    <w:uiPriority w:val="99"/>
    <w:rsid w:val="007D1005"/>
    <w:rPr>
      <w:sz w:val="20"/>
      <w:szCs w:val="20"/>
    </w:rPr>
  </w:style>
  <w:style w:type="character" w:styleId="FootnoteReference">
    <w:name w:val="footnote reference"/>
    <w:basedOn w:val="DefaultParagraphFont"/>
    <w:uiPriority w:val="99"/>
    <w:unhideWhenUsed/>
    <w:rsid w:val="007D1005"/>
    <w:rPr>
      <w:vertAlign w:val="superscript"/>
    </w:rPr>
  </w:style>
  <w:style w:type="table" w:styleId="TableGrid">
    <w:name w:val="Table Grid"/>
    <w:basedOn w:val="TableNormal"/>
    <w:rsid w:val="00DA2F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journal">
    <w:name w:val="ref-journal"/>
    <w:basedOn w:val="DefaultParagraphFont"/>
    <w:rsid w:val="00C842B3"/>
  </w:style>
  <w:style w:type="character" w:styleId="Emphasis">
    <w:name w:val="Emphasis"/>
    <w:basedOn w:val="DefaultParagraphFont"/>
    <w:uiPriority w:val="20"/>
    <w:qFormat/>
    <w:rsid w:val="00C842B3"/>
    <w:rPr>
      <w:i/>
      <w:iCs/>
    </w:rPr>
  </w:style>
  <w:style w:type="character" w:customStyle="1" w:styleId="ref-vol">
    <w:name w:val="ref-vol"/>
    <w:basedOn w:val="DefaultParagraphFont"/>
    <w:rsid w:val="00C842B3"/>
  </w:style>
  <w:style w:type="paragraph" w:styleId="Header">
    <w:name w:val="header"/>
    <w:basedOn w:val="Normal"/>
    <w:link w:val="HeaderChar"/>
    <w:uiPriority w:val="99"/>
    <w:unhideWhenUsed/>
    <w:rsid w:val="003271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7130"/>
  </w:style>
  <w:style w:type="paragraph" w:styleId="Footer">
    <w:name w:val="footer"/>
    <w:basedOn w:val="Normal"/>
    <w:link w:val="FooterChar"/>
    <w:uiPriority w:val="99"/>
    <w:unhideWhenUsed/>
    <w:rsid w:val="003271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130"/>
  </w:style>
  <w:style w:type="character" w:styleId="FollowedHyperlink">
    <w:name w:val="FollowedHyperlink"/>
    <w:basedOn w:val="DefaultParagraphFont"/>
    <w:uiPriority w:val="99"/>
    <w:semiHidden/>
    <w:unhideWhenUsed/>
    <w:rsid w:val="00176D86"/>
    <w:rPr>
      <w:color w:val="800080" w:themeColor="followedHyperlink"/>
      <w:u w:val="single"/>
    </w:rPr>
  </w:style>
  <w:style w:type="paragraph" w:styleId="Revision">
    <w:name w:val="Revision"/>
    <w:hidden/>
    <w:uiPriority w:val="99"/>
    <w:semiHidden/>
    <w:rsid w:val="00635DBC"/>
    <w:pPr>
      <w:spacing w:after="0" w:line="240" w:lineRule="auto"/>
    </w:pPr>
  </w:style>
  <w:style w:type="paragraph" w:customStyle="1" w:styleId="DefinitionList">
    <w:name w:val="Definition List"/>
    <w:basedOn w:val="Normal"/>
    <w:next w:val="Normal"/>
    <w:uiPriority w:val="99"/>
    <w:rsid w:val="00223984"/>
    <w:pPr>
      <w:autoSpaceDE w:val="0"/>
      <w:autoSpaceDN w:val="0"/>
      <w:adjustRightInd w:val="0"/>
      <w:spacing w:after="0" w:line="240" w:lineRule="auto"/>
      <w:ind w:left="36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45478">
      <w:bodyDiv w:val="1"/>
      <w:marLeft w:val="0"/>
      <w:marRight w:val="0"/>
      <w:marTop w:val="0"/>
      <w:marBottom w:val="0"/>
      <w:divBdr>
        <w:top w:val="none" w:sz="0" w:space="0" w:color="auto"/>
        <w:left w:val="none" w:sz="0" w:space="0" w:color="auto"/>
        <w:bottom w:val="none" w:sz="0" w:space="0" w:color="auto"/>
        <w:right w:val="none" w:sz="0" w:space="0" w:color="auto"/>
      </w:divBdr>
    </w:div>
    <w:div w:id="429543599">
      <w:bodyDiv w:val="1"/>
      <w:marLeft w:val="0"/>
      <w:marRight w:val="0"/>
      <w:marTop w:val="0"/>
      <w:marBottom w:val="0"/>
      <w:divBdr>
        <w:top w:val="none" w:sz="0" w:space="0" w:color="auto"/>
        <w:left w:val="none" w:sz="0" w:space="0" w:color="auto"/>
        <w:bottom w:val="none" w:sz="0" w:space="0" w:color="auto"/>
        <w:right w:val="none" w:sz="0" w:space="0" w:color="auto"/>
      </w:divBdr>
    </w:div>
    <w:div w:id="731739081">
      <w:bodyDiv w:val="1"/>
      <w:marLeft w:val="0"/>
      <w:marRight w:val="0"/>
      <w:marTop w:val="0"/>
      <w:marBottom w:val="0"/>
      <w:divBdr>
        <w:top w:val="none" w:sz="0" w:space="0" w:color="auto"/>
        <w:left w:val="none" w:sz="0" w:space="0" w:color="auto"/>
        <w:bottom w:val="none" w:sz="0" w:space="0" w:color="auto"/>
        <w:right w:val="none" w:sz="0" w:space="0" w:color="auto"/>
      </w:divBdr>
    </w:div>
    <w:div w:id="853955109">
      <w:bodyDiv w:val="1"/>
      <w:marLeft w:val="0"/>
      <w:marRight w:val="0"/>
      <w:marTop w:val="0"/>
      <w:marBottom w:val="0"/>
      <w:divBdr>
        <w:top w:val="none" w:sz="0" w:space="0" w:color="auto"/>
        <w:left w:val="none" w:sz="0" w:space="0" w:color="auto"/>
        <w:bottom w:val="none" w:sz="0" w:space="0" w:color="auto"/>
        <w:right w:val="none" w:sz="0" w:space="0" w:color="auto"/>
      </w:divBdr>
    </w:div>
    <w:div w:id="880239998">
      <w:bodyDiv w:val="1"/>
      <w:marLeft w:val="0"/>
      <w:marRight w:val="0"/>
      <w:marTop w:val="0"/>
      <w:marBottom w:val="0"/>
      <w:divBdr>
        <w:top w:val="none" w:sz="0" w:space="0" w:color="auto"/>
        <w:left w:val="none" w:sz="0" w:space="0" w:color="auto"/>
        <w:bottom w:val="none" w:sz="0" w:space="0" w:color="auto"/>
        <w:right w:val="none" w:sz="0" w:space="0" w:color="auto"/>
      </w:divBdr>
    </w:div>
    <w:div w:id="1037700985">
      <w:bodyDiv w:val="1"/>
      <w:marLeft w:val="0"/>
      <w:marRight w:val="0"/>
      <w:marTop w:val="0"/>
      <w:marBottom w:val="0"/>
      <w:divBdr>
        <w:top w:val="none" w:sz="0" w:space="0" w:color="auto"/>
        <w:left w:val="none" w:sz="0" w:space="0" w:color="auto"/>
        <w:bottom w:val="none" w:sz="0" w:space="0" w:color="auto"/>
        <w:right w:val="none" w:sz="0" w:space="0" w:color="auto"/>
      </w:divBdr>
    </w:div>
    <w:div w:id="1345403641">
      <w:bodyDiv w:val="1"/>
      <w:marLeft w:val="0"/>
      <w:marRight w:val="0"/>
      <w:marTop w:val="0"/>
      <w:marBottom w:val="0"/>
      <w:divBdr>
        <w:top w:val="none" w:sz="0" w:space="0" w:color="auto"/>
        <w:left w:val="none" w:sz="0" w:space="0" w:color="auto"/>
        <w:bottom w:val="none" w:sz="0" w:space="0" w:color="auto"/>
        <w:right w:val="none" w:sz="0" w:space="0" w:color="auto"/>
      </w:divBdr>
    </w:div>
    <w:div w:id="1504052552">
      <w:bodyDiv w:val="1"/>
      <w:marLeft w:val="0"/>
      <w:marRight w:val="0"/>
      <w:marTop w:val="0"/>
      <w:marBottom w:val="0"/>
      <w:divBdr>
        <w:top w:val="none" w:sz="0" w:space="0" w:color="auto"/>
        <w:left w:val="none" w:sz="0" w:space="0" w:color="auto"/>
        <w:bottom w:val="none" w:sz="0" w:space="0" w:color="auto"/>
        <w:right w:val="none" w:sz="0" w:space="0" w:color="auto"/>
      </w:divBdr>
    </w:div>
    <w:div w:id="1732266702">
      <w:bodyDiv w:val="1"/>
      <w:marLeft w:val="0"/>
      <w:marRight w:val="0"/>
      <w:marTop w:val="0"/>
      <w:marBottom w:val="0"/>
      <w:divBdr>
        <w:top w:val="none" w:sz="0" w:space="0" w:color="auto"/>
        <w:left w:val="none" w:sz="0" w:space="0" w:color="auto"/>
        <w:bottom w:val="none" w:sz="0" w:space="0" w:color="auto"/>
        <w:right w:val="none" w:sz="0" w:space="0" w:color="auto"/>
      </w:divBdr>
      <w:divsChild>
        <w:div w:id="355666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channel5.com/shows/5-news/features-archived/channel-5-news-poll-people-fear-dementia-warning-more-than-cancer-research" TargetMode="External"/><Relationship Id="rId2" Type="http://schemas.openxmlformats.org/officeDocument/2006/relationships/hyperlink" Target="http://www.ons.gov.uk/census" TargetMode="External"/><Relationship Id="rId1" Type="http://schemas.openxmlformats.org/officeDocument/2006/relationships/hyperlink" Target="https://www.oc-meridian.com/AWP/survey/ApproachesToDement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41F54E-759A-47D9-9E56-701009513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4987</Words>
  <Characters>28432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33353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Katharine Cheston</dc:creator>
  <cp:lastModifiedBy>Richard Cheston</cp:lastModifiedBy>
  <cp:revision>2</cp:revision>
  <cp:lastPrinted>2016-03-01T15:31:00Z</cp:lastPrinted>
  <dcterms:created xsi:type="dcterms:W3CDTF">2016-03-01T16:53:00Z</dcterms:created>
  <dcterms:modified xsi:type="dcterms:W3CDTF">2016-03-01T16:53:00Z</dcterms:modified>
</cp:coreProperties>
</file>