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17" w:rsidRPr="00853B24" w:rsidRDefault="00F02CBC" w:rsidP="00C21A01">
      <w:pPr>
        <w:rPr>
          <w:b/>
          <w:sz w:val="36"/>
        </w:rPr>
      </w:pPr>
      <w:bookmarkStart w:id="0" w:name="_GoBack"/>
      <w:bookmarkEnd w:id="0"/>
      <w:r>
        <w:rPr>
          <w:b/>
          <w:sz w:val="36"/>
        </w:rPr>
        <w:t>Student choices under uncertainty: bounded rationality and</w:t>
      </w:r>
      <w:r w:rsidR="00A05C4E" w:rsidRPr="00853B24">
        <w:rPr>
          <w:b/>
          <w:sz w:val="36"/>
        </w:rPr>
        <w:t xml:space="preserve"> b</w:t>
      </w:r>
      <w:r w:rsidR="00C21A01" w:rsidRPr="00853B24">
        <w:rPr>
          <w:b/>
          <w:sz w:val="36"/>
        </w:rPr>
        <w:t>ehavioural economics</w:t>
      </w:r>
    </w:p>
    <w:p w:rsidR="00853B24" w:rsidRDefault="00853B24" w:rsidP="00C21A01">
      <w:pPr>
        <w:rPr>
          <w:b/>
        </w:rPr>
      </w:pPr>
    </w:p>
    <w:p w:rsidR="00853B24" w:rsidRDefault="00853B24" w:rsidP="00C21A01"/>
    <w:p w:rsidR="007A581A" w:rsidRDefault="00DA7B35" w:rsidP="00C21A01">
      <w:r>
        <w:t xml:space="preserve">Encouraging prospective students to make </w:t>
      </w:r>
      <w:r w:rsidR="00A05C4E">
        <w:t>‘better’ decisions</w:t>
      </w:r>
      <w:r>
        <w:t xml:space="preserve"> about higher education has been </w:t>
      </w:r>
      <w:r w:rsidR="00A05C4E">
        <w:t xml:space="preserve">a </w:t>
      </w:r>
      <w:r>
        <w:t>concern of the government</w:t>
      </w:r>
      <w:r w:rsidR="00256069">
        <w:t xml:space="preserve"> in England</w:t>
      </w:r>
      <w:r>
        <w:t xml:space="preserve"> since</w:t>
      </w:r>
      <w:r w:rsidR="00A05C4E">
        <w:t xml:space="preserve"> at least</w:t>
      </w:r>
      <w:r>
        <w:t xml:space="preserve"> the early 2000s, but it has gathered pace </w:t>
      </w:r>
      <w:r w:rsidR="005D1D28">
        <w:t>with</w:t>
      </w:r>
      <w:r>
        <w:t xml:space="preserve"> the </w:t>
      </w:r>
      <w:r w:rsidR="00256069">
        <w:t>increasing</w:t>
      </w:r>
      <w:r w:rsidR="00BF4334">
        <w:t xml:space="preserve"> marketisation </w:t>
      </w:r>
      <w:r>
        <w:t>of the sector</w:t>
      </w:r>
      <w:r w:rsidR="00256069">
        <w:t xml:space="preserve">. </w:t>
      </w:r>
      <w:r>
        <w:t xml:space="preserve">There </w:t>
      </w:r>
      <w:r w:rsidR="001E05E0">
        <w:t>is a</w:t>
      </w:r>
      <w:r w:rsidR="00A30122">
        <w:t xml:space="preserve"> </w:t>
      </w:r>
      <w:r w:rsidR="001E05E0">
        <w:t>barely-voiced</w:t>
      </w:r>
      <w:r w:rsidR="00A30122">
        <w:t xml:space="preserve"> </w:t>
      </w:r>
      <w:r>
        <w:t>assumption that students are poor consumers within the marketplace</w:t>
      </w:r>
      <w:r w:rsidR="00BF4334">
        <w:t xml:space="preserve"> and that this needs policy intervention</w:t>
      </w:r>
      <w:r>
        <w:t>.</w:t>
      </w:r>
      <w:r w:rsidR="00A05C4E">
        <w:t xml:space="preserve">  In particular, there is often considered to be a problem with high-achiev</w:t>
      </w:r>
      <w:r w:rsidR="00256069">
        <w:t>er</w:t>
      </w:r>
      <w:r w:rsidR="00A05C4E">
        <w:t xml:space="preserve">s not selecting elite universities (Sutton Trust </w:t>
      </w:r>
      <w:r w:rsidR="00586132">
        <w:t>2004</w:t>
      </w:r>
      <w:r w:rsidR="00A05C4E">
        <w:t>).</w:t>
      </w:r>
      <w:r w:rsidR="005D1D28">
        <w:t xml:space="preserve"> Meanwhile</w:t>
      </w:r>
      <w:r w:rsidR="00AD1260">
        <w:t>, political, academic and journalistic assessments have been repeated</w:t>
      </w:r>
      <w:r w:rsidR="00256069">
        <w:t>ly</w:t>
      </w:r>
      <w:r w:rsidR="00AD1260">
        <w:t xml:space="preserve"> confounded </w:t>
      </w:r>
      <w:r w:rsidR="00256069">
        <w:t xml:space="preserve">in their attempts to </w:t>
      </w:r>
      <w:r w:rsidR="007A581A">
        <w:t xml:space="preserve">predict student behaviour.  </w:t>
      </w:r>
      <w:r w:rsidR="00BC317D">
        <w:t xml:space="preserve">This is, in part, due to the simplistic application of economics to a complex </w:t>
      </w:r>
      <w:r w:rsidR="00B645B4">
        <w:t>social field, where</w:t>
      </w:r>
      <w:r w:rsidR="00256069">
        <w:t>,</w:t>
      </w:r>
      <w:r w:rsidR="00B645B4">
        <w:t xml:space="preserve"> for example</w:t>
      </w:r>
      <w:r w:rsidR="00BC317D">
        <w:t xml:space="preserve">, </w:t>
      </w:r>
      <w:r w:rsidR="007A581A">
        <w:t xml:space="preserve">financial </w:t>
      </w:r>
      <w:r w:rsidR="00BC317D">
        <w:t>(dis)</w:t>
      </w:r>
      <w:r w:rsidR="007A581A">
        <w:t>incentives have proved largely ineffective at influencing demand, despite students’ assumed sensitivity around the cost of higher education.</w:t>
      </w:r>
    </w:p>
    <w:p w:rsidR="007A581A" w:rsidRDefault="007A581A" w:rsidP="00C21A01"/>
    <w:p w:rsidR="001B3598" w:rsidRDefault="00C114F3" w:rsidP="00C21A01">
      <w:r>
        <w:t>This chapter explore</w:t>
      </w:r>
      <w:r w:rsidR="00256069">
        <w:t>s</w:t>
      </w:r>
      <w:r>
        <w:t xml:space="preserve"> theor</w:t>
      </w:r>
      <w:r w:rsidR="00962BE7">
        <w:t xml:space="preserve">etical perspectives drawn from </w:t>
      </w:r>
      <w:r>
        <w:t>the work of Herbert Simon and Daniel Kahnema</w:t>
      </w:r>
      <w:r w:rsidR="008437C4">
        <w:t>n</w:t>
      </w:r>
      <w:r>
        <w:t xml:space="preserve">. </w:t>
      </w:r>
      <w:r w:rsidR="00453DFE">
        <w:t xml:space="preserve"> </w:t>
      </w:r>
      <w:r>
        <w:t>Both won the Nobel Prize</w:t>
      </w:r>
      <w:r w:rsidR="000F1445">
        <w:t xml:space="preserve"> (1978 and 2002</w:t>
      </w:r>
      <w:r w:rsidR="00256069">
        <w:t>,</w:t>
      </w:r>
      <w:r w:rsidR="000F1445">
        <w:t xml:space="preserve"> respectively)</w:t>
      </w:r>
      <w:r>
        <w:t xml:space="preserve">, despite not </w:t>
      </w:r>
      <w:r w:rsidR="000F1445">
        <w:t xml:space="preserve">ostensibly </w:t>
      </w:r>
      <w:r>
        <w:t xml:space="preserve">being economists, for their work on human decision-making under </w:t>
      </w:r>
      <w:r w:rsidR="005D1D28">
        <w:t>uncertainty</w:t>
      </w:r>
      <w:r>
        <w:t>.  Their insights</w:t>
      </w:r>
      <w:r w:rsidR="00494399">
        <w:t>, drawn from an interdisciplinary spac</w:t>
      </w:r>
      <w:r w:rsidR="00E21062">
        <w:t xml:space="preserve">e between economics, </w:t>
      </w:r>
      <w:r w:rsidR="00494399">
        <w:t>psychology</w:t>
      </w:r>
      <w:r w:rsidR="00E21062">
        <w:t xml:space="preserve"> and sociology</w:t>
      </w:r>
      <w:r w:rsidR="00494399">
        <w:t>,</w:t>
      </w:r>
      <w:r>
        <w:t xml:space="preserve"> have subsequently been applied to dozens of real-world and experimental scenarios, with a consistency of empirical support </w:t>
      </w:r>
      <w:r w:rsidR="00357A36">
        <w:t>for the basic tenets</w:t>
      </w:r>
      <w:r w:rsidR="001B3598">
        <w:t>. However, these insights</w:t>
      </w:r>
      <w:r>
        <w:t xml:space="preserve"> ha</w:t>
      </w:r>
      <w:r w:rsidR="001B3598">
        <w:t>ve</w:t>
      </w:r>
      <w:r>
        <w:t xml:space="preserve"> not </w:t>
      </w:r>
      <w:r w:rsidR="005D1D28">
        <w:t>generally</w:t>
      </w:r>
      <w:r>
        <w:t xml:space="preserve"> </w:t>
      </w:r>
      <w:r w:rsidR="00494399">
        <w:t xml:space="preserve">been </w:t>
      </w:r>
      <w:r>
        <w:t>extended to educational decision-making</w:t>
      </w:r>
      <w:r w:rsidR="00494399">
        <w:t xml:space="preserve"> contexts</w:t>
      </w:r>
      <w:r>
        <w:t xml:space="preserve">.  </w:t>
      </w:r>
    </w:p>
    <w:p w:rsidR="001B3598" w:rsidRDefault="001B3598" w:rsidP="00C21A01"/>
    <w:p w:rsidR="007A581A" w:rsidRDefault="00C114F3" w:rsidP="00C21A01">
      <w:r>
        <w:t xml:space="preserve">This chapter </w:t>
      </w:r>
      <w:r w:rsidR="002D7AD7">
        <w:t xml:space="preserve">therefore </w:t>
      </w:r>
      <w:r w:rsidR="00494399">
        <w:t xml:space="preserve">aims to open up this space in the context of the decisions </w:t>
      </w:r>
      <w:r w:rsidR="00962BE7">
        <w:t xml:space="preserve">that </w:t>
      </w:r>
      <w:r w:rsidR="00494399">
        <w:t>prospective stude</w:t>
      </w:r>
      <w:r w:rsidR="00256069">
        <w:t xml:space="preserve">nts make about higher education. </w:t>
      </w:r>
      <w:r w:rsidR="00494399">
        <w:t>It</w:t>
      </w:r>
      <w:r>
        <w:t xml:space="preserve"> begin</w:t>
      </w:r>
      <w:r w:rsidR="00494399">
        <w:t>s</w:t>
      </w:r>
      <w:r>
        <w:t xml:space="preserve"> with an overview of key theoretical concepts before </w:t>
      </w:r>
      <w:r w:rsidR="00962BE7">
        <w:t xml:space="preserve">tentatively </w:t>
      </w:r>
      <w:r>
        <w:t>apply</w:t>
      </w:r>
      <w:r w:rsidR="00962BE7">
        <w:t>ing</w:t>
      </w:r>
      <w:r>
        <w:t xml:space="preserve"> these to </w:t>
      </w:r>
      <w:r w:rsidR="00256069">
        <w:t>real-</w:t>
      </w:r>
      <w:r w:rsidR="005D1D28">
        <w:t>life</w:t>
      </w:r>
      <w:r>
        <w:t xml:space="preserve"> decisions facing </w:t>
      </w:r>
      <w:r w:rsidR="00256069">
        <w:t>prospective students</w:t>
      </w:r>
      <w:r>
        <w:t xml:space="preserve"> when making the decision to enter higher education.</w:t>
      </w:r>
    </w:p>
    <w:p w:rsidR="00C114F3" w:rsidRDefault="00C114F3" w:rsidP="00C21A01"/>
    <w:p w:rsidR="00D70282" w:rsidRDefault="00D70282" w:rsidP="00A11B5A">
      <w:pPr>
        <w:rPr>
          <w:b/>
        </w:rPr>
      </w:pPr>
    </w:p>
    <w:p w:rsidR="00A11B5A" w:rsidRPr="00A11B5A" w:rsidRDefault="00A11B5A" w:rsidP="00A11B5A">
      <w:pPr>
        <w:rPr>
          <w:b/>
        </w:rPr>
      </w:pPr>
      <w:r w:rsidRPr="00A11B5A">
        <w:rPr>
          <w:b/>
        </w:rPr>
        <w:t>From bounded rationality to behavioural economics</w:t>
      </w:r>
    </w:p>
    <w:p w:rsidR="00C114F3" w:rsidRDefault="00C114F3" w:rsidP="00C21A01"/>
    <w:p w:rsidR="00C114F3" w:rsidRDefault="00C114F3" w:rsidP="00C21A01">
      <w:r>
        <w:t>Simon’s formative work focus</w:t>
      </w:r>
      <w:r w:rsidR="005D1D28">
        <w:t>ed</w:t>
      </w:r>
      <w:r>
        <w:t xml:space="preserve"> on decision-making within organisation</w:t>
      </w:r>
      <w:r w:rsidR="000F1445">
        <w:t>s</w:t>
      </w:r>
      <w:r>
        <w:t xml:space="preserve">.  He argued that </w:t>
      </w:r>
      <w:r w:rsidR="00D70282">
        <w:t>neo</w:t>
      </w:r>
      <w:r>
        <w:t xml:space="preserve">classical economic theory was </w:t>
      </w:r>
      <w:r w:rsidR="000F1445">
        <w:t xml:space="preserve">critically </w:t>
      </w:r>
      <w:r>
        <w:t xml:space="preserve">flawed in assuming </w:t>
      </w:r>
      <w:r w:rsidR="00D70282">
        <w:t>that human actors were mechanically</w:t>
      </w:r>
      <w:r w:rsidR="000F1445">
        <w:t xml:space="preserve"> rational in their decisions, seeking to maximise the </w:t>
      </w:r>
      <w:r w:rsidR="005027E3">
        <w:t>‘</w:t>
      </w:r>
      <w:r w:rsidR="000F1445">
        <w:t>expected utility</w:t>
      </w:r>
      <w:r w:rsidR="005027E3">
        <w:t>’</w:t>
      </w:r>
      <w:r w:rsidR="000F1445">
        <w:t xml:space="preserve"> </w:t>
      </w:r>
      <w:r w:rsidR="005027E3">
        <w:t xml:space="preserve">(generally financial) </w:t>
      </w:r>
      <w:r w:rsidR="000F1445">
        <w:t xml:space="preserve">that </w:t>
      </w:r>
      <w:r w:rsidR="00256069">
        <w:t>could</w:t>
      </w:r>
      <w:r w:rsidR="000F1445">
        <w:t xml:space="preserve"> to be derived from the various possible outcomes.  This became the basis for his theory of ‘bounded rationality’, developed and applied over the next fifty years </w:t>
      </w:r>
      <w:r w:rsidR="005D1D28">
        <w:t>across</w:t>
      </w:r>
      <w:r w:rsidR="000F1445">
        <w:t xml:space="preserve"> business and organisational psychology, but </w:t>
      </w:r>
      <w:r w:rsidR="00D70282">
        <w:t>with later attempts to integrate it into</w:t>
      </w:r>
      <w:r w:rsidR="000F1445">
        <w:t xml:space="preserve"> </w:t>
      </w:r>
      <w:r w:rsidR="005027E3">
        <w:t xml:space="preserve">general </w:t>
      </w:r>
      <w:r w:rsidR="000F1445">
        <w:t>social science (Simon 200</w:t>
      </w:r>
      <w:r w:rsidR="00D70282">
        <w:t>0</w:t>
      </w:r>
      <w:r w:rsidR="000F1445">
        <w:t>).</w:t>
      </w:r>
    </w:p>
    <w:p w:rsidR="000F1445" w:rsidRDefault="000F1445" w:rsidP="00C21A01"/>
    <w:p w:rsidR="008B5E8C" w:rsidRDefault="000F1445" w:rsidP="00C21A01">
      <w:r>
        <w:t xml:space="preserve">Bounded rationality </w:t>
      </w:r>
      <w:r w:rsidR="00123CD8">
        <w:t>as an idea is deceptively simple and intuitively compelling</w:t>
      </w:r>
      <w:r w:rsidR="008B4E63">
        <w:t>, in comparison to the ‘psyc</w:t>
      </w:r>
      <w:r w:rsidR="00833CAE">
        <w:t>hological unrealistic’ (Kahnema</w:t>
      </w:r>
      <w:r w:rsidR="008B4E63">
        <w:t xml:space="preserve">n, 2003, p. 1449) </w:t>
      </w:r>
      <w:r w:rsidR="00E009DB">
        <w:t>expected utility</w:t>
      </w:r>
      <w:r w:rsidR="008B4E63">
        <w:t xml:space="preserve"> model</w:t>
      </w:r>
      <w:r w:rsidR="00453DFE">
        <w:t xml:space="preserve"> that had previously dominated</w:t>
      </w:r>
      <w:r w:rsidR="008B5E8C">
        <w:t>:</w:t>
      </w:r>
    </w:p>
    <w:p w:rsidR="008B5E8C" w:rsidRDefault="008B5E8C" w:rsidP="00C21A01"/>
    <w:p w:rsidR="008B5E8C" w:rsidRPr="008B5E8C" w:rsidRDefault="008B5E8C" w:rsidP="008B5E8C">
      <w:pPr>
        <w:ind w:left="720"/>
      </w:pPr>
      <w:r>
        <w:rPr>
          <w:szCs w:val="20"/>
        </w:rPr>
        <w:t>‘</w:t>
      </w:r>
      <w:r w:rsidRPr="008B5E8C">
        <w:rPr>
          <w:szCs w:val="20"/>
        </w:rPr>
        <w:t>Global rationality, the rationality of neoclassical theory, assumes that the decision maker has a comprehensive, consistent utility function, knows all the alternatives that are available for choice, can compute the expected value of utility associated with each alternative, and chooses the alternative that maximizes expected utility</w:t>
      </w:r>
      <w:r w:rsidR="00AE583A">
        <w:rPr>
          <w:szCs w:val="20"/>
        </w:rPr>
        <w:t>’</w:t>
      </w:r>
      <w:r>
        <w:rPr>
          <w:szCs w:val="20"/>
        </w:rPr>
        <w:t xml:space="preserve"> (Simon, 1997, p. 17)</w:t>
      </w:r>
      <w:r w:rsidRPr="008B5E8C">
        <w:rPr>
          <w:szCs w:val="20"/>
        </w:rPr>
        <w:t>.</w:t>
      </w:r>
    </w:p>
    <w:p w:rsidR="008B5E8C" w:rsidRDefault="008B5E8C" w:rsidP="00C21A01"/>
    <w:p w:rsidR="00D70282" w:rsidRDefault="008B5E8C" w:rsidP="00C21A01">
      <w:r>
        <w:t>Instead, bounded rationality asserts</w:t>
      </w:r>
      <w:r w:rsidR="00D70282">
        <w:t xml:space="preserve"> that</w:t>
      </w:r>
    </w:p>
    <w:p w:rsidR="00D70282" w:rsidRDefault="00D70282" w:rsidP="00C21A01"/>
    <w:p w:rsidR="00D70282" w:rsidRDefault="00D70282" w:rsidP="00D70282">
      <w:pPr>
        <w:ind w:left="720"/>
      </w:pPr>
      <w:r>
        <w:rPr>
          <w:rFonts w:eastAsia="Times New Roman" w:cs="Arial"/>
          <w:szCs w:val="24"/>
          <w:lang w:eastAsia="en-GB"/>
        </w:rPr>
        <w:t>‘…</w:t>
      </w:r>
      <w:r w:rsidRPr="00D70282">
        <w:rPr>
          <w:rFonts w:eastAsia="Times New Roman" w:cs="Arial"/>
          <w:szCs w:val="24"/>
          <w:lang w:eastAsia="en-GB"/>
        </w:rPr>
        <w:t xml:space="preserve">the choices people make are determined not only by some consistent overall goal and the properties of the external world, but also by the knowledge that decision makers do and don't have of the world, their ability or inability to evoke that knowledge when it is relevant, to work out the consequences of their actions, to conjure up possible courses of action, to cope with uncertainty </w:t>
      </w:r>
      <w:r>
        <w:rPr>
          <w:rFonts w:eastAsia="Times New Roman" w:cs="Arial"/>
          <w:szCs w:val="24"/>
          <w:lang w:eastAsia="en-GB"/>
        </w:rPr>
        <w:t>[…]</w:t>
      </w:r>
      <w:r w:rsidRPr="00D70282">
        <w:rPr>
          <w:rFonts w:eastAsia="Times New Roman" w:cs="Arial"/>
          <w:szCs w:val="24"/>
          <w:lang w:eastAsia="en-GB"/>
        </w:rPr>
        <w:t xml:space="preserve"> and to adjudicate among their many competing wants</w:t>
      </w:r>
      <w:r>
        <w:rPr>
          <w:rFonts w:eastAsia="Times New Roman" w:cs="Arial"/>
          <w:szCs w:val="24"/>
          <w:lang w:eastAsia="en-GB"/>
        </w:rPr>
        <w:t>’ (Simon, 2000, p. 25)</w:t>
      </w:r>
      <w:r w:rsidRPr="00D70282">
        <w:rPr>
          <w:rFonts w:eastAsia="Times New Roman" w:cs="Arial"/>
          <w:szCs w:val="24"/>
          <w:lang w:eastAsia="en-GB"/>
        </w:rPr>
        <w:t>.</w:t>
      </w:r>
    </w:p>
    <w:p w:rsidR="00D70282" w:rsidRDefault="00D70282" w:rsidP="00C21A01"/>
    <w:p w:rsidR="00B92F7A" w:rsidRDefault="00123CD8" w:rsidP="00C21A01">
      <w:r>
        <w:t>Simon argued</w:t>
      </w:r>
      <w:r w:rsidR="000F1445">
        <w:t xml:space="preserve"> that</w:t>
      </w:r>
      <w:r>
        <w:t xml:space="preserve"> humans are not generally able to exercise full rationality</w:t>
      </w:r>
      <w:r w:rsidR="00B92F7A">
        <w:t xml:space="preserve"> </w:t>
      </w:r>
      <w:r>
        <w:t xml:space="preserve">and that there are constraints </w:t>
      </w:r>
      <w:r w:rsidR="00B92F7A">
        <w:t>impacting on all decisions:</w:t>
      </w:r>
    </w:p>
    <w:p w:rsidR="00B92F7A" w:rsidRDefault="00B92F7A" w:rsidP="00C21A01"/>
    <w:p w:rsidR="00B92F7A" w:rsidRDefault="00B92F7A" w:rsidP="00B92F7A">
      <w:pPr>
        <w:ind w:left="720"/>
      </w:pPr>
      <w:r>
        <w:t>‘Rationality is bounded when it falls short of omniscience. And the failures of omniscience are largely failures of knowing all the alternatives, uncertainty about relevant exogenous events, and inability to calculate consequences’ (Simon, 1979, p</w:t>
      </w:r>
      <w:r w:rsidR="00D70282">
        <w:t>.</w:t>
      </w:r>
      <w:r>
        <w:t xml:space="preserve"> 502).</w:t>
      </w:r>
    </w:p>
    <w:p w:rsidR="00B92F7A" w:rsidRDefault="00B92F7A" w:rsidP="00C21A01"/>
    <w:p w:rsidR="007C75CD" w:rsidRDefault="00801A7E" w:rsidP="00C21A01">
      <w:r>
        <w:t>Bounded rationality</w:t>
      </w:r>
      <w:r w:rsidR="005D1D28">
        <w:t xml:space="preserve"> does not, therefore, </w:t>
      </w:r>
      <w:r>
        <w:t>argue that decisions</w:t>
      </w:r>
      <w:r w:rsidR="003D6D05">
        <w:t xml:space="preserve"> and the people taking them</w:t>
      </w:r>
      <w:r>
        <w:t xml:space="preserve"> are inherently </w:t>
      </w:r>
      <w:r w:rsidRPr="0024108A">
        <w:rPr>
          <w:i/>
        </w:rPr>
        <w:t>irrational</w:t>
      </w:r>
      <w:r w:rsidRPr="008E6C64">
        <w:t>,</w:t>
      </w:r>
      <w:r>
        <w:t xml:space="preserve"> but that there are </w:t>
      </w:r>
      <w:r w:rsidR="005D1D28">
        <w:t>realistic</w:t>
      </w:r>
      <w:r>
        <w:t xml:space="preserve"> limits on the ability of </w:t>
      </w:r>
      <w:r w:rsidR="007C75CD">
        <w:t>people</w:t>
      </w:r>
      <w:r>
        <w:t xml:space="preserve"> to weigh </w:t>
      </w:r>
      <w:r w:rsidR="00E73304">
        <w:t xml:space="preserve">complex </w:t>
      </w:r>
      <w:r>
        <w:t xml:space="preserve">options in a </w:t>
      </w:r>
      <w:r w:rsidR="006E3394">
        <w:t xml:space="preserve">fully </w:t>
      </w:r>
      <w:r>
        <w:t>logical and objective way</w:t>
      </w:r>
      <w:r w:rsidR="00A20E38">
        <w:t>; it is often placed in opposition to ‘rational choice’ theory</w:t>
      </w:r>
      <w:r>
        <w:t xml:space="preserve">.  </w:t>
      </w:r>
      <w:r w:rsidR="00D70282">
        <w:t>In descri</w:t>
      </w:r>
      <w:r w:rsidR="00D3591F">
        <w:t>bing bounded rationality, Simon</w:t>
      </w:r>
      <w:r w:rsidR="00222A4C">
        <w:t xml:space="preserve"> (1986)</w:t>
      </w:r>
      <w:r w:rsidR="00D3591F">
        <w:t xml:space="preserve"> </w:t>
      </w:r>
      <w:r w:rsidR="00D70282">
        <w:t xml:space="preserve">railed against the ‘armchair economics’ of </w:t>
      </w:r>
      <w:r w:rsidR="00C2141D">
        <w:t xml:space="preserve">neoclassical thinkers, which </w:t>
      </w:r>
      <w:r w:rsidR="006E3394">
        <w:t xml:space="preserve">he felt </w:t>
      </w:r>
      <w:r w:rsidR="00C2141D">
        <w:t>sought to reduce decision-making to a simplistic model of human behaviour</w:t>
      </w:r>
      <w:r w:rsidR="00BB1B78">
        <w:t xml:space="preserve"> without engagement with empirical data</w:t>
      </w:r>
      <w:r w:rsidR="00C2141D">
        <w:t>.</w:t>
      </w:r>
      <w:r w:rsidR="00222A4C">
        <w:t xml:space="preserve">  </w:t>
      </w:r>
      <w:r w:rsidR="00A576C6">
        <w:t xml:space="preserve">Bounded rationality therefore concerns itself with the interaction between the human mind (with its prior knowledge, competing value systems and </w:t>
      </w:r>
      <w:r w:rsidR="00E83BB6">
        <w:t>finite</w:t>
      </w:r>
      <w:r w:rsidR="00A576C6">
        <w:t xml:space="preserve"> cognitive resources) and the social environment.</w:t>
      </w:r>
      <w:r w:rsidR="00683E40">
        <w:t xml:space="preserve">  It does not primar</w:t>
      </w:r>
      <w:r w:rsidR="00B06AFF">
        <w:t>il</w:t>
      </w:r>
      <w:r w:rsidR="00683E40">
        <w:t xml:space="preserve">y concern itself with the outcome of decisions, but the processes by which they are made and how these processes are shaped by the individual and </w:t>
      </w:r>
      <w:r w:rsidR="00E83BB6">
        <w:t>their wider circumstances</w:t>
      </w:r>
      <w:r w:rsidR="00CF1A7F">
        <w:t xml:space="preserve"> (Simon, 1955).</w:t>
      </w:r>
      <w:r w:rsidR="0026719A">
        <w:t xml:space="preserve">  </w:t>
      </w:r>
    </w:p>
    <w:p w:rsidR="007C75CD" w:rsidRDefault="007C75CD" w:rsidP="00C21A01"/>
    <w:p w:rsidR="003D6D05" w:rsidRDefault="007C75CD" w:rsidP="00C21A01">
      <w:r>
        <w:t xml:space="preserve">Some </w:t>
      </w:r>
      <w:r w:rsidR="003D6D05">
        <w:t xml:space="preserve">bounds </w:t>
      </w:r>
      <w:r w:rsidR="005D1D28">
        <w:t>derive</w:t>
      </w:r>
      <w:r w:rsidR="00123CD8">
        <w:t xml:space="preserve"> from the </w:t>
      </w:r>
      <w:r w:rsidR="00256069">
        <w:t xml:space="preserve">prevailing </w:t>
      </w:r>
      <w:r w:rsidR="00123CD8">
        <w:t xml:space="preserve">environment, particularly with respect to </w:t>
      </w:r>
      <w:r w:rsidR="003D6D05">
        <w:t>the availability of information and</w:t>
      </w:r>
      <w:r w:rsidR="00123CD8">
        <w:t xml:space="preserve"> the </w:t>
      </w:r>
      <w:r w:rsidR="00256069">
        <w:t>‘</w:t>
      </w:r>
      <w:r w:rsidR="00123CD8">
        <w:t>cost</w:t>
      </w:r>
      <w:r w:rsidR="00256069">
        <w:t>’</w:t>
      </w:r>
      <w:r w:rsidR="00123CD8">
        <w:t xml:space="preserve"> of that information </w:t>
      </w:r>
      <w:r w:rsidR="00256069">
        <w:t>in terms of time</w:t>
      </w:r>
      <w:r w:rsidR="005D1D28">
        <w:t xml:space="preserve"> seeking it</w:t>
      </w:r>
      <w:r w:rsidR="003D6D05">
        <w:t xml:space="preserve">.  Individuals are unlikely to be ‘able to foresee what additional information further search would bring, what it would cost, and what opportunities one would forgo during that search’ (Todd and </w:t>
      </w:r>
      <w:proofErr w:type="spellStart"/>
      <w:r w:rsidR="003D6D05">
        <w:t>Gigerenzer</w:t>
      </w:r>
      <w:proofErr w:type="spellEnd"/>
      <w:r w:rsidR="003D6D05">
        <w:t>, 2003, p. 146), leaving</w:t>
      </w:r>
      <w:r w:rsidR="005D1D28">
        <w:t xml:space="preserve"> them</w:t>
      </w:r>
      <w:r w:rsidR="003D6D05">
        <w:t xml:space="preserve"> </w:t>
      </w:r>
      <w:r w:rsidR="00256069">
        <w:t>un</w:t>
      </w:r>
      <w:r w:rsidR="003D6D05">
        <w:t xml:space="preserve">certain </w:t>
      </w:r>
      <w:r w:rsidR="005D1D28">
        <w:t>whether</w:t>
      </w:r>
      <w:r w:rsidR="003D6D05">
        <w:t xml:space="preserve"> they have enough; this challenge has only increased with the arrival of the internet, with the information available spiralling into overload and making </w:t>
      </w:r>
      <w:r w:rsidR="005D1D28">
        <w:t>its</w:t>
      </w:r>
      <w:r w:rsidR="003D6D05">
        <w:t xml:space="preserve"> collection and evaluation more problematic</w:t>
      </w:r>
      <w:r w:rsidR="00222A4C">
        <w:t xml:space="preserve"> rather than less (</w:t>
      </w:r>
      <w:r w:rsidR="00510A72">
        <w:t xml:space="preserve">Agosto, 2002; </w:t>
      </w:r>
      <w:proofErr w:type="spellStart"/>
      <w:r w:rsidR="00222A4C">
        <w:t>Benselin</w:t>
      </w:r>
      <w:proofErr w:type="spellEnd"/>
      <w:r w:rsidR="00222A4C">
        <w:t xml:space="preserve"> and </w:t>
      </w:r>
      <w:proofErr w:type="spellStart"/>
      <w:r w:rsidR="00222A4C">
        <w:t>Ragsdell</w:t>
      </w:r>
      <w:proofErr w:type="spellEnd"/>
      <w:r w:rsidR="00222A4C">
        <w:t>, in press).</w:t>
      </w:r>
    </w:p>
    <w:p w:rsidR="003D6D05" w:rsidRDefault="003D6D05" w:rsidP="00C21A01"/>
    <w:p w:rsidR="0007681E" w:rsidRDefault="00392D94" w:rsidP="00C21A01">
      <w:r>
        <w:lastRenderedPageBreak/>
        <w:t xml:space="preserve">Other environmental bounds include the number of </w:t>
      </w:r>
      <w:r w:rsidR="005D1D28">
        <w:t xml:space="preserve">possible </w:t>
      </w:r>
      <w:r>
        <w:t>options for action and the number of potential criteria (or ‘cues’) for distinguishing between them.  The complexity of decisions increases exponentially with increases in either feature, leading to problems with evaluating the expected utility of each; a decision with two options and one cue is simple to resolve, but one with twenty options and five cues is consider</w:t>
      </w:r>
      <w:r w:rsidR="00833CAE">
        <w:t xml:space="preserve">ably more problematic.  </w:t>
      </w:r>
      <w:r w:rsidR="00C77586">
        <w:t>Furthermore, d</w:t>
      </w:r>
      <w:r w:rsidR="007702DE">
        <w:t>ecisions taken under risk (i.e. with various possible outcomes for each option) add further to this complexity, especially where the probabilities of these outcomes oc</w:t>
      </w:r>
      <w:r w:rsidR="00DC0566">
        <w:t>c</w:t>
      </w:r>
      <w:r w:rsidR="007702DE">
        <w:t xml:space="preserve">urring are unknown </w:t>
      </w:r>
      <w:r w:rsidR="00DC0566">
        <w:t>(</w:t>
      </w:r>
      <w:r w:rsidR="007702DE">
        <w:t>requir</w:t>
      </w:r>
      <w:r w:rsidR="00DC0566">
        <w:t xml:space="preserve">ing estimation) or unknowable due </w:t>
      </w:r>
      <w:r w:rsidR="0007681E">
        <w:t xml:space="preserve">to the novelty of the situation; </w:t>
      </w:r>
      <w:r w:rsidR="005D1D28">
        <w:t xml:space="preserve">fundamentally, </w:t>
      </w:r>
      <w:r w:rsidR="0007681E">
        <w:t>the decision-maker ‘has egregiously incomplete and inaccurate knowledge about the consequences of actions’ (Simon, 1997, p. 17).</w:t>
      </w:r>
    </w:p>
    <w:p w:rsidR="007702DE" w:rsidRDefault="007702DE" w:rsidP="00C21A01"/>
    <w:p w:rsidR="006C3D47" w:rsidRDefault="007B10A2" w:rsidP="00C21A01">
      <w:r>
        <w:t>T</w:t>
      </w:r>
      <w:r w:rsidR="00550CF2">
        <w:t xml:space="preserve">he individual decision-maker </w:t>
      </w:r>
      <w:r w:rsidR="00742297">
        <w:t xml:space="preserve">is the source of other bounds.  </w:t>
      </w:r>
      <w:r w:rsidR="00C634E5">
        <w:t xml:space="preserve">Estimates of probability and </w:t>
      </w:r>
      <w:r w:rsidR="005D1D28">
        <w:t>utility</w:t>
      </w:r>
      <w:r w:rsidR="00C634E5">
        <w:t xml:space="preserve"> of outcomes </w:t>
      </w:r>
      <w:r w:rsidR="005D1D28">
        <w:t>are</w:t>
      </w:r>
      <w:r w:rsidR="00742297">
        <w:t xml:space="preserve"> </w:t>
      </w:r>
      <w:r w:rsidR="00C634E5">
        <w:t xml:space="preserve">shaped by </w:t>
      </w:r>
      <w:r w:rsidR="00742297">
        <w:t>different levels of pre-existing knowledg</w:t>
      </w:r>
      <w:r w:rsidR="00C634E5">
        <w:t>e and experience</w:t>
      </w:r>
      <w:r w:rsidR="00742297">
        <w:t>.  This defines a starting point of which information is readily accessible</w:t>
      </w:r>
      <w:r w:rsidR="00C634E5">
        <w:t xml:space="preserve"> </w:t>
      </w:r>
      <w:r w:rsidR="00742297">
        <w:t>at the outset of the decision</w:t>
      </w:r>
      <w:r w:rsidR="00C634E5">
        <w:t>-making</w:t>
      </w:r>
      <w:r w:rsidR="00742297">
        <w:t xml:space="preserve"> process, as well as influencing the </w:t>
      </w:r>
      <w:r w:rsidR="005D1D28">
        <w:t>unfolding</w:t>
      </w:r>
      <w:r w:rsidR="00DD6032">
        <w:t xml:space="preserve"> of the process itself; t</w:t>
      </w:r>
      <w:r w:rsidR="00586132">
        <w:t xml:space="preserve">his is further influenced by the circle of advisers on which they are able to draw.  </w:t>
      </w:r>
      <w:r w:rsidR="00742297">
        <w:t xml:space="preserve">Individuals </w:t>
      </w:r>
      <w:r w:rsidR="00C634E5">
        <w:t>will also</w:t>
      </w:r>
      <w:r w:rsidR="00742297">
        <w:t xml:space="preserve"> have conflicting priorities that extend beyond the purely financial, touching perhaps on personal wellbeing or the need to maintain social relations, </w:t>
      </w:r>
      <w:r w:rsidR="00C634E5">
        <w:t>with different</w:t>
      </w:r>
      <w:r w:rsidR="00742297">
        <w:t xml:space="preserve"> cues </w:t>
      </w:r>
      <w:r w:rsidR="00C634E5">
        <w:t>having different levels of salience</w:t>
      </w:r>
      <w:r w:rsidR="005D1D28">
        <w:t xml:space="preserve"> for each person</w:t>
      </w:r>
      <w:r w:rsidR="00742297">
        <w:t xml:space="preserve">.  Finally, cognitive resources are limited and mediated through </w:t>
      </w:r>
      <w:r w:rsidR="00123CD8">
        <w:t xml:space="preserve">a range of </w:t>
      </w:r>
      <w:r w:rsidR="00742297">
        <w:t>systematic</w:t>
      </w:r>
      <w:r w:rsidR="00123CD8">
        <w:t xml:space="preserve"> biases</w:t>
      </w:r>
      <w:r w:rsidR="00A45C69">
        <w:t>, particularly under time pressure and emotional stress (Simon</w:t>
      </w:r>
      <w:r w:rsidR="005D1D28">
        <w:t>,</w:t>
      </w:r>
      <w:r w:rsidR="00A45C69">
        <w:t xml:space="preserve"> 1987).</w:t>
      </w:r>
      <w:r w:rsidR="008B4E63">
        <w:t xml:space="preserve">  </w:t>
      </w:r>
    </w:p>
    <w:p w:rsidR="00550CF2" w:rsidRDefault="00550CF2" w:rsidP="00C21A01"/>
    <w:p w:rsidR="006C3D47" w:rsidRDefault="007B10A2" w:rsidP="00C21A01">
      <w:r>
        <w:t>A key tenet of</w:t>
      </w:r>
      <w:r w:rsidR="006C3D47">
        <w:t xml:space="preserve"> bounded rationality </w:t>
      </w:r>
      <w:r>
        <w:t>is</w:t>
      </w:r>
      <w:r w:rsidR="006C3D47">
        <w:t xml:space="preserve"> the concept of ‘satisficing’</w:t>
      </w:r>
      <w:r>
        <w:t>, which Simon (1955) used</w:t>
      </w:r>
      <w:r w:rsidR="006C3D47">
        <w:t xml:space="preserve"> to explain decisions he witnessed </w:t>
      </w:r>
      <w:r>
        <w:t>in</w:t>
      </w:r>
      <w:r w:rsidR="006C3D47">
        <w:t xml:space="preserve"> field studies.  Satisficed decisions are not intended to be optimal, but to provide a</w:t>
      </w:r>
      <w:r w:rsidR="008E6C64">
        <w:t>n intuitive</w:t>
      </w:r>
      <w:r w:rsidR="006C3D47">
        <w:t xml:space="preserve"> balance between </w:t>
      </w:r>
      <w:r>
        <w:t>outcomes</w:t>
      </w:r>
      <w:r w:rsidR="006C3D47">
        <w:t xml:space="preserve"> and the costs</w:t>
      </w:r>
      <w:r w:rsidR="00093DF1">
        <w:t xml:space="preserve"> (in time, mental effort and things forgone)</w:t>
      </w:r>
      <w:r w:rsidR="006C3D47">
        <w:t xml:space="preserve"> of the decision itself</w:t>
      </w:r>
      <w:r>
        <w:t>, while meeting a threshold criterion of expected utility</w:t>
      </w:r>
      <w:r w:rsidR="006C3D47">
        <w:t xml:space="preserve">.  These </w:t>
      </w:r>
      <w:r w:rsidR="00961CAF">
        <w:t>‘fast and frugal’ (</w:t>
      </w:r>
      <w:proofErr w:type="spellStart"/>
      <w:r w:rsidR="00DD6032">
        <w:t>Gigenenzer</w:t>
      </w:r>
      <w:proofErr w:type="spellEnd"/>
      <w:r w:rsidR="00DD6032">
        <w:t xml:space="preserve"> and Goldstein, 1996</w:t>
      </w:r>
      <w:r w:rsidR="00961CAF">
        <w:t xml:space="preserve">) </w:t>
      </w:r>
      <w:r w:rsidR="006C3D47">
        <w:t>heuristic approaches were not only commonly used, but</w:t>
      </w:r>
      <w:r w:rsidR="00C634E5">
        <w:t xml:space="preserve"> </w:t>
      </w:r>
      <w:r w:rsidR="006C3D47">
        <w:t>often provided good decisions which were comparable to a</w:t>
      </w:r>
      <w:r w:rsidR="00093DF1">
        <w:t>n</w:t>
      </w:r>
      <w:r w:rsidR="006C3D47">
        <w:t xml:space="preserve"> exhaustive </w:t>
      </w:r>
      <w:r w:rsidR="00093DF1">
        <w:t xml:space="preserve">‘rational’ </w:t>
      </w:r>
      <w:r w:rsidR="006C3D47">
        <w:t>analysis.</w:t>
      </w:r>
      <w:r w:rsidR="00093DF1">
        <w:t xml:space="preserve"> Indeed, subsequent work by followers of Simon (e.g. Todd and </w:t>
      </w:r>
      <w:proofErr w:type="spellStart"/>
      <w:r w:rsidR="00093DF1">
        <w:t>Gigerenzer</w:t>
      </w:r>
      <w:proofErr w:type="spellEnd"/>
      <w:r w:rsidR="00093DF1">
        <w:t xml:space="preserve">, 2003) has shown that heuristic approaches can </w:t>
      </w:r>
      <w:r>
        <w:t>even be preferable</w:t>
      </w:r>
      <w:r w:rsidR="00093DF1">
        <w:t xml:space="preserve"> to rational ones when they eliminate unnecessary </w:t>
      </w:r>
      <w:r w:rsidR="00961CAF">
        <w:t xml:space="preserve">and confounding </w:t>
      </w:r>
      <w:r w:rsidR="00093DF1">
        <w:t>information or cues.</w:t>
      </w:r>
    </w:p>
    <w:p w:rsidR="006B48AC" w:rsidRDefault="006B48AC" w:rsidP="00C21A01"/>
    <w:p w:rsidR="00954AE7" w:rsidRDefault="001E2110" w:rsidP="00A45C69">
      <w:r>
        <w:t>Kahnema</w:t>
      </w:r>
      <w:r w:rsidR="006B48AC">
        <w:t>n’s work draws heavily on bounded rationality</w:t>
      </w:r>
      <w:r w:rsidR="00804E18">
        <w:t xml:space="preserve"> and focuses on </w:t>
      </w:r>
      <w:r w:rsidR="001439B7">
        <w:t>the role of intuitive processes</w:t>
      </w:r>
      <w:r w:rsidR="00804E18">
        <w:t xml:space="preserve"> as a means of navigating complexity</w:t>
      </w:r>
      <w:r w:rsidR="006B48AC">
        <w:t xml:space="preserve">.  </w:t>
      </w:r>
      <w:r>
        <w:t>It primarily concerns</w:t>
      </w:r>
      <w:r w:rsidR="00954AE7">
        <w:t xml:space="preserve"> the cognitive biases that impede rational decision-making and the heuristics used by individuals when operating </w:t>
      </w:r>
      <w:r w:rsidR="00804E18">
        <w:t xml:space="preserve">with unknown outcomes </w:t>
      </w:r>
      <w:r w:rsidR="00954AE7">
        <w:t>under risk.</w:t>
      </w:r>
      <w:r w:rsidR="00804E18">
        <w:t xml:space="preserve">  The list of these biases and heuristics is legion (</w:t>
      </w:r>
      <w:proofErr w:type="spellStart"/>
      <w:r w:rsidR="00804E18">
        <w:t>Kahneman</w:t>
      </w:r>
      <w:proofErr w:type="spellEnd"/>
      <w:r w:rsidR="00804E18">
        <w:t xml:space="preserve">, </w:t>
      </w:r>
      <w:proofErr w:type="spellStart"/>
      <w:r w:rsidR="00804E18">
        <w:t>Slovic</w:t>
      </w:r>
      <w:proofErr w:type="spellEnd"/>
      <w:r w:rsidR="00804E18">
        <w:t xml:space="preserve"> and </w:t>
      </w:r>
      <w:proofErr w:type="spellStart"/>
      <w:r w:rsidR="00804E18">
        <w:t>Tversky</w:t>
      </w:r>
      <w:proofErr w:type="spellEnd"/>
      <w:r w:rsidR="00804E18">
        <w:t>, 1982; Kahneman and Tversky, 2000</w:t>
      </w:r>
      <w:r w:rsidR="00A20E38">
        <w:t>; Kahneman, 2011</w:t>
      </w:r>
      <w:r w:rsidR="00804E18">
        <w:t>)</w:t>
      </w:r>
      <w:r w:rsidR="00D1785E">
        <w:t>.</w:t>
      </w:r>
    </w:p>
    <w:p w:rsidR="00954AE7" w:rsidRDefault="00954AE7" w:rsidP="00A45C69"/>
    <w:p w:rsidR="00D77C20" w:rsidRDefault="001E2110" w:rsidP="00CF300F">
      <w:r>
        <w:t xml:space="preserve">While Simon drew his theoretical insights mainly from fieldwork, Kahneman </w:t>
      </w:r>
      <w:r w:rsidR="00D1785E">
        <w:t>and colleagues within what has become known as ‘behavioural economics’ have</w:t>
      </w:r>
      <w:r>
        <w:t xml:space="preserve"> worked mainly through experimental psychology, presenting people with a range of </w:t>
      </w:r>
      <w:r w:rsidR="005D1D28">
        <w:t>carefully-</w:t>
      </w:r>
      <w:r>
        <w:t xml:space="preserve">designed tasks to examine underpinning decision processes.  This initially culminated in </w:t>
      </w:r>
      <w:r w:rsidR="00B92F7A">
        <w:t>‘prospect theory’ (Kahneman and Tversky, 1979)</w:t>
      </w:r>
      <w:r w:rsidR="00CF300F">
        <w:t xml:space="preserve"> derived from</w:t>
      </w:r>
      <w:r w:rsidR="00B92F7A">
        <w:t xml:space="preserve"> simple gambles concerning different probabilities and financial outcomes</w:t>
      </w:r>
      <w:r w:rsidR="00D1785E">
        <w:t xml:space="preserve"> –</w:t>
      </w:r>
      <w:r w:rsidR="00A45C69">
        <w:t xml:space="preserve"> positive and negative</w:t>
      </w:r>
      <w:r w:rsidR="00B92F7A">
        <w:t xml:space="preserve">.  </w:t>
      </w:r>
      <w:r w:rsidR="00D1785E">
        <w:t>They were</w:t>
      </w:r>
      <w:r w:rsidR="00A45C69">
        <w:t xml:space="preserve"> able to demonstrate </w:t>
      </w:r>
      <w:r w:rsidR="006B48AC">
        <w:t>the use of intuition in decision-making under risk</w:t>
      </w:r>
      <w:r w:rsidR="00A45C69">
        <w:t xml:space="preserve"> </w:t>
      </w:r>
      <w:r w:rsidR="00A45C69">
        <w:lastRenderedPageBreak/>
        <w:t xml:space="preserve">rather than ‘rational’ reasoning, and like </w:t>
      </w:r>
      <w:r w:rsidR="006B48AC">
        <w:t xml:space="preserve">Simon, </w:t>
      </w:r>
      <w:r w:rsidR="00A45C69">
        <w:t xml:space="preserve">demonstrated </w:t>
      </w:r>
      <w:r w:rsidR="006B48AC">
        <w:t>the fallacy of a simple calculation of expected util</w:t>
      </w:r>
      <w:r w:rsidR="004B2A97">
        <w:t>ity:</w:t>
      </w:r>
    </w:p>
    <w:p w:rsidR="004B2A97" w:rsidRDefault="004B2A97" w:rsidP="00CF300F"/>
    <w:p w:rsidR="004B2A97" w:rsidRDefault="004B2A97" w:rsidP="004B2A97">
      <w:pPr>
        <w:ind w:left="720"/>
      </w:pPr>
      <w:r>
        <w:t>‘The central characteristic of agents is not that they reason poorly but that they often act intuitively.  And the behaviour of these agents is not guided by what they are able to compute, but by what they happen to see at a given moment’ (Kahneman, 2003, p. 1469).</w:t>
      </w:r>
    </w:p>
    <w:p w:rsidR="00D77C20" w:rsidRDefault="00D77C20" w:rsidP="00A45C69"/>
    <w:p w:rsidR="001D5B2B" w:rsidRDefault="00C634E5" w:rsidP="00A45C69">
      <w:r>
        <w:t>Behavioural economics</w:t>
      </w:r>
      <w:r w:rsidR="00666A89">
        <w:t xml:space="preserve"> views people as inherently intuitive </w:t>
      </w:r>
      <w:r w:rsidR="005A033C">
        <w:t xml:space="preserve">and emotional </w:t>
      </w:r>
      <w:r w:rsidR="00666A89">
        <w:t>decision-makers</w:t>
      </w:r>
      <w:r w:rsidR="005D1D28">
        <w:t xml:space="preserve"> (</w:t>
      </w:r>
      <w:proofErr w:type="spellStart"/>
      <w:r w:rsidR="005D1D28">
        <w:t>Kahneman</w:t>
      </w:r>
      <w:proofErr w:type="spellEnd"/>
      <w:r w:rsidR="005D1D28">
        <w:t xml:space="preserve">, </w:t>
      </w:r>
      <w:proofErr w:type="spellStart"/>
      <w:r w:rsidR="005D1D28">
        <w:t>Wakker</w:t>
      </w:r>
      <w:proofErr w:type="spellEnd"/>
      <w:r w:rsidR="005D1D28">
        <w:t xml:space="preserve"> and </w:t>
      </w:r>
      <w:proofErr w:type="spellStart"/>
      <w:r w:rsidR="005D1D28">
        <w:t>Sarrin</w:t>
      </w:r>
      <w:proofErr w:type="spellEnd"/>
      <w:r w:rsidR="005D1D28">
        <w:t>, 1997)</w:t>
      </w:r>
      <w:r w:rsidR="00666A89">
        <w:t xml:space="preserve">, </w:t>
      </w:r>
      <w:r w:rsidR="00326F3E">
        <w:t>with the use of intuition over reason as an obstacle to rational decisions, although the result of intuitive processes is not necessarily significantly poorer, especially given the lower information</w:t>
      </w:r>
      <w:r>
        <w:t>al</w:t>
      </w:r>
      <w:r w:rsidR="00326F3E">
        <w:t xml:space="preserve"> and cognitive needs (Kahneman, 2003).  This holds </w:t>
      </w:r>
      <w:r w:rsidR="00666A89">
        <w:t xml:space="preserve">even where the decision is complex and the outcomes are expressed over long time periods.  </w:t>
      </w:r>
      <w:r w:rsidR="002A7A9D">
        <w:t xml:space="preserve">Indeed, studies that have focused on </w:t>
      </w:r>
      <w:r w:rsidR="005D1D28">
        <w:t xml:space="preserve">real-world </w:t>
      </w:r>
      <w:r w:rsidR="002A7A9D">
        <w:t>long-term decision-making such as investments or house purchases have found results that are consistent with prospect theory</w:t>
      </w:r>
      <w:r w:rsidR="00071AF0">
        <w:t xml:space="preserve"> (</w:t>
      </w:r>
      <w:proofErr w:type="spellStart"/>
      <w:r w:rsidR="00071AF0">
        <w:t>Barberis</w:t>
      </w:r>
      <w:proofErr w:type="spellEnd"/>
      <w:r w:rsidR="00071AF0">
        <w:t>, 2012)</w:t>
      </w:r>
      <w:r w:rsidR="00EF0E6B">
        <w:t>.</w:t>
      </w:r>
      <w:r w:rsidR="00695128">
        <w:t xml:space="preserve">  Indeed, List (2003) demonstrates that substantial </w:t>
      </w:r>
      <w:r w:rsidR="00A57AF3">
        <w:t xml:space="preserve">professional </w:t>
      </w:r>
      <w:r w:rsidR="00695128">
        <w:t xml:space="preserve">experience </w:t>
      </w:r>
      <w:r>
        <w:t>involving</w:t>
      </w:r>
      <w:r w:rsidR="00695128">
        <w:t xml:space="preserve"> </w:t>
      </w:r>
      <w:r w:rsidR="00A57AF3">
        <w:t xml:space="preserve">repeated </w:t>
      </w:r>
      <w:r w:rsidR="00695128">
        <w:t>decisions is needed to overcome intuitive biases to maximise long-term financial returns.</w:t>
      </w:r>
    </w:p>
    <w:p w:rsidR="00666A89" w:rsidRDefault="00666A89" w:rsidP="00A45C69"/>
    <w:p w:rsidR="004B2A97" w:rsidRDefault="00B27797" w:rsidP="00A45C69">
      <w:r>
        <w:t>K</w:t>
      </w:r>
      <w:r w:rsidR="004B2A97">
        <w:t xml:space="preserve">ahneman’s experiments </w:t>
      </w:r>
      <w:r>
        <w:t xml:space="preserve">have </w:t>
      </w:r>
      <w:r w:rsidR="004B2A97">
        <w:t xml:space="preserve">generated a number of </w:t>
      </w:r>
      <w:r w:rsidR="00326F3E">
        <w:t xml:space="preserve">specific </w:t>
      </w:r>
      <w:r w:rsidR="004B2A97">
        <w:t>insights</w:t>
      </w:r>
      <w:r w:rsidR="00FF429F">
        <w:t xml:space="preserve"> that are relevant here</w:t>
      </w:r>
      <w:r w:rsidR="004B2A97">
        <w:t xml:space="preserve">.  Firstly, </w:t>
      </w:r>
      <w:r w:rsidR="006B48AC">
        <w:t>people prefer to risk a larger loss over a certain small loss, in contrast to gains, where preference</w:t>
      </w:r>
      <w:r w:rsidR="00C634E5">
        <w:t>s</w:t>
      </w:r>
      <w:r w:rsidR="006B48AC">
        <w:t xml:space="preserve"> </w:t>
      </w:r>
      <w:r w:rsidR="00C634E5">
        <w:t>are</w:t>
      </w:r>
      <w:r w:rsidR="006B48AC">
        <w:t xml:space="preserve"> generally for a certain gain over </w:t>
      </w:r>
      <w:r w:rsidR="005D1D28">
        <w:t>riskier</w:t>
      </w:r>
      <w:r w:rsidR="006B48AC">
        <w:t xml:space="preserve"> gamble</w:t>
      </w:r>
      <w:r w:rsidR="00C634E5">
        <w:t>s</w:t>
      </w:r>
      <w:r>
        <w:t xml:space="preserve">; in </w:t>
      </w:r>
      <w:r w:rsidR="00A240FD">
        <w:t>other words,</w:t>
      </w:r>
      <w:r>
        <w:t xml:space="preserve"> </w:t>
      </w:r>
      <w:r w:rsidR="002740C9">
        <w:t>individuals tend to be loss-averse rather than risk-averse</w:t>
      </w:r>
      <w:r>
        <w:t xml:space="preserve">. </w:t>
      </w:r>
      <w:r w:rsidR="005D1D28">
        <w:t>I</w:t>
      </w:r>
      <w:r>
        <w:t xml:space="preserve">mportantly, </w:t>
      </w:r>
      <w:r w:rsidR="00AD53D1">
        <w:t xml:space="preserve">the </w:t>
      </w:r>
      <w:r w:rsidR="003A2284">
        <w:t xml:space="preserve">individual’s </w:t>
      </w:r>
      <w:r w:rsidR="00AD53D1">
        <w:t xml:space="preserve">current situation (e.g. level of wealth) is vital in determining </w:t>
      </w:r>
      <w:r w:rsidR="00C634E5">
        <w:t>the choices made</w:t>
      </w:r>
      <w:r w:rsidR="003A2284">
        <w:t xml:space="preserve">, </w:t>
      </w:r>
      <w:r w:rsidR="00C634E5">
        <w:t>with</w:t>
      </w:r>
      <w:r w:rsidR="003A2284">
        <w:t xml:space="preserve"> the potential change in circumstances influenc</w:t>
      </w:r>
      <w:r w:rsidR="00C634E5">
        <w:t>ing</w:t>
      </w:r>
      <w:r w:rsidR="003A2284">
        <w:t xml:space="preserve"> the decision, rather than the absolute value of the outcome.  In concrete terms, a £1,000 </w:t>
      </w:r>
      <w:r w:rsidR="00C634E5">
        <w:t xml:space="preserve">gain </w:t>
      </w:r>
      <w:r w:rsidR="003A2284">
        <w:t xml:space="preserve">has more utility to someone with £10,000 than someone with £100,000, and the two individuals </w:t>
      </w:r>
      <w:r w:rsidR="00AB2BB9">
        <w:t>make decisions accordingly: ‘Utility cannot be divorced from emotion, and emotions are triggered by changes’ (Kahneman, 2003, p.1457).</w:t>
      </w:r>
      <w:r w:rsidR="00512C08">
        <w:t xml:space="preserve">  This </w:t>
      </w:r>
      <w:r w:rsidR="0076142F">
        <w:t>‘reference-dependency’ (</w:t>
      </w:r>
      <w:proofErr w:type="spellStart"/>
      <w:r w:rsidR="00EF0E6B">
        <w:t>Koszegi</w:t>
      </w:r>
      <w:proofErr w:type="spellEnd"/>
      <w:r w:rsidR="00EF0E6B">
        <w:t xml:space="preserve"> and Rabin, 2007)</w:t>
      </w:r>
      <w:r w:rsidR="0076142F">
        <w:t xml:space="preserve"> </w:t>
      </w:r>
      <w:r w:rsidR="00512C08">
        <w:t xml:space="preserve">is considerably more nuanced than a simple </w:t>
      </w:r>
      <w:r w:rsidR="00A240FD">
        <w:t>scale</w:t>
      </w:r>
      <w:r w:rsidR="00512C08">
        <w:t xml:space="preserve"> of risk aversion</w:t>
      </w:r>
      <w:r w:rsidR="00A240FD">
        <w:t xml:space="preserve"> </w:t>
      </w:r>
      <w:r w:rsidR="00C634E5">
        <w:t>as</w:t>
      </w:r>
      <w:r w:rsidR="00A240FD">
        <w:t xml:space="preserve"> is often used in studies of decision-making (e.g. Breen</w:t>
      </w:r>
      <w:r w:rsidR="00041941">
        <w:t xml:space="preserve">, van de </w:t>
      </w:r>
      <w:proofErr w:type="spellStart"/>
      <w:r w:rsidR="00041941">
        <w:t>Werfhorst</w:t>
      </w:r>
      <w:proofErr w:type="spellEnd"/>
      <w:r w:rsidR="00041941">
        <w:t xml:space="preserve"> and </w:t>
      </w:r>
      <w:proofErr w:type="spellStart"/>
      <w:r w:rsidR="00041941">
        <w:t>Jaegar</w:t>
      </w:r>
      <w:proofErr w:type="spellEnd"/>
      <w:r w:rsidR="00A240FD">
        <w:t xml:space="preserve">, </w:t>
      </w:r>
      <w:r w:rsidR="00041941">
        <w:t>2014</w:t>
      </w:r>
      <w:r w:rsidR="00A240FD">
        <w:t>)</w:t>
      </w:r>
      <w:r w:rsidR="00E6795A">
        <w:t>.</w:t>
      </w:r>
    </w:p>
    <w:p w:rsidR="004B2A97" w:rsidRDefault="004B2A97" w:rsidP="00A45C69"/>
    <w:p w:rsidR="006B48AC" w:rsidRDefault="00EC3DCB" w:rsidP="00A45C69">
      <w:r>
        <w:t>Kahneman has</w:t>
      </w:r>
      <w:r w:rsidR="00D77C20">
        <w:t xml:space="preserve"> also identified a ‘framing effect’, whereby decisions are </w:t>
      </w:r>
      <w:r>
        <w:t xml:space="preserve">strongly </w:t>
      </w:r>
      <w:r w:rsidR="00D77C20">
        <w:t xml:space="preserve">influenced by the wording and explanation of the possible outcomes, even </w:t>
      </w:r>
      <w:r w:rsidR="005D1D28">
        <w:t>where</w:t>
      </w:r>
      <w:r w:rsidR="00D77C20">
        <w:t xml:space="preserve"> the inherent information is identical.</w:t>
      </w:r>
      <w:r w:rsidR="00E6795A">
        <w:t xml:space="preserve">  There is </w:t>
      </w:r>
      <w:r w:rsidR="00124AA4">
        <w:t xml:space="preserve">often </w:t>
      </w:r>
      <w:r w:rsidR="00E6795A">
        <w:t xml:space="preserve">a ‘passive acceptance of the formulation given’ (Kahneman, 2003, p.1459), as well as a process of editing to simplify </w:t>
      </w:r>
      <w:r w:rsidR="00C634E5">
        <w:t>options</w:t>
      </w:r>
      <w:r w:rsidR="00E6795A">
        <w:t xml:space="preserve"> into</w:t>
      </w:r>
      <w:r w:rsidR="00965CF6">
        <w:t xml:space="preserve"> more recognisable categories</w:t>
      </w:r>
      <w:r w:rsidR="002740C9">
        <w:t xml:space="preserve"> (Kahneman and Tversky, 1979).</w:t>
      </w:r>
      <w:r w:rsidR="00F97531">
        <w:t xml:space="preserve">  </w:t>
      </w:r>
      <w:r w:rsidR="00124AA4">
        <w:t>T</w:t>
      </w:r>
      <w:r w:rsidR="00965CF6">
        <w:t xml:space="preserve">wo </w:t>
      </w:r>
      <w:r w:rsidR="00124AA4">
        <w:t xml:space="preserve">related </w:t>
      </w:r>
      <w:r w:rsidR="00965CF6">
        <w:t xml:space="preserve">heuristics are </w:t>
      </w:r>
      <w:r w:rsidR="00F97531">
        <w:t xml:space="preserve">particularly </w:t>
      </w:r>
      <w:r w:rsidR="00965CF6">
        <w:t xml:space="preserve">relevant </w:t>
      </w:r>
      <w:r w:rsidR="00F97531">
        <w:t>to this chapter</w:t>
      </w:r>
      <w:r w:rsidR="00965CF6">
        <w:t>.  The first is ‘</w:t>
      </w:r>
      <w:r w:rsidR="00F97531">
        <w:t>accessibility</w:t>
      </w:r>
      <w:r w:rsidR="00965CF6">
        <w:t xml:space="preserve">’, where the brain uses information from memory that is </w:t>
      </w:r>
      <w:r w:rsidR="00124AA4">
        <w:t xml:space="preserve">most </w:t>
      </w:r>
      <w:r w:rsidR="00965CF6">
        <w:t>readily brought to mind</w:t>
      </w:r>
      <w:r w:rsidR="00F97531">
        <w:t xml:space="preserve">.  This is </w:t>
      </w:r>
      <w:r w:rsidR="005D1D28">
        <w:t>built on</w:t>
      </w:r>
      <w:r w:rsidR="00F97531">
        <w:t xml:space="preserve"> the individual’s past experiences, as well as a general</w:t>
      </w:r>
      <w:r w:rsidR="00124AA4">
        <w:t xml:space="preserve"> privileging of the familiar</w:t>
      </w:r>
      <w:r w:rsidR="00F97531">
        <w:t xml:space="preserve">.  </w:t>
      </w:r>
      <w:r w:rsidR="00965CF6">
        <w:t xml:space="preserve"> The second is ‘representativeness’, where the specifics of </w:t>
      </w:r>
      <w:r w:rsidR="005D1D28">
        <w:t>a</w:t>
      </w:r>
      <w:r w:rsidR="00965CF6">
        <w:t xml:space="preserve"> </w:t>
      </w:r>
      <w:r w:rsidR="00FF429F">
        <w:t>decision</w:t>
      </w:r>
      <w:r w:rsidR="00965CF6">
        <w:t xml:space="preserve"> are </w:t>
      </w:r>
      <w:r w:rsidR="00F97531">
        <w:t xml:space="preserve">intuitively </w:t>
      </w:r>
      <w:r w:rsidR="00C634E5">
        <w:t>linked</w:t>
      </w:r>
      <w:r w:rsidR="00965CF6">
        <w:t xml:space="preserve"> to known archetypes</w:t>
      </w:r>
      <w:r w:rsidR="00C634E5">
        <w:t xml:space="preserve"> </w:t>
      </w:r>
      <w:r w:rsidR="00965CF6">
        <w:t xml:space="preserve">– e.g. </w:t>
      </w:r>
      <w:r w:rsidR="00124AA4">
        <w:t xml:space="preserve">with people in certain occupations being </w:t>
      </w:r>
      <w:r w:rsidR="00C634E5">
        <w:t>substituted</w:t>
      </w:r>
      <w:r w:rsidR="00124AA4">
        <w:t xml:space="preserve"> </w:t>
      </w:r>
      <w:r w:rsidR="00C634E5">
        <w:t>with</w:t>
      </w:r>
      <w:r w:rsidR="00124AA4">
        <w:t xml:space="preserve"> personality types associated with those occupations.</w:t>
      </w:r>
    </w:p>
    <w:p w:rsidR="00F97531" w:rsidRDefault="00F97531" w:rsidP="00C21A01"/>
    <w:p w:rsidR="003A424E" w:rsidRDefault="00C634E5" w:rsidP="00C21A01">
      <w:r>
        <w:t>This</w:t>
      </w:r>
      <w:r w:rsidR="00F31E95">
        <w:t xml:space="preserve"> brief introduction to bounded rationality and behavioural economics for those unfamiliar with the theoretical foundations and empirical results</w:t>
      </w:r>
      <w:r w:rsidR="00B45BA3">
        <w:t xml:space="preserve"> is necessarily partial in its treatment, but hopeful</w:t>
      </w:r>
      <w:r w:rsidR="005F2DC8">
        <w:t>ly</w:t>
      </w:r>
      <w:r w:rsidR="00B45BA3">
        <w:t xml:space="preserve"> clear in its basic premise: that individual decision-makers have marked constraints on </w:t>
      </w:r>
      <w:r w:rsidR="00B45BA3">
        <w:lastRenderedPageBreak/>
        <w:t>their ability to distinguish between options, especially</w:t>
      </w:r>
      <w:r w:rsidR="003D28DE">
        <w:t xml:space="preserve"> where</w:t>
      </w:r>
      <w:r w:rsidR="00B45BA3">
        <w:t xml:space="preserve"> (a) these options are numerous, (b) the outcomes are probabilistic</w:t>
      </w:r>
      <w:r w:rsidR="00B92E2C">
        <w:t xml:space="preserve"> and ‘risky’</w:t>
      </w:r>
      <w:r w:rsidR="00B45BA3">
        <w:t>, (c) there are multiple (and conflicting) measures of utility</w:t>
      </w:r>
      <w:r w:rsidR="006305F8">
        <w:t xml:space="preserve">, and </w:t>
      </w:r>
      <w:r w:rsidR="00B45BA3">
        <w:t>(d) their ability to draw on experience or advisers with experience is limited</w:t>
      </w:r>
      <w:r w:rsidR="006305F8">
        <w:t>.  Furthermore, finite cognitive resources are compromised by involuntary systematic biases, especially where there is an emotional component to the decision or where it is taken und</w:t>
      </w:r>
      <w:r w:rsidR="005F2DC8">
        <w:t>er pressure.  This is summarised diagrammatically in Figure 1 below.</w:t>
      </w:r>
    </w:p>
    <w:p w:rsidR="00F31E95" w:rsidRDefault="00F31E95" w:rsidP="00C21A01"/>
    <w:p w:rsidR="00020B97" w:rsidRDefault="00020B97" w:rsidP="00C21A01">
      <w:pPr>
        <w:rPr>
          <w:i/>
        </w:rPr>
      </w:pPr>
    </w:p>
    <w:p w:rsidR="005F2DC8" w:rsidRPr="005F2DC8" w:rsidRDefault="005F2DC8" w:rsidP="00C21A01">
      <w:pPr>
        <w:rPr>
          <w:i/>
        </w:rPr>
      </w:pPr>
      <w:r w:rsidRPr="005F2DC8">
        <w:rPr>
          <w:i/>
        </w:rPr>
        <w:t xml:space="preserve">Figure 1: Visualisation of </w:t>
      </w:r>
      <w:r>
        <w:rPr>
          <w:i/>
        </w:rPr>
        <w:t xml:space="preserve">factors impacting on </w:t>
      </w:r>
      <w:r w:rsidRPr="005F2DC8">
        <w:rPr>
          <w:i/>
        </w:rPr>
        <w:t>decision-making under risk</w:t>
      </w:r>
    </w:p>
    <w:p w:rsidR="005F2DC8" w:rsidRDefault="005F2DC8" w:rsidP="00C21A01"/>
    <w:p w:rsidR="003D28DE" w:rsidRDefault="003D28DE" w:rsidP="00C21A01"/>
    <w:p w:rsidR="00287D39" w:rsidRDefault="00287D39" w:rsidP="00C21A01">
      <w:pPr>
        <w:rPr>
          <w:b/>
        </w:rPr>
      </w:pPr>
      <w:r>
        <w:rPr>
          <w:b/>
          <w:noProof/>
          <w:lang w:eastAsia="en-GB"/>
        </w:rPr>
        <w:drawing>
          <wp:inline distT="0" distB="0" distL="0" distR="0">
            <wp:extent cx="4341967" cy="4267200"/>
            <wp:effectExtent l="0" t="0" r="2095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740C9" w:rsidRDefault="002740C9" w:rsidP="00C21A01">
      <w:pPr>
        <w:rPr>
          <w:b/>
        </w:rPr>
      </w:pPr>
    </w:p>
    <w:p w:rsidR="00F97531" w:rsidRDefault="00F97531" w:rsidP="00C21A01">
      <w:pPr>
        <w:rPr>
          <w:b/>
        </w:rPr>
      </w:pPr>
    </w:p>
    <w:p w:rsidR="002740C9" w:rsidRDefault="002740C9" w:rsidP="00C21A01">
      <w:pPr>
        <w:rPr>
          <w:b/>
        </w:rPr>
      </w:pPr>
    </w:p>
    <w:p w:rsidR="003A424E" w:rsidRPr="003A424E" w:rsidRDefault="001812C3" w:rsidP="00C21A01">
      <w:r>
        <w:rPr>
          <w:b/>
        </w:rPr>
        <w:t>Applying bounded rationality</w:t>
      </w:r>
      <w:r w:rsidR="002740C9">
        <w:rPr>
          <w:b/>
        </w:rPr>
        <w:t xml:space="preserve"> and behavioural economics</w:t>
      </w:r>
    </w:p>
    <w:p w:rsidR="003A424E" w:rsidRDefault="003A424E" w:rsidP="00C21A01">
      <w:pPr>
        <w:rPr>
          <w:b/>
        </w:rPr>
      </w:pPr>
    </w:p>
    <w:p w:rsidR="000B3D1F" w:rsidRDefault="005D1D28" w:rsidP="00C21A01">
      <w:r>
        <w:t>W</w:t>
      </w:r>
      <w:r w:rsidR="00C85680">
        <w:t xml:space="preserve">hile bounded rationality and behavioural economics have been applied to </w:t>
      </w:r>
      <w:r w:rsidR="003D28DE">
        <w:t xml:space="preserve">numerous </w:t>
      </w:r>
      <w:r w:rsidR="00C85680">
        <w:t xml:space="preserve">environments, they have not </w:t>
      </w:r>
      <w:r w:rsidR="00492333">
        <w:t xml:space="preserve">yet </w:t>
      </w:r>
      <w:r w:rsidR="00C85680">
        <w:t>enjoyed wide use within education.</w:t>
      </w:r>
      <w:r w:rsidR="00976A08">
        <w:t xml:space="preserve">  This is perhaps due to a discomfort in viewing educati</w:t>
      </w:r>
      <w:r w:rsidR="0055260F">
        <w:t>onal decisions as economic ones, but there is good evidence that this is how they are increasingly viewed by prospective students (</w:t>
      </w:r>
      <w:r w:rsidR="008F6A0C">
        <w:t>Purcell et al</w:t>
      </w:r>
      <w:r w:rsidR="002740C9">
        <w:t>.</w:t>
      </w:r>
      <w:r w:rsidR="008F6A0C">
        <w:t>, 2008</w:t>
      </w:r>
      <w:r w:rsidR="0055260F">
        <w:t>).</w:t>
      </w:r>
      <w:r w:rsidR="00296C4E">
        <w:t xml:space="preserve">  Indeed, one of the advantages of bounded rationality as a theoretical lens is that it draws focus to the social and individual elements of financial decisions</w:t>
      </w:r>
      <w:r w:rsidR="00C45B9E">
        <w:t>, while acknowledging the economic imperatives behind the decision.</w:t>
      </w:r>
    </w:p>
    <w:p w:rsidR="000B3D1F" w:rsidRPr="0055260F" w:rsidRDefault="000B3D1F" w:rsidP="00C21A01"/>
    <w:p w:rsidR="00C85680" w:rsidRPr="00C45B9E" w:rsidRDefault="003D28DE" w:rsidP="00C21A01">
      <w:r>
        <w:t>A</w:t>
      </w:r>
      <w:r w:rsidR="00D255B0">
        <w:t xml:space="preserve"> number of useful conceptual insights can be </w:t>
      </w:r>
      <w:r w:rsidR="002456C5">
        <w:t>summarised</w:t>
      </w:r>
      <w:r w:rsidR="00D255B0">
        <w:t xml:space="preserve"> from the theory and empirical findings introduced above</w:t>
      </w:r>
      <w:r w:rsidR="001210BB">
        <w:t>; these ar</w:t>
      </w:r>
      <w:r>
        <w:t>e not intended to be exhaustive:</w:t>
      </w:r>
    </w:p>
    <w:p w:rsidR="00C85680" w:rsidRDefault="00C85680" w:rsidP="00C21A01">
      <w:pPr>
        <w:rPr>
          <w:b/>
        </w:rPr>
      </w:pPr>
    </w:p>
    <w:p w:rsidR="002456C5" w:rsidRDefault="002456C5" w:rsidP="002456C5">
      <w:pPr>
        <w:pStyle w:val="ListParagraph"/>
        <w:numPr>
          <w:ilvl w:val="0"/>
          <w:numId w:val="3"/>
        </w:numPr>
        <w:rPr>
          <w:b/>
        </w:rPr>
      </w:pPr>
      <w:r>
        <w:rPr>
          <w:b/>
        </w:rPr>
        <w:t>More information is not always useful</w:t>
      </w:r>
    </w:p>
    <w:p w:rsidR="00B90E3A" w:rsidRPr="005D2506" w:rsidRDefault="00B90E3A" w:rsidP="005D2506">
      <w:pPr>
        <w:pStyle w:val="ListParagraph"/>
      </w:pPr>
      <w:r>
        <w:t xml:space="preserve">Neoclassical economic theory is predicated on perfect information as the basis of rational decision-making.  Conversely, bounded rationality posits that the acquisition of information is not a costless exercise, in terms of time needed for collection and </w:t>
      </w:r>
      <w:r w:rsidR="003D28DE">
        <w:t>analysis</w:t>
      </w:r>
      <w:r>
        <w:t>.  This is further complicated if the size of the informat</w:t>
      </w:r>
      <w:r w:rsidR="005D2506">
        <w:t xml:space="preserve">ion set is unknown and if the relative value of full information compared to partial information is not known – i.e. how much is </w:t>
      </w:r>
      <w:r w:rsidR="00E40606">
        <w:t>enough?</w:t>
      </w:r>
      <w:r w:rsidR="005D2506">
        <w:t xml:space="preserve">  Even if full information is achieved, it can actually have an adverse impact on decisions by clouding or adding unnecessary cues.</w:t>
      </w:r>
      <w:r w:rsidR="00020B97">
        <w:t xml:space="preserve">  </w:t>
      </w:r>
    </w:p>
    <w:p w:rsidR="00B90E3A" w:rsidRDefault="00B90E3A" w:rsidP="00B90E3A">
      <w:pPr>
        <w:pStyle w:val="ListParagraph"/>
        <w:rPr>
          <w:b/>
        </w:rPr>
      </w:pPr>
    </w:p>
    <w:p w:rsidR="002456C5" w:rsidRDefault="002456C5" w:rsidP="002456C5">
      <w:pPr>
        <w:pStyle w:val="ListParagraph"/>
        <w:numPr>
          <w:ilvl w:val="0"/>
          <w:numId w:val="3"/>
        </w:numPr>
        <w:rPr>
          <w:b/>
        </w:rPr>
      </w:pPr>
      <w:r>
        <w:rPr>
          <w:b/>
        </w:rPr>
        <w:t>Decision complexity increases exponentially</w:t>
      </w:r>
    </w:p>
    <w:p w:rsidR="00921AC0" w:rsidRPr="00886FBB" w:rsidRDefault="007F0885" w:rsidP="00886FBB">
      <w:pPr>
        <w:ind w:left="720"/>
      </w:pPr>
      <w:r>
        <w:t>Laboratory experiment</w:t>
      </w:r>
      <w:r w:rsidR="003D28DE">
        <w:t>s</w:t>
      </w:r>
      <w:r>
        <w:t xml:space="preserve"> are generally based around relatively simple decisions between a small number of options with kn</w:t>
      </w:r>
      <w:r w:rsidR="005D1D28">
        <w:t xml:space="preserve">own outcome probabilities and </w:t>
      </w:r>
      <w:r>
        <w:t xml:space="preserve">clear distinguishing </w:t>
      </w:r>
      <w:r w:rsidR="005D1D28">
        <w:t>cues</w:t>
      </w:r>
      <w:r>
        <w:t xml:space="preserve"> (e.g. financial gain/loss).  However, real-life decisions tend to be significantly more complex than this, with </w:t>
      </w:r>
      <w:r w:rsidR="003D28DE">
        <w:t>numerous</w:t>
      </w:r>
      <w:r>
        <w:t xml:space="preserve"> options, unknown probabilities and multiple criteria.  </w:t>
      </w:r>
      <w:r w:rsidR="003D28DE">
        <w:t>Weighing t</w:t>
      </w:r>
      <w:r w:rsidR="00886FBB">
        <w:t>he</w:t>
      </w:r>
      <w:r w:rsidR="005D1D28">
        <w:t>se</w:t>
      </w:r>
      <w:r w:rsidR="00886FBB">
        <w:t xml:space="preserve"> cues quickly become</w:t>
      </w:r>
      <w:r w:rsidR="003D28DE">
        <w:t>s</w:t>
      </w:r>
      <w:r w:rsidR="00886FBB">
        <w:t xml:space="preserve"> </w:t>
      </w:r>
      <w:r w:rsidR="003D28DE">
        <w:t>challenging</w:t>
      </w:r>
      <w:r w:rsidR="00886FBB">
        <w:t xml:space="preserve"> and overall complexity of the analytical task grows exponentially.  Behavioural economics predicts that people will take intuitive</w:t>
      </w:r>
      <w:r w:rsidR="003D28DE">
        <w:t>,</w:t>
      </w:r>
      <w:r w:rsidR="00886FBB">
        <w:t xml:space="preserve"> </w:t>
      </w:r>
      <w:r w:rsidR="003D28DE">
        <w:t>rather</w:t>
      </w:r>
      <w:r w:rsidR="00524584">
        <w:t xml:space="preserve"> than rational, </w:t>
      </w:r>
      <w:r w:rsidR="00886FBB">
        <w:t>opportunities to reduce this complexity</w:t>
      </w:r>
      <w:r w:rsidR="0040212C">
        <w:t xml:space="preserve"> using heuristic</w:t>
      </w:r>
      <w:r w:rsidR="004232CD">
        <w:t>s</w:t>
      </w:r>
      <w:r w:rsidR="005D1D28">
        <w:t xml:space="preserve"> drawing on</w:t>
      </w:r>
      <w:r w:rsidR="006E6792">
        <w:t xml:space="preserve"> familiar memories or archetypes.</w:t>
      </w:r>
    </w:p>
    <w:p w:rsidR="00B90E3A" w:rsidRPr="00B90E3A" w:rsidRDefault="00B90E3A" w:rsidP="00B90E3A">
      <w:pPr>
        <w:rPr>
          <w:b/>
        </w:rPr>
      </w:pPr>
    </w:p>
    <w:p w:rsidR="00D10284" w:rsidRPr="00D10284" w:rsidRDefault="00D10284" w:rsidP="006539E3">
      <w:pPr>
        <w:pStyle w:val="ListParagraph"/>
        <w:numPr>
          <w:ilvl w:val="0"/>
          <w:numId w:val="3"/>
        </w:numPr>
        <w:rPr>
          <w:b/>
        </w:rPr>
      </w:pPr>
      <w:r>
        <w:rPr>
          <w:b/>
        </w:rPr>
        <w:t>Money is not the only source of utility</w:t>
      </w:r>
    </w:p>
    <w:p w:rsidR="00D10284" w:rsidRPr="00451B5F" w:rsidRDefault="00451B5F" w:rsidP="00D10284">
      <w:pPr>
        <w:ind w:left="720"/>
      </w:pPr>
      <w:r>
        <w:t xml:space="preserve">While neoclassical economics does allow for </w:t>
      </w:r>
      <w:r w:rsidR="00B12A80">
        <w:t xml:space="preserve">non-financial forms of utility, these are generally underplayed.  Conversely, bounded rationality expects decisions to be exercised across multiple concepts of utility.  </w:t>
      </w:r>
      <w:r w:rsidR="00E40606">
        <w:t>Relevant o</w:t>
      </w:r>
      <w:r w:rsidR="00B12A80">
        <w:t xml:space="preserve">ther forms of utility </w:t>
      </w:r>
      <w:r w:rsidR="00E40606">
        <w:t xml:space="preserve">for educational decisions </w:t>
      </w:r>
      <w:r w:rsidR="00B12A80">
        <w:t>might include happiness/wellbeing</w:t>
      </w:r>
      <w:r w:rsidR="002E4A77">
        <w:t xml:space="preserve">, </w:t>
      </w:r>
      <w:r w:rsidR="00E40606">
        <w:t xml:space="preserve">the desire for academic success, </w:t>
      </w:r>
      <w:r w:rsidR="00B12A80">
        <w:t xml:space="preserve">the maintenance of </w:t>
      </w:r>
      <w:r w:rsidR="00E40606">
        <w:t xml:space="preserve">positive </w:t>
      </w:r>
      <w:r w:rsidR="00B12A80">
        <w:t>social relationships</w:t>
      </w:r>
      <w:r w:rsidR="002E4A77">
        <w:t xml:space="preserve"> or the non-transgression of societal expectations.</w:t>
      </w:r>
      <w:r w:rsidR="002740C9">
        <w:t xml:space="preserve"> </w:t>
      </w:r>
      <w:r w:rsidR="00F10437">
        <w:t>In particular</w:t>
      </w:r>
      <w:r w:rsidR="002740C9">
        <w:t>, both Simon and Kahneman view humans as emotional decision-makers who seek to maximise their positive affect</w:t>
      </w:r>
      <w:r w:rsidR="006E2950">
        <w:t>, especially in the short-term.</w:t>
      </w:r>
    </w:p>
    <w:p w:rsidR="00D10284" w:rsidRDefault="00D10284" w:rsidP="00D10284">
      <w:pPr>
        <w:pStyle w:val="ListParagraph"/>
        <w:rPr>
          <w:b/>
        </w:rPr>
      </w:pPr>
    </w:p>
    <w:p w:rsidR="006539E3" w:rsidRDefault="006539E3" w:rsidP="006539E3">
      <w:pPr>
        <w:pStyle w:val="ListParagraph"/>
        <w:numPr>
          <w:ilvl w:val="0"/>
          <w:numId w:val="3"/>
        </w:numPr>
        <w:rPr>
          <w:b/>
        </w:rPr>
      </w:pPr>
      <w:r>
        <w:rPr>
          <w:b/>
        </w:rPr>
        <w:t>Responses to cues are highly individual, but socially embedded</w:t>
      </w:r>
    </w:p>
    <w:p w:rsidR="006539E3" w:rsidRPr="00302E17" w:rsidRDefault="006539E3" w:rsidP="006539E3">
      <w:pPr>
        <w:ind w:left="720"/>
      </w:pPr>
      <w:r>
        <w:t xml:space="preserve">Bounded rationality predicts that individuals will react differently to the same </w:t>
      </w:r>
      <w:r w:rsidR="00E40606">
        <w:t>options</w:t>
      </w:r>
      <w:r>
        <w:t xml:space="preserve">.  Specifically, people react primarily to changes in their financial situation rather than the absolute endpoint; as all financial situations differ, so do the decisions.  In particular, relative gains are more likely to be valued by those with </w:t>
      </w:r>
      <w:r w:rsidR="00E40606">
        <w:t xml:space="preserve">lower wealth.  Furthermore, prior experiences and the </w:t>
      </w:r>
      <w:r>
        <w:t>wider social environment will impact on their concepts of v</w:t>
      </w:r>
      <w:r w:rsidR="005D1D28">
        <w:t xml:space="preserve">alue and the criteria </w:t>
      </w:r>
      <w:r>
        <w:t>use</w:t>
      </w:r>
      <w:r w:rsidR="005D1D28">
        <w:t>d</w:t>
      </w:r>
      <w:r>
        <w:t xml:space="preserve"> to estimate it, as well as shaping expectations</w:t>
      </w:r>
      <w:r w:rsidR="00F83942">
        <w:t xml:space="preserve"> – which, in turn, </w:t>
      </w:r>
      <w:r w:rsidR="005D1D28">
        <w:t>shape the framing</w:t>
      </w:r>
      <w:r w:rsidR="00F83942">
        <w:t xml:space="preserve"> of decisions</w:t>
      </w:r>
      <w:r w:rsidR="003D28DE">
        <w:t xml:space="preserve"> in ways that are</w:t>
      </w:r>
      <w:r>
        <w:t xml:space="preserve"> redolent of Bourdieu’s concept of ‘habitus’ (Collet, 2009).</w:t>
      </w:r>
    </w:p>
    <w:p w:rsidR="006539E3" w:rsidRPr="006539E3" w:rsidRDefault="006539E3" w:rsidP="006539E3">
      <w:pPr>
        <w:ind w:left="360"/>
        <w:rPr>
          <w:b/>
        </w:rPr>
      </w:pPr>
    </w:p>
    <w:p w:rsidR="002456C5" w:rsidRDefault="005C69CC" w:rsidP="002456C5">
      <w:pPr>
        <w:pStyle w:val="ListParagraph"/>
        <w:numPr>
          <w:ilvl w:val="0"/>
          <w:numId w:val="3"/>
        </w:numPr>
        <w:rPr>
          <w:b/>
        </w:rPr>
      </w:pPr>
      <w:r>
        <w:rPr>
          <w:b/>
        </w:rPr>
        <w:t xml:space="preserve">Risk is contextualised and attitudes are </w:t>
      </w:r>
      <w:r w:rsidR="00E40606">
        <w:rPr>
          <w:b/>
        </w:rPr>
        <w:t>nonlinear</w:t>
      </w:r>
    </w:p>
    <w:p w:rsidR="007C5294" w:rsidRPr="00405FCF" w:rsidRDefault="005D3DC0" w:rsidP="001E0A52">
      <w:pPr>
        <w:ind w:left="720"/>
      </w:pPr>
      <w:r>
        <w:lastRenderedPageBreak/>
        <w:t xml:space="preserve">Experimental </w:t>
      </w:r>
      <w:r w:rsidR="001E0A52">
        <w:t>studies</w:t>
      </w:r>
      <w:r>
        <w:t xml:space="preserve"> </w:t>
      </w:r>
      <w:r w:rsidR="003D28DE">
        <w:t xml:space="preserve">suggest </w:t>
      </w:r>
      <w:r>
        <w:t xml:space="preserve">that people are </w:t>
      </w:r>
      <w:r w:rsidR="00102DE8">
        <w:t>risk</w:t>
      </w:r>
      <w:r w:rsidR="003D28DE">
        <w:t>-</w:t>
      </w:r>
      <w:r w:rsidR="00102DE8">
        <w:t>averse when considering losses, but more risk</w:t>
      </w:r>
      <w:r w:rsidR="003D28DE">
        <w:t>-</w:t>
      </w:r>
      <w:r w:rsidR="00D71137">
        <w:t>tolerant</w:t>
      </w:r>
      <w:r w:rsidR="00102DE8">
        <w:t xml:space="preserve"> when considering gains.  Furthermore, tolerance is higher when the </w:t>
      </w:r>
      <w:r w:rsidR="003D28DE">
        <w:t>probabilities and outcomes</w:t>
      </w:r>
      <w:r w:rsidR="00102DE8">
        <w:t xml:space="preserve"> are known </w:t>
      </w:r>
      <w:r w:rsidR="003D28DE">
        <w:t>rather than</w:t>
      </w:r>
      <w:r w:rsidR="001E0A52">
        <w:t xml:space="preserve"> unknown or unknowable</w:t>
      </w:r>
      <w:r w:rsidR="005D1D28">
        <w:t>. P</w:t>
      </w:r>
      <w:r w:rsidR="00405FCF">
        <w:t xml:space="preserve">eople are not </w:t>
      </w:r>
      <w:r w:rsidR="001E0A52">
        <w:t xml:space="preserve">generally </w:t>
      </w:r>
      <w:r w:rsidR="00405FCF">
        <w:t>good estimators of the lik</w:t>
      </w:r>
      <w:r w:rsidR="00166663">
        <w:t xml:space="preserve">elihoods of particular events </w:t>
      </w:r>
      <w:r w:rsidR="003D28DE">
        <w:t>occurring</w:t>
      </w:r>
      <w:r w:rsidR="006B6066">
        <w:t xml:space="preserve">, especially </w:t>
      </w:r>
      <w:r w:rsidR="003D28DE">
        <w:t>over</w:t>
      </w:r>
      <w:r w:rsidR="006B6066">
        <w:t xml:space="preserve"> a lengthy passage of time</w:t>
      </w:r>
      <w:r w:rsidR="004534E3">
        <w:t xml:space="preserve"> and </w:t>
      </w:r>
      <w:r w:rsidR="003D28DE">
        <w:t xml:space="preserve">with </w:t>
      </w:r>
      <w:r w:rsidR="004534E3">
        <w:t>an emotional component</w:t>
      </w:r>
      <w:r w:rsidR="006B6066">
        <w:t>: ‘the long term is not where life i</w:t>
      </w:r>
      <w:r w:rsidR="00EC00BA">
        <w:t>s</w:t>
      </w:r>
      <w:r w:rsidR="006B6066">
        <w:t xml:space="preserve"> lived’ (Kahneman, 2003, p.1457)</w:t>
      </w:r>
      <w:r w:rsidR="004534E3">
        <w:t>.</w:t>
      </w:r>
    </w:p>
    <w:p w:rsidR="00C45B9E" w:rsidRDefault="00C45B9E" w:rsidP="00C21A01">
      <w:pPr>
        <w:rPr>
          <w:b/>
        </w:rPr>
      </w:pPr>
    </w:p>
    <w:p w:rsidR="00C45B9E" w:rsidRDefault="00C45B9E" w:rsidP="00C21A01">
      <w:pPr>
        <w:rPr>
          <w:b/>
        </w:rPr>
      </w:pPr>
    </w:p>
    <w:p w:rsidR="0020227D" w:rsidRDefault="0020227D" w:rsidP="00C21A01">
      <w:pPr>
        <w:rPr>
          <w:b/>
        </w:rPr>
      </w:pPr>
      <w:r w:rsidRPr="0020227D">
        <w:rPr>
          <w:b/>
        </w:rPr>
        <w:t>Higher education choices</w:t>
      </w:r>
    </w:p>
    <w:p w:rsidR="0020227D" w:rsidRDefault="0020227D" w:rsidP="00C21A01">
      <w:pPr>
        <w:rPr>
          <w:b/>
        </w:rPr>
      </w:pPr>
    </w:p>
    <w:p w:rsidR="0020227D" w:rsidRDefault="00E80ABA" w:rsidP="00C21A01">
      <w:r>
        <w:t>This section explore</w:t>
      </w:r>
      <w:r w:rsidR="003D28DE">
        <w:t>s</w:t>
      </w:r>
      <w:r>
        <w:t xml:space="preserve"> how </w:t>
      </w:r>
      <w:r w:rsidR="00853B24">
        <w:t>the</w:t>
      </w:r>
      <w:r w:rsidR="003D28DE">
        <w:t>se</w:t>
      </w:r>
      <w:r w:rsidR="00853B24">
        <w:t xml:space="preserve"> theoretical principles </w:t>
      </w:r>
      <w:r>
        <w:t>might be applied to higher education decisions. No specific cl</w:t>
      </w:r>
      <w:r w:rsidR="005D1D28">
        <w:t xml:space="preserve">aims to knowledge are made here; </w:t>
      </w:r>
      <w:r>
        <w:t xml:space="preserve">the </w:t>
      </w:r>
      <w:r w:rsidR="003D28DE">
        <w:t>discussion</w:t>
      </w:r>
      <w:r>
        <w:t xml:space="preserve"> i</w:t>
      </w:r>
      <w:r w:rsidR="00F20DB3">
        <w:t>s speculative and illustrativ</w:t>
      </w:r>
      <w:r w:rsidR="005D1D28">
        <w:t xml:space="preserve">e in nature.  It </w:t>
      </w:r>
      <w:r w:rsidR="00F20DB3">
        <w:t>us</w:t>
      </w:r>
      <w:r w:rsidR="005D1D28">
        <w:t>es</w:t>
      </w:r>
      <w:r w:rsidR="00F20DB3">
        <w:t xml:space="preserve"> a bounded rationality lens to examine three key decisions where empirical evidence suggests that many students, especially from disadvantaged backgrounds, are making non-rational decisions</w:t>
      </w:r>
      <w:r w:rsidR="00AE123C">
        <w:t>; f</w:t>
      </w:r>
      <w:r w:rsidR="00436E8B">
        <w:t xml:space="preserve">or simplicity, it will </w:t>
      </w:r>
      <w:r>
        <w:t>focus on young applicants, although the principles are likely to relate to mature students too.</w:t>
      </w:r>
      <w:r w:rsidR="003D28DE">
        <w:t xml:space="preserve">  </w:t>
      </w:r>
      <w:r w:rsidR="0020227D">
        <w:t xml:space="preserve">The decision-making process surrounding entry to higher education </w:t>
      </w:r>
      <w:r w:rsidR="003D28DE">
        <w:t>starts</w:t>
      </w:r>
      <w:r w:rsidR="0020227D">
        <w:t xml:space="preserve"> early in the teenage years for most</w:t>
      </w:r>
      <w:r w:rsidR="005D1D28">
        <w:t xml:space="preserve"> and</w:t>
      </w:r>
      <w:r w:rsidR="0020227D">
        <w:t xml:space="preserve"> is undoubtedly complex, with a wide variety of higher education forms on offer, </w:t>
      </w:r>
      <w:r w:rsidR="005D1D28">
        <w:t>including</w:t>
      </w:r>
      <w:r w:rsidR="0020227D">
        <w:t xml:space="preserve"> </w:t>
      </w:r>
      <w:r w:rsidR="003D28DE">
        <w:t>thousands</w:t>
      </w:r>
      <w:r w:rsidR="0020227D">
        <w:t xml:space="preserve"> of degree programmes </w:t>
      </w:r>
      <w:r w:rsidR="003D28DE">
        <w:t>across</w:t>
      </w:r>
      <w:r w:rsidR="0020227D">
        <w:t xml:space="preserve"> </w:t>
      </w:r>
      <w:r w:rsidR="003D28DE">
        <w:t>around 150 universities in England</w:t>
      </w:r>
      <w:r w:rsidR="0020227D">
        <w:t>.</w:t>
      </w:r>
    </w:p>
    <w:p w:rsidR="0020227D" w:rsidRDefault="0020227D" w:rsidP="00C21A01"/>
    <w:p w:rsidR="0020227D" w:rsidRDefault="0020227D" w:rsidP="00C21A01">
      <w:r>
        <w:t xml:space="preserve">For the purposes of this chapter, three principal decisions </w:t>
      </w:r>
      <w:r w:rsidR="005D1D28">
        <w:t xml:space="preserve">with the most obvious economic component are examined, </w:t>
      </w:r>
      <w:r w:rsidR="00B50C4E">
        <w:t xml:space="preserve">although these will be supplemented by issues of personal preference (e.g. which specific university) and myriad </w:t>
      </w:r>
      <w:r>
        <w:t>micro-decisions (e.g. whether t</w:t>
      </w:r>
      <w:r w:rsidR="00A01AB9">
        <w:t>o live in halls of residence).</w:t>
      </w:r>
    </w:p>
    <w:p w:rsidR="0020227D" w:rsidRDefault="0020227D" w:rsidP="00C21A01"/>
    <w:p w:rsidR="00AE123C" w:rsidRDefault="00AE123C" w:rsidP="00C21A01"/>
    <w:p w:rsidR="00186DE5" w:rsidRPr="00853B24" w:rsidRDefault="005D1D28" w:rsidP="00853B24">
      <w:pPr>
        <w:rPr>
          <w:i/>
        </w:rPr>
      </w:pPr>
      <w:r>
        <w:rPr>
          <w:i/>
        </w:rPr>
        <w:t>Should I</w:t>
      </w:r>
      <w:r w:rsidR="00853B24" w:rsidRPr="00853B24">
        <w:rPr>
          <w:i/>
        </w:rPr>
        <w:t xml:space="preserve"> enter higher education</w:t>
      </w:r>
      <w:r>
        <w:rPr>
          <w:i/>
        </w:rPr>
        <w:t>?</w:t>
      </w:r>
    </w:p>
    <w:p w:rsidR="00186DE5" w:rsidRDefault="00186DE5" w:rsidP="00186DE5">
      <w:pPr>
        <w:pStyle w:val="ListParagraph"/>
      </w:pPr>
    </w:p>
    <w:p w:rsidR="002D580F" w:rsidRDefault="00C704BB" w:rsidP="00853B24">
      <w:r>
        <w:t xml:space="preserve">This is obviously the most fundamental decision and the one that contributes to </w:t>
      </w:r>
      <w:r w:rsidR="003B0ED1">
        <w:t xml:space="preserve">national </w:t>
      </w:r>
      <w:r>
        <w:t xml:space="preserve">performance indicators on higher education access.  </w:t>
      </w:r>
      <w:r w:rsidR="00A01AB9">
        <w:t>It is predicated on the</w:t>
      </w:r>
      <w:r>
        <w:t xml:space="preserve"> possession of qualifications that permit higher education</w:t>
      </w:r>
      <w:r w:rsidR="003B0ED1">
        <w:t xml:space="preserve"> entry</w:t>
      </w:r>
      <w:r w:rsidR="00A01AB9">
        <w:t xml:space="preserve"> and</w:t>
      </w:r>
      <w:r w:rsidR="003B0ED1">
        <w:t xml:space="preserve"> the </w:t>
      </w:r>
      <w:r>
        <w:t>majority of individuals</w:t>
      </w:r>
      <w:r w:rsidR="005D1D28">
        <w:t xml:space="preserve"> who possess these</w:t>
      </w:r>
      <w:r>
        <w:t xml:space="preserve"> do choose to progress, almost regardless of their socio-economic status (</w:t>
      </w:r>
      <w:r w:rsidR="00FD01E5">
        <w:t xml:space="preserve">Coleman and </w:t>
      </w:r>
      <w:proofErr w:type="spellStart"/>
      <w:r w:rsidR="00FD01E5">
        <w:t>Bekhradnia</w:t>
      </w:r>
      <w:proofErr w:type="spellEnd"/>
      <w:r w:rsidR="00FD01E5">
        <w:t xml:space="preserve">, 2011; </w:t>
      </w:r>
      <w:r>
        <w:t>Crawford</w:t>
      </w:r>
      <w:r w:rsidR="00481534">
        <w:t>,</w:t>
      </w:r>
      <w:r>
        <w:t xml:space="preserve"> </w:t>
      </w:r>
      <w:r w:rsidR="00FD01E5">
        <w:t>2014</w:t>
      </w:r>
      <w:r w:rsidR="003B0ED1">
        <w:t>).  This imperative is strongest</w:t>
      </w:r>
      <w:r>
        <w:t xml:space="preserve"> among those with the </w:t>
      </w:r>
      <w:r w:rsidR="003B0ED1">
        <w:t xml:space="preserve">most and the </w:t>
      </w:r>
      <w:r>
        <w:t xml:space="preserve">highest status qualifications.  </w:t>
      </w:r>
      <w:r w:rsidR="008D2403">
        <w:t xml:space="preserve">Nevertheless, </w:t>
      </w:r>
      <w:r w:rsidR="00A01AB9">
        <w:t>some</w:t>
      </w:r>
      <w:r w:rsidR="008D2403">
        <w:t xml:space="preserve"> do choose not to seek entry to higher education, particularly those with fewer or lower status qualifications.</w:t>
      </w:r>
    </w:p>
    <w:p w:rsidR="002D580F" w:rsidRDefault="002D580F" w:rsidP="002D580F">
      <w:pPr>
        <w:pStyle w:val="ListParagraph"/>
      </w:pPr>
    </w:p>
    <w:p w:rsidR="00295CF5" w:rsidRDefault="00481534" w:rsidP="00853B24">
      <w:r>
        <w:t>Regardless of the reality, f</w:t>
      </w:r>
      <w:r w:rsidR="00C704BB">
        <w:t>or most stude</w:t>
      </w:r>
      <w:r w:rsidR="000C3C6E">
        <w:t>nts the decision is driven in</w:t>
      </w:r>
      <w:r w:rsidR="00C704BB">
        <w:t xml:space="preserve"> large </w:t>
      </w:r>
      <w:r w:rsidR="000C3C6E">
        <w:t>part</w:t>
      </w:r>
      <w:r w:rsidR="00C704BB">
        <w:t xml:space="preserve"> by </w:t>
      </w:r>
      <w:r w:rsidR="00295CF5">
        <w:t>a general</w:t>
      </w:r>
      <w:r w:rsidR="00C704BB">
        <w:t xml:space="preserve"> belief in ‘human capital’</w:t>
      </w:r>
      <w:r>
        <w:t xml:space="preserve"> (Becker, 1994</w:t>
      </w:r>
      <w:r w:rsidR="00230355">
        <w:t>)</w:t>
      </w:r>
      <w:r w:rsidR="00C704BB">
        <w:t xml:space="preserve"> </w:t>
      </w:r>
      <w:r w:rsidR="00230355">
        <w:t>–</w:t>
      </w:r>
      <w:r w:rsidR="00C704BB">
        <w:t xml:space="preserve"> that the accumulation of qualifications will have a positive impact on their long-term finances and wellbeing</w:t>
      </w:r>
      <w:r w:rsidR="000C3C6E">
        <w:t xml:space="preserve"> (Purcell</w:t>
      </w:r>
      <w:r w:rsidR="00453C97">
        <w:t xml:space="preserve"> et al.,</w:t>
      </w:r>
      <w:r w:rsidR="000C3C6E">
        <w:t xml:space="preserve"> </w:t>
      </w:r>
      <w:r w:rsidR="008400FF">
        <w:t>2008</w:t>
      </w:r>
      <w:r w:rsidR="005C4547">
        <w:t>)</w:t>
      </w:r>
      <w:r w:rsidR="00C704BB">
        <w:t>.</w:t>
      </w:r>
      <w:r w:rsidR="002D580F">
        <w:t xml:space="preserve">  This is juxtaposed against the short-term costs of higher education in terms of loan accumulated </w:t>
      </w:r>
      <w:r w:rsidR="00FA72F6">
        <w:t xml:space="preserve">for tuition fees and living costs, as well as </w:t>
      </w:r>
      <w:r w:rsidR="002D580F">
        <w:t xml:space="preserve">forgone </w:t>
      </w:r>
      <w:r w:rsidR="00295CF5">
        <w:t>earnings and career progression</w:t>
      </w:r>
      <w:r w:rsidR="00F87285">
        <w:t xml:space="preserve"> over the period of study.</w:t>
      </w:r>
    </w:p>
    <w:p w:rsidR="00295CF5" w:rsidRDefault="00295CF5" w:rsidP="00D264D3">
      <w:pPr>
        <w:pStyle w:val="ListParagraph"/>
      </w:pPr>
    </w:p>
    <w:p w:rsidR="00E124F7" w:rsidRDefault="00684CB5" w:rsidP="00853B24">
      <w:r>
        <w:lastRenderedPageBreak/>
        <w:t>There is, therefore, a</w:t>
      </w:r>
      <w:r w:rsidR="005E7C6F">
        <w:t>n economic</w:t>
      </w:r>
      <w:r>
        <w:t xml:space="preserve"> decision to be made.  </w:t>
      </w:r>
      <w:r w:rsidR="005E7C6F">
        <w:t xml:space="preserve">On the one hand, basic information about direct costs is readily-available through a host of official websites.  The </w:t>
      </w:r>
      <w:r w:rsidR="005D1D28">
        <w:t>opportunity</w:t>
      </w:r>
      <w:r w:rsidR="005E7C6F">
        <w:t xml:space="preserve"> costs of participation are harder to estimate: what job </w:t>
      </w:r>
      <w:r w:rsidR="00A01AB9">
        <w:t>c</w:t>
      </w:r>
      <w:r w:rsidR="005E7C6F">
        <w:t xml:space="preserve">ould </w:t>
      </w:r>
      <w:r w:rsidR="004D30EF">
        <w:t xml:space="preserve">have </w:t>
      </w:r>
      <w:r w:rsidR="005E7C6F">
        <w:t>be</w:t>
      </w:r>
      <w:r w:rsidR="004D30EF">
        <w:t>en</w:t>
      </w:r>
      <w:r w:rsidR="005E7C6F">
        <w:t xml:space="preserve"> </w:t>
      </w:r>
      <w:r w:rsidR="00A01AB9">
        <w:t>secured</w:t>
      </w:r>
      <w:r w:rsidR="004D30EF">
        <w:t xml:space="preserve"> </w:t>
      </w:r>
      <w:r w:rsidR="00A01AB9">
        <w:t>outside</w:t>
      </w:r>
      <w:r w:rsidR="004D30EF">
        <w:t xml:space="preserve"> higher education</w:t>
      </w:r>
      <w:r w:rsidR="005E7C6F">
        <w:t xml:space="preserve">, what </w:t>
      </w:r>
      <w:r w:rsidR="005D1D28">
        <w:t>might</w:t>
      </w:r>
      <w:r w:rsidR="005E7C6F">
        <w:t xml:space="preserve"> it pay and </w:t>
      </w:r>
      <w:r w:rsidR="005D1D28">
        <w:t xml:space="preserve">with </w:t>
      </w:r>
      <w:r w:rsidR="005E7C6F">
        <w:t>what chances for pr</w:t>
      </w:r>
      <w:r w:rsidR="00EA0907">
        <w:t xml:space="preserve">ogression.  These estimates </w:t>
      </w:r>
      <w:r w:rsidR="00A01AB9">
        <w:t xml:space="preserve">are assembled in a </w:t>
      </w:r>
      <w:r w:rsidR="00EA0907">
        <w:t>congested graduate</w:t>
      </w:r>
      <w:r w:rsidR="005C4547">
        <w:t xml:space="preserve"> employment market</w:t>
      </w:r>
      <w:r w:rsidR="005D1D28">
        <w:t xml:space="preserve"> where </w:t>
      </w:r>
      <w:r w:rsidR="00EA0907">
        <w:t>wo</w:t>
      </w:r>
      <w:r w:rsidR="00A01AB9">
        <w:t>rk previously available to 18-year-</w:t>
      </w:r>
      <w:r w:rsidR="00EA0907">
        <w:t xml:space="preserve">olds now </w:t>
      </w:r>
      <w:r w:rsidR="00822523">
        <w:t>requir</w:t>
      </w:r>
      <w:r w:rsidR="005C4547">
        <w:t>es</w:t>
      </w:r>
      <w:r w:rsidR="00822523">
        <w:t xml:space="preserve"> a degree as a minimum </w:t>
      </w:r>
      <w:r w:rsidR="005C4547">
        <w:t>(Brown, 2013)</w:t>
      </w:r>
      <w:r w:rsidR="00822523">
        <w:t xml:space="preserve">.  Those with strong </w:t>
      </w:r>
      <w:r w:rsidR="00BB6BE9">
        <w:t xml:space="preserve">or vocationally-focused </w:t>
      </w:r>
      <w:r w:rsidR="00822523">
        <w:t xml:space="preserve">qualifications </w:t>
      </w:r>
      <w:r w:rsidR="00BB6BE9">
        <w:t>(</w:t>
      </w:r>
      <w:r w:rsidR="00E124F7">
        <w:t xml:space="preserve">or </w:t>
      </w:r>
      <w:r w:rsidR="00BB6BE9">
        <w:t xml:space="preserve">useful </w:t>
      </w:r>
      <w:r w:rsidR="00E124F7">
        <w:t>family networks</w:t>
      </w:r>
      <w:r w:rsidR="00BB6BE9">
        <w:t>)</w:t>
      </w:r>
      <w:r w:rsidR="00E124F7">
        <w:t xml:space="preserve"> </w:t>
      </w:r>
      <w:r w:rsidR="005C4547">
        <w:t>might</w:t>
      </w:r>
      <w:r w:rsidR="00822523">
        <w:t xml:space="preserve"> have realistic expectations of securing a traineeship or apprenticeship with on-the-job training and progression routes.  However, for most, the alternative to hig</w:t>
      </w:r>
      <w:r w:rsidR="00A01AB9">
        <w:t>her education would be low wage and</w:t>
      </w:r>
      <w:r w:rsidR="00822523">
        <w:t xml:space="preserve"> low prospect employment or</w:t>
      </w:r>
      <w:r w:rsidR="00A01AB9">
        <w:t xml:space="preserve"> </w:t>
      </w:r>
      <w:r w:rsidR="00822523">
        <w:t>unemployment.</w:t>
      </w:r>
    </w:p>
    <w:p w:rsidR="00827350" w:rsidRDefault="00827350" w:rsidP="00827350">
      <w:pPr>
        <w:pStyle w:val="ListParagraph"/>
      </w:pPr>
    </w:p>
    <w:p w:rsidR="006041E8" w:rsidRDefault="00827350" w:rsidP="00853B24">
      <w:r>
        <w:t>Conversely</w:t>
      </w:r>
      <w:r w:rsidR="00157088">
        <w:t xml:space="preserve">, </w:t>
      </w:r>
      <w:r>
        <w:t>information on possible financial outcomes from higher education is harder to obtain</w:t>
      </w:r>
      <w:r w:rsidR="00332283">
        <w:t xml:space="preserve"> (and inherently out-of-date)</w:t>
      </w:r>
      <w:r>
        <w:t>.  Partly due to the congested market, the likelihood of securing graduate</w:t>
      </w:r>
      <w:r w:rsidR="00D67DC3">
        <w:t>-level</w:t>
      </w:r>
      <w:r>
        <w:t xml:space="preserve"> work is </w:t>
      </w:r>
      <w:r w:rsidR="00D67DC3">
        <w:t>uncertain (Scurry and Blenkinsopp, 2011; Purcell et al., 2012)</w:t>
      </w:r>
      <w:r w:rsidR="00895190">
        <w:t>,</w:t>
      </w:r>
      <w:r>
        <w:t xml:space="preserve"> </w:t>
      </w:r>
      <w:r w:rsidR="00895190">
        <w:t>while</w:t>
      </w:r>
      <w:r>
        <w:t xml:space="preserve"> </w:t>
      </w:r>
      <w:r w:rsidR="00895190">
        <w:t xml:space="preserve">graduate </w:t>
      </w:r>
      <w:r>
        <w:t>salaries are heavily dependent on degree subject, university status and degree result</w:t>
      </w:r>
      <w:r w:rsidR="00895190">
        <w:t xml:space="preserve"> (Walker and Zhu</w:t>
      </w:r>
      <w:r w:rsidR="00664E07">
        <w:t>,</w:t>
      </w:r>
      <w:r w:rsidR="00895190">
        <w:t xml:space="preserve"> </w:t>
      </w:r>
      <w:r w:rsidR="009077B1">
        <w:t xml:space="preserve">2011; </w:t>
      </w:r>
      <w:r w:rsidR="00664E07">
        <w:t>Chevalier, 2011</w:t>
      </w:r>
      <w:r w:rsidR="00D67DC3">
        <w:t xml:space="preserve">; Naylor, Smith and </w:t>
      </w:r>
      <w:proofErr w:type="spellStart"/>
      <w:r w:rsidR="00D67DC3">
        <w:t>Telhaj</w:t>
      </w:r>
      <w:proofErr w:type="spellEnd"/>
      <w:r w:rsidR="00D67DC3">
        <w:t xml:space="preserve">, </w:t>
      </w:r>
      <w:r w:rsidR="001B1438">
        <w:t>in press</w:t>
      </w:r>
      <w:r w:rsidR="00895190">
        <w:t>)</w:t>
      </w:r>
      <w:r>
        <w:t>.</w:t>
      </w:r>
      <w:r w:rsidR="002235DE">
        <w:t xml:space="preserve">  </w:t>
      </w:r>
      <w:r w:rsidR="00A01AB9">
        <w:t>E</w:t>
      </w:r>
      <w:r w:rsidR="00CC6989">
        <w:t xml:space="preserve">ven given figures </w:t>
      </w:r>
      <w:r w:rsidR="005D1D28">
        <w:t xml:space="preserve">for </w:t>
      </w:r>
      <w:r w:rsidR="00CC6989">
        <w:t>typical graduate pathways or average salaries, the prospective student is far from in possession of perfect information</w:t>
      </w:r>
      <w:r w:rsidR="00A61A87">
        <w:t>, especially given increasing dispersion in salaries (Green and Zhu, 2010)</w:t>
      </w:r>
      <w:r w:rsidR="000B236F">
        <w:t xml:space="preserve">, with </w:t>
      </w:r>
      <w:r w:rsidR="00CC6989">
        <w:t>their own estimates tend</w:t>
      </w:r>
      <w:r w:rsidR="000B236F">
        <w:t>ing</w:t>
      </w:r>
      <w:r w:rsidR="00CC6989">
        <w:t xml:space="preserve"> to be too high</w:t>
      </w:r>
      <w:r w:rsidR="00AB2AB9">
        <w:t xml:space="preserve"> </w:t>
      </w:r>
      <w:r w:rsidR="00CC6989">
        <w:t>(</w:t>
      </w:r>
      <w:proofErr w:type="spellStart"/>
      <w:r w:rsidR="00287B9B">
        <w:t>Jerrim</w:t>
      </w:r>
      <w:proofErr w:type="spellEnd"/>
      <w:r w:rsidR="00287B9B">
        <w:t>, 2011</w:t>
      </w:r>
      <w:r w:rsidR="00CC6989">
        <w:t>).</w:t>
      </w:r>
      <w:r w:rsidR="004418D3">
        <w:t xml:space="preserve">  </w:t>
      </w:r>
    </w:p>
    <w:p w:rsidR="00827350" w:rsidRDefault="00827350" w:rsidP="00D264D3">
      <w:pPr>
        <w:pStyle w:val="ListParagraph"/>
      </w:pPr>
    </w:p>
    <w:p w:rsidR="00332283" w:rsidRDefault="004418D3" w:rsidP="00853B24">
      <w:r>
        <w:t>It is often assumed that young people from low income background</w:t>
      </w:r>
      <w:r w:rsidR="00A01AB9">
        <w:t>s</w:t>
      </w:r>
      <w:r>
        <w:t xml:space="preserve"> will be </w:t>
      </w:r>
      <w:r w:rsidR="0061610E">
        <w:t xml:space="preserve">disproportionately </w:t>
      </w:r>
      <w:r>
        <w:t>deterred by the cost of higher education</w:t>
      </w:r>
      <w:r w:rsidR="00A01AB9">
        <w:t xml:space="preserve"> </w:t>
      </w:r>
      <w:r w:rsidR="005D1D28">
        <w:t>due to</w:t>
      </w:r>
      <w:r w:rsidR="0061610E">
        <w:t xml:space="preserve"> </w:t>
      </w:r>
      <w:r w:rsidR="00670C89">
        <w:t>higher risk aversion and lower family resources</w:t>
      </w:r>
      <w:r w:rsidR="00686EC5">
        <w:t xml:space="preserve"> </w:t>
      </w:r>
      <w:r w:rsidR="00A01AB9">
        <w:t>(</w:t>
      </w:r>
      <w:r w:rsidR="00686EC5">
        <w:t>Callender and Jackson, 2005</w:t>
      </w:r>
      <w:r w:rsidR="00670C89">
        <w:t>)</w:t>
      </w:r>
      <w:r w:rsidR="0061610E">
        <w:t xml:space="preserve">, but this has been </w:t>
      </w:r>
      <w:r w:rsidR="00CF6C49">
        <w:t>increasingly challenged</w:t>
      </w:r>
      <w:r w:rsidR="0061610E">
        <w:t xml:space="preserve"> by evidence.  </w:t>
      </w:r>
      <w:r w:rsidR="00670C89">
        <w:t>Firstly, Crawford (2014) has shown that qualifications accrued at 16 account for around 95 percent of the variation in university participation</w:t>
      </w:r>
      <w:r w:rsidR="00853B24">
        <w:t xml:space="preserve"> rates</w:t>
      </w:r>
      <w:r w:rsidR="00670C89">
        <w:t xml:space="preserve">, such that the </w:t>
      </w:r>
      <w:r w:rsidR="00853B24">
        <w:t xml:space="preserve">social </w:t>
      </w:r>
      <w:r w:rsidR="00670C89">
        <w:t xml:space="preserve">differences are created much earlier in the </w:t>
      </w:r>
      <w:proofErr w:type="spellStart"/>
      <w:r w:rsidR="00670C89">
        <w:t>lifecourse</w:t>
      </w:r>
      <w:proofErr w:type="spellEnd"/>
      <w:r w:rsidR="00853B24">
        <w:t>, with little ‘space’ for debt aversion to play a major role</w:t>
      </w:r>
      <w:r w:rsidR="00670C89">
        <w:t>.  Secondly, official data (</w:t>
      </w:r>
      <w:r w:rsidR="00853B24">
        <w:t>e.g. Universities and Colleges Admissions Service</w:t>
      </w:r>
      <w:r w:rsidR="00A01AB9">
        <w:t xml:space="preserve"> [UCAS]</w:t>
      </w:r>
      <w:r w:rsidR="00853B24">
        <w:t>, 201</w:t>
      </w:r>
      <w:r w:rsidR="00A01AB9">
        <w:t>5</w:t>
      </w:r>
      <w:r w:rsidR="00670C89">
        <w:t xml:space="preserve">) shows that major increases in costs </w:t>
      </w:r>
      <w:r w:rsidR="005D1D28">
        <w:t xml:space="preserve">in 2006 and 2012 </w:t>
      </w:r>
      <w:r w:rsidR="00670C89">
        <w:t>were met with rising demand from lower socio-economic groups, rather than falling.</w:t>
      </w:r>
      <w:r w:rsidR="000774BA">
        <w:t xml:space="preserve">  Finally, interviews with students finds them mainly reporting tolerant attitudes to the costs of higher education (</w:t>
      </w:r>
      <w:r w:rsidR="00853B24">
        <w:t>Harrison et al., 2015;</w:t>
      </w:r>
      <w:r w:rsidR="00853B24" w:rsidRPr="00F011E3">
        <w:t xml:space="preserve"> </w:t>
      </w:r>
      <w:proofErr w:type="spellStart"/>
      <w:r w:rsidR="00853B24">
        <w:t>Esson</w:t>
      </w:r>
      <w:proofErr w:type="spellEnd"/>
      <w:r w:rsidR="00853B24">
        <w:t xml:space="preserve"> and Ertl</w:t>
      </w:r>
      <w:r w:rsidR="00A01AB9">
        <w:t>, 2016</w:t>
      </w:r>
      <w:r w:rsidR="000774BA">
        <w:t>).</w:t>
      </w:r>
    </w:p>
    <w:p w:rsidR="00827350" w:rsidRDefault="00827350" w:rsidP="00D264D3">
      <w:pPr>
        <w:pStyle w:val="ListParagraph"/>
      </w:pPr>
    </w:p>
    <w:p w:rsidR="0043634A" w:rsidRDefault="00150524" w:rsidP="00853B24">
      <w:r>
        <w:t>Using</w:t>
      </w:r>
      <w:r w:rsidR="00761C15">
        <w:t xml:space="preserve"> a bounded rationality </w:t>
      </w:r>
      <w:r>
        <w:t>lens</w:t>
      </w:r>
      <w:r w:rsidR="00761C15">
        <w:t xml:space="preserve">, this </w:t>
      </w:r>
      <w:r w:rsidR="00B50628">
        <w:t xml:space="preserve">potentially </w:t>
      </w:r>
      <w:r w:rsidR="00761C15">
        <w:t xml:space="preserve">counterintuitive </w:t>
      </w:r>
      <w:r w:rsidR="00B50628">
        <w:t>situation</w:t>
      </w:r>
      <w:r w:rsidR="00761C15">
        <w:t xml:space="preserve"> can be more readily understood.</w:t>
      </w:r>
      <w:r w:rsidR="00410BE0">
        <w:t xml:space="preserve">  </w:t>
      </w:r>
      <w:r w:rsidR="001B1438">
        <w:t xml:space="preserve">Firstly, the </w:t>
      </w:r>
      <w:r w:rsidR="00745CEE">
        <w:t xml:space="preserve">long-term </w:t>
      </w:r>
      <w:r w:rsidR="001B1438">
        <w:t xml:space="preserve">financial returns from higher education are unpredictable and becoming more so.  There is no reliable source of information available to prospective students; </w:t>
      </w:r>
      <w:r w:rsidR="00745CEE">
        <w:t>reliable</w:t>
      </w:r>
      <w:r w:rsidR="001B1438">
        <w:t xml:space="preserve"> data are always </w:t>
      </w:r>
      <w:r w:rsidR="00745CEE">
        <w:t>necessarily out-of-date</w:t>
      </w:r>
      <w:r w:rsidR="001B1438">
        <w:t xml:space="preserve">.  </w:t>
      </w:r>
      <w:r w:rsidR="00745CEE">
        <w:t>G</w:t>
      </w:r>
      <w:r w:rsidR="00A72972">
        <w:t>overnment, universities and schools</w:t>
      </w:r>
      <w:r w:rsidR="00745CEE">
        <w:t xml:space="preserve"> therefore rely on</w:t>
      </w:r>
      <w:r w:rsidR="00A72972">
        <w:t xml:space="preserve"> a general </w:t>
      </w:r>
      <w:r w:rsidR="00A01AB9">
        <w:t xml:space="preserve">exhortation towards </w:t>
      </w:r>
      <w:r w:rsidR="00A72972">
        <w:t xml:space="preserve">higher education with a tacit ‘promise’ of an improved future.  </w:t>
      </w:r>
      <w:r w:rsidR="001B1438">
        <w:t>Secondly, f</w:t>
      </w:r>
      <w:r w:rsidR="00410BE0">
        <w:t xml:space="preserve">or young people from low income backgrounds, their ability to lose through the higher education ‘gamble’ is </w:t>
      </w:r>
      <w:r w:rsidR="004A6B7A">
        <w:t>lower</w:t>
      </w:r>
      <w:r w:rsidR="00410BE0">
        <w:t xml:space="preserve">.  </w:t>
      </w:r>
      <w:r w:rsidR="005B7CD4">
        <w:t xml:space="preserve">While the precise outcome is unpredictable, there is confidence it will be higher than </w:t>
      </w:r>
      <w:r w:rsidR="001B1438">
        <w:t>the likely</w:t>
      </w:r>
      <w:r w:rsidR="005B7CD4">
        <w:t xml:space="preserve"> alternative: </w:t>
      </w:r>
      <w:r w:rsidR="00896BDD">
        <w:t>unemployment or low prospect work</w:t>
      </w:r>
      <w:r w:rsidR="001B1438">
        <w:t xml:space="preserve">, especially </w:t>
      </w:r>
      <w:r w:rsidR="00A01AB9">
        <w:t>in periods of recession</w:t>
      </w:r>
      <w:r w:rsidR="00745CEE">
        <w:t xml:space="preserve"> and in deprived areas</w:t>
      </w:r>
      <w:r w:rsidR="00896BDD">
        <w:t>.</w:t>
      </w:r>
      <w:r w:rsidR="00D5041F">
        <w:t xml:space="preserve">  </w:t>
      </w:r>
      <w:r w:rsidR="0043634A">
        <w:t>This is consistent with the loss-aversion (as opposed to risk-aversion) predicted by behavioural economics.</w:t>
      </w:r>
    </w:p>
    <w:p w:rsidR="0043634A" w:rsidRDefault="0043634A" w:rsidP="00853B24"/>
    <w:p w:rsidR="00410BE0" w:rsidRDefault="00313F64" w:rsidP="00853B24">
      <w:r>
        <w:lastRenderedPageBreak/>
        <w:t xml:space="preserve">Furthermore, the anticipated gains from higher education </w:t>
      </w:r>
      <w:r w:rsidRPr="00853B24">
        <w:rPr>
          <w:i/>
        </w:rPr>
        <w:t>feel</w:t>
      </w:r>
      <w:r>
        <w:t xml:space="preserve"> more significant due to the low income context of the family.  Conversely, t</w:t>
      </w:r>
      <w:r w:rsidR="004A6B7A">
        <w:t>he full costs of higher education are</w:t>
      </w:r>
      <w:r w:rsidR="00745CEE">
        <w:t xml:space="preserve"> counterintuitively</w:t>
      </w:r>
      <w:r w:rsidR="004A6B7A">
        <w:t xml:space="preserve"> higher for those from more advantaged backgrounds as their alternatives are </w:t>
      </w:r>
      <w:r w:rsidR="00A76B1E">
        <w:t xml:space="preserve">likely to be </w:t>
      </w:r>
      <w:r>
        <w:t xml:space="preserve">more lucrative, while the </w:t>
      </w:r>
      <w:r w:rsidR="000078DF">
        <w:t xml:space="preserve">potential </w:t>
      </w:r>
      <w:r>
        <w:t xml:space="preserve">gains are more muted when pitched against higher family wealth.  This may explain why </w:t>
      </w:r>
      <w:r w:rsidR="00745CEE">
        <w:t xml:space="preserve">this group has been more sensitive to </w:t>
      </w:r>
      <w:r>
        <w:t>increases in tuition fees</w:t>
      </w:r>
      <w:r w:rsidR="00150524">
        <w:t xml:space="preserve"> (</w:t>
      </w:r>
      <w:r w:rsidR="00A01AB9">
        <w:t>UCAS</w:t>
      </w:r>
      <w:r w:rsidR="002C2877">
        <w:t xml:space="preserve">, 2015; </w:t>
      </w:r>
      <w:r w:rsidR="00150524">
        <w:t>Harrison, 2016)</w:t>
      </w:r>
      <w:r>
        <w:t>.</w:t>
      </w:r>
    </w:p>
    <w:p w:rsidR="00410BE0" w:rsidRDefault="00410BE0" w:rsidP="00150524"/>
    <w:p w:rsidR="00E124F7" w:rsidRDefault="00E124F7" w:rsidP="00150524"/>
    <w:p w:rsidR="00186DE5" w:rsidRPr="00A72972" w:rsidRDefault="00A01AB9" w:rsidP="00A72972">
      <w:pPr>
        <w:rPr>
          <w:i/>
        </w:rPr>
      </w:pPr>
      <w:r>
        <w:rPr>
          <w:i/>
        </w:rPr>
        <w:t xml:space="preserve">Which subject </w:t>
      </w:r>
      <w:r w:rsidR="00745CEE">
        <w:rPr>
          <w:i/>
        </w:rPr>
        <w:t>should I</w:t>
      </w:r>
      <w:r w:rsidR="00A72972">
        <w:rPr>
          <w:i/>
        </w:rPr>
        <w:t xml:space="preserve"> study</w:t>
      </w:r>
      <w:r w:rsidR="00745CEE">
        <w:rPr>
          <w:i/>
        </w:rPr>
        <w:t>?</w:t>
      </w:r>
    </w:p>
    <w:p w:rsidR="00186DE5" w:rsidRDefault="00186DE5" w:rsidP="0020227D">
      <w:pPr>
        <w:pStyle w:val="ListParagraph"/>
      </w:pPr>
    </w:p>
    <w:p w:rsidR="00D264D3" w:rsidRDefault="00A01AB9" w:rsidP="00A72972">
      <w:r>
        <w:t>This</w:t>
      </w:r>
      <w:r w:rsidR="00684359">
        <w:t xml:space="preserve"> is often a vexed decision for prospective students, with contradictory influences and conflicting priorities.  As noted above, the imperative to make decisions that lead to improved long-term life chances looms large, but students often also value </w:t>
      </w:r>
      <w:r w:rsidR="00057B47">
        <w:t>subjects</w:t>
      </w:r>
      <w:r w:rsidR="00684359">
        <w:t xml:space="preserve"> where they have been </w:t>
      </w:r>
      <w:r w:rsidR="00057B47">
        <w:t xml:space="preserve">academically </w:t>
      </w:r>
      <w:r w:rsidR="00684359">
        <w:t xml:space="preserve">successful or that hold an intrinsic interest for them (Purcell </w:t>
      </w:r>
      <w:r w:rsidR="00A72972">
        <w:t>et al., 2008</w:t>
      </w:r>
      <w:r w:rsidR="00684359">
        <w:t>).</w:t>
      </w:r>
    </w:p>
    <w:p w:rsidR="00C50B19" w:rsidRDefault="00C50B19" w:rsidP="00157088"/>
    <w:p w:rsidR="00D25856" w:rsidRDefault="00A01AB9" w:rsidP="00A72972">
      <w:r>
        <w:t>As a result, students will</w:t>
      </w:r>
      <w:r w:rsidR="00C50B19">
        <w:t xml:space="preserve"> need </w:t>
      </w:r>
      <w:r w:rsidR="008A4D54">
        <w:t>to trade-off utility from future salary expectations with the need to enjoy (at least in part) the</w:t>
      </w:r>
      <w:r w:rsidR="00745CEE">
        <w:t>ir</w:t>
      </w:r>
      <w:r w:rsidR="008A4D54">
        <w:t xml:space="preserve"> years of study and to choose a subject with a g</w:t>
      </w:r>
      <w:r w:rsidR="00C76CFA">
        <w:t xml:space="preserve">ood </w:t>
      </w:r>
      <w:r w:rsidR="00745CEE">
        <w:t>prospect</w:t>
      </w:r>
      <w:r w:rsidR="00C76CFA">
        <w:t xml:space="preserve"> of academic success</w:t>
      </w:r>
      <w:r w:rsidR="008A4D54">
        <w:t>.</w:t>
      </w:r>
      <w:r w:rsidR="00D25856">
        <w:t xml:space="preserve">  They </w:t>
      </w:r>
      <w:r w:rsidR="00745CEE">
        <w:t>are likely to</w:t>
      </w:r>
      <w:r w:rsidR="00D25856">
        <w:t xml:space="preserve"> be significant </w:t>
      </w:r>
      <w:r w:rsidR="00A72972">
        <w:t>social</w:t>
      </w:r>
      <w:r w:rsidR="00D25856">
        <w:t xml:space="preserve"> factors imp</w:t>
      </w:r>
      <w:r w:rsidR="00157088">
        <w:t>acting on this utility equation –</w:t>
      </w:r>
      <w:r w:rsidR="00D25856">
        <w:t xml:space="preserve"> family </w:t>
      </w:r>
      <w:r w:rsidR="00157088">
        <w:t>expectations</w:t>
      </w:r>
      <w:r w:rsidR="00D25856">
        <w:t xml:space="preserve">, </w:t>
      </w:r>
      <w:r w:rsidR="00157088">
        <w:t xml:space="preserve">classed </w:t>
      </w:r>
      <w:r w:rsidR="00CB5069">
        <w:t xml:space="preserve">and gendered </w:t>
      </w:r>
      <w:r w:rsidR="00D25856">
        <w:t>concepts of ‘respectable’ work, local labour market opportunities and so on</w:t>
      </w:r>
      <w:r w:rsidR="00717FC0">
        <w:t xml:space="preserve"> (</w:t>
      </w:r>
      <w:r w:rsidR="00CB5069">
        <w:t xml:space="preserve">e.g. </w:t>
      </w:r>
      <w:proofErr w:type="spellStart"/>
      <w:r w:rsidR="00F1005B">
        <w:t>Skeggs</w:t>
      </w:r>
      <w:proofErr w:type="spellEnd"/>
      <w:r w:rsidR="00F1005B">
        <w:t xml:space="preserve">, 1997; </w:t>
      </w:r>
      <w:proofErr w:type="spellStart"/>
      <w:r w:rsidR="00CB5069">
        <w:t>Croll</w:t>
      </w:r>
      <w:proofErr w:type="spellEnd"/>
      <w:r w:rsidR="00CB5069">
        <w:t xml:space="preserve">, 2008; Shah, Dwyer and </w:t>
      </w:r>
      <w:proofErr w:type="spellStart"/>
      <w:r w:rsidR="00CB5069">
        <w:t>Modood</w:t>
      </w:r>
      <w:proofErr w:type="spellEnd"/>
      <w:r w:rsidR="00CB5069">
        <w:t>, 2010; Archer, DeWitt and Wong, 2014</w:t>
      </w:r>
      <w:r w:rsidR="00717FC0">
        <w:t>)</w:t>
      </w:r>
      <w:r w:rsidR="00D25856">
        <w:t>.</w:t>
      </w:r>
    </w:p>
    <w:p w:rsidR="00684359" w:rsidRDefault="00684359" w:rsidP="00157088"/>
    <w:p w:rsidR="00622E42" w:rsidRDefault="00684359" w:rsidP="00A72972">
      <w:r>
        <w:t xml:space="preserve">However, this decision will have important ramifications </w:t>
      </w:r>
      <w:r w:rsidR="00745CEE">
        <w:t>for</w:t>
      </w:r>
      <w:r>
        <w:t xml:space="preserve"> the outcome </w:t>
      </w:r>
      <w:r w:rsidR="00745CEE">
        <w:t>of</w:t>
      </w:r>
      <w:r>
        <w:t xml:space="preserve"> their </w:t>
      </w:r>
      <w:r w:rsidR="00777ACB">
        <w:t xml:space="preserve">initial </w:t>
      </w:r>
      <w:r>
        <w:t>decision to enter higher education.</w:t>
      </w:r>
      <w:r w:rsidR="00E7619B">
        <w:t xml:space="preserve">  Walker and Zhu (</w:t>
      </w:r>
      <w:r w:rsidR="00A72972">
        <w:t>2011</w:t>
      </w:r>
      <w:r w:rsidR="00E7619B">
        <w:t xml:space="preserve">) demonstrate that the financial returns across different academic subjects </w:t>
      </w:r>
      <w:r w:rsidR="00742754">
        <w:t>are widely distributed; indeed, students expect differential salaries depending on the degree chosen</w:t>
      </w:r>
      <w:r w:rsidR="002F253B">
        <w:t>, while</w:t>
      </w:r>
      <w:r w:rsidR="00717FC0">
        <w:t xml:space="preserve"> the confidence</w:t>
      </w:r>
      <w:r w:rsidR="002F253B">
        <w:t xml:space="preserve"> in</w:t>
      </w:r>
      <w:r w:rsidR="00717FC0">
        <w:t xml:space="preserve"> (Davies, </w:t>
      </w:r>
      <w:proofErr w:type="spellStart"/>
      <w:r w:rsidR="002F253B">
        <w:t>Qiu</w:t>
      </w:r>
      <w:proofErr w:type="spellEnd"/>
      <w:r w:rsidR="00717FC0">
        <w:t xml:space="preserve"> and Davies, </w:t>
      </w:r>
      <w:r w:rsidR="002F253B">
        <w:t>2014</w:t>
      </w:r>
      <w:r w:rsidR="00717FC0">
        <w:t>)</w:t>
      </w:r>
      <w:r w:rsidR="002F253B">
        <w:t xml:space="preserve"> </w:t>
      </w:r>
      <w:r w:rsidR="00717FC0">
        <w:t xml:space="preserve">and accuracy </w:t>
      </w:r>
      <w:r w:rsidR="002F253B">
        <w:t xml:space="preserve">of </w:t>
      </w:r>
      <w:r w:rsidR="00717FC0">
        <w:t>(</w:t>
      </w:r>
      <w:proofErr w:type="spellStart"/>
      <w:r w:rsidR="00717FC0">
        <w:t>Jerrim</w:t>
      </w:r>
      <w:proofErr w:type="spellEnd"/>
      <w:r w:rsidR="00717FC0">
        <w:t>, 2011) these estimates varies between social groups</w:t>
      </w:r>
      <w:r w:rsidR="00742754">
        <w:t>.</w:t>
      </w:r>
      <w:r w:rsidR="00777ACB">
        <w:t xml:space="preserve"> </w:t>
      </w:r>
      <w:r w:rsidR="00262EDF">
        <w:t xml:space="preserve"> There are also differences in the variance within subject choices</w:t>
      </w:r>
      <w:r w:rsidR="00A72972">
        <w:t xml:space="preserve"> (Chevalier, 2011)</w:t>
      </w:r>
      <w:r w:rsidR="00262EDF">
        <w:t>, with some pathways having a relatively predi</w:t>
      </w:r>
      <w:r w:rsidR="00745CEE">
        <w:t>ctable salary</w:t>
      </w:r>
      <w:r w:rsidR="00CF16E4">
        <w:t xml:space="preserve"> while others have a high variance around the mean</w:t>
      </w:r>
      <w:r w:rsidR="00262EDF">
        <w:t>.</w:t>
      </w:r>
      <w:r w:rsidR="00BA1C1A">
        <w:t xml:space="preserve">  </w:t>
      </w:r>
    </w:p>
    <w:p w:rsidR="00622E42" w:rsidRDefault="00622E42" w:rsidP="00A72972"/>
    <w:p w:rsidR="00377925" w:rsidRDefault="00777ACB" w:rsidP="00A72972">
      <w:r>
        <w:t xml:space="preserve">This primary effect of subject choice </w:t>
      </w:r>
      <w:r w:rsidR="00622E42">
        <w:t xml:space="preserve">in terms of future salary potential </w:t>
      </w:r>
      <w:r>
        <w:t>is then mediated through the degree classification that</w:t>
      </w:r>
      <w:r w:rsidR="00D94C5E">
        <w:t xml:space="preserve"> the individual achieves</w:t>
      </w:r>
      <w:r w:rsidR="005E4416">
        <w:t xml:space="preserve"> (Naylor, Smith and </w:t>
      </w:r>
      <w:proofErr w:type="spellStart"/>
      <w:r w:rsidR="005E4416">
        <w:t>Telhaj</w:t>
      </w:r>
      <w:proofErr w:type="spellEnd"/>
      <w:r w:rsidR="005E4416">
        <w:t>, in press)</w:t>
      </w:r>
      <w:r>
        <w:t xml:space="preserve">, which is, in turn, a partial function of </w:t>
      </w:r>
      <w:r w:rsidR="00BA1C1A">
        <w:t xml:space="preserve">their </w:t>
      </w:r>
      <w:r>
        <w:t xml:space="preserve">aptitude </w:t>
      </w:r>
      <w:r w:rsidR="00157088">
        <w:t>for</w:t>
      </w:r>
      <w:r w:rsidR="00A01AB9">
        <w:t xml:space="preserve"> </w:t>
      </w:r>
      <w:r w:rsidR="005E4416">
        <w:t>and engagement with</w:t>
      </w:r>
      <w:r w:rsidR="00157088">
        <w:t xml:space="preserve"> the subject</w:t>
      </w:r>
      <w:r>
        <w:t xml:space="preserve">.  </w:t>
      </w:r>
      <w:r w:rsidR="00773A56">
        <w:t>Indeed, Purcell et al. (2008) found that students rated future enjoyment as the most important factor in their subject choice, highlighting the emotionally-grounded nature of the decision. Employment-related factors (either general or specific to a profession) were somewhat less important, while a record of academic success play</w:t>
      </w:r>
      <w:r w:rsidR="00A01AB9">
        <w:t>ed some role for</w:t>
      </w:r>
      <w:r w:rsidR="00773A56">
        <w:t xml:space="preserve"> around 40 percent of their sample. </w:t>
      </w:r>
      <w:r w:rsidR="00CD3D34">
        <w:t xml:space="preserve"> Many s</w:t>
      </w:r>
      <w:r w:rsidR="00773A56">
        <w:t>tudents are</w:t>
      </w:r>
      <w:r w:rsidR="00A01AB9">
        <w:t xml:space="preserve"> </w:t>
      </w:r>
      <w:r w:rsidR="005E4416">
        <w:t xml:space="preserve">trading-off between subjects with a lower </w:t>
      </w:r>
      <w:r w:rsidR="00CD3D34">
        <w:t>predicted return</w:t>
      </w:r>
      <w:r w:rsidR="005E4416">
        <w:t xml:space="preserve"> </w:t>
      </w:r>
      <w:r w:rsidR="00773A56">
        <w:t>which they enjoy and in</w:t>
      </w:r>
      <w:r w:rsidR="005E4416">
        <w:t xml:space="preserve"> which they might achieve highly </w:t>
      </w:r>
      <w:r w:rsidR="00CD3D34">
        <w:t>against</w:t>
      </w:r>
      <w:r w:rsidR="005E4416">
        <w:t xml:space="preserve"> subjects with a higher </w:t>
      </w:r>
      <w:r w:rsidR="00CD3D34">
        <w:t>predicted return</w:t>
      </w:r>
      <w:r w:rsidR="005E4416">
        <w:t xml:space="preserve"> in which they have little interest or record of success.  </w:t>
      </w:r>
      <w:r>
        <w:t xml:space="preserve">In other words, even a seemingly rationally ‘optimal’ choice of subject can be undermined if the fit for </w:t>
      </w:r>
      <w:r w:rsidR="00EE3659">
        <w:t xml:space="preserve">the individual </w:t>
      </w:r>
      <w:r w:rsidR="00C76CFA">
        <w:t>transpires to be</w:t>
      </w:r>
      <w:r w:rsidR="00EE3659">
        <w:t xml:space="preserve"> poor, causing them to underperform</w:t>
      </w:r>
      <w:r w:rsidR="00C76CFA">
        <w:t>.</w:t>
      </w:r>
      <w:r w:rsidR="006B5887" w:rsidRPr="006B5887">
        <w:t xml:space="preserve"> </w:t>
      </w:r>
      <w:r w:rsidR="006B5887">
        <w:t xml:space="preserve"> Of course, </w:t>
      </w:r>
      <w:r w:rsidR="00CD3D34">
        <w:t>students may h</w:t>
      </w:r>
      <w:r w:rsidR="006B5887">
        <w:t xml:space="preserve">ave a </w:t>
      </w:r>
      <w:r w:rsidR="006718CB">
        <w:t xml:space="preserve">strongly </w:t>
      </w:r>
      <w:r w:rsidR="00CD3D34">
        <w:t>preferred career where high financial returns coincide with enjoyment and aptitude</w:t>
      </w:r>
      <w:r w:rsidR="00AE4334">
        <w:t xml:space="preserve"> – provided they meet the </w:t>
      </w:r>
      <w:r w:rsidR="00CD3D34">
        <w:t xml:space="preserve">entry </w:t>
      </w:r>
      <w:r w:rsidR="00AE4334">
        <w:t>requirements</w:t>
      </w:r>
      <w:r w:rsidR="00CD3D34">
        <w:t>.</w:t>
      </w:r>
    </w:p>
    <w:p w:rsidR="00377925" w:rsidRDefault="00377925" w:rsidP="00157088"/>
    <w:p w:rsidR="006B5887" w:rsidRDefault="00CD5FBF" w:rsidP="00A72972">
      <w:r>
        <w:t>The complexity of this decision is staggering when considered in the round</w:t>
      </w:r>
      <w:r w:rsidR="00D95883">
        <w:t xml:space="preserve"> and from an expected utility perspective</w:t>
      </w:r>
      <w:r>
        <w:t>.</w:t>
      </w:r>
      <w:r w:rsidR="002015A6">
        <w:t xml:space="preserve">  </w:t>
      </w:r>
      <w:r w:rsidR="00D95883">
        <w:t>Rather, b</w:t>
      </w:r>
      <w:r w:rsidR="006B76AE">
        <w:t>ounded rationality predicts that complex decisions like this will be simplified by the individual with intuitive recourse to the familiar to eliminate options and ignore cues.</w:t>
      </w:r>
      <w:r w:rsidR="006B5887">
        <w:t xml:space="preserve">  The individual’s</w:t>
      </w:r>
      <w:r w:rsidR="00377925">
        <w:t xml:space="preserve"> decision will </w:t>
      </w:r>
      <w:r w:rsidR="006B5887">
        <w:t xml:space="preserve">inevitably </w:t>
      </w:r>
      <w:r w:rsidR="00377925">
        <w:t xml:space="preserve">be </w:t>
      </w:r>
      <w:r w:rsidR="006B5887">
        <w:t>a</w:t>
      </w:r>
      <w:r w:rsidR="00377925">
        <w:t xml:space="preserve"> satisfic</w:t>
      </w:r>
      <w:r w:rsidR="006B5887">
        <w:t>ed one,</w:t>
      </w:r>
      <w:r w:rsidR="00377925">
        <w:t xml:space="preserve"> attempt</w:t>
      </w:r>
      <w:r w:rsidR="00AE4334">
        <w:t>ing</w:t>
      </w:r>
      <w:r w:rsidR="00377925">
        <w:t xml:space="preserve"> to square off multiple criteria </w:t>
      </w:r>
      <w:r w:rsidR="001E1444">
        <w:t>(financial, social and</w:t>
      </w:r>
      <w:r w:rsidR="00AE53A8">
        <w:t xml:space="preserve"> individual</w:t>
      </w:r>
      <w:r w:rsidR="006B5887">
        <w:t xml:space="preserve">) </w:t>
      </w:r>
      <w:r w:rsidR="00745CEE">
        <w:t>across</w:t>
      </w:r>
      <w:r w:rsidR="00377925">
        <w:t xml:space="preserve"> a manageable </w:t>
      </w:r>
      <w:r w:rsidR="00D443D1">
        <w:t>quantity</w:t>
      </w:r>
      <w:r w:rsidR="00377925">
        <w:t xml:space="preserve"> of information in a reasonable timeframe</w:t>
      </w:r>
      <w:r w:rsidR="006B5887">
        <w:t xml:space="preserve"> – in a period where they are working towards the examinations that will determine the success of their university applications</w:t>
      </w:r>
      <w:r w:rsidR="00377925">
        <w:t>.</w:t>
      </w:r>
      <w:r w:rsidR="00C76CFA">
        <w:t xml:space="preserve">  </w:t>
      </w:r>
      <w:r w:rsidR="006B5887">
        <w:t>A bounded rationality approach does not see this as flawed, but a</w:t>
      </w:r>
      <w:r w:rsidR="00AE53A8">
        <w:t>n unavoidable</w:t>
      </w:r>
      <w:r w:rsidR="006B5887">
        <w:t xml:space="preserve"> consequence of complexity</w:t>
      </w:r>
      <w:r w:rsidR="00D95883">
        <w:t xml:space="preserve"> and finite resources.</w:t>
      </w:r>
    </w:p>
    <w:p w:rsidR="006B5887" w:rsidRDefault="006B5887" w:rsidP="00A72972"/>
    <w:p w:rsidR="006B5887" w:rsidRDefault="001E1444" w:rsidP="00A72972">
      <w:r>
        <w:t xml:space="preserve">A major </w:t>
      </w:r>
      <w:r w:rsidR="00AE4334">
        <w:t>initiative</w:t>
      </w:r>
      <w:r>
        <w:t xml:space="preserve"> in recent years has been to increase the information provided about courses thro</w:t>
      </w:r>
      <w:r w:rsidR="00AE4334">
        <w:t xml:space="preserve">ugh the National Student Survey, as well as </w:t>
      </w:r>
      <w:r>
        <w:t xml:space="preserve">the ‘Key Information Sets’ which, </w:t>
      </w:r>
      <w:r>
        <w:rPr>
          <w:i/>
        </w:rPr>
        <w:t>inter alia</w:t>
      </w:r>
      <w:r>
        <w:t xml:space="preserve">, </w:t>
      </w:r>
      <w:r w:rsidR="00AE4334">
        <w:t>describe</w:t>
      </w:r>
      <w:r>
        <w:t xml:space="preserve"> graduate outcomes.  This is intended as an aid to decision-making, but a bounded rationality lens would question this</w:t>
      </w:r>
      <w:r w:rsidR="00AE4334">
        <w:t xml:space="preserve"> if it </w:t>
      </w:r>
      <w:r>
        <w:t xml:space="preserve">adds new (and </w:t>
      </w:r>
      <w:r w:rsidR="00745CEE">
        <w:t>possibly</w:t>
      </w:r>
      <w:r>
        <w:t xml:space="preserve"> spurious) cues to the existing decision.  </w:t>
      </w:r>
      <w:r w:rsidR="00E95A6A">
        <w:t xml:space="preserve">Indeed, Davies (2012) questions whether publishing mean starting salaries is useful without measures of dispersion, while ‘student satisfaction’ has a questionable relationship with outcomes.  </w:t>
      </w:r>
      <w:r>
        <w:t xml:space="preserve">A more useful approach </w:t>
      </w:r>
      <w:r w:rsidR="00AE4334">
        <w:t>might</w:t>
      </w:r>
      <w:r>
        <w:t xml:space="preserve"> be to </w:t>
      </w:r>
      <w:r w:rsidR="00AE4334">
        <w:t>help</w:t>
      </w:r>
      <w:r>
        <w:t xml:space="preserve"> prospective students to identify the most important cues in determining the</w:t>
      </w:r>
      <w:r w:rsidR="00E95A6A">
        <w:t>ir</w:t>
      </w:r>
      <w:r>
        <w:t xml:space="preserve"> long-term outcome, as well as broadening the satisficing options out beyond the familiar</w:t>
      </w:r>
      <w:r w:rsidR="00AE4334">
        <w:t xml:space="preserve"> –</w:t>
      </w:r>
      <w:r w:rsidR="00E95A6A">
        <w:t xml:space="preserve"> for example, </w:t>
      </w:r>
      <w:r w:rsidR="00AE4334">
        <w:t xml:space="preserve">by </w:t>
      </w:r>
      <w:r w:rsidR="00E95A6A">
        <w:t>stressing the need for enjoyment and illuminating the wider career paths asso</w:t>
      </w:r>
      <w:r w:rsidR="005E73FF">
        <w:t>ciated with particular subjects, while downplaying simplistic representations of financial returns.</w:t>
      </w:r>
    </w:p>
    <w:p w:rsidR="006B5887" w:rsidRDefault="006B5887" w:rsidP="00A72972"/>
    <w:p w:rsidR="004618AE" w:rsidRDefault="00C76CFA" w:rsidP="00627AD5">
      <w:r>
        <w:t xml:space="preserve">Undoubtedly satisficing is </w:t>
      </w:r>
      <w:r w:rsidR="00D95883">
        <w:t>sometimes un</w:t>
      </w:r>
      <w:r>
        <w:t xml:space="preserve">successful, with </w:t>
      </w:r>
      <w:r w:rsidR="00D95883">
        <w:t>a relatively high proportion of</w:t>
      </w:r>
      <w:r>
        <w:t xml:space="preserve"> students changing their degree programmes </w:t>
      </w:r>
      <w:r w:rsidR="00D95883">
        <w:t>within or after their first</w:t>
      </w:r>
      <w:r>
        <w:t xml:space="preserve"> year</w:t>
      </w:r>
      <w:r w:rsidR="00627AD5">
        <w:t xml:space="preserve"> (Harrison, 2006)</w:t>
      </w:r>
      <w:r w:rsidR="00AE4334">
        <w:t xml:space="preserve">, </w:t>
      </w:r>
      <w:r w:rsidR="00745CEE">
        <w:t>which has led</w:t>
      </w:r>
      <w:r w:rsidR="00AE4334">
        <w:t xml:space="preserve"> to a focus on student retention (</w:t>
      </w:r>
      <w:r w:rsidR="00D95883">
        <w:t>Thomas, 2012).</w:t>
      </w:r>
      <w:r w:rsidR="00627AD5">
        <w:t xml:space="preserve">  </w:t>
      </w:r>
      <w:r w:rsidR="00AE4334">
        <w:t>T</w:t>
      </w:r>
      <w:r w:rsidR="00627AD5">
        <w:t xml:space="preserve">his work is </w:t>
      </w:r>
      <w:r w:rsidR="00AE4334">
        <w:t>clearly</w:t>
      </w:r>
      <w:r w:rsidR="00627AD5">
        <w:t xml:space="preserve"> valuable in </w:t>
      </w:r>
      <w:r w:rsidR="00AE4334">
        <w:t>promoting</w:t>
      </w:r>
      <w:r w:rsidR="00627AD5">
        <w:t xml:space="preserve"> high-quality teaching and support, but there is a danger that it is predicated on students making the ‘right choice’ first time; indeed, financial support changes have made it increasingly difficult and costly for students to change their decision, even where they are shift</w:t>
      </w:r>
      <w:r w:rsidR="00AE4334">
        <w:t>ing</w:t>
      </w:r>
      <w:r w:rsidR="00627AD5">
        <w:t xml:space="preserve"> their </w:t>
      </w:r>
      <w:r w:rsidR="00E810E6">
        <w:t xml:space="preserve">position </w:t>
      </w:r>
      <w:r w:rsidR="00627AD5">
        <w:t>within higher education</w:t>
      </w:r>
      <w:r w:rsidR="00E810E6">
        <w:t xml:space="preserve"> to i</w:t>
      </w:r>
      <w:r w:rsidR="004B56A5">
        <w:t>ncrease their long-term utility from it.</w:t>
      </w:r>
      <w:r w:rsidR="00627AD5">
        <w:t xml:space="preserve">  Under bounded rationality, government and universities should make it easier for students to change subject on the basis of their early experiences; this is likely to particularly benefit students from disadvantaged background</w:t>
      </w:r>
      <w:r w:rsidR="00AE4334">
        <w:t>s</w:t>
      </w:r>
      <w:r w:rsidR="00627AD5">
        <w:t xml:space="preserve"> who are more likely to make familiar (and low return) choices based on their limited knowledge of higher education (Davies, </w:t>
      </w:r>
      <w:proofErr w:type="spellStart"/>
      <w:r w:rsidR="00627AD5">
        <w:t>Qiu</w:t>
      </w:r>
      <w:proofErr w:type="spellEnd"/>
      <w:r w:rsidR="00627AD5">
        <w:t xml:space="preserve"> and Davies, 2014).</w:t>
      </w:r>
    </w:p>
    <w:p w:rsidR="00377925" w:rsidRDefault="00377925" w:rsidP="00BA1C1A"/>
    <w:p w:rsidR="00C50B19" w:rsidRDefault="00C50B19" w:rsidP="00BA1C1A"/>
    <w:p w:rsidR="0020227D" w:rsidRPr="00A72972" w:rsidRDefault="00745CEE" w:rsidP="00A72972">
      <w:pPr>
        <w:rPr>
          <w:i/>
        </w:rPr>
      </w:pPr>
      <w:r>
        <w:rPr>
          <w:i/>
        </w:rPr>
        <w:t>Should I</w:t>
      </w:r>
      <w:r w:rsidR="0020227D" w:rsidRPr="00A72972">
        <w:rPr>
          <w:i/>
        </w:rPr>
        <w:t xml:space="preserve"> maximise </w:t>
      </w:r>
      <w:r w:rsidR="002028D6" w:rsidRPr="00A72972">
        <w:rPr>
          <w:i/>
        </w:rPr>
        <w:t xml:space="preserve">university </w:t>
      </w:r>
      <w:r w:rsidR="00A72972" w:rsidRPr="00A72972">
        <w:rPr>
          <w:i/>
        </w:rPr>
        <w:t>status</w:t>
      </w:r>
      <w:r>
        <w:rPr>
          <w:i/>
        </w:rPr>
        <w:t>?</w:t>
      </w:r>
    </w:p>
    <w:p w:rsidR="0020227D" w:rsidRDefault="0020227D" w:rsidP="0020227D">
      <w:pPr>
        <w:pStyle w:val="ListParagraph"/>
      </w:pPr>
    </w:p>
    <w:p w:rsidR="00BD1FD3" w:rsidRDefault="00FE5C78" w:rsidP="00A72972">
      <w:r>
        <w:t>I</w:t>
      </w:r>
      <w:r w:rsidR="002028D6">
        <w:t xml:space="preserve">t would appear </w:t>
      </w:r>
      <w:r w:rsidR="00BD1FD3">
        <w:t xml:space="preserve">outwardly </w:t>
      </w:r>
      <w:r w:rsidR="002028D6">
        <w:t>‘rational’ that all students would seek to go to the ‘best’ university possible</w:t>
      </w:r>
      <w:r w:rsidR="00482C06">
        <w:t xml:space="preserve"> given their qualifications</w:t>
      </w:r>
      <w:r w:rsidR="00BD1FD3">
        <w:t>, especially in a</w:t>
      </w:r>
      <w:r w:rsidR="00AA208F">
        <w:t xml:space="preserve"> hierarchical pseudo-meritocratic system like the UK </w:t>
      </w:r>
      <w:r>
        <w:t>(</w:t>
      </w:r>
      <w:proofErr w:type="spellStart"/>
      <w:r>
        <w:t>Croxford</w:t>
      </w:r>
      <w:proofErr w:type="spellEnd"/>
      <w:r>
        <w:t xml:space="preserve"> and </w:t>
      </w:r>
      <w:proofErr w:type="spellStart"/>
      <w:r>
        <w:t>Raffe</w:t>
      </w:r>
      <w:proofErr w:type="spellEnd"/>
      <w:r>
        <w:t>, 2015</w:t>
      </w:r>
      <w:r w:rsidR="00BD1FD3">
        <w:t xml:space="preserve">), where elite institutions have their ‘quality’ </w:t>
      </w:r>
      <w:r>
        <w:t xml:space="preserve">legitimised and </w:t>
      </w:r>
      <w:r w:rsidR="00BD1FD3">
        <w:t xml:space="preserve">reinforced through media-generated </w:t>
      </w:r>
      <w:r>
        <w:t xml:space="preserve">and government-endorsed </w:t>
      </w:r>
      <w:r w:rsidR="00BD1FD3">
        <w:t xml:space="preserve">league tables.  </w:t>
      </w:r>
      <w:r w:rsidR="002028D6">
        <w:t>Indeed, there is substantial evidence that the status of the university is the strongest predictor of long-term outcomes</w:t>
      </w:r>
      <w:r w:rsidR="00AE4334">
        <w:t xml:space="preserve">, with many high-status </w:t>
      </w:r>
      <w:r w:rsidR="002028D6">
        <w:t>employers choosing only to recruit from these</w:t>
      </w:r>
      <w:r w:rsidR="00745CEE">
        <w:t xml:space="preserve"> (Milburn, 2009)</w:t>
      </w:r>
      <w:r w:rsidR="002028D6">
        <w:t xml:space="preserve">.  </w:t>
      </w:r>
      <w:r w:rsidR="00BD1FD3">
        <w:lastRenderedPageBreak/>
        <w:t xml:space="preserve">However, it is moot whether these league tables measure anything more </w:t>
      </w:r>
      <w:r w:rsidR="00AE4B73">
        <w:t xml:space="preserve">tangible </w:t>
      </w:r>
      <w:r w:rsidR="00BD1FD3">
        <w:t xml:space="preserve">than </w:t>
      </w:r>
      <w:r w:rsidR="00AE4334">
        <w:t>historical</w:t>
      </w:r>
      <w:r w:rsidR="00BD1FD3">
        <w:t xml:space="preserve"> over-subscription for places.</w:t>
      </w:r>
    </w:p>
    <w:p w:rsidR="00F9255F" w:rsidRDefault="00F9255F" w:rsidP="00BD1FD3"/>
    <w:p w:rsidR="00F65A2C" w:rsidRDefault="00F9255F" w:rsidP="00A72972">
      <w:r>
        <w:t>Nevertheless, many students, and particularly those f</w:t>
      </w:r>
      <w:r w:rsidR="00AE4B73">
        <w:t>rom lower socio-economic groups and</w:t>
      </w:r>
      <w:r>
        <w:t xml:space="preserve"> minority ethnic communities</w:t>
      </w:r>
      <w:r w:rsidR="00745CEE">
        <w:t>,</w:t>
      </w:r>
      <w:r>
        <w:t xml:space="preserve"> do choose not to maximise </w:t>
      </w:r>
      <w:r w:rsidR="00BD1FD3">
        <w:t>university</w:t>
      </w:r>
      <w:r w:rsidR="00AC03F2">
        <w:t xml:space="preserve"> </w:t>
      </w:r>
      <w:r w:rsidR="00745CEE">
        <w:t xml:space="preserve">status </w:t>
      </w:r>
      <w:r w:rsidR="00AC03F2">
        <w:t>(</w:t>
      </w:r>
      <w:proofErr w:type="spellStart"/>
      <w:r w:rsidR="005B7B78">
        <w:t>Mangan</w:t>
      </w:r>
      <w:proofErr w:type="spellEnd"/>
      <w:r w:rsidR="005B7B78">
        <w:t xml:space="preserve"> et al, 2010; </w:t>
      </w:r>
      <w:proofErr w:type="spellStart"/>
      <w:r w:rsidR="005B7B78">
        <w:t>Modood</w:t>
      </w:r>
      <w:proofErr w:type="spellEnd"/>
      <w:r w:rsidR="005B7B78">
        <w:t xml:space="preserve">, 2012; </w:t>
      </w:r>
      <w:proofErr w:type="spellStart"/>
      <w:r w:rsidR="00B60901">
        <w:t>Boliver</w:t>
      </w:r>
      <w:proofErr w:type="spellEnd"/>
      <w:r w:rsidR="00B60901">
        <w:t xml:space="preserve">, 2013; </w:t>
      </w:r>
      <w:r w:rsidR="00AC03F2">
        <w:t xml:space="preserve">Shiner and </w:t>
      </w:r>
      <w:proofErr w:type="spellStart"/>
      <w:r w:rsidR="00AC03F2">
        <w:t>Noden</w:t>
      </w:r>
      <w:proofErr w:type="spellEnd"/>
      <w:r w:rsidR="00AC03F2">
        <w:t>, 2014)</w:t>
      </w:r>
      <w:r w:rsidR="00BD1FD3">
        <w:t>.</w:t>
      </w:r>
      <w:r w:rsidR="00135320">
        <w:t xml:space="preserve">  This phenomenon has had significant attention from sociologists, who find evidence </w:t>
      </w:r>
      <w:r w:rsidR="00DD3CD6">
        <w:t>of</w:t>
      </w:r>
      <w:r w:rsidR="00135320">
        <w:t xml:space="preserve"> fears about ‘social fit’ and dissonance with the ‘institutional habitus’ of elite universities (</w:t>
      </w:r>
      <w:r w:rsidR="00E409DD">
        <w:t>Whitty, Hayton and Tang, 2015</w:t>
      </w:r>
      <w:r w:rsidR="00135320">
        <w:t xml:space="preserve">). </w:t>
      </w:r>
      <w:r w:rsidR="00F65A2C">
        <w:t xml:space="preserve"> </w:t>
      </w:r>
      <w:r w:rsidR="00DD3CD6">
        <w:t>S</w:t>
      </w:r>
      <w:r w:rsidR="00DE0E75">
        <w:t>uch universities are ‘not for people like them’, with assumptions about t</w:t>
      </w:r>
      <w:r w:rsidR="00DD3CD6">
        <w:t xml:space="preserve">he socio-economic or ethnic mix, as well as </w:t>
      </w:r>
      <w:r w:rsidR="00DE0E75">
        <w:t xml:space="preserve">the academic standards required.  </w:t>
      </w:r>
      <w:r w:rsidR="00F65A2C">
        <w:t xml:space="preserve">Behavioural economists </w:t>
      </w:r>
      <w:r w:rsidR="00E409DD">
        <w:t>might view</w:t>
      </w:r>
      <w:r w:rsidR="00F65A2C">
        <w:t xml:space="preserve"> this in terms of the representativeness heuristic, with elite universities being understood through an archetype (hyper-academic and for the social elite)</w:t>
      </w:r>
      <w:r w:rsidR="00AC03F2">
        <w:t>,</w:t>
      </w:r>
      <w:r w:rsidR="00F65A2C">
        <w:t xml:space="preserve"> perpe</w:t>
      </w:r>
      <w:r w:rsidR="00AC03F2">
        <w:t>tuated through media depictions</w:t>
      </w:r>
      <w:r w:rsidR="00665284">
        <w:t xml:space="preserve"> and teacher expectations (Oliver and </w:t>
      </w:r>
      <w:proofErr w:type="spellStart"/>
      <w:r w:rsidR="00665284">
        <w:t>Kettley</w:t>
      </w:r>
      <w:proofErr w:type="spellEnd"/>
      <w:r w:rsidR="00665284">
        <w:t>, 2010)</w:t>
      </w:r>
      <w:r w:rsidR="00AC03F2">
        <w:t>.</w:t>
      </w:r>
    </w:p>
    <w:p w:rsidR="00F65A2C" w:rsidRDefault="00F65A2C" w:rsidP="0020227D">
      <w:pPr>
        <w:pStyle w:val="ListParagraph"/>
      </w:pPr>
    </w:p>
    <w:p w:rsidR="00F9255F" w:rsidRDefault="00BB5292" w:rsidP="00A72972">
      <w:r>
        <w:t xml:space="preserve">Decisions </w:t>
      </w:r>
      <w:r w:rsidR="00135320">
        <w:t>may also be influenced by a desire to remain in</w:t>
      </w:r>
      <w:r w:rsidR="00DD3CD6">
        <w:t xml:space="preserve"> the family home for financial or </w:t>
      </w:r>
      <w:r w:rsidR="00135320">
        <w:t>cultural reasons (</w:t>
      </w:r>
      <w:proofErr w:type="spellStart"/>
      <w:r w:rsidR="00690085">
        <w:t>Holdsworth</w:t>
      </w:r>
      <w:proofErr w:type="spellEnd"/>
      <w:r w:rsidR="00690085">
        <w:t>, 2006</w:t>
      </w:r>
      <w:r w:rsidR="00135320">
        <w:t>), potentially limiting un</w:t>
      </w:r>
      <w:r w:rsidR="00DD3CD6">
        <w:t xml:space="preserve">iversity choices to the local.  </w:t>
      </w:r>
      <w:proofErr w:type="spellStart"/>
      <w:r w:rsidR="00135320">
        <w:t>Mangan</w:t>
      </w:r>
      <w:proofErr w:type="spellEnd"/>
      <w:r w:rsidR="00135320">
        <w:t xml:space="preserve"> et al (</w:t>
      </w:r>
      <w:r w:rsidR="00681944">
        <w:t>2010</w:t>
      </w:r>
      <w:r w:rsidR="00135320">
        <w:t>) find that where there is a nearby elite university, students from disadvantaged groups are as likely to choose it</w:t>
      </w:r>
      <w:r w:rsidR="00482C06">
        <w:t xml:space="preserve"> as other students</w:t>
      </w:r>
      <w:r w:rsidR="00135320">
        <w:t xml:space="preserve">, but where there is not, they </w:t>
      </w:r>
      <w:r w:rsidR="00482C06">
        <w:t>are more likely to</w:t>
      </w:r>
      <w:r w:rsidR="00135320">
        <w:t xml:space="preserve"> seek a local lower status option.</w:t>
      </w:r>
      <w:r w:rsidR="00DE0E75">
        <w:t xml:space="preserve">  In this instance, a familiarity heuristic would appear to be in play; that elite universities are accepted into the choice envelope if the individual has personal </w:t>
      </w:r>
      <w:r w:rsidR="00745CEE">
        <w:t>experience</w:t>
      </w:r>
      <w:r w:rsidR="00DE0E75">
        <w:t xml:space="preserve"> that overcomes the archetype.</w:t>
      </w:r>
    </w:p>
    <w:p w:rsidR="002D45E2" w:rsidRDefault="002D45E2" w:rsidP="002D45E2">
      <w:pPr>
        <w:pStyle w:val="ListParagraph"/>
      </w:pPr>
    </w:p>
    <w:p w:rsidR="002D45E2" w:rsidRDefault="00F25873" w:rsidP="00A72972">
      <w:r>
        <w:t xml:space="preserve">Under the auspices of attempting to improve social mobility for </w:t>
      </w:r>
      <w:r w:rsidR="00690085">
        <w:t>‘</w:t>
      </w:r>
      <w:r>
        <w:t>talented</w:t>
      </w:r>
      <w:r w:rsidR="00690085">
        <w:t>’</w:t>
      </w:r>
      <w:r>
        <w:t xml:space="preserve"> young people</w:t>
      </w:r>
      <w:r w:rsidR="00690085">
        <w:t xml:space="preserve"> (e.g. Department for Education and Employment,</w:t>
      </w:r>
      <w:r w:rsidR="00DD3CD6">
        <w:t xml:space="preserve"> 2000; Milburn, 2009; Department for Business, Information and Skills, 2016</w:t>
      </w:r>
      <w:r w:rsidR="00690085">
        <w:t>)</w:t>
      </w:r>
      <w:r>
        <w:t xml:space="preserve">, successive governments have attempted to </w:t>
      </w:r>
      <w:r w:rsidR="00745CEE">
        <w:t>manipulate</w:t>
      </w:r>
      <w:r>
        <w:t xml:space="preserve"> decisions from individuals who it is felt </w:t>
      </w:r>
      <w:r w:rsidRPr="00A72972">
        <w:rPr>
          <w:i/>
        </w:rPr>
        <w:t>should</w:t>
      </w:r>
      <w:r>
        <w:t xml:space="preserve"> attend elite universities.  However, these have broadly failed, with little or no change in their social mix over the last fifteen years (</w:t>
      </w:r>
      <w:proofErr w:type="spellStart"/>
      <w:r w:rsidR="00306854">
        <w:t>Croxford</w:t>
      </w:r>
      <w:proofErr w:type="spellEnd"/>
      <w:r w:rsidR="00306854">
        <w:t xml:space="preserve"> and </w:t>
      </w:r>
      <w:proofErr w:type="spellStart"/>
      <w:r>
        <w:t>Raffe</w:t>
      </w:r>
      <w:proofErr w:type="spellEnd"/>
      <w:r w:rsidR="00306854">
        <w:t>, 2015</w:t>
      </w:r>
      <w:r>
        <w:t>).  The latest figures show that the proportion of students in elite universities drawn from the most deprived communities has risen from just 2.</w:t>
      </w:r>
      <w:r w:rsidR="00FB5DAF">
        <w:t>4</w:t>
      </w:r>
      <w:r>
        <w:t xml:space="preserve"> percent to 3.</w:t>
      </w:r>
      <w:r w:rsidR="00FB5DAF">
        <w:t>3</w:t>
      </w:r>
      <w:r>
        <w:t xml:space="preserve"> percent </w:t>
      </w:r>
      <w:r w:rsidR="00FB5DAF">
        <w:t>since 2011 (</w:t>
      </w:r>
      <w:r w:rsidR="009613E8">
        <w:t>UCAS</w:t>
      </w:r>
      <w:r w:rsidR="00FB5DAF">
        <w:t>, 2015)</w:t>
      </w:r>
      <w:r>
        <w:t>, despite the investment of substantial sums of government and university money; furthermore, most of the improvement is located in a handful of universities, with most seeing a backward slide</w:t>
      </w:r>
      <w:r w:rsidR="000F4C12">
        <w:t xml:space="preserve"> (Harrison</w:t>
      </w:r>
      <w:r w:rsidR="00740759">
        <w:t>,</w:t>
      </w:r>
      <w:r w:rsidR="000F4C12">
        <w:t xml:space="preserve"> </w:t>
      </w:r>
      <w:r w:rsidR="00740759">
        <w:t>2016</w:t>
      </w:r>
      <w:r w:rsidR="000F4C12">
        <w:t>)</w:t>
      </w:r>
      <w:r>
        <w:t>.</w:t>
      </w:r>
    </w:p>
    <w:p w:rsidR="00364F06" w:rsidRDefault="00364F06" w:rsidP="00FB5DAF"/>
    <w:p w:rsidR="003B0ED1" w:rsidRDefault="00364F06" w:rsidP="00A72972">
      <w:r>
        <w:t xml:space="preserve">One example of this </w:t>
      </w:r>
      <w:r w:rsidR="00745CEE">
        <w:t xml:space="preserve">attempted manipulation </w:t>
      </w:r>
      <w:r w:rsidR="00DD3CD6">
        <w:t>was</w:t>
      </w:r>
      <w:r>
        <w:t xml:space="preserve"> the creation of means-tested bursaries, ostensibly to offset the</w:t>
      </w:r>
      <w:r w:rsidR="00DD3CD6">
        <w:t xml:space="preserve"> 2006</w:t>
      </w:r>
      <w:r>
        <w:t xml:space="preserve"> increase in tuition fees</w:t>
      </w:r>
      <w:r w:rsidR="009D1EEB">
        <w:t xml:space="preserve"> (Department for Education and Skills, 2003)</w:t>
      </w:r>
      <w:r>
        <w:t xml:space="preserve">.  The amounts offered were left to the universities’ discretion, but a pseudo-market inevitably formed whereby elite universities offered considerably higher sums </w:t>
      </w:r>
      <w:r w:rsidR="00037819">
        <w:t>than lower status universities</w:t>
      </w:r>
      <w:r w:rsidR="007D5FB0">
        <w:t xml:space="preserve"> (Callender, 2010; </w:t>
      </w:r>
      <w:r w:rsidR="00037819">
        <w:t xml:space="preserve">Harrison and </w:t>
      </w:r>
      <w:proofErr w:type="spellStart"/>
      <w:r w:rsidR="00037819">
        <w:t>Hatt</w:t>
      </w:r>
      <w:proofErr w:type="spellEnd"/>
      <w:r w:rsidR="00037819">
        <w:t>, 2012)</w:t>
      </w:r>
      <w:r>
        <w:t xml:space="preserve">.  </w:t>
      </w:r>
      <w:r w:rsidR="000944AC">
        <w:t xml:space="preserve">These bursaries </w:t>
      </w:r>
      <w:r w:rsidR="00037819">
        <w:t xml:space="preserve">effectively formed a discount to the cost of higher education, with a distinctly higher discount for students choosing elite universities.  </w:t>
      </w:r>
      <w:r w:rsidR="000944AC">
        <w:t>Neoclassical economics would pr</w:t>
      </w:r>
      <w:r w:rsidR="00037819">
        <w:t>edict that a fall in ‘price’ would increase demand</w:t>
      </w:r>
      <w:r>
        <w:t>, but Callender</w:t>
      </w:r>
      <w:r w:rsidR="007D5FB0">
        <w:t>, Wilkinson</w:t>
      </w:r>
      <w:r>
        <w:t xml:space="preserve"> </w:t>
      </w:r>
      <w:r w:rsidR="00DD3CD6">
        <w:t>and Hopkin (</w:t>
      </w:r>
      <w:r w:rsidR="007D5FB0">
        <w:t>2009</w:t>
      </w:r>
      <w:r>
        <w:t xml:space="preserve">) found that students largely ignored this </w:t>
      </w:r>
      <w:r w:rsidR="000944AC">
        <w:t>financial</w:t>
      </w:r>
      <w:r>
        <w:t xml:space="preserve"> incentive, with evidence that some even felt that larger bursaries were a sign of inferior courses (Davies</w:t>
      </w:r>
      <w:r w:rsidR="00B50923">
        <w:t xml:space="preserve"> et al., 2008</w:t>
      </w:r>
      <w:r>
        <w:t>)</w:t>
      </w:r>
      <w:r w:rsidR="00FF1430">
        <w:t xml:space="preserve">.  Taking a bounded rationality perspective, this ‘irrational’ behaviour from students </w:t>
      </w:r>
      <w:r w:rsidR="001D112B">
        <w:t xml:space="preserve">that are </w:t>
      </w:r>
      <w:r w:rsidR="00745CEE">
        <w:lastRenderedPageBreak/>
        <w:t>normally</w:t>
      </w:r>
      <w:r w:rsidR="001D112B">
        <w:t xml:space="preserve"> </w:t>
      </w:r>
      <w:r w:rsidR="00FF1430">
        <w:t>constructed to be the most price-sensitive</w:t>
      </w:r>
      <w:r w:rsidR="00B87D01">
        <w:t xml:space="preserve"> and risk-averse is more readily understood, with the financial utility of the bursary dimming next to </w:t>
      </w:r>
      <w:r w:rsidR="00CA0E59">
        <w:t xml:space="preserve">educational priorities and </w:t>
      </w:r>
      <w:r w:rsidR="00B87D01">
        <w:t>the disutility of spending three years in an institution that feels alien.</w:t>
      </w:r>
    </w:p>
    <w:p w:rsidR="003B0ED1" w:rsidRDefault="003B0ED1" w:rsidP="00576282"/>
    <w:p w:rsidR="003B0ED1" w:rsidRDefault="003B0ED1" w:rsidP="00576282"/>
    <w:p w:rsidR="003B0ED1" w:rsidRPr="009974BE" w:rsidRDefault="009974BE" w:rsidP="00576282">
      <w:pPr>
        <w:rPr>
          <w:b/>
        </w:rPr>
      </w:pPr>
      <w:r w:rsidRPr="009974BE">
        <w:rPr>
          <w:b/>
        </w:rPr>
        <w:t>Conclusion</w:t>
      </w:r>
    </w:p>
    <w:p w:rsidR="00CD1100" w:rsidRDefault="00CD1100" w:rsidP="00E13EED"/>
    <w:p w:rsidR="0012133A" w:rsidRDefault="00F10AA5" w:rsidP="00E13EED">
      <w:r>
        <w:t>This chapter has introduced the theory of bounded rationality and conc</w:t>
      </w:r>
      <w:r w:rsidR="00DD3CD6">
        <w:t>epts from behavioural economics</w:t>
      </w:r>
      <w:r>
        <w:t xml:space="preserve"> which emerged from it.  It has then applied these ideas to three key decisions </w:t>
      </w:r>
      <w:r w:rsidR="00DD3CD6">
        <w:t xml:space="preserve">made by </w:t>
      </w:r>
      <w:r>
        <w:t>prospe</w:t>
      </w:r>
      <w:r w:rsidR="00DD3CD6">
        <w:t>ctive students, highlighting the</w:t>
      </w:r>
      <w:r w:rsidR="00797CCB">
        <w:t xml:space="preserve"> potential for new insight, especially with respect to phenomena that </w:t>
      </w:r>
      <w:r w:rsidR="00DD3CD6">
        <w:t>other theories</w:t>
      </w:r>
      <w:r w:rsidR="00CD1100">
        <w:t xml:space="preserve"> </w:t>
      </w:r>
      <w:r w:rsidR="00797CCB">
        <w:t>have failed to predict.</w:t>
      </w:r>
      <w:r w:rsidR="002F66A2">
        <w:t xml:space="preserve">  </w:t>
      </w:r>
    </w:p>
    <w:p w:rsidR="007A581A" w:rsidRDefault="007A581A" w:rsidP="00576282"/>
    <w:p w:rsidR="007A581A" w:rsidRDefault="002F66A2" w:rsidP="00576282">
      <w:r>
        <w:t xml:space="preserve">Firstly, the </w:t>
      </w:r>
      <w:r w:rsidR="00DD3CD6">
        <w:t>current</w:t>
      </w:r>
      <w:r>
        <w:t xml:space="preserve"> obsession with providing </w:t>
      </w:r>
      <w:r w:rsidR="00745CEE">
        <w:t>endless</w:t>
      </w:r>
      <w:r>
        <w:t xml:space="preserve"> information to imp</w:t>
      </w:r>
      <w:r w:rsidR="00DD3CD6">
        <w:t xml:space="preserve">rove students’ decision-making </w:t>
      </w:r>
      <w:r>
        <w:t xml:space="preserve">is likely to be </w:t>
      </w:r>
      <w:r w:rsidR="00B16D31">
        <w:t xml:space="preserve">ineffectual and possibly even </w:t>
      </w:r>
      <w:r>
        <w:t xml:space="preserve">counter-productive, simultaneously increasing the complexity of the decision and introducing additional cues of dubious </w:t>
      </w:r>
      <w:r w:rsidR="00B16D31">
        <w:t>validity</w:t>
      </w:r>
      <w:r>
        <w:t>.  This is not to argue that prospective students should not be given adequate information, but that careful thought needs to be given to its purpose, while not assuming that ‘more is better’.</w:t>
      </w:r>
      <w:r w:rsidR="00B16D31">
        <w:t xml:space="preserve">  Improving access to </w:t>
      </w:r>
      <w:r w:rsidR="00836109">
        <w:t>reliable and high-quality advice and guidance, untainted by normative expectations, is likely to be a more fruitful avenue.</w:t>
      </w:r>
    </w:p>
    <w:p w:rsidR="00E13EED" w:rsidRDefault="00E13EED" w:rsidP="00576282"/>
    <w:p w:rsidR="00E13EED" w:rsidRDefault="002F66A2" w:rsidP="00576282">
      <w:r>
        <w:t xml:space="preserve">Secondly, purely financial understandings of student behaviour are inadequate.  </w:t>
      </w:r>
      <w:r w:rsidR="002B114D">
        <w:t xml:space="preserve">Evidence is mounting that students do not </w:t>
      </w:r>
      <w:r w:rsidR="00DD3CD6">
        <w:t xml:space="preserve">respond </w:t>
      </w:r>
      <w:r w:rsidR="002B114D">
        <w:t>to financial cues</w:t>
      </w:r>
      <w:r w:rsidR="00745CEE">
        <w:t xml:space="preserve"> in the ways predicted by neoclassical economics</w:t>
      </w:r>
      <w:r w:rsidR="002B114D">
        <w:t xml:space="preserve">.  This has been seen both in terms of their response to increasing tuition fees and differential bursaries.  Similarly, </w:t>
      </w:r>
      <w:r w:rsidR="009A431C">
        <w:t xml:space="preserve">concepts of risk need to be revised to understand the nonlinear nature of expected utility, with higher education </w:t>
      </w:r>
      <w:r w:rsidR="00836109">
        <w:t xml:space="preserve">often </w:t>
      </w:r>
      <w:r w:rsidR="009A431C">
        <w:t xml:space="preserve">seen </w:t>
      </w:r>
      <w:r w:rsidR="00836109">
        <w:t xml:space="preserve">by disadvantaged young people </w:t>
      </w:r>
      <w:r w:rsidR="009A431C">
        <w:t>as l</w:t>
      </w:r>
      <w:r w:rsidR="00856801">
        <w:t>ess risky than the alternatives</w:t>
      </w:r>
      <w:r w:rsidR="008C4D08">
        <w:t>.</w:t>
      </w:r>
    </w:p>
    <w:p w:rsidR="00E13EED" w:rsidRDefault="00E13EED" w:rsidP="00576282"/>
    <w:p w:rsidR="009A431C" w:rsidRDefault="009A431C" w:rsidP="00576282">
      <w:r>
        <w:t xml:space="preserve">Thirdly, </w:t>
      </w:r>
      <w:r w:rsidR="00980B93">
        <w:t xml:space="preserve">that efforts to break down stereotypes about elite universities are not working, with </w:t>
      </w:r>
      <w:r w:rsidR="00C341E9">
        <w:t xml:space="preserve">the inherently conservative heuristics around </w:t>
      </w:r>
      <w:r w:rsidR="00B138DD">
        <w:t>accessibility</w:t>
      </w:r>
      <w:r w:rsidR="00980B93">
        <w:t xml:space="preserve"> and representativeness</w:t>
      </w:r>
      <w:r w:rsidR="00DD3CD6">
        <w:t xml:space="preserve"> </w:t>
      </w:r>
      <w:r w:rsidR="00980B93">
        <w:t xml:space="preserve">holding sway.  </w:t>
      </w:r>
      <w:r w:rsidR="00B26DB8">
        <w:t xml:space="preserve">Well-intentioned, but misguided, work to </w:t>
      </w:r>
      <w:r w:rsidR="000D783F">
        <w:t>‘</w:t>
      </w:r>
      <w:r w:rsidR="00B26DB8">
        <w:t xml:space="preserve">raise aspirations’ has not been successful at the macro-level, which suggests that more radical options to </w:t>
      </w:r>
      <w:r w:rsidR="00745CEE">
        <w:t>achieve a fairer</w:t>
      </w:r>
      <w:r w:rsidR="00B26DB8">
        <w:t xml:space="preserve"> social mix are needed</w:t>
      </w:r>
      <w:r w:rsidR="00745CEE">
        <w:t>, especially when</w:t>
      </w:r>
      <w:r w:rsidR="00B26DB8">
        <w:t xml:space="preserve"> the best graduate opportunities are preserved for certain universities.</w:t>
      </w:r>
      <w:r w:rsidR="0029644F">
        <w:t xml:space="preserve"> </w:t>
      </w:r>
      <w:r w:rsidR="00775C0C">
        <w:t xml:space="preserve">Alternatively, </w:t>
      </w:r>
      <w:r w:rsidR="00B26DB8">
        <w:t>there needs to be a reassessment of the basis on which elite status is conferred</w:t>
      </w:r>
      <w:r w:rsidR="004F7DE1">
        <w:t xml:space="preserve">, maintained and valorised, </w:t>
      </w:r>
      <w:r w:rsidR="00DD3CD6">
        <w:t>towards a more equitable distribution of opportunities</w:t>
      </w:r>
      <w:r w:rsidR="0029644F">
        <w:t>.</w:t>
      </w:r>
    </w:p>
    <w:p w:rsidR="00B2704C" w:rsidRDefault="00B2704C">
      <w:r>
        <w:br w:type="page"/>
      </w:r>
    </w:p>
    <w:p w:rsidR="007A581A" w:rsidRDefault="00B2704C" w:rsidP="00576282">
      <w:r>
        <w:rPr>
          <w:b/>
        </w:rPr>
        <w:lastRenderedPageBreak/>
        <w:t>References</w:t>
      </w:r>
    </w:p>
    <w:p w:rsidR="00222A4C" w:rsidRPr="00B60901" w:rsidRDefault="00222A4C" w:rsidP="00B60901">
      <w:pPr>
        <w:ind w:left="567" w:hanging="567"/>
        <w:rPr>
          <w:szCs w:val="24"/>
        </w:rPr>
      </w:pPr>
    </w:p>
    <w:p w:rsidR="00510A72" w:rsidRDefault="00510A72" w:rsidP="00AF63DA">
      <w:pPr>
        <w:ind w:left="567" w:hanging="567"/>
        <w:rPr>
          <w:szCs w:val="24"/>
        </w:rPr>
      </w:pPr>
      <w:r w:rsidRPr="00D562AB">
        <w:rPr>
          <w:szCs w:val="24"/>
        </w:rPr>
        <w:t xml:space="preserve">Agosto, D. 2002. Bounded rationality and satisficing in young people's Web-based decision making. </w:t>
      </w:r>
      <w:r w:rsidRPr="00D562AB">
        <w:rPr>
          <w:i/>
          <w:szCs w:val="24"/>
        </w:rPr>
        <w:t>Journal of the Association for Information Science and Technology</w:t>
      </w:r>
      <w:r w:rsidRPr="00D562AB">
        <w:rPr>
          <w:szCs w:val="24"/>
        </w:rPr>
        <w:t xml:space="preserve"> 53(1):16-27. </w:t>
      </w:r>
    </w:p>
    <w:p w:rsidR="00CB5069" w:rsidRPr="00D562AB" w:rsidRDefault="00CB5069" w:rsidP="00AF63DA">
      <w:pPr>
        <w:ind w:left="567" w:hanging="567"/>
        <w:rPr>
          <w:szCs w:val="24"/>
        </w:rPr>
      </w:pPr>
      <w:r w:rsidRPr="00CB5069">
        <w:rPr>
          <w:szCs w:val="24"/>
        </w:rPr>
        <w:t xml:space="preserve">Archer, L., J. DeWitt and B. Wong. 2014. Spheres of influence: what shapes young people’s aspirations at age 12/13 and what are the implications for education policy? </w:t>
      </w:r>
      <w:r w:rsidRPr="00CB5069">
        <w:rPr>
          <w:i/>
          <w:szCs w:val="24"/>
        </w:rPr>
        <w:t>Journal of Education Policy</w:t>
      </w:r>
      <w:r w:rsidRPr="00CB5069">
        <w:rPr>
          <w:szCs w:val="24"/>
        </w:rPr>
        <w:t xml:space="preserve"> 29(1):58-85.</w:t>
      </w:r>
    </w:p>
    <w:p w:rsidR="00481534" w:rsidRPr="00D562AB" w:rsidRDefault="00071AF0" w:rsidP="00AF63DA">
      <w:pPr>
        <w:ind w:left="567" w:hanging="567"/>
        <w:rPr>
          <w:szCs w:val="24"/>
        </w:rPr>
      </w:pPr>
      <w:proofErr w:type="spellStart"/>
      <w:r w:rsidRPr="00D562AB">
        <w:rPr>
          <w:szCs w:val="24"/>
        </w:rPr>
        <w:t>Barberis</w:t>
      </w:r>
      <w:proofErr w:type="spellEnd"/>
      <w:r w:rsidRPr="00D562AB">
        <w:rPr>
          <w:szCs w:val="24"/>
        </w:rPr>
        <w:t xml:space="preserve">, N. 2012. </w:t>
      </w:r>
      <w:r w:rsidRPr="00D562AB">
        <w:rPr>
          <w:i/>
          <w:szCs w:val="24"/>
        </w:rPr>
        <w:t>Thirty years of prospect theory in economics: a review and assessment</w:t>
      </w:r>
      <w:r w:rsidRPr="00D562AB">
        <w:rPr>
          <w:szCs w:val="24"/>
        </w:rPr>
        <w:t>. Cambridge, MA: National Bureau of Economic Research.</w:t>
      </w:r>
    </w:p>
    <w:p w:rsidR="00071AF0" w:rsidRPr="00D562AB" w:rsidRDefault="002740C9" w:rsidP="00AF63DA">
      <w:pPr>
        <w:ind w:left="567" w:hanging="567"/>
        <w:rPr>
          <w:szCs w:val="24"/>
        </w:rPr>
      </w:pPr>
      <w:r>
        <w:rPr>
          <w:szCs w:val="24"/>
        </w:rPr>
        <w:t>Becker,</w:t>
      </w:r>
      <w:r w:rsidR="00481534" w:rsidRPr="00D562AB">
        <w:rPr>
          <w:szCs w:val="24"/>
        </w:rPr>
        <w:t xml:space="preserve"> G. 1994. </w:t>
      </w:r>
      <w:r w:rsidR="00481534" w:rsidRPr="00D562AB">
        <w:rPr>
          <w:rStyle w:val="Emphasis"/>
          <w:szCs w:val="24"/>
        </w:rPr>
        <w:t>Human capital: a theoretical and empirical analysis with special reference to education (2</w:t>
      </w:r>
      <w:r w:rsidR="00481534" w:rsidRPr="00D562AB">
        <w:rPr>
          <w:rStyle w:val="Emphasis"/>
          <w:szCs w:val="24"/>
          <w:vertAlign w:val="superscript"/>
        </w:rPr>
        <w:t>nd</w:t>
      </w:r>
      <w:r w:rsidR="00481534" w:rsidRPr="00D562AB">
        <w:rPr>
          <w:rStyle w:val="Emphasis"/>
          <w:szCs w:val="24"/>
        </w:rPr>
        <w:t xml:space="preserve"> edition)</w:t>
      </w:r>
      <w:r w:rsidR="00481534" w:rsidRPr="00D562AB">
        <w:rPr>
          <w:szCs w:val="24"/>
        </w:rPr>
        <w:t>. Chicago: University of Chicago Press.</w:t>
      </w:r>
    </w:p>
    <w:p w:rsidR="00041941" w:rsidRPr="00D562AB" w:rsidRDefault="00222A4C" w:rsidP="00AF63DA">
      <w:pPr>
        <w:ind w:left="426" w:hanging="426"/>
        <w:rPr>
          <w:szCs w:val="24"/>
        </w:rPr>
      </w:pPr>
      <w:proofErr w:type="spellStart"/>
      <w:r w:rsidRPr="00D562AB">
        <w:rPr>
          <w:szCs w:val="24"/>
        </w:rPr>
        <w:t>Benselin</w:t>
      </w:r>
      <w:proofErr w:type="spellEnd"/>
      <w:r w:rsidRPr="00D562AB">
        <w:rPr>
          <w:szCs w:val="24"/>
        </w:rPr>
        <w:t xml:space="preserve">, J. and G. </w:t>
      </w:r>
      <w:proofErr w:type="spellStart"/>
      <w:r w:rsidRPr="00D562AB">
        <w:rPr>
          <w:szCs w:val="24"/>
        </w:rPr>
        <w:t>Ragsdell</w:t>
      </w:r>
      <w:proofErr w:type="spellEnd"/>
      <w:r w:rsidRPr="00D562AB">
        <w:rPr>
          <w:szCs w:val="24"/>
        </w:rPr>
        <w:t xml:space="preserve">. In press. Information overload: the </w:t>
      </w:r>
      <w:proofErr w:type="spellStart"/>
      <w:r w:rsidRPr="00D562AB">
        <w:rPr>
          <w:szCs w:val="24"/>
        </w:rPr>
        <w:t>diferences</w:t>
      </w:r>
      <w:proofErr w:type="spellEnd"/>
      <w:r w:rsidRPr="00D562AB">
        <w:rPr>
          <w:szCs w:val="24"/>
        </w:rPr>
        <w:t xml:space="preserve"> that age makes. </w:t>
      </w:r>
      <w:r w:rsidRPr="00D562AB">
        <w:rPr>
          <w:i/>
          <w:szCs w:val="24"/>
        </w:rPr>
        <w:t>Journal of Librarianship and Information Science</w:t>
      </w:r>
      <w:r w:rsidR="00DD3CD6">
        <w:rPr>
          <w:szCs w:val="24"/>
        </w:rPr>
        <w:t>. DOI:</w:t>
      </w:r>
      <w:r w:rsidR="00041941" w:rsidRPr="00D562AB">
        <w:rPr>
          <w:szCs w:val="24"/>
        </w:rPr>
        <w:t>10.1177/0961000614566341.</w:t>
      </w:r>
    </w:p>
    <w:p w:rsidR="00B60901" w:rsidRPr="00D562AB" w:rsidRDefault="00B60901" w:rsidP="00AF63DA">
      <w:pPr>
        <w:ind w:left="426" w:hanging="426"/>
        <w:rPr>
          <w:rFonts w:cs="Arial"/>
          <w:color w:val="000000"/>
          <w:szCs w:val="24"/>
        </w:rPr>
      </w:pPr>
      <w:proofErr w:type="spellStart"/>
      <w:r w:rsidRPr="00D562AB">
        <w:rPr>
          <w:rFonts w:cs="Arial"/>
          <w:color w:val="000000"/>
          <w:szCs w:val="24"/>
        </w:rPr>
        <w:t>Boliver</w:t>
      </w:r>
      <w:proofErr w:type="spellEnd"/>
      <w:r w:rsidRPr="00D562AB">
        <w:rPr>
          <w:rFonts w:cs="Arial"/>
          <w:color w:val="000000"/>
          <w:szCs w:val="24"/>
        </w:rPr>
        <w:t xml:space="preserve">, V. 2013. How fair is access to more prestigious UK universities? </w:t>
      </w:r>
      <w:r w:rsidRPr="00D562AB">
        <w:rPr>
          <w:rFonts w:cs="Arial"/>
          <w:i/>
          <w:color w:val="000000"/>
          <w:szCs w:val="24"/>
        </w:rPr>
        <w:t>British Journal of Sociology</w:t>
      </w:r>
      <w:r w:rsidR="00DD3CD6">
        <w:rPr>
          <w:rFonts w:cs="Arial"/>
          <w:color w:val="000000"/>
          <w:szCs w:val="24"/>
        </w:rPr>
        <w:t xml:space="preserve"> 64(2):</w:t>
      </w:r>
      <w:r w:rsidRPr="00D562AB">
        <w:rPr>
          <w:rFonts w:cs="Arial"/>
          <w:color w:val="000000"/>
          <w:szCs w:val="24"/>
        </w:rPr>
        <w:t>344-364.</w:t>
      </w:r>
    </w:p>
    <w:p w:rsidR="00041941" w:rsidRPr="00D562AB" w:rsidRDefault="00041941" w:rsidP="00AF63DA">
      <w:pPr>
        <w:ind w:left="426" w:hanging="426"/>
        <w:rPr>
          <w:szCs w:val="24"/>
        </w:rPr>
      </w:pPr>
      <w:r w:rsidRPr="00D562AB">
        <w:rPr>
          <w:szCs w:val="24"/>
        </w:rPr>
        <w:t xml:space="preserve">Breen, R., H. van de </w:t>
      </w:r>
      <w:proofErr w:type="spellStart"/>
      <w:r w:rsidRPr="00D562AB">
        <w:rPr>
          <w:szCs w:val="24"/>
        </w:rPr>
        <w:t>Werfhorst</w:t>
      </w:r>
      <w:proofErr w:type="spellEnd"/>
      <w:r w:rsidRPr="00D562AB">
        <w:rPr>
          <w:szCs w:val="24"/>
        </w:rPr>
        <w:t xml:space="preserve"> and M. Jaeger. </w:t>
      </w:r>
      <w:r w:rsidR="00A8640D" w:rsidRPr="00D562AB">
        <w:rPr>
          <w:szCs w:val="24"/>
        </w:rPr>
        <w:t>2014</w:t>
      </w:r>
      <w:r w:rsidRPr="00D562AB">
        <w:rPr>
          <w:szCs w:val="24"/>
        </w:rPr>
        <w:t xml:space="preserve">. Deciding under doubt: a theory of risk aversion, time discounting preferences, and educational decision-making. </w:t>
      </w:r>
      <w:r w:rsidR="00A8640D" w:rsidRPr="00D562AB">
        <w:rPr>
          <w:i/>
          <w:szCs w:val="24"/>
        </w:rPr>
        <w:t>European Sociological Review</w:t>
      </w:r>
      <w:r w:rsidR="00A8640D" w:rsidRPr="00D562AB">
        <w:rPr>
          <w:szCs w:val="24"/>
        </w:rPr>
        <w:t xml:space="preserve"> 30(2):258-270. </w:t>
      </w:r>
    </w:p>
    <w:p w:rsidR="00695FA0" w:rsidRPr="00D562AB" w:rsidRDefault="005C4547" w:rsidP="00AF63DA">
      <w:pPr>
        <w:ind w:left="426" w:hanging="426"/>
        <w:jc w:val="both"/>
        <w:rPr>
          <w:rFonts w:cs="Times New Roman"/>
          <w:bCs/>
          <w:szCs w:val="24"/>
        </w:rPr>
      </w:pPr>
      <w:r w:rsidRPr="00D562AB">
        <w:rPr>
          <w:rFonts w:cs="Times New Roman"/>
          <w:bCs/>
          <w:szCs w:val="24"/>
        </w:rPr>
        <w:t xml:space="preserve">Brown, P. 2013. Education, opportunity and the prospects for social mobility. </w:t>
      </w:r>
      <w:r w:rsidRPr="00D562AB">
        <w:rPr>
          <w:rFonts w:cs="Times New Roman"/>
          <w:bCs/>
          <w:i/>
          <w:szCs w:val="24"/>
        </w:rPr>
        <w:t xml:space="preserve">British Journal of Sociology of Education </w:t>
      </w:r>
      <w:r w:rsidR="00664E07" w:rsidRPr="00D562AB">
        <w:rPr>
          <w:rFonts w:cs="Times New Roman"/>
          <w:bCs/>
          <w:szCs w:val="24"/>
        </w:rPr>
        <w:t>34(5/6):678-700.</w:t>
      </w:r>
    </w:p>
    <w:p w:rsidR="007D5FB0" w:rsidRPr="00D562AB" w:rsidRDefault="007D5FB0" w:rsidP="00AF63DA">
      <w:pPr>
        <w:ind w:left="426" w:hanging="426"/>
        <w:rPr>
          <w:color w:val="000000"/>
          <w:szCs w:val="24"/>
        </w:rPr>
      </w:pPr>
      <w:r w:rsidRPr="00D562AB">
        <w:rPr>
          <w:szCs w:val="24"/>
        </w:rPr>
        <w:t xml:space="preserve">Callender, C. 2010. Bursaries and institutional aid in higher education in England: Do they safeguard and promote fair access? </w:t>
      </w:r>
      <w:r w:rsidRPr="00D562AB">
        <w:rPr>
          <w:i/>
          <w:iCs/>
          <w:szCs w:val="24"/>
        </w:rPr>
        <w:t>Oxford Review of Education</w:t>
      </w:r>
      <w:r w:rsidRPr="00D562AB">
        <w:rPr>
          <w:szCs w:val="24"/>
        </w:rPr>
        <w:t xml:space="preserve"> </w:t>
      </w:r>
      <w:r w:rsidRPr="00D562AB">
        <w:rPr>
          <w:iCs/>
          <w:szCs w:val="24"/>
        </w:rPr>
        <w:t>36</w:t>
      </w:r>
      <w:r w:rsidRPr="00D562AB">
        <w:rPr>
          <w:szCs w:val="24"/>
        </w:rPr>
        <w:t>(1):45-62.</w:t>
      </w:r>
    </w:p>
    <w:p w:rsidR="00686EC5" w:rsidRPr="00D562AB" w:rsidRDefault="00686EC5" w:rsidP="00AF63DA">
      <w:pPr>
        <w:ind w:left="426" w:hanging="426"/>
        <w:rPr>
          <w:rFonts w:cs="Times New Roman"/>
          <w:szCs w:val="24"/>
        </w:rPr>
      </w:pPr>
      <w:r w:rsidRPr="00D562AB">
        <w:rPr>
          <w:rFonts w:cs="Times New Roman"/>
          <w:szCs w:val="24"/>
        </w:rPr>
        <w:t>Callender, C. and J. Jackson</w:t>
      </w:r>
      <w:r w:rsidR="0012558E" w:rsidRPr="00D562AB">
        <w:rPr>
          <w:rFonts w:cs="Times New Roman"/>
          <w:szCs w:val="24"/>
        </w:rPr>
        <w:t>.</w:t>
      </w:r>
      <w:r w:rsidRPr="00D562AB">
        <w:rPr>
          <w:rFonts w:cs="Times New Roman"/>
          <w:szCs w:val="24"/>
        </w:rPr>
        <w:t xml:space="preserve"> 2005. Does the fear of debt deter students from higher education? </w:t>
      </w:r>
      <w:r w:rsidRPr="00D562AB">
        <w:rPr>
          <w:rFonts w:cs="Times New Roman"/>
          <w:i/>
          <w:szCs w:val="24"/>
        </w:rPr>
        <w:t>Journal of Social Policy</w:t>
      </w:r>
      <w:r w:rsidRPr="00D562AB">
        <w:rPr>
          <w:rFonts w:cs="Times New Roman"/>
          <w:szCs w:val="24"/>
        </w:rPr>
        <w:t xml:space="preserve"> 34(4):509-540.</w:t>
      </w:r>
    </w:p>
    <w:p w:rsidR="007D5FB0" w:rsidRPr="00D562AB" w:rsidRDefault="007D5FB0" w:rsidP="00AF63DA">
      <w:pPr>
        <w:tabs>
          <w:tab w:val="left" w:pos="284"/>
        </w:tabs>
        <w:ind w:left="426" w:hanging="426"/>
        <w:rPr>
          <w:color w:val="000000"/>
          <w:szCs w:val="24"/>
        </w:rPr>
      </w:pPr>
      <w:r w:rsidRPr="00D562AB">
        <w:rPr>
          <w:color w:val="000000"/>
          <w:szCs w:val="24"/>
        </w:rPr>
        <w:t xml:space="preserve">Callender, C., D. Wilkinson and R. Hopkin. 2009. </w:t>
      </w:r>
      <w:r w:rsidRPr="00D562AB">
        <w:rPr>
          <w:i/>
          <w:color w:val="000000"/>
          <w:szCs w:val="24"/>
        </w:rPr>
        <w:t>The impact of institutional financial support in England: higher education students’ awareness, knowledge and take-up of bursaries and scholarships</w:t>
      </w:r>
      <w:r w:rsidRPr="00D562AB">
        <w:rPr>
          <w:color w:val="000000"/>
          <w:szCs w:val="24"/>
        </w:rPr>
        <w:t>.  Bristol: Office for Fair Access.</w:t>
      </w:r>
    </w:p>
    <w:p w:rsidR="00664E07" w:rsidRPr="00D562AB" w:rsidRDefault="00664E07" w:rsidP="00AF63DA">
      <w:pPr>
        <w:ind w:left="426" w:hanging="426"/>
        <w:jc w:val="both"/>
        <w:rPr>
          <w:rFonts w:cs="Times New Roman"/>
          <w:bCs/>
          <w:szCs w:val="24"/>
        </w:rPr>
      </w:pPr>
      <w:r w:rsidRPr="00D562AB">
        <w:rPr>
          <w:rFonts w:cs="Times New Roman"/>
          <w:bCs/>
          <w:szCs w:val="24"/>
        </w:rPr>
        <w:t xml:space="preserve">Chevalier, A. 2011. </w:t>
      </w:r>
      <w:r w:rsidRPr="00D562AB">
        <w:rPr>
          <w:szCs w:val="24"/>
        </w:rPr>
        <w:t xml:space="preserve">Subject choice and earnings of UK graduates. </w:t>
      </w:r>
      <w:r w:rsidRPr="00D562AB">
        <w:rPr>
          <w:i/>
          <w:szCs w:val="24"/>
        </w:rPr>
        <w:t>Economics of Education Review</w:t>
      </w:r>
      <w:r w:rsidRPr="00D562AB">
        <w:rPr>
          <w:szCs w:val="24"/>
        </w:rPr>
        <w:t xml:space="preserve"> 30(6):1187-1201.</w:t>
      </w:r>
    </w:p>
    <w:p w:rsidR="0068228B" w:rsidRPr="00D562AB" w:rsidRDefault="0068228B" w:rsidP="00AF63DA">
      <w:pPr>
        <w:autoSpaceDE w:val="0"/>
        <w:autoSpaceDN w:val="0"/>
        <w:adjustRightInd w:val="0"/>
        <w:ind w:left="426" w:hanging="426"/>
        <w:rPr>
          <w:color w:val="000000"/>
          <w:szCs w:val="24"/>
        </w:rPr>
      </w:pPr>
      <w:r w:rsidRPr="00D562AB">
        <w:rPr>
          <w:color w:val="000000"/>
          <w:szCs w:val="24"/>
        </w:rPr>
        <w:t xml:space="preserve">Coleman, R. and B. </w:t>
      </w:r>
      <w:proofErr w:type="spellStart"/>
      <w:r w:rsidRPr="00D562AB">
        <w:rPr>
          <w:color w:val="000000"/>
          <w:szCs w:val="24"/>
        </w:rPr>
        <w:t>Bekhradnia</w:t>
      </w:r>
      <w:proofErr w:type="spellEnd"/>
      <w:r w:rsidRPr="00D562AB">
        <w:rPr>
          <w:color w:val="000000"/>
          <w:szCs w:val="24"/>
        </w:rPr>
        <w:t xml:space="preserve">. 2011. </w:t>
      </w:r>
      <w:r w:rsidRPr="00D562AB">
        <w:rPr>
          <w:i/>
          <w:iCs/>
          <w:color w:val="000000"/>
          <w:szCs w:val="24"/>
        </w:rPr>
        <w:t>Higher education supply and demand to 2020</w:t>
      </w:r>
      <w:r w:rsidRPr="00D562AB">
        <w:rPr>
          <w:color w:val="000000"/>
          <w:szCs w:val="24"/>
        </w:rPr>
        <w:t>. Oxford: Higher Education Policy Institute.</w:t>
      </w:r>
    </w:p>
    <w:p w:rsidR="0068228B" w:rsidRPr="00D562AB" w:rsidRDefault="0068228B" w:rsidP="00AF63DA">
      <w:pPr>
        <w:ind w:left="426" w:hanging="426"/>
        <w:rPr>
          <w:szCs w:val="24"/>
        </w:rPr>
      </w:pPr>
      <w:r w:rsidRPr="00D562AB">
        <w:rPr>
          <w:szCs w:val="24"/>
        </w:rPr>
        <w:t xml:space="preserve">Collet, F. 2009. Does habitus matter? A comparative review of Bourdieu’s habitus and Simon’s bounded rationality with some implications for economic sociology. </w:t>
      </w:r>
      <w:r w:rsidRPr="00D562AB">
        <w:rPr>
          <w:i/>
          <w:szCs w:val="24"/>
        </w:rPr>
        <w:t>Sociological Theory</w:t>
      </w:r>
      <w:r w:rsidRPr="00D562AB">
        <w:rPr>
          <w:szCs w:val="24"/>
        </w:rPr>
        <w:t xml:space="preserve"> 27</w:t>
      </w:r>
      <w:r w:rsidR="00DD3CD6">
        <w:rPr>
          <w:szCs w:val="24"/>
        </w:rPr>
        <w:t>(4):4</w:t>
      </w:r>
      <w:r w:rsidRPr="00D562AB">
        <w:rPr>
          <w:szCs w:val="24"/>
        </w:rPr>
        <w:t>19-434.</w:t>
      </w:r>
    </w:p>
    <w:p w:rsidR="0068228B" w:rsidRDefault="0068228B" w:rsidP="00AF63DA">
      <w:pPr>
        <w:autoSpaceDE w:val="0"/>
        <w:autoSpaceDN w:val="0"/>
        <w:adjustRightInd w:val="0"/>
        <w:ind w:left="426" w:hanging="426"/>
        <w:rPr>
          <w:color w:val="000000"/>
          <w:szCs w:val="24"/>
        </w:rPr>
      </w:pPr>
      <w:r w:rsidRPr="00D562AB">
        <w:rPr>
          <w:color w:val="000000"/>
          <w:szCs w:val="24"/>
        </w:rPr>
        <w:t xml:space="preserve">Crawford, C. 2014. </w:t>
      </w:r>
      <w:r w:rsidRPr="00D562AB">
        <w:rPr>
          <w:i/>
          <w:iCs/>
          <w:color w:val="000000"/>
          <w:szCs w:val="24"/>
        </w:rPr>
        <w:t>The link between secondary school characteristics and university participation and outcomes</w:t>
      </w:r>
      <w:r w:rsidRPr="00D562AB">
        <w:rPr>
          <w:color w:val="000000"/>
          <w:szCs w:val="24"/>
        </w:rPr>
        <w:t>.  London: DFE.</w:t>
      </w:r>
    </w:p>
    <w:p w:rsidR="00CB5069" w:rsidRPr="00D562AB" w:rsidRDefault="00CB5069" w:rsidP="00AF63DA">
      <w:pPr>
        <w:autoSpaceDE w:val="0"/>
        <w:autoSpaceDN w:val="0"/>
        <w:adjustRightInd w:val="0"/>
        <w:ind w:left="426" w:hanging="426"/>
        <w:rPr>
          <w:color w:val="000000"/>
          <w:szCs w:val="24"/>
        </w:rPr>
      </w:pPr>
      <w:proofErr w:type="spellStart"/>
      <w:r w:rsidRPr="00CB5069">
        <w:rPr>
          <w:color w:val="000000"/>
          <w:szCs w:val="24"/>
        </w:rPr>
        <w:t>Croll</w:t>
      </w:r>
      <w:proofErr w:type="spellEnd"/>
      <w:r w:rsidRPr="00CB5069">
        <w:rPr>
          <w:color w:val="000000"/>
          <w:szCs w:val="24"/>
        </w:rPr>
        <w:t xml:space="preserve">, P. 2008. Occupational choice, socio‐economic status and educational attainment: a study of the occupational choices and destinations of young people in the British Household Panel Survey. </w:t>
      </w:r>
      <w:r w:rsidRPr="00CB5069">
        <w:rPr>
          <w:i/>
          <w:color w:val="000000"/>
          <w:szCs w:val="24"/>
        </w:rPr>
        <w:t xml:space="preserve">Research Papers in Education </w:t>
      </w:r>
      <w:r w:rsidRPr="00CB5069">
        <w:rPr>
          <w:color w:val="000000"/>
          <w:szCs w:val="24"/>
        </w:rPr>
        <w:t>23</w:t>
      </w:r>
      <w:r w:rsidR="00DD3CD6">
        <w:rPr>
          <w:color w:val="000000"/>
          <w:szCs w:val="24"/>
        </w:rPr>
        <w:t>(3):2</w:t>
      </w:r>
      <w:r w:rsidRPr="00CB5069">
        <w:rPr>
          <w:color w:val="000000"/>
          <w:szCs w:val="24"/>
        </w:rPr>
        <w:t>43-268.</w:t>
      </w:r>
    </w:p>
    <w:p w:rsidR="00FE5C78" w:rsidRPr="00D562AB" w:rsidRDefault="00FE5C78" w:rsidP="00AF63DA">
      <w:pPr>
        <w:ind w:left="426" w:hanging="426"/>
        <w:rPr>
          <w:color w:val="000000"/>
          <w:szCs w:val="24"/>
        </w:rPr>
      </w:pPr>
      <w:proofErr w:type="spellStart"/>
      <w:r w:rsidRPr="00D562AB">
        <w:rPr>
          <w:color w:val="000000"/>
          <w:szCs w:val="24"/>
        </w:rPr>
        <w:t>Croxford</w:t>
      </w:r>
      <w:proofErr w:type="spellEnd"/>
      <w:r w:rsidRPr="00D562AB">
        <w:rPr>
          <w:color w:val="000000"/>
          <w:szCs w:val="24"/>
        </w:rPr>
        <w:t xml:space="preserve">, L. and D. </w:t>
      </w:r>
      <w:proofErr w:type="spellStart"/>
      <w:r w:rsidRPr="00D562AB">
        <w:rPr>
          <w:color w:val="000000"/>
          <w:szCs w:val="24"/>
        </w:rPr>
        <w:t>Raffe</w:t>
      </w:r>
      <w:proofErr w:type="spellEnd"/>
      <w:r w:rsidRPr="00D562AB">
        <w:rPr>
          <w:color w:val="000000"/>
          <w:szCs w:val="24"/>
        </w:rPr>
        <w:t xml:space="preserve">. 2015. The iron law of hierarchy? Institutional differentiation in UK higher education. </w:t>
      </w:r>
      <w:r w:rsidRPr="00D562AB">
        <w:rPr>
          <w:i/>
          <w:color w:val="000000"/>
          <w:szCs w:val="24"/>
        </w:rPr>
        <w:t>Studies in Higher Education</w:t>
      </w:r>
      <w:r w:rsidRPr="00D562AB">
        <w:rPr>
          <w:color w:val="000000"/>
          <w:szCs w:val="24"/>
        </w:rPr>
        <w:t xml:space="preserve"> 40(9):1625-1640.</w:t>
      </w:r>
    </w:p>
    <w:p w:rsidR="001E1444" w:rsidRPr="00D562AB" w:rsidRDefault="001E1444" w:rsidP="00AF63DA">
      <w:pPr>
        <w:autoSpaceDE w:val="0"/>
        <w:autoSpaceDN w:val="0"/>
        <w:adjustRightInd w:val="0"/>
        <w:ind w:left="426" w:hanging="426"/>
        <w:rPr>
          <w:color w:val="000000"/>
          <w:szCs w:val="24"/>
        </w:rPr>
      </w:pPr>
      <w:r w:rsidRPr="00D562AB">
        <w:rPr>
          <w:color w:val="000000"/>
          <w:szCs w:val="24"/>
        </w:rPr>
        <w:t xml:space="preserve">Davies, P. 2012. Can governments improve higher education through ‘informing choice’? </w:t>
      </w:r>
      <w:r w:rsidRPr="00D562AB">
        <w:rPr>
          <w:i/>
          <w:color w:val="000000"/>
          <w:szCs w:val="24"/>
        </w:rPr>
        <w:t>British Journal of Educational Studies</w:t>
      </w:r>
      <w:r w:rsidRPr="00D562AB">
        <w:rPr>
          <w:color w:val="000000"/>
          <w:szCs w:val="24"/>
        </w:rPr>
        <w:t xml:space="preserve"> 60(3):261-276.</w:t>
      </w:r>
    </w:p>
    <w:p w:rsidR="00690085" w:rsidRPr="00D562AB" w:rsidRDefault="00E822F4" w:rsidP="00AF63DA">
      <w:pPr>
        <w:autoSpaceDE w:val="0"/>
        <w:autoSpaceDN w:val="0"/>
        <w:adjustRightInd w:val="0"/>
        <w:ind w:left="426" w:hanging="426"/>
        <w:rPr>
          <w:rFonts w:cs="TimesNewRomanPS"/>
          <w:color w:val="000000"/>
          <w:szCs w:val="24"/>
          <w:lang w:eastAsia="en-GB"/>
        </w:rPr>
      </w:pPr>
      <w:r w:rsidRPr="00D562AB">
        <w:rPr>
          <w:color w:val="000000"/>
          <w:szCs w:val="24"/>
        </w:rPr>
        <w:lastRenderedPageBreak/>
        <w:t>Davies, P.</w:t>
      </w:r>
      <w:r w:rsidR="00D94C5E" w:rsidRPr="00D562AB">
        <w:rPr>
          <w:color w:val="000000"/>
          <w:szCs w:val="24"/>
        </w:rPr>
        <w:t xml:space="preserve">, T. </w:t>
      </w:r>
      <w:proofErr w:type="spellStart"/>
      <w:r w:rsidR="00D94C5E" w:rsidRPr="00D562AB">
        <w:rPr>
          <w:color w:val="000000"/>
          <w:szCs w:val="24"/>
        </w:rPr>
        <w:t>Qiu</w:t>
      </w:r>
      <w:proofErr w:type="spellEnd"/>
      <w:r w:rsidR="00D94C5E" w:rsidRPr="00D562AB">
        <w:rPr>
          <w:color w:val="000000"/>
          <w:szCs w:val="24"/>
        </w:rPr>
        <w:t xml:space="preserve"> and </w:t>
      </w:r>
      <w:r w:rsidR="002F253B" w:rsidRPr="00D562AB">
        <w:rPr>
          <w:color w:val="000000"/>
          <w:szCs w:val="24"/>
        </w:rPr>
        <w:t>N. Davies. 2014. Cultural and human capital, information and higher education choices</w:t>
      </w:r>
      <w:r w:rsidR="00602721" w:rsidRPr="00D562AB">
        <w:rPr>
          <w:color w:val="000000"/>
          <w:szCs w:val="24"/>
        </w:rPr>
        <w:t xml:space="preserve">. </w:t>
      </w:r>
      <w:r w:rsidR="00602721" w:rsidRPr="00D562AB">
        <w:rPr>
          <w:i/>
          <w:color w:val="000000"/>
          <w:szCs w:val="24"/>
        </w:rPr>
        <w:t>Journal of Education Policy</w:t>
      </w:r>
      <w:r w:rsidR="00602721" w:rsidRPr="00D562AB">
        <w:rPr>
          <w:color w:val="000000"/>
          <w:szCs w:val="24"/>
        </w:rPr>
        <w:t xml:space="preserve"> 29(6):804-825.</w:t>
      </w:r>
      <w:r w:rsidR="00690085" w:rsidRPr="00D562AB">
        <w:rPr>
          <w:rFonts w:cs="TimesNewRomanPS"/>
          <w:color w:val="000000"/>
          <w:szCs w:val="24"/>
          <w:lang w:eastAsia="en-GB"/>
        </w:rPr>
        <w:t xml:space="preserve"> </w:t>
      </w:r>
    </w:p>
    <w:p w:rsidR="00B50923" w:rsidRPr="00D562AB" w:rsidRDefault="00B50923" w:rsidP="00AF63DA">
      <w:pPr>
        <w:tabs>
          <w:tab w:val="left" w:pos="284"/>
        </w:tabs>
        <w:ind w:left="426" w:hanging="426"/>
        <w:rPr>
          <w:rFonts w:eastAsia="Calibri" w:cs="AdvP8585"/>
          <w:szCs w:val="24"/>
          <w:lang w:eastAsia="en-GB"/>
        </w:rPr>
      </w:pPr>
      <w:r w:rsidRPr="00D562AB">
        <w:rPr>
          <w:rFonts w:eastAsia="Calibri" w:cs="AdvP8585"/>
          <w:szCs w:val="24"/>
          <w:lang w:eastAsia="en-GB"/>
        </w:rPr>
        <w:t xml:space="preserve">Davies, P., K. Slack, A. Hughes, J. </w:t>
      </w:r>
      <w:proofErr w:type="spellStart"/>
      <w:r w:rsidRPr="00D562AB">
        <w:rPr>
          <w:rFonts w:eastAsia="Calibri" w:cs="AdvP8585"/>
          <w:szCs w:val="24"/>
          <w:lang w:eastAsia="en-GB"/>
        </w:rPr>
        <w:t>Mangan</w:t>
      </w:r>
      <w:proofErr w:type="spellEnd"/>
      <w:r w:rsidRPr="00D562AB">
        <w:rPr>
          <w:rFonts w:eastAsia="Calibri" w:cs="AdvP8585"/>
          <w:szCs w:val="24"/>
          <w:lang w:eastAsia="en-GB"/>
        </w:rPr>
        <w:t xml:space="preserve"> and K. </w:t>
      </w:r>
      <w:proofErr w:type="spellStart"/>
      <w:r w:rsidRPr="00D562AB">
        <w:rPr>
          <w:rFonts w:eastAsia="Calibri" w:cs="AdvP8585"/>
          <w:szCs w:val="24"/>
          <w:lang w:eastAsia="en-GB"/>
        </w:rPr>
        <w:t>Vigurs</w:t>
      </w:r>
      <w:proofErr w:type="spellEnd"/>
      <w:r w:rsidRPr="00D562AB">
        <w:rPr>
          <w:rFonts w:eastAsia="Calibri" w:cs="AdvP8585"/>
          <w:szCs w:val="24"/>
          <w:lang w:eastAsia="en-GB"/>
        </w:rPr>
        <w:t xml:space="preserve">. 2008. </w:t>
      </w:r>
      <w:r w:rsidRPr="00D562AB">
        <w:rPr>
          <w:rFonts w:eastAsia="Calibri" w:cs="AdvP8585"/>
          <w:i/>
          <w:szCs w:val="24"/>
          <w:lang w:eastAsia="en-GB"/>
        </w:rPr>
        <w:t>Knowing where to study: fees, bursaries and fair access</w:t>
      </w:r>
      <w:r w:rsidRPr="00D562AB">
        <w:rPr>
          <w:rFonts w:eastAsia="Calibri" w:cs="AdvP8585"/>
          <w:szCs w:val="24"/>
          <w:lang w:eastAsia="en-GB"/>
        </w:rPr>
        <w:t>.  Stoke-on-Trent: Institute for Educational Policy Research and Institute for Access Studies.</w:t>
      </w:r>
    </w:p>
    <w:p w:rsidR="00690085" w:rsidRPr="00D562AB" w:rsidRDefault="00690085" w:rsidP="00AF63DA">
      <w:pPr>
        <w:autoSpaceDE w:val="0"/>
        <w:autoSpaceDN w:val="0"/>
        <w:adjustRightInd w:val="0"/>
        <w:ind w:left="426" w:hanging="426"/>
        <w:rPr>
          <w:rFonts w:cs="TimesNewRomanPS"/>
          <w:color w:val="000000"/>
          <w:szCs w:val="24"/>
          <w:lang w:eastAsia="en-GB"/>
        </w:rPr>
      </w:pPr>
      <w:r w:rsidRPr="00D562AB">
        <w:rPr>
          <w:rFonts w:cs="TimesNewRomanPS"/>
          <w:color w:val="000000"/>
          <w:szCs w:val="24"/>
          <w:lang w:eastAsia="en-GB"/>
        </w:rPr>
        <w:t>Department for</w:t>
      </w:r>
      <w:r w:rsidR="00DD3CD6">
        <w:rPr>
          <w:rFonts w:cs="TimesNewRomanPS"/>
          <w:color w:val="000000"/>
          <w:szCs w:val="24"/>
          <w:lang w:eastAsia="en-GB"/>
        </w:rPr>
        <w:t xml:space="preserve"> Education and Employment</w:t>
      </w:r>
      <w:r w:rsidRPr="00D562AB">
        <w:rPr>
          <w:rFonts w:cs="TimesNewRomanPS"/>
          <w:color w:val="000000"/>
          <w:szCs w:val="24"/>
          <w:lang w:eastAsia="en-GB"/>
        </w:rPr>
        <w:t xml:space="preserve">. 2000. </w:t>
      </w:r>
      <w:r w:rsidRPr="00D562AB">
        <w:rPr>
          <w:rFonts w:cs="TimesNewRomanPS-Italic"/>
          <w:i/>
          <w:iCs/>
          <w:color w:val="000000"/>
          <w:szCs w:val="24"/>
          <w:lang w:eastAsia="en-GB"/>
        </w:rPr>
        <w:t>The excellence challenge.</w:t>
      </w:r>
      <w:r w:rsidRPr="00D562AB">
        <w:rPr>
          <w:bCs/>
          <w:color w:val="000000"/>
          <w:szCs w:val="24"/>
          <w:lang w:eastAsia="en-GB"/>
        </w:rPr>
        <w:t xml:space="preserve"> </w:t>
      </w:r>
      <w:r w:rsidRPr="00D562AB">
        <w:rPr>
          <w:rFonts w:cs="TimesNewRomanPS"/>
          <w:color w:val="000000"/>
          <w:szCs w:val="24"/>
          <w:lang w:eastAsia="en-GB"/>
        </w:rPr>
        <w:t>London: DFEE.</w:t>
      </w:r>
    </w:p>
    <w:p w:rsidR="009D1EEB" w:rsidRPr="00D562AB" w:rsidRDefault="009D1EEB" w:rsidP="00AF63DA">
      <w:pPr>
        <w:ind w:left="426" w:hanging="426"/>
        <w:rPr>
          <w:bCs/>
          <w:color w:val="000000"/>
          <w:szCs w:val="24"/>
          <w:lang w:eastAsia="en-GB"/>
        </w:rPr>
      </w:pPr>
      <w:r w:rsidRPr="00D562AB">
        <w:rPr>
          <w:rFonts w:cs="TimesNewRomanPS"/>
          <w:color w:val="000000"/>
          <w:szCs w:val="24"/>
          <w:lang w:eastAsia="en-GB"/>
        </w:rPr>
        <w:t>Department</w:t>
      </w:r>
      <w:r w:rsidR="00DD3CD6">
        <w:rPr>
          <w:rFonts w:cs="TimesNewRomanPS"/>
          <w:color w:val="000000"/>
          <w:szCs w:val="24"/>
          <w:lang w:eastAsia="en-GB"/>
        </w:rPr>
        <w:t xml:space="preserve"> for Education and Skills</w:t>
      </w:r>
      <w:r w:rsidRPr="00D562AB">
        <w:rPr>
          <w:rFonts w:cs="TimesNewRomanPS"/>
          <w:color w:val="000000"/>
          <w:szCs w:val="24"/>
          <w:lang w:eastAsia="en-GB"/>
        </w:rPr>
        <w:t xml:space="preserve">.  2003.  </w:t>
      </w:r>
      <w:r w:rsidRPr="00D562AB">
        <w:rPr>
          <w:rFonts w:cs="TimesNewRomanPS-Italic"/>
          <w:i/>
          <w:iCs/>
          <w:color w:val="000000"/>
          <w:szCs w:val="24"/>
          <w:lang w:eastAsia="en-GB"/>
        </w:rPr>
        <w:t xml:space="preserve">The future of higher education. </w:t>
      </w:r>
      <w:r w:rsidRPr="00D562AB">
        <w:rPr>
          <w:rFonts w:cs="TimesNewRomanPS"/>
          <w:color w:val="000000"/>
          <w:szCs w:val="24"/>
          <w:lang w:eastAsia="en-GB"/>
        </w:rPr>
        <w:t>Norwich: HMSO.</w:t>
      </w:r>
    </w:p>
    <w:p w:rsidR="00690085" w:rsidRPr="00D562AB" w:rsidRDefault="00690085" w:rsidP="00AF63DA">
      <w:pPr>
        <w:ind w:left="426" w:hanging="426"/>
        <w:rPr>
          <w:color w:val="000000"/>
          <w:szCs w:val="24"/>
        </w:rPr>
      </w:pPr>
      <w:r w:rsidRPr="00D562AB">
        <w:rPr>
          <w:color w:val="000000"/>
          <w:szCs w:val="24"/>
        </w:rPr>
        <w:t>Department for Busin</w:t>
      </w:r>
      <w:r w:rsidR="00DD3CD6">
        <w:rPr>
          <w:color w:val="000000"/>
          <w:szCs w:val="24"/>
        </w:rPr>
        <w:t>ess, Innovation and Skills. 2016</w:t>
      </w:r>
      <w:r w:rsidRPr="00D562AB">
        <w:rPr>
          <w:color w:val="000000"/>
          <w:szCs w:val="24"/>
        </w:rPr>
        <w:t xml:space="preserve">. </w:t>
      </w:r>
      <w:r w:rsidR="00C844EF">
        <w:rPr>
          <w:i/>
          <w:color w:val="000000"/>
          <w:szCs w:val="24"/>
        </w:rPr>
        <w:t>S</w:t>
      </w:r>
      <w:r w:rsidR="00B908DC">
        <w:rPr>
          <w:i/>
          <w:color w:val="000000"/>
          <w:szCs w:val="24"/>
        </w:rPr>
        <w:t>uccess as a knowledge economy</w:t>
      </w:r>
      <w:r w:rsidR="00C844EF">
        <w:rPr>
          <w:i/>
          <w:color w:val="000000"/>
          <w:szCs w:val="24"/>
        </w:rPr>
        <w:t>: teaching excellence, social mobility and student choice</w:t>
      </w:r>
      <w:r w:rsidRPr="00D562AB">
        <w:rPr>
          <w:color w:val="000000"/>
          <w:szCs w:val="24"/>
        </w:rPr>
        <w:t>. London: BIS.</w:t>
      </w:r>
    </w:p>
    <w:p w:rsidR="006B5B9C" w:rsidRPr="00D562AB" w:rsidRDefault="006B5B9C" w:rsidP="00AF63DA">
      <w:pPr>
        <w:ind w:left="426" w:hanging="426"/>
        <w:rPr>
          <w:rFonts w:eastAsia="Tahoma" w:cs="Times New Roman"/>
          <w:szCs w:val="24"/>
        </w:rPr>
      </w:pPr>
      <w:proofErr w:type="spellStart"/>
      <w:r w:rsidRPr="00D562AB">
        <w:rPr>
          <w:rFonts w:eastAsia="Tahoma" w:cs="Times New Roman"/>
          <w:szCs w:val="24"/>
        </w:rPr>
        <w:t>Esson</w:t>
      </w:r>
      <w:proofErr w:type="spellEnd"/>
      <w:r w:rsidRPr="00D562AB">
        <w:rPr>
          <w:rFonts w:eastAsia="Tahoma" w:cs="Times New Roman"/>
          <w:szCs w:val="24"/>
        </w:rPr>
        <w:t xml:space="preserve">, J. and H. Ertl. </w:t>
      </w:r>
      <w:r w:rsidR="00B908DC">
        <w:rPr>
          <w:rFonts w:eastAsia="Tahoma" w:cs="Times New Roman"/>
          <w:szCs w:val="24"/>
        </w:rPr>
        <w:t>2016</w:t>
      </w:r>
      <w:r w:rsidRPr="00D562AB">
        <w:rPr>
          <w:rFonts w:eastAsia="Tahoma" w:cs="Times New Roman"/>
          <w:szCs w:val="24"/>
        </w:rPr>
        <w:t xml:space="preserve">. No point worrying? Potential undergraduates, study-related debt, and the financial allure of higher education, </w:t>
      </w:r>
      <w:r w:rsidRPr="00D562AB">
        <w:rPr>
          <w:rFonts w:eastAsia="Tahoma" w:cs="Times New Roman"/>
          <w:i/>
          <w:szCs w:val="24"/>
        </w:rPr>
        <w:t>Studies in Higher Education</w:t>
      </w:r>
      <w:r w:rsidR="00B908DC">
        <w:rPr>
          <w:rFonts w:eastAsia="Tahoma" w:cs="Times New Roman"/>
          <w:szCs w:val="24"/>
        </w:rPr>
        <w:t xml:space="preserve"> 41(7):1265-1280</w:t>
      </w:r>
      <w:r w:rsidRPr="00D562AB">
        <w:rPr>
          <w:rFonts w:eastAsia="Times New Roman" w:cs="Times New Roman"/>
          <w:szCs w:val="24"/>
          <w:lang w:eastAsia="en-GB"/>
        </w:rPr>
        <w:t>.</w:t>
      </w:r>
    </w:p>
    <w:p w:rsidR="00DD6032" w:rsidRPr="00D562AB" w:rsidRDefault="00DD6032" w:rsidP="00AF63DA">
      <w:pPr>
        <w:ind w:left="426" w:hanging="426"/>
        <w:rPr>
          <w:szCs w:val="24"/>
        </w:rPr>
      </w:pPr>
      <w:proofErr w:type="spellStart"/>
      <w:r w:rsidRPr="00D562AB">
        <w:rPr>
          <w:szCs w:val="24"/>
        </w:rPr>
        <w:t>Gigerenzer</w:t>
      </w:r>
      <w:proofErr w:type="spellEnd"/>
      <w:r w:rsidRPr="00D562AB">
        <w:rPr>
          <w:szCs w:val="24"/>
        </w:rPr>
        <w:t xml:space="preserve">, G. and D. Goldstein. 1996. Reasoning the fast and frugal way: models of bounded rationality. </w:t>
      </w:r>
      <w:r w:rsidRPr="00D562AB">
        <w:rPr>
          <w:i/>
          <w:szCs w:val="24"/>
        </w:rPr>
        <w:t>Psychological Review</w:t>
      </w:r>
      <w:r w:rsidRPr="00D562AB">
        <w:rPr>
          <w:szCs w:val="24"/>
        </w:rPr>
        <w:t xml:space="preserve"> 103(4):650-669.</w:t>
      </w:r>
    </w:p>
    <w:p w:rsidR="00A61A87" w:rsidRPr="00D562AB" w:rsidRDefault="00A61A87" w:rsidP="00AF63DA">
      <w:pPr>
        <w:ind w:left="426" w:hanging="426"/>
        <w:rPr>
          <w:szCs w:val="24"/>
        </w:rPr>
      </w:pPr>
      <w:r w:rsidRPr="00D562AB">
        <w:rPr>
          <w:szCs w:val="24"/>
        </w:rPr>
        <w:t xml:space="preserve">Green, F. and Y. Zhu. 2010. </w:t>
      </w:r>
      <w:proofErr w:type="spellStart"/>
      <w:r w:rsidRPr="00D562AB">
        <w:rPr>
          <w:szCs w:val="24"/>
        </w:rPr>
        <w:t>Overqualification</w:t>
      </w:r>
      <w:proofErr w:type="spellEnd"/>
      <w:r w:rsidRPr="00D562AB">
        <w:rPr>
          <w:szCs w:val="24"/>
        </w:rPr>
        <w:t xml:space="preserve">, job dissatisfaction, and increasing dispersion in the returns to graduate education. </w:t>
      </w:r>
      <w:r w:rsidRPr="00D562AB">
        <w:rPr>
          <w:i/>
          <w:szCs w:val="24"/>
        </w:rPr>
        <w:t>Oxford Economic Papers</w:t>
      </w:r>
      <w:r w:rsidRPr="00D562AB">
        <w:rPr>
          <w:szCs w:val="24"/>
        </w:rPr>
        <w:t xml:space="preserve"> 62(4):740-763.</w:t>
      </w:r>
    </w:p>
    <w:p w:rsidR="00900F8B" w:rsidRPr="00D562AB" w:rsidRDefault="00900F8B" w:rsidP="00AF63DA">
      <w:pPr>
        <w:ind w:left="426" w:hanging="426"/>
        <w:rPr>
          <w:szCs w:val="24"/>
        </w:rPr>
      </w:pPr>
      <w:r w:rsidRPr="00D562AB">
        <w:rPr>
          <w:szCs w:val="24"/>
        </w:rPr>
        <w:t xml:space="preserve">Harrison, N. 2006. The impact of negative experiences, dissatisfaction and attachment on first year undergraduate withdrawal. </w:t>
      </w:r>
      <w:r w:rsidRPr="00D562AB">
        <w:rPr>
          <w:i/>
          <w:iCs/>
          <w:szCs w:val="24"/>
        </w:rPr>
        <w:t>Journal of Further and Higher Education</w:t>
      </w:r>
      <w:r w:rsidRPr="00D562AB">
        <w:rPr>
          <w:szCs w:val="24"/>
        </w:rPr>
        <w:t xml:space="preserve"> </w:t>
      </w:r>
      <w:r w:rsidRPr="00D562AB">
        <w:rPr>
          <w:iCs/>
          <w:szCs w:val="24"/>
        </w:rPr>
        <w:t>30</w:t>
      </w:r>
      <w:r w:rsidRPr="00D562AB">
        <w:rPr>
          <w:szCs w:val="24"/>
        </w:rPr>
        <w:t>(4):377-391.</w:t>
      </w:r>
    </w:p>
    <w:p w:rsidR="00740759" w:rsidRPr="00D562AB" w:rsidRDefault="00740759" w:rsidP="00AF63DA">
      <w:pPr>
        <w:ind w:left="426" w:hanging="426"/>
        <w:rPr>
          <w:szCs w:val="24"/>
        </w:rPr>
      </w:pPr>
      <w:r w:rsidRPr="00D562AB">
        <w:rPr>
          <w:szCs w:val="24"/>
        </w:rPr>
        <w:t xml:space="preserve">Harrison, N. 2016. Exploring social trends in higher education participation: 2000 to 2015. In </w:t>
      </w:r>
      <w:r w:rsidR="00B16D31" w:rsidRPr="00D562AB">
        <w:rPr>
          <w:szCs w:val="24"/>
        </w:rPr>
        <w:t xml:space="preserve">R. </w:t>
      </w:r>
      <w:r w:rsidR="00B16D31" w:rsidRPr="00D562AB">
        <w:rPr>
          <w:rFonts w:cs="Arial"/>
          <w:szCs w:val="24"/>
        </w:rPr>
        <w:t xml:space="preserve">Waller, N. Ingram and M. Ward, </w:t>
      </w:r>
      <w:r w:rsidR="00B16D31" w:rsidRPr="00D562AB">
        <w:rPr>
          <w:rFonts w:cs="Arial"/>
          <w:i/>
          <w:iCs/>
          <w:szCs w:val="24"/>
        </w:rPr>
        <w:t>Higher education and social inequalities: Getting in, getting on and getting out</w:t>
      </w:r>
      <w:r w:rsidR="00B16D31" w:rsidRPr="00D562AB">
        <w:rPr>
          <w:rFonts w:cs="Arial"/>
          <w:iCs/>
          <w:szCs w:val="24"/>
        </w:rPr>
        <w:t>.</w:t>
      </w:r>
      <w:r w:rsidR="00B16D31" w:rsidRPr="00D562AB">
        <w:rPr>
          <w:rFonts w:cs="Arial"/>
          <w:szCs w:val="24"/>
        </w:rPr>
        <w:t xml:space="preserve"> Abingdon: Routledge/BSA</w:t>
      </w:r>
      <w:r w:rsidRPr="00D562AB">
        <w:rPr>
          <w:szCs w:val="24"/>
        </w:rPr>
        <w:t>.</w:t>
      </w:r>
    </w:p>
    <w:p w:rsidR="00F011E3" w:rsidRPr="00D562AB" w:rsidRDefault="00F011E3" w:rsidP="00AF63DA">
      <w:pPr>
        <w:ind w:left="426" w:hanging="426"/>
        <w:rPr>
          <w:rFonts w:eastAsia="Tahoma" w:cs="Times New Roman"/>
          <w:szCs w:val="24"/>
        </w:rPr>
      </w:pPr>
      <w:r w:rsidRPr="00D562AB">
        <w:rPr>
          <w:rFonts w:eastAsia="Tahoma" w:cs="Times New Roman"/>
          <w:szCs w:val="24"/>
        </w:rPr>
        <w:t xml:space="preserve">Harrison, N., F. </w:t>
      </w:r>
      <w:proofErr w:type="spellStart"/>
      <w:r w:rsidRPr="00D562AB">
        <w:rPr>
          <w:rFonts w:eastAsia="Tahoma" w:cs="Times New Roman"/>
          <w:szCs w:val="24"/>
        </w:rPr>
        <w:t>Chudry</w:t>
      </w:r>
      <w:proofErr w:type="spellEnd"/>
      <w:r w:rsidRPr="00D562AB">
        <w:rPr>
          <w:rFonts w:eastAsia="Tahoma" w:cs="Times New Roman"/>
          <w:szCs w:val="24"/>
        </w:rPr>
        <w:t xml:space="preserve">, R. Waller and S. </w:t>
      </w:r>
      <w:proofErr w:type="spellStart"/>
      <w:r w:rsidRPr="00D562AB">
        <w:rPr>
          <w:rFonts w:eastAsia="Tahoma" w:cs="Times New Roman"/>
          <w:szCs w:val="24"/>
        </w:rPr>
        <w:t>Hatt</w:t>
      </w:r>
      <w:proofErr w:type="spellEnd"/>
      <w:r w:rsidRPr="00D562AB">
        <w:rPr>
          <w:rFonts w:eastAsia="Tahoma" w:cs="Times New Roman"/>
          <w:szCs w:val="24"/>
        </w:rPr>
        <w:t xml:space="preserve">. 2015. Towards a typology of debt attitudes among contemporary young UK undergraduates. </w:t>
      </w:r>
      <w:r w:rsidRPr="00D562AB">
        <w:rPr>
          <w:rFonts w:eastAsia="Tahoma" w:cs="Times New Roman"/>
          <w:i/>
          <w:szCs w:val="24"/>
        </w:rPr>
        <w:t>Journal of Further and Higher Education</w:t>
      </w:r>
      <w:r w:rsidRPr="00D562AB">
        <w:rPr>
          <w:rFonts w:eastAsia="Tahoma" w:cs="Times New Roman"/>
          <w:szCs w:val="24"/>
        </w:rPr>
        <w:t xml:space="preserve"> 39(1):85-107.</w:t>
      </w:r>
    </w:p>
    <w:p w:rsidR="007D5FB0" w:rsidRPr="00D562AB" w:rsidRDefault="007D5FB0" w:rsidP="00AF63DA">
      <w:pPr>
        <w:ind w:left="426" w:hanging="426"/>
        <w:rPr>
          <w:szCs w:val="24"/>
        </w:rPr>
      </w:pPr>
      <w:r w:rsidRPr="00D562AB">
        <w:rPr>
          <w:bCs/>
          <w:szCs w:val="24"/>
        </w:rPr>
        <w:t xml:space="preserve">Harrison, N. and S. </w:t>
      </w:r>
      <w:proofErr w:type="spellStart"/>
      <w:r w:rsidRPr="00D562AB">
        <w:rPr>
          <w:bCs/>
          <w:szCs w:val="24"/>
        </w:rPr>
        <w:t>Hatt</w:t>
      </w:r>
      <w:proofErr w:type="spellEnd"/>
      <w:r w:rsidRPr="00D562AB">
        <w:rPr>
          <w:bCs/>
          <w:szCs w:val="24"/>
        </w:rPr>
        <w:t xml:space="preserve">. 2012. </w:t>
      </w:r>
      <w:r w:rsidRPr="00D562AB">
        <w:rPr>
          <w:szCs w:val="24"/>
        </w:rPr>
        <w:t xml:space="preserve">Expensive and failing? The role of student bursaries in widening participation and fair access in England. </w:t>
      </w:r>
      <w:r w:rsidRPr="00D562AB">
        <w:rPr>
          <w:i/>
          <w:szCs w:val="24"/>
        </w:rPr>
        <w:t xml:space="preserve">Studies in Higher Education </w:t>
      </w:r>
      <w:r w:rsidRPr="00D562AB">
        <w:rPr>
          <w:szCs w:val="24"/>
        </w:rPr>
        <w:t>37(6):695-712.</w:t>
      </w:r>
    </w:p>
    <w:p w:rsidR="00690085" w:rsidRPr="00D562AB" w:rsidRDefault="00690085" w:rsidP="00AF63DA">
      <w:pPr>
        <w:ind w:left="426" w:hanging="426"/>
        <w:rPr>
          <w:rFonts w:cs="Arial"/>
          <w:color w:val="000000"/>
          <w:szCs w:val="24"/>
        </w:rPr>
      </w:pPr>
      <w:proofErr w:type="spellStart"/>
      <w:r w:rsidRPr="00D562AB">
        <w:rPr>
          <w:rFonts w:cs="Arial"/>
          <w:color w:val="000000"/>
          <w:szCs w:val="24"/>
        </w:rPr>
        <w:t>Holdsworth</w:t>
      </w:r>
      <w:proofErr w:type="spellEnd"/>
      <w:r w:rsidRPr="00D562AB">
        <w:rPr>
          <w:rFonts w:cs="Arial"/>
          <w:color w:val="000000"/>
          <w:szCs w:val="24"/>
        </w:rPr>
        <w:t xml:space="preserve">, C. 2006. ‘Don’t you think you’re missing out, living at home?’ Student experiences and residential transitions. </w:t>
      </w:r>
      <w:r w:rsidRPr="00D562AB">
        <w:rPr>
          <w:rFonts w:cs="Arial"/>
          <w:i/>
          <w:color w:val="000000"/>
          <w:szCs w:val="24"/>
        </w:rPr>
        <w:t>Sociological Review</w:t>
      </w:r>
      <w:r w:rsidRPr="00D562AB">
        <w:rPr>
          <w:rFonts w:cs="Arial"/>
          <w:color w:val="000000"/>
          <w:szCs w:val="24"/>
        </w:rPr>
        <w:t xml:space="preserve"> 54 (3): 495-519.</w:t>
      </w:r>
    </w:p>
    <w:p w:rsidR="00287B9B" w:rsidRPr="00D562AB" w:rsidRDefault="00287B9B" w:rsidP="00AF63DA">
      <w:pPr>
        <w:ind w:left="426" w:hanging="426"/>
        <w:rPr>
          <w:rFonts w:eastAsia="Tahoma" w:cs="Times New Roman"/>
          <w:szCs w:val="24"/>
        </w:rPr>
      </w:pPr>
      <w:proofErr w:type="spellStart"/>
      <w:r w:rsidRPr="00D562AB">
        <w:rPr>
          <w:rStyle w:val="blockspan"/>
          <w:szCs w:val="24"/>
        </w:rPr>
        <w:t>Jerrim</w:t>
      </w:r>
      <w:proofErr w:type="spellEnd"/>
      <w:r w:rsidRPr="00D562AB">
        <w:rPr>
          <w:rStyle w:val="blockspan"/>
          <w:szCs w:val="24"/>
        </w:rPr>
        <w:t xml:space="preserve">, J. 2011. Do UK higher education students overestimate their starting salary? </w:t>
      </w:r>
      <w:r w:rsidRPr="00D562AB">
        <w:rPr>
          <w:rStyle w:val="blockspan"/>
          <w:i/>
          <w:iCs/>
          <w:szCs w:val="24"/>
        </w:rPr>
        <w:t>Fiscal Studies</w:t>
      </w:r>
      <w:r w:rsidRPr="00D562AB">
        <w:rPr>
          <w:rStyle w:val="blockspan"/>
          <w:szCs w:val="24"/>
        </w:rPr>
        <w:t xml:space="preserve"> 32 (4): 483–509</w:t>
      </w:r>
    </w:p>
    <w:p w:rsidR="003768E5" w:rsidRPr="00D562AB" w:rsidRDefault="003768E5" w:rsidP="00AF63DA">
      <w:pPr>
        <w:ind w:left="426" w:hanging="426"/>
        <w:rPr>
          <w:szCs w:val="24"/>
        </w:rPr>
      </w:pPr>
      <w:r w:rsidRPr="00D562AB">
        <w:rPr>
          <w:szCs w:val="24"/>
        </w:rPr>
        <w:t xml:space="preserve">Kahneman, D. 2003. Maps of bounded rationality: psychology of behavioural economics. </w:t>
      </w:r>
      <w:r w:rsidRPr="00D562AB">
        <w:rPr>
          <w:i/>
          <w:szCs w:val="24"/>
        </w:rPr>
        <w:t>American Economic Review</w:t>
      </w:r>
      <w:r w:rsidRPr="00D562AB">
        <w:rPr>
          <w:szCs w:val="24"/>
        </w:rPr>
        <w:t xml:space="preserve"> 93 (5): 1449-1475.</w:t>
      </w:r>
    </w:p>
    <w:p w:rsidR="0042479D" w:rsidRDefault="0042479D" w:rsidP="00AF63DA">
      <w:pPr>
        <w:ind w:left="426" w:hanging="426"/>
        <w:rPr>
          <w:szCs w:val="24"/>
        </w:rPr>
      </w:pPr>
      <w:r>
        <w:rPr>
          <w:szCs w:val="24"/>
        </w:rPr>
        <w:t xml:space="preserve">Kahneman, D. 2011. </w:t>
      </w:r>
      <w:r>
        <w:rPr>
          <w:i/>
          <w:szCs w:val="24"/>
        </w:rPr>
        <w:t>Thinking, fast and slow.</w:t>
      </w:r>
      <w:r>
        <w:rPr>
          <w:szCs w:val="24"/>
        </w:rPr>
        <w:t xml:space="preserve"> London: Penguin.</w:t>
      </w:r>
    </w:p>
    <w:p w:rsidR="005A033C" w:rsidRDefault="005A033C" w:rsidP="005A033C">
      <w:pPr>
        <w:ind w:left="426" w:hanging="426"/>
        <w:rPr>
          <w:szCs w:val="24"/>
        </w:rPr>
      </w:pPr>
      <w:r w:rsidRPr="00D562AB">
        <w:rPr>
          <w:szCs w:val="24"/>
        </w:rPr>
        <w:t xml:space="preserve">Kahneman, D., P. </w:t>
      </w:r>
      <w:proofErr w:type="spellStart"/>
      <w:r w:rsidRPr="00D562AB">
        <w:rPr>
          <w:szCs w:val="24"/>
        </w:rPr>
        <w:t>Slovic</w:t>
      </w:r>
      <w:proofErr w:type="spellEnd"/>
      <w:r w:rsidRPr="00D562AB">
        <w:rPr>
          <w:szCs w:val="24"/>
        </w:rPr>
        <w:t xml:space="preserve"> and A. Tversky (eds.). 1982. </w:t>
      </w:r>
      <w:r w:rsidRPr="00D562AB">
        <w:rPr>
          <w:i/>
          <w:szCs w:val="24"/>
        </w:rPr>
        <w:t>Judgment under uncertainty: heuristics and biases</w:t>
      </w:r>
      <w:r w:rsidRPr="00D562AB">
        <w:rPr>
          <w:szCs w:val="24"/>
        </w:rPr>
        <w:t>. Cambridge: Cambridge University Press.</w:t>
      </w:r>
    </w:p>
    <w:p w:rsidR="003768E5" w:rsidRPr="00D562AB" w:rsidRDefault="003768E5" w:rsidP="00AF63DA">
      <w:pPr>
        <w:ind w:left="426" w:hanging="426"/>
        <w:rPr>
          <w:szCs w:val="24"/>
        </w:rPr>
      </w:pPr>
      <w:r w:rsidRPr="00D562AB">
        <w:rPr>
          <w:szCs w:val="24"/>
        </w:rPr>
        <w:t xml:space="preserve">Kahneman, D. and A. Tversky. 1979. Prospect theory: an analysis of decision under risk. </w:t>
      </w:r>
      <w:proofErr w:type="spellStart"/>
      <w:r w:rsidRPr="00D562AB">
        <w:rPr>
          <w:i/>
          <w:szCs w:val="24"/>
        </w:rPr>
        <w:t>Econometrica</w:t>
      </w:r>
      <w:proofErr w:type="spellEnd"/>
      <w:r w:rsidRPr="00D562AB">
        <w:rPr>
          <w:szCs w:val="24"/>
        </w:rPr>
        <w:t xml:space="preserve"> 47 (2): 263-292.</w:t>
      </w:r>
    </w:p>
    <w:p w:rsidR="001439B7" w:rsidRDefault="001439B7" w:rsidP="00AF63DA">
      <w:pPr>
        <w:ind w:left="426" w:hanging="426"/>
        <w:rPr>
          <w:szCs w:val="24"/>
        </w:rPr>
      </w:pPr>
      <w:r w:rsidRPr="00D562AB">
        <w:rPr>
          <w:szCs w:val="24"/>
        </w:rPr>
        <w:t xml:space="preserve">Kahneman, D. and A. </w:t>
      </w:r>
      <w:proofErr w:type="spellStart"/>
      <w:r w:rsidRPr="00D562AB">
        <w:rPr>
          <w:szCs w:val="24"/>
        </w:rPr>
        <w:t>Tversky</w:t>
      </w:r>
      <w:proofErr w:type="spellEnd"/>
      <w:r w:rsidR="00F92F91" w:rsidRPr="00D562AB">
        <w:rPr>
          <w:szCs w:val="24"/>
        </w:rPr>
        <w:t xml:space="preserve"> (</w:t>
      </w:r>
      <w:proofErr w:type="spellStart"/>
      <w:r w:rsidR="00F92F91" w:rsidRPr="00D562AB">
        <w:rPr>
          <w:szCs w:val="24"/>
        </w:rPr>
        <w:t>eds</w:t>
      </w:r>
      <w:proofErr w:type="spellEnd"/>
      <w:r w:rsidR="00F92F91" w:rsidRPr="00D562AB">
        <w:rPr>
          <w:szCs w:val="24"/>
        </w:rPr>
        <w:t>)</w:t>
      </w:r>
      <w:r w:rsidRPr="00D562AB">
        <w:rPr>
          <w:szCs w:val="24"/>
        </w:rPr>
        <w:t xml:space="preserve">. 2000. </w:t>
      </w:r>
      <w:r w:rsidRPr="00D562AB">
        <w:rPr>
          <w:i/>
          <w:iCs/>
          <w:szCs w:val="24"/>
        </w:rPr>
        <w:t>Choices, values, and frames</w:t>
      </w:r>
      <w:r w:rsidRPr="00D562AB">
        <w:rPr>
          <w:szCs w:val="24"/>
        </w:rPr>
        <w:t>. Cambridge: Cambridge University Press.</w:t>
      </w:r>
    </w:p>
    <w:p w:rsidR="005A033C" w:rsidRPr="00D562AB" w:rsidRDefault="005A033C" w:rsidP="00AF63DA">
      <w:pPr>
        <w:ind w:left="426" w:hanging="426"/>
        <w:rPr>
          <w:szCs w:val="24"/>
        </w:rPr>
      </w:pPr>
      <w:r>
        <w:t xml:space="preserve">Kahneman, D., P. </w:t>
      </w:r>
      <w:proofErr w:type="spellStart"/>
      <w:r>
        <w:t>Wakker</w:t>
      </w:r>
      <w:proofErr w:type="spellEnd"/>
      <w:r>
        <w:t xml:space="preserve"> and R. Sarin. 1997. Back to Bentham? Explorations of experienced utility. </w:t>
      </w:r>
      <w:r>
        <w:rPr>
          <w:i/>
          <w:iCs/>
        </w:rPr>
        <w:t>Quarterly Journal of Economics</w:t>
      </w:r>
      <w:r w:rsidR="00B908DC">
        <w:rPr>
          <w:iCs/>
        </w:rPr>
        <w:t xml:space="preserve"> 112</w:t>
      </w:r>
      <w:r>
        <w:rPr>
          <w:iCs/>
        </w:rPr>
        <w:t>(2)</w:t>
      </w:r>
      <w:r>
        <w:t>:375-405.</w:t>
      </w:r>
    </w:p>
    <w:p w:rsidR="0076142F" w:rsidRDefault="0076142F" w:rsidP="00AF63DA">
      <w:pPr>
        <w:ind w:left="426" w:hanging="426"/>
        <w:rPr>
          <w:szCs w:val="24"/>
        </w:rPr>
      </w:pPr>
      <w:proofErr w:type="spellStart"/>
      <w:r w:rsidRPr="00D562AB">
        <w:rPr>
          <w:szCs w:val="24"/>
        </w:rPr>
        <w:t>Koszegi</w:t>
      </w:r>
      <w:proofErr w:type="spellEnd"/>
      <w:r w:rsidRPr="00D562AB">
        <w:rPr>
          <w:szCs w:val="24"/>
        </w:rPr>
        <w:t xml:space="preserve">, B. and M. Rabin. 2007. Reference-dependent risk attitudes. </w:t>
      </w:r>
      <w:r w:rsidRPr="00D562AB">
        <w:rPr>
          <w:i/>
          <w:szCs w:val="24"/>
        </w:rPr>
        <w:t>American Economic Review</w:t>
      </w:r>
      <w:r w:rsidR="00B908DC">
        <w:rPr>
          <w:szCs w:val="24"/>
        </w:rPr>
        <w:t xml:space="preserve"> 97</w:t>
      </w:r>
      <w:r w:rsidRPr="00D562AB">
        <w:rPr>
          <w:szCs w:val="24"/>
        </w:rPr>
        <w:t>(4):1047-1073.</w:t>
      </w:r>
    </w:p>
    <w:p w:rsidR="00413852" w:rsidRPr="00413852" w:rsidRDefault="00413852" w:rsidP="00AF63DA">
      <w:pPr>
        <w:ind w:left="426" w:hanging="426"/>
        <w:rPr>
          <w:szCs w:val="24"/>
        </w:rPr>
      </w:pPr>
      <w:r>
        <w:rPr>
          <w:szCs w:val="24"/>
        </w:rPr>
        <w:lastRenderedPageBreak/>
        <w:t xml:space="preserve">List, J. 2003. Does market experience eliminate market anomalies? </w:t>
      </w:r>
      <w:r>
        <w:rPr>
          <w:i/>
          <w:szCs w:val="24"/>
        </w:rPr>
        <w:t>Qua</w:t>
      </w:r>
      <w:r w:rsidR="008F77A5">
        <w:rPr>
          <w:i/>
          <w:szCs w:val="24"/>
        </w:rPr>
        <w:t>r</w:t>
      </w:r>
      <w:r>
        <w:rPr>
          <w:i/>
          <w:szCs w:val="24"/>
        </w:rPr>
        <w:t>terly Journal of Economics</w:t>
      </w:r>
      <w:r w:rsidR="00B908DC">
        <w:rPr>
          <w:szCs w:val="24"/>
        </w:rPr>
        <w:t xml:space="preserve"> 118(1):</w:t>
      </w:r>
      <w:r>
        <w:rPr>
          <w:szCs w:val="24"/>
        </w:rPr>
        <w:t>47-71.</w:t>
      </w:r>
    </w:p>
    <w:p w:rsidR="00AC03F2" w:rsidRPr="00D562AB" w:rsidRDefault="00AC03F2" w:rsidP="00AF63DA">
      <w:pPr>
        <w:ind w:left="426" w:hanging="426"/>
        <w:rPr>
          <w:rFonts w:eastAsia="Times New Roman" w:cs="Times New Roman"/>
          <w:szCs w:val="24"/>
          <w:lang w:eastAsia="en-GB"/>
        </w:rPr>
      </w:pPr>
      <w:proofErr w:type="spellStart"/>
      <w:r w:rsidRPr="00D562AB">
        <w:rPr>
          <w:rFonts w:eastAsia="Times New Roman" w:cs="Times New Roman"/>
          <w:szCs w:val="24"/>
          <w:lang w:eastAsia="en-GB"/>
        </w:rPr>
        <w:t>Mangan</w:t>
      </w:r>
      <w:proofErr w:type="spellEnd"/>
      <w:r w:rsidRPr="00D562AB">
        <w:rPr>
          <w:rFonts w:eastAsia="Times New Roman" w:cs="Times New Roman"/>
          <w:szCs w:val="24"/>
          <w:lang w:eastAsia="en-GB"/>
        </w:rPr>
        <w:t>, J., A. Hughes, P. Davies and K. Slack. 2010. Fair access, achievement and</w:t>
      </w:r>
      <w:r w:rsidRPr="00D562AB">
        <w:rPr>
          <w:szCs w:val="24"/>
        </w:rPr>
        <w:t xml:space="preserve"> </w:t>
      </w:r>
      <w:r w:rsidRPr="00D562AB">
        <w:rPr>
          <w:rFonts w:eastAsia="Times New Roman" w:cs="Times New Roman"/>
          <w:szCs w:val="24"/>
          <w:lang w:eastAsia="en-GB"/>
        </w:rPr>
        <w:t>geography: explaining the association between social class and choice of university.</w:t>
      </w:r>
      <w:r w:rsidRPr="00D562AB">
        <w:rPr>
          <w:szCs w:val="24"/>
        </w:rPr>
        <w:t xml:space="preserve"> </w:t>
      </w:r>
      <w:r w:rsidRPr="00D562AB">
        <w:rPr>
          <w:rFonts w:eastAsia="Times New Roman" w:cs="Times New Roman"/>
          <w:i/>
          <w:szCs w:val="24"/>
          <w:lang w:eastAsia="en-GB"/>
        </w:rPr>
        <w:t>Studies in Higher Education</w:t>
      </w:r>
      <w:r w:rsidRPr="00D562AB">
        <w:rPr>
          <w:rFonts w:eastAsia="Times New Roman" w:cs="Times New Roman"/>
          <w:szCs w:val="24"/>
          <w:lang w:eastAsia="en-GB"/>
        </w:rPr>
        <w:t xml:space="preserve"> 15(3):335–50.</w:t>
      </w:r>
    </w:p>
    <w:p w:rsidR="008112BD" w:rsidRPr="00D562AB" w:rsidRDefault="008112BD" w:rsidP="00AF63DA">
      <w:pPr>
        <w:ind w:left="426" w:hanging="426"/>
        <w:rPr>
          <w:rFonts w:eastAsia="Times New Roman" w:cs="Times New Roman"/>
          <w:szCs w:val="24"/>
          <w:lang w:eastAsia="en-GB"/>
        </w:rPr>
      </w:pPr>
      <w:r w:rsidRPr="00D562AB">
        <w:rPr>
          <w:rFonts w:eastAsia="Times New Roman" w:cs="Times New Roman"/>
          <w:szCs w:val="24"/>
          <w:lang w:eastAsia="en-GB"/>
        </w:rPr>
        <w:t xml:space="preserve">Milburn, A. 2009. </w:t>
      </w:r>
      <w:r w:rsidRPr="00D562AB">
        <w:rPr>
          <w:rFonts w:eastAsia="Times New Roman" w:cs="Times New Roman"/>
          <w:i/>
          <w:szCs w:val="24"/>
          <w:lang w:eastAsia="en-GB"/>
        </w:rPr>
        <w:t>Unleashing aspiration: the final report of the Panel on Fair Access to the Professions</w:t>
      </w:r>
      <w:r w:rsidRPr="00D562AB">
        <w:rPr>
          <w:rFonts w:eastAsia="Times New Roman" w:cs="Times New Roman"/>
          <w:szCs w:val="24"/>
          <w:lang w:eastAsia="en-GB"/>
        </w:rPr>
        <w:t>.  London: PFAP.</w:t>
      </w:r>
    </w:p>
    <w:p w:rsidR="005B7B78" w:rsidRPr="00D562AB" w:rsidRDefault="005B7B78" w:rsidP="00AF63DA">
      <w:pPr>
        <w:ind w:left="426" w:hanging="426"/>
        <w:rPr>
          <w:rFonts w:eastAsia="Times New Roman" w:cs="Times New Roman"/>
          <w:szCs w:val="24"/>
          <w:lang w:eastAsia="en-GB"/>
        </w:rPr>
      </w:pPr>
      <w:proofErr w:type="spellStart"/>
      <w:r w:rsidRPr="00D562AB">
        <w:rPr>
          <w:rFonts w:eastAsia="Times New Roman" w:cs="Times New Roman"/>
          <w:szCs w:val="24"/>
          <w:lang w:eastAsia="en-GB"/>
        </w:rPr>
        <w:t>Modood</w:t>
      </w:r>
      <w:proofErr w:type="spellEnd"/>
      <w:r w:rsidRPr="00D562AB">
        <w:rPr>
          <w:rFonts w:eastAsia="Times New Roman" w:cs="Times New Roman"/>
          <w:szCs w:val="24"/>
          <w:lang w:eastAsia="en-GB"/>
        </w:rPr>
        <w:t xml:space="preserve">, T. 2012. Capitals, ethnicity and higher education. In S. Tomlinson and T. </w:t>
      </w:r>
      <w:proofErr w:type="spellStart"/>
      <w:r w:rsidRPr="00D562AB">
        <w:rPr>
          <w:rFonts w:eastAsia="Times New Roman" w:cs="Times New Roman"/>
          <w:szCs w:val="24"/>
          <w:lang w:eastAsia="en-GB"/>
        </w:rPr>
        <w:t>Basit</w:t>
      </w:r>
      <w:proofErr w:type="spellEnd"/>
      <w:r w:rsidRPr="00D562AB">
        <w:rPr>
          <w:rFonts w:eastAsia="Times New Roman" w:cs="Times New Roman"/>
          <w:szCs w:val="24"/>
          <w:lang w:eastAsia="en-GB"/>
        </w:rPr>
        <w:t xml:space="preserve"> (eds.) </w:t>
      </w:r>
      <w:r w:rsidRPr="00D562AB">
        <w:rPr>
          <w:rFonts w:eastAsia="Times New Roman" w:cs="Times New Roman"/>
          <w:i/>
          <w:szCs w:val="24"/>
          <w:lang w:eastAsia="en-GB"/>
        </w:rPr>
        <w:t>Social inclusion and higher education</w:t>
      </w:r>
      <w:r w:rsidRPr="00D562AB">
        <w:rPr>
          <w:rFonts w:eastAsia="Times New Roman" w:cs="Times New Roman"/>
          <w:szCs w:val="24"/>
          <w:lang w:eastAsia="en-GB"/>
        </w:rPr>
        <w:t>. Bristol: Policy Press.</w:t>
      </w:r>
    </w:p>
    <w:p w:rsidR="001D4BAA" w:rsidRPr="00D562AB" w:rsidRDefault="001D4BAA" w:rsidP="00AF63DA">
      <w:pPr>
        <w:ind w:left="426" w:hanging="426"/>
        <w:rPr>
          <w:rFonts w:cs="Times New Roman"/>
          <w:szCs w:val="24"/>
        </w:rPr>
      </w:pPr>
      <w:r w:rsidRPr="00D562AB">
        <w:rPr>
          <w:rFonts w:cs="Times New Roman"/>
          <w:szCs w:val="24"/>
        </w:rPr>
        <w:t xml:space="preserve">Naylor, R., J. Smith and S. </w:t>
      </w:r>
      <w:proofErr w:type="spellStart"/>
      <w:r w:rsidRPr="00D562AB">
        <w:rPr>
          <w:rFonts w:cs="Times New Roman"/>
          <w:szCs w:val="24"/>
        </w:rPr>
        <w:t>Telhaj</w:t>
      </w:r>
      <w:proofErr w:type="spellEnd"/>
      <w:r w:rsidRPr="00D562AB">
        <w:rPr>
          <w:rFonts w:cs="Times New Roman"/>
          <w:szCs w:val="24"/>
        </w:rPr>
        <w:t xml:space="preserve">. In press. Graduate returns, degree class </w:t>
      </w:r>
      <w:proofErr w:type="spellStart"/>
      <w:r w:rsidRPr="00D562AB">
        <w:rPr>
          <w:rFonts w:cs="Times New Roman"/>
          <w:szCs w:val="24"/>
        </w:rPr>
        <w:t>premia</w:t>
      </w:r>
      <w:proofErr w:type="spellEnd"/>
      <w:r w:rsidRPr="00D562AB">
        <w:rPr>
          <w:rFonts w:cs="Times New Roman"/>
          <w:szCs w:val="24"/>
        </w:rPr>
        <w:t xml:space="preserve"> and higher education expansion in the UK. </w:t>
      </w:r>
      <w:r w:rsidRPr="00D562AB">
        <w:rPr>
          <w:rFonts w:cs="Times New Roman"/>
          <w:i/>
          <w:szCs w:val="24"/>
        </w:rPr>
        <w:t>Oxford Economic Papers</w:t>
      </w:r>
      <w:r w:rsidR="00B908DC">
        <w:rPr>
          <w:rFonts w:cs="Times New Roman"/>
          <w:szCs w:val="24"/>
        </w:rPr>
        <w:t>. DOI:</w:t>
      </w:r>
      <w:r w:rsidRPr="00D562AB">
        <w:rPr>
          <w:rFonts w:cs="Times New Roman"/>
          <w:szCs w:val="24"/>
        </w:rPr>
        <w:t>10.1093/</w:t>
      </w:r>
      <w:proofErr w:type="spellStart"/>
      <w:r w:rsidRPr="00D562AB">
        <w:rPr>
          <w:rFonts w:cs="Times New Roman"/>
          <w:szCs w:val="24"/>
        </w:rPr>
        <w:t>oep</w:t>
      </w:r>
      <w:proofErr w:type="spellEnd"/>
      <w:r w:rsidRPr="00D562AB">
        <w:rPr>
          <w:rFonts w:cs="Times New Roman"/>
          <w:szCs w:val="24"/>
        </w:rPr>
        <w:t>/gpv070.</w:t>
      </w:r>
    </w:p>
    <w:p w:rsidR="00665284" w:rsidRPr="00D562AB" w:rsidRDefault="00665284" w:rsidP="00AF63DA">
      <w:pPr>
        <w:ind w:left="426" w:hanging="426"/>
        <w:rPr>
          <w:rFonts w:cs="Times New Roman"/>
          <w:szCs w:val="24"/>
        </w:rPr>
      </w:pPr>
      <w:r w:rsidRPr="00D562AB">
        <w:rPr>
          <w:rFonts w:cs="Times New Roman"/>
          <w:szCs w:val="24"/>
        </w:rPr>
        <w:t xml:space="preserve">Oliver, C. and N. </w:t>
      </w:r>
      <w:proofErr w:type="spellStart"/>
      <w:r w:rsidRPr="00D562AB">
        <w:rPr>
          <w:rFonts w:cs="Times New Roman"/>
          <w:szCs w:val="24"/>
        </w:rPr>
        <w:t>Kettley</w:t>
      </w:r>
      <w:proofErr w:type="spellEnd"/>
      <w:r w:rsidRPr="00D562AB">
        <w:rPr>
          <w:rFonts w:cs="Times New Roman"/>
          <w:szCs w:val="24"/>
        </w:rPr>
        <w:t xml:space="preserve">. 2010. Gatekeepers or facilitators: the influence of teacher habitus on students’ applications to elite universities. </w:t>
      </w:r>
      <w:r w:rsidRPr="00D562AB">
        <w:rPr>
          <w:rFonts w:cs="Times New Roman"/>
          <w:i/>
          <w:szCs w:val="24"/>
        </w:rPr>
        <w:t>British Journal of Sociology of Education</w:t>
      </w:r>
      <w:r w:rsidRPr="00D562AB">
        <w:rPr>
          <w:rFonts w:cs="Times New Roman"/>
          <w:szCs w:val="24"/>
        </w:rPr>
        <w:t xml:space="preserve"> 31</w:t>
      </w:r>
      <w:r w:rsidR="00B908DC">
        <w:rPr>
          <w:rFonts w:cs="Times New Roman"/>
          <w:szCs w:val="24"/>
        </w:rPr>
        <w:t>(6):</w:t>
      </w:r>
      <w:r w:rsidRPr="00D562AB">
        <w:rPr>
          <w:rFonts w:cs="Times New Roman"/>
          <w:szCs w:val="24"/>
        </w:rPr>
        <w:t>737-753.</w:t>
      </w:r>
    </w:p>
    <w:p w:rsidR="008400FF" w:rsidRPr="00D562AB" w:rsidRDefault="008400FF" w:rsidP="00AF63DA">
      <w:pPr>
        <w:ind w:left="426" w:hanging="426"/>
        <w:rPr>
          <w:rFonts w:cs="Times New Roman"/>
          <w:szCs w:val="24"/>
        </w:rPr>
      </w:pPr>
      <w:r w:rsidRPr="00D562AB">
        <w:rPr>
          <w:rFonts w:cs="Times New Roman"/>
          <w:szCs w:val="24"/>
        </w:rPr>
        <w:t xml:space="preserve">Purcell, K., P. Elias, R. Ellison, G. </w:t>
      </w:r>
      <w:proofErr w:type="spellStart"/>
      <w:r w:rsidRPr="00D562AB">
        <w:rPr>
          <w:rFonts w:cs="Times New Roman"/>
          <w:szCs w:val="24"/>
        </w:rPr>
        <w:t>Atfield</w:t>
      </w:r>
      <w:proofErr w:type="spellEnd"/>
      <w:r w:rsidRPr="00D562AB">
        <w:rPr>
          <w:rFonts w:cs="Times New Roman"/>
          <w:szCs w:val="24"/>
        </w:rPr>
        <w:t xml:space="preserve">, D. Adam and I. </w:t>
      </w:r>
      <w:proofErr w:type="spellStart"/>
      <w:r w:rsidRPr="00D562AB">
        <w:rPr>
          <w:rFonts w:cs="Times New Roman"/>
          <w:szCs w:val="24"/>
        </w:rPr>
        <w:t>Livanos</w:t>
      </w:r>
      <w:proofErr w:type="spellEnd"/>
      <w:r w:rsidRPr="00D562AB">
        <w:rPr>
          <w:rFonts w:cs="Times New Roman"/>
          <w:szCs w:val="24"/>
        </w:rPr>
        <w:t xml:space="preserve">. 2008. </w:t>
      </w:r>
      <w:r w:rsidRPr="00D562AB">
        <w:rPr>
          <w:rFonts w:cs="Times New Roman"/>
          <w:i/>
          <w:szCs w:val="24"/>
        </w:rPr>
        <w:t>Applying for higher education: the diversity of career choices, plans and expectations</w:t>
      </w:r>
      <w:r w:rsidRPr="00D562AB">
        <w:rPr>
          <w:rFonts w:cs="Times New Roman"/>
          <w:szCs w:val="24"/>
        </w:rPr>
        <w:t>. Coventry: Warwick Institute for Employment Research.</w:t>
      </w:r>
    </w:p>
    <w:p w:rsidR="00D67DC3" w:rsidRPr="00D562AB" w:rsidRDefault="00D67DC3" w:rsidP="00AF63DA">
      <w:pPr>
        <w:ind w:left="426" w:hanging="426"/>
        <w:jc w:val="both"/>
        <w:rPr>
          <w:rFonts w:cs="Times New Roman"/>
          <w:szCs w:val="24"/>
        </w:rPr>
      </w:pPr>
      <w:r w:rsidRPr="00D562AB">
        <w:rPr>
          <w:rFonts w:cs="Times New Roman"/>
          <w:color w:val="000000"/>
          <w:szCs w:val="24"/>
        </w:rPr>
        <w:t xml:space="preserve">Purcell, K., P. Elias, G. </w:t>
      </w:r>
      <w:proofErr w:type="spellStart"/>
      <w:r w:rsidRPr="00D562AB">
        <w:rPr>
          <w:rFonts w:cs="Times New Roman"/>
          <w:color w:val="000000"/>
          <w:szCs w:val="24"/>
        </w:rPr>
        <w:t>Atfield</w:t>
      </w:r>
      <w:proofErr w:type="spellEnd"/>
      <w:r w:rsidRPr="00D562AB">
        <w:rPr>
          <w:rFonts w:cs="Times New Roman"/>
          <w:color w:val="000000"/>
          <w:szCs w:val="24"/>
        </w:rPr>
        <w:t xml:space="preserve">, H. </w:t>
      </w:r>
      <w:proofErr w:type="spellStart"/>
      <w:r w:rsidRPr="00D562AB">
        <w:rPr>
          <w:rFonts w:cs="Times New Roman"/>
          <w:color w:val="000000"/>
          <w:szCs w:val="24"/>
        </w:rPr>
        <w:t>Behle</w:t>
      </w:r>
      <w:proofErr w:type="spellEnd"/>
      <w:r w:rsidRPr="00D562AB">
        <w:rPr>
          <w:rFonts w:cs="Times New Roman"/>
          <w:color w:val="000000"/>
          <w:szCs w:val="24"/>
        </w:rPr>
        <w:t xml:space="preserve">, R. Ellison, D. </w:t>
      </w:r>
      <w:proofErr w:type="spellStart"/>
      <w:r w:rsidRPr="00D562AB">
        <w:rPr>
          <w:rFonts w:cs="Times New Roman"/>
          <w:color w:val="000000"/>
          <w:szCs w:val="24"/>
        </w:rPr>
        <w:t>Luchinskaya</w:t>
      </w:r>
      <w:proofErr w:type="spellEnd"/>
      <w:r w:rsidRPr="00D562AB">
        <w:rPr>
          <w:rFonts w:cs="Times New Roman"/>
          <w:color w:val="000000"/>
          <w:szCs w:val="24"/>
        </w:rPr>
        <w:t xml:space="preserve">, J. Snape, L. </w:t>
      </w:r>
      <w:proofErr w:type="spellStart"/>
      <w:r w:rsidRPr="00D562AB">
        <w:rPr>
          <w:rFonts w:cs="Times New Roman"/>
          <w:color w:val="000000"/>
          <w:szCs w:val="24"/>
        </w:rPr>
        <w:t>Conaghan</w:t>
      </w:r>
      <w:proofErr w:type="spellEnd"/>
      <w:r w:rsidRPr="00D562AB">
        <w:rPr>
          <w:rFonts w:cs="Times New Roman"/>
          <w:color w:val="000000"/>
          <w:szCs w:val="24"/>
        </w:rPr>
        <w:t xml:space="preserve"> and C. </w:t>
      </w:r>
      <w:proofErr w:type="spellStart"/>
      <w:r w:rsidRPr="00D562AB">
        <w:rPr>
          <w:rFonts w:cs="Times New Roman"/>
          <w:color w:val="000000"/>
          <w:szCs w:val="24"/>
        </w:rPr>
        <w:t>Tzanakou</w:t>
      </w:r>
      <w:proofErr w:type="spellEnd"/>
      <w:r w:rsidRPr="00D562AB">
        <w:rPr>
          <w:rFonts w:cs="Times New Roman"/>
          <w:color w:val="000000"/>
          <w:szCs w:val="24"/>
        </w:rPr>
        <w:t xml:space="preserve">. 2012. </w:t>
      </w:r>
      <w:proofErr w:type="spellStart"/>
      <w:r w:rsidRPr="00D562AB">
        <w:rPr>
          <w:rFonts w:cs="Times New Roman"/>
          <w:i/>
          <w:color w:val="000000"/>
          <w:szCs w:val="24"/>
        </w:rPr>
        <w:t>Futuretrack</w:t>
      </w:r>
      <w:proofErr w:type="spellEnd"/>
      <w:r w:rsidRPr="00D562AB">
        <w:rPr>
          <w:rFonts w:cs="Times New Roman"/>
          <w:i/>
          <w:color w:val="000000"/>
          <w:szCs w:val="24"/>
        </w:rPr>
        <w:t xml:space="preserve"> Stage 4: transitions into employment, further study and other outcomes.</w:t>
      </w:r>
      <w:r w:rsidRPr="00D562AB">
        <w:rPr>
          <w:rFonts w:cs="Times New Roman"/>
          <w:color w:val="000000"/>
          <w:szCs w:val="24"/>
        </w:rPr>
        <w:t xml:space="preserve"> Coventry: </w:t>
      </w:r>
      <w:r w:rsidRPr="00D562AB">
        <w:rPr>
          <w:rFonts w:cs="Times New Roman"/>
          <w:szCs w:val="24"/>
        </w:rPr>
        <w:t>Warwick Institute for Employment Research.</w:t>
      </w:r>
    </w:p>
    <w:p w:rsidR="00CB5069" w:rsidRDefault="00D67DC3" w:rsidP="00AF63DA">
      <w:pPr>
        <w:ind w:left="426" w:hanging="426"/>
        <w:jc w:val="both"/>
        <w:rPr>
          <w:rFonts w:cs="Times New Roman"/>
          <w:szCs w:val="24"/>
        </w:rPr>
      </w:pPr>
      <w:r w:rsidRPr="00D562AB">
        <w:rPr>
          <w:rFonts w:cs="Times New Roman"/>
          <w:szCs w:val="24"/>
        </w:rPr>
        <w:t xml:space="preserve">Scurry, T. and J. Blenkinsopp. 2011. Under-employment among recent graduates: a review of the literature. </w:t>
      </w:r>
      <w:r w:rsidRPr="00D562AB">
        <w:rPr>
          <w:rFonts w:cs="Times New Roman"/>
          <w:i/>
          <w:szCs w:val="24"/>
        </w:rPr>
        <w:t>Personnel Review</w:t>
      </w:r>
      <w:r w:rsidRPr="00D562AB">
        <w:rPr>
          <w:rFonts w:cs="Times New Roman"/>
          <w:szCs w:val="24"/>
        </w:rPr>
        <w:t xml:space="preserve"> 40(5):643-659.</w:t>
      </w:r>
    </w:p>
    <w:p w:rsidR="00CB5069" w:rsidRPr="00CB5069" w:rsidRDefault="00CB5069" w:rsidP="00AF63DA">
      <w:pPr>
        <w:ind w:left="426" w:hanging="426"/>
        <w:jc w:val="both"/>
        <w:rPr>
          <w:rFonts w:cs="Times New Roman"/>
          <w:szCs w:val="24"/>
        </w:rPr>
      </w:pPr>
      <w:r w:rsidRPr="00CB5069">
        <w:rPr>
          <w:rFonts w:cs="GillSans Light"/>
          <w:szCs w:val="32"/>
        </w:rPr>
        <w:t xml:space="preserve">Shah, B., </w:t>
      </w:r>
      <w:r>
        <w:rPr>
          <w:rFonts w:cs="GillSans Light"/>
          <w:szCs w:val="32"/>
        </w:rPr>
        <w:t xml:space="preserve">C. Dwyer </w:t>
      </w:r>
      <w:r w:rsidRPr="00CB5069">
        <w:rPr>
          <w:rFonts w:cs="GillSans Light"/>
          <w:szCs w:val="32"/>
        </w:rPr>
        <w:t xml:space="preserve">and </w:t>
      </w:r>
      <w:r>
        <w:rPr>
          <w:rFonts w:cs="GillSans Light"/>
          <w:szCs w:val="32"/>
        </w:rPr>
        <w:t xml:space="preserve">T. </w:t>
      </w:r>
      <w:proofErr w:type="spellStart"/>
      <w:r w:rsidRPr="00CB5069">
        <w:rPr>
          <w:rFonts w:cs="GillSans Light"/>
          <w:szCs w:val="32"/>
        </w:rPr>
        <w:t>Modood</w:t>
      </w:r>
      <w:proofErr w:type="spellEnd"/>
      <w:r>
        <w:rPr>
          <w:rFonts w:cs="GillSans Light"/>
          <w:szCs w:val="32"/>
        </w:rPr>
        <w:t>. 2010.</w:t>
      </w:r>
      <w:r w:rsidRPr="00CB5069">
        <w:rPr>
          <w:rFonts w:cs="GillSans Light"/>
          <w:szCs w:val="32"/>
        </w:rPr>
        <w:t xml:space="preserve"> </w:t>
      </w:r>
      <w:r w:rsidRPr="00CB5069">
        <w:rPr>
          <w:szCs w:val="32"/>
        </w:rPr>
        <w:t xml:space="preserve">Explaining educational achievement and career aspirations among young British Pakistanis: </w:t>
      </w:r>
      <w:r w:rsidRPr="00CB5069">
        <w:rPr>
          <w:rFonts w:cs="GillSans Light"/>
          <w:szCs w:val="32"/>
        </w:rPr>
        <w:t>mobilizing ‘ethnic capital’?</w:t>
      </w:r>
      <w:r w:rsidRPr="00CB5069">
        <w:rPr>
          <w:szCs w:val="32"/>
        </w:rPr>
        <w:t xml:space="preserve"> </w:t>
      </w:r>
      <w:r w:rsidRPr="00CB5069">
        <w:rPr>
          <w:rFonts w:cs="GillSans Light"/>
          <w:i/>
          <w:szCs w:val="32"/>
        </w:rPr>
        <w:t>Sociology</w:t>
      </w:r>
      <w:r>
        <w:rPr>
          <w:rFonts w:cs="GillSans Light"/>
          <w:szCs w:val="32"/>
        </w:rPr>
        <w:t xml:space="preserve"> 44(6):</w:t>
      </w:r>
      <w:r w:rsidRPr="00CB5069">
        <w:rPr>
          <w:rFonts w:cs="GillSans Light"/>
          <w:szCs w:val="32"/>
        </w:rPr>
        <w:t>1109-1127.</w:t>
      </w:r>
    </w:p>
    <w:p w:rsidR="00AC03F2" w:rsidRPr="00D562AB" w:rsidRDefault="00AC03F2" w:rsidP="00AF63DA">
      <w:pPr>
        <w:ind w:left="426" w:hanging="426"/>
        <w:rPr>
          <w:rFonts w:cs="Arial"/>
          <w:color w:val="000000"/>
          <w:szCs w:val="24"/>
        </w:rPr>
      </w:pPr>
      <w:r w:rsidRPr="00D562AB">
        <w:rPr>
          <w:rFonts w:cs="Arial"/>
          <w:color w:val="000000"/>
          <w:szCs w:val="24"/>
        </w:rPr>
        <w:t xml:space="preserve">Shiner, M. and P. </w:t>
      </w:r>
      <w:proofErr w:type="spellStart"/>
      <w:r w:rsidRPr="00D562AB">
        <w:rPr>
          <w:rFonts w:cs="Arial"/>
          <w:color w:val="000000"/>
          <w:szCs w:val="24"/>
        </w:rPr>
        <w:t>Noden</w:t>
      </w:r>
      <w:proofErr w:type="spellEnd"/>
      <w:r w:rsidRPr="00D562AB">
        <w:rPr>
          <w:rFonts w:cs="Arial"/>
          <w:color w:val="000000"/>
          <w:szCs w:val="24"/>
        </w:rPr>
        <w:t xml:space="preserve">. 2014. ‘Why are you applying there?’: ‘race’, class and the construction of higher education ‘choice’ in the United Kingdom. </w:t>
      </w:r>
      <w:r w:rsidRPr="00D562AB">
        <w:rPr>
          <w:rFonts w:cs="Arial"/>
          <w:i/>
          <w:color w:val="000000"/>
          <w:szCs w:val="24"/>
        </w:rPr>
        <w:t>British Journal of Sociology of Education</w:t>
      </w:r>
      <w:r w:rsidRPr="00D562AB">
        <w:rPr>
          <w:rFonts w:cs="Arial"/>
          <w:color w:val="000000"/>
          <w:szCs w:val="24"/>
        </w:rPr>
        <w:t xml:space="preserve"> 36(8):1170-1191.</w:t>
      </w:r>
    </w:p>
    <w:p w:rsidR="000D2892" w:rsidRPr="00D562AB" w:rsidRDefault="000D2892" w:rsidP="00AF63DA">
      <w:pPr>
        <w:ind w:left="426" w:hanging="426"/>
        <w:rPr>
          <w:szCs w:val="24"/>
        </w:rPr>
      </w:pPr>
      <w:r w:rsidRPr="00D562AB">
        <w:rPr>
          <w:szCs w:val="24"/>
        </w:rPr>
        <w:t xml:space="preserve">Simon, H. 1955. A behavioural model of rational choice. </w:t>
      </w:r>
      <w:r w:rsidRPr="00D562AB">
        <w:rPr>
          <w:i/>
          <w:szCs w:val="24"/>
        </w:rPr>
        <w:t>Quarterly Journal of Economics</w:t>
      </w:r>
      <w:r w:rsidRPr="00D562AB">
        <w:rPr>
          <w:szCs w:val="24"/>
        </w:rPr>
        <w:t xml:space="preserve"> 69(1):99-118.</w:t>
      </w:r>
    </w:p>
    <w:p w:rsidR="00AE583A" w:rsidRPr="00D562AB" w:rsidRDefault="000D2892" w:rsidP="00AF63DA">
      <w:pPr>
        <w:ind w:left="426" w:hanging="426"/>
        <w:rPr>
          <w:szCs w:val="24"/>
        </w:rPr>
      </w:pPr>
      <w:r w:rsidRPr="00D562AB">
        <w:rPr>
          <w:szCs w:val="24"/>
        </w:rPr>
        <w:t xml:space="preserve">Simon, H. </w:t>
      </w:r>
      <w:r w:rsidR="000F4EBF" w:rsidRPr="00D562AB">
        <w:rPr>
          <w:szCs w:val="24"/>
        </w:rPr>
        <w:t>1979</w:t>
      </w:r>
      <w:r w:rsidRPr="00D562AB">
        <w:rPr>
          <w:szCs w:val="24"/>
        </w:rPr>
        <w:t xml:space="preserve">. </w:t>
      </w:r>
      <w:r w:rsidR="000F4EBF" w:rsidRPr="00D562AB">
        <w:rPr>
          <w:szCs w:val="24"/>
        </w:rPr>
        <w:t xml:space="preserve">Rational decision-making in business organisations. </w:t>
      </w:r>
      <w:r w:rsidR="000F4EBF" w:rsidRPr="00D562AB">
        <w:rPr>
          <w:i/>
          <w:szCs w:val="24"/>
        </w:rPr>
        <w:t xml:space="preserve">American Economic Review </w:t>
      </w:r>
      <w:r w:rsidR="00B908DC">
        <w:rPr>
          <w:szCs w:val="24"/>
        </w:rPr>
        <w:t>69</w:t>
      </w:r>
      <w:r w:rsidR="000F4EBF" w:rsidRPr="00D562AB">
        <w:rPr>
          <w:szCs w:val="24"/>
        </w:rPr>
        <w:t>(4):493-513.</w:t>
      </w:r>
    </w:p>
    <w:p w:rsidR="00AE583A" w:rsidRPr="00D562AB" w:rsidRDefault="00AE583A" w:rsidP="00AF63DA">
      <w:pPr>
        <w:ind w:left="426" w:hanging="426"/>
        <w:rPr>
          <w:szCs w:val="24"/>
        </w:rPr>
      </w:pPr>
      <w:r w:rsidRPr="00D562AB">
        <w:rPr>
          <w:szCs w:val="24"/>
        </w:rPr>
        <w:t xml:space="preserve">Simon, H. 1986. The failure of armchair economics. </w:t>
      </w:r>
      <w:r w:rsidRPr="00D562AB">
        <w:rPr>
          <w:i/>
          <w:iCs/>
          <w:szCs w:val="24"/>
        </w:rPr>
        <w:t>Challenge</w:t>
      </w:r>
      <w:r w:rsidRPr="00D562AB">
        <w:rPr>
          <w:szCs w:val="24"/>
        </w:rPr>
        <w:t xml:space="preserve"> </w:t>
      </w:r>
      <w:r w:rsidRPr="00D562AB">
        <w:rPr>
          <w:iCs/>
          <w:szCs w:val="24"/>
        </w:rPr>
        <w:t>29</w:t>
      </w:r>
      <w:r w:rsidR="00B908DC">
        <w:rPr>
          <w:szCs w:val="24"/>
        </w:rPr>
        <w:t>(5):</w:t>
      </w:r>
      <w:r w:rsidRPr="00D562AB">
        <w:rPr>
          <w:szCs w:val="24"/>
        </w:rPr>
        <w:t>18-25.</w:t>
      </w:r>
    </w:p>
    <w:p w:rsidR="00586132" w:rsidRPr="00D562AB" w:rsidRDefault="00586132" w:rsidP="00AF63DA">
      <w:pPr>
        <w:ind w:left="426" w:hanging="426"/>
        <w:rPr>
          <w:szCs w:val="24"/>
        </w:rPr>
      </w:pPr>
      <w:r w:rsidRPr="00D562AB">
        <w:rPr>
          <w:szCs w:val="24"/>
        </w:rPr>
        <w:t xml:space="preserve">Simon, H. 1987. Making management decisions: the role of intuition and emotion. </w:t>
      </w:r>
      <w:r w:rsidRPr="00D562AB">
        <w:rPr>
          <w:i/>
          <w:szCs w:val="24"/>
        </w:rPr>
        <w:t>Academy of Management</w:t>
      </w:r>
      <w:r w:rsidR="00B908DC">
        <w:rPr>
          <w:szCs w:val="24"/>
        </w:rPr>
        <w:t xml:space="preserve"> 1(1):</w:t>
      </w:r>
      <w:r w:rsidRPr="00D562AB">
        <w:rPr>
          <w:szCs w:val="24"/>
        </w:rPr>
        <w:t>57-64.</w:t>
      </w:r>
    </w:p>
    <w:p w:rsidR="008B5E8C" w:rsidRPr="00D562AB" w:rsidRDefault="008B5E8C" w:rsidP="00AF63DA">
      <w:pPr>
        <w:ind w:left="426" w:hanging="426"/>
        <w:rPr>
          <w:szCs w:val="24"/>
        </w:rPr>
      </w:pPr>
      <w:r w:rsidRPr="00D562AB">
        <w:rPr>
          <w:szCs w:val="24"/>
        </w:rPr>
        <w:t xml:space="preserve">Simon, H. 1997. </w:t>
      </w:r>
      <w:r w:rsidR="00AE583A" w:rsidRPr="00D562AB">
        <w:rPr>
          <w:i/>
          <w:iCs/>
          <w:szCs w:val="24"/>
        </w:rPr>
        <w:t>An empirically based m</w:t>
      </w:r>
      <w:r w:rsidRPr="00D562AB">
        <w:rPr>
          <w:i/>
          <w:iCs/>
          <w:szCs w:val="24"/>
        </w:rPr>
        <w:t>icroeconomics</w:t>
      </w:r>
      <w:r w:rsidR="00AE583A" w:rsidRPr="00D562AB">
        <w:rPr>
          <w:szCs w:val="24"/>
        </w:rPr>
        <w:t>.</w:t>
      </w:r>
      <w:r w:rsidRPr="00D562AB">
        <w:rPr>
          <w:szCs w:val="24"/>
        </w:rPr>
        <w:t xml:space="preserve"> Cambridge: Cambridge University Press.</w:t>
      </w:r>
    </w:p>
    <w:p w:rsidR="00586132" w:rsidRDefault="003768E5" w:rsidP="00AF63DA">
      <w:pPr>
        <w:ind w:left="426" w:hanging="426"/>
        <w:rPr>
          <w:rFonts w:eastAsia="Calibri" w:cs="Times New Roman"/>
          <w:szCs w:val="24"/>
        </w:rPr>
      </w:pPr>
      <w:r w:rsidRPr="00D562AB">
        <w:rPr>
          <w:rFonts w:eastAsia="Calibri" w:cs="Times New Roman"/>
          <w:szCs w:val="24"/>
        </w:rPr>
        <w:t>Simon, H. 2000. Bounded rationality in social science: today and t</w:t>
      </w:r>
      <w:r w:rsidR="000D2892" w:rsidRPr="00D562AB">
        <w:rPr>
          <w:rFonts w:eastAsia="Calibri" w:cs="Times New Roman"/>
          <w:szCs w:val="24"/>
        </w:rPr>
        <w:t>omorrow.</w:t>
      </w:r>
      <w:r w:rsidRPr="00D562AB">
        <w:rPr>
          <w:rFonts w:eastAsia="Calibri" w:cs="Times New Roman"/>
          <w:szCs w:val="24"/>
        </w:rPr>
        <w:t xml:space="preserve"> </w:t>
      </w:r>
      <w:r w:rsidRPr="00D562AB">
        <w:rPr>
          <w:rFonts w:eastAsia="Calibri" w:cs="Times New Roman"/>
          <w:i/>
          <w:szCs w:val="24"/>
        </w:rPr>
        <w:t>Mind and Society</w:t>
      </w:r>
      <w:r w:rsidR="00B908DC">
        <w:rPr>
          <w:rFonts w:eastAsia="Calibri" w:cs="Times New Roman"/>
          <w:szCs w:val="24"/>
        </w:rPr>
        <w:t xml:space="preserve"> 1</w:t>
      </w:r>
      <w:r w:rsidRPr="00D562AB">
        <w:rPr>
          <w:rFonts w:eastAsia="Calibri" w:cs="Times New Roman"/>
          <w:szCs w:val="24"/>
        </w:rPr>
        <w:t>(1)</w:t>
      </w:r>
      <w:r w:rsidR="000D2892" w:rsidRPr="00D562AB">
        <w:rPr>
          <w:rFonts w:eastAsia="Calibri" w:cs="Times New Roman"/>
          <w:szCs w:val="24"/>
        </w:rPr>
        <w:t>:</w:t>
      </w:r>
      <w:r w:rsidRPr="00D562AB">
        <w:rPr>
          <w:rFonts w:eastAsia="Calibri" w:cs="Times New Roman"/>
          <w:szCs w:val="24"/>
        </w:rPr>
        <w:t>25-39.</w:t>
      </w:r>
    </w:p>
    <w:p w:rsidR="00F1005B" w:rsidRPr="00D562AB" w:rsidRDefault="00F1005B" w:rsidP="00AF63DA">
      <w:pPr>
        <w:ind w:left="426" w:hanging="426"/>
        <w:rPr>
          <w:rFonts w:eastAsia="Calibri" w:cs="Times New Roman"/>
          <w:szCs w:val="24"/>
        </w:rPr>
      </w:pPr>
      <w:proofErr w:type="spellStart"/>
      <w:r>
        <w:t>Skeggs</w:t>
      </w:r>
      <w:proofErr w:type="spellEnd"/>
      <w:r>
        <w:t xml:space="preserve">, B. </w:t>
      </w:r>
      <w:r>
        <w:rPr>
          <w:rStyle w:val="nlmyear"/>
        </w:rPr>
        <w:t>1997</w:t>
      </w:r>
      <w:r>
        <w:t xml:space="preserve">. </w:t>
      </w:r>
      <w:r>
        <w:rPr>
          <w:i/>
          <w:iCs/>
        </w:rPr>
        <w:t>Formations of class and gender</w:t>
      </w:r>
      <w:r>
        <w:rPr>
          <w:i/>
        </w:rPr>
        <w:t>: becoming respectable</w:t>
      </w:r>
      <w:r>
        <w:t>. London: Sage.</w:t>
      </w:r>
    </w:p>
    <w:p w:rsidR="00586132" w:rsidRPr="00D562AB" w:rsidRDefault="00586132" w:rsidP="00AF63DA">
      <w:pPr>
        <w:ind w:left="426" w:hanging="426"/>
        <w:rPr>
          <w:rFonts w:cs="Times New Roman"/>
          <w:szCs w:val="24"/>
        </w:rPr>
      </w:pPr>
      <w:r w:rsidRPr="00D562AB">
        <w:rPr>
          <w:rFonts w:cs="Times New Roman"/>
          <w:szCs w:val="24"/>
        </w:rPr>
        <w:t xml:space="preserve">Sutton Trust. 2004. </w:t>
      </w:r>
      <w:r w:rsidRPr="00D562AB">
        <w:rPr>
          <w:rFonts w:cs="Times New Roman"/>
          <w:i/>
          <w:szCs w:val="24"/>
        </w:rPr>
        <w:t>The missing 3,000: state school students under-represented at leading universities</w:t>
      </w:r>
      <w:r w:rsidR="00D95883" w:rsidRPr="00D562AB">
        <w:rPr>
          <w:rFonts w:cs="Times New Roman"/>
          <w:szCs w:val="24"/>
        </w:rPr>
        <w:t>.</w:t>
      </w:r>
      <w:r w:rsidRPr="00D562AB">
        <w:rPr>
          <w:rFonts w:cs="Times New Roman"/>
          <w:szCs w:val="24"/>
        </w:rPr>
        <w:t xml:space="preserve"> London: Sutton Trust</w:t>
      </w:r>
      <w:r w:rsidR="00D95883" w:rsidRPr="00D562AB">
        <w:rPr>
          <w:rFonts w:cs="Times New Roman"/>
          <w:szCs w:val="24"/>
        </w:rPr>
        <w:t>.</w:t>
      </w:r>
    </w:p>
    <w:p w:rsidR="00D95883" w:rsidRPr="00D562AB" w:rsidRDefault="00D95883" w:rsidP="00AF63DA">
      <w:pPr>
        <w:ind w:left="426" w:hanging="426"/>
        <w:rPr>
          <w:rFonts w:eastAsia="Calibri" w:cs="Times New Roman"/>
          <w:szCs w:val="24"/>
        </w:rPr>
      </w:pPr>
      <w:r w:rsidRPr="00D562AB">
        <w:rPr>
          <w:rFonts w:eastAsia="Calibri" w:cs="Times New Roman"/>
          <w:szCs w:val="24"/>
        </w:rPr>
        <w:lastRenderedPageBreak/>
        <w:t xml:space="preserve">Thomas, L. 2012. </w:t>
      </w:r>
      <w:r w:rsidR="000762F6" w:rsidRPr="00D562AB">
        <w:rPr>
          <w:rFonts w:eastAsia="Calibri" w:cs="Times New Roman"/>
          <w:i/>
          <w:szCs w:val="24"/>
        </w:rPr>
        <w:t>Building student engagement and belonging in higher education at a time of change: final report from the What Works? Student Retention &amp; Success Programme</w:t>
      </w:r>
      <w:r w:rsidR="000762F6" w:rsidRPr="00D562AB">
        <w:rPr>
          <w:rFonts w:eastAsia="Calibri" w:cs="Times New Roman"/>
          <w:szCs w:val="24"/>
        </w:rPr>
        <w:t>.  London: Paul Hamlyn Foundation.</w:t>
      </w:r>
    </w:p>
    <w:p w:rsidR="00B2704C" w:rsidRPr="00D562AB" w:rsidRDefault="003768E5" w:rsidP="00AF63DA">
      <w:pPr>
        <w:ind w:left="426" w:hanging="426"/>
        <w:rPr>
          <w:szCs w:val="24"/>
        </w:rPr>
      </w:pPr>
      <w:r w:rsidRPr="00D562AB">
        <w:rPr>
          <w:szCs w:val="24"/>
        </w:rPr>
        <w:t xml:space="preserve">Todd, P. and G. </w:t>
      </w:r>
      <w:proofErr w:type="spellStart"/>
      <w:r w:rsidRPr="00D562AB">
        <w:rPr>
          <w:szCs w:val="24"/>
        </w:rPr>
        <w:t>Gigerenzer</w:t>
      </w:r>
      <w:proofErr w:type="spellEnd"/>
      <w:r w:rsidRPr="00D562AB">
        <w:rPr>
          <w:szCs w:val="24"/>
        </w:rPr>
        <w:t xml:space="preserve">. 2003. Bounding rationality to the world. </w:t>
      </w:r>
      <w:r w:rsidRPr="00D562AB">
        <w:rPr>
          <w:i/>
          <w:szCs w:val="24"/>
        </w:rPr>
        <w:t>Journal of Economic Psychology</w:t>
      </w:r>
      <w:r w:rsidRPr="00D562AB">
        <w:rPr>
          <w:szCs w:val="24"/>
        </w:rPr>
        <w:t xml:space="preserve"> 24:143-165.</w:t>
      </w:r>
    </w:p>
    <w:p w:rsidR="001F5B9A" w:rsidRPr="00D562AB" w:rsidRDefault="001F5B9A" w:rsidP="00AF63DA">
      <w:pPr>
        <w:ind w:left="426" w:hanging="426"/>
        <w:rPr>
          <w:szCs w:val="24"/>
        </w:rPr>
      </w:pPr>
      <w:r w:rsidRPr="00D562AB">
        <w:rPr>
          <w:szCs w:val="24"/>
        </w:rPr>
        <w:t xml:space="preserve">Universities and Colleges Admissions Service. 2015. </w:t>
      </w:r>
      <w:r w:rsidRPr="00D562AB">
        <w:rPr>
          <w:i/>
          <w:szCs w:val="24"/>
        </w:rPr>
        <w:t>End of cycle report 2015</w:t>
      </w:r>
      <w:r w:rsidRPr="00D562AB">
        <w:rPr>
          <w:szCs w:val="24"/>
        </w:rPr>
        <w:t>. Cheltenham: UCAS.</w:t>
      </w:r>
    </w:p>
    <w:p w:rsidR="009077B1" w:rsidRPr="00D562AB" w:rsidRDefault="009077B1" w:rsidP="00AF63DA">
      <w:pPr>
        <w:ind w:left="426" w:hanging="426"/>
        <w:rPr>
          <w:szCs w:val="24"/>
        </w:rPr>
      </w:pPr>
      <w:r w:rsidRPr="00D562AB">
        <w:rPr>
          <w:rFonts w:cs="Arial"/>
          <w:color w:val="000000"/>
          <w:szCs w:val="24"/>
          <w:lang w:eastAsia="en-GB"/>
        </w:rPr>
        <w:t xml:space="preserve">Walker, I. and Y. Zhu. 2011. </w:t>
      </w:r>
      <w:r w:rsidRPr="00D562AB">
        <w:rPr>
          <w:szCs w:val="24"/>
        </w:rPr>
        <w:t xml:space="preserve">Differences by degree: evidence of the net financial rates of return to undergraduate study for England and Wales. </w:t>
      </w:r>
      <w:r w:rsidRPr="00D562AB">
        <w:rPr>
          <w:i/>
          <w:szCs w:val="24"/>
        </w:rPr>
        <w:t>Economics of Education Review</w:t>
      </w:r>
      <w:r w:rsidRPr="00D562AB">
        <w:rPr>
          <w:szCs w:val="24"/>
        </w:rPr>
        <w:t xml:space="preserve"> 30(6):1177-1186.</w:t>
      </w:r>
    </w:p>
    <w:p w:rsidR="00E409DD" w:rsidRPr="00D562AB" w:rsidRDefault="00E409DD" w:rsidP="00AF63DA">
      <w:pPr>
        <w:ind w:left="426" w:hanging="426"/>
        <w:rPr>
          <w:szCs w:val="24"/>
        </w:rPr>
      </w:pPr>
      <w:r w:rsidRPr="00D562AB">
        <w:rPr>
          <w:szCs w:val="24"/>
        </w:rPr>
        <w:t xml:space="preserve">Whitty, G., A. Hayton and S. Tang. 2015. Who you know, what you know and knowing the ropes: a review of evidence about access to higher education institutions in England. </w:t>
      </w:r>
      <w:r w:rsidRPr="00D562AB">
        <w:rPr>
          <w:i/>
          <w:iCs/>
          <w:szCs w:val="24"/>
        </w:rPr>
        <w:t>Review of Education</w:t>
      </w:r>
      <w:r w:rsidRPr="00D562AB">
        <w:rPr>
          <w:szCs w:val="24"/>
        </w:rPr>
        <w:t xml:space="preserve"> </w:t>
      </w:r>
      <w:r w:rsidRPr="00D562AB">
        <w:rPr>
          <w:iCs/>
          <w:szCs w:val="24"/>
        </w:rPr>
        <w:t>3</w:t>
      </w:r>
      <w:r w:rsidR="00B908DC">
        <w:rPr>
          <w:szCs w:val="24"/>
        </w:rPr>
        <w:t>(1):</w:t>
      </w:r>
      <w:r w:rsidRPr="00D562AB">
        <w:rPr>
          <w:szCs w:val="24"/>
        </w:rPr>
        <w:t>27-67.</w:t>
      </w:r>
    </w:p>
    <w:sectPr w:rsidR="00E409DD" w:rsidRPr="00D562AB" w:rsidSect="00C21A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dvP8585">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D25"/>
    <w:multiLevelType w:val="hybridMultilevel"/>
    <w:tmpl w:val="2F343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05901"/>
    <w:multiLevelType w:val="hybridMultilevel"/>
    <w:tmpl w:val="643835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4567F1"/>
    <w:multiLevelType w:val="hybridMultilevel"/>
    <w:tmpl w:val="2F343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01"/>
    <w:rsid w:val="000078DF"/>
    <w:rsid w:val="00020B97"/>
    <w:rsid w:val="00037819"/>
    <w:rsid w:val="00041941"/>
    <w:rsid w:val="00057B47"/>
    <w:rsid w:val="00071AF0"/>
    <w:rsid w:val="000762F6"/>
    <w:rsid w:val="0007681E"/>
    <w:rsid w:val="00076DCC"/>
    <w:rsid w:val="000774BA"/>
    <w:rsid w:val="00093DF1"/>
    <w:rsid w:val="000944AC"/>
    <w:rsid w:val="000A454A"/>
    <w:rsid w:val="000A47F6"/>
    <w:rsid w:val="000B236F"/>
    <w:rsid w:val="000B3D1F"/>
    <w:rsid w:val="000B4345"/>
    <w:rsid w:val="000B7F4A"/>
    <w:rsid w:val="000C0669"/>
    <w:rsid w:val="000C3C6E"/>
    <w:rsid w:val="000D2892"/>
    <w:rsid w:val="000D783F"/>
    <w:rsid w:val="000F1445"/>
    <w:rsid w:val="000F4C12"/>
    <w:rsid w:val="000F4EBF"/>
    <w:rsid w:val="00102DE8"/>
    <w:rsid w:val="001210BB"/>
    <w:rsid w:val="0012133A"/>
    <w:rsid w:val="00123CD8"/>
    <w:rsid w:val="00124AA4"/>
    <w:rsid w:val="0012558E"/>
    <w:rsid w:val="0013290C"/>
    <w:rsid w:val="00135320"/>
    <w:rsid w:val="001439B7"/>
    <w:rsid w:val="00150524"/>
    <w:rsid w:val="00157088"/>
    <w:rsid w:val="00162124"/>
    <w:rsid w:val="00166663"/>
    <w:rsid w:val="001812C3"/>
    <w:rsid w:val="00186DE5"/>
    <w:rsid w:val="00194323"/>
    <w:rsid w:val="001B1438"/>
    <w:rsid w:val="001B3598"/>
    <w:rsid w:val="001C0244"/>
    <w:rsid w:val="001D112B"/>
    <w:rsid w:val="001D4BAA"/>
    <w:rsid w:val="001D5B2B"/>
    <w:rsid w:val="001E05E0"/>
    <w:rsid w:val="001E0A52"/>
    <w:rsid w:val="001E1444"/>
    <w:rsid w:val="001E2110"/>
    <w:rsid w:val="001F5B9A"/>
    <w:rsid w:val="002015A6"/>
    <w:rsid w:val="0020227D"/>
    <w:rsid w:val="002028D6"/>
    <w:rsid w:val="00221CC1"/>
    <w:rsid w:val="00222A4C"/>
    <w:rsid w:val="002235DE"/>
    <w:rsid w:val="00230355"/>
    <w:rsid w:val="0024108A"/>
    <w:rsid w:val="002456C5"/>
    <w:rsid w:val="00256069"/>
    <w:rsid w:val="00262EDF"/>
    <w:rsid w:val="0026719A"/>
    <w:rsid w:val="002740C9"/>
    <w:rsid w:val="00286540"/>
    <w:rsid w:val="002865DA"/>
    <w:rsid w:val="00287B9B"/>
    <w:rsid w:val="00287D39"/>
    <w:rsid w:val="002904B2"/>
    <w:rsid w:val="00295CF5"/>
    <w:rsid w:val="0029644F"/>
    <w:rsid w:val="00296C4E"/>
    <w:rsid w:val="00296EE8"/>
    <w:rsid w:val="002A5CC0"/>
    <w:rsid w:val="002A7A9D"/>
    <w:rsid w:val="002B114D"/>
    <w:rsid w:val="002C2877"/>
    <w:rsid w:val="002D45E2"/>
    <w:rsid w:val="002D580F"/>
    <w:rsid w:val="002D7AD7"/>
    <w:rsid w:val="002E4A77"/>
    <w:rsid w:val="002F1265"/>
    <w:rsid w:val="002F253B"/>
    <w:rsid w:val="002F66A2"/>
    <w:rsid w:val="00302E17"/>
    <w:rsid w:val="00306854"/>
    <w:rsid w:val="00313F64"/>
    <w:rsid w:val="00323A97"/>
    <w:rsid w:val="00326F3E"/>
    <w:rsid w:val="00332283"/>
    <w:rsid w:val="00337ED9"/>
    <w:rsid w:val="00347CDC"/>
    <w:rsid w:val="00351DA0"/>
    <w:rsid w:val="00357A36"/>
    <w:rsid w:val="00364F06"/>
    <w:rsid w:val="003768E5"/>
    <w:rsid w:val="00377925"/>
    <w:rsid w:val="00392D94"/>
    <w:rsid w:val="003A2284"/>
    <w:rsid w:val="003A424E"/>
    <w:rsid w:val="003B0ED1"/>
    <w:rsid w:val="003B288D"/>
    <w:rsid w:val="003D28DE"/>
    <w:rsid w:val="003D4DE5"/>
    <w:rsid w:val="003D6D05"/>
    <w:rsid w:val="003E4926"/>
    <w:rsid w:val="0040212C"/>
    <w:rsid w:val="00405FCF"/>
    <w:rsid w:val="0040775B"/>
    <w:rsid w:val="00410AEB"/>
    <w:rsid w:val="00410BE0"/>
    <w:rsid w:val="00413852"/>
    <w:rsid w:val="004232CD"/>
    <w:rsid w:val="0042479D"/>
    <w:rsid w:val="0043634A"/>
    <w:rsid w:val="00436E8B"/>
    <w:rsid w:val="004418D3"/>
    <w:rsid w:val="00451B5F"/>
    <w:rsid w:val="004534E3"/>
    <w:rsid w:val="00453C97"/>
    <w:rsid w:val="00453DFE"/>
    <w:rsid w:val="004618AE"/>
    <w:rsid w:val="00481534"/>
    <w:rsid w:val="00482C06"/>
    <w:rsid w:val="00492333"/>
    <w:rsid w:val="00494399"/>
    <w:rsid w:val="004A6B7A"/>
    <w:rsid w:val="004B01F7"/>
    <w:rsid w:val="004B2A97"/>
    <w:rsid w:val="004B56A5"/>
    <w:rsid w:val="004D30EF"/>
    <w:rsid w:val="004F7DE1"/>
    <w:rsid w:val="00501186"/>
    <w:rsid w:val="005027E3"/>
    <w:rsid w:val="00510A72"/>
    <w:rsid w:val="00512C08"/>
    <w:rsid w:val="00514E8F"/>
    <w:rsid w:val="00524584"/>
    <w:rsid w:val="00550CF2"/>
    <w:rsid w:val="0055260F"/>
    <w:rsid w:val="00563216"/>
    <w:rsid w:val="00576282"/>
    <w:rsid w:val="00586132"/>
    <w:rsid w:val="00586F1A"/>
    <w:rsid w:val="005A033C"/>
    <w:rsid w:val="005B7B78"/>
    <w:rsid w:val="005B7CD4"/>
    <w:rsid w:val="005C4547"/>
    <w:rsid w:val="005C69CC"/>
    <w:rsid w:val="005D1D28"/>
    <w:rsid w:val="005D2506"/>
    <w:rsid w:val="005D3DC0"/>
    <w:rsid w:val="005D4195"/>
    <w:rsid w:val="005E4416"/>
    <w:rsid w:val="005E73FF"/>
    <w:rsid w:val="005E7C6F"/>
    <w:rsid w:val="005F2DC8"/>
    <w:rsid w:val="00602721"/>
    <w:rsid w:val="006041E8"/>
    <w:rsid w:val="006053CA"/>
    <w:rsid w:val="00614AB1"/>
    <w:rsid w:val="0061610E"/>
    <w:rsid w:val="00616CC1"/>
    <w:rsid w:val="00622E42"/>
    <w:rsid w:val="00627AD5"/>
    <w:rsid w:val="00627CB3"/>
    <w:rsid w:val="006305F8"/>
    <w:rsid w:val="00634133"/>
    <w:rsid w:val="0064372E"/>
    <w:rsid w:val="006539E3"/>
    <w:rsid w:val="006626E8"/>
    <w:rsid w:val="00663393"/>
    <w:rsid w:val="00664E07"/>
    <w:rsid w:val="00665284"/>
    <w:rsid w:val="00666A89"/>
    <w:rsid w:val="00670C89"/>
    <w:rsid w:val="006718CB"/>
    <w:rsid w:val="00681944"/>
    <w:rsid w:val="0068228B"/>
    <w:rsid w:val="00683E40"/>
    <w:rsid w:val="00684359"/>
    <w:rsid w:val="00684CB5"/>
    <w:rsid w:val="00686EC5"/>
    <w:rsid w:val="00690085"/>
    <w:rsid w:val="00695128"/>
    <w:rsid w:val="00695FA0"/>
    <w:rsid w:val="006B30EC"/>
    <w:rsid w:val="006B48AC"/>
    <w:rsid w:val="006B5887"/>
    <w:rsid w:val="006B5B9C"/>
    <w:rsid w:val="006B6066"/>
    <w:rsid w:val="006B76AE"/>
    <w:rsid w:val="006C34F4"/>
    <w:rsid w:val="006C3D47"/>
    <w:rsid w:val="006C71C5"/>
    <w:rsid w:val="006E2950"/>
    <w:rsid w:val="006E30AB"/>
    <w:rsid w:val="006E3394"/>
    <w:rsid w:val="006E6792"/>
    <w:rsid w:val="006F630C"/>
    <w:rsid w:val="0071201F"/>
    <w:rsid w:val="00717FC0"/>
    <w:rsid w:val="00722BE6"/>
    <w:rsid w:val="00740759"/>
    <w:rsid w:val="00742297"/>
    <w:rsid w:val="00742754"/>
    <w:rsid w:val="00745CEE"/>
    <w:rsid w:val="00755A3F"/>
    <w:rsid w:val="0076142F"/>
    <w:rsid w:val="00761C15"/>
    <w:rsid w:val="00765348"/>
    <w:rsid w:val="007702DE"/>
    <w:rsid w:val="00773A56"/>
    <w:rsid w:val="00775C0C"/>
    <w:rsid w:val="00777ACB"/>
    <w:rsid w:val="00791A0B"/>
    <w:rsid w:val="00796517"/>
    <w:rsid w:val="00797CCB"/>
    <w:rsid w:val="007A581A"/>
    <w:rsid w:val="007B10A2"/>
    <w:rsid w:val="007B4CCC"/>
    <w:rsid w:val="007B6B3A"/>
    <w:rsid w:val="007C5294"/>
    <w:rsid w:val="007C75CD"/>
    <w:rsid w:val="007D5FB0"/>
    <w:rsid w:val="007F0885"/>
    <w:rsid w:val="007F4914"/>
    <w:rsid w:val="00801165"/>
    <w:rsid w:val="00801A7E"/>
    <w:rsid w:val="00804E18"/>
    <w:rsid w:val="008112BD"/>
    <w:rsid w:val="0081778E"/>
    <w:rsid w:val="00822523"/>
    <w:rsid w:val="00824535"/>
    <w:rsid w:val="00825F52"/>
    <w:rsid w:val="00827350"/>
    <w:rsid w:val="00833CAE"/>
    <w:rsid w:val="00834429"/>
    <w:rsid w:val="00836109"/>
    <w:rsid w:val="008400FF"/>
    <w:rsid w:val="00840F83"/>
    <w:rsid w:val="008437C4"/>
    <w:rsid w:val="00853B24"/>
    <w:rsid w:val="00856801"/>
    <w:rsid w:val="00886FBB"/>
    <w:rsid w:val="00895190"/>
    <w:rsid w:val="00896BDD"/>
    <w:rsid w:val="008A4D54"/>
    <w:rsid w:val="008B4E63"/>
    <w:rsid w:val="008B5E8C"/>
    <w:rsid w:val="008C4D08"/>
    <w:rsid w:val="008D2403"/>
    <w:rsid w:val="008D40EA"/>
    <w:rsid w:val="008D72E1"/>
    <w:rsid w:val="008E6C64"/>
    <w:rsid w:val="008F6A0C"/>
    <w:rsid w:val="008F77A5"/>
    <w:rsid w:val="00900F8B"/>
    <w:rsid w:val="009077B1"/>
    <w:rsid w:val="00907964"/>
    <w:rsid w:val="00910BFA"/>
    <w:rsid w:val="00921AC0"/>
    <w:rsid w:val="00930430"/>
    <w:rsid w:val="00950B18"/>
    <w:rsid w:val="00954AE7"/>
    <w:rsid w:val="009613E8"/>
    <w:rsid w:val="00961CAF"/>
    <w:rsid w:val="00962BE7"/>
    <w:rsid w:val="00965CF6"/>
    <w:rsid w:val="00972A1F"/>
    <w:rsid w:val="00976A08"/>
    <w:rsid w:val="00980B93"/>
    <w:rsid w:val="009847A1"/>
    <w:rsid w:val="00987FFD"/>
    <w:rsid w:val="009974BE"/>
    <w:rsid w:val="009A431C"/>
    <w:rsid w:val="009A5EC2"/>
    <w:rsid w:val="009C4D33"/>
    <w:rsid w:val="009D1EEB"/>
    <w:rsid w:val="009F33AF"/>
    <w:rsid w:val="009F461B"/>
    <w:rsid w:val="009F57CF"/>
    <w:rsid w:val="00A01AB9"/>
    <w:rsid w:val="00A041FD"/>
    <w:rsid w:val="00A05C4E"/>
    <w:rsid w:val="00A11B5A"/>
    <w:rsid w:val="00A20E38"/>
    <w:rsid w:val="00A240FD"/>
    <w:rsid w:val="00A30122"/>
    <w:rsid w:val="00A45C69"/>
    <w:rsid w:val="00A576C6"/>
    <w:rsid w:val="00A57AF3"/>
    <w:rsid w:val="00A61A87"/>
    <w:rsid w:val="00A72972"/>
    <w:rsid w:val="00A76B1E"/>
    <w:rsid w:val="00A76C78"/>
    <w:rsid w:val="00A8640D"/>
    <w:rsid w:val="00A96F04"/>
    <w:rsid w:val="00AA208F"/>
    <w:rsid w:val="00AB2AB9"/>
    <w:rsid w:val="00AB2BB9"/>
    <w:rsid w:val="00AC03F2"/>
    <w:rsid w:val="00AD1260"/>
    <w:rsid w:val="00AD36DD"/>
    <w:rsid w:val="00AD53D1"/>
    <w:rsid w:val="00AE123C"/>
    <w:rsid w:val="00AE4334"/>
    <w:rsid w:val="00AE4B73"/>
    <w:rsid w:val="00AE53A8"/>
    <w:rsid w:val="00AE583A"/>
    <w:rsid w:val="00AF1AB6"/>
    <w:rsid w:val="00AF63DA"/>
    <w:rsid w:val="00B042FD"/>
    <w:rsid w:val="00B04DC8"/>
    <w:rsid w:val="00B06AFF"/>
    <w:rsid w:val="00B12A80"/>
    <w:rsid w:val="00B138DD"/>
    <w:rsid w:val="00B16D31"/>
    <w:rsid w:val="00B26DB8"/>
    <w:rsid w:val="00B2704C"/>
    <w:rsid w:val="00B27797"/>
    <w:rsid w:val="00B45BA3"/>
    <w:rsid w:val="00B50628"/>
    <w:rsid w:val="00B50923"/>
    <w:rsid w:val="00B50C4E"/>
    <w:rsid w:val="00B51A58"/>
    <w:rsid w:val="00B544FE"/>
    <w:rsid w:val="00B56336"/>
    <w:rsid w:val="00B60901"/>
    <w:rsid w:val="00B645B4"/>
    <w:rsid w:val="00B84DB3"/>
    <w:rsid w:val="00B87D01"/>
    <w:rsid w:val="00B908DC"/>
    <w:rsid w:val="00B90E3A"/>
    <w:rsid w:val="00B92E2C"/>
    <w:rsid w:val="00B92F7A"/>
    <w:rsid w:val="00BA1A6C"/>
    <w:rsid w:val="00BA1C1A"/>
    <w:rsid w:val="00BB1B78"/>
    <w:rsid w:val="00BB5292"/>
    <w:rsid w:val="00BB62DA"/>
    <w:rsid w:val="00BB6BE9"/>
    <w:rsid w:val="00BC317D"/>
    <w:rsid w:val="00BD1FD3"/>
    <w:rsid w:val="00BF4334"/>
    <w:rsid w:val="00C114F3"/>
    <w:rsid w:val="00C15C39"/>
    <w:rsid w:val="00C2141D"/>
    <w:rsid w:val="00C21A01"/>
    <w:rsid w:val="00C341E9"/>
    <w:rsid w:val="00C45B9E"/>
    <w:rsid w:val="00C50B19"/>
    <w:rsid w:val="00C634E5"/>
    <w:rsid w:val="00C66768"/>
    <w:rsid w:val="00C704BB"/>
    <w:rsid w:val="00C76CFA"/>
    <w:rsid w:val="00C77586"/>
    <w:rsid w:val="00C81EB5"/>
    <w:rsid w:val="00C844EF"/>
    <w:rsid w:val="00C85680"/>
    <w:rsid w:val="00C90303"/>
    <w:rsid w:val="00CA0E59"/>
    <w:rsid w:val="00CA4B4F"/>
    <w:rsid w:val="00CB3C41"/>
    <w:rsid w:val="00CB5069"/>
    <w:rsid w:val="00CC6989"/>
    <w:rsid w:val="00CD1100"/>
    <w:rsid w:val="00CD3D34"/>
    <w:rsid w:val="00CD5FBF"/>
    <w:rsid w:val="00CF16E4"/>
    <w:rsid w:val="00CF1A7F"/>
    <w:rsid w:val="00CF300F"/>
    <w:rsid w:val="00CF6C49"/>
    <w:rsid w:val="00D02DCD"/>
    <w:rsid w:val="00D0605B"/>
    <w:rsid w:val="00D10284"/>
    <w:rsid w:val="00D166A5"/>
    <w:rsid w:val="00D1785E"/>
    <w:rsid w:val="00D238B3"/>
    <w:rsid w:val="00D255B0"/>
    <w:rsid w:val="00D25856"/>
    <w:rsid w:val="00D264D3"/>
    <w:rsid w:val="00D34987"/>
    <w:rsid w:val="00D3591F"/>
    <w:rsid w:val="00D443D1"/>
    <w:rsid w:val="00D5041F"/>
    <w:rsid w:val="00D5377C"/>
    <w:rsid w:val="00D562AB"/>
    <w:rsid w:val="00D63225"/>
    <w:rsid w:val="00D67DC3"/>
    <w:rsid w:val="00D70282"/>
    <w:rsid w:val="00D71137"/>
    <w:rsid w:val="00D77C20"/>
    <w:rsid w:val="00D94C5E"/>
    <w:rsid w:val="00D95883"/>
    <w:rsid w:val="00DA7B35"/>
    <w:rsid w:val="00DC0566"/>
    <w:rsid w:val="00DC67D4"/>
    <w:rsid w:val="00DD3CD6"/>
    <w:rsid w:val="00DD6032"/>
    <w:rsid w:val="00DE0E75"/>
    <w:rsid w:val="00DF050E"/>
    <w:rsid w:val="00E009DB"/>
    <w:rsid w:val="00E124F7"/>
    <w:rsid w:val="00E13EED"/>
    <w:rsid w:val="00E21062"/>
    <w:rsid w:val="00E37196"/>
    <w:rsid w:val="00E40606"/>
    <w:rsid w:val="00E409DD"/>
    <w:rsid w:val="00E4661F"/>
    <w:rsid w:val="00E520C2"/>
    <w:rsid w:val="00E529C1"/>
    <w:rsid w:val="00E554A7"/>
    <w:rsid w:val="00E6795A"/>
    <w:rsid w:val="00E73304"/>
    <w:rsid w:val="00E7619B"/>
    <w:rsid w:val="00E80ABA"/>
    <w:rsid w:val="00E810E6"/>
    <w:rsid w:val="00E822F4"/>
    <w:rsid w:val="00E83BB6"/>
    <w:rsid w:val="00E93EAF"/>
    <w:rsid w:val="00E95A6A"/>
    <w:rsid w:val="00EA0907"/>
    <w:rsid w:val="00EB54B0"/>
    <w:rsid w:val="00EC00BA"/>
    <w:rsid w:val="00EC3DCB"/>
    <w:rsid w:val="00EC546D"/>
    <w:rsid w:val="00EC6E23"/>
    <w:rsid w:val="00ED2365"/>
    <w:rsid w:val="00EE1EC1"/>
    <w:rsid w:val="00EE3659"/>
    <w:rsid w:val="00EE7C31"/>
    <w:rsid w:val="00EF0E6B"/>
    <w:rsid w:val="00F011E3"/>
    <w:rsid w:val="00F02CBC"/>
    <w:rsid w:val="00F1005B"/>
    <w:rsid w:val="00F10437"/>
    <w:rsid w:val="00F10AA5"/>
    <w:rsid w:val="00F125B1"/>
    <w:rsid w:val="00F20DB3"/>
    <w:rsid w:val="00F25873"/>
    <w:rsid w:val="00F31E95"/>
    <w:rsid w:val="00F37804"/>
    <w:rsid w:val="00F65A2C"/>
    <w:rsid w:val="00F74759"/>
    <w:rsid w:val="00F83942"/>
    <w:rsid w:val="00F87285"/>
    <w:rsid w:val="00F9255F"/>
    <w:rsid w:val="00F92F91"/>
    <w:rsid w:val="00F97531"/>
    <w:rsid w:val="00FA72F6"/>
    <w:rsid w:val="00FB5DAF"/>
    <w:rsid w:val="00FC16D1"/>
    <w:rsid w:val="00FD01E5"/>
    <w:rsid w:val="00FD4117"/>
    <w:rsid w:val="00FE5C78"/>
    <w:rsid w:val="00FF1430"/>
    <w:rsid w:val="00FF4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4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7D"/>
    <w:pPr>
      <w:ind w:left="720"/>
      <w:contextualSpacing/>
    </w:pPr>
  </w:style>
  <w:style w:type="character" w:styleId="Emphasis">
    <w:name w:val="Emphasis"/>
    <w:basedOn w:val="DefaultParagraphFont"/>
    <w:uiPriority w:val="20"/>
    <w:qFormat/>
    <w:rsid w:val="00481534"/>
    <w:rPr>
      <w:i/>
      <w:iCs/>
    </w:rPr>
  </w:style>
  <w:style w:type="character" w:customStyle="1" w:styleId="Heading1Char">
    <w:name w:val="Heading 1 Char"/>
    <w:basedOn w:val="DefaultParagraphFont"/>
    <w:link w:val="Heading1"/>
    <w:uiPriority w:val="9"/>
    <w:rsid w:val="00664E07"/>
    <w:rPr>
      <w:rFonts w:ascii="Times New Roman" w:eastAsia="Times New Roman" w:hAnsi="Times New Roman" w:cs="Times New Roman"/>
      <w:b/>
      <w:bCs/>
      <w:kern w:val="36"/>
      <w:sz w:val="48"/>
      <w:szCs w:val="48"/>
      <w:lang w:eastAsia="en-GB"/>
    </w:rPr>
  </w:style>
  <w:style w:type="character" w:customStyle="1" w:styleId="blockspan">
    <w:name w:val="blockspan"/>
    <w:basedOn w:val="DefaultParagraphFont"/>
    <w:rsid w:val="00287B9B"/>
  </w:style>
  <w:style w:type="character" w:styleId="Hyperlink">
    <w:name w:val="Hyperlink"/>
    <w:basedOn w:val="DefaultParagraphFont"/>
    <w:uiPriority w:val="99"/>
    <w:unhideWhenUsed/>
    <w:rsid w:val="007D5FB0"/>
    <w:rPr>
      <w:color w:val="0563C1" w:themeColor="hyperlink"/>
      <w:u w:val="single"/>
    </w:rPr>
  </w:style>
  <w:style w:type="character" w:customStyle="1" w:styleId="nlmyear">
    <w:name w:val="nlm_year"/>
    <w:basedOn w:val="DefaultParagraphFont"/>
    <w:rsid w:val="00F1005B"/>
  </w:style>
  <w:style w:type="paragraph" w:styleId="BalloonText">
    <w:name w:val="Balloon Text"/>
    <w:basedOn w:val="Normal"/>
    <w:link w:val="BalloonTextChar"/>
    <w:uiPriority w:val="99"/>
    <w:semiHidden/>
    <w:unhideWhenUsed/>
    <w:rsid w:val="003D2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4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7D"/>
    <w:pPr>
      <w:ind w:left="720"/>
      <w:contextualSpacing/>
    </w:pPr>
  </w:style>
  <w:style w:type="character" w:styleId="Emphasis">
    <w:name w:val="Emphasis"/>
    <w:basedOn w:val="DefaultParagraphFont"/>
    <w:uiPriority w:val="20"/>
    <w:qFormat/>
    <w:rsid w:val="00481534"/>
    <w:rPr>
      <w:i/>
      <w:iCs/>
    </w:rPr>
  </w:style>
  <w:style w:type="character" w:customStyle="1" w:styleId="Heading1Char">
    <w:name w:val="Heading 1 Char"/>
    <w:basedOn w:val="DefaultParagraphFont"/>
    <w:link w:val="Heading1"/>
    <w:uiPriority w:val="9"/>
    <w:rsid w:val="00664E07"/>
    <w:rPr>
      <w:rFonts w:ascii="Times New Roman" w:eastAsia="Times New Roman" w:hAnsi="Times New Roman" w:cs="Times New Roman"/>
      <w:b/>
      <w:bCs/>
      <w:kern w:val="36"/>
      <w:sz w:val="48"/>
      <w:szCs w:val="48"/>
      <w:lang w:eastAsia="en-GB"/>
    </w:rPr>
  </w:style>
  <w:style w:type="character" w:customStyle="1" w:styleId="blockspan">
    <w:name w:val="blockspan"/>
    <w:basedOn w:val="DefaultParagraphFont"/>
    <w:rsid w:val="00287B9B"/>
  </w:style>
  <w:style w:type="character" w:styleId="Hyperlink">
    <w:name w:val="Hyperlink"/>
    <w:basedOn w:val="DefaultParagraphFont"/>
    <w:uiPriority w:val="99"/>
    <w:unhideWhenUsed/>
    <w:rsid w:val="007D5FB0"/>
    <w:rPr>
      <w:color w:val="0563C1" w:themeColor="hyperlink"/>
      <w:u w:val="single"/>
    </w:rPr>
  </w:style>
  <w:style w:type="character" w:customStyle="1" w:styleId="nlmyear">
    <w:name w:val="nlm_year"/>
    <w:basedOn w:val="DefaultParagraphFont"/>
    <w:rsid w:val="00F1005B"/>
  </w:style>
  <w:style w:type="paragraph" w:styleId="BalloonText">
    <w:name w:val="Balloon Text"/>
    <w:basedOn w:val="Normal"/>
    <w:link w:val="BalloonTextChar"/>
    <w:uiPriority w:val="99"/>
    <w:semiHidden/>
    <w:unhideWhenUsed/>
    <w:rsid w:val="003D2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3927">
      <w:bodyDiv w:val="1"/>
      <w:marLeft w:val="0"/>
      <w:marRight w:val="0"/>
      <w:marTop w:val="0"/>
      <w:marBottom w:val="0"/>
      <w:divBdr>
        <w:top w:val="none" w:sz="0" w:space="0" w:color="auto"/>
        <w:left w:val="none" w:sz="0" w:space="0" w:color="auto"/>
        <w:bottom w:val="none" w:sz="0" w:space="0" w:color="auto"/>
        <w:right w:val="none" w:sz="0" w:space="0" w:color="auto"/>
      </w:divBdr>
      <w:divsChild>
        <w:div w:id="671759891">
          <w:marLeft w:val="0"/>
          <w:marRight w:val="0"/>
          <w:marTop w:val="0"/>
          <w:marBottom w:val="0"/>
          <w:divBdr>
            <w:top w:val="none" w:sz="0" w:space="0" w:color="auto"/>
            <w:left w:val="none" w:sz="0" w:space="0" w:color="auto"/>
            <w:bottom w:val="none" w:sz="0" w:space="0" w:color="auto"/>
            <w:right w:val="none" w:sz="0" w:space="0" w:color="auto"/>
          </w:divBdr>
        </w:div>
        <w:div w:id="1965311289">
          <w:marLeft w:val="0"/>
          <w:marRight w:val="0"/>
          <w:marTop w:val="0"/>
          <w:marBottom w:val="0"/>
          <w:divBdr>
            <w:top w:val="none" w:sz="0" w:space="0" w:color="auto"/>
            <w:left w:val="none" w:sz="0" w:space="0" w:color="auto"/>
            <w:bottom w:val="none" w:sz="0" w:space="0" w:color="auto"/>
            <w:right w:val="none" w:sz="0" w:space="0" w:color="auto"/>
          </w:divBdr>
        </w:div>
        <w:div w:id="742026003">
          <w:marLeft w:val="0"/>
          <w:marRight w:val="0"/>
          <w:marTop w:val="0"/>
          <w:marBottom w:val="0"/>
          <w:divBdr>
            <w:top w:val="none" w:sz="0" w:space="0" w:color="auto"/>
            <w:left w:val="none" w:sz="0" w:space="0" w:color="auto"/>
            <w:bottom w:val="none" w:sz="0" w:space="0" w:color="auto"/>
            <w:right w:val="none" w:sz="0" w:space="0" w:color="auto"/>
          </w:divBdr>
        </w:div>
        <w:div w:id="1921713189">
          <w:marLeft w:val="0"/>
          <w:marRight w:val="0"/>
          <w:marTop w:val="0"/>
          <w:marBottom w:val="0"/>
          <w:divBdr>
            <w:top w:val="none" w:sz="0" w:space="0" w:color="auto"/>
            <w:left w:val="none" w:sz="0" w:space="0" w:color="auto"/>
            <w:bottom w:val="none" w:sz="0" w:space="0" w:color="auto"/>
            <w:right w:val="none" w:sz="0" w:space="0" w:color="auto"/>
          </w:divBdr>
        </w:div>
        <w:div w:id="330257949">
          <w:marLeft w:val="0"/>
          <w:marRight w:val="0"/>
          <w:marTop w:val="0"/>
          <w:marBottom w:val="0"/>
          <w:divBdr>
            <w:top w:val="none" w:sz="0" w:space="0" w:color="auto"/>
            <w:left w:val="none" w:sz="0" w:space="0" w:color="auto"/>
            <w:bottom w:val="none" w:sz="0" w:space="0" w:color="auto"/>
            <w:right w:val="none" w:sz="0" w:space="0" w:color="auto"/>
          </w:divBdr>
        </w:div>
        <w:div w:id="883954610">
          <w:marLeft w:val="0"/>
          <w:marRight w:val="0"/>
          <w:marTop w:val="0"/>
          <w:marBottom w:val="0"/>
          <w:divBdr>
            <w:top w:val="none" w:sz="0" w:space="0" w:color="auto"/>
            <w:left w:val="none" w:sz="0" w:space="0" w:color="auto"/>
            <w:bottom w:val="none" w:sz="0" w:space="0" w:color="auto"/>
            <w:right w:val="none" w:sz="0" w:space="0" w:color="auto"/>
          </w:divBdr>
        </w:div>
        <w:div w:id="655840322">
          <w:marLeft w:val="0"/>
          <w:marRight w:val="0"/>
          <w:marTop w:val="0"/>
          <w:marBottom w:val="0"/>
          <w:divBdr>
            <w:top w:val="none" w:sz="0" w:space="0" w:color="auto"/>
            <w:left w:val="none" w:sz="0" w:space="0" w:color="auto"/>
            <w:bottom w:val="none" w:sz="0" w:space="0" w:color="auto"/>
            <w:right w:val="none" w:sz="0" w:space="0" w:color="auto"/>
          </w:divBdr>
        </w:div>
        <w:div w:id="213389765">
          <w:marLeft w:val="0"/>
          <w:marRight w:val="0"/>
          <w:marTop w:val="0"/>
          <w:marBottom w:val="0"/>
          <w:divBdr>
            <w:top w:val="none" w:sz="0" w:space="0" w:color="auto"/>
            <w:left w:val="none" w:sz="0" w:space="0" w:color="auto"/>
            <w:bottom w:val="none" w:sz="0" w:space="0" w:color="auto"/>
            <w:right w:val="none" w:sz="0" w:space="0" w:color="auto"/>
          </w:divBdr>
        </w:div>
        <w:div w:id="1021706367">
          <w:marLeft w:val="0"/>
          <w:marRight w:val="0"/>
          <w:marTop w:val="0"/>
          <w:marBottom w:val="0"/>
          <w:divBdr>
            <w:top w:val="none" w:sz="0" w:space="0" w:color="auto"/>
            <w:left w:val="none" w:sz="0" w:space="0" w:color="auto"/>
            <w:bottom w:val="none" w:sz="0" w:space="0" w:color="auto"/>
            <w:right w:val="none" w:sz="0" w:space="0" w:color="auto"/>
          </w:divBdr>
        </w:div>
        <w:div w:id="331684028">
          <w:marLeft w:val="0"/>
          <w:marRight w:val="0"/>
          <w:marTop w:val="0"/>
          <w:marBottom w:val="0"/>
          <w:divBdr>
            <w:top w:val="none" w:sz="0" w:space="0" w:color="auto"/>
            <w:left w:val="none" w:sz="0" w:space="0" w:color="auto"/>
            <w:bottom w:val="none" w:sz="0" w:space="0" w:color="auto"/>
            <w:right w:val="none" w:sz="0" w:space="0" w:color="auto"/>
          </w:divBdr>
        </w:div>
        <w:div w:id="1715808844">
          <w:marLeft w:val="0"/>
          <w:marRight w:val="0"/>
          <w:marTop w:val="0"/>
          <w:marBottom w:val="0"/>
          <w:divBdr>
            <w:top w:val="none" w:sz="0" w:space="0" w:color="auto"/>
            <w:left w:val="none" w:sz="0" w:space="0" w:color="auto"/>
            <w:bottom w:val="none" w:sz="0" w:space="0" w:color="auto"/>
            <w:right w:val="none" w:sz="0" w:space="0" w:color="auto"/>
          </w:divBdr>
        </w:div>
        <w:div w:id="870848824">
          <w:marLeft w:val="0"/>
          <w:marRight w:val="0"/>
          <w:marTop w:val="0"/>
          <w:marBottom w:val="0"/>
          <w:divBdr>
            <w:top w:val="none" w:sz="0" w:space="0" w:color="auto"/>
            <w:left w:val="none" w:sz="0" w:space="0" w:color="auto"/>
            <w:bottom w:val="none" w:sz="0" w:space="0" w:color="auto"/>
            <w:right w:val="none" w:sz="0" w:space="0" w:color="auto"/>
          </w:divBdr>
        </w:div>
        <w:div w:id="67464674">
          <w:marLeft w:val="0"/>
          <w:marRight w:val="0"/>
          <w:marTop w:val="0"/>
          <w:marBottom w:val="0"/>
          <w:divBdr>
            <w:top w:val="none" w:sz="0" w:space="0" w:color="auto"/>
            <w:left w:val="none" w:sz="0" w:space="0" w:color="auto"/>
            <w:bottom w:val="none" w:sz="0" w:space="0" w:color="auto"/>
            <w:right w:val="none" w:sz="0" w:space="0" w:color="auto"/>
          </w:divBdr>
        </w:div>
        <w:div w:id="442769405">
          <w:marLeft w:val="0"/>
          <w:marRight w:val="0"/>
          <w:marTop w:val="0"/>
          <w:marBottom w:val="0"/>
          <w:divBdr>
            <w:top w:val="none" w:sz="0" w:space="0" w:color="auto"/>
            <w:left w:val="none" w:sz="0" w:space="0" w:color="auto"/>
            <w:bottom w:val="none" w:sz="0" w:space="0" w:color="auto"/>
            <w:right w:val="none" w:sz="0" w:space="0" w:color="auto"/>
          </w:divBdr>
        </w:div>
        <w:div w:id="1108507163">
          <w:marLeft w:val="0"/>
          <w:marRight w:val="0"/>
          <w:marTop w:val="0"/>
          <w:marBottom w:val="0"/>
          <w:divBdr>
            <w:top w:val="none" w:sz="0" w:space="0" w:color="auto"/>
            <w:left w:val="none" w:sz="0" w:space="0" w:color="auto"/>
            <w:bottom w:val="none" w:sz="0" w:space="0" w:color="auto"/>
            <w:right w:val="none" w:sz="0" w:space="0" w:color="auto"/>
          </w:divBdr>
        </w:div>
        <w:div w:id="51394507">
          <w:marLeft w:val="0"/>
          <w:marRight w:val="0"/>
          <w:marTop w:val="0"/>
          <w:marBottom w:val="0"/>
          <w:divBdr>
            <w:top w:val="none" w:sz="0" w:space="0" w:color="auto"/>
            <w:left w:val="none" w:sz="0" w:space="0" w:color="auto"/>
            <w:bottom w:val="none" w:sz="0" w:space="0" w:color="auto"/>
            <w:right w:val="none" w:sz="0" w:space="0" w:color="auto"/>
          </w:divBdr>
        </w:div>
        <w:div w:id="2017657025">
          <w:marLeft w:val="0"/>
          <w:marRight w:val="0"/>
          <w:marTop w:val="0"/>
          <w:marBottom w:val="0"/>
          <w:divBdr>
            <w:top w:val="none" w:sz="0" w:space="0" w:color="auto"/>
            <w:left w:val="none" w:sz="0" w:space="0" w:color="auto"/>
            <w:bottom w:val="none" w:sz="0" w:space="0" w:color="auto"/>
            <w:right w:val="none" w:sz="0" w:space="0" w:color="auto"/>
          </w:divBdr>
        </w:div>
        <w:div w:id="1914731674">
          <w:marLeft w:val="0"/>
          <w:marRight w:val="0"/>
          <w:marTop w:val="0"/>
          <w:marBottom w:val="0"/>
          <w:divBdr>
            <w:top w:val="none" w:sz="0" w:space="0" w:color="auto"/>
            <w:left w:val="none" w:sz="0" w:space="0" w:color="auto"/>
            <w:bottom w:val="none" w:sz="0" w:space="0" w:color="auto"/>
            <w:right w:val="none" w:sz="0" w:space="0" w:color="auto"/>
          </w:divBdr>
        </w:div>
        <w:div w:id="1213274851">
          <w:marLeft w:val="0"/>
          <w:marRight w:val="0"/>
          <w:marTop w:val="0"/>
          <w:marBottom w:val="0"/>
          <w:divBdr>
            <w:top w:val="none" w:sz="0" w:space="0" w:color="auto"/>
            <w:left w:val="none" w:sz="0" w:space="0" w:color="auto"/>
            <w:bottom w:val="none" w:sz="0" w:space="0" w:color="auto"/>
            <w:right w:val="none" w:sz="0" w:space="0" w:color="auto"/>
          </w:divBdr>
        </w:div>
        <w:div w:id="43674883">
          <w:marLeft w:val="0"/>
          <w:marRight w:val="0"/>
          <w:marTop w:val="0"/>
          <w:marBottom w:val="0"/>
          <w:divBdr>
            <w:top w:val="none" w:sz="0" w:space="0" w:color="auto"/>
            <w:left w:val="none" w:sz="0" w:space="0" w:color="auto"/>
            <w:bottom w:val="none" w:sz="0" w:space="0" w:color="auto"/>
            <w:right w:val="none" w:sz="0" w:space="0" w:color="auto"/>
          </w:divBdr>
        </w:div>
        <w:div w:id="918753790">
          <w:marLeft w:val="0"/>
          <w:marRight w:val="0"/>
          <w:marTop w:val="0"/>
          <w:marBottom w:val="0"/>
          <w:divBdr>
            <w:top w:val="none" w:sz="0" w:space="0" w:color="auto"/>
            <w:left w:val="none" w:sz="0" w:space="0" w:color="auto"/>
            <w:bottom w:val="none" w:sz="0" w:space="0" w:color="auto"/>
            <w:right w:val="none" w:sz="0" w:space="0" w:color="auto"/>
          </w:divBdr>
        </w:div>
        <w:div w:id="1403600737">
          <w:marLeft w:val="0"/>
          <w:marRight w:val="0"/>
          <w:marTop w:val="0"/>
          <w:marBottom w:val="0"/>
          <w:divBdr>
            <w:top w:val="none" w:sz="0" w:space="0" w:color="auto"/>
            <w:left w:val="none" w:sz="0" w:space="0" w:color="auto"/>
            <w:bottom w:val="none" w:sz="0" w:space="0" w:color="auto"/>
            <w:right w:val="none" w:sz="0" w:space="0" w:color="auto"/>
          </w:divBdr>
        </w:div>
        <w:div w:id="2069961172">
          <w:marLeft w:val="0"/>
          <w:marRight w:val="0"/>
          <w:marTop w:val="0"/>
          <w:marBottom w:val="0"/>
          <w:divBdr>
            <w:top w:val="none" w:sz="0" w:space="0" w:color="auto"/>
            <w:left w:val="none" w:sz="0" w:space="0" w:color="auto"/>
            <w:bottom w:val="none" w:sz="0" w:space="0" w:color="auto"/>
            <w:right w:val="none" w:sz="0" w:space="0" w:color="auto"/>
          </w:divBdr>
        </w:div>
        <w:div w:id="1882866035">
          <w:marLeft w:val="0"/>
          <w:marRight w:val="0"/>
          <w:marTop w:val="0"/>
          <w:marBottom w:val="0"/>
          <w:divBdr>
            <w:top w:val="none" w:sz="0" w:space="0" w:color="auto"/>
            <w:left w:val="none" w:sz="0" w:space="0" w:color="auto"/>
            <w:bottom w:val="none" w:sz="0" w:space="0" w:color="auto"/>
            <w:right w:val="none" w:sz="0" w:space="0" w:color="auto"/>
          </w:divBdr>
        </w:div>
        <w:div w:id="118769696">
          <w:marLeft w:val="0"/>
          <w:marRight w:val="0"/>
          <w:marTop w:val="0"/>
          <w:marBottom w:val="0"/>
          <w:divBdr>
            <w:top w:val="none" w:sz="0" w:space="0" w:color="auto"/>
            <w:left w:val="none" w:sz="0" w:space="0" w:color="auto"/>
            <w:bottom w:val="none" w:sz="0" w:space="0" w:color="auto"/>
            <w:right w:val="none" w:sz="0" w:space="0" w:color="auto"/>
          </w:divBdr>
        </w:div>
        <w:div w:id="466238229">
          <w:marLeft w:val="0"/>
          <w:marRight w:val="0"/>
          <w:marTop w:val="0"/>
          <w:marBottom w:val="0"/>
          <w:divBdr>
            <w:top w:val="none" w:sz="0" w:space="0" w:color="auto"/>
            <w:left w:val="none" w:sz="0" w:space="0" w:color="auto"/>
            <w:bottom w:val="none" w:sz="0" w:space="0" w:color="auto"/>
            <w:right w:val="none" w:sz="0" w:space="0" w:color="auto"/>
          </w:divBdr>
        </w:div>
        <w:div w:id="589195598">
          <w:marLeft w:val="0"/>
          <w:marRight w:val="0"/>
          <w:marTop w:val="0"/>
          <w:marBottom w:val="0"/>
          <w:divBdr>
            <w:top w:val="none" w:sz="0" w:space="0" w:color="auto"/>
            <w:left w:val="none" w:sz="0" w:space="0" w:color="auto"/>
            <w:bottom w:val="none" w:sz="0" w:space="0" w:color="auto"/>
            <w:right w:val="none" w:sz="0" w:space="0" w:color="auto"/>
          </w:divBdr>
        </w:div>
        <w:div w:id="264463228">
          <w:marLeft w:val="0"/>
          <w:marRight w:val="0"/>
          <w:marTop w:val="0"/>
          <w:marBottom w:val="0"/>
          <w:divBdr>
            <w:top w:val="none" w:sz="0" w:space="0" w:color="auto"/>
            <w:left w:val="none" w:sz="0" w:space="0" w:color="auto"/>
            <w:bottom w:val="none" w:sz="0" w:space="0" w:color="auto"/>
            <w:right w:val="none" w:sz="0" w:space="0" w:color="auto"/>
          </w:divBdr>
        </w:div>
        <w:div w:id="901789345">
          <w:marLeft w:val="0"/>
          <w:marRight w:val="0"/>
          <w:marTop w:val="0"/>
          <w:marBottom w:val="0"/>
          <w:divBdr>
            <w:top w:val="none" w:sz="0" w:space="0" w:color="auto"/>
            <w:left w:val="none" w:sz="0" w:space="0" w:color="auto"/>
            <w:bottom w:val="none" w:sz="0" w:space="0" w:color="auto"/>
            <w:right w:val="none" w:sz="0" w:space="0" w:color="auto"/>
          </w:divBdr>
        </w:div>
        <w:div w:id="1159422970">
          <w:marLeft w:val="0"/>
          <w:marRight w:val="0"/>
          <w:marTop w:val="0"/>
          <w:marBottom w:val="0"/>
          <w:divBdr>
            <w:top w:val="none" w:sz="0" w:space="0" w:color="auto"/>
            <w:left w:val="none" w:sz="0" w:space="0" w:color="auto"/>
            <w:bottom w:val="none" w:sz="0" w:space="0" w:color="auto"/>
            <w:right w:val="none" w:sz="0" w:space="0" w:color="auto"/>
          </w:divBdr>
        </w:div>
        <w:div w:id="187106605">
          <w:marLeft w:val="0"/>
          <w:marRight w:val="0"/>
          <w:marTop w:val="0"/>
          <w:marBottom w:val="0"/>
          <w:divBdr>
            <w:top w:val="none" w:sz="0" w:space="0" w:color="auto"/>
            <w:left w:val="none" w:sz="0" w:space="0" w:color="auto"/>
            <w:bottom w:val="none" w:sz="0" w:space="0" w:color="auto"/>
            <w:right w:val="none" w:sz="0" w:space="0" w:color="auto"/>
          </w:divBdr>
        </w:div>
        <w:div w:id="247157475">
          <w:marLeft w:val="0"/>
          <w:marRight w:val="0"/>
          <w:marTop w:val="0"/>
          <w:marBottom w:val="0"/>
          <w:divBdr>
            <w:top w:val="none" w:sz="0" w:space="0" w:color="auto"/>
            <w:left w:val="none" w:sz="0" w:space="0" w:color="auto"/>
            <w:bottom w:val="none" w:sz="0" w:space="0" w:color="auto"/>
            <w:right w:val="none" w:sz="0" w:space="0" w:color="auto"/>
          </w:divBdr>
        </w:div>
        <w:div w:id="1662344642">
          <w:marLeft w:val="0"/>
          <w:marRight w:val="0"/>
          <w:marTop w:val="0"/>
          <w:marBottom w:val="0"/>
          <w:divBdr>
            <w:top w:val="none" w:sz="0" w:space="0" w:color="auto"/>
            <w:left w:val="none" w:sz="0" w:space="0" w:color="auto"/>
            <w:bottom w:val="none" w:sz="0" w:space="0" w:color="auto"/>
            <w:right w:val="none" w:sz="0" w:space="0" w:color="auto"/>
          </w:divBdr>
        </w:div>
        <w:div w:id="236205841">
          <w:marLeft w:val="0"/>
          <w:marRight w:val="0"/>
          <w:marTop w:val="0"/>
          <w:marBottom w:val="0"/>
          <w:divBdr>
            <w:top w:val="none" w:sz="0" w:space="0" w:color="auto"/>
            <w:left w:val="none" w:sz="0" w:space="0" w:color="auto"/>
            <w:bottom w:val="none" w:sz="0" w:space="0" w:color="auto"/>
            <w:right w:val="none" w:sz="0" w:space="0" w:color="auto"/>
          </w:divBdr>
        </w:div>
        <w:div w:id="595746052">
          <w:marLeft w:val="0"/>
          <w:marRight w:val="0"/>
          <w:marTop w:val="0"/>
          <w:marBottom w:val="0"/>
          <w:divBdr>
            <w:top w:val="none" w:sz="0" w:space="0" w:color="auto"/>
            <w:left w:val="none" w:sz="0" w:space="0" w:color="auto"/>
            <w:bottom w:val="none" w:sz="0" w:space="0" w:color="auto"/>
            <w:right w:val="none" w:sz="0" w:space="0" w:color="auto"/>
          </w:divBdr>
        </w:div>
        <w:div w:id="137261131">
          <w:marLeft w:val="0"/>
          <w:marRight w:val="0"/>
          <w:marTop w:val="0"/>
          <w:marBottom w:val="0"/>
          <w:divBdr>
            <w:top w:val="none" w:sz="0" w:space="0" w:color="auto"/>
            <w:left w:val="none" w:sz="0" w:space="0" w:color="auto"/>
            <w:bottom w:val="none" w:sz="0" w:space="0" w:color="auto"/>
            <w:right w:val="none" w:sz="0" w:space="0" w:color="auto"/>
          </w:divBdr>
        </w:div>
        <w:div w:id="354037366">
          <w:marLeft w:val="0"/>
          <w:marRight w:val="0"/>
          <w:marTop w:val="0"/>
          <w:marBottom w:val="0"/>
          <w:divBdr>
            <w:top w:val="none" w:sz="0" w:space="0" w:color="auto"/>
            <w:left w:val="none" w:sz="0" w:space="0" w:color="auto"/>
            <w:bottom w:val="none" w:sz="0" w:space="0" w:color="auto"/>
            <w:right w:val="none" w:sz="0" w:space="0" w:color="auto"/>
          </w:divBdr>
        </w:div>
        <w:div w:id="138420332">
          <w:marLeft w:val="0"/>
          <w:marRight w:val="0"/>
          <w:marTop w:val="0"/>
          <w:marBottom w:val="0"/>
          <w:divBdr>
            <w:top w:val="none" w:sz="0" w:space="0" w:color="auto"/>
            <w:left w:val="none" w:sz="0" w:space="0" w:color="auto"/>
            <w:bottom w:val="none" w:sz="0" w:space="0" w:color="auto"/>
            <w:right w:val="none" w:sz="0" w:space="0" w:color="auto"/>
          </w:divBdr>
        </w:div>
        <w:div w:id="1728068309">
          <w:marLeft w:val="0"/>
          <w:marRight w:val="0"/>
          <w:marTop w:val="0"/>
          <w:marBottom w:val="0"/>
          <w:divBdr>
            <w:top w:val="none" w:sz="0" w:space="0" w:color="auto"/>
            <w:left w:val="none" w:sz="0" w:space="0" w:color="auto"/>
            <w:bottom w:val="none" w:sz="0" w:space="0" w:color="auto"/>
            <w:right w:val="none" w:sz="0" w:space="0" w:color="auto"/>
          </w:divBdr>
        </w:div>
        <w:div w:id="200900257">
          <w:marLeft w:val="0"/>
          <w:marRight w:val="0"/>
          <w:marTop w:val="0"/>
          <w:marBottom w:val="0"/>
          <w:divBdr>
            <w:top w:val="none" w:sz="0" w:space="0" w:color="auto"/>
            <w:left w:val="none" w:sz="0" w:space="0" w:color="auto"/>
            <w:bottom w:val="none" w:sz="0" w:space="0" w:color="auto"/>
            <w:right w:val="none" w:sz="0" w:space="0" w:color="auto"/>
          </w:divBdr>
        </w:div>
        <w:div w:id="367920863">
          <w:marLeft w:val="0"/>
          <w:marRight w:val="0"/>
          <w:marTop w:val="0"/>
          <w:marBottom w:val="0"/>
          <w:divBdr>
            <w:top w:val="none" w:sz="0" w:space="0" w:color="auto"/>
            <w:left w:val="none" w:sz="0" w:space="0" w:color="auto"/>
            <w:bottom w:val="none" w:sz="0" w:space="0" w:color="auto"/>
            <w:right w:val="none" w:sz="0" w:space="0" w:color="auto"/>
          </w:divBdr>
        </w:div>
        <w:div w:id="768164613">
          <w:marLeft w:val="0"/>
          <w:marRight w:val="0"/>
          <w:marTop w:val="0"/>
          <w:marBottom w:val="0"/>
          <w:divBdr>
            <w:top w:val="none" w:sz="0" w:space="0" w:color="auto"/>
            <w:left w:val="none" w:sz="0" w:space="0" w:color="auto"/>
            <w:bottom w:val="none" w:sz="0" w:space="0" w:color="auto"/>
            <w:right w:val="none" w:sz="0" w:space="0" w:color="auto"/>
          </w:divBdr>
        </w:div>
        <w:div w:id="1000737333">
          <w:marLeft w:val="0"/>
          <w:marRight w:val="0"/>
          <w:marTop w:val="0"/>
          <w:marBottom w:val="0"/>
          <w:divBdr>
            <w:top w:val="none" w:sz="0" w:space="0" w:color="auto"/>
            <w:left w:val="none" w:sz="0" w:space="0" w:color="auto"/>
            <w:bottom w:val="none" w:sz="0" w:space="0" w:color="auto"/>
            <w:right w:val="none" w:sz="0" w:space="0" w:color="auto"/>
          </w:divBdr>
        </w:div>
        <w:div w:id="237979478">
          <w:marLeft w:val="0"/>
          <w:marRight w:val="0"/>
          <w:marTop w:val="0"/>
          <w:marBottom w:val="0"/>
          <w:divBdr>
            <w:top w:val="none" w:sz="0" w:space="0" w:color="auto"/>
            <w:left w:val="none" w:sz="0" w:space="0" w:color="auto"/>
            <w:bottom w:val="none" w:sz="0" w:space="0" w:color="auto"/>
            <w:right w:val="none" w:sz="0" w:space="0" w:color="auto"/>
          </w:divBdr>
        </w:div>
        <w:div w:id="967734492">
          <w:marLeft w:val="0"/>
          <w:marRight w:val="0"/>
          <w:marTop w:val="0"/>
          <w:marBottom w:val="0"/>
          <w:divBdr>
            <w:top w:val="none" w:sz="0" w:space="0" w:color="auto"/>
            <w:left w:val="none" w:sz="0" w:space="0" w:color="auto"/>
            <w:bottom w:val="none" w:sz="0" w:space="0" w:color="auto"/>
            <w:right w:val="none" w:sz="0" w:space="0" w:color="auto"/>
          </w:divBdr>
        </w:div>
        <w:div w:id="921908915">
          <w:marLeft w:val="0"/>
          <w:marRight w:val="0"/>
          <w:marTop w:val="0"/>
          <w:marBottom w:val="0"/>
          <w:divBdr>
            <w:top w:val="none" w:sz="0" w:space="0" w:color="auto"/>
            <w:left w:val="none" w:sz="0" w:space="0" w:color="auto"/>
            <w:bottom w:val="none" w:sz="0" w:space="0" w:color="auto"/>
            <w:right w:val="none" w:sz="0" w:space="0" w:color="auto"/>
          </w:divBdr>
        </w:div>
        <w:div w:id="346030134">
          <w:marLeft w:val="0"/>
          <w:marRight w:val="0"/>
          <w:marTop w:val="0"/>
          <w:marBottom w:val="0"/>
          <w:divBdr>
            <w:top w:val="none" w:sz="0" w:space="0" w:color="auto"/>
            <w:left w:val="none" w:sz="0" w:space="0" w:color="auto"/>
            <w:bottom w:val="none" w:sz="0" w:space="0" w:color="auto"/>
            <w:right w:val="none" w:sz="0" w:space="0" w:color="auto"/>
          </w:divBdr>
        </w:div>
        <w:div w:id="209071616">
          <w:marLeft w:val="0"/>
          <w:marRight w:val="0"/>
          <w:marTop w:val="0"/>
          <w:marBottom w:val="0"/>
          <w:divBdr>
            <w:top w:val="none" w:sz="0" w:space="0" w:color="auto"/>
            <w:left w:val="none" w:sz="0" w:space="0" w:color="auto"/>
            <w:bottom w:val="none" w:sz="0" w:space="0" w:color="auto"/>
            <w:right w:val="none" w:sz="0" w:space="0" w:color="auto"/>
          </w:divBdr>
        </w:div>
        <w:div w:id="1092356348">
          <w:marLeft w:val="0"/>
          <w:marRight w:val="0"/>
          <w:marTop w:val="0"/>
          <w:marBottom w:val="0"/>
          <w:divBdr>
            <w:top w:val="none" w:sz="0" w:space="0" w:color="auto"/>
            <w:left w:val="none" w:sz="0" w:space="0" w:color="auto"/>
            <w:bottom w:val="none" w:sz="0" w:space="0" w:color="auto"/>
            <w:right w:val="none" w:sz="0" w:space="0" w:color="auto"/>
          </w:divBdr>
        </w:div>
        <w:div w:id="1043750313">
          <w:marLeft w:val="0"/>
          <w:marRight w:val="0"/>
          <w:marTop w:val="0"/>
          <w:marBottom w:val="0"/>
          <w:divBdr>
            <w:top w:val="none" w:sz="0" w:space="0" w:color="auto"/>
            <w:left w:val="none" w:sz="0" w:space="0" w:color="auto"/>
            <w:bottom w:val="none" w:sz="0" w:space="0" w:color="auto"/>
            <w:right w:val="none" w:sz="0" w:space="0" w:color="auto"/>
          </w:divBdr>
        </w:div>
        <w:div w:id="1113936483">
          <w:marLeft w:val="0"/>
          <w:marRight w:val="0"/>
          <w:marTop w:val="0"/>
          <w:marBottom w:val="0"/>
          <w:divBdr>
            <w:top w:val="none" w:sz="0" w:space="0" w:color="auto"/>
            <w:left w:val="none" w:sz="0" w:space="0" w:color="auto"/>
            <w:bottom w:val="none" w:sz="0" w:space="0" w:color="auto"/>
            <w:right w:val="none" w:sz="0" w:space="0" w:color="auto"/>
          </w:divBdr>
        </w:div>
        <w:div w:id="876940265">
          <w:marLeft w:val="0"/>
          <w:marRight w:val="0"/>
          <w:marTop w:val="0"/>
          <w:marBottom w:val="0"/>
          <w:divBdr>
            <w:top w:val="none" w:sz="0" w:space="0" w:color="auto"/>
            <w:left w:val="none" w:sz="0" w:space="0" w:color="auto"/>
            <w:bottom w:val="none" w:sz="0" w:space="0" w:color="auto"/>
            <w:right w:val="none" w:sz="0" w:space="0" w:color="auto"/>
          </w:divBdr>
        </w:div>
        <w:div w:id="1654488539">
          <w:marLeft w:val="0"/>
          <w:marRight w:val="0"/>
          <w:marTop w:val="0"/>
          <w:marBottom w:val="0"/>
          <w:divBdr>
            <w:top w:val="none" w:sz="0" w:space="0" w:color="auto"/>
            <w:left w:val="none" w:sz="0" w:space="0" w:color="auto"/>
            <w:bottom w:val="none" w:sz="0" w:space="0" w:color="auto"/>
            <w:right w:val="none" w:sz="0" w:space="0" w:color="auto"/>
          </w:divBdr>
        </w:div>
        <w:div w:id="1975482416">
          <w:marLeft w:val="0"/>
          <w:marRight w:val="0"/>
          <w:marTop w:val="0"/>
          <w:marBottom w:val="0"/>
          <w:divBdr>
            <w:top w:val="none" w:sz="0" w:space="0" w:color="auto"/>
            <w:left w:val="none" w:sz="0" w:space="0" w:color="auto"/>
            <w:bottom w:val="none" w:sz="0" w:space="0" w:color="auto"/>
            <w:right w:val="none" w:sz="0" w:space="0" w:color="auto"/>
          </w:divBdr>
        </w:div>
        <w:div w:id="15810177">
          <w:marLeft w:val="0"/>
          <w:marRight w:val="0"/>
          <w:marTop w:val="0"/>
          <w:marBottom w:val="0"/>
          <w:divBdr>
            <w:top w:val="none" w:sz="0" w:space="0" w:color="auto"/>
            <w:left w:val="none" w:sz="0" w:space="0" w:color="auto"/>
            <w:bottom w:val="none" w:sz="0" w:space="0" w:color="auto"/>
            <w:right w:val="none" w:sz="0" w:space="0" w:color="auto"/>
          </w:divBdr>
        </w:div>
        <w:div w:id="2105420441">
          <w:marLeft w:val="0"/>
          <w:marRight w:val="0"/>
          <w:marTop w:val="0"/>
          <w:marBottom w:val="0"/>
          <w:divBdr>
            <w:top w:val="none" w:sz="0" w:space="0" w:color="auto"/>
            <w:left w:val="none" w:sz="0" w:space="0" w:color="auto"/>
            <w:bottom w:val="none" w:sz="0" w:space="0" w:color="auto"/>
            <w:right w:val="none" w:sz="0" w:space="0" w:color="auto"/>
          </w:divBdr>
        </w:div>
        <w:div w:id="1417826501">
          <w:marLeft w:val="0"/>
          <w:marRight w:val="0"/>
          <w:marTop w:val="0"/>
          <w:marBottom w:val="0"/>
          <w:divBdr>
            <w:top w:val="none" w:sz="0" w:space="0" w:color="auto"/>
            <w:left w:val="none" w:sz="0" w:space="0" w:color="auto"/>
            <w:bottom w:val="none" w:sz="0" w:space="0" w:color="auto"/>
            <w:right w:val="none" w:sz="0" w:space="0" w:color="auto"/>
          </w:divBdr>
        </w:div>
        <w:div w:id="715932911">
          <w:marLeft w:val="0"/>
          <w:marRight w:val="0"/>
          <w:marTop w:val="0"/>
          <w:marBottom w:val="0"/>
          <w:divBdr>
            <w:top w:val="none" w:sz="0" w:space="0" w:color="auto"/>
            <w:left w:val="none" w:sz="0" w:space="0" w:color="auto"/>
            <w:bottom w:val="none" w:sz="0" w:space="0" w:color="auto"/>
            <w:right w:val="none" w:sz="0" w:space="0" w:color="auto"/>
          </w:divBdr>
        </w:div>
        <w:div w:id="422191824">
          <w:marLeft w:val="0"/>
          <w:marRight w:val="0"/>
          <w:marTop w:val="0"/>
          <w:marBottom w:val="0"/>
          <w:divBdr>
            <w:top w:val="none" w:sz="0" w:space="0" w:color="auto"/>
            <w:left w:val="none" w:sz="0" w:space="0" w:color="auto"/>
            <w:bottom w:val="none" w:sz="0" w:space="0" w:color="auto"/>
            <w:right w:val="none" w:sz="0" w:space="0" w:color="auto"/>
          </w:divBdr>
        </w:div>
        <w:div w:id="286857271">
          <w:marLeft w:val="0"/>
          <w:marRight w:val="0"/>
          <w:marTop w:val="0"/>
          <w:marBottom w:val="0"/>
          <w:divBdr>
            <w:top w:val="none" w:sz="0" w:space="0" w:color="auto"/>
            <w:left w:val="none" w:sz="0" w:space="0" w:color="auto"/>
            <w:bottom w:val="none" w:sz="0" w:space="0" w:color="auto"/>
            <w:right w:val="none" w:sz="0" w:space="0" w:color="auto"/>
          </w:divBdr>
        </w:div>
        <w:div w:id="123424435">
          <w:marLeft w:val="0"/>
          <w:marRight w:val="0"/>
          <w:marTop w:val="0"/>
          <w:marBottom w:val="0"/>
          <w:divBdr>
            <w:top w:val="none" w:sz="0" w:space="0" w:color="auto"/>
            <w:left w:val="none" w:sz="0" w:space="0" w:color="auto"/>
            <w:bottom w:val="none" w:sz="0" w:space="0" w:color="auto"/>
            <w:right w:val="none" w:sz="0" w:space="0" w:color="auto"/>
          </w:divBdr>
        </w:div>
        <w:div w:id="918056943">
          <w:marLeft w:val="0"/>
          <w:marRight w:val="0"/>
          <w:marTop w:val="0"/>
          <w:marBottom w:val="0"/>
          <w:divBdr>
            <w:top w:val="none" w:sz="0" w:space="0" w:color="auto"/>
            <w:left w:val="none" w:sz="0" w:space="0" w:color="auto"/>
            <w:bottom w:val="none" w:sz="0" w:space="0" w:color="auto"/>
            <w:right w:val="none" w:sz="0" w:space="0" w:color="auto"/>
          </w:divBdr>
        </w:div>
        <w:div w:id="1470199504">
          <w:marLeft w:val="0"/>
          <w:marRight w:val="0"/>
          <w:marTop w:val="0"/>
          <w:marBottom w:val="0"/>
          <w:divBdr>
            <w:top w:val="none" w:sz="0" w:space="0" w:color="auto"/>
            <w:left w:val="none" w:sz="0" w:space="0" w:color="auto"/>
            <w:bottom w:val="none" w:sz="0" w:space="0" w:color="auto"/>
            <w:right w:val="none" w:sz="0" w:space="0" w:color="auto"/>
          </w:divBdr>
        </w:div>
        <w:div w:id="632827353">
          <w:marLeft w:val="0"/>
          <w:marRight w:val="0"/>
          <w:marTop w:val="0"/>
          <w:marBottom w:val="0"/>
          <w:divBdr>
            <w:top w:val="none" w:sz="0" w:space="0" w:color="auto"/>
            <w:left w:val="none" w:sz="0" w:space="0" w:color="auto"/>
            <w:bottom w:val="none" w:sz="0" w:space="0" w:color="auto"/>
            <w:right w:val="none" w:sz="0" w:space="0" w:color="auto"/>
          </w:divBdr>
        </w:div>
        <w:div w:id="2098137374">
          <w:marLeft w:val="0"/>
          <w:marRight w:val="0"/>
          <w:marTop w:val="0"/>
          <w:marBottom w:val="0"/>
          <w:divBdr>
            <w:top w:val="none" w:sz="0" w:space="0" w:color="auto"/>
            <w:left w:val="none" w:sz="0" w:space="0" w:color="auto"/>
            <w:bottom w:val="none" w:sz="0" w:space="0" w:color="auto"/>
            <w:right w:val="none" w:sz="0" w:space="0" w:color="auto"/>
          </w:divBdr>
        </w:div>
        <w:div w:id="1281956323">
          <w:marLeft w:val="0"/>
          <w:marRight w:val="0"/>
          <w:marTop w:val="0"/>
          <w:marBottom w:val="0"/>
          <w:divBdr>
            <w:top w:val="none" w:sz="0" w:space="0" w:color="auto"/>
            <w:left w:val="none" w:sz="0" w:space="0" w:color="auto"/>
            <w:bottom w:val="none" w:sz="0" w:space="0" w:color="auto"/>
            <w:right w:val="none" w:sz="0" w:space="0" w:color="auto"/>
          </w:divBdr>
        </w:div>
        <w:div w:id="1007095079">
          <w:marLeft w:val="0"/>
          <w:marRight w:val="0"/>
          <w:marTop w:val="0"/>
          <w:marBottom w:val="0"/>
          <w:divBdr>
            <w:top w:val="none" w:sz="0" w:space="0" w:color="auto"/>
            <w:left w:val="none" w:sz="0" w:space="0" w:color="auto"/>
            <w:bottom w:val="none" w:sz="0" w:space="0" w:color="auto"/>
            <w:right w:val="none" w:sz="0" w:space="0" w:color="auto"/>
          </w:divBdr>
        </w:div>
        <w:div w:id="660738846">
          <w:marLeft w:val="0"/>
          <w:marRight w:val="0"/>
          <w:marTop w:val="0"/>
          <w:marBottom w:val="0"/>
          <w:divBdr>
            <w:top w:val="none" w:sz="0" w:space="0" w:color="auto"/>
            <w:left w:val="none" w:sz="0" w:space="0" w:color="auto"/>
            <w:bottom w:val="none" w:sz="0" w:space="0" w:color="auto"/>
            <w:right w:val="none" w:sz="0" w:space="0" w:color="auto"/>
          </w:divBdr>
        </w:div>
        <w:div w:id="1725372908">
          <w:marLeft w:val="0"/>
          <w:marRight w:val="0"/>
          <w:marTop w:val="0"/>
          <w:marBottom w:val="0"/>
          <w:divBdr>
            <w:top w:val="none" w:sz="0" w:space="0" w:color="auto"/>
            <w:left w:val="none" w:sz="0" w:space="0" w:color="auto"/>
            <w:bottom w:val="none" w:sz="0" w:space="0" w:color="auto"/>
            <w:right w:val="none" w:sz="0" w:space="0" w:color="auto"/>
          </w:divBdr>
        </w:div>
        <w:div w:id="2128740881">
          <w:marLeft w:val="0"/>
          <w:marRight w:val="0"/>
          <w:marTop w:val="0"/>
          <w:marBottom w:val="0"/>
          <w:divBdr>
            <w:top w:val="none" w:sz="0" w:space="0" w:color="auto"/>
            <w:left w:val="none" w:sz="0" w:space="0" w:color="auto"/>
            <w:bottom w:val="none" w:sz="0" w:space="0" w:color="auto"/>
            <w:right w:val="none" w:sz="0" w:space="0" w:color="auto"/>
          </w:divBdr>
        </w:div>
        <w:div w:id="1003363713">
          <w:marLeft w:val="0"/>
          <w:marRight w:val="0"/>
          <w:marTop w:val="0"/>
          <w:marBottom w:val="0"/>
          <w:divBdr>
            <w:top w:val="none" w:sz="0" w:space="0" w:color="auto"/>
            <w:left w:val="none" w:sz="0" w:space="0" w:color="auto"/>
            <w:bottom w:val="none" w:sz="0" w:space="0" w:color="auto"/>
            <w:right w:val="none" w:sz="0" w:space="0" w:color="auto"/>
          </w:divBdr>
        </w:div>
        <w:div w:id="1887445454">
          <w:marLeft w:val="0"/>
          <w:marRight w:val="0"/>
          <w:marTop w:val="0"/>
          <w:marBottom w:val="0"/>
          <w:divBdr>
            <w:top w:val="none" w:sz="0" w:space="0" w:color="auto"/>
            <w:left w:val="none" w:sz="0" w:space="0" w:color="auto"/>
            <w:bottom w:val="none" w:sz="0" w:space="0" w:color="auto"/>
            <w:right w:val="none" w:sz="0" w:space="0" w:color="auto"/>
          </w:divBdr>
        </w:div>
        <w:div w:id="1653945625">
          <w:marLeft w:val="0"/>
          <w:marRight w:val="0"/>
          <w:marTop w:val="0"/>
          <w:marBottom w:val="0"/>
          <w:divBdr>
            <w:top w:val="none" w:sz="0" w:space="0" w:color="auto"/>
            <w:left w:val="none" w:sz="0" w:space="0" w:color="auto"/>
            <w:bottom w:val="none" w:sz="0" w:space="0" w:color="auto"/>
            <w:right w:val="none" w:sz="0" w:space="0" w:color="auto"/>
          </w:divBdr>
        </w:div>
        <w:div w:id="365523606">
          <w:marLeft w:val="0"/>
          <w:marRight w:val="0"/>
          <w:marTop w:val="0"/>
          <w:marBottom w:val="0"/>
          <w:divBdr>
            <w:top w:val="none" w:sz="0" w:space="0" w:color="auto"/>
            <w:left w:val="none" w:sz="0" w:space="0" w:color="auto"/>
            <w:bottom w:val="none" w:sz="0" w:space="0" w:color="auto"/>
            <w:right w:val="none" w:sz="0" w:space="0" w:color="auto"/>
          </w:divBdr>
        </w:div>
        <w:div w:id="437915963">
          <w:marLeft w:val="0"/>
          <w:marRight w:val="0"/>
          <w:marTop w:val="0"/>
          <w:marBottom w:val="0"/>
          <w:divBdr>
            <w:top w:val="none" w:sz="0" w:space="0" w:color="auto"/>
            <w:left w:val="none" w:sz="0" w:space="0" w:color="auto"/>
            <w:bottom w:val="none" w:sz="0" w:space="0" w:color="auto"/>
            <w:right w:val="none" w:sz="0" w:space="0" w:color="auto"/>
          </w:divBdr>
        </w:div>
        <w:div w:id="5832719">
          <w:marLeft w:val="0"/>
          <w:marRight w:val="0"/>
          <w:marTop w:val="0"/>
          <w:marBottom w:val="0"/>
          <w:divBdr>
            <w:top w:val="none" w:sz="0" w:space="0" w:color="auto"/>
            <w:left w:val="none" w:sz="0" w:space="0" w:color="auto"/>
            <w:bottom w:val="none" w:sz="0" w:space="0" w:color="auto"/>
            <w:right w:val="none" w:sz="0" w:space="0" w:color="auto"/>
          </w:divBdr>
        </w:div>
        <w:div w:id="1509444830">
          <w:marLeft w:val="0"/>
          <w:marRight w:val="0"/>
          <w:marTop w:val="0"/>
          <w:marBottom w:val="0"/>
          <w:divBdr>
            <w:top w:val="none" w:sz="0" w:space="0" w:color="auto"/>
            <w:left w:val="none" w:sz="0" w:space="0" w:color="auto"/>
            <w:bottom w:val="none" w:sz="0" w:space="0" w:color="auto"/>
            <w:right w:val="none" w:sz="0" w:space="0" w:color="auto"/>
          </w:divBdr>
        </w:div>
        <w:div w:id="2073574203">
          <w:marLeft w:val="0"/>
          <w:marRight w:val="0"/>
          <w:marTop w:val="0"/>
          <w:marBottom w:val="0"/>
          <w:divBdr>
            <w:top w:val="none" w:sz="0" w:space="0" w:color="auto"/>
            <w:left w:val="none" w:sz="0" w:space="0" w:color="auto"/>
            <w:bottom w:val="none" w:sz="0" w:space="0" w:color="auto"/>
            <w:right w:val="none" w:sz="0" w:space="0" w:color="auto"/>
          </w:divBdr>
        </w:div>
        <w:div w:id="1363172294">
          <w:marLeft w:val="0"/>
          <w:marRight w:val="0"/>
          <w:marTop w:val="0"/>
          <w:marBottom w:val="0"/>
          <w:divBdr>
            <w:top w:val="none" w:sz="0" w:space="0" w:color="auto"/>
            <w:left w:val="none" w:sz="0" w:space="0" w:color="auto"/>
            <w:bottom w:val="none" w:sz="0" w:space="0" w:color="auto"/>
            <w:right w:val="none" w:sz="0" w:space="0" w:color="auto"/>
          </w:divBdr>
        </w:div>
        <w:div w:id="1525317607">
          <w:marLeft w:val="0"/>
          <w:marRight w:val="0"/>
          <w:marTop w:val="0"/>
          <w:marBottom w:val="0"/>
          <w:divBdr>
            <w:top w:val="none" w:sz="0" w:space="0" w:color="auto"/>
            <w:left w:val="none" w:sz="0" w:space="0" w:color="auto"/>
            <w:bottom w:val="none" w:sz="0" w:space="0" w:color="auto"/>
            <w:right w:val="none" w:sz="0" w:space="0" w:color="auto"/>
          </w:divBdr>
        </w:div>
        <w:div w:id="2127308996">
          <w:marLeft w:val="0"/>
          <w:marRight w:val="0"/>
          <w:marTop w:val="0"/>
          <w:marBottom w:val="0"/>
          <w:divBdr>
            <w:top w:val="none" w:sz="0" w:space="0" w:color="auto"/>
            <w:left w:val="none" w:sz="0" w:space="0" w:color="auto"/>
            <w:bottom w:val="none" w:sz="0" w:space="0" w:color="auto"/>
            <w:right w:val="none" w:sz="0" w:space="0" w:color="auto"/>
          </w:divBdr>
        </w:div>
        <w:div w:id="2009670921">
          <w:marLeft w:val="0"/>
          <w:marRight w:val="0"/>
          <w:marTop w:val="0"/>
          <w:marBottom w:val="0"/>
          <w:divBdr>
            <w:top w:val="none" w:sz="0" w:space="0" w:color="auto"/>
            <w:left w:val="none" w:sz="0" w:space="0" w:color="auto"/>
            <w:bottom w:val="none" w:sz="0" w:space="0" w:color="auto"/>
            <w:right w:val="none" w:sz="0" w:space="0" w:color="auto"/>
          </w:divBdr>
        </w:div>
        <w:div w:id="1456826038">
          <w:marLeft w:val="0"/>
          <w:marRight w:val="0"/>
          <w:marTop w:val="0"/>
          <w:marBottom w:val="0"/>
          <w:divBdr>
            <w:top w:val="none" w:sz="0" w:space="0" w:color="auto"/>
            <w:left w:val="none" w:sz="0" w:space="0" w:color="auto"/>
            <w:bottom w:val="none" w:sz="0" w:space="0" w:color="auto"/>
            <w:right w:val="none" w:sz="0" w:space="0" w:color="auto"/>
          </w:divBdr>
        </w:div>
        <w:div w:id="224146013">
          <w:marLeft w:val="0"/>
          <w:marRight w:val="0"/>
          <w:marTop w:val="0"/>
          <w:marBottom w:val="0"/>
          <w:divBdr>
            <w:top w:val="none" w:sz="0" w:space="0" w:color="auto"/>
            <w:left w:val="none" w:sz="0" w:space="0" w:color="auto"/>
            <w:bottom w:val="none" w:sz="0" w:space="0" w:color="auto"/>
            <w:right w:val="none" w:sz="0" w:space="0" w:color="auto"/>
          </w:divBdr>
        </w:div>
        <w:div w:id="1018431289">
          <w:marLeft w:val="0"/>
          <w:marRight w:val="0"/>
          <w:marTop w:val="0"/>
          <w:marBottom w:val="0"/>
          <w:divBdr>
            <w:top w:val="none" w:sz="0" w:space="0" w:color="auto"/>
            <w:left w:val="none" w:sz="0" w:space="0" w:color="auto"/>
            <w:bottom w:val="none" w:sz="0" w:space="0" w:color="auto"/>
            <w:right w:val="none" w:sz="0" w:space="0" w:color="auto"/>
          </w:divBdr>
        </w:div>
        <w:div w:id="311907782">
          <w:marLeft w:val="0"/>
          <w:marRight w:val="0"/>
          <w:marTop w:val="0"/>
          <w:marBottom w:val="0"/>
          <w:divBdr>
            <w:top w:val="none" w:sz="0" w:space="0" w:color="auto"/>
            <w:left w:val="none" w:sz="0" w:space="0" w:color="auto"/>
            <w:bottom w:val="none" w:sz="0" w:space="0" w:color="auto"/>
            <w:right w:val="none" w:sz="0" w:space="0" w:color="auto"/>
          </w:divBdr>
        </w:div>
        <w:div w:id="677730307">
          <w:marLeft w:val="0"/>
          <w:marRight w:val="0"/>
          <w:marTop w:val="0"/>
          <w:marBottom w:val="0"/>
          <w:divBdr>
            <w:top w:val="none" w:sz="0" w:space="0" w:color="auto"/>
            <w:left w:val="none" w:sz="0" w:space="0" w:color="auto"/>
            <w:bottom w:val="none" w:sz="0" w:space="0" w:color="auto"/>
            <w:right w:val="none" w:sz="0" w:space="0" w:color="auto"/>
          </w:divBdr>
        </w:div>
        <w:div w:id="2144535724">
          <w:marLeft w:val="0"/>
          <w:marRight w:val="0"/>
          <w:marTop w:val="0"/>
          <w:marBottom w:val="0"/>
          <w:divBdr>
            <w:top w:val="none" w:sz="0" w:space="0" w:color="auto"/>
            <w:left w:val="none" w:sz="0" w:space="0" w:color="auto"/>
            <w:bottom w:val="none" w:sz="0" w:space="0" w:color="auto"/>
            <w:right w:val="none" w:sz="0" w:space="0" w:color="auto"/>
          </w:divBdr>
        </w:div>
        <w:div w:id="1112633549">
          <w:marLeft w:val="0"/>
          <w:marRight w:val="0"/>
          <w:marTop w:val="0"/>
          <w:marBottom w:val="0"/>
          <w:divBdr>
            <w:top w:val="none" w:sz="0" w:space="0" w:color="auto"/>
            <w:left w:val="none" w:sz="0" w:space="0" w:color="auto"/>
            <w:bottom w:val="none" w:sz="0" w:space="0" w:color="auto"/>
            <w:right w:val="none" w:sz="0" w:space="0" w:color="auto"/>
          </w:divBdr>
        </w:div>
        <w:div w:id="365256688">
          <w:marLeft w:val="0"/>
          <w:marRight w:val="0"/>
          <w:marTop w:val="0"/>
          <w:marBottom w:val="0"/>
          <w:divBdr>
            <w:top w:val="none" w:sz="0" w:space="0" w:color="auto"/>
            <w:left w:val="none" w:sz="0" w:space="0" w:color="auto"/>
            <w:bottom w:val="none" w:sz="0" w:space="0" w:color="auto"/>
            <w:right w:val="none" w:sz="0" w:space="0" w:color="auto"/>
          </w:divBdr>
        </w:div>
        <w:div w:id="597562413">
          <w:marLeft w:val="0"/>
          <w:marRight w:val="0"/>
          <w:marTop w:val="0"/>
          <w:marBottom w:val="0"/>
          <w:divBdr>
            <w:top w:val="none" w:sz="0" w:space="0" w:color="auto"/>
            <w:left w:val="none" w:sz="0" w:space="0" w:color="auto"/>
            <w:bottom w:val="none" w:sz="0" w:space="0" w:color="auto"/>
            <w:right w:val="none" w:sz="0" w:space="0" w:color="auto"/>
          </w:divBdr>
        </w:div>
      </w:divsChild>
    </w:div>
    <w:div w:id="771320109">
      <w:bodyDiv w:val="1"/>
      <w:marLeft w:val="0"/>
      <w:marRight w:val="0"/>
      <w:marTop w:val="0"/>
      <w:marBottom w:val="0"/>
      <w:divBdr>
        <w:top w:val="none" w:sz="0" w:space="0" w:color="auto"/>
        <w:left w:val="none" w:sz="0" w:space="0" w:color="auto"/>
        <w:bottom w:val="none" w:sz="0" w:space="0" w:color="auto"/>
        <w:right w:val="none" w:sz="0" w:space="0" w:color="auto"/>
      </w:divBdr>
      <w:divsChild>
        <w:div w:id="1263537224">
          <w:marLeft w:val="0"/>
          <w:marRight w:val="0"/>
          <w:marTop w:val="0"/>
          <w:marBottom w:val="0"/>
          <w:divBdr>
            <w:top w:val="none" w:sz="0" w:space="0" w:color="auto"/>
            <w:left w:val="none" w:sz="0" w:space="0" w:color="auto"/>
            <w:bottom w:val="none" w:sz="0" w:space="0" w:color="auto"/>
            <w:right w:val="none" w:sz="0" w:space="0" w:color="auto"/>
          </w:divBdr>
        </w:div>
      </w:divsChild>
    </w:div>
    <w:div w:id="15236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D7BD95-DF22-4C62-A55D-86EE4244F3D0}" type="doc">
      <dgm:prSet loTypeId="urn:microsoft.com/office/officeart/2005/8/layout/radial6" loCatId="cycle" qsTypeId="urn:microsoft.com/office/officeart/2005/8/quickstyle/simple1" qsCatId="simple" csTypeId="urn:microsoft.com/office/officeart/2005/8/colors/accent0_3" csCatId="mainScheme" phldr="1"/>
      <dgm:spPr/>
      <dgm:t>
        <a:bodyPr/>
        <a:lstStyle/>
        <a:p>
          <a:endParaRPr lang="en-US"/>
        </a:p>
      </dgm:t>
    </dgm:pt>
    <dgm:pt modelId="{46D28AB4-DCC3-45B5-BB6C-DB7A0115E517}">
      <dgm:prSet phldrT="[Text]"/>
      <dgm:spPr/>
      <dgm:t>
        <a:bodyPr/>
        <a:lstStyle/>
        <a:p>
          <a:r>
            <a:rPr lang="en-US" b="1"/>
            <a:t>Decision</a:t>
          </a:r>
        </a:p>
      </dgm:t>
    </dgm:pt>
    <dgm:pt modelId="{5210ED59-8D97-4F4D-B228-4494E0AC5F66}" type="parTrans" cxnId="{240E25CE-A4F6-4CF8-A1AA-6E5CE6438F6B}">
      <dgm:prSet/>
      <dgm:spPr/>
      <dgm:t>
        <a:bodyPr/>
        <a:lstStyle/>
        <a:p>
          <a:endParaRPr lang="en-US" b="1"/>
        </a:p>
      </dgm:t>
    </dgm:pt>
    <dgm:pt modelId="{FD97FB30-5974-4AD0-ABC3-2C34CC713341}" type="sibTrans" cxnId="{240E25CE-A4F6-4CF8-A1AA-6E5CE6438F6B}">
      <dgm:prSet/>
      <dgm:spPr/>
      <dgm:t>
        <a:bodyPr/>
        <a:lstStyle/>
        <a:p>
          <a:endParaRPr lang="en-US" b="1"/>
        </a:p>
      </dgm:t>
    </dgm:pt>
    <dgm:pt modelId="{D4DEC081-D1BD-4717-94FC-024C4C83C745}">
      <dgm:prSet phldrT="[Text]"/>
      <dgm:spPr/>
      <dgm:t>
        <a:bodyPr/>
        <a:lstStyle/>
        <a:p>
          <a:r>
            <a:rPr lang="en-US" b="1"/>
            <a:t>Number of possible options</a:t>
          </a:r>
        </a:p>
      </dgm:t>
    </dgm:pt>
    <dgm:pt modelId="{C2444084-2FAD-42C4-8D42-FE0D7C5A8982}" type="parTrans" cxnId="{6C8C1628-FC8F-4E00-ACC2-2736DA3A199F}">
      <dgm:prSet/>
      <dgm:spPr/>
      <dgm:t>
        <a:bodyPr/>
        <a:lstStyle/>
        <a:p>
          <a:endParaRPr lang="en-US" b="1"/>
        </a:p>
      </dgm:t>
    </dgm:pt>
    <dgm:pt modelId="{C9D2975C-BCE4-41B1-8D3F-B290207EC5EE}" type="sibTrans" cxnId="{6C8C1628-FC8F-4E00-ACC2-2736DA3A199F}">
      <dgm:prSet/>
      <dgm:spPr/>
      <dgm:t>
        <a:bodyPr/>
        <a:lstStyle/>
        <a:p>
          <a:endParaRPr lang="en-US" b="1"/>
        </a:p>
      </dgm:t>
    </dgm:pt>
    <dgm:pt modelId="{A1C66F89-A43D-4DA4-9A7D-B1936AF1B8E1}">
      <dgm:prSet phldrT="[Text]"/>
      <dgm:spPr/>
      <dgm:t>
        <a:bodyPr/>
        <a:lstStyle/>
        <a:p>
          <a:r>
            <a:rPr lang="en-US" b="1"/>
            <a:t>Value criteria and their cues</a:t>
          </a:r>
        </a:p>
      </dgm:t>
    </dgm:pt>
    <dgm:pt modelId="{1431334D-B296-4702-8D49-77C015BFF7C6}" type="parTrans" cxnId="{90FF832C-C5B7-486B-AA00-C9458E3496BA}">
      <dgm:prSet/>
      <dgm:spPr/>
      <dgm:t>
        <a:bodyPr/>
        <a:lstStyle/>
        <a:p>
          <a:endParaRPr lang="en-US" b="1"/>
        </a:p>
      </dgm:t>
    </dgm:pt>
    <dgm:pt modelId="{6AC88EC4-28AA-47EB-B029-A4A76C6302C2}" type="sibTrans" cxnId="{90FF832C-C5B7-486B-AA00-C9458E3496BA}">
      <dgm:prSet/>
      <dgm:spPr/>
      <dgm:t>
        <a:bodyPr/>
        <a:lstStyle/>
        <a:p>
          <a:endParaRPr lang="en-US" b="1"/>
        </a:p>
      </dgm:t>
    </dgm:pt>
    <dgm:pt modelId="{A81204E6-44EB-44A8-AF85-979E81106B9C}">
      <dgm:prSet phldrT="[Text]"/>
      <dgm:spPr/>
      <dgm:t>
        <a:bodyPr/>
        <a:lstStyle/>
        <a:p>
          <a:r>
            <a:rPr lang="en-US" b="1"/>
            <a:t>Cognitive resources and  biases</a:t>
          </a:r>
        </a:p>
      </dgm:t>
    </dgm:pt>
    <dgm:pt modelId="{2536188E-7582-4741-B423-49E625E07FDD}" type="parTrans" cxnId="{18E719EB-7587-4E49-897E-AC4274CBC49D}">
      <dgm:prSet/>
      <dgm:spPr/>
      <dgm:t>
        <a:bodyPr/>
        <a:lstStyle/>
        <a:p>
          <a:endParaRPr lang="en-US" b="1"/>
        </a:p>
      </dgm:t>
    </dgm:pt>
    <dgm:pt modelId="{28F91991-B40A-402A-96B6-B36B844757C0}" type="sibTrans" cxnId="{18E719EB-7587-4E49-897E-AC4274CBC49D}">
      <dgm:prSet/>
      <dgm:spPr/>
      <dgm:t>
        <a:bodyPr/>
        <a:lstStyle/>
        <a:p>
          <a:endParaRPr lang="en-US" b="1"/>
        </a:p>
      </dgm:t>
    </dgm:pt>
    <dgm:pt modelId="{A12B3CA8-160C-49FD-827D-6C15D71E7C8B}">
      <dgm:prSet phldrT="[Text]"/>
      <dgm:spPr/>
      <dgm:t>
        <a:bodyPr/>
        <a:lstStyle/>
        <a:p>
          <a:r>
            <a:rPr lang="en-US" b="1"/>
            <a:t>Assessment of outcome probabilities</a:t>
          </a:r>
        </a:p>
      </dgm:t>
    </dgm:pt>
    <dgm:pt modelId="{2139B183-AC6D-4500-B7F7-9816C5F473F9}" type="parTrans" cxnId="{5A7C8065-7FCB-45AB-92CC-D7593F5DBC19}">
      <dgm:prSet/>
      <dgm:spPr/>
      <dgm:t>
        <a:bodyPr/>
        <a:lstStyle/>
        <a:p>
          <a:endParaRPr lang="en-US" b="1"/>
        </a:p>
      </dgm:t>
    </dgm:pt>
    <dgm:pt modelId="{C73CCBB4-8A46-45B1-B5CA-23A82CF85EE2}" type="sibTrans" cxnId="{5A7C8065-7FCB-45AB-92CC-D7593F5DBC19}">
      <dgm:prSet/>
      <dgm:spPr/>
      <dgm:t>
        <a:bodyPr/>
        <a:lstStyle/>
        <a:p>
          <a:endParaRPr lang="en-US" b="1"/>
        </a:p>
      </dgm:t>
    </dgm:pt>
    <dgm:pt modelId="{11521FE5-D4E6-47D3-9780-FFA2F79E3CE3}">
      <dgm:prSet phldrT="[Text]"/>
      <dgm:spPr/>
      <dgm:t>
        <a:bodyPr/>
        <a:lstStyle/>
        <a:p>
          <a:r>
            <a:rPr lang="en-US" b="1"/>
            <a:t>Availability of information</a:t>
          </a:r>
        </a:p>
      </dgm:t>
    </dgm:pt>
    <dgm:pt modelId="{6A12768C-681D-42EF-A691-53A543277030}" type="parTrans" cxnId="{A4EA330A-45BF-4701-BDAC-7663C258E9DD}">
      <dgm:prSet/>
      <dgm:spPr/>
      <dgm:t>
        <a:bodyPr/>
        <a:lstStyle/>
        <a:p>
          <a:endParaRPr lang="en-US" b="1"/>
        </a:p>
      </dgm:t>
    </dgm:pt>
    <dgm:pt modelId="{0874F70B-A825-4669-86CA-3234486178D7}" type="sibTrans" cxnId="{A4EA330A-45BF-4701-BDAC-7663C258E9DD}">
      <dgm:prSet/>
      <dgm:spPr/>
      <dgm:t>
        <a:bodyPr/>
        <a:lstStyle/>
        <a:p>
          <a:endParaRPr lang="en-US" b="1"/>
        </a:p>
      </dgm:t>
    </dgm:pt>
    <dgm:pt modelId="{FBDA49EF-3A96-4F9B-95BC-C88E488CC355}">
      <dgm:prSet phldrT="[Text]"/>
      <dgm:spPr/>
      <dgm:t>
        <a:bodyPr/>
        <a:lstStyle/>
        <a:p>
          <a:r>
            <a:rPr lang="en-US" b="1"/>
            <a:t>Individual risk tolerance</a:t>
          </a:r>
        </a:p>
      </dgm:t>
    </dgm:pt>
    <dgm:pt modelId="{DB9EFA75-5179-4518-8C3B-15826FF2C625}" type="parTrans" cxnId="{D36FD287-ECB5-4B95-BD6D-31AC246DBC56}">
      <dgm:prSet/>
      <dgm:spPr/>
      <dgm:t>
        <a:bodyPr/>
        <a:lstStyle/>
        <a:p>
          <a:endParaRPr lang="en-US" b="1"/>
        </a:p>
      </dgm:t>
    </dgm:pt>
    <dgm:pt modelId="{46EF7A42-1977-4D79-BD23-17C113D0EC3C}" type="sibTrans" cxnId="{D36FD287-ECB5-4B95-BD6D-31AC246DBC56}">
      <dgm:prSet/>
      <dgm:spPr/>
      <dgm:t>
        <a:bodyPr/>
        <a:lstStyle/>
        <a:p>
          <a:endParaRPr lang="en-US" b="1"/>
        </a:p>
      </dgm:t>
    </dgm:pt>
    <dgm:pt modelId="{2D491364-60C4-485F-99ED-B000DD58F205}">
      <dgm:prSet phldrT="[Text]"/>
      <dgm:spPr/>
      <dgm:t>
        <a:bodyPr/>
        <a:lstStyle/>
        <a:p>
          <a:r>
            <a:rPr lang="en-US" b="1"/>
            <a:t>Social environment</a:t>
          </a:r>
        </a:p>
      </dgm:t>
    </dgm:pt>
    <dgm:pt modelId="{51AC5AEF-9AA7-401A-8FE0-930C6F18BB97}" type="parTrans" cxnId="{D3293F96-9219-4341-9E3A-E88CC49E326C}">
      <dgm:prSet/>
      <dgm:spPr/>
      <dgm:t>
        <a:bodyPr/>
        <a:lstStyle/>
        <a:p>
          <a:endParaRPr lang="en-US" b="1"/>
        </a:p>
      </dgm:t>
    </dgm:pt>
    <dgm:pt modelId="{CA6A41E2-F42F-474C-9551-A52A899B87A8}" type="sibTrans" cxnId="{D3293F96-9219-4341-9E3A-E88CC49E326C}">
      <dgm:prSet/>
      <dgm:spPr/>
      <dgm:t>
        <a:bodyPr/>
        <a:lstStyle/>
        <a:p>
          <a:endParaRPr lang="en-US" b="1"/>
        </a:p>
      </dgm:t>
    </dgm:pt>
    <dgm:pt modelId="{B6787DE4-3D43-4ABA-9FA7-7AA0B154FDA9}" type="pres">
      <dgm:prSet presAssocID="{F8D7BD95-DF22-4C62-A55D-86EE4244F3D0}" presName="Name0" presStyleCnt="0">
        <dgm:presLayoutVars>
          <dgm:chMax val="1"/>
          <dgm:dir/>
          <dgm:animLvl val="ctr"/>
          <dgm:resizeHandles val="exact"/>
        </dgm:presLayoutVars>
      </dgm:prSet>
      <dgm:spPr/>
      <dgm:t>
        <a:bodyPr/>
        <a:lstStyle/>
        <a:p>
          <a:endParaRPr lang="en-GB"/>
        </a:p>
      </dgm:t>
    </dgm:pt>
    <dgm:pt modelId="{32C4AA56-A9E7-4F11-BDAA-70BA15BBC772}" type="pres">
      <dgm:prSet presAssocID="{46D28AB4-DCC3-45B5-BB6C-DB7A0115E517}" presName="centerShape" presStyleLbl="node0" presStyleIdx="0" presStyleCnt="1"/>
      <dgm:spPr/>
      <dgm:t>
        <a:bodyPr/>
        <a:lstStyle/>
        <a:p>
          <a:endParaRPr lang="en-GB"/>
        </a:p>
      </dgm:t>
    </dgm:pt>
    <dgm:pt modelId="{BD70019D-31D3-42D3-B6B0-E929183FCD5C}" type="pres">
      <dgm:prSet presAssocID="{D4DEC081-D1BD-4717-94FC-024C4C83C745}" presName="node" presStyleLbl="node1" presStyleIdx="0" presStyleCnt="7">
        <dgm:presLayoutVars>
          <dgm:bulletEnabled val="1"/>
        </dgm:presLayoutVars>
      </dgm:prSet>
      <dgm:spPr/>
      <dgm:t>
        <a:bodyPr/>
        <a:lstStyle/>
        <a:p>
          <a:endParaRPr lang="en-GB"/>
        </a:p>
      </dgm:t>
    </dgm:pt>
    <dgm:pt modelId="{36796E7F-2D37-4342-9ADB-19BC21532CD2}" type="pres">
      <dgm:prSet presAssocID="{D4DEC081-D1BD-4717-94FC-024C4C83C745}" presName="dummy" presStyleCnt="0"/>
      <dgm:spPr/>
    </dgm:pt>
    <dgm:pt modelId="{241D959D-4E8D-46BB-9135-4A21596EBD96}" type="pres">
      <dgm:prSet presAssocID="{C9D2975C-BCE4-41B1-8D3F-B290207EC5EE}" presName="sibTrans" presStyleLbl="sibTrans2D1" presStyleIdx="0" presStyleCnt="7"/>
      <dgm:spPr/>
      <dgm:t>
        <a:bodyPr/>
        <a:lstStyle/>
        <a:p>
          <a:endParaRPr lang="en-GB"/>
        </a:p>
      </dgm:t>
    </dgm:pt>
    <dgm:pt modelId="{926CFB37-B4AE-47DA-A095-86EA4B7C0D5E}" type="pres">
      <dgm:prSet presAssocID="{A12B3CA8-160C-49FD-827D-6C15D71E7C8B}" presName="node" presStyleLbl="node1" presStyleIdx="1" presStyleCnt="7">
        <dgm:presLayoutVars>
          <dgm:bulletEnabled val="1"/>
        </dgm:presLayoutVars>
      </dgm:prSet>
      <dgm:spPr/>
      <dgm:t>
        <a:bodyPr/>
        <a:lstStyle/>
        <a:p>
          <a:endParaRPr lang="en-GB"/>
        </a:p>
      </dgm:t>
    </dgm:pt>
    <dgm:pt modelId="{C1086742-01BA-4D89-BAB8-842912589DB5}" type="pres">
      <dgm:prSet presAssocID="{A12B3CA8-160C-49FD-827D-6C15D71E7C8B}" presName="dummy" presStyleCnt="0"/>
      <dgm:spPr/>
    </dgm:pt>
    <dgm:pt modelId="{40EC35B4-9ACB-41C7-895C-F3100FBD589F}" type="pres">
      <dgm:prSet presAssocID="{C73CCBB4-8A46-45B1-B5CA-23A82CF85EE2}" presName="sibTrans" presStyleLbl="sibTrans2D1" presStyleIdx="1" presStyleCnt="7"/>
      <dgm:spPr/>
      <dgm:t>
        <a:bodyPr/>
        <a:lstStyle/>
        <a:p>
          <a:endParaRPr lang="en-GB"/>
        </a:p>
      </dgm:t>
    </dgm:pt>
    <dgm:pt modelId="{98D56B32-330F-45C6-A7F6-9BBDEF559B77}" type="pres">
      <dgm:prSet presAssocID="{11521FE5-D4E6-47D3-9780-FFA2F79E3CE3}" presName="node" presStyleLbl="node1" presStyleIdx="2" presStyleCnt="7">
        <dgm:presLayoutVars>
          <dgm:bulletEnabled val="1"/>
        </dgm:presLayoutVars>
      </dgm:prSet>
      <dgm:spPr/>
      <dgm:t>
        <a:bodyPr/>
        <a:lstStyle/>
        <a:p>
          <a:endParaRPr lang="en-GB"/>
        </a:p>
      </dgm:t>
    </dgm:pt>
    <dgm:pt modelId="{AC3EA9B0-94ED-4CA6-8731-D45D41064F5D}" type="pres">
      <dgm:prSet presAssocID="{11521FE5-D4E6-47D3-9780-FFA2F79E3CE3}" presName="dummy" presStyleCnt="0"/>
      <dgm:spPr/>
    </dgm:pt>
    <dgm:pt modelId="{128F8CCC-E563-4498-A157-36F2F486CFB3}" type="pres">
      <dgm:prSet presAssocID="{0874F70B-A825-4669-86CA-3234486178D7}" presName="sibTrans" presStyleLbl="sibTrans2D1" presStyleIdx="2" presStyleCnt="7"/>
      <dgm:spPr/>
      <dgm:t>
        <a:bodyPr/>
        <a:lstStyle/>
        <a:p>
          <a:endParaRPr lang="en-GB"/>
        </a:p>
      </dgm:t>
    </dgm:pt>
    <dgm:pt modelId="{D0EA4ED9-2C2D-4D59-9FD6-C3AADB5D82F4}" type="pres">
      <dgm:prSet presAssocID="{A1C66F89-A43D-4DA4-9A7D-B1936AF1B8E1}" presName="node" presStyleLbl="node1" presStyleIdx="3" presStyleCnt="7">
        <dgm:presLayoutVars>
          <dgm:bulletEnabled val="1"/>
        </dgm:presLayoutVars>
      </dgm:prSet>
      <dgm:spPr/>
      <dgm:t>
        <a:bodyPr/>
        <a:lstStyle/>
        <a:p>
          <a:endParaRPr lang="en-GB"/>
        </a:p>
      </dgm:t>
    </dgm:pt>
    <dgm:pt modelId="{B127720D-7E7A-4040-868C-3467E4D95471}" type="pres">
      <dgm:prSet presAssocID="{A1C66F89-A43D-4DA4-9A7D-B1936AF1B8E1}" presName="dummy" presStyleCnt="0"/>
      <dgm:spPr/>
    </dgm:pt>
    <dgm:pt modelId="{A9A7071E-F08C-4CF9-ABFB-EF933BD6FC20}" type="pres">
      <dgm:prSet presAssocID="{6AC88EC4-28AA-47EB-B029-A4A76C6302C2}" presName="sibTrans" presStyleLbl="sibTrans2D1" presStyleIdx="3" presStyleCnt="7"/>
      <dgm:spPr/>
      <dgm:t>
        <a:bodyPr/>
        <a:lstStyle/>
        <a:p>
          <a:endParaRPr lang="en-GB"/>
        </a:p>
      </dgm:t>
    </dgm:pt>
    <dgm:pt modelId="{E3D1E3F2-B399-4E49-9DE5-726B621C041E}" type="pres">
      <dgm:prSet presAssocID="{A81204E6-44EB-44A8-AF85-979E81106B9C}" presName="node" presStyleLbl="node1" presStyleIdx="4" presStyleCnt="7">
        <dgm:presLayoutVars>
          <dgm:bulletEnabled val="1"/>
        </dgm:presLayoutVars>
      </dgm:prSet>
      <dgm:spPr/>
      <dgm:t>
        <a:bodyPr/>
        <a:lstStyle/>
        <a:p>
          <a:endParaRPr lang="en-GB"/>
        </a:p>
      </dgm:t>
    </dgm:pt>
    <dgm:pt modelId="{96E0B7E0-2A9C-4748-B9D1-DA2E00FD81E3}" type="pres">
      <dgm:prSet presAssocID="{A81204E6-44EB-44A8-AF85-979E81106B9C}" presName="dummy" presStyleCnt="0"/>
      <dgm:spPr/>
    </dgm:pt>
    <dgm:pt modelId="{4CFC141E-98A3-4F92-BA23-48BC0DCE73C5}" type="pres">
      <dgm:prSet presAssocID="{28F91991-B40A-402A-96B6-B36B844757C0}" presName="sibTrans" presStyleLbl="sibTrans2D1" presStyleIdx="4" presStyleCnt="7"/>
      <dgm:spPr/>
      <dgm:t>
        <a:bodyPr/>
        <a:lstStyle/>
        <a:p>
          <a:endParaRPr lang="en-GB"/>
        </a:p>
      </dgm:t>
    </dgm:pt>
    <dgm:pt modelId="{CF047ADC-7EA8-4ECF-8B8B-D760F4E628E2}" type="pres">
      <dgm:prSet presAssocID="{FBDA49EF-3A96-4F9B-95BC-C88E488CC355}" presName="node" presStyleLbl="node1" presStyleIdx="5" presStyleCnt="7">
        <dgm:presLayoutVars>
          <dgm:bulletEnabled val="1"/>
        </dgm:presLayoutVars>
      </dgm:prSet>
      <dgm:spPr/>
      <dgm:t>
        <a:bodyPr/>
        <a:lstStyle/>
        <a:p>
          <a:endParaRPr lang="en-GB"/>
        </a:p>
      </dgm:t>
    </dgm:pt>
    <dgm:pt modelId="{1018D9F1-8ED1-4100-9BAE-0E3FB378825E}" type="pres">
      <dgm:prSet presAssocID="{FBDA49EF-3A96-4F9B-95BC-C88E488CC355}" presName="dummy" presStyleCnt="0"/>
      <dgm:spPr/>
    </dgm:pt>
    <dgm:pt modelId="{1A87AF3D-A9B2-4482-8356-47E83E28A261}" type="pres">
      <dgm:prSet presAssocID="{46EF7A42-1977-4D79-BD23-17C113D0EC3C}" presName="sibTrans" presStyleLbl="sibTrans2D1" presStyleIdx="5" presStyleCnt="7"/>
      <dgm:spPr/>
      <dgm:t>
        <a:bodyPr/>
        <a:lstStyle/>
        <a:p>
          <a:endParaRPr lang="en-GB"/>
        </a:p>
      </dgm:t>
    </dgm:pt>
    <dgm:pt modelId="{9712BEFB-4677-46F2-87E2-15233743DA98}" type="pres">
      <dgm:prSet presAssocID="{2D491364-60C4-485F-99ED-B000DD58F205}" presName="node" presStyleLbl="node1" presStyleIdx="6" presStyleCnt="7">
        <dgm:presLayoutVars>
          <dgm:bulletEnabled val="1"/>
        </dgm:presLayoutVars>
      </dgm:prSet>
      <dgm:spPr/>
      <dgm:t>
        <a:bodyPr/>
        <a:lstStyle/>
        <a:p>
          <a:endParaRPr lang="en-GB"/>
        </a:p>
      </dgm:t>
    </dgm:pt>
    <dgm:pt modelId="{2E0F745F-7F80-4E84-89B8-77C5D96E52F8}" type="pres">
      <dgm:prSet presAssocID="{2D491364-60C4-485F-99ED-B000DD58F205}" presName="dummy" presStyleCnt="0"/>
      <dgm:spPr/>
    </dgm:pt>
    <dgm:pt modelId="{B5C38C13-2F4B-49FD-9699-B3F315D73BE5}" type="pres">
      <dgm:prSet presAssocID="{CA6A41E2-F42F-474C-9551-A52A899B87A8}" presName="sibTrans" presStyleLbl="sibTrans2D1" presStyleIdx="6" presStyleCnt="7"/>
      <dgm:spPr/>
      <dgm:t>
        <a:bodyPr/>
        <a:lstStyle/>
        <a:p>
          <a:endParaRPr lang="en-GB"/>
        </a:p>
      </dgm:t>
    </dgm:pt>
  </dgm:ptLst>
  <dgm:cxnLst>
    <dgm:cxn modelId="{6C8C1628-FC8F-4E00-ACC2-2736DA3A199F}" srcId="{46D28AB4-DCC3-45B5-BB6C-DB7A0115E517}" destId="{D4DEC081-D1BD-4717-94FC-024C4C83C745}" srcOrd="0" destOrd="0" parTransId="{C2444084-2FAD-42C4-8D42-FE0D7C5A8982}" sibTransId="{C9D2975C-BCE4-41B1-8D3F-B290207EC5EE}"/>
    <dgm:cxn modelId="{CDED2599-04E7-46C7-AD97-DF740628F7C2}" type="presOf" srcId="{FBDA49EF-3A96-4F9B-95BC-C88E488CC355}" destId="{CF047ADC-7EA8-4ECF-8B8B-D760F4E628E2}" srcOrd="0" destOrd="0" presId="urn:microsoft.com/office/officeart/2005/8/layout/radial6"/>
    <dgm:cxn modelId="{C1AEBED6-D442-4141-BE13-CA27D0BEB4A0}" type="presOf" srcId="{F8D7BD95-DF22-4C62-A55D-86EE4244F3D0}" destId="{B6787DE4-3D43-4ABA-9FA7-7AA0B154FDA9}" srcOrd="0" destOrd="0" presId="urn:microsoft.com/office/officeart/2005/8/layout/radial6"/>
    <dgm:cxn modelId="{D36FD287-ECB5-4B95-BD6D-31AC246DBC56}" srcId="{46D28AB4-DCC3-45B5-BB6C-DB7A0115E517}" destId="{FBDA49EF-3A96-4F9B-95BC-C88E488CC355}" srcOrd="5" destOrd="0" parTransId="{DB9EFA75-5179-4518-8C3B-15826FF2C625}" sibTransId="{46EF7A42-1977-4D79-BD23-17C113D0EC3C}"/>
    <dgm:cxn modelId="{E7518D7B-F4E0-4904-9FC7-7DD72D90CBC8}" type="presOf" srcId="{2D491364-60C4-485F-99ED-B000DD58F205}" destId="{9712BEFB-4677-46F2-87E2-15233743DA98}" srcOrd="0" destOrd="0" presId="urn:microsoft.com/office/officeart/2005/8/layout/radial6"/>
    <dgm:cxn modelId="{B1E75710-4A7E-4D02-B700-56A165531AD0}" type="presOf" srcId="{11521FE5-D4E6-47D3-9780-FFA2F79E3CE3}" destId="{98D56B32-330F-45C6-A7F6-9BBDEF559B77}" srcOrd="0" destOrd="0" presId="urn:microsoft.com/office/officeart/2005/8/layout/radial6"/>
    <dgm:cxn modelId="{45B367D4-A42A-4161-B67F-293FB31AE4E2}" type="presOf" srcId="{C73CCBB4-8A46-45B1-B5CA-23A82CF85EE2}" destId="{40EC35B4-9ACB-41C7-895C-F3100FBD589F}" srcOrd="0" destOrd="0" presId="urn:microsoft.com/office/officeart/2005/8/layout/radial6"/>
    <dgm:cxn modelId="{6CDBFE00-DDBA-4925-AA76-33A1136C1990}" type="presOf" srcId="{CA6A41E2-F42F-474C-9551-A52A899B87A8}" destId="{B5C38C13-2F4B-49FD-9699-B3F315D73BE5}" srcOrd="0" destOrd="0" presId="urn:microsoft.com/office/officeart/2005/8/layout/radial6"/>
    <dgm:cxn modelId="{240E25CE-A4F6-4CF8-A1AA-6E5CE6438F6B}" srcId="{F8D7BD95-DF22-4C62-A55D-86EE4244F3D0}" destId="{46D28AB4-DCC3-45B5-BB6C-DB7A0115E517}" srcOrd="0" destOrd="0" parTransId="{5210ED59-8D97-4F4D-B228-4494E0AC5F66}" sibTransId="{FD97FB30-5974-4AD0-ABC3-2C34CC713341}"/>
    <dgm:cxn modelId="{FC28621F-8707-40F5-AFE5-8BE290B5C265}" type="presOf" srcId="{C9D2975C-BCE4-41B1-8D3F-B290207EC5EE}" destId="{241D959D-4E8D-46BB-9135-4A21596EBD96}" srcOrd="0" destOrd="0" presId="urn:microsoft.com/office/officeart/2005/8/layout/radial6"/>
    <dgm:cxn modelId="{D3293F96-9219-4341-9E3A-E88CC49E326C}" srcId="{46D28AB4-DCC3-45B5-BB6C-DB7A0115E517}" destId="{2D491364-60C4-485F-99ED-B000DD58F205}" srcOrd="6" destOrd="0" parTransId="{51AC5AEF-9AA7-401A-8FE0-930C6F18BB97}" sibTransId="{CA6A41E2-F42F-474C-9551-A52A899B87A8}"/>
    <dgm:cxn modelId="{90FF832C-C5B7-486B-AA00-C9458E3496BA}" srcId="{46D28AB4-DCC3-45B5-BB6C-DB7A0115E517}" destId="{A1C66F89-A43D-4DA4-9A7D-B1936AF1B8E1}" srcOrd="3" destOrd="0" parTransId="{1431334D-B296-4702-8D49-77C015BFF7C6}" sibTransId="{6AC88EC4-28AA-47EB-B029-A4A76C6302C2}"/>
    <dgm:cxn modelId="{7C95918B-812C-412B-9003-076B8D19C5DF}" type="presOf" srcId="{46D28AB4-DCC3-45B5-BB6C-DB7A0115E517}" destId="{32C4AA56-A9E7-4F11-BDAA-70BA15BBC772}" srcOrd="0" destOrd="0" presId="urn:microsoft.com/office/officeart/2005/8/layout/radial6"/>
    <dgm:cxn modelId="{1A5259CE-3832-4D3D-8CBA-30B97E4B5892}" type="presOf" srcId="{28F91991-B40A-402A-96B6-B36B844757C0}" destId="{4CFC141E-98A3-4F92-BA23-48BC0DCE73C5}" srcOrd="0" destOrd="0" presId="urn:microsoft.com/office/officeart/2005/8/layout/radial6"/>
    <dgm:cxn modelId="{35FFE38B-F80B-477A-850C-3C28DBD0DE8D}" type="presOf" srcId="{A1C66F89-A43D-4DA4-9A7D-B1936AF1B8E1}" destId="{D0EA4ED9-2C2D-4D59-9FD6-C3AADB5D82F4}" srcOrd="0" destOrd="0" presId="urn:microsoft.com/office/officeart/2005/8/layout/radial6"/>
    <dgm:cxn modelId="{4BE423B0-E118-430A-8DFA-AA892AFD0963}" type="presOf" srcId="{0874F70B-A825-4669-86CA-3234486178D7}" destId="{128F8CCC-E563-4498-A157-36F2F486CFB3}" srcOrd="0" destOrd="0" presId="urn:microsoft.com/office/officeart/2005/8/layout/radial6"/>
    <dgm:cxn modelId="{C9BCD63D-F309-492D-A21D-9A7AC7B1333D}" type="presOf" srcId="{46EF7A42-1977-4D79-BD23-17C113D0EC3C}" destId="{1A87AF3D-A9B2-4482-8356-47E83E28A261}" srcOrd="0" destOrd="0" presId="urn:microsoft.com/office/officeart/2005/8/layout/radial6"/>
    <dgm:cxn modelId="{EE1A25BE-438D-454A-A508-08149E1B2A82}" type="presOf" srcId="{6AC88EC4-28AA-47EB-B029-A4A76C6302C2}" destId="{A9A7071E-F08C-4CF9-ABFB-EF933BD6FC20}" srcOrd="0" destOrd="0" presId="urn:microsoft.com/office/officeart/2005/8/layout/radial6"/>
    <dgm:cxn modelId="{5A7C8065-7FCB-45AB-92CC-D7593F5DBC19}" srcId="{46D28AB4-DCC3-45B5-BB6C-DB7A0115E517}" destId="{A12B3CA8-160C-49FD-827D-6C15D71E7C8B}" srcOrd="1" destOrd="0" parTransId="{2139B183-AC6D-4500-B7F7-9816C5F473F9}" sibTransId="{C73CCBB4-8A46-45B1-B5CA-23A82CF85EE2}"/>
    <dgm:cxn modelId="{18E719EB-7587-4E49-897E-AC4274CBC49D}" srcId="{46D28AB4-DCC3-45B5-BB6C-DB7A0115E517}" destId="{A81204E6-44EB-44A8-AF85-979E81106B9C}" srcOrd="4" destOrd="0" parTransId="{2536188E-7582-4741-B423-49E625E07FDD}" sibTransId="{28F91991-B40A-402A-96B6-B36B844757C0}"/>
    <dgm:cxn modelId="{8B5ADD73-EF99-413B-906B-E6E12AE264BE}" type="presOf" srcId="{A12B3CA8-160C-49FD-827D-6C15D71E7C8B}" destId="{926CFB37-B4AE-47DA-A095-86EA4B7C0D5E}" srcOrd="0" destOrd="0" presId="urn:microsoft.com/office/officeart/2005/8/layout/radial6"/>
    <dgm:cxn modelId="{FB10AAE2-4F43-4890-8DD1-621E41C21F3A}" type="presOf" srcId="{A81204E6-44EB-44A8-AF85-979E81106B9C}" destId="{E3D1E3F2-B399-4E49-9DE5-726B621C041E}" srcOrd="0" destOrd="0" presId="urn:microsoft.com/office/officeart/2005/8/layout/radial6"/>
    <dgm:cxn modelId="{A4EA330A-45BF-4701-BDAC-7663C258E9DD}" srcId="{46D28AB4-DCC3-45B5-BB6C-DB7A0115E517}" destId="{11521FE5-D4E6-47D3-9780-FFA2F79E3CE3}" srcOrd="2" destOrd="0" parTransId="{6A12768C-681D-42EF-A691-53A543277030}" sibTransId="{0874F70B-A825-4669-86CA-3234486178D7}"/>
    <dgm:cxn modelId="{8E499D37-AF10-4927-BCB1-993377317066}" type="presOf" srcId="{D4DEC081-D1BD-4717-94FC-024C4C83C745}" destId="{BD70019D-31D3-42D3-B6B0-E929183FCD5C}" srcOrd="0" destOrd="0" presId="urn:microsoft.com/office/officeart/2005/8/layout/radial6"/>
    <dgm:cxn modelId="{FAD5C00C-C5FB-485B-9D4A-D2CC6C126F1F}" type="presParOf" srcId="{B6787DE4-3D43-4ABA-9FA7-7AA0B154FDA9}" destId="{32C4AA56-A9E7-4F11-BDAA-70BA15BBC772}" srcOrd="0" destOrd="0" presId="urn:microsoft.com/office/officeart/2005/8/layout/radial6"/>
    <dgm:cxn modelId="{2951B249-51F5-4F4D-ACFB-6F794CE4538E}" type="presParOf" srcId="{B6787DE4-3D43-4ABA-9FA7-7AA0B154FDA9}" destId="{BD70019D-31D3-42D3-B6B0-E929183FCD5C}" srcOrd="1" destOrd="0" presId="urn:microsoft.com/office/officeart/2005/8/layout/radial6"/>
    <dgm:cxn modelId="{535D5EF6-B51D-47F7-B509-5FB60AB3CF78}" type="presParOf" srcId="{B6787DE4-3D43-4ABA-9FA7-7AA0B154FDA9}" destId="{36796E7F-2D37-4342-9ADB-19BC21532CD2}" srcOrd="2" destOrd="0" presId="urn:microsoft.com/office/officeart/2005/8/layout/radial6"/>
    <dgm:cxn modelId="{8538C19E-E2CC-4D37-91B5-3FB5FFFB817D}" type="presParOf" srcId="{B6787DE4-3D43-4ABA-9FA7-7AA0B154FDA9}" destId="{241D959D-4E8D-46BB-9135-4A21596EBD96}" srcOrd="3" destOrd="0" presId="urn:microsoft.com/office/officeart/2005/8/layout/radial6"/>
    <dgm:cxn modelId="{54EF98E8-81D9-46E7-B871-71EB37E4A0DF}" type="presParOf" srcId="{B6787DE4-3D43-4ABA-9FA7-7AA0B154FDA9}" destId="{926CFB37-B4AE-47DA-A095-86EA4B7C0D5E}" srcOrd="4" destOrd="0" presId="urn:microsoft.com/office/officeart/2005/8/layout/radial6"/>
    <dgm:cxn modelId="{9F346533-6A5E-4C45-9473-5E0DAF3C608A}" type="presParOf" srcId="{B6787DE4-3D43-4ABA-9FA7-7AA0B154FDA9}" destId="{C1086742-01BA-4D89-BAB8-842912589DB5}" srcOrd="5" destOrd="0" presId="urn:microsoft.com/office/officeart/2005/8/layout/radial6"/>
    <dgm:cxn modelId="{5EA54969-A24D-46C2-8618-4D962DB10DE5}" type="presParOf" srcId="{B6787DE4-3D43-4ABA-9FA7-7AA0B154FDA9}" destId="{40EC35B4-9ACB-41C7-895C-F3100FBD589F}" srcOrd="6" destOrd="0" presId="urn:microsoft.com/office/officeart/2005/8/layout/radial6"/>
    <dgm:cxn modelId="{6DE7A103-2830-4CB3-B788-585F2A021233}" type="presParOf" srcId="{B6787DE4-3D43-4ABA-9FA7-7AA0B154FDA9}" destId="{98D56B32-330F-45C6-A7F6-9BBDEF559B77}" srcOrd="7" destOrd="0" presId="urn:microsoft.com/office/officeart/2005/8/layout/radial6"/>
    <dgm:cxn modelId="{314C8E7C-608E-4BA5-A1F8-8E87BD9C8A63}" type="presParOf" srcId="{B6787DE4-3D43-4ABA-9FA7-7AA0B154FDA9}" destId="{AC3EA9B0-94ED-4CA6-8731-D45D41064F5D}" srcOrd="8" destOrd="0" presId="urn:microsoft.com/office/officeart/2005/8/layout/radial6"/>
    <dgm:cxn modelId="{55F3B485-1594-4627-BCDA-6CD8E1CAD1A3}" type="presParOf" srcId="{B6787DE4-3D43-4ABA-9FA7-7AA0B154FDA9}" destId="{128F8CCC-E563-4498-A157-36F2F486CFB3}" srcOrd="9" destOrd="0" presId="urn:microsoft.com/office/officeart/2005/8/layout/radial6"/>
    <dgm:cxn modelId="{4A532E3A-5B43-414D-A1D3-4182C2B5315E}" type="presParOf" srcId="{B6787DE4-3D43-4ABA-9FA7-7AA0B154FDA9}" destId="{D0EA4ED9-2C2D-4D59-9FD6-C3AADB5D82F4}" srcOrd="10" destOrd="0" presId="urn:microsoft.com/office/officeart/2005/8/layout/radial6"/>
    <dgm:cxn modelId="{0ADAC7D2-5EE8-4C9F-AD0A-295AF0CC64B9}" type="presParOf" srcId="{B6787DE4-3D43-4ABA-9FA7-7AA0B154FDA9}" destId="{B127720D-7E7A-4040-868C-3467E4D95471}" srcOrd="11" destOrd="0" presId="urn:microsoft.com/office/officeart/2005/8/layout/radial6"/>
    <dgm:cxn modelId="{7F51E184-D90A-452D-8F8A-1C08749DF8FE}" type="presParOf" srcId="{B6787DE4-3D43-4ABA-9FA7-7AA0B154FDA9}" destId="{A9A7071E-F08C-4CF9-ABFB-EF933BD6FC20}" srcOrd="12" destOrd="0" presId="urn:microsoft.com/office/officeart/2005/8/layout/radial6"/>
    <dgm:cxn modelId="{E31B7721-4685-4666-B947-E807F240CA53}" type="presParOf" srcId="{B6787DE4-3D43-4ABA-9FA7-7AA0B154FDA9}" destId="{E3D1E3F2-B399-4E49-9DE5-726B621C041E}" srcOrd="13" destOrd="0" presId="urn:microsoft.com/office/officeart/2005/8/layout/radial6"/>
    <dgm:cxn modelId="{466FC919-E7A6-4444-8EF6-87AF08D105F4}" type="presParOf" srcId="{B6787DE4-3D43-4ABA-9FA7-7AA0B154FDA9}" destId="{96E0B7E0-2A9C-4748-B9D1-DA2E00FD81E3}" srcOrd="14" destOrd="0" presId="urn:microsoft.com/office/officeart/2005/8/layout/radial6"/>
    <dgm:cxn modelId="{942E4FBA-E30B-404B-A12B-8A33AED8932B}" type="presParOf" srcId="{B6787DE4-3D43-4ABA-9FA7-7AA0B154FDA9}" destId="{4CFC141E-98A3-4F92-BA23-48BC0DCE73C5}" srcOrd="15" destOrd="0" presId="urn:microsoft.com/office/officeart/2005/8/layout/radial6"/>
    <dgm:cxn modelId="{4256A391-AC75-4FF9-B59F-538ADC7A66C4}" type="presParOf" srcId="{B6787DE4-3D43-4ABA-9FA7-7AA0B154FDA9}" destId="{CF047ADC-7EA8-4ECF-8B8B-D760F4E628E2}" srcOrd="16" destOrd="0" presId="urn:microsoft.com/office/officeart/2005/8/layout/radial6"/>
    <dgm:cxn modelId="{8DF7FF29-0677-49A8-9DFA-2278E5B03AF0}" type="presParOf" srcId="{B6787DE4-3D43-4ABA-9FA7-7AA0B154FDA9}" destId="{1018D9F1-8ED1-4100-9BAE-0E3FB378825E}" srcOrd="17" destOrd="0" presId="urn:microsoft.com/office/officeart/2005/8/layout/radial6"/>
    <dgm:cxn modelId="{09EF1475-5488-4EF6-9810-6BE5450EC086}" type="presParOf" srcId="{B6787DE4-3D43-4ABA-9FA7-7AA0B154FDA9}" destId="{1A87AF3D-A9B2-4482-8356-47E83E28A261}" srcOrd="18" destOrd="0" presId="urn:microsoft.com/office/officeart/2005/8/layout/radial6"/>
    <dgm:cxn modelId="{8221ACD0-FB13-4CF2-8DFE-50106A0581A7}" type="presParOf" srcId="{B6787DE4-3D43-4ABA-9FA7-7AA0B154FDA9}" destId="{9712BEFB-4677-46F2-87E2-15233743DA98}" srcOrd="19" destOrd="0" presId="urn:microsoft.com/office/officeart/2005/8/layout/radial6"/>
    <dgm:cxn modelId="{E30ABAA3-25A2-4A98-B817-AAEFD04A65A8}" type="presParOf" srcId="{B6787DE4-3D43-4ABA-9FA7-7AA0B154FDA9}" destId="{2E0F745F-7F80-4E84-89B8-77C5D96E52F8}" srcOrd="20" destOrd="0" presId="urn:microsoft.com/office/officeart/2005/8/layout/radial6"/>
    <dgm:cxn modelId="{B60C9C21-CFDA-4111-8373-9E4CABFAABC1}" type="presParOf" srcId="{B6787DE4-3D43-4ABA-9FA7-7AA0B154FDA9}" destId="{B5C38C13-2F4B-49FD-9699-B3F315D73BE5}" srcOrd="21"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C38C13-2F4B-49FD-9699-B3F315D73BE5}">
      <dsp:nvSpPr>
        <dsp:cNvPr id="0" name=""/>
        <dsp:cNvSpPr/>
      </dsp:nvSpPr>
      <dsp:spPr>
        <a:xfrm>
          <a:off x="401128" y="449676"/>
          <a:ext cx="3539709" cy="3539709"/>
        </a:xfrm>
        <a:prstGeom prst="blockArc">
          <a:avLst>
            <a:gd name="adj1" fmla="val 13114286"/>
            <a:gd name="adj2" fmla="val 16200000"/>
            <a:gd name="adj3" fmla="val 388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87AF3D-A9B2-4482-8356-47E83E28A261}">
      <dsp:nvSpPr>
        <dsp:cNvPr id="0" name=""/>
        <dsp:cNvSpPr/>
      </dsp:nvSpPr>
      <dsp:spPr>
        <a:xfrm>
          <a:off x="401128" y="449676"/>
          <a:ext cx="3539709" cy="3539709"/>
        </a:xfrm>
        <a:prstGeom prst="blockArc">
          <a:avLst>
            <a:gd name="adj1" fmla="val 10028571"/>
            <a:gd name="adj2" fmla="val 13114286"/>
            <a:gd name="adj3" fmla="val 388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FC141E-98A3-4F92-BA23-48BC0DCE73C5}">
      <dsp:nvSpPr>
        <dsp:cNvPr id="0" name=""/>
        <dsp:cNvSpPr/>
      </dsp:nvSpPr>
      <dsp:spPr>
        <a:xfrm>
          <a:off x="401128" y="449676"/>
          <a:ext cx="3539709" cy="3539709"/>
        </a:xfrm>
        <a:prstGeom prst="blockArc">
          <a:avLst>
            <a:gd name="adj1" fmla="val 6942857"/>
            <a:gd name="adj2" fmla="val 10028571"/>
            <a:gd name="adj3" fmla="val 388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A7071E-F08C-4CF9-ABFB-EF933BD6FC20}">
      <dsp:nvSpPr>
        <dsp:cNvPr id="0" name=""/>
        <dsp:cNvSpPr/>
      </dsp:nvSpPr>
      <dsp:spPr>
        <a:xfrm>
          <a:off x="401128" y="449676"/>
          <a:ext cx="3539709" cy="3539709"/>
        </a:xfrm>
        <a:prstGeom prst="blockArc">
          <a:avLst>
            <a:gd name="adj1" fmla="val 3857143"/>
            <a:gd name="adj2" fmla="val 6942857"/>
            <a:gd name="adj3" fmla="val 388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8F8CCC-E563-4498-A157-36F2F486CFB3}">
      <dsp:nvSpPr>
        <dsp:cNvPr id="0" name=""/>
        <dsp:cNvSpPr/>
      </dsp:nvSpPr>
      <dsp:spPr>
        <a:xfrm>
          <a:off x="401128" y="449676"/>
          <a:ext cx="3539709" cy="3539709"/>
        </a:xfrm>
        <a:prstGeom prst="blockArc">
          <a:avLst>
            <a:gd name="adj1" fmla="val 771429"/>
            <a:gd name="adj2" fmla="val 3857143"/>
            <a:gd name="adj3" fmla="val 388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EC35B4-9ACB-41C7-895C-F3100FBD589F}">
      <dsp:nvSpPr>
        <dsp:cNvPr id="0" name=""/>
        <dsp:cNvSpPr/>
      </dsp:nvSpPr>
      <dsp:spPr>
        <a:xfrm>
          <a:off x="401128" y="449676"/>
          <a:ext cx="3539709" cy="3539709"/>
        </a:xfrm>
        <a:prstGeom prst="blockArc">
          <a:avLst>
            <a:gd name="adj1" fmla="val 19285714"/>
            <a:gd name="adj2" fmla="val 771429"/>
            <a:gd name="adj3" fmla="val 388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1D959D-4E8D-46BB-9135-4A21596EBD96}">
      <dsp:nvSpPr>
        <dsp:cNvPr id="0" name=""/>
        <dsp:cNvSpPr/>
      </dsp:nvSpPr>
      <dsp:spPr>
        <a:xfrm>
          <a:off x="401128" y="449676"/>
          <a:ext cx="3539709" cy="3539709"/>
        </a:xfrm>
        <a:prstGeom prst="blockArc">
          <a:avLst>
            <a:gd name="adj1" fmla="val 16200000"/>
            <a:gd name="adj2" fmla="val 19285714"/>
            <a:gd name="adj3" fmla="val 388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C4AA56-A9E7-4F11-BDAA-70BA15BBC772}">
      <dsp:nvSpPr>
        <dsp:cNvPr id="0" name=""/>
        <dsp:cNvSpPr/>
      </dsp:nvSpPr>
      <dsp:spPr>
        <a:xfrm>
          <a:off x="1488310" y="1536859"/>
          <a:ext cx="1365345" cy="136534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b="1" kern="1200"/>
            <a:t>Decision</a:t>
          </a:r>
        </a:p>
      </dsp:txBody>
      <dsp:txXfrm>
        <a:off x="1688260" y="1736809"/>
        <a:ext cx="965445" cy="965445"/>
      </dsp:txXfrm>
    </dsp:sp>
    <dsp:sp modelId="{BD70019D-31D3-42D3-B6B0-E929183FCD5C}">
      <dsp:nvSpPr>
        <dsp:cNvPr id="0" name=""/>
        <dsp:cNvSpPr/>
      </dsp:nvSpPr>
      <dsp:spPr>
        <a:xfrm>
          <a:off x="1693112" y="6212"/>
          <a:ext cx="955741" cy="9557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Number of possible options</a:t>
          </a:r>
        </a:p>
      </dsp:txBody>
      <dsp:txXfrm>
        <a:off x="1833077" y="146177"/>
        <a:ext cx="675811" cy="675811"/>
      </dsp:txXfrm>
    </dsp:sp>
    <dsp:sp modelId="{926CFB37-B4AE-47DA-A095-86EA4B7C0D5E}">
      <dsp:nvSpPr>
        <dsp:cNvPr id="0" name=""/>
        <dsp:cNvSpPr/>
      </dsp:nvSpPr>
      <dsp:spPr>
        <a:xfrm>
          <a:off x="3049940" y="659626"/>
          <a:ext cx="955741" cy="9557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Assessment of outcome probabilities</a:t>
          </a:r>
        </a:p>
      </dsp:txBody>
      <dsp:txXfrm>
        <a:off x="3189905" y="799591"/>
        <a:ext cx="675811" cy="675811"/>
      </dsp:txXfrm>
    </dsp:sp>
    <dsp:sp modelId="{98D56B32-330F-45C6-A7F6-9BBDEF559B77}">
      <dsp:nvSpPr>
        <dsp:cNvPr id="0" name=""/>
        <dsp:cNvSpPr/>
      </dsp:nvSpPr>
      <dsp:spPr>
        <a:xfrm>
          <a:off x="3385049" y="2127834"/>
          <a:ext cx="955741" cy="9557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Availability of information</a:t>
          </a:r>
        </a:p>
      </dsp:txBody>
      <dsp:txXfrm>
        <a:off x="3525014" y="2267799"/>
        <a:ext cx="675811" cy="675811"/>
      </dsp:txXfrm>
    </dsp:sp>
    <dsp:sp modelId="{D0EA4ED9-2C2D-4D59-9FD6-C3AADB5D82F4}">
      <dsp:nvSpPr>
        <dsp:cNvPr id="0" name=""/>
        <dsp:cNvSpPr/>
      </dsp:nvSpPr>
      <dsp:spPr>
        <a:xfrm>
          <a:off x="2446095" y="3305245"/>
          <a:ext cx="955741" cy="9557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Value criteria and their cues</a:t>
          </a:r>
        </a:p>
      </dsp:txBody>
      <dsp:txXfrm>
        <a:off x="2586060" y="3445210"/>
        <a:ext cx="675811" cy="675811"/>
      </dsp:txXfrm>
    </dsp:sp>
    <dsp:sp modelId="{E3D1E3F2-B399-4E49-9DE5-726B621C041E}">
      <dsp:nvSpPr>
        <dsp:cNvPr id="0" name=""/>
        <dsp:cNvSpPr/>
      </dsp:nvSpPr>
      <dsp:spPr>
        <a:xfrm>
          <a:off x="940129" y="3305245"/>
          <a:ext cx="955741" cy="9557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Cognitive resources and  biases</a:t>
          </a:r>
        </a:p>
      </dsp:txBody>
      <dsp:txXfrm>
        <a:off x="1080094" y="3445210"/>
        <a:ext cx="675811" cy="675811"/>
      </dsp:txXfrm>
    </dsp:sp>
    <dsp:sp modelId="{CF047ADC-7EA8-4ECF-8B8B-D760F4E628E2}">
      <dsp:nvSpPr>
        <dsp:cNvPr id="0" name=""/>
        <dsp:cNvSpPr/>
      </dsp:nvSpPr>
      <dsp:spPr>
        <a:xfrm>
          <a:off x="1175" y="2127834"/>
          <a:ext cx="955741" cy="9557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Individual risk tolerance</a:t>
          </a:r>
        </a:p>
      </dsp:txBody>
      <dsp:txXfrm>
        <a:off x="141140" y="2267799"/>
        <a:ext cx="675811" cy="675811"/>
      </dsp:txXfrm>
    </dsp:sp>
    <dsp:sp modelId="{9712BEFB-4677-46F2-87E2-15233743DA98}">
      <dsp:nvSpPr>
        <dsp:cNvPr id="0" name=""/>
        <dsp:cNvSpPr/>
      </dsp:nvSpPr>
      <dsp:spPr>
        <a:xfrm>
          <a:off x="336284" y="659626"/>
          <a:ext cx="955741" cy="9557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Social environment</a:t>
          </a:r>
        </a:p>
      </dsp:txBody>
      <dsp:txXfrm>
        <a:off x="476249" y="799591"/>
        <a:ext cx="675811" cy="6758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C870-DC38-4E89-B0BE-05A18C04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Harrison</dc:creator>
  <cp:lastModifiedBy>Neil Harrison</cp:lastModifiedBy>
  <cp:revision>2</cp:revision>
  <dcterms:created xsi:type="dcterms:W3CDTF">2016-06-28T12:53:00Z</dcterms:created>
  <dcterms:modified xsi:type="dcterms:W3CDTF">2016-06-28T12:53:00Z</dcterms:modified>
</cp:coreProperties>
</file>