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F5" w:rsidRDefault="00B1441B" w:rsidP="00163B61">
      <w:pPr>
        <w:jc w:val="center"/>
        <w:rPr>
          <w:rFonts w:asciiTheme="majorBidi" w:hAnsiTheme="majorBidi" w:cstheme="majorBidi"/>
          <w:b/>
          <w:bCs/>
          <w:sz w:val="24"/>
          <w:szCs w:val="24"/>
        </w:rPr>
      </w:pPr>
      <w:r w:rsidRPr="008614D5">
        <w:rPr>
          <w:rFonts w:asciiTheme="majorBidi" w:hAnsiTheme="majorBidi" w:cstheme="majorBidi"/>
          <w:b/>
          <w:bCs/>
          <w:sz w:val="24"/>
          <w:szCs w:val="24"/>
        </w:rPr>
        <w:t>The connectedness between crude oil</w:t>
      </w:r>
      <w:r w:rsidR="00163B61">
        <w:rPr>
          <w:rFonts w:asciiTheme="majorBidi" w:hAnsiTheme="majorBidi" w:cstheme="majorBidi"/>
          <w:b/>
          <w:bCs/>
          <w:sz w:val="24"/>
          <w:szCs w:val="24"/>
        </w:rPr>
        <w:t xml:space="preserve"> </w:t>
      </w:r>
      <w:r w:rsidR="00EB620A" w:rsidRPr="008614D5">
        <w:rPr>
          <w:rFonts w:asciiTheme="majorBidi" w:hAnsiTheme="majorBidi" w:cstheme="majorBidi"/>
          <w:b/>
          <w:bCs/>
          <w:sz w:val="24"/>
          <w:szCs w:val="24"/>
        </w:rPr>
        <w:t xml:space="preserve">and </w:t>
      </w:r>
      <w:r w:rsidR="00163B61">
        <w:rPr>
          <w:rFonts w:asciiTheme="majorBidi" w:hAnsiTheme="majorBidi" w:cstheme="majorBidi"/>
          <w:b/>
          <w:bCs/>
          <w:sz w:val="24"/>
          <w:szCs w:val="24"/>
        </w:rPr>
        <w:t xml:space="preserve">financial </w:t>
      </w:r>
      <w:r w:rsidR="00EB620A" w:rsidRPr="008614D5">
        <w:rPr>
          <w:rFonts w:asciiTheme="majorBidi" w:hAnsiTheme="majorBidi" w:cstheme="majorBidi"/>
          <w:b/>
          <w:bCs/>
          <w:sz w:val="24"/>
          <w:szCs w:val="24"/>
        </w:rPr>
        <w:t>markets</w:t>
      </w:r>
      <w:r w:rsidRPr="008614D5">
        <w:rPr>
          <w:rFonts w:asciiTheme="majorBidi" w:hAnsiTheme="majorBidi" w:cstheme="majorBidi"/>
          <w:b/>
          <w:bCs/>
          <w:sz w:val="24"/>
          <w:szCs w:val="24"/>
        </w:rPr>
        <w:t xml:space="preserve">: </w:t>
      </w:r>
    </w:p>
    <w:p w:rsidR="00B1441B" w:rsidRDefault="00163B61" w:rsidP="00163B61">
      <w:pPr>
        <w:jc w:val="center"/>
        <w:rPr>
          <w:rFonts w:asciiTheme="majorBidi" w:hAnsiTheme="majorBidi" w:cstheme="majorBidi"/>
          <w:b/>
          <w:bCs/>
          <w:sz w:val="24"/>
          <w:szCs w:val="24"/>
        </w:rPr>
      </w:pPr>
      <w:r>
        <w:rPr>
          <w:rFonts w:asciiTheme="majorBidi" w:hAnsiTheme="majorBidi" w:cstheme="majorBidi"/>
          <w:b/>
          <w:bCs/>
          <w:sz w:val="24"/>
          <w:szCs w:val="24"/>
        </w:rPr>
        <w:t>E</w:t>
      </w:r>
      <w:r w:rsidR="00B1441B" w:rsidRPr="008614D5">
        <w:rPr>
          <w:rFonts w:asciiTheme="majorBidi" w:hAnsiTheme="majorBidi" w:cstheme="majorBidi"/>
          <w:b/>
          <w:bCs/>
          <w:sz w:val="24"/>
          <w:szCs w:val="24"/>
        </w:rPr>
        <w:t>vidence from implied volatility indices</w:t>
      </w:r>
    </w:p>
    <w:p w:rsidR="001D1BE7" w:rsidRDefault="001D1BE7" w:rsidP="00163B61">
      <w:pPr>
        <w:jc w:val="center"/>
        <w:rPr>
          <w:rFonts w:asciiTheme="majorBidi" w:hAnsiTheme="majorBidi" w:cstheme="majorBidi"/>
          <w:b/>
          <w:bCs/>
          <w:sz w:val="24"/>
          <w:szCs w:val="24"/>
        </w:rPr>
      </w:pPr>
    </w:p>
    <w:p w:rsidR="001D1BE7" w:rsidRDefault="001D1BE7" w:rsidP="001D1BE7">
      <w:pPr>
        <w:jc w:val="center"/>
        <w:rPr>
          <w:rFonts w:asciiTheme="majorBidi" w:hAnsiTheme="majorBidi" w:cstheme="majorBidi"/>
          <w:b/>
          <w:bCs/>
          <w:sz w:val="24"/>
          <w:szCs w:val="24"/>
        </w:rPr>
      </w:pPr>
      <w:r w:rsidRPr="001D1BE7">
        <w:rPr>
          <w:rFonts w:asciiTheme="majorBidi" w:hAnsiTheme="majorBidi" w:cstheme="majorBidi"/>
          <w:b/>
          <w:bCs/>
          <w:sz w:val="24"/>
          <w:szCs w:val="24"/>
        </w:rPr>
        <w:t xml:space="preserve">Basel </w:t>
      </w:r>
      <w:proofErr w:type="spellStart"/>
      <w:r w:rsidRPr="001D1BE7">
        <w:rPr>
          <w:rFonts w:asciiTheme="majorBidi" w:hAnsiTheme="majorBidi" w:cstheme="majorBidi"/>
          <w:b/>
          <w:bCs/>
          <w:sz w:val="24"/>
          <w:szCs w:val="24"/>
        </w:rPr>
        <w:t>Awartani</w:t>
      </w:r>
      <w:proofErr w:type="spellEnd"/>
      <w:r w:rsidRPr="001D1BE7">
        <w:rPr>
          <w:rFonts w:asciiTheme="majorBidi" w:hAnsiTheme="majorBidi" w:cstheme="majorBidi"/>
          <w:b/>
          <w:bCs/>
          <w:sz w:val="24"/>
          <w:szCs w:val="24"/>
        </w:rPr>
        <w:t xml:space="preserve"> </w:t>
      </w:r>
    </w:p>
    <w:p w:rsidR="001D1BE7" w:rsidRDefault="001D1BE7" w:rsidP="001D1BE7">
      <w:pPr>
        <w:jc w:val="center"/>
        <w:rPr>
          <w:rFonts w:asciiTheme="majorBidi" w:hAnsiTheme="majorBidi" w:cstheme="majorBidi"/>
          <w:b/>
          <w:bCs/>
          <w:sz w:val="24"/>
          <w:szCs w:val="24"/>
        </w:rPr>
      </w:pPr>
      <w:proofErr w:type="spellStart"/>
      <w:r w:rsidRPr="001D1BE7">
        <w:rPr>
          <w:rFonts w:asciiTheme="majorBidi" w:hAnsiTheme="majorBidi" w:cstheme="majorBidi"/>
          <w:b/>
          <w:bCs/>
          <w:sz w:val="24"/>
          <w:szCs w:val="24"/>
        </w:rPr>
        <w:t>Aktam</w:t>
      </w:r>
      <w:proofErr w:type="spellEnd"/>
      <w:r w:rsidRPr="001D1BE7">
        <w:rPr>
          <w:rFonts w:asciiTheme="majorBidi" w:hAnsiTheme="majorBidi" w:cstheme="majorBidi"/>
          <w:b/>
          <w:bCs/>
          <w:sz w:val="24"/>
          <w:szCs w:val="24"/>
        </w:rPr>
        <w:t xml:space="preserve"> </w:t>
      </w:r>
      <w:proofErr w:type="spellStart"/>
      <w:r w:rsidRPr="001D1BE7">
        <w:rPr>
          <w:rFonts w:asciiTheme="majorBidi" w:hAnsiTheme="majorBidi" w:cstheme="majorBidi"/>
          <w:b/>
          <w:bCs/>
          <w:sz w:val="24"/>
          <w:szCs w:val="24"/>
        </w:rPr>
        <w:t>Maghyereh</w:t>
      </w:r>
      <w:proofErr w:type="spellEnd"/>
      <w:r w:rsidRPr="001D1BE7">
        <w:rPr>
          <w:rFonts w:asciiTheme="majorBidi" w:hAnsiTheme="majorBidi" w:cstheme="majorBidi"/>
          <w:b/>
          <w:bCs/>
          <w:sz w:val="24"/>
          <w:szCs w:val="24"/>
        </w:rPr>
        <w:t xml:space="preserve"> </w:t>
      </w:r>
    </w:p>
    <w:p w:rsidR="001D1BE7" w:rsidRPr="008614D5" w:rsidRDefault="001D1BE7" w:rsidP="00163B61">
      <w:pPr>
        <w:jc w:val="center"/>
        <w:rPr>
          <w:b/>
          <w:bCs/>
          <w:sz w:val="24"/>
          <w:szCs w:val="24"/>
        </w:rPr>
      </w:pPr>
      <w:bookmarkStart w:id="0" w:name="_GoBack"/>
      <w:bookmarkEnd w:id="0"/>
      <w:r w:rsidRPr="001D1BE7">
        <w:rPr>
          <w:rFonts w:asciiTheme="majorBidi" w:hAnsiTheme="majorBidi" w:cstheme="majorBidi"/>
          <w:b/>
          <w:bCs/>
          <w:sz w:val="24"/>
          <w:szCs w:val="24"/>
        </w:rPr>
        <w:t>Cherif Guermat</w:t>
      </w:r>
    </w:p>
    <w:p w:rsidR="00B1441B" w:rsidRDefault="00B1441B" w:rsidP="00B1441B">
      <w:pPr>
        <w:jc w:val="center"/>
        <w:rPr>
          <w:rFonts w:asciiTheme="majorBidi" w:hAnsiTheme="majorBidi" w:cstheme="majorBidi"/>
          <w:b/>
          <w:bCs/>
          <w:color w:val="231F20"/>
        </w:rPr>
      </w:pPr>
    </w:p>
    <w:tbl>
      <w:tblPr>
        <w:tblW w:w="0" w:type="auto"/>
        <w:tblCellSpacing w:w="15" w:type="dxa"/>
        <w:tblLook w:val="04A0" w:firstRow="1" w:lastRow="0" w:firstColumn="1" w:lastColumn="0" w:noHBand="0" w:noVBand="1"/>
      </w:tblPr>
      <w:tblGrid>
        <w:gridCol w:w="96"/>
      </w:tblGrid>
      <w:tr w:rsidR="001D1BE7" w:rsidRPr="001D1BE7" w:rsidTr="001D1BE7">
        <w:trPr>
          <w:tblCellSpacing w:w="15" w:type="dxa"/>
        </w:trPr>
        <w:tc>
          <w:tcPr>
            <w:tcW w:w="0" w:type="auto"/>
            <w:tcMar>
              <w:top w:w="15" w:type="dxa"/>
              <w:left w:w="15" w:type="dxa"/>
              <w:bottom w:w="15" w:type="dxa"/>
              <w:right w:w="15" w:type="dxa"/>
            </w:tcMar>
            <w:hideMark/>
          </w:tcPr>
          <w:p w:rsidR="001D1BE7" w:rsidRPr="001D1BE7" w:rsidRDefault="001D1BE7" w:rsidP="001D1BE7">
            <w:pPr>
              <w:rPr>
                <w:rFonts w:asciiTheme="majorBidi" w:hAnsiTheme="majorBidi" w:cstheme="majorBidi"/>
                <w:b/>
                <w:bCs/>
                <w:sz w:val="24"/>
                <w:szCs w:val="24"/>
              </w:rPr>
            </w:pPr>
          </w:p>
        </w:tc>
      </w:tr>
    </w:tbl>
    <w:p w:rsidR="00B1441B" w:rsidRDefault="00B1441B" w:rsidP="00B1441B">
      <w:pPr>
        <w:jc w:val="center"/>
        <w:rPr>
          <w:rFonts w:asciiTheme="majorBidi" w:hAnsiTheme="majorBidi" w:cstheme="majorBidi"/>
          <w:b/>
          <w:bCs/>
          <w:color w:val="231F20"/>
        </w:rPr>
      </w:pPr>
    </w:p>
    <w:p w:rsidR="00B1441B" w:rsidRDefault="00B1441B" w:rsidP="00B1441B">
      <w:pPr>
        <w:jc w:val="center"/>
        <w:rPr>
          <w:rFonts w:asciiTheme="majorBidi" w:hAnsiTheme="majorBidi" w:cstheme="majorBidi"/>
          <w:b/>
          <w:bCs/>
          <w:color w:val="231F20"/>
        </w:rPr>
      </w:pPr>
    </w:p>
    <w:p w:rsidR="00B1441B" w:rsidRDefault="00B1441B" w:rsidP="000A7D95">
      <w:pPr>
        <w:jc w:val="center"/>
        <w:rPr>
          <w:rFonts w:asciiTheme="majorBidi" w:hAnsiTheme="majorBidi" w:cstheme="majorBidi"/>
          <w:b/>
          <w:bCs/>
          <w:color w:val="231F20"/>
        </w:rPr>
      </w:pPr>
      <w:r>
        <w:rPr>
          <w:rFonts w:asciiTheme="majorBidi" w:hAnsiTheme="majorBidi" w:cstheme="majorBidi"/>
          <w:b/>
          <w:bCs/>
          <w:color w:val="231F20"/>
        </w:rPr>
        <w:t>Abstract</w:t>
      </w:r>
    </w:p>
    <w:p w:rsidR="00DE31CB" w:rsidRPr="001731A3" w:rsidRDefault="00B1441B" w:rsidP="00EE7F48">
      <w:pPr>
        <w:autoSpaceDE w:val="0"/>
        <w:autoSpaceDN w:val="0"/>
        <w:adjustRightInd w:val="0"/>
        <w:jc w:val="both"/>
        <w:rPr>
          <w:rFonts w:ascii="Times New Roman" w:hAnsi="Times New Roman" w:cs="Times New Roman"/>
          <w:sz w:val="24"/>
          <w:szCs w:val="24"/>
        </w:rPr>
      </w:pPr>
      <w:r w:rsidRPr="001731A3">
        <w:rPr>
          <w:rFonts w:asciiTheme="majorBidi" w:hAnsiTheme="majorBidi" w:cstheme="majorBidi"/>
          <w:color w:val="231F20"/>
          <w:sz w:val="24"/>
          <w:szCs w:val="24"/>
        </w:rPr>
        <w:t xml:space="preserve">In this paper we </w:t>
      </w:r>
      <w:r w:rsidR="00A24426" w:rsidRPr="001731A3">
        <w:rPr>
          <w:rFonts w:asciiTheme="majorBidi" w:hAnsiTheme="majorBidi" w:cstheme="majorBidi"/>
          <w:color w:val="231F20"/>
          <w:sz w:val="24"/>
          <w:szCs w:val="24"/>
        </w:rPr>
        <w:t>exploit newly introduced implied volatility ind</w:t>
      </w:r>
      <w:r w:rsidR="007E3488">
        <w:rPr>
          <w:rFonts w:asciiTheme="majorBidi" w:hAnsiTheme="majorBidi" w:cstheme="majorBidi"/>
          <w:color w:val="231F20"/>
          <w:sz w:val="24"/>
          <w:szCs w:val="24"/>
        </w:rPr>
        <w:t>exes</w:t>
      </w:r>
      <w:r w:rsidR="00A24426" w:rsidRPr="001731A3">
        <w:rPr>
          <w:rFonts w:asciiTheme="majorBidi" w:hAnsiTheme="majorBidi" w:cstheme="majorBidi"/>
          <w:color w:val="231F20"/>
          <w:sz w:val="24"/>
          <w:szCs w:val="24"/>
        </w:rPr>
        <w:t xml:space="preserve"> to investigate </w:t>
      </w:r>
      <w:r w:rsidR="00E66F70" w:rsidRPr="001731A3">
        <w:rPr>
          <w:rFonts w:asciiTheme="majorBidi" w:hAnsiTheme="majorBidi" w:cstheme="majorBidi"/>
          <w:color w:val="231F20"/>
          <w:sz w:val="24"/>
          <w:szCs w:val="24"/>
        </w:rPr>
        <w:t>the directional risk transfer from oil to US equities, Euro/Dollar exchange rate</w:t>
      </w:r>
      <w:r w:rsidR="00BC12A2" w:rsidRPr="001731A3">
        <w:rPr>
          <w:rFonts w:asciiTheme="majorBidi" w:hAnsiTheme="majorBidi" w:cstheme="majorBidi"/>
          <w:color w:val="231F20"/>
          <w:sz w:val="24"/>
          <w:szCs w:val="24"/>
        </w:rPr>
        <w:t>s</w:t>
      </w:r>
      <w:r w:rsidR="00E66F70" w:rsidRPr="001731A3">
        <w:rPr>
          <w:rFonts w:asciiTheme="majorBidi" w:hAnsiTheme="majorBidi" w:cstheme="majorBidi"/>
          <w:color w:val="231F20"/>
          <w:sz w:val="24"/>
          <w:szCs w:val="24"/>
        </w:rPr>
        <w:t>, precious metals and agricultural commodities.</w:t>
      </w:r>
      <w:r w:rsidR="00F67CE7" w:rsidRPr="001731A3">
        <w:rPr>
          <w:rFonts w:ascii="Times New Roman" w:hAnsi="Times New Roman" w:cs="Times New Roman"/>
          <w:sz w:val="24"/>
          <w:szCs w:val="24"/>
        </w:rPr>
        <w:t xml:space="preserve"> </w:t>
      </w:r>
      <w:r w:rsidR="001D5347" w:rsidRPr="001731A3">
        <w:rPr>
          <w:rFonts w:ascii="Times New Roman" w:hAnsi="Times New Roman" w:cs="Times New Roman"/>
          <w:sz w:val="24"/>
          <w:szCs w:val="24"/>
        </w:rPr>
        <w:t xml:space="preserve">We find </w:t>
      </w:r>
      <w:r w:rsidR="00DE31CB" w:rsidRPr="001731A3">
        <w:rPr>
          <w:rFonts w:ascii="Times New Roman" w:hAnsi="Times New Roman" w:cs="Times New Roman"/>
          <w:sz w:val="24"/>
          <w:szCs w:val="24"/>
        </w:rPr>
        <w:t>significant</w:t>
      </w:r>
      <w:r w:rsidR="00F67CE7" w:rsidRPr="001731A3">
        <w:rPr>
          <w:rFonts w:ascii="Times New Roman" w:hAnsi="Times New Roman" w:cs="Times New Roman"/>
          <w:sz w:val="24"/>
          <w:szCs w:val="24"/>
        </w:rPr>
        <w:t xml:space="preserve"> volatility transmission from oil to equities</w:t>
      </w:r>
      <w:r w:rsidR="00DE31CB" w:rsidRPr="001731A3">
        <w:rPr>
          <w:rFonts w:ascii="Times New Roman" w:hAnsi="Times New Roman" w:cs="Times New Roman"/>
          <w:sz w:val="24"/>
          <w:szCs w:val="24"/>
        </w:rPr>
        <w:t xml:space="preserve"> </w:t>
      </w:r>
      <w:r w:rsidR="003A01D0" w:rsidRPr="001731A3">
        <w:rPr>
          <w:rFonts w:ascii="Times New Roman" w:hAnsi="Times New Roman" w:cs="Times New Roman"/>
          <w:sz w:val="24"/>
          <w:szCs w:val="24"/>
        </w:rPr>
        <w:t>but</w:t>
      </w:r>
      <w:r w:rsidR="001D5347" w:rsidRPr="001731A3">
        <w:rPr>
          <w:rFonts w:ascii="Times New Roman" w:hAnsi="Times New Roman" w:cs="Times New Roman"/>
          <w:sz w:val="24"/>
          <w:szCs w:val="24"/>
        </w:rPr>
        <w:t xml:space="preserve"> </w:t>
      </w:r>
      <w:r w:rsidR="00F67CE7" w:rsidRPr="001731A3">
        <w:rPr>
          <w:rFonts w:ascii="Times New Roman" w:hAnsi="Times New Roman" w:cs="Times New Roman"/>
          <w:sz w:val="24"/>
          <w:szCs w:val="24"/>
        </w:rPr>
        <w:t xml:space="preserve">little transmission to agricultural commodities. </w:t>
      </w:r>
      <w:r w:rsidR="00DE31CB" w:rsidRPr="001731A3">
        <w:rPr>
          <w:rFonts w:ascii="Times New Roman" w:hAnsi="Times New Roman" w:cs="Times New Roman"/>
          <w:sz w:val="24"/>
          <w:szCs w:val="24"/>
        </w:rPr>
        <w:t>The total pairwise directional connectedness to equities is around 20.4%, while it is</w:t>
      </w:r>
      <w:r w:rsidR="003A01D0" w:rsidRPr="001731A3">
        <w:rPr>
          <w:rFonts w:ascii="Times New Roman" w:hAnsi="Times New Roman" w:cs="Times New Roman"/>
          <w:sz w:val="24"/>
          <w:szCs w:val="24"/>
        </w:rPr>
        <w:t xml:space="preserve"> only</w:t>
      </w:r>
      <w:r w:rsidR="00DE31CB" w:rsidRPr="001731A3">
        <w:rPr>
          <w:rFonts w:ascii="Times New Roman" w:hAnsi="Times New Roman" w:cs="Times New Roman"/>
          <w:sz w:val="24"/>
          <w:szCs w:val="24"/>
        </w:rPr>
        <w:t xml:space="preserve"> 1.6%, 1.0% and 2.0% to wheat</w:t>
      </w:r>
      <w:r w:rsidR="007E3488">
        <w:rPr>
          <w:rFonts w:ascii="Times New Roman" w:hAnsi="Times New Roman" w:cs="Times New Roman"/>
          <w:sz w:val="24"/>
          <w:szCs w:val="24"/>
        </w:rPr>
        <w:t>,</w:t>
      </w:r>
      <w:r w:rsidR="00DE31CB" w:rsidRPr="001731A3">
        <w:rPr>
          <w:rFonts w:ascii="Times New Roman" w:hAnsi="Times New Roman" w:cs="Times New Roman"/>
          <w:sz w:val="24"/>
          <w:szCs w:val="24"/>
        </w:rPr>
        <w:t xml:space="preserve"> corn</w:t>
      </w:r>
      <w:r w:rsidR="007E3488">
        <w:rPr>
          <w:rFonts w:ascii="Times New Roman" w:hAnsi="Times New Roman" w:cs="Times New Roman"/>
          <w:sz w:val="24"/>
          <w:szCs w:val="24"/>
        </w:rPr>
        <w:t>,</w:t>
      </w:r>
      <w:r w:rsidR="00DE31CB" w:rsidRPr="001731A3">
        <w:rPr>
          <w:rFonts w:ascii="Times New Roman" w:hAnsi="Times New Roman" w:cs="Times New Roman"/>
          <w:sz w:val="24"/>
          <w:szCs w:val="24"/>
        </w:rPr>
        <w:t xml:space="preserve"> and soybeans respectively.</w:t>
      </w:r>
      <w:r w:rsidR="004E4142" w:rsidRPr="001731A3">
        <w:rPr>
          <w:rFonts w:ascii="Times New Roman" w:hAnsi="Times New Roman" w:cs="Times New Roman"/>
          <w:sz w:val="24"/>
          <w:szCs w:val="24"/>
        </w:rPr>
        <w:t xml:space="preserve"> </w:t>
      </w:r>
      <w:r w:rsidR="00951679">
        <w:rPr>
          <w:rFonts w:ascii="Times New Roman" w:hAnsi="Times New Roman" w:cs="Times New Roman"/>
          <w:sz w:val="24"/>
          <w:szCs w:val="24"/>
        </w:rPr>
        <w:t>T</w:t>
      </w:r>
      <w:r w:rsidR="001D5347" w:rsidRPr="001731A3">
        <w:rPr>
          <w:rFonts w:ascii="Times New Roman" w:hAnsi="Times New Roman" w:cs="Times New Roman"/>
          <w:sz w:val="24"/>
          <w:szCs w:val="24"/>
        </w:rPr>
        <w:t xml:space="preserve">he </w:t>
      </w:r>
      <w:r w:rsidR="004E4142" w:rsidRPr="001731A3">
        <w:rPr>
          <w:rFonts w:ascii="Times New Roman" w:hAnsi="Times New Roman" w:cs="Times New Roman"/>
          <w:sz w:val="24"/>
          <w:szCs w:val="24"/>
        </w:rPr>
        <w:t xml:space="preserve">risk spillover from oil to precious metals and Euro/Dollar </w:t>
      </w:r>
      <w:r w:rsidR="00BC12A2" w:rsidRPr="001731A3">
        <w:rPr>
          <w:rFonts w:ascii="Times New Roman" w:hAnsi="Times New Roman" w:cs="Times New Roman"/>
          <w:sz w:val="24"/>
          <w:szCs w:val="24"/>
        </w:rPr>
        <w:t xml:space="preserve">foreign exchange </w:t>
      </w:r>
      <w:r w:rsidR="00853EDE" w:rsidRPr="001731A3">
        <w:rPr>
          <w:rFonts w:ascii="Times New Roman" w:hAnsi="Times New Roman" w:cs="Times New Roman"/>
          <w:sz w:val="24"/>
          <w:szCs w:val="24"/>
        </w:rPr>
        <w:t>rate</w:t>
      </w:r>
      <w:r w:rsidR="00BC12A2" w:rsidRPr="001731A3">
        <w:rPr>
          <w:rFonts w:ascii="Times New Roman" w:hAnsi="Times New Roman" w:cs="Times New Roman"/>
          <w:sz w:val="24"/>
          <w:szCs w:val="24"/>
        </w:rPr>
        <w:t>s</w:t>
      </w:r>
      <w:r w:rsidR="00951679">
        <w:rPr>
          <w:rFonts w:ascii="Times New Roman" w:hAnsi="Times New Roman" w:cs="Times New Roman"/>
          <w:sz w:val="24"/>
          <w:szCs w:val="24"/>
        </w:rPr>
        <w:t xml:space="preserve"> is moderate</w:t>
      </w:r>
      <w:r w:rsidR="004E4142" w:rsidRPr="001731A3">
        <w:rPr>
          <w:rFonts w:ascii="Times New Roman" w:hAnsi="Times New Roman" w:cs="Times New Roman"/>
          <w:sz w:val="24"/>
          <w:szCs w:val="24"/>
        </w:rPr>
        <w:t xml:space="preserve">. </w:t>
      </w:r>
      <w:r w:rsidR="001D5347" w:rsidRPr="001731A3">
        <w:rPr>
          <w:rFonts w:ascii="Times New Roman" w:hAnsi="Times New Roman" w:cs="Times New Roman"/>
          <w:sz w:val="24"/>
          <w:szCs w:val="24"/>
        </w:rPr>
        <w:t xml:space="preserve">For instance, </w:t>
      </w:r>
      <w:r w:rsidR="003A01D0" w:rsidRPr="001731A3">
        <w:rPr>
          <w:rFonts w:ascii="Times New Roman" w:hAnsi="Times New Roman" w:cs="Times New Roman"/>
          <w:sz w:val="24"/>
          <w:szCs w:val="24"/>
        </w:rPr>
        <w:t xml:space="preserve">the </w:t>
      </w:r>
      <w:r w:rsidR="001D5347" w:rsidRPr="001731A3">
        <w:rPr>
          <w:rFonts w:ascii="Times New Roman" w:hAnsi="Times New Roman" w:cs="Times New Roman"/>
          <w:sz w:val="24"/>
          <w:szCs w:val="24"/>
        </w:rPr>
        <w:t>oil</w:t>
      </w:r>
      <w:r w:rsidR="004E4142" w:rsidRPr="001731A3">
        <w:rPr>
          <w:rFonts w:ascii="Times New Roman" w:hAnsi="Times New Roman" w:cs="Times New Roman"/>
          <w:sz w:val="24"/>
          <w:szCs w:val="24"/>
        </w:rPr>
        <w:t xml:space="preserve"> </w:t>
      </w:r>
      <w:r w:rsidR="00BC12A2" w:rsidRPr="001731A3">
        <w:rPr>
          <w:rFonts w:ascii="Times New Roman" w:hAnsi="Times New Roman" w:cs="Times New Roman"/>
          <w:sz w:val="24"/>
          <w:szCs w:val="24"/>
        </w:rPr>
        <w:t>market uncertainty</w:t>
      </w:r>
      <w:r w:rsidR="00853EDE" w:rsidRPr="001731A3">
        <w:rPr>
          <w:rFonts w:ascii="Times New Roman" w:hAnsi="Times New Roman" w:cs="Times New Roman"/>
          <w:sz w:val="24"/>
          <w:szCs w:val="24"/>
        </w:rPr>
        <w:t xml:space="preserve"> </w:t>
      </w:r>
      <w:r w:rsidR="001D5347" w:rsidRPr="001731A3">
        <w:rPr>
          <w:rFonts w:ascii="Times New Roman" w:hAnsi="Times New Roman" w:cs="Times New Roman"/>
          <w:sz w:val="24"/>
          <w:szCs w:val="24"/>
        </w:rPr>
        <w:t>spills 11.0%, 11.1% and 8.9%</w:t>
      </w:r>
      <w:r w:rsidR="00DE31CB" w:rsidRPr="001731A3">
        <w:rPr>
          <w:rFonts w:ascii="Times New Roman" w:hAnsi="Times New Roman" w:cs="Times New Roman"/>
          <w:sz w:val="24"/>
          <w:szCs w:val="24"/>
        </w:rPr>
        <w:t xml:space="preserve"> </w:t>
      </w:r>
      <w:r w:rsidR="001D5347" w:rsidRPr="001731A3">
        <w:rPr>
          <w:rFonts w:ascii="Times New Roman" w:hAnsi="Times New Roman" w:cs="Times New Roman"/>
          <w:sz w:val="24"/>
          <w:szCs w:val="24"/>
        </w:rPr>
        <w:t>to gold, silver and</w:t>
      </w:r>
      <w:r w:rsidR="003A01D0" w:rsidRPr="001731A3">
        <w:rPr>
          <w:rFonts w:ascii="Times New Roman" w:hAnsi="Times New Roman" w:cs="Times New Roman"/>
          <w:sz w:val="24"/>
          <w:szCs w:val="24"/>
        </w:rPr>
        <w:t xml:space="preserve"> </w:t>
      </w:r>
      <w:r w:rsidR="001D5347" w:rsidRPr="001731A3">
        <w:rPr>
          <w:rFonts w:ascii="Times New Roman" w:hAnsi="Times New Roman" w:cs="Times New Roman"/>
          <w:sz w:val="24"/>
          <w:szCs w:val="24"/>
        </w:rPr>
        <w:t xml:space="preserve">Euro/Dollar </w:t>
      </w:r>
      <w:r w:rsidR="003A01D0" w:rsidRPr="001731A3">
        <w:rPr>
          <w:rFonts w:ascii="Times New Roman" w:hAnsi="Times New Roman" w:cs="Times New Roman"/>
          <w:sz w:val="24"/>
          <w:szCs w:val="24"/>
        </w:rPr>
        <w:t xml:space="preserve">exchange </w:t>
      </w:r>
      <w:r w:rsidR="001D5347" w:rsidRPr="001731A3">
        <w:rPr>
          <w:rFonts w:ascii="Times New Roman" w:hAnsi="Times New Roman" w:cs="Times New Roman"/>
          <w:sz w:val="24"/>
          <w:szCs w:val="24"/>
        </w:rPr>
        <w:t>rate respectively.</w:t>
      </w:r>
      <w:r w:rsidR="00853EDE" w:rsidRPr="001731A3">
        <w:rPr>
          <w:rFonts w:ascii="Times New Roman" w:hAnsi="Times New Roman" w:cs="Times New Roman"/>
          <w:sz w:val="24"/>
          <w:szCs w:val="24"/>
        </w:rPr>
        <w:t xml:space="preserve"> </w:t>
      </w:r>
      <w:r w:rsidR="00BC12A2" w:rsidRPr="001731A3">
        <w:rPr>
          <w:rFonts w:ascii="Times New Roman" w:hAnsi="Times New Roman" w:cs="Times New Roman"/>
          <w:sz w:val="24"/>
          <w:szCs w:val="24"/>
        </w:rPr>
        <w:t>T</w:t>
      </w:r>
      <w:r w:rsidR="00853EDE" w:rsidRPr="001731A3">
        <w:rPr>
          <w:rFonts w:ascii="Times New Roman" w:hAnsi="Times New Roman" w:cs="Times New Roman"/>
          <w:sz w:val="24"/>
          <w:szCs w:val="24"/>
        </w:rPr>
        <w:t xml:space="preserve">he volatility crossover from all </w:t>
      </w:r>
      <w:r w:rsidR="003A01D0" w:rsidRPr="001731A3">
        <w:rPr>
          <w:rFonts w:ascii="Times New Roman" w:hAnsi="Times New Roman" w:cs="Times New Roman"/>
          <w:sz w:val="24"/>
          <w:szCs w:val="24"/>
        </w:rPr>
        <w:t xml:space="preserve">of </w:t>
      </w:r>
      <w:r w:rsidR="00853EDE" w:rsidRPr="001731A3">
        <w:rPr>
          <w:rFonts w:ascii="Times New Roman" w:hAnsi="Times New Roman" w:cs="Times New Roman"/>
          <w:sz w:val="24"/>
          <w:szCs w:val="24"/>
        </w:rPr>
        <w:t xml:space="preserve">these </w:t>
      </w:r>
      <w:r w:rsidR="00F67CE7" w:rsidRPr="001731A3">
        <w:rPr>
          <w:rFonts w:ascii="Times New Roman" w:hAnsi="Times New Roman" w:cs="Times New Roman"/>
          <w:sz w:val="24"/>
          <w:szCs w:val="24"/>
        </w:rPr>
        <w:t>markets to oil</w:t>
      </w:r>
      <w:r w:rsidR="00853EDE" w:rsidRPr="001731A3">
        <w:rPr>
          <w:rFonts w:ascii="Times New Roman" w:hAnsi="Times New Roman" w:cs="Times New Roman"/>
          <w:sz w:val="24"/>
          <w:szCs w:val="24"/>
        </w:rPr>
        <w:t xml:space="preserve"> </w:t>
      </w:r>
      <w:r w:rsidR="00F67CE7" w:rsidRPr="001731A3">
        <w:rPr>
          <w:rFonts w:ascii="Times New Roman" w:hAnsi="Times New Roman" w:cs="Times New Roman"/>
          <w:sz w:val="24"/>
          <w:szCs w:val="24"/>
        </w:rPr>
        <w:t>is tiny</w:t>
      </w:r>
      <w:r w:rsidR="00951679">
        <w:rPr>
          <w:rFonts w:ascii="Times New Roman" w:hAnsi="Times New Roman" w:cs="Times New Roman"/>
          <w:sz w:val="24"/>
          <w:szCs w:val="24"/>
        </w:rPr>
        <w:t>, implying</w:t>
      </w:r>
      <w:r w:rsidR="00F67CE7" w:rsidRPr="001731A3">
        <w:rPr>
          <w:rFonts w:ascii="Times New Roman" w:hAnsi="Times New Roman" w:cs="Times New Roman"/>
          <w:sz w:val="24"/>
          <w:szCs w:val="24"/>
        </w:rPr>
        <w:t xml:space="preserve"> that oil </w:t>
      </w:r>
      <w:r w:rsidR="00853EDE" w:rsidRPr="001731A3">
        <w:rPr>
          <w:rFonts w:ascii="Times New Roman" w:hAnsi="Times New Roman" w:cs="Times New Roman"/>
          <w:sz w:val="24"/>
          <w:szCs w:val="24"/>
        </w:rPr>
        <w:t xml:space="preserve">is the </w:t>
      </w:r>
      <w:r w:rsidR="00951679">
        <w:rPr>
          <w:rFonts w:ascii="Times New Roman" w:hAnsi="Times New Roman" w:cs="Times New Roman"/>
          <w:sz w:val="24"/>
          <w:szCs w:val="24"/>
        </w:rPr>
        <w:t xml:space="preserve">main driver of its </w:t>
      </w:r>
      <w:r w:rsidR="003A01D0" w:rsidRPr="001731A3">
        <w:rPr>
          <w:rFonts w:ascii="Times New Roman" w:hAnsi="Times New Roman" w:cs="Times New Roman"/>
          <w:sz w:val="24"/>
          <w:szCs w:val="24"/>
        </w:rPr>
        <w:t xml:space="preserve">association with </w:t>
      </w:r>
      <w:r w:rsidR="00BC12A2" w:rsidRPr="001731A3">
        <w:rPr>
          <w:rFonts w:ascii="Times New Roman" w:hAnsi="Times New Roman" w:cs="Times New Roman"/>
          <w:sz w:val="24"/>
          <w:szCs w:val="24"/>
        </w:rPr>
        <w:t>these</w:t>
      </w:r>
      <w:r w:rsidR="003A01D0" w:rsidRPr="001731A3">
        <w:rPr>
          <w:rFonts w:ascii="Times New Roman" w:hAnsi="Times New Roman" w:cs="Times New Roman"/>
          <w:sz w:val="24"/>
          <w:szCs w:val="24"/>
        </w:rPr>
        <w:t xml:space="preserve"> markets</w:t>
      </w:r>
      <w:r w:rsidR="00F67CE7" w:rsidRPr="001731A3">
        <w:rPr>
          <w:rFonts w:ascii="Times New Roman" w:hAnsi="Times New Roman" w:cs="Times New Roman"/>
          <w:sz w:val="24"/>
          <w:szCs w:val="24"/>
        </w:rPr>
        <w:t>.</w:t>
      </w:r>
      <w:r w:rsidR="003A01D0" w:rsidRPr="001731A3">
        <w:rPr>
          <w:rFonts w:ascii="Times New Roman" w:hAnsi="Times New Roman" w:cs="Times New Roman"/>
          <w:sz w:val="24"/>
          <w:szCs w:val="24"/>
        </w:rPr>
        <w:t xml:space="preserve"> Finally, </w:t>
      </w:r>
      <w:r w:rsidR="00951679">
        <w:rPr>
          <w:rFonts w:ascii="Times New Roman" w:hAnsi="Times New Roman" w:cs="Times New Roman"/>
          <w:sz w:val="24"/>
          <w:szCs w:val="24"/>
        </w:rPr>
        <w:t xml:space="preserve">we provide evidence that the </w:t>
      </w:r>
      <w:r w:rsidR="004A0A57" w:rsidRPr="001731A3">
        <w:rPr>
          <w:rFonts w:ascii="Times New Roman" w:hAnsi="Times New Roman" w:cs="Times New Roman"/>
          <w:sz w:val="24"/>
          <w:szCs w:val="24"/>
        </w:rPr>
        <w:t xml:space="preserve">transmission from oil to </w:t>
      </w:r>
      <w:r w:rsidR="00951679">
        <w:rPr>
          <w:rFonts w:ascii="Times New Roman" w:hAnsi="Times New Roman" w:cs="Times New Roman"/>
          <w:sz w:val="24"/>
          <w:szCs w:val="24"/>
        </w:rPr>
        <w:t xml:space="preserve">other </w:t>
      </w:r>
      <w:r w:rsidR="004A0A57" w:rsidRPr="001731A3">
        <w:rPr>
          <w:rFonts w:ascii="Times New Roman" w:hAnsi="Times New Roman" w:cs="Times New Roman"/>
          <w:sz w:val="24"/>
          <w:szCs w:val="24"/>
        </w:rPr>
        <w:t xml:space="preserve">markets </w:t>
      </w:r>
      <w:r w:rsidR="00951679">
        <w:rPr>
          <w:rFonts w:ascii="Times New Roman" w:hAnsi="Times New Roman" w:cs="Times New Roman"/>
          <w:sz w:val="24"/>
          <w:szCs w:val="24"/>
        </w:rPr>
        <w:t xml:space="preserve">has </w:t>
      </w:r>
      <w:r w:rsidR="00951679" w:rsidRPr="001731A3">
        <w:rPr>
          <w:rFonts w:ascii="Times New Roman" w:hAnsi="Times New Roman" w:cs="Times New Roman"/>
          <w:sz w:val="24"/>
          <w:szCs w:val="24"/>
        </w:rPr>
        <w:t xml:space="preserve">increased </w:t>
      </w:r>
      <w:r w:rsidR="00951679">
        <w:rPr>
          <w:rFonts w:ascii="Times New Roman" w:hAnsi="Times New Roman" w:cs="Times New Roman"/>
          <w:sz w:val="24"/>
          <w:szCs w:val="24"/>
        </w:rPr>
        <w:t xml:space="preserve">since the </w:t>
      </w:r>
      <w:r w:rsidR="004A0A57" w:rsidRPr="001731A3">
        <w:rPr>
          <w:rFonts w:ascii="Times New Roman" w:hAnsi="Times New Roman" w:cs="Times New Roman"/>
          <w:sz w:val="24"/>
          <w:szCs w:val="24"/>
        </w:rPr>
        <w:t xml:space="preserve">collapse </w:t>
      </w:r>
      <w:r w:rsidR="00951679">
        <w:rPr>
          <w:rFonts w:ascii="Times New Roman" w:hAnsi="Times New Roman" w:cs="Times New Roman"/>
          <w:sz w:val="24"/>
          <w:szCs w:val="24"/>
        </w:rPr>
        <w:t xml:space="preserve">of </w:t>
      </w:r>
      <w:r w:rsidR="004A0A57" w:rsidRPr="001731A3">
        <w:rPr>
          <w:rFonts w:ascii="Times New Roman" w:hAnsi="Times New Roman" w:cs="Times New Roman"/>
          <w:sz w:val="24"/>
          <w:szCs w:val="24"/>
        </w:rPr>
        <w:t>oil prices</w:t>
      </w:r>
      <w:r w:rsidR="00951679">
        <w:rPr>
          <w:rFonts w:ascii="Times New Roman" w:hAnsi="Times New Roman" w:cs="Times New Roman"/>
          <w:sz w:val="24"/>
          <w:szCs w:val="24"/>
        </w:rPr>
        <w:t xml:space="preserve"> in July 2014</w:t>
      </w:r>
      <w:r w:rsidR="004A0A57" w:rsidRPr="001731A3">
        <w:rPr>
          <w:rFonts w:ascii="Times New Roman" w:hAnsi="Times New Roman" w:cs="Times New Roman"/>
          <w:sz w:val="24"/>
          <w:szCs w:val="24"/>
        </w:rPr>
        <w:t xml:space="preserve">. </w:t>
      </w:r>
      <w:r w:rsidR="006F56F3" w:rsidRPr="001731A3">
        <w:rPr>
          <w:rFonts w:ascii="Times New Roman" w:hAnsi="Times New Roman" w:cs="Times New Roman"/>
          <w:sz w:val="24"/>
          <w:szCs w:val="24"/>
        </w:rPr>
        <w:t xml:space="preserve">  </w:t>
      </w:r>
      <w:r w:rsidR="00DE31CB" w:rsidRPr="001731A3">
        <w:rPr>
          <w:rFonts w:ascii="Times New Roman" w:hAnsi="Times New Roman" w:cs="Times New Roman"/>
          <w:sz w:val="24"/>
          <w:szCs w:val="24"/>
        </w:rPr>
        <w:t xml:space="preserve"> </w:t>
      </w:r>
    </w:p>
    <w:p w:rsidR="00B1441B" w:rsidRDefault="00B1441B" w:rsidP="00B1441B">
      <w:pPr>
        <w:jc w:val="center"/>
        <w:rPr>
          <w:rFonts w:asciiTheme="majorBidi" w:hAnsiTheme="majorBidi" w:cstheme="majorBidi"/>
          <w:b/>
          <w:bCs/>
          <w:color w:val="231F20"/>
        </w:rPr>
      </w:pPr>
    </w:p>
    <w:p w:rsidR="00B1441B" w:rsidRDefault="00B1441B" w:rsidP="00B1441B">
      <w:pPr>
        <w:jc w:val="center"/>
        <w:rPr>
          <w:rFonts w:asciiTheme="majorBidi" w:hAnsiTheme="majorBidi" w:cstheme="majorBidi"/>
          <w:b/>
          <w:bCs/>
          <w:color w:val="231F20"/>
        </w:rPr>
      </w:pPr>
    </w:p>
    <w:p w:rsidR="00B1441B" w:rsidRDefault="00B1441B" w:rsidP="00B1441B">
      <w:pPr>
        <w:jc w:val="center"/>
        <w:rPr>
          <w:rFonts w:asciiTheme="majorBidi" w:hAnsiTheme="majorBidi" w:cstheme="majorBidi"/>
          <w:b/>
          <w:bCs/>
          <w:color w:val="231F20"/>
        </w:rPr>
      </w:pPr>
    </w:p>
    <w:p w:rsidR="00B1441B" w:rsidRDefault="00B1441B" w:rsidP="00B1441B">
      <w:pPr>
        <w:jc w:val="center"/>
        <w:rPr>
          <w:rFonts w:asciiTheme="majorBidi" w:hAnsiTheme="majorBidi" w:cstheme="majorBidi"/>
          <w:b/>
          <w:bCs/>
          <w:color w:val="231F20"/>
        </w:rPr>
      </w:pPr>
    </w:p>
    <w:p w:rsidR="00B1441B" w:rsidRDefault="00B1441B" w:rsidP="00B1441B">
      <w:pPr>
        <w:jc w:val="center"/>
        <w:rPr>
          <w:rFonts w:asciiTheme="majorBidi" w:hAnsiTheme="majorBidi" w:cstheme="majorBidi"/>
          <w:b/>
          <w:bCs/>
          <w:color w:val="231F20"/>
        </w:rPr>
      </w:pPr>
    </w:p>
    <w:p w:rsidR="00B1441B" w:rsidRDefault="00B1441B" w:rsidP="00B1441B">
      <w:pPr>
        <w:jc w:val="center"/>
        <w:rPr>
          <w:rFonts w:asciiTheme="majorBidi" w:hAnsiTheme="majorBidi" w:cstheme="majorBidi"/>
          <w:b/>
          <w:bCs/>
          <w:color w:val="231F20"/>
        </w:rPr>
      </w:pPr>
    </w:p>
    <w:p w:rsidR="00B1441B" w:rsidRDefault="00B1441B" w:rsidP="00B1441B">
      <w:pPr>
        <w:jc w:val="center"/>
        <w:rPr>
          <w:rFonts w:asciiTheme="majorBidi" w:hAnsiTheme="majorBidi" w:cstheme="majorBidi"/>
          <w:b/>
          <w:bCs/>
          <w:color w:val="231F20"/>
        </w:rPr>
      </w:pPr>
    </w:p>
    <w:p w:rsidR="00994C68" w:rsidRDefault="00994C68" w:rsidP="00B1441B">
      <w:pPr>
        <w:jc w:val="center"/>
        <w:rPr>
          <w:rFonts w:asciiTheme="majorBidi" w:hAnsiTheme="majorBidi" w:cstheme="majorBidi"/>
          <w:b/>
          <w:bCs/>
          <w:color w:val="231F20"/>
        </w:rPr>
      </w:pPr>
    </w:p>
    <w:p w:rsidR="00B1441B" w:rsidRDefault="00B1441B" w:rsidP="00B1441B">
      <w:pPr>
        <w:pStyle w:val="ListParagraph"/>
        <w:ind w:left="284"/>
        <w:rPr>
          <w:rFonts w:asciiTheme="majorBidi" w:hAnsiTheme="majorBidi" w:cstheme="majorBidi"/>
          <w:b/>
          <w:bCs/>
          <w:color w:val="231F20"/>
        </w:rPr>
      </w:pPr>
    </w:p>
    <w:p w:rsidR="00B1441B" w:rsidRPr="00340BE4" w:rsidRDefault="00B1441B" w:rsidP="00EE4003">
      <w:pPr>
        <w:pStyle w:val="ListParagraph"/>
        <w:ind w:left="284"/>
        <w:jc w:val="both"/>
        <w:rPr>
          <w:rFonts w:asciiTheme="majorBidi" w:hAnsiTheme="majorBidi" w:cstheme="majorBidi"/>
          <w:sz w:val="24"/>
          <w:szCs w:val="24"/>
        </w:rPr>
      </w:pPr>
      <w:r w:rsidRPr="00340BE4">
        <w:rPr>
          <w:rFonts w:asciiTheme="majorBidi" w:hAnsiTheme="majorBidi" w:cstheme="majorBidi"/>
          <w:b/>
          <w:bCs/>
          <w:color w:val="231F20"/>
          <w:sz w:val="24"/>
          <w:szCs w:val="24"/>
        </w:rPr>
        <w:t xml:space="preserve">Keywords: </w:t>
      </w:r>
      <w:r w:rsidRPr="00340BE4">
        <w:rPr>
          <w:rFonts w:asciiTheme="majorBidi" w:hAnsiTheme="majorBidi" w:cstheme="majorBidi"/>
          <w:color w:val="231F20"/>
          <w:sz w:val="24"/>
          <w:szCs w:val="24"/>
        </w:rPr>
        <w:t xml:space="preserve">Oil price volatility; equity volatility, directional connectedness; </w:t>
      </w:r>
      <w:r w:rsidRPr="00340BE4">
        <w:rPr>
          <w:rFonts w:asciiTheme="majorBidi" w:hAnsiTheme="majorBidi" w:cstheme="majorBidi"/>
          <w:sz w:val="24"/>
          <w:szCs w:val="24"/>
        </w:rPr>
        <w:t xml:space="preserve">implied volatility. </w:t>
      </w:r>
    </w:p>
    <w:p w:rsidR="00B1441B" w:rsidRPr="00340BE4" w:rsidRDefault="00B1441B" w:rsidP="0041615B">
      <w:pPr>
        <w:pStyle w:val="ListParagraph"/>
        <w:ind w:left="284"/>
        <w:rPr>
          <w:rFonts w:asciiTheme="majorBidi" w:hAnsiTheme="majorBidi" w:cstheme="majorBidi"/>
          <w:color w:val="231F20"/>
          <w:sz w:val="24"/>
          <w:szCs w:val="24"/>
        </w:rPr>
      </w:pPr>
      <w:r w:rsidRPr="00340BE4">
        <w:rPr>
          <w:rFonts w:asciiTheme="majorBidi" w:hAnsiTheme="majorBidi" w:cstheme="majorBidi"/>
          <w:b/>
          <w:bCs/>
          <w:color w:val="231F20"/>
          <w:sz w:val="24"/>
          <w:szCs w:val="24"/>
        </w:rPr>
        <w:t>JE</w:t>
      </w:r>
      <w:r w:rsidR="0041615B" w:rsidRPr="00340BE4">
        <w:rPr>
          <w:rFonts w:asciiTheme="majorBidi" w:hAnsiTheme="majorBidi" w:cstheme="majorBidi"/>
          <w:b/>
          <w:bCs/>
          <w:color w:val="231F20"/>
          <w:sz w:val="24"/>
          <w:szCs w:val="24"/>
        </w:rPr>
        <w:t>L</w:t>
      </w:r>
      <w:r w:rsidRPr="00340BE4">
        <w:rPr>
          <w:rFonts w:asciiTheme="majorBidi" w:hAnsiTheme="majorBidi" w:cstheme="majorBidi"/>
          <w:b/>
          <w:bCs/>
          <w:color w:val="231F20"/>
          <w:sz w:val="24"/>
          <w:szCs w:val="24"/>
        </w:rPr>
        <w:t xml:space="preserve"> Classification: </w:t>
      </w:r>
      <w:r w:rsidRPr="00340BE4">
        <w:rPr>
          <w:rFonts w:asciiTheme="majorBidi" w:hAnsiTheme="majorBidi" w:cstheme="majorBidi"/>
          <w:color w:val="231F20"/>
          <w:sz w:val="24"/>
          <w:szCs w:val="24"/>
        </w:rPr>
        <w:t>E32, C32</w:t>
      </w:r>
    </w:p>
    <w:p w:rsidR="00536B9C" w:rsidRDefault="00536B9C" w:rsidP="00340BE4">
      <w:pPr>
        <w:rPr>
          <w:rFonts w:asciiTheme="majorBidi" w:hAnsiTheme="majorBidi" w:cstheme="majorBidi"/>
          <w:color w:val="231F20"/>
          <w:sz w:val="24"/>
          <w:szCs w:val="24"/>
        </w:rPr>
      </w:pPr>
    </w:p>
    <w:p w:rsidR="00340BE4" w:rsidRPr="00340BE4" w:rsidRDefault="00340BE4" w:rsidP="00340BE4">
      <w:pPr>
        <w:rPr>
          <w:rFonts w:asciiTheme="majorBidi" w:hAnsiTheme="majorBidi" w:cstheme="majorBidi"/>
          <w:color w:val="231F20"/>
        </w:rPr>
      </w:pPr>
    </w:p>
    <w:p w:rsidR="004941A8" w:rsidRPr="000F407C" w:rsidRDefault="00927BE0" w:rsidP="00874505">
      <w:pPr>
        <w:pStyle w:val="ListParagraph"/>
        <w:numPr>
          <w:ilvl w:val="0"/>
          <w:numId w:val="1"/>
        </w:numPr>
        <w:spacing w:after="0" w:line="480" w:lineRule="auto"/>
        <w:ind w:left="284" w:hanging="284"/>
        <w:rPr>
          <w:rFonts w:asciiTheme="majorBidi" w:hAnsiTheme="majorBidi" w:cstheme="majorBidi"/>
          <w:sz w:val="24"/>
          <w:szCs w:val="24"/>
        </w:rPr>
      </w:pPr>
      <w:r w:rsidRPr="00B1441B">
        <w:rPr>
          <w:rFonts w:asciiTheme="majorBidi" w:hAnsiTheme="majorBidi" w:cstheme="majorBidi"/>
          <w:b/>
          <w:bCs/>
          <w:sz w:val="24"/>
          <w:szCs w:val="24"/>
        </w:rPr>
        <w:t xml:space="preserve">Introduction </w:t>
      </w:r>
    </w:p>
    <w:p w:rsidR="004D4C07" w:rsidRDefault="00891C11" w:rsidP="00EE7F48">
      <w:pPr>
        <w:spacing w:after="0" w:line="480" w:lineRule="auto"/>
        <w:ind w:firstLine="284"/>
        <w:jc w:val="both"/>
        <w:rPr>
          <w:rFonts w:ascii="Times New Roman" w:hAnsi="Times New Roman" w:cs="Times New Roman"/>
          <w:sz w:val="24"/>
          <w:szCs w:val="24"/>
        </w:rPr>
      </w:pPr>
      <w:r>
        <w:rPr>
          <w:rFonts w:asciiTheme="majorBidi" w:hAnsiTheme="majorBidi" w:cstheme="majorBidi"/>
          <w:sz w:val="24"/>
          <w:szCs w:val="24"/>
        </w:rPr>
        <w:t xml:space="preserve">Recently, a number of </w:t>
      </w:r>
      <w:r w:rsidR="00605246">
        <w:rPr>
          <w:rFonts w:asciiTheme="majorBidi" w:hAnsiTheme="majorBidi" w:cstheme="majorBidi"/>
          <w:sz w:val="24"/>
          <w:szCs w:val="24"/>
        </w:rPr>
        <w:t>papers</w:t>
      </w:r>
      <w:r w:rsidR="00445F10">
        <w:rPr>
          <w:rFonts w:asciiTheme="majorBidi" w:hAnsiTheme="majorBidi" w:cstheme="majorBidi"/>
          <w:sz w:val="24"/>
          <w:szCs w:val="24"/>
        </w:rPr>
        <w:t xml:space="preserve"> </w:t>
      </w:r>
      <w:r w:rsidR="0051044F">
        <w:rPr>
          <w:rFonts w:asciiTheme="majorBidi" w:hAnsiTheme="majorBidi" w:cstheme="majorBidi"/>
          <w:sz w:val="24"/>
          <w:szCs w:val="24"/>
        </w:rPr>
        <w:t xml:space="preserve">have </w:t>
      </w:r>
      <w:r>
        <w:rPr>
          <w:rFonts w:asciiTheme="majorBidi" w:hAnsiTheme="majorBidi" w:cstheme="majorBidi"/>
          <w:sz w:val="24"/>
          <w:szCs w:val="24"/>
        </w:rPr>
        <w:t xml:space="preserve">studied </w:t>
      </w:r>
      <w:r w:rsidR="000B0FF8">
        <w:rPr>
          <w:rFonts w:asciiTheme="majorBidi" w:hAnsiTheme="majorBidi" w:cstheme="majorBidi"/>
          <w:sz w:val="24"/>
          <w:szCs w:val="24"/>
        </w:rPr>
        <w:t xml:space="preserve">the </w:t>
      </w:r>
      <w:r w:rsidR="00605246">
        <w:rPr>
          <w:rFonts w:asciiTheme="majorBidi" w:hAnsiTheme="majorBidi" w:cstheme="majorBidi"/>
          <w:sz w:val="24"/>
          <w:szCs w:val="24"/>
        </w:rPr>
        <w:t xml:space="preserve">co-movement </w:t>
      </w:r>
      <w:r w:rsidR="000B0FF8">
        <w:rPr>
          <w:rFonts w:asciiTheme="majorBidi" w:hAnsiTheme="majorBidi" w:cstheme="majorBidi"/>
          <w:sz w:val="24"/>
          <w:szCs w:val="24"/>
        </w:rPr>
        <w:t xml:space="preserve">of oil </w:t>
      </w:r>
      <w:r w:rsidR="00605246">
        <w:rPr>
          <w:rFonts w:asciiTheme="majorBidi" w:hAnsiTheme="majorBidi" w:cstheme="majorBidi"/>
          <w:sz w:val="24"/>
          <w:szCs w:val="24"/>
        </w:rPr>
        <w:t>with equities,</w:t>
      </w:r>
      <w:r w:rsidR="00F304D6">
        <w:rPr>
          <w:rFonts w:asciiTheme="majorBidi" w:hAnsiTheme="majorBidi" w:cstheme="majorBidi"/>
          <w:sz w:val="24"/>
          <w:szCs w:val="24"/>
        </w:rPr>
        <w:t xml:space="preserve"> </w:t>
      </w:r>
      <w:r w:rsidR="00605246">
        <w:rPr>
          <w:rFonts w:asciiTheme="majorBidi" w:hAnsiTheme="majorBidi" w:cstheme="majorBidi"/>
          <w:sz w:val="24"/>
          <w:szCs w:val="24"/>
        </w:rPr>
        <w:t>agricultural commodities and precious metals</w:t>
      </w:r>
      <w:r w:rsidR="00CF6978" w:rsidRPr="00C51CCD">
        <w:rPr>
          <w:rFonts w:asciiTheme="majorBidi" w:hAnsiTheme="majorBidi" w:cstheme="majorBidi"/>
          <w:sz w:val="24"/>
          <w:szCs w:val="24"/>
        </w:rPr>
        <w:t>.</w:t>
      </w:r>
      <w:r w:rsidR="0051044F">
        <w:rPr>
          <w:rFonts w:asciiTheme="majorBidi" w:hAnsiTheme="majorBidi" w:cstheme="majorBidi"/>
          <w:sz w:val="24"/>
          <w:szCs w:val="24"/>
        </w:rPr>
        <w:t xml:space="preserve"> </w:t>
      </w:r>
      <w:r>
        <w:rPr>
          <w:rFonts w:asciiTheme="majorBidi" w:hAnsiTheme="majorBidi" w:cstheme="majorBidi"/>
          <w:sz w:val="24"/>
          <w:szCs w:val="24"/>
        </w:rPr>
        <w:t xml:space="preserve">Prior studies provide evidence on </w:t>
      </w:r>
      <w:r w:rsidR="000B0FF8">
        <w:rPr>
          <w:rFonts w:asciiTheme="majorBidi" w:hAnsiTheme="majorBidi" w:cstheme="majorBidi"/>
          <w:sz w:val="24"/>
          <w:szCs w:val="24"/>
        </w:rPr>
        <w:t xml:space="preserve">the connectedness </w:t>
      </w:r>
      <w:r>
        <w:rPr>
          <w:rFonts w:asciiTheme="majorBidi" w:hAnsiTheme="majorBidi" w:cstheme="majorBidi"/>
          <w:sz w:val="24"/>
          <w:szCs w:val="24"/>
        </w:rPr>
        <w:t xml:space="preserve">between </w:t>
      </w:r>
      <w:r w:rsidR="000B0FF8">
        <w:rPr>
          <w:rFonts w:asciiTheme="majorBidi" w:hAnsiTheme="majorBidi" w:cstheme="majorBidi"/>
          <w:sz w:val="24"/>
          <w:szCs w:val="24"/>
        </w:rPr>
        <w:t xml:space="preserve">oil </w:t>
      </w:r>
      <w:r>
        <w:rPr>
          <w:rFonts w:asciiTheme="majorBidi" w:hAnsiTheme="majorBidi" w:cstheme="majorBidi"/>
          <w:sz w:val="24"/>
          <w:szCs w:val="24"/>
        </w:rPr>
        <w:t xml:space="preserve">and </w:t>
      </w:r>
      <w:r w:rsidR="000B0FF8">
        <w:rPr>
          <w:rFonts w:asciiTheme="majorBidi" w:hAnsiTheme="majorBidi" w:cstheme="majorBidi"/>
          <w:sz w:val="24"/>
          <w:szCs w:val="24"/>
        </w:rPr>
        <w:t xml:space="preserve">one or </w:t>
      </w:r>
      <w:r w:rsidR="00401274">
        <w:rPr>
          <w:rFonts w:asciiTheme="majorBidi" w:hAnsiTheme="majorBidi" w:cstheme="majorBidi"/>
          <w:sz w:val="24"/>
          <w:szCs w:val="24"/>
        </w:rPr>
        <w:t xml:space="preserve">more </w:t>
      </w:r>
      <w:r w:rsidR="0079036E">
        <w:rPr>
          <w:rFonts w:asciiTheme="majorBidi" w:hAnsiTheme="majorBidi" w:cstheme="majorBidi"/>
          <w:sz w:val="24"/>
          <w:szCs w:val="24"/>
        </w:rPr>
        <w:t>markets</w:t>
      </w:r>
      <w:r w:rsidR="00B152E9">
        <w:rPr>
          <w:rFonts w:asciiTheme="majorBidi" w:hAnsiTheme="majorBidi" w:cstheme="majorBidi"/>
          <w:sz w:val="24"/>
          <w:szCs w:val="24"/>
        </w:rPr>
        <w:t xml:space="preserve">. </w:t>
      </w:r>
      <w:r>
        <w:rPr>
          <w:rFonts w:asciiTheme="majorBidi" w:hAnsiTheme="majorBidi" w:cstheme="majorBidi"/>
          <w:sz w:val="24"/>
          <w:szCs w:val="24"/>
        </w:rPr>
        <w:t xml:space="preserve">However, </w:t>
      </w:r>
      <w:r>
        <w:rPr>
          <w:rFonts w:ascii="Times New Roman" w:hAnsi="Times New Roman" w:cs="Times New Roman"/>
          <w:sz w:val="24"/>
          <w:szCs w:val="24"/>
        </w:rPr>
        <w:t>t</w:t>
      </w:r>
      <w:r w:rsidR="00B152E9" w:rsidRPr="00431E7C">
        <w:rPr>
          <w:rFonts w:ascii="Times New Roman" w:hAnsi="Times New Roman" w:cs="Times New Roman"/>
          <w:sz w:val="24"/>
          <w:szCs w:val="24"/>
        </w:rPr>
        <w:t xml:space="preserve">he bulk of </w:t>
      </w:r>
      <w:r w:rsidR="00B152E9">
        <w:rPr>
          <w:rFonts w:ascii="Times New Roman" w:hAnsi="Times New Roman" w:cs="Times New Roman"/>
          <w:sz w:val="24"/>
          <w:szCs w:val="24"/>
        </w:rPr>
        <w:t xml:space="preserve">these </w:t>
      </w:r>
      <w:r w:rsidR="00B152E9" w:rsidRPr="00431E7C">
        <w:rPr>
          <w:rFonts w:ascii="Times New Roman" w:hAnsi="Times New Roman" w:cs="Times New Roman"/>
          <w:sz w:val="24"/>
          <w:szCs w:val="24"/>
        </w:rPr>
        <w:t xml:space="preserve">studies </w:t>
      </w:r>
      <w:r>
        <w:rPr>
          <w:rFonts w:ascii="Times New Roman" w:hAnsi="Times New Roman" w:cs="Times New Roman"/>
          <w:sz w:val="24"/>
          <w:szCs w:val="24"/>
        </w:rPr>
        <w:t xml:space="preserve">have so far focused </w:t>
      </w:r>
      <w:r w:rsidR="00B152E9" w:rsidRPr="00431E7C">
        <w:rPr>
          <w:rFonts w:ascii="Times New Roman" w:hAnsi="Times New Roman" w:cs="Times New Roman"/>
          <w:sz w:val="24"/>
          <w:szCs w:val="24"/>
        </w:rPr>
        <w:t xml:space="preserve">on </w:t>
      </w:r>
      <w:r w:rsidR="00B152E9">
        <w:rPr>
          <w:rFonts w:ascii="Times New Roman" w:hAnsi="Times New Roman" w:cs="Times New Roman"/>
          <w:sz w:val="24"/>
          <w:szCs w:val="24"/>
        </w:rPr>
        <w:t>price</w:t>
      </w:r>
      <w:r w:rsidR="00B152E9" w:rsidRPr="00431E7C">
        <w:rPr>
          <w:rFonts w:ascii="Times New Roman" w:hAnsi="Times New Roman" w:cs="Times New Roman"/>
          <w:sz w:val="24"/>
          <w:szCs w:val="24"/>
        </w:rPr>
        <w:t xml:space="preserve"> </w:t>
      </w:r>
      <w:r w:rsidR="00B152E9">
        <w:rPr>
          <w:rFonts w:ascii="Times New Roman" w:hAnsi="Times New Roman" w:cs="Times New Roman"/>
          <w:sz w:val="24"/>
          <w:szCs w:val="24"/>
        </w:rPr>
        <w:t>connectedness</w:t>
      </w:r>
      <w:r>
        <w:rPr>
          <w:rFonts w:ascii="Times New Roman" w:hAnsi="Times New Roman" w:cs="Times New Roman"/>
          <w:sz w:val="24"/>
          <w:szCs w:val="24"/>
        </w:rPr>
        <w:t>. L</w:t>
      </w:r>
      <w:r w:rsidR="00B152E9" w:rsidRPr="00431E7C">
        <w:rPr>
          <w:rFonts w:ascii="Times New Roman" w:hAnsi="Times New Roman" w:cs="Times New Roman"/>
          <w:sz w:val="24"/>
          <w:szCs w:val="24"/>
        </w:rPr>
        <w:t xml:space="preserve">ittle research </w:t>
      </w:r>
      <w:r w:rsidR="00B152E9">
        <w:rPr>
          <w:rFonts w:ascii="Times New Roman" w:hAnsi="Times New Roman" w:cs="Times New Roman"/>
          <w:sz w:val="24"/>
          <w:szCs w:val="24"/>
        </w:rPr>
        <w:t>ha</w:t>
      </w:r>
      <w:r>
        <w:rPr>
          <w:rFonts w:ascii="Times New Roman" w:hAnsi="Times New Roman" w:cs="Times New Roman"/>
          <w:sz w:val="24"/>
          <w:szCs w:val="24"/>
        </w:rPr>
        <w:t xml:space="preserve">s been dedicated to </w:t>
      </w:r>
      <w:r w:rsidR="00B152E9" w:rsidRPr="00431E7C">
        <w:rPr>
          <w:rFonts w:ascii="Times New Roman" w:hAnsi="Times New Roman" w:cs="Times New Roman"/>
          <w:sz w:val="24"/>
          <w:szCs w:val="24"/>
        </w:rPr>
        <w:t xml:space="preserve">volatility </w:t>
      </w:r>
      <w:r w:rsidR="001410DC">
        <w:rPr>
          <w:rFonts w:ascii="Times New Roman" w:hAnsi="Times New Roman" w:cs="Times New Roman"/>
          <w:sz w:val="24"/>
          <w:szCs w:val="24"/>
        </w:rPr>
        <w:t>association</w:t>
      </w:r>
      <w:r w:rsidR="00B152E9" w:rsidRPr="00431E7C">
        <w:rPr>
          <w:rFonts w:ascii="Times New Roman" w:hAnsi="Times New Roman" w:cs="Times New Roman"/>
          <w:sz w:val="24"/>
          <w:szCs w:val="24"/>
        </w:rPr>
        <w:t>.</w:t>
      </w:r>
      <w:r w:rsidR="00B152E9">
        <w:rPr>
          <w:rFonts w:ascii="Times New Roman" w:hAnsi="Times New Roman" w:cs="Times New Roman"/>
          <w:sz w:val="24"/>
          <w:szCs w:val="24"/>
        </w:rPr>
        <w:t xml:space="preserve"> </w:t>
      </w:r>
      <w:r>
        <w:rPr>
          <w:rFonts w:ascii="Times New Roman" w:hAnsi="Times New Roman" w:cs="Times New Roman"/>
          <w:sz w:val="24"/>
          <w:szCs w:val="24"/>
        </w:rPr>
        <w:t xml:space="preserve">Like </w:t>
      </w:r>
      <w:r w:rsidR="001410DC">
        <w:rPr>
          <w:rFonts w:ascii="Times New Roman" w:hAnsi="Times New Roman" w:cs="Times New Roman"/>
          <w:sz w:val="24"/>
          <w:szCs w:val="24"/>
        </w:rPr>
        <w:t>prices, volatilities are important driving factor</w:t>
      </w:r>
      <w:r w:rsidR="00F304D6">
        <w:rPr>
          <w:rFonts w:ascii="Times New Roman" w:hAnsi="Times New Roman" w:cs="Times New Roman"/>
          <w:sz w:val="24"/>
          <w:szCs w:val="24"/>
        </w:rPr>
        <w:t>s</w:t>
      </w:r>
      <w:r w:rsidR="001410DC">
        <w:rPr>
          <w:rFonts w:ascii="Times New Roman" w:hAnsi="Times New Roman" w:cs="Times New Roman"/>
          <w:sz w:val="24"/>
          <w:szCs w:val="24"/>
        </w:rPr>
        <w:t xml:space="preserve"> of options markets</w:t>
      </w:r>
      <w:r>
        <w:rPr>
          <w:rFonts w:ascii="Times New Roman" w:hAnsi="Times New Roman" w:cs="Times New Roman"/>
          <w:sz w:val="24"/>
          <w:szCs w:val="24"/>
        </w:rPr>
        <w:t>. This raises an interesting</w:t>
      </w:r>
      <w:r w:rsidR="00B152E9">
        <w:rPr>
          <w:rFonts w:ascii="Times New Roman" w:hAnsi="Times New Roman" w:cs="Times New Roman"/>
          <w:sz w:val="24"/>
          <w:szCs w:val="24"/>
        </w:rPr>
        <w:t xml:space="preserve"> question</w:t>
      </w:r>
      <w:r>
        <w:rPr>
          <w:rFonts w:ascii="Times New Roman" w:hAnsi="Times New Roman" w:cs="Times New Roman"/>
          <w:sz w:val="24"/>
          <w:szCs w:val="24"/>
        </w:rPr>
        <w:t>:</w:t>
      </w:r>
      <w:r w:rsidR="00B152E9">
        <w:rPr>
          <w:rFonts w:ascii="Times New Roman" w:hAnsi="Times New Roman" w:cs="Times New Roman"/>
          <w:sz w:val="24"/>
          <w:szCs w:val="24"/>
        </w:rPr>
        <w:t xml:space="preserve"> </w:t>
      </w:r>
      <w:r w:rsidR="001410DC">
        <w:rPr>
          <w:rFonts w:ascii="Times New Roman" w:hAnsi="Times New Roman" w:cs="Times New Roman"/>
          <w:sz w:val="24"/>
          <w:szCs w:val="24"/>
        </w:rPr>
        <w:t xml:space="preserve">how </w:t>
      </w:r>
      <w:r>
        <w:rPr>
          <w:rFonts w:ascii="Times New Roman" w:hAnsi="Times New Roman" w:cs="Times New Roman"/>
          <w:sz w:val="24"/>
          <w:szCs w:val="24"/>
        </w:rPr>
        <w:t xml:space="preserve">are </w:t>
      </w:r>
      <w:r w:rsidR="00B152E9">
        <w:rPr>
          <w:rFonts w:ascii="Times New Roman" w:hAnsi="Times New Roman" w:cs="Times New Roman"/>
          <w:sz w:val="24"/>
          <w:szCs w:val="24"/>
        </w:rPr>
        <w:t>oil</w:t>
      </w:r>
      <w:r w:rsidR="000E45BC">
        <w:rPr>
          <w:rFonts w:ascii="Times New Roman" w:hAnsi="Times New Roman" w:cs="Times New Roman"/>
          <w:sz w:val="24"/>
          <w:szCs w:val="24"/>
        </w:rPr>
        <w:t xml:space="preserve"> and other related markets</w:t>
      </w:r>
      <w:r w:rsidR="00B152E9">
        <w:rPr>
          <w:rFonts w:ascii="Times New Roman" w:hAnsi="Times New Roman" w:cs="Times New Roman"/>
          <w:sz w:val="24"/>
          <w:szCs w:val="24"/>
        </w:rPr>
        <w:t xml:space="preserve"> associated in terms volatilities</w:t>
      </w:r>
      <w:r>
        <w:rPr>
          <w:rFonts w:ascii="Times New Roman" w:hAnsi="Times New Roman" w:cs="Times New Roman"/>
          <w:sz w:val="24"/>
          <w:szCs w:val="24"/>
        </w:rPr>
        <w:t xml:space="preserve">? The main aim of </w:t>
      </w:r>
      <w:r w:rsidR="001410DC">
        <w:rPr>
          <w:rFonts w:ascii="Times New Roman" w:hAnsi="Times New Roman" w:cs="Times New Roman"/>
          <w:sz w:val="24"/>
          <w:szCs w:val="24"/>
        </w:rPr>
        <w:t>this paper</w:t>
      </w:r>
      <w:r>
        <w:rPr>
          <w:rFonts w:ascii="Times New Roman" w:hAnsi="Times New Roman" w:cs="Times New Roman"/>
          <w:sz w:val="24"/>
          <w:szCs w:val="24"/>
        </w:rPr>
        <w:t xml:space="preserve"> is to provide an answer to such a question</w:t>
      </w:r>
      <w:r w:rsidR="001410DC">
        <w:rPr>
          <w:rFonts w:ascii="Times New Roman" w:hAnsi="Times New Roman" w:cs="Times New Roman"/>
          <w:sz w:val="24"/>
          <w:szCs w:val="24"/>
        </w:rPr>
        <w:t>.</w:t>
      </w:r>
    </w:p>
    <w:p w:rsidR="00050D90" w:rsidRDefault="000E45BC" w:rsidP="00255BFE">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M</w:t>
      </w:r>
      <w:r w:rsidR="004D4C07">
        <w:rPr>
          <w:rFonts w:ascii="Times New Roman" w:hAnsi="Times New Roman" w:cs="Times New Roman"/>
          <w:sz w:val="24"/>
          <w:szCs w:val="24"/>
        </w:rPr>
        <w:t xml:space="preserve">ost of </w:t>
      </w:r>
      <w:r w:rsidR="00EE7F48">
        <w:rPr>
          <w:rFonts w:ascii="Times New Roman" w:hAnsi="Times New Roman" w:cs="Times New Roman"/>
          <w:sz w:val="24"/>
          <w:szCs w:val="24"/>
        </w:rPr>
        <w:t xml:space="preserve">the existing </w:t>
      </w:r>
      <w:r w:rsidR="004D4C07">
        <w:rPr>
          <w:rFonts w:ascii="Times New Roman" w:hAnsi="Times New Roman" w:cs="Times New Roman"/>
          <w:sz w:val="24"/>
          <w:szCs w:val="24"/>
        </w:rPr>
        <w:t xml:space="preserve">studies on oil connectedness </w:t>
      </w:r>
      <w:r w:rsidR="00EE7F48">
        <w:rPr>
          <w:rFonts w:ascii="Times New Roman" w:hAnsi="Times New Roman" w:cs="Times New Roman"/>
          <w:sz w:val="24"/>
          <w:szCs w:val="24"/>
        </w:rPr>
        <w:t xml:space="preserve">have </w:t>
      </w:r>
      <w:r w:rsidR="004D4C07">
        <w:rPr>
          <w:rFonts w:ascii="Times New Roman" w:hAnsi="Times New Roman" w:cs="Times New Roman"/>
          <w:sz w:val="24"/>
          <w:szCs w:val="24"/>
        </w:rPr>
        <w:t>investigate</w:t>
      </w:r>
      <w:r w:rsidR="00EE7F48">
        <w:rPr>
          <w:rFonts w:ascii="Times New Roman" w:hAnsi="Times New Roman" w:cs="Times New Roman"/>
          <w:sz w:val="24"/>
          <w:szCs w:val="24"/>
        </w:rPr>
        <w:t>d</w:t>
      </w:r>
      <w:r w:rsidR="004D4C07">
        <w:rPr>
          <w:rFonts w:ascii="Times New Roman" w:hAnsi="Times New Roman" w:cs="Times New Roman"/>
          <w:sz w:val="24"/>
          <w:szCs w:val="24"/>
        </w:rPr>
        <w:t xml:space="preserve"> </w:t>
      </w:r>
      <w:r w:rsidR="00EE7F48">
        <w:rPr>
          <w:rFonts w:ascii="Times New Roman" w:hAnsi="Times New Roman" w:cs="Times New Roman"/>
          <w:sz w:val="24"/>
          <w:szCs w:val="24"/>
        </w:rPr>
        <w:t xml:space="preserve">the </w:t>
      </w:r>
      <w:r w:rsidR="004D4C07">
        <w:rPr>
          <w:rFonts w:ascii="Times New Roman" w:hAnsi="Times New Roman" w:cs="Times New Roman"/>
          <w:sz w:val="24"/>
          <w:szCs w:val="24"/>
        </w:rPr>
        <w:t xml:space="preserve">relation </w:t>
      </w:r>
      <w:r w:rsidR="00EE7F48">
        <w:rPr>
          <w:rFonts w:ascii="Times New Roman" w:hAnsi="Times New Roman" w:cs="Times New Roman"/>
          <w:sz w:val="24"/>
          <w:szCs w:val="24"/>
        </w:rPr>
        <w:t xml:space="preserve">between the oil market and other </w:t>
      </w:r>
      <w:r w:rsidR="0079036E">
        <w:rPr>
          <w:rFonts w:ascii="Times New Roman" w:hAnsi="Times New Roman" w:cs="Times New Roman"/>
          <w:sz w:val="24"/>
          <w:szCs w:val="24"/>
        </w:rPr>
        <w:t>market</w:t>
      </w:r>
      <w:r w:rsidR="00EE7F48">
        <w:rPr>
          <w:rFonts w:ascii="Times New Roman" w:hAnsi="Times New Roman" w:cs="Times New Roman"/>
          <w:sz w:val="24"/>
          <w:szCs w:val="24"/>
        </w:rPr>
        <w:t>s on a one-to-one basis</w:t>
      </w:r>
      <w:r>
        <w:rPr>
          <w:rFonts w:ascii="Times New Roman" w:hAnsi="Times New Roman" w:cs="Times New Roman"/>
          <w:sz w:val="24"/>
          <w:szCs w:val="24"/>
        </w:rPr>
        <w:t>.</w:t>
      </w:r>
      <w:r w:rsidR="00420C54">
        <w:rPr>
          <w:rStyle w:val="FootnoteReference"/>
          <w:rFonts w:ascii="Times New Roman" w:hAnsi="Times New Roman"/>
          <w:sz w:val="24"/>
          <w:szCs w:val="24"/>
        </w:rPr>
        <w:footnoteReference w:id="1"/>
      </w:r>
      <w:r w:rsidR="00FD4829">
        <w:rPr>
          <w:rFonts w:ascii="Times New Roman" w:hAnsi="Times New Roman" w:cs="Times New Roman"/>
          <w:sz w:val="24"/>
          <w:szCs w:val="24"/>
        </w:rPr>
        <w:t xml:space="preserve"> </w:t>
      </w:r>
      <w:r w:rsidR="00EE7F48">
        <w:rPr>
          <w:rFonts w:ascii="Times New Roman" w:hAnsi="Times New Roman" w:cs="Times New Roman"/>
          <w:sz w:val="24"/>
          <w:szCs w:val="24"/>
        </w:rPr>
        <w:t>In contrast</w:t>
      </w:r>
      <w:r>
        <w:rPr>
          <w:rFonts w:ascii="Times New Roman" w:hAnsi="Times New Roman" w:cs="Times New Roman"/>
          <w:sz w:val="24"/>
          <w:szCs w:val="24"/>
        </w:rPr>
        <w:t xml:space="preserve">, this study </w:t>
      </w:r>
      <w:r w:rsidR="00FD4829">
        <w:rPr>
          <w:rFonts w:ascii="Times New Roman" w:hAnsi="Times New Roman" w:cs="Times New Roman"/>
          <w:sz w:val="24"/>
          <w:szCs w:val="24"/>
        </w:rPr>
        <w:t>look</w:t>
      </w:r>
      <w:r w:rsidR="00EE7F48">
        <w:rPr>
          <w:rFonts w:ascii="Times New Roman" w:hAnsi="Times New Roman" w:cs="Times New Roman"/>
          <w:sz w:val="24"/>
          <w:szCs w:val="24"/>
        </w:rPr>
        <w:t>s</w:t>
      </w:r>
      <w:r w:rsidR="00FD4829">
        <w:rPr>
          <w:rFonts w:ascii="Times New Roman" w:hAnsi="Times New Roman" w:cs="Times New Roman"/>
          <w:sz w:val="24"/>
          <w:szCs w:val="24"/>
        </w:rPr>
        <w:t xml:space="preserve"> into </w:t>
      </w:r>
      <w:r w:rsidR="00EE7F48">
        <w:rPr>
          <w:rFonts w:ascii="Times New Roman" w:hAnsi="Times New Roman" w:cs="Times New Roman"/>
          <w:sz w:val="24"/>
          <w:szCs w:val="24"/>
        </w:rPr>
        <w:t xml:space="preserve">the </w:t>
      </w:r>
      <w:r w:rsidR="00FD4829">
        <w:rPr>
          <w:rFonts w:ascii="Times New Roman" w:hAnsi="Times New Roman" w:cs="Times New Roman"/>
          <w:sz w:val="24"/>
          <w:szCs w:val="24"/>
        </w:rPr>
        <w:t xml:space="preserve">oil association </w:t>
      </w:r>
      <w:r w:rsidR="0079036E">
        <w:rPr>
          <w:rFonts w:ascii="Times New Roman" w:hAnsi="Times New Roman" w:cs="Times New Roman"/>
          <w:sz w:val="24"/>
          <w:szCs w:val="24"/>
        </w:rPr>
        <w:t xml:space="preserve">using </w:t>
      </w:r>
      <w:r w:rsidR="004F039E">
        <w:rPr>
          <w:rFonts w:ascii="Times New Roman" w:hAnsi="Times New Roman" w:cs="Times New Roman"/>
          <w:sz w:val="24"/>
          <w:szCs w:val="24"/>
        </w:rPr>
        <w:t xml:space="preserve">all </w:t>
      </w:r>
      <w:r w:rsidR="00EE7F48">
        <w:rPr>
          <w:rFonts w:ascii="Times New Roman" w:hAnsi="Times New Roman" w:cs="Times New Roman"/>
          <w:sz w:val="24"/>
          <w:szCs w:val="24"/>
        </w:rPr>
        <w:t xml:space="preserve">relevant </w:t>
      </w:r>
      <w:r w:rsidR="0079036E">
        <w:rPr>
          <w:rFonts w:ascii="Times New Roman" w:hAnsi="Times New Roman" w:cs="Times New Roman"/>
          <w:sz w:val="24"/>
          <w:szCs w:val="24"/>
        </w:rPr>
        <w:t>markets</w:t>
      </w:r>
      <w:r w:rsidR="00FD4829">
        <w:rPr>
          <w:rFonts w:ascii="Times New Roman" w:hAnsi="Times New Roman" w:cs="Times New Roman"/>
          <w:sz w:val="24"/>
          <w:szCs w:val="24"/>
        </w:rPr>
        <w:t xml:space="preserve">. </w:t>
      </w:r>
      <w:r w:rsidR="00EE7F48">
        <w:rPr>
          <w:rFonts w:ascii="Times New Roman" w:hAnsi="Times New Roman" w:cs="Times New Roman"/>
          <w:sz w:val="24"/>
          <w:szCs w:val="24"/>
        </w:rPr>
        <w:t xml:space="preserve">Specifically, </w:t>
      </w:r>
      <w:r w:rsidR="00F304D6">
        <w:rPr>
          <w:rFonts w:ascii="Times New Roman" w:hAnsi="Times New Roman" w:cs="Times New Roman"/>
          <w:sz w:val="24"/>
          <w:szCs w:val="24"/>
        </w:rPr>
        <w:t xml:space="preserve">we study the influence of oil on the US </w:t>
      </w:r>
      <w:r w:rsidR="00F304D6" w:rsidRPr="00553E9F">
        <w:rPr>
          <w:rFonts w:ascii="Times New Roman" w:hAnsi="Times New Roman" w:cs="Times New Roman"/>
          <w:sz w:val="24"/>
          <w:szCs w:val="24"/>
        </w:rPr>
        <w:t>equit</w:t>
      </w:r>
      <w:r w:rsidR="00F304D6">
        <w:rPr>
          <w:rFonts w:ascii="Times New Roman" w:hAnsi="Times New Roman" w:cs="Times New Roman"/>
          <w:sz w:val="24"/>
          <w:szCs w:val="24"/>
        </w:rPr>
        <w:t>y market</w:t>
      </w:r>
      <w:r w:rsidR="00F304D6" w:rsidRPr="00553E9F">
        <w:rPr>
          <w:rFonts w:ascii="Times New Roman" w:hAnsi="Times New Roman" w:cs="Times New Roman"/>
          <w:sz w:val="24"/>
          <w:szCs w:val="24"/>
        </w:rPr>
        <w:t xml:space="preserve">, </w:t>
      </w:r>
      <w:r w:rsidR="00F304D6">
        <w:rPr>
          <w:rFonts w:ascii="Times New Roman" w:hAnsi="Times New Roman" w:cs="Times New Roman"/>
          <w:sz w:val="24"/>
          <w:szCs w:val="24"/>
        </w:rPr>
        <w:t xml:space="preserve">the </w:t>
      </w:r>
      <w:r w:rsidR="00F304D6" w:rsidRPr="00553E9F">
        <w:rPr>
          <w:rFonts w:ascii="Times New Roman" w:hAnsi="Times New Roman" w:cs="Times New Roman"/>
          <w:sz w:val="24"/>
          <w:szCs w:val="24"/>
        </w:rPr>
        <w:t>Euro/Dollar exchange rate</w:t>
      </w:r>
      <w:r w:rsidR="00F304D6">
        <w:rPr>
          <w:rFonts w:ascii="Times New Roman" w:hAnsi="Times New Roman" w:cs="Times New Roman"/>
          <w:sz w:val="24"/>
          <w:szCs w:val="24"/>
        </w:rPr>
        <w:t xml:space="preserve"> market</w:t>
      </w:r>
      <w:r w:rsidR="00F304D6" w:rsidRPr="00553E9F">
        <w:rPr>
          <w:rFonts w:ascii="Times New Roman" w:hAnsi="Times New Roman" w:cs="Times New Roman"/>
          <w:sz w:val="24"/>
          <w:szCs w:val="24"/>
        </w:rPr>
        <w:t xml:space="preserve">, </w:t>
      </w:r>
      <w:r w:rsidR="00F304D6">
        <w:rPr>
          <w:rFonts w:ascii="Times New Roman" w:hAnsi="Times New Roman" w:cs="Times New Roman"/>
          <w:sz w:val="24"/>
          <w:szCs w:val="24"/>
        </w:rPr>
        <w:t>the gold market, the silver market, the wheat market, the corn market and the soybeans market</w:t>
      </w:r>
      <w:r w:rsidR="00F304D6" w:rsidRPr="00553E9F">
        <w:rPr>
          <w:rFonts w:ascii="Times New Roman" w:hAnsi="Times New Roman" w:cs="Times New Roman"/>
          <w:sz w:val="24"/>
          <w:szCs w:val="24"/>
        </w:rPr>
        <w:t>.</w:t>
      </w:r>
      <w:r w:rsidR="004F039E">
        <w:rPr>
          <w:rFonts w:ascii="Times New Roman" w:hAnsi="Times New Roman" w:cs="Times New Roman"/>
          <w:sz w:val="24"/>
          <w:szCs w:val="24"/>
        </w:rPr>
        <w:t xml:space="preserve"> </w:t>
      </w:r>
    </w:p>
    <w:p w:rsidR="00F304D6" w:rsidRDefault="00DD37E6" w:rsidP="00B4352A">
      <w:pPr>
        <w:spacing w:after="0" w:line="480" w:lineRule="auto"/>
        <w:jc w:val="both"/>
        <w:rPr>
          <w:rFonts w:ascii="Times New Roman" w:hAnsi="Times New Roman" w:cs="Times New Roman"/>
          <w:sz w:val="24"/>
          <w:szCs w:val="24"/>
        </w:rPr>
      </w:pPr>
      <w:r w:rsidRPr="00B4352A">
        <w:rPr>
          <w:rFonts w:ascii="Times New Roman" w:hAnsi="Times New Roman" w:cs="Times New Roman"/>
          <w:sz w:val="24"/>
          <w:szCs w:val="24"/>
          <w:lang w:val="en-GB"/>
        </w:rPr>
        <w:t>One notable exception is</w:t>
      </w:r>
      <w:r w:rsidR="00255BFE" w:rsidRPr="00255BFE" w:rsidDel="00255BFE">
        <w:rPr>
          <w:rFonts w:ascii="Times New Roman" w:hAnsi="Times New Roman" w:cs="Times New Roman"/>
          <w:sz w:val="24"/>
          <w:szCs w:val="24"/>
          <w:lang w:val="en-GB"/>
        </w:rPr>
        <w:t xml:space="preserve"> </w:t>
      </w:r>
      <w:r w:rsidR="004F039E" w:rsidRPr="00255BFE">
        <w:rPr>
          <w:rFonts w:ascii="Times New Roman" w:hAnsi="Times New Roman" w:cs="Times New Roman"/>
          <w:sz w:val="24"/>
          <w:szCs w:val="24"/>
          <w:lang w:val="en-GB"/>
        </w:rPr>
        <w:t xml:space="preserve">Sari et al. </w:t>
      </w:r>
      <w:r w:rsidR="004F039E">
        <w:rPr>
          <w:rFonts w:ascii="Times New Roman" w:hAnsi="Times New Roman" w:cs="Times New Roman"/>
          <w:sz w:val="24"/>
          <w:szCs w:val="24"/>
        </w:rPr>
        <w:t xml:space="preserve">(2010) </w:t>
      </w:r>
      <w:r w:rsidR="00255BFE">
        <w:rPr>
          <w:rFonts w:ascii="Times New Roman" w:hAnsi="Times New Roman" w:cs="Times New Roman"/>
          <w:sz w:val="24"/>
          <w:szCs w:val="24"/>
        </w:rPr>
        <w:t xml:space="preserve">who studied </w:t>
      </w:r>
      <w:r w:rsidR="004F039E">
        <w:rPr>
          <w:rFonts w:ascii="Times New Roman" w:hAnsi="Times New Roman" w:cs="Times New Roman"/>
          <w:sz w:val="24"/>
          <w:szCs w:val="24"/>
        </w:rPr>
        <w:t xml:space="preserve">oil association with more than one market. However, </w:t>
      </w:r>
      <w:r w:rsidR="00255BFE">
        <w:rPr>
          <w:rFonts w:ascii="Times New Roman" w:hAnsi="Times New Roman" w:cs="Times New Roman"/>
          <w:sz w:val="24"/>
          <w:szCs w:val="24"/>
        </w:rPr>
        <w:t xml:space="preserve">we take a more inclusive approach as we consider a broader set of markets in the </w:t>
      </w:r>
      <w:r w:rsidR="00B4352A">
        <w:rPr>
          <w:rFonts w:ascii="Times New Roman" w:hAnsi="Times New Roman" w:cs="Times New Roman"/>
          <w:sz w:val="24"/>
          <w:szCs w:val="24"/>
        </w:rPr>
        <w:t>analysis. Our</w:t>
      </w:r>
      <w:r w:rsidR="00BB7364">
        <w:rPr>
          <w:rFonts w:ascii="Times New Roman" w:hAnsi="Times New Roman" w:cs="Times New Roman"/>
          <w:sz w:val="24"/>
          <w:szCs w:val="24"/>
        </w:rPr>
        <w:t xml:space="preserve"> choice of</w:t>
      </w:r>
      <w:r w:rsidR="00F304D6">
        <w:rPr>
          <w:rFonts w:ascii="Times New Roman" w:hAnsi="Times New Roman" w:cs="Times New Roman"/>
          <w:sz w:val="24"/>
          <w:szCs w:val="24"/>
        </w:rPr>
        <w:t xml:space="preserve"> markets represent</w:t>
      </w:r>
      <w:r w:rsidR="00BB7364">
        <w:rPr>
          <w:rFonts w:ascii="Times New Roman" w:hAnsi="Times New Roman" w:cs="Times New Roman"/>
          <w:sz w:val="24"/>
          <w:szCs w:val="24"/>
        </w:rPr>
        <w:t>s</w:t>
      </w:r>
      <w:r w:rsidR="00F304D6">
        <w:rPr>
          <w:rFonts w:ascii="Times New Roman" w:hAnsi="Times New Roman" w:cs="Times New Roman"/>
          <w:sz w:val="24"/>
          <w:szCs w:val="24"/>
        </w:rPr>
        <w:t xml:space="preserve"> a universe of financial assets that cover a wide range of investment strategies. The cash and derivative markets associated with these assets are global, large and liquid and therefore the risk transfer between oil and these markets is</w:t>
      </w:r>
      <w:r w:rsidR="00450462">
        <w:rPr>
          <w:rFonts w:ascii="Times New Roman" w:hAnsi="Times New Roman" w:cs="Times New Roman"/>
          <w:sz w:val="24"/>
          <w:szCs w:val="24"/>
        </w:rPr>
        <w:t xml:space="preserve"> an</w:t>
      </w:r>
      <w:r w:rsidR="00F304D6">
        <w:rPr>
          <w:rFonts w:ascii="Times New Roman" w:hAnsi="Times New Roman" w:cs="Times New Roman"/>
          <w:sz w:val="24"/>
          <w:szCs w:val="24"/>
        </w:rPr>
        <w:t xml:space="preserve"> important </w:t>
      </w:r>
      <w:r w:rsidR="00450462">
        <w:rPr>
          <w:rFonts w:ascii="Times New Roman" w:hAnsi="Times New Roman" w:cs="Times New Roman"/>
          <w:sz w:val="24"/>
          <w:szCs w:val="24"/>
        </w:rPr>
        <w:t xml:space="preserve">piece of </w:t>
      </w:r>
      <w:r w:rsidR="00F304D6">
        <w:rPr>
          <w:rFonts w:ascii="Times New Roman" w:hAnsi="Times New Roman" w:cs="Times New Roman"/>
          <w:sz w:val="24"/>
          <w:szCs w:val="24"/>
        </w:rPr>
        <w:t xml:space="preserve">information for investors.  </w:t>
      </w:r>
    </w:p>
    <w:p w:rsidR="00F304D6" w:rsidRDefault="00F304D6" w:rsidP="00F304D6">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Many hedge funds have their strategies and asset classes defined within the context of these markets. For instance, global macro funds take opportunities in cash and derivatives markets that include equities, currencies and commodities. Similarly, managed futures funds invest in futures and options that are written on the commodities traded in these markets. The exposure to these markets is usually assumed indirectly through derivatives and hence, t</w:t>
      </w:r>
      <w:r w:rsidRPr="0063146A">
        <w:rPr>
          <w:rFonts w:ascii="Times New Roman" w:hAnsi="Times New Roman" w:cs="Times New Roman"/>
          <w:sz w:val="24"/>
          <w:szCs w:val="24"/>
        </w:rPr>
        <w:t>he</w:t>
      </w:r>
      <w:r>
        <w:rPr>
          <w:rFonts w:ascii="Times New Roman" w:hAnsi="Times New Roman" w:cs="Times New Roman"/>
          <w:sz w:val="24"/>
          <w:szCs w:val="24"/>
        </w:rPr>
        <w:t xml:space="preserve"> study of risk connectedness between oil and other commodity markets is important to understand diversification in derivatives portfolios that contain commodities, foreign exchange and equity options.</w:t>
      </w:r>
    </w:p>
    <w:p w:rsidR="00CE64BC" w:rsidRDefault="00CE64BC" w:rsidP="00D32455">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 weak association between oil, commodities and equities has been challenged by recent research (Zhang et al., 2010; Alom et al., 2011; Chang and Su, 2010; Du et al., 2011, Harry and Hudson, 2009). These studies show that shocks in the oil market are transmitted to other markets through the rebalancing activities in the paper commodity markets. Hence, an interesting question is whether commodities and equities are </w:t>
      </w:r>
      <w:r w:rsidR="00D32455">
        <w:rPr>
          <w:rFonts w:ascii="Times New Roman" w:hAnsi="Times New Roman" w:cs="Times New Roman"/>
          <w:sz w:val="24"/>
          <w:szCs w:val="24"/>
        </w:rPr>
        <w:t xml:space="preserve">strongly or </w:t>
      </w:r>
      <w:r>
        <w:rPr>
          <w:rFonts w:ascii="Times New Roman" w:hAnsi="Times New Roman" w:cs="Times New Roman"/>
          <w:sz w:val="24"/>
          <w:szCs w:val="24"/>
        </w:rPr>
        <w:t>weakly associated in terms</w:t>
      </w:r>
      <w:r w:rsidR="00D32455">
        <w:rPr>
          <w:rFonts w:ascii="Times New Roman" w:hAnsi="Times New Roman" w:cs="Times New Roman"/>
          <w:sz w:val="24"/>
          <w:szCs w:val="24"/>
        </w:rPr>
        <w:t xml:space="preserve"> of</w:t>
      </w:r>
      <w:r>
        <w:rPr>
          <w:rFonts w:ascii="Times New Roman" w:hAnsi="Times New Roman" w:cs="Times New Roman"/>
          <w:sz w:val="24"/>
          <w:szCs w:val="24"/>
        </w:rPr>
        <w:t xml:space="preserve"> volatilit</w:t>
      </w:r>
      <w:r w:rsidR="00D32455">
        <w:rPr>
          <w:rFonts w:ascii="Times New Roman" w:hAnsi="Times New Roman" w:cs="Times New Roman"/>
          <w:sz w:val="24"/>
          <w:szCs w:val="24"/>
        </w:rPr>
        <w:t>y</w:t>
      </w:r>
      <w:r>
        <w:rPr>
          <w:rFonts w:ascii="Times New Roman" w:hAnsi="Times New Roman" w:cs="Times New Roman"/>
          <w:sz w:val="24"/>
          <w:szCs w:val="24"/>
        </w:rPr>
        <w:t xml:space="preserve">. This is important as most of commodity exposures in the </w:t>
      </w:r>
      <w:r w:rsidRPr="00C53C07">
        <w:rPr>
          <w:rFonts w:ascii="Times New Roman" w:hAnsi="Times New Roman" w:cs="Times New Roman"/>
          <w:sz w:val="24"/>
          <w:szCs w:val="24"/>
        </w:rPr>
        <w:t xml:space="preserve">paper markets </w:t>
      </w:r>
      <w:r>
        <w:rPr>
          <w:rFonts w:ascii="Times New Roman" w:hAnsi="Times New Roman" w:cs="Times New Roman"/>
          <w:sz w:val="24"/>
          <w:szCs w:val="24"/>
        </w:rPr>
        <w:t xml:space="preserve">are established by derivatives </w:t>
      </w:r>
      <w:r w:rsidR="00D32455">
        <w:rPr>
          <w:rFonts w:ascii="Times New Roman" w:hAnsi="Times New Roman" w:cs="Times New Roman"/>
          <w:sz w:val="24"/>
          <w:szCs w:val="24"/>
        </w:rPr>
        <w:t xml:space="preserve">rather than through </w:t>
      </w:r>
      <w:r>
        <w:rPr>
          <w:rFonts w:ascii="Times New Roman" w:hAnsi="Times New Roman" w:cs="Times New Roman"/>
          <w:sz w:val="24"/>
          <w:szCs w:val="24"/>
        </w:rPr>
        <w:t xml:space="preserve">buying commodities outright in the cash market.     </w:t>
      </w:r>
    </w:p>
    <w:p w:rsidR="00CE64BC" w:rsidRPr="009B6FDE" w:rsidRDefault="00731FDD" w:rsidP="00C53C07">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Our sample spans an interesting period. Since </w:t>
      </w:r>
      <w:r w:rsidR="00CE64BC" w:rsidRPr="009B6FDE">
        <w:rPr>
          <w:rFonts w:ascii="Times New Roman" w:hAnsi="Times New Roman" w:cs="Times New Roman"/>
          <w:sz w:val="24"/>
          <w:szCs w:val="24"/>
        </w:rPr>
        <w:t>2012</w:t>
      </w:r>
      <w:r w:rsidR="00CE64BC">
        <w:rPr>
          <w:rFonts w:ascii="Times New Roman" w:hAnsi="Times New Roman" w:cs="Times New Roman"/>
          <w:sz w:val="24"/>
          <w:szCs w:val="24"/>
        </w:rPr>
        <w:t xml:space="preserve"> the shale oil production industry consolidated </w:t>
      </w:r>
      <w:r>
        <w:rPr>
          <w:rFonts w:ascii="Times New Roman" w:hAnsi="Times New Roman" w:cs="Times New Roman"/>
          <w:sz w:val="24"/>
          <w:szCs w:val="24"/>
        </w:rPr>
        <w:t xml:space="preserve">its position as a </w:t>
      </w:r>
      <w:r w:rsidR="00CE64BC">
        <w:rPr>
          <w:rFonts w:ascii="Times New Roman" w:hAnsi="Times New Roman" w:cs="Times New Roman"/>
          <w:sz w:val="24"/>
          <w:szCs w:val="24"/>
        </w:rPr>
        <w:t>major player in the oil market. Th</w:t>
      </w:r>
      <w:r>
        <w:rPr>
          <w:rFonts w:ascii="Times New Roman" w:hAnsi="Times New Roman" w:cs="Times New Roman"/>
          <w:sz w:val="24"/>
          <w:szCs w:val="24"/>
        </w:rPr>
        <w:t xml:space="preserve">is </w:t>
      </w:r>
      <w:r w:rsidR="00CE64BC">
        <w:rPr>
          <w:rFonts w:ascii="Times New Roman" w:hAnsi="Times New Roman" w:cs="Times New Roman"/>
          <w:sz w:val="24"/>
          <w:szCs w:val="24"/>
        </w:rPr>
        <w:t>period ha</w:t>
      </w:r>
      <w:r>
        <w:rPr>
          <w:rFonts w:ascii="Times New Roman" w:hAnsi="Times New Roman" w:cs="Times New Roman"/>
          <w:sz w:val="24"/>
          <w:szCs w:val="24"/>
        </w:rPr>
        <w:t>s</w:t>
      </w:r>
      <w:r w:rsidR="00CE64BC">
        <w:rPr>
          <w:rFonts w:ascii="Times New Roman" w:hAnsi="Times New Roman" w:cs="Times New Roman"/>
          <w:sz w:val="24"/>
          <w:szCs w:val="24"/>
        </w:rPr>
        <w:t xml:space="preserve"> also witnessed the collapse of cooperation among OPEC members, the slowdown of the biofuel industry, the start of the global recovery and the slowdown of China</w:t>
      </w:r>
      <w:r w:rsidR="00FA5489">
        <w:rPr>
          <w:rFonts w:ascii="Times New Roman" w:hAnsi="Times New Roman" w:cs="Times New Roman"/>
          <w:sz w:val="24"/>
          <w:szCs w:val="24"/>
        </w:rPr>
        <w:t>.</w:t>
      </w:r>
      <w:r w:rsidR="00CE64BC">
        <w:rPr>
          <w:rFonts w:ascii="Times New Roman" w:hAnsi="Times New Roman" w:cs="Times New Roman"/>
          <w:sz w:val="24"/>
          <w:szCs w:val="24"/>
        </w:rPr>
        <w:t xml:space="preserve"> </w:t>
      </w:r>
      <w:r>
        <w:rPr>
          <w:rFonts w:ascii="Times New Roman" w:hAnsi="Times New Roman" w:cs="Times New Roman"/>
          <w:sz w:val="24"/>
          <w:szCs w:val="24"/>
        </w:rPr>
        <w:t xml:space="preserve">These events provide a unique opportunity </w:t>
      </w:r>
      <w:r w:rsidR="00CE64BC">
        <w:rPr>
          <w:rFonts w:ascii="Times New Roman" w:hAnsi="Times New Roman" w:cs="Times New Roman"/>
          <w:sz w:val="24"/>
          <w:szCs w:val="24"/>
        </w:rPr>
        <w:t xml:space="preserve">to study risk transfer among markets.      </w:t>
      </w:r>
      <w:r w:rsidR="00CE64BC" w:rsidRPr="009B6FDE">
        <w:rPr>
          <w:rFonts w:ascii="Times New Roman" w:hAnsi="Times New Roman" w:cs="Times New Roman"/>
          <w:sz w:val="24"/>
          <w:szCs w:val="24"/>
        </w:rPr>
        <w:t xml:space="preserve">    </w:t>
      </w:r>
    </w:p>
    <w:p w:rsidR="00CE64BC" w:rsidRDefault="00CE64BC" w:rsidP="00C53C07">
      <w:pPr>
        <w:spacing w:after="0" w:line="480" w:lineRule="auto"/>
        <w:ind w:firstLine="284"/>
        <w:jc w:val="both"/>
        <w:rPr>
          <w:rFonts w:asciiTheme="majorBidi" w:hAnsiTheme="majorBidi" w:cstheme="majorBidi"/>
          <w:sz w:val="24"/>
          <w:szCs w:val="24"/>
        </w:rPr>
      </w:pPr>
      <w:r>
        <w:rPr>
          <w:rFonts w:ascii="Times New Roman" w:hAnsi="Times New Roman" w:cs="Times New Roman"/>
          <w:sz w:val="24"/>
          <w:szCs w:val="24"/>
        </w:rPr>
        <w:t xml:space="preserve">   </w:t>
      </w:r>
      <w:r w:rsidR="00C53C07">
        <w:rPr>
          <w:rFonts w:ascii="Times New Roman" w:hAnsi="Times New Roman" w:cs="Times New Roman"/>
          <w:sz w:val="24"/>
          <w:szCs w:val="24"/>
        </w:rPr>
        <w:t xml:space="preserve">During this period, </w:t>
      </w:r>
      <w:r>
        <w:rPr>
          <w:rFonts w:ascii="Times New Roman" w:hAnsi="Times New Roman" w:cs="Times New Roman"/>
          <w:sz w:val="24"/>
          <w:szCs w:val="24"/>
        </w:rPr>
        <w:t>t</w:t>
      </w:r>
      <w:r w:rsidRPr="009B6FDE">
        <w:rPr>
          <w:rFonts w:ascii="Times New Roman" w:hAnsi="Times New Roman" w:cs="Times New Roman"/>
          <w:sz w:val="24"/>
          <w:szCs w:val="24"/>
        </w:rPr>
        <w:t>h</w:t>
      </w:r>
      <w:r>
        <w:rPr>
          <w:rFonts w:ascii="Times New Roman" w:hAnsi="Times New Roman" w:cs="Times New Roman"/>
          <w:sz w:val="24"/>
          <w:szCs w:val="24"/>
        </w:rPr>
        <w:t>e</w:t>
      </w:r>
      <w:r w:rsidRPr="009B6FDE">
        <w:rPr>
          <w:rFonts w:ascii="Times New Roman" w:hAnsi="Times New Roman" w:cs="Times New Roman"/>
          <w:sz w:val="24"/>
          <w:szCs w:val="24"/>
        </w:rPr>
        <w:t xml:space="preserve"> </w:t>
      </w:r>
      <w:r w:rsidR="00C53C07">
        <w:rPr>
          <w:rFonts w:ascii="Times New Roman" w:hAnsi="Times New Roman" w:cs="Times New Roman"/>
          <w:sz w:val="24"/>
          <w:szCs w:val="24"/>
        </w:rPr>
        <w:t xml:space="preserve">oil and other markets have also </w:t>
      </w:r>
      <w:r w:rsidRPr="009B6FDE">
        <w:rPr>
          <w:rFonts w:ascii="Times New Roman" w:hAnsi="Times New Roman" w:cs="Times New Roman"/>
          <w:sz w:val="24"/>
          <w:szCs w:val="24"/>
        </w:rPr>
        <w:t xml:space="preserve">witnessed </w:t>
      </w:r>
      <w:r w:rsidR="00C53C07">
        <w:rPr>
          <w:rFonts w:ascii="Times New Roman" w:hAnsi="Times New Roman" w:cs="Times New Roman"/>
          <w:sz w:val="24"/>
          <w:szCs w:val="24"/>
        </w:rPr>
        <w:t xml:space="preserve">a </w:t>
      </w:r>
      <w:r w:rsidRPr="009B6FDE">
        <w:rPr>
          <w:rFonts w:ascii="Times New Roman" w:hAnsi="Times New Roman" w:cs="Times New Roman"/>
          <w:sz w:val="24"/>
          <w:szCs w:val="24"/>
        </w:rPr>
        <w:t xml:space="preserve">growing activity </w:t>
      </w:r>
      <w:r w:rsidR="00C53C07">
        <w:rPr>
          <w:rFonts w:ascii="Times New Roman" w:hAnsi="Times New Roman" w:cs="Times New Roman"/>
          <w:sz w:val="24"/>
          <w:szCs w:val="24"/>
        </w:rPr>
        <w:t xml:space="preserve">by </w:t>
      </w:r>
      <w:r w:rsidRPr="009B6FDE">
        <w:rPr>
          <w:rFonts w:ascii="Times New Roman" w:hAnsi="Times New Roman" w:cs="Times New Roman"/>
          <w:sz w:val="24"/>
          <w:szCs w:val="24"/>
        </w:rPr>
        <w:t>speculators, arbitrageurs, and convergence traders. These traders are highly leveraged and their trading is occasionally based on sentiment and risk aversion and hence their presence has intensified co-</w:t>
      </w:r>
      <w:r>
        <w:rPr>
          <w:rFonts w:ascii="Times New Roman" w:hAnsi="Times New Roman" w:cs="Times New Roman"/>
          <w:sz w:val="24"/>
          <w:szCs w:val="24"/>
        </w:rPr>
        <w:t xml:space="preserve">volatility association </w:t>
      </w:r>
      <w:r w:rsidRPr="009B6FDE">
        <w:rPr>
          <w:rFonts w:ascii="Times New Roman" w:hAnsi="Times New Roman" w:cs="Times New Roman"/>
          <w:sz w:val="24"/>
          <w:szCs w:val="24"/>
        </w:rPr>
        <w:t>across markets</w:t>
      </w:r>
      <w:r>
        <w:rPr>
          <w:rFonts w:ascii="Times New Roman" w:hAnsi="Times New Roman" w:cs="Times New Roman"/>
          <w:sz w:val="24"/>
          <w:szCs w:val="24"/>
        </w:rPr>
        <w:t xml:space="preserve">. </w:t>
      </w:r>
      <w:r w:rsidR="005C2D45">
        <w:rPr>
          <w:rFonts w:ascii="Times New Roman" w:hAnsi="Times New Roman" w:cs="Times New Roman"/>
          <w:sz w:val="24"/>
          <w:szCs w:val="24"/>
        </w:rPr>
        <w:t xml:space="preserve"> </w:t>
      </w:r>
    </w:p>
    <w:p w:rsidR="002A0ED1" w:rsidRDefault="00067618" w:rsidP="00D73785">
      <w:pPr>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lastRenderedPageBreak/>
        <w:t>M</w:t>
      </w:r>
      <w:r w:rsidRPr="00401274">
        <w:rPr>
          <w:rFonts w:asciiTheme="majorBidi" w:hAnsiTheme="majorBidi" w:cstheme="majorBidi"/>
          <w:sz w:val="24"/>
          <w:szCs w:val="24"/>
        </w:rPr>
        <w:t xml:space="preserve">ost </w:t>
      </w:r>
      <w:r w:rsidR="00C53C07">
        <w:rPr>
          <w:rFonts w:asciiTheme="majorBidi" w:hAnsiTheme="majorBidi" w:cstheme="majorBidi"/>
          <w:sz w:val="24"/>
          <w:szCs w:val="24"/>
        </w:rPr>
        <w:t xml:space="preserve">of the existing </w:t>
      </w:r>
      <w:r w:rsidRPr="00401274">
        <w:rPr>
          <w:rFonts w:asciiTheme="majorBidi" w:hAnsiTheme="majorBidi" w:cstheme="majorBidi"/>
          <w:sz w:val="24"/>
          <w:szCs w:val="24"/>
        </w:rPr>
        <w:t>research on oil</w:t>
      </w:r>
      <w:r>
        <w:rPr>
          <w:rFonts w:asciiTheme="majorBidi" w:hAnsiTheme="majorBidi" w:cstheme="majorBidi"/>
          <w:sz w:val="24"/>
          <w:szCs w:val="24"/>
        </w:rPr>
        <w:t xml:space="preserve"> risk transfer</w:t>
      </w:r>
      <w:r w:rsidRPr="00401274">
        <w:rPr>
          <w:rFonts w:asciiTheme="majorBidi" w:hAnsiTheme="majorBidi" w:cstheme="majorBidi"/>
          <w:sz w:val="24"/>
          <w:szCs w:val="24"/>
        </w:rPr>
        <w:t xml:space="preserve"> </w:t>
      </w:r>
      <w:r w:rsidR="00C53C07">
        <w:rPr>
          <w:rFonts w:asciiTheme="majorBidi" w:hAnsiTheme="majorBidi" w:cstheme="majorBidi"/>
          <w:sz w:val="24"/>
          <w:szCs w:val="24"/>
        </w:rPr>
        <w:t xml:space="preserve">employs </w:t>
      </w:r>
      <w:r>
        <w:rPr>
          <w:rFonts w:asciiTheme="majorBidi" w:hAnsiTheme="majorBidi" w:cstheme="majorBidi"/>
          <w:sz w:val="24"/>
          <w:szCs w:val="24"/>
        </w:rPr>
        <w:t>statistical model</w:t>
      </w:r>
      <w:r w:rsidR="00C53C07">
        <w:rPr>
          <w:rFonts w:asciiTheme="majorBidi" w:hAnsiTheme="majorBidi" w:cstheme="majorBidi"/>
          <w:sz w:val="24"/>
          <w:szCs w:val="24"/>
        </w:rPr>
        <w:t>s to estimate</w:t>
      </w:r>
      <w:r>
        <w:rPr>
          <w:rFonts w:asciiTheme="majorBidi" w:hAnsiTheme="majorBidi" w:cstheme="majorBidi"/>
          <w:sz w:val="24"/>
          <w:szCs w:val="24"/>
        </w:rPr>
        <w:t xml:space="preserve"> </w:t>
      </w:r>
      <w:r w:rsidRPr="00401274">
        <w:rPr>
          <w:rFonts w:asciiTheme="majorBidi" w:hAnsiTheme="majorBidi" w:cstheme="majorBidi"/>
          <w:sz w:val="24"/>
          <w:szCs w:val="24"/>
        </w:rPr>
        <w:t xml:space="preserve">volatilities </w:t>
      </w:r>
      <w:r w:rsidR="00FC4670" w:rsidRPr="00FA2A6E">
        <w:rPr>
          <w:rFonts w:asciiTheme="majorBidi" w:hAnsiTheme="majorBidi" w:cstheme="majorBidi"/>
          <w:sz w:val="24"/>
          <w:szCs w:val="24"/>
        </w:rPr>
        <w:t xml:space="preserve">that are poor approximations of true volatilities. An alternative to </w:t>
      </w:r>
      <w:r w:rsidR="00FA2A6E">
        <w:rPr>
          <w:rFonts w:asciiTheme="majorBidi" w:hAnsiTheme="majorBidi" w:cstheme="majorBidi"/>
          <w:sz w:val="24"/>
          <w:szCs w:val="24"/>
        </w:rPr>
        <w:t xml:space="preserve">model-based statistical </w:t>
      </w:r>
      <w:r w:rsidR="00FC4670" w:rsidRPr="00FA2A6E">
        <w:rPr>
          <w:rFonts w:asciiTheme="majorBidi" w:hAnsiTheme="majorBidi" w:cstheme="majorBidi"/>
          <w:sz w:val="24"/>
          <w:szCs w:val="24"/>
        </w:rPr>
        <w:t>volatilit</w:t>
      </w:r>
      <w:r w:rsidR="00FA2A6E">
        <w:rPr>
          <w:rFonts w:asciiTheme="majorBidi" w:hAnsiTheme="majorBidi" w:cstheme="majorBidi"/>
          <w:sz w:val="24"/>
          <w:szCs w:val="24"/>
        </w:rPr>
        <w:t>y</w:t>
      </w:r>
      <w:r w:rsidR="00FC4670" w:rsidRPr="00FA2A6E">
        <w:rPr>
          <w:rFonts w:asciiTheme="majorBidi" w:hAnsiTheme="majorBidi" w:cstheme="majorBidi"/>
          <w:sz w:val="24"/>
          <w:szCs w:val="24"/>
        </w:rPr>
        <w:t xml:space="preserve"> is </w:t>
      </w:r>
      <w:r w:rsidR="00FA2A6E">
        <w:rPr>
          <w:rFonts w:asciiTheme="majorBidi" w:hAnsiTheme="majorBidi" w:cstheme="majorBidi"/>
          <w:sz w:val="24"/>
          <w:szCs w:val="24"/>
        </w:rPr>
        <w:t>option price</w:t>
      </w:r>
      <w:r w:rsidR="00FA2A6E" w:rsidRPr="00FA2A6E" w:rsidDel="00FA2A6E">
        <w:rPr>
          <w:rFonts w:asciiTheme="majorBidi" w:hAnsiTheme="majorBidi" w:cstheme="majorBidi"/>
          <w:sz w:val="24"/>
          <w:szCs w:val="24"/>
        </w:rPr>
        <w:t xml:space="preserve"> </w:t>
      </w:r>
      <w:r>
        <w:rPr>
          <w:rFonts w:asciiTheme="majorBidi" w:hAnsiTheme="majorBidi" w:cstheme="majorBidi"/>
          <w:sz w:val="24"/>
          <w:szCs w:val="24"/>
        </w:rPr>
        <w:t>implied volatilit</w:t>
      </w:r>
      <w:r w:rsidR="00FA2A6E">
        <w:rPr>
          <w:rFonts w:asciiTheme="majorBidi" w:hAnsiTheme="majorBidi" w:cstheme="majorBidi"/>
          <w:sz w:val="24"/>
          <w:szCs w:val="24"/>
        </w:rPr>
        <w:t>y</w:t>
      </w:r>
      <w:r>
        <w:rPr>
          <w:rFonts w:asciiTheme="majorBidi" w:hAnsiTheme="majorBidi" w:cstheme="majorBidi"/>
          <w:sz w:val="24"/>
          <w:szCs w:val="24"/>
        </w:rPr>
        <w:t xml:space="preserve">. </w:t>
      </w:r>
      <w:r w:rsidR="00FA2A6E">
        <w:rPr>
          <w:rFonts w:asciiTheme="majorBidi" w:hAnsiTheme="majorBidi" w:cstheme="majorBidi"/>
          <w:sz w:val="24"/>
          <w:szCs w:val="24"/>
        </w:rPr>
        <w:t xml:space="preserve">Implied </w:t>
      </w:r>
      <w:r>
        <w:rPr>
          <w:rFonts w:asciiTheme="majorBidi" w:hAnsiTheme="majorBidi" w:cstheme="majorBidi"/>
          <w:sz w:val="24"/>
          <w:szCs w:val="24"/>
        </w:rPr>
        <w:t>volatilit</w:t>
      </w:r>
      <w:r w:rsidR="00FA2A6E">
        <w:rPr>
          <w:rFonts w:asciiTheme="majorBidi" w:hAnsiTheme="majorBidi" w:cstheme="majorBidi"/>
          <w:sz w:val="24"/>
          <w:szCs w:val="24"/>
        </w:rPr>
        <w:t>y</w:t>
      </w:r>
      <w:r>
        <w:rPr>
          <w:rFonts w:asciiTheme="majorBidi" w:hAnsiTheme="majorBidi" w:cstheme="majorBidi"/>
          <w:sz w:val="24"/>
          <w:szCs w:val="24"/>
        </w:rPr>
        <w:t xml:space="preserve"> </w:t>
      </w:r>
      <w:r w:rsidR="00FA2A6E">
        <w:rPr>
          <w:rFonts w:asciiTheme="majorBidi" w:hAnsiTheme="majorBidi" w:cstheme="majorBidi"/>
          <w:sz w:val="24"/>
          <w:szCs w:val="24"/>
        </w:rPr>
        <w:t xml:space="preserve">has been </w:t>
      </w:r>
      <w:r>
        <w:rPr>
          <w:rFonts w:asciiTheme="majorBidi" w:hAnsiTheme="majorBidi" w:cstheme="majorBidi"/>
          <w:sz w:val="24"/>
          <w:szCs w:val="24"/>
        </w:rPr>
        <w:t>found to be more accurate than model</w:t>
      </w:r>
      <w:r w:rsidR="00FA2A6E">
        <w:rPr>
          <w:rFonts w:asciiTheme="majorBidi" w:hAnsiTheme="majorBidi" w:cstheme="majorBidi"/>
          <w:sz w:val="24"/>
          <w:szCs w:val="24"/>
        </w:rPr>
        <w:t>-based</w:t>
      </w:r>
      <w:r>
        <w:rPr>
          <w:rFonts w:asciiTheme="majorBidi" w:hAnsiTheme="majorBidi" w:cstheme="majorBidi"/>
          <w:sz w:val="24"/>
          <w:szCs w:val="24"/>
        </w:rPr>
        <w:t xml:space="preserve"> volatilities in predicti</w:t>
      </w:r>
      <w:r w:rsidR="00FA2A6E">
        <w:rPr>
          <w:rFonts w:asciiTheme="majorBidi" w:hAnsiTheme="majorBidi" w:cstheme="majorBidi"/>
          <w:sz w:val="24"/>
          <w:szCs w:val="24"/>
        </w:rPr>
        <w:t>ng</w:t>
      </w:r>
      <w:r>
        <w:rPr>
          <w:rFonts w:asciiTheme="majorBidi" w:hAnsiTheme="majorBidi" w:cstheme="majorBidi"/>
          <w:sz w:val="24"/>
          <w:szCs w:val="24"/>
        </w:rPr>
        <w:t xml:space="preserve"> latent volatilit</w:t>
      </w:r>
      <w:r w:rsidR="00FA2A6E">
        <w:rPr>
          <w:rFonts w:asciiTheme="majorBidi" w:hAnsiTheme="majorBidi" w:cstheme="majorBidi"/>
          <w:sz w:val="24"/>
          <w:szCs w:val="24"/>
        </w:rPr>
        <w:t>y</w:t>
      </w:r>
      <w:r>
        <w:rPr>
          <w:rFonts w:asciiTheme="majorBidi" w:hAnsiTheme="majorBidi" w:cstheme="majorBidi"/>
          <w:sz w:val="24"/>
          <w:szCs w:val="24"/>
        </w:rPr>
        <w:t xml:space="preserve"> (Christensen and Prabhala, 1998; Fleming, 1998; Jorion, 1995; Blair et al., 2000). </w:t>
      </w:r>
      <w:r w:rsidR="005C28E7">
        <w:rPr>
          <w:rFonts w:asciiTheme="majorBidi" w:hAnsiTheme="majorBidi" w:cstheme="majorBidi"/>
          <w:sz w:val="24"/>
          <w:szCs w:val="24"/>
        </w:rPr>
        <w:t>As connectedness is a function of volatility, an accurate measurement of this latter becomes essential for an accurate measurement of interdependence. Thus, the results provided by previous studies are potentially misleading.</w:t>
      </w:r>
      <w:r>
        <w:rPr>
          <w:rFonts w:asciiTheme="majorBidi" w:hAnsiTheme="majorBidi" w:cstheme="majorBidi"/>
          <w:sz w:val="24"/>
          <w:szCs w:val="24"/>
        </w:rPr>
        <w:t xml:space="preserve"> </w:t>
      </w:r>
      <w:r w:rsidR="005C28E7">
        <w:rPr>
          <w:rFonts w:asciiTheme="majorBidi" w:hAnsiTheme="majorBidi" w:cstheme="majorBidi"/>
          <w:sz w:val="24"/>
          <w:szCs w:val="24"/>
        </w:rPr>
        <w:t>I</w:t>
      </w:r>
      <w:r w:rsidRPr="00960589">
        <w:rPr>
          <w:rFonts w:asciiTheme="majorBidi" w:hAnsiTheme="majorBidi" w:cstheme="majorBidi"/>
          <w:sz w:val="24"/>
          <w:szCs w:val="24"/>
        </w:rPr>
        <w:t>n this</w:t>
      </w:r>
      <w:r w:rsidRPr="00770F7B">
        <w:rPr>
          <w:rFonts w:ascii="Times New Roman" w:hAnsi="Times New Roman" w:cs="Times New Roman"/>
          <w:sz w:val="24"/>
          <w:szCs w:val="24"/>
        </w:rPr>
        <w:t xml:space="preserve"> paper </w:t>
      </w:r>
      <w:r>
        <w:rPr>
          <w:rFonts w:ascii="Times New Roman" w:hAnsi="Times New Roman" w:cs="Times New Roman"/>
          <w:sz w:val="24"/>
          <w:szCs w:val="24"/>
        </w:rPr>
        <w:t xml:space="preserve">we </w:t>
      </w:r>
      <w:r w:rsidR="005C28E7">
        <w:rPr>
          <w:rFonts w:ascii="Times New Roman" w:hAnsi="Times New Roman" w:cs="Times New Roman"/>
          <w:sz w:val="24"/>
          <w:szCs w:val="24"/>
        </w:rPr>
        <w:t xml:space="preserve">avoid this potential pitfall and use </w:t>
      </w:r>
      <w:r>
        <w:rPr>
          <w:rFonts w:ascii="Times New Roman" w:hAnsi="Times New Roman" w:cs="Times New Roman"/>
          <w:sz w:val="24"/>
          <w:szCs w:val="24"/>
        </w:rPr>
        <w:t xml:space="preserve">implied </w:t>
      </w:r>
      <w:r w:rsidR="005C28E7">
        <w:rPr>
          <w:rFonts w:ascii="Times New Roman" w:hAnsi="Times New Roman" w:cs="Times New Roman"/>
          <w:sz w:val="24"/>
          <w:szCs w:val="24"/>
        </w:rPr>
        <w:t xml:space="preserve">rather than historical </w:t>
      </w:r>
      <w:r>
        <w:rPr>
          <w:rFonts w:ascii="Times New Roman" w:hAnsi="Times New Roman" w:cs="Times New Roman"/>
          <w:sz w:val="24"/>
          <w:szCs w:val="24"/>
        </w:rPr>
        <w:t>volatilities</w:t>
      </w:r>
      <w:r w:rsidR="005C28E7">
        <w:rPr>
          <w:rFonts w:ascii="Times New Roman" w:hAnsi="Times New Roman" w:cs="Times New Roman"/>
          <w:sz w:val="24"/>
          <w:szCs w:val="24"/>
        </w:rPr>
        <w:t xml:space="preserve"> in </w:t>
      </w:r>
      <w:r w:rsidR="005D2228">
        <w:rPr>
          <w:rFonts w:ascii="Times New Roman" w:hAnsi="Times New Roman" w:cs="Times New Roman"/>
          <w:sz w:val="24"/>
          <w:szCs w:val="24"/>
        </w:rPr>
        <w:t>estimating interdependence</w:t>
      </w:r>
      <w:r>
        <w:rPr>
          <w:rFonts w:ascii="Times New Roman" w:hAnsi="Times New Roman" w:cs="Times New Roman"/>
          <w:sz w:val="24"/>
          <w:szCs w:val="24"/>
        </w:rPr>
        <w:t>.</w:t>
      </w:r>
      <w:r w:rsidR="002A0ED1">
        <w:rPr>
          <w:rFonts w:asciiTheme="majorBidi" w:hAnsiTheme="majorBidi" w:cstheme="majorBidi"/>
          <w:sz w:val="24"/>
          <w:szCs w:val="24"/>
        </w:rPr>
        <w:t xml:space="preserve"> </w:t>
      </w:r>
    </w:p>
    <w:p w:rsidR="00DA1D9E" w:rsidRPr="00C31786" w:rsidRDefault="00D73785" w:rsidP="00D73785">
      <w:pPr>
        <w:spacing w:after="0" w:line="480" w:lineRule="auto"/>
        <w:ind w:firstLine="284"/>
        <w:jc w:val="both"/>
        <w:rPr>
          <w:rFonts w:asciiTheme="majorBidi" w:hAnsiTheme="majorBidi" w:cstheme="majorBidi"/>
          <w:sz w:val="24"/>
          <w:szCs w:val="24"/>
        </w:rPr>
      </w:pPr>
      <w:r>
        <w:rPr>
          <w:rFonts w:ascii="Times New Roman" w:hAnsi="Times New Roman" w:cs="Times New Roman"/>
          <w:sz w:val="24"/>
          <w:szCs w:val="24"/>
        </w:rPr>
        <w:t xml:space="preserve">Using </w:t>
      </w:r>
      <w:r w:rsidR="007415EA">
        <w:rPr>
          <w:rFonts w:ascii="Times New Roman" w:hAnsi="Times New Roman" w:cs="Times New Roman"/>
          <w:sz w:val="24"/>
          <w:szCs w:val="24"/>
        </w:rPr>
        <w:t xml:space="preserve">implied </w:t>
      </w:r>
      <w:r w:rsidR="007415EA" w:rsidRPr="00C31786">
        <w:rPr>
          <w:rFonts w:asciiTheme="majorBidi" w:hAnsiTheme="majorBidi" w:cstheme="majorBidi"/>
          <w:sz w:val="24"/>
          <w:szCs w:val="24"/>
        </w:rPr>
        <w:t>volatilit</w:t>
      </w:r>
      <w:r w:rsidR="00AE76CB">
        <w:rPr>
          <w:rFonts w:asciiTheme="majorBidi" w:hAnsiTheme="majorBidi" w:cstheme="majorBidi"/>
          <w:sz w:val="24"/>
          <w:szCs w:val="24"/>
        </w:rPr>
        <w:t xml:space="preserve">y </w:t>
      </w:r>
      <w:r>
        <w:rPr>
          <w:rFonts w:asciiTheme="majorBidi" w:hAnsiTheme="majorBidi" w:cstheme="majorBidi"/>
          <w:sz w:val="24"/>
          <w:szCs w:val="24"/>
        </w:rPr>
        <w:t xml:space="preserve">in this context </w:t>
      </w:r>
      <w:r w:rsidR="00431E7C">
        <w:rPr>
          <w:rFonts w:asciiTheme="majorBidi" w:hAnsiTheme="majorBidi" w:cstheme="majorBidi"/>
          <w:sz w:val="24"/>
          <w:szCs w:val="24"/>
        </w:rPr>
        <w:t>is important as the</w:t>
      </w:r>
      <w:r>
        <w:rPr>
          <w:rFonts w:asciiTheme="majorBidi" w:hAnsiTheme="majorBidi" w:cstheme="majorBidi"/>
          <w:sz w:val="24"/>
          <w:szCs w:val="24"/>
        </w:rPr>
        <w:t xml:space="preserve">y </w:t>
      </w:r>
      <w:r w:rsidR="007415EA" w:rsidRPr="00C31786">
        <w:rPr>
          <w:rFonts w:asciiTheme="majorBidi" w:hAnsiTheme="majorBidi" w:cstheme="majorBidi"/>
          <w:sz w:val="24"/>
          <w:szCs w:val="24"/>
        </w:rPr>
        <w:t>are derived from market option prices</w:t>
      </w:r>
      <w:r w:rsidR="00431E7C">
        <w:rPr>
          <w:rFonts w:asciiTheme="majorBidi" w:hAnsiTheme="majorBidi" w:cstheme="majorBidi"/>
          <w:sz w:val="24"/>
          <w:szCs w:val="24"/>
        </w:rPr>
        <w:t xml:space="preserve"> and</w:t>
      </w:r>
      <w:r>
        <w:rPr>
          <w:rFonts w:asciiTheme="majorBidi" w:hAnsiTheme="majorBidi" w:cstheme="majorBidi"/>
          <w:sz w:val="24"/>
          <w:szCs w:val="24"/>
        </w:rPr>
        <w:t>,</w:t>
      </w:r>
      <w:r w:rsidR="00431E7C">
        <w:rPr>
          <w:rFonts w:asciiTheme="majorBidi" w:hAnsiTheme="majorBidi" w:cstheme="majorBidi"/>
          <w:sz w:val="24"/>
          <w:szCs w:val="24"/>
        </w:rPr>
        <w:t xml:space="preserve"> </w:t>
      </w:r>
      <w:r w:rsidR="000D425F">
        <w:rPr>
          <w:rFonts w:asciiTheme="majorBidi" w:hAnsiTheme="majorBidi" w:cstheme="majorBidi"/>
          <w:sz w:val="24"/>
          <w:szCs w:val="24"/>
        </w:rPr>
        <w:t>hence</w:t>
      </w:r>
      <w:r>
        <w:rPr>
          <w:rFonts w:asciiTheme="majorBidi" w:hAnsiTheme="majorBidi" w:cstheme="majorBidi"/>
          <w:sz w:val="24"/>
          <w:szCs w:val="24"/>
        </w:rPr>
        <w:t>,</w:t>
      </w:r>
      <w:r w:rsidR="000D425F">
        <w:rPr>
          <w:rFonts w:asciiTheme="majorBidi" w:hAnsiTheme="majorBidi" w:cstheme="majorBidi"/>
          <w:sz w:val="24"/>
          <w:szCs w:val="24"/>
        </w:rPr>
        <w:t xml:space="preserve"> </w:t>
      </w:r>
      <w:r w:rsidR="007415EA" w:rsidRPr="00C31786">
        <w:rPr>
          <w:rFonts w:asciiTheme="majorBidi" w:hAnsiTheme="majorBidi" w:cstheme="majorBidi"/>
          <w:sz w:val="24"/>
          <w:szCs w:val="24"/>
        </w:rPr>
        <w:t xml:space="preserve">represent the market consensus on the expected future uncertainty. </w:t>
      </w:r>
      <w:r w:rsidR="002C5C8E">
        <w:rPr>
          <w:rFonts w:asciiTheme="majorBidi" w:hAnsiTheme="majorBidi" w:cstheme="majorBidi"/>
          <w:sz w:val="24"/>
          <w:szCs w:val="24"/>
        </w:rPr>
        <w:t>The implied volatility ind</w:t>
      </w:r>
      <w:r w:rsidR="00627308">
        <w:rPr>
          <w:rFonts w:asciiTheme="majorBidi" w:hAnsiTheme="majorBidi" w:cstheme="majorBidi"/>
          <w:sz w:val="24"/>
          <w:szCs w:val="24"/>
        </w:rPr>
        <w:t>exes</w:t>
      </w:r>
      <w:r w:rsidR="002C5C8E">
        <w:rPr>
          <w:rFonts w:asciiTheme="majorBidi" w:hAnsiTheme="majorBidi" w:cstheme="majorBidi"/>
          <w:sz w:val="24"/>
          <w:szCs w:val="24"/>
        </w:rPr>
        <w:t xml:space="preserve"> are considered as gauges for fear and in that sense </w:t>
      </w:r>
      <w:r w:rsidR="002C5C8E" w:rsidRPr="00C31786">
        <w:rPr>
          <w:rFonts w:asciiTheme="majorBidi" w:hAnsiTheme="majorBidi" w:cstheme="majorBidi"/>
          <w:sz w:val="24"/>
          <w:szCs w:val="24"/>
        </w:rPr>
        <w:t xml:space="preserve">the inferred </w:t>
      </w:r>
      <w:r w:rsidR="002C5C8E">
        <w:rPr>
          <w:rFonts w:asciiTheme="majorBidi" w:hAnsiTheme="majorBidi" w:cstheme="majorBidi"/>
          <w:sz w:val="24"/>
          <w:szCs w:val="24"/>
        </w:rPr>
        <w:t xml:space="preserve">implied </w:t>
      </w:r>
      <w:r w:rsidR="002C5C8E" w:rsidRPr="00C31786">
        <w:rPr>
          <w:rFonts w:asciiTheme="majorBidi" w:hAnsiTheme="majorBidi" w:cstheme="majorBidi"/>
          <w:sz w:val="24"/>
          <w:szCs w:val="24"/>
        </w:rPr>
        <w:t xml:space="preserve">volatility connectedness reflects </w:t>
      </w:r>
      <w:r w:rsidR="009D6344">
        <w:rPr>
          <w:rFonts w:asciiTheme="majorBidi" w:hAnsiTheme="majorBidi" w:cstheme="majorBidi"/>
          <w:sz w:val="24"/>
          <w:szCs w:val="24"/>
        </w:rPr>
        <w:t xml:space="preserve">the </w:t>
      </w:r>
      <w:r w:rsidR="002C5C8E" w:rsidRPr="00C31786">
        <w:rPr>
          <w:rFonts w:asciiTheme="majorBidi" w:hAnsiTheme="majorBidi" w:cstheme="majorBidi"/>
          <w:sz w:val="24"/>
          <w:szCs w:val="24"/>
        </w:rPr>
        <w:t xml:space="preserve">fear connectedness that is expressed by </w:t>
      </w:r>
      <w:r w:rsidR="008C46BA">
        <w:rPr>
          <w:rFonts w:asciiTheme="majorBidi" w:hAnsiTheme="majorBidi" w:cstheme="majorBidi"/>
          <w:sz w:val="24"/>
          <w:szCs w:val="24"/>
        </w:rPr>
        <w:t xml:space="preserve">traders and market </w:t>
      </w:r>
      <w:r>
        <w:rPr>
          <w:rFonts w:asciiTheme="majorBidi" w:hAnsiTheme="majorBidi" w:cstheme="majorBidi"/>
          <w:sz w:val="24"/>
          <w:szCs w:val="24"/>
        </w:rPr>
        <w:t>participants</w:t>
      </w:r>
      <w:r w:rsidR="002C5C8E" w:rsidRPr="00C31786">
        <w:rPr>
          <w:rFonts w:asciiTheme="majorBidi" w:hAnsiTheme="majorBidi" w:cstheme="majorBidi"/>
          <w:sz w:val="24"/>
          <w:szCs w:val="24"/>
        </w:rPr>
        <w:t>.</w:t>
      </w:r>
      <w:r w:rsidR="002C5C8E">
        <w:rPr>
          <w:rFonts w:asciiTheme="majorBidi" w:hAnsiTheme="majorBidi" w:cstheme="majorBidi"/>
          <w:sz w:val="24"/>
          <w:szCs w:val="24"/>
        </w:rPr>
        <w:t xml:space="preserve"> </w:t>
      </w:r>
      <w:r>
        <w:rPr>
          <w:rFonts w:asciiTheme="majorBidi" w:hAnsiTheme="majorBidi" w:cstheme="majorBidi"/>
          <w:sz w:val="24"/>
          <w:szCs w:val="24"/>
        </w:rPr>
        <w:t xml:space="preserve">As a result, </w:t>
      </w:r>
      <w:r w:rsidR="007415EA" w:rsidRPr="00C31786">
        <w:rPr>
          <w:rFonts w:asciiTheme="majorBidi" w:hAnsiTheme="majorBidi" w:cstheme="majorBidi"/>
          <w:sz w:val="24"/>
          <w:szCs w:val="24"/>
        </w:rPr>
        <w:t xml:space="preserve">implied volatilities </w:t>
      </w:r>
      <w:r w:rsidR="00AE76CB">
        <w:rPr>
          <w:rFonts w:asciiTheme="majorBidi" w:hAnsiTheme="majorBidi" w:cstheme="majorBidi"/>
          <w:sz w:val="24"/>
          <w:szCs w:val="24"/>
        </w:rPr>
        <w:t xml:space="preserve">are </w:t>
      </w:r>
      <w:r>
        <w:rPr>
          <w:rFonts w:asciiTheme="majorBidi" w:hAnsiTheme="majorBidi" w:cstheme="majorBidi"/>
          <w:sz w:val="24"/>
          <w:szCs w:val="24"/>
        </w:rPr>
        <w:t xml:space="preserve">a better means to </w:t>
      </w:r>
      <w:r w:rsidR="00AE76CB">
        <w:rPr>
          <w:rFonts w:asciiTheme="majorBidi" w:hAnsiTheme="majorBidi" w:cstheme="majorBidi"/>
          <w:sz w:val="24"/>
          <w:szCs w:val="24"/>
        </w:rPr>
        <w:t>captur</w:t>
      </w:r>
      <w:r>
        <w:rPr>
          <w:rFonts w:asciiTheme="majorBidi" w:hAnsiTheme="majorBidi" w:cstheme="majorBidi"/>
          <w:sz w:val="24"/>
          <w:szCs w:val="24"/>
        </w:rPr>
        <w:t>ing</w:t>
      </w:r>
      <w:r w:rsidR="00AE76CB">
        <w:rPr>
          <w:rFonts w:asciiTheme="majorBidi" w:hAnsiTheme="majorBidi" w:cstheme="majorBidi"/>
          <w:sz w:val="24"/>
          <w:szCs w:val="24"/>
        </w:rPr>
        <w:t xml:space="preserve"> </w:t>
      </w:r>
      <w:r w:rsidR="002D6D1D">
        <w:rPr>
          <w:rFonts w:asciiTheme="majorBidi" w:hAnsiTheme="majorBidi" w:cstheme="majorBidi"/>
          <w:sz w:val="24"/>
          <w:szCs w:val="24"/>
        </w:rPr>
        <w:t xml:space="preserve">volatility crossovers that </w:t>
      </w:r>
      <w:r w:rsidR="000D425F">
        <w:rPr>
          <w:rFonts w:asciiTheme="majorBidi" w:hAnsiTheme="majorBidi" w:cstheme="majorBidi"/>
          <w:sz w:val="24"/>
          <w:szCs w:val="24"/>
        </w:rPr>
        <w:t>are</w:t>
      </w:r>
      <w:r w:rsidR="002D6D1D">
        <w:rPr>
          <w:rFonts w:asciiTheme="majorBidi" w:hAnsiTheme="majorBidi" w:cstheme="majorBidi"/>
          <w:sz w:val="24"/>
          <w:szCs w:val="24"/>
        </w:rPr>
        <w:t xml:space="preserve"> related to market sentiment.</w:t>
      </w:r>
      <w:r w:rsidR="002C5C8E">
        <w:rPr>
          <w:rFonts w:asciiTheme="majorBidi" w:hAnsiTheme="majorBidi" w:cstheme="majorBidi"/>
          <w:sz w:val="24"/>
          <w:szCs w:val="24"/>
        </w:rPr>
        <w:t xml:space="preserve"> </w:t>
      </w:r>
      <w:r w:rsidR="009F566E">
        <w:rPr>
          <w:rFonts w:asciiTheme="majorBidi" w:hAnsiTheme="majorBidi" w:cstheme="majorBidi"/>
          <w:sz w:val="24"/>
          <w:szCs w:val="24"/>
        </w:rPr>
        <w:t xml:space="preserve">They are </w:t>
      </w:r>
      <w:r w:rsidR="009D6344">
        <w:rPr>
          <w:rFonts w:asciiTheme="majorBidi" w:hAnsiTheme="majorBidi" w:cstheme="majorBidi"/>
          <w:sz w:val="24"/>
          <w:szCs w:val="24"/>
        </w:rPr>
        <w:t xml:space="preserve">also more suitable </w:t>
      </w:r>
      <w:r>
        <w:rPr>
          <w:rFonts w:asciiTheme="majorBidi" w:hAnsiTheme="majorBidi" w:cstheme="majorBidi"/>
          <w:sz w:val="24"/>
          <w:szCs w:val="24"/>
        </w:rPr>
        <w:t xml:space="preserve">for </w:t>
      </w:r>
      <w:r w:rsidR="009D6344">
        <w:rPr>
          <w:rFonts w:asciiTheme="majorBidi" w:hAnsiTheme="majorBidi" w:cstheme="majorBidi"/>
          <w:sz w:val="24"/>
          <w:szCs w:val="24"/>
        </w:rPr>
        <w:t>captur</w:t>
      </w:r>
      <w:r>
        <w:rPr>
          <w:rFonts w:asciiTheme="majorBidi" w:hAnsiTheme="majorBidi" w:cstheme="majorBidi"/>
          <w:sz w:val="24"/>
          <w:szCs w:val="24"/>
        </w:rPr>
        <w:t>ing</w:t>
      </w:r>
      <w:r w:rsidR="009D6344">
        <w:rPr>
          <w:rFonts w:asciiTheme="majorBidi" w:hAnsiTheme="majorBidi" w:cstheme="majorBidi"/>
          <w:sz w:val="24"/>
          <w:szCs w:val="24"/>
        </w:rPr>
        <w:t xml:space="preserve"> cross </w:t>
      </w:r>
      <w:r w:rsidR="009F566E">
        <w:rPr>
          <w:rFonts w:asciiTheme="majorBidi" w:hAnsiTheme="majorBidi" w:cstheme="majorBidi"/>
          <w:sz w:val="24"/>
          <w:szCs w:val="24"/>
        </w:rPr>
        <w:t xml:space="preserve">market </w:t>
      </w:r>
      <w:r w:rsidR="009D6344">
        <w:rPr>
          <w:rFonts w:asciiTheme="majorBidi" w:hAnsiTheme="majorBidi" w:cstheme="majorBidi"/>
          <w:sz w:val="24"/>
          <w:szCs w:val="24"/>
        </w:rPr>
        <w:t xml:space="preserve">fluctuations that are related to </w:t>
      </w:r>
      <w:r w:rsidR="009F566E">
        <w:rPr>
          <w:rFonts w:asciiTheme="majorBidi" w:hAnsiTheme="majorBidi" w:cstheme="majorBidi"/>
          <w:sz w:val="24"/>
          <w:szCs w:val="24"/>
        </w:rPr>
        <w:t xml:space="preserve">portfolio rebalancing and speculative activities that have increased recently </w:t>
      </w:r>
      <w:r w:rsidR="000D425F">
        <w:rPr>
          <w:rFonts w:asciiTheme="majorBidi" w:hAnsiTheme="majorBidi" w:cstheme="majorBidi"/>
          <w:sz w:val="24"/>
          <w:szCs w:val="24"/>
        </w:rPr>
        <w:t xml:space="preserve">in the paper </w:t>
      </w:r>
      <w:r w:rsidR="009F566E">
        <w:rPr>
          <w:rFonts w:asciiTheme="majorBidi" w:hAnsiTheme="majorBidi" w:cstheme="majorBidi"/>
          <w:sz w:val="24"/>
          <w:szCs w:val="24"/>
        </w:rPr>
        <w:t>commodit</w:t>
      </w:r>
      <w:r w:rsidR="000D425F">
        <w:rPr>
          <w:rFonts w:asciiTheme="majorBidi" w:hAnsiTheme="majorBidi" w:cstheme="majorBidi"/>
          <w:sz w:val="24"/>
          <w:szCs w:val="24"/>
        </w:rPr>
        <w:t>y</w:t>
      </w:r>
      <w:r w:rsidR="000C535F">
        <w:rPr>
          <w:rFonts w:asciiTheme="majorBidi" w:hAnsiTheme="majorBidi" w:cstheme="majorBidi"/>
          <w:sz w:val="24"/>
          <w:szCs w:val="24"/>
        </w:rPr>
        <w:t xml:space="preserve"> market</w:t>
      </w:r>
      <w:r w:rsidR="000D425F">
        <w:rPr>
          <w:rFonts w:asciiTheme="majorBidi" w:hAnsiTheme="majorBidi" w:cstheme="majorBidi"/>
          <w:sz w:val="24"/>
          <w:szCs w:val="24"/>
        </w:rPr>
        <w:t>s</w:t>
      </w:r>
      <w:r w:rsidR="009F566E">
        <w:rPr>
          <w:rFonts w:asciiTheme="majorBidi" w:hAnsiTheme="majorBidi" w:cstheme="majorBidi"/>
          <w:sz w:val="24"/>
          <w:szCs w:val="24"/>
        </w:rPr>
        <w:t>.</w:t>
      </w:r>
      <w:r w:rsidR="00DA1D9E" w:rsidRPr="00C31786">
        <w:rPr>
          <w:rStyle w:val="FootnoteReference"/>
          <w:rFonts w:asciiTheme="majorBidi" w:hAnsiTheme="majorBidi" w:cstheme="majorBidi"/>
          <w:sz w:val="24"/>
          <w:szCs w:val="24"/>
        </w:rPr>
        <w:footnoteReference w:id="2"/>
      </w:r>
    </w:p>
    <w:p w:rsidR="00DB7C08" w:rsidRPr="00DB7C08" w:rsidRDefault="00D73785" w:rsidP="00D865C9">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This paper employs </w:t>
      </w:r>
      <w:r w:rsidR="001C6A04">
        <w:rPr>
          <w:rFonts w:ascii="Times New Roman" w:hAnsi="Times New Roman" w:cs="Times New Roman"/>
          <w:sz w:val="24"/>
          <w:szCs w:val="24"/>
        </w:rPr>
        <w:t xml:space="preserve">a set of </w:t>
      </w:r>
      <w:r w:rsidR="00DB7C08" w:rsidRPr="00DB7C08">
        <w:rPr>
          <w:rFonts w:ascii="Times New Roman" w:hAnsi="Times New Roman" w:cs="Times New Roman"/>
          <w:sz w:val="24"/>
          <w:szCs w:val="24"/>
        </w:rPr>
        <w:t>connectedness measures proposed by Diebold and Yilmaz</w:t>
      </w:r>
      <w:r>
        <w:rPr>
          <w:rFonts w:ascii="Times New Roman" w:hAnsi="Times New Roman" w:cs="Times New Roman"/>
          <w:sz w:val="24"/>
          <w:szCs w:val="24"/>
        </w:rPr>
        <w:t xml:space="preserve"> (2016)</w:t>
      </w:r>
      <w:r w:rsidR="00DB7C08" w:rsidRPr="00DB7C08">
        <w:rPr>
          <w:rFonts w:ascii="Times New Roman" w:hAnsi="Times New Roman" w:cs="Times New Roman"/>
          <w:sz w:val="24"/>
          <w:szCs w:val="24"/>
        </w:rPr>
        <w:t>.</w:t>
      </w:r>
      <w:r w:rsidR="00DB7C08" w:rsidRPr="00DB7C08">
        <w:rPr>
          <w:rStyle w:val="FootnoteReference"/>
          <w:rFonts w:ascii="Times New Roman" w:hAnsi="Times New Roman"/>
          <w:sz w:val="24"/>
          <w:szCs w:val="24"/>
        </w:rPr>
        <w:footnoteReference w:id="3"/>
      </w:r>
      <w:r w:rsidR="00D069D9">
        <w:rPr>
          <w:rFonts w:ascii="Times New Roman" w:hAnsi="Times New Roman" w:cs="Times New Roman"/>
          <w:sz w:val="24"/>
          <w:szCs w:val="24"/>
        </w:rPr>
        <w:t xml:space="preserve"> </w:t>
      </w:r>
      <w:r w:rsidR="001C6A04">
        <w:rPr>
          <w:rFonts w:ascii="Times New Roman" w:hAnsi="Times New Roman" w:cs="Times New Roman"/>
          <w:sz w:val="24"/>
          <w:szCs w:val="24"/>
        </w:rPr>
        <w:t>T</w:t>
      </w:r>
      <w:r w:rsidR="00DB7C08" w:rsidRPr="00DB7C08">
        <w:rPr>
          <w:rFonts w:ascii="Times New Roman" w:hAnsi="Times New Roman" w:cs="Times New Roman"/>
          <w:sz w:val="24"/>
          <w:szCs w:val="24"/>
        </w:rPr>
        <w:t>he</w:t>
      </w:r>
      <w:r>
        <w:rPr>
          <w:rFonts w:ascii="Times New Roman" w:hAnsi="Times New Roman" w:cs="Times New Roman"/>
          <w:sz w:val="24"/>
          <w:szCs w:val="24"/>
        </w:rPr>
        <w:t xml:space="preserve">se </w:t>
      </w:r>
      <w:r w:rsidR="00DB7C08" w:rsidRPr="00DB7C08">
        <w:rPr>
          <w:rFonts w:ascii="Times New Roman" w:hAnsi="Times New Roman" w:cs="Times New Roman"/>
          <w:sz w:val="24"/>
          <w:szCs w:val="24"/>
        </w:rPr>
        <w:t>measures are dynamic and directional</w:t>
      </w:r>
      <w:r>
        <w:rPr>
          <w:rFonts w:ascii="Times New Roman" w:hAnsi="Times New Roman" w:cs="Times New Roman"/>
          <w:sz w:val="24"/>
          <w:szCs w:val="24"/>
        </w:rPr>
        <w:t>,</w:t>
      </w:r>
      <w:r w:rsidR="001C6A04">
        <w:rPr>
          <w:rFonts w:ascii="Times New Roman" w:hAnsi="Times New Roman" w:cs="Times New Roman"/>
          <w:sz w:val="24"/>
          <w:szCs w:val="24"/>
        </w:rPr>
        <w:t xml:space="preserve"> </w:t>
      </w:r>
      <w:r w:rsidR="00D865C9">
        <w:rPr>
          <w:rFonts w:ascii="Times New Roman" w:hAnsi="Times New Roman" w:cs="Times New Roman"/>
          <w:sz w:val="24"/>
          <w:szCs w:val="24"/>
        </w:rPr>
        <w:t xml:space="preserve">which makes </w:t>
      </w:r>
      <w:r w:rsidR="001C6A04">
        <w:rPr>
          <w:rFonts w:ascii="Times New Roman" w:hAnsi="Times New Roman" w:cs="Times New Roman"/>
          <w:sz w:val="24"/>
          <w:szCs w:val="24"/>
        </w:rPr>
        <w:t xml:space="preserve">it is possible </w:t>
      </w:r>
      <w:r w:rsidR="00DA2EE0">
        <w:rPr>
          <w:rFonts w:ascii="Times New Roman" w:hAnsi="Times New Roman" w:cs="Times New Roman"/>
          <w:sz w:val="24"/>
          <w:szCs w:val="24"/>
        </w:rPr>
        <w:t xml:space="preserve">to </w:t>
      </w:r>
      <w:r w:rsidR="001C6A04">
        <w:rPr>
          <w:rFonts w:ascii="Times New Roman" w:hAnsi="Times New Roman" w:cs="Times New Roman"/>
          <w:sz w:val="24"/>
          <w:szCs w:val="24"/>
        </w:rPr>
        <w:t>determine the relative importance of markets in the information transmission across time</w:t>
      </w:r>
      <w:r w:rsidR="00D865C9">
        <w:rPr>
          <w:rFonts w:ascii="Times New Roman" w:hAnsi="Times New Roman" w:cs="Times New Roman"/>
          <w:sz w:val="24"/>
          <w:szCs w:val="24"/>
        </w:rPr>
        <w:t>.</w:t>
      </w:r>
      <w:r w:rsidR="001C6A04">
        <w:rPr>
          <w:rFonts w:ascii="Times New Roman" w:hAnsi="Times New Roman" w:cs="Times New Roman"/>
          <w:sz w:val="24"/>
          <w:szCs w:val="24"/>
        </w:rPr>
        <w:t xml:space="preserve"> </w:t>
      </w:r>
      <w:r w:rsidR="00D865C9">
        <w:rPr>
          <w:rFonts w:ascii="Times New Roman" w:hAnsi="Times New Roman" w:cs="Times New Roman"/>
          <w:sz w:val="24"/>
          <w:szCs w:val="24"/>
        </w:rPr>
        <w:t xml:space="preserve">To our knowledge, </w:t>
      </w:r>
      <w:r w:rsidR="008F4D2E">
        <w:rPr>
          <w:rFonts w:ascii="Times New Roman" w:hAnsi="Times New Roman" w:cs="Times New Roman"/>
          <w:sz w:val="24"/>
          <w:szCs w:val="24"/>
        </w:rPr>
        <w:t>we are the first to apply th</w:t>
      </w:r>
      <w:r w:rsidR="007D62D6">
        <w:rPr>
          <w:rFonts w:ascii="Times New Roman" w:hAnsi="Times New Roman" w:cs="Times New Roman"/>
          <w:sz w:val="24"/>
          <w:szCs w:val="24"/>
        </w:rPr>
        <w:t>e Diebold</w:t>
      </w:r>
      <w:r w:rsidR="00D865C9">
        <w:rPr>
          <w:rFonts w:ascii="Times New Roman" w:hAnsi="Times New Roman" w:cs="Times New Roman"/>
          <w:sz w:val="24"/>
          <w:szCs w:val="24"/>
        </w:rPr>
        <w:t>-</w:t>
      </w:r>
      <w:r w:rsidR="007D62D6">
        <w:rPr>
          <w:rFonts w:ascii="Times New Roman" w:hAnsi="Times New Roman" w:cs="Times New Roman"/>
          <w:sz w:val="24"/>
          <w:szCs w:val="24"/>
        </w:rPr>
        <w:t xml:space="preserve">Yilmaz </w:t>
      </w:r>
      <w:r w:rsidR="008F4D2E">
        <w:rPr>
          <w:rFonts w:ascii="Times New Roman" w:hAnsi="Times New Roman" w:cs="Times New Roman"/>
          <w:sz w:val="24"/>
          <w:szCs w:val="24"/>
        </w:rPr>
        <w:t xml:space="preserve">methodology on </w:t>
      </w:r>
      <w:r w:rsidR="00D865C9">
        <w:rPr>
          <w:rFonts w:ascii="Times New Roman" w:hAnsi="Times New Roman" w:cs="Times New Roman"/>
          <w:sz w:val="24"/>
          <w:szCs w:val="24"/>
        </w:rPr>
        <w:t xml:space="preserve">a large </w:t>
      </w:r>
      <w:r w:rsidR="008F4D2E">
        <w:rPr>
          <w:rFonts w:ascii="Times New Roman" w:hAnsi="Times New Roman" w:cs="Times New Roman"/>
          <w:sz w:val="24"/>
          <w:szCs w:val="24"/>
        </w:rPr>
        <w:t xml:space="preserve">set of </w:t>
      </w:r>
      <w:r w:rsidR="00D865C9">
        <w:rPr>
          <w:rFonts w:ascii="Times New Roman" w:hAnsi="Times New Roman" w:cs="Times New Roman"/>
          <w:sz w:val="24"/>
          <w:szCs w:val="24"/>
        </w:rPr>
        <w:t xml:space="preserve">financial </w:t>
      </w:r>
      <w:r w:rsidR="008F4D2E">
        <w:rPr>
          <w:rFonts w:ascii="Times New Roman" w:hAnsi="Times New Roman" w:cs="Times New Roman"/>
          <w:sz w:val="24"/>
          <w:szCs w:val="24"/>
        </w:rPr>
        <w:t xml:space="preserve">markets. </w:t>
      </w:r>
      <w:r w:rsidR="00E978E3">
        <w:rPr>
          <w:rFonts w:ascii="Times New Roman" w:hAnsi="Times New Roman" w:cs="Times New Roman"/>
          <w:sz w:val="24"/>
          <w:szCs w:val="24"/>
        </w:rPr>
        <w:t xml:space="preserve"> </w:t>
      </w:r>
      <w:r w:rsidR="007D62D6">
        <w:rPr>
          <w:rFonts w:ascii="Times New Roman" w:hAnsi="Times New Roman" w:cs="Times New Roman"/>
          <w:sz w:val="24"/>
          <w:szCs w:val="24"/>
        </w:rPr>
        <w:t xml:space="preserve"> </w:t>
      </w:r>
      <w:r w:rsidR="00ED7E7E">
        <w:rPr>
          <w:rFonts w:ascii="Times New Roman" w:hAnsi="Times New Roman" w:cs="Times New Roman"/>
          <w:sz w:val="24"/>
          <w:szCs w:val="24"/>
        </w:rPr>
        <w:t xml:space="preserve">    </w:t>
      </w:r>
      <w:r w:rsidR="008F4D2E">
        <w:rPr>
          <w:rFonts w:ascii="Times New Roman" w:hAnsi="Times New Roman" w:cs="Times New Roman"/>
          <w:sz w:val="24"/>
          <w:szCs w:val="24"/>
        </w:rPr>
        <w:t xml:space="preserve">      </w:t>
      </w:r>
    </w:p>
    <w:p w:rsidR="00906E71" w:rsidRDefault="00DA2EE0" w:rsidP="0060731E">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The results of our analysis show</w:t>
      </w:r>
      <w:r w:rsidR="00DB7C08" w:rsidRPr="00DB7C08">
        <w:rPr>
          <w:rFonts w:ascii="Times New Roman" w:hAnsi="Times New Roman" w:cs="Times New Roman"/>
          <w:sz w:val="24"/>
          <w:szCs w:val="24"/>
        </w:rPr>
        <w:t xml:space="preserve"> that </w:t>
      </w:r>
      <w:r w:rsidR="00C04005">
        <w:rPr>
          <w:rFonts w:ascii="Times New Roman" w:hAnsi="Times New Roman" w:cs="Times New Roman"/>
          <w:sz w:val="24"/>
          <w:szCs w:val="24"/>
        </w:rPr>
        <w:t xml:space="preserve">the </w:t>
      </w:r>
      <w:r w:rsidR="00DB7C08" w:rsidRPr="00DB7C08">
        <w:rPr>
          <w:rFonts w:ascii="Times New Roman" w:hAnsi="Times New Roman" w:cs="Times New Roman"/>
          <w:sz w:val="24"/>
          <w:szCs w:val="24"/>
        </w:rPr>
        <w:t>oil</w:t>
      </w:r>
      <w:r w:rsidR="00C04005">
        <w:rPr>
          <w:rFonts w:ascii="Times New Roman" w:hAnsi="Times New Roman" w:cs="Times New Roman"/>
          <w:sz w:val="24"/>
          <w:szCs w:val="24"/>
        </w:rPr>
        <w:t xml:space="preserve"> market is </w:t>
      </w:r>
      <w:r w:rsidR="00D865C9">
        <w:rPr>
          <w:rFonts w:ascii="Times New Roman" w:hAnsi="Times New Roman" w:cs="Times New Roman"/>
          <w:sz w:val="24"/>
          <w:szCs w:val="24"/>
        </w:rPr>
        <w:t xml:space="preserve">a dominant </w:t>
      </w:r>
      <w:r w:rsidR="00BA4D47">
        <w:rPr>
          <w:rFonts w:ascii="Times New Roman" w:hAnsi="Times New Roman" w:cs="Times New Roman"/>
          <w:sz w:val="24"/>
          <w:szCs w:val="24"/>
        </w:rPr>
        <w:t>source</w:t>
      </w:r>
      <w:r w:rsidR="00C04005">
        <w:rPr>
          <w:rFonts w:ascii="Times New Roman" w:hAnsi="Times New Roman" w:cs="Times New Roman"/>
          <w:sz w:val="24"/>
          <w:szCs w:val="24"/>
        </w:rPr>
        <w:t xml:space="preserve"> of transmission and risk transfer to equities, the Euro/</w:t>
      </w:r>
      <w:r w:rsidR="000D425F">
        <w:rPr>
          <w:rFonts w:ascii="Times New Roman" w:hAnsi="Times New Roman" w:cs="Times New Roman"/>
          <w:sz w:val="24"/>
          <w:szCs w:val="24"/>
        </w:rPr>
        <w:t>D</w:t>
      </w:r>
      <w:r w:rsidR="00C04005">
        <w:rPr>
          <w:rFonts w:ascii="Times New Roman" w:hAnsi="Times New Roman" w:cs="Times New Roman"/>
          <w:sz w:val="24"/>
          <w:szCs w:val="24"/>
        </w:rPr>
        <w:t xml:space="preserve">ollar exchange rate, precious metals and agricultural commodities. This </w:t>
      </w:r>
      <w:r w:rsidR="00575B91">
        <w:rPr>
          <w:rFonts w:ascii="Times New Roman" w:hAnsi="Times New Roman" w:cs="Times New Roman"/>
          <w:sz w:val="24"/>
          <w:szCs w:val="24"/>
        </w:rPr>
        <w:t xml:space="preserve">highlights </w:t>
      </w:r>
      <w:r w:rsidR="00BA4D47">
        <w:rPr>
          <w:rFonts w:ascii="Times New Roman" w:hAnsi="Times New Roman" w:cs="Times New Roman"/>
          <w:sz w:val="24"/>
          <w:szCs w:val="24"/>
        </w:rPr>
        <w:t xml:space="preserve">the </w:t>
      </w:r>
      <w:r w:rsidR="00C04005">
        <w:rPr>
          <w:rFonts w:ascii="Times New Roman" w:hAnsi="Times New Roman" w:cs="Times New Roman"/>
          <w:sz w:val="24"/>
          <w:szCs w:val="24"/>
        </w:rPr>
        <w:t>importan</w:t>
      </w:r>
      <w:r w:rsidR="00575B91">
        <w:rPr>
          <w:rFonts w:ascii="Times New Roman" w:hAnsi="Times New Roman" w:cs="Times New Roman"/>
          <w:sz w:val="24"/>
          <w:szCs w:val="24"/>
        </w:rPr>
        <w:t>t contribution</w:t>
      </w:r>
      <w:r w:rsidR="00C04005">
        <w:rPr>
          <w:rFonts w:ascii="Times New Roman" w:hAnsi="Times New Roman" w:cs="Times New Roman"/>
          <w:sz w:val="24"/>
          <w:szCs w:val="24"/>
        </w:rPr>
        <w:t xml:space="preserve"> of the oil market in</w:t>
      </w:r>
      <w:r w:rsidR="00BA4D47">
        <w:rPr>
          <w:rFonts w:ascii="Times New Roman" w:hAnsi="Times New Roman" w:cs="Times New Roman"/>
          <w:sz w:val="24"/>
          <w:szCs w:val="24"/>
        </w:rPr>
        <w:t xml:space="preserve"> </w:t>
      </w:r>
      <w:r w:rsidR="00C04005">
        <w:rPr>
          <w:rFonts w:ascii="Times New Roman" w:hAnsi="Times New Roman" w:cs="Times New Roman"/>
          <w:sz w:val="24"/>
          <w:szCs w:val="24"/>
        </w:rPr>
        <w:t xml:space="preserve">the </w:t>
      </w:r>
      <w:r w:rsidR="00575B91">
        <w:rPr>
          <w:rFonts w:ascii="Times New Roman" w:hAnsi="Times New Roman" w:cs="Times New Roman"/>
          <w:sz w:val="24"/>
          <w:szCs w:val="24"/>
        </w:rPr>
        <w:t xml:space="preserve">cross-market </w:t>
      </w:r>
      <w:r w:rsidR="00C04005">
        <w:rPr>
          <w:rFonts w:ascii="Times New Roman" w:hAnsi="Times New Roman" w:cs="Times New Roman"/>
          <w:sz w:val="24"/>
          <w:szCs w:val="24"/>
        </w:rPr>
        <w:t>association</w:t>
      </w:r>
      <w:r w:rsidR="00BA4D47">
        <w:rPr>
          <w:rFonts w:ascii="Times New Roman" w:hAnsi="Times New Roman" w:cs="Times New Roman"/>
          <w:sz w:val="24"/>
          <w:szCs w:val="24"/>
        </w:rPr>
        <w:t xml:space="preserve"> relative to </w:t>
      </w:r>
      <w:r w:rsidR="006C1CF3">
        <w:rPr>
          <w:rFonts w:ascii="Times New Roman" w:hAnsi="Times New Roman" w:cs="Times New Roman"/>
          <w:sz w:val="24"/>
          <w:szCs w:val="24"/>
        </w:rPr>
        <w:t>commodities</w:t>
      </w:r>
      <w:r w:rsidR="00C04005">
        <w:rPr>
          <w:rFonts w:ascii="Times New Roman" w:hAnsi="Times New Roman" w:cs="Times New Roman"/>
          <w:sz w:val="24"/>
          <w:szCs w:val="24"/>
        </w:rPr>
        <w:t>.</w:t>
      </w:r>
      <w:r w:rsidR="00BA4D47">
        <w:rPr>
          <w:rFonts w:ascii="Times New Roman" w:hAnsi="Times New Roman" w:cs="Times New Roman"/>
          <w:sz w:val="24"/>
          <w:szCs w:val="24"/>
        </w:rPr>
        <w:t xml:space="preserve"> </w:t>
      </w:r>
      <w:r w:rsidR="0060731E">
        <w:rPr>
          <w:rFonts w:ascii="Times New Roman" w:hAnsi="Times New Roman" w:cs="Times New Roman"/>
          <w:sz w:val="24"/>
          <w:szCs w:val="24"/>
        </w:rPr>
        <w:t>Relative to oil</w:t>
      </w:r>
      <w:r w:rsidR="00575B91">
        <w:rPr>
          <w:rFonts w:ascii="Times New Roman" w:hAnsi="Times New Roman" w:cs="Times New Roman"/>
          <w:sz w:val="24"/>
          <w:szCs w:val="24"/>
        </w:rPr>
        <w:t>,</w:t>
      </w:r>
      <w:r w:rsidR="00BA4D47">
        <w:rPr>
          <w:rFonts w:ascii="Times New Roman" w:hAnsi="Times New Roman" w:cs="Times New Roman"/>
          <w:sz w:val="24"/>
          <w:szCs w:val="24"/>
        </w:rPr>
        <w:t xml:space="preserve"> volatility </w:t>
      </w:r>
      <w:r w:rsidR="00575B91">
        <w:rPr>
          <w:rFonts w:ascii="Times New Roman" w:hAnsi="Times New Roman" w:cs="Times New Roman"/>
          <w:sz w:val="24"/>
          <w:szCs w:val="24"/>
        </w:rPr>
        <w:t xml:space="preserve">transmission </w:t>
      </w:r>
      <w:r w:rsidR="00BA4D47">
        <w:rPr>
          <w:rFonts w:ascii="Times New Roman" w:hAnsi="Times New Roman" w:cs="Times New Roman"/>
          <w:sz w:val="24"/>
          <w:szCs w:val="24"/>
        </w:rPr>
        <w:t>is highest with equities and lowest with agricultural product</w:t>
      </w:r>
      <w:r w:rsidR="00F01A08">
        <w:rPr>
          <w:rFonts w:ascii="Times New Roman" w:hAnsi="Times New Roman" w:cs="Times New Roman"/>
          <w:sz w:val="24"/>
          <w:szCs w:val="24"/>
        </w:rPr>
        <w:t>s</w:t>
      </w:r>
      <w:r w:rsidR="00BA4D47">
        <w:rPr>
          <w:rFonts w:ascii="Times New Roman" w:hAnsi="Times New Roman" w:cs="Times New Roman"/>
          <w:sz w:val="24"/>
          <w:szCs w:val="24"/>
        </w:rPr>
        <w:t xml:space="preserve">. The </w:t>
      </w:r>
      <w:r w:rsidR="00927299">
        <w:rPr>
          <w:rFonts w:ascii="Times New Roman" w:hAnsi="Times New Roman" w:cs="Times New Roman"/>
          <w:sz w:val="24"/>
          <w:szCs w:val="24"/>
        </w:rPr>
        <w:t xml:space="preserve">pairwise directional connectedness observed from </w:t>
      </w:r>
      <w:r w:rsidR="00BA4D47">
        <w:rPr>
          <w:rFonts w:ascii="Times New Roman" w:hAnsi="Times New Roman" w:cs="Times New Roman"/>
          <w:sz w:val="24"/>
          <w:szCs w:val="24"/>
        </w:rPr>
        <w:t>oil to equities</w:t>
      </w:r>
      <w:r w:rsidR="00927299">
        <w:rPr>
          <w:rFonts w:ascii="Times New Roman" w:hAnsi="Times New Roman" w:cs="Times New Roman"/>
          <w:sz w:val="24"/>
          <w:szCs w:val="24"/>
        </w:rPr>
        <w:t xml:space="preserve"> is around 20.4%, while it is 1.6%, 1.0% and 2.0% to wheat</w:t>
      </w:r>
      <w:r w:rsidR="0060731E">
        <w:rPr>
          <w:rFonts w:ascii="Times New Roman" w:hAnsi="Times New Roman" w:cs="Times New Roman"/>
          <w:sz w:val="24"/>
          <w:szCs w:val="24"/>
        </w:rPr>
        <w:t>,</w:t>
      </w:r>
      <w:r w:rsidR="00927299">
        <w:rPr>
          <w:rFonts w:ascii="Times New Roman" w:hAnsi="Times New Roman" w:cs="Times New Roman"/>
          <w:sz w:val="24"/>
          <w:szCs w:val="24"/>
        </w:rPr>
        <w:t xml:space="preserve"> corn and soybeans respectively. </w:t>
      </w:r>
      <w:r w:rsidR="0060731E">
        <w:rPr>
          <w:rFonts w:ascii="Times New Roman" w:hAnsi="Times New Roman" w:cs="Times New Roman"/>
          <w:sz w:val="24"/>
          <w:szCs w:val="24"/>
        </w:rPr>
        <w:t>W</w:t>
      </w:r>
      <w:r w:rsidR="00F01A08">
        <w:rPr>
          <w:rFonts w:ascii="Times New Roman" w:hAnsi="Times New Roman" w:cs="Times New Roman"/>
          <w:sz w:val="24"/>
          <w:szCs w:val="24"/>
        </w:rPr>
        <w:t xml:space="preserve">e </w:t>
      </w:r>
      <w:r w:rsidR="0060731E">
        <w:rPr>
          <w:rFonts w:ascii="Times New Roman" w:hAnsi="Times New Roman" w:cs="Times New Roman"/>
          <w:sz w:val="24"/>
          <w:szCs w:val="24"/>
        </w:rPr>
        <w:t xml:space="preserve">further </w:t>
      </w:r>
      <w:r w:rsidR="00F01A08">
        <w:rPr>
          <w:rFonts w:ascii="Times New Roman" w:hAnsi="Times New Roman" w:cs="Times New Roman"/>
          <w:sz w:val="24"/>
          <w:szCs w:val="24"/>
        </w:rPr>
        <w:t xml:space="preserve">find that </w:t>
      </w:r>
      <w:r w:rsidR="00354E57">
        <w:rPr>
          <w:rFonts w:ascii="Times New Roman" w:hAnsi="Times New Roman" w:cs="Times New Roman"/>
          <w:sz w:val="24"/>
          <w:szCs w:val="24"/>
        </w:rPr>
        <w:t>directional linkages</w:t>
      </w:r>
      <w:r w:rsidR="00927299">
        <w:rPr>
          <w:rFonts w:ascii="Times New Roman" w:hAnsi="Times New Roman" w:cs="Times New Roman"/>
          <w:sz w:val="24"/>
          <w:szCs w:val="24"/>
        </w:rPr>
        <w:t xml:space="preserve"> from oil to gold and silver </w:t>
      </w:r>
      <w:r w:rsidR="0060731E">
        <w:rPr>
          <w:rFonts w:ascii="Times New Roman" w:hAnsi="Times New Roman" w:cs="Times New Roman"/>
          <w:sz w:val="24"/>
          <w:szCs w:val="24"/>
        </w:rPr>
        <w:t xml:space="preserve">are </w:t>
      </w:r>
      <w:r w:rsidR="00927299">
        <w:rPr>
          <w:rFonts w:ascii="Times New Roman" w:hAnsi="Times New Roman" w:cs="Times New Roman"/>
          <w:sz w:val="24"/>
          <w:szCs w:val="24"/>
        </w:rPr>
        <w:t>significantly higher than agricultural commodities</w:t>
      </w:r>
      <w:r w:rsidR="00951637">
        <w:rPr>
          <w:rFonts w:ascii="Times New Roman" w:hAnsi="Times New Roman" w:cs="Times New Roman"/>
          <w:sz w:val="24"/>
          <w:szCs w:val="24"/>
        </w:rPr>
        <w:t xml:space="preserve">, </w:t>
      </w:r>
      <w:r w:rsidR="00D53EFD">
        <w:rPr>
          <w:rFonts w:ascii="Times New Roman" w:hAnsi="Times New Roman" w:cs="Times New Roman"/>
          <w:sz w:val="24"/>
          <w:szCs w:val="24"/>
        </w:rPr>
        <w:t xml:space="preserve">but </w:t>
      </w:r>
      <w:r w:rsidR="00354E57">
        <w:rPr>
          <w:rFonts w:ascii="Times New Roman" w:hAnsi="Times New Roman" w:cs="Times New Roman"/>
          <w:sz w:val="24"/>
          <w:szCs w:val="24"/>
        </w:rPr>
        <w:t xml:space="preserve">still much </w:t>
      </w:r>
      <w:r w:rsidR="00927299">
        <w:rPr>
          <w:rFonts w:ascii="Times New Roman" w:hAnsi="Times New Roman" w:cs="Times New Roman"/>
          <w:sz w:val="24"/>
          <w:szCs w:val="24"/>
        </w:rPr>
        <w:t xml:space="preserve">lower than equities. The pairwise directional connectedness </w:t>
      </w:r>
      <w:r w:rsidR="00F01A08">
        <w:rPr>
          <w:rFonts w:ascii="Times New Roman" w:hAnsi="Times New Roman" w:cs="Times New Roman"/>
          <w:sz w:val="24"/>
          <w:szCs w:val="24"/>
        </w:rPr>
        <w:t>from oil to gold and silver is around 11.0%</w:t>
      </w:r>
      <w:r w:rsidR="00D53EFD">
        <w:rPr>
          <w:rFonts w:ascii="Times New Roman" w:hAnsi="Times New Roman" w:cs="Times New Roman"/>
          <w:sz w:val="24"/>
          <w:szCs w:val="24"/>
        </w:rPr>
        <w:t xml:space="preserve"> for both precious metals</w:t>
      </w:r>
      <w:r w:rsidR="00F01A08">
        <w:rPr>
          <w:rFonts w:ascii="Times New Roman" w:hAnsi="Times New Roman" w:cs="Times New Roman"/>
          <w:sz w:val="24"/>
          <w:szCs w:val="24"/>
        </w:rPr>
        <w:t>.</w:t>
      </w:r>
      <w:r w:rsidR="00D53EFD">
        <w:rPr>
          <w:rFonts w:ascii="Times New Roman" w:hAnsi="Times New Roman" w:cs="Times New Roman"/>
          <w:sz w:val="24"/>
          <w:szCs w:val="24"/>
        </w:rPr>
        <w:t xml:space="preserve"> Finally, t</w:t>
      </w:r>
      <w:r w:rsidR="00951637">
        <w:rPr>
          <w:rFonts w:ascii="Times New Roman" w:hAnsi="Times New Roman" w:cs="Times New Roman"/>
          <w:sz w:val="24"/>
          <w:szCs w:val="24"/>
        </w:rPr>
        <w:t xml:space="preserve">he risk transfer from oil to the Euro/Dollar exchange rate is </w:t>
      </w:r>
      <w:r w:rsidR="0060731E">
        <w:rPr>
          <w:rFonts w:ascii="Times New Roman" w:hAnsi="Times New Roman" w:cs="Times New Roman"/>
          <w:sz w:val="24"/>
          <w:szCs w:val="24"/>
        </w:rPr>
        <w:t xml:space="preserve">slightly </w:t>
      </w:r>
      <w:r w:rsidR="00951637">
        <w:rPr>
          <w:rFonts w:ascii="Times New Roman" w:hAnsi="Times New Roman" w:cs="Times New Roman"/>
          <w:sz w:val="24"/>
          <w:szCs w:val="24"/>
        </w:rPr>
        <w:t>lower</w:t>
      </w:r>
      <w:r w:rsidR="0060731E">
        <w:rPr>
          <w:rFonts w:ascii="Times New Roman" w:hAnsi="Times New Roman" w:cs="Times New Roman"/>
          <w:sz w:val="24"/>
          <w:szCs w:val="24"/>
        </w:rPr>
        <w:t xml:space="preserve">, with a </w:t>
      </w:r>
      <w:r w:rsidR="00951637">
        <w:rPr>
          <w:rFonts w:ascii="Times New Roman" w:hAnsi="Times New Roman" w:cs="Times New Roman"/>
          <w:sz w:val="24"/>
          <w:szCs w:val="24"/>
        </w:rPr>
        <w:t xml:space="preserve">pairwise directional connectedness </w:t>
      </w:r>
      <w:r w:rsidR="0060731E">
        <w:rPr>
          <w:rFonts w:ascii="Times New Roman" w:hAnsi="Times New Roman" w:cs="Times New Roman"/>
          <w:sz w:val="24"/>
          <w:szCs w:val="24"/>
        </w:rPr>
        <w:t xml:space="preserve">of </w:t>
      </w:r>
      <w:r w:rsidR="00951637">
        <w:rPr>
          <w:rFonts w:ascii="Times New Roman" w:hAnsi="Times New Roman" w:cs="Times New Roman"/>
          <w:sz w:val="24"/>
          <w:szCs w:val="24"/>
        </w:rPr>
        <w:t xml:space="preserve">around 8.9%.  </w:t>
      </w:r>
    </w:p>
    <w:p w:rsidR="000335A7" w:rsidRDefault="00D7262D" w:rsidP="00AD0BD0">
      <w:pPr>
        <w:spacing w:after="0" w:line="480" w:lineRule="auto"/>
        <w:ind w:firstLine="284"/>
        <w:jc w:val="both"/>
        <w:rPr>
          <w:rFonts w:asciiTheme="majorBidi" w:hAnsiTheme="majorBidi" w:cstheme="majorBidi"/>
          <w:noProof/>
          <w:sz w:val="24"/>
          <w:szCs w:val="24"/>
        </w:rPr>
      </w:pPr>
      <w:r>
        <w:rPr>
          <w:rFonts w:asciiTheme="majorBidi" w:hAnsiTheme="majorBidi" w:cstheme="majorBidi"/>
          <w:noProof/>
          <w:sz w:val="24"/>
          <w:szCs w:val="24"/>
        </w:rPr>
        <w:t xml:space="preserve"> The dynamic analysis shows that </w:t>
      </w:r>
      <w:r w:rsidR="00E94DFB">
        <w:rPr>
          <w:rFonts w:asciiTheme="majorBidi" w:hAnsiTheme="majorBidi" w:cstheme="majorBidi"/>
          <w:noProof/>
          <w:sz w:val="24"/>
          <w:szCs w:val="24"/>
        </w:rPr>
        <w:t xml:space="preserve">there </w:t>
      </w:r>
      <w:r w:rsidR="00AA1909">
        <w:rPr>
          <w:rFonts w:asciiTheme="majorBidi" w:hAnsiTheme="majorBidi" w:cstheme="majorBidi"/>
          <w:noProof/>
          <w:sz w:val="24"/>
          <w:szCs w:val="24"/>
        </w:rPr>
        <w:t xml:space="preserve">was </w:t>
      </w:r>
      <w:r w:rsidR="00E94DFB">
        <w:rPr>
          <w:rFonts w:asciiTheme="majorBidi" w:hAnsiTheme="majorBidi" w:cstheme="majorBidi"/>
          <w:noProof/>
          <w:sz w:val="24"/>
          <w:szCs w:val="24"/>
        </w:rPr>
        <w:t>an increase in total</w:t>
      </w:r>
      <w:r w:rsidR="00BC09A4">
        <w:rPr>
          <w:rFonts w:asciiTheme="majorBidi" w:hAnsiTheme="majorBidi" w:cstheme="majorBidi"/>
          <w:noProof/>
          <w:sz w:val="24"/>
          <w:szCs w:val="24"/>
        </w:rPr>
        <w:t xml:space="preserve"> </w:t>
      </w:r>
      <w:r>
        <w:rPr>
          <w:rFonts w:asciiTheme="majorBidi" w:hAnsiTheme="majorBidi" w:cstheme="majorBidi"/>
          <w:noProof/>
          <w:sz w:val="24"/>
          <w:szCs w:val="24"/>
        </w:rPr>
        <w:t xml:space="preserve">and directional </w:t>
      </w:r>
      <w:r w:rsidR="00BC09A4" w:rsidRPr="00D069D9">
        <w:rPr>
          <w:rFonts w:ascii="Times New Roman" w:hAnsi="Times New Roman" w:cs="Times New Roman"/>
          <w:sz w:val="24"/>
          <w:szCs w:val="24"/>
        </w:rPr>
        <w:t>connectedness</w:t>
      </w:r>
      <w:r w:rsidR="00BC09A4">
        <w:rPr>
          <w:rFonts w:asciiTheme="majorBidi" w:hAnsiTheme="majorBidi" w:cstheme="majorBidi"/>
          <w:noProof/>
          <w:sz w:val="24"/>
          <w:szCs w:val="24"/>
        </w:rPr>
        <w:t xml:space="preserve"> </w:t>
      </w:r>
      <w:r w:rsidR="00E94DFB">
        <w:rPr>
          <w:rFonts w:asciiTheme="majorBidi" w:hAnsiTheme="majorBidi" w:cstheme="majorBidi"/>
          <w:noProof/>
          <w:sz w:val="24"/>
          <w:szCs w:val="24"/>
        </w:rPr>
        <w:t xml:space="preserve">from oil to other markets </w:t>
      </w:r>
      <w:r w:rsidR="00BC09A4">
        <w:rPr>
          <w:rFonts w:asciiTheme="majorBidi" w:hAnsiTheme="majorBidi" w:cstheme="majorBidi"/>
          <w:noProof/>
          <w:sz w:val="24"/>
          <w:szCs w:val="24"/>
        </w:rPr>
        <w:t>between</w:t>
      </w:r>
      <w:r w:rsidR="00E94DFB">
        <w:rPr>
          <w:rFonts w:asciiTheme="majorBidi" w:hAnsiTheme="majorBidi" w:cstheme="majorBidi"/>
          <w:noProof/>
          <w:sz w:val="24"/>
          <w:szCs w:val="24"/>
        </w:rPr>
        <w:t xml:space="preserve"> July 2014 and </w:t>
      </w:r>
      <w:r w:rsidR="00BC09A4">
        <w:rPr>
          <w:rFonts w:asciiTheme="majorBidi" w:hAnsiTheme="majorBidi" w:cstheme="majorBidi"/>
          <w:noProof/>
          <w:sz w:val="24"/>
          <w:szCs w:val="24"/>
        </w:rPr>
        <w:t>March 2015</w:t>
      </w:r>
      <w:r w:rsidR="00E94DFB">
        <w:rPr>
          <w:rFonts w:asciiTheme="majorBidi" w:hAnsiTheme="majorBidi" w:cstheme="majorBidi"/>
          <w:noProof/>
          <w:sz w:val="24"/>
          <w:szCs w:val="24"/>
        </w:rPr>
        <w:t xml:space="preserve">. </w:t>
      </w:r>
      <w:r w:rsidR="000335A7">
        <w:rPr>
          <w:rFonts w:asciiTheme="majorBidi" w:hAnsiTheme="majorBidi" w:cstheme="majorBidi"/>
          <w:noProof/>
          <w:sz w:val="24"/>
          <w:szCs w:val="24"/>
        </w:rPr>
        <w:t>T</w:t>
      </w:r>
      <w:r w:rsidR="00E94DFB">
        <w:rPr>
          <w:rFonts w:asciiTheme="majorBidi" w:hAnsiTheme="majorBidi" w:cstheme="majorBidi"/>
          <w:noProof/>
          <w:sz w:val="24"/>
          <w:szCs w:val="24"/>
        </w:rPr>
        <w:t>his period</w:t>
      </w:r>
      <w:r w:rsidR="000335A7">
        <w:rPr>
          <w:rFonts w:asciiTheme="majorBidi" w:hAnsiTheme="majorBidi" w:cstheme="majorBidi"/>
          <w:noProof/>
          <w:sz w:val="24"/>
          <w:szCs w:val="24"/>
        </w:rPr>
        <w:t xml:space="preserve"> </w:t>
      </w:r>
      <w:r w:rsidR="00AA1909">
        <w:rPr>
          <w:rFonts w:asciiTheme="majorBidi" w:hAnsiTheme="majorBidi" w:cstheme="majorBidi"/>
          <w:noProof/>
          <w:sz w:val="24"/>
          <w:szCs w:val="24"/>
        </w:rPr>
        <w:t xml:space="preserve">saw </w:t>
      </w:r>
      <w:r w:rsidR="000335A7">
        <w:rPr>
          <w:rFonts w:asciiTheme="majorBidi" w:hAnsiTheme="majorBidi" w:cstheme="majorBidi"/>
          <w:noProof/>
          <w:sz w:val="24"/>
          <w:szCs w:val="24"/>
        </w:rPr>
        <w:t>an increased uncertainty about the future of crude</w:t>
      </w:r>
      <w:r w:rsidR="001060E0">
        <w:rPr>
          <w:rFonts w:asciiTheme="majorBidi" w:hAnsiTheme="majorBidi" w:cstheme="majorBidi"/>
          <w:noProof/>
          <w:sz w:val="24"/>
          <w:szCs w:val="24"/>
        </w:rPr>
        <w:t xml:space="preserve"> oil</w:t>
      </w:r>
      <w:r w:rsidR="000335A7">
        <w:rPr>
          <w:rFonts w:asciiTheme="majorBidi" w:hAnsiTheme="majorBidi" w:cstheme="majorBidi"/>
          <w:noProof/>
          <w:sz w:val="24"/>
          <w:szCs w:val="24"/>
        </w:rPr>
        <w:t xml:space="preserve"> due to </w:t>
      </w:r>
      <w:r w:rsidR="00AA1909">
        <w:rPr>
          <w:rFonts w:asciiTheme="majorBidi" w:hAnsiTheme="majorBidi" w:cstheme="majorBidi"/>
          <w:noProof/>
          <w:sz w:val="24"/>
          <w:szCs w:val="24"/>
        </w:rPr>
        <w:t xml:space="preserve">excess </w:t>
      </w:r>
      <w:r w:rsidR="000335A7">
        <w:rPr>
          <w:rFonts w:asciiTheme="majorBidi" w:hAnsiTheme="majorBidi" w:cstheme="majorBidi"/>
          <w:noProof/>
          <w:sz w:val="24"/>
          <w:szCs w:val="24"/>
        </w:rPr>
        <w:t>supply, shale production and weak global economies.</w:t>
      </w:r>
      <w:r w:rsidR="00E37DCE">
        <w:rPr>
          <w:rFonts w:asciiTheme="majorBidi" w:hAnsiTheme="majorBidi" w:cstheme="majorBidi"/>
          <w:noProof/>
          <w:sz w:val="24"/>
          <w:szCs w:val="24"/>
        </w:rPr>
        <w:t xml:space="preserve"> </w:t>
      </w:r>
      <w:r w:rsidR="000335A7">
        <w:rPr>
          <w:rFonts w:asciiTheme="majorBidi" w:hAnsiTheme="majorBidi" w:cstheme="majorBidi"/>
          <w:noProof/>
          <w:sz w:val="24"/>
          <w:szCs w:val="24"/>
        </w:rPr>
        <w:t>Th</w:t>
      </w:r>
      <w:r w:rsidR="00E94DFB">
        <w:rPr>
          <w:rFonts w:asciiTheme="majorBidi" w:hAnsiTheme="majorBidi" w:cstheme="majorBidi"/>
          <w:noProof/>
          <w:sz w:val="24"/>
          <w:szCs w:val="24"/>
        </w:rPr>
        <w:t>e barrel</w:t>
      </w:r>
      <w:r w:rsidR="00BC09A4">
        <w:rPr>
          <w:rFonts w:asciiTheme="majorBidi" w:hAnsiTheme="majorBidi" w:cstheme="majorBidi"/>
          <w:noProof/>
          <w:sz w:val="24"/>
          <w:szCs w:val="24"/>
        </w:rPr>
        <w:t xml:space="preserve"> of oil </w:t>
      </w:r>
      <w:r w:rsidR="000335A7">
        <w:rPr>
          <w:rFonts w:asciiTheme="majorBidi" w:hAnsiTheme="majorBidi" w:cstheme="majorBidi"/>
          <w:noProof/>
          <w:sz w:val="24"/>
          <w:szCs w:val="24"/>
        </w:rPr>
        <w:t xml:space="preserve">which </w:t>
      </w:r>
      <w:r w:rsidR="00E94DFB">
        <w:rPr>
          <w:rFonts w:asciiTheme="majorBidi" w:hAnsiTheme="majorBidi" w:cstheme="majorBidi"/>
          <w:noProof/>
          <w:sz w:val="24"/>
          <w:szCs w:val="24"/>
        </w:rPr>
        <w:t xml:space="preserve">traded above $100 </w:t>
      </w:r>
      <w:r w:rsidR="00BC09A4">
        <w:rPr>
          <w:rFonts w:asciiTheme="majorBidi" w:hAnsiTheme="majorBidi" w:cstheme="majorBidi"/>
          <w:noProof/>
          <w:sz w:val="24"/>
          <w:szCs w:val="24"/>
        </w:rPr>
        <w:t xml:space="preserve">around </w:t>
      </w:r>
      <w:r w:rsidR="00E94DFB">
        <w:rPr>
          <w:rFonts w:asciiTheme="majorBidi" w:hAnsiTheme="majorBidi" w:cstheme="majorBidi"/>
          <w:noProof/>
          <w:sz w:val="24"/>
          <w:szCs w:val="24"/>
        </w:rPr>
        <w:t>the end of July 2014 coll</w:t>
      </w:r>
      <w:r w:rsidR="000335A7">
        <w:rPr>
          <w:rFonts w:asciiTheme="majorBidi" w:hAnsiTheme="majorBidi" w:cstheme="majorBidi"/>
          <w:noProof/>
          <w:sz w:val="24"/>
          <w:szCs w:val="24"/>
        </w:rPr>
        <w:t>a</w:t>
      </w:r>
      <w:r w:rsidR="00AA1909">
        <w:rPr>
          <w:rFonts w:asciiTheme="majorBidi" w:hAnsiTheme="majorBidi" w:cstheme="majorBidi"/>
          <w:noProof/>
          <w:sz w:val="24"/>
          <w:szCs w:val="24"/>
        </w:rPr>
        <w:t>ps</w:t>
      </w:r>
      <w:r w:rsidR="00E94DFB">
        <w:rPr>
          <w:rFonts w:asciiTheme="majorBidi" w:hAnsiTheme="majorBidi" w:cstheme="majorBidi"/>
          <w:noProof/>
          <w:sz w:val="24"/>
          <w:szCs w:val="24"/>
        </w:rPr>
        <w:t>ed</w:t>
      </w:r>
      <w:r w:rsidR="00AA1909">
        <w:rPr>
          <w:rFonts w:asciiTheme="majorBidi" w:hAnsiTheme="majorBidi" w:cstheme="majorBidi"/>
          <w:noProof/>
          <w:sz w:val="24"/>
          <w:szCs w:val="24"/>
        </w:rPr>
        <w:t xml:space="preserve"> </w:t>
      </w:r>
      <w:r w:rsidR="00E94DFB">
        <w:rPr>
          <w:rFonts w:asciiTheme="majorBidi" w:hAnsiTheme="majorBidi" w:cstheme="majorBidi"/>
          <w:noProof/>
          <w:sz w:val="24"/>
          <w:szCs w:val="24"/>
        </w:rPr>
        <w:t xml:space="preserve">to $44 </w:t>
      </w:r>
      <w:r w:rsidR="001060E0">
        <w:rPr>
          <w:rFonts w:asciiTheme="majorBidi" w:hAnsiTheme="majorBidi" w:cstheme="majorBidi"/>
          <w:noProof/>
          <w:sz w:val="24"/>
          <w:szCs w:val="24"/>
        </w:rPr>
        <w:t>by</w:t>
      </w:r>
      <w:r w:rsidR="00BC09A4">
        <w:rPr>
          <w:rFonts w:asciiTheme="majorBidi" w:hAnsiTheme="majorBidi" w:cstheme="majorBidi"/>
          <w:noProof/>
          <w:sz w:val="24"/>
          <w:szCs w:val="24"/>
        </w:rPr>
        <w:t xml:space="preserve"> </w:t>
      </w:r>
      <w:r w:rsidR="00E94DFB">
        <w:rPr>
          <w:rFonts w:asciiTheme="majorBidi" w:hAnsiTheme="majorBidi" w:cstheme="majorBidi"/>
          <w:noProof/>
          <w:sz w:val="24"/>
          <w:szCs w:val="24"/>
        </w:rPr>
        <w:t>March 2015. Th</w:t>
      </w:r>
      <w:r w:rsidR="000335A7">
        <w:rPr>
          <w:rFonts w:asciiTheme="majorBidi" w:hAnsiTheme="majorBidi" w:cstheme="majorBidi"/>
          <w:noProof/>
          <w:sz w:val="24"/>
          <w:szCs w:val="24"/>
        </w:rPr>
        <w:t>e</w:t>
      </w:r>
      <w:r w:rsidR="00E94DFB">
        <w:rPr>
          <w:rFonts w:asciiTheme="majorBidi" w:hAnsiTheme="majorBidi" w:cstheme="majorBidi"/>
          <w:noProof/>
          <w:sz w:val="24"/>
          <w:szCs w:val="24"/>
        </w:rPr>
        <w:t xml:space="preserve"> uncertainty regarding the future </w:t>
      </w:r>
      <w:r w:rsidR="00BC09A4">
        <w:rPr>
          <w:rFonts w:asciiTheme="majorBidi" w:hAnsiTheme="majorBidi" w:cstheme="majorBidi"/>
          <w:noProof/>
          <w:sz w:val="24"/>
          <w:szCs w:val="24"/>
        </w:rPr>
        <w:t xml:space="preserve">price </w:t>
      </w:r>
      <w:r w:rsidR="00E94DFB">
        <w:rPr>
          <w:rFonts w:asciiTheme="majorBidi" w:hAnsiTheme="majorBidi" w:cstheme="majorBidi"/>
          <w:noProof/>
          <w:sz w:val="24"/>
          <w:szCs w:val="24"/>
        </w:rPr>
        <w:t xml:space="preserve">of crude </w:t>
      </w:r>
      <w:r w:rsidR="00AA1909">
        <w:rPr>
          <w:rFonts w:asciiTheme="majorBidi" w:hAnsiTheme="majorBidi" w:cstheme="majorBidi"/>
          <w:noProof/>
          <w:sz w:val="24"/>
          <w:szCs w:val="24"/>
        </w:rPr>
        <w:t xml:space="preserve">oil was </w:t>
      </w:r>
      <w:r w:rsidR="00E94DFB">
        <w:rPr>
          <w:rFonts w:asciiTheme="majorBidi" w:hAnsiTheme="majorBidi" w:cstheme="majorBidi"/>
          <w:noProof/>
          <w:sz w:val="24"/>
          <w:szCs w:val="24"/>
        </w:rPr>
        <w:t xml:space="preserve">translated into increased </w:t>
      </w:r>
      <w:r w:rsidR="001060E0">
        <w:rPr>
          <w:rFonts w:asciiTheme="majorBidi" w:hAnsiTheme="majorBidi" w:cstheme="majorBidi"/>
          <w:noProof/>
          <w:sz w:val="24"/>
          <w:szCs w:val="24"/>
        </w:rPr>
        <w:t>r</w:t>
      </w:r>
      <w:r w:rsidR="00E94DFB">
        <w:rPr>
          <w:rFonts w:asciiTheme="majorBidi" w:hAnsiTheme="majorBidi" w:cstheme="majorBidi"/>
          <w:noProof/>
          <w:sz w:val="24"/>
          <w:szCs w:val="24"/>
        </w:rPr>
        <w:t>isk transfer</w:t>
      </w:r>
      <w:r w:rsidR="001060E0">
        <w:rPr>
          <w:rFonts w:asciiTheme="majorBidi" w:hAnsiTheme="majorBidi" w:cstheme="majorBidi"/>
          <w:noProof/>
          <w:sz w:val="24"/>
          <w:szCs w:val="24"/>
        </w:rPr>
        <w:t>s</w:t>
      </w:r>
      <w:r w:rsidR="00E94DFB">
        <w:rPr>
          <w:rFonts w:asciiTheme="majorBidi" w:hAnsiTheme="majorBidi" w:cstheme="majorBidi"/>
          <w:noProof/>
          <w:sz w:val="24"/>
          <w:szCs w:val="24"/>
        </w:rPr>
        <w:t xml:space="preserve"> from oil</w:t>
      </w:r>
      <w:r w:rsidR="001060E0">
        <w:rPr>
          <w:rFonts w:asciiTheme="majorBidi" w:hAnsiTheme="majorBidi" w:cstheme="majorBidi"/>
          <w:noProof/>
          <w:sz w:val="24"/>
          <w:szCs w:val="24"/>
        </w:rPr>
        <w:t xml:space="preserve"> to other markets</w:t>
      </w:r>
      <w:r w:rsidR="00E94DFB">
        <w:rPr>
          <w:rFonts w:asciiTheme="majorBidi" w:hAnsiTheme="majorBidi" w:cstheme="majorBidi"/>
          <w:noProof/>
          <w:sz w:val="24"/>
          <w:szCs w:val="24"/>
        </w:rPr>
        <w:t>.</w:t>
      </w:r>
      <w:r w:rsidR="00BC09A4">
        <w:rPr>
          <w:rFonts w:asciiTheme="majorBidi" w:hAnsiTheme="majorBidi" w:cstheme="majorBidi"/>
          <w:noProof/>
          <w:sz w:val="24"/>
          <w:szCs w:val="24"/>
        </w:rPr>
        <w:t xml:space="preserve"> In the </w:t>
      </w:r>
      <w:r w:rsidR="001060E0">
        <w:rPr>
          <w:rFonts w:asciiTheme="majorBidi" w:hAnsiTheme="majorBidi" w:cstheme="majorBidi"/>
          <w:noProof/>
          <w:sz w:val="24"/>
          <w:szCs w:val="24"/>
        </w:rPr>
        <w:t xml:space="preserve">analysis of the total </w:t>
      </w:r>
      <w:r w:rsidR="00BC09A4">
        <w:rPr>
          <w:rFonts w:asciiTheme="majorBidi" w:hAnsiTheme="majorBidi" w:cstheme="majorBidi"/>
          <w:noProof/>
          <w:sz w:val="24"/>
          <w:szCs w:val="24"/>
        </w:rPr>
        <w:t xml:space="preserve">pairwise connectedness </w:t>
      </w:r>
      <w:r w:rsidR="001060E0">
        <w:rPr>
          <w:rFonts w:asciiTheme="majorBidi" w:hAnsiTheme="majorBidi" w:cstheme="majorBidi"/>
          <w:noProof/>
          <w:sz w:val="24"/>
          <w:szCs w:val="24"/>
        </w:rPr>
        <w:t xml:space="preserve">we found </w:t>
      </w:r>
      <w:r w:rsidR="00BC09A4">
        <w:rPr>
          <w:rFonts w:asciiTheme="majorBidi" w:hAnsiTheme="majorBidi" w:cstheme="majorBidi"/>
          <w:noProof/>
          <w:sz w:val="24"/>
          <w:szCs w:val="24"/>
        </w:rPr>
        <w:t xml:space="preserve">increased transmissions to equities, gold, </w:t>
      </w:r>
      <w:r w:rsidR="000335A7">
        <w:rPr>
          <w:rFonts w:asciiTheme="majorBidi" w:hAnsiTheme="majorBidi" w:cstheme="majorBidi"/>
          <w:noProof/>
          <w:sz w:val="24"/>
          <w:szCs w:val="24"/>
        </w:rPr>
        <w:t xml:space="preserve">silver and </w:t>
      </w:r>
      <w:r w:rsidR="00BC09A4">
        <w:rPr>
          <w:rFonts w:asciiTheme="majorBidi" w:hAnsiTheme="majorBidi" w:cstheme="majorBidi"/>
          <w:noProof/>
          <w:sz w:val="24"/>
          <w:szCs w:val="24"/>
        </w:rPr>
        <w:t>wheat</w:t>
      </w:r>
      <w:r w:rsidR="000335A7">
        <w:rPr>
          <w:rFonts w:asciiTheme="majorBidi" w:hAnsiTheme="majorBidi" w:cstheme="majorBidi"/>
          <w:noProof/>
          <w:sz w:val="24"/>
          <w:szCs w:val="24"/>
        </w:rPr>
        <w:t>.</w:t>
      </w:r>
      <w:r w:rsidR="00A05371">
        <w:rPr>
          <w:rFonts w:asciiTheme="majorBidi" w:hAnsiTheme="majorBidi" w:cstheme="majorBidi"/>
          <w:noProof/>
          <w:sz w:val="24"/>
          <w:szCs w:val="24"/>
        </w:rPr>
        <w:t xml:space="preserve"> </w:t>
      </w:r>
    </w:p>
    <w:p w:rsidR="00CE668B" w:rsidRDefault="00D7262D" w:rsidP="008A00B0">
      <w:pPr>
        <w:spacing w:after="0" w:line="480" w:lineRule="auto"/>
        <w:ind w:firstLine="284"/>
        <w:jc w:val="both"/>
        <w:rPr>
          <w:rFonts w:ascii="Times New Roman" w:hAnsi="Times New Roman" w:cs="Times New Roman"/>
          <w:noProof/>
          <w:sz w:val="24"/>
          <w:szCs w:val="24"/>
        </w:rPr>
      </w:pPr>
      <w:r>
        <w:rPr>
          <w:rFonts w:asciiTheme="majorBidi" w:hAnsiTheme="majorBidi" w:cstheme="majorBidi"/>
          <w:noProof/>
          <w:sz w:val="24"/>
          <w:szCs w:val="24"/>
        </w:rPr>
        <w:t xml:space="preserve"> </w:t>
      </w:r>
      <w:r w:rsidR="000D648B" w:rsidRPr="000D648B">
        <w:rPr>
          <w:rFonts w:ascii="Times New Roman" w:hAnsi="Times New Roman" w:cs="Times New Roman"/>
          <w:noProof/>
          <w:sz w:val="24"/>
          <w:szCs w:val="24"/>
        </w:rPr>
        <w:t>The rest of the paper is organized as follows</w:t>
      </w:r>
      <w:r w:rsidR="00534861">
        <w:rPr>
          <w:rFonts w:ascii="Times New Roman" w:hAnsi="Times New Roman" w:cs="Times New Roman"/>
          <w:noProof/>
          <w:sz w:val="24"/>
          <w:szCs w:val="24"/>
        </w:rPr>
        <w:t>. T</w:t>
      </w:r>
      <w:r w:rsidR="00DA2EE0">
        <w:rPr>
          <w:rFonts w:ascii="Times New Roman" w:hAnsi="Times New Roman" w:cs="Times New Roman"/>
          <w:noProof/>
          <w:sz w:val="24"/>
          <w:szCs w:val="24"/>
        </w:rPr>
        <w:t>he next section includes a br</w:t>
      </w:r>
      <w:r w:rsidR="00534861">
        <w:rPr>
          <w:rFonts w:ascii="Times New Roman" w:hAnsi="Times New Roman" w:cs="Times New Roman"/>
          <w:noProof/>
          <w:sz w:val="24"/>
          <w:szCs w:val="24"/>
        </w:rPr>
        <w:t>i</w:t>
      </w:r>
      <w:r w:rsidR="00DA2EE0">
        <w:rPr>
          <w:rFonts w:ascii="Times New Roman" w:hAnsi="Times New Roman" w:cs="Times New Roman"/>
          <w:noProof/>
          <w:sz w:val="24"/>
          <w:szCs w:val="24"/>
        </w:rPr>
        <w:t>ef review of the related literature. In section 3 we describe the methodology used to construct the implied volatility indexes and we provide some preliminary statist</w:t>
      </w:r>
      <w:r w:rsidR="007E3488">
        <w:rPr>
          <w:rFonts w:ascii="Times New Roman" w:hAnsi="Times New Roman" w:cs="Times New Roman"/>
          <w:noProof/>
          <w:sz w:val="24"/>
          <w:szCs w:val="24"/>
        </w:rPr>
        <w:t>i</w:t>
      </w:r>
      <w:r w:rsidR="00DA2EE0">
        <w:rPr>
          <w:rFonts w:ascii="Times New Roman" w:hAnsi="Times New Roman" w:cs="Times New Roman"/>
          <w:noProof/>
          <w:sz w:val="24"/>
          <w:szCs w:val="24"/>
        </w:rPr>
        <w:t>cs of the sample. Section 4 summarizes</w:t>
      </w:r>
      <w:r w:rsidR="000D648B" w:rsidRPr="000D648B">
        <w:rPr>
          <w:rFonts w:ascii="Times New Roman" w:hAnsi="Times New Roman" w:cs="Times New Roman"/>
          <w:noProof/>
          <w:sz w:val="24"/>
          <w:szCs w:val="24"/>
        </w:rPr>
        <w:t xml:space="preserve"> the directional connectedness measures proposed by Diebold and Yilmaz (2015</w:t>
      </w:r>
      <w:r w:rsidR="0004403A">
        <w:rPr>
          <w:rFonts w:ascii="Times New Roman" w:hAnsi="Times New Roman" w:cs="Times New Roman"/>
          <w:noProof/>
          <w:sz w:val="24"/>
          <w:szCs w:val="24"/>
        </w:rPr>
        <w:t>, 2016</w:t>
      </w:r>
      <w:r w:rsidR="000D648B" w:rsidRPr="000D648B">
        <w:rPr>
          <w:rFonts w:ascii="Times New Roman" w:hAnsi="Times New Roman" w:cs="Times New Roman"/>
          <w:noProof/>
          <w:sz w:val="24"/>
          <w:szCs w:val="24"/>
        </w:rPr>
        <w:t xml:space="preserve">). In Section </w:t>
      </w:r>
      <w:r w:rsidR="007E3488">
        <w:rPr>
          <w:rFonts w:ascii="Times New Roman" w:hAnsi="Times New Roman" w:cs="Times New Roman"/>
          <w:noProof/>
          <w:sz w:val="24"/>
          <w:szCs w:val="24"/>
        </w:rPr>
        <w:t>5</w:t>
      </w:r>
      <w:r w:rsidR="000D648B" w:rsidRPr="000D648B">
        <w:rPr>
          <w:rFonts w:ascii="Times New Roman" w:hAnsi="Times New Roman" w:cs="Times New Roman"/>
          <w:noProof/>
          <w:sz w:val="24"/>
          <w:szCs w:val="24"/>
        </w:rPr>
        <w:t xml:space="preserve"> we perform a full sample analysis in which we characterize the connectedness among oil </w:t>
      </w:r>
      <w:r w:rsidR="00DA2EE0">
        <w:rPr>
          <w:rFonts w:ascii="Times New Roman" w:hAnsi="Times New Roman" w:cs="Times New Roman"/>
          <w:noProof/>
          <w:sz w:val="24"/>
          <w:szCs w:val="24"/>
        </w:rPr>
        <w:t>a</w:t>
      </w:r>
      <w:r w:rsidR="000D648B" w:rsidRPr="000D648B">
        <w:rPr>
          <w:rFonts w:ascii="Times New Roman" w:hAnsi="Times New Roman" w:cs="Times New Roman"/>
          <w:noProof/>
          <w:sz w:val="24"/>
          <w:szCs w:val="24"/>
        </w:rPr>
        <w:t xml:space="preserve">nd </w:t>
      </w:r>
      <w:r w:rsidR="00DA2EE0">
        <w:rPr>
          <w:rFonts w:ascii="Times New Roman" w:hAnsi="Times New Roman" w:cs="Times New Roman"/>
          <w:noProof/>
          <w:sz w:val="24"/>
          <w:szCs w:val="24"/>
        </w:rPr>
        <w:t>other markets’</w:t>
      </w:r>
      <w:r w:rsidR="000D648B" w:rsidRPr="000D648B">
        <w:rPr>
          <w:rFonts w:ascii="Times New Roman" w:hAnsi="Times New Roman" w:cs="Times New Roman"/>
          <w:noProof/>
          <w:sz w:val="24"/>
          <w:szCs w:val="24"/>
        </w:rPr>
        <w:t xml:space="preserve"> volatilities. </w:t>
      </w:r>
      <w:r w:rsidR="00E15D36">
        <w:rPr>
          <w:rFonts w:ascii="Times New Roman" w:hAnsi="Times New Roman" w:cs="Times New Roman"/>
          <w:noProof/>
          <w:sz w:val="24"/>
          <w:szCs w:val="24"/>
        </w:rPr>
        <w:t>W</w:t>
      </w:r>
      <w:r w:rsidR="000D648B" w:rsidRPr="000D648B">
        <w:rPr>
          <w:rFonts w:ascii="Times New Roman" w:hAnsi="Times New Roman" w:cs="Times New Roman"/>
          <w:noProof/>
          <w:sz w:val="24"/>
          <w:szCs w:val="24"/>
        </w:rPr>
        <w:t xml:space="preserve">e </w:t>
      </w:r>
      <w:r w:rsidR="00E15D36">
        <w:rPr>
          <w:rFonts w:ascii="Times New Roman" w:hAnsi="Times New Roman" w:cs="Times New Roman"/>
          <w:noProof/>
          <w:sz w:val="24"/>
          <w:szCs w:val="24"/>
        </w:rPr>
        <w:t xml:space="preserve">also </w:t>
      </w:r>
      <w:r w:rsidR="000D648B" w:rsidRPr="000D648B">
        <w:rPr>
          <w:rFonts w:ascii="Times New Roman" w:hAnsi="Times New Roman" w:cs="Times New Roman"/>
          <w:noProof/>
          <w:sz w:val="24"/>
          <w:szCs w:val="24"/>
        </w:rPr>
        <w:t xml:space="preserve">perform a rolling sample analysis to check the dynamics of </w:t>
      </w:r>
      <w:r w:rsidR="000D648B" w:rsidRPr="000D648B">
        <w:rPr>
          <w:rFonts w:ascii="Times New Roman" w:hAnsi="Times New Roman" w:cs="Times New Roman"/>
          <w:noProof/>
          <w:sz w:val="24"/>
          <w:szCs w:val="24"/>
        </w:rPr>
        <w:lastRenderedPageBreak/>
        <w:t xml:space="preserve">connectedness across time. </w:t>
      </w:r>
      <w:r w:rsidR="00E15D36">
        <w:rPr>
          <w:rFonts w:ascii="Times New Roman" w:hAnsi="Times New Roman" w:cs="Times New Roman"/>
          <w:noProof/>
          <w:sz w:val="24"/>
          <w:szCs w:val="24"/>
        </w:rPr>
        <w:t xml:space="preserve">Robustness checks are offered </w:t>
      </w:r>
      <w:r w:rsidR="000D648B" w:rsidRPr="000D648B">
        <w:rPr>
          <w:rFonts w:ascii="Times New Roman" w:hAnsi="Times New Roman" w:cs="Times New Roman"/>
          <w:noProof/>
          <w:sz w:val="24"/>
          <w:szCs w:val="24"/>
        </w:rPr>
        <w:t xml:space="preserve">in section </w:t>
      </w:r>
      <w:r w:rsidR="00DA2EE0">
        <w:rPr>
          <w:rFonts w:ascii="Times New Roman" w:hAnsi="Times New Roman" w:cs="Times New Roman"/>
          <w:noProof/>
          <w:sz w:val="24"/>
          <w:szCs w:val="24"/>
        </w:rPr>
        <w:t>6</w:t>
      </w:r>
      <w:r w:rsidR="000D648B" w:rsidRPr="000D648B">
        <w:rPr>
          <w:rFonts w:ascii="Times New Roman" w:hAnsi="Times New Roman" w:cs="Times New Roman"/>
          <w:noProof/>
          <w:sz w:val="24"/>
          <w:szCs w:val="24"/>
        </w:rPr>
        <w:t xml:space="preserve">. </w:t>
      </w:r>
      <w:r w:rsidR="00E15D36">
        <w:rPr>
          <w:rFonts w:ascii="Times New Roman" w:hAnsi="Times New Roman" w:cs="Times New Roman"/>
          <w:noProof/>
          <w:sz w:val="24"/>
          <w:szCs w:val="24"/>
        </w:rPr>
        <w:t>In t</w:t>
      </w:r>
      <w:r w:rsidR="000D648B" w:rsidRPr="000D648B">
        <w:rPr>
          <w:rFonts w:ascii="Times New Roman" w:hAnsi="Times New Roman" w:cs="Times New Roman"/>
          <w:noProof/>
          <w:sz w:val="24"/>
          <w:szCs w:val="24"/>
        </w:rPr>
        <w:t>h</w:t>
      </w:r>
      <w:r w:rsidR="00E15D36">
        <w:rPr>
          <w:rFonts w:ascii="Times New Roman" w:hAnsi="Times New Roman" w:cs="Times New Roman"/>
          <w:noProof/>
          <w:sz w:val="24"/>
          <w:szCs w:val="24"/>
        </w:rPr>
        <w:t>is</w:t>
      </w:r>
      <w:r w:rsidR="000D648B" w:rsidRPr="000D648B">
        <w:rPr>
          <w:rFonts w:ascii="Times New Roman" w:hAnsi="Times New Roman" w:cs="Times New Roman"/>
          <w:noProof/>
          <w:sz w:val="24"/>
          <w:szCs w:val="24"/>
        </w:rPr>
        <w:t xml:space="preserve"> section </w:t>
      </w:r>
      <w:r w:rsidR="00E15D36">
        <w:rPr>
          <w:rFonts w:ascii="Times New Roman" w:hAnsi="Times New Roman" w:cs="Times New Roman"/>
          <w:noProof/>
          <w:sz w:val="24"/>
          <w:szCs w:val="24"/>
        </w:rPr>
        <w:t xml:space="preserve">we </w:t>
      </w:r>
      <w:r w:rsidR="000D648B" w:rsidRPr="000D648B">
        <w:rPr>
          <w:rFonts w:ascii="Times New Roman" w:hAnsi="Times New Roman" w:cs="Times New Roman"/>
          <w:noProof/>
          <w:sz w:val="24"/>
          <w:szCs w:val="24"/>
        </w:rPr>
        <w:t xml:space="preserve">present results </w:t>
      </w:r>
      <w:r w:rsidR="00E2512E">
        <w:rPr>
          <w:rFonts w:ascii="Times New Roman" w:hAnsi="Times New Roman" w:cs="Times New Roman"/>
          <w:noProof/>
          <w:sz w:val="24"/>
          <w:szCs w:val="24"/>
        </w:rPr>
        <w:t xml:space="preserve">from two </w:t>
      </w:r>
      <w:r w:rsidR="00E15D36">
        <w:rPr>
          <w:rFonts w:ascii="Times New Roman" w:hAnsi="Times New Roman" w:cs="Times New Roman"/>
          <w:noProof/>
          <w:sz w:val="24"/>
          <w:szCs w:val="24"/>
        </w:rPr>
        <w:t xml:space="preserve">different </w:t>
      </w:r>
      <w:r w:rsidR="00E2512E">
        <w:rPr>
          <w:rFonts w:ascii="Times New Roman" w:hAnsi="Times New Roman" w:cs="Times New Roman"/>
          <w:noProof/>
          <w:sz w:val="24"/>
          <w:szCs w:val="24"/>
        </w:rPr>
        <w:t>measures of volatility</w:t>
      </w:r>
      <w:r w:rsidR="000D648B" w:rsidRPr="000D648B">
        <w:rPr>
          <w:rFonts w:ascii="Times New Roman" w:hAnsi="Times New Roman" w:cs="Times New Roman"/>
          <w:noProof/>
          <w:sz w:val="24"/>
          <w:szCs w:val="24"/>
        </w:rPr>
        <w:t xml:space="preserve">. </w:t>
      </w:r>
      <w:r w:rsidR="00E15D36">
        <w:rPr>
          <w:rFonts w:ascii="Times New Roman" w:hAnsi="Times New Roman" w:cs="Times New Roman"/>
          <w:noProof/>
          <w:sz w:val="24"/>
          <w:szCs w:val="24"/>
        </w:rPr>
        <w:t xml:space="preserve">The final </w:t>
      </w:r>
      <w:r w:rsidR="000D648B" w:rsidRPr="000D648B">
        <w:rPr>
          <w:rFonts w:ascii="Times New Roman" w:hAnsi="Times New Roman" w:cs="Times New Roman"/>
          <w:noProof/>
          <w:sz w:val="24"/>
          <w:szCs w:val="24"/>
        </w:rPr>
        <w:t xml:space="preserve">section </w:t>
      </w:r>
      <w:r w:rsidR="007E3488">
        <w:rPr>
          <w:rFonts w:ascii="Times New Roman" w:hAnsi="Times New Roman" w:cs="Times New Roman"/>
          <w:noProof/>
          <w:sz w:val="24"/>
          <w:szCs w:val="24"/>
        </w:rPr>
        <w:t>7</w:t>
      </w:r>
      <w:r w:rsidR="000D648B" w:rsidRPr="000D648B">
        <w:rPr>
          <w:rFonts w:ascii="Times New Roman" w:hAnsi="Times New Roman" w:cs="Times New Roman"/>
          <w:noProof/>
          <w:sz w:val="24"/>
          <w:szCs w:val="24"/>
        </w:rPr>
        <w:t xml:space="preserve"> contains some concluding remarks. </w:t>
      </w:r>
    </w:p>
    <w:p w:rsidR="00CE668B" w:rsidRDefault="00CE668B" w:rsidP="008A00B0">
      <w:pPr>
        <w:spacing w:after="0" w:line="480" w:lineRule="auto"/>
        <w:ind w:firstLine="284"/>
        <w:jc w:val="both"/>
        <w:rPr>
          <w:rFonts w:ascii="Times New Roman" w:hAnsi="Times New Roman" w:cs="Times New Roman"/>
          <w:noProof/>
          <w:sz w:val="24"/>
          <w:szCs w:val="24"/>
        </w:rPr>
      </w:pPr>
    </w:p>
    <w:p w:rsidR="00B8595F" w:rsidRDefault="000D648B" w:rsidP="008A00B0">
      <w:pPr>
        <w:spacing w:after="0" w:line="480" w:lineRule="auto"/>
        <w:ind w:firstLine="284"/>
        <w:jc w:val="both"/>
        <w:rPr>
          <w:rFonts w:asciiTheme="majorBidi" w:hAnsiTheme="majorBidi" w:cstheme="majorBidi"/>
          <w:sz w:val="24"/>
          <w:szCs w:val="24"/>
        </w:rPr>
      </w:pPr>
      <w:r w:rsidRPr="000D648B">
        <w:rPr>
          <w:rFonts w:ascii="Times New Roman" w:hAnsi="Times New Roman" w:cs="Times New Roman"/>
          <w:sz w:val="24"/>
          <w:szCs w:val="24"/>
        </w:rPr>
        <w:t xml:space="preserve"> </w:t>
      </w:r>
      <w:r w:rsidR="0051044F">
        <w:rPr>
          <w:rFonts w:asciiTheme="majorBidi" w:hAnsiTheme="majorBidi" w:cstheme="majorBidi"/>
          <w:sz w:val="24"/>
          <w:szCs w:val="24"/>
        </w:rPr>
        <w:t xml:space="preserve">   </w:t>
      </w:r>
    </w:p>
    <w:p w:rsidR="000F407C" w:rsidRPr="00067DF5" w:rsidRDefault="00403C77" w:rsidP="00B8595F">
      <w:pPr>
        <w:pStyle w:val="ListParagraph"/>
        <w:numPr>
          <w:ilvl w:val="0"/>
          <w:numId w:val="1"/>
        </w:numPr>
        <w:spacing w:after="0" w:line="480" w:lineRule="auto"/>
        <w:ind w:left="284" w:hanging="284"/>
        <w:rPr>
          <w:rFonts w:asciiTheme="majorBidi" w:hAnsiTheme="majorBidi" w:cstheme="majorBidi"/>
          <w:b/>
          <w:bCs/>
          <w:sz w:val="24"/>
          <w:szCs w:val="24"/>
        </w:rPr>
      </w:pPr>
      <w:r w:rsidRPr="00067DF5">
        <w:rPr>
          <w:rFonts w:asciiTheme="majorBidi" w:hAnsiTheme="majorBidi" w:cstheme="majorBidi"/>
          <w:b/>
          <w:bCs/>
          <w:sz w:val="24"/>
          <w:szCs w:val="24"/>
        </w:rPr>
        <w:t xml:space="preserve">Literature review      </w:t>
      </w:r>
    </w:p>
    <w:p w:rsidR="006B78CD" w:rsidRDefault="00FE4612" w:rsidP="00B64164">
      <w:pPr>
        <w:spacing w:after="0" w:line="480" w:lineRule="auto"/>
        <w:ind w:firstLine="284"/>
        <w:jc w:val="both"/>
        <w:rPr>
          <w:rFonts w:asciiTheme="majorBidi" w:eastAsia="Calibri" w:hAnsiTheme="majorBidi" w:cstheme="majorBidi"/>
          <w:sz w:val="24"/>
          <w:szCs w:val="24"/>
        </w:rPr>
      </w:pPr>
      <w:r w:rsidRPr="00FE4612">
        <w:rPr>
          <w:rFonts w:asciiTheme="majorBidi" w:eastAsia="Calibri" w:hAnsiTheme="majorBidi" w:cstheme="majorBidi"/>
          <w:sz w:val="24"/>
          <w:szCs w:val="24"/>
        </w:rPr>
        <w:t xml:space="preserve">The literature on the association of oil with other commodities </w:t>
      </w:r>
      <w:r w:rsidR="00067DF5">
        <w:rPr>
          <w:rFonts w:asciiTheme="majorBidi" w:eastAsia="Calibri" w:hAnsiTheme="majorBidi" w:cstheme="majorBidi"/>
          <w:sz w:val="24"/>
          <w:szCs w:val="24"/>
        </w:rPr>
        <w:t>is vast.</w:t>
      </w:r>
      <w:r w:rsidR="00B11D50">
        <w:rPr>
          <w:rStyle w:val="FootnoteReference"/>
          <w:rFonts w:asciiTheme="majorBidi" w:eastAsia="Calibri" w:hAnsiTheme="majorBidi"/>
          <w:sz w:val="24"/>
          <w:szCs w:val="24"/>
        </w:rPr>
        <w:footnoteReference w:id="4"/>
      </w:r>
      <w:r>
        <w:rPr>
          <w:rFonts w:asciiTheme="majorBidi" w:eastAsia="Calibri" w:hAnsiTheme="majorBidi" w:cstheme="majorBidi"/>
          <w:sz w:val="24"/>
          <w:szCs w:val="24"/>
        </w:rPr>
        <w:t xml:space="preserve"> </w:t>
      </w:r>
      <w:r w:rsidRPr="00FE4612">
        <w:rPr>
          <w:rFonts w:asciiTheme="majorBidi" w:eastAsia="Calibri" w:hAnsiTheme="majorBidi" w:cstheme="majorBidi"/>
          <w:sz w:val="24"/>
          <w:szCs w:val="24"/>
        </w:rPr>
        <w:t xml:space="preserve">One of the earliest </w:t>
      </w:r>
      <w:r w:rsidR="00067DF5">
        <w:rPr>
          <w:rFonts w:asciiTheme="majorBidi" w:eastAsia="Calibri" w:hAnsiTheme="majorBidi" w:cstheme="majorBidi"/>
          <w:sz w:val="24"/>
          <w:szCs w:val="24"/>
        </w:rPr>
        <w:t xml:space="preserve">works </w:t>
      </w:r>
      <w:r w:rsidRPr="00FE4612">
        <w:rPr>
          <w:rFonts w:asciiTheme="majorBidi" w:eastAsia="Calibri" w:hAnsiTheme="majorBidi" w:cstheme="majorBidi"/>
          <w:sz w:val="24"/>
          <w:szCs w:val="24"/>
        </w:rPr>
        <w:t>is Pindyck and Rotemberg (1990) who find excess co-movement between unrelated commodities</w:t>
      </w:r>
      <w:r w:rsidR="00800AB0">
        <w:rPr>
          <w:rFonts w:asciiTheme="majorBidi" w:eastAsia="Calibri" w:hAnsiTheme="majorBidi" w:cstheme="majorBidi"/>
          <w:sz w:val="24"/>
          <w:szCs w:val="24"/>
        </w:rPr>
        <w:t xml:space="preserve"> such as cocoa and </w:t>
      </w:r>
      <w:r w:rsidRPr="00FE4612">
        <w:rPr>
          <w:rFonts w:asciiTheme="majorBidi" w:eastAsia="Calibri" w:hAnsiTheme="majorBidi" w:cstheme="majorBidi"/>
          <w:sz w:val="24"/>
          <w:szCs w:val="24"/>
        </w:rPr>
        <w:t xml:space="preserve">crude oil. They attributed </w:t>
      </w:r>
      <w:r w:rsidR="00B11D50">
        <w:rPr>
          <w:rFonts w:asciiTheme="majorBidi" w:eastAsia="Calibri" w:hAnsiTheme="majorBidi" w:cstheme="majorBidi"/>
          <w:sz w:val="24"/>
          <w:szCs w:val="24"/>
        </w:rPr>
        <w:t>their results</w:t>
      </w:r>
      <w:r w:rsidRPr="00FE4612">
        <w:rPr>
          <w:rFonts w:asciiTheme="majorBidi" w:eastAsia="Calibri" w:hAnsiTheme="majorBidi" w:cstheme="majorBidi"/>
          <w:sz w:val="24"/>
          <w:szCs w:val="24"/>
        </w:rPr>
        <w:t xml:space="preserve"> to the herding behavior in commodit</w:t>
      </w:r>
      <w:r w:rsidR="00C64AD6">
        <w:rPr>
          <w:rFonts w:asciiTheme="majorBidi" w:eastAsia="Calibri" w:hAnsiTheme="majorBidi" w:cstheme="majorBidi"/>
          <w:sz w:val="24"/>
          <w:szCs w:val="24"/>
        </w:rPr>
        <w:t>y</w:t>
      </w:r>
      <w:r w:rsidRPr="00FE4612">
        <w:rPr>
          <w:rFonts w:asciiTheme="majorBidi" w:eastAsia="Calibri" w:hAnsiTheme="majorBidi" w:cstheme="majorBidi"/>
          <w:sz w:val="24"/>
          <w:szCs w:val="24"/>
        </w:rPr>
        <w:t xml:space="preserve"> market</w:t>
      </w:r>
      <w:r w:rsidR="00C64AD6">
        <w:rPr>
          <w:rFonts w:asciiTheme="majorBidi" w:eastAsia="Calibri" w:hAnsiTheme="majorBidi" w:cstheme="majorBidi"/>
          <w:sz w:val="24"/>
          <w:szCs w:val="24"/>
        </w:rPr>
        <w:t>s</w:t>
      </w:r>
      <w:r w:rsidRPr="00FE4612">
        <w:rPr>
          <w:rFonts w:asciiTheme="majorBidi" w:eastAsia="Calibri" w:hAnsiTheme="majorBidi" w:cstheme="majorBidi"/>
          <w:sz w:val="24"/>
          <w:szCs w:val="24"/>
        </w:rPr>
        <w:t>.</w:t>
      </w:r>
      <w:r w:rsidR="00800AB0">
        <w:rPr>
          <w:rFonts w:asciiTheme="majorBidi" w:eastAsia="Calibri" w:hAnsiTheme="majorBidi" w:cstheme="majorBidi"/>
          <w:sz w:val="24"/>
          <w:szCs w:val="24"/>
        </w:rPr>
        <w:t xml:space="preserve"> </w:t>
      </w:r>
      <w:r w:rsidR="00067DF5">
        <w:rPr>
          <w:rFonts w:asciiTheme="majorBidi" w:eastAsia="Calibri" w:hAnsiTheme="majorBidi" w:cstheme="majorBidi"/>
          <w:sz w:val="24"/>
          <w:szCs w:val="24"/>
        </w:rPr>
        <w:t>However, t</w:t>
      </w:r>
      <w:r w:rsidR="00800AB0">
        <w:rPr>
          <w:rFonts w:asciiTheme="majorBidi" w:eastAsia="Calibri" w:hAnsiTheme="majorBidi" w:cstheme="majorBidi"/>
          <w:sz w:val="24"/>
          <w:szCs w:val="24"/>
        </w:rPr>
        <w:t xml:space="preserve">hese initial results </w:t>
      </w:r>
      <w:r w:rsidR="00067DF5">
        <w:rPr>
          <w:rFonts w:asciiTheme="majorBidi" w:eastAsia="Calibri" w:hAnsiTheme="majorBidi" w:cstheme="majorBidi"/>
          <w:sz w:val="24"/>
          <w:szCs w:val="24"/>
        </w:rPr>
        <w:t xml:space="preserve">did not find much support by later studies, such as </w:t>
      </w:r>
      <w:r w:rsidR="00800AB0">
        <w:rPr>
          <w:rFonts w:asciiTheme="majorBidi" w:eastAsia="Calibri" w:hAnsiTheme="majorBidi" w:cstheme="majorBidi"/>
          <w:sz w:val="24"/>
          <w:szCs w:val="24"/>
        </w:rPr>
        <w:t>Palaskas and V</w:t>
      </w:r>
      <w:r w:rsidR="00800AB0" w:rsidRPr="00FE4612">
        <w:rPr>
          <w:rFonts w:asciiTheme="majorBidi" w:eastAsia="Calibri" w:hAnsiTheme="majorBidi" w:cstheme="majorBidi"/>
          <w:sz w:val="24"/>
          <w:szCs w:val="24"/>
        </w:rPr>
        <w:t>arangis</w:t>
      </w:r>
      <w:r w:rsidR="00800AB0">
        <w:rPr>
          <w:rFonts w:asciiTheme="majorBidi" w:eastAsia="Calibri" w:hAnsiTheme="majorBidi" w:cstheme="majorBidi"/>
          <w:sz w:val="24"/>
          <w:szCs w:val="24"/>
        </w:rPr>
        <w:t xml:space="preserve"> (1991), </w:t>
      </w:r>
      <w:r w:rsidR="00800AB0" w:rsidRPr="00FE4612">
        <w:rPr>
          <w:rFonts w:asciiTheme="majorBidi" w:eastAsia="Calibri" w:hAnsiTheme="majorBidi" w:cstheme="majorBidi"/>
          <w:sz w:val="24"/>
          <w:szCs w:val="24"/>
        </w:rPr>
        <w:t>Deb et al. (1996)</w:t>
      </w:r>
      <w:r w:rsidR="00800AB0">
        <w:rPr>
          <w:rFonts w:asciiTheme="majorBidi" w:eastAsia="Calibri" w:hAnsiTheme="majorBidi" w:cstheme="majorBidi"/>
          <w:sz w:val="24"/>
          <w:szCs w:val="24"/>
        </w:rPr>
        <w:t xml:space="preserve"> and </w:t>
      </w:r>
      <w:r w:rsidR="00800AB0" w:rsidRPr="00FE4612">
        <w:rPr>
          <w:rFonts w:asciiTheme="majorBidi" w:eastAsia="Calibri" w:hAnsiTheme="majorBidi" w:cstheme="majorBidi"/>
          <w:sz w:val="24"/>
          <w:szCs w:val="24"/>
        </w:rPr>
        <w:t>Cashin et al. (1999)</w:t>
      </w:r>
      <w:r w:rsidR="00067DF5">
        <w:rPr>
          <w:rFonts w:asciiTheme="majorBidi" w:eastAsia="Calibri" w:hAnsiTheme="majorBidi" w:cstheme="majorBidi"/>
          <w:sz w:val="24"/>
          <w:szCs w:val="24"/>
        </w:rPr>
        <w:t>,</w:t>
      </w:r>
      <w:r w:rsidR="00800AB0">
        <w:rPr>
          <w:rFonts w:asciiTheme="majorBidi" w:eastAsia="Calibri" w:hAnsiTheme="majorBidi" w:cstheme="majorBidi"/>
          <w:sz w:val="24"/>
          <w:szCs w:val="24"/>
        </w:rPr>
        <w:t xml:space="preserve"> record</w:t>
      </w:r>
      <w:r w:rsidR="00C64AD6">
        <w:rPr>
          <w:rFonts w:asciiTheme="majorBidi" w:eastAsia="Calibri" w:hAnsiTheme="majorBidi" w:cstheme="majorBidi"/>
          <w:sz w:val="24"/>
          <w:szCs w:val="24"/>
        </w:rPr>
        <w:t>ing</w:t>
      </w:r>
      <w:r w:rsidR="00800AB0">
        <w:rPr>
          <w:rFonts w:asciiTheme="majorBidi" w:eastAsia="Calibri" w:hAnsiTheme="majorBidi" w:cstheme="majorBidi"/>
          <w:sz w:val="24"/>
          <w:szCs w:val="24"/>
        </w:rPr>
        <w:t xml:space="preserve"> weak excess co-movement in commodity markets.</w:t>
      </w:r>
      <w:r w:rsidR="006B78CD">
        <w:rPr>
          <w:rFonts w:asciiTheme="majorBidi" w:eastAsia="Calibri" w:hAnsiTheme="majorBidi" w:cstheme="majorBidi"/>
          <w:sz w:val="24"/>
          <w:szCs w:val="24"/>
        </w:rPr>
        <w:t xml:space="preserve"> </w:t>
      </w:r>
    </w:p>
    <w:p w:rsidR="00FE4612" w:rsidRPr="00FE4612" w:rsidRDefault="00C64AD6" w:rsidP="00C64AD6">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 xml:space="preserve">More recently the results of </w:t>
      </w:r>
      <w:r w:rsidR="006B78CD" w:rsidRPr="00FE4612">
        <w:rPr>
          <w:rFonts w:asciiTheme="majorBidi" w:eastAsia="Calibri" w:hAnsiTheme="majorBidi" w:cstheme="majorBidi"/>
          <w:sz w:val="24"/>
          <w:szCs w:val="24"/>
        </w:rPr>
        <w:t>Pindyck and Rotemberg</w:t>
      </w:r>
      <w:r>
        <w:rPr>
          <w:rFonts w:asciiTheme="majorBidi" w:eastAsia="Calibri" w:hAnsiTheme="majorBidi" w:cstheme="majorBidi"/>
          <w:sz w:val="24"/>
          <w:szCs w:val="24"/>
        </w:rPr>
        <w:t xml:space="preserve"> found some support from </w:t>
      </w:r>
      <w:r w:rsidR="00FE4612" w:rsidRPr="00FE4612">
        <w:rPr>
          <w:rFonts w:asciiTheme="majorBidi" w:eastAsia="Calibri" w:hAnsiTheme="majorBidi" w:cstheme="majorBidi"/>
          <w:sz w:val="24"/>
          <w:szCs w:val="24"/>
        </w:rPr>
        <w:t>Baffes (2007)</w:t>
      </w:r>
      <w:r>
        <w:rPr>
          <w:rFonts w:asciiTheme="majorBidi" w:eastAsia="Calibri" w:hAnsiTheme="majorBidi" w:cstheme="majorBidi"/>
          <w:sz w:val="24"/>
          <w:szCs w:val="24"/>
        </w:rPr>
        <w:t xml:space="preserve"> and </w:t>
      </w:r>
      <w:r w:rsidRPr="00FE4612">
        <w:rPr>
          <w:rFonts w:asciiTheme="majorBidi" w:eastAsia="Calibri" w:hAnsiTheme="majorBidi" w:cstheme="majorBidi"/>
          <w:sz w:val="24"/>
          <w:szCs w:val="24"/>
        </w:rPr>
        <w:t>Reboredo (201</w:t>
      </w:r>
      <w:r>
        <w:rPr>
          <w:rFonts w:asciiTheme="majorBidi" w:eastAsia="Calibri" w:hAnsiTheme="majorBidi" w:cstheme="majorBidi"/>
          <w:sz w:val="24"/>
          <w:szCs w:val="24"/>
        </w:rPr>
        <w:t>3</w:t>
      </w:r>
      <w:r w:rsidRPr="00FE4612">
        <w:rPr>
          <w:rFonts w:asciiTheme="majorBidi" w:eastAsia="Calibri" w:hAnsiTheme="majorBidi" w:cstheme="majorBidi"/>
          <w:sz w:val="24"/>
          <w:szCs w:val="24"/>
        </w:rPr>
        <w:t>)</w:t>
      </w:r>
      <w:r>
        <w:rPr>
          <w:rFonts w:asciiTheme="majorBidi" w:eastAsia="Calibri" w:hAnsiTheme="majorBidi" w:cstheme="majorBidi"/>
          <w:sz w:val="24"/>
          <w:szCs w:val="24"/>
        </w:rPr>
        <w:t>. Baffes (2007)</w:t>
      </w:r>
      <w:r w:rsidR="006B78CD">
        <w:rPr>
          <w:rFonts w:asciiTheme="majorBidi" w:eastAsia="Calibri" w:hAnsiTheme="majorBidi" w:cstheme="majorBidi"/>
          <w:sz w:val="24"/>
          <w:szCs w:val="24"/>
        </w:rPr>
        <w:t xml:space="preserve"> finds that</w:t>
      </w:r>
      <w:r w:rsidR="00FE4612" w:rsidRPr="00FE4612">
        <w:rPr>
          <w:rFonts w:asciiTheme="majorBidi" w:eastAsia="Calibri" w:hAnsiTheme="majorBidi" w:cstheme="majorBidi"/>
          <w:sz w:val="24"/>
          <w:szCs w:val="24"/>
        </w:rPr>
        <w:t xml:space="preserve"> oil price increases passes through to other commodities particularly to gold and silver. These strong responses of precious metals are attributed to the use of oil in the production of both gold and silver. </w:t>
      </w:r>
      <w:r w:rsidR="00140D83" w:rsidRPr="00FE4612">
        <w:rPr>
          <w:rFonts w:asciiTheme="majorBidi" w:eastAsia="Calibri" w:hAnsiTheme="majorBidi" w:cstheme="majorBidi"/>
          <w:sz w:val="24"/>
          <w:szCs w:val="24"/>
        </w:rPr>
        <w:t>Reboredo (201</w:t>
      </w:r>
      <w:r w:rsidR="00140D83">
        <w:rPr>
          <w:rFonts w:asciiTheme="majorBidi" w:eastAsia="Calibri" w:hAnsiTheme="majorBidi" w:cstheme="majorBidi"/>
          <w:sz w:val="24"/>
          <w:szCs w:val="24"/>
        </w:rPr>
        <w:t>3</w:t>
      </w:r>
      <w:r w:rsidR="00140D83" w:rsidRPr="00FE4612">
        <w:rPr>
          <w:rFonts w:asciiTheme="majorBidi" w:eastAsia="Calibri" w:hAnsiTheme="majorBidi" w:cstheme="majorBidi"/>
          <w:sz w:val="24"/>
          <w:szCs w:val="24"/>
        </w:rPr>
        <w:t>)</w:t>
      </w:r>
      <w:r w:rsidR="006B78CD">
        <w:rPr>
          <w:rFonts w:asciiTheme="majorBidi" w:eastAsia="Calibri" w:hAnsiTheme="majorBidi" w:cstheme="majorBidi"/>
          <w:sz w:val="24"/>
          <w:szCs w:val="24"/>
        </w:rPr>
        <w:t xml:space="preserve"> </w:t>
      </w:r>
      <w:r w:rsidR="00140D83">
        <w:rPr>
          <w:rFonts w:asciiTheme="majorBidi" w:eastAsia="Calibri" w:hAnsiTheme="majorBidi" w:cstheme="majorBidi"/>
          <w:sz w:val="24"/>
          <w:szCs w:val="24"/>
        </w:rPr>
        <w:t xml:space="preserve">finds significant dependence between gold and oil. </w:t>
      </w:r>
      <w:r>
        <w:rPr>
          <w:rFonts w:asciiTheme="majorBidi" w:eastAsia="Calibri" w:hAnsiTheme="majorBidi" w:cstheme="majorBidi"/>
          <w:sz w:val="24"/>
          <w:szCs w:val="24"/>
        </w:rPr>
        <w:t xml:space="preserve">Nevertheless, </w:t>
      </w:r>
      <w:r w:rsidR="00140D83">
        <w:rPr>
          <w:rFonts w:asciiTheme="majorBidi" w:eastAsia="Calibri" w:hAnsiTheme="majorBidi" w:cstheme="majorBidi"/>
          <w:sz w:val="24"/>
          <w:szCs w:val="24"/>
        </w:rPr>
        <w:t xml:space="preserve">he </w:t>
      </w:r>
      <w:r w:rsidR="006B78CD">
        <w:rPr>
          <w:rFonts w:asciiTheme="majorBidi" w:eastAsia="Calibri" w:hAnsiTheme="majorBidi" w:cstheme="majorBidi"/>
          <w:sz w:val="24"/>
          <w:szCs w:val="24"/>
        </w:rPr>
        <w:t>indicate</w:t>
      </w:r>
      <w:r>
        <w:rPr>
          <w:rFonts w:asciiTheme="majorBidi" w:eastAsia="Calibri" w:hAnsiTheme="majorBidi" w:cstheme="majorBidi"/>
          <w:sz w:val="24"/>
          <w:szCs w:val="24"/>
        </w:rPr>
        <w:t>s</w:t>
      </w:r>
      <w:r w:rsidR="006B78CD">
        <w:rPr>
          <w:rFonts w:asciiTheme="majorBidi" w:eastAsia="Calibri" w:hAnsiTheme="majorBidi" w:cstheme="majorBidi"/>
          <w:sz w:val="24"/>
          <w:szCs w:val="24"/>
        </w:rPr>
        <w:t xml:space="preserve"> </w:t>
      </w:r>
      <w:r w:rsidR="00140D83">
        <w:rPr>
          <w:rFonts w:asciiTheme="majorBidi" w:eastAsia="Calibri" w:hAnsiTheme="majorBidi" w:cstheme="majorBidi"/>
          <w:sz w:val="24"/>
          <w:szCs w:val="24"/>
        </w:rPr>
        <w:t xml:space="preserve">that the tail dependence </w:t>
      </w:r>
      <w:r w:rsidR="006B78CD">
        <w:rPr>
          <w:rFonts w:asciiTheme="majorBidi" w:eastAsia="Calibri" w:hAnsiTheme="majorBidi" w:cstheme="majorBidi"/>
          <w:sz w:val="24"/>
          <w:szCs w:val="24"/>
        </w:rPr>
        <w:t xml:space="preserve">is weak and </w:t>
      </w:r>
      <w:r w:rsidR="00140D83">
        <w:rPr>
          <w:rFonts w:asciiTheme="majorBidi" w:eastAsia="Calibri" w:hAnsiTheme="majorBidi" w:cstheme="majorBidi"/>
          <w:sz w:val="24"/>
          <w:szCs w:val="24"/>
        </w:rPr>
        <w:t xml:space="preserve">that gold volatility is not weakly linked to oil volatility in extreme market conditions and hence, gold can be used as a safe haven to hedge oil </w:t>
      </w:r>
      <w:r w:rsidR="00B11D50">
        <w:rPr>
          <w:rFonts w:asciiTheme="majorBidi" w:eastAsia="Calibri" w:hAnsiTheme="majorBidi" w:cstheme="majorBidi"/>
          <w:sz w:val="24"/>
          <w:szCs w:val="24"/>
        </w:rPr>
        <w:t xml:space="preserve">in </w:t>
      </w:r>
      <w:r w:rsidR="008B4CF5">
        <w:rPr>
          <w:rFonts w:asciiTheme="majorBidi" w:eastAsia="Calibri" w:hAnsiTheme="majorBidi" w:cstheme="majorBidi"/>
          <w:sz w:val="24"/>
          <w:szCs w:val="24"/>
        </w:rPr>
        <w:t>stress</w:t>
      </w:r>
      <w:r w:rsidR="00B11D50">
        <w:rPr>
          <w:rFonts w:asciiTheme="majorBidi" w:eastAsia="Calibri" w:hAnsiTheme="majorBidi" w:cstheme="majorBidi"/>
          <w:sz w:val="24"/>
          <w:szCs w:val="24"/>
        </w:rPr>
        <w:t>ful markets</w:t>
      </w:r>
      <w:r w:rsidR="00140D83">
        <w:rPr>
          <w:rFonts w:asciiTheme="majorBidi" w:eastAsia="Calibri" w:hAnsiTheme="majorBidi" w:cstheme="majorBidi"/>
          <w:sz w:val="24"/>
          <w:szCs w:val="24"/>
        </w:rPr>
        <w:t xml:space="preserve">. </w:t>
      </w:r>
      <w:r w:rsidR="006B78CD">
        <w:rPr>
          <w:rFonts w:asciiTheme="majorBidi" w:eastAsia="Calibri" w:hAnsiTheme="majorBidi" w:cstheme="majorBidi"/>
          <w:sz w:val="24"/>
          <w:szCs w:val="24"/>
        </w:rPr>
        <w:t xml:space="preserve"> </w:t>
      </w:r>
    </w:p>
    <w:p w:rsidR="009310AB" w:rsidRDefault="00FE4612" w:rsidP="00C64AD6">
      <w:pPr>
        <w:spacing w:after="0" w:line="480" w:lineRule="auto"/>
        <w:ind w:firstLine="284"/>
        <w:jc w:val="both"/>
        <w:rPr>
          <w:rFonts w:asciiTheme="majorBidi" w:eastAsia="Calibri" w:hAnsiTheme="majorBidi" w:cstheme="majorBidi"/>
          <w:sz w:val="24"/>
          <w:szCs w:val="24"/>
        </w:rPr>
      </w:pPr>
      <w:r w:rsidRPr="00FE4612">
        <w:rPr>
          <w:rFonts w:asciiTheme="majorBidi" w:eastAsia="Calibri" w:hAnsiTheme="majorBidi" w:cstheme="majorBidi"/>
          <w:sz w:val="24"/>
          <w:szCs w:val="24"/>
        </w:rPr>
        <w:t xml:space="preserve">The surge in oil and grains prices in the last decade has motivated many studies to focus on the co-movement of crude oil and agricultural commodities. A </w:t>
      </w:r>
      <w:r w:rsidR="00C64AD6">
        <w:rPr>
          <w:rFonts w:asciiTheme="majorBidi" w:eastAsia="Calibri" w:hAnsiTheme="majorBidi" w:cstheme="majorBidi"/>
          <w:sz w:val="24"/>
          <w:szCs w:val="24"/>
        </w:rPr>
        <w:t xml:space="preserve">number </w:t>
      </w:r>
      <w:r w:rsidRPr="00FE4612">
        <w:rPr>
          <w:rFonts w:asciiTheme="majorBidi" w:eastAsia="Calibri" w:hAnsiTheme="majorBidi" w:cstheme="majorBidi"/>
          <w:sz w:val="24"/>
          <w:szCs w:val="24"/>
        </w:rPr>
        <w:t>of studies blame increasing food prices in the last decade on the rise of biofuel market and high oil prices (see</w:t>
      </w:r>
      <w:r w:rsidR="00C64AD6">
        <w:rPr>
          <w:rFonts w:asciiTheme="majorBidi" w:eastAsia="Calibri" w:hAnsiTheme="majorBidi" w:cstheme="majorBidi"/>
          <w:sz w:val="24"/>
          <w:szCs w:val="24"/>
        </w:rPr>
        <w:t>, for example,</w:t>
      </w:r>
      <w:r w:rsidRPr="00FE4612">
        <w:rPr>
          <w:rFonts w:asciiTheme="majorBidi" w:eastAsia="Calibri" w:hAnsiTheme="majorBidi" w:cstheme="majorBidi"/>
          <w:sz w:val="24"/>
          <w:szCs w:val="24"/>
        </w:rPr>
        <w:t xml:space="preserve"> Abott et al., 2008; Baffes, 2007; Chang and Su, 2010; Collins, 2008; Mitchell, 2008; Rosegrant et al., 2008; </w:t>
      </w:r>
      <w:r w:rsidRPr="00FE4612">
        <w:rPr>
          <w:rFonts w:asciiTheme="majorBidi" w:eastAsia="Calibri" w:hAnsiTheme="majorBidi" w:cstheme="majorBidi"/>
          <w:sz w:val="24"/>
          <w:szCs w:val="24"/>
        </w:rPr>
        <w:lastRenderedPageBreak/>
        <w:t xml:space="preserve">and Yang et al., 2008). </w:t>
      </w:r>
      <w:r w:rsidR="00982864">
        <w:rPr>
          <w:rFonts w:asciiTheme="majorBidi" w:eastAsia="Calibri" w:hAnsiTheme="majorBidi" w:cstheme="majorBidi"/>
          <w:sz w:val="24"/>
          <w:szCs w:val="24"/>
        </w:rPr>
        <w:t xml:space="preserve">For instance, Chang and Su use an EGARCH model to study the volatility transmission between crude oil, corn and soybeans and find significant volatility spillovers </w:t>
      </w:r>
      <w:r w:rsidR="00C64AD6">
        <w:rPr>
          <w:rFonts w:asciiTheme="majorBidi" w:eastAsia="Calibri" w:hAnsiTheme="majorBidi" w:cstheme="majorBidi"/>
          <w:sz w:val="24"/>
          <w:szCs w:val="24"/>
        </w:rPr>
        <w:t xml:space="preserve">across </w:t>
      </w:r>
      <w:r w:rsidR="00982864">
        <w:rPr>
          <w:rFonts w:asciiTheme="majorBidi" w:eastAsia="Calibri" w:hAnsiTheme="majorBidi" w:cstheme="majorBidi"/>
          <w:sz w:val="24"/>
          <w:szCs w:val="24"/>
        </w:rPr>
        <w:t xml:space="preserve">these markets. </w:t>
      </w:r>
    </w:p>
    <w:p w:rsidR="00D958B2" w:rsidRPr="00B11D50" w:rsidRDefault="00B11D50" w:rsidP="00B11D50">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Zhang et al.</w:t>
      </w:r>
      <w:r w:rsidR="00FE4612" w:rsidRPr="00FE4612">
        <w:rPr>
          <w:rFonts w:asciiTheme="majorBidi" w:eastAsia="Calibri" w:hAnsiTheme="majorBidi" w:cstheme="majorBidi"/>
          <w:sz w:val="24"/>
          <w:szCs w:val="24"/>
        </w:rPr>
        <w:t xml:space="preserve"> (2010) </w:t>
      </w:r>
      <w:r w:rsidR="00127D93">
        <w:rPr>
          <w:rFonts w:asciiTheme="majorBidi" w:eastAsia="Calibri" w:hAnsiTheme="majorBidi" w:cstheme="majorBidi"/>
          <w:sz w:val="24"/>
          <w:szCs w:val="24"/>
        </w:rPr>
        <w:t xml:space="preserve">study the causality between </w:t>
      </w:r>
      <w:r w:rsidR="00FE4612" w:rsidRPr="00FE4612">
        <w:rPr>
          <w:rFonts w:asciiTheme="majorBidi" w:eastAsia="Calibri" w:hAnsiTheme="majorBidi" w:cstheme="majorBidi"/>
          <w:sz w:val="24"/>
          <w:szCs w:val="24"/>
        </w:rPr>
        <w:t xml:space="preserve">oil </w:t>
      </w:r>
      <w:r w:rsidR="00127D93">
        <w:rPr>
          <w:rFonts w:asciiTheme="majorBidi" w:eastAsia="Calibri" w:hAnsiTheme="majorBidi" w:cstheme="majorBidi"/>
          <w:sz w:val="24"/>
          <w:szCs w:val="24"/>
        </w:rPr>
        <w:t>and gold volatility. Their results indicate that the crude oil price changes Granger cause the volatility of gold but not the other way around.</w:t>
      </w:r>
      <w:r w:rsidR="00B24F39" w:rsidRPr="00B24F39">
        <w:rPr>
          <w:rFonts w:asciiTheme="majorBidi" w:eastAsia="Calibri" w:hAnsiTheme="majorBidi" w:cstheme="majorBidi"/>
          <w:sz w:val="24"/>
          <w:szCs w:val="24"/>
          <w:lang w:val="en-GB"/>
        </w:rPr>
        <w:t xml:space="preserve"> </w:t>
      </w:r>
      <w:r w:rsidR="00B24F39" w:rsidRPr="00976222">
        <w:rPr>
          <w:rFonts w:asciiTheme="majorBidi" w:eastAsia="Calibri" w:hAnsiTheme="majorBidi" w:cstheme="majorBidi"/>
          <w:sz w:val="24"/>
          <w:szCs w:val="24"/>
          <w:lang w:val="en-GB"/>
        </w:rPr>
        <w:t>Alom et al.</w:t>
      </w:r>
      <w:r w:rsidR="00B24F39">
        <w:rPr>
          <w:rFonts w:asciiTheme="majorBidi" w:eastAsia="Calibri" w:hAnsiTheme="majorBidi" w:cstheme="majorBidi"/>
          <w:sz w:val="24"/>
          <w:szCs w:val="24"/>
          <w:lang w:val="en-GB"/>
        </w:rPr>
        <w:t xml:space="preserve"> (</w:t>
      </w:r>
      <w:r w:rsidR="00B24F39" w:rsidRPr="00976222">
        <w:rPr>
          <w:rFonts w:asciiTheme="majorBidi" w:eastAsia="Calibri" w:hAnsiTheme="majorBidi" w:cstheme="majorBidi"/>
          <w:sz w:val="24"/>
          <w:szCs w:val="24"/>
          <w:lang w:val="en-GB"/>
        </w:rPr>
        <w:t>2011)</w:t>
      </w:r>
      <w:r w:rsidR="00127D93">
        <w:rPr>
          <w:rFonts w:asciiTheme="majorBidi" w:eastAsia="Calibri" w:hAnsiTheme="majorBidi" w:cstheme="majorBidi"/>
          <w:sz w:val="24"/>
          <w:szCs w:val="24"/>
        </w:rPr>
        <w:t xml:space="preserve"> </w:t>
      </w:r>
      <w:r w:rsidR="00B24F39">
        <w:rPr>
          <w:rFonts w:asciiTheme="majorBidi" w:eastAsia="Calibri" w:hAnsiTheme="majorBidi" w:cstheme="majorBidi"/>
          <w:sz w:val="24"/>
          <w:szCs w:val="24"/>
        </w:rPr>
        <w:t>find that t</w:t>
      </w:r>
      <w:r w:rsidR="00B24F39" w:rsidRPr="00B24F39">
        <w:rPr>
          <w:rFonts w:ascii="Times New Roman" w:eastAsia="Calibri" w:hAnsi="Times New Roman" w:cs="Times New Roman"/>
          <w:sz w:val="24"/>
          <w:szCs w:val="24"/>
          <w:lang w:val="en-GB" w:bidi="ar-AE"/>
        </w:rPr>
        <w:t xml:space="preserve">he oil price volatility is positively correlated with food price volatility. However, </w:t>
      </w:r>
      <w:r w:rsidR="00B24F39">
        <w:rPr>
          <w:rFonts w:ascii="Times New Roman" w:eastAsia="Calibri" w:hAnsi="Times New Roman" w:cs="Times New Roman"/>
          <w:sz w:val="24"/>
          <w:szCs w:val="24"/>
          <w:lang w:val="en-GB" w:bidi="ar-AE"/>
        </w:rPr>
        <w:t xml:space="preserve">they also find that </w:t>
      </w:r>
      <w:r w:rsidR="00B24F39" w:rsidRPr="00B24F39">
        <w:rPr>
          <w:rFonts w:ascii="Times New Roman" w:eastAsia="Calibri" w:hAnsi="Times New Roman" w:cs="Times New Roman"/>
          <w:sz w:val="24"/>
          <w:szCs w:val="24"/>
          <w:lang w:val="en-GB" w:bidi="ar-AE"/>
        </w:rPr>
        <w:t>th</w:t>
      </w:r>
      <w:r w:rsidR="00B24F39">
        <w:rPr>
          <w:rFonts w:ascii="Times New Roman" w:eastAsia="Calibri" w:hAnsi="Times New Roman" w:cs="Times New Roman"/>
          <w:sz w:val="24"/>
          <w:szCs w:val="24"/>
          <w:lang w:val="en-GB" w:bidi="ar-AE"/>
        </w:rPr>
        <w:t>is</w:t>
      </w:r>
      <w:r w:rsidR="00B24F39" w:rsidRPr="00B24F39">
        <w:rPr>
          <w:rFonts w:ascii="Times New Roman" w:eastAsia="Calibri" w:hAnsi="Times New Roman" w:cs="Times New Roman"/>
          <w:sz w:val="24"/>
          <w:szCs w:val="24"/>
          <w:lang w:val="en-GB" w:bidi="ar-AE"/>
        </w:rPr>
        <w:t xml:space="preserve"> relationship varies across countries and </w:t>
      </w:r>
      <w:r w:rsidR="00B24F39">
        <w:rPr>
          <w:rFonts w:ascii="Times New Roman" w:eastAsia="Calibri" w:hAnsi="Times New Roman" w:cs="Times New Roman"/>
          <w:sz w:val="24"/>
          <w:szCs w:val="24"/>
          <w:lang w:val="en-GB" w:bidi="ar-AE"/>
        </w:rPr>
        <w:t xml:space="preserve">time </w:t>
      </w:r>
      <w:r w:rsidR="00B24F39" w:rsidRPr="00B24F39">
        <w:rPr>
          <w:rFonts w:ascii="Times New Roman" w:eastAsia="Calibri" w:hAnsi="Times New Roman" w:cs="Times New Roman"/>
          <w:sz w:val="24"/>
          <w:szCs w:val="24"/>
          <w:lang w:val="en-GB" w:bidi="ar-AE"/>
        </w:rPr>
        <w:t>periods</w:t>
      </w:r>
      <w:r w:rsidR="00B24F39">
        <w:rPr>
          <w:rFonts w:ascii="Times New Roman" w:eastAsia="Calibri" w:hAnsi="Times New Roman" w:cs="Times New Roman"/>
          <w:sz w:val="24"/>
          <w:szCs w:val="24"/>
          <w:lang w:val="en-GB" w:bidi="ar-AE"/>
        </w:rPr>
        <w:t>.</w:t>
      </w:r>
      <w:r w:rsidR="00E04C47">
        <w:rPr>
          <w:rFonts w:ascii="Times New Roman" w:eastAsia="Calibri" w:hAnsi="Times New Roman" w:cs="Times New Roman"/>
          <w:sz w:val="24"/>
          <w:szCs w:val="24"/>
          <w:lang w:val="en-GB" w:bidi="ar-AE"/>
        </w:rPr>
        <w:t xml:space="preserve"> </w:t>
      </w:r>
      <w:r w:rsidR="00D10104">
        <w:rPr>
          <w:rFonts w:ascii="Times New Roman" w:eastAsia="Calibri" w:hAnsi="Times New Roman" w:cs="Times New Roman"/>
          <w:sz w:val="24"/>
          <w:szCs w:val="24"/>
          <w:lang w:val="en-GB" w:bidi="ar-AE"/>
        </w:rPr>
        <w:t>Similarly, Du et al.</w:t>
      </w:r>
      <w:r w:rsidR="0018377E">
        <w:rPr>
          <w:rFonts w:ascii="Times New Roman" w:eastAsia="Calibri" w:hAnsi="Times New Roman" w:cs="Times New Roman"/>
          <w:sz w:val="24"/>
          <w:szCs w:val="24"/>
          <w:lang w:val="en-GB" w:bidi="ar-AE"/>
        </w:rPr>
        <w:t xml:space="preserve"> </w:t>
      </w:r>
      <w:r w:rsidR="00D54857">
        <w:rPr>
          <w:rFonts w:ascii="Times New Roman" w:eastAsia="Calibri" w:hAnsi="Times New Roman" w:cs="Times New Roman"/>
          <w:sz w:val="24"/>
          <w:szCs w:val="24"/>
          <w:lang w:val="en-GB" w:bidi="ar-AE"/>
        </w:rPr>
        <w:t>(2011)</w:t>
      </w:r>
      <w:r w:rsidR="00D10104">
        <w:rPr>
          <w:rFonts w:ascii="Times New Roman" w:eastAsia="Calibri" w:hAnsi="Times New Roman" w:cs="Times New Roman"/>
          <w:sz w:val="24"/>
          <w:szCs w:val="24"/>
          <w:lang w:val="en-GB" w:bidi="ar-AE"/>
        </w:rPr>
        <w:t xml:space="preserve"> investigate the volatility linkages between crude oil, wheat and corn using a bivariate stochastic volatility model. Their results </w:t>
      </w:r>
      <w:r>
        <w:rPr>
          <w:rFonts w:ascii="Times New Roman" w:eastAsia="Calibri" w:hAnsi="Times New Roman" w:cs="Times New Roman"/>
          <w:sz w:val="24"/>
          <w:szCs w:val="24"/>
          <w:lang w:val="en-GB" w:bidi="ar-AE"/>
        </w:rPr>
        <w:t>show</w:t>
      </w:r>
      <w:r w:rsidR="00D10104">
        <w:rPr>
          <w:rFonts w:ascii="Times New Roman" w:eastAsia="Calibri" w:hAnsi="Times New Roman" w:cs="Times New Roman"/>
          <w:sz w:val="24"/>
          <w:szCs w:val="24"/>
          <w:lang w:val="en-GB" w:bidi="ar-AE"/>
        </w:rPr>
        <w:t xml:space="preserve"> that oil price shocks trigger </w:t>
      </w:r>
      <w:r w:rsidR="007A2F7F">
        <w:rPr>
          <w:rFonts w:ascii="Times New Roman" w:eastAsia="Calibri" w:hAnsi="Times New Roman" w:cs="Times New Roman"/>
          <w:sz w:val="24"/>
          <w:szCs w:val="24"/>
          <w:lang w:val="en-GB" w:bidi="ar-AE"/>
        </w:rPr>
        <w:t>sharp increases in agricultural commodity markets. They attributed the increase in connections between oil and food to the recent increase in commodity investments.</w:t>
      </w:r>
      <w:r w:rsidR="00D54857">
        <w:rPr>
          <w:rFonts w:ascii="Times New Roman" w:eastAsia="Calibri" w:hAnsi="Times New Roman" w:cs="Times New Roman"/>
          <w:sz w:val="24"/>
          <w:szCs w:val="24"/>
          <w:lang w:val="en-GB" w:bidi="ar-AE"/>
        </w:rPr>
        <w:t xml:space="preserve"> Similar results on variance dependence between oil and corn is </w:t>
      </w:r>
      <w:r w:rsidR="00D54857" w:rsidRPr="00B11D50">
        <w:rPr>
          <w:rFonts w:ascii="Times New Roman" w:eastAsia="Calibri" w:hAnsi="Times New Roman" w:cs="Times New Roman"/>
          <w:sz w:val="24"/>
          <w:szCs w:val="24"/>
          <w:lang w:val="en-GB" w:bidi="ar-AE"/>
        </w:rPr>
        <w:t xml:space="preserve">provided by </w:t>
      </w:r>
      <w:r w:rsidR="00D54857" w:rsidRPr="00B11D50">
        <w:rPr>
          <w:rFonts w:ascii="Times New Roman" w:hAnsi="Times New Roman" w:cs="Times New Roman"/>
          <w:sz w:val="24"/>
          <w:szCs w:val="24"/>
        </w:rPr>
        <w:t>Harry and Husdon (2009).</w:t>
      </w:r>
      <w:r w:rsidR="009310AB">
        <w:rPr>
          <w:rStyle w:val="FootnoteReference"/>
          <w:rFonts w:ascii="Times New Roman" w:hAnsi="Times New Roman"/>
          <w:sz w:val="24"/>
          <w:szCs w:val="24"/>
        </w:rPr>
        <w:footnoteReference w:id="5"/>
      </w:r>
      <w:r w:rsidR="00D54857" w:rsidRPr="00B11D50">
        <w:rPr>
          <w:rFonts w:ascii="Times New Roman" w:hAnsi="Times New Roman" w:cs="Times New Roman"/>
          <w:sz w:val="24"/>
          <w:szCs w:val="24"/>
        </w:rPr>
        <w:t xml:space="preserve"> </w:t>
      </w:r>
      <w:r w:rsidR="00D54857" w:rsidRPr="00B11D50">
        <w:rPr>
          <w:rFonts w:ascii="Times New Roman" w:eastAsia="Calibri" w:hAnsi="Times New Roman" w:cs="Times New Roman"/>
          <w:sz w:val="24"/>
          <w:szCs w:val="24"/>
          <w:lang w:val="en-GB" w:bidi="ar-AE"/>
        </w:rPr>
        <w:t xml:space="preserve"> </w:t>
      </w:r>
      <w:r w:rsidR="007A2F7F" w:rsidRPr="00B11D50">
        <w:rPr>
          <w:rFonts w:ascii="Times New Roman" w:eastAsia="Calibri" w:hAnsi="Times New Roman" w:cs="Times New Roman"/>
          <w:sz w:val="24"/>
          <w:szCs w:val="24"/>
          <w:lang w:val="en-GB" w:bidi="ar-AE"/>
        </w:rPr>
        <w:t xml:space="preserve"> </w:t>
      </w:r>
      <w:r w:rsidR="00B24F39" w:rsidRPr="00B11D50">
        <w:rPr>
          <w:rFonts w:ascii="Times New Roman" w:eastAsia="Calibri" w:hAnsi="Times New Roman" w:cs="Times New Roman"/>
          <w:sz w:val="24"/>
          <w:szCs w:val="24"/>
          <w:lang w:val="en-GB" w:bidi="ar-AE"/>
        </w:rPr>
        <w:t xml:space="preserve"> </w:t>
      </w:r>
    </w:p>
    <w:p w:rsidR="00B24F39" w:rsidRDefault="0018377E" w:rsidP="0018377E">
      <w:pPr>
        <w:spacing w:after="0" w:line="480" w:lineRule="auto"/>
        <w:ind w:firstLine="284"/>
        <w:jc w:val="both"/>
        <w:rPr>
          <w:rFonts w:asciiTheme="majorBidi" w:eastAsia="Calibri" w:hAnsiTheme="majorBidi" w:cstheme="majorBidi"/>
          <w:sz w:val="24"/>
          <w:szCs w:val="24"/>
          <w:lang w:val="en-GB"/>
        </w:rPr>
      </w:pPr>
      <w:r>
        <w:rPr>
          <w:rFonts w:asciiTheme="majorBidi" w:eastAsia="Calibri" w:hAnsiTheme="majorBidi" w:cstheme="majorBidi"/>
          <w:sz w:val="24"/>
          <w:szCs w:val="24"/>
        </w:rPr>
        <w:t xml:space="preserve">Some </w:t>
      </w:r>
      <w:r w:rsidR="00FE4612" w:rsidRPr="00FE4612">
        <w:rPr>
          <w:rFonts w:asciiTheme="majorBidi" w:eastAsia="Calibri" w:hAnsiTheme="majorBidi" w:cstheme="majorBidi"/>
          <w:sz w:val="24"/>
          <w:szCs w:val="24"/>
        </w:rPr>
        <w:t xml:space="preserve">studies </w:t>
      </w:r>
      <w:r w:rsidR="00BA5675">
        <w:rPr>
          <w:rFonts w:asciiTheme="majorBidi" w:eastAsia="Calibri" w:hAnsiTheme="majorBidi" w:cstheme="majorBidi"/>
          <w:sz w:val="24"/>
          <w:szCs w:val="24"/>
        </w:rPr>
        <w:t xml:space="preserve">have </w:t>
      </w:r>
      <w:r w:rsidR="00FE4612" w:rsidRPr="00FE4612">
        <w:rPr>
          <w:rFonts w:asciiTheme="majorBidi" w:eastAsia="Calibri" w:hAnsiTheme="majorBidi" w:cstheme="majorBidi"/>
          <w:sz w:val="24"/>
          <w:szCs w:val="24"/>
        </w:rPr>
        <w:t xml:space="preserve">attributed the increase </w:t>
      </w:r>
      <w:r w:rsidR="00B11D50">
        <w:rPr>
          <w:rFonts w:asciiTheme="majorBidi" w:eastAsia="Calibri" w:hAnsiTheme="majorBidi" w:cstheme="majorBidi"/>
          <w:sz w:val="24"/>
          <w:szCs w:val="24"/>
        </w:rPr>
        <w:t xml:space="preserve">in </w:t>
      </w:r>
      <w:r w:rsidR="00FE4612" w:rsidRPr="00FE4612">
        <w:rPr>
          <w:rFonts w:asciiTheme="majorBidi" w:eastAsia="Calibri" w:hAnsiTheme="majorBidi" w:cstheme="majorBidi"/>
          <w:sz w:val="24"/>
          <w:szCs w:val="24"/>
        </w:rPr>
        <w:t xml:space="preserve">co-movement between commodities and oil to the </w:t>
      </w:r>
      <w:r>
        <w:rPr>
          <w:rFonts w:asciiTheme="majorBidi" w:eastAsia="Calibri" w:hAnsiTheme="majorBidi" w:cstheme="majorBidi"/>
          <w:sz w:val="24"/>
          <w:szCs w:val="24"/>
        </w:rPr>
        <w:t xml:space="preserve">emergence of </w:t>
      </w:r>
      <w:r w:rsidR="00FE4612" w:rsidRPr="00FE4612">
        <w:rPr>
          <w:rFonts w:asciiTheme="majorBidi" w:eastAsia="Calibri" w:hAnsiTheme="majorBidi" w:cstheme="majorBidi"/>
          <w:sz w:val="24"/>
          <w:szCs w:val="24"/>
        </w:rPr>
        <w:t>paper commodity markets</w:t>
      </w:r>
      <w:r>
        <w:rPr>
          <w:rFonts w:asciiTheme="majorBidi" w:eastAsia="Calibri" w:hAnsiTheme="majorBidi" w:cstheme="majorBidi"/>
          <w:sz w:val="24"/>
          <w:szCs w:val="24"/>
        </w:rPr>
        <w:t>,</w:t>
      </w:r>
      <w:r w:rsidR="00FE4612" w:rsidRPr="00FE4612">
        <w:rPr>
          <w:rFonts w:asciiTheme="majorBidi" w:eastAsia="Calibri" w:hAnsiTheme="majorBidi" w:cstheme="majorBidi"/>
          <w:sz w:val="24"/>
          <w:szCs w:val="24"/>
        </w:rPr>
        <w:t xml:space="preserve"> which </w:t>
      </w:r>
      <w:r w:rsidR="00B11D50">
        <w:rPr>
          <w:rFonts w:asciiTheme="majorBidi" w:eastAsia="Calibri" w:hAnsiTheme="majorBidi" w:cstheme="majorBidi"/>
          <w:sz w:val="24"/>
          <w:szCs w:val="24"/>
        </w:rPr>
        <w:t xml:space="preserve">has </w:t>
      </w:r>
      <w:r w:rsidR="00FE4612" w:rsidRPr="00FE4612">
        <w:rPr>
          <w:rFonts w:asciiTheme="majorBidi" w:eastAsia="Calibri" w:hAnsiTheme="majorBidi" w:cstheme="majorBidi"/>
          <w:sz w:val="24"/>
          <w:szCs w:val="24"/>
        </w:rPr>
        <w:t>allowed equity portfolio managers to invest in oil and agricultural commodities for diver</w:t>
      </w:r>
      <w:r w:rsidR="00632D45">
        <w:rPr>
          <w:rFonts w:asciiTheme="majorBidi" w:eastAsia="Calibri" w:hAnsiTheme="majorBidi" w:cstheme="majorBidi"/>
          <w:sz w:val="24"/>
          <w:szCs w:val="24"/>
        </w:rPr>
        <w:t xml:space="preserve">sification and hedging purposes. </w:t>
      </w:r>
      <w:r w:rsidR="00976222" w:rsidRPr="00976222">
        <w:rPr>
          <w:rFonts w:asciiTheme="majorBidi" w:eastAsia="Calibri" w:hAnsiTheme="majorBidi" w:cstheme="majorBidi"/>
          <w:sz w:val="24"/>
          <w:szCs w:val="24"/>
          <w:lang w:val="en-GB"/>
        </w:rPr>
        <w:t xml:space="preserve">For instance, </w:t>
      </w:r>
      <w:r w:rsidR="00FE4612" w:rsidRPr="00976222">
        <w:rPr>
          <w:rFonts w:asciiTheme="majorBidi" w:eastAsia="Calibri" w:hAnsiTheme="majorBidi" w:cstheme="majorBidi"/>
          <w:sz w:val="24"/>
          <w:szCs w:val="24"/>
          <w:lang w:val="en-GB"/>
        </w:rPr>
        <w:t>Baffes and Hanniotis</w:t>
      </w:r>
      <w:r w:rsidR="00976222" w:rsidRPr="00976222">
        <w:rPr>
          <w:rFonts w:asciiTheme="majorBidi" w:eastAsia="Calibri" w:hAnsiTheme="majorBidi" w:cstheme="majorBidi"/>
          <w:sz w:val="24"/>
          <w:szCs w:val="24"/>
          <w:lang w:val="en-GB"/>
        </w:rPr>
        <w:t xml:space="preserve"> (</w:t>
      </w:r>
      <w:r w:rsidR="00FE4612" w:rsidRPr="00976222">
        <w:rPr>
          <w:rFonts w:asciiTheme="majorBidi" w:eastAsia="Calibri" w:hAnsiTheme="majorBidi" w:cstheme="majorBidi"/>
          <w:sz w:val="24"/>
          <w:szCs w:val="24"/>
          <w:lang w:val="en-GB"/>
        </w:rPr>
        <w:t>2010</w:t>
      </w:r>
      <w:r w:rsidR="00976222" w:rsidRPr="00976222">
        <w:rPr>
          <w:rFonts w:asciiTheme="majorBidi" w:eastAsia="Calibri" w:hAnsiTheme="majorBidi" w:cstheme="majorBidi"/>
          <w:sz w:val="24"/>
          <w:szCs w:val="24"/>
          <w:lang w:val="en-GB"/>
        </w:rPr>
        <w:t xml:space="preserve">) find that the role of biofuel </w:t>
      </w:r>
      <w:r w:rsidR="00976222">
        <w:rPr>
          <w:rFonts w:asciiTheme="majorBidi" w:eastAsia="Calibri" w:hAnsiTheme="majorBidi" w:cstheme="majorBidi"/>
          <w:sz w:val="24"/>
          <w:szCs w:val="24"/>
          <w:lang w:val="en-GB"/>
        </w:rPr>
        <w:t xml:space="preserve">in establishing the links between oil and agricultural commodities </w:t>
      </w:r>
      <w:r w:rsidR="00976222" w:rsidRPr="00976222">
        <w:rPr>
          <w:rFonts w:asciiTheme="majorBidi" w:eastAsia="Calibri" w:hAnsiTheme="majorBidi" w:cstheme="majorBidi"/>
          <w:sz w:val="24"/>
          <w:szCs w:val="24"/>
          <w:lang w:val="en-GB"/>
        </w:rPr>
        <w:t xml:space="preserve">is </w:t>
      </w:r>
      <w:r w:rsidR="00976222">
        <w:rPr>
          <w:rFonts w:asciiTheme="majorBidi" w:eastAsia="Calibri" w:hAnsiTheme="majorBidi" w:cstheme="majorBidi"/>
          <w:sz w:val="24"/>
          <w:szCs w:val="24"/>
          <w:lang w:val="en-GB"/>
        </w:rPr>
        <w:t xml:space="preserve">much </w:t>
      </w:r>
      <w:r w:rsidR="00976222" w:rsidRPr="00976222">
        <w:rPr>
          <w:rFonts w:asciiTheme="majorBidi" w:eastAsia="Calibri" w:hAnsiTheme="majorBidi" w:cstheme="majorBidi"/>
          <w:sz w:val="24"/>
          <w:szCs w:val="24"/>
          <w:lang w:val="en-GB"/>
        </w:rPr>
        <w:t>smaller</w:t>
      </w:r>
      <w:r w:rsidR="00976222">
        <w:rPr>
          <w:rFonts w:asciiTheme="majorBidi" w:eastAsia="Calibri" w:hAnsiTheme="majorBidi" w:cstheme="majorBidi"/>
          <w:sz w:val="24"/>
          <w:szCs w:val="24"/>
          <w:lang w:val="en-GB"/>
        </w:rPr>
        <w:t xml:space="preserve"> than what is indicated by previous studies. Their results points to the </w:t>
      </w:r>
      <w:r w:rsidR="00B11D50">
        <w:rPr>
          <w:rFonts w:asciiTheme="majorBidi" w:eastAsia="Calibri" w:hAnsiTheme="majorBidi" w:cstheme="majorBidi"/>
          <w:sz w:val="24"/>
          <w:szCs w:val="24"/>
          <w:lang w:val="en-GB"/>
        </w:rPr>
        <w:t xml:space="preserve">role of </w:t>
      </w:r>
      <w:r w:rsidR="00976222">
        <w:rPr>
          <w:rFonts w:asciiTheme="majorBidi" w:eastAsia="Calibri" w:hAnsiTheme="majorBidi" w:cstheme="majorBidi"/>
          <w:sz w:val="24"/>
          <w:szCs w:val="24"/>
          <w:lang w:val="en-GB"/>
        </w:rPr>
        <w:t xml:space="preserve">speculative activities </w:t>
      </w:r>
      <w:r w:rsidR="00B11D50">
        <w:rPr>
          <w:rFonts w:asciiTheme="majorBidi" w:eastAsia="Calibri" w:hAnsiTheme="majorBidi" w:cstheme="majorBidi"/>
          <w:sz w:val="24"/>
          <w:szCs w:val="24"/>
          <w:lang w:val="en-GB"/>
        </w:rPr>
        <w:t xml:space="preserve">of </w:t>
      </w:r>
      <w:r w:rsidR="00976222">
        <w:rPr>
          <w:rFonts w:asciiTheme="majorBidi" w:eastAsia="Calibri" w:hAnsiTheme="majorBidi" w:cstheme="majorBidi"/>
          <w:sz w:val="24"/>
          <w:szCs w:val="24"/>
          <w:lang w:val="en-GB"/>
        </w:rPr>
        <w:t xml:space="preserve">index commodity funds </w:t>
      </w:r>
      <w:r w:rsidR="00B11D50">
        <w:rPr>
          <w:rFonts w:asciiTheme="majorBidi" w:eastAsia="Calibri" w:hAnsiTheme="majorBidi" w:cstheme="majorBidi"/>
          <w:sz w:val="24"/>
          <w:szCs w:val="24"/>
          <w:lang w:val="en-GB"/>
        </w:rPr>
        <w:t xml:space="preserve">in </w:t>
      </w:r>
      <w:r w:rsidR="00976222">
        <w:rPr>
          <w:rFonts w:asciiTheme="majorBidi" w:eastAsia="Calibri" w:hAnsiTheme="majorBidi" w:cstheme="majorBidi"/>
          <w:sz w:val="24"/>
          <w:szCs w:val="24"/>
          <w:lang w:val="en-GB"/>
        </w:rPr>
        <w:t>the commodity paper market.</w:t>
      </w:r>
      <w:r w:rsidR="0023720D">
        <w:rPr>
          <w:rFonts w:asciiTheme="majorBidi" w:eastAsia="Calibri" w:hAnsiTheme="majorBidi" w:cstheme="majorBidi"/>
          <w:sz w:val="24"/>
          <w:szCs w:val="24"/>
          <w:lang w:val="en-GB"/>
        </w:rPr>
        <w:t xml:space="preserve"> Similar results on the weak association especially in the long run have been reported by </w:t>
      </w:r>
      <w:r w:rsidR="00FE4612" w:rsidRPr="00976222">
        <w:rPr>
          <w:rFonts w:asciiTheme="majorBidi" w:eastAsia="Calibri" w:hAnsiTheme="majorBidi" w:cstheme="majorBidi"/>
          <w:sz w:val="24"/>
          <w:szCs w:val="24"/>
          <w:lang w:val="en-GB"/>
        </w:rPr>
        <w:t>Sari et al.</w:t>
      </w:r>
      <w:r w:rsidR="0023720D">
        <w:rPr>
          <w:rFonts w:asciiTheme="majorBidi" w:eastAsia="Calibri" w:hAnsiTheme="majorBidi" w:cstheme="majorBidi"/>
          <w:sz w:val="24"/>
          <w:szCs w:val="24"/>
          <w:lang w:val="en-GB"/>
        </w:rPr>
        <w:t xml:space="preserve"> (</w:t>
      </w:r>
      <w:r w:rsidR="00FE4612" w:rsidRPr="00976222">
        <w:rPr>
          <w:rFonts w:asciiTheme="majorBidi" w:eastAsia="Calibri" w:hAnsiTheme="majorBidi" w:cstheme="majorBidi"/>
          <w:sz w:val="24"/>
          <w:szCs w:val="24"/>
          <w:lang w:val="en-GB"/>
        </w:rPr>
        <w:t>2012</w:t>
      </w:r>
      <w:r w:rsidR="0023720D">
        <w:rPr>
          <w:rFonts w:asciiTheme="majorBidi" w:eastAsia="Calibri" w:hAnsiTheme="majorBidi" w:cstheme="majorBidi"/>
          <w:sz w:val="24"/>
          <w:szCs w:val="24"/>
          <w:lang w:val="en-GB"/>
        </w:rPr>
        <w:t>).</w:t>
      </w:r>
    </w:p>
    <w:p w:rsidR="00F23762" w:rsidRDefault="00FE4612" w:rsidP="00F23762">
      <w:pPr>
        <w:spacing w:after="0" w:line="480" w:lineRule="auto"/>
        <w:ind w:firstLine="284"/>
        <w:jc w:val="both"/>
        <w:rPr>
          <w:rFonts w:asciiTheme="majorBidi" w:eastAsia="Calibri" w:hAnsiTheme="majorBidi" w:cstheme="majorBidi"/>
          <w:sz w:val="24"/>
          <w:szCs w:val="24"/>
        </w:rPr>
      </w:pPr>
      <w:r w:rsidRPr="00976222">
        <w:rPr>
          <w:rFonts w:asciiTheme="majorBidi" w:eastAsia="Calibri" w:hAnsiTheme="majorBidi" w:cstheme="majorBidi"/>
          <w:sz w:val="24"/>
          <w:szCs w:val="24"/>
          <w:lang w:val="en-GB"/>
        </w:rPr>
        <w:t xml:space="preserve"> </w:t>
      </w:r>
      <w:r w:rsidRPr="00FE4612">
        <w:rPr>
          <w:rFonts w:asciiTheme="majorBidi" w:eastAsia="Calibri" w:hAnsiTheme="majorBidi" w:cstheme="majorBidi"/>
          <w:sz w:val="24"/>
          <w:szCs w:val="24"/>
        </w:rPr>
        <w:t>Most globally traded commodities</w:t>
      </w:r>
      <w:r w:rsidR="0018377E">
        <w:rPr>
          <w:rFonts w:asciiTheme="majorBidi" w:eastAsia="Calibri" w:hAnsiTheme="majorBidi" w:cstheme="majorBidi"/>
          <w:sz w:val="24"/>
          <w:szCs w:val="24"/>
        </w:rPr>
        <w:t>,</w:t>
      </w:r>
      <w:r w:rsidRPr="00FE4612">
        <w:rPr>
          <w:rFonts w:asciiTheme="majorBidi" w:eastAsia="Calibri" w:hAnsiTheme="majorBidi" w:cstheme="majorBidi"/>
          <w:sz w:val="24"/>
          <w:szCs w:val="24"/>
        </w:rPr>
        <w:t xml:space="preserve"> such as oil and gold</w:t>
      </w:r>
      <w:r w:rsidR="0018377E">
        <w:rPr>
          <w:rFonts w:asciiTheme="majorBidi" w:eastAsia="Calibri" w:hAnsiTheme="majorBidi" w:cstheme="majorBidi"/>
          <w:sz w:val="24"/>
          <w:szCs w:val="24"/>
        </w:rPr>
        <w:t>,</w:t>
      </w:r>
      <w:r w:rsidRPr="00FE4612">
        <w:rPr>
          <w:rFonts w:asciiTheme="majorBidi" w:eastAsia="Calibri" w:hAnsiTheme="majorBidi" w:cstheme="majorBidi"/>
          <w:sz w:val="24"/>
          <w:szCs w:val="24"/>
        </w:rPr>
        <w:t xml:space="preserve"> are denominated in US dollar. </w:t>
      </w:r>
      <w:r w:rsidR="0018377E">
        <w:rPr>
          <w:rFonts w:asciiTheme="majorBidi" w:eastAsia="Calibri" w:hAnsiTheme="majorBidi" w:cstheme="majorBidi"/>
          <w:sz w:val="24"/>
          <w:szCs w:val="24"/>
        </w:rPr>
        <w:t>A</w:t>
      </w:r>
      <w:r w:rsidRPr="00FE4612">
        <w:rPr>
          <w:rFonts w:asciiTheme="majorBidi" w:eastAsia="Calibri" w:hAnsiTheme="majorBidi" w:cstheme="majorBidi"/>
          <w:sz w:val="24"/>
          <w:szCs w:val="24"/>
        </w:rPr>
        <w:t xml:space="preserve"> rise in the value </w:t>
      </w:r>
      <w:r w:rsidR="0018377E">
        <w:rPr>
          <w:rFonts w:asciiTheme="majorBidi" w:eastAsia="Calibri" w:hAnsiTheme="majorBidi" w:cstheme="majorBidi"/>
          <w:sz w:val="24"/>
          <w:szCs w:val="24"/>
        </w:rPr>
        <w:t xml:space="preserve">of the dollar </w:t>
      </w:r>
      <w:r w:rsidRPr="00FE4612">
        <w:rPr>
          <w:rFonts w:asciiTheme="majorBidi" w:eastAsia="Calibri" w:hAnsiTheme="majorBidi" w:cstheme="majorBidi"/>
          <w:sz w:val="24"/>
          <w:szCs w:val="24"/>
        </w:rPr>
        <w:t>can increase the price of these commodities in domestic currencies and</w:t>
      </w:r>
      <w:r w:rsidR="0018377E">
        <w:rPr>
          <w:rFonts w:asciiTheme="majorBidi" w:eastAsia="Calibri" w:hAnsiTheme="majorBidi" w:cstheme="majorBidi"/>
          <w:sz w:val="24"/>
          <w:szCs w:val="24"/>
        </w:rPr>
        <w:t>, hence,</w:t>
      </w:r>
      <w:r w:rsidRPr="00FE4612">
        <w:rPr>
          <w:rFonts w:asciiTheme="majorBidi" w:eastAsia="Calibri" w:hAnsiTheme="majorBidi" w:cstheme="majorBidi"/>
          <w:sz w:val="24"/>
          <w:szCs w:val="24"/>
        </w:rPr>
        <w:t xml:space="preserve"> demand</w:t>
      </w:r>
      <w:r w:rsidR="0018377E">
        <w:rPr>
          <w:rFonts w:asciiTheme="majorBidi" w:eastAsia="Calibri" w:hAnsiTheme="majorBidi" w:cstheme="majorBidi"/>
          <w:sz w:val="24"/>
          <w:szCs w:val="24"/>
        </w:rPr>
        <w:t xml:space="preserve"> can fall</w:t>
      </w:r>
      <w:r w:rsidRPr="00FE4612">
        <w:rPr>
          <w:rFonts w:asciiTheme="majorBidi" w:eastAsia="Calibri" w:hAnsiTheme="majorBidi" w:cstheme="majorBidi"/>
          <w:sz w:val="24"/>
          <w:szCs w:val="24"/>
        </w:rPr>
        <w:t>.</w:t>
      </w:r>
      <w:r w:rsidR="0018377E">
        <w:rPr>
          <w:rFonts w:asciiTheme="majorBidi" w:eastAsia="Calibri" w:hAnsiTheme="majorBidi" w:cstheme="majorBidi"/>
          <w:sz w:val="24"/>
          <w:szCs w:val="24"/>
        </w:rPr>
        <w:t xml:space="preserve"> I</w:t>
      </w:r>
      <w:r w:rsidRPr="00FE4612">
        <w:rPr>
          <w:rFonts w:asciiTheme="majorBidi" w:eastAsia="Calibri" w:hAnsiTheme="majorBidi" w:cstheme="majorBidi"/>
          <w:sz w:val="24"/>
          <w:szCs w:val="24"/>
        </w:rPr>
        <w:t xml:space="preserve">t is </w:t>
      </w:r>
      <w:r w:rsidR="0018377E">
        <w:rPr>
          <w:rFonts w:asciiTheme="majorBidi" w:eastAsia="Calibri" w:hAnsiTheme="majorBidi" w:cstheme="majorBidi"/>
          <w:sz w:val="24"/>
          <w:szCs w:val="24"/>
        </w:rPr>
        <w:t xml:space="preserve">thus </w:t>
      </w:r>
      <w:r w:rsidRPr="00FE4612">
        <w:rPr>
          <w:rFonts w:asciiTheme="majorBidi" w:eastAsia="Calibri" w:hAnsiTheme="majorBidi" w:cstheme="majorBidi"/>
          <w:sz w:val="24"/>
          <w:szCs w:val="24"/>
        </w:rPr>
        <w:t xml:space="preserve">possible that the value </w:t>
      </w:r>
      <w:r w:rsidR="0018377E">
        <w:rPr>
          <w:rFonts w:asciiTheme="majorBidi" w:eastAsia="Calibri" w:hAnsiTheme="majorBidi" w:cstheme="majorBidi"/>
          <w:sz w:val="24"/>
          <w:szCs w:val="24"/>
        </w:rPr>
        <w:t xml:space="preserve">of the dollar </w:t>
      </w:r>
      <w:r w:rsidRPr="00FE4612">
        <w:rPr>
          <w:rFonts w:asciiTheme="majorBidi" w:eastAsia="Calibri" w:hAnsiTheme="majorBidi" w:cstheme="majorBidi"/>
          <w:sz w:val="24"/>
          <w:szCs w:val="24"/>
        </w:rPr>
        <w:t xml:space="preserve">may also drive both oil and </w:t>
      </w:r>
      <w:r w:rsidR="00C94C3B">
        <w:rPr>
          <w:rFonts w:asciiTheme="majorBidi" w:eastAsia="Calibri" w:hAnsiTheme="majorBidi" w:cstheme="majorBidi"/>
          <w:sz w:val="24"/>
          <w:szCs w:val="24"/>
        </w:rPr>
        <w:t xml:space="preserve">the </w:t>
      </w:r>
      <w:r w:rsidRPr="00FE4612">
        <w:rPr>
          <w:rFonts w:asciiTheme="majorBidi" w:eastAsia="Calibri" w:hAnsiTheme="majorBidi" w:cstheme="majorBidi"/>
          <w:sz w:val="24"/>
          <w:szCs w:val="24"/>
        </w:rPr>
        <w:t xml:space="preserve">other commodities simultaneously. </w:t>
      </w:r>
      <w:r w:rsidR="00F23762">
        <w:rPr>
          <w:rFonts w:asciiTheme="majorBidi" w:eastAsia="Calibri" w:hAnsiTheme="majorBidi" w:cstheme="majorBidi"/>
          <w:sz w:val="24"/>
          <w:szCs w:val="24"/>
        </w:rPr>
        <w:t xml:space="preserve">Following this line of enquiry, </w:t>
      </w:r>
      <w:r w:rsidRPr="00FE4612">
        <w:rPr>
          <w:rFonts w:asciiTheme="majorBidi" w:eastAsia="Calibri" w:hAnsiTheme="majorBidi" w:cstheme="majorBidi"/>
          <w:sz w:val="24"/>
          <w:szCs w:val="24"/>
        </w:rPr>
        <w:t xml:space="preserve">Sari et al., (2010) looked into the </w:t>
      </w:r>
      <w:r w:rsidRPr="00FE4612">
        <w:rPr>
          <w:rFonts w:asciiTheme="majorBidi" w:eastAsia="Calibri" w:hAnsiTheme="majorBidi" w:cstheme="majorBidi"/>
          <w:sz w:val="24"/>
          <w:szCs w:val="24"/>
        </w:rPr>
        <w:lastRenderedPageBreak/>
        <w:t xml:space="preserve">dynamics of oil, precious metals and Euro/Dollar exchange rate. They found little evidence of long run equilibrium relation between exchange rates and oil. Moreover, oil is found to be uninformative of foreign exchange movements in the short run. </w:t>
      </w:r>
      <w:r w:rsidR="00F23762">
        <w:rPr>
          <w:rFonts w:asciiTheme="majorBidi" w:eastAsia="Calibri" w:hAnsiTheme="majorBidi" w:cstheme="majorBidi"/>
          <w:sz w:val="24"/>
          <w:szCs w:val="24"/>
        </w:rPr>
        <w:t xml:space="preserve">In contrast, </w:t>
      </w:r>
      <w:r w:rsidRPr="00FE4612">
        <w:rPr>
          <w:rFonts w:asciiTheme="majorBidi" w:eastAsia="Calibri" w:hAnsiTheme="majorBidi" w:cstheme="majorBidi"/>
          <w:sz w:val="24"/>
          <w:szCs w:val="24"/>
        </w:rPr>
        <w:t>metals are found to provide useful information on exchange rate changes.</w:t>
      </w:r>
    </w:p>
    <w:p w:rsidR="008578D7" w:rsidRDefault="009310AB" w:rsidP="00F23762">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006423E9">
        <w:rPr>
          <w:rFonts w:asciiTheme="majorBidi" w:eastAsia="Calibri" w:hAnsiTheme="majorBidi" w:cstheme="majorBidi"/>
          <w:sz w:val="24"/>
          <w:szCs w:val="24"/>
        </w:rPr>
        <w:t xml:space="preserve"> </w:t>
      </w:r>
      <w:r w:rsidR="008578D7">
        <w:rPr>
          <w:rFonts w:asciiTheme="majorBidi" w:eastAsia="Calibri" w:hAnsiTheme="majorBidi" w:cstheme="majorBidi"/>
          <w:sz w:val="24"/>
          <w:szCs w:val="24"/>
        </w:rPr>
        <w:t xml:space="preserve">     </w:t>
      </w:r>
    </w:p>
    <w:p w:rsidR="003E4BA2" w:rsidRDefault="00F23762" w:rsidP="00E37DCE">
      <w:pPr>
        <w:spacing w:after="0" w:line="480" w:lineRule="auto"/>
        <w:ind w:firstLine="284"/>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w:t>
      </w:r>
      <w:r w:rsidR="0085148E" w:rsidRPr="005D100A">
        <w:rPr>
          <w:rFonts w:asciiTheme="majorBidi" w:eastAsia="Calibri" w:hAnsiTheme="majorBidi" w:cstheme="majorBidi"/>
          <w:b/>
          <w:bCs/>
          <w:sz w:val="24"/>
          <w:szCs w:val="24"/>
        </w:rPr>
        <w:t>INSERT TABLE 1</w:t>
      </w:r>
      <w:r>
        <w:rPr>
          <w:rFonts w:asciiTheme="majorBidi" w:eastAsia="Calibri" w:hAnsiTheme="majorBidi" w:cstheme="majorBidi"/>
          <w:b/>
          <w:bCs/>
          <w:sz w:val="24"/>
          <w:szCs w:val="24"/>
        </w:rPr>
        <w:t>]</w:t>
      </w:r>
    </w:p>
    <w:p w:rsidR="003E4BA2" w:rsidRDefault="003E4BA2" w:rsidP="00E37DCE">
      <w:pPr>
        <w:spacing w:after="0" w:line="480" w:lineRule="auto"/>
        <w:ind w:firstLine="284"/>
        <w:jc w:val="center"/>
        <w:rPr>
          <w:rFonts w:asciiTheme="majorBidi" w:eastAsia="Calibri" w:hAnsiTheme="majorBidi" w:cstheme="majorBidi"/>
          <w:sz w:val="24"/>
          <w:szCs w:val="24"/>
        </w:rPr>
      </w:pPr>
    </w:p>
    <w:p w:rsidR="00383252" w:rsidRDefault="00383252" w:rsidP="00383252">
      <w:pPr>
        <w:pStyle w:val="ListParagraph"/>
        <w:numPr>
          <w:ilvl w:val="0"/>
          <w:numId w:val="1"/>
        </w:numPr>
        <w:spacing w:after="0" w:line="480" w:lineRule="auto"/>
        <w:ind w:left="284" w:hanging="284"/>
        <w:rPr>
          <w:rFonts w:asciiTheme="majorBidi" w:hAnsiTheme="majorBidi" w:cstheme="majorBidi"/>
          <w:b/>
          <w:bCs/>
          <w:sz w:val="24"/>
          <w:szCs w:val="24"/>
        </w:rPr>
      </w:pPr>
      <w:r w:rsidRPr="00B1441B">
        <w:rPr>
          <w:rFonts w:asciiTheme="majorBidi" w:hAnsiTheme="majorBidi" w:cstheme="majorBidi"/>
          <w:b/>
          <w:bCs/>
          <w:sz w:val="24"/>
          <w:szCs w:val="24"/>
        </w:rPr>
        <w:t>Data description and preliminary statistics</w:t>
      </w:r>
    </w:p>
    <w:p w:rsidR="00972E09" w:rsidRPr="00B1441B" w:rsidRDefault="00972E09" w:rsidP="00C07098">
      <w:pPr>
        <w:pStyle w:val="ListParagraph"/>
        <w:spacing w:after="0" w:line="480" w:lineRule="auto"/>
        <w:ind w:left="0"/>
        <w:rPr>
          <w:rFonts w:asciiTheme="majorBidi" w:hAnsiTheme="majorBidi" w:cstheme="majorBidi"/>
          <w:b/>
          <w:bCs/>
          <w:sz w:val="24"/>
          <w:szCs w:val="24"/>
        </w:rPr>
      </w:pPr>
      <w:r>
        <w:rPr>
          <w:rFonts w:asciiTheme="majorBidi" w:hAnsiTheme="majorBidi" w:cstheme="majorBidi"/>
          <w:b/>
          <w:bCs/>
          <w:sz w:val="24"/>
          <w:szCs w:val="24"/>
        </w:rPr>
        <w:t xml:space="preserve">3.1 </w:t>
      </w:r>
      <w:r w:rsidR="00C07098">
        <w:rPr>
          <w:rFonts w:asciiTheme="majorBidi" w:hAnsiTheme="majorBidi" w:cstheme="majorBidi"/>
          <w:b/>
          <w:bCs/>
          <w:sz w:val="24"/>
          <w:szCs w:val="24"/>
        </w:rPr>
        <w:t>I</w:t>
      </w:r>
      <w:r>
        <w:rPr>
          <w:rFonts w:asciiTheme="majorBidi" w:hAnsiTheme="majorBidi" w:cstheme="majorBidi"/>
          <w:b/>
          <w:bCs/>
          <w:sz w:val="24"/>
          <w:szCs w:val="24"/>
        </w:rPr>
        <w:t>mplied volatility indexes</w:t>
      </w:r>
    </w:p>
    <w:p w:rsidR="005D100A" w:rsidRDefault="005D100A" w:rsidP="00C07098">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The</w:t>
      </w:r>
      <w:r w:rsidR="000E742D">
        <w:rPr>
          <w:rFonts w:asciiTheme="majorBidi" w:eastAsia="Calibri" w:hAnsiTheme="majorBidi" w:cstheme="majorBidi"/>
          <w:sz w:val="24"/>
          <w:szCs w:val="24"/>
        </w:rPr>
        <w:t xml:space="preserve"> implied volatility </w:t>
      </w:r>
      <w:r w:rsidR="003725E4">
        <w:rPr>
          <w:rFonts w:asciiTheme="majorBidi" w:eastAsia="Calibri" w:hAnsiTheme="majorBidi" w:cstheme="majorBidi"/>
          <w:sz w:val="24"/>
          <w:szCs w:val="24"/>
        </w:rPr>
        <w:t>index</w:t>
      </w:r>
      <w:r w:rsidR="00C07098">
        <w:rPr>
          <w:rFonts w:asciiTheme="majorBidi" w:eastAsia="Calibri" w:hAnsiTheme="majorBidi" w:cstheme="majorBidi"/>
          <w:sz w:val="24"/>
          <w:szCs w:val="24"/>
        </w:rPr>
        <w:t xml:space="preserve">, known as </w:t>
      </w:r>
      <w:r w:rsidR="004C187A">
        <w:rPr>
          <w:rFonts w:asciiTheme="majorBidi" w:eastAsia="Calibri" w:hAnsiTheme="majorBidi" w:cstheme="majorBidi"/>
          <w:sz w:val="24"/>
          <w:szCs w:val="24"/>
        </w:rPr>
        <w:t xml:space="preserve">the </w:t>
      </w:r>
      <w:r w:rsidR="003725E4">
        <w:rPr>
          <w:rFonts w:asciiTheme="majorBidi" w:eastAsia="Calibri" w:hAnsiTheme="majorBidi" w:cstheme="majorBidi"/>
          <w:sz w:val="24"/>
          <w:szCs w:val="24"/>
        </w:rPr>
        <w:t>VIX</w:t>
      </w:r>
      <w:r w:rsidR="00BF416B">
        <w:rPr>
          <w:rFonts w:asciiTheme="majorBidi" w:eastAsia="Calibri" w:hAnsiTheme="majorBidi" w:cstheme="majorBidi"/>
          <w:sz w:val="24"/>
          <w:szCs w:val="24"/>
        </w:rPr>
        <w:t xml:space="preserve"> index</w:t>
      </w:r>
      <w:r w:rsidR="00C07098">
        <w:rPr>
          <w:rFonts w:asciiTheme="majorBidi" w:eastAsia="Calibri" w:hAnsiTheme="majorBidi" w:cstheme="majorBidi"/>
          <w:sz w:val="24"/>
          <w:szCs w:val="24"/>
        </w:rPr>
        <w:t>, is</w:t>
      </w:r>
      <w:r>
        <w:rPr>
          <w:rFonts w:asciiTheme="majorBidi" w:eastAsia="Calibri" w:hAnsiTheme="majorBidi" w:cstheme="majorBidi"/>
          <w:sz w:val="24"/>
          <w:szCs w:val="24"/>
        </w:rPr>
        <w:t xml:space="preserve"> constructed </w:t>
      </w:r>
      <w:r w:rsidR="000E742D">
        <w:rPr>
          <w:rFonts w:asciiTheme="majorBidi" w:eastAsia="Calibri" w:hAnsiTheme="majorBidi" w:cstheme="majorBidi"/>
          <w:sz w:val="24"/>
          <w:szCs w:val="24"/>
        </w:rPr>
        <w:t xml:space="preserve">and published </w:t>
      </w:r>
      <w:r>
        <w:rPr>
          <w:rFonts w:asciiTheme="majorBidi" w:eastAsia="Calibri" w:hAnsiTheme="majorBidi" w:cstheme="majorBidi"/>
          <w:sz w:val="24"/>
          <w:szCs w:val="24"/>
        </w:rPr>
        <w:t>by the Chicago Board of Options Exchange</w:t>
      </w:r>
      <w:r w:rsidR="00C07098">
        <w:rPr>
          <w:rFonts w:asciiTheme="majorBidi" w:eastAsia="Calibri" w:hAnsiTheme="majorBidi" w:cstheme="majorBidi"/>
          <w:sz w:val="24"/>
          <w:szCs w:val="24"/>
        </w:rPr>
        <w:t xml:space="preserve"> (CBOE)</w:t>
      </w:r>
      <w:r>
        <w:rPr>
          <w:rFonts w:asciiTheme="majorBidi" w:eastAsia="Calibri" w:hAnsiTheme="majorBidi" w:cstheme="majorBidi"/>
          <w:sz w:val="24"/>
          <w:szCs w:val="24"/>
        </w:rPr>
        <w:t xml:space="preserve">. </w:t>
      </w:r>
      <w:r w:rsidR="00CA3A67" w:rsidRPr="00972E09">
        <w:rPr>
          <w:rFonts w:ascii="Times New Roman" w:hAnsi="Times New Roman" w:cs="Times New Roman"/>
          <w:sz w:val="24"/>
          <w:szCs w:val="24"/>
        </w:rPr>
        <w:t xml:space="preserve">Before September 22, 2003, the CBOE </w:t>
      </w:r>
      <w:r w:rsidR="004C187A">
        <w:rPr>
          <w:rFonts w:ascii="Times New Roman" w:hAnsi="Times New Roman" w:cs="Times New Roman"/>
          <w:sz w:val="24"/>
          <w:szCs w:val="24"/>
        </w:rPr>
        <w:t xml:space="preserve">used </w:t>
      </w:r>
      <w:r w:rsidR="00CA3A67" w:rsidRPr="00972E09">
        <w:rPr>
          <w:rFonts w:ascii="Times New Roman" w:hAnsi="Times New Roman" w:cs="Times New Roman"/>
          <w:sz w:val="24"/>
          <w:szCs w:val="24"/>
        </w:rPr>
        <w:t xml:space="preserve">the Black and Scholes model to </w:t>
      </w:r>
      <w:r w:rsidR="004C187A">
        <w:rPr>
          <w:rFonts w:ascii="Times New Roman" w:hAnsi="Times New Roman" w:cs="Times New Roman"/>
          <w:sz w:val="24"/>
          <w:szCs w:val="24"/>
        </w:rPr>
        <w:t>compute the</w:t>
      </w:r>
      <w:r w:rsidR="00CA3A67" w:rsidRPr="00972E09">
        <w:rPr>
          <w:rFonts w:ascii="Times New Roman" w:hAnsi="Times New Roman" w:cs="Times New Roman"/>
          <w:sz w:val="24"/>
          <w:szCs w:val="24"/>
        </w:rPr>
        <w:t xml:space="preserve"> index. However, </w:t>
      </w:r>
      <w:r w:rsidR="004C187A">
        <w:rPr>
          <w:rFonts w:ascii="Times New Roman" w:hAnsi="Times New Roman" w:cs="Times New Roman"/>
          <w:sz w:val="24"/>
          <w:szCs w:val="24"/>
        </w:rPr>
        <w:t xml:space="preserve">the index </w:t>
      </w:r>
      <w:r w:rsidR="00C07098">
        <w:rPr>
          <w:rFonts w:ascii="Times New Roman" w:hAnsi="Times New Roman" w:cs="Times New Roman"/>
          <w:sz w:val="24"/>
          <w:szCs w:val="24"/>
        </w:rPr>
        <w:t>was</w:t>
      </w:r>
      <w:r w:rsidR="004C187A">
        <w:rPr>
          <w:rFonts w:ascii="Times New Roman" w:hAnsi="Times New Roman" w:cs="Times New Roman"/>
          <w:sz w:val="24"/>
          <w:szCs w:val="24"/>
        </w:rPr>
        <w:t xml:space="preserve"> criticized </w:t>
      </w:r>
      <w:r w:rsidR="00C07098">
        <w:rPr>
          <w:rFonts w:ascii="Times New Roman" w:hAnsi="Times New Roman" w:cs="Times New Roman"/>
          <w:sz w:val="24"/>
          <w:szCs w:val="24"/>
        </w:rPr>
        <w:t xml:space="preserve">for </w:t>
      </w:r>
      <w:r w:rsidR="004C187A">
        <w:rPr>
          <w:rFonts w:ascii="Times New Roman" w:hAnsi="Times New Roman" w:cs="Times New Roman"/>
          <w:sz w:val="24"/>
          <w:szCs w:val="24"/>
        </w:rPr>
        <w:t xml:space="preserve">the bias of the underlying Black and Scholes option valuation model </w:t>
      </w:r>
      <w:r w:rsidR="00CA3A67" w:rsidRPr="00972E09">
        <w:rPr>
          <w:rFonts w:ascii="Times New Roman" w:hAnsi="Times New Roman" w:cs="Times New Roman"/>
          <w:sz w:val="24"/>
          <w:szCs w:val="24"/>
        </w:rPr>
        <w:t>(</w:t>
      </w:r>
      <w:r w:rsidR="00C07098">
        <w:rPr>
          <w:rFonts w:ascii="Times New Roman" w:hAnsi="Times New Roman" w:cs="Times New Roman"/>
          <w:sz w:val="24"/>
          <w:szCs w:val="24"/>
        </w:rPr>
        <w:t>s</w:t>
      </w:r>
      <w:r w:rsidR="00CA3A67" w:rsidRPr="00972E09">
        <w:rPr>
          <w:rFonts w:ascii="Times New Roman" w:hAnsi="Times New Roman" w:cs="Times New Roman"/>
          <w:sz w:val="24"/>
          <w:szCs w:val="24"/>
        </w:rPr>
        <w:t xml:space="preserve">ee for instance, Fleming, 1998; </w:t>
      </w:r>
      <w:r w:rsidR="00C07098">
        <w:rPr>
          <w:rFonts w:ascii="Times New Roman" w:hAnsi="Times New Roman" w:cs="Times New Roman"/>
          <w:sz w:val="24"/>
          <w:szCs w:val="24"/>
        </w:rPr>
        <w:t xml:space="preserve">and </w:t>
      </w:r>
      <w:r w:rsidR="00CA3A67" w:rsidRPr="00972E09">
        <w:rPr>
          <w:rFonts w:ascii="Times New Roman" w:hAnsi="Times New Roman" w:cs="Times New Roman"/>
          <w:sz w:val="24"/>
          <w:szCs w:val="24"/>
        </w:rPr>
        <w:t xml:space="preserve">Simon, 2002). </w:t>
      </w:r>
      <w:r w:rsidR="00C07098">
        <w:rPr>
          <w:rFonts w:ascii="Times New Roman" w:hAnsi="Times New Roman" w:cs="Times New Roman"/>
          <w:sz w:val="24"/>
          <w:szCs w:val="24"/>
        </w:rPr>
        <w:t>C</w:t>
      </w:r>
      <w:r w:rsidR="00CA3A67" w:rsidRPr="00972E09">
        <w:rPr>
          <w:rFonts w:asciiTheme="majorBidi" w:eastAsia="Calibri" w:hAnsiTheme="majorBidi" w:cstheme="majorBidi"/>
          <w:sz w:val="24"/>
          <w:szCs w:val="24"/>
        </w:rPr>
        <w:t>urrently many practitioners and academics</w:t>
      </w:r>
      <w:r w:rsidR="00CA3A67">
        <w:rPr>
          <w:rFonts w:asciiTheme="majorBidi" w:eastAsia="Calibri" w:hAnsiTheme="majorBidi" w:cstheme="majorBidi"/>
          <w:sz w:val="24"/>
          <w:szCs w:val="24"/>
        </w:rPr>
        <w:t xml:space="preserve"> </w:t>
      </w:r>
      <w:r w:rsidR="004C187A">
        <w:rPr>
          <w:rFonts w:asciiTheme="majorBidi" w:eastAsia="Calibri" w:hAnsiTheme="majorBidi" w:cstheme="majorBidi"/>
          <w:sz w:val="24"/>
          <w:szCs w:val="24"/>
        </w:rPr>
        <w:t xml:space="preserve">prefer </w:t>
      </w:r>
      <w:r w:rsidR="00CA3A67">
        <w:rPr>
          <w:rFonts w:asciiTheme="majorBidi" w:eastAsia="Calibri" w:hAnsiTheme="majorBidi" w:cstheme="majorBidi"/>
          <w:sz w:val="24"/>
          <w:szCs w:val="24"/>
        </w:rPr>
        <w:t>comput</w:t>
      </w:r>
      <w:r w:rsidR="004C187A">
        <w:rPr>
          <w:rFonts w:asciiTheme="majorBidi" w:eastAsia="Calibri" w:hAnsiTheme="majorBidi" w:cstheme="majorBidi"/>
          <w:sz w:val="24"/>
          <w:szCs w:val="24"/>
        </w:rPr>
        <w:t>ing</w:t>
      </w:r>
      <w:r w:rsidR="00CA3A67">
        <w:rPr>
          <w:rFonts w:asciiTheme="majorBidi" w:eastAsia="Calibri" w:hAnsiTheme="majorBidi" w:cstheme="majorBidi"/>
          <w:sz w:val="24"/>
          <w:szCs w:val="24"/>
        </w:rPr>
        <w:t xml:space="preserve"> </w:t>
      </w:r>
      <w:r w:rsidR="00CA3A67" w:rsidRPr="00DF5EF0">
        <w:rPr>
          <w:rFonts w:asciiTheme="majorBidi" w:eastAsia="Calibri" w:hAnsiTheme="majorBidi" w:cstheme="majorBidi"/>
          <w:sz w:val="24"/>
          <w:szCs w:val="24"/>
        </w:rPr>
        <w:t>implied volatilities from</w:t>
      </w:r>
      <w:r w:rsidR="00CA3A67" w:rsidRPr="004B27E7">
        <w:rPr>
          <w:rFonts w:asciiTheme="majorBidi" w:eastAsia="Calibri" w:hAnsiTheme="majorBidi" w:cstheme="majorBidi"/>
          <w:sz w:val="24"/>
          <w:szCs w:val="24"/>
        </w:rPr>
        <w:t xml:space="preserve"> options based on the concept of fair value of future </w:t>
      </w:r>
      <w:r w:rsidR="00CA3A67">
        <w:rPr>
          <w:rFonts w:asciiTheme="majorBidi" w:eastAsia="Calibri" w:hAnsiTheme="majorBidi" w:cstheme="majorBidi"/>
          <w:sz w:val="24"/>
          <w:szCs w:val="24"/>
        </w:rPr>
        <w:t>volatility.</w:t>
      </w:r>
      <w:r w:rsidR="004C187A">
        <w:rPr>
          <w:rStyle w:val="FootnoteReference"/>
          <w:rFonts w:asciiTheme="majorBidi" w:eastAsia="Calibri" w:hAnsiTheme="majorBidi"/>
          <w:sz w:val="24"/>
          <w:szCs w:val="24"/>
        </w:rPr>
        <w:footnoteReference w:id="6"/>
      </w:r>
      <w:r w:rsidR="00CA3A67">
        <w:rPr>
          <w:rFonts w:asciiTheme="majorBidi" w:eastAsia="Calibri" w:hAnsiTheme="majorBidi" w:cstheme="majorBidi"/>
          <w:sz w:val="24"/>
          <w:szCs w:val="24"/>
        </w:rPr>
        <w:t xml:space="preserve"> </w:t>
      </w:r>
      <w:r w:rsidR="00303E38">
        <w:rPr>
          <w:rFonts w:asciiTheme="majorBidi" w:eastAsia="Calibri" w:hAnsiTheme="majorBidi" w:cstheme="majorBidi"/>
          <w:sz w:val="24"/>
          <w:szCs w:val="24"/>
        </w:rPr>
        <w:t xml:space="preserve">Following </w:t>
      </w:r>
      <w:r w:rsidR="00CA3A67">
        <w:rPr>
          <w:rFonts w:asciiTheme="majorBidi" w:eastAsia="Calibri" w:hAnsiTheme="majorBidi" w:cstheme="majorBidi"/>
          <w:sz w:val="24"/>
          <w:szCs w:val="24"/>
        </w:rPr>
        <w:t>this concept</w:t>
      </w:r>
      <w:r w:rsidR="00303E38">
        <w:rPr>
          <w:rFonts w:asciiTheme="majorBidi" w:eastAsia="Calibri" w:hAnsiTheme="majorBidi" w:cstheme="majorBidi"/>
          <w:sz w:val="24"/>
          <w:szCs w:val="24"/>
        </w:rPr>
        <w:t xml:space="preserve"> the CBOE</w:t>
      </w:r>
      <w:r w:rsidR="00CA3A67" w:rsidRPr="004B27E7">
        <w:rPr>
          <w:rFonts w:asciiTheme="majorBidi" w:eastAsia="Calibri" w:hAnsiTheme="majorBidi" w:cstheme="majorBidi"/>
          <w:sz w:val="24"/>
          <w:szCs w:val="24"/>
        </w:rPr>
        <w:t xml:space="preserve"> directly </w:t>
      </w:r>
      <w:r w:rsidR="00303E38">
        <w:rPr>
          <w:rFonts w:asciiTheme="majorBidi" w:eastAsia="Calibri" w:hAnsiTheme="majorBidi" w:cstheme="majorBidi"/>
          <w:sz w:val="24"/>
          <w:szCs w:val="24"/>
        </w:rPr>
        <w:t>compute</w:t>
      </w:r>
      <w:r w:rsidR="00C07098">
        <w:rPr>
          <w:rFonts w:asciiTheme="majorBidi" w:eastAsia="Calibri" w:hAnsiTheme="majorBidi" w:cstheme="majorBidi"/>
          <w:sz w:val="24"/>
          <w:szCs w:val="24"/>
        </w:rPr>
        <w:t>s</w:t>
      </w:r>
      <w:r w:rsidR="00303E38">
        <w:rPr>
          <w:rFonts w:asciiTheme="majorBidi" w:eastAsia="Calibri" w:hAnsiTheme="majorBidi" w:cstheme="majorBidi"/>
          <w:sz w:val="24"/>
          <w:szCs w:val="24"/>
        </w:rPr>
        <w:t xml:space="preserve"> the VIX indexes </w:t>
      </w:r>
      <w:r w:rsidR="00CA3A67" w:rsidRPr="004B27E7">
        <w:rPr>
          <w:rFonts w:asciiTheme="majorBidi" w:eastAsia="Calibri" w:hAnsiTheme="majorBidi" w:cstheme="majorBidi"/>
          <w:sz w:val="24"/>
          <w:szCs w:val="24"/>
        </w:rPr>
        <w:t xml:space="preserve">from </w:t>
      </w:r>
      <w:r w:rsidR="00CA3A67">
        <w:rPr>
          <w:rFonts w:asciiTheme="majorBidi" w:eastAsia="Calibri" w:hAnsiTheme="majorBidi" w:cstheme="majorBidi"/>
          <w:sz w:val="24"/>
          <w:szCs w:val="24"/>
        </w:rPr>
        <w:t xml:space="preserve">the </w:t>
      </w:r>
      <w:r w:rsidR="00CA3A67" w:rsidRPr="004B27E7">
        <w:rPr>
          <w:rFonts w:asciiTheme="majorBidi" w:eastAsia="Calibri" w:hAnsiTheme="majorBidi" w:cstheme="majorBidi"/>
          <w:sz w:val="24"/>
          <w:szCs w:val="24"/>
        </w:rPr>
        <w:t>market prices of out-of-the-money call</w:t>
      </w:r>
      <w:r w:rsidR="00CA3A67">
        <w:rPr>
          <w:rFonts w:asciiTheme="majorBidi" w:eastAsia="Calibri" w:hAnsiTheme="majorBidi" w:cstheme="majorBidi"/>
          <w:sz w:val="24"/>
          <w:szCs w:val="24"/>
        </w:rPr>
        <w:t>s</w:t>
      </w:r>
      <w:r w:rsidR="00CA3A67" w:rsidRPr="004B27E7">
        <w:rPr>
          <w:rFonts w:asciiTheme="majorBidi" w:eastAsia="Calibri" w:hAnsiTheme="majorBidi" w:cstheme="majorBidi"/>
          <w:sz w:val="24"/>
          <w:szCs w:val="24"/>
        </w:rPr>
        <w:t xml:space="preserve"> and put</w:t>
      </w:r>
      <w:r w:rsidR="00CA3A67">
        <w:rPr>
          <w:rFonts w:asciiTheme="majorBidi" w:eastAsia="Calibri" w:hAnsiTheme="majorBidi" w:cstheme="majorBidi"/>
          <w:sz w:val="24"/>
          <w:szCs w:val="24"/>
        </w:rPr>
        <w:t xml:space="preserve">s </w:t>
      </w:r>
      <w:r w:rsidR="00303E38">
        <w:rPr>
          <w:rFonts w:asciiTheme="majorBidi" w:eastAsia="Calibri" w:hAnsiTheme="majorBidi" w:cstheme="majorBidi"/>
          <w:sz w:val="24"/>
          <w:szCs w:val="24"/>
        </w:rPr>
        <w:t xml:space="preserve">and </w:t>
      </w:r>
      <w:r w:rsidR="00CA3A67">
        <w:rPr>
          <w:rFonts w:asciiTheme="majorBidi" w:eastAsia="Calibri" w:hAnsiTheme="majorBidi" w:cstheme="majorBidi"/>
          <w:sz w:val="24"/>
          <w:szCs w:val="24"/>
        </w:rPr>
        <w:t xml:space="preserve">without the use of </w:t>
      </w:r>
      <w:r w:rsidR="00CA3A67" w:rsidRPr="004B27E7">
        <w:rPr>
          <w:rFonts w:asciiTheme="majorBidi" w:eastAsia="Calibri" w:hAnsiTheme="majorBidi" w:cstheme="majorBidi"/>
          <w:sz w:val="24"/>
          <w:szCs w:val="24"/>
        </w:rPr>
        <w:t>any pricing model</w:t>
      </w:r>
      <w:r w:rsidR="00CA3A67">
        <w:rPr>
          <w:rFonts w:asciiTheme="majorBidi" w:eastAsia="Calibri" w:hAnsiTheme="majorBidi" w:cstheme="majorBidi"/>
          <w:sz w:val="24"/>
          <w:szCs w:val="24"/>
        </w:rPr>
        <w:t>s</w:t>
      </w:r>
      <w:r w:rsidR="00CA3A67" w:rsidRPr="004B27E7">
        <w:rPr>
          <w:rFonts w:asciiTheme="majorBidi" w:eastAsia="Calibri" w:hAnsiTheme="majorBidi" w:cstheme="majorBidi"/>
          <w:sz w:val="24"/>
          <w:szCs w:val="24"/>
        </w:rPr>
        <w:t>.</w:t>
      </w:r>
      <w:r w:rsidR="00CA3A67">
        <w:rPr>
          <w:rFonts w:asciiTheme="majorBidi" w:eastAsia="Calibri" w:hAnsiTheme="majorBidi" w:cstheme="majorBidi"/>
          <w:sz w:val="24"/>
          <w:szCs w:val="24"/>
        </w:rPr>
        <w:t xml:space="preserve"> </w:t>
      </w:r>
      <w:r w:rsidR="00303E38">
        <w:rPr>
          <w:rFonts w:asciiTheme="majorBidi" w:eastAsia="Calibri" w:hAnsiTheme="majorBidi" w:cstheme="majorBidi"/>
          <w:sz w:val="24"/>
          <w:szCs w:val="24"/>
        </w:rPr>
        <w:t xml:space="preserve">The </w:t>
      </w:r>
      <w:r w:rsidR="003C6217">
        <w:rPr>
          <w:rFonts w:asciiTheme="majorBidi" w:eastAsia="Calibri" w:hAnsiTheme="majorBidi" w:cstheme="majorBidi"/>
          <w:sz w:val="24"/>
          <w:szCs w:val="24"/>
        </w:rPr>
        <w:t>indexes</w:t>
      </w:r>
      <w:r>
        <w:rPr>
          <w:rFonts w:asciiTheme="majorBidi" w:eastAsia="Calibri" w:hAnsiTheme="majorBidi" w:cstheme="majorBidi"/>
          <w:sz w:val="24"/>
          <w:szCs w:val="24"/>
        </w:rPr>
        <w:t xml:space="preserve"> are calculated using the following formula:</w:t>
      </w:r>
    </w:p>
    <w:p w:rsidR="005D100A" w:rsidRPr="008B5988" w:rsidRDefault="003974B7" w:rsidP="008B5988">
      <w:pPr>
        <w:spacing w:after="0" w:line="240" w:lineRule="auto"/>
        <w:ind w:firstLine="284"/>
        <w:jc w:val="both"/>
        <w:rPr>
          <w:rFonts w:asciiTheme="majorBidi" w:eastAsia="Calibri" w:hAnsiTheme="majorBidi" w:cstheme="majorBidi"/>
          <w:sz w:val="24"/>
          <w:szCs w:val="24"/>
        </w:rPr>
      </w:pPr>
      <m:oMathPara>
        <m:oMath>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 xml:space="preserve">                                          σ</m:t>
              </m:r>
            </m:e>
            <m:sup>
              <m:r>
                <w:rPr>
                  <w:rFonts w:ascii="Cambria Math" w:eastAsia="Calibri" w:hAnsi="Cambria Math" w:cstheme="majorBidi"/>
                  <w:sz w:val="24"/>
                  <w:szCs w:val="24"/>
                </w:rPr>
                <m:t>2</m:t>
              </m:r>
            </m:sup>
          </m:sSup>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r>
                <w:rPr>
                  <w:rFonts w:ascii="Cambria Math" w:eastAsia="Calibri" w:hAnsi="Cambria Math" w:cstheme="majorBidi"/>
                  <w:sz w:val="24"/>
                  <w:szCs w:val="24"/>
                </w:rPr>
                <m:t>2</m:t>
              </m:r>
            </m:num>
            <m:den>
              <m:r>
                <w:rPr>
                  <w:rFonts w:ascii="Cambria Math" w:eastAsia="Calibri" w:hAnsi="Cambria Math" w:cstheme="majorBidi"/>
                  <w:sz w:val="24"/>
                  <w:szCs w:val="24"/>
                </w:rPr>
                <m:t>T</m:t>
              </m:r>
            </m:den>
          </m:f>
          <m:nary>
            <m:naryPr>
              <m:chr m:val="∑"/>
              <m:limLoc m:val="undOvr"/>
              <m:supHide m:val="1"/>
              <m:ctrlPr>
                <w:rPr>
                  <w:rFonts w:ascii="Cambria Math" w:eastAsia="Calibri" w:hAnsi="Cambria Math" w:cstheme="majorBidi"/>
                  <w:i/>
                  <w:sz w:val="24"/>
                  <w:szCs w:val="24"/>
                </w:rPr>
              </m:ctrlPr>
            </m:naryPr>
            <m:sub>
              <m:r>
                <w:rPr>
                  <w:rFonts w:ascii="Cambria Math" w:eastAsia="Calibri" w:hAnsi="Cambria Math" w:cstheme="majorBidi"/>
                  <w:sz w:val="24"/>
                  <w:szCs w:val="24"/>
                </w:rPr>
                <m:t>i</m:t>
              </m:r>
            </m:sub>
            <m:sup/>
            <m:e>
              <m:f>
                <m:fPr>
                  <m:ctrlPr>
                    <w:rPr>
                      <w:rFonts w:ascii="Cambria Math" w:eastAsia="Calibri" w:hAnsi="Cambria Math" w:cstheme="majorBidi"/>
                      <w:i/>
                      <w:sz w:val="24"/>
                      <w:szCs w:val="24"/>
                    </w:rPr>
                  </m:ctrlPr>
                </m:fPr>
                <m:num>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i</m:t>
                      </m:r>
                    </m:sub>
                  </m:sSub>
                </m:num>
                <m:den>
                  <m:sSubSup>
                    <m:sSubSupPr>
                      <m:ctrlPr>
                        <w:rPr>
                          <w:rFonts w:ascii="Cambria Math" w:eastAsia="Calibri" w:hAnsi="Cambria Math" w:cstheme="majorBidi"/>
                          <w:i/>
                          <w:sz w:val="24"/>
                          <w:szCs w:val="24"/>
                        </w:rPr>
                      </m:ctrlPr>
                    </m:sSubSupPr>
                    <m:e>
                      <m:r>
                        <w:rPr>
                          <w:rFonts w:ascii="Cambria Math" w:eastAsia="Calibri" w:hAnsi="Cambria Math" w:cstheme="majorBidi"/>
                          <w:sz w:val="24"/>
                          <w:szCs w:val="24"/>
                        </w:rPr>
                        <m:t>K</m:t>
                      </m:r>
                    </m:e>
                    <m:sub>
                      <m:r>
                        <w:rPr>
                          <w:rFonts w:ascii="Cambria Math" w:eastAsia="Calibri" w:hAnsi="Cambria Math" w:cstheme="majorBidi"/>
                          <w:sz w:val="24"/>
                          <w:szCs w:val="24"/>
                        </w:rPr>
                        <m:t>i</m:t>
                      </m:r>
                    </m:sub>
                    <m:sup>
                      <m:r>
                        <w:rPr>
                          <w:rFonts w:ascii="Cambria Math" w:eastAsia="Calibri" w:hAnsi="Cambria Math" w:cstheme="majorBidi"/>
                          <w:sz w:val="24"/>
                          <w:szCs w:val="24"/>
                        </w:rPr>
                        <m:t>2</m:t>
                      </m:r>
                    </m:sup>
                  </m:sSubSup>
                </m:den>
              </m:f>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e</m:t>
                  </m:r>
                </m:e>
                <m:sup>
                  <m:r>
                    <w:rPr>
                      <w:rFonts w:ascii="Cambria Math" w:eastAsia="Calibri" w:hAnsi="Cambria Math" w:cstheme="majorBidi"/>
                      <w:sz w:val="24"/>
                      <w:szCs w:val="24"/>
                    </w:rPr>
                    <m:t>RT</m:t>
                  </m:r>
                </m:sup>
              </m:sSup>
              <m:r>
                <w:rPr>
                  <w:rFonts w:ascii="Cambria Math" w:eastAsia="Calibri" w:hAnsi="Cambria Math" w:cstheme="majorBidi"/>
                  <w:sz w:val="24"/>
                  <w:szCs w:val="24"/>
                </w:rPr>
                <m:t>Q</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i</m:t>
                      </m:r>
                    </m:sub>
                  </m:sSub>
                </m:e>
              </m:d>
            </m:e>
          </m:nary>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r>
                <w:rPr>
                  <w:rFonts w:ascii="Cambria Math" w:eastAsia="Calibri" w:hAnsi="Cambria Math" w:cstheme="majorBidi"/>
                  <w:sz w:val="24"/>
                  <w:szCs w:val="24"/>
                </w:rPr>
                <m:t>1</m:t>
              </m:r>
            </m:num>
            <m:den>
              <m:r>
                <w:rPr>
                  <w:rFonts w:ascii="Cambria Math" w:eastAsia="Calibri" w:hAnsi="Cambria Math" w:cstheme="majorBidi"/>
                  <w:sz w:val="24"/>
                  <w:szCs w:val="24"/>
                </w:rPr>
                <m:t>T</m:t>
              </m:r>
            </m:den>
          </m:f>
          <m:sSup>
            <m:sSupPr>
              <m:ctrlPr>
                <w:rPr>
                  <w:rFonts w:ascii="Cambria Math" w:eastAsia="Calibri" w:hAnsi="Cambria Math" w:cstheme="majorBidi"/>
                  <w:i/>
                  <w:sz w:val="24"/>
                  <w:szCs w:val="24"/>
                </w:rPr>
              </m:ctrlPr>
            </m:sSupPr>
            <m:e>
              <m:d>
                <m:dPr>
                  <m:begChr m:val="["/>
                  <m:endChr m:val="]"/>
                  <m:ctrlPr>
                    <w:rPr>
                      <w:rFonts w:ascii="Cambria Math" w:eastAsia="Calibri" w:hAnsi="Cambria Math" w:cstheme="majorBidi"/>
                      <w:i/>
                      <w:sz w:val="24"/>
                      <w:szCs w:val="24"/>
                    </w:rPr>
                  </m:ctrlPr>
                </m:dPr>
                <m:e>
                  <m:f>
                    <m:fPr>
                      <m:ctrlPr>
                        <w:rPr>
                          <w:rFonts w:ascii="Cambria Math" w:eastAsia="Calibri" w:hAnsi="Cambria Math" w:cstheme="majorBidi"/>
                          <w:i/>
                          <w:sz w:val="24"/>
                          <w:szCs w:val="24"/>
                        </w:rPr>
                      </m:ctrlPr>
                    </m:fPr>
                    <m:num>
                      <m:r>
                        <w:rPr>
                          <w:rFonts w:ascii="Cambria Math" w:eastAsia="Calibri" w:hAnsi="Cambria Math" w:cstheme="majorBidi"/>
                          <w:sz w:val="24"/>
                          <w:szCs w:val="24"/>
                        </w:rPr>
                        <m:t>F</m:t>
                      </m:r>
                    </m:num>
                    <m:den>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0</m:t>
                          </m:r>
                        </m:sub>
                      </m:sSub>
                    </m:den>
                  </m:f>
                  <m:r>
                    <w:rPr>
                      <w:rFonts w:ascii="Cambria Math" w:eastAsia="Calibri" w:hAnsi="Cambria Math" w:cstheme="majorBidi"/>
                      <w:sz w:val="24"/>
                      <w:szCs w:val="24"/>
                    </w:rPr>
                    <m:t>-1</m:t>
                  </m:r>
                </m:e>
              </m:d>
            </m:e>
            <m:sup>
              <m:r>
                <w:rPr>
                  <w:rFonts w:ascii="Cambria Math" w:eastAsia="Calibri" w:hAnsi="Cambria Math" w:cstheme="majorBidi"/>
                  <w:sz w:val="24"/>
                  <w:szCs w:val="24"/>
                </w:rPr>
                <m:t>2</m:t>
              </m:r>
            </m:sup>
          </m:sSup>
          <m:r>
            <w:rPr>
              <w:rFonts w:ascii="Cambria Math" w:eastAsia="Calibri" w:hAnsi="Cambria Math" w:cstheme="majorBidi"/>
              <w:sz w:val="24"/>
              <w:szCs w:val="24"/>
            </w:rPr>
            <m:t xml:space="preserve">                                                             (1)</m:t>
          </m:r>
        </m:oMath>
      </m:oMathPara>
    </w:p>
    <w:p w:rsidR="008B5988" w:rsidRDefault="008B5988" w:rsidP="008B5988">
      <w:pPr>
        <w:spacing w:after="0" w:line="240" w:lineRule="auto"/>
        <w:ind w:firstLine="284"/>
        <w:jc w:val="both"/>
        <w:rPr>
          <w:rFonts w:asciiTheme="majorBidi" w:eastAsia="Calibri" w:hAnsiTheme="majorBidi" w:cstheme="majorBidi"/>
          <w:sz w:val="24"/>
          <w:szCs w:val="24"/>
        </w:rPr>
      </w:pPr>
    </w:p>
    <w:p w:rsidR="00C83ABE" w:rsidRDefault="00BE3CD8" w:rsidP="009141C4">
      <w:pPr>
        <w:spacing w:after="0" w:line="480" w:lineRule="auto"/>
        <w:jc w:val="both"/>
        <w:rPr>
          <w:rFonts w:asciiTheme="majorBidi" w:eastAsia="Calibri" w:hAnsiTheme="majorBidi" w:cstheme="majorBidi"/>
          <w:sz w:val="24"/>
          <w:szCs w:val="24"/>
        </w:rPr>
      </w:pPr>
      <w:r>
        <w:rPr>
          <w:rFonts w:asciiTheme="majorBidi" w:eastAsia="Calibri" w:hAnsiTheme="majorBidi" w:cstheme="majorBidi"/>
          <w:sz w:val="24"/>
          <w:szCs w:val="24"/>
        </w:rPr>
        <w:t>w</w:t>
      </w:r>
      <w:r w:rsidR="003725E4">
        <w:rPr>
          <w:rFonts w:asciiTheme="majorBidi" w:eastAsia="Calibri" w:hAnsiTheme="majorBidi" w:cstheme="majorBidi"/>
          <w:sz w:val="24"/>
          <w:szCs w:val="24"/>
        </w:rPr>
        <w:t xml:space="preserve">here </w:t>
      </w:r>
      <m:oMath>
        <m:r>
          <w:rPr>
            <w:rFonts w:ascii="Cambria Math" w:eastAsia="Calibri" w:hAnsi="Cambria Math" w:cstheme="majorBidi"/>
            <w:sz w:val="24"/>
            <w:szCs w:val="24"/>
          </w:rPr>
          <m:t>σ</m:t>
        </m:r>
      </m:oMath>
      <w:r w:rsidR="003725E4">
        <w:rPr>
          <w:rFonts w:asciiTheme="majorBidi" w:eastAsia="Calibri" w:hAnsiTheme="majorBidi" w:cstheme="majorBidi"/>
          <w:sz w:val="24"/>
          <w:szCs w:val="24"/>
        </w:rPr>
        <w:t xml:space="preserve"> is</w:t>
      </w:r>
      <w:r w:rsidR="003C6217">
        <w:rPr>
          <w:rFonts w:asciiTheme="majorBidi" w:eastAsia="Calibri" w:hAnsiTheme="majorBidi" w:cstheme="majorBidi"/>
          <w:sz w:val="24"/>
          <w:szCs w:val="24"/>
        </w:rPr>
        <w:t xml:space="preserve"> defined as the VIX/100 and hence, the VIX =</w:t>
      </w:r>
      <m:oMath>
        <m:r>
          <w:rPr>
            <w:rFonts w:ascii="Cambria Math" w:eastAsia="Calibri" w:hAnsi="Cambria Math" w:cstheme="majorBidi"/>
            <w:sz w:val="24"/>
            <w:szCs w:val="24"/>
          </w:rPr>
          <m:t>σ×100</m:t>
        </m:r>
      </m:oMath>
      <w:r w:rsidR="003C6217">
        <w:rPr>
          <w:rFonts w:asciiTheme="majorBidi" w:eastAsia="Calibri" w:hAnsiTheme="majorBidi" w:cstheme="majorBidi"/>
          <w:sz w:val="24"/>
          <w:szCs w:val="24"/>
        </w:rPr>
        <w:t xml:space="preserve">, </w:t>
      </w:r>
      <m:oMath>
        <m:r>
          <w:rPr>
            <w:rFonts w:ascii="Cambria Math" w:eastAsia="Calibri" w:hAnsi="Cambria Math" w:cstheme="majorBidi"/>
            <w:sz w:val="24"/>
            <w:szCs w:val="24"/>
          </w:rPr>
          <m:t>T</m:t>
        </m:r>
      </m:oMath>
      <w:r w:rsidR="003C6217">
        <w:rPr>
          <w:rFonts w:asciiTheme="majorBidi" w:eastAsia="Calibri" w:hAnsiTheme="majorBidi" w:cstheme="majorBidi"/>
          <w:sz w:val="24"/>
          <w:szCs w:val="24"/>
        </w:rPr>
        <w:t xml:space="preserve"> is the time to</w:t>
      </w:r>
      <w:r w:rsidR="00275B84">
        <w:rPr>
          <w:rFonts w:asciiTheme="majorBidi" w:eastAsia="Calibri" w:hAnsiTheme="majorBidi" w:cstheme="majorBidi"/>
          <w:sz w:val="24"/>
          <w:szCs w:val="24"/>
        </w:rPr>
        <w:t xml:space="preserve"> maturity of the</w:t>
      </w:r>
      <w:r w:rsidR="000555B8">
        <w:rPr>
          <w:rFonts w:asciiTheme="majorBidi" w:eastAsia="Calibri" w:hAnsiTheme="majorBidi" w:cstheme="majorBidi"/>
          <w:sz w:val="24"/>
          <w:szCs w:val="24"/>
        </w:rPr>
        <w:t xml:space="preserve"> set of o</w:t>
      </w:r>
      <w:r w:rsidR="00275B84">
        <w:rPr>
          <w:rFonts w:asciiTheme="majorBidi" w:eastAsia="Calibri" w:hAnsiTheme="majorBidi" w:cstheme="majorBidi"/>
          <w:sz w:val="24"/>
          <w:szCs w:val="24"/>
        </w:rPr>
        <w:t>ption</w:t>
      </w:r>
      <w:r w:rsidR="000555B8">
        <w:rPr>
          <w:rFonts w:asciiTheme="majorBidi" w:eastAsia="Calibri" w:hAnsiTheme="majorBidi" w:cstheme="majorBidi"/>
          <w:sz w:val="24"/>
          <w:szCs w:val="24"/>
        </w:rPr>
        <w:t>s</w:t>
      </w:r>
      <w:r w:rsidR="003C6217">
        <w:rPr>
          <w:rFonts w:asciiTheme="majorBidi" w:eastAsia="Calibri" w:hAnsiTheme="majorBidi" w:cstheme="majorBidi"/>
          <w:sz w:val="24"/>
          <w:szCs w:val="24"/>
        </w:rPr>
        <w:t xml:space="preserve">, </w:t>
      </w:r>
      <m:oMath>
        <m:r>
          <w:rPr>
            <w:rFonts w:ascii="Cambria Math" w:eastAsia="Calibri" w:hAnsi="Cambria Math" w:cstheme="majorBidi"/>
            <w:sz w:val="24"/>
            <w:szCs w:val="24"/>
          </w:rPr>
          <m:t>F</m:t>
        </m:r>
      </m:oMath>
      <w:r w:rsidR="003C6217">
        <w:rPr>
          <w:rFonts w:asciiTheme="majorBidi" w:eastAsia="Calibri" w:hAnsiTheme="majorBidi" w:cstheme="majorBidi"/>
          <w:sz w:val="24"/>
          <w:szCs w:val="24"/>
        </w:rPr>
        <w:t xml:space="preserve"> is the forward </w:t>
      </w:r>
      <w:r w:rsidR="00275B84">
        <w:rPr>
          <w:rFonts w:asciiTheme="majorBidi" w:eastAsia="Calibri" w:hAnsiTheme="majorBidi" w:cstheme="majorBidi"/>
          <w:sz w:val="24"/>
          <w:szCs w:val="24"/>
        </w:rPr>
        <w:t>price</w:t>
      </w:r>
      <w:r w:rsidR="003C6217">
        <w:rPr>
          <w:rFonts w:asciiTheme="majorBidi" w:eastAsia="Calibri" w:hAnsiTheme="majorBidi" w:cstheme="majorBidi"/>
          <w:sz w:val="24"/>
          <w:szCs w:val="24"/>
        </w:rPr>
        <w:t xml:space="preserve"> level derived from </w:t>
      </w:r>
      <w:r w:rsidR="00DE6327">
        <w:rPr>
          <w:rFonts w:asciiTheme="majorBidi" w:eastAsia="Calibri" w:hAnsiTheme="majorBidi" w:cstheme="majorBidi"/>
          <w:sz w:val="24"/>
          <w:szCs w:val="24"/>
        </w:rPr>
        <w:t xml:space="preserve">the lowest call-put </w:t>
      </w:r>
      <w:r w:rsidR="00275B84">
        <w:rPr>
          <w:rFonts w:asciiTheme="majorBidi" w:eastAsia="Calibri" w:hAnsiTheme="majorBidi" w:cstheme="majorBidi"/>
          <w:sz w:val="24"/>
          <w:szCs w:val="24"/>
        </w:rPr>
        <w:t>o</w:t>
      </w:r>
      <w:r w:rsidR="003C6217">
        <w:rPr>
          <w:rFonts w:asciiTheme="majorBidi" w:eastAsia="Calibri" w:hAnsiTheme="majorBidi" w:cstheme="majorBidi"/>
          <w:sz w:val="24"/>
          <w:szCs w:val="24"/>
        </w:rPr>
        <w:t xml:space="preserve">ption </w:t>
      </w:r>
      <w:r w:rsidR="00136877">
        <w:rPr>
          <w:rFonts w:asciiTheme="majorBidi" w:eastAsia="Calibri" w:hAnsiTheme="majorBidi" w:cstheme="majorBidi"/>
          <w:sz w:val="24"/>
          <w:szCs w:val="24"/>
        </w:rPr>
        <w:t>premium</w:t>
      </w:r>
      <w:r w:rsidR="00DE6327">
        <w:rPr>
          <w:rFonts w:asciiTheme="majorBidi" w:eastAsia="Calibri" w:hAnsiTheme="majorBidi" w:cstheme="majorBidi"/>
          <w:sz w:val="24"/>
          <w:szCs w:val="24"/>
        </w:rPr>
        <w:t xml:space="preserve"> difference</w:t>
      </w:r>
      <w:r w:rsidR="003C6217">
        <w:rPr>
          <w:rFonts w:asciiTheme="majorBidi" w:eastAsia="Calibri" w:hAnsiTheme="majorBidi" w:cstheme="majorBidi"/>
          <w:sz w:val="24"/>
          <w:szCs w:val="24"/>
        </w:rPr>
        <w:t xml:space="preserve">, R is the risk free interest rate, </w:t>
      </w:r>
      <m:oMath>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i</m:t>
            </m:r>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i+1</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i-1</m:t>
                </m:r>
              </m:sub>
            </m:sSub>
          </m:num>
          <m:den>
            <m:r>
              <w:rPr>
                <w:rFonts w:ascii="Cambria Math" w:eastAsia="Calibri" w:hAnsi="Cambria Math" w:cstheme="majorBidi"/>
                <w:sz w:val="24"/>
                <w:szCs w:val="24"/>
              </w:rPr>
              <m:t>2</m:t>
            </m:r>
          </m:den>
        </m:f>
      </m:oMath>
      <w:r w:rsidR="003C6217">
        <w:rPr>
          <w:rFonts w:asciiTheme="majorBidi" w:eastAsia="Calibri" w:hAnsiTheme="majorBidi" w:cstheme="majorBidi"/>
          <w:sz w:val="24"/>
          <w:szCs w:val="24"/>
        </w:rPr>
        <w:t xml:space="preserve"> is </w:t>
      </w:r>
      <w:r w:rsidR="00275B84">
        <w:rPr>
          <w:rFonts w:asciiTheme="majorBidi" w:eastAsia="Calibri" w:hAnsiTheme="majorBidi" w:cstheme="majorBidi"/>
          <w:sz w:val="24"/>
          <w:szCs w:val="24"/>
        </w:rPr>
        <w:t xml:space="preserve">a measure of </w:t>
      </w:r>
      <w:r w:rsidR="003C6217">
        <w:rPr>
          <w:rFonts w:asciiTheme="majorBidi" w:eastAsia="Calibri" w:hAnsiTheme="majorBidi" w:cstheme="majorBidi"/>
          <w:sz w:val="24"/>
          <w:szCs w:val="24"/>
        </w:rPr>
        <w:t>the</w:t>
      </w:r>
      <w:r w:rsidR="00770C37" w:rsidRPr="00770C37">
        <w:rPr>
          <w:rFonts w:asciiTheme="majorBidi" w:eastAsia="Calibri" w:hAnsiTheme="majorBidi" w:cstheme="majorBidi"/>
          <w:sz w:val="24"/>
          <w:szCs w:val="24"/>
        </w:rPr>
        <w:t xml:space="preserve"> average interval of the two strike prices adjacent to the strike price </w:t>
      </w:r>
      <w:r w:rsidR="00136877">
        <w:rPr>
          <w:rFonts w:asciiTheme="majorBidi" w:eastAsia="Calibri" w:hAnsiTheme="majorBidi" w:cstheme="majorBidi"/>
          <w:sz w:val="24"/>
          <w:szCs w:val="24"/>
        </w:rPr>
        <w:t>of option</w:t>
      </w:r>
      <m:oMath>
        <m:r>
          <w:rPr>
            <w:rFonts w:ascii="Cambria Math" w:eastAsia="Calibri" w:hAnsi="Cambria Math" w:cstheme="majorBidi"/>
            <w:sz w:val="24"/>
            <w:szCs w:val="24"/>
          </w:rPr>
          <m:t xml:space="preserve"> i</m:t>
        </m:r>
      </m:oMath>
      <w:r w:rsidR="00275B84">
        <w:rPr>
          <w:rFonts w:asciiTheme="majorBidi" w:eastAsia="Calibri" w:hAnsiTheme="majorBidi" w:cstheme="majorBidi"/>
          <w:sz w:val="24"/>
          <w:szCs w:val="24"/>
        </w:rPr>
        <w:t xml:space="preserve">,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0</m:t>
            </m:r>
          </m:sub>
        </m:sSub>
      </m:oMath>
      <w:r w:rsidR="00275B84">
        <w:rPr>
          <w:rFonts w:asciiTheme="majorBidi" w:eastAsia="Calibri" w:hAnsiTheme="majorBidi" w:cstheme="majorBidi"/>
          <w:sz w:val="24"/>
          <w:szCs w:val="24"/>
        </w:rPr>
        <w:t xml:space="preserve"> is the first strike price below the forward price </w:t>
      </w:r>
      <w:r w:rsidR="00275B84">
        <w:rPr>
          <w:rFonts w:asciiTheme="majorBidi" w:eastAsia="Calibri" w:hAnsiTheme="majorBidi" w:cstheme="majorBidi"/>
          <w:sz w:val="24"/>
          <w:szCs w:val="24"/>
        </w:rPr>
        <w:lastRenderedPageBreak/>
        <w:t>level</w:t>
      </w:r>
      <m:oMath>
        <m:r>
          <w:rPr>
            <w:rFonts w:ascii="Cambria Math" w:eastAsia="Calibri" w:hAnsi="Cambria Math" w:cstheme="majorBidi"/>
            <w:sz w:val="24"/>
            <w:szCs w:val="24"/>
          </w:rPr>
          <m:t xml:space="preserve"> F</m:t>
        </m:r>
      </m:oMath>
      <w:r w:rsidR="003C6217">
        <w:rPr>
          <w:rFonts w:asciiTheme="majorBidi" w:eastAsia="Calibri" w:hAnsiTheme="majorBidi" w:cstheme="majorBidi"/>
          <w:sz w:val="24"/>
          <w:szCs w:val="24"/>
        </w:rPr>
        <w:t>.</w:t>
      </w:r>
      <w:r w:rsidR="00275B84">
        <w:rPr>
          <w:rFonts w:asciiTheme="majorBidi" w:eastAsia="Calibri" w:hAnsiTheme="majorBidi" w:cstheme="majorBidi"/>
          <w:sz w:val="24"/>
          <w:szCs w:val="24"/>
        </w:rPr>
        <w:t xml:space="preserve"> Finally </w:t>
      </w:r>
      <m:oMath>
        <m:r>
          <w:rPr>
            <w:rFonts w:ascii="Cambria Math" w:eastAsia="Calibri" w:hAnsi="Cambria Math" w:cstheme="majorBidi"/>
            <w:sz w:val="24"/>
            <w:szCs w:val="24"/>
          </w:rPr>
          <m:t>Q</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i</m:t>
                </m:r>
              </m:sub>
            </m:sSub>
          </m:e>
        </m:d>
      </m:oMath>
      <w:r w:rsidR="00275B84">
        <w:rPr>
          <w:rFonts w:asciiTheme="majorBidi" w:eastAsia="Calibri" w:hAnsiTheme="majorBidi" w:cstheme="majorBidi"/>
          <w:sz w:val="24"/>
          <w:szCs w:val="24"/>
        </w:rPr>
        <w:t xml:space="preserve"> denotes </w:t>
      </w:r>
      <w:r w:rsidR="00CA3A67">
        <w:rPr>
          <w:rFonts w:asciiTheme="majorBidi" w:eastAsia="Calibri" w:hAnsiTheme="majorBidi" w:cstheme="majorBidi"/>
          <w:sz w:val="24"/>
          <w:szCs w:val="24"/>
        </w:rPr>
        <w:t xml:space="preserve">the </w:t>
      </w:r>
      <w:r w:rsidR="00136877">
        <w:rPr>
          <w:rFonts w:asciiTheme="majorBidi" w:eastAsia="Calibri" w:hAnsiTheme="majorBidi" w:cstheme="majorBidi"/>
          <w:sz w:val="24"/>
          <w:szCs w:val="24"/>
        </w:rPr>
        <w:t xml:space="preserve">option premium computed as </w:t>
      </w:r>
      <w:r w:rsidR="00275B84">
        <w:rPr>
          <w:rFonts w:asciiTheme="majorBidi" w:eastAsia="Calibri" w:hAnsiTheme="majorBidi" w:cstheme="majorBidi"/>
          <w:sz w:val="24"/>
          <w:szCs w:val="24"/>
        </w:rPr>
        <w:t xml:space="preserve">the mid- point of </w:t>
      </w:r>
      <w:r w:rsidR="00136877">
        <w:rPr>
          <w:rFonts w:asciiTheme="majorBidi" w:eastAsia="Calibri" w:hAnsiTheme="majorBidi" w:cstheme="majorBidi"/>
          <w:sz w:val="24"/>
          <w:szCs w:val="24"/>
        </w:rPr>
        <w:t xml:space="preserve">the </w:t>
      </w:r>
      <w:r w:rsidR="00275B84">
        <w:rPr>
          <w:rFonts w:asciiTheme="majorBidi" w:eastAsia="Calibri" w:hAnsiTheme="majorBidi" w:cstheme="majorBidi"/>
          <w:sz w:val="24"/>
          <w:szCs w:val="24"/>
        </w:rPr>
        <w:t xml:space="preserve">bid ask spread </w:t>
      </w:r>
      <w:r w:rsidR="00BA4DB2">
        <w:rPr>
          <w:rFonts w:asciiTheme="majorBidi" w:eastAsia="Calibri" w:hAnsiTheme="majorBidi" w:cstheme="majorBidi"/>
          <w:sz w:val="24"/>
          <w:szCs w:val="24"/>
        </w:rPr>
        <w:t xml:space="preserve">of </w:t>
      </w:r>
      <w:r w:rsidR="00275B84">
        <w:rPr>
          <w:rFonts w:asciiTheme="majorBidi" w:eastAsia="Calibri" w:hAnsiTheme="majorBidi" w:cstheme="majorBidi"/>
          <w:sz w:val="24"/>
          <w:szCs w:val="24"/>
        </w:rPr>
        <w:t>each option</w:t>
      </w:r>
      <w:r w:rsidR="00BA4DB2">
        <w:rPr>
          <w:rFonts w:asciiTheme="majorBidi" w:eastAsia="Calibri" w:hAnsiTheme="majorBidi" w:cstheme="majorBidi"/>
          <w:sz w:val="24"/>
          <w:szCs w:val="24"/>
        </w:rPr>
        <w:t xml:space="preserve"> </w:t>
      </w:r>
      <w:r w:rsidR="00275B84">
        <w:rPr>
          <w:rFonts w:asciiTheme="majorBidi" w:eastAsia="Calibri" w:hAnsiTheme="majorBidi" w:cstheme="majorBidi"/>
          <w:sz w:val="24"/>
          <w:szCs w:val="24"/>
        </w:rPr>
        <w:t xml:space="preserve">with </w:t>
      </w:r>
      <w:r w:rsidR="00E21C84">
        <w:rPr>
          <w:rFonts w:asciiTheme="majorBidi" w:eastAsia="Calibri" w:hAnsiTheme="majorBidi" w:cstheme="majorBidi"/>
          <w:sz w:val="24"/>
          <w:szCs w:val="24"/>
        </w:rPr>
        <w:t>strike</w:t>
      </w:r>
      <m:oMath>
        <m:r>
          <w:rPr>
            <w:rFonts w:ascii="Cambria Math" w:eastAsia="Calibri" w:hAnsi="Cambria Math" w:cstheme="majorBidi"/>
            <w:sz w:val="24"/>
            <w:szCs w:val="24"/>
          </w:rPr>
          <m:t xml:space="preserve"> </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i</m:t>
            </m:r>
          </m:sub>
        </m:sSub>
      </m:oMath>
      <w:r w:rsidR="00275B84">
        <w:rPr>
          <w:rFonts w:asciiTheme="majorBidi" w:eastAsia="Calibri" w:hAnsiTheme="majorBidi" w:cstheme="majorBidi"/>
          <w:sz w:val="24"/>
          <w:szCs w:val="24"/>
        </w:rPr>
        <w:t xml:space="preserve">.  </w:t>
      </w:r>
      <w:r w:rsidR="00476266">
        <w:rPr>
          <w:rFonts w:asciiTheme="majorBidi" w:eastAsia="Calibri" w:hAnsiTheme="majorBidi" w:cstheme="majorBidi"/>
          <w:sz w:val="24"/>
          <w:szCs w:val="24"/>
        </w:rPr>
        <w:t xml:space="preserve"> </w:t>
      </w:r>
    </w:p>
    <w:p w:rsidR="00070D0C" w:rsidRDefault="00C83ABE" w:rsidP="00CA3A67">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The inclusion criteria into these indexes is designed such that it includes all out of the money puts and calls that are centered around an at the money strike,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0</m:t>
            </m:r>
          </m:sub>
        </m:sSub>
      </m:oMath>
      <w:r>
        <w:rPr>
          <w:rFonts w:asciiTheme="majorBidi" w:eastAsia="Calibri" w:hAnsiTheme="majorBidi" w:cstheme="majorBidi"/>
          <w:sz w:val="24"/>
          <w:szCs w:val="24"/>
        </w:rPr>
        <w:t xml:space="preserve">. However, if there are no bids for </w:t>
      </w:r>
      <w:r w:rsidR="00070D0C">
        <w:rPr>
          <w:rFonts w:asciiTheme="majorBidi" w:eastAsia="Calibri" w:hAnsiTheme="majorBidi" w:cstheme="majorBidi"/>
          <w:sz w:val="24"/>
          <w:szCs w:val="24"/>
        </w:rPr>
        <w:t xml:space="preserve">an out of the money </w:t>
      </w:r>
      <w:r>
        <w:rPr>
          <w:rFonts w:asciiTheme="majorBidi" w:eastAsia="Calibri" w:hAnsiTheme="majorBidi" w:cstheme="majorBidi"/>
          <w:sz w:val="24"/>
          <w:szCs w:val="24"/>
        </w:rPr>
        <w:t xml:space="preserve">option at </w:t>
      </w:r>
      <w:r w:rsidR="00070D0C">
        <w:rPr>
          <w:rFonts w:asciiTheme="majorBidi" w:eastAsia="Calibri" w:hAnsiTheme="majorBidi" w:cstheme="majorBidi"/>
          <w:sz w:val="24"/>
          <w:szCs w:val="24"/>
        </w:rPr>
        <w:t xml:space="preserve">a certain </w:t>
      </w:r>
      <w:r>
        <w:rPr>
          <w:rFonts w:asciiTheme="majorBidi" w:eastAsia="Calibri" w:hAnsiTheme="majorBidi" w:cstheme="majorBidi"/>
          <w:sz w:val="24"/>
          <w:szCs w:val="24"/>
        </w:rPr>
        <w:t>strike, then th</w:t>
      </w:r>
      <w:r w:rsidR="00070D0C">
        <w:rPr>
          <w:rFonts w:asciiTheme="majorBidi" w:eastAsia="Calibri" w:hAnsiTheme="majorBidi" w:cstheme="majorBidi"/>
          <w:sz w:val="24"/>
          <w:szCs w:val="24"/>
        </w:rPr>
        <w:t>is</w:t>
      </w:r>
      <w:r>
        <w:rPr>
          <w:rFonts w:asciiTheme="majorBidi" w:eastAsia="Calibri" w:hAnsiTheme="majorBidi" w:cstheme="majorBidi"/>
          <w:sz w:val="24"/>
          <w:szCs w:val="24"/>
        </w:rPr>
        <w:t xml:space="preserve"> option and all other options at higher</w:t>
      </w:r>
      <w:r w:rsidR="00070D0C">
        <w:rPr>
          <w:rFonts w:asciiTheme="majorBidi" w:eastAsia="Calibri" w:hAnsiTheme="majorBidi" w:cstheme="majorBidi"/>
          <w:sz w:val="24"/>
          <w:szCs w:val="24"/>
        </w:rPr>
        <w:t xml:space="preserve"> (</w:t>
      </w:r>
      <w:r w:rsidR="00DE6327">
        <w:rPr>
          <w:rFonts w:asciiTheme="majorBidi" w:eastAsia="Calibri" w:hAnsiTheme="majorBidi" w:cstheme="majorBidi"/>
          <w:sz w:val="24"/>
          <w:szCs w:val="24"/>
        </w:rPr>
        <w:t xml:space="preserve">or </w:t>
      </w:r>
      <w:r w:rsidR="00070D0C">
        <w:rPr>
          <w:rFonts w:asciiTheme="majorBidi" w:eastAsia="Calibri" w:hAnsiTheme="majorBidi" w:cstheme="majorBidi"/>
          <w:sz w:val="24"/>
          <w:szCs w:val="24"/>
        </w:rPr>
        <w:t>lower</w:t>
      </w:r>
      <w:r w:rsidR="00DE6327">
        <w:rPr>
          <w:rFonts w:asciiTheme="majorBidi" w:eastAsia="Calibri" w:hAnsiTheme="majorBidi" w:cstheme="majorBidi"/>
          <w:sz w:val="24"/>
          <w:szCs w:val="24"/>
        </w:rPr>
        <w:t xml:space="preserve"> in the case of puts</w:t>
      </w:r>
      <w:r w:rsidR="00070D0C">
        <w:rPr>
          <w:rFonts w:asciiTheme="majorBidi" w:eastAsia="Calibri" w:hAnsiTheme="majorBidi" w:cstheme="majorBidi"/>
          <w:sz w:val="24"/>
          <w:szCs w:val="24"/>
        </w:rPr>
        <w:t>)</w:t>
      </w:r>
      <w:r>
        <w:rPr>
          <w:rFonts w:asciiTheme="majorBidi" w:eastAsia="Calibri" w:hAnsiTheme="majorBidi" w:cstheme="majorBidi"/>
          <w:sz w:val="24"/>
          <w:szCs w:val="24"/>
        </w:rPr>
        <w:t xml:space="preserve"> strikes are excluded fr</w:t>
      </w:r>
      <w:r w:rsidR="00070D0C">
        <w:rPr>
          <w:rFonts w:asciiTheme="majorBidi" w:eastAsia="Calibri" w:hAnsiTheme="majorBidi" w:cstheme="majorBidi"/>
          <w:sz w:val="24"/>
          <w:szCs w:val="24"/>
        </w:rPr>
        <w:t>o</w:t>
      </w:r>
      <w:r>
        <w:rPr>
          <w:rFonts w:asciiTheme="majorBidi" w:eastAsia="Calibri" w:hAnsiTheme="majorBidi" w:cstheme="majorBidi"/>
          <w:sz w:val="24"/>
          <w:szCs w:val="24"/>
        </w:rPr>
        <w:t>m the computation of the index.</w:t>
      </w:r>
      <w:r w:rsidR="00070D0C">
        <w:rPr>
          <w:rFonts w:asciiTheme="majorBidi" w:eastAsia="Calibri" w:hAnsiTheme="majorBidi" w:cstheme="majorBidi"/>
          <w:sz w:val="24"/>
          <w:szCs w:val="24"/>
        </w:rPr>
        <w:t xml:space="preserve"> Note that in high volatility markets demand </w:t>
      </w:r>
      <w:r w:rsidR="00CA3A67">
        <w:rPr>
          <w:rFonts w:asciiTheme="majorBidi" w:eastAsia="Calibri" w:hAnsiTheme="majorBidi" w:cstheme="majorBidi"/>
          <w:sz w:val="24"/>
          <w:szCs w:val="24"/>
        </w:rPr>
        <w:t xml:space="preserve">for out of the money options </w:t>
      </w:r>
      <w:r w:rsidR="00070D0C">
        <w:rPr>
          <w:rFonts w:asciiTheme="majorBidi" w:eastAsia="Calibri" w:hAnsiTheme="majorBidi" w:cstheme="majorBidi"/>
          <w:sz w:val="24"/>
          <w:szCs w:val="24"/>
        </w:rPr>
        <w:t xml:space="preserve">is strong </w:t>
      </w:r>
      <w:r w:rsidR="00CA3A67">
        <w:rPr>
          <w:rFonts w:asciiTheme="majorBidi" w:eastAsia="Calibri" w:hAnsiTheme="majorBidi" w:cstheme="majorBidi"/>
          <w:sz w:val="24"/>
          <w:szCs w:val="24"/>
        </w:rPr>
        <w:t>and</w:t>
      </w:r>
      <w:r w:rsidR="00070D0C">
        <w:rPr>
          <w:rFonts w:asciiTheme="majorBidi" w:eastAsia="Calibri" w:hAnsiTheme="majorBidi" w:cstheme="majorBidi"/>
          <w:sz w:val="24"/>
          <w:szCs w:val="24"/>
        </w:rPr>
        <w:t xml:space="preserve"> more options are included in the construction of the index.</w:t>
      </w:r>
    </w:p>
    <w:p w:rsidR="00096E70" w:rsidRDefault="00FE3739" w:rsidP="00FE3739">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 xml:space="preserve">Each </w:t>
      </w:r>
      <w:r w:rsidR="00DE6327">
        <w:rPr>
          <w:rFonts w:asciiTheme="majorBidi" w:eastAsia="Calibri" w:hAnsiTheme="majorBidi" w:cstheme="majorBidi"/>
          <w:sz w:val="24"/>
          <w:szCs w:val="24"/>
        </w:rPr>
        <w:t xml:space="preserve">option </w:t>
      </w:r>
      <w:r>
        <w:rPr>
          <w:rFonts w:asciiTheme="majorBidi" w:eastAsia="Calibri" w:hAnsiTheme="majorBidi" w:cstheme="majorBidi"/>
          <w:sz w:val="24"/>
          <w:szCs w:val="24"/>
        </w:rPr>
        <w:t xml:space="preserve">entering the </w:t>
      </w:r>
      <w:r w:rsidR="00DE6327">
        <w:rPr>
          <w:rFonts w:asciiTheme="majorBidi" w:eastAsia="Calibri" w:hAnsiTheme="majorBidi" w:cstheme="majorBidi"/>
          <w:sz w:val="24"/>
          <w:szCs w:val="24"/>
        </w:rPr>
        <w:t xml:space="preserve">VIX </w:t>
      </w:r>
      <w:r>
        <w:rPr>
          <w:rFonts w:asciiTheme="majorBidi" w:eastAsia="Calibri" w:hAnsiTheme="majorBidi" w:cstheme="majorBidi"/>
          <w:sz w:val="24"/>
          <w:szCs w:val="24"/>
        </w:rPr>
        <w:t>computation</w:t>
      </w:r>
      <w:r w:rsidR="00DE6327">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is given a weight </w:t>
      </w:r>
      <w:r w:rsidR="00A0550E">
        <w:rPr>
          <w:rFonts w:asciiTheme="majorBidi" w:eastAsia="Calibri" w:hAnsiTheme="majorBidi" w:cstheme="majorBidi"/>
          <w:sz w:val="24"/>
          <w:szCs w:val="24"/>
        </w:rPr>
        <w:t xml:space="preserve">proportional to </w:t>
      </w:r>
      <w:r w:rsidR="0071224F">
        <w:rPr>
          <w:rFonts w:asciiTheme="majorBidi" w:eastAsia="Calibri" w:hAnsiTheme="majorBidi" w:cstheme="majorBidi"/>
          <w:sz w:val="24"/>
          <w:szCs w:val="24"/>
        </w:rPr>
        <w:t xml:space="preserve">its </w:t>
      </w:r>
      <w:r w:rsidR="00BA4DB2">
        <w:rPr>
          <w:rFonts w:asciiTheme="majorBidi" w:eastAsia="Calibri" w:hAnsiTheme="majorBidi" w:cstheme="majorBidi"/>
          <w:sz w:val="24"/>
          <w:szCs w:val="24"/>
        </w:rPr>
        <w:t xml:space="preserve">premium and </w:t>
      </w:r>
      <w:r w:rsidR="00A0550E">
        <w:rPr>
          <w:rFonts w:asciiTheme="majorBidi" w:eastAsia="Calibri" w:hAnsiTheme="majorBidi" w:cstheme="majorBidi"/>
          <w:sz w:val="24"/>
          <w:szCs w:val="24"/>
        </w:rPr>
        <w:t>to</w:t>
      </w:r>
      <w:r w:rsidR="00476266">
        <w:rPr>
          <w:rFonts w:asciiTheme="majorBidi" w:eastAsia="Calibri" w:hAnsiTheme="majorBidi" w:cstheme="majorBidi"/>
          <w:sz w:val="24"/>
          <w:szCs w:val="24"/>
        </w:rPr>
        <w:t xml:space="preserve"> the </w:t>
      </w:r>
      <w:r w:rsidR="00E21C84">
        <w:rPr>
          <w:rFonts w:asciiTheme="majorBidi" w:eastAsia="Calibri" w:hAnsiTheme="majorBidi" w:cstheme="majorBidi"/>
          <w:sz w:val="24"/>
          <w:szCs w:val="24"/>
        </w:rPr>
        <w:t xml:space="preserve">average </w:t>
      </w:r>
      <w:r w:rsidR="00476266">
        <w:rPr>
          <w:rFonts w:asciiTheme="majorBidi" w:eastAsia="Calibri" w:hAnsiTheme="majorBidi" w:cstheme="majorBidi"/>
          <w:sz w:val="24"/>
          <w:szCs w:val="24"/>
        </w:rPr>
        <w:t xml:space="preserve">distance </w:t>
      </w:r>
      <w:r w:rsidR="00E21C84">
        <w:rPr>
          <w:rFonts w:asciiTheme="majorBidi" w:eastAsia="Calibri" w:hAnsiTheme="majorBidi" w:cstheme="majorBidi"/>
          <w:sz w:val="24"/>
          <w:szCs w:val="24"/>
        </w:rPr>
        <w:t xml:space="preserve">of the </w:t>
      </w:r>
      <w:r w:rsidR="000E742D">
        <w:rPr>
          <w:rFonts w:asciiTheme="majorBidi" w:eastAsia="Calibri" w:hAnsiTheme="majorBidi" w:cstheme="majorBidi"/>
          <w:sz w:val="24"/>
          <w:szCs w:val="24"/>
        </w:rPr>
        <w:t xml:space="preserve">strike of </w:t>
      </w:r>
      <w:r w:rsidR="00E21C84">
        <w:rPr>
          <w:rFonts w:asciiTheme="majorBidi" w:eastAsia="Calibri" w:hAnsiTheme="majorBidi" w:cstheme="majorBidi"/>
          <w:sz w:val="24"/>
          <w:szCs w:val="24"/>
        </w:rPr>
        <w:t xml:space="preserve">option with </w:t>
      </w:r>
      <w:r w:rsidR="00476266">
        <w:rPr>
          <w:rFonts w:asciiTheme="majorBidi" w:eastAsia="Calibri" w:hAnsiTheme="majorBidi" w:cstheme="majorBidi"/>
          <w:sz w:val="24"/>
          <w:szCs w:val="24"/>
        </w:rPr>
        <w:t xml:space="preserve">adjacent </w:t>
      </w:r>
      <w:r w:rsidR="00A0550E">
        <w:rPr>
          <w:rFonts w:asciiTheme="majorBidi" w:eastAsia="Calibri" w:hAnsiTheme="majorBidi" w:cstheme="majorBidi"/>
          <w:sz w:val="24"/>
          <w:szCs w:val="24"/>
        </w:rPr>
        <w:t>strikes</w:t>
      </w:r>
      <w:r w:rsidR="00476266">
        <w:rPr>
          <w:rFonts w:asciiTheme="majorBidi" w:eastAsia="Calibri" w:hAnsiTheme="majorBidi" w:cstheme="majorBidi"/>
          <w:sz w:val="24"/>
          <w:szCs w:val="24"/>
        </w:rPr>
        <w:t xml:space="preserve"> </w:t>
      </w:r>
      <w:r w:rsidR="00E21C84">
        <w:rPr>
          <w:rFonts w:asciiTheme="majorBidi" w:eastAsia="Calibri" w:hAnsiTheme="majorBidi" w:cstheme="majorBidi"/>
          <w:sz w:val="24"/>
          <w:szCs w:val="24"/>
        </w:rPr>
        <w:t>that have</w:t>
      </w:r>
      <w:r w:rsidR="00476266">
        <w:rPr>
          <w:rFonts w:asciiTheme="majorBidi" w:eastAsia="Calibri" w:hAnsiTheme="majorBidi" w:cstheme="majorBidi"/>
          <w:sz w:val="24"/>
          <w:szCs w:val="24"/>
        </w:rPr>
        <w:t xml:space="preserve"> </w:t>
      </w:r>
      <w:r w:rsidR="00A0550E">
        <w:rPr>
          <w:rFonts w:asciiTheme="majorBidi" w:eastAsia="Calibri" w:hAnsiTheme="majorBidi" w:cstheme="majorBidi"/>
          <w:sz w:val="24"/>
          <w:szCs w:val="24"/>
        </w:rPr>
        <w:t>non-zero</w:t>
      </w:r>
      <w:r w:rsidR="00476266">
        <w:rPr>
          <w:rFonts w:asciiTheme="majorBidi" w:eastAsia="Calibri" w:hAnsiTheme="majorBidi" w:cstheme="majorBidi"/>
          <w:sz w:val="24"/>
          <w:szCs w:val="24"/>
        </w:rPr>
        <w:t xml:space="preserve"> bids</w:t>
      </w:r>
      <w:r w:rsidR="0071224F">
        <w:rPr>
          <w:rFonts w:asciiTheme="majorBidi" w:eastAsia="Calibri" w:hAnsiTheme="majorBidi" w:cstheme="majorBidi"/>
          <w:sz w:val="24"/>
          <w:szCs w:val="24"/>
        </w:rPr>
        <w:t xml:space="preserve">. </w:t>
      </w:r>
      <w:r w:rsidR="00E21C84">
        <w:rPr>
          <w:rFonts w:asciiTheme="majorBidi" w:eastAsia="Calibri" w:hAnsiTheme="majorBidi" w:cstheme="majorBidi"/>
          <w:sz w:val="24"/>
          <w:szCs w:val="24"/>
        </w:rPr>
        <w:t>T</w:t>
      </w:r>
      <w:r w:rsidR="0071224F">
        <w:rPr>
          <w:rFonts w:asciiTheme="majorBidi" w:eastAsia="Calibri" w:hAnsiTheme="majorBidi" w:cstheme="majorBidi"/>
          <w:sz w:val="24"/>
          <w:szCs w:val="24"/>
        </w:rPr>
        <w:t xml:space="preserve">he option weight </w:t>
      </w:r>
      <w:r w:rsidR="00BA4DB2">
        <w:rPr>
          <w:rFonts w:asciiTheme="majorBidi" w:eastAsia="Calibri" w:hAnsiTheme="majorBidi" w:cstheme="majorBidi"/>
          <w:sz w:val="24"/>
          <w:szCs w:val="24"/>
        </w:rPr>
        <w:t xml:space="preserve">is </w:t>
      </w:r>
      <w:r w:rsidR="00E21C84">
        <w:rPr>
          <w:rFonts w:asciiTheme="majorBidi" w:eastAsia="Calibri" w:hAnsiTheme="majorBidi" w:cstheme="majorBidi"/>
          <w:sz w:val="24"/>
          <w:szCs w:val="24"/>
        </w:rPr>
        <w:t xml:space="preserve">also </w:t>
      </w:r>
      <w:r w:rsidR="00BA4DB2">
        <w:rPr>
          <w:rFonts w:asciiTheme="majorBidi" w:eastAsia="Calibri" w:hAnsiTheme="majorBidi" w:cstheme="majorBidi"/>
          <w:sz w:val="24"/>
          <w:szCs w:val="24"/>
        </w:rPr>
        <w:t xml:space="preserve">inversely proportional to the square of the option’s </w:t>
      </w:r>
      <w:r w:rsidR="003471B6">
        <w:rPr>
          <w:rFonts w:asciiTheme="majorBidi" w:eastAsia="Calibri" w:hAnsiTheme="majorBidi" w:cstheme="majorBidi"/>
          <w:sz w:val="24"/>
          <w:szCs w:val="24"/>
        </w:rPr>
        <w:t>strike.</w:t>
      </w:r>
    </w:p>
    <w:p w:rsidR="0071224F" w:rsidRDefault="00096E70" w:rsidP="007E67CE">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To construct the index</w:t>
      </w:r>
      <w:r w:rsidR="00BB1571">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00BB1571">
        <w:rPr>
          <w:rFonts w:asciiTheme="majorBidi" w:eastAsia="Calibri" w:hAnsiTheme="majorBidi" w:cstheme="majorBidi"/>
          <w:sz w:val="24"/>
          <w:szCs w:val="24"/>
        </w:rPr>
        <w:t xml:space="preserve">the </w:t>
      </w:r>
      <w:r>
        <w:rPr>
          <w:rFonts w:asciiTheme="majorBidi" w:eastAsia="Calibri" w:hAnsiTheme="majorBidi" w:cstheme="majorBidi"/>
          <w:sz w:val="24"/>
          <w:szCs w:val="24"/>
        </w:rPr>
        <w:t xml:space="preserve">CBOE computes </w:t>
      </w:r>
      <w:r w:rsidR="00BB1571">
        <w:rPr>
          <w:rFonts w:asciiTheme="majorBidi" w:eastAsia="Calibri" w:hAnsiTheme="majorBidi" w:cstheme="majorBidi"/>
          <w:sz w:val="24"/>
          <w:szCs w:val="24"/>
        </w:rPr>
        <w:t xml:space="preserve">implied volatility using </w:t>
      </w:r>
      <w:r w:rsidR="00972E09">
        <w:rPr>
          <w:rFonts w:asciiTheme="majorBidi" w:eastAsia="Calibri" w:hAnsiTheme="majorBidi" w:cstheme="majorBidi"/>
          <w:sz w:val="24"/>
          <w:szCs w:val="24"/>
        </w:rPr>
        <w:t xml:space="preserve">equation </w:t>
      </w:r>
      <w:r w:rsidR="00BB1571">
        <w:rPr>
          <w:rFonts w:asciiTheme="majorBidi" w:eastAsia="Calibri" w:hAnsiTheme="majorBidi" w:cstheme="majorBidi"/>
          <w:sz w:val="24"/>
          <w:szCs w:val="24"/>
        </w:rPr>
        <w:t>(1) for</w:t>
      </w:r>
      <w:r>
        <w:rPr>
          <w:rFonts w:asciiTheme="majorBidi" w:eastAsia="Calibri" w:hAnsiTheme="majorBidi" w:cstheme="majorBidi"/>
          <w:sz w:val="24"/>
          <w:szCs w:val="24"/>
        </w:rPr>
        <w:t xml:space="preserve"> two set</w:t>
      </w:r>
      <w:r w:rsidR="00022C32">
        <w:rPr>
          <w:rFonts w:asciiTheme="majorBidi" w:eastAsia="Calibri" w:hAnsiTheme="majorBidi" w:cstheme="majorBidi"/>
          <w:sz w:val="24"/>
          <w:szCs w:val="24"/>
        </w:rPr>
        <w:t>s</w:t>
      </w:r>
      <w:r>
        <w:rPr>
          <w:rFonts w:asciiTheme="majorBidi" w:eastAsia="Calibri" w:hAnsiTheme="majorBidi" w:cstheme="majorBidi"/>
          <w:sz w:val="24"/>
          <w:szCs w:val="24"/>
        </w:rPr>
        <w:t xml:space="preserve"> of </w:t>
      </w:r>
      <w:r w:rsidR="00022C32">
        <w:rPr>
          <w:rFonts w:asciiTheme="majorBidi" w:eastAsia="Calibri" w:hAnsiTheme="majorBidi" w:cstheme="majorBidi"/>
          <w:sz w:val="24"/>
          <w:szCs w:val="24"/>
        </w:rPr>
        <w:t>options</w:t>
      </w:r>
      <w:r>
        <w:rPr>
          <w:rFonts w:asciiTheme="majorBidi" w:eastAsia="Calibri" w:hAnsiTheme="majorBidi" w:cstheme="majorBidi"/>
          <w:sz w:val="24"/>
          <w:szCs w:val="24"/>
        </w:rPr>
        <w:t xml:space="preserve">: </w:t>
      </w:r>
      <w:r w:rsidR="000555B8">
        <w:rPr>
          <w:rFonts w:asciiTheme="majorBidi" w:eastAsia="Calibri" w:hAnsiTheme="majorBidi" w:cstheme="majorBidi"/>
          <w:sz w:val="24"/>
          <w:szCs w:val="24"/>
        </w:rPr>
        <w:t xml:space="preserve">the </w:t>
      </w:r>
      <w:r>
        <w:rPr>
          <w:rFonts w:asciiTheme="majorBidi" w:eastAsia="Calibri" w:hAnsiTheme="majorBidi" w:cstheme="majorBidi"/>
          <w:sz w:val="24"/>
          <w:szCs w:val="24"/>
        </w:rPr>
        <w:t xml:space="preserve">near term options and </w:t>
      </w:r>
      <w:r w:rsidR="000555B8">
        <w:rPr>
          <w:rFonts w:asciiTheme="majorBidi" w:eastAsia="Calibri" w:hAnsiTheme="majorBidi" w:cstheme="majorBidi"/>
          <w:sz w:val="24"/>
          <w:szCs w:val="24"/>
        </w:rPr>
        <w:t xml:space="preserve">the </w:t>
      </w:r>
      <w:r w:rsidR="00362BA9">
        <w:rPr>
          <w:rFonts w:asciiTheme="majorBidi" w:eastAsia="Calibri" w:hAnsiTheme="majorBidi" w:cstheme="majorBidi"/>
          <w:sz w:val="24"/>
          <w:szCs w:val="24"/>
        </w:rPr>
        <w:t>next near term options</w:t>
      </w:r>
      <w:r w:rsidR="00CA3A67">
        <w:rPr>
          <w:rFonts w:asciiTheme="majorBidi" w:eastAsia="Calibri" w:hAnsiTheme="majorBidi" w:cstheme="majorBidi"/>
          <w:sz w:val="24"/>
          <w:szCs w:val="24"/>
        </w:rPr>
        <w:t>. B</w:t>
      </w:r>
      <w:r w:rsidR="000555B8">
        <w:rPr>
          <w:rFonts w:asciiTheme="majorBidi" w:eastAsia="Calibri" w:hAnsiTheme="majorBidi" w:cstheme="majorBidi"/>
          <w:sz w:val="24"/>
          <w:szCs w:val="24"/>
        </w:rPr>
        <w:t>oth</w:t>
      </w:r>
      <w:r w:rsidR="00CA3A67">
        <w:rPr>
          <w:rFonts w:asciiTheme="majorBidi" w:eastAsia="Calibri" w:hAnsiTheme="majorBidi" w:cstheme="majorBidi"/>
          <w:sz w:val="24"/>
          <w:szCs w:val="24"/>
        </w:rPr>
        <w:t xml:space="preserve"> sets </w:t>
      </w:r>
      <w:r w:rsidR="007E008D">
        <w:rPr>
          <w:rFonts w:asciiTheme="majorBidi" w:eastAsia="Calibri" w:hAnsiTheme="majorBidi" w:cstheme="majorBidi"/>
          <w:sz w:val="24"/>
          <w:szCs w:val="24"/>
        </w:rPr>
        <w:t xml:space="preserve">have </w:t>
      </w:r>
      <w:r w:rsidR="007E67CE">
        <w:rPr>
          <w:rFonts w:asciiTheme="majorBidi" w:eastAsia="Calibri" w:hAnsiTheme="majorBidi" w:cstheme="majorBidi"/>
          <w:sz w:val="24"/>
          <w:szCs w:val="24"/>
        </w:rPr>
        <w:t xml:space="preserve">between </w:t>
      </w:r>
      <w:r w:rsidR="00362BA9">
        <w:rPr>
          <w:rFonts w:asciiTheme="majorBidi" w:eastAsia="Calibri" w:hAnsiTheme="majorBidi" w:cstheme="majorBidi"/>
          <w:sz w:val="24"/>
          <w:szCs w:val="24"/>
        </w:rPr>
        <w:t xml:space="preserve">23 </w:t>
      </w:r>
      <w:r w:rsidR="007E67CE">
        <w:rPr>
          <w:rFonts w:asciiTheme="majorBidi" w:eastAsia="Calibri" w:hAnsiTheme="majorBidi" w:cstheme="majorBidi"/>
          <w:sz w:val="24"/>
          <w:szCs w:val="24"/>
        </w:rPr>
        <w:t xml:space="preserve">and </w:t>
      </w:r>
      <w:r>
        <w:rPr>
          <w:rFonts w:asciiTheme="majorBidi" w:eastAsia="Calibri" w:hAnsiTheme="majorBidi" w:cstheme="majorBidi"/>
          <w:sz w:val="24"/>
          <w:szCs w:val="24"/>
        </w:rPr>
        <w:t>37 days to expiration.</w:t>
      </w:r>
      <w:r w:rsidR="00022C32">
        <w:rPr>
          <w:rFonts w:asciiTheme="majorBidi" w:eastAsia="Calibri" w:hAnsiTheme="majorBidi" w:cstheme="majorBidi"/>
          <w:sz w:val="24"/>
          <w:szCs w:val="24"/>
        </w:rPr>
        <w:t xml:space="preserve"> </w:t>
      </w:r>
      <w:r w:rsidR="000555B8">
        <w:rPr>
          <w:rFonts w:asciiTheme="majorBidi" w:eastAsia="Calibri" w:hAnsiTheme="majorBidi" w:cstheme="majorBidi"/>
          <w:sz w:val="24"/>
          <w:szCs w:val="24"/>
        </w:rPr>
        <w:t>For instance, s</w:t>
      </w:r>
      <w:r w:rsidR="00022C32">
        <w:rPr>
          <w:rFonts w:asciiTheme="majorBidi" w:eastAsia="Calibri" w:hAnsiTheme="majorBidi" w:cstheme="majorBidi"/>
          <w:sz w:val="24"/>
          <w:szCs w:val="24"/>
        </w:rPr>
        <w:t xml:space="preserve">uppose that in any one day the two sets of options expire in 24 and 31 days respectively. Then we compute </w:t>
      </w:r>
      <w:r w:rsidR="00CA3A67">
        <w:rPr>
          <w:rFonts w:asciiTheme="majorBidi" w:eastAsia="Calibri" w:hAnsiTheme="majorBidi" w:cstheme="majorBidi"/>
          <w:sz w:val="24"/>
          <w:szCs w:val="24"/>
        </w:rPr>
        <w:t xml:space="preserve">equation </w:t>
      </w:r>
      <w:r w:rsidR="00022C32">
        <w:rPr>
          <w:rFonts w:asciiTheme="majorBidi" w:eastAsia="Calibri" w:hAnsiTheme="majorBidi" w:cstheme="majorBidi"/>
          <w:sz w:val="24"/>
          <w:szCs w:val="24"/>
        </w:rPr>
        <w:t xml:space="preserve">(1) </w:t>
      </w:r>
      <w:r w:rsidR="000555B8">
        <w:rPr>
          <w:rFonts w:asciiTheme="majorBidi" w:eastAsia="Calibri" w:hAnsiTheme="majorBidi" w:cstheme="majorBidi"/>
          <w:sz w:val="24"/>
          <w:szCs w:val="24"/>
        </w:rPr>
        <w:t xml:space="preserve">twice: once for </w:t>
      </w:r>
      <w:r w:rsidR="00022C32">
        <w:rPr>
          <w:rFonts w:asciiTheme="majorBidi" w:eastAsia="Calibri" w:hAnsiTheme="majorBidi" w:cstheme="majorBidi"/>
          <w:sz w:val="24"/>
          <w:szCs w:val="24"/>
        </w:rPr>
        <w:t xml:space="preserve">the </w:t>
      </w:r>
      <w:r w:rsidR="000555B8">
        <w:rPr>
          <w:rFonts w:asciiTheme="majorBidi" w:eastAsia="Calibri" w:hAnsiTheme="majorBidi" w:cstheme="majorBidi"/>
          <w:sz w:val="24"/>
          <w:szCs w:val="24"/>
        </w:rPr>
        <w:t xml:space="preserve">near term options with 24 days </w:t>
      </w:r>
      <w:r w:rsidR="00CA3A67">
        <w:rPr>
          <w:rFonts w:asciiTheme="majorBidi" w:eastAsia="Calibri" w:hAnsiTheme="majorBidi" w:cstheme="majorBidi"/>
          <w:sz w:val="24"/>
          <w:szCs w:val="24"/>
        </w:rPr>
        <w:t xml:space="preserve">to </w:t>
      </w:r>
      <w:r w:rsidR="000555B8">
        <w:rPr>
          <w:rFonts w:asciiTheme="majorBidi" w:eastAsia="Calibri" w:hAnsiTheme="majorBidi" w:cstheme="majorBidi"/>
          <w:sz w:val="24"/>
          <w:szCs w:val="24"/>
        </w:rPr>
        <w:t xml:space="preserve">maturity and another for the next near term options with 31 days to expiration. </w:t>
      </w:r>
      <w:r w:rsidR="00E21C84">
        <w:rPr>
          <w:rFonts w:asciiTheme="majorBidi" w:eastAsia="Calibri" w:hAnsiTheme="majorBidi" w:cstheme="majorBidi"/>
          <w:sz w:val="24"/>
          <w:szCs w:val="24"/>
        </w:rPr>
        <w:t xml:space="preserve">The VIX index </w:t>
      </w:r>
      <w:r w:rsidR="00495A49">
        <w:rPr>
          <w:rFonts w:asciiTheme="majorBidi" w:eastAsia="Calibri" w:hAnsiTheme="majorBidi" w:cstheme="majorBidi"/>
          <w:sz w:val="24"/>
          <w:szCs w:val="24"/>
        </w:rPr>
        <w:t xml:space="preserve">which represents the 30 day volatility implied by option prices </w:t>
      </w:r>
      <w:r w:rsidR="00E21C84">
        <w:rPr>
          <w:rFonts w:asciiTheme="majorBidi" w:eastAsia="Calibri" w:hAnsiTheme="majorBidi" w:cstheme="majorBidi"/>
          <w:sz w:val="24"/>
          <w:szCs w:val="24"/>
        </w:rPr>
        <w:t>is interpolated from the</w:t>
      </w:r>
      <w:r w:rsidR="000555B8">
        <w:rPr>
          <w:rFonts w:asciiTheme="majorBidi" w:eastAsia="Calibri" w:hAnsiTheme="majorBidi" w:cstheme="majorBidi"/>
          <w:sz w:val="24"/>
          <w:szCs w:val="24"/>
        </w:rPr>
        <w:t>se</w:t>
      </w:r>
      <w:r w:rsidR="00E21C84">
        <w:rPr>
          <w:rFonts w:asciiTheme="majorBidi" w:eastAsia="Calibri" w:hAnsiTheme="majorBidi" w:cstheme="majorBidi"/>
          <w:sz w:val="24"/>
          <w:szCs w:val="24"/>
        </w:rPr>
        <w:t xml:space="preserve"> </w:t>
      </w:r>
      <w:r w:rsidR="000555B8">
        <w:rPr>
          <w:rFonts w:asciiTheme="majorBidi" w:eastAsia="Calibri" w:hAnsiTheme="majorBidi" w:cstheme="majorBidi"/>
          <w:sz w:val="24"/>
          <w:szCs w:val="24"/>
        </w:rPr>
        <w:t xml:space="preserve">two </w:t>
      </w:r>
      <w:r w:rsidR="00E21C84">
        <w:rPr>
          <w:rFonts w:asciiTheme="majorBidi" w:eastAsia="Calibri" w:hAnsiTheme="majorBidi" w:cstheme="majorBidi"/>
          <w:sz w:val="24"/>
          <w:szCs w:val="24"/>
        </w:rPr>
        <w:t>implied volatilities</w:t>
      </w:r>
      <w:r w:rsidR="000555B8">
        <w:rPr>
          <w:rFonts w:asciiTheme="majorBidi" w:eastAsia="Calibri" w:hAnsiTheme="majorBidi" w:cstheme="majorBidi"/>
          <w:sz w:val="24"/>
          <w:szCs w:val="24"/>
        </w:rPr>
        <w:t>.</w:t>
      </w:r>
      <w:r w:rsidR="00D56A22" w:rsidRPr="004B27E7">
        <w:rPr>
          <w:rStyle w:val="FootnoteReference"/>
          <w:rFonts w:asciiTheme="majorBidi" w:eastAsia="Calibri" w:hAnsiTheme="majorBidi" w:cstheme="majorBidi"/>
          <w:sz w:val="24"/>
          <w:szCs w:val="24"/>
        </w:rPr>
        <w:footnoteReference w:id="7"/>
      </w:r>
      <w:r w:rsidR="00D56A22" w:rsidRPr="004B27E7">
        <w:rPr>
          <w:rFonts w:asciiTheme="majorBidi" w:eastAsia="Calibri" w:hAnsiTheme="majorBidi" w:cstheme="majorBidi"/>
          <w:sz w:val="24"/>
          <w:szCs w:val="24"/>
        </w:rPr>
        <w:t xml:space="preserve"> </w:t>
      </w:r>
      <w:r w:rsidR="000555B8">
        <w:rPr>
          <w:rFonts w:asciiTheme="majorBidi" w:eastAsia="Calibri" w:hAnsiTheme="majorBidi" w:cstheme="majorBidi"/>
          <w:sz w:val="24"/>
          <w:szCs w:val="24"/>
        </w:rPr>
        <w:t xml:space="preserve">    </w:t>
      </w:r>
    </w:p>
    <w:p w:rsidR="00D56A22" w:rsidRDefault="00B77DB8" w:rsidP="00B77DB8">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T</w:t>
      </w:r>
      <w:r w:rsidR="004B27E7">
        <w:rPr>
          <w:rFonts w:asciiTheme="majorBidi" w:eastAsia="Calibri" w:hAnsiTheme="majorBidi" w:cstheme="majorBidi"/>
          <w:sz w:val="24"/>
          <w:szCs w:val="24"/>
        </w:rPr>
        <w:t xml:space="preserve">he VIX index is computed without any </w:t>
      </w:r>
      <w:r w:rsidR="00383252" w:rsidRPr="004B27E7">
        <w:rPr>
          <w:rFonts w:asciiTheme="majorBidi" w:eastAsia="Calibri" w:hAnsiTheme="majorBidi" w:cstheme="majorBidi"/>
          <w:sz w:val="24"/>
          <w:szCs w:val="24"/>
        </w:rPr>
        <w:t>option valuation model</w:t>
      </w:r>
      <w:r w:rsidR="004B27E7">
        <w:rPr>
          <w:rFonts w:asciiTheme="majorBidi" w:eastAsia="Calibri" w:hAnsiTheme="majorBidi" w:cstheme="majorBidi"/>
          <w:sz w:val="24"/>
          <w:szCs w:val="24"/>
        </w:rPr>
        <w:t xml:space="preserve"> and in that sense the index is model free. </w:t>
      </w:r>
      <w:r w:rsidR="004626DA">
        <w:rPr>
          <w:rFonts w:asciiTheme="majorBidi" w:eastAsia="Calibri" w:hAnsiTheme="majorBidi" w:cstheme="majorBidi"/>
          <w:sz w:val="24"/>
          <w:szCs w:val="24"/>
        </w:rPr>
        <w:t>T</w:t>
      </w:r>
      <w:r w:rsidR="004B27E7">
        <w:rPr>
          <w:rFonts w:asciiTheme="majorBidi" w:eastAsia="Calibri" w:hAnsiTheme="majorBidi" w:cstheme="majorBidi"/>
          <w:sz w:val="24"/>
          <w:szCs w:val="24"/>
        </w:rPr>
        <w:t xml:space="preserve">he </w:t>
      </w:r>
      <w:r w:rsidR="00D56A22">
        <w:rPr>
          <w:rFonts w:asciiTheme="majorBidi" w:eastAsia="Calibri" w:hAnsiTheme="majorBidi" w:cstheme="majorBidi"/>
          <w:sz w:val="24"/>
          <w:szCs w:val="24"/>
        </w:rPr>
        <w:t>in</w:t>
      </w:r>
      <w:r w:rsidR="004B27E7">
        <w:rPr>
          <w:rFonts w:asciiTheme="majorBidi" w:eastAsia="Calibri" w:hAnsiTheme="majorBidi" w:cstheme="majorBidi"/>
          <w:sz w:val="24"/>
          <w:szCs w:val="24"/>
        </w:rPr>
        <w:t xml:space="preserve">dex is directly related to the market values of calls and puts </w:t>
      </w:r>
      <w:r w:rsidR="00383252" w:rsidRPr="004B27E7">
        <w:rPr>
          <w:rFonts w:asciiTheme="majorBidi" w:eastAsia="Calibri" w:hAnsiTheme="majorBidi" w:cstheme="majorBidi"/>
          <w:sz w:val="24"/>
          <w:szCs w:val="24"/>
        </w:rPr>
        <w:t>and</w:t>
      </w:r>
      <w:r>
        <w:rPr>
          <w:rFonts w:asciiTheme="majorBidi" w:eastAsia="Calibri" w:hAnsiTheme="majorBidi" w:cstheme="majorBidi"/>
          <w:sz w:val="24"/>
          <w:szCs w:val="24"/>
        </w:rPr>
        <w:t>,</w:t>
      </w:r>
      <w:r w:rsidR="00383252" w:rsidRPr="004B27E7">
        <w:rPr>
          <w:rFonts w:asciiTheme="majorBidi" w:eastAsia="Calibri" w:hAnsiTheme="majorBidi" w:cstheme="majorBidi"/>
          <w:sz w:val="24"/>
          <w:szCs w:val="24"/>
        </w:rPr>
        <w:t xml:space="preserve"> </w:t>
      </w:r>
      <w:r w:rsidR="004B27E7">
        <w:rPr>
          <w:rFonts w:asciiTheme="majorBidi" w:eastAsia="Calibri" w:hAnsiTheme="majorBidi" w:cstheme="majorBidi"/>
          <w:sz w:val="24"/>
          <w:szCs w:val="24"/>
        </w:rPr>
        <w:t>hence, reflects</w:t>
      </w:r>
      <w:r w:rsidR="00383252" w:rsidRPr="004B27E7">
        <w:rPr>
          <w:rFonts w:asciiTheme="majorBidi" w:eastAsia="Calibri" w:hAnsiTheme="majorBidi" w:cstheme="majorBidi"/>
          <w:sz w:val="24"/>
          <w:szCs w:val="24"/>
        </w:rPr>
        <w:t xml:space="preserve"> </w:t>
      </w:r>
      <w:r w:rsidR="004B27E7">
        <w:rPr>
          <w:rFonts w:asciiTheme="majorBidi" w:eastAsia="Calibri" w:hAnsiTheme="majorBidi" w:cstheme="majorBidi"/>
          <w:sz w:val="24"/>
          <w:szCs w:val="24"/>
        </w:rPr>
        <w:t>what the option traders think of future market volatility. The forward looking nature of option price</w:t>
      </w:r>
      <w:r w:rsidR="004626DA">
        <w:rPr>
          <w:rFonts w:asciiTheme="majorBidi" w:eastAsia="Calibri" w:hAnsiTheme="majorBidi" w:cstheme="majorBidi"/>
          <w:sz w:val="24"/>
          <w:szCs w:val="24"/>
        </w:rPr>
        <w:t>s</w:t>
      </w:r>
      <w:r w:rsidR="004B27E7">
        <w:rPr>
          <w:rFonts w:asciiTheme="majorBidi" w:eastAsia="Calibri" w:hAnsiTheme="majorBidi" w:cstheme="majorBidi"/>
          <w:sz w:val="24"/>
          <w:szCs w:val="24"/>
        </w:rPr>
        <w:t xml:space="preserve"> </w:t>
      </w:r>
      <w:r w:rsidR="004B27E7">
        <w:rPr>
          <w:rFonts w:asciiTheme="majorBidi" w:eastAsia="Calibri" w:hAnsiTheme="majorBidi" w:cstheme="majorBidi"/>
          <w:sz w:val="24"/>
          <w:szCs w:val="24"/>
        </w:rPr>
        <w:lastRenderedPageBreak/>
        <w:t xml:space="preserve">is the most important distinguishing </w:t>
      </w:r>
      <w:r w:rsidR="004626DA">
        <w:rPr>
          <w:rFonts w:asciiTheme="majorBidi" w:eastAsia="Calibri" w:hAnsiTheme="majorBidi" w:cstheme="majorBidi"/>
          <w:sz w:val="24"/>
          <w:szCs w:val="24"/>
        </w:rPr>
        <w:t>feature</w:t>
      </w:r>
      <w:r w:rsidR="004B27E7">
        <w:rPr>
          <w:rFonts w:asciiTheme="majorBidi" w:eastAsia="Calibri" w:hAnsiTheme="majorBidi" w:cstheme="majorBidi"/>
          <w:sz w:val="24"/>
          <w:szCs w:val="24"/>
        </w:rPr>
        <w:t xml:space="preserve"> of the index</w:t>
      </w:r>
      <w:r w:rsidR="004626DA">
        <w:rPr>
          <w:rFonts w:asciiTheme="majorBidi" w:eastAsia="Calibri" w:hAnsiTheme="majorBidi" w:cstheme="majorBidi"/>
          <w:sz w:val="24"/>
          <w:szCs w:val="24"/>
        </w:rPr>
        <w:t>.</w:t>
      </w:r>
      <w:r w:rsidR="00383252" w:rsidRPr="004B27E7">
        <w:rPr>
          <w:rFonts w:asciiTheme="majorBidi" w:eastAsia="Calibri" w:hAnsiTheme="majorBidi" w:cstheme="majorBidi"/>
          <w:sz w:val="24"/>
          <w:szCs w:val="24"/>
        </w:rPr>
        <w:t xml:space="preserve"> </w:t>
      </w:r>
      <w:r w:rsidR="00CA3A67">
        <w:rPr>
          <w:rFonts w:asciiTheme="majorBidi" w:eastAsia="Calibri" w:hAnsiTheme="majorBidi" w:cstheme="majorBidi"/>
          <w:sz w:val="24"/>
          <w:szCs w:val="24"/>
        </w:rPr>
        <w:t xml:space="preserve">These implied volatility indexes </w:t>
      </w:r>
      <w:r w:rsidR="004B27E7">
        <w:rPr>
          <w:rFonts w:asciiTheme="majorBidi" w:eastAsia="Calibri" w:hAnsiTheme="majorBidi" w:cstheme="majorBidi"/>
          <w:sz w:val="24"/>
          <w:szCs w:val="24"/>
        </w:rPr>
        <w:t xml:space="preserve">have </w:t>
      </w:r>
      <w:r w:rsidR="00CA3A67">
        <w:rPr>
          <w:rFonts w:asciiTheme="majorBidi" w:eastAsia="Calibri" w:hAnsiTheme="majorBidi" w:cstheme="majorBidi"/>
          <w:sz w:val="24"/>
          <w:szCs w:val="24"/>
        </w:rPr>
        <w:t xml:space="preserve">been </w:t>
      </w:r>
      <w:r w:rsidR="004B27E7">
        <w:rPr>
          <w:rFonts w:asciiTheme="majorBidi" w:eastAsia="Calibri" w:hAnsiTheme="majorBidi" w:cstheme="majorBidi"/>
          <w:sz w:val="24"/>
          <w:szCs w:val="24"/>
        </w:rPr>
        <w:t xml:space="preserve">shown </w:t>
      </w:r>
      <w:r w:rsidR="00CA3A67">
        <w:rPr>
          <w:rFonts w:asciiTheme="majorBidi" w:eastAsia="Calibri" w:hAnsiTheme="majorBidi" w:cstheme="majorBidi"/>
          <w:sz w:val="24"/>
          <w:szCs w:val="24"/>
        </w:rPr>
        <w:t xml:space="preserve">to be more </w:t>
      </w:r>
      <w:r w:rsidR="00D56A22">
        <w:rPr>
          <w:rFonts w:asciiTheme="majorBidi" w:eastAsia="Calibri" w:hAnsiTheme="majorBidi" w:cstheme="majorBidi"/>
          <w:sz w:val="24"/>
          <w:szCs w:val="24"/>
        </w:rPr>
        <w:t xml:space="preserve">informative than </w:t>
      </w:r>
      <w:r w:rsidR="00383252" w:rsidRPr="004B27E7">
        <w:rPr>
          <w:rFonts w:asciiTheme="majorBidi" w:eastAsia="Calibri" w:hAnsiTheme="majorBidi" w:cstheme="majorBidi"/>
          <w:sz w:val="24"/>
          <w:szCs w:val="24"/>
        </w:rPr>
        <w:t>historical volatilit</w:t>
      </w:r>
      <w:r w:rsidR="00D56A22">
        <w:rPr>
          <w:rFonts w:asciiTheme="majorBidi" w:eastAsia="Calibri" w:hAnsiTheme="majorBidi" w:cstheme="majorBidi"/>
          <w:sz w:val="24"/>
          <w:szCs w:val="24"/>
        </w:rPr>
        <w:t xml:space="preserve">y </w:t>
      </w:r>
      <w:r w:rsidR="00CA3A67">
        <w:rPr>
          <w:rFonts w:asciiTheme="majorBidi" w:eastAsia="Calibri" w:hAnsiTheme="majorBidi" w:cstheme="majorBidi"/>
          <w:sz w:val="24"/>
          <w:szCs w:val="24"/>
        </w:rPr>
        <w:t xml:space="preserve">in </w:t>
      </w:r>
      <w:r w:rsidR="00D56A22">
        <w:rPr>
          <w:rFonts w:asciiTheme="majorBidi" w:eastAsia="Calibri" w:hAnsiTheme="majorBidi" w:cstheme="majorBidi"/>
          <w:sz w:val="24"/>
          <w:szCs w:val="24"/>
        </w:rPr>
        <w:t xml:space="preserve">volatility </w:t>
      </w:r>
      <w:r w:rsidR="00CA3A67">
        <w:rPr>
          <w:rFonts w:asciiTheme="majorBidi" w:eastAsia="Calibri" w:hAnsiTheme="majorBidi" w:cstheme="majorBidi"/>
          <w:sz w:val="24"/>
          <w:szCs w:val="24"/>
        </w:rPr>
        <w:t xml:space="preserve">measurement and </w:t>
      </w:r>
      <w:r w:rsidR="00D56A22">
        <w:rPr>
          <w:rFonts w:asciiTheme="majorBidi" w:eastAsia="Calibri" w:hAnsiTheme="majorBidi" w:cstheme="majorBidi"/>
          <w:sz w:val="24"/>
          <w:szCs w:val="24"/>
        </w:rPr>
        <w:t>prediction</w:t>
      </w:r>
      <w:r w:rsidR="00383252" w:rsidRPr="004B27E7">
        <w:rPr>
          <w:rFonts w:asciiTheme="majorBidi" w:eastAsia="Calibri" w:hAnsiTheme="majorBidi" w:cstheme="majorBidi"/>
          <w:sz w:val="24"/>
          <w:szCs w:val="24"/>
        </w:rPr>
        <w:t>.</w:t>
      </w:r>
      <w:r w:rsidR="00972E09" w:rsidRPr="004B27E7">
        <w:rPr>
          <w:rStyle w:val="FootnoteReference"/>
          <w:rFonts w:asciiTheme="majorBidi" w:eastAsia="Calibri" w:hAnsiTheme="majorBidi"/>
          <w:sz w:val="24"/>
          <w:szCs w:val="24"/>
        </w:rPr>
        <w:footnoteReference w:id="8"/>
      </w:r>
    </w:p>
    <w:p w:rsidR="000E742D" w:rsidRDefault="000E742D" w:rsidP="000E53FF">
      <w:pPr>
        <w:pStyle w:val="ListParagraph"/>
        <w:spacing w:after="0" w:line="480" w:lineRule="auto"/>
        <w:ind w:left="0"/>
        <w:rPr>
          <w:rFonts w:asciiTheme="majorBidi" w:eastAsia="Calibri" w:hAnsiTheme="majorBidi" w:cstheme="majorBidi"/>
          <w:sz w:val="24"/>
          <w:szCs w:val="24"/>
        </w:rPr>
      </w:pPr>
      <w:r w:rsidRPr="00FA0917">
        <w:rPr>
          <w:rFonts w:asciiTheme="majorBidi" w:hAnsiTheme="majorBidi" w:cstheme="majorBidi"/>
          <w:b/>
          <w:bCs/>
          <w:sz w:val="24"/>
          <w:szCs w:val="24"/>
        </w:rPr>
        <w:t>3.2 Preliminary statistics</w:t>
      </w:r>
    </w:p>
    <w:p w:rsidR="000E742D" w:rsidRDefault="000E742D" w:rsidP="00307F84">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 xml:space="preserve">Our data </w:t>
      </w:r>
      <w:r w:rsidR="00841B8B">
        <w:rPr>
          <w:rFonts w:asciiTheme="majorBidi" w:eastAsia="Calibri" w:hAnsiTheme="majorBidi" w:cstheme="majorBidi"/>
          <w:sz w:val="24"/>
          <w:szCs w:val="24"/>
        </w:rPr>
        <w:t xml:space="preserve">consists </w:t>
      </w:r>
      <w:r>
        <w:rPr>
          <w:rFonts w:asciiTheme="majorBidi" w:eastAsia="Calibri" w:hAnsiTheme="majorBidi" w:cstheme="majorBidi"/>
          <w:sz w:val="24"/>
          <w:szCs w:val="24"/>
        </w:rPr>
        <w:t xml:space="preserve">of </w:t>
      </w:r>
      <w:r w:rsidRPr="00B1441B">
        <w:rPr>
          <w:rFonts w:asciiTheme="majorBidi" w:eastAsia="Calibri" w:hAnsiTheme="majorBidi" w:cstheme="majorBidi"/>
          <w:sz w:val="24"/>
          <w:szCs w:val="24"/>
        </w:rPr>
        <w:t>implied-volatility ind</w:t>
      </w:r>
      <w:r>
        <w:rPr>
          <w:rFonts w:asciiTheme="majorBidi" w:eastAsia="Calibri" w:hAnsiTheme="majorBidi" w:cstheme="majorBidi"/>
          <w:sz w:val="24"/>
          <w:szCs w:val="24"/>
        </w:rPr>
        <w:t>exes</w:t>
      </w:r>
      <w:r w:rsidRPr="00B1441B">
        <w:rPr>
          <w:rFonts w:asciiTheme="majorBidi" w:eastAsia="Calibri" w:hAnsiTheme="majorBidi" w:cstheme="majorBidi"/>
          <w:sz w:val="24"/>
          <w:szCs w:val="24"/>
        </w:rPr>
        <w:t xml:space="preserve"> </w:t>
      </w:r>
      <w:r>
        <w:rPr>
          <w:rFonts w:asciiTheme="majorBidi" w:eastAsia="Calibri" w:hAnsiTheme="majorBidi" w:cstheme="majorBidi"/>
          <w:sz w:val="24"/>
          <w:szCs w:val="24"/>
        </w:rPr>
        <w:t>of</w:t>
      </w:r>
      <w:r w:rsidRPr="00B1441B">
        <w:rPr>
          <w:rFonts w:asciiTheme="majorBidi" w:eastAsia="Calibri" w:hAnsiTheme="majorBidi" w:cstheme="majorBidi"/>
          <w:sz w:val="24"/>
          <w:szCs w:val="24"/>
        </w:rPr>
        <w:t xml:space="preserve"> crude oil, US</w:t>
      </w:r>
      <w:r>
        <w:rPr>
          <w:rFonts w:asciiTheme="majorBidi" w:eastAsia="Calibri" w:hAnsiTheme="majorBidi" w:cstheme="majorBidi"/>
          <w:sz w:val="24"/>
          <w:szCs w:val="24"/>
        </w:rPr>
        <w:t xml:space="preserve"> equity, </w:t>
      </w:r>
      <w:r w:rsidRPr="00B1441B">
        <w:rPr>
          <w:rFonts w:asciiTheme="majorBidi" w:eastAsia="Calibri" w:hAnsiTheme="majorBidi" w:cstheme="majorBidi"/>
          <w:sz w:val="24"/>
          <w:szCs w:val="24"/>
        </w:rPr>
        <w:t xml:space="preserve">Euro/Dollar exchange </w:t>
      </w:r>
      <w:r>
        <w:rPr>
          <w:rFonts w:asciiTheme="majorBidi" w:eastAsia="Calibri" w:hAnsiTheme="majorBidi" w:cstheme="majorBidi"/>
          <w:sz w:val="24"/>
          <w:szCs w:val="24"/>
        </w:rPr>
        <w:t xml:space="preserve">rate and five commodities. The connectedness with precious metals is inferred by </w:t>
      </w:r>
      <w:r w:rsidR="00841B8B">
        <w:rPr>
          <w:rFonts w:asciiTheme="majorBidi" w:eastAsia="Calibri" w:hAnsiTheme="majorBidi" w:cstheme="majorBidi"/>
          <w:sz w:val="24"/>
          <w:szCs w:val="24"/>
        </w:rPr>
        <w:t xml:space="preserve">combining </w:t>
      </w:r>
      <w:r>
        <w:rPr>
          <w:rFonts w:asciiTheme="majorBidi" w:eastAsia="Calibri" w:hAnsiTheme="majorBidi" w:cstheme="majorBidi"/>
          <w:sz w:val="24"/>
          <w:szCs w:val="24"/>
        </w:rPr>
        <w:t xml:space="preserve">the implied volatility indexes of gold and silver. The association with agricultural products is based on the implied volatility indexes of </w:t>
      </w:r>
      <w:r w:rsidRPr="00B1441B">
        <w:rPr>
          <w:rFonts w:asciiTheme="majorBidi" w:eastAsia="Calibri" w:hAnsiTheme="majorBidi" w:cstheme="majorBidi"/>
          <w:sz w:val="24"/>
          <w:szCs w:val="24"/>
        </w:rPr>
        <w:t xml:space="preserve">wheat, corn and soybeans. </w:t>
      </w:r>
    </w:p>
    <w:p w:rsidR="003E4BA2" w:rsidRDefault="00383252" w:rsidP="0019311C">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The ind</w:t>
      </w:r>
      <w:r w:rsidR="000E742D">
        <w:rPr>
          <w:rFonts w:asciiTheme="majorBidi" w:eastAsia="Calibri" w:hAnsiTheme="majorBidi" w:cstheme="majorBidi"/>
          <w:sz w:val="24"/>
          <w:szCs w:val="24"/>
        </w:rPr>
        <w:t>exes</w:t>
      </w:r>
      <w:r>
        <w:rPr>
          <w:rFonts w:asciiTheme="majorBidi" w:eastAsia="Calibri" w:hAnsiTheme="majorBidi" w:cstheme="majorBidi"/>
          <w:sz w:val="24"/>
          <w:szCs w:val="24"/>
        </w:rPr>
        <w:t xml:space="preserve"> </w:t>
      </w:r>
      <w:r w:rsidR="00841B8B">
        <w:rPr>
          <w:rFonts w:asciiTheme="majorBidi" w:eastAsia="Calibri" w:hAnsiTheme="majorBidi" w:cstheme="majorBidi"/>
          <w:sz w:val="24"/>
          <w:szCs w:val="24"/>
        </w:rPr>
        <w:t xml:space="preserve">for </w:t>
      </w:r>
      <w:r w:rsidRPr="00B1441B">
        <w:rPr>
          <w:rFonts w:asciiTheme="majorBidi" w:eastAsia="Calibri" w:hAnsiTheme="majorBidi" w:cstheme="majorBidi"/>
          <w:sz w:val="24"/>
          <w:szCs w:val="24"/>
        </w:rPr>
        <w:t xml:space="preserve">silver, wheat, corn, and soybeans </w:t>
      </w:r>
      <w:r>
        <w:rPr>
          <w:rFonts w:asciiTheme="majorBidi" w:eastAsia="Calibri" w:hAnsiTheme="majorBidi" w:cstheme="majorBidi"/>
          <w:sz w:val="24"/>
          <w:szCs w:val="24"/>
        </w:rPr>
        <w:t xml:space="preserve">are calculated from </w:t>
      </w:r>
      <w:r w:rsidRPr="00B1441B">
        <w:rPr>
          <w:rFonts w:asciiTheme="majorBidi" w:eastAsia="Calibri" w:hAnsiTheme="majorBidi" w:cstheme="majorBidi"/>
          <w:sz w:val="24"/>
          <w:szCs w:val="24"/>
        </w:rPr>
        <w:t xml:space="preserve">the </w:t>
      </w:r>
      <w:r w:rsidR="00841B8B" w:rsidRPr="00B1441B">
        <w:rPr>
          <w:rFonts w:asciiTheme="majorBidi" w:eastAsia="Calibri" w:hAnsiTheme="majorBidi" w:cstheme="majorBidi"/>
          <w:sz w:val="24"/>
          <w:szCs w:val="24"/>
        </w:rPr>
        <w:t>mid</w:t>
      </w:r>
      <w:r w:rsidR="00841B8B">
        <w:rPr>
          <w:rFonts w:asciiTheme="majorBidi" w:eastAsia="Calibri" w:hAnsiTheme="majorBidi" w:cstheme="majorBidi"/>
          <w:sz w:val="24"/>
          <w:szCs w:val="24"/>
        </w:rPr>
        <w:t>-</w:t>
      </w:r>
      <w:r w:rsidR="00841B8B" w:rsidRPr="00B1441B">
        <w:rPr>
          <w:rFonts w:asciiTheme="majorBidi" w:eastAsia="Calibri" w:hAnsiTheme="majorBidi" w:cstheme="majorBidi"/>
          <w:sz w:val="24"/>
          <w:szCs w:val="24"/>
        </w:rPr>
        <w:t>2012</w:t>
      </w:r>
      <w:r>
        <w:rPr>
          <w:rFonts w:asciiTheme="majorBidi" w:eastAsia="Calibri" w:hAnsiTheme="majorBidi" w:cstheme="majorBidi"/>
          <w:sz w:val="24"/>
          <w:szCs w:val="24"/>
        </w:rPr>
        <w:t xml:space="preserve">. </w:t>
      </w:r>
      <w:r w:rsidR="00841B8B">
        <w:rPr>
          <w:rFonts w:asciiTheme="majorBidi" w:eastAsia="Calibri" w:hAnsiTheme="majorBidi" w:cstheme="majorBidi"/>
          <w:sz w:val="24"/>
          <w:szCs w:val="24"/>
        </w:rPr>
        <w:t>O</w:t>
      </w:r>
      <w:r w:rsidRPr="00B1441B">
        <w:rPr>
          <w:rFonts w:asciiTheme="majorBidi" w:eastAsia="Calibri" w:hAnsiTheme="majorBidi" w:cstheme="majorBidi"/>
          <w:sz w:val="24"/>
          <w:szCs w:val="24"/>
        </w:rPr>
        <w:t xml:space="preserve">ur sample </w:t>
      </w:r>
      <w:r>
        <w:rPr>
          <w:rFonts w:asciiTheme="majorBidi" w:eastAsia="Calibri" w:hAnsiTheme="majorBidi" w:cstheme="majorBidi"/>
          <w:sz w:val="24"/>
          <w:szCs w:val="24"/>
        </w:rPr>
        <w:t xml:space="preserve">is </w:t>
      </w:r>
      <w:r w:rsidR="00841B8B">
        <w:rPr>
          <w:rFonts w:asciiTheme="majorBidi" w:eastAsia="Calibri" w:hAnsiTheme="majorBidi" w:cstheme="majorBidi"/>
          <w:sz w:val="24"/>
          <w:szCs w:val="24"/>
        </w:rPr>
        <w:t xml:space="preserve">therefore </w:t>
      </w:r>
      <w:r>
        <w:rPr>
          <w:rFonts w:asciiTheme="majorBidi" w:eastAsia="Calibri" w:hAnsiTheme="majorBidi" w:cstheme="majorBidi"/>
          <w:sz w:val="24"/>
          <w:szCs w:val="24"/>
        </w:rPr>
        <w:t xml:space="preserve">restricted </w:t>
      </w:r>
      <w:r w:rsidR="00841B8B">
        <w:rPr>
          <w:rFonts w:asciiTheme="majorBidi" w:eastAsia="Calibri" w:hAnsiTheme="majorBidi" w:cstheme="majorBidi"/>
          <w:sz w:val="24"/>
          <w:szCs w:val="24"/>
        </w:rPr>
        <w:t xml:space="preserve">to the </w:t>
      </w:r>
      <w:r w:rsidRPr="00B1441B">
        <w:rPr>
          <w:rFonts w:asciiTheme="majorBidi" w:eastAsia="Calibri" w:hAnsiTheme="majorBidi" w:cstheme="majorBidi"/>
          <w:sz w:val="24"/>
          <w:szCs w:val="24"/>
        </w:rPr>
        <w:t xml:space="preserve">period </w:t>
      </w:r>
      <w:r w:rsidR="00841B8B">
        <w:rPr>
          <w:rFonts w:asciiTheme="majorBidi" w:eastAsia="Calibri" w:hAnsiTheme="majorBidi" w:cstheme="majorBidi"/>
          <w:sz w:val="24"/>
          <w:szCs w:val="24"/>
        </w:rPr>
        <w:t xml:space="preserve">between the </w:t>
      </w:r>
      <w:r w:rsidRPr="00B1441B">
        <w:rPr>
          <w:rFonts w:asciiTheme="majorBidi" w:eastAsia="Calibri" w:hAnsiTheme="majorBidi" w:cstheme="majorBidi"/>
          <w:sz w:val="24"/>
          <w:szCs w:val="24"/>
        </w:rPr>
        <w:t>27</w:t>
      </w:r>
      <w:r w:rsidR="00DD37E6" w:rsidRPr="00E37DCE">
        <w:rPr>
          <w:rFonts w:asciiTheme="majorBidi" w:eastAsia="Calibri" w:hAnsiTheme="majorBidi" w:cstheme="majorBidi"/>
          <w:sz w:val="24"/>
          <w:szCs w:val="24"/>
        </w:rPr>
        <w:t>th</w:t>
      </w:r>
      <w:r w:rsidRPr="00B1441B">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of </w:t>
      </w:r>
      <w:r w:rsidRPr="00B1441B">
        <w:rPr>
          <w:rFonts w:asciiTheme="majorBidi" w:eastAsia="Calibri" w:hAnsiTheme="majorBidi" w:cstheme="majorBidi"/>
          <w:sz w:val="24"/>
          <w:szCs w:val="24"/>
        </w:rPr>
        <w:t xml:space="preserve">July 2012 </w:t>
      </w:r>
      <w:r w:rsidR="00841B8B">
        <w:rPr>
          <w:rFonts w:asciiTheme="majorBidi" w:eastAsia="Calibri" w:hAnsiTheme="majorBidi" w:cstheme="majorBidi"/>
          <w:sz w:val="24"/>
          <w:szCs w:val="24"/>
        </w:rPr>
        <w:t xml:space="preserve">and </w:t>
      </w:r>
      <w:r>
        <w:rPr>
          <w:rFonts w:asciiTheme="majorBidi" w:eastAsia="Calibri" w:hAnsiTheme="majorBidi" w:cstheme="majorBidi"/>
          <w:sz w:val="24"/>
          <w:szCs w:val="24"/>
        </w:rPr>
        <w:t xml:space="preserve">the </w:t>
      </w:r>
      <w:r w:rsidRPr="00B1441B">
        <w:rPr>
          <w:rFonts w:asciiTheme="majorBidi" w:eastAsia="Calibri" w:hAnsiTheme="majorBidi" w:cstheme="majorBidi"/>
          <w:sz w:val="24"/>
          <w:szCs w:val="24"/>
        </w:rPr>
        <w:t>3</w:t>
      </w:r>
      <w:r w:rsidR="00DD37E6" w:rsidRPr="00E37DCE">
        <w:rPr>
          <w:rFonts w:asciiTheme="majorBidi" w:eastAsia="Calibri" w:hAnsiTheme="majorBidi" w:cstheme="majorBidi"/>
          <w:sz w:val="24"/>
          <w:szCs w:val="24"/>
        </w:rPr>
        <w:t>rd</w:t>
      </w:r>
      <w:r w:rsidRPr="00B1441B">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of </w:t>
      </w:r>
      <w:r w:rsidRPr="00B1441B">
        <w:rPr>
          <w:rFonts w:asciiTheme="majorBidi" w:eastAsia="Calibri" w:hAnsiTheme="majorBidi" w:cstheme="majorBidi"/>
          <w:sz w:val="24"/>
          <w:szCs w:val="24"/>
        </w:rPr>
        <w:t xml:space="preserve">June 2015 </w:t>
      </w:r>
      <w:r>
        <w:rPr>
          <w:rFonts w:asciiTheme="majorBidi" w:eastAsia="Calibri" w:hAnsiTheme="majorBidi" w:cstheme="majorBidi"/>
          <w:sz w:val="24"/>
          <w:szCs w:val="24"/>
        </w:rPr>
        <w:t>for a total of 744 observations</w:t>
      </w:r>
      <w:r w:rsidRPr="00B1441B">
        <w:rPr>
          <w:rFonts w:asciiTheme="majorBidi" w:eastAsia="Calibri" w:hAnsiTheme="majorBidi" w:cstheme="majorBidi"/>
          <w:sz w:val="24"/>
          <w:szCs w:val="24"/>
        </w:rPr>
        <w:t>.</w:t>
      </w:r>
      <w:r w:rsidR="00DD37E6" w:rsidRPr="00E37DCE">
        <w:rPr>
          <w:rFonts w:asciiTheme="majorBidi" w:eastAsia="Calibri" w:hAnsiTheme="majorBidi" w:cstheme="majorBidi"/>
          <w:sz w:val="24"/>
          <w:szCs w:val="24"/>
        </w:rPr>
        <w:t xml:space="preserve"> </w:t>
      </w:r>
      <w:r w:rsidR="00841B8B">
        <w:rPr>
          <w:rFonts w:asciiTheme="majorBidi" w:eastAsia="Calibri" w:hAnsiTheme="majorBidi" w:cstheme="majorBidi"/>
          <w:sz w:val="24"/>
          <w:szCs w:val="24"/>
        </w:rPr>
        <w:t xml:space="preserve">This limitation </w:t>
      </w:r>
      <w:r w:rsidR="0019311C">
        <w:rPr>
          <w:rFonts w:asciiTheme="majorBidi" w:eastAsia="Calibri" w:hAnsiTheme="majorBidi" w:cstheme="majorBidi"/>
          <w:sz w:val="24"/>
          <w:szCs w:val="24"/>
        </w:rPr>
        <w:t>is</w:t>
      </w:r>
      <w:r w:rsidR="00841B8B">
        <w:rPr>
          <w:rFonts w:asciiTheme="majorBidi" w:eastAsia="Calibri" w:hAnsiTheme="majorBidi" w:cstheme="majorBidi"/>
          <w:sz w:val="24"/>
          <w:szCs w:val="24"/>
        </w:rPr>
        <w:t xml:space="preserve"> dictated </w:t>
      </w:r>
      <w:r w:rsidR="00DD37E6" w:rsidRPr="00E37DCE">
        <w:rPr>
          <w:rFonts w:asciiTheme="majorBidi" w:eastAsia="Calibri" w:hAnsiTheme="majorBidi" w:cstheme="majorBidi"/>
          <w:sz w:val="24"/>
          <w:szCs w:val="24"/>
        </w:rPr>
        <w:t xml:space="preserve">by the availability of the data on the VIX series. </w:t>
      </w:r>
      <w:r w:rsidRPr="00B1441B">
        <w:rPr>
          <w:rFonts w:asciiTheme="majorBidi" w:eastAsia="Calibri" w:hAnsiTheme="majorBidi" w:cstheme="majorBidi"/>
          <w:sz w:val="24"/>
          <w:szCs w:val="24"/>
        </w:rPr>
        <w:t>All ind</w:t>
      </w:r>
      <w:r w:rsidR="0019311C">
        <w:rPr>
          <w:rFonts w:asciiTheme="majorBidi" w:eastAsia="Calibri" w:hAnsiTheme="majorBidi" w:cstheme="majorBidi"/>
          <w:sz w:val="24"/>
          <w:szCs w:val="24"/>
        </w:rPr>
        <w:t>exes</w:t>
      </w:r>
      <w:r w:rsidRPr="00B1441B">
        <w:rPr>
          <w:rFonts w:asciiTheme="majorBidi" w:eastAsia="Calibri" w:hAnsiTheme="majorBidi" w:cstheme="majorBidi"/>
          <w:sz w:val="24"/>
          <w:szCs w:val="24"/>
        </w:rPr>
        <w:t xml:space="preserve"> </w:t>
      </w:r>
      <w:r w:rsidR="0019311C">
        <w:rPr>
          <w:rFonts w:asciiTheme="majorBidi" w:eastAsia="Calibri" w:hAnsiTheme="majorBidi" w:cstheme="majorBidi"/>
          <w:sz w:val="24"/>
          <w:szCs w:val="24"/>
        </w:rPr>
        <w:t>are</w:t>
      </w:r>
      <w:r w:rsidR="00841B8B">
        <w:rPr>
          <w:rFonts w:asciiTheme="majorBidi" w:eastAsia="Calibri" w:hAnsiTheme="majorBidi" w:cstheme="majorBidi"/>
          <w:sz w:val="24"/>
          <w:szCs w:val="24"/>
        </w:rPr>
        <w:t xml:space="preserve"> obtained </w:t>
      </w:r>
      <w:r w:rsidRPr="00B1441B">
        <w:rPr>
          <w:rFonts w:asciiTheme="majorBidi" w:eastAsia="Calibri" w:hAnsiTheme="majorBidi" w:cstheme="majorBidi"/>
          <w:sz w:val="24"/>
          <w:szCs w:val="24"/>
        </w:rPr>
        <w:t>from Datastream.</w:t>
      </w:r>
    </w:p>
    <w:p w:rsidR="003E4BA2" w:rsidRDefault="003A64E7">
      <w:pPr>
        <w:spacing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 xml:space="preserve">Panel A and Panel B </w:t>
      </w:r>
      <w:r w:rsidR="00841B8B">
        <w:rPr>
          <w:rFonts w:asciiTheme="majorBidi" w:eastAsia="Calibri" w:hAnsiTheme="majorBidi" w:cstheme="majorBidi"/>
          <w:sz w:val="24"/>
          <w:szCs w:val="24"/>
        </w:rPr>
        <w:t xml:space="preserve">of </w:t>
      </w:r>
      <w:r w:rsidR="00841B8B" w:rsidRPr="003A64E7">
        <w:rPr>
          <w:rFonts w:asciiTheme="majorBidi" w:eastAsia="Calibri" w:hAnsiTheme="majorBidi" w:cstheme="majorBidi"/>
          <w:sz w:val="24"/>
          <w:szCs w:val="24"/>
        </w:rPr>
        <w:t>Figure 1</w:t>
      </w:r>
      <w:r w:rsidR="00841B8B">
        <w:rPr>
          <w:rFonts w:asciiTheme="majorBidi" w:eastAsia="Calibri" w:hAnsiTheme="majorBidi" w:cstheme="majorBidi"/>
          <w:sz w:val="24"/>
          <w:szCs w:val="24"/>
        </w:rPr>
        <w:t xml:space="preserve"> </w:t>
      </w:r>
      <w:r w:rsidR="00383252" w:rsidRPr="003A64E7">
        <w:rPr>
          <w:rFonts w:asciiTheme="majorBidi" w:eastAsia="Calibri" w:hAnsiTheme="majorBidi" w:cstheme="majorBidi"/>
          <w:sz w:val="24"/>
          <w:szCs w:val="24"/>
        </w:rPr>
        <w:t>plot the time series of the levels and the log differences of the</w:t>
      </w:r>
      <w:r>
        <w:rPr>
          <w:rFonts w:asciiTheme="majorBidi" w:eastAsia="Calibri" w:hAnsiTheme="majorBidi" w:cstheme="majorBidi"/>
          <w:sz w:val="24"/>
          <w:szCs w:val="24"/>
        </w:rPr>
        <w:t xml:space="preserve"> implied volatility </w:t>
      </w:r>
      <w:r w:rsidR="00383252" w:rsidRPr="003A64E7">
        <w:rPr>
          <w:rFonts w:asciiTheme="majorBidi" w:eastAsia="Calibri" w:hAnsiTheme="majorBidi" w:cstheme="majorBidi"/>
          <w:sz w:val="24"/>
          <w:szCs w:val="24"/>
        </w:rPr>
        <w:t>ind</w:t>
      </w:r>
      <w:r>
        <w:rPr>
          <w:rFonts w:asciiTheme="majorBidi" w:eastAsia="Calibri" w:hAnsiTheme="majorBidi" w:cstheme="majorBidi"/>
          <w:sz w:val="24"/>
          <w:szCs w:val="24"/>
        </w:rPr>
        <w:t>exes respectively</w:t>
      </w:r>
      <w:r w:rsidR="00383252" w:rsidRPr="003A64E7">
        <w:rPr>
          <w:rFonts w:asciiTheme="majorBidi" w:eastAsia="Calibri" w:hAnsiTheme="majorBidi" w:cstheme="majorBidi"/>
          <w:sz w:val="24"/>
          <w:szCs w:val="24"/>
        </w:rPr>
        <w:t>.</w:t>
      </w:r>
      <w:r w:rsidR="00383252">
        <w:rPr>
          <w:rFonts w:asciiTheme="majorBidi" w:eastAsia="Calibri" w:hAnsiTheme="majorBidi" w:cstheme="majorBidi"/>
          <w:sz w:val="24"/>
          <w:szCs w:val="24"/>
        </w:rPr>
        <w:t xml:space="preserve"> The figure shows that the crude oil and the Euro/Dollar implied volatilities share similar </w:t>
      </w:r>
      <w:r w:rsidR="00841B8B">
        <w:rPr>
          <w:rFonts w:asciiTheme="majorBidi" w:eastAsia="Calibri" w:hAnsiTheme="majorBidi" w:cstheme="majorBidi"/>
          <w:sz w:val="24"/>
          <w:szCs w:val="24"/>
        </w:rPr>
        <w:t>patterns</w:t>
      </w:r>
      <w:r w:rsidR="00383252">
        <w:rPr>
          <w:rFonts w:asciiTheme="majorBidi" w:eastAsia="Calibri" w:hAnsiTheme="majorBidi" w:cstheme="majorBidi"/>
          <w:sz w:val="24"/>
          <w:szCs w:val="24"/>
        </w:rPr>
        <w:t xml:space="preserve">. The big jump in oil volatility </w:t>
      </w:r>
      <w:r w:rsidR="00841B8B">
        <w:rPr>
          <w:rFonts w:asciiTheme="majorBidi" w:eastAsia="Calibri" w:hAnsiTheme="majorBidi" w:cstheme="majorBidi"/>
          <w:sz w:val="24"/>
          <w:szCs w:val="24"/>
        </w:rPr>
        <w:t xml:space="preserve">after </w:t>
      </w:r>
      <w:r w:rsidR="00383252">
        <w:rPr>
          <w:rFonts w:asciiTheme="majorBidi" w:eastAsia="Calibri" w:hAnsiTheme="majorBidi" w:cstheme="majorBidi"/>
          <w:sz w:val="24"/>
          <w:szCs w:val="24"/>
        </w:rPr>
        <w:t>July 2014 is matched by increases in the volatility of the Euro/Dollar, equity, gold and silver.</w:t>
      </w:r>
      <w:r w:rsidR="00383252">
        <w:rPr>
          <w:rStyle w:val="FootnoteReference"/>
          <w:rFonts w:asciiTheme="majorBidi" w:eastAsia="Calibri" w:hAnsiTheme="majorBidi"/>
          <w:sz w:val="24"/>
          <w:szCs w:val="24"/>
        </w:rPr>
        <w:footnoteReference w:id="9"/>
      </w:r>
      <w:r w:rsidR="00383252">
        <w:rPr>
          <w:rFonts w:asciiTheme="majorBidi" w:eastAsia="Calibri" w:hAnsiTheme="majorBidi" w:cstheme="majorBidi"/>
          <w:sz w:val="24"/>
          <w:szCs w:val="24"/>
        </w:rPr>
        <w:t xml:space="preserve"> </w:t>
      </w:r>
      <w:r w:rsidR="00307F84">
        <w:rPr>
          <w:rFonts w:asciiTheme="majorBidi" w:eastAsia="Calibri" w:hAnsiTheme="majorBidi" w:cstheme="majorBidi"/>
          <w:sz w:val="24"/>
          <w:szCs w:val="24"/>
        </w:rPr>
        <w:t>No s</w:t>
      </w:r>
      <w:r w:rsidR="00383252">
        <w:rPr>
          <w:rFonts w:asciiTheme="majorBidi" w:eastAsia="Calibri" w:hAnsiTheme="majorBidi" w:cstheme="majorBidi"/>
          <w:sz w:val="24"/>
          <w:szCs w:val="24"/>
        </w:rPr>
        <w:t xml:space="preserve">imilar increase in </w:t>
      </w:r>
      <w:r w:rsidR="00307F84">
        <w:rPr>
          <w:rFonts w:asciiTheme="majorBidi" w:eastAsia="Calibri" w:hAnsiTheme="majorBidi" w:cstheme="majorBidi"/>
          <w:sz w:val="24"/>
          <w:szCs w:val="24"/>
        </w:rPr>
        <w:t xml:space="preserve">the volatility of </w:t>
      </w:r>
      <w:r w:rsidR="00383252">
        <w:rPr>
          <w:rFonts w:asciiTheme="majorBidi" w:eastAsia="Calibri" w:hAnsiTheme="majorBidi" w:cstheme="majorBidi"/>
          <w:sz w:val="24"/>
          <w:szCs w:val="24"/>
        </w:rPr>
        <w:t xml:space="preserve">agricultural products </w:t>
      </w:r>
      <w:r w:rsidR="00307F84">
        <w:rPr>
          <w:rFonts w:asciiTheme="majorBidi" w:eastAsia="Calibri" w:hAnsiTheme="majorBidi" w:cstheme="majorBidi"/>
          <w:sz w:val="24"/>
          <w:szCs w:val="24"/>
        </w:rPr>
        <w:t xml:space="preserve">was </w:t>
      </w:r>
      <w:r w:rsidR="00383252">
        <w:rPr>
          <w:rFonts w:asciiTheme="majorBidi" w:eastAsia="Calibri" w:hAnsiTheme="majorBidi" w:cstheme="majorBidi"/>
          <w:sz w:val="24"/>
          <w:szCs w:val="24"/>
        </w:rPr>
        <w:t xml:space="preserve">observed during the same period. Despite the common trends shared by agricultural products, </w:t>
      </w:r>
      <w:r w:rsidR="00307F84">
        <w:rPr>
          <w:rFonts w:asciiTheme="majorBidi" w:eastAsia="Calibri" w:hAnsiTheme="majorBidi" w:cstheme="majorBidi"/>
          <w:sz w:val="24"/>
          <w:szCs w:val="24"/>
        </w:rPr>
        <w:t xml:space="preserve">the volatilities of </w:t>
      </w:r>
      <w:r w:rsidR="00383252">
        <w:rPr>
          <w:rFonts w:asciiTheme="majorBidi" w:eastAsia="Calibri" w:hAnsiTheme="majorBidi" w:cstheme="majorBidi"/>
          <w:sz w:val="24"/>
          <w:szCs w:val="24"/>
        </w:rPr>
        <w:t xml:space="preserve">these products seem to be less integrated with oil volatility over the sample period. </w:t>
      </w:r>
      <w:r w:rsidR="00EA08A1">
        <w:rPr>
          <w:rFonts w:asciiTheme="majorBidi" w:eastAsia="Calibri" w:hAnsiTheme="majorBidi" w:cstheme="majorBidi"/>
          <w:sz w:val="24"/>
          <w:szCs w:val="24"/>
        </w:rPr>
        <w:t xml:space="preserve"> </w:t>
      </w:r>
    </w:p>
    <w:p w:rsidR="003E4BA2" w:rsidRDefault="00307F84" w:rsidP="00E37DCE">
      <w:pPr>
        <w:spacing w:after="0" w:line="480" w:lineRule="auto"/>
        <w:ind w:firstLine="284"/>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w:t>
      </w:r>
      <w:r w:rsidR="00383252" w:rsidRPr="002357D2">
        <w:rPr>
          <w:rFonts w:asciiTheme="majorBidi" w:eastAsia="Calibri" w:hAnsiTheme="majorBidi" w:cstheme="majorBidi"/>
          <w:b/>
          <w:bCs/>
          <w:sz w:val="24"/>
          <w:szCs w:val="24"/>
        </w:rPr>
        <w:t>INSERT FIGURE 1</w:t>
      </w:r>
      <w:r>
        <w:rPr>
          <w:rFonts w:asciiTheme="majorBidi" w:eastAsia="Calibri" w:hAnsiTheme="majorBidi" w:cstheme="majorBidi"/>
          <w:b/>
          <w:bCs/>
          <w:sz w:val="24"/>
          <w:szCs w:val="24"/>
        </w:rPr>
        <w:t>]</w:t>
      </w:r>
    </w:p>
    <w:p w:rsidR="003E4BA2" w:rsidRDefault="00383252">
      <w:pPr>
        <w:spacing w:after="0" w:line="480" w:lineRule="auto"/>
        <w:ind w:firstLine="284"/>
        <w:jc w:val="both"/>
        <w:rPr>
          <w:rFonts w:asciiTheme="majorBidi" w:eastAsia="Calibri" w:hAnsiTheme="majorBidi" w:cstheme="majorBidi"/>
          <w:sz w:val="24"/>
          <w:szCs w:val="24"/>
        </w:rPr>
      </w:pPr>
      <w:r w:rsidRPr="00FB5638">
        <w:rPr>
          <w:rFonts w:asciiTheme="majorBidi" w:eastAsia="Calibri" w:hAnsiTheme="majorBidi" w:cstheme="majorBidi"/>
          <w:sz w:val="24"/>
          <w:szCs w:val="24"/>
        </w:rPr>
        <w:t xml:space="preserve">To compare the statistical properties of the crude oil implied volatility index with </w:t>
      </w:r>
      <w:r>
        <w:rPr>
          <w:rFonts w:asciiTheme="majorBidi" w:eastAsia="Calibri" w:hAnsiTheme="majorBidi" w:cstheme="majorBidi"/>
          <w:sz w:val="24"/>
          <w:szCs w:val="24"/>
        </w:rPr>
        <w:t>other</w:t>
      </w:r>
      <w:r w:rsidRPr="00FB5638">
        <w:rPr>
          <w:rFonts w:asciiTheme="majorBidi" w:eastAsia="Calibri" w:hAnsiTheme="majorBidi" w:cstheme="majorBidi"/>
          <w:sz w:val="24"/>
          <w:szCs w:val="24"/>
        </w:rPr>
        <w:t xml:space="preserve"> </w:t>
      </w:r>
      <w:r w:rsidR="003A64E7">
        <w:rPr>
          <w:rFonts w:asciiTheme="majorBidi" w:eastAsia="Calibri" w:hAnsiTheme="majorBidi" w:cstheme="majorBidi"/>
          <w:sz w:val="24"/>
          <w:szCs w:val="24"/>
        </w:rPr>
        <w:t>indexes</w:t>
      </w:r>
      <w:r w:rsidRPr="00FB5638">
        <w:rPr>
          <w:rFonts w:asciiTheme="majorBidi" w:eastAsia="Calibri" w:hAnsiTheme="majorBidi" w:cstheme="majorBidi"/>
          <w:sz w:val="24"/>
          <w:szCs w:val="24"/>
        </w:rPr>
        <w:t xml:space="preserve">, we compute a variety of summary statistics. Table </w:t>
      </w:r>
      <w:r w:rsidR="00786416">
        <w:rPr>
          <w:rFonts w:asciiTheme="majorBidi" w:eastAsia="Calibri" w:hAnsiTheme="majorBidi" w:cstheme="majorBidi"/>
          <w:sz w:val="24"/>
          <w:szCs w:val="24"/>
        </w:rPr>
        <w:t>2</w:t>
      </w:r>
      <w:r w:rsidR="00307F84">
        <w:rPr>
          <w:rFonts w:asciiTheme="majorBidi" w:eastAsia="Calibri" w:hAnsiTheme="majorBidi" w:cstheme="majorBidi"/>
          <w:sz w:val="24"/>
          <w:szCs w:val="24"/>
        </w:rPr>
        <w:t>,</w:t>
      </w:r>
      <w:r w:rsidRPr="00FB5638">
        <w:rPr>
          <w:rFonts w:asciiTheme="majorBidi" w:eastAsia="Calibri" w:hAnsiTheme="majorBidi" w:cstheme="majorBidi"/>
          <w:sz w:val="24"/>
          <w:szCs w:val="24"/>
        </w:rPr>
        <w:t xml:space="preserve"> Panel</w:t>
      </w:r>
      <w:r w:rsidR="00307F84">
        <w:rPr>
          <w:rFonts w:asciiTheme="majorBidi" w:eastAsia="Calibri" w:hAnsiTheme="majorBidi" w:cstheme="majorBidi"/>
          <w:sz w:val="24"/>
          <w:szCs w:val="24"/>
        </w:rPr>
        <w:t>s</w:t>
      </w:r>
      <w:r w:rsidRPr="00FB5638">
        <w:rPr>
          <w:rFonts w:asciiTheme="majorBidi" w:eastAsia="Calibri" w:hAnsiTheme="majorBidi" w:cstheme="majorBidi"/>
          <w:sz w:val="24"/>
          <w:szCs w:val="24"/>
        </w:rPr>
        <w:t xml:space="preserve"> A and B report summary statistics </w:t>
      </w:r>
      <w:r w:rsidR="00307F84">
        <w:rPr>
          <w:rFonts w:asciiTheme="majorBidi" w:eastAsia="Calibri" w:hAnsiTheme="majorBidi" w:cstheme="majorBidi"/>
          <w:sz w:val="24"/>
          <w:szCs w:val="24"/>
        </w:rPr>
        <w:t xml:space="preserve">for </w:t>
      </w:r>
      <w:r w:rsidRPr="00FB5638">
        <w:rPr>
          <w:rFonts w:asciiTheme="majorBidi" w:eastAsia="Calibri" w:hAnsiTheme="majorBidi" w:cstheme="majorBidi"/>
          <w:sz w:val="24"/>
          <w:szCs w:val="24"/>
        </w:rPr>
        <w:lastRenderedPageBreak/>
        <w:t xml:space="preserve">level and log </w:t>
      </w:r>
      <w:r>
        <w:rPr>
          <w:rFonts w:asciiTheme="majorBidi" w:eastAsia="Calibri" w:hAnsiTheme="majorBidi" w:cstheme="majorBidi"/>
          <w:sz w:val="24"/>
          <w:szCs w:val="24"/>
        </w:rPr>
        <w:t xml:space="preserve">level </w:t>
      </w:r>
      <w:r w:rsidRPr="00FB5638">
        <w:rPr>
          <w:rFonts w:asciiTheme="majorBidi" w:eastAsia="Calibri" w:hAnsiTheme="majorBidi" w:cstheme="majorBidi"/>
          <w:sz w:val="24"/>
          <w:szCs w:val="24"/>
        </w:rPr>
        <w:t xml:space="preserve">changes </w:t>
      </w:r>
      <w:r w:rsidR="00307F84">
        <w:rPr>
          <w:rFonts w:asciiTheme="majorBidi" w:eastAsia="Calibri" w:hAnsiTheme="majorBidi" w:cstheme="majorBidi"/>
          <w:sz w:val="24"/>
          <w:szCs w:val="24"/>
        </w:rPr>
        <w:t>in</w:t>
      </w:r>
      <w:r w:rsidRPr="00FB5638">
        <w:rPr>
          <w:rFonts w:asciiTheme="majorBidi" w:eastAsia="Calibri" w:hAnsiTheme="majorBidi" w:cstheme="majorBidi"/>
          <w:sz w:val="24"/>
          <w:szCs w:val="24"/>
        </w:rPr>
        <w:t xml:space="preserve"> </w:t>
      </w:r>
      <w:r w:rsidR="00EA08A1">
        <w:rPr>
          <w:rFonts w:asciiTheme="majorBidi" w:eastAsia="Calibri" w:hAnsiTheme="majorBidi" w:cstheme="majorBidi"/>
          <w:sz w:val="24"/>
          <w:szCs w:val="24"/>
        </w:rPr>
        <w:t>implied volatility indexes.</w:t>
      </w:r>
      <w:r w:rsidRPr="00FB5638">
        <w:rPr>
          <w:rFonts w:asciiTheme="majorBidi" w:eastAsia="Calibri" w:hAnsiTheme="majorBidi" w:cstheme="majorBidi"/>
          <w:sz w:val="24"/>
          <w:szCs w:val="24"/>
        </w:rPr>
        <w:t xml:space="preserve"> Panel A displays </w:t>
      </w:r>
      <w:r w:rsidRPr="00FB5638">
        <w:rPr>
          <w:rFonts w:asciiTheme="majorBidi" w:hAnsiTheme="majorBidi" w:cstheme="majorBidi"/>
          <w:noProof/>
          <w:sz w:val="24"/>
          <w:szCs w:val="24"/>
        </w:rPr>
        <w:t xml:space="preserve">the mean, standard error, minimum, maximum, skewness, </w:t>
      </w:r>
      <w:r w:rsidR="00307F84">
        <w:rPr>
          <w:rFonts w:asciiTheme="majorBidi" w:hAnsiTheme="majorBidi" w:cstheme="majorBidi"/>
          <w:noProof/>
          <w:sz w:val="24"/>
          <w:szCs w:val="24"/>
        </w:rPr>
        <w:t xml:space="preserve">and </w:t>
      </w:r>
      <w:r w:rsidRPr="00FB5638">
        <w:rPr>
          <w:rFonts w:asciiTheme="majorBidi" w:hAnsiTheme="majorBidi" w:cstheme="majorBidi"/>
          <w:noProof/>
          <w:sz w:val="24"/>
          <w:szCs w:val="24"/>
        </w:rPr>
        <w:t>excess kurtosis</w:t>
      </w:r>
      <w:r w:rsidR="00307F84">
        <w:rPr>
          <w:rFonts w:asciiTheme="majorBidi" w:hAnsiTheme="majorBidi" w:cstheme="majorBidi"/>
          <w:noProof/>
          <w:sz w:val="24"/>
          <w:szCs w:val="24"/>
        </w:rPr>
        <w:t>.</w:t>
      </w:r>
      <w:r w:rsidRPr="00FB5638">
        <w:rPr>
          <w:rFonts w:asciiTheme="majorBidi" w:hAnsiTheme="majorBidi" w:cstheme="majorBidi"/>
          <w:noProof/>
          <w:sz w:val="24"/>
          <w:szCs w:val="24"/>
        </w:rPr>
        <w:t xml:space="preserve"> </w:t>
      </w:r>
      <w:r w:rsidR="00307F84">
        <w:rPr>
          <w:rFonts w:asciiTheme="majorBidi" w:hAnsiTheme="majorBidi" w:cstheme="majorBidi"/>
          <w:noProof/>
          <w:sz w:val="24"/>
          <w:szCs w:val="24"/>
        </w:rPr>
        <w:t xml:space="preserve">It also shows </w:t>
      </w:r>
      <w:r w:rsidRPr="00FB5638">
        <w:rPr>
          <w:rFonts w:asciiTheme="majorBidi" w:hAnsiTheme="majorBidi" w:cstheme="majorBidi"/>
          <w:noProof/>
          <w:sz w:val="24"/>
          <w:szCs w:val="24"/>
        </w:rPr>
        <w:t xml:space="preserve">the Jarque-Bera statistic </w:t>
      </w:r>
      <w:r w:rsidR="00307F84">
        <w:rPr>
          <w:rFonts w:asciiTheme="majorBidi" w:hAnsiTheme="majorBidi" w:cstheme="majorBidi"/>
          <w:noProof/>
          <w:sz w:val="24"/>
          <w:szCs w:val="24"/>
        </w:rPr>
        <w:t xml:space="preserve">which </w:t>
      </w:r>
      <w:r w:rsidRPr="00FB5638">
        <w:rPr>
          <w:rFonts w:asciiTheme="majorBidi" w:hAnsiTheme="majorBidi" w:cstheme="majorBidi"/>
          <w:noProof/>
          <w:sz w:val="24"/>
          <w:szCs w:val="24"/>
        </w:rPr>
        <w:t>test</w:t>
      </w:r>
      <w:r w:rsidR="00307F84">
        <w:rPr>
          <w:rFonts w:asciiTheme="majorBidi" w:hAnsiTheme="majorBidi" w:cstheme="majorBidi"/>
          <w:noProof/>
          <w:sz w:val="24"/>
          <w:szCs w:val="24"/>
        </w:rPr>
        <w:t>s</w:t>
      </w:r>
      <w:r w:rsidRPr="00FB5638">
        <w:rPr>
          <w:rFonts w:asciiTheme="majorBidi" w:hAnsiTheme="majorBidi" w:cstheme="majorBidi"/>
          <w:noProof/>
          <w:sz w:val="24"/>
          <w:szCs w:val="24"/>
        </w:rPr>
        <w:t xml:space="preserve"> the null hypothesis that implied volatility </w:t>
      </w:r>
      <w:r>
        <w:rPr>
          <w:rFonts w:asciiTheme="majorBidi" w:hAnsiTheme="majorBidi" w:cstheme="majorBidi"/>
          <w:noProof/>
          <w:sz w:val="24"/>
          <w:szCs w:val="24"/>
        </w:rPr>
        <w:t>is</w:t>
      </w:r>
      <w:r w:rsidRPr="00FB5638">
        <w:rPr>
          <w:rFonts w:asciiTheme="majorBidi" w:hAnsiTheme="majorBidi" w:cstheme="majorBidi"/>
          <w:noProof/>
          <w:sz w:val="24"/>
          <w:szCs w:val="24"/>
        </w:rPr>
        <w:t xml:space="preserve"> normally distributed. </w:t>
      </w:r>
      <w:r w:rsidRPr="00B1441B">
        <w:rPr>
          <w:rFonts w:asciiTheme="majorBidi" w:eastAsia="Calibri" w:hAnsiTheme="majorBidi" w:cstheme="majorBidi"/>
          <w:sz w:val="24"/>
          <w:szCs w:val="24"/>
        </w:rPr>
        <w:t>The</w:t>
      </w:r>
      <w:r>
        <w:rPr>
          <w:rFonts w:asciiTheme="majorBidi" w:eastAsia="Calibri" w:hAnsiTheme="majorBidi" w:cstheme="majorBidi"/>
          <w:sz w:val="24"/>
          <w:szCs w:val="24"/>
        </w:rPr>
        <w:t xml:space="preserve"> mean level of the in</w:t>
      </w:r>
      <w:r w:rsidR="003A64E7">
        <w:rPr>
          <w:rFonts w:asciiTheme="majorBidi" w:eastAsia="Calibri" w:hAnsiTheme="majorBidi" w:cstheme="majorBidi"/>
          <w:sz w:val="24"/>
          <w:szCs w:val="24"/>
        </w:rPr>
        <w:t>dexes</w:t>
      </w:r>
      <w:r>
        <w:rPr>
          <w:rFonts w:asciiTheme="majorBidi" w:eastAsia="Calibri" w:hAnsiTheme="majorBidi" w:cstheme="majorBidi"/>
          <w:sz w:val="24"/>
          <w:szCs w:val="24"/>
        </w:rPr>
        <w:t xml:space="preserve"> in the table shows that the least volatile market is the Euro/Dollar followed by </w:t>
      </w:r>
      <w:r w:rsidR="00307F84">
        <w:rPr>
          <w:rFonts w:asciiTheme="majorBidi" w:eastAsia="Calibri" w:hAnsiTheme="majorBidi" w:cstheme="majorBidi"/>
          <w:sz w:val="24"/>
          <w:szCs w:val="24"/>
        </w:rPr>
        <w:t xml:space="preserve">the </w:t>
      </w:r>
      <w:r>
        <w:rPr>
          <w:rFonts w:asciiTheme="majorBidi" w:eastAsia="Calibri" w:hAnsiTheme="majorBidi" w:cstheme="majorBidi"/>
          <w:sz w:val="24"/>
          <w:szCs w:val="24"/>
        </w:rPr>
        <w:t>US equity market</w:t>
      </w:r>
      <w:r w:rsidR="00307F84">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00EA08A1">
        <w:rPr>
          <w:rFonts w:asciiTheme="majorBidi" w:eastAsia="Calibri" w:hAnsiTheme="majorBidi" w:cstheme="majorBidi"/>
          <w:sz w:val="24"/>
          <w:szCs w:val="24"/>
        </w:rPr>
        <w:t>As can be seen</w:t>
      </w:r>
      <w:r w:rsidR="00307F84">
        <w:rPr>
          <w:rFonts w:asciiTheme="majorBidi" w:eastAsia="Calibri" w:hAnsiTheme="majorBidi" w:cstheme="majorBidi"/>
          <w:sz w:val="24"/>
          <w:szCs w:val="24"/>
        </w:rPr>
        <w:t>,</w:t>
      </w:r>
      <w:r w:rsidR="00EA08A1">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crude oil is slightly more volatile </w:t>
      </w:r>
      <w:r w:rsidR="005736CE">
        <w:rPr>
          <w:rFonts w:asciiTheme="majorBidi" w:eastAsia="Calibri" w:hAnsiTheme="majorBidi" w:cstheme="majorBidi"/>
          <w:sz w:val="24"/>
          <w:szCs w:val="24"/>
        </w:rPr>
        <w:t xml:space="preserve">than equities and other </w:t>
      </w:r>
      <w:r>
        <w:rPr>
          <w:rFonts w:asciiTheme="majorBidi" w:eastAsia="Calibri" w:hAnsiTheme="majorBidi" w:cstheme="majorBidi"/>
          <w:sz w:val="24"/>
          <w:szCs w:val="24"/>
        </w:rPr>
        <w:t>commodities.</w:t>
      </w:r>
      <w:r w:rsidRPr="00B1441B">
        <w:rPr>
          <w:rFonts w:asciiTheme="majorBidi" w:eastAsia="Calibri" w:hAnsiTheme="majorBidi" w:cstheme="majorBidi"/>
          <w:sz w:val="24"/>
          <w:szCs w:val="24"/>
        </w:rPr>
        <w:t xml:space="preserve"> </w:t>
      </w:r>
    </w:p>
    <w:p w:rsidR="003E4BA2" w:rsidRDefault="00383252">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 xml:space="preserve">Panel A of Table </w:t>
      </w:r>
      <w:r w:rsidR="00786416">
        <w:rPr>
          <w:rFonts w:asciiTheme="majorBidi" w:eastAsia="Calibri" w:hAnsiTheme="majorBidi" w:cstheme="majorBidi"/>
          <w:sz w:val="24"/>
          <w:szCs w:val="24"/>
        </w:rPr>
        <w:t>2</w:t>
      </w:r>
      <w:r>
        <w:rPr>
          <w:rFonts w:asciiTheme="majorBidi" w:eastAsia="Calibri" w:hAnsiTheme="majorBidi" w:cstheme="majorBidi"/>
          <w:sz w:val="24"/>
          <w:szCs w:val="24"/>
        </w:rPr>
        <w:t xml:space="preserve"> also shows that</w:t>
      </w:r>
      <w:r w:rsidRPr="00B1441B">
        <w:rPr>
          <w:rFonts w:asciiTheme="majorBidi" w:eastAsia="Calibri" w:hAnsiTheme="majorBidi" w:cstheme="majorBidi"/>
          <w:sz w:val="24"/>
          <w:szCs w:val="24"/>
        </w:rPr>
        <w:t xml:space="preserve"> none of the </w:t>
      </w:r>
      <w:r>
        <w:rPr>
          <w:rFonts w:asciiTheme="majorBidi" w:eastAsia="Calibri" w:hAnsiTheme="majorBidi" w:cstheme="majorBidi"/>
          <w:sz w:val="24"/>
          <w:szCs w:val="24"/>
        </w:rPr>
        <w:t xml:space="preserve">implied volatility </w:t>
      </w:r>
      <w:r w:rsidRPr="00B1441B">
        <w:rPr>
          <w:rFonts w:asciiTheme="majorBidi" w:eastAsia="Calibri" w:hAnsiTheme="majorBidi" w:cstheme="majorBidi"/>
          <w:sz w:val="24"/>
          <w:szCs w:val="24"/>
        </w:rPr>
        <w:t xml:space="preserve">series </w:t>
      </w:r>
      <w:r>
        <w:rPr>
          <w:rFonts w:asciiTheme="majorBidi" w:eastAsia="Calibri" w:hAnsiTheme="majorBidi" w:cstheme="majorBidi"/>
          <w:sz w:val="24"/>
          <w:szCs w:val="24"/>
        </w:rPr>
        <w:t>are</w:t>
      </w:r>
      <w:r w:rsidRPr="00B1441B">
        <w:rPr>
          <w:rFonts w:asciiTheme="majorBidi" w:eastAsia="Calibri" w:hAnsiTheme="majorBidi" w:cstheme="majorBidi"/>
          <w:sz w:val="24"/>
          <w:szCs w:val="24"/>
        </w:rPr>
        <w:t xml:space="preserve"> normally distributed</w:t>
      </w:r>
      <w:r>
        <w:rPr>
          <w:rFonts w:asciiTheme="majorBidi" w:eastAsia="Calibri" w:hAnsiTheme="majorBidi" w:cstheme="majorBidi"/>
          <w:sz w:val="24"/>
          <w:szCs w:val="24"/>
        </w:rPr>
        <w:t xml:space="preserve">. Their empirical distribution is characterized by positive </w:t>
      </w:r>
      <w:r w:rsidRPr="00B1441B">
        <w:rPr>
          <w:rFonts w:asciiTheme="majorBidi" w:eastAsia="Calibri" w:hAnsiTheme="majorBidi" w:cstheme="majorBidi"/>
          <w:sz w:val="24"/>
          <w:szCs w:val="24"/>
        </w:rPr>
        <w:t>skew</w:t>
      </w:r>
      <w:r>
        <w:rPr>
          <w:rFonts w:asciiTheme="majorBidi" w:eastAsia="Calibri" w:hAnsiTheme="majorBidi" w:cstheme="majorBidi"/>
          <w:sz w:val="24"/>
          <w:szCs w:val="24"/>
        </w:rPr>
        <w:t>ness and slight excess kurtosis, and hence t</w:t>
      </w:r>
      <w:r w:rsidRPr="00B1441B">
        <w:rPr>
          <w:rFonts w:asciiTheme="majorBidi" w:eastAsia="Calibri" w:hAnsiTheme="majorBidi" w:cstheme="majorBidi"/>
          <w:sz w:val="24"/>
          <w:szCs w:val="24"/>
        </w:rPr>
        <w:t>he</w:t>
      </w:r>
      <w:r>
        <w:rPr>
          <w:rFonts w:asciiTheme="majorBidi" w:eastAsia="Calibri" w:hAnsiTheme="majorBidi" w:cstheme="majorBidi"/>
          <w:sz w:val="24"/>
          <w:szCs w:val="24"/>
        </w:rPr>
        <w:t xml:space="preserve"> null hypothesis of normality is rejected by the </w:t>
      </w:r>
      <w:r w:rsidRPr="00B1441B">
        <w:rPr>
          <w:rFonts w:asciiTheme="majorBidi" w:eastAsia="Calibri" w:hAnsiTheme="majorBidi" w:cstheme="majorBidi"/>
          <w:sz w:val="24"/>
          <w:szCs w:val="24"/>
        </w:rPr>
        <w:t>Jarque–Bera statistic</w:t>
      </w:r>
      <w:r>
        <w:rPr>
          <w:rFonts w:asciiTheme="majorBidi" w:eastAsia="Calibri" w:hAnsiTheme="majorBidi" w:cstheme="majorBidi"/>
          <w:sz w:val="24"/>
          <w:szCs w:val="24"/>
        </w:rPr>
        <w:t xml:space="preserve"> for all ind</w:t>
      </w:r>
      <w:r w:rsidR="003A64E7">
        <w:rPr>
          <w:rFonts w:asciiTheme="majorBidi" w:eastAsia="Calibri" w:hAnsiTheme="majorBidi" w:cstheme="majorBidi"/>
          <w:sz w:val="24"/>
          <w:szCs w:val="24"/>
        </w:rPr>
        <w:t>exes</w:t>
      </w:r>
      <w:r w:rsidR="00EA08A1">
        <w:rPr>
          <w:rFonts w:asciiTheme="majorBidi" w:eastAsia="Calibri" w:hAnsiTheme="majorBidi" w:cstheme="majorBidi"/>
          <w:sz w:val="24"/>
          <w:szCs w:val="24"/>
        </w:rPr>
        <w:t>. T</w:t>
      </w:r>
      <w:r w:rsidR="00EA08A1" w:rsidRPr="00B1441B">
        <w:rPr>
          <w:rFonts w:asciiTheme="majorBidi" w:eastAsia="Calibri" w:hAnsiTheme="majorBidi" w:cstheme="majorBidi"/>
          <w:sz w:val="24"/>
          <w:szCs w:val="24"/>
        </w:rPr>
        <w:t>he Ljung–Box</w:t>
      </w:r>
      <w:r w:rsidR="00EA08A1">
        <w:rPr>
          <w:rFonts w:asciiTheme="majorBidi" w:eastAsia="Calibri" w:hAnsiTheme="majorBidi" w:cstheme="majorBidi"/>
          <w:sz w:val="24"/>
          <w:szCs w:val="24"/>
        </w:rPr>
        <w:t xml:space="preserve"> statistic</w:t>
      </w:r>
      <w:r>
        <w:rPr>
          <w:rFonts w:asciiTheme="majorBidi" w:eastAsia="Calibri" w:hAnsiTheme="majorBidi" w:cstheme="majorBidi"/>
          <w:sz w:val="24"/>
          <w:szCs w:val="24"/>
        </w:rPr>
        <w:t xml:space="preserve"> </w:t>
      </w:r>
      <w:r w:rsidR="00EA08A1">
        <w:rPr>
          <w:rFonts w:asciiTheme="majorBidi" w:eastAsia="Calibri" w:hAnsiTheme="majorBidi" w:cstheme="majorBidi"/>
          <w:sz w:val="24"/>
          <w:szCs w:val="24"/>
        </w:rPr>
        <w:t>shows</w:t>
      </w:r>
      <w:r>
        <w:rPr>
          <w:rFonts w:asciiTheme="majorBidi" w:eastAsia="Calibri" w:hAnsiTheme="majorBidi" w:cstheme="majorBidi"/>
          <w:sz w:val="24"/>
          <w:szCs w:val="24"/>
        </w:rPr>
        <w:t xml:space="preserve"> </w:t>
      </w:r>
      <w:r w:rsidRPr="00B1441B">
        <w:rPr>
          <w:rFonts w:asciiTheme="majorBidi" w:eastAsia="Calibri" w:hAnsiTheme="majorBidi" w:cstheme="majorBidi"/>
          <w:sz w:val="24"/>
          <w:szCs w:val="24"/>
        </w:rPr>
        <w:t xml:space="preserve">significant </w:t>
      </w:r>
      <w:r w:rsidR="005736CE">
        <w:rPr>
          <w:rFonts w:asciiTheme="majorBidi" w:eastAsia="Calibri" w:hAnsiTheme="majorBidi" w:cstheme="majorBidi"/>
          <w:sz w:val="24"/>
          <w:szCs w:val="24"/>
        </w:rPr>
        <w:t xml:space="preserve">serial </w:t>
      </w:r>
      <w:r w:rsidRPr="00B1441B">
        <w:rPr>
          <w:rFonts w:asciiTheme="majorBidi" w:eastAsia="Calibri" w:hAnsiTheme="majorBidi" w:cstheme="majorBidi"/>
          <w:sz w:val="24"/>
          <w:szCs w:val="24"/>
        </w:rPr>
        <w:t>correlation</w:t>
      </w:r>
      <w:r>
        <w:rPr>
          <w:rFonts w:asciiTheme="majorBidi" w:eastAsia="Calibri" w:hAnsiTheme="majorBidi" w:cstheme="majorBidi"/>
          <w:sz w:val="24"/>
          <w:szCs w:val="24"/>
        </w:rPr>
        <w:t xml:space="preserve"> </w:t>
      </w:r>
      <w:r w:rsidR="005736CE">
        <w:rPr>
          <w:rFonts w:asciiTheme="majorBidi" w:eastAsia="Calibri" w:hAnsiTheme="majorBidi" w:cstheme="majorBidi"/>
          <w:sz w:val="24"/>
          <w:szCs w:val="24"/>
        </w:rPr>
        <w:t xml:space="preserve">for </w:t>
      </w:r>
      <w:r w:rsidR="00EA08A1">
        <w:rPr>
          <w:rFonts w:asciiTheme="majorBidi" w:eastAsia="Calibri" w:hAnsiTheme="majorBidi" w:cstheme="majorBidi"/>
          <w:sz w:val="24"/>
          <w:szCs w:val="24"/>
        </w:rPr>
        <w:t>all indexes</w:t>
      </w:r>
      <w:r>
        <w:rPr>
          <w:rFonts w:asciiTheme="majorBidi" w:eastAsia="Calibri" w:hAnsiTheme="majorBidi" w:cstheme="majorBidi"/>
          <w:sz w:val="24"/>
          <w:szCs w:val="24"/>
        </w:rPr>
        <w:t xml:space="preserve">.  </w:t>
      </w:r>
    </w:p>
    <w:p w:rsidR="003E4BA2" w:rsidRDefault="00383252" w:rsidP="0019311C">
      <w:pPr>
        <w:spacing w:after="0" w:line="480" w:lineRule="auto"/>
        <w:ind w:firstLine="284"/>
        <w:jc w:val="both"/>
        <w:rPr>
          <w:rFonts w:asciiTheme="majorBidi" w:hAnsiTheme="majorBidi" w:cstheme="majorBidi"/>
          <w:noProof/>
          <w:sz w:val="24"/>
          <w:szCs w:val="24"/>
        </w:rPr>
      </w:pPr>
      <w:r>
        <w:rPr>
          <w:rFonts w:asciiTheme="majorBidi" w:eastAsia="Calibri" w:hAnsiTheme="majorBidi" w:cstheme="majorBidi"/>
          <w:sz w:val="24"/>
          <w:szCs w:val="24"/>
        </w:rPr>
        <w:t>The unit root test</w:t>
      </w:r>
      <w:r w:rsidR="005736CE">
        <w:rPr>
          <w:rFonts w:asciiTheme="majorBidi" w:eastAsia="Calibri" w:hAnsiTheme="majorBidi" w:cstheme="majorBidi"/>
          <w:sz w:val="24"/>
          <w:szCs w:val="24"/>
        </w:rPr>
        <w:t>s</w:t>
      </w:r>
      <w:r>
        <w:rPr>
          <w:rFonts w:asciiTheme="majorBidi" w:eastAsia="Calibri" w:hAnsiTheme="majorBidi" w:cstheme="majorBidi"/>
          <w:sz w:val="24"/>
          <w:szCs w:val="24"/>
        </w:rPr>
        <w:t xml:space="preserve"> for the ind</w:t>
      </w:r>
      <w:r w:rsidR="0019311C">
        <w:rPr>
          <w:rFonts w:asciiTheme="majorBidi" w:eastAsia="Calibri" w:hAnsiTheme="majorBidi" w:cstheme="majorBidi"/>
          <w:sz w:val="24"/>
          <w:szCs w:val="24"/>
        </w:rPr>
        <w:t>exes</w:t>
      </w:r>
      <w:r>
        <w:rPr>
          <w:rFonts w:asciiTheme="majorBidi" w:eastAsia="Calibri" w:hAnsiTheme="majorBidi" w:cstheme="majorBidi"/>
          <w:sz w:val="24"/>
          <w:szCs w:val="24"/>
        </w:rPr>
        <w:t xml:space="preserve"> are reported in the last two rows of Panel A, Table </w:t>
      </w:r>
      <w:r w:rsidR="00786416">
        <w:rPr>
          <w:rFonts w:asciiTheme="majorBidi" w:eastAsia="Calibri" w:hAnsiTheme="majorBidi" w:cstheme="majorBidi"/>
          <w:sz w:val="24"/>
          <w:szCs w:val="24"/>
        </w:rPr>
        <w:t>2</w:t>
      </w:r>
      <w:r>
        <w:rPr>
          <w:rFonts w:asciiTheme="majorBidi" w:eastAsia="Calibri" w:hAnsiTheme="majorBidi" w:cstheme="majorBidi"/>
          <w:sz w:val="24"/>
          <w:szCs w:val="24"/>
        </w:rPr>
        <w:t>. These are b</w:t>
      </w:r>
      <w:r w:rsidRPr="00B1441B">
        <w:rPr>
          <w:rFonts w:asciiTheme="majorBidi" w:eastAsia="Calibri" w:hAnsiTheme="majorBidi" w:cstheme="majorBidi"/>
          <w:sz w:val="24"/>
          <w:szCs w:val="24"/>
        </w:rPr>
        <w:t xml:space="preserve">ased on </w:t>
      </w:r>
      <w:r>
        <w:rPr>
          <w:rFonts w:asciiTheme="majorBidi" w:eastAsia="Calibri" w:hAnsiTheme="majorBidi" w:cstheme="majorBidi"/>
          <w:sz w:val="24"/>
          <w:szCs w:val="24"/>
        </w:rPr>
        <w:t xml:space="preserve">two specifications of the implied volatility process and a standard </w:t>
      </w:r>
      <w:r w:rsidRPr="00B1441B">
        <w:rPr>
          <w:rFonts w:asciiTheme="majorBidi" w:eastAsia="Calibri" w:hAnsiTheme="majorBidi" w:cstheme="majorBidi"/>
          <w:sz w:val="24"/>
          <w:szCs w:val="24"/>
        </w:rPr>
        <w:t>Augmented Dickey Fuller (ADF) test</w:t>
      </w:r>
      <w:r>
        <w:rPr>
          <w:rFonts w:asciiTheme="majorBidi" w:eastAsia="Calibri" w:hAnsiTheme="majorBidi" w:cstheme="majorBidi"/>
          <w:sz w:val="24"/>
          <w:szCs w:val="24"/>
        </w:rPr>
        <w:t>. The test</w:t>
      </w:r>
      <w:r w:rsidR="005736CE">
        <w:rPr>
          <w:rFonts w:asciiTheme="majorBidi" w:eastAsia="Calibri" w:hAnsiTheme="majorBidi" w:cstheme="majorBidi"/>
          <w:sz w:val="24"/>
          <w:szCs w:val="24"/>
        </w:rPr>
        <w:t>s</w:t>
      </w:r>
      <w:r>
        <w:rPr>
          <w:rFonts w:asciiTheme="majorBidi" w:eastAsia="Calibri" w:hAnsiTheme="majorBidi" w:cstheme="majorBidi"/>
          <w:sz w:val="24"/>
          <w:szCs w:val="24"/>
        </w:rPr>
        <w:t xml:space="preserve"> show</w:t>
      </w:r>
      <w:r w:rsidR="005736CE">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that the implied volatilities of all commodities except oil are stationary at conventional levels. The US equities are found also to be covariance stationary but the test fails to reject the null of unit root in the Euro/Dollar implied volatility. </w:t>
      </w:r>
    </w:p>
    <w:p w:rsidR="003E4BA2" w:rsidRDefault="00383252" w:rsidP="0019311C">
      <w:pPr>
        <w:spacing w:after="0" w:line="480" w:lineRule="auto"/>
        <w:ind w:firstLine="284"/>
        <w:jc w:val="both"/>
        <w:rPr>
          <w:rFonts w:asciiTheme="majorBidi" w:eastAsia="Calibri" w:hAnsiTheme="majorBidi" w:cstheme="majorBidi"/>
          <w:sz w:val="24"/>
          <w:szCs w:val="24"/>
        </w:rPr>
      </w:pPr>
      <w:r w:rsidRPr="00B1441B">
        <w:rPr>
          <w:rFonts w:asciiTheme="majorBidi" w:eastAsia="Calibri" w:hAnsiTheme="majorBidi" w:cstheme="majorBidi"/>
          <w:sz w:val="24"/>
          <w:szCs w:val="24"/>
        </w:rPr>
        <w:t>Panel B</w:t>
      </w:r>
      <w:r w:rsidRPr="00B1441B">
        <w:rPr>
          <w:rFonts w:asciiTheme="majorBidi" w:hAnsiTheme="majorBidi" w:cstheme="majorBidi"/>
          <w:sz w:val="24"/>
          <w:szCs w:val="24"/>
        </w:rPr>
        <w:t xml:space="preserve"> </w:t>
      </w:r>
      <w:r w:rsidRPr="00B1441B">
        <w:rPr>
          <w:rFonts w:asciiTheme="majorBidi" w:eastAsia="Calibri" w:hAnsiTheme="majorBidi" w:cstheme="majorBidi"/>
          <w:sz w:val="24"/>
          <w:szCs w:val="24"/>
        </w:rPr>
        <w:t xml:space="preserve">of Table </w:t>
      </w:r>
      <w:r w:rsidR="00786416">
        <w:rPr>
          <w:rFonts w:asciiTheme="majorBidi" w:eastAsia="Calibri" w:hAnsiTheme="majorBidi" w:cstheme="majorBidi"/>
          <w:sz w:val="24"/>
          <w:szCs w:val="24"/>
        </w:rPr>
        <w:t>2</w:t>
      </w:r>
      <w:r w:rsidRPr="00B1441B">
        <w:rPr>
          <w:rFonts w:asciiTheme="majorBidi" w:eastAsia="Calibri" w:hAnsiTheme="majorBidi" w:cstheme="majorBidi"/>
          <w:sz w:val="24"/>
          <w:szCs w:val="24"/>
        </w:rPr>
        <w:t xml:space="preserve"> reports the same summary statistics for the log differences in implied volatility </w:t>
      </w:r>
      <w:r w:rsidR="003A64E7">
        <w:rPr>
          <w:rFonts w:asciiTheme="majorBidi" w:eastAsia="Calibri" w:hAnsiTheme="majorBidi" w:cstheme="majorBidi"/>
          <w:sz w:val="24"/>
          <w:szCs w:val="24"/>
        </w:rPr>
        <w:t>indexes</w:t>
      </w:r>
      <w:r w:rsidRPr="00B1441B">
        <w:rPr>
          <w:rFonts w:asciiTheme="majorBidi" w:eastAsia="Calibri" w:hAnsiTheme="majorBidi" w:cstheme="majorBidi"/>
          <w:sz w:val="24"/>
          <w:szCs w:val="24"/>
        </w:rPr>
        <w:t>. A</w:t>
      </w:r>
      <w:r>
        <w:rPr>
          <w:rFonts w:asciiTheme="majorBidi" w:eastAsia="Calibri" w:hAnsiTheme="majorBidi" w:cstheme="majorBidi"/>
          <w:sz w:val="24"/>
          <w:szCs w:val="24"/>
        </w:rPr>
        <w:t xml:space="preserve">s can be seen in the ADF tests </w:t>
      </w:r>
      <w:r w:rsidR="0019311C">
        <w:rPr>
          <w:rFonts w:asciiTheme="majorBidi" w:eastAsia="Calibri" w:hAnsiTheme="majorBidi" w:cstheme="majorBidi"/>
          <w:sz w:val="24"/>
          <w:szCs w:val="24"/>
        </w:rPr>
        <w:t>the</w:t>
      </w:r>
      <w:r>
        <w:rPr>
          <w:rFonts w:asciiTheme="majorBidi" w:eastAsia="Calibri" w:hAnsiTheme="majorBidi" w:cstheme="majorBidi"/>
          <w:sz w:val="24"/>
          <w:szCs w:val="24"/>
        </w:rPr>
        <w:t xml:space="preserve"> log changes of implied volatility are all covariance stationary at conventional levels. </w:t>
      </w:r>
    </w:p>
    <w:p w:rsidR="003E4BA2" w:rsidRDefault="005736CE" w:rsidP="00E37DCE">
      <w:pPr>
        <w:spacing w:after="0" w:line="480" w:lineRule="auto"/>
        <w:ind w:firstLine="284"/>
        <w:jc w:val="center"/>
        <w:rPr>
          <w:rFonts w:asciiTheme="majorBidi" w:eastAsia="Calibri" w:hAnsiTheme="majorBidi" w:cstheme="majorBidi"/>
          <w:sz w:val="24"/>
          <w:szCs w:val="24"/>
        </w:rPr>
      </w:pPr>
      <w:r>
        <w:rPr>
          <w:rFonts w:asciiTheme="majorBidi" w:eastAsia="Calibri" w:hAnsiTheme="majorBidi" w:cstheme="majorBidi"/>
          <w:b/>
          <w:bCs/>
          <w:sz w:val="24"/>
          <w:szCs w:val="24"/>
        </w:rPr>
        <w:t>[</w:t>
      </w:r>
      <w:r w:rsidR="00383252" w:rsidRPr="004A3711">
        <w:rPr>
          <w:rFonts w:asciiTheme="majorBidi" w:eastAsia="Calibri" w:hAnsiTheme="majorBidi" w:cstheme="majorBidi"/>
          <w:b/>
          <w:bCs/>
          <w:sz w:val="24"/>
          <w:szCs w:val="24"/>
        </w:rPr>
        <w:t xml:space="preserve">INSERT TABLE </w:t>
      </w:r>
      <w:r w:rsidR="00786416">
        <w:rPr>
          <w:rFonts w:asciiTheme="majorBidi" w:eastAsia="Calibri" w:hAnsiTheme="majorBidi" w:cstheme="majorBidi"/>
          <w:b/>
          <w:bCs/>
          <w:sz w:val="24"/>
          <w:szCs w:val="24"/>
        </w:rPr>
        <w:t>2</w:t>
      </w:r>
      <w:r>
        <w:rPr>
          <w:rFonts w:asciiTheme="majorBidi" w:eastAsia="Calibri" w:hAnsiTheme="majorBidi" w:cstheme="majorBidi"/>
          <w:b/>
          <w:bCs/>
          <w:sz w:val="24"/>
          <w:szCs w:val="24"/>
        </w:rPr>
        <w:t>]</w:t>
      </w:r>
    </w:p>
    <w:p w:rsidR="003E4BA2" w:rsidRDefault="00383252">
      <w:pPr>
        <w:spacing w:after="0" w:line="480" w:lineRule="auto"/>
        <w:ind w:firstLine="284"/>
        <w:jc w:val="both"/>
        <w:rPr>
          <w:rFonts w:asciiTheme="majorBidi" w:hAnsiTheme="majorBidi" w:cstheme="majorBidi"/>
          <w:noProof/>
          <w:sz w:val="24"/>
          <w:szCs w:val="24"/>
        </w:rPr>
      </w:pPr>
      <w:r w:rsidRPr="00D92A5D">
        <w:rPr>
          <w:rFonts w:asciiTheme="majorBidi" w:hAnsiTheme="majorBidi" w:cstheme="majorBidi"/>
          <w:noProof/>
          <w:sz w:val="24"/>
          <w:szCs w:val="24"/>
        </w:rPr>
        <w:t xml:space="preserve">To get an idea on how volatility pricing options </w:t>
      </w:r>
      <w:r w:rsidR="005736CE">
        <w:rPr>
          <w:rFonts w:asciiTheme="majorBidi" w:hAnsiTheme="majorBidi" w:cstheme="majorBidi"/>
          <w:noProof/>
          <w:sz w:val="24"/>
          <w:szCs w:val="24"/>
        </w:rPr>
        <w:t>are</w:t>
      </w:r>
      <w:r w:rsidRPr="00D92A5D">
        <w:rPr>
          <w:rFonts w:asciiTheme="majorBidi" w:hAnsiTheme="majorBidi" w:cstheme="majorBidi"/>
          <w:noProof/>
          <w:sz w:val="24"/>
          <w:szCs w:val="24"/>
        </w:rPr>
        <w:t xml:space="preserve"> related </w:t>
      </w:r>
      <w:r>
        <w:rPr>
          <w:rFonts w:asciiTheme="majorBidi" w:hAnsiTheme="majorBidi" w:cstheme="majorBidi"/>
          <w:noProof/>
          <w:sz w:val="24"/>
          <w:szCs w:val="24"/>
        </w:rPr>
        <w:t>in the various markets</w:t>
      </w:r>
      <w:r w:rsidRPr="00D92A5D">
        <w:rPr>
          <w:rFonts w:asciiTheme="majorBidi" w:hAnsiTheme="majorBidi" w:cstheme="majorBidi"/>
          <w:noProof/>
          <w:sz w:val="24"/>
          <w:szCs w:val="24"/>
        </w:rPr>
        <w:t xml:space="preserve">, we compute the correlation </w:t>
      </w:r>
      <w:r>
        <w:rPr>
          <w:rFonts w:asciiTheme="majorBidi" w:hAnsiTheme="majorBidi" w:cstheme="majorBidi"/>
          <w:noProof/>
          <w:sz w:val="24"/>
          <w:szCs w:val="24"/>
        </w:rPr>
        <w:t>matrix</w:t>
      </w:r>
      <w:r w:rsidRPr="00D92A5D">
        <w:rPr>
          <w:rFonts w:asciiTheme="majorBidi" w:hAnsiTheme="majorBidi" w:cstheme="majorBidi"/>
          <w:noProof/>
          <w:sz w:val="24"/>
          <w:szCs w:val="24"/>
        </w:rPr>
        <w:t xml:space="preserve"> </w:t>
      </w:r>
      <w:r>
        <w:rPr>
          <w:rFonts w:asciiTheme="majorBidi" w:hAnsiTheme="majorBidi" w:cstheme="majorBidi"/>
          <w:noProof/>
          <w:sz w:val="24"/>
          <w:szCs w:val="24"/>
        </w:rPr>
        <w:t xml:space="preserve">of </w:t>
      </w:r>
      <w:r w:rsidRPr="00D92A5D">
        <w:rPr>
          <w:rFonts w:asciiTheme="majorBidi" w:hAnsiTheme="majorBidi" w:cstheme="majorBidi"/>
          <w:noProof/>
          <w:sz w:val="24"/>
          <w:szCs w:val="24"/>
        </w:rPr>
        <w:t xml:space="preserve">implied volatilities in Table </w:t>
      </w:r>
      <w:r w:rsidR="00786416">
        <w:rPr>
          <w:rFonts w:asciiTheme="majorBidi" w:hAnsiTheme="majorBidi" w:cstheme="majorBidi"/>
          <w:noProof/>
          <w:sz w:val="24"/>
          <w:szCs w:val="24"/>
        </w:rPr>
        <w:t>3</w:t>
      </w:r>
      <w:r w:rsidRPr="00D92A5D">
        <w:rPr>
          <w:rFonts w:asciiTheme="majorBidi" w:hAnsiTheme="majorBidi" w:cstheme="majorBidi"/>
          <w:noProof/>
          <w:sz w:val="24"/>
          <w:szCs w:val="24"/>
        </w:rPr>
        <w:t>. Pan</w:t>
      </w:r>
      <w:r>
        <w:rPr>
          <w:rFonts w:asciiTheme="majorBidi" w:hAnsiTheme="majorBidi" w:cstheme="majorBidi"/>
          <w:noProof/>
          <w:sz w:val="24"/>
          <w:szCs w:val="24"/>
        </w:rPr>
        <w:t>el</w:t>
      </w:r>
      <w:r w:rsidRPr="00D92A5D">
        <w:rPr>
          <w:rFonts w:asciiTheme="majorBidi" w:hAnsiTheme="majorBidi" w:cstheme="majorBidi"/>
          <w:noProof/>
          <w:sz w:val="24"/>
          <w:szCs w:val="24"/>
        </w:rPr>
        <w:t xml:space="preserve"> A of the table  reports correlations of </w:t>
      </w:r>
      <w:r>
        <w:rPr>
          <w:rFonts w:asciiTheme="majorBidi" w:hAnsiTheme="majorBidi" w:cstheme="majorBidi"/>
          <w:noProof/>
          <w:sz w:val="24"/>
          <w:szCs w:val="24"/>
        </w:rPr>
        <w:t>implied volatilities</w:t>
      </w:r>
      <w:r w:rsidRPr="00D92A5D">
        <w:rPr>
          <w:rFonts w:asciiTheme="majorBidi" w:hAnsiTheme="majorBidi" w:cstheme="majorBidi"/>
          <w:noProof/>
          <w:sz w:val="24"/>
          <w:szCs w:val="24"/>
        </w:rPr>
        <w:t xml:space="preserve">, while Panel B reports </w:t>
      </w:r>
      <w:r w:rsidR="005736CE">
        <w:rPr>
          <w:rFonts w:asciiTheme="majorBidi" w:hAnsiTheme="majorBidi" w:cstheme="majorBidi"/>
          <w:noProof/>
          <w:sz w:val="24"/>
          <w:szCs w:val="24"/>
        </w:rPr>
        <w:t xml:space="preserve">correlations of </w:t>
      </w:r>
      <w:r w:rsidRPr="00D92A5D">
        <w:rPr>
          <w:rFonts w:asciiTheme="majorBidi" w:hAnsiTheme="majorBidi" w:cstheme="majorBidi"/>
          <w:noProof/>
          <w:sz w:val="24"/>
          <w:szCs w:val="24"/>
        </w:rPr>
        <w:t>the log changes.</w:t>
      </w:r>
      <w:r>
        <w:rPr>
          <w:rFonts w:asciiTheme="majorBidi" w:hAnsiTheme="majorBidi" w:cstheme="majorBidi"/>
          <w:noProof/>
          <w:sz w:val="24"/>
          <w:szCs w:val="24"/>
        </w:rPr>
        <w:t xml:space="preserve"> The table clearly </w:t>
      </w:r>
      <w:r w:rsidR="005736CE">
        <w:rPr>
          <w:rFonts w:asciiTheme="majorBidi" w:hAnsiTheme="majorBidi" w:cstheme="majorBidi"/>
          <w:noProof/>
          <w:sz w:val="24"/>
          <w:szCs w:val="24"/>
        </w:rPr>
        <w:t xml:space="preserve">shows </w:t>
      </w:r>
      <w:r>
        <w:rPr>
          <w:rFonts w:asciiTheme="majorBidi" w:hAnsiTheme="majorBidi" w:cstheme="majorBidi"/>
          <w:noProof/>
          <w:sz w:val="24"/>
          <w:szCs w:val="24"/>
        </w:rPr>
        <w:t xml:space="preserve">that oil volatility is more correlated with equities and the Euro/Dollar exchange rate than it is correlated with commodities. </w:t>
      </w:r>
      <w:r w:rsidR="005736CE">
        <w:rPr>
          <w:rFonts w:asciiTheme="majorBidi" w:hAnsiTheme="majorBidi" w:cstheme="majorBidi"/>
          <w:noProof/>
          <w:sz w:val="24"/>
          <w:szCs w:val="24"/>
        </w:rPr>
        <w:t>W</w:t>
      </w:r>
      <w:r>
        <w:rPr>
          <w:rFonts w:asciiTheme="majorBidi" w:hAnsiTheme="majorBidi" w:cstheme="majorBidi"/>
          <w:noProof/>
          <w:sz w:val="24"/>
          <w:szCs w:val="24"/>
        </w:rPr>
        <w:t>ithin the commodities, oil is more correlated with precious metals than with agricultural commodities,</w:t>
      </w:r>
      <w:r w:rsidR="005736CE">
        <w:rPr>
          <w:rFonts w:asciiTheme="majorBidi" w:hAnsiTheme="majorBidi" w:cstheme="majorBidi"/>
          <w:noProof/>
          <w:sz w:val="24"/>
          <w:szCs w:val="24"/>
        </w:rPr>
        <w:t xml:space="preserve"> with</w:t>
      </w:r>
      <w:r>
        <w:rPr>
          <w:rFonts w:asciiTheme="majorBidi" w:hAnsiTheme="majorBidi" w:cstheme="majorBidi"/>
          <w:noProof/>
          <w:sz w:val="24"/>
          <w:szCs w:val="24"/>
        </w:rPr>
        <w:t xml:space="preserve"> the exception </w:t>
      </w:r>
      <w:r w:rsidR="005736CE">
        <w:rPr>
          <w:rFonts w:asciiTheme="majorBidi" w:hAnsiTheme="majorBidi" w:cstheme="majorBidi"/>
          <w:noProof/>
          <w:sz w:val="24"/>
          <w:szCs w:val="24"/>
        </w:rPr>
        <w:t xml:space="preserve">of </w:t>
      </w:r>
      <w:r>
        <w:rPr>
          <w:rFonts w:asciiTheme="majorBidi" w:hAnsiTheme="majorBidi" w:cstheme="majorBidi"/>
          <w:noProof/>
          <w:sz w:val="24"/>
          <w:szCs w:val="24"/>
        </w:rPr>
        <w:t xml:space="preserve">wheat. For instance, the correlation of oil </w:t>
      </w:r>
      <w:r>
        <w:rPr>
          <w:rFonts w:asciiTheme="majorBidi" w:hAnsiTheme="majorBidi" w:cstheme="majorBidi"/>
          <w:noProof/>
          <w:sz w:val="24"/>
          <w:szCs w:val="24"/>
        </w:rPr>
        <w:lastRenderedPageBreak/>
        <w:t>with the Euro/Dollar exchange rate and the US equities is around 0.69 and 0.77, while its correlation with gold, silver, wheat, corn and soybeans is 0.32, 0.29, 0.36, 0.10, 0.09 respectively.</w:t>
      </w:r>
      <w:r>
        <w:rPr>
          <w:rStyle w:val="FootnoteReference"/>
          <w:rFonts w:asciiTheme="majorBidi" w:hAnsiTheme="majorBidi"/>
          <w:noProof/>
          <w:sz w:val="24"/>
          <w:szCs w:val="24"/>
        </w:rPr>
        <w:footnoteReference w:id="10"/>
      </w:r>
      <w:r>
        <w:rPr>
          <w:rFonts w:asciiTheme="majorBidi" w:hAnsiTheme="majorBidi" w:cstheme="majorBidi"/>
          <w:noProof/>
          <w:sz w:val="24"/>
          <w:szCs w:val="24"/>
        </w:rPr>
        <w:t xml:space="preserve"> </w:t>
      </w:r>
    </w:p>
    <w:p w:rsidR="003E4BA2" w:rsidRDefault="007D4DC5" w:rsidP="000347AE">
      <w:pPr>
        <w:spacing w:line="480" w:lineRule="auto"/>
        <w:ind w:firstLine="284"/>
        <w:jc w:val="both"/>
        <w:rPr>
          <w:rFonts w:asciiTheme="majorBidi" w:hAnsiTheme="majorBidi" w:cstheme="majorBidi"/>
          <w:noProof/>
          <w:sz w:val="24"/>
          <w:szCs w:val="24"/>
        </w:rPr>
      </w:pPr>
      <w:r>
        <w:rPr>
          <w:rFonts w:asciiTheme="majorBidi" w:hAnsiTheme="majorBidi" w:cstheme="majorBidi"/>
          <w:noProof/>
          <w:sz w:val="24"/>
          <w:szCs w:val="24"/>
        </w:rPr>
        <w:t>To get more insights on the correlation structure of various markets we compute dynamic conditional correlations between the oil and other markets</w:t>
      </w:r>
      <w:r w:rsidR="000347AE">
        <w:rPr>
          <w:rFonts w:asciiTheme="majorBidi" w:hAnsiTheme="majorBidi" w:cstheme="majorBidi"/>
          <w:noProof/>
          <w:sz w:val="24"/>
          <w:szCs w:val="24"/>
        </w:rPr>
        <w:t xml:space="preserve"> across time</w:t>
      </w:r>
      <w:r>
        <w:rPr>
          <w:rFonts w:asciiTheme="majorBidi" w:hAnsiTheme="majorBidi" w:cstheme="majorBidi"/>
          <w:noProof/>
          <w:sz w:val="24"/>
          <w:szCs w:val="24"/>
        </w:rPr>
        <w:t>.</w:t>
      </w:r>
      <w:r>
        <w:rPr>
          <w:rStyle w:val="FootnoteReference"/>
          <w:rFonts w:asciiTheme="majorBidi" w:hAnsiTheme="majorBidi"/>
          <w:noProof/>
          <w:sz w:val="24"/>
          <w:szCs w:val="24"/>
        </w:rPr>
        <w:footnoteReference w:id="11"/>
      </w:r>
      <w:r w:rsidR="000347AE" w:rsidRPr="000347AE">
        <w:rPr>
          <w:rFonts w:asciiTheme="majorBidi" w:eastAsia="Calibri" w:hAnsiTheme="majorBidi" w:cstheme="majorBidi"/>
          <w:sz w:val="24"/>
          <w:szCs w:val="24"/>
          <w:lang w:bidi="ar-AE"/>
        </w:rPr>
        <w:t xml:space="preserve"> </w:t>
      </w:r>
      <w:r w:rsidR="000347AE" w:rsidRPr="007D0F06">
        <w:rPr>
          <w:rFonts w:asciiTheme="majorBidi" w:eastAsia="Calibri" w:hAnsiTheme="majorBidi" w:cstheme="majorBidi"/>
          <w:sz w:val="24"/>
          <w:szCs w:val="24"/>
          <w:lang w:bidi="ar-AE"/>
        </w:rPr>
        <w:t xml:space="preserve">Figure </w:t>
      </w:r>
      <w:r w:rsidR="000347AE">
        <w:rPr>
          <w:rFonts w:asciiTheme="majorBidi" w:eastAsia="Calibri" w:hAnsiTheme="majorBidi" w:cstheme="majorBidi"/>
          <w:sz w:val="24"/>
          <w:szCs w:val="24"/>
          <w:lang w:bidi="ar-AE"/>
        </w:rPr>
        <w:t>2</w:t>
      </w:r>
      <w:r w:rsidR="000347AE" w:rsidRPr="007D0F06">
        <w:rPr>
          <w:rFonts w:asciiTheme="majorBidi" w:eastAsia="Calibri" w:hAnsiTheme="majorBidi" w:cstheme="majorBidi"/>
          <w:sz w:val="24"/>
          <w:szCs w:val="24"/>
          <w:lang w:bidi="ar-AE"/>
        </w:rPr>
        <w:t xml:space="preserve"> plots the dynamic </w:t>
      </w:r>
      <w:r w:rsidR="000347AE">
        <w:rPr>
          <w:rFonts w:asciiTheme="majorBidi" w:eastAsia="Calibri" w:hAnsiTheme="majorBidi" w:cstheme="majorBidi"/>
          <w:sz w:val="24"/>
          <w:szCs w:val="24"/>
          <w:lang w:bidi="ar-AE"/>
        </w:rPr>
        <w:t xml:space="preserve">conditional </w:t>
      </w:r>
      <w:r w:rsidR="000347AE" w:rsidRPr="007D0F06">
        <w:rPr>
          <w:rFonts w:asciiTheme="majorBidi" w:eastAsia="Calibri" w:hAnsiTheme="majorBidi" w:cstheme="majorBidi"/>
          <w:sz w:val="24"/>
          <w:szCs w:val="24"/>
          <w:lang w:bidi="ar-AE"/>
        </w:rPr>
        <w:t xml:space="preserve">correlations of oil volatility with the implied volatility </w:t>
      </w:r>
      <w:r w:rsidR="000347AE">
        <w:rPr>
          <w:rFonts w:asciiTheme="majorBidi" w:eastAsia="Calibri" w:hAnsiTheme="majorBidi" w:cstheme="majorBidi"/>
          <w:sz w:val="24"/>
          <w:szCs w:val="24"/>
          <w:lang w:bidi="ar-AE"/>
        </w:rPr>
        <w:t>of</w:t>
      </w:r>
      <w:r w:rsidR="000347AE" w:rsidRPr="007D0F06">
        <w:rPr>
          <w:rFonts w:asciiTheme="majorBidi" w:eastAsia="Calibri" w:hAnsiTheme="majorBidi" w:cstheme="majorBidi"/>
          <w:sz w:val="24"/>
          <w:szCs w:val="24"/>
          <w:lang w:bidi="ar-AE"/>
        </w:rPr>
        <w:t xml:space="preserve"> each of the markets in the sample.</w:t>
      </w:r>
      <w:r>
        <w:rPr>
          <w:rFonts w:asciiTheme="majorBidi" w:hAnsiTheme="majorBidi" w:cstheme="majorBidi"/>
          <w:noProof/>
          <w:sz w:val="24"/>
          <w:szCs w:val="24"/>
        </w:rPr>
        <w:t xml:space="preserve"> </w:t>
      </w:r>
      <w:r w:rsidR="000347AE">
        <w:rPr>
          <w:rFonts w:asciiTheme="majorBidi" w:hAnsiTheme="majorBidi" w:cstheme="majorBidi"/>
          <w:noProof/>
          <w:sz w:val="24"/>
          <w:szCs w:val="24"/>
        </w:rPr>
        <w:t>As can be seen in the figure a</w:t>
      </w:r>
      <w:r w:rsidR="00383252">
        <w:rPr>
          <w:rFonts w:asciiTheme="majorBidi" w:hAnsiTheme="majorBidi" w:cstheme="majorBidi"/>
          <w:noProof/>
          <w:sz w:val="24"/>
          <w:szCs w:val="24"/>
        </w:rPr>
        <w:t>part from the tr</w:t>
      </w:r>
      <w:r w:rsidR="00650E78">
        <w:rPr>
          <w:rFonts w:asciiTheme="majorBidi" w:hAnsiTheme="majorBidi" w:cstheme="majorBidi"/>
          <w:noProof/>
          <w:sz w:val="24"/>
          <w:szCs w:val="24"/>
        </w:rPr>
        <w:t xml:space="preserve">io of </w:t>
      </w:r>
      <w:r w:rsidR="00383252">
        <w:rPr>
          <w:rFonts w:asciiTheme="majorBidi" w:hAnsiTheme="majorBidi" w:cstheme="majorBidi"/>
          <w:noProof/>
          <w:sz w:val="24"/>
          <w:szCs w:val="24"/>
        </w:rPr>
        <w:t xml:space="preserve">oil, Euro/Dollar and US equities, the </w:t>
      </w:r>
      <w:r w:rsidR="00650E78">
        <w:rPr>
          <w:rFonts w:asciiTheme="majorBidi" w:hAnsiTheme="majorBidi" w:cstheme="majorBidi"/>
          <w:noProof/>
          <w:sz w:val="24"/>
          <w:szCs w:val="24"/>
        </w:rPr>
        <w:t xml:space="preserve">remaining </w:t>
      </w:r>
      <w:r>
        <w:rPr>
          <w:rFonts w:asciiTheme="majorBidi" w:hAnsiTheme="majorBidi" w:cstheme="majorBidi"/>
          <w:noProof/>
          <w:sz w:val="24"/>
          <w:szCs w:val="24"/>
        </w:rPr>
        <w:t xml:space="preserve">conditional </w:t>
      </w:r>
      <w:r w:rsidR="00383252">
        <w:rPr>
          <w:rFonts w:asciiTheme="majorBidi" w:hAnsiTheme="majorBidi" w:cstheme="majorBidi"/>
          <w:noProof/>
          <w:sz w:val="24"/>
          <w:szCs w:val="24"/>
        </w:rPr>
        <w:t xml:space="preserve">correlations are weak and are less than 0.35. This </w:t>
      </w:r>
      <w:r w:rsidR="00650E78">
        <w:rPr>
          <w:rFonts w:asciiTheme="majorBidi" w:hAnsiTheme="majorBidi" w:cstheme="majorBidi"/>
          <w:noProof/>
          <w:sz w:val="24"/>
          <w:szCs w:val="24"/>
        </w:rPr>
        <w:t xml:space="preserve">suggests that there are </w:t>
      </w:r>
      <w:r w:rsidR="00383252">
        <w:rPr>
          <w:rFonts w:asciiTheme="majorBidi" w:hAnsiTheme="majorBidi" w:cstheme="majorBidi"/>
          <w:noProof/>
          <w:sz w:val="24"/>
          <w:szCs w:val="24"/>
        </w:rPr>
        <w:t xml:space="preserve">higher </w:t>
      </w:r>
      <w:r w:rsidR="00650E78">
        <w:rPr>
          <w:rFonts w:asciiTheme="majorBidi" w:hAnsiTheme="majorBidi" w:cstheme="majorBidi"/>
          <w:noProof/>
          <w:sz w:val="24"/>
          <w:szCs w:val="24"/>
        </w:rPr>
        <w:t xml:space="preserve">likelihoods </w:t>
      </w:r>
      <w:r w:rsidR="00383252">
        <w:rPr>
          <w:rFonts w:asciiTheme="majorBidi" w:hAnsiTheme="majorBidi" w:cstheme="majorBidi"/>
          <w:noProof/>
          <w:sz w:val="24"/>
          <w:szCs w:val="24"/>
        </w:rPr>
        <w:t>of risk transfer between oil, exchange rates and equities</w:t>
      </w:r>
      <w:r w:rsidR="00650E78">
        <w:rPr>
          <w:rFonts w:asciiTheme="majorBidi" w:hAnsiTheme="majorBidi" w:cstheme="majorBidi"/>
          <w:noProof/>
          <w:sz w:val="24"/>
          <w:szCs w:val="24"/>
        </w:rPr>
        <w:t xml:space="preserve">, but </w:t>
      </w:r>
      <w:r w:rsidR="00383252">
        <w:rPr>
          <w:rFonts w:asciiTheme="majorBidi" w:hAnsiTheme="majorBidi" w:cstheme="majorBidi"/>
          <w:noProof/>
          <w:sz w:val="24"/>
          <w:szCs w:val="24"/>
        </w:rPr>
        <w:t xml:space="preserve">lower risk </w:t>
      </w:r>
      <w:r w:rsidR="00650E78">
        <w:rPr>
          <w:rFonts w:asciiTheme="majorBidi" w:hAnsiTheme="majorBidi" w:cstheme="majorBidi"/>
          <w:noProof/>
          <w:sz w:val="24"/>
          <w:szCs w:val="24"/>
        </w:rPr>
        <w:t xml:space="preserve">of risk </w:t>
      </w:r>
      <w:r w:rsidR="00383252">
        <w:rPr>
          <w:rFonts w:asciiTheme="majorBidi" w:hAnsiTheme="majorBidi" w:cstheme="majorBidi"/>
          <w:noProof/>
          <w:sz w:val="24"/>
          <w:szCs w:val="24"/>
        </w:rPr>
        <w:t>transfer</w:t>
      </w:r>
      <w:r w:rsidR="00650E78">
        <w:rPr>
          <w:rFonts w:asciiTheme="majorBidi" w:hAnsiTheme="majorBidi" w:cstheme="majorBidi"/>
          <w:noProof/>
          <w:sz w:val="24"/>
          <w:szCs w:val="24"/>
        </w:rPr>
        <w:t xml:space="preserve"> </w:t>
      </w:r>
      <w:r w:rsidR="00383252">
        <w:rPr>
          <w:rFonts w:asciiTheme="majorBidi" w:hAnsiTheme="majorBidi" w:cstheme="majorBidi"/>
          <w:noProof/>
          <w:sz w:val="24"/>
          <w:szCs w:val="24"/>
        </w:rPr>
        <w:t>with the rest of commodities. Therefore, it is expected that there is substantial diversification benefits from adding commodities to a</w:t>
      </w:r>
      <w:r w:rsidR="003A64E7">
        <w:rPr>
          <w:rFonts w:asciiTheme="majorBidi" w:hAnsiTheme="majorBidi" w:cstheme="majorBidi"/>
          <w:noProof/>
          <w:sz w:val="24"/>
          <w:szCs w:val="24"/>
        </w:rPr>
        <w:t xml:space="preserve">n option </w:t>
      </w:r>
      <w:r w:rsidR="00383252">
        <w:rPr>
          <w:rFonts w:asciiTheme="majorBidi" w:hAnsiTheme="majorBidi" w:cstheme="majorBidi"/>
          <w:noProof/>
          <w:sz w:val="24"/>
          <w:szCs w:val="24"/>
        </w:rPr>
        <w:t xml:space="preserve">portfolio that contain US equities and oil. </w:t>
      </w:r>
      <w:r w:rsidR="00650E78">
        <w:rPr>
          <w:rFonts w:asciiTheme="majorBidi" w:hAnsiTheme="majorBidi" w:cstheme="majorBidi"/>
          <w:noProof/>
          <w:sz w:val="24"/>
          <w:szCs w:val="24"/>
        </w:rPr>
        <w:t xml:space="preserve">Given that </w:t>
      </w:r>
      <w:r w:rsidR="00383252">
        <w:rPr>
          <w:rFonts w:asciiTheme="majorBidi" w:hAnsiTheme="majorBidi" w:cstheme="majorBidi"/>
          <w:noProof/>
          <w:sz w:val="24"/>
          <w:szCs w:val="24"/>
        </w:rPr>
        <w:t xml:space="preserve">the commodities themselves are also weakly correlated, the benefits of diversification </w:t>
      </w:r>
      <w:r w:rsidR="00650E78">
        <w:rPr>
          <w:rFonts w:asciiTheme="majorBidi" w:hAnsiTheme="majorBidi" w:cstheme="majorBidi"/>
          <w:noProof/>
          <w:sz w:val="24"/>
          <w:szCs w:val="24"/>
        </w:rPr>
        <w:t xml:space="preserve">are </w:t>
      </w:r>
      <w:r w:rsidR="00383252">
        <w:rPr>
          <w:rFonts w:asciiTheme="majorBidi" w:hAnsiTheme="majorBidi" w:cstheme="majorBidi"/>
          <w:noProof/>
          <w:sz w:val="24"/>
          <w:szCs w:val="24"/>
        </w:rPr>
        <w:t xml:space="preserve">expected to be even </w:t>
      </w:r>
      <w:r w:rsidR="00650E78">
        <w:rPr>
          <w:rFonts w:asciiTheme="majorBidi" w:hAnsiTheme="majorBidi" w:cstheme="majorBidi"/>
          <w:noProof/>
          <w:sz w:val="24"/>
          <w:szCs w:val="24"/>
        </w:rPr>
        <w:t>greater</w:t>
      </w:r>
      <w:r w:rsidR="00383252">
        <w:rPr>
          <w:rFonts w:asciiTheme="majorBidi" w:hAnsiTheme="majorBidi" w:cstheme="majorBidi"/>
          <w:noProof/>
          <w:sz w:val="24"/>
          <w:szCs w:val="24"/>
        </w:rPr>
        <w:t>.</w:t>
      </w:r>
      <w:r w:rsidR="00383252">
        <w:rPr>
          <w:rStyle w:val="FootnoteReference"/>
          <w:rFonts w:asciiTheme="majorBidi" w:hAnsiTheme="majorBidi"/>
          <w:noProof/>
          <w:sz w:val="24"/>
          <w:szCs w:val="24"/>
        </w:rPr>
        <w:footnoteReference w:id="12"/>
      </w:r>
      <w:r w:rsidR="00383252">
        <w:rPr>
          <w:rFonts w:asciiTheme="majorBidi" w:hAnsiTheme="majorBidi" w:cstheme="majorBidi"/>
          <w:noProof/>
          <w:sz w:val="24"/>
          <w:szCs w:val="24"/>
        </w:rPr>
        <w:t xml:space="preserve"> </w:t>
      </w:r>
      <w:r w:rsidR="0018019D">
        <w:rPr>
          <w:rFonts w:asciiTheme="majorBidi" w:hAnsiTheme="majorBidi" w:cstheme="majorBidi"/>
          <w:noProof/>
          <w:sz w:val="24"/>
          <w:szCs w:val="24"/>
        </w:rPr>
        <w:t xml:space="preserve"> </w:t>
      </w:r>
      <w:r w:rsidR="00383252">
        <w:rPr>
          <w:rFonts w:asciiTheme="majorBidi" w:hAnsiTheme="majorBidi" w:cstheme="majorBidi"/>
          <w:noProof/>
          <w:sz w:val="24"/>
          <w:szCs w:val="24"/>
        </w:rPr>
        <w:t xml:space="preserve">  </w:t>
      </w:r>
    </w:p>
    <w:p w:rsidR="003E4BA2" w:rsidRDefault="00DD37E6" w:rsidP="00E37DCE">
      <w:pPr>
        <w:autoSpaceDE w:val="0"/>
        <w:autoSpaceDN w:val="0"/>
        <w:adjustRightInd w:val="0"/>
        <w:spacing w:after="0" w:line="480" w:lineRule="auto"/>
        <w:jc w:val="center"/>
        <w:rPr>
          <w:rFonts w:asciiTheme="majorBidi" w:hAnsiTheme="majorBidi" w:cstheme="majorBidi"/>
          <w:b/>
          <w:bCs/>
          <w:noProof/>
          <w:sz w:val="24"/>
          <w:szCs w:val="24"/>
        </w:rPr>
      </w:pPr>
      <w:r w:rsidRPr="003E4BA2">
        <w:rPr>
          <w:rFonts w:asciiTheme="majorBidi" w:hAnsiTheme="majorBidi" w:cstheme="majorBidi"/>
          <w:noProof/>
          <w:sz w:val="24"/>
          <w:szCs w:val="24"/>
        </w:rPr>
        <w:t>[</w:t>
      </w:r>
      <w:r w:rsidRPr="003E4BA2">
        <w:rPr>
          <w:rFonts w:asciiTheme="majorBidi" w:hAnsiTheme="majorBidi" w:cstheme="majorBidi"/>
          <w:b/>
          <w:bCs/>
          <w:noProof/>
          <w:sz w:val="24"/>
          <w:szCs w:val="24"/>
        </w:rPr>
        <w:t>INSERT TABLE 3]</w:t>
      </w:r>
    </w:p>
    <w:p w:rsidR="007D4DC5" w:rsidRDefault="007D4DC5" w:rsidP="001B46E0">
      <w:pPr>
        <w:spacing w:after="0" w:line="480" w:lineRule="auto"/>
        <w:ind w:firstLine="284"/>
        <w:jc w:val="both"/>
        <w:rPr>
          <w:rFonts w:asciiTheme="majorBidi" w:eastAsia="Calibri" w:hAnsiTheme="majorBidi" w:cstheme="majorBidi"/>
          <w:sz w:val="24"/>
          <w:szCs w:val="24"/>
          <w:lang w:bidi="ar-AE"/>
        </w:rPr>
      </w:pPr>
      <w:r w:rsidRPr="007D0F06">
        <w:rPr>
          <w:rFonts w:asciiTheme="majorBidi" w:eastAsia="Calibri" w:hAnsiTheme="majorBidi" w:cstheme="majorBidi"/>
          <w:sz w:val="24"/>
          <w:szCs w:val="24"/>
          <w:lang w:bidi="ar-AE"/>
        </w:rPr>
        <w:t xml:space="preserve">The figure </w:t>
      </w:r>
      <w:r w:rsidR="00325EE8">
        <w:rPr>
          <w:rFonts w:asciiTheme="majorBidi" w:eastAsia="Calibri" w:hAnsiTheme="majorBidi" w:cstheme="majorBidi"/>
          <w:sz w:val="24"/>
          <w:szCs w:val="24"/>
          <w:lang w:bidi="ar-AE"/>
        </w:rPr>
        <w:t xml:space="preserve">also </w:t>
      </w:r>
      <w:r w:rsidRPr="007D0F06">
        <w:rPr>
          <w:rFonts w:asciiTheme="majorBidi" w:eastAsia="Calibri" w:hAnsiTheme="majorBidi" w:cstheme="majorBidi"/>
          <w:sz w:val="24"/>
          <w:szCs w:val="24"/>
          <w:lang w:bidi="ar-AE"/>
        </w:rPr>
        <w:t xml:space="preserve">shows </w:t>
      </w:r>
      <w:r>
        <w:rPr>
          <w:rFonts w:asciiTheme="majorBidi" w:eastAsia="Calibri" w:hAnsiTheme="majorBidi" w:cstheme="majorBidi"/>
          <w:sz w:val="24"/>
          <w:szCs w:val="24"/>
          <w:lang w:bidi="ar-AE"/>
        </w:rPr>
        <w:t xml:space="preserve">low </w:t>
      </w:r>
      <w:r w:rsidR="003E4BA2">
        <w:rPr>
          <w:rFonts w:asciiTheme="majorBidi" w:eastAsia="Calibri" w:hAnsiTheme="majorBidi" w:cstheme="majorBidi"/>
          <w:sz w:val="24"/>
          <w:szCs w:val="24"/>
          <w:lang w:bidi="ar-AE"/>
        </w:rPr>
        <w:t xml:space="preserve">conditional </w:t>
      </w:r>
      <w:r>
        <w:rPr>
          <w:rFonts w:asciiTheme="majorBidi" w:eastAsia="Calibri" w:hAnsiTheme="majorBidi" w:cstheme="majorBidi"/>
          <w:sz w:val="24"/>
          <w:szCs w:val="24"/>
          <w:lang w:bidi="ar-AE"/>
        </w:rPr>
        <w:t xml:space="preserve">correlations between oil and agricultural commodities across time. The correlation with wheat, corn and soybeans is weak and hovers around 0.1. </w:t>
      </w:r>
      <w:r w:rsidR="003E4BA2">
        <w:rPr>
          <w:rFonts w:asciiTheme="majorBidi" w:eastAsia="Calibri" w:hAnsiTheme="majorBidi" w:cstheme="majorBidi"/>
          <w:sz w:val="24"/>
          <w:szCs w:val="24"/>
          <w:lang w:bidi="ar-AE"/>
        </w:rPr>
        <w:t xml:space="preserve">There are cases where </w:t>
      </w:r>
      <w:r>
        <w:rPr>
          <w:rFonts w:asciiTheme="majorBidi" w:eastAsia="Calibri" w:hAnsiTheme="majorBidi" w:cstheme="majorBidi"/>
          <w:sz w:val="24"/>
          <w:szCs w:val="24"/>
          <w:lang w:bidi="ar-AE"/>
        </w:rPr>
        <w:t xml:space="preserve">the correlation </w:t>
      </w:r>
      <w:r w:rsidR="003E4BA2">
        <w:rPr>
          <w:rFonts w:asciiTheme="majorBidi" w:eastAsia="Calibri" w:hAnsiTheme="majorBidi" w:cstheme="majorBidi"/>
          <w:sz w:val="24"/>
          <w:szCs w:val="24"/>
          <w:lang w:bidi="ar-AE"/>
        </w:rPr>
        <w:t xml:space="preserve">is even </w:t>
      </w:r>
      <w:r>
        <w:rPr>
          <w:rFonts w:asciiTheme="majorBidi" w:eastAsia="Calibri" w:hAnsiTheme="majorBidi" w:cstheme="majorBidi"/>
          <w:sz w:val="24"/>
          <w:szCs w:val="24"/>
          <w:lang w:bidi="ar-AE"/>
        </w:rPr>
        <w:t>negative</w:t>
      </w:r>
      <w:r w:rsidR="003E4BA2">
        <w:rPr>
          <w:rFonts w:asciiTheme="majorBidi" w:eastAsia="Calibri" w:hAnsiTheme="majorBidi" w:cstheme="majorBidi"/>
          <w:sz w:val="24"/>
          <w:szCs w:val="24"/>
          <w:lang w:bidi="ar-AE"/>
        </w:rPr>
        <w:t xml:space="preserve">, as is the case </w:t>
      </w:r>
      <w:r>
        <w:rPr>
          <w:rFonts w:asciiTheme="majorBidi" w:eastAsia="Calibri" w:hAnsiTheme="majorBidi" w:cstheme="majorBidi"/>
          <w:sz w:val="24"/>
          <w:szCs w:val="24"/>
          <w:lang w:bidi="ar-AE"/>
        </w:rPr>
        <w:t xml:space="preserve">with soybeans and corn in July 2013 and with wheat in April 2014. </w:t>
      </w:r>
    </w:p>
    <w:p w:rsidR="007D4DC5" w:rsidRDefault="007D4DC5" w:rsidP="00951D52">
      <w:pPr>
        <w:spacing w:after="0" w:line="480" w:lineRule="auto"/>
        <w:ind w:firstLine="284"/>
        <w:jc w:val="both"/>
        <w:rPr>
          <w:rFonts w:asciiTheme="majorBidi" w:eastAsia="Calibri" w:hAnsiTheme="majorBidi" w:cstheme="majorBidi"/>
          <w:sz w:val="24"/>
          <w:szCs w:val="24"/>
          <w:lang w:bidi="ar-AE"/>
        </w:rPr>
      </w:pPr>
      <w:r>
        <w:rPr>
          <w:rFonts w:asciiTheme="majorBidi" w:eastAsia="Calibri" w:hAnsiTheme="majorBidi" w:cstheme="majorBidi"/>
          <w:sz w:val="24"/>
          <w:szCs w:val="24"/>
          <w:lang w:bidi="ar-AE"/>
        </w:rPr>
        <w:t>The correlation of oil with precious metals is relatively higher and fluctuates around 0.3 for both gold and silver. There are spikes in correlations with the two metals in March and June 2013, reach</w:t>
      </w:r>
      <w:r w:rsidR="00951D52">
        <w:rPr>
          <w:rFonts w:asciiTheme="majorBidi" w:eastAsia="Calibri" w:hAnsiTheme="majorBidi" w:cstheme="majorBidi"/>
          <w:sz w:val="24"/>
          <w:szCs w:val="24"/>
          <w:lang w:bidi="ar-AE"/>
        </w:rPr>
        <w:t>ing</w:t>
      </w:r>
      <w:r>
        <w:rPr>
          <w:rFonts w:asciiTheme="majorBidi" w:eastAsia="Calibri" w:hAnsiTheme="majorBidi" w:cstheme="majorBidi"/>
          <w:sz w:val="24"/>
          <w:szCs w:val="24"/>
          <w:lang w:bidi="ar-AE"/>
        </w:rPr>
        <w:t xml:space="preserve"> around 0.6. The correlation is around 0.28 </w:t>
      </w:r>
      <w:r w:rsidR="00951D52">
        <w:rPr>
          <w:rFonts w:asciiTheme="majorBidi" w:eastAsia="Calibri" w:hAnsiTheme="majorBidi" w:cstheme="majorBidi"/>
          <w:sz w:val="24"/>
          <w:szCs w:val="24"/>
          <w:lang w:bidi="ar-AE"/>
        </w:rPr>
        <w:t xml:space="preserve">with US equities, </w:t>
      </w:r>
      <w:r>
        <w:rPr>
          <w:rFonts w:asciiTheme="majorBidi" w:eastAsia="Calibri" w:hAnsiTheme="majorBidi" w:cstheme="majorBidi"/>
          <w:sz w:val="24"/>
          <w:szCs w:val="24"/>
          <w:lang w:bidi="ar-AE"/>
        </w:rPr>
        <w:t xml:space="preserve">and around 0.25 with </w:t>
      </w:r>
      <w:r w:rsidR="00951D52">
        <w:rPr>
          <w:rFonts w:asciiTheme="majorBidi" w:eastAsia="Calibri" w:hAnsiTheme="majorBidi" w:cstheme="majorBidi"/>
          <w:sz w:val="24"/>
          <w:szCs w:val="24"/>
          <w:lang w:bidi="ar-AE"/>
        </w:rPr>
        <w:t xml:space="preserve">the </w:t>
      </w:r>
      <w:r>
        <w:rPr>
          <w:rFonts w:asciiTheme="majorBidi" w:eastAsia="Calibri" w:hAnsiTheme="majorBidi" w:cstheme="majorBidi"/>
          <w:sz w:val="24"/>
          <w:szCs w:val="24"/>
          <w:lang w:bidi="ar-AE"/>
        </w:rPr>
        <w:t>Euro/Dollar exchange rate.</w:t>
      </w:r>
    </w:p>
    <w:p w:rsidR="007D4DC5" w:rsidRDefault="007D4DC5" w:rsidP="007D4DC5">
      <w:pPr>
        <w:spacing w:after="0" w:line="480" w:lineRule="auto"/>
        <w:ind w:firstLine="284"/>
        <w:jc w:val="both"/>
        <w:rPr>
          <w:rFonts w:asciiTheme="majorBidi" w:eastAsia="Calibri" w:hAnsiTheme="majorBidi" w:cstheme="majorBidi"/>
          <w:sz w:val="24"/>
          <w:szCs w:val="24"/>
          <w:lang w:bidi="ar-AE"/>
        </w:rPr>
      </w:pPr>
      <w:r>
        <w:rPr>
          <w:rFonts w:asciiTheme="majorBidi" w:eastAsia="Calibri" w:hAnsiTheme="majorBidi" w:cstheme="majorBidi"/>
          <w:sz w:val="24"/>
          <w:szCs w:val="24"/>
          <w:lang w:bidi="ar-AE"/>
        </w:rPr>
        <w:lastRenderedPageBreak/>
        <w:t xml:space="preserve">Finally, the figure shows that the pattern of correlations is different across the markets. There are similar patterns in the correlations of oil with gold and silver and also oil with corn and wheat. </w:t>
      </w:r>
      <w:r w:rsidRPr="00E37DCE">
        <w:rPr>
          <w:rFonts w:asciiTheme="majorBidi" w:eastAsia="Calibri" w:hAnsiTheme="majorBidi" w:cstheme="majorBidi"/>
          <w:sz w:val="24"/>
          <w:szCs w:val="24"/>
          <w:lang w:bidi="ar-AE"/>
        </w:rPr>
        <w:t>However, the pairwise pattern of correlation is different and oil is associated differently with each market and across time.</w:t>
      </w:r>
    </w:p>
    <w:p w:rsidR="007D4DC5" w:rsidRDefault="006D19D0" w:rsidP="00E37DCE">
      <w:pPr>
        <w:spacing w:after="0" w:line="480" w:lineRule="auto"/>
        <w:ind w:firstLine="284"/>
        <w:jc w:val="center"/>
        <w:rPr>
          <w:rFonts w:asciiTheme="majorBidi" w:eastAsia="Calibri" w:hAnsiTheme="majorBidi" w:cstheme="majorBidi"/>
          <w:sz w:val="24"/>
          <w:szCs w:val="24"/>
          <w:lang w:bidi="ar-AE"/>
        </w:rPr>
      </w:pPr>
      <w:r>
        <w:rPr>
          <w:rFonts w:asciiTheme="majorBidi" w:eastAsia="Calibri" w:hAnsiTheme="majorBidi" w:cstheme="majorBidi"/>
          <w:b/>
          <w:bCs/>
          <w:sz w:val="24"/>
          <w:szCs w:val="24"/>
        </w:rPr>
        <w:t>[</w:t>
      </w:r>
      <w:r w:rsidR="007D4DC5" w:rsidRPr="002357D2">
        <w:rPr>
          <w:rFonts w:asciiTheme="majorBidi" w:eastAsia="Calibri" w:hAnsiTheme="majorBidi" w:cstheme="majorBidi"/>
          <w:b/>
          <w:bCs/>
          <w:sz w:val="24"/>
          <w:szCs w:val="24"/>
        </w:rPr>
        <w:t xml:space="preserve">INSERT FIGURE </w:t>
      </w:r>
      <w:r w:rsidR="007D4DC5">
        <w:rPr>
          <w:rFonts w:asciiTheme="majorBidi" w:eastAsia="Calibri" w:hAnsiTheme="majorBidi" w:cstheme="majorBidi"/>
          <w:b/>
          <w:bCs/>
          <w:sz w:val="24"/>
          <w:szCs w:val="24"/>
        </w:rPr>
        <w:t>2</w:t>
      </w:r>
      <w:r>
        <w:rPr>
          <w:rFonts w:asciiTheme="majorBidi" w:eastAsia="Calibri" w:hAnsiTheme="majorBidi" w:cstheme="majorBidi"/>
          <w:b/>
          <w:bCs/>
          <w:sz w:val="24"/>
          <w:szCs w:val="24"/>
        </w:rPr>
        <w:t>]</w:t>
      </w:r>
    </w:p>
    <w:p w:rsidR="004941A8" w:rsidRPr="00B1441B" w:rsidRDefault="006528BF" w:rsidP="00503D8A">
      <w:pPr>
        <w:pStyle w:val="ListParagraph"/>
        <w:numPr>
          <w:ilvl w:val="0"/>
          <w:numId w:val="1"/>
        </w:numPr>
        <w:spacing w:after="0" w:line="480" w:lineRule="auto"/>
        <w:ind w:left="284" w:hanging="284"/>
        <w:rPr>
          <w:rFonts w:asciiTheme="majorBidi" w:hAnsiTheme="majorBidi" w:cstheme="majorBidi"/>
          <w:b/>
          <w:bCs/>
          <w:sz w:val="24"/>
          <w:szCs w:val="24"/>
        </w:rPr>
      </w:pPr>
      <w:r w:rsidRPr="00B1441B">
        <w:rPr>
          <w:rFonts w:asciiTheme="majorBidi" w:hAnsiTheme="majorBidi" w:cstheme="majorBidi"/>
          <w:b/>
          <w:bCs/>
          <w:sz w:val="24"/>
          <w:szCs w:val="24"/>
        </w:rPr>
        <w:t>Empirical method</w:t>
      </w:r>
    </w:p>
    <w:p w:rsidR="00901F1A" w:rsidRPr="00B1441B" w:rsidRDefault="00C269BD" w:rsidP="006632AA">
      <w:pPr>
        <w:spacing w:after="0" w:line="480" w:lineRule="auto"/>
        <w:ind w:firstLine="284"/>
        <w:jc w:val="both"/>
        <w:rPr>
          <w:rFonts w:asciiTheme="majorBidi" w:hAnsiTheme="majorBidi" w:cstheme="majorBidi"/>
          <w:sz w:val="24"/>
          <w:szCs w:val="24"/>
        </w:rPr>
      </w:pPr>
      <w:r>
        <w:rPr>
          <w:rFonts w:asciiTheme="majorBidi" w:eastAsia="Calibri" w:hAnsiTheme="majorBidi" w:cstheme="majorBidi"/>
          <w:sz w:val="24"/>
          <w:szCs w:val="24"/>
        </w:rPr>
        <w:t xml:space="preserve">Our methodology is based on the </w:t>
      </w:r>
      <w:r w:rsidR="00B1441B" w:rsidRPr="00B1441B">
        <w:rPr>
          <w:rFonts w:asciiTheme="majorBidi" w:eastAsia="Calibri" w:hAnsiTheme="majorBidi" w:cstheme="majorBidi"/>
          <w:sz w:val="24"/>
          <w:szCs w:val="24"/>
        </w:rPr>
        <w:t xml:space="preserve">directional connectedness measures </w:t>
      </w:r>
      <w:r>
        <w:rPr>
          <w:rFonts w:asciiTheme="majorBidi" w:eastAsia="Calibri" w:hAnsiTheme="majorBidi" w:cstheme="majorBidi"/>
          <w:sz w:val="24"/>
          <w:szCs w:val="24"/>
        </w:rPr>
        <w:t xml:space="preserve">of </w:t>
      </w:r>
      <w:r w:rsidR="00B1441B" w:rsidRPr="00B1441B">
        <w:rPr>
          <w:rFonts w:asciiTheme="majorBidi" w:eastAsia="Calibri" w:hAnsiTheme="majorBidi" w:cstheme="majorBidi"/>
          <w:sz w:val="24"/>
          <w:szCs w:val="24"/>
        </w:rPr>
        <w:t xml:space="preserve">Diebold and Yilmaz (2012, </w:t>
      </w:r>
      <w:r w:rsidR="00D5309E">
        <w:rPr>
          <w:rFonts w:asciiTheme="majorBidi" w:eastAsia="Calibri" w:hAnsiTheme="majorBidi" w:cstheme="majorBidi"/>
          <w:sz w:val="24"/>
          <w:szCs w:val="24"/>
        </w:rPr>
        <w:t xml:space="preserve">2014, </w:t>
      </w:r>
      <w:r w:rsidR="00B1441B" w:rsidRPr="00B1441B">
        <w:rPr>
          <w:rFonts w:asciiTheme="majorBidi" w:eastAsia="Calibri" w:hAnsiTheme="majorBidi" w:cstheme="majorBidi"/>
          <w:sz w:val="24"/>
          <w:szCs w:val="24"/>
        </w:rPr>
        <w:t>201</w:t>
      </w:r>
      <w:r w:rsidR="001274B3">
        <w:rPr>
          <w:rFonts w:asciiTheme="majorBidi" w:eastAsia="Calibri" w:hAnsiTheme="majorBidi" w:cstheme="majorBidi"/>
          <w:sz w:val="24"/>
          <w:szCs w:val="24"/>
        </w:rPr>
        <w:t>5</w:t>
      </w:r>
      <w:r w:rsidR="00C35BDC">
        <w:rPr>
          <w:rFonts w:asciiTheme="majorBidi" w:eastAsia="Calibri" w:hAnsiTheme="majorBidi" w:cstheme="majorBidi"/>
          <w:sz w:val="24"/>
          <w:szCs w:val="24"/>
        </w:rPr>
        <w:t xml:space="preserve">, </w:t>
      </w:r>
      <w:r>
        <w:rPr>
          <w:rFonts w:asciiTheme="majorBidi" w:eastAsia="Calibri" w:hAnsiTheme="majorBidi" w:cstheme="majorBidi"/>
          <w:sz w:val="24"/>
          <w:szCs w:val="24"/>
        </w:rPr>
        <w:t>and 2016</w:t>
      </w:r>
      <w:r w:rsidR="00B1441B" w:rsidRPr="00B1441B">
        <w:rPr>
          <w:rFonts w:asciiTheme="majorBidi" w:eastAsia="Calibri" w:hAnsiTheme="majorBidi" w:cstheme="majorBidi"/>
          <w:sz w:val="24"/>
          <w:szCs w:val="24"/>
        </w:rPr>
        <w:t>).</w:t>
      </w:r>
      <w:r w:rsidR="00B1441B" w:rsidRPr="00B1441B">
        <w:rPr>
          <w:rStyle w:val="FootnoteReference"/>
          <w:rFonts w:asciiTheme="majorBidi" w:hAnsiTheme="majorBidi" w:cstheme="majorBidi"/>
          <w:sz w:val="24"/>
          <w:szCs w:val="24"/>
        </w:rPr>
        <w:footnoteReference w:id="13"/>
      </w:r>
      <w:r w:rsidR="00B1441B" w:rsidRPr="00B1441B">
        <w:rPr>
          <w:rFonts w:asciiTheme="majorBidi" w:hAnsiTheme="majorBidi" w:cstheme="majorBidi"/>
          <w:sz w:val="24"/>
          <w:szCs w:val="24"/>
        </w:rPr>
        <w:t xml:space="preserve"> </w:t>
      </w:r>
      <w:r w:rsidR="00901F1A">
        <w:rPr>
          <w:rFonts w:asciiTheme="majorBidi" w:hAnsiTheme="majorBidi" w:cstheme="majorBidi"/>
          <w:sz w:val="24"/>
          <w:szCs w:val="24"/>
        </w:rPr>
        <w:t xml:space="preserve">The basic ingredient of </w:t>
      </w:r>
      <w:r>
        <w:rPr>
          <w:rFonts w:asciiTheme="majorBidi" w:hAnsiTheme="majorBidi" w:cstheme="majorBidi"/>
          <w:sz w:val="24"/>
          <w:szCs w:val="24"/>
        </w:rPr>
        <w:t xml:space="preserve">these measures </w:t>
      </w:r>
      <w:r w:rsidR="00901F1A">
        <w:rPr>
          <w:rFonts w:asciiTheme="majorBidi" w:hAnsiTheme="majorBidi" w:cstheme="majorBidi"/>
          <w:sz w:val="24"/>
          <w:szCs w:val="24"/>
        </w:rPr>
        <w:t xml:space="preserve">is the variance decomposition of forecast errors </w:t>
      </w:r>
      <w:r w:rsidR="00574B6B">
        <w:rPr>
          <w:rFonts w:asciiTheme="majorBidi" w:hAnsiTheme="majorBidi" w:cstheme="majorBidi"/>
          <w:sz w:val="24"/>
          <w:szCs w:val="24"/>
        </w:rPr>
        <w:t xml:space="preserve">of </w:t>
      </w:r>
      <m:oMath>
        <m:r>
          <w:rPr>
            <w:rFonts w:ascii="Cambria Math" w:eastAsia="Calibri" w:hAnsi="Cambria Math" w:cstheme="majorBidi"/>
            <w:sz w:val="24"/>
            <w:szCs w:val="24"/>
          </w:rPr>
          <m:t>N</m:t>
        </m:r>
      </m:oMath>
      <w:r w:rsidR="00574B6B">
        <w:rPr>
          <w:rFonts w:asciiTheme="majorBidi" w:eastAsiaTheme="minorEastAsia" w:hAnsiTheme="majorBidi" w:cstheme="majorBidi"/>
          <w:sz w:val="24"/>
          <w:szCs w:val="24"/>
        </w:rPr>
        <w:t xml:space="preserve">-variable (market) </w:t>
      </w:r>
      <w:r w:rsidR="00901F1A">
        <w:rPr>
          <w:rFonts w:asciiTheme="majorBidi" w:hAnsiTheme="majorBidi" w:cstheme="majorBidi"/>
          <w:sz w:val="24"/>
          <w:szCs w:val="24"/>
        </w:rPr>
        <w:t>vector autoregression model</w:t>
      </w:r>
      <w:r w:rsidR="00574B6B">
        <w:rPr>
          <w:rFonts w:asciiTheme="majorBidi" w:hAnsiTheme="majorBidi" w:cstheme="majorBidi"/>
          <w:sz w:val="24"/>
          <w:szCs w:val="24"/>
        </w:rPr>
        <w:t xml:space="preserve"> (VAR). For instance, </w:t>
      </w:r>
      <w:r>
        <w:rPr>
          <w:rFonts w:asciiTheme="majorBidi" w:hAnsiTheme="majorBidi" w:cstheme="majorBidi"/>
          <w:sz w:val="24"/>
          <w:szCs w:val="24"/>
        </w:rPr>
        <w:t>t</w:t>
      </w:r>
      <w:r w:rsidR="00574B6B">
        <w:rPr>
          <w:rFonts w:asciiTheme="majorBidi" w:hAnsiTheme="majorBidi" w:cstheme="majorBidi"/>
          <w:sz w:val="24"/>
          <w:szCs w:val="24"/>
        </w:rPr>
        <w:t xml:space="preserve">he total </w:t>
      </w:r>
      <w:r>
        <w:rPr>
          <w:rFonts w:asciiTheme="majorBidi" w:hAnsiTheme="majorBidi" w:cstheme="majorBidi"/>
          <w:sz w:val="24"/>
          <w:szCs w:val="24"/>
        </w:rPr>
        <w:t xml:space="preserve">risk </w:t>
      </w:r>
      <w:r w:rsidR="00574B6B">
        <w:rPr>
          <w:rFonts w:asciiTheme="majorBidi" w:hAnsiTheme="majorBidi" w:cstheme="majorBidi"/>
          <w:sz w:val="24"/>
          <w:szCs w:val="24"/>
        </w:rPr>
        <w:t>transmission in the system of markets is computed by adding the shares of forecast error variance of all markets that are coming from shock</w:t>
      </w:r>
      <w:r w:rsidR="00932C00">
        <w:rPr>
          <w:rFonts w:asciiTheme="majorBidi" w:hAnsiTheme="majorBidi" w:cstheme="majorBidi"/>
          <w:sz w:val="24"/>
          <w:szCs w:val="24"/>
        </w:rPr>
        <w:t>s</w:t>
      </w:r>
      <w:r w:rsidR="00574B6B">
        <w:rPr>
          <w:rFonts w:asciiTheme="majorBidi" w:hAnsiTheme="majorBidi" w:cstheme="majorBidi"/>
          <w:sz w:val="24"/>
          <w:szCs w:val="24"/>
        </w:rPr>
        <w:t xml:space="preserve"> to other markets. </w:t>
      </w:r>
      <w:r>
        <w:rPr>
          <w:rFonts w:asciiTheme="majorBidi" w:hAnsiTheme="majorBidi" w:cstheme="majorBidi"/>
          <w:sz w:val="24"/>
          <w:szCs w:val="24"/>
        </w:rPr>
        <w:t xml:space="preserve">Hence, </w:t>
      </w:r>
      <w:r w:rsidR="00574B6B">
        <w:rPr>
          <w:rFonts w:asciiTheme="majorBidi" w:hAnsiTheme="majorBidi" w:cstheme="majorBidi"/>
          <w:sz w:val="24"/>
          <w:szCs w:val="24"/>
        </w:rPr>
        <w:t xml:space="preserve">for each asset </w:t>
      </w:r>
      <m:oMath>
        <m:r>
          <w:rPr>
            <w:rFonts w:ascii="Cambria Math" w:eastAsia="Calibri" w:hAnsi="Cambria Math" w:cstheme="majorBidi"/>
            <w:sz w:val="24"/>
            <w:szCs w:val="24"/>
          </w:rPr>
          <m:t>i</m:t>
        </m:r>
      </m:oMath>
      <w:r w:rsidR="007E2E89">
        <w:rPr>
          <w:rFonts w:asciiTheme="majorBidi" w:eastAsiaTheme="minorEastAsia" w:hAnsiTheme="majorBidi" w:cstheme="majorBidi"/>
          <w:sz w:val="24"/>
          <w:szCs w:val="24"/>
        </w:rPr>
        <w:t xml:space="preserve"> </w:t>
      </w:r>
      <w:r w:rsidR="00574B6B">
        <w:rPr>
          <w:rFonts w:asciiTheme="majorBidi" w:eastAsiaTheme="minorEastAsia" w:hAnsiTheme="majorBidi" w:cstheme="majorBidi"/>
          <w:sz w:val="24"/>
          <w:szCs w:val="24"/>
        </w:rPr>
        <w:t xml:space="preserve">we simply add the shares of its forecast error variance coming from shocks to </w:t>
      </w:r>
      <w:r w:rsidR="00932C00">
        <w:rPr>
          <w:rFonts w:asciiTheme="majorBidi" w:eastAsiaTheme="minorEastAsia" w:hAnsiTheme="majorBidi" w:cstheme="majorBidi"/>
          <w:sz w:val="24"/>
          <w:szCs w:val="24"/>
        </w:rPr>
        <w:t>asset</w:t>
      </w:r>
      <w:r w:rsidR="007E2E89">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j</m:t>
        </m:r>
      </m:oMath>
      <w:r w:rsidR="00932C00">
        <w:rPr>
          <w:rFonts w:asciiTheme="majorBidi" w:eastAsiaTheme="minorEastAsia" w:hAnsiTheme="majorBidi" w:cstheme="majorBidi"/>
          <w:sz w:val="24"/>
          <w:szCs w:val="24"/>
        </w:rPr>
        <w:t>, for all</w:t>
      </w:r>
      <w:r w:rsidR="007E2E89">
        <w:rPr>
          <w:rFonts w:asciiTheme="majorBidi" w:eastAsiaTheme="minorEastAsia" w:hAnsiTheme="majorBidi" w:cstheme="majorBidi"/>
          <w:sz w:val="24"/>
          <w:szCs w:val="24"/>
        </w:rPr>
        <w:t xml:space="preserve"> </w:t>
      </w:r>
      <m:oMath>
        <m:r>
          <w:rPr>
            <w:rFonts w:ascii="Cambria Math" w:eastAsia="Calibri" w:hAnsi="Cambria Math" w:cstheme="majorBidi"/>
            <w:sz w:val="24"/>
            <w:szCs w:val="24"/>
          </w:rPr>
          <m:t>i≠j</m:t>
        </m:r>
      </m:oMath>
      <w:r w:rsidR="00932C00">
        <w:rPr>
          <w:rFonts w:asciiTheme="majorBidi" w:eastAsiaTheme="minorEastAsia" w:hAnsiTheme="majorBidi" w:cstheme="majorBidi"/>
          <w:sz w:val="24"/>
          <w:szCs w:val="24"/>
        </w:rPr>
        <w:t>, and then we add across all</w:t>
      </w:r>
      <w:r w:rsidR="006632AA">
        <w:rPr>
          <w:rFonts w:asciiTheme="majorBidi" w:eastAsiaTheme="minorEastAsia" w:hAnsiTheme="majorBidi" w:cstheme="majorBidi"/>
          <w:sz w:val="24"/>
          <w:szCs w:val="24"/>
        </w:rPr>
        <w:t xml:space="preserve"> markets </w:t>
      </w:r>
      <m:oMath>
        <m:r>
          <w:rPr>
            <w:rFonts w:ascii="Cambria Math" w:eastAsia="Calibri" w:hAnsi="Cambria Math" w:cstheme="majorBidi"/>
            <w:sz w:val="24"/>
            <w:szCs w:val="24"/>
          </w:rPr>
          <m:t>i=1,…….,N</m:t>
        </m:r>
      </m:oMath>
      <w:r w:rsidR="00932C00">
        <w:rPr>
          <w:rFonts w:asciiTheme="majorBidi" w:eastAsiaTheme="minorEastAsia" w:hAnsiTheme="majorBidi" w:cstheme="majorBidi"/>
          <w:sz w:val="24"/>
          <w:szCs w:val="24"/>
        </w:rPr>
        <w:t>.</w:t>
      </w:r>
      <w:r w:rsidR="00574B6B">
        <w:rPr>
          <w:rFonts w:asciiTheme="majorBidi" w:hAnsiTheme="majorBidi" w:cstheme="majorBidi"/>
          <w:sz w:val="24"/>
          <w:szCs w:val="24"/>
        </w:rPr>
        <w:t xml:space="preserve">    </w:t>
      </w:r>
    </w:p>
    <w:p w:rsidR="00B1441B" w:rsidRPr="00B1441B" w:rsidRDefault="00C269BD" w:rsidP="00C269BD">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More formally, a</w:t>
      </w:r>
      <w:r w:rsidR="0089577A">
        <w:rPr>
          <w:rFonts w:asciiTheme="majorBidi" w:eastAsia="Calibri" w:hAnsiTheme="majorBidi" w:cstheme="majorBidi"/>
          <w:sz w:val="24"/>
          <w:szCs w:val="24"/>
        </w:rPr>
        <w:t xml:space="preserve">ssume that </w:t>
      </w:r>
      <w:r w:rsidR="001F2E5F" w:rsidRPr="001F2E5F">
        <w:rPr>
          <w:rFonts w:asciiTheme="majorBidi" w:eastAsia="Calibri" w:hAnsiTheme="majorBidi" w:cstheme="majorBidi"/>
          <w:sz w:val="24"/>
          <w:szCs w:val="24"/>
        </w:rPr>
        <w:t xml:space="preserve">the </w:t>
      </w:r>
      <w:r w:rsidR="001F2E5F" w:rsidRPr="00CE6465">
        <w:rPr>
          <w:rFonts w:asciiTheme="majorBidi" w:eastAsia="Calibri" w:hAnsiTheme="majorBidi" w:cstheme="majorBidi"/>
          <w:sz w:val="24"/>
          <w:szCs w:val="24"/>
        </w:rPr>
        <w:t xml:space="preserve">first difference of </w:t>
      </w:r>
      <w:r w:rsidR="001B0CAA">
        <w:rPr>
          <w:rFonts w:asciiTheme="majorBidi" w:eastAsia="Calibri" w:hAnsiTheme="majorBidi" w:cstheme="majorBidi"/>
          <w:sz w:val="24"/>
          <w:szCs w:val="24"/>
        </w:rPr>
        <w:t xml:space="preserve">log </w:t>
      </w:r>
      <w:r w:rsidR="0089577A" w:rsidRPr="00CE6465">
        <w:rPr>
          <w:rFonts w:asciiTheme="majorBidi" w:hAnsiTheme="majorBidi" w:cstheme="majorBidi"/>
          <w:sz w:val="24"/>
          <w:szCs w:val="24"/>
        </w:rPr>
        <w:t>implied</w:t>
      </w:r>
      <w:r w:rsidR="0089577A" w:rsidRPr="00CE6465">
        <w:rPr>
          <w:rFonts w:asciiTheme="majorBidi" w:eastAsia="Calibri" w:hAnsiTheme="majorBidi" w:cstheme="majorBidi"/>
          <w:sz w:val="24"/>
          <w:szCs w:val="24"/>
        </w:rPr>
        <w:t xml:space="preserve"> volatility</w:t>
      </w:r>
      <w:r w:rsidR="00B1441B" w:rsidRPr="00B1441B">
        <w:rPr>
          <w:rFonts w:asciiTheme="majorBidi" w:eastAsia="Calibri" w:hAnsiTheme="majorBidi" w:cstheme="majorBidi"/>
          <w:sz w:val="24"/>
          <w:szCs w:val="24"/>
        </w:rPr>
        <w:t xml:space="preserve">,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IV</m:t>
            </m:r>
          </m:e>
          <m:sub>
            <m:r>
              <w:rPr>
                <w:rFonts w:ascii="Cambria Math" w:eastAsia="Calibri" w:hAnsi="Cambria Math" w:cstheme="majorBidi"/>
                <w:sz w:val="24"/>
                <w:szCs w:val="24"/>
              </w:rPr>
              <m:t>i</m:t>
            </m:r>
          </m:sub>
        </m:sSub>
      </m:oMath>
      <w:r w:rsidR="00B1441B" w:rsidRPr="00B1441B">
        <w:rPr>
          <w:rFonts w:asciiTheme="majorBidi" w:eastAsia="Calibri" w:hAnsiTheme="majorBidi" w:cstheme="majorBidi"/>
          <w:sz w:val="24"/>
          <w:szCs w:val="24"/>
        </w:rPr>
        <w:t xml:space="preserve"> </w:t>
      </w:r>
      <w:r w:rsidR="0089577A">
        <w:rPr>
          <w:rFonts w:asciiTheme="majorBidi" w:eastAsia="Calibri" w:hAnsiTheme="majorBidi" w:cstheme="majorBidi"/>
          <w:sz w:val="24"/>
          <w:szCs w:val="24"/>
        </w:rPr>
        <w:t>is</w:t>
      </w:r>
      <w:r w:rsidR="00B1441B" w:rsidRPr="00B1441B">
        <w:rPr>
          <w:rFonts w:asciiTheme="majorBidi" w:eastAsia="Calibri" w:hAnsiTheme="majorBidi" w:cstheme="majorBidi"/>
          <w:sz w:val="24"/>
          <w:szCs w:val="24"/>
        </w:rPr>
        <w:t xml:space="preserve"> modeled as a vector autoregressive process, </w:t>
      </w:r>
      <m:oMath>
        <m:r>
          <w:rPr>
            <w:rFonts w:ascii="Cambria Math" w:eastAsia="Calibri" w:hAnsi="Cambria Math" w:cstheme="majorBidi"/>
            <w:sz w:val="24"/>
            <w:szCs w:val="24"/>
          </w:rPr>
          <m:t>VAR(p)</m:t>
        </m:r>
      </m:oMath>
      <w:r w:rsidR="00B1441B" w:rsidRPr="00B1441B">
        <w:rPr>
          <w:rFonts w:asciiTheme="majorBidi" w:eastAsia="Calibri" w:hAnsiTheme="majorBidi" w:cstheme="majorBidi"/>
          <w:sz w:val="24"/>
          <w:szCs w:val="24"/>
        </w:rPr>
        <w:t xml:space="preserve"> that can be written as</w:t>
      </w:r>
      <w:r w:rsidR="00B1441B" w:rsidRPr="00B1441B">
        <w:rPr>
          <w:rStyle w:val="FootnoteReference"/>
          <w:rFonts w:asciiTheme="majorBidi" w:eastAsia="Calibri" w:hAnsiTheme="majorBidi" w:cstheme="majorBidi"/>
          <w:sz w:val="24"/>
          <w:szCs w:val="24"/>
        </w:rPr>
        <w:footnoteReference w:id="14"/>
      </w:r>
    </w:p>
    <w:p w:rsidR="008B5988" w:rsidRDefault="00B1441B" w:rsidP="008B5988">
      <w:pPr>
        <w:tabs>
          <w:tab w:val="left" w:pos="2835"/>
        </w:tabs>
        <w:spacing w:after="0" w:line="240" w:lineRule="auto"/>
        <w:ind w:firstLine="540"/>
        <w:jc w:val="right"/>
        <w:rPr>
          <w:rFonts w:asciiTheme="majorBidi" w:eastAsia="Calibri" w:hAnsiTheme="majorBidi" w:cstheme="majorBidi"/>
          <w:sz w:val="24"/>
          <w:szCs w:val="24"/>
        </w:rPr>
      </w:pPr>
      <w:r w:rsidRPr="00B1441B">
        <w:rPr>
          <w:rFonts w:asciiTheme="majorBidi" w:eastAsia="Calibri" w:hAnsiTheme="majorBidi" w:cstheme="majorBidi"/>
          <w:sz w:val="24"/>
          <w:szCs w:val="24"/>
        </w:rPr>
        <w:t xml:space="preserve">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IV</m:t>
            </m:r>
          </m:e>
          <m:sub>
            <m:r>
              <w:rPr>
                <w:rFonts w:ascii="Cambria Math" w:eastAsia="Calibri" w:hAnsi="Cambria Math" w:cstheme="majorBidi"/>
                <w:sz w:val="24"/>
                <w:szCs w:val="24"/>
              </w:rPr>
              <m:t>i</m:t>
            </m:r>
          </m:sub>
        </m:sSub>
        <m:r>
          <w:rPr>
            <w:rFonts w:ascii="Cambria Math" w:eastAsia="Calibri" w:hAnsi="Cambria Math" w:cstheme="majorBidi"/>
            <w:sz w:val="24"/>
            <w:szCs w:val="24"/>
          </w:rPr>
          <m:t>=</m:t>
        </m:r>
        <m:nary>
          <m:naryPr>
            <m:chr m:val="∑"/>
            <m:limLoc m:val="undOvr"/>
            <m:ctrlPr>
              <w:rPr>
                <w:rFonts w:ascii="Cambria Math" w:eastAsia="Calibri" w:hAnsi="Cambria Math" w:cstheme="majorBidi"/>
                <w:i/>
                <w:sz w:val="24"/>
                <w:szCs w:val="24"/>
              </w:rPr>
            </m:ctrlPr>
          </m:naryPr>
          <m:sub>
            <m:r>
              <w:rPr>
                <w:rFonts w:ascii="Cambria Math" w:eastAsia="Calibri" w:hAnsi="Cambria Math" w:cstheme="majorBidi"/>
                <w:sz w:val="24"/>
                <w:szCs w:val="24"/>
              </w:rPr>
              <m:t>i=1</m:t>
            </m:r>
          </m:sub>
          <m:sup>
            <m:r>
              <w:rPr>
                <w:rFonts w:ascii="Cambria Math" w:eastAsia="Calibri" w:hAnsi="Cambria Math" w:cstheme="majorBidi"/>
                <w:sz w:val="24"/>
                <w:szCs w:val="24"/>
              </w:rPr>
              <m:t>p</m:t>
            </m:r>
          </m:sup>
          <m:e>
            <m:r>
              <w:rPr>
                <w:rFonts w:ascii="Cambria Math" w:eastAsia="Calibri" w:hAnsi="Cambria Math" w:cstheme="majorBidi"/>
                <w:sz w:val="24"/>
                <w:szCs w:val="24"/>
              </w:rPr>
              <m:t>Φ</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IV</m:t>
                </m:r>
              </m:e>
              <m:sub>
                <m:r>
                  <w:rPr>
                    <w:rFonts w:ascii="Cambria Math" w:eastAsia="Calibri" w:hAnsi="Cambria Math" w:cstheme="majorBidi"/>
                    <w:sz w:val="24"/>
                    <w:szCs w:val="24"/>
                  </w:rPr>
                  <m:t>t-i</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ε</m:t>
                </m:r>
              </m:e>
              <m:sub>
                <m:r>
                  <w:rPr>
                    <w:rFonts w:ascii="Cambria Math" w:eastAsia="Calibri" w:hAnsi="Cambria Math" w:cstheme="majorBidi"/>
                    <w:sz w:val="24"/>
                    <w:szCs w:val="24"/>
                  </w:rPr>
                  <m:t>t</m:t>
                </m:r>
              </m:sub>
            </m:sSub>
          </m:e>
        </m:nary>
        <m:r>
          <w:rPr>
            <w:rFonts w:ascii="Cambria Math" w:eastAsia="Calibri" w:hAnsi="Cambria Math" w:cstheme="majorBidi"/>
            <w:sz w:val="24"/>
            <w:szCs w:val="24"/>
          </w:rPr>
          <m:t xml:space="preserve">                                                                                        </m:t>
        </m:r>
        <m:d>
          <m:dPr>
            <m:ctrlPr>
              <w:rPr>
                <w:rFonts w:ascii="Cambria Math" w:eastAsia="Calibri" w:hAnsi="Cambria Math" w:cstheme="majorBidi"/>
                <w:i/>
                <w:sz w:val="24"/>
                <w:szCs w:val="24"/>
              </w:rPr>
            </m:ctrlPr>
          </m:dPr>
          <m:e>
            <m:r>
              <w:rPr>
                <w:rFonts w:ascii="Cambria Math" w:eastAsia="Calibri" w:hAnsi="Cambria Math" w:cstheme="majorBidi"/>
                <w:sz w:val="24"/>
                <w:szCs w:val="24"/>
              </w:rPr>
              <m:t>2</m:t>
            </m:r>
          </m:e>
        </m:d>
      </m:oMath>
      <w:r w:rsidRPr="00B1441B">
        <w:rPr>
          <w:rFonts w:asciiTheme="majorBidi" w:eastAsia="Calibri" w:hAnsiTheme="majorBidi" w:cstheme="majorBidi"/>
          <w:sz w:val="24"/>
          <w:szCs w:val="24"/>
        </w:rPr>
        <w:t xml:space="preserve"> </w:t>
      </w:r>
    </w:p>
    <w:p w:rsidR="00B1441B" w:rsidRPr="00B1441B" w:rsidRDefault="00B1441B" w:rsidP="008B5988">
      <w:pPr>
        <w:tabs>
          <w:tab w:val="left" w:pos="2835"/>
        </w:tabs>
        <w:spacing w:after="0" w:line="240" w:lineRule="auto"/>
        <w:ind w:firstLine="540"/>
        <w:jc w:val="right"/>
        <w:rPr>
          <w:rFonts w:asciiTheme="majorBidi" w:eastAsia="Calibri" w:hAnsiTheme="majorBidi" w:cstheme="majorBidi"/>
          <w:sz w:val="24"/>
          <w:szCs w:val="24"/>
        </w:rPr>
      </w:pPr>
      <w:r w:rsidRPr="00B1441B">
        <w:rPr>
          <w:rFonts w:asciiTheme="majorBidi" w:eastAsia="Calibri" w:hAnsiTheme="majorBidi" w:cstheme="majorBidi"/>
          <w:sz w:val="24"/>
          <w:szCs w:val="24"/>
        </w:rPr>
        <w:t xml:space="preserve">                       </w:t>
      </w:r>
    </w:p>
    <w:p w:rsidR="00B1441B" w:rsidRPr="00B1441B" w:rsidRDefault="007E2E89" w:rsidP="007E2E89">
      <w:pPr>
        <w:spacing w:line="480" w:lineRule="auto"/>
        <w:jc w:val="both"/>
        <w:rPr>
          <w:rFonts w:asciiTheme="majorBidi" w:hAnsiTheme="majorBidi" w:cstheme="majorBidi"/>
          <w:sz w:val="24"/>
          <w:szCs w:val="24"/>
          <w:rtl/>
        </w:rPr>
      </w:pPr>
      <w:r>
        <w:rPr>
          <w:rFonts w:asciiTheme="majorBidi" w:eastAsia="Calibri" w:hAnsiTheme="majorBidi" w:cstheme="majorBidi"/>
          <w:sz w:val="24"/>
          <w:szCs w:val="24"/>
        </w:rPr>
        <w:t>w</w:t>
      </w:r>
      <w:r w:rsidR="00932C00">
        <w:rPr>
          <w:rFonts w:asciiTheme="majorBidi" w:eastAsia="Calibri" w:hAnsiTheme="majorBidi" w:cstheme="majorBidi"/>
          <w:sz w:val="24"/>
          <w:szCs w:val="24"/>
        </w:rPr>
        <w:t>here</w:t>
      </w:r>
      <m:oMath>
        <m:r>
          <w:rPr>
            <w:rFonts w:ascii="Cambria Math" w:eastAsia="Calibri" w:hAnsi="Cambria Math" w:cstheme="majorBidi"/>
            <w:sz w:val="24"/>
            <w:szCs w:val="24"/>
          </w:rPr>
          <m:t xml:space="preserve"> Φ</m:t>
        </m:r>
      </m:oMath>
      <w:r w:rsidR="00B1441B" w:rsidRPr="00B1441B">
        <w:rPr>
          <w:rFonts w:asciiTheme="majorBidi" w:eastAsia="Calibri" w:hAnsiTheme="majorBidi" w:cstheme="majorBidi"/>
          <w:sz w:val="24"/>
          <w:szCs w:val="24"/>
        </w:rPr>
        <w:t xml:space="preserve"> is a </w:t>
      </w:r>
      <m:oMath>
        <m:r>
          <w:rPr>
            <w:rFonts w:ascii="Cambria Math" w:eastAsia="Calibri" w:hAnsi="Cambria Math" w:cstheme="majorBidi"/>
            <w:sz w:val="24"/>
            <w:szCs w:val="24"/>
          </w:rPr>
          <m:t xml:space="preserve">N×N </m:t>
        </m:r>
      </m:oMath>
      <w:r w:rsidR="00B1441B" w:rsidRPr="00B1441B">
        <w:rPr>
          <w:rFonts w:asciiTheme="majorBidi" w:eastAsia="Calibri" w:hAnsiTheme="majorBidi" w:cstheme="majorBidi"/>
          <w:sz w:val="24"/>
          <w:szCs w:val="24"/>
        </w:rPr>
        <w:t xml:space="preserve">matrix of parameters to be estimated. Also assume that the vector of error terms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ε</m:t>
            </m:r>
          </m:e>
          <m:sub>
            <m:r>
              <w:rPr>
                <w:rFonts w:ascii="Cambria Math" w:eastAsia="Calibri" w:hAnsi="Cambria Math" w:cstheme="majorBidi"/>
                <w:sz w:val="24"/>
                <w:szCs w:val="24"/>
              </w:rPr>
              <m:t>t</m:t>
            </m:r>
          </m:sub>
        </m:sSub>
      </m:oMath>
      <w:r>
        <w:rPr>
          <w:rFonts w:asciiTheme="majorBidi" w:eastAsia="Calibri" w:hAnsiTheme="majorBidi" w:cstheme="majorBidi"/>
          <w:sz w:val="24"/>
          <w:szCs w:val="24"/>
        </w:rPr>
        <w:t xml:space="preserve"> </w:t>
      </w:r>
      <w:r w:rsidR="00B1441B" w:rsidRPr="00B1441B">
        <w:rPr>
          <w:rFonts w:asciiTheme="majorBidi" w:eastAsia="Calibri" w:hAnsiTheme="majorBidi" w:cstheme="majorBidi"/>
          <w:sz w:val="24"/>
          <w:szCs w:val="24"/>
        </w:rPr>
        <w:t xml:space="preserve">is independently and identically distributed with zero mean, and </w:t>
      </w:r>
      <m:oMath>
        <m:r>
          <w:rPr>
            <w:rFonts w:ascii="Cambria Math" w:eastAsia="Calibri" w:hAnsi="Cambria Math" w:cstheme="majorBidi"/>
            <w:sz w:val="24"/>
            <w:szCs w:val="24"/>
          </w:rPr>
          <m:t>∑</m:t>
        </m:r>
      </m:oMath>
      <w:r w:rsidR="00B1441B" w:rsidRPr="00B1441B">
        <w:rPr>
          <w:rFonts w:asciiTheme="majorBidi" w:eastAsia="Calibri" w:hAnsiTheme="majorBidi" w:cstheme="majorBidi"/>
          <w:sz w:val="24"/>
          <w:szCs w:val="24"/>
        </w:rPr>
        <w:t xml:space="preserve"> covariance matrix. If the </w:t>
      </w:r>
      <m:oMath>
        <m:r>
          <w:rPr>
            <w:rFonts w:ascii="Cambria Math" w:eastAsia="Calibri" w:hAnsi="Cambria Math" w:cstheme="majorBidi"/>
            <w:sz w:val="24"/>
            <w:szCs w:val="24"/>
          </w:rPr>
          <m:t>VAR</m:t>
        </m:r>
      </m:oMath>
      <w:r w:rsidR="00B1441B" w:rsidRPr="00B1441B">
        <w:rPr>
          <w:rFonts w:asciiTheme="majorBidi" w:eastAsia="Calibri" w:hAnsiTheme="majorBidi" w:cstheme="majorBidi"/>
          <w:sz w:val="24"/>
          <w:szCs w:val="24"/>
        </w:rPr>
        <w:t xml:space="preserve"> system above is covariance stationary, then there exists a moving average representation that is given by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IV</m:t>
            </m:r>
          </m:e>
          <m:sub>
            <m:r>
              <w:rPr>
                <w:rFonts w:ascii="Cambria Math" w:eastAsia="Calibri" w:hAnsi="Cambria Math" w:cstheme="majorBidi"/>
                <w:sz w:val="24"/>
                <w:szCs w:val="24"/>
              </w:rPr>
              <m:t>t</m:t>
            </m:r>
          </m:sub>
        </m:sSub>
        <m:r>
          <w:rPr>
            <w:rFonts w:ascii="Cambria Math" w:eastAsia="Calibri" w:hAnsi="Cambria Math" w:cstheme="majorBidi"/>
            <w:sz w:val="24"/>
            <w:szCs w:val="24"/>
          </w:rPr>
          <m:t>=</m:t>
        </m:r>
        <m:nary>
          <m:naryPr>
            <m:chr m:val="∑"/>
            <m:limLoc m:val="undOvr"/>
            <m:ctrlPr>
              <w:rPr>
                <w:rFonts w:ascii="Cambria Math" w:eastAsia="Calibri" w:hAnsi="Cambria Math" w:cstheme="majorBidi"/>
                <w:i/>
                <w:sz w:val="24"/>
                <w:szCs w:val="24"/>
              </w:rPr>
            </m:ctrlPr>
          </m:naryPr>
          <m:sub>
            <m:r>
              <w:rPr>
                <w:rFonts w:ascii="Cambria Math" w:eastAsia="Calibri" w:hAnsi="Cambria Math" w:cstheme="majorBidi"/>
                <w:sz w:val="24"/>
                <w:szCs w:val="24"/>
              </w:rPr>
              <m:t>i=0</m:t>
            </m:r>
          </m:sub>
          <m:sup>
            <m:r>
              <w:rPr>
                <w:rFonts w:ascii="Cambria Math" w:eastAsia="Calibri" w:hAnsi="Cambria Math" w:cstheme="majorBidi"/>
                <w:sz w:val="24"/>
                <w:szCs w:val="24"/>
              </w:rPr>
              <m:t>∞</m:t>
            </m:r>
          </m:sup>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m:t>
                </m:r>
              </m:e>
              <m:sub>
                <m:r>
                  <w:rPr>
                    <w:rFonts w:ascii="Cambria Math" w:eastAsia="Calibri" w:hAnsi="Cambria Math" w:cstheme="majorBidi"/>
                    <w:sz w:val="24"/>
                    <w:szCs w:val="24"/>
                  </w:rPr>
                  <m:t>i</m:t>
                </m:r>
              </m:sub>
            </m:s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ε</m:t>
                </m:r>
              </m:e>
              <m:sub>
                <m:r>
                  <w:rPr>
                    <w:rFonts w:ascii="Cambria Math" w:eastAsia="Calibri" w:hAnsi="Cambria Math" w:cstheme="majorBidi"/>
                    <w:sz w:val="24"/>
                    <w:szCs w:val="24"/>
                  </w:rPr>
                  <m:t>t-i</m:t>
                </m:r>
              </m:sub>
            </m:sSub>
          </m:e>
        </m:nary>
      </m:oMath>
      <w:r w:rsidR="00B1441B" w:rsidRPr="00B1441B">
        <w:rPr>
          <w:rFonts w:asciiTheme="majorBidi" w:eastAsia="Calibri" w:hAnsiTheme="majorBidi" w:cstheme="majorBidi"/>
          <w:sz w:val="24"/>
          <w:szCs w:val="24"/>
        </w:rPr>
        <w:t xml:space="preserve">,where the </w:t>
      </w:r>
      <m:oMath>
        <m:r>
          <w:rPr>
            <w:rFonts w:ascii="Cambria Math" w:eastAsia="Calibri" w:hAnsi="Cambria Math" w:cstheme="majorBidi"/>
            <w:sz w:val="24"/>
            <w:szCs w:val="24"/>
          </w:rPr>
          <m:t>N×N</m:t>
        </m:r>
      </m:oMath>
      <w:r w:rsidR="00B1441B" w:rsidRPr="00B1441B">
        <w:rPr>
          <w:rFonts w:asciiTheme="majorBidi" w:eastAsia="Calibri" w:hAnsiTheme="majorBidi" w:cstheme="majorBidi"/>
          <w:sz w:val="24"/>
          <w:szCs w:val="24"/>
        </w:rPr>
        <w:t xml:space="preserve"> coefficient matrices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m:t>
            </m:r>
          </m:e>
          <m:sub>
            <m:r>
              <w:rPr>
                <w:rFonts w:ascii="Cambria Math" w:eastAsia="Calibri" w:hAnsi="Cambria Math" w:cstheme="majorBidi"/>
                <w:sz w:val="24"/>
                <w:szCs w:val="24"/>
              </w:rPr>
              <m:t>i</m:t>
            </m:r>
          </m:sub>
        </m:sSub>
      </m:oMath>
      <w:r w:rsidR="00B1441B" w:rsidRPr="00B1441B">
        <w:rPr>
          <w:rFonts w:asciiTheme="majorBidi" w:eastAsia="Calibri" w:hAnsiTheme="majorBidi" w:cstheme="majorBidi"/>
          <w:sz w:val="24"/>
          <w:szCs w:val="24"/>
        </w:rPr>
        <w:t xml:space="preserve"> obey a recursion of the form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m:t>
            </m:r>
          </m:e>
          <m:sub>
            <m:r>
              <w:rPr>
                <w:rFonts w:ascii="Cambria Math" w:eastAsia="Calibri" w:hAnsi="Cambria Math" w:cstheme="majorBidi"/>
                <w:sz w:val="24"/>
                <w:szCs w:val="24"/>
              </w:rPr>
              <m:t>i</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Φ</m:t>
            </m:r>
          </m:e>
          <m:sub>
            <m:r>
              <w:rPr>
                <w:rFonts w:ascii="Cambria Math" w:eastAsia="Calibri" w:hAnsi="Cambria Math" w:cstheme="majorBidi"/>
                <w:sz w:val="24"/>
                <w:szCs w:val="24"/>
              </w:rPr>
              <m:t>1</m:t>
            </m:r>
          </m:sub>
        </m:s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m:t>
            </m:r>
          </m:e>
          <m:sub>
            <m:r>
              <w:rPr>
                <w:rFonts w:ascii="Cambria Math" w:eastAsia="Calibri" w:hAnsi="Cambria Math" w:cstheme="majorBidi"/>
                <w:sz w:val="24"/>
                <w:szCs w:val="24"/>
              </w:rPr>
              <m:t>i-1</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Φ</m:t>
            </m:r>
          </m:e>
          <m:sub>
            <m:r>
              <w:rPr>
                <w:rFonts w:ascii="Cambria Math" w:eastAsia="Calibri" w:hAnsi="Cambria Math" w:cstheme="majorBidi"/>
                <w:sz w:val="24"/>
                <w:szCs w:val="24"/>
              </w:rPr>
              <m:t>2</m:t>
            </m:r>
          </m:sub>
        </m:s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m:t>
            </m:r>
          </m:e>
          <m:sub>
            <m:r>
              <w:rPr>
                <w:rFonts w:ascii="Cambria Math" w:eastAsia="Calibri" w:hAnsi="Cambria Math" w:cstheme="majorBidi"/>
                <w:sz w:val="24"/>
                <w:szCs w:val="24"/>
              </w:rPr>
              <m:t>i-2</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Φ</m:t>
            </m:r>
          </m:e>
          <m:sub>
            <m:r>
              <w:rPr>
                <w:rFonts w:ascii="Cambria Math" w:eastAsia="Calibri" w:hAnsi="Cambria Math" w:cstheme="majorBidi"/>
                <w:sz w:val="24"/>
                <w:szCs w:val="24"/>
              </w:rPr>
              <m:t>p</m:t>
            </m:r>
          </m:sub>
        </m:s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m:t>
            </m:r>
          </m:e>
          <m:sub>
            <m:r>
              <w:rPr>
                <w:rFonts w:ascii="Cambria Math" w:eastAsia="Calibri" w:hAnsi="Cambria Math" w:cstheme="majorBidi"/>
                <w:sz w:val="24"/>
                <w:szCs w:val="24"/>
              </w:rPr>
              <m:t>i-p</m:t>
            </m:r>
          </m:sub>
        </m:sSub>
      </m:oMath>
      <w:r>
        <w:rPr>
          <w:rFonts w:asciiTheme="majorBidi" w:eastAsia="Calibri" w:hAnsiTheme="majorBidi" w:cstheme="majorBidi"/>
          <w:sz w:val="24"/>
          <w:szCs w:val="24"/>
        </w:rPr>
        <w:t xml:space="preserve"> </w:t>
      </w:r>
      <w:r w:rsidR="00B1441B" w:rsidRPr="00B1441B">
        <w:rPr>
          <w:rFonts w:asciiTheme="majorBidi" w:eastAsia="Calibri" w:hAnsiTheme="majorBidi" w:cstheme="majorBidi"/>
          <w:sz w:val="24"/>
          <w:szCs w:val="24"/>
        </w:rPr>
        <w:t xml:space="preserve">with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m:t>
            </m:r>
          </m:e>
          <m:sub>
            <m:r>
              <w:rPr>
                <w:rFonts w:ascii="Cambria Math" w:eastAsia="Calibri" w:hAnsi="Cambria Math" w:cstheme="majorBidi"/>
                <w:sz w:val="24"/>
                <w:szCs w:val="24"/>
              </w:rPr>
              <m:t>0</m:t>
            </m:r>
          </m:sub>
        </m:sSub>
      </m:oMath>
      <w:r w:rsidR="00B1441B" w:rsidRPr="00B1441B">
        <w:rPr>
          <w:rFonts w:asciiTheme="majorBidi" w:eastAsia="Calibri" w:hAnsiTheme="majorBidi" w:cstheme="majorBidi"/>
          <w:sz w:val="24"/>
          <w:szCs w:val="24"/>
        </w:rPr>
        <w:t xml:space="preserve"> is the </w:t>
      </w:r>
      <m:oMath>
        <m:r>
          <w:rPr>
            <w:rFonts w:ascii="Cambria Math" w:eastAsia="Calibri" w:hAnsi="Cambria Math" w:cstheme="majorBidi"/>
            <w:sz w:val="24"/>
            <w:szCs w:val="24"/>
          </w:rPr>
          <m:t>N×N</m:t>
        </m:r>
      </m:oMath>
      <w:r w:rsidR="00B1441B" w:rsidRPr="00B1441B">
        <w:rPr>
          <w:rFonts w:asciiTheme="majorBidi" w:eastAsia="Calibri" w:hAnsiTheme="majorBidi" w:cstheme="majorBidi"/>
          <w:sz w:val="24"/>
          <w:szCs w:val="24"/>
        </w:rPr>
        <w:t xml:space="preserve"> identity matrix and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m:t>
            </m:r>
          </m:e>
          <m:sub>
            <m:r>
              <w:rPr>
                <w:rFonts w:ascii="Cambria Math" w:eastAsia="Calibri" w:hAnsi="Cambria Math" w:cstheme="majorBidi"/>
                <w:sz w:val="24"/>
                <w:szCs w:val="24"/>
              </w:rPr>
              <m:t>i</m:t>
            </m:r>
          </m:sub>
        </m:sSub>
        <m:r>
          <w:rPr>
            <w:rFonts w:ascii="Cambria Math" w:eastAsia="Calibri" w:hAnsi="Cambria Math" w:cstheme="majorBidi"/>
            <w:sz w:val="24"/>
            <w:szCs w:val="24"/>
          </w:rPr>
          <m:t>=0</m:t>
        </m:r>
      </m:oMath>
      <w:r w:rsidR="00B1441B" w:rsidRPr="00B1441B">
        <w:rPr>
          <w:rFonts w:asciiTheme="majorBidi" w:eastAsia="Calibri" w:hAnsiTheme="majorBidi" w:cstheme="majorBidi"/>
          <w:sz w:val="24"/>
          <w:szCs w:val="24"/>
        </w:rPr>
        <w:t xml:space="preserve"> for</w:t>
      </w:r>
      <w:r>
        <w:rPr>
          <w:rFonts w:asciiTheme="majorBidi" w:eastAsia="Calibri" w:hAnsiTheme="majorBidi" w:cstheme="majorBidi"/>
          <w:sz w:val="24"/>
          <w:szCs w:val="24"/>
        </w:rPr>
        <w:t xml:space="preserve"> </w:t>
      </w:r>
      <m:oMath>
        <m:r>
          <w:rPr>
            <w:rFonts w:ascii="Cambria Math" w:eastAsia="Calibri" w:hAnsi="Cambria Math" w:cstheme="majorBidi"/>
            <w:sz w:val="24"/>
            <w:szCs w:val="24"/>
          </w:rPr>
          <m:t>i&gt;0</m:t>
        </m:r>
      </m:oMath>
      <w:r w:rsidR="00B1441B" w:rsidRPr="00B1441B">
        <w:rPr>
          <w:rFonts w:asciiTheme="majorBidi" w:eastAsia="Calibri" w:hAnsiTheme="majorBidi" w:cstheme="majorBidi"/>
          <w:sz w:val="24"/>
          <w:szCs w:val="24"/>
        </w:rPr>
        <w:t>.</w:t>
      </w:r>
    </w:p>
    <w:p w:rsidR="00B1441B" w:rsidRPr="00B1441B" w:rsidRDefault="00B1441B" w:rsidP="00325EE8">
      <w:pPr>
        <w:spacing w:after="0" w:line="480" w:lineRule="auto"/>
        <w:ind w:firstLine="284"/>
        <w:jc w:val="both"/>
        <w:rPr>
          <w:rFonts w:asciiTheme="majorBidi" w:eastAsia="Calibri" w:hAnsiTheme="majorBidi" w:cstheme="majorBidi"/>
          <w:sz w:val="24"/>
          <w:szCs w:val="24"/>
        </w:rPr>
      </w:pPr>
      <w:r w:rsidRPr="00B1441B">
        <w:rPr>
          <w:rFonts w:asciiTheme="majorBidi" w:eastAsia="Calibri" w:hAnsiTheme="majorBidi" w:cstheme="majorBidi"/>
          <w:sz w:val="24"/>
          <w:szCs w:val="24"/>
        </w:rPr>
        <w:lastRenderedPageBreak/>
        <w:t xml:space="preserve">The moving average coefficients are important </w:t>
      </w:r>
      <w:r w:rsidR="001969A0">
        <w:rPr>
          <w:rFonts w:asciiTheme="majorBidi" w:eastAsia="Calibri" w:hAnsiTheme="majorBidi" w:cstheme="majorBidi"/>
          <w:sz w:val="24"/>
          <w:szCs w:val="24"/>
        </w:rPr>
        <w:t>in</w:t>
      </w:r>
      <w:r w:rsidRPr="00B1441B">
        <w:rPr>
          <w:rFonts w:asciiTheme="majorBidi" w:eastAsia="Calibri" w:hAnsiTheme="majorBidi" w:cstheme="majorBidi"/>
          <w:sz w:val="24"/>
          <w:szCs w:val="24"/>
        </w:rPr>
        <w:t xml:space="preserve"> understand</w:t>
      </w:r>
      <w:r w:rsidR="001969A0">
        <w:rPr>
          <w:rFonts w:asciiTheme="majorBidi" w:eastAsia="Calibri" w:hAnsiTheme="majorBidi" w:cstheme="majorBidi"/>
          <w:sz w:val="24"/>
          <w:szCs w:val="24"/>
        </w:rPr>
        <w:t>ing</w:t>
      </w:r>
      <w:r w:rsidRPr="00B1441B">
        <w:rPr>
          <w:rFonts w:asciiTheme="majorBidi" w:eastAsia="Calibri" w:hAnsiTheme="majorBidi" w:cstheme="majorBidi"/>
          <w:sz w:val="24"/>
          <w:szCs w:val="24"/>
        </w:rPr>
        <w:t xml:space="preserve"> the dynamics</w:t>
      </w:r>
      <w:r w:rsidR="001969A0">
        <w:rPr>
          <w:rFonts w:asciiTheme="majorBidi" w:eastAsia="Calibri" w:hAnsiTheme="majorBidi" w:cstheme="majorBidi"/>
          <w:sz w:val="24"/>
          <w:szCs w:val="24"/>
        </w:rPr>
        <w:t xml:space="preserve">, while </w:t>
      </w:r>
      <w:r w:rsidRPr="00B1441B">
        <w:rPr>
          <w:rFonts w:asciiTheme="majorBidi" w:eastAsia="Calibri" w:hAnsiTheme="majorBidi" w:cstheme="majorBidi"/>
          <w:sz w:val="24"/>
          <w:szCs w:val="24"/>
        </w:rPr>
        <w:t xml:space="preserve">the variance decompositions are computed </w:t>
      </w:r>
      <w:r w:rsidR="0089577A">
        <w:rPr>
          <w:rFonts w:asciiTheme="majorBidi" w:eastAsia="Calibri" w:hAnsiTheme="majorBidi" w:cstheme="majorBidi"/>
          <w:sz w:val="24"/>
          <w:szCs w:val="24"/>
        </w:rPr>
        <w:t>by</w:t>
      </w:r>
      <w:r w:rsidRPr="00B1441B">
        <w:rPr>
          <w:rFonts w:asciiTheme="majorBidi" w:eastAsia="Calibri" w:hAnsiTheme="majorBidi" w:cstheme="majorBidi"/>
          <w:sz w:val="24"/>
          <w:szCs w:val="24"/>
        </w:rPr>
        <w:t xml:space="preserve"> transform</w:t>
      </w:r>
      <w:r w:rsidR="0089577A">
        <w:rPr>
          <w:rFonts w:asciiTheme="majorBidi" w:eastAsia="Calibri" w:hAnsiTheme="majorBidi" w:cstheme="majorBidi"/>
          <w:sz w:val="24"/>
          <w:szCs w:val="24"/>
        </w:rPr>
        <w:t>ing</w:t>
      </w:r>
      <w:r w:rsidRPr="00B1441B">
        <w:rPr>
          <w:rFonts w:asciiTheme="majorBidi" w:eastAsia="Calibri" w:hAnsiTheme="majorBidi" w:cstheme="majorBidi"/>
          <w:sz w:val="24"/>
          <w:szCs w:val="24"/>
        </w:rPr>
        <w:t xml:space="preserve"> the coefficients in the moving average representation above. The variance decompositions (or impulse responses) allow us to split the H-step ahead forecast error of each variable into parts that can be attributable to the various market shocks. The aggregation of these decompositions will be subsequently used to compute the directional connectedness </w:t>
      </w:r>
      <w:r w:rsidR="00DE29D8">
        <w:rPr>
          <w:rFonts w:asciiTheme="majorBidi" w:eastAsia="Calibri" w:hAnsiTheme="majorBidi" w:cstheme="majorBidi"/>
          <w:sz w:val="24"/>
          <w:szCs w:val="24"/>
        </w:rPr>
        <w:t>from</w:t>
      </w:r>
      <w:r w:rsidRPr="00B1441B">
        <w:rPr>
          <w:rFonts w:asciiTheme="majorBidi" w:eastAsia="Calibri" w:hAnsiTheme="majorBidi" w:cstheme="majorBidi"/>
          <w:sz w:val="24"/>
          <w:szCs w:val="24"/>
        </w:rPr>
        <w:t xml:space="preserve"> a particular market to any or to all of the included markets. </w:t>
      </w:r>
    </w:p>
    <w:p w:rsidR="00B1441B" w:rsidRPr="00B1441B" w:rsidRDefault="00B1441B" w:rsidP="001969A0">
      <w:pPr>
        <w:spacing w:after="0" w:line="480" w:lineRule="auto"/>
        <w:ind w:firstLine="284"/>
        <w:jc w:val="both"/>
        <w:rPr>
          <w:rFonts w:asciiTheme="majorBidi" w:eastAsia="Calibri" w:hAnsiTheme="majorBidi" w:cstheme="majorBidi"/>
          <w:sz w:val="24"/>
          <w:szCs w:val="24"/>
        </w:rPr>
      </w:pPr>
      <w:r w:rsidRPr="00B1441B">
        <w:rPr>
          <w:rFonts w:asciiTheme="majorBidi" w:eastAsia="Calibri" w:hAnsiTheme="majorBidi" w:cstheme="majorBidi"/>
          <w:sz w:val="24"/>
          <w:szCs w:val="24"/>
        </w:rPr>
        <w:t xml:space="preserve">The variance decompositions computation is usually done </w:t>
      </w:r>
      <w:r w:rsidR="00DE29D8">
        <w:rPr>
          <w:rFonts w:asciiTheme="majorBidi" w:eastAsia="Calibri" w:hAnsiTheme="majorBidi" w:cstheme="majorBidi"/>
          <w:sz w:val="24"/>
          <w:szCs w:val="24"/>
        </w:rPr>
        <w:t xml:space="preserve">by </w:t>
      </w:r>
      <w:r w:rsidRPr="00B1441B">
        <w:rPr>
          <w:rFonts w:asciiTheme="majorBidi" w:eastAsia="Calibri" w:hAnsiTheme="majorBidi" w:cstheme="majorBidi"/>
          <w:sz w:val="24"/>
          <w:szCs w:val="24"/>
        </w:rPr>
        <w:t>using orthogonal VAR shocks. The Cholesky identification scheme achieves orthogonality but the computed variance decompositions are then unstable and they are dependent on the ordering of the markets.</w:t>
      </w:r>
      <w:r w:rsidRPr="00B1441B">
        <w:rPr>
          <w:rStyle w:val="FootnoteReference"/>
          <w:rFonts w:asciiTheme="majorBidi" w:eastAsia="Calibri" w:hAnsiTheme="majorBidi" w:cstheme="majorBidi"/>
          <w:sz w:val="24"/>
          <w:szCs w:val="24"/>
        </w:rPr>
        <w:footnoteReference w:id="15"/>
      </w:r>
      <w:r w:rsidRPr="00B1441B">
        <w:rPr>
          <w:rFonts w:asciiTheme="majorBidi" w:eastAsia="Calibri" w:hAnsiTheme="majorBidi" w:cstheme="majorBidi"/>
          <w:sz w:val="24"/>
          <w:szCs w:val="24"/>
        </w:rPr>
        <w:t xml:space="preserve"> Thus, Cholesky decomposition is not suitable. A framework that produces invariant decompositions is the generalized VAR that allows for correlated shocks but accounts for them appropriately. The framework</w:t>
      </w:r>
      <w:r w:rsidR="001969A0">
        <w:rPr>
          <w:rFonts w:asciiTheme="majorBidi" w:eastAsia="Calibri" w:hAnsiTheme="majorBidi" w:cstheme="majorBidi"/>
          <w:sz w:val="24"/>
          <w:szCs w:val="24"/>
        </w:rPr>
        <w:t xml:space="preserve">, which we denote KPPS, </w:t>
      </w:r>
      <w:r w:rsidRPr="00B1441B">
        <w:rPr>
          <w:rFonts w:asciiTheme="majorBidi" w:eastAsia="Calibri" w:hAnsiTheme="majorBidi" w:cstheme="majorBidi"/>
          <w:sz w:val="24"/>
          <w:szCs w:val="24"/>
        </w:rPr>
        <w:t>has been first proposed by Koop et al. (1996) and Pesaran and Shin (1998). The KPPS forecast error variance decomposition (H step ahead) is computed as</w:t>
      </w:r>
    </w:p>
    <w:p w:rsidR="00B1441B" w:rsidRPr="008B5988" w:rsidRDefault="003974B7" w:rsidP="008B5988">
      <w:pPr>
        <w:autoSpaceDE w:val="0"/>
        <w:autoSpaceDN w:val="0"/>
        <w:adjustRightInd w:val="0"/>
        <w:spacing w:after="0" w:line="240" w:lineRule="auto"/>
        <w:ind w:firstLine="720"/>
        <w:jc w:val="both"/>
        <w:rPr>
          <w:rFonts w:asciiTheme="majorBidi" w:eastAsia="Calibri" w:hAnsiTheme="majorBidi" w:cstheme="majorBidi"/>
          <w:sz w:val="24"/>
          <w:szCs w:val="24"/>
        </w:rPr>
      </w:pPr>
      <m:oMathPara>
        <m:oMathParaPr>
          <m:jc m:val="right"/>
        </m:oMathParaPr>
        <m:oMath>
          <m:sSubSup>
            <m:sSubSupPr>
              <m:ctrlPr>
                <w:rPr>
                  <w:rFonts w:ascii="Cambria Math" w:eastAsia="Calibri" w:hAnsi="Cambria Math" w:cstheme="majorBidi"/>
                  <w:i/>
                  <w:sz w:val="24"/>
                  <w:szCs w:val="24"/>
                </w:rPr>
              </m:ctrlPr>
            </m:sSubSupPr>
            <m:e>
              <m:r>
                <w:rPr>
                  <w:rFonts w:ascii="Cambria Math" w:eastAsia="Calibri" w:hAnsi="Cambria Math" w:cstheme="majorBidi"/>
                  <w:sz w:val="24"/>
                  <w:szCs w:val="24"/>
                </w:rPr>
                <m:t>θ</m:t>
              </m:r>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sSubSup>
                <m:sSubSupPr>
                  <m:ctrlPr>
                    <w:rPr>
                      <w:rFonts w:ascii="Cambria Math" w:eastAsia="Calibri" w:hAnsi="Cambria Math" w:cstheme="majorBidi"/>
                      <w:i/>
                      <w:sz w:val="24"/>
                      <w:szCs w:val="24"/>
                    </w:rPr>
                  </m:ctrlPr>
                </m:sSubSupPr>
                <m:e>
                  <m:r>
                    <w:rPr>
                      <w:rFonts w:ascii="Cambria Math" w:eastAsia="Calibri" w:hAnsi="Cambria Math" w:cstheme="majorBidi"/>
                      <w:sz w:val="24"/>
                      <w:szCs w:val="24"/>
                    </w:rPr>
                    <m:t>σ</m:t>
                  </m:r>
                </m:e>
                <m:sub>
                  <m:r>
                    <w:rPr>
                      <w:rFonts w:ascii="Cambria Math" w:eastAsia="Calibri" w:hAnsi="Cambria Math" w:cstheme="majorBidi"/>
                      <w:sz w:val="24"/>
                      <w:szCs w:val="24"/>
                    </w:rPr>
                    <m:t>jj</m:t>
                  </m:r>
                </m:sub>
                <m:sup>
                  <m:r>
                    <w:rPr>
                      <w:rFonts w:ascii="Cambria Math" w:eastAsia="Calibri" w:hAnsi="Cambria Math" w:cstheme="majorBidi"/>
                      <w:sz w:val="24"/>
                      <w:szCs w:val="24"/>
                    </w:rPr>
                    <m:t>-1</m:t>
                  </m:r>
                </m:sup>
              </m:sSubSup>
              <m:nary>
                <m:naryPr>
                  <m:chr m:val="∑"/>
                  <m:limLoc m:val="undOvr"/>
                  <m:ctrlPr>
                    <w:rPr>
                      <w:rFonts w:ascii="Cambria Math" w:eastAsia="Calibri" w:hAnsi="Cambria Math" w:cstheme="majorBidi"/>
                      <w:i/>
                      <w:sz w:val="24"/>
                      <w:szCs w:val="24"/>
                    </w:rPr>
                  </m:ctrlPr>
                </m:naryPr>
                <m:sub>
                  <m:r>
                    <w:rPr>
                      <w:rFonts w:ascii="Cambria Math" w:eastAsia="Calibri" w:hAnsi="Cambria Math" w:cstheme="majorBidi"/>
                      <w:sz w:val="24"/>
                      <w:szCs w:val="24"/>
                    </w:rPr>
                    <m:t>h=0</m:t>
                  </m:r>
                </m:sub>
                <m:sup>
                  <m:r>
                    <w:rPr>
                      <w:rFonts w:ascii="Cambria Math" w:eastAsia="Calibri" w:hAnsi="Cambria Math" w:cstheme="majorBidi"/>
                      <w:sz w:val="24"/>
                      <w:szCs w:val="24"/>
                    </w:rPr>
                    <m:t>H-1</m:t>
                  </m:r>
                </m:sup>
                <m:e>
                  <m:sSup>
                    <m:sSupPr>
                      <m:ctrlPr>
                        <w:rPr>
                          <w:rFonts w:ascii="Cambria Math" w:eastAsia="Calibri" w:hAnsi="Cambria Math" w:cstheme="majorBidi"/>
                          <w:i/>
                          <w:sz w:val="24"/>
                          <w:szCs w:val="24"/>
                        </w:rPr>
                      </m:ctrlPr>
                    </m:sSupPr>
                    <m:e>
                      <m:d>
                        <m:dPr>
                          <m:ctrlPr>
                            <w:rPr>
                              <w:rFonts w:ascii="Cambria Math" w:eastAsia="Calibri" w:hAnsi="Cambria Math" w:cstheme="majorBidi"/>
                              <w:i/>
                              <w:sz w:val="24"/>
                              <w:szCs w:val="24"/>
                            </w:rPr>
                          </m:ctrlPr>
                        </m:dPr>
                        <m:e>
                          <m:sSubSup>
                            <m:sSubSupPr>
                              <m:ctrlPr>
                                <w:rPr>
                                  <w:rFonts w:ascii="Cambria Math" w:eastAsia="Calibri" w:hAnsi="Cambria Math" w:cstheme="majorBidi"/>
                                  <w:i/>
                                  <w:sz w:val="24"/>
                                  <w:szCs w:val="24"/>
                                </w:rPr>
                              </m:ctrlPr>
                            </m:sSubSupPr>
                            <m:e>
                              <m:r>
                                <w:rPr>
                                  <w:rFonts w:ascii="Cambria Math" w:eastAsia="Calibri" w:hAnsi="Cambria Math" w:cstheme="majorBidi"/>
                                  <w:sz w:val="24"/>
                                  <w:szCs w:val="24"/>
                                </w:rPr>
                                <m:t>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h</m:t>
                              </m:r>
                            </m:e>
                            <m:sub>
                              <m:r>
                                <w:rPr>
                                  <w:rFonts w:ascii="Cambria Math" w:eastAsia="Calibri" w:hAnsi="Cambria Math" w:cstheme="majorBidi"/>
                                  <w:sz w:val="24"/>
                                  <w:szCs w:val="24"/>
                                </w:rPr>
                                <m:t>h</m:t>
                              </m:r>
                            </m:sub>
                          </m:sSub>
                          <m:nary>
                            <m:naryPr>
                              <m:chr m:val="∑"/>
                              <m:limLoc m:val="undOvr"/>
                              <m:subHide m:val="1"/>
                              <m:supHide m:val="1"/>
                              <m:ctrlPr>
                                <w:rPr>
                                  <w:rFonts w:ascii="Cambria Math" w:eastAsia="Calibri" w:hAnsi="Cambria Math" w:cstheme="majorBidi"/>
                                  <w:i/>
                                  <w:sz w:val="24"/>
                                  <w:szCs w:val="24"/>
                                </w:rPr>
                              </m:ctrlPr>
                            </m:naryPr>
                            <m:sub/>
                            <m:sup/>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e</m:t>
                                  </m:r>
                                </m:e>
                                <m:sub>
                                  <m:r>
                                    <w:rPr>
                                      <w:rFonts w:ascii="Cambria Math" w:eastAsia="Calibri" w:hAnsi="Cambria Math" w:cstheme="majorBidi"/>
                                      <w:sz w:val="24"/>
                                      <w:szCs w:val="24"/>
                                    </w:rPr>
                                    <m:t>j</m:t>
                                  </m:r>
                                </m:sub>
                              </m:sSub>
                            </m:e>
                          </m:nary>
                        </m:e>
                      </m:d>
                    </m:e>
                    <m:sup>
                      <m:r>
                        <w:rPr>
                          <w:rFonts w:ascii="Cambria Math" w:eastAsia="Calibri" w:hAnsi="Cambria Math" w:cstheme="majorBidi"/>
                          <w:sz w:val="24"/>
                          <w:szCs w:val="24"/>
                        </w:rPr>
                        <m:t>2</m:t>
                      </m:r>
                    </m:sup>
                  </m:sSup>
                </m:e>
              </m:nary>
            </m:num>
            <m:den>
              <m:nary>
                <m:naryPr>
                  <m:chr m:val="∑"/>
                  <m:limLoc m:val="undOvr"/>
                  <m:ctrlPr>
                    <w:rPr>
                      <w:rFonts w:ascii="Cambria Math" w:eastAsia="Calibri" w:hAnsi="Cambria Math" w:cstheme="majorBidi"/>
                      <w:i/>
                      <w:sz w:val="24"/>
                      <w:szCs w:val="24"/>
                    </w:rPr>
                  </m:ctrlPr>
                </m:naryPr>
                <m:sub>
                  <m:r>
                    <w:rPr>
                      <w:rFonts w:ascii="Cambria Math" w:eastAsia="Calibri" w:hAnsi="Cambria Math" w:cstheme="majorBidi"/>
                      <w:sz w:val="24"/>
                      <w:szCs w:val="24"/>
                    </w:rPr>
                    <m:t>h=0</m:t>
                  </m:r>
                </m:sub>
                <m:sup>
                  <m:r>
                    <w:rPr>
                      <w:rFonts w:ascii="Cambria Math" w:eastAsia="Calibri" w:hAnsi="Cambria Math" w:cstheme="majorBidi"/>
                      <w:sz w:val="24"/>
                      <w:szCs w:val="24"/>
                    </w:rPr>
                    <m:t>H-1</m:t>
                  </m:r>
                </m:sup>
                <m:e>
                  <m:d>
                    <m:dPr>
                      <m:ctrlPr>
                        <w:rPr>
                          <w:rFonts w:ascii="Cambria Math" w:eastAsia="Calibri" w:hAnsi="Cambria Math" w:cstheme="majorBidi"/>
                          <w:i/>
                          <w:sz w:val="24"/>
                          <w:szCs w:val="24"/>
                        </w:rPr>
                      </m:ctrlPr>
                    </m:dPr>
                    <m:e>
                      <m:sSubSup>
                        <m:sSubSupPr>
                          <m:ctrlPr>
                            <w:rPr>
                              <w:rFonts w:ascii="Cambria Math" w:eastAsia="Calibri" w:hAnsi="Cambria Math" w:cstheme="majorBidi"/>
                              <w:i/>
                              <w:sz w:val="24"/>
                              <w:szCs w:val="24"/>
                            </w:rPr>
                          </m:ctrlPr>
                        </m:sSubSupPr>
                        <m:e>
                          <m:r>
                            <w:rPr>
                              <w:rFonts w:ascii="Cambria Math" w:eastAsia="Calibri" w:hAnsi="Cambria Math" w:cstheme="majorBidi"/>
                              <w:sz w:val="24"/>
                              <w:szCs w:val="24"/>
                            </w:rPr>
                            <m:t>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h</m:t>
                          </m:r>
                        </m:e>
                        <m:sub>
                          <m:r>
                            <w:rPr>
                              <w:rFonts w:ascii="Cambria Math" w:eastAsia="Calibri" w:hAnsi="Cambria Math" w:cstheme="majorBidi"/>
                              <w:sz w:val="24"/>
                              <w:szCs w:val="24"/>
                            </w:rPr>
                            <m:t>h</m:t>
                          </m:r>
                        </m:sub>
                      </m:sSub>
                      <m:nary>
                        <m:naryPr>
                          <m:chr m:val="∑"/>
                          <m:limLoc m:val="undOvr"/>
                          <m:subHide m:val="1"/>
                          <m:supHide m:val="1"/>
                          <m:ctrlPr>
                            <w:rPr>
                              <w:rFonts w:ascii="Cambria Math" w:eastAsia="Calibri" w:hAnsi="Cambria Math" w:cstheme="majorBidi"/>
                              <w:i/>
                              <w:sz w:val="24"/>
                              <w:szCs w:val="24"/>
                            </w:rPr>
                          </m:ctrlPr>
                        </m:naryPr>
                        <m:sub/>
                        <m:sup/>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e</m:t>
                              </m:r>
                            </m:e>
                            <m:sub>
                              <m:r>
                                <w:rPr>
                                  <w:rFonts w:ascii="Cambria Math" w:eastAsia="Calibri" w:hAnsi="Cambria Math" w:cstheme="majorBidi"/>
                                  <w:sz w:val="24"/>
                                  <w:szCs w:val="24"/>
                                </w:rPr>
                                <m:t>j</m:t>
                              </m:r>
                            </m:sub>
                          </m:sSub>
                        </m:e>
                      </m:nary>
                    </m:e>
                  </m:d>
                </m:e>
              </m:nary>
            </m:den>
          </m:f>
          <m:r>
            <w:rPr>
              <w:rFonts w:ascii="Cambria Math" w:eastAsia="Calibri" w:hAnsi="Cambria Math" w:cstheme="majorBidi"/>
              <w:sz w:val="24"/>
              <w:szCs w:val="24"/>
            </w:rPr>
            <m:t xml:space="preserve">                                                                            </m:t>
          </m:r>
          <m:d>
            <m:dPr>
              <m:ctrlPr>
                <w:rPr>
                  <w:rFonts w:ascii="Cambria Math" w:eastAsia="Calibri" w:hAnsi="Cambria Math" w:cstheme="majorBidi"/>
                  <w:i/>
                  <w:sz w:val="24"/>
                  <w:szCs w:val="24"/>
                </w:rPr>
              </m:ctrlPr>
            </m:dPr>
            <m:e>
              <m:r>
                <w:rPr>
                  <w:rFonts w:ascii="Cambria Math" w:eastAsia="Calibri" w:hAnsi="Cambria Math" w:cstheme="majorBidi"/>
                  <w:sz w:val="24"/>
                  <w:szCs w:val="24"/>
                </w:rPr>
                <m:t>3</m:t>
              </m:r>
            </m:e>
          </m:d>
        </m:oMath>
      </m:oMathPara>
    </w:p>
    <w:p w:rsidR="008B5988" w:rsidRPr="00B1441B" w:rsidRDefault="008B5988" w:rsidP="008B5988">
      <w:pPr>
        <w:autoSpaceDE w:val="0"/>
        <w:autoSpaceDN w:val="0"/>
        <w:adjustRightInd w:val="0"/>
        <w:spacing w:after="0" w:line="240" w:lineRule="auto"/>
        <w:ind w:firstLine="720"/>
        <w:jc w:val="both"/>
        <w:rPr>
          <w:rFonts w:asciiTheme="majorBidi" w:eastAsia="Calibri" w:hAnsiTheme="majorBidi" w:cstheme="majorBidi"/>
          <w:sz w:val="24"/>
          <w:szCs w:val="24"/>
        </w:rPr>
      </w:pPr>
    </w:p>
    <w:p w:rsidR="00B1441B" w:rsidRPr="00B1441B" w:rsidRDefault="00986B60" w:rsidP="001A09F3">
      <w:pPr>
        <w:autoSpaceDE w:val="0"/>
        <w:autoSpaceDN w:val="0"/>
        <w:adjustRightInd w:val="0"/>
        <w:spacing w:after="0" w:line="480" w:lineRule="auto"/>
        <w:jc w:val="both"/>
        <w:rPr>
          <w:rFonts w:asciiTheme="majorBidi" w:eastAsia="Calibri" w:hAnsiTheme="majorBidi" w:cstheme="majorBidi"/>
          <w:sz w:val="24"/>
          <w:szCs w:val="24"/>
        </w:rPr>
      </w:pPr>
      <w:r>
        <w:rPr>
          <w:rFonts w:asciiTheme="majorBidi" w:eastAsia="Calibri" w:hAnsiTheme="majorBidi" w:cstheme="majorBidi"/>
          <w:sz w:val="24"/>
          <w:szCs w:val="24"/>
        </w:rPr>
        <w:t>w</w:t>
      </w:r>
      <w:r w:rsidR="00B1441B" w:rsidRPr="00B1441B">
        <w:rPr>
          <w:rFonts w:asciiTheme="majorBidi" w:eastAsia="Calibri" w:hAnsiTheme="majorBidi" w:cstheme="majorBidi"/>
          <w:sz w:val="24"/>
          <w:szCs w:val="24"/>
        </w:rPr>
        <w:t xml:space="preserve">here ∑ is the variance matrix of the vector of errors ε, and </w:t>
      </w:r>
      <m:oMath>
        <m:sSub>
          <m:sSubPr>
            <m:ctrlPr>
              <w:rPr>
                <w:rFonts w:ascii="Cambria Math" w:eastAsia="Calibri" w:hAnsi="Cambria Math" w:cstheme="majorBidi"/>
                <w:sz w:val="24"/>
                <w:szCs w:val="24"/>
              </w:rPr>
            </m:ctrlPr>
          </m:sSubPr>
          <m:e>
            <m:r>
              <m:rPr>
                <m:sty m:val="p"/>
              </m:rPr>
              <w:rPr>
                <w:rFonts w:ascii="Cambria Math" w:eastAsia="Calibri" w:hAnsi="Cambria Math" w:cstheme="majorBidi"/>
                <w:sz w:val="24"/>
                <w:szCs w:val="24"/>
              </w:rPr>
              <m:t>σ</m:t>
            </m:r>
          </m:e>
          <m:sub>
            <m:r>
              <w:rPr>
                <w:rFonts w:ascii="Cambria Math" w:eastAsia="Calibri" w:hAnsi="Cambria Math" w:cstheme="majorBidi"/>
                <w:sz w:val="24"/>
                <w:szCs w:val="24"/>
              </w:rPr>
              <m:t>jj</m:t>
            </m:r>
            <m:r>
              <m:rPr>
                <m:sty m:val="p"/>
              </m:rPr>
              <w:rPr>
                <w:rFonts w:ascii="Cambria Math" w:eastAsia="Calibri" w:hAnsi="Cambria Math" w:cstheme="majorBidi"/>
                <w:sz w:val="24"/>
                <w:szCs w:val="24"/>
              </w:rPr>
              <m:t xml:space="preserve"> </m:t>
            </m:r>
          </m:sub>
        </m:sSub>
      </m:oMath>
      <w:r w:rsidR="00B1441B" w:rsidRPr="00B1441B">
        <w:rPr>
          <w:rFonts w:asciiTheme="majorBidi" w:eastAsia="Calibri" w:hAnsiTheme="majorBidi" w:cstheme="majorBidi"/>
          <w:sz w:val="24"/>
          <w:szCs w:val="24"/>
        </w:rPr>
        <w:t xml:space="preserve">is the standard deviation of the error term of the  </w:t>
      </w:r>
      <m:oMath>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j</m:t>
            </m:r>
          </m:e>
          <m:sup>
            <m:r>
              <w:rPr>
                <w:rFonts w:ascii="Cambria Math" w:eastAsia="Calibri" w:hAnsi="Cambria Math" w:cstheme="majorBidi"/>
                <w:sz w:val="24"/>
                <w:szCs w:val="24"/>
              </w:rPr>
              <m:t>th</m:t>
            </m:r>
          </m:sup>
        </m:sSup>
      </m:oMath>
      <w:r w:rsidR="00B1441B" w:rsidRPr="00B1441B">
        <w:rPr>
          <w:rFonts w:asciiTheme="majorBidi" w:eastAsia="Calibri" w:hAnsiTheme="majorBidi" w:cstheme="majorBidi"/>
          <w:sz w:val="24"/>
          <w:szCs w:val="24"/>
        </w:rPr>
        <w:t xml:space="preserve"> market. Finally,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e</m:t>
            </m:r>
          </m:e>
          <m:sub>
            <m:r>
              <w:rPr>
                <w:rFonts w:ascii="Cambria Math" w:eastAsia="Calibri" w:hAnsi="Cambria Math" w:cstheme="majorBidi"/>
                <w:sz w:val="24"/>
                <w:szCs w:val="24"/>
              </w:rPr>
              <m:t>i</m:t>
            </m:r>
          </m:sub>
        </m:sSub>
      </m:oMath>
      <w:r w:rsidR="00B1441B" w:rsidRPr="00B1441B">
        <w:rPr>
          <w:rFonts w:asciiTheme="majorBidi" w:eastAsia="Calibri" w:hAnsiTheme="majorBidi" w:cstheme="majorBidi"/>
          <w:sz w:val="24"/>
          <w:szCs w:val="24"/>
        </w:rPr>
        <w:t xml:space="preserve"> is a selection vector with one on the</w:t>
      </w:r>
      <m:oMath>
        <m:r>
          <m:rPr>
            <m:sty m:val="p"/>
          </m:rPr>
          <w:rPr>
            <w:rFonts w:ascii="Cambria Math" w:eastAsia="Calibri" w:hAnsi="Cambria Math" w:cstheme="majorBidi"/>
            <w:sz w:val="24"/>
            <w:szCs w:val="24"/>
          </w:rPr>
          <m:t xml:space="preserve"> </m:t>
        </m:r>
        <m:sSup>
          <m:sSupPr>
            <m:ctrlPr>
              <w:rPr>
                <w:rFonts w:ascii="Cambria Math" w:eastAsia="Calibri" w:hAnsi="Cambria Math" w:cstheme="majorBidi"/>
                <w:i/>
                <w:iCs/>
                <w:sz w:val="24"/>
                <w:szCs w:val="24"/>
              </w:rPr>
            </m:ctrlPr>
          </m:sSupPr>
          <m:e>
            <m:r>
              <w:rPr>
                <w:rFonts w:ascii="Cambria Math" w:eastAsia="Calibri" w:hAnsi="Cambria Math" w:cstheme="majorBidi"/>
                <w:sz w:val="24"/>
                <w:szCs w:val="24"/>
              </w:rPr>
              <m:t>i</m:t>
            </m:r>
          </m:e>
          <m:sup>
            <m:r>
              <w:rPr>
                <w:rFonts w:ascii="Cambria Math" w:eastAsia="Calibri" w:hAnsi="Cambria Math" w:cstheme="majorBidi"/>
                <w:sz w:val="24"/>
                <w:szCs w:val="24"/>
              </w:rPr>
              <m:t>th</m:t>
            </m:r>
          </m:sup>
        </m:sSup>
      </m:oMath>
      <w:r w:rsidR="00B1441B" w:rsidRPr="00B1441B">
        <w:rPr>
          <w:rFonts w:asciiTheme="majorBidi" w:eastAsia="Calibri" w:hAnsiTheme="majorBidi" w:cstheme="majorBidi"/>
          <w:sz w:val="24"/>
          <w:szCs w:val="24"/>
        </w:rPr>
        <w:t xml:space="preserve"> element, and zero otherwise. In order to get a unit sum of each row of the variance decomposition, we normalize each entry of the matrix by the row sum as</w:t>
      </w:r>
      <w:r w:rsidR="00B1441B" w:rsidRPr="00B1441B">
        <w:rPr>
          <w:rFonts w:asciiTheme="majorBidi" w:eastAsia="Calibri" w:hAnsiTheme="majorBidi" w:cstheme="majorBidi"/>
          <w:sz w:val="24"/>
          <w:szCs w:val="24"/>
          <w:vertAlign w:val="superscript"/>
        </w:rPr>
        <w:footnoteReference w:id="16"/>
      </w:r>
      <w:r w:rsidR="00B1441B" w:rsidRPr="00B1441B">
        <w:rPr>
          <w:rFonts w:asciiTheme="majorBidi" w:eastAsia="Calibri" w:hAnsiTheme="majorBidi" w:cstheme="majorBidi"/>
          <w:sz w:val="24"/>
          <w:szCs w:val="24"/>
        </w:rPr>
        <w:t xml:space="preserve"> </w:t>
      </w:r>
    </w:p>
    <w:p w:rsidR="00B1441B" w:rsidRPr="008B5988" w:rsidRDefault="003974B7" w:rsidP="008B5988">
      <w:pPr>
        <w:tabs>
          <w:tab w:val="left" w:pos="2835"/>
        </w:tabs>
        <w:autoSpaceDE w:val="0"/>
        <w:autoSpaceDN w:val="0"/>
        <w:adjustRightInd w:val="0"/>
        <w:spacing w:after="0" w:line="240" w:lineRule="auto"/>
        <w:ind w:firstLine="720"/>
        <w:jc w:val="both"/>
        <w:rPr>
          <w:rFonts w:asciiTheme="majorBidi" w:eastAsia="Calibri" w:hAnsiTheme="majorBidi" w:cstheme="majorBidi"/>
          <w:sz w:val="24"/>
          <w:szCs w:val="24"/>
        </w:rPr>
      </w:pPr>
      <m:oMathPara>
        <m:oMathParaPr>
          <m:jc m:val="right"/>
        </m:oMathParaPr>
        <m:oMath>
          <m:sSubSup>
            <m:sSubSupPr>
              <m:ctrlPr>
                <w:rPr>
                  <w:rFonts w:ascii="Cambria Math" w:eastAsia="Calibri" w:hAnsi="Cambria Math" w:cstheme="majorBidi"/>
                  <w:i/>
                  <w:sz w:val="24"/>
                  <w:szCs w:val="24"/>
                </w:rPr>
              </m:ctrlPr>
            </m:sSubSup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sSubSup>
                <m:sSubSupPr>
                  <m:ctrlPr>
                    <w:rPr>
                      <w:rFonts w:ascii="Cambria Math" w:eastAsia="Calibri" w:hAnsi="Cambria Math" w:cstheme="majorBidi"/>
                      <w:i/>
                      <w:sz w:val="24"/>
                      <w:szCs w:val="24"/>
                    </w:rPr>
                  </m:ctrlPr>
                </m:sSubSupPr>
                <m:e>
                  <m:r>
                    <w:rPr>
                      <w:rFonts w:ascii="Cambria Math" w:eastAsia="Calibri" w:hAnsi="Cambria Math" w:cstheme="majorBidi"/>
                      <w:sz w:val="24"/>
                      <w:szCs w:val="24"/>
                    </w:rPr>
                    <m:t>θ</m:t>
                  </m:r>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num>
            <m:den>
              <m:nary>
                <m:naryPr>
                  <m:chr m:val="∑"/>
                  <m:limLoc m:val="undOvr"/>
                  <m:ctrlPr>
                    <w:rPr>
                      <w:rFonts w:ascii="Cambria Math" w:eastAsia="Calibri" w:hAnsi="Cambria Math" w:cstheme="majorBidi"/>
                      <w:i/>
                      <w:sz w:val="24"/>
                      <w:szCs w:val="24"/>
                    </w:rPr>
                  </m:ctrlPr>
                </m:naryPr>
                <m:sub>
                  <m:r>
                    <w:rPr>
                      <w:rFonts w:ascii="Cambria Math" w:eastAsia="Calibri" w:hAnsi="Cambria Math" w:cstheme="majorBidi"/>
                      <w:sz w:val="24"/>
                      <w:szCs w:val="24"/>
                    </w:rPr>
                    <m:t>j=1</m:t>
                  </m:r>
                </m:sub>
                <m:sup>
                  <m:r>
                    <w:rPr>
                      <w:rFonts w:ascii="Cambria Math" w:eastAsia="Calibri" w:hAnsi="Cambria Math" w:cstheme="majorBidi"/>
                      <w:sz w:val="24"/>
                      <w:szCs w:val="24"/>
                    </w:rPr>
                    <m:t>N</m:t>
                  </m:r>
                </m:sup>
                <m:e>
                  <m:sSubSup>
                    <m:sSubSupPr>
                      <m:ctrlPr>
                        <w:rPr>
                          <w:rFonts w:ascii="Cambria Math" w:eastAsia="Calibri" w:hAnsi="Cambria Math" w:cstheme="majorBidi"/>
                          <w:i/>
                          <w:sz w:val="24"/>
                          <w:szCs w:val="24"/>
                        </w:rPr>
                      </m:ctrlPr>
                    </m:sSubSupPr>
                    <m:e>
                      <m:r>
                        <w:rPr>
                          <w:rFonts w:ascii="Cambria Math" w:eastAsia="Calibri" w:hAnsi="Cambria Math" w:cstheme="majorBidi"/>
                          <w:sz w:val="24"/>
                          <w:szCs w:val="24"/>
                        </w:rPr>
                        <m:t>θ</m:t>
                      </m:r>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e>
              </m:nary>
            </m:den>
          </m:f>
          <m:r>
            <w:rPr>
              <w:rFonts w:ascii="Cambria Math" w:eastAsia="Calibri" w:hAnsi="Cambria Math" w:cstheme="majorBidi"/>
              <w:sz w:val="24"/>
              <w:szCs w:val="24"/>
            </w:rPr>
            <m:t xml:space="preserve">                                                                                              </m:t>
          </m:r>
          <m:d>
            <m:dPr>
              <m:ctrlPr>
                <w:rPr>
                  <w:rFonts w:ascii="Cambria Math" w:eastAsia="Calibri" w:hAnsi="Cambria Math" w:cstheme="majorBidi"/>
                  <w:i/>
                  <w:sz w:val="24"/>
                  <w:szCs w:val="24"/>
                </w:rPr>
              </m:ctrlPr>
            </m:dPr>
            <m:e>
              <m:r>
                <w:rPr>
                  <w:rFonts w:ascii="Cambria Math" w:eastAsia="Calibri" w:hAnsi="Cambria Math" w:cstheme="majorBidi"/>
                  <w:sz w:val="24"/>
                  <w:szCs w:val="24"/>
                </w:rPr>
                <m:t>4</m:t>
              </m:r>
            </m:e>
          </m:d>
        </m:oMath>
      </m:oMathPara>
    </w:p>
    <w:p w:rsidR="008B5988" w:rsidRPr="00B1441B" w:rsidRDefault="008B5988" w:rsidP="008B5988">
      <w:pPr>
        <w:tabs>
          <w:tab w:val="left" w:pos="2835"/>
        </w:tabs>
        <w:autoSpaceDE w:val="0"/>
        <w:autoSpaceDN w:val="0"/>
        <w:adjustRightInd w:val="0"/>
        <w:spacing w:after="0" w:line="240" w:lineRule="auto"/>
        <w:ind w:firstLine="720"/>
        <w:jc w:val="both"/>
        <w:rPr>
          <w:rFonts w:asciiTheme="majorBidi" w:eastAsia="Calibri" w:hAnsiTheme="majorBidi" w:cstheme="majorBidi"/>
          <w:sz w:val="24"/>
          <w:szCs w:val="24"/>
        </w:rPr>
      </w:pPr>
    </w:p>
    <w:p w:rsidR="004D517D" w:rsidRDefault="00853B09" w:rsidP="00861531">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Note that</w:t>
      </w:r>
      <w:r w:rsidR="00C5359B">
        <w:rPr>
          <w:rFonts w:asciiTheme="majorBidi" w:eastAsia="Calibri" w:hAnsiTheme="majorBidi" w:cstheme="majorBidi"/>
          <w:sz w:val="24"/>
          <w:szCs w:val="24"/>
        </w:rPr>
        <w:t xml:space="preserve"> the sum of decompositions across any particular market</w:t>
      </w:r>
      <w:r w:rsidR="00861531">
        <w:rPr>
          <w:rFonts w:asciiTheme="majorBidi" w:eastAsia="Calibri" w:hAnsiTheme="majorBidi" w:cstheme="majorBidi"/>
          <w:sz w:val="24"/>
          <w:szCs w:val="24"/>
        </w:rPr>
        <w:t xml:space="preserve"> and across all markets is </w:t>
      </w:r>
      <w:r>
        <w:rPr>
          <w:rFonts w:asciiTheme="majorBidi" w:eastAsia="Calibri" w:hAnsiTheme="majorBidi" w:cstheme="majorBidi"/>
          <w:sz w:val="24"/>
          <w:szCs w:val="24"/>
        </w:rPr>
        <w:t xml:space="preserve"> </w:t>
      </w:r>
      <m:oMath>
        <m:nary>
          <m:naryPr>
            <m:chr m:val="∑"/>
            <m:limLoc m:val="undOvr"/>
            <m:ctrlPr>
              <w:rPr>
                <w:rFonts w:ascii="Cambria Math" w:eastAsia="Calibri" w:hAnsi="Cambria Math" w:cstheme="majorBidi"/>
                <w:i/>
                <w:iCs/>
                <w:sz w:val="24"/>
                <w:szCs w:val="24"/>
              </w:rPr>
            </m:ctrlPr>
          </m:naryPr>
          <m:sub>
            <m:r>
              <w:rPr>
                <w:rFonts w:ascii="Cambria Math" w:eastAsia="Calibri" w:hAnsi="Cambria Math" w:cstheme="majorBidi"/>
                <w:sz w:val="24"/>
                <w:szCs w:val="24"/>
              </w:rPr>
              <m:t>j=1</m:t>
            </m:r>
          </m:sub>
          <m:sup>
            <m:r>
              <w:rPr>
                <w:rFonts w:ascii="Cambria Math" w:eastAsia="Calibri" w:hAnsi="Cambria Math" w:cstheme="majorBidi"/>
                <w:sz w:val="24"/>
                <w:szCs w:val="24"/>
              </w:rPr>
              <m:t>N</m:t>
            </m:r>
          </m:sup>
          <m:e>
            <m:sSubSup>
              <m:sSubSupPr>
                <m:ctrlPr>
                  <w:rPr>
                    <w:rFonts w:ascii="Cambria Math" w:eastAsia="Calibri" w:hAnsi="Cambria Math" w:cstheme="majorBidi"/>
                    <w:i/>
                    <w:iCs/>
                    <w:sz w:val="24"/>
                    <w:szCs w:val="24"/>
                  </w:rPr>
                </m:ctrlPr>
              </m:sSubSupPr>
              <m:e>
                <m:r>
                  <w:rPr>
                    <w:rFonts w:ascii="Cambria Math" w:eastAsia="Calibri" w:hAnsi="Cambria Math" w:cstheme="majorBidi"/>
                    <w:sz w:val="24"/>
                    <w:szCs w:val="24"/>
                  </w:rPr>
                  <m:t>θ</m:t>
                </m:r>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d>
              <m:dPr>
                <m:ctrlPr>
                  <w:rPr>
                    <w:rFonts w:ascii="Cambria Math" w:eastAsia="Calibri" w:hAnsi="Cambria Math" w:cstheme="majorBidi"/>
                    <w:i/>
                    <w:iCs/>
                    <w:sz w:val="24"/>
                    <w:szCs w:val="24"/>
                  </w:rPr>
                </m:ctrlPr>
              </m:dPr>
              <m:e>
                <m:r>
                  <w:rPr>
                    <w:rFonts w:ascii="Cambria Math" w:eastAsia="Calibri" w:hAnsi="Cambria Math" w:cstheme="majorBidi"/>
                    <w:sz w:val="24"/>
                    <w:szCs w:val="24"/>
                  </w:rPr>
                  <m:t>H</m:t>
                </m:r>
              </m:e>
            </m:d>
            <m:r>
              <w:rPr>
                <w:rFonts w:ascii="Cambria Math" w:eastAsia="Calibri" w:hAnsi="Cambria Math" w:cstheme="majorBidi"/>
                <w:sz w:val="24"/>
                <w:szCs w:val="24"/>
              </w:rPr>
              <m:t>=1</m:t>
            </m:r>
          </m:e>
        </m:nary>
      </m:oMath>
      <w:r w:rsidR="00861531">
        <w:rPr>
          <w:rFonts w:asciiTheme="majorBidi" w:eastAsia="Calibri" w:hAnsiTheme="majorBidi" w:cstheme="majorBidi"/>
          <w:iCs/>
          <w:sz w:val="24"/>
          <w:szCs w:val="24"/>
        </w:rPr>
        <w:t xml:space="preserve"> and </w:t>
      </w:r>
      <w:r w:rsidR="00B1441B" w:rsidRPr="00B1441B">
        <w:rPr>
          <w:rFonts w:asciiTheme="majorBidi" w:eastAsia="Calibri" w:hAnsiTheme="majorBidi" w:cstheme="majorBidi"/>
          <w:sz w:val="24"/>
          <w:szCs w:val="24"/>
        </w:rPr>
        <w:t xml:space="preserve"> </w:t>
      </w:r>
      <m:oMath>
        <m:nary>
          <m:naryPr>
            <m:chr m:val="∑"/>
            <m:limLoc m:val="undOvr"/>
            <m:ctrlPr>
              <w:rPr>
                <w:rFonts w:ascii="Cambria Math" w:eastAsia="Calibri" w:hAnsi="Cambria Math" w:cstheme="majorBidi"/>
                <w:i/>
                <w:iCs/>
                <w:sz w:val="24"/>
                <w:szCs w:val="24"/>
              </w:rPr>
            </m:ctrlPr>
          </m:naryPr>
          <m:sub>
            <m:r>
              <w:rPr>
                <w:rFonts w:ascii="Cambria Math" w:eastAsia="Calibri" w:hAnsi="Cambria Math" w:cstheme="majorBidi"/>
                <w:sz w:val="24"/>
                <w:szCs w:val="24"/>
              </w:rPr>
              <m:t>j=1</m:t>
            </m:r>
          </m:sub>
          <m:sup>
            <m:r>
              <w:rPr>
                <w:rFonts w:ascii="Cambria Math" w:eastAsia="Calibri" w:hAnsi="Cambria Math" w:cstheme="majorBidi"/>
                <w:sz w:val="24"/>
                <w:szCs w:val="24"/>
              </w:rPr>
              <m:t>N</m:t>
            </m:r>
          </m:sup>
          <m:e>
            <m:sSubSup>
              <m:sSubSupPr>
                <m:ctrlPr>
                  <w:rPr>
                    <w:rFonts w:ascii="Cambria Math" w:eastAsia="Calibri" w:hAnsi="Cambria Math" w:cstheme="majorBidi"/>
                    <w:i/>
                    <w:iCs/>
                    <w:sz w:val="24"/>
                    <w:szCs w:val="24"/>
                  </w:rPr>
                </m:ctrlPr>
              </m:sSubSupPr>
              <m:e>
                <m:acc>
                  <m:accPr>
                    <m:chr m:val="̃"/>
                    <m:ctrlPr>
                      <w:rPr>
                        <w:rFonts w:ascii="Cambria Math" w:eastAsia="Calibri" w:hAnsi="Cambria Math" w:cstheme="majorBidi"/>
                        <w:i/>
                        <w:iCs/>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d>
              <m:dPr>
                <m:ctrlPr>
                  <w:rPr>
                    <w:rFonts w:ascii="Cambria Math" w:eastAsia="Calibri" w:hAnsi="Cambria Math" w:cstheme="majorBidi"/>
                    <w:i/>
                    <w:iCs/>
                    <w:sz w:val="24"/>
                    <w:szCs w:val="24"/>
                  </w:rPr>
                </m:ctrlPr>
              </m:dPr>
              <m:e>
                <m:r>
                  <w:rPr>
                    <w:rFonts w:ascii="Cambria Math" w:eastAsia="Calibri" w:hAnsi="Cambria Math" w:cstheme="majorBidi"/>
                    <w:sz w:val="24"/>
                    <w:szCs w:val="24"/>
                  </w:rPr>
                  <m:t>H</m:t>
                </m:r>
              </m:e>
            </m:d>
            <m:r>
              <w:rPr>
                <w:rFonts w:ascii="Cambria Math" w:eastAsia="Calibri" w:hAnsi="Cambria Math" w:cstheme="majorBidi"/>
                <w:sz w:val="24"/>
                <w:szCs w:val="24"/>
              </w:rPr>
              <m:t>=N</m:t>
            </m:r>
          </m:e>
        </m:nary>
      </m:oMath>
      <w:r w:rsidR="00861531">
        <w:rPr>
          <w:rFonts w:asciiTheme="majorBidi" w:eastAsia="Calibri" w:hAnsiTheme="majorBidi" w:cstheme="majorBidi"/>
          <w:iCs/>
          <w:sz w:val="24"/>
          <w:szCs w:val="24"/>
        </w:rPr>
        <w:t xml:space="preserve"> respectively</w:t>
      </w:r>
      <w:r w:rsidR="00B1441B" w:rsidRPr="00B1441B">
        <w:rPr>
          <w:rFonts w:asciiTheme="majorBidi" w:eastAsia="Calibri" w:hAnsiTheme="majorBidi" w:cstheme="majorBidi"/>
          <w:sz w:val="24"/>
          <w:szCs w:val="24"/>
        </w:rPr>
        <w:t>.</w:t>
      </w:r>
      <w:r w:rsidR="00D95053">
        <w:rPr>
          <w:rFonts w:asciiTheme="majorBidi" w:eastAsia="Calibri" w:hAnsiTheme="majorBidi" w:cstheme="majorBidi"/>
          <w:sz w:val="24"/>
          <w:szCs w:val="24"/>
        </w:rPr>
        <w:t xml:space="preserve"> Therefore, </w:t>
      </w:r>
      <w:r w:rsidR="00B1441B" w:rsidRPr="00B1441B">
        <w:rPr>
          <w:rFonts w:asciiTheme="majorBidi" w:eastAsia="Calibri" w:hAnsiTheme="majorBidi" w:cstheme="majorBidi"/>
          <w:sz w:val="24"/>
          <w:szCs w:val="24"/>
        </w:rPr>
        <w:t xml:space="preserve"> </w:t>
      </w:r>
      <m:oMath>
        <m:sSubSup>
          <m:sSubSupPr>
            <m:ctrlPr>
              <w:rPr>
                <w:rFonts w:ascii="Cambria Math" w:eastAsia="Calibri" w:hAnsi="Cambria Math" w:cstheme="majorBidi"/>
                <w:i/>
                <w:sz w:val="24"/>
                <w:szCs w:val="24"/>
              </w:rPr>
            </m:ctrlPr>
          </m:sSubSup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oMath>
      <w:r w:rsidR="00D95053">
        <w:rPr>
          <w:rFonts w:asciiTheme="majorBidi" w:eastAsia="Calibri" w:hAnsiTheme="majorBidi" w:cstheme="majorBidi"/>
          <w:sz w:val="24"/>
          <w:szCs w:val="24"/>
        </w:rPr>
        <w:t xml:space="preserve"> can be seen as a natural measure of the pairwise directional connectedness from market </w:t>
      </w:r>
      <m:oMath>
        <m:r>
          <w:rPr>
            <w:rFonts w:ascii="Cambria Math" w:eastAsia="Calibri" w:hAnsi="Cambria Math" w:cstheme="majorBidi"/>
            <w:sz w:val="24"/>
            <w:szCs w:val="24"/>
          </w:rPr>
          <m:t>j</m:t>
        </m:r>
      </m:oMath>
      <w:r w:rsidR="00861531">
        <w:rPr>
          <w:rFonts w:asciiTheme="majorBidi" w:eastAsia="Calibri" w:hAnsiTheme="majorBidi" w:cstheme="majorBidi"/>
          <w:sz w:val="24"/>
          <w:szCs w:val="24"/>
        </w:rPr>
        <w:t xml:space="preserve"> </w:t>
      </w:r>
      <w:r w:rsidR="00D95053">
        <w:rPr>
          <w:rFonts w:asciiTheme="majorBidi" w:eastAsia="Calibri" w:hAnsiTheme="majorBidi" w:cstheme="majorBidi"/>
          <w:sz w:val="24"/>
          <w:szCs w:val="24"/>
        </w:rPr>
        <w:t xml:space="preserve">to market </w:t>
      </w:r>
      <m:oMath>
        <m:r>
          <w:rPr>
            <w:rFonts w:ascii="Cambria Math" w:eastAsia="Calibri" w:hAnsi="Cambria Math" w:cstheme="majorBidi"/>
            <w:sz w:val="24"/>
            <w:szCs w:val="24"/>
          </w:rPr>
          <m:t>i</m:t>
        </m:r>
      </m:oMath>
      <w:r w:rsidR="00D95053">
        <w:rPr>
          <w:rFonts w:asciiTheme="majorBidi" w:eastAsia="Calibri" w:hAnsiTheme="majorBidi" w:cstheme="majorBidi"/>
          <w:sz w:val="24"/>
          <w:szCs w:val="24"/>
        </w:rPr>
        <w:t xml:space="preserve"> at horizon</w:t>
      </w:r>
      <w:r w:rsidR="00861531">
        <w:rPr>
          <w:rFonts w:asciiTheme="majorBidi" w:eastAsia="Calibri" w:hAnsiTheme="majorBidi" w:cstheme="majorBidi"/>
          <w:sz w:val="24"/>
          <w:szCs w:val="24"/>
        </w:rPr>
        <w:t xml:space="preserve"> </w:t>
      </w:r>
      <m:oMath>
        <m:r>
          <w:rPr>
            <w:rFonts w:ascii="Cambria Math" w:eastAsia="Calibri" w:hAnsi="Cambria Math" w:cstheme="majorBidi"/>
            <w:sz w:val="24"/>
            <w:szCs w:val="24"/>
          </w:rPr>
          <m:t>H</m:t>
        </m:r>
      </m:oMath>
      <w:r w:rsidR="00363E8D">
        <w:rPr>
          <w:rFonts w:asciiTheme="majorBidi" w:eastAsia="Calibri" w:hAnsiTheme="majorBidi" w:cstheme="majorBidi"/>
          <w:sz w:val="24"/>
          <w:szCs w:val="24"/>
        </w:rPr>
        <w:t xml:space="preserve">. To make (4) more intuitive, we use the notation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C</m:t>
            </m:r>
          </m:e>
          <m:sub>
            <m:r>
              <w:rPr>
                <w:rFonts w:ascii="Cambria Math" w:eastAsia="Calibri" w:hAnsi="Cambria Math" w:cstheme="majorBidi"/>
                <w:sz w:val="24"/>
                <w:szCs w:val="24"/>
              </w:rPr>
              <m:t>i←j</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oMath>
      <w:r w:rsidR="00363E8D">
        <w:rPr>
          <w:rFonts w:asciiTheme="majorBidi" w:eastAsia="Calibri" w:hAnsiTheme="majorBidi" w:cstheme="majorBidi"/>
          <w:sz w:val="24"/>
          <w:szCs w:val="24"/>
        </w:rPr>
        <w:t xml:space="preserve"> to represent th</w:t>
      </w:r>
      <w:r>
        <w:rPr>
          <w:rFonts w:asciiTheme="majorBidi" w:eastAsia="Calibri" w:hAnsiTheme="majorBidi" w:cstheme="majorBidi"/>
          <w:sz w:val="24"/>
          <w:szCs w:val="24"/>
        </w:rPr>
        <w:t>is</w:t>
      </w:r>
      <w:r w:rsidR="00363E8D">
        <w:rPr>
          <w:rFonts w:asciiTheme="majorBidi" w:eastAsia="Calibri" w:hAnsiTheme="majorBidi" w:cstheme="majorBidi"/>
          <w:sz w:val="24"/>
          <w:szCs w:val="24"/>
        </w:rPr>
        <w:t xml:space="preserve"> transmission</w:t>
      </w:r>
      <w:r>
        <w:rPr>
          <w:rFonts w:asciiTheme="majorBidi" w:eastAsia="Calibri" w:hAnsiTheme="majorBidi" w:cstheme="majorBidi"/>
          <w:sz w:val="24"/>
          <w:szCs w:val="24"/>
        </w:rPr>
        <w:t xml:space="preserve">. </w:t>
      </w:r>
      <w:r w:rsidR="00C5359B">
        <w:rPr>
          <w:rFonts w:asciiTheme="majorBidi" w:eastAsia="Calibri" w:hAnsiTheme="majorBidi" w:cstheme="majorBidi"/>
          <w:sz w:val="24"/>
          <w:szCs w:val="24"/>
        </w:rPr>
        <w:t>In the same way</w:t>
      </w:r>
      <w:r>
        <w:rPr>
          <w:rFonts w:asciiTheme="majorBidi" w:eastAsia="Calibri" w:hAnsiTheme="majorBidi" w:cstheme="majorBidi"/>
          <w:sz w:val="24"/>
          <w:szCs w:val="24"/>
        </w:rPr>
        <w:t xml:space="preserve">, we might </w:t>
      </w:r>
      <w:r w:rsidR="00C5359B">
        <w:rPr>
          <w:rFonts w:asciiTheme="majorBidi" w:eastAsia="Calibri" w:hAnsiTheme="majorBidi" w:cstheme="majorBidi"/>
          <w:sz w:val="24"/>
          <w:szCs w:val="24"/>
        </w:rPr>
        <w:t>also compute</w:t>
      </w:r>
      <w:r>
        <w:rPr>
          <w:rFonts w:asciiTheme="majorBidi" w:eastAsia="Calibri" w:hAnsiTheme="majorBidi" w:cstheme="majorBidi"/>
          <w:sz w:val="24"/>
          <w:szCs w:val="24"/>
        </w:rPr>
        <w:t xml:space="preserve"> the pairwise directional connectedness in the opposite </w:t>
      </w:r>
      <w:r w:rsidR="00C5359B">
        <w:rPr>
          <w:rFonts w:asciiTheme="majorBidi" w:eastAsia="Calibri" w:hAnsiTheme="majorBidi" w:cstheme="majorBidi"/>
          <w:sz w:val="24"/>
          <w:szCs w:val="24"/>
        </w:rPr>
        <w:t>direction as</w:t>
      </w:r>
      <w:r w:rsidR="00861531">
        <w:rPr>
          <w:rFonts w:asciiTheme="majorBidi" w:eastAsia="Calibri" w:hAnsiTheme="majorBidi" w:cstheme="majorBidi"/>
          <w:sz w:val="24"/>
          <w:szCs w:val="24"/>
        </w:rPr>
        <w:t xml:space="preserve">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C</m:t>
            </m:r>
          </m:e>
          <m:sub>
            <m:r>
              <w:rPr>
                <w:rFonts w:ascii="Cambria Math" w:eastAsia="Calibri" w:hAnsi="Cambria Math" w:cstheme="majorBidi"/>
                <w:sz w:val="24"/>
                <w:szCs w:val="24"/>
              </w:rPr>
              <m:t>j←i</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oMath>
      <w:r>
        <w:rPr>
          <w:rFonts w:asciiTheme="majorBidi" w:eastAsia="Calibri" w:hAnsiTheme="majorBidi" w:cstheme="majorBidi"/>
          <w:sz w:val="24"/>
          <w:szCs w:val="24"/>
        </w:rPr>
        <w:t xml:space="preserve">. </w:t>
      </w:r>
      <w:r w:rsidR="00C5359B">
        <w:rPr>
          <w:rFonts w:asciiTheme="majorBidi" w:eastAsia="Calibri" w:hAnsiTheme="majorBidi" w:cstheme="majorBidi"/>
          <w:sz w:val="24"/>
          <w:szCs w:val="24"/>
        </w:rPr>
        <w:t xml:space="preserve">The two statistics allows us to compute </w:t>
      </w:r>
      <w:r>
        <w:rPr>
          <w:rFonts w:asciiTheme="majorBidi" w:eastAsia="Calibri" w:hAnsiTheme="majorBidi" w:cstheme="majorBidi"/>
          <w:sz w:val="24"/>
          <w:szCs w:val="24"/>
        </w:rPr>
        <w:t xml:space="preserve">the net pairwise directional connectedness </w:t>
      </w:r>
      <w:r w:rsidR="00C5359B">
        <w:rPr>
          <w:rFonts w:asciiTheme="majorBidi" w:eastAsia="Calibri" w:hAnsiTheme="majorBidi" w:cstheme="majorBidi"/>
          <w:sz w:val="24"/>
          <w:szCs w:val="24"/>
        </w:rPr>
        <w:t>as</w:t>
      </w:r>
    </w:p>
    <w:p w:rsidR="004D517D" w:rsidRPr="008B5988" w:rsidRDefault="003974B7" w:rsidP="00585A30">
      <w:pPr>
        <w:spacing w:after="0" w:line="240" w:lineRule="auto"/>
        <w:ind w:firstLine="284"/>
        <w:jc w:val="both"/>
        <w:rPr>
          <w:rFonts w:asciiTheme="majorBidi" w:eastAsia="Calibri" w:hAnsiTheme="majorBidi" w:cstheme="majorBidi"/>
          <w:sz w:val="24"/>
          <w:szCs w:val="24"/>
        </w:rPr>
      </w:pPr>
      <m:oMathPara>
        <m:oMath>
          <m:sSub>
            <m:sSubPr>
              <m:ctrlPr>
                <w:rPr>
                  <w:rFonts w:ascii="Cambria Math" w:eastAsia="Calibri" w:hAnsi="Cambria Math" w:cstheme="majorBidi"/>
                  <w:i/>
                  <w:sz w:val="24"/>
                  <w:szCs w:val="24"/>
                </w:rPr>
              </m:ctrlPr>
            </m:sSubPr>
            <m:e>
              <m:sSub>
                <m:sSubPr>
                  <m:ctrlPr>
                    <w:rPr>
                      <w:rFonts w:ascii="Cambria Math" w:eastAsia="Calibri" w:hAnsi="Cambria Math" w:cstheme="majorBidi"/>
                      <w:i/>
                      <w:sz w:val="24"/>
                      <w:szCs w:val="24"/>
                    </w:rPr>
                  </m:ctrlPr>
                </m:sSub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C</m:t>
                      </m:r>
                    </m:e>
                    <m:sub>
                      <m:r>
                        <w:rPr>
                          <w:rFonts w:ascii="Cambria Math" w:eastAsia="Calibri" w:hAnsi="Cambria Math" w:cstheme="majorBidi"/>
                          <w:sz w:val="24"/>
                          <w:szCs w:val="24"/>
                        </w:rPr>
                        <m:t>ij</m:t>
                      </m:r>
                    </m:sub>
                  </m:sSub>
                  <m:r>
                    <w:rPr>
                      <w:rFonts w:ascii="Cambria Math" w:eastAsia="Calibri" w:hAnsi="Cambria Math" w:cstheme="majorBidi"/>
                      <w:sz w:val="24"/>
                      <w:szCs w:val="24"/>
                    </w:rPr>
                    <m:t>=C</m:t>
                  </m:r>
                </m:e>
                <m:sub>
                  <m:r>
                    <w:rPr>
                      <w:rFonts w:ascii="Cambria Math" w:eastAsia="Calibri" w:hAnsi="Cambria Math" w:cstheme="majorBidi"/>
                      <w:sz w:val="24"/>
                      <w:szCs w:val="24"/>
                    </w:rPr>
                    <m:t>i←j</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r>
                <w:rPr>
                  <w:rFonts w:ascii="Cambria Math" w:eastAsia="Calibri" w:hAnsi="Cambria Math" w:cstheme="majorBidi"/>
                  <w:sz w:val="24"/>
                  <w:szCs w:val="24"/>
                </w:rPr>
                <m:t>-C</m:t>
              </m:r>
            </m:e>
            <m:sub>
              <m:r>
                <w:rPr>
                  <w:rFonts w:ascii="Cambria Math" w:eastAsia="Calibri" w:hAnsi="Cambria Math" w:cstheme="majorBidi"/>
                  <w:sz w:val="24"/>
                  <w:szCs w:val="24"/>
                </w:rPr>
                <m:t>j←i</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r>
            <w:rPr>
              <w:rFonts w:ascii="Cambria Math" w:eastAsia="Calibri" w:hAnsi="Cambria Math" w:cstheme="majorBidi"/>
              <w:sz w:val="24"/>
              <w:szCs w:val="24"/>
            </w:rPr>
            <m:t xml:space="preserve">                                                                                  </m:t>
          </m:r>
          <m:d>
            <m:dPr>
              <m:ctrlPr>
                <w:rPr>
                  <w:rFonts w:ascii="Cambria Math" w:eastAsia="Calibri" w:hAnsi="Cambria Math" w:cstheme="majorBidi"/>
                  <w:i/>
                  <w:sz w:val="24"/>
                  <w:szCs w:val="24"/>
                </w:rPr>
              </m:ctrlPr>
            </m:dPr>
            <m:e>
              <m:r>
                <w:rPr>
                  <w:rFonts w:ascii="Cambria Math" w:eastAsia="Calibri" w:hAnsi="Cambria Math" w:cstheme="majorBidi"/>
                  <w:sz w:val="24"/>
                  <w:szCs w:val="24"/>
                </w:rPr>
                <m:t>5</m:t>
              </m:r>
            </m:e>
          </m:d>
        </m:oMath>
      </m:oMathPara>
    </w:p>
    <w:p w:rsidR="008B5988" w:rsidRPr="004D517D" w:rsidRDefault="008B5988" w:rsidP="008B5988">
      <w:pPr>
        <w:spacing w:after="0" w:line="240" w:lineRule="auto"/>
        <w:ind w:firstLine="284"/>
        <w:jc w:val="both"/>
        <w:rPr>
          <w:rFonts w:asciiTheme="majorBidi" w:eastAsia="Calibri" w:hAnsiTheme="majorBidi" w:cstheme="majorBidi"/>
          <w:sz w:val="24"/>
          <w:szCs w:val="24"/>
        </w:rPr>
      </w:pPr>
    </w:p>
    <w:p w:rsidR="00B1441B" w:rsidRDefault="00853B09" w:rsidP="00585A30">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00C5359B">
        <w:rPr>
          <w:rFonts w:asciiTheme="majorBidi" w:eastAsia="Calibri" w:hAnsiTheme="majorBidi" w:cstheme="majorBidi"/>
          <w:sz w:val="24"/>
          <w:szCs w:val="24"/>
        </w:rPr>
        <w:t xml:space="preserve">This is an interesting statistic </w:t>
      </w:r>
      <w:r w:rsidR="00585A30">
        <w:rPr>
          <w:rFonts w:asciiTheme="majorBidi" w:eastAsia="Calibri" w:hAnsiTheme="majorBidi" w:cstheme="majorBidi"/>
          <w:sz w:val="24"/>
          <w:szCs w:val="24"/>
        </w:rPr>
        <w:t xml:space="preserve">as it identifies the </w:t>
      </w:r>
      <w:r w:rsidR="00C5359B">
        <w:rPr>
          <w:rFonts w:asciiTheme="majorBidi" w:eastAsia="Calibri" w:hAnsiTheme="majorBidi" w:cstheme="majorBidi"/>
          <w:sz w:val="24"/>
          <w:szCs w:val="24"/>
        </w:rPr>
        <w:t xml:space="preserve">market </w:t>
      </w:r>
      <w:r w:rsidR="00585A30">
        <w:rPr>
          <w:rFonts w:asciiTheme="majorBidi" w:eastAsia="Calibri" w:hAnsiTheme="majorBidi" w:cstheme="majorBidi"/>
          <w:sz w:val="24"/>
          <w:szCs w:val="24"/>
        </w:rPr>
        <w:t xml:space="preserve">that </w:t>
      </w:r>
      <w:r w:rsidR="00C5359B">
        <w:rPr>
          <w:rFonts w:asciiTheme="majorBidi" w:eastAsia="Calibri" w:hAnsiTheme="majorBidi" w:cstheme="majorBidi"/>
          <w:sz w:val="24"/>
          <w:szCs w:val="24"/>
        </w:rPr>
        <w:t>is playing the dominant role in the information transmissions between the two markets.</w:t>
      </w:r>
    </w:p>
    <w:p w:rsidR="00C5359B" w:rsidRDefault="00585A30" w:rsidP="00585A30">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 xml:space="preserve">In order to find </w:t>
      </w:r>
      <w:r w:rsidR="00C5359B">
        <w:rPr>
          <w:rFonts w:asciiTheme="majorBidi" w:eastAsia="Calibri" w:hAnsiTheme="majorBidi" w:cstheme="majorBidi"/>
          <w:sz w:val="24"/>
          <w:szCs w:val="24"/>
        </w:rPr>
        <w:t xml:space="preserve">how all markets are </w:t>
      </w:r>
      <w:r>
        <w:rPr>
          <w:rFonts w:asciiTheme="majorBidi" w:eastAsia="Calibri" w:hAnsiTheme="majorBidi" w:cstheme="majorBidi"/>
          <w:sz w:val="24"/>
          <w:szCs w:val="24"/>
        </w:rPr>
        <w:t xml:space="preserve">jointly </w:t>
      </w:r>
      <w:r w:rsidR="00C5359B">
        <w:rPr>
          <w:rFonts w:asciiTheme="majorBidi" w:eastAsia="Calibri" w:hAnsiTheme="majorBidi" w:cstheme="majorBidi"/>
          <w:sz w:val="24"/>
          <w:szCs w:val="24"/>
        </w:rPr>
        <w:t xml:space="preserve">contributing to a single market, we aggregate partially. The total directional connectedness from all markets to market </w:t>
      </w:r>
      <m:oMath>
        <m:r>
          <w:rPr>
            <w:rFonts w:ascii="Cambria Math" w:eastAsia="Calibri" w:hAnsi="Cambria Math" w:cstheme="majorBidi"/>
            <w:sz w:val="24"/>
            <w:szCs w:val="24"/>
          </w:rPr>
          <m:t>i</m:t>
        </m:r>
      </m:oMath>
      <w:r>
        <w:rPr>
          <w:rFonts w:asciiTheme="majorBidi" w:eastAsia="Calibri" w:hAnsiTheme="majorBidi" w:cstheme="majorBidi"/>
          <w:sz w:val="24"/>
          <w:szCs w:val="24"/>
        </w:rPr>
        <w:t xml:space="preserve"> </w:t>
      </w:r>
      <w:r w:rsidR="00C5359B">
        <w:rPr>
          <w:rFonts w:asciiTheme="majorBidi" w:eastAsia="Calibri" w:hAnsiTheme="majorBidi" w:cstheme="majorBidi"/>
          <w:sz w:val="24"/>
          <w:szCs w:val="24"/>
        </w:rPr>
        <w:t xml:space="preserve">is denoted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C</m:t>
            </m:r>
          </m:e>
          <m:sub>
            <m:r>
              <w:rPr>
                <w:rFonts w:ascii="Cambria Math" w:eastAsia="Calibri" w:hAnsi="Cambria Math" w:cstheme="majorBidi"/>
                <w:sz w:val="24"/>
                <w:szCs w:val="24"/>
              </w:rPr>
              <m:t>i←∎</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oMath>
      <w:r w:rsidR="00C915CE">
        <w:rPr>
          <w:rFonts w:asciiTheme="majorBidi" w:eastAsia="Calibri" w:hAnsiTheme="majorBidi" w:cstheme="majorBidi"/>
          <w:sz w:val="24"/>
          <w:szCs w:val="24"/>
        </w:rPr>
        <w:t xml:space="preserve"> and i</w:t>
      </w:r>
      <w:r>
        <w:rPr>
          <w:rFonts w:asciiTheme="majorBidi" w:eastAsia="Calibri" w:hAnsiTheme="majorBidi" w:cstheme="majorBidi"/>
          <w:sz w:val="24"/>
          <w:szCs w:val="24"/>
        </w:rPr>
        <w:t>s</w:t>
      </w:r>
      <w:r w:rsidR="00C915CE">
        <w:rPr>
          <w:rFonts w:asciiTheme="majorBidi" w:eastAsia="Calibri" w:hAnsiTheme="majorBidi" w:cstheme="majorBidi"/>
          <w:sz w:val="24"/>
          <w:szCs w:val="24"/>
        </w:rPr>
        <w:t xml:space="preserve"> computed as </w:t>
      </w:r>
      <w:r w:rsidR="00C5359B">
        <w:rPr>
          <w:rFonts w:asciiTheme="majorBidi" w:eastAsia="Calibri" w:hAnsiTheme="majorBidi" w:cstheme="majorBidi"/>
          <w:sz w:val="24"/>
          <w:szCs w:val="24"/>
        </w:rPr>
        <w:t xml:space="preserve">   </w:t>
      </w:r>
    </w:p>
    <w:p w:rsidR="00C915CE" w:rsidRPr="00C915CE" w:rsidRDefault="003974B7" w:rsidP="00585A30">
      <w:pPr>
        <w:spacing w:after="0" w:line="240" w:lineRule="auto"/>
        <w:ind w:firstLine="284"/>
        <w:jc w:val="both"/>
        <w:rPr>
          <w:rFonts w:asciiTheme="majorBidi" w:eastAsia="Calibri" w:hAnsiTheme="majorBidi" w:cstheme="majorBidi"/>
          <w:sz w:val="24"/>
          <w:szCs w:val="24"/>
        </w:rPr>
      </w:pPr>
      <m:oMathPara>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C</m:t>
              </m:r>
            </m:e>
            <m:sub>
              <m:r>
                <w:rPr>
                  <w:rFonts w:ascii="Cambria Math" w:eastAsia="Calibri" w:hAnsi="Cambria Math" w:cstheme="majorBidi"/>
                  <w:sz w:val="24"/>
                  <w:szCs w:val="24"/>
                </w:rPr>
                <m:t>i←∎</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r>
            <m:rPr>
              <m:sty m:val="p"/>
            </m:rPr>
            <w:rPr>
              <w:rFonts w:ascii="Cambria Math" w:eastAsia="Calibri" w:hAnsi="Cambria Math" w:cstheme="majorBidi"/>
              <w:sz w:val="24"/>
              <w:szCs w:val="24"/>
            </w:rPr>
            <m:t xml:space="preserve"> </m:t>
          </m:r>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nary>
                <m:naryPr>
                  <m:chr m:val="∑"/>
                  <m:limLoc m:val="undOvr"/>
                  <m:ctrlPr>
                    <w:rPr>
                      <w:rFonts w:ascii="Cambria Math" w:eastAsia="Calibri" w:hAnsi="Cambria Math" w:cstheme="majorBidi"/>
                      <w:i/>
                      <w:sz w:val="24"/>
                      <w:szCs w:val="24"/>
                    </w:rPr>
                  </m:ctrlPr>
                </m:naryPr>
                <m:sub>
                  <m:eqArr>
                    <m:eqArrPr>
                      <m:ctrlPr>
                        <w:rPr>
                          <w:rFonts w:ascii="Cambria Math" w:eastAsia="Calibri" w:hAnsi="Cambria Math" w:cstheme="majorBidi"/>
                          <w:i/>
                          <w:sz w:val="24"/>
                          <w:szCs w:val="24"/>
                        </w:rPr>
                      </m:ctrlPr>
                    </m:eqArrPr>
                    <m:e>
                      <m:r>
                        <w:rPr>
                          <w:rFonts w:ascii="Cambria Math" w:eastAsia="Calibri" w:hAnsi="Cambria Math" w:cstheme="majorBidi"/>
                          <w:sz w:val="24"/>
                          <w:szCs w:val="24"/>
                        </w:rPr>
                        <m:t>j=1</m:t>
                      </m:r>
                    </m:e>
                    <m:e>
                      <m:r>
                        <w:rPr>
                          <w:rFonts w:ascii="Cambria Math" w:eastAsia="Calibri" w:hAnsi="Cambria Math" w:cstheme="majorBidi"/>
                          <w:sz w:val="24"/>
                          <w:szCs w:val="24"/>
                        </w:rPr>
                        <m:t>j≠i</m:t>
                      </m:r>
                    </m:e>
                  </m:eqArr>
                </m:sub>
                <m:sup>
                  <m:r>
                    <w:rPr>
                      <w:rFonts w:ascii="Cambria Math" w:eastAsia="Calibri" w:hAnsi="Cambria Math" w:cstheme="majorBidi"/>
                      <w:sz w:val="24"/>
                      <w:szCs w:val="24"/>
                    </w:rPr>
                    <m:t>N</m:t>
                  </m:r>
                </m:sup>
                <m:e>
                  <m:sSubSup>
                    <m:sSubSupPr>
                      <m:ctrlPr>
                        <w:rPr>
                          <w:rFonts w:ascii="Cambria Math" w:eastAsia="Calibri" w:hAnsi="Cambria Math" w:cstheme="majorBidi"/>
                          <w:i/>
                          <w:sz w:val="24"/>
                          <w:szCs w:val="24"/>
                        </w:rPr>
                      </m:ctrlPr>
                    </m:sSubSup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e>
              </m:nary>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num>
            <m:den>
              <m:nary>
                <m:naryPr>
                  <m:chr m:val="∑"/>
                  <m:limLoc m:val="undOvr"/>
                  <m:ctrlPr>
                    <w:rPr>
                      <w:rFonts w:ascii="Cambria Math" w:eastAsia="Calibri" w:hAnsi="Cambria Math" w:cstheme="majorBidi"/>
                      <w:i/>
                      <w:sz w:val="24"/>
                      <w:szCs w:val="24"/>
                    </w:rPr>
                  </m:ctrlPr>
                </m:naryPr>
                <m:sub>
                  <m:r>
                    <w:rPr>
                      <w:rFonts w:ascii="Cambria Math" w:eastAsia="Calibri" w:hAnsi="Cambria Math" w:cstheme="majorBidi"/>
                      <w:sz w:val="24"/>
                      <w:szCs w:val="24"/>
                    </w:rPr>
                    <m:t>i,j=1</m:t>
                  </m:r>
                </m:sub>
                <m:sup>
                  <m:r>
                    <w:rPr>
                      <w:rFonts w:ascii="Cambria Math" w:eastAsia="Calibri" w:hAnsi="Cambria Math" w:cstheme="majorBidi"/>
                      <w:sz w:val="24"/>
                      <w:szCs w:val="24"/>
                    </w:rPr>
                    <m:t>N</m:t>
                  </m:r>
                </m:sup>
                <m:e>
                  <m:sSubSup>
                    <m:sSubSupPr>
                      <m:ctrlPr>
                        <w:rPr>
                          <w:rFonts w:ascii="Cambria Math" w:eastAsia="Calibri" w:hAnsi="Cambria Math" w:cstheme="majorBidi"/>
                          <w:i/>
                          <w:sz w:val="24"/>
                          <w:szCs w:val="24"/>
                        </w:rPr>
                      </m:ctrlPr>
                    </m:sSubSup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e>
              </m:nary>
            </m:den>
          </m:f>
          <m:r>
            <w:rPr>
              <w:rFonts w:ascii="Cambria Math" w:eastAsia="Calibri" w:hAnsi="Cambria Math" w:cstheme="majorBidi"/>
              <w:sz w:val="24"/>
              <w:szCs w:val="24"/>
            </w:rPr>
            <m:t>×100=</m:t>
          </m:r>
          <m:f>
            <m:fPr>
              <m:ctrlPr>
                <w:rPr>
                  <w:rFonts w:ascii="Cambria Math" w:eastAsia="Calibri" w:hAnsi="Cambria Math" w:cstheme="majorBidi"/>
                  <w:i/>
                  <w:sz w:val="24"/>
                  <w:szCs w:val="24"/>
                </w:rPr>
              </m:ctrlPr>
            </m:fPr>
            <m:num>
              <m:nary>
                <m:naryPr>
                  <m:chr m:val="∑"/>
                  <m:limLoc m:val="undOvr"/>
                  <m:ctrlPr>
                    <w:rPr>
                      <w:rFonts w:ascii="Cambria Math" w:eastAsia="Calibri" w:hAnsi="Cambria Math" w:cstheme="majorBidi"/>
                      <w:i/>
                      <w:sz w:val="24"/>
                      <w:szCs w:val="24"/>
                    </w:rPr>
                  </m:ctrlPr>
                </m:naryPr>
                <m:sub>
                  <m:eqArr>
                    <m:eqArrPr>
                      <m:ctrlPr>
                        <w:rPr>
                          <w:rFonts w:ascii="Cambria Math" w:eastAsia="Calibri" w:hAnsi="Cambria Math" w:cstheme="majorBidi"/>
                          <w:i/>
                          <w:sz w:val="24"/>
                          <w:szCs w:val="24"/>
                        </w:rPr>
                      </m:ctrlPr>
                    </m:eqArrPr>
                    <m:e>
                      <m:r>
                        <w:rPr>
                          <w:rFonts w:ascii="Cambria Math" w:eastAsia="Calibri" w:hAnsi="Cambria Math" w:cstheme="majorBidi"/>
                          <w:sz w:val="24"/>
                          <w:szCs w:val="24"/>
                        </w:rPr>
                        <m:t>j=1</m:t>
                      </m:r>
                    </m:e>
                    <m:e>
                      <m:r>
                        <w:rPr>
                          <w:rFonts w:ascii="Cambria Math" w:eastAsia="Calibri" w:hAnsi="Cambria Math" w:cstheme="majorBidi"/>
                          <w:sz w:val="24"/>
                          <w:szCs w:val="24"/>
                        </w:rPr>
                        <m:t>j≠i</m:t>
                      </m:r>
                    </m:e>
                  </m:eqArr>
                </m:sub>
                <m:sup>
                  <m:r>
                    <w:rPr>
                      <w:rFonts w:ascii="Cambria Math" w:eastAsia="Calibri" w:hAnsi="Cambria Math" w:cstheme="majorBidi"/>
                      <w:sz w:val="24"/>
                      <w:szCs w:val="24"/>
                    </w:rPr>
                    <m:t>N</m:t>
                  </m:r>
                </m:sup>
                <m:e>
                  <m:sSubSup>
                    <m:sSubSupPr>
                      <m:ctrlPr>
                        <w:rPr>
                          <w:rFonts w:ascii="Cambria Math" w:eastAsia="Calibri" w:hAnsi="Cambria Math" w:cstheme="majorBidi"/>
                          <w:i/>
                          <w:sz w:val="24"/>
                          <w:szCs w:val="24"/>
                        </w:rPr>
                      </m:ctrlPr>
                    </m:sSubSup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e>
              </m:nary>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num>
            <m:den>
              <m:r>
                <w:rPr>
                  <w:rFonts w:ascii="Cambria Math" w:eastAsia="Calibri" w:hAnsi="Cambria Math" w:cstheme="majorBidi"/>
                  <w:sz w:val="24"/>
                  <w:szCs w:val="24"/>
                </w:rPr>
                <m:t>N</m:t>
              </m:r>
            </m:den>
          </m:f>
          <m:r>
            <w:rPr>
              <w:rFonts w:ascii="Cambria Math" w:eastAsia="Calibri" w:hAnsi="Cambria Math" w:cstheme="majorBidi"/>
              <w:sz w:val="24"/>
              <w:szCs w:val="24"/>
            </w:rPr>
            <m:t xml:space="preserve">×100                                      (6)  </m:t>
          </m:r>
        </m:oMath>
      </m:oMathPara>
    </w:p>
    <w:p w:rsidR="00585A30" w:rsidRDefault="00585A30" w:rsidP="00DB2FB2">
      <w:pPr>
        <w:spacing w:after="0" w:line="480" w:lineRule="auto"/>
        <w:jc w:val="both"/>
        <w:rPr>
          <w:rFonts w:asciiTheme="majorBidi" w:eastAsia="Calibri" w:hAnsiTheme="majorBidi" w:cstheme="majorBidi"/>
          <w:sz w:val="24"/>
          <w:szCs w:val="24"/>
        </w:rPr>
      </w:pPr>
    </w:p>
    <w:p w:rsidR="00DB2FB2" w:rsidRDefault="00B07141" w:rsidP="00585A30">
      <w:pPr>
        <w:spacing w:after="0" w:line="48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Using the same </w:t>
      </w:r>
      <w:r w:rsidR="003E6B0E">
        <w:rPr>
          <w:rFonts w:asciiTheme="majorBidi" w:eastAsia="Calibri" w:hAnsiTheme="majorBidi" w:cstheme="majorBidi"/>
          <w:sz w:val="24"/>
          <w:szCs w:val="24"/>
        </w:rPr>
        <w:t xml:space="preserve">logic </w:t>
      </w:r>
      <w:r>
        <w:rPr>
          <w:rFonts w:asciiTheme="majorBidi" w:eastAsia="Calibri" w:hAnsiTheme="majorBidi" w:cstheme="majorBidi"/>
          <w:sz w:val="24"/>
          <w:szCs w:val="24"/>
        </w:rPr>
        <w:t xml:space="preserve">we are also able to compute how a particular market </w:t>
      </w:r>
      <m:oMath>
        <m:r>
          <w:rPr>
            <w:rFonts w:ascii="Cambria Math" w:eastAsia="Calibri" w:hAnsi="Cambria Math" w:cstheme="majorBidi"/>
            <w:sz w:val="24"/>
            <w:szCs w:val="24"/>
          </w:rPr>
          <m:t>i</m:t>
        </m:r>
      </m:oMath>
      <w:r>
        <w:rPr>
          <w:rFonts w:asciiTheme="majorBidi" w:eastAsia="Calibri" w:hAnsiTheme="majorBidi" w:cstheme="majorBidi"/>
          <w:sz w:val="24"/>
          <w:szCs w:val="24"/>
        </w:rPr>
        <w:t xml:space="preserve"> is contributing to the shocks of all other markets by aggregating partially. </w:t>
      </w:r>
      <w:r w:rsidR="00552623">
        <w:rPr>
          <w:rFonts w:asciiTheme="majorBidi" w:eastAsia="Calibri" w:hAnsiTheme="majorBidi" w:cstheme="majorBidi"/>
          <w:sz w:val="24"/>
          <w:szCs w:val="24"/>
        </w:rPr>
        <w:t xml:space="preserve">The total directional connectedness from market </w:t>
      </w:r>
      <m:oMath>
        <m:r>
          <w:rPr>
            <w:rFonts w:ascii="Cambria Math" w:eastAsia="Calibri" w:hAnsi="Cambria Math" w:cstheme="majorBidi"/>
            <w:sz w:val="24"/>
            <w:szCs w:val="24"/>
          </w:rPr>
          <m:t>i</m:t>
        </m:r>
      </m:oMath>
      <w:r w:rsidR="00523612">
        <w:rPr>
          <w:rFonts w:asciiTheme="majorBidi" w:eastAsia="Calibri" w:hAnsiTheme="majorBidi" w:cstheme="majorBidi"/>
          <w:sz w:val="24"/>
          <w:szCs w:val="24"/>
        </w:rPr>
        <w:t xml:space="preserve"> </w:t>
      </w:r>
      <w:r w:rsidR="00585A30">
        <w:rPr>
          <w:rFonts w:asciiTheme="majorBidi" w:eastAsia="Calibri" w:hAnsiTheme="majorBidi" w:cstheme="majorBidi"/>
          <w:sz w:val="24"/>
          <w:szCs w:val="24"/>
        </w:rPr>
        <w:t xml:space="preserve">to all markets </w:t>
      </w:r>
      <w:r w:rsidR="00552623">
        <w:rPr>
          <w:rFonts w:asciiTheme="majorBidi" w:eastAsia="Calibri" w:hAnsiTheme="majorBidi" w:cstheme="majorBidi"/>
          <w:sz w:val="24"/>
          <w:szCs w:val="24"/>
        </w:rPr>
        <w:t xml:space="preserve">is denoted as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C</m:t>
            </m:r>
          </m:e>
          <m:sub>
            <m:r>
              <w:rPr>
                <w:rFonts w:ascii="Cambria Math" w:eastAsia="Calibri" w:hAnsi="Cambria Math" w:cstheme="majorBidi"/>
                <w:sz w:val="24"/>
                <w:szCs w:val="24"/>
              </w:rPr>
              <m:t>∎←i</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oMath>
      <w:r w:rsidR="00552623">
        <w:rPr>
          <w:rFonts w:asciiTheme="majorBidi" w:eastAsia="Calibri" w:hAnsiTheme="majorBidi" w:cstheme="majorBidi"/>
          <w:sz w:val="24"/>
          <w:szCs w:val="24"/>
        </w:rPr>
        <w:t xml:space="preserve"> and it can be computed as</w:t>
      </w:r>
    </w:p>
    <w:p w:rsidR="00B07141" w:rsidRPr="00DB2FB2" w:rsidRDefault="00552623" w:rsidP="00DB2FB2">
      <w:pPr>
        <w:spacing w:after="0" w:line="240" w:lineRule="auto"/>
        <w:jc w:val="both"/>
        <w:rPr>
          <w:rFonts w:asciiTheme="majorBidi" w:eastAsia="Calibri" w:hAnsiTheme="majorBidi" w:cstheme="majorBidi"/>
          <w:sz w:val="24"/>
          <w:szCs w:val="24"/>
        </w:rPr>
      </w:pPr>
      <w:r>
        <w:rPr>
          <w:rFonts w:ascii="Cambria Math" w:eastAsia="Calibri" w:hAnsi="Cambria Math" w:cstheme="majorBidi"/>
          <w:sz w:val="24"/>
          <w:szCs w:val="24"/>
        </w:rPr>
        <w:br/>
      </w:r>
      <m:oMathPara>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C</m:t>
              </m:r>
            </m:e>
            <m:sub>
              <m:r>
                <w:rPr>
                  <w:rFonts w:ascii="Cambria Math" w:eastAsia="Calibri" w:hAnsi="Cambria Math" w:cstheme="majorBidi"/>
                  <w:sz w:val="24"/>
                  <w:szCs w:val="24"/>
                </w:rPr>
                <m:t>∎←i</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r>
            <m:rPr>
              <m:sty m:val="p"/>
            </m:rPr>
            <w:rPr>
              <w:rFonts w:ascii="Cambria Math" w:eastAsia="Calibri" w:hAnsi="Cambria Math" w:cstheme="majorBidi"/>
              <w:sz w:val="24"/>
              <w:szCs w:val="24"/>
            </w:rPr>
            <m:t xml:space="preserve"> </m:t>
          </m:r>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nary>
                <m:naryPr>
                  <m:chr m:val="∑"/>
                  <m:limLoc m:val="undOvr"/>
                  <m:ctrlPr>
                    <w:rPr>
                      <w:rFonts w:ascii="Cambria Math" w:eastAsia="Calibri" w:hAnsi="Cambria Math" w:cstheme="majorBidi"/>
                      <w:i/>
                      <w:sz w:val="24"/>
                      <w:szCs w:val="24"/>
                    </w:rPr>
                  </m:ctrlPr>
                </m:naryPr>
                <m:sub>
                  <m:eqArr>
                    <m:eqArrPr>
                      <m:ctrlPr>
                        <w:rPr>
                          <w:rFonts w:ascii="Cambria Math" w:eastAsia="Calibri" w:hAnsi="Cambria Math" w:cstheme="majorBidi"/>
                          <w:i/>
                          <w:sz w:val="24"/>
                          <w:szCs w:val="24"/>
                        </w:rPr>
                      </m:ctrlPr>
                    </m:eqArrPr>
                    <m:e>
                      <m:r>
                        <w:rPr>
                          <w:rFonts w:ascii="Cambria Math" w:eastAsia="Calibri" w:hAnsi="Cambria Math" w:cstheme="majorBidi"/>
                          <w:sz w:val="24"/>
                          <w:szCs w:val="24"/>
                        </w:rPr>
                        <m:t>j=1</m:t>
                      </m:r>
                    </m:e>
                    <m:e>
                      <m:r>
                        <w:rPr>
                          <w:rFonts w:ascii="Cambria Math" w:eastAsia="Calibri" w:hAnsi="Cambria Math" w:cstheme="majorBidi"/>
                          <w:sz w:val="24"/>
                          <w:szCs w:val="24"/>
                        </w:rPr>
                        <m:t>j≠i</m:t>
                      </m:r>
                    </m:e>
                  </m:eqArr>
                </m:sub>
                <m:sup>
                  <m:r>
                    <w:rPr>
                      <w:rFonts w:ascii="Cambria Math" w:eastAsia="Calibri" w:hAnsi="Cambria Math" w:cstheme="majorBidi"/>
                      <w:sz w:val="24"/>
                      <w:szCs w:val="24"/>
                    </w:rPr>
                    <m:t>N</m:t>
                  </m:r>
                </m:sup>
                <m:e>
                  <m:sSubSup>
                    <m:sSubSupPr>
                      <m:ctrlPr>
                        <w:rPr>
                          <w:rFonts w:ascii="Cambria Math" w:eastAsia="Calibri" w:hAnsi="Cambria Math" w:cstheme="majorBidi"/>
                          <w:i/>
                          <w:sz w:val="24"/>
                          <w:szCs w:val="24"/>
                        </w:rPr>
                      </m:ctrlPr>
                    </m:sSubSup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ji</m:t>
                      </m:r>
                    </m:sub>
                    <m:sup>
                      <m:r>
                        <w:rPr>
                          <w:rFonts w:ascii="Cambria Math" w:eastAsia="Calibri" w:hAnsi="Cambria Math" w:cstheme="majorBidi"/>
                          <w:sz w:val="24"/>
                          <w:szCs w:val="24"/>
                        </w:rPr>
                        <m:t>g</m:t>
                      </m:r>
                    </m:sup>
                  </m:sSubSup>
                </m:e>
              </m:nary>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num>
            <m:den>
              <m:nary>
                <m:naryPr>
                  <m:chr m:val="∑"/>
                  <m:limLoc m:val="undOvr"/>
                  <m:ctrlPr>
                    <w:rPr>
                      <w:rFonts w:ascii="Cambria Math" w:eastAsia="Calibri" w:hAnsi="Cambria Math" w:cstheme="majorBidi"/>
                      <w:i/>
                      <w:sz w:val="24"/>
                      <w:szCs w:val="24"/>
                    </w:rPr>
                  </m:ctrlPr>
                </m:naryPr>
                <m:sub>
                  <m:r>
                    <w:rPr>
                      <w:rFonts w:ascii="Cambria Math" w:eastAsia="Calibri" w:hAnsi="Cambria Math" w:cstheme="majorBidi"/>
                      <w:sz w:val="24"/>
                      <w:szCs w:val="24"/>
                    </w:rPr>
                    <m:t>i,j=1</m:t>
                  </m:r>
                </m:sub>
                <m:sup>
                  <m:r>
                    <w:rPr>
                      <w:rFonts w:ascii="Cambria Math" w:eastAsia="Calibri" w:hAnsi="Cambria Math" w:cstheme="majorBidi"/>
                      <w:sz w:val="24"/>
                      <w:szCs w:val="24"/>
                    </w:rPr>
                    <m:t>N</m:t>
                  </m:r>
                </m:sup>
                <m:e>
                  <m:sSubSup>
                    <m:sSubSupPr>
                      <m:ctrlPr>
                        <w:rPr>
                          <w:rFonts w:ascii="Cambria Math" w:eastAsia="Calibri" w:hAnsi="Cambria Math" w:cstheme="majorBidi"/>
                          <w:i/>
                          <w:sz w:val="24"/>
                          <w:szCs w:val="24"/>
                        </w:rPr>
                      </m:ctrlPr>
                    </m:sSubSup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ji</m:t>
                      </m:r>
                    </m:sub>
                    <m:sup>
                      <m:r>
                        <w:rPr>
                          <w:rFonts w:ascii="Cambria Math" w:eastAsia="Calibri" w:hAnsi="Cambria Math" w:cstheme="majorBidi"/>
                          <w:sz w:val="24"/>
                          <w:szCs w:val="24"/>
                        </w:rPr>
                        <m:t>g</m:t>
                      </m:r>
                    </m:sup>
                  </m:sSubSup>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e>
              </m:nary>
            </m:den>
          </m:f>
          <m:r>
            <w:rPr>
              <w:rFonts w:ascii="Cambria Math" w:eastAsia="Calibri" w:hAnsi="Cambria Math" w:cstheme="majorBidi"/>
              <w:sz w:val="24"/>
              <w:szCs w:val="24"/>
            </w:rPr>
            <m:t>×100=</m:t>
          </m:r>
          <m:f>
            <m:fPr>
              <m:ctrlPr>
                <w:rPr>
                  <w:rFonts w:ascii="Cambria Math" w:eastAsia="Calibri" w:hAnsi="Cambria Math" w:cstheme="majorBidi"/>
                  <w:i/>
                  <w:sz w:val="24"/>
                  <w:szCs w:val="24"/>
                </w:rPr>
              </m:ctrlPr>
            </m:fPr>
            <m:num>
              <m:nary>
                <m:naryPr>
                  <m:chr m:val="∑"/>
                  <m:limLoc m:val="undOvr"/>
                  <m:ctrlPr>
                    <w:rPr>
                      <w:rFonts w:ascii="Cambria Math" w:eastAsia="Calibri" w:hAnsi="Cambria Math" w:cstheme="majorBidi"/>
                      <w:i/>
                      <w:sz w:val="24"/>
                      <w:szCs w:val="24"/>
                    </w:rPr>
                  </m:ctrlPr>
                </m:naryPr>
                <m:sub>
                  <m:eqArr>
                    <m:eqArrPr>
                      <m:ctrlPr>
                        <w:rPr>
                          <w:rFonts w:ascii="Cambria Math" w:eastAsia="Calibri" w:hAnsi="Cambria Math" w:cstheme="majorBidi"/>
                          <w:i/>
                          <w:sz w:val="24"/>
                          <w:szCs w:val="24"/>
                        </w:rPr>
                      </m:ctrlPr>
                    </m:eqArrPr>
                    <m:e>
                      <m:r>
                        <w:rPr>
                          <w:rFonts w:ascii="Cambria Math" w:eastAsia="Calibri" w:hAnsi="Cambria Math" w:cstheme="majorBidi"/>
                          <w:sz w:val="24"/>
                          <w:szCs w:val="24"/>
                        </w:rPr>
                        <m:t>j=1</m:t>
                      </m:r>
                    </m:e>
                    <m:e>
                      <m:r>
                        <w:rPr>
                          <w:rFonts w:ascii="Cambria Math" w:eastAsia="Calibri" w:hAnsi="Cambria Math" w:cstheme="majorBidi"/>
                          <w:sz w:val="24"/>
                          <w:szCs w:val="24"/>
                        </w:rPr>
                        <m:t>j≠i</m:t>
                      </m:r>
                    </m:e>
                  </m:eqArr>
                </m:sub>
                <m:sup>
                  <m:r>
                    <w:rPr>
                      <w:rFonts w:ascii="Cambria Math" w:eastAsia="Calibri" w:hAnsi="Cambria Math" w:cstheme="majorBidi"/>
                      <w:sz w:val="24"/>
                      <w:szCs w:val="24"/>
                    </w:rPr>
                    <m:t>N</m:t>
                  </m:r>
                </m:sup>
                <m:e>
                  <m:sSubSup>
                    <m:sSubSupPr>
                      <m:ctrlPr>
                        <w:rPr>
                          <w:rFonts w:ascii="Cambria Math" w:eastAsia="Calibri" w:hAnsi="Cambria Math" w:cstheme="majorBidi"/>
                          <w:i/>
                          <w:sz w:val="24"/>
                          <w:szCs w:val="24"/>
                        </w:rPr>
                      </m:ctrlPr>
                    </m:sSubSup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ji</m:t>
                      </m:r>
                    </m:sub>
                    <m:sup>
                      <m:r>
                        <w:rPr>
                          <w:rFonts w:ascii="Cambria Math" w:eastAsia="Calibri" w:hAnsi="Cambria Math" w:cstheme="majorBidi"/>
                          <w:sz w:val="24"/>
                          <w:szCs w:val="24"/>
                        </w:rPr>
                        <m:t>g</m:t>
                      </m:r>
                    </m:sup>
                  </m:sSubSup>
                </m:e>
              </m:nary>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num>
            <m:den>
              <m:r>
                <w:rPr>
                  <w:rFonts w:ascii="Cambria Math" w:eastAsia="Calibri" w:hAnsi="Cambria Math" w:cstheme="majorBidi"/>
                  <w:sz w:val="24"/>
                  <w:szCs w:val="24"/>
                </w:rPr>
                <m:t>N</m:t>
              </m:r>
            </m:den>
          </m:f>
          <m:r>
            <w:rPr>
              <w:rFonts w:ascii="Cambria Math" w:eastAsia="Calibri" w:hAnsi="Cambria Math" w:cstheme="majorBidi"/>
              <w:sz w:val="24"/>
              <w:szCs w:val="24"/>
            </w:rPr>
            <m:t>×100                                              (7)</m:t>
          </m:r>
        </m:oMath>
      </m:oMathPara>
    </w:p>
    <w:p w:rsidR="00DB2FB2" w:rsidRDefault="00DB2FB2" w:rsidP="00DB2FB2">
      <w:pPr>
        <w:spacing w:after="0" w:line="240" w:lineRule="auto"/>
        <w:jc w:val="both"/>
        <w:rPr>
          <w:rFonts w:asciiTheme="majorBidi" w:eastAsia="Calibri" w:hAnsiTheme="majorBidi" w:cstheme="majorBidi"/>
          <w:sz w:val="24"/>
          <w:szCs w:val="24"/>
        </w:rPr>
      </w:pPr>
    </w:p>
    <w:p w:rsidR="004D517D" w:rsidRDefault="00B07141" w:rsidP="00585A30">
      <w:pPr>
        <w:spacing w:line="48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This is also </w:t>
      </w:r>
      <w:r w:rsidR="003E6B0E">
        <w:rPr>
          <w:rFonts w:asciiTheme="majorBidi" w:eastAsia="Calibri" w:hAnsiTheme="majorBidi" w:cstheme="majorBidi"/>
          <w:sz w:val="24"/>
          <w:szCs w:val="24"/>
        </w:rPr>
        <w:t xml:space="preserve">an </w:t>
      </w:r>
      <w:r>
        <w:rPr>
          <w:rFonts w:asciiTheme="majorBidi" w:eastAsia="Calibri" w:hAnsiTheme="majorBidi" w:cstheme="majorBidi"/>
          <w:sz w:val="24"/>
          <w:szCs w:val="24"/>
        </w:rPr>
        <w:t>informative</w:t>
      </w:r>
      <w:r w:rsidR="003E6B0E">
        <w:rPr>
          <w:rFonts w:asciiTheme="majorBidi" w:eastAsia="Calibri" w:hAnsiTheme="majorBidi" w:cstheme="majorBidi"/>
          <w:sz w:val="24"/>
          <w:szCs w:val="24"/>
        </w:rPr>
        <w:t xml:space="preserve"> connectedness measure. T</w:t>
      </w:r>
      <w:r w:rsidR="00552623">
        <w:rPr>
          <w:rFonts w:asciiTheme="majorBidi" w:eastAsia="Calibri" w:hAnsiTheme="majorBidi" w:cstheme="majorBidi"/>
          <w:sz w:val="24"/>
          <w:szCs w:val="24"/>
        </w:rPr>
        <w:t xml:space="preserve">ogether with the previous statistic </w:t>
      </w:r>
      <w:r>
        <w:rPr>
          <w:rFonts w:asciiTheme="majorBidi" w:eastAsia="Calibri" w:hAnsiTheme="majorBidi" w:cstheme="majorBidi"/>
          <w:sz w:val="24"/>
          <w:szCs w:val="24"/>
        </w:rPr>
        <w:t>it may define the role of the market in the whole system of markets as a net giver or receiver of shocks.</w:t>
      </w:r>
      <w:r w:rsidR="00552623">
        <w:rPr>
          <w:rFonts w:asciiTheme="majorBidi" w:eastAsia="Calibri" w:hAnsiTheme="majorBidi" w:cstheme="majorBidi"/>
          <w:sz w:val="24"/>
          <w:szCs w:val="24"/>
        </w:rPr>
        <w:t xml:space="preserve"> In </w:t>
      </w:r>
      <w:r w:rsidR="00552623">
        <w:rPr>
          <w:rFonts w:asciiTheme="majorBidi" w:eastAsia="Calibri" w:hAnsiTheme="majorBidi" w:cstheme="majorBidi"/>
          <w:sz w:val="24"/>
          <w:szCs w:val="24"/>
        </w:rPr>
        <w:lastRenderedPageBreak/>
        <w:t xml:space="preserve">particular we are occasionally interested </w:t>
      </w:r>
      <w:r w:rsidR="00585A30">
        <w:rPr>
          <w:rFonts w:asciiTheme="majorBidi" w:eastAsia="Calibri" w:hAnsiTheme="majorBidi" w:cstheme="majorBidi"/>
          <w:sz w:val="24"/>
          <w:szCs w:val="24"/>
        </w:rPr>
        <w:t xml:space="preserve">in </w:t>
      </w:r>
      <w:r w:rsidR="00552623">
        <w:rPr>
          <w:rFonts w:asciiTheme="majorBidi" w:eastAsia="Calibri" w:hAnsiTheme="majorBidi" w:cstheme="majorBidi"/>
          <w:sz w:val="24"/>
          <w:szCs w:val="24"/>
        </w:rPr>
        <w:t>comput</w:t>
      </w:r>
      <w:r w:rsidR="00585A30">
        <w:rPr>
          <w:rFonts w:asciiTheme="majorBidi" w:eastAsia="Calibri" w:hAnsiTheme="majorBidi" w:cstheme="majorBidi"/>
          <w:sz w:val="24"/>
          <w:szCs w:val="24"/>
        </w:rPr>
        <w:t>ing</w:t>
      </w:r>
      <w:r w:rsidR="00552623">
        <w:rPr>
          <w:rFonts w:asciiTheme="majorBidi" w:eastAsia="Calibri" w:hAnsiTheme="majorBidi" w:cstheme="majorBidi"/>
          <w:sz w:val="24"/>
          <w:szCs w:val="24"/>
        </w:rPr>
        <w:t xml:space="preserve"> the net total directional connectedness which can be calculated </w:t>
      </w:r>
      <w:r w:rsidR="00AD1FC3">
        <w:rPr>
          <w:rFonts w:asciiTheme="majorBidi" w:eastAsia="Calibri" w:hAnsiTheme="majorBidi" w:cstheme="majorBidi"/>
          <w:sz w:val="24"/>
          <w:szCs w:val="24"/>
        </w:rPr>
        <w:t>as</w:t>
      </w:r>
    </w:p>
    <w:p w:rsidR="00F90ED3" w:rsidRDefault="003974B7" w:rsidP="00F90ED3">
      <w:pPr>
        <w:spacing w:after="0" w:line="240" w:lineRule="auto"/>
        <w:jc w:val="both"/>
        <w:rPr>
          <w:rFonts w:asciiTheme="majorBidi" w:eastAsia="Calibri" w:hAnsiTheme="majorBidi" w:cstheme="majorBidi"/>
          <w:sz w:val="24"/>
          <w:szCs w:val="24"/>
        </w:rPr>
      </w:pPr>
      <m:oMath>
        <m:sSub>
          <m:sSubPr>
            <m:ctrlPr>
              <w:rPr>
                <w:rFonts w:ascii="Cambria Math" w:eastAsia="Calibri" w:hAnsi="Cambria Math" w:cstheme="majorBidi"/>
                <w:i/>
                <w:sz w:val="24"/>
                <w:szCs w:val="24"/>
              </w:rPr>
            </m:ctrlPr>
          </m:sSub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C</m:t>
                </m:r>
              </m:e>
              <m:sub>
                <m:r>
                  <w:rPr>
                    <w:rFonts w:ascii="Cambria Math" w:eastAsia="Calibri" w:hAnsi="Cambria Math" w:cstheme="majorBidi"/>
                    <w:sz w:val="24"/>
                    <w:szCs w:val="24"/>
                  </w:rPr>
                  <m:t>i</m:t>
                </m:r>
              </m:sub>
            </m:sSub>
            <m:r>
              <w:rPr>
                <w:rFonts w:ascii="Cambria Math" w:eastAsia="Calibri" w:hAnsi="Cambria Math" w:cstheme="majorBidi"/>
                <w:sz w:val="24"/>
                <w:szCs w:val="24"/>
              </w:rPr>
              <m:t>(H)=C</m:t>
            </m:r>
          </m:e>
          <m:sub>
            <m:r>
              <w:rPr>
                <w:rFonts w:ascii="Cambria Math" w:eastAsia="Calibri" w:hAnsi="Cambria Math" w:cstheme="majorBidi"/>
                <w:sz w:val="24"/>
                <w:szCs w:val="24"/>
              </w:rPr>
              <m:t>∎←i</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C</m:t>
            </m:r>
          </m:e>
          <m:sub>
            <m:r>
              <w:rPr>
                <w:rFonts w:ascii="Cambria Math" w:eastAsia="Calibri" w:hAnsi="Cambria Math" w:cstheme="majorBidi"/>
                <w:sz w:val="24"/>
                <w:szCs w:val="24"/>
              </w:rPr>
              <m:t>i←∎</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r>
          <w:rPr>
            <w:rFonts w:ascii="Cambria Math" w:eastAsia="Calibri" w:hAnsi="Cambria Math" w:cstheme="majorBidi"/>
            <w:sz w:val="24"/>
            <w:szCs w:val="24"/>
          </w:rPr>
          <m:t xml:space="preserve">                                                              (8)</m:t>
        </m:r>
      </m:oMath>
      <w:r w:rsidR="00AD1FC3">
        <w:rPr>
          <w:rFonts w:asciiTheme="majorBidi" w:eastAsia="Calibri" w:hAnsiTheme="majorBidi" w:cstheme="majorBidi"/>
          <w:sz w:val="24"/>
          <w:szCs w:val="24"/>
        </w:rPr>
        <w:t xml:space="preserve"> </w:t>
      </w:r>
    </w:p>
    <w:p w:rsidR="00AD1FC3" w:rsidRDefault="00552623" w:rsidP="00F90ED3">
      <w:pPr>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 </w:t>
      </w:r>
    </w:p>
    <w:p w:rsidR="00B1441B" w:rsidRPr="00AD1FC3" w:rsidRDefault="00AD1FC3" w:rsidP="00915716">
      <w:pPr>
        <w:spacing w:line="480" w:lineRule="auto"/>
        <w:jc w:val="both"/>
        <w:rPr>
          <w:rFonts w:asciiTheme="majorBidi" w:eastAsia="Calibri" w:hAnsiTheme="majorBidi" w:cstheme="majorBidi"/>
          <w:position w:val="-6"/>
          <w:sz w:val="24"/>
          <w:szCs w:val="24"/>
        </w:rPr>
      </w:pPr>
      <w:r>
        <w:rPr>
          <w:rFonts w:asciiTheme="majorBidi" w:eastAsia="Calibri" w:hAnsiTheme="majorBidi" w:cstheme="majorBidi"/>
          <w:sz w:val="24"/>
          <w:szCs w:val="24"/>
        </w:rPr>
        <w:t xml:space="preserve">The total aggregation of the variance decompositions across all </w:t>
      </w:r>
      <w:r w:rsidR="003E6B0E">
        <w:rPr>
          <w:rFonts w:asciiTheme="majorBidi" w:eastAsia="Calibri" w:hAnsiTheme="majorBidi" w:cstheme="majorBidi"/>
          <w:sz w:val="24"/>
          <w:szCs w:val="24"/>
        </w:rPr>
        <w:t xml:space="preserve">markets </w:t>
      </w:r>
      <w:r>
        <w:rPr>
          <w:rFonts w:asciiTheme="majorBidi" w:eastAsia="Calibri" w:hAnsiTheme="majorBidi" w:cstheme="majorBidi"/>
          <w:sz w:val="24"/>
          <w:szCs w:val="24"/>
        </w:rPr>
        <w:t>measures the system</w:t>
      </w:r>
      <w:r w:rsidR="00915716">
        <w:rPr>
          <w:rFonts w:asciiTheme="majorBidi" w:eastAsia="Calibri" w:hAnsiTheme="majorBidi" w:cstheme="majorBidi"/>
          <w:sz w:val="24"/>
          <w:szCs w:val="24"/>
        </w:rPr>
        <w:t>-</w:t>
      </w:r>
      <w:r>
        <w:rPr>
          <w:rFonts w:asciiTheme="majorBidi" w:eastAsia="Calibri" w:hAnsiTheme="majorBidi" w:cstheme="majorBidi"/>
          <w:sz w:val="24"/>
          <w:szCs w:val="24"/>
        </w:rPr>
        <w:t xml:space="preserve">wide connectedness. The total connectedness in all markets can be computed as </w:t>
      </w:r>
    </w:p>
    <w:p w:rsidR="00B1441B" w:rsidRPr="00DB2FB2" w:rsidRDefault="004D517D" w:rsidP="00DB2FB2">
      <w:pPr>
        <w:tabs>
          <w:tab w:val="left" w:pos="2835"/>
        </w:tabs>
        <w:autoSpaceDE w:val="0"/>
        <w:autoSpaceDN w:val="0"/>
        <w:adjustRightInd w:val="0"/>
        <w:spacing w:after="0" w:line="240" w:lineRule="auto"/>
        <w:ind w:firstLine="720"/>
        <w:jc w:val="both"/>
        <w:rPr>
          <w:rFonts w:asciiTheme="majorBidi" w:eastAsia="Calibri" w:hAnsiTheme="majorBidi" w:cstheme="majorBidi"/>
          <w:iCs/>
          <w:sz w:val="24"/>
          <w:szCs w:val="24"/>
        </w:rPr>
      </w:pPr>
      <m:oMathPara>
        <m:oMathParaPr>
          <m:jc m:val="left"/>
        </m:oMathParaPr>
        <m:oMath>
          <m:r>
            <w:rPr>
              <w:rFonts w:ascii="Cambria Math" w:eastAsia="Calibri" w:hAnsi="Cambria Math" w:cstheme="majorBidi"/>
              <w:sz w:val="24"/>
              <w:szCs w:val="24"/>
            </w:rPr>
            <m:t xml:space="preserve">                                                       C</m:t>
          </m:r>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nary>
                <m:naryPr>
                  <m:chr m:val="∑"/>
                  <m:limLoc m:val="undOvr"/>
                  <m:ctrlPr>
                    <w:rPr>
                      <w:rFonts w:ascii="Cambria Math" w:eastAsia="Calibri" w:hAnsi="Cambria Math" w:cstheme="majorBidi"/>
                      <w:i/>
                      <w:sz w:val="24"/>
                      <w:szCs w:val="24"/>
                    </w:rPr>
                  </m:ctrlPr>
                </m:naryPr>
                <m:sub>
                  <m:eqArr>
                    <m:eqArrPr>
                      <m:ctrlPr>
                        <w:rPr>
                          <w:rFonts w:ascii="Cambria Math" w:eastAsia="Calibri" w:hAnsi="Cambria Math" w:cstheme="majorBidi"/>
                          <w:i/>
                          <w:sz w:val="24"/>
                          <w:szCs w:val="24"/>
                        </w:rPr>
                      </m:ctrlPr>
                    </m:eqArrPr>
                    <m:e>
                      <m:r>
                        <w:rPr>
                          <w:rFonts w:ascii="Cambria Math" w:eastAsia="Calibri" w:hAnsi="Cambria Math" w:cstheme="majorBidi"/>
                          <w:sz w:val="24"/>
                          <w:szCs w:val="24"/>
                        </w:rPr>
                        <m:t>i,j=1</m:t>
                      </m:r>
                    </m:e>
                    <m:e>
                      <m:r>
                        <w:rPr>
                          <w:rFonts w:ascii="Cambria Math" w:eastAsia="Calibri" w:hAnsi="Cambria Math" w:cstheme="majorBidi"/>
                          <w:sz w:val="24"/>
                          <w:szCs w:val="24"/>
                        </w:rPr>
                        <m:t>i≠j</m:t>
                      </m:r>
                    </m:e>
                  </m:eqArr>
                </m:sub>
                <m:sup>
                  <m:r>
                    <w:rPr>
                      <w:rFonts w:ascii="Cambria Math" w:eastAsia="Calibri" w:hAnsi="Cambria Math" w:cstheme="majorBidi"/>
                      <w:sz w:val="24"/>
                      <w:szCs w:val="24"/>
                    </w:rPr>
                    <m:t>N</m:t>
                  </m:r>
                </m:sup>
                <m:e>
                  <m:sSubSup>
                    <m:sSubSupPr>
                      <m:ctrlPr>
                        <w:rPr>
                          <w:rFonts w:ascii="Cambria Math" w:eastAsia="Calibri" w:hAnsi="Cambria Math" w:cstheme="majorBidi"/>
                          <w:i/>
                          <w:sz w:val="24"/>
                          <w:szCs w:val="24"/>
                        </w:rPr>
                      </m:ctrlPr>
                    </m:sSubSup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e>
              </m:nary>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num>
            <m:den>
              <m:nary>
                <m:naryPr>
                  <m:chr m:val="∑"/>
                  <m:limLoc m:val="undOvr"/>
                  <m:ctrlPr>
                    <w:rPr>
                      <w:rFonts w:ascii="Cambria Math" w:eastAsia="Calibri" w:hAnsi="Cambria Math" w:cstheme="majorBidi"/>
                      <w:i/>
                      <w:sz w:val="24"/>
                      <w:szCs w:val="24"/>
                    </w:rPr>
                  </m:ctrlPr>
                </m:naryPr>
                <m:sub>
                  <m:r>
                    <w:rPr>
                      <w:rFonts w:ascii="Cambria Math" w:eastAsia="Calibri" w:hAnsi="Cambria Math" w:cstheme="majorBidi"/>
                      <w:sz w:val="24"/>
                      <w:szCs w:val="24"/>
                    </w:rPr>
                    <m:t>i,j=1</m:t>
                  </m:r>
                </m:sub>
                <m:sup>
                  <m:r>
                    <w:rPr>
                      <w:rFonts w:ascii="Cambria Math" w:eastAsia="Calibri" w:hAnsi="Cambria Math" w:cstheme="majorBidi"/>
                      <w:sz w:val="24"/>
                      <w:szCs w:val="24"/>
                    </w:rPr>
                    <m:t>N</m:t>
                  </m:r>
                </m:sup>
                <m:e>
                  <m:sSubSup>
                    <m:sSubSupPr>
                      <m:ctrlPr>
                        <w:rPr>
                          <w:rFonts w:ascii="Cambria Math" w:eastAsia="Calibri" w:hAnsi="Cambria Math" w:cstheme="majorBidi"/>
                          <w:i/>
                          <w:sz w:val="24"/>
                          <w:szCs w:val="24"/>
                        </w:rPr>
                      </m:ctrlPr>
                    </m:sSubSup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e>
              </m:nary>
            </m:den>
          </m:f>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nary>
                <m:naryPr>
                  <m:chr m:val="∑"/>
                  <m:limLoc m:val="undOvr"/>
                  <m:ctrlPr>
                    <w:rPr>
                      <w:rFonts w:ascii="Cambria Math" w:eastAsia="Calibri" w:hAnsi="Cambria Math" w:cstheme="majorBidi"/>
                      <w:i/>
                      <w:sz w:val="24"/>
                      <w:szCs w:val="24"/>
                    </w:rPr>
                  </m:ctrlPr>
                </m:naryPr>
                <m:sub>
                  <m:eqArr>
                    <m:eqArrPr>
                      <m:ctrlPr>
                        <w:rPr>
                          <w:rFonts w:ascii="Cambria Math" w:eastAsia="Calibri" w:hAnsi="Cambria Math" w:cstheme="majorBidi"/>
                          <w:i/>
                          <w:sz w:val="24"/>
                          <w:szCs w:val="24"/>
                        </w:rPr>
                      </m:ctrlPr>
                    </m:eqArrPr>
                    <m:e>
                      <m:r>
                        <w:rPr>
                          <w:rFonts w:ascii="Cambria Math" w:eastAsia="Calibri" w:hAnsi="Cambria Math" w:cstheme="majorBidi"/>
                          <w:sz w:val="24"/>
                          <w:szCs w:val="24"/>
                        </w:rPr>
                        <m:t>i,j=1</m:t>
                      </m:r>
                    </m:e>
                    <m:e>
                      <m:r>
                        <w:rPr>
                          <w:rFonts w:ascii="Cambria Math" w:eastAsia="Calibri" w:hAnsi="Cambria Math" w:cstheme="majorBidi"/>
                          <w:sz w:val="24"/>
                          <w:szCs w:val="24"/>
                        </w:rPr>
                        <m:t>i≠j</m:t>
                      </m:r>
                    </m:e>
                  </m:eqArr>
                </m:sub>
                <m:sup>
                  <m:r>
                    <w:rPr>
                      <w:rFonts w:ascii="Cambria Math" w:eastAsia="Calibri" w:hAnsi="Cambria Math" w:cstheme="majorBidi"/>
                      <w:sz w:val="24"/>
                      <w:szCs w:val="24"/>
                    </w:rPr>
                    <m:t>N</m:t>
                  </m:r>
                </m:sup>
                <m:e>
                  <m:sSubSup>
                    <m:sSubSupPr>
                      <m:ctrlPr>
                        <w:rPr>
                          <w:rFonts w:ascii="Cambria Math" w:eastAsia="Calibri" w:hAnsi="Cambria Math" w:cstheme="majorBidi"/>
                          <w:i/>
                          <w:sz w:val="24"/>
                          <w:szCs w:val="24"/>
                        </w:rPr>
                      </m:ctrlPr>
                    </m:sSubSup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θ</m:t>
                          </m:r>
                        </m:e>
                      </m:acc>
                    </m:e>
                    <m:sub>
                      <m:r>
                        <w:rPr>
                          <w:rFonts w:ascii="Cambria Math" w:eastAsia="Calibri" w:hAnsi="Cambria Math" w:cstheme="majorBidi"/>
                          <w:sz w:val="24"/>
                          <w:szCs w:val="24"/>
                        </w:rPr>
                        <m:t>ij</m:t>
                      </m:r>
                    </m:sub>
                    <m:sup>
                      <m:r>
                        <w:rPr>
                          <w:rFonts w:ascii="Cambria Math" w:eastAsia="Calibri" w:hAnsi="Cambria Math" w:cstheme="majorBidi"/>
                          <w:sz w:val="24"/>
                          <w:szCs w:val="24"/>
                        </w:rPr>
                        <m:t>g</m:t>
                      </m:r>
                    </m:sup>
                  </m:sSubSup>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e>
              </m:nary>
            </m:num>
            <m:den>
              <m:r>
                <w:rPr>
                  <w:rFonts w:ascii="Cambria Math" w:eastAsia="Calibri" w:hAnsi="Cambria Math" w:cstheme="majorBidi"/>
                  <w:sz w:val="24"/>
                  <w:szCs w:val="24"/>
                </w:rPr>
                <m:t>N</m:t>
              </m:r>
            </m:den>
          </m:f>
          <m:r>
            <w:rPr>
              <w:rFonts w:ascii="Cambria Math" w:eastAsia="Calibri" w:hAnsi="Cambria Math" w:cstheme="majorBidi"/>
              <w:sz w:val="24"/>
              <w:szCs w:val="24"/>
            </w:rPr>
            <m:t xml:space="preserve">                                                  (9) </m:t>
          </m:r>
        </m:oMath>
      </m:oMathPara>
    </w:p>
    <w:p w:rsidR="00DB2FB2" w:rsidRPr="00DB2FB2" w:rsidRDefault="00DB2FB2" w:rsidP="00DB2FB2">
      <w:pPr>
        <w:tabs>
          <w:tab w:val="left" w:pos="2835"/>
        </w:tabs>
        <w:autoSpaceDE w:val="0"/>
        <w:autoSpaceDN w:val="0"/>
        <w:adjustRightInd w:val="0"/>
        <w:spacing w:after="0" w:line="240" w:lineRule="auto"/>
        <w:ind w:firstLine="720"/>
        <w:jc w:val="both"/>
        <w:rPr>
          <w:rFonts w:asciiTheme="majorBidi" w:eastAsia="Calibri" w:hAnsiTheme="majorBidi" w:cstheme="majorBidi"/>
          <w:iCs/>
          <w:sz w:val="24"/>
          <w:szCs w:val="24"/>
        </w:rPr>
      </w:pPr>
    </w:p>
    <w:p w:rsidR="00F90ED3" w:rsidRDefault="00B1441B" w:rsidP="00915716">
      <w:pPr>
        <w:spacing w:line="480" w:lineRule="auto"/>
        <w:jc w:val="both"/>
        <w:rPr>
          <w:rFonts w:asciiTheme="majorBidi" w:eastAsia="Calibri" w:hAnsiTheme="majorBidi" w:cstheme="majorBidi"/>
          <w:sz w:val="24"/>
          <w:szCs w:val="24"/>
        </w:rPr>
      </w:pPr>
      <w:r w:rsidRPr="00B1441B">
        <w:rPr>
          <w:rFonts w:asciiTheme="majorBidi" w:eastAsia="Calibri" w:hAnsiTheme="majorBidi" w:cstheme="majorBidi"/>
          <w:sz w:val="24"/>
          <w:szCs w:val="24"/>
        </w:rPr>
        <w:t xml:space="preserve">This </w:t>
      </w:r>
      <w:r w:rsidR="004D517D">
        <w:rPr>
          <w:rFonts w:asciiTheme="majorBidi" w:eastAsia="Calibri" w:hAnsiTheme="majorBidi" w:cstheme="majorBidi"/>
          <w:sz w:val="24"/>
          <w:szCs w:val="24"/>
        </w:rPr>
        <w:t xml:space="preserve">is </w:t>
      </w:r>
      <w:r w:rsidR="00915716">
        <w:rPr>
          <w:rFonts w:asciiTheme="majorBidi" w:eastAsia="Calibri" w:hAnsiTheme="majorBidi" w:cstheme="majorBidi"/>
          <w:sz w:val="24"/>
          <w:szCs w:val="24"/>
        </w:rPr>
        <w:t xml:space="preserve">simply </w:t>
      </w:r>
      <w:r w:rsidR="004D517D">
        <w:rPr>
          <w:rFonts w:asciiTheme="majorBidi" w:eastAsia="Calibri" w:hAnsiTheme="majorBidi" w:cstheme="majorBidi"/>
          <w:sz w:val="24"/>
          <w:szCs w:val="24"/>
        </w:rPr>
        <w:t>the ratio of the sum of all off diagonal elements in the variance decomposition matrix o</w:t>
      </w:r>
      <w:r w:rsidR="003E6B0E">
        <w:rPr>
          <w:rFonts w:asciiTheme="majorBidi" w:eastAsia="Calibri" w:hAnsiTheme="majorBidi" w:cstheme="majorBidi"/>
          <w:sz w:val="24"/>
          <w:szCs w:val="24"/>
        </w:rPr>
        <w:t>f</w:t>
      </w:r>
      <w:r w:rsidR="004D517D">
        <w:rPr>
          <w:rFonts w:asciiTheme="majorBidi" w:eastAsia="Calibri" w:hAnsiTheme="majorBidi" w:cstheme="majorBidi"/>
          <w:sz w:val="24"/>
          <w:szCs w:val="24"/>
        </w:rPr>
        <w:t xml:space="preserve"> all markets to the sum of all elements (off diagonal and own shocks). It </w:t>
      </w:r>
      <w:r w:rsidRPr="00B1441B">
        <w:rPr>
          <w:rFonts w:asciiTheme="majorBidi" w:eastAsia="Calibri" w:hAnsiTheme="majorBidi" w:cstheme="majorBidi"/>
          <w:sz w:val="24"/>
          <w:szCs w:val="24"/>
        </w:rPr>
        <w:t>measures the total information flow among all markets under consideration</w:t>
      </w:r>
      <w:r w:rsidR="00C800AD">
        <w:rPr>
          <w:rFonts w:asciiTheme="majorBidi" w:eastAsia="Calibri" w:hAnsiTheme="majorBidi" w:cstheme="majorBidi"/>
          <w:sz w:val="24"/>
          <w:szCs w:val="24"/>
        </w:rPr>
        <w:t>.</w:t>
      </w:r>
    </w:p>
    <w:p w:rsidR="00C43405" w:rsidRPr="00C43405" w:rsidRDefault="000A3E63" w:rsidP="00194DB4">
      <w:pPr>
        <w:pStyle w:val="ListParagraph"/>
        <w:numPr>
          <w:ilvl w:val="0"/>
          <w:numId w:val="1"/>
        </w:numPr>
        <w:spacing w:after="0" w:line="480" w:lineRule="auto"/>
        <w:ind w:left="284" w:hanging="284"/>
        <w:rPr>
          <w:rFonts w:asciiTheme="majorBidi" w:eastAsia="Calibri" w:hAnsiTheme="majorBidi" w:cstheme="majorBidi"/>
          <w:b/>
          <w:bCs/>
          <w:sz w:val="24"/>
          <w:szCs w:val="24"/>
        </w:rPr>
      </w:pPr>
      <w:r w:rsidRPr="00C43405">
        <w:rPr>
          <w:rFonts w:asciiTheme="majorBidi" w:hAnsiTheme="majorBidi" w:cstheme="majorBidi"/>
          <w:b/>
          <w:bCs/>
          <w:sz w:val="24"/>
          <w:szCs w:val="24"/>
        </w:rPr>
        <w:t xml:space="preserve">Empirical </w:t>
      </w:r>
      <w:r w:rsidR="006F6DC5" w:rsidRPr="00C43405">
        <w:rPr>
          <w:rFonts w:asciiTheme="majorBidi" w:hAnsiTheme="majorBidi" w:cstheme="majorBidi"/>
          <w:b/>
          <w:bCs/>
          <w:sz w:val="24"/>
          <w:szCs w:val="24"/>
        </w:rPr>
        <w:t>results</w:t>
      </w:r>
    </w:p>
    <w:p w:rsidR="00C800AD" w:rsidRDefault="00DD6369" w:rsidP="00C800AD">
      <w:pPr>
        <w:spacing w:line="240" w:lineRule="auto"/>
        <w:rPr>
          <w:rFonts w:asciiTheme="majorBidi" w:eastAsia="Calibri" w:hAnsiTheme="majorBidi" w:cstheme="majorBidi"/>
          <w:b/>
          <w:bCs/>
          <w:sz w:val="24"/>
          <w:szCs w:val="24"/>
        </w:rPr>
      </w:pPr>
      <w:r>
        <w:rPr>
          <w:rFonts w:asciiTheme="majorBidi" w:eastAsia="Calibri" w:hAnsiTheme="majorBidi" w:cstheme="majorBidi"/>
          <w:b/>
          <w:bCs/>
          <w:sz w:val="24"/>
          <w:szCs w:val="24"/>
        </w:rPr>
        <w:t>5</w:t>
      </w:r>
      <w:r w:rsidR="00C43405" w:rsidRPr="00C43405">
        <w:rPr>
          <w:rFonts w:asciiTheme="majorBidi" w:eastAsia="Calibri" w:hAnsiTheme="majorBidi" w:cstheme="majorBidi"/>
          <w:b/>
          <w:bCs/>
          <w:sz w:val="24"/>
          <w:szCs w:val="24"/>
        </w:rPr>
        <w:t>.1 Static volatility connectedness analysis</w:t>
      </w:r>
    </w:p>
    <w:p w:rsidR="00C43405" w:rsidRPr="00C800AD" w:rsidRDefault="00C43405" w:rsidP="0090518F">
      <w:pPr>
        <w:spacing w:after="0" w:line="480" w:lineRule="auto"/>
        <w:jc w:val="both"/>
        <w:rPr>
          <w:rFonts w:asciiTheme="majorBidi" w:eastAsia="Calibri" w:hAnsiTheme="majorBidi" w:cstheme="majorBidi"/>
          <w:b/>
          <w:bCs/>
          <w:sz w:val="24"/>
          <w:szCs w:val="24"/>
        </w:rPr>
      </w:pPr>
      <w:r w:rsidRPr="00C43405">
        <w:rPr>
          <w:rFonts w:asciiTheme="majorBidi" w:hAnsiTheme="majorBidi" w:cstheme="majorBidi"/>
          <w:sz w:val="24"/>
          <w:szCs w:val="24"/>
        </w:rPr>
        <w:t xml:space="preserve">The matrix </w:t>
      </w:r>
      <w:r w:rsidRPr="00C43405">
        <w:rPr>
          <w:rFonts w:asciiTheme="majorBidi" w:hAnsiTheme="majorBidi" w:cstheme="majorBidi"/>
          <w:noProof/>
          <w:sz w:val="24"/>
          <w:szCs w:val="24"/>
        </w:rPr>
        <w:t>presented</w:t>
      </w:r>
      <w:r w:rsidRPr="00C43405">
        <w:rPr>
          <w:rFonts w:asciiTheme="majorBidi" w:hAnsiTheme="majorBidi" w:cstheme="majorBidi"/>
          <w:sz w:val="24"/>
          <w:szCs w:val="24"/>
        </w:rPr>
        <w:t xml:space="preserve"> in Table</w:t>
      </w:r>
      <w:r w:rsidRPr="00C43405">
        <w:rPr>
          <w:rFonts w:asciiTheme="majorBidi" w:hAnsiTheme="majorBidi" w:cstheme="majorBidi"/>
          <w:noProof/>
          <w:sz w:val="24"/>
          <w:szCs w:val="24"/>
        </w:rPr>
        <w:t xml:space="preserve"> </w:t>
      </w:r>
      <w:r w:rsidR="00BA6F1B">
        <w:rPr>
          <w:rFonts w:asciiTheme="majorBidi" w:hAnsiTheme="majorBidi" w:cstheme="majorBidi"/>
          <w:noProof/>
          <w:sz w:val="24"/>
          <w:szCs w:val="24"/>
        </w:rPr>
        <w:t>4</w:t>
      </w:r>
      <w:r w:rsidRPr="00C43405">
        <w:rPr>
          <w:rFonts w:asciiTheme="majorBidi" w:hAnsiTheme="majorBidi" w:cstheme="majorBidi"/>
          <w:noProof/>
          <w:sz w:val="24"/>
          <w:szCs w:val="24"/>
        </w:rPr>
        <w:t xml:space="preserve"> reports the full sample cross market connectedness of </w:t>
      </w:r>
      <w:r w:rsidR="009723B9" w:rsidRPr="00613ECA">
        <w:rPr>
          <w:rFonts w:asciiTheme="majorBidi" w:hAnsiTheme="majorBidi" w:cstheme="majorBidi"/>
          <w:noProof/>
          <w:sz w:val="24"/>
          <w:szCs w:val="24"/>
        </w:rPr>
        <w:t xml:space="preserve">the first difference of </w:t>
      </w:r>
      <w:r w:rsidRPr="00613ECA">
        <w:rPr>
          <w:rFonts w:asciiTheme="majorBidi" w:hAnsiTheme="majorBidi" w:cstheme="majorBidi"/>
          <w:noProof/>
          <w:sz w:val="24"/>
          <w:szCs w:val="24"/>
        </w:rPr>
        <w:t>implied volatilities</w:t>
      </w:r>
      <w:r w:rsidRPr="00C43405">
        <w:rPr>
          <w:rFonts w:asciiTheme="majorBidi" w:hAnsiTheme="majorBidi" w:cstheme="majorBidi"/>
          <w:noProof/>
          <w:sz w:val="24"/>
          <w:szCs w:val="24"/>
        </w:rPr>
        <w:t>.</w:t>
      </w:r>
      <w:r w:rsidRPr="00C43405">
        <w:rPr>
          <w:rStyle w:val="FootnoteReference"/>
          <w:rFonts w:asciiTheme="majorBidi" w:hAnsiTheme="majorBidi" w:cstheme="majorBidi"/>
          <w:noProof/>
          <w:sz w:val="24"/>
          <w:szCs w:val="24"/>
        </w:rPr>
        <w:footnoteReference w:id="17"/>
      </w:r>
      <w:r w:rsidR="0070334D">
        <w:rPr>
          <w:rFonts w:asciiTheme="majorBidi" w:hAnsiTheme="majorBidi" w:cstheme="majorBidi"/>
          <w:noProof/>
          <w:sz w:val="24"/>
          <w:szCs w:val="24"/>
        </w:rPr>
        <w:t xml:space="preserve"> </w:t>
      </w:r>
      <w:r w:rsidRPr="00C43405">
        <w:rPr>
          <w:rFonts w:asciiTheme="majorBidi" w:hAnsiTheme="majorBidi" w:cstheme="majorBidi"/>
          <w:noProof/>
          <w:sz w:val="24"/>
          <w:szCs w:val="24"/>
        </w:rPr>
        <w:t xml:space="preserve">The diagonal elements of the matrix represents </w:t>
      </w:r>
      <w:r>
        <w:rPr>
          <w:rFonts w:asciiTheme="majorBidi" w:hAnsiTheme="majorBidi" w:cstheme="majorBidi"/>
          <w:noProof/>
          <w:sz w:val="24"/>
          <w:szCs w:val="24"/>
        </w:rPr>
        <w:t xml:space="preserve">the </w:t>
      </w:r>
      <w:r w:rsidRPr="00C43405">
        <w:rPr>
          <w:rFonts w:asciiTheme="majorBidi" w:hAnsiTheme="majorBidi" w:cstheme="majorBidi"/>
          <w:noProof/>
          <w:sz w:val="24"/>
          <w:szCs w:val="24"/>
        </w:rPr>
        <w:t xml:space="preserve">own </w:t>
      </w:r>
      <w:r>
        <w:rPr>
          <w:rFonts w:asciiTheme="majorBidi" w:hAnsiTheme="majorBidi" w:cstheme="majorBidi"/>
          <w:noProof/>
          <w:sz w:val="24"/>
          <w:szCs w:val="24"/>
        </w:rPr>
        <w:t xml:space="preserve">market </w:t>
      </w:r>
      <w:r w:rsidRPr="00C43405">
        <w:rPr>
          <w:rFonts w:asciiTheme="majorBidi" w:hAnsiTheme="majorBidi" w:cstheme="majorBidi"/>
          <w:noProof/>
          <w:sz w:val="24"/>
          <w:szCs w:val="24"/>
        </w:rPr>
        <w:t>connectedness and are not particulary in</w:t>
      </w:r>
      <w:r w:rsidR="00301DED">
        <w:rPr>
          <w:rFonts w:asciiTheme="majorBidi" w:hAnsiTheme="majorBidi" w:cstheme="majorBidi"/>
          <w:noProof/>
          <w:sz w:val="24"/>
          <w:szCs w:val="24"/>
        </w:rPr>
        <w:t>teresting</w:t>
      </w:r>
      <w:r w:rsidRPr="00C43405">
        <w:rPr>
          <w:rFonts w:asciiTheme="majorBidi" w:hAnsiTheme="majorBidi" w:cstheme="majorBidi"/>
          <w:noProof/>
          <w:sz w:val="24"/>
          <w:szCs w:val="24"/>
        </w:rPr>
        <w:t xml:space="preserve"> in our context. The off diagonal elements</w:t>
      </w:r>
      <w:r w:rsidR="00613ECA">
        <w:rPr>
          <w:rFonts w:asciiTheme="majorBidi" w:hAnsiTheme="majorBidi" w:cstheme="majorBidi"/>
          <w:noProof/>
          <w:sz w:val="24"/>
          <w:szCs w:val="24"/>
        </w:rPr>
        <w:t xml:space="preserve"> (i.e.</w:t>
      </w:r>
      <m:oMath>
        <m:r>
          <w:rPr>
            <w:rFonts w:ascii="Cambria Math" w:eastAsia="Calibri" w:hAnsi="Cambria Math" w:cstheme="majorBidi"/>
            <w:sz w:val="24"/>
            <w:szCs w:val="24"/>
          </w:rPr>
          <m:t xml:space="preserve"> </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C</m:t>
            </m:r>
          </m:e>
          <m:sub>
            <m:r>
              <w:rPr>
                <w:rFonts w:ascii="Cambria Math" w:eastAsia="Calibri" w:hAnsi="Cambria Math" w:cstheme="majorBidi"/>
                <w:sz w:val="24"/>
                <w:szCs w:val="24"/>
              </w:rPr>
              <m:t>i←j</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oMath>
      <w:r w:rsidR="00613ECA">
        <w:rPr>
          <w:rFonts w:asciiTheme="majorBidi" w:eastAsiaTheme="minorEastAsia" w:hAnsiTheme="majorBidi" w:cstheme="majorBidi"/>
          <w:noProof/>
          <w:sz w:val="24"/>
          <w:szCs w:val="24"/>
        </w:rPr>
        <w:t>)</w:t>
      </w:r>
      <w:r w:rsidRPr="00C43405">
        <w:rPr>
          <w:rFonts w:asciiTheme="majorBidi" w:hAnsiTheme="majorBidi" w:cstheme="majorBidi"/>
          <w:noProof/>
          <w:sz w:val="24"/>
          <w:szCs w:val="24"/>
        </w:rPr>
        <w:t xml:space="preserve"> of the matrix measure </w:t>
      </w:r>
      <w:r w:rsidR="00301DED">
        <w:rPr>
          <w:rFonts w:asciiTheme="majorBidi" w:hAnsiTheme="majorBidi" w:cstheme="majorBidi"/>
          <w:noProof/>
          <w:sz w:val="24"/>
          <w:szCs w:val="24"/>
        </w:rPr>
        <w:t xml:space="preserve">the </w:t>
      </w:r>
      <w:r w:rsidRPr="00C43405">
        <w:rPr>
          <w:rFonts w:asciiTheme="majorBidi" w:hAnsiTheme="majorBidi" w:cstheme="majorBidi"/>
          <w:noProof/>
          <w:sz w:val="24"/>
          <w:szCs w:val="24"/>
        </w:rPr>
        <w:t>pairwise volatility directional connections</w:t>
      </w:r>
      <w:r w:rsidR="0090518F">
        <w:rPr>
          <w:rFonts w:asciiTheme="majorBidi" w:hAnsiTheme="majorBidi" w:cstheme="majorBidi"/>
          <w:noProof/>
          <w:sz w:val="24"/>
          <w:szCs w:val="24"/>
        </w:rPr>
        <w:t>. These</w:t>
      </w:r>
      <w:r w:rsidRPr="00C43405">
        <w:rPr>
          <w:rFonts w:asciiTheme="majorBidi" w:hAnsiTheme="majorBidi" w:cstheme="majorBidi"/>
          <w:noProof/>
          <w:sz w:val="24"/>
          <w:szCs w:val="24"/>
        </w:rPr>
        <w:t xml:space="preserve"> are particularly important for our study.</w:t>
      </w:r>
      <w:r>
        <w:rPr>
          <w:rFonts w:asciiTheme="majorBidi" w:hAnsiTheme="majorBidi" w:cstheme="majorBidi"/>
          <w:noProof/>
          <w:sz w:val="24"/>
          <w:szCs w:val="24"/>
        </w:rPr>
        <w:t xml:space="preserve"> </w:t>
      </w:r>
      <w:r w:rsidR="00AE05EC">
        <w:rPr>
          <w:rFonts w:asciiTheme="majorBidi" w:hAnsiTheme="majorBidi" w:cstheme="majorBidi"/>
          <w:noProof/>
          <w:sz w:val="24"/>
          <w:szCs w:val="24"/>
        </w:rPr>
        <w:t xml:space="preserve"> </w:t>
      </w:r>
      <w:r w:rsidR="00301DED">
        <w:rPr>
          <w:rFonts w:asciiTheme="majorBidi" w:hAnsiTheme="majorBidi" w:cstheme="majorBidi"/>
          <w:noProof/>
          <w:sz w:val="24"/>
          <w:szCs w:val="24"/>
        </w:rPr>
        <w:t xml:space="preserve">  </w:t>
      </w:r>
      <w:r w:rsidR="0043099B">
        <w:rPr>
          <w:rFonts w:asciiTheme="majorBidi" w:hAnsiTheme="majorBidi" w:cstheme="majorBidi"/>
          <w:sz w:val="24"/>
          <w:szCs w:val="24"/>
        </w:rPr>
        <w:t xml:space="preserve">  </w:t>
      </w:r>
      <w:r w:rsidRPr="00C43405">
        <w:rPr>
          <w:rFonts w:asciiTheme="majorBidi" w:hAnsiTheme="majorBidi" w:cstheme="majorBidi"/>
          <w:noProof/>
          <w:sz w:val="24"/>
          <w:szCs w:val="24"/>
        </w:rPr>
        <w:t xml:space="preserve"> </w:t>
      </w:r>
    </w:p>
    <w:p w:rsidR="00DA4718" w:rsidRDefault="00AE05EC" w:rsidP="0090518F">
      <w:pPr>
        <w:spacing w:after="0" w:line="480" w:lineRule="auto"/>
        <w:ind w:firstLine="284"/>
        <w:jc w:val="both"/>
        <w:rPr>
          <w:rFonts w:asciiTheme="majorBidi" w:hAnsiTheme="majorBidi" w:cstheme="majorBidi"/>
          <w:noProof/>
          <w:sz w:val="24"/>
          <w:szCs w:val="24"/>
        </w:rPr>
      </w:pPr>
      <w:r>
        <w:rPr>
          <w:rFonts w:asciiTheme="majorBidi" w:hAnsiTheme="majorBidi" w:cstheme="majorBidi"/>
          <w:noProof/>
          <w:sz w:val="24"/>
          <w:szCs w:val="24"/>
        </w:rPr>
        <w:t xml:space="preserve">As can be seen in the table, </w:t>
      </w:r>
      <w:r w:rsidR="0011345F" w:rsidRPr="0043099B">
        <w:rPr>
          <w:rFonts w:asciiTheme="majorBidi" w:hAnsiTheme="majorBidi" w:cstheme="majorBidi"/>
          <w:noProof/>
          <w:sz w:val="24"/>
          <w:szCs w:val="24"/>
        </w:rPr>
        <w:t>the highest oil volatility pairwise connectedness measure observed is from oil to US equities of a round 20.4% (first column, second row). In return</w:t>
      </w:r>
      <w:r w:rsidR="0090518F">
        <w:rPr>
          <w:rFonts w:asciiTheme="majorBidi" w:hAnsiTheme="majorBidi" w:cstheme="majorBidi"/>
          <w:noProof/>
          <w:sz w:val="24"/>
          <w:szCs w:val="24"/>
        </w:rPr>
        <w:t>,</w:t>
      </w:r>
      <w:r w:rsidR="0011345F" w:rsidRPr="0043099B">
        <w:rPr>
          <w:rFonts w:asciiTheme="majorBidi" w:hAnsiTheme="majorBidi" w:cstheme="majorBidi"/>
          <w:noProof/>
          <w:sz w:val="24"/>
          <w:szCs w:val="24"/>
        </w:rPr>
        <w:t xml:space="preserve"> the pairwise connectedness from equities to oil is almost nil (first row, second column). The difference between the two pairwise directional measures implies that the net pairwise connectedness is from oil implied </w:t>
      </w:r>
      <w:r w:rsidR="0011345F" w:rsidRPr="0043099B">
        <w:rPr>
          <w:rFonts w:asciiTheme="majorBidi" w:hAnsiTheme="majorBidi" w:cstheme="majorBidi"/>
          <w:noProof/>
          <w:sz w:val="24"/>
          <w:szCs w:val="24"/>
        </w:rPr>
        <w:lastRenderedPageBreak/>
        <w:t xml:space="preserve">volatility to the implied volatility of the US equities. </w:t>
      </w:r>
      <w:r w:rsidR="00DA4718" w:rsidRPr="0043099B">
        <w:rPr>
          <w:rFonts w:asciiTheme="majorBidi" w:hAnsiTheme="majorBidi" w:cstheme="majorBidi"/>
          <w:noProof/>
          <w:sz w:val="24"/>
          <w:szCs w:val="24"/>
        </w:rPr>
        <w:t>Similarly, t</w:t>
      </w:r>
      <w:r w:rsidR="0011345F" w:rsidRPr="0043099B">
        <w:rPr>
          <w:rFonts w:asciiTheme="majorBidi" w:hAnsiTheme="majorBidi" w:cstheme="majorBidi"/>
          <w:noProof/>
          <w:sz w:val="24"/>
          <w:szCs w:val="24"/>
        </w:rPr>
        <w:t>he</w:t>
      </w:r>
      <w:r w:rsidR="00DA4718" w:rsidRPr="0043099B">
        <w:rPr>
          <w:rFonts w:asciiTheme="majorBidi" w:hAnsiTheme="majorBidi" w:cstheme="majorBidi"/>
          <w:noProof/>
          <w:sz w:val="24"/>
          <w:szCs w:val="24"/>
        </w:rPr>
        <w:t xml:space="preserve"> pairwise directional volatility connectedness from oil to the Euro/Dollar exchange rate is 8.9%, while </w:t>
      </w:r>
      <w:r w:rsidR="0043099B">
        <w:rPr>
          <w:rFonts w:asciiTheme="majorBidi" w:hAnsiTheme="majorBidi" w:cstheme="majorBidi"/>
          <w:noProof/>
          <w:sz w:val="24"/>
          <w:szCs w:val="24"/>
        </w:rPr>
        <w:t>it is nil</w:t>
      </w:r>
      <w:r w:rsidR="00DA4718" w:rsidRPr="0043099B">
        <w:rPr>
          <w:rFonts w:asciiTheme="majorBidi" w:hAnsiTheme="majorBidi" w:cstheme="majorBidi"/>
          <w:noProof/>
          <w:sz w:val="24"/>
          <w:szCs w:val="24"/>
        </w:rPr>
        <w:t xml:space="preserve"> in the opposite direction. Th</w:t>
      </w:r>
      <w:r w:rsidR="0043099B">
        <w:rPr>
          <w:rFonts w:asciiTheme="majorBidi" w:hAnsiTheme="majorBidi" w:cstheme="majorBidi"/>
          <w:noProof/>
          <w:sz w:val="24"/>
          <w:szCs w:val="24"/>
        </w:rPr>
        <w:t xml:space="preserve">us, we may conclude </w:t>
      </w:r>
      <w:r w:rsidR="00DA4718" w:rsidRPr="0043099B">
        <w:rPr>
          <w:rFonts w:asciiTheme="majorBidi" w:hAnsiTheme="majorBidi" w:cstheme="majorBidi"/>
          <w:noProof/>
          <w:sz w:val="24"/>
          <w:szCs w:val="24"/>
        </w:rPr>
        <w:t xml:space="preserve">that the linkages </w:t>
      </w:r>
      <w:r w:rsidR="0043099B">
        <w:rPr>
          <w:rFonts w:asciiTheme="majorBidi" w:hAnsiTheme="majorBidi" w:cstheme="majorBidi"/>
          <w:noProof/>
          <w:sz w:val="24"/>
          <w:szCs w:val="24"/>
        </w:rPr>
        <w:t xml:space="preserve">of oil </w:t>
      </w:r>
      <w:r w:rsidR="00DA4718" w:rsidRPr="0043099B">
        <w:rPr>
          <w:rFonts w:asciiTheme="majorBidi" w:hAnsiTheme="majorBidi" w:cstheme="majorBidi"/>
          <w:noProof/>
          <w:sz w:val="24"/>
          <w:szCs w:val="24"/>
        </w:rPr>
        <w:t>with either US equit</w:t>
      </w:r>
      <w:r w:rsidR="0043099B">
        <w:rPr>
          <w:rFonts w:asciiTheme="majorBidi" w:hAnsiTheme="majorBidi" w:cstheme="majorBidi"/>
          <w:noProof/>
          <w:sz w:val="24"/>
          <w:szCs w:val="24"/>
        </w:rPr>
        <w:t xml:space="preserve">ies or </w:t>
      </w:r>
      <w:r w:rsidR="00DA4718" w:rsidRPr="0043099B">
        <w:rPr>
          <w:rFonts w:asciiTheme="majorBidi" w:hAnsiTheme="majorBidi" w:cstheme="majorBidi"/>
          <w:noProof/>
          <w:sz w:val="24"/>
          <w:szCs w:val="24"/>
        </w:rPr>
        <w:t xml:space="preserve">the Euro/Dollar exchange </w:t>
      </w:r>
      <w:r w:rsidR="0043099B">
        <w:rPr>
          <w:rFonts w:asciiTheme="majorBidi" w:hAnsiTheme="majorBidi" w:cstheme="majorBidi"/>
          <w:noProof/>
          <w:sz w:val="24"/>
          <w:szCs w:val="24"/>
        </w:rPr>
        <w:t xml:space="preserve">rate </w:t>
      </w:r>
      <w:r w:rsidR="00DA4718" w:rsidRPr="0043099B">
        <w:rPr>
          <w:rFonts w:asciiTheme="majorBidi" w:hAnsiTheme="majorBidi" w:cstheme="majorBidi"/>
          <w:noProof/>
          <w:sz w:val="24"/>
          <w:szCs w:val="24"/>
        </w:rPr>
        <w:t xml:space="preserve">is </w:t>
      </w:r>
      <w:r w:rsidR="0043099B">
        <w:rPr>
          <w:rFonts w:asciiTheme="majorBidi" w:hAnsiTheme="majorBidi" w:cstheme="majorBidi"/>
          <w:noProof/>
          <w:sz w:val="24"/>
          <w:szCs w:val="24"/>
        </w:rPr>
        <w:t>governed more</w:t>
      </w:r>
      <w:r w:rsidR="00DA4718" w:rsidRPr="0043099B">
        <w:rPr>
          <w:rFonts w:asciiTheme="majorBidi" w:hAnsiTheme="majorBidi" w:cstheme="majorBidi"/>
          <w:noProof/>
          <w:sz w:val="24"/>
          <w:szCs w:val="24"/>
        </w:rPr>
        <w:t xml:space="preserve"> by information transmission</w:t>
      </w:r>
      <w:r w:rsidR="0043099B">
        <w:rPr>
          <w:rFonts w:asciiTheme="majorBidi" w:hAnsiTheme="majorBidi" w:cstheme="majorBidi"/>
          <w:noProof/>
          <w:sz w:val="24"/>
          <w:szCs w:val="24"/>
        </w:rPr>
        <w:t>s</w:t>
      </w:r>
      <w:r w:rsidR="00DA4718" w:rsidRPr="0043099B">
        <w:rPr>
          <w:rFonts w:asciiTheme="majorBidi" w:hAnsiTheme="majorBidi" w:cstheme="majorBidi"/>
          <w:noProof/>
          <w:sz w:val="24"/>
          <w:szCs w:val="24"/>
        </w:rPr>
        <w:t xml:space="preserve"> </w:t>
      </w:r>
      <w:r w:rsidR="0043099B">
        <w:rPr>
          <w:rFonts w:asciiTheme="majorBidi" w:hAnsiTheme="majorBidi" w:cstheme="majorBidi"/>
          <w:noProof/>
          <w:sz w:val="24"/>
          <w:szCs w:val="24"/>
        </w:rPr>
        <w:t xml:space="preserve">to these markets </w:t>
      </w:r>
      <w:r w:rsidR="0043099B" w:rsidRPr="0043099B">
        <w:rPr>
          <w:rFonts w:asciiTheme="majorBidi" w:hAnsiTheme="majorBidi" w:cstheme="majorBidi"/>
          <w:noProof/>
          <w:sz w:val="24"/>
          <w:szCs w:val="24"/>
        </w:rPr>
        <w:t>from the oil market</w:t>
      </w:r>
      <w:r w:rsidR="0043099B">
        <w:rPr>
          <w:rFonts w:asciiTheme="majorBidi" w:hAnsiTheme="majorBidi" w:cstheme="majorBidi"/>
          <w:noProof/>
          <w:sz w:val="24"/>
          <w:szCs w:val="24"/>
        </w:rPr>
        <w:t>.</w:t>
      </w:r>
      <w:r w:rsidR="00000699" w:rsidRPr="00000699">
        <w:rPr>
          <w:rStyle w:val="FootnoteReference"/>
          <w:rFonts w:asciiTheme="majorBidi" w:hAnsiTheme="majorBidi"/>
          <w:sz w:val="24"/>
          <w:szCs w:val="24"/>
        </w:rPr>
        <w:t xml:space="preserve"> </w:t>
      </w:r>
      <w:r w:rsidR="00000699">
        <w:rPr>
          <w:rStyle w:val="FootnoteReference"/>
          <w:rFonts w:asciiTheme="majorBidi" w:hAnsiTheme="majorBidi"/>
          <w:sz w:val="24"/>
          <w:szCs w:val="24"/>
        </w:rPr>
        <w:footnoteReference w:id="18"/>
      </w:r>
      <w:r w:rsidR="0043099B">
        <w:rPr>
          <w:rFonts w:asciiTheme="majorBidi" w:hAnsiTheme="majorBidi" w:cstheme="majorBidi"/>
          <w:noProof/>
          <w:sz w:val="24"/>
          <w:szCs w:val="24"/>
        </w:rPr>
        <w:t xml:space="preserve">  </w:t>
      </w:r>
      <w:r w:rsidR="00DA4718" w:rsidRPr="0043099B">
        <w:rPr>
          <w:rFonts w:asciiTheme="majorBidi" w:hAnsiTheme="majorBidi" w:cstheme="majorBidi"/>
          <w:noProof/>
          <w:sz w:val="24"/>
          <w:szCs w:val="24"/>
        </w:rPr>
        <w:t xml:space="preserve">  </w:t>
      </w:r>
      <w:r w:rsidR="0011345F" w:rsidRPr="0043099B">
        <w:rPr>
          <w:rFonts w:asciiTheme="majorBidi" w:hAnsiTheme="majorBidi" w:cstheme="majorBidi"/>
          <w:noProof/>
          <w:sz w:val="24"/>
          <w:szCs w:val="24"/>
        </w:rPr>
        <w:t xml:space="preserve"> </w:t>
      </w:r>
    </w:p>
    <w:p w:rsidR="00353965" w:rsidRDefault="0043099B" w:rsidP="00000699">
      <w:pPr>
        <w:spacing w:after="0" w:line="480" w:lineRule="auto"/>
        <w:ind w:firstLine="284"/>
        <w:jc w:val="both"/>
        <w:rPr>
          <w:rFonts w:asciiTheme="majorBidi" w:hAnsiTheme="majorBidi" w:cstheme="majorBidi"/>
          <w:sz w:val="24"/>
          <w:szCs w:val="24"/>
        </w:rPr>
      </w:pPr>
      <w:r w:rsidRPr="002340C6">
        <w:rPr>
          <w:rFonts w:asciiTheme="majorBidi" w:hAnsiTheme="majorBidi" w:cstheme="majorBidi"/>
          <w:noProof/>
          <w:sz w:val="24"/>
          <w:szCs w:val="24"/>
        </w:rPr>
        <w:t>T</w:t>
      </w:r>
      <w:r w:rsidRPr="002340C6">
        <w:rPr>
          <w:rFonts w:asciiTheme="majorBidi" w:hAnsiTheme="majorBidi" w:cstheme="majorBidi"/>
          <w:sz w:val="24"/>
          <w:szCs w:val="24"/>
        </w:rPr>
        <w:t xml:space="preserve">here </w:t>
      </w:r>
      <w:r w:rsidRPr="002340C6">
        <w:rPr>
          <w:rFonts w:asciiTheme="majorBidi" w:hAnsiTheme="majorBidi" w:cstheme="majorBidi"/>
          <w:noProof/>
          <w:sz w:val="24"/>
          <w:szCs w:val="24"/>
        </w:rPr>
        <w:t>are</w:t>
      </w:r>
      <w:r w:rsidRPr="002340C6">
        <w:rPr>
          <w:rFonts w:asciiTheme="majorBidi" w:hAnsiTheme="majorBidi" w:cstheme="majorBidi"/>
          <w:sz w:val="24"/>
          <w:szCs w:val="24"/>
        </w:rPr>
        <w:t xml:space="preserve"> many </w:t>
      </w:r>
      <w:r>
        <w:rPr>
          <w:rFonts w:asciiTheme="majorBidi" w:hAnsiTheme="majorBidi" w:cstheme="majorBidi"/>
          <w:sz w:val="24"/>
          <w:szCs w:val="24"/>
        </w:rPr>
        <w:t>theoretical channels of information transmissions from oil</w:t>
      </w:r>
      <w:r w:rsidR="00613ECA">
        <w:rPr>
          <w:rFonts w:asciiTheme="majorBidi" w:hAnsiTheme="majorBidi" w:cstheme="majorBidi"/>
          <w:sz w:val="24"/>
          <w:szCs w:val="24"/>
        </w:rPr>
        <w:t xml:space="preserve"> volatility</w:t>
      </w:r>
      <w:r>
        <w:rPr>
          <w:rFonts w:asciiTheme="majorBidi" w:hAnsiTheme="majorBidi" w:cstheme="majorBidi"/>
          <w:sz w:val="24"/>
          <w:szCs w:val="24"/>
        </w:rPr>
        <w:t xml:space="preserve"> to equit</w:t>
      </w:r>
      <w:r w:rsidR="00613ECA">
        <w:rPr>
          <w:rFonts w:asciiTheme="majorBidi" w:hAnsiTheme="majorBidi" w:cstheme="majorBidi"/>
          <w:sz w:val="24"/>
          <w:szCs w:val="24"/>
        </w:rPr>
        <w:t>y volatility</w:t>
      </w:r>
      <w:r w:rsidRPr="002340C6">
        <w:rPr>
          <w:rFonts w:asciiTheme="majorBidi" w:hAnsiTheme="majorBidi" w:cstheme="majorBidi"/>
          <w:sz w:val="24"/>
          <w:szCs w:val="24"/>
        </w:rPr>
        <w:t xml:space="preserve">. </w:t>
      </w:r>
      <w:r>
        <w:rPr>
          <w:rFonts w:asciiTheme="majorBidi" w:hAnsiTheme="majorBidi" w:cstheme="majorBidi"/>
          <w:sz w:val="24"/>
          <w:szCs w:val="24"/>
        </w:rPr>
        <w:t xml:space="preserve">For instance, </w:t>
      </w:r>
      <w:r w:rsidR="00613ECA">
        <w:rPr>
          <w:rFonts w:asciiTheme="majorBidi" w:hAnsiTheme="majorBidi" w:cstheme="majorBidi"/>
          <w:sz w:val="24"/>
          <w:szCs w:val="24"/>
        </w:rPr>
        <w:t xml:space="preserve">high volatility in the oil market </w:t>
      </w:r>
      <w:r w:rsidRPr="002340C6">
        <w:rPr>
          <w:rFonts w:asciiTheme="majorBidi" w:hAnsiTheme="majorBidi" w:cstheme="majorBidi"/>
          <w:sz w:val="24"/>
          <w:szCs w:val="24"/>
        </w:rPr>
        <w:t xml:space="preserve">can be translated into higher </w:t>
      </w:r>
      <w:r w:rsidR="00613ECA">
        <w:rPr>
          <w:rFonts w:asciiTheme="majorBidi" w:hAnsiTheme="majorBidi" w:cstheme="majorBidi"/>
          <w:sz w:val="24"/>
          <w:szCs w:val="24"/>
        </w:rPr>
        <w:t xml:space="preserve">earnings volatility in oil and oil related companies. </w:t>
      </w:r>
      <w:r w:rsidR="009907E8">
        <w:rPr>
          <w:rFonts w:asciiTheme="majorBidi" w:hAnsiTheme="majorBidi" w:cstheme="majorBidi"/>
          <w:sz w:val="24"/>
          <w:szCs w:val="24"/>
        </w:rPr>
        <w:t>Oil price volatility may create comparable uncertainties regarding business cost, disposable income and consumer spending on energy using durable goods. Volatile oil markets may also convey information on future global economic uncertainty and hence, can influence global equity market</w:t>
      </w:r>
      <w:r w:rsidR="00773E45">
        <w:rPr>
          <w:rFonts w:asciiTheme="majorBidi" w:hAnsiTheme="majorBidi" w:cstheme="majorBidi"/>
          <w:sz w:val="24"/>
          <w:szCs w:val="24"/>
        </w:rPr>
        <w:t>s</w:t>
      </w:r>
      <w:r w:rsidR="009907E8">
        <w:rPr>
          <w:rFonts w:asciiTheme="majorBidi" w:hAnsiTheme="majorBidi" w:cstheme="majorBidi"/>
          <w:sz w:val="24"/>
          <w:szCs w:val="24"/>
        </w:rPr>
        <w:t xml:space="preserve"> volatilit</w:t>
      </w:r>
      <w:r w:rsidR="00773E45">
        <w:rPr>
          <w:rFonts w:asciiTheme="majorBidi" w:hAnsiTheme="majorBidi" w:cstheme="majorBidi"/>
          <w:sz w:val="24"/>
          <w:szCs w:val="24"/>
        </w:rPr>
        <w:t>ies</w:t>
      </w:r>
      <w:r w:rsidR="009907E8">
        <w:rPr>
          <w:rFonts w:asciiTheme="majorBidi" w:hAnsiTheme="majorBidi" w:cstheme="majorBidi"/>
          <w:sz w:val="24"/>
          <w:szCs w:val="24"/>
        </w:rPr>
        <w:t>. T</w:t>
      </w:r>
      <w:r>
        <w:rPr>
          <w:rFonts w:asciiTheme="majorBidi" w:hAnsiTheme="majorBidi" w:cstheme="majorBidi"/>
          <w:sz w:val="24"/>
          <w:szCs w:val="24"/>
        </w:rPr>
        <w:t>herefore</w:t>
      </w:r>
      <w:r w:rsidR="008D0018">
        <w:rPr>
          <w:rFonts w:asciiTheme="majorBidi" w:hAnsiTheme="majorBidi" w:cstheme="majorBidi"/>
          <w:sz w:val="24"/>
          <w:szCs w:val="24"/>
        </w:rPr>
        <w:t>,</w:t>
      </w:r>
      <w:r>
        <w:rPr>
          <w:rFonts w:asciiTheme="majorBidi" w:hAnsiTheme="majorBidi" w:cstheme="majorBidi"/>
          <w:sz w:val="24"/>
          <w:szCs w:val="24"/>
        </w:rPr>
        <w:t xml:space="preserve"> we expect high </w:t>
      </w:r>
      <w:r w:rsidR="00C66E48">
        <w:rPr>
          <w:rFonts w:asciiTheme="majorBidi" w:hAnsiTheme="majorBidi" w:cstheme="majorBidi"/>
          <w:sz w:val="24"/>
          <w:szCs w:val="24"/>
        </w:rPr>
        <w:t>transmissions</w:t>
      </w:r>
      <w:r>
        <w:rPr>
          <w:rFonts w:asciiTheme="majorBidi" w:hAnsiTheme="majorBidi" w:cstheme="majorBidi"/>
          <w:sz w:val="24"/>
          <w:szCs w:val="24"/>
        </w:rPr>
        <w:t xml:space="preserve"> </w:t>
      </w:r>
      <w:r w:rsidR="00C66E48">
        <w:rPr>
          <w:rFonts w:asciiTheme="majorBidi" w:hAnsiTheme="majorBidi" w:cstheme="majorBidi"/>
          <w:sz w:val="24"/>
          <w:szCs w:val="24"/>
        </w:rPr>
        <w:t>from</w:t>
      </w:r>
      <w:r>
        <w:rPr>
          <w:rFonts w:asciiTheme="majorBidi" w:hAnsiTheme="majorBidi" w:cstheme="majorBidi"/>
          <w:sz w:val="24"/>
          <w:szCs w:val="24"/>
        </w:rPr>
        <w:t xml:space="preserve"> oil </w:t>
      </w:r>
      <w:r w:rsidR="00C66E48">
        <w:rPr>
          <w:rFonts w:asciiTheme="majorBidi" w:hAnsiTheme="majorBidi" w:cstheme="majorBidi"/>
          <w:sz w:val="24"/>
          <w:szCs w:val="24"/>
        </w:rPr>
        <w:t>volatility to equity volatility</w:t>
      </w:r>
      <w:r>
        <w:rPr>
          <w:rFonts w:asciiTheme="majorBidi" w:hAnsiTheme="majorBidi" w:cstheme="majorBidi"/>
          <w:sz w:val="24"/>
          <w:szCs w:val="24"/>
        </w:rPr>
        <w:t>.</w:t>
      </w:r>
    </w:p>
    <w:p w:rsidR="00A10CF1" w:rsidRDefault="00006DAA" w:rsidP="00000699">
      <w:pPr>
        <w:spacing w:after="0" w:line="480" w:lineRule="auto"/>
        <w:ind w:firstLine="284"/>
        <w:jc w:val="both"/>
        <w:rPr>
          <w:rFonts w:asciiTheme="majorBidi" w:hAnsiTheme="majorBidi" w:cstheme="majorBidi"/>
          <w:noProof/>
          <w:sz w:val="24"/>
          <w:szCs w:val="24"/>
        </w:rPr>
      </w:pPr>
      <w:r>
        <w:rPr>
          <w:rFonts w:asciiTheme="majorBidi" w:hAnsiTheme="majorBidi" w:cstheme="majorBidi"/>
          <w:sz w:val="24"/>
          <w:szCs w:val="24"/>
        </w:rPr>
        <w:t xml:space="preserve"> </w:t>
      </w:r>
      <w:r w:rsidR="00FE78B6" w:rsidRPr="000569A2">
        <w:rPr>
          <w:rFonts w:asciiTheme="majorBidi" w:hAnsiTheme="majorBidi" w:cstheme="majorBidi"/>
          <w:noProof/>
          <w:sz w:val="24"/>
          <w:szCs w:val="24"/>
        </w:rPr>
        <w:t xml:space="preserve">The </w:t>
      </w:r>
      <w:r w:rsidR="00E05C15" w:rsidRPr="000569A2">
        <w:rPr>
          <w:rFonts w:asciiTheme="majorBidi" w:hAnsiTheme="majorBidi" w:cstheme="majorBidi"/>
          <w:sz w:val="24"/>
          <w:szCs w:val="24"/>
        </w:rPr>
        <w:t>pairwise</w:t>
      </w:r>
      <w:r w:rsidR="00E05C15" w:rsidRPr="000569A2">
        <w:rPr>
          <w:rFonts w:asciiTheme="majorBidi" w:hAnsiTheme="majorBidi" w:cstheme="majorBidi"/>
          <w:noProof/>
          <w:sz w:val="24"/>
          <w:szCs w:val="24"/>
        </w:rPr>
        <w:t xml:space="preserve"> directional </w:t>
      </w:r>
      <w:r w:rsidR="0011345F" w:rsidRPr="000569A2">
        <w:rPr>
          <w:rFonts w:asciiTheme="majorBidi" w:hAnsiTheme="majorBidi" w:cstheme="majorBidi"/>
          <w:noProof/>
          <w:sz w:val="24"/>
          <w:szCs w:val="24"/>
        </w:rPr>
        <w:t>conectedness observed</w:t>
      </w:r>
      <w:r w:rsidR="00FE78B6" w:rsidRPr="000569A2">
        <w:rPr>
          <w:rFonts w:asciiTheme="majorBidi" w:hAnsiTheme="majorBidi" w:cstheme="majorBidi"/>
          <w:noProof/>
          <w:sz w:val="24"/>
          <w:szCs w:val="24"/>
        </w:rPr>
        <w:t xml:space="preserve"> with commodities is relatively </w:t>
      </w:r>
      <w:r w:rsidR="004E7B23" w:rsidRPr="000569A2">
        <w:rPr>
          <w:rFonts w:asciiTheme="majorBidi" w:hAnsiTheme="majorBidi" w:cstheme="majorBidi"/>
          <w:noProof/>
          <w:sz w:val="24"/>
          <w:szCs w:val="24"/>
        </w:rPr>
        <w:t xml:space="preserve">lower </w:t>
      </w:r>
      <w:r w:rsidR="00FE78B6" w:rsidRPr="000569A2">
        <w:rPr>
          <w:rFonts w:asciiTheme="majorBidi" w:hAnsiTheme="majorBidi" w:cstheme="majorBidi"/>
          <w:noProof/>
          <w:sz w:val="24"/>
          <w:szCs w:val="24"/>
        </w:rPr>
        <w:t>compared</w:t>
      </w:r>
      <w:r w:rsidR="00FE78B6" w:rsidRPr="00DE3B8D">
        <w:rPr>
          <w:rFonts w:asciiTheme="majorBidi" w:hAnsiTheme="majorBidi" w:cstheme="majorBidi"/>
          <w:noProof/>
          <w:sz w:val="24"/>
          <w:szCs w:val="24"/>
        </w:rPr>
        <w:t xml:space="preserve"> </w:t>
      </w:r>
      <w:r w:rsidR="00E05C15">
        <w:rPr>
          <w:rFonts w:asciiTheme="majorBidi" w:hAnsiTheme="majorBidi" w:cstheme="majorBidi"/>
          <w:noProof/>
          <w:sz w:val="24"/>
          <w:szCs w:val="24"/>
        </w:rPr>
        <w:t>to</w:t>
      </w:r>
      <w:r w:rsidR="00FE78B6" w:rsidRPr="00DE3B8D">
        <w:rPr>
          <w:rFonts w:asciiTheme="majorBidi" w:hAnsiTheme="majorBidi" w:cstheme="majorBidi"/>
          <w:noProof/>
          <w:sz w:val="24"/>
          <w:szCs w:val="24"/>
        </w:rPr>
        <w:t xml:space="preserve"> either equities or </w:t>
      </w:r>
      <w:r w:rsidR="00A4473F">
        <w:rPr>
          <w:rFonts w:asciiTheme="majorBidi" w:hAnsiTheme="majorBidi" w:cstheme="majorBidi"/>
          <w:noProof/>
          <w:sz w:val="24"/>
          <w:szCs w:val="24"/>
        </w:rPr>
        <w:t xml:space="preserve">to </w:t>
      </w:r>
      <w:r w:rsidR="00FE78B6" w:rsidRPr="00DE3B8D">
        <w:rPr>
          <w:rFonts w:asciiTheme="majorBidi" w:hAnsiTheme="majorBidi" w:cstheme="majorBidi"/>
          <w:noProof/>
          <w:sz w:val="24"/>
          <w:szCs w:val="24"/>
        </w:rPr>
        <w:t>the Euro/Dollar excha</w:t>
      </w:r>
      <w:r w:rsidR="004E7B23">
        <w:rPr>
          <w:rFonts w:asciiTheme="majorBidi" w:hAnsiTheme="majorBidi" w:cstheme="majorBidi"/>
          <w:noProof/>
          <w:sz w:val="24"/>
          <w:szCs w:val="24"/>
        </w:rPr>
        <w:t>n</w:t>
      </w:r>
      <w:r w:rsidR="00FE78B6" w:rsidRPr="00DE3B8D">
        <w:rPr>
          <w:rFonts w:asciiTheme="majorBidi" w:hAnsiTheme="majorBidi" w:cstheme="majorBidi"/>
          <w:noProof/>
          <w:sz w:val="24"/>
          <w:szCs w:val="24"/>
        </w:rPr>
        <w:t xml:space="preserve">ge rate. </w:t>
      </w:r>
      <w:r w:rsidR="00E05C15">
        <w:rPr>
          <w:rFonts w:asciiTheme="majorBidi" w:hAnsiTheme="majorBidi" w:cstheme="majorBidi"/>
          <w:noProof/>
          <w:sz w:val="24"/>
          <w:szCs w:val="24"/>
        </w:rPr>
        <w:t xml:space="preserve">It </w:t>
      </w:r>
      <w:r w:rsidR="00FE78B6" w:rsidRPr="00DE3B8D">
        <w:rPr>
          <w:rFonts w:asciiTheme="majorBidi" w:hAnsiTheme="majorBidi" w:cstheme="majorBidi"/>
          <w:noProof/>
          <w:sz w:val="24"/>
          <w:szCs w:val="24"/>
        </w:rPr>
        <w:t xml:space="preserve">is highest with </w:t>
      </w:r>
      <w:r w:rsidR="006F6066">
        <w:rPr>
          <w:rFonts w:asciiTheme="majorBidi" w:hAnsiTheme="majorBidi" w:cstheme="majorBidi"/>
          <w:noProof/>
          <w:sz w:val="24"/>
          <w:szCs w:val="24"/>
        </w:rPr>
        <w:t>precious metals</w:t>
      </w:r>
      <w:r w:rsidR="00E05C15">
        <w:rPr>
          <w:rFonts w:asciiTheme="majorBidi" w:hAnsiTheme="majorBidi" w:cstheme="majorBidi"/>
          <w:noProof/>
          <w:sz w:val="24"/>
          <w:szCs w:val="24"/>
        </w:rPr>
        <w:t xml:space="preserve"> and </w:t>
      </w:r>
      <w:r w:rsidR="000569A2">
        <w:rPr>
          <w:rFonts w:asciiTheme="majorBidi" w:hAnsiTheme="majorBidi" w:cstheme="majorBidi"/>
          <w:noProof/>
          <w:sz w:val="24"/>
          <w:szCs w:val="24"/>
        </w:rPr>
        <w:t xml:space="preserve">miniscule </w:t>
      </w:r>
      <w:r w:rsidR="00E05C15">
        <w:rPr>
          <w:rFonts w:asciiTheme="majorBidi" w:hAnsiTheme="majorBidi" w:cstheme="majorBidi"/>
          <w:noProof/>
          <w:sz w:val="24"/>
          <w:szCs w:val="24"/>
        </w:rPr>
        <w:t>with agricultural commodities</w:t>
      </w:r>
      <w:r w:rsidR="00FE78B6" w:rsidRPr="00DE3B8D">
        <w:rPr>
          <w:rFonts w:asciiTheme="majorBidi" w:hAnsiTheme="majorBidi" w:cstheme="majorBidi"/>
          <w:noProof/>
          <w:sz w:val="24"/>
          <w:szCs w:val="24"/>
        </w:rPr>
        <w:t xml:space="preserve">. </w:t>
      </w:r>
      <w:r w:rsidR="00E05C15">
        <w:rPr>
          <w:rFonts w:asciiTheme="majorBidi" w:hAnsiTheme="majorBidi" w:cstheme="majorBidi"/>
          <w:noProof/>
          <w:sz w:val="24"/>
          <w:szCs w:val="24"/>
        </w:rPr>
        <w:t>T</w:t>
      </w:r>
      <w:r w:rsidR="00FE78B6" w:rsidRPr="00DE3B8D">
        <w:rPr>
          <w:rFonts w:asciiTheme="majorBidi" w:hAnsiTheme="majorBidi" w:cstheme="majorBidi"/>
          <w:noProof/>
          <w:sz w:val="24"/>
          <w:szCs w:val="24"/>
        </w:rPr>
        <w:t>he connect</w:t>
      </w:r>
      <w:r w:rsidR="00E05C15">
        <w:rPr>
          <w:rFonts w:asciiTheme="majorBidi" w:hAnsiTheme="majorBidi" w:cstheme="majorBidi"/>
          <w:noProof/>
          <w:sz w:val="24"/>
          <w:szCs w:val="24"/>
        </w:rPr>
        <w:t xml:space="preserve">edness from oil to gold and silver </w:t>
      </w:r>
      <w:r w:rsidR="00D60FFD">
        <w:rPr>
          <w:rFonts w:asciiTheme="majorBidi" w:hAnsiTheme="majorBidi" w:cstheme="majorBidi"/>
          <w:noProof/>
          <w:sz w:val="24"/>
          <w:szCs w:val="24"/>
        </w:rPr>
        <w:t xml:space="preserve">is </w:t>
      </w:r>
      <w:r w:rsidR="000569A2">
        <w:rPr>
          <w:rFonts w:asciiTheme="majorBidi" w:hAnsiTheme="majorBidi" w:cstheme="majorBidi"/>
          <w:noProof/>
          <w:sz w:val="24"/>
          <w:szCs w:val="24"/>
        </w:rPr>
        <w:t xml:space="preserve">identical, at </w:t>
      </w:r>
      <w:r w:rsidR="00D60FFD">
        <w:rPr>
          <w:rFonts w:asciiTheme="majorBidi" w:hAnsiTheme="majorBidi" w:cstheme="majorBidi"/>
          <w:noProof/>
          <w:sz w:val="24"/>
          <w:szCs w:val="24"/>
        </w:rPr>
        <w:t xml:space="preserve">around </w:t>
      </w:r>
      <w:r w:rsidR="00E05C15">
        <w:rPr>
          <w:rFonts w:asciiTheme="majorBidi" w:hAnsiTheme="majorBidi" w:cstheme="majorBidi"/>
          <w:noProof/>
          <w:sz w:val="24"/>
          <w:szCs w:val="24"/>
        </w:rPr>
        <w:t xml:space="preserve">11.0%. However, it is only </w:t>
      </w:r>
      <w:r w:rsidR="00FE78B6" w:rsidRPr="00DE3B8D">
        <w:rPr>
          <w:rFonts w:asciiTheme="majorBidi" w:hAnsiTheme="majorBidi" w:cstheme="majorBidi"/>
          <w:noProof/>
          <w:sz w:val="24"/>
          <w:szCs w:val="24"/>
        </w:rPr>
        <w:t>1.6%, 1.0%</w:t>
      </w:r>
      <w:r w:rsidR="00DE3B8D" w:rsidRPr="00DE3B8D">
        <w:rPr>
          <w:rFonts w:asciiTheme="majorBidi" w:hAnsiTheme="majorBidi" w:cstheme="majorBidi"/>
          <w:noProof/>
          <w:sz w:val="24"/>
          <w:szCs w:val="24"/>
        </w:rPr>
        <w:t xml:space="preserve">, and 2.0% </w:t>
      </w:r>
      <w:r w:rsidR="00000699">
        <w:rPr>
          <w:rFonts w:asciiTheme="majorBidi" w:hAnsiTheme="majorBidi" w:cstheme="majorBidi"/>
          <w:noProof/>
          <w:sz w:val="24"/>
          <w:szCs w:val="24"/>
        </w:rPr>
        <w:t>to</w:t>
      </w:r>
      <w:r w:rsidR="00E05C15">
        <w:rPr>
          <w:rFonts w:asciiTheme="majorBidi" w:hAnsiTheme="majorBidi" w:cstheme="majorBidi"/>
          <w:noProof/>
          <w:sz w:val="24"/>
          <w:szCs w:val="24"/>
        </w:rPr>
        <w:t xml:space="preserve"> </w:t>
      </w:r>
      <w:r w:rsidR="00E05C15" w:rsidRPr="00DE3B8D">
        <w:rPr>
          <w:rFonts w:asciiTheme="majorBidi" w:hAnsiTheme="majorBidi" w:cstheme="majorBidi"/>
          <w:noProof/>
          <w:sz w:val="24"/>
          <w:szCs w:val="24"/>
        </w:rPr>
        <w:t xml:space="preserve">wheat, corn and soybeans </w:t>
      </w:r>
      <w:r w:rsidR="00DE3B8D" w:rsidRPr="00DE3B8D">
        <w:rPr>
          <w:rFonts w:asciiTheme="majorBidi" w:hAnsiTheme="majorBidi" w:cstheme="majorBidi"/>
          <w:noProof/>
          <w:sz w:val="24"/>
          <w:szCs w:val="24"/>
        </w:rPr>
        <w:t>respectively</w:t>
      </w:r>
      <w:r w:rsidR="006F6066">
        <w:rPr>
          <w:rFonts w:asciiTheme="majorBidi" w:hAnsiTheme="majorBidi" w:cstheme="majorBidi"/>
          <w:noProof/>
          <w:sz w:val="24"/>
          <w:szCs w:val="24"/>
        </w:rPr>
        <w:t>. T</w:t>
      </w:r>
      <w:r w:rsidR="00DE3B8D" w:rsidRPr="00DE3B8D">
        <w:rPr>
          <w:rFonts w:asciiTheme="majorBidi" w:hAnsiTheme="majorBidi" w:cstheme="majorBidi"/>
          <w:noProof/>
          <w:sz w:val="24"/>
          <w:szCs w:val="24"/>
        </w:rPr>
        <w:t>he</w:t>
      </w:r>
      <w:r w:rsidR="006F6066">
        <w:rPr>
          <w:rFonts w:asciiTheme="majorBidi" w:hAnsiTheme="majorBidi" w:cstheme="majorBidi"/>
          <w:noProof/>
          <w:sz w:val="24"/>
          <w:szCs w:val="24"/>
        </w:rPr>
        <w:t xml:space="preserve"> connectedness</w:t>
      </w:r>
      <w:r w:rsidR="00DE3B8D" w:rsidRPr="00DE3B8D">
        <w:rPr>
          <w:rFonts w:asciiTheme="majorBidi" w:hAnsiTheme="majorBidi" w:cstheme="majorBidi"/>
          <w:noProof/>
          <w:sz w:val="24"/>
          <w:szCs w:val="24"/>
        </w:rPr>
        <w:t xml:space="preserve"> </w:t>
      </w:r>
      <w:r w:rsidR="006F6066">
        <w:rPr>
          <w:rFonts w:asciiTheme="majorBidi" w:hAnsiTheme="majorBidi" w:cstheme="majorBidi"/>
          <w:noProof/>
          <w:sz w:val="24"/>
          <w:szCs w:val="24"/>
        </w:rPr>
        <w:t>in the opposite direction</w:t>
      </w:r>
      <w:r w:rsidR="00D60FFD">
        <w:rPr>
          <w:rFonts w:asciiTheme="majorBidi" w:hAnsiTheme="majorBidi" w:cstheme="majorBidi"/>
          <w:noProof/>
          <w:sz w:val="24"/>
          <w:szCs w:val="24"/>
        </w:rPr>
        <w:t xml:space="preserve"> from each commodity to oil is </w:t>
      </w:r>
      <w:r w:rsidR="00D60FFD" w:rsidRPr="00DE3B8D">
        <w:rPr>
          <w:rFonts w:asciiTheme="majorBidi" w:hAnsiTheme="majorBidi" w:cstheme="majorBidi"/>
          <w:noProof/>
          <w:sz w:val="24"/>
          <w:szCs w:val="24"/>
        </w:rPr>
        <w:t>negl</w:t>
      </w:r>
      <w:r w:rsidR="000569A2">
        <w:rPr>
          <w:rFonts w:asciiTheme="majorBidi" w:hAnsiTheme="majorBidi" w:cstheme="majorBidi"/>
          <w:noProof/>
          <w:sz w:val="24"/>
          <w:szCs w:val="24"/>
        </w:rPr>
        <w:t>i</w:t>
      </w:r>
      <w:r w:rsidR="00D60FFD" w:rsidRPr="00DE3B8D">
        <w:rPr>
          <w:rFonts w:asciiTheme="majorBidi" w:hAnsiTheme="majorBidi" w:cstheme="majorBidi"/>
          <w:noProof/>
          <w:sz w:val="24"/>
          <w:szCs w:val="24"/>
        </w:rPr>
        <w:t>gible</w:t>
      </w:r>
      <w:r w:rsidR="00D60FFD">
        <w:rPr>
          <w:rFonts w:asciiTheme="majorBidi" w:hAnsiTheme="majorBidi" w:cstheme="majorBidi"/>
          <w:noProof/>
          <w:sz w:val="24"/>
          <w:szCs w:val="24"/>
        </w:rPr>
        <w:t xml:space="preserve"> and can be ignored</w:t>
      </w:r>
      <w:r w:rsidR="00DE3B8D" w:rsidRPr="00DE3B8D">
        <w:rPr>
          <w:rFonts w:asciiTheme="majorBidi" w:hAnsiTheme="majorBidi" w:cstheme="majorBidi"/>
          <w:noProof/>
          <w:sz w:val="24"/>
          <w:szCs w:val="24"/>
        </w:rPr>
        <w:t>.</w:t>
      </w:r>
      <w:r w:rsidR="00A119C5">
        <w:rPr>
          <w:rFonts w:asciiTheme="majorBidi" w:hAnsiTheme="majorBidi" w:cstheme="majorBidi"/>
          <w:noProof/>
          <w:sz w:val="24"/>
          <w:szCs w:val="24"/>
        </w:rPr>
        <w:t xml:space="preserve"> Therefore, we may conclude that there exists some risk transfer from the oil market to the gold and silver markets but not to wheat, corn and soybeans markets.</w:t>
      </w:r>
    </w:p>
    <w:p w:rsidR="006F6E69" w:rsidRDefault="00E02923" w:rsidP="00106998">
      <w:pPr>
        <w:spacing w:after="0" w:line="480" w:lineRule="auto"/>
        <w:ind w:firstLine="284"/>
        <w:jc w:val="both"/>
        <w:rPr>
          <w:rFonts w:asciiTheme="majorBidi" w:hAnsiTheme="majorBidi" w:cstheme="majorBidi"/>
          <w:noProof/>
          <w:sz w:val="24"/>
          <w:szCs w:val="24"/>
        </w:rPr>
      </w:pPr>
      <w:r>
        <w:rPr>
          <w:rFonts w:asciiTheme="majorBidi" w:hAnsiTheme="majorBidi" w:cstheme="majorBidi"/>
          <w:noProof/>
          <w:sz w:val="24"/>
          <w:szCs w:val="24"/>
        </w:rPr>
        <w:t xml:space="preserve">The </w:t>
      </w:r>
      <w:r w:rsidR="00A10CF1">
        <w:rPr>
          <w:rFonts w:asciiTheme="majorBidi" w:hAnsiTheme="majorBidi" w:cstheme="majorBidi"/>
          <w:sz w:val="24"/>
          <w:szCs w:val="24"/>
        </w:rPr>
        <w:t>oil</w:t>
      </w:r>
      <w:r w:rsidR="00A10CF1">
        <w:rPr>
          <w:rFonts w:asciiTheme="majorBidi" w:hAnsiTheme="majorBidi" w:cstheme="majorBidi"/>
          <w:noProof/>
          <w:sz w:val="24"/>
          <w:szCs w:val="24"/>
        </w:rPr>
        <w:t xml:space="preserve"> </w:t>
      </w:r>
      <w:r>
        <w:rPr>
          <w:rFonts w:asciiTheme="majorBidi" w:hAnsiTheme="majorBidi" w:cstheme="majorBidi"/>
          <w:noProof/>
          <w:sz w:val="24"/>
          <w:szCs w:val="24"/>
        </w:rPr>
        <w:t>and precious metals</w:t>
      </w:r>
      <w:r w:rsidR="00CE5B00">
        <w:rPr>
          <w:rFonts w:asciiTheme="majorBidi" w:hAnsiTheme="majorBidi" w:cstheme="majorBidi"/>
          <w:noProof/>
          <w:sz w:val="24"/>
          <w:szCs w:val="24"/>
        </w:rPr>
        <w:t xml:space="preserve"> volatilit</w:t>
      </w:r>
      <w:r w:rsidR="000569A2">
        <w:rPr>
          <w:rFonts w:asciiTheme="majorBidi" w:hAnsiTheme="majorBidi" w:cstheme="majorBidi"/>
          <w:noProof/>
          <w:sz w:val="24"/>
          <w:szCs w:val="24"/>
        </w:rPr>
        <w:t>ies</w:t>
      </w:r>
      <w:r w:rsidR="00CE5B00">
        <w:rPr>
          <w:rFonts w:asciiTheme="majorBidi" w:hAnsiTheme="majorBidi" w:cstheme="majorBidi"/>
          <w:noProof/>
          <w:sz w:val="24"/>
          <w:szCs w:val="24"/>
        </w:rPr>
        <w:t xml:space="preserve"> </w:t>
      </w:r>
      <w:r>
        <w:rPr>
          <w:rFonts w:asciiTheme="majorBidi" w:hAnsiTheme="majorBidi" w:cstheme="majorBidi"/>
          <w:noProof/>
          <w:sz w:val="24"/>
          <w:szCs w:val="24"/>
        </w:rPr>
        <w:t xml:space="preserve">are connected through various channels. </w:t>
      </w:r>
      <w:r w:rsidR="002533B8">
        <w:rPr>
          <w:rFonts w:asciiTheme="majorBidi" w:hAnsiTheme="majorBidi" w:cstheme="majorBidi"/>
          <w:noProof/>
          <w:sz w:val="24"/>
          <w:szCs w:val="24"/>
        </w:rPr>
        <w:t>For instance</w:t>
      </w:r>
      <w:r w:rsidR="000415C5">
        <w:rPr>
          <w:rFonts w:asciiTheme="majorBidi" w:hAnsiTheme="majorBidi" w:cstheme="majorBidi"/>
          <w:noProof/>
          <w:sz w:val="24"/>
          <w:szCs w:val="24"/>
        </w:rPr>
        <w:t xml:space="preserve">, </w:t>
      </w:r>
      <w:r w:rsidR="00CE5B00">
        <w:rPr>
          <w:rFonts w:asciiTheme="majorBidi" w:hAnsiTheme="majorBidi" w:cstheme="majorBidi"/>
          <w:noProof/>
          <w:sz w:val="24"/>
          <w:szCs w:val="24"/>
        </w:rPr>
        <w:t>oil volatility</w:t>
      </w:r>
      <w:r w:rsidR="00D204E0">
        <w:rPr>
          <w:rFonts w:asciiTheme="majorBidi" w:hAnsiTheme="majorBidi" w:cstheme="majorBidi"/>
          <w:noProof/>
          <w:sz w:val="24"/>
          <w:szCs w:val="24"/>
        </w:rPr>
        <w:t xml:space="preserve"> </w:t>
      </w:r>
      <w:r w:rsidR="00CE5B00">
        <w:rPr>
          <w:rFonts w:asciiTheme="majorBidi" w:hAnsiTheme="majorBidi" w:cstheme="majorBidi"/>
          <w:noProof/>
          <w:sz w:val="24"/>
          <w:szCs w:val="24"/>
        </w:rPr>
        <w:t xml:space="preserve">increases inflation uncertainty. To hedge against potential price increases portfolio managers may allocate more funds to </w:t>
      </w:r>
      <w:r w:rsidR="00BF222E">
        <w:rPr>
          <w:rFonts w:asciiTheme="majorBidi" w:hAnsiTheme="majorBidi" w:cstheme="majorBidi"/>
          <w:noProof/>
          <w:sz w:val="24"/>
          <w:szCs w:val="24"/>
        </w:rPr>
        <w:t>precious metals</w:t>
      </w:r>
      <w:r w:rsidR="00D204E0">
        <w:rPr>
          <w:rFonts w:asciiTheme="majorBidi" w:hAnsiTheme="majorBidi" w:cstheme="majorBidi"/>
          <w:noProof/>
          <w:sz w:val="24"/>
          <w:szCs w:val="24"/>
        </w:rPr>
        <w:t xml:space="preserve"> such as gold and silver</w:t>
      </w:r>
      <w:r w:rsidR="000569A2">
        <w:rPr>
          <w:rFonts w:asciiTheme="majorBidi" w:hAnsiTheme="majorBidi" w:cstheme="majorBidi"/>
          <w:noProof/>
          <w:sz w:val="24"/>
          <w:szCs w:val="24"/>
        </w:rPr>
        <w:t>,</w:t>
      </w:r>
      <w:r w:rsidR="00BF222E">
        <w:rPr>
          <w:rFonts w:asciiTheme="majorBidi" w:hAnsiTheme="majorBidi" w:cstheme="majorBidi"/>
          <w:noProof/>
          <w:sz w:val="24"/>
          <w:szCs w:val="24"/>
        </w:rPr>
        <w:t xml:space="preserve"> </w:t>
      </w:r>
      <w:r w:rsidR="00CE5B00">
        <w:rPr>
          <w:rFonts w:asciiTheme="majorBidi" w:hAnsiTheme="majorBidi" w:cstheme="majorBidi"/>
          <w:noProof/>
          <w:sz w:val="24"/>
          <w:szCs w:val="24"/>
        </w:rPr>
        <w:t>th</w:t>
      </w:r>
      <w:r w:rsidR="000569A2">
        <w:rPr>
          <w:rFonts w:asciiTheme="majorBidi" w:hAnsiTheme="majorBidi" w:cstheme="majorBidi"/>
          <w:noProof/>
          <w:sz w:val="24"/>
          <w:szCs w:val="24"/>
        </w:rPr>
        <w:t xml:space="preserve">erefore </w:t>
      </w:r>
      <w:r w:rsidR="00CE5B00">
        <w:rPr>
          <w:rFonts w:asciiTheme="majorBidi" w:hAnsiTheme="majorBidi" w:cstheme="majorBidi"/>
          <w:noProof/>
          <w:sz w:val="24"/>
          <w:szCs w:val="24"/>
        </w:rPr>
        <w:t xml:space="preserve">increasing </w:t>
      </w:r>
      <w:r w:rsidR="00CE5B00">
        <w:rPr>
          <w:rFonts w:asciiTheme="majorBidi" w:hAnsiTheme="majorBidi" w:cstheme="majorBidi"/>
          <w:noProof/>
          <w:sz w:val="24"/>
          <w:szCs w:val="24"/>
        </w:rPr>
        <w:lastRenderedPageBreak/>
        <w:t xml:space="preserve">their volatility </w:t>
      </w:r>
      <w:r w:rsidR="0050614E">
        <w:rPr>
          <w:rFonts w:asciiTheme="majorBidi" w:hAnsiTheme="majorBidi" w:cstheme="majorBidi"/>
          <w:noProof/>
          <w:sz w:val="24"/>
          <w:szCs w:val="24"/>
        </w:rPr>
        <w:t xml:space="preserve">(see, </w:t>
      </w:r>
      <w:r w:rsidR="000569A2">
        <w:rPr>
          <w:rFonts w:asciiTheme="majorBidi" w:hAnsiTheme="majorBidi" w:cstheme="majorBidi"/>
          <w:noProof/>
          <w:sz w:val="24"/>
          <w:szCs w:val="24"/>
        </w:rPr>
        <w:t>for example</w:t>
      </w:r>
      <w:r w:rsidR="0050614E">
        <w:rPr>
          <w:rFonts w:asciiTheme="majorBidi" w:hAnsiTheme="majorBidi" w:cstheme="majorBidi"/>
          <w:noProof/>
          <w:sz w:val="24"/>
          <w:szCs w:val="24"/>
        </w:rPr>
        <w:t xml:space="preserve">, </w:t>
      </w:r>
      <w:r w:rsidR="00BF222E">
        <w:rPr>
          <w:rFonts w:asciiTheme="majorBidi" w:hAnsiTheme="majorBidi" w:cstheme="majorBidi"/>
          <w:noProof/>
          <w:sz w:val="24"/>
          <w:szCs w:val="24"/>
        </w:rPr>
        <w:t xml:space="preserve">Jaffe, 1989; </w:t>
      </w:r>
      <w:r w:rsidR="0050614E">
        <w:rPr>
          <w:rFonts w:asciiTheme="majorBidi" w:hAnsiTheme="majorBidi" w:cstheme="majorBidi"/>
          <w:noProof/>
          <w:sz w:val="24"/>
          <w:szCs w:val="24"/>
        </w:rPr>
        <w:t xml:space="preserve">Hooker, 2002; </w:t>
      </w:r>
      <w:r w:rsidR="000569A2">
        <w:rPr>
          <w:rFonts w:asciiTheme="majorBidi" w:hAnsiTheme="majorBidi" w:cstheme="majorBidi"/>
          <w:noProof/>
          <w:sz w:val="24"/>
          <w:szCs w:val="24"/>
        </w:rPr>
        <w:t xml:space="preserve">and </w:t>
      </w:r>
      <w:r w:rsidR="0050614E">
        <w:rPr>
          <w:rFonts w:asciiTheme="majorBidi" w:hAnsiTheme="majorBidi" w:cstheme="majorBidi"/>
          <w:noProof/>
          <w:sz w:val="24"/>
          <w:szCs w:val="24"/>
        </w:rPr>
        <w:t>Hunt, 2006).</w:t>
      </w:r>
      <w:r w:rsidR="00BF222E">
        <w:rPr>
          <w:rStyle w:val="FootnoteReference"/>
          <w:rFonts w:asciiTheme="majorBidi" w:hAnsiTheme="majorBidi"/>
          <w:noProof/>
          <w:sz w:val="24"/>
          <w:szCs w:val="24"/>
        </w:rPr>
        <w:footnoteReference w:id="19"/>
      </w:r>
      <w:r w:rsidR="00CE5B00">
        <w:rPr>
          <w:rFonts w:asciiTheme="majorBidi" w:hAnsiTheme="majorBidi" w:cstheme="majorBidi"/>
          <w:noProof/>
          <w:sz w:val="24"/>
          <w:szCs w:val="24"/>
        </w:rPr>
        <w:t xml:space="preserve"> </w:t>
      </w:r>
      <w:r w:rsidR="00BB73E7" w:rsidRPr="0050614E">
        <w:rPr>
          <w:rFonts w:asciiTheme="majorBidi" w:hAnsiTheme="majorBidi" w:cstheme="majorBidi"/>
          <w:noProof/>
          <w:sz w:val="24"/>
          <w:szCs w:val="24"/>
        </w:rPr>
        <w:t>U</w:t>
      </w:r>
      <w:r w:rsidR="00BB73E7" w:rsidRPr="0050614E">
        <w:rPr>
          <w:rFonts w:asciiTheme="majorBidi" w:hAnsiTheme="majorBidi"/>
          <w:noProof/>
          <w:sz w:val="24"/>
          <w:szCs w:val="24"/>
        </w:rPr>
        <w:t>nlike wheat, corn and soybeans, precious metals are storable</w:t>
      </w:r>
      <w:r w:rsidR="00CE5B00">
        <w:rPr>
          <w:rFonts w:asciiTheme="majorBidi" w:hAnsiTheme="majorBidi"/>
          <w:noProof/>
          <w:sz w:val="24"/>
          <w:szCs w:val="24"/>
        </w:rPr>
        <w:t xml:space="preserve"> and </w:t>
      </w:r>
      <w:r w:rsidR="00BB73E7" w:rsidRPr="0050614E">
        <w:rPr>
          <w:rFonts w:asciiTheme="majorBidi" w:hAnsiTheme="majorBidi"/>
          <w:noProof/>
          <w:sz w:val="24"/>
          <w:szCs w:val="24"/>
        </w:rPr>
        <w:t xml:space="preserve">correlated with </w:t>
      </w:r>
      <w:r w:rsidR="00CE5B00">
        <w:rPr>
          <w:rFonts w:asciiTheme="majorBidi" w:hAnsiTheme="majorBidi"/>
          <w:noProof/>
          <w:sz w:val="24"/>
          <w:szCs w:val="24"/>
        </w:rPr>
        <w:t>inflation. H</w:t>
      </w:r>
      <w:r w:rsidR="00BB73E7" w:rsidRPr="0050614E">
        <w:rPr>
          <w:rFonts w:asciiTheme="majorBidi" w:hAnsiTheme="majorBidi"/>
          <w:noProof/>
          <w:sz w:val="24"/>
          <w:szCs w:val="24"/>
        </w:rPr>
        <w:t xml:space="preserve">ence they are </w:t>
      </w:r>
      <w:r w:rsidR="00BB73E7">
        <w:rPr>
          <w:rFonts w:asciiTheme="majorBidi" w:hAnsiTheme="majorBidi"/>
          <w:noProof/>
          <w:sz w:val="24"/>
          <w:szCs w:val="24"/>
        </w:rPr>
        <w:t xml:space="preserve">considered to be better inflation hedges by portfolio managers when </w:t>
      </w:r>
      <w:r w:rsidR="00CE5B00">
        <w:rPr>
          <w:rFonts w:asciiTheme="majorBidi" w:hAnsiTheme="majorBidi"/>
          <w:noProof/>
          <w:sz w:val="24"/>
          <w:szCs w:val="24"/>
        </w:rPr>
        <w:t xml:space="preserve">the </w:t>
      </w:r>
      <w:r w:rsidR="00BB73E7">
        <w:rPr>
          <w:rFonts w:asciiTheme="majorBidi" w:hAnsiTheme="majorBidi"/>
          <w:noProof/>
          <w:sz w:val="24"/>
          <w:szCs w:val="24"/>
        </w:rPr>
        <w:t xml:space="preserve">oil </w:t>
      </w:r>
      <w:r w:rsidR="00CE5B00">
        <w:rPr>
          <w:rFonts w:asciiTheme="majorBidi" w:hAnsiTheme="majorBidi"/>
          <w:noProof/>
          <w:sz w:val="24"/>
          <w:szCs w:val="24"/>
        </w:rPr>
        <w:t>market is volatile</w:t>
      </w:r>
      <w:r w:rsidR="00BB73E7">
        <w:rPr>
          <w:rFonts w:asciiTheme="majorBidi" w:hAnsiTheme="majorBidi"/>
          <w:noProof/>
          <w:sz w:val="24"/>
          <w:szCs w:val="24"/>
        </w:rPr>
        <w:t xml:space="preserve"> and inflation expectations</w:t>
      </w:r>
      <w:r w:rsidR="00CE5B00">
        <w:rPr>
          <w:rFonts w:asciiTheme="majorBidi" w:hAnsiTheme="majorBidi"/>
          <w:noProof/>
          <w:sz w:val="24"/>
          <w:szCs w:val="24"/>
        </w:rPr>
        <w:t xml:space="preserve"> </w:t>
      </w:r>
      <w:r w:rsidR="001928D6">
        <w:rPr>
          <w:rFonts w:asciiTheme="majorBidi" w:hAnsiTheme="majorBidi"/>
          <w:noProof/>
          <w:sz w:val="24"/>
          <w:szCs w:val="24"/>
        </w:rPr>
        <w:t xml:space="preserve">are </w:t>
      </w:r>
      <w:r w:rsidR="00CE5B00">
        <w:rPr>
          <w:rFonts w:asciiTheme="majorBidi" w:hAnsiTheme="majorBidi"/>
          <w:noProof/>
          <w:sz w:val="24"/>
          <w:szCs w:val="24"/>
        </w:rPr>
        <w:t>uncertain</w:t>
      </w:r>
      <w:r w:rsidR="00BB73E7" w:rsidRPr="0050614E">
        <w:rPr>
          <w:rFonts w:asciiTheme="majorBidi" w:hAnsiTheme="majorBidi"/>
          <w:noProof/>
          <w:sz w:val="24"/>
          <w:szCs w:val="24"/>
        </w:rPr>
        <w:t>.</w:t>
      </w:r>
      <w:r w:rsidR="00CE5B00">
        <w:rPr>
          <w:rStyle w:val="FootnoteReference"/>
          <w:rFonts w:asciiTheme="majorBidi" w:hAnsiTheme="majorBidi"/>
          <w:noProof/>
          <w:sz w:val="24"/>
          <w:szCs w:val="24"/>
        </w:rPr>
        <w:footnoteReference w:id="20"/>
      </w:r>
      <w:r w:rsidR="00CE5B00">
        <w:rPr>
          <w:rFonts w:asciiTheme="majorBidi" w:hAnsiTheme="majorBidi"/>
          <w:noProof/>
          <w:sz w:val="24"/>
          <w:szCs w:val="24"/>
        </w:rPr>
        <w:t xml:space="preserve"> </w:t>
      </w:r>
      <w:r w:rsidR="00694FD4">
        <w:rPr>
          <w:rFonts w:asciiTheme="majorBidi" w:hAnsiTheme="majorBidi" w:cstheme="majorBidi"/>
          <w:noProof/>
          <w:sz w:val="24"/>
          <w:szCs w:val="24"/>
        </w:rPr>
        <w:t xml:space="preserve">Furthermore, high </w:t>
      </w:r>
      <w:r w:rsidR="00A10CF1">
        <w:rPr>
          <w:rFonts w:asciiTheme="majorBidi" w:hAnsiTheme="majorBidi" w:cstheme="majorBidi"/>
          <w:noProof/>
          <w:sz w:val="24"/>
          <w:szCs w:val="24"/>
        </w:rPr>
        <w:t>oil prices</w:t>
      </w:r>
      <w:r w:rsidR="00984BBE">
        <w:rPr>
          <w:rFonts w:asciiTheme="majorBidi" w:hAnsiTheme="majorBidi" w:cstheme="majorBidi"/>
          <w:noProof/>
          <w:sz w:val="24"/>
          <w:szCs w:val="24"/>
        </w:rPr>
        <w:t xml:space="preserve"> </w:t>
      </w:r>
      <w:r w:rsidR="00A10CF1">
        <w:rPr>
          <w:rFonts w:asciiTheme="majorBidi" w:hAnsiTheme="majorBidi" w:cstheme="majorBidi"/>
          <w:noProof/>
          <w:sz w:val="24"/>
          <w:szCs w:val="24"/>
        </w:rPr>
        <w:t xml:space="preserve">may </w:t>
      </w:r>
      <w:r>
        <w:rPr>
          <w:rFonts w:asciiTheme="majorBidi" w:hAnsiTheme="majorBidi" w:cstheme="majorBidi"/>
          <w:noProof/>
          <w:sz w:val="24"/>
          <w:szCs w:val="24"/>
        </w:rPr>
        <w:t xml:space="preserve">threaten </w:t>
      </w:r>
      <w:r w:rsidR="00A10CF1">
        <w:rPr>
          <w:rFonts w:asciiTheme="majorBidi" w:hAnsiTheme="majorBidi" w:cstheme="majorBidi"/>
          <w:noProof/>
          <w:sz w:val="24"/>
          <w:szCs w:val="24"/>
        </w:rPr>
        <w:t>economic growth and raise the risk of equit</w:t>
      </w:r>
      <w:r w:rsidR="00694FD4">
        <w:rPr>
          <w:rFonts w:asciiTheme="majorBidi" w:hAnsiTheme="majorBidi" w:cstheme="majorBidi"/>
          <w:noProof/>
          <w:sz w:val="24"/>
          <w:szCs w:val="24"/>
        </w:rPr>
        <w:t xml:space="preserve">ies, and hence </w:t>
      </w:r>
      <w:r w:rsidR="00984BBE">
        <w:rPr>
          <w:rFonts w:asciiTheme="majorBidi" w:hAnsiTheme="majorBidi" w:cstheme="majorBidi"/>
          <w:noProof/>
          <w:sz w:val="24"/>
          <w:szCs w:val="24"/>
        </w:rPr>
        <w:t xml:space="preserve">investors </w:t>
      </w:r>
      <w:r w:rsidR="00D41EC8">
        <w:rPr>
          <w:rFonts w:asciiTheme="majorBidi" w:hAnsiTheme="majorBidi" w:cstheme="majorBidi"/>
          <w:noProof/>
          <w:sz w:val="24"/>
          <w:szCs w:val="24"/>
        </w:rPr>
        <w:t xml:space="preserve">may </w:t>
      </w:r>
      <w:r w:rsidR="00984BBE">
        <w:rPr>
          <w:rFonts w:asciiTheme="majorBidi" w:hAnsiTheme="majorBidi" w:cstheme="majorBidi"/>
          <w:noProof/>
          <w:sz w:val="24"/>
          <w:szCs w:val="24"/>
        </w:rPr>
        <w:t xml:space="preserve">turn to gold and other </w:t>
      </w:r>
      <w:r w:rsidR="00D41EC8">
        <w:rPr>
          <w:rFonts w:asciiTheme="majorBidi" w:hAnsiTheme="majorBidi" w:cstheme="majorBidi"/>
          <w:noProof/>
          <w:sz w:val="24"/>
          <w:szCs w:val="24"/>
        </w:rPr>
        <w:t>precious metals for protection</w:t>
      </w:r>
      <w:r w:rsidR="0050614E">
        <w:rPr>
          <w:rFonts w:asciiTheme="majorBidi" w:hAnsiTheme="majorBidi" w:cstheme="majorBidi"/>
          <w:noProof/>
          <w:sz w:val="24"/>
          <w:szCs w:val="24"/>
        </w:rPr>
        <w:t xml:space="preserve"> (Reboredo, 2010</w:t>
      </w:r>
      <w:r w:rsidR="006D3AC6">
        <w:rPr>
          <w:rFonts w:asciiTheme="majorBidi" w:hAnsiTheme="majorBidi" w:cstheme="majorBidi"/>
          <w:noProof/>
          <w:sz w:val="24"/>
          <w:szCs w:val="24"/>
        </w:rPr>
        <w:t xml:space="preserve">; </w:t>
      </w:r>
      <w:r w:rsidR="006D3AC6" w:rsidRPr="00E37DCE">
        <w:rPr>
          <w:rFonts w:asciiTheme="majorBidi" w:hAnsiTheme="majorBidi" w:cstheme="majorBidi"/>
          <w:noProof/>
          <w:sz w:val="24"/>
          <w:szCs w:val="24"/>
        </w:rPr>
        <w:t>Baur and McDermott, 2010; and Baur and Lucey, 2010</w:t>
      </w:r>
      <w:r w:rsidR="0050614E">
        <w:rPr>
          <w:rFonts w:asciiTheme="majorBidi" w:hAnsiTheme="majorBidi" w:cstheme="majorBidi"/>
          <w:noProof/>
          <w:sz w:val="24"/>
          <w:szCs w:val="24"/>
        </w:rPr>
        <w:t>)</w:t>
      </w:r>
      <w:r w:rsidR="00984BBE">
        <w:rPr>
          <w:rFonts w:asciiTheme="majorBidi" w:hAnsiTheme="majorBidi" w:cstheme="majorBidi"/>
          <w:noProof/>
          <w:sz w:val="24"/>
          <w:szCs w:val="24"/>
        </w:rPr>
        <w:t>.</w:t>
      </w:r>
      <w:r w:rsidR="006D3AC6">
        <w:rPr>
          <w:rFonts w:asciiTheme="majorBidi" w:hAnsiTheme="majorBidi" w:cstheme="majorBidi"/>
          <w:noProof/>
          <w:sz w:val="24"/>
          <w:szCs w:val="24"/>
        </w:rPr>
        <w:t xml:space="preserve"> </w:t>
      </w:r>
      <w:r w:rsidR="002533B8">
        <w:rPr>
          <w:rFonts w:asciiTheme="majorBidi" w:hAnsiTheme="majorBidi" w:cstheme="majorBidi"/>
          <w:noProof/>
          <w:sz w:val="24"/>
          <w:szCs w:val="24"/>
        </w:rPr>
        <w:t xml:space="preserve">These mechanisms support the argument that </w:t>
      </w:r>
      <w:r w:rsidR="006D3AC6">
        <w:rPr>
          <w:rFonts w:asciiTheme="majorBidi" w:hAnsiTheme="majorBidi" w:cstheme="majorBidi"/>
          <w:noProof/>
          <w:sz w:val="24"/>
          <w:szCs w:val="24"/>
        </w:rPr>
        <w:t xml:space="preserve">volatility </w:t>
      </w:r>
      <w:r w:rsidR="002533B8">
        <w:rPr>
          <w:rFonts w:asciiTheme="majorBidi" w:hAnsiTheme="majorBidi" w:cstheme="majorBidi"/>
          <w:noProof/>
          <w:sz w:val="24"/>
          <w:szCs w:val="24"/>
        </w:rPr>
        <w:t xml:space="preserve">connectedness between oil and precious metals is established by the information </w:t>
      </w:r>
      <w:r w:rsidR="00BB73E7">
        <w:rPr>
          <w:rFonts w:asciiTheme="majorBidi" w:hAnsiTheme="majorBidi" w:cstheme="majorBidi"/>
          <w:noProof/>
          <w:sz w:val="24"/>
          <w:szCs w:val="24"/>
        </w:rPr>
        <w:t>transmissions</w:t>
      </w:r>
      <w:r w:rsidR="002533B8">
        <w:rPr>
          <w:rFonts w:asciiTheme="majorBidi" w:hAnsiTheme="majorBidi" w:cstheme="majorBidi"/>
          <w:noProof/>
          <w:sz w:val="24"/>
          <w:szCs w:val="24"/>
        </w:rPr>
        <w:t xml:space="preserve"> from the oil market</w:t>
      </w:r>
      <w:r w:rsidR="002528FF">
        <w:rPr>
          <w:rFonts w:asciiTheme="majorBidi" w:hAnsiTheme="majorBidi" w:cstheme="majorBidi"/>
          <w:noProof/>
          <w:sz w:val="24"/>
          <w:szCs w:val="24"/>
        </w:rPr>
        <w:t xml:space="preserve"> and not the other way round</w:t>
      </w:r>
      <w:r w:rsidR="002533B8">
        <w:rPr>
          <w:rFonts w:asciiTheme="majorBidi" w:hAnsiTheme="majorBidi" w:cstheme="majorBidi"/>
          <w:noProof/>
          <w:sz w:val="24"/>
          <w:szCs w:val="24"/>
        </w:rPr>
        <w:t>.</w:t>
      </w:r>
      <w:r w:rsidR="002533B8">
        <w:rPr>
          <w:rStyle w:val="FootnoteReference"/>
          <w:rFonts w:asciiTheme="majorBidi" w:hAnsiTheme="majorBidi"/>
          <w:noProof/>
          <w:sz w:val="24"/>
          <w:szCs w:val="24"/>
        </w:rPr>
        <w:footnoteReference w:id="21"/>
      </w:r>
    </w:p>
    <w:p w:rsidR="0011345F" w:rsidRDefault="00CB06E7" w:rsidP="001A09F3">
      <w:pPr>
        <w:spacing w:after="0" w:line="480" w:lineRule="auto"/>
        <w:ind w:firstLine="284"/>
        <w:jc w:val="both"/>
        <w:rPr>
          <w:rFonts w:asciiTheme="majorBidi" w:eastAsia="Calibri" w:hAnsiTheme="majorBidi" w:cstheme="majorBidi"/>
          <w:sz w:val="24"/>
          <w:szCs w:val="24"/>
        </w:rPr>
      </w:pPr>
      <w:r w:rsidRPr="0022266D">
        <w:rPr>
          <w:rFonts w:asciiTheme="majorBidi" w:hAnsiTheme="majorBidi" w:cstheme="majorBidi"/>
          <w:noProof/>
          <w:sz w:val="24"/>
          <w:szCs w:val="24"/>
        </w:rPr>
        <w:t>Like</w:t>
      </w:r>
      <w:r>
        <w:rPr>
          <w:rFonts w:asciiTheme="majorBidi" w:eastAsia="Calibri" w:hAnsiTheme="majorBidi" w:cstheme="majorBidi"/>
          <w:sz w:val="24"/>
          <w:szCs w:val="24"/>
        </w:rPr>
        <w:t xml:space="preserve"> other commodities, wheat, corn and soybeans </w:t>
      </w:r>
      <w:r w:rsidR="00FE3163">
        <w:rPr>
          <w:rFonts w:asciiTheme="majorBidi" w:eastAsia="Calibri" w:hAnsiTheme="majorBidi" w:cstheme="majorBidi"/>
          <w:sz w:val="24"/>
          <w:szCs w:val="24"/>
        </w:rPr>
        <w:t xml:space="preserve">should also be </w:t>
      </w:r>
      <w:r>
        <w:rPr>
          <w:rFonts w:asciiTheme="majorBidi" w:eastAsia="Calibri" w:hAnsiTheme="majorBidi" w:cstheme="majorBidi"/>
          <w:sz w:val="24"/>
          <w:szCs w:val="24"/>
        </w:rPr>
        <w:t xml:space="preserve">affected by </w:t>
      </w:r>
      <w:r w:rsidR="00FE3163">
        <w:rPr>
          <w:rFonts w:asciiTheme="majorBidi" w:eastAsia="Calibri" w:hAnsiTheme="majorBidi" w:cstheme="majorBidi"/>
          <w:sz w:val="24"/>
          <w:szCs w:val="24"/>
        </w:rPr>
        <w:t xml:space="preserve">the </w:t>
      </w:r>
      <w:r>
        <w:rPr>
          <w:rFonts w:asciiTheme="majorBidi" w:eastAsia="Calibri" w:hAnsiTheme="majorBidi" w:cstheme="majorBidi"/>
          <w:sz w:val="24"/>
          <w:szCs w:val="24"/>
        </w:rPr>
        <w:t xml:space="preserve">fluctuations in the oil market. The risk transfer </w:t>
      </w:r>
      <w:r w:rsidR="00F21618">
        <w:rPr>
          <w:rFonts w:asciiTheme="majorBidi" w:eastAsia="Calibri" w:hAnsiTheme="majorBidi" w:cstheme="majorBidi"/>
          <w:sz w:val="24"/>
          <w:szCs w:val="24"/>
        </w:rPr>
        <w:t xml:space="preserve">mechanism </w:t>
      </w:r>
      <w:r>
        <w:rPr>
          <w:rFonts w:asciiTheme="majorBidi" w:eastAsia="Calibri" w:hAnsiTheme="majorBidi" w:cstheme="majorBidi"/>
          <w:sz w:val="24"/>
          <w:szCs w:val="24"/>
        </w:rPr>
        <w:t xml:space="preserve">with the oil market </w:t>
      </w:r>
      <w:r w:rsidR="00F21618">
        <w:rPr>
          <w:rFonts w:asciiTheme="majorBidi" w:eastAsia="Calibri" w:hAnsiTheme="majorBidi" w:cstheme="majorBidi"/>
          <w:sz w:val="24"/>
          <w:szCs w:val="24"/>
        </w:rPr>
        <w:t xml:space="preserve">is expected to be significant with </w:t>
      </w:r>
      <w:r>
        <w:rPr>
          <w:rFonts w:asciiTheme="majorBidi" w:eastAsia="Calibri" w:hAnsiTheme="majorBidi" w:cstheme="majorBidi"/>
          <w:sz w:val="24"/>
          <w:szCs w:val="24"/>
        </w:rPr>
        <w:t>the recent</w:t>
      </w:r>
      <w:r w:rsidR="00F21618">
        <w:rPr>
          <w:rFonts w:asciiTheme="majorBidi" w:eastAsia="Calibri" w:hAnsiTheme="majorBidi" w:cstheme="majorBidi"/>
          <w:sz w:val="24"/>
          <w:szCs w:val="24"/>
        </w:rPr>
        <w:t xml:space="preserve"> rise of technologies that produce fuel from agricultural commodities (biofuel). For instance, the bioethanol fuel which is produced from corn</w:t>
      </w:r>
      <w:r w:rsidR="006D4A40">
        <w:rPr>
          <w:rFonts w:asciiTheme="majorBidi" w:eastAsia="Calibri" w:hAnsiTheme="majorBidi" w:cstheme="majorBidi"/>
          <w:sz w:val="24"/>
          <w:szCs w:val="24"/>
        </w:rPr>
        <w:t xml:space="preserve"> </w:t>
      </w:r>
      <w:r w:rsidR="00A4473F">
        <w:rPr>
          <w:rFonts w:asciiTheme="majorBidi" w:eastAsia="Calibri" w:hAnsiTheme="majorBidi" w:cstheme="majorBidi"/>
          <w:sz w:val="24"/>
          <w:szCs w:val="24"/>
        </w:rPr>
        <w:t>(</w:t>
      </w:r>
      <w:r w:rsidR="006D4A40">
        <w:rPr>
          <w:rFonts w:asciiTheme="majorBidi" w:eastAsia="Calibri" w:hAnsiTheme="majorBidi" w:cstheme="majorBidi"/>
          <w:sz w:val="24"/>
          <w:szCs w:val="24"/>
        </w:rPr>
        <w:t>or wheat</w:t>
      </w:r>
      <w:r w:rsidR="00A4473F">
        <w:rPr>
          <w:rFonts w:asciiTheme="majorBidi" w:eastAsia="Calibri" w:hAnsiTheme="majorBidi" w:cstheme="majorBidi"/>
          <w:sz w:val="24"/>
          <w:szCs w:val="24"/>
        </w:rPr>
        <w:t>)</w:t>
      </w:r>
      <w:r w:rsidR="00F21618">
        <w:rPr>
          <w:rFonts w:asciiTheme="majorBidi" w:eastAsia="Calibri" w:hAnsiTheme="majorBidi" w:cstheme="majorBidi"/>
          <w:sz w:val="24"/>
          <w:szCs w:val="24"/>
        </w:rPr>
        <w:t xml:space="preserve"> and the biodiesel fuel which is produced from soybeans are good substitutes for </w:t>
      </w:r>
      <w:r w:rsidR="006D4A40">
        <w:rPr>
          <w:rFonts w:asciiTheme="majorBidi" w:eastAsia="Calibri" w:hAnsiTheme="majorBidi" w:cstheme="majorBidi"/>
          <w:sz w:val="24"/>
          <w:szCs w:val="24"/>
        </w:rPr>
        <w:t xml:space="preserve">traditional </w:t>
      </w:r>
      <w:r w:rsidR="00F21618">
        <w:rPr>
          <w:rFonts w:asciiTheme="majorBidi" w:eastAsia="Calibri" w:hAnsiTheme="majorBidi" w:cstheme="majorBidi"/>
          <w:sz w:val="24"/>
          <w:szCs w:val="24"/>
        </w:rPr>
        <w:t>diesel and gasoline (Chang and Su, 2010).</w:t>
      </w:r>
      <w:r w:rsidR="006D4A40">
        <w:rPr>
          <w:rFonts w:asciiTheme="majorBidi" w:eastAsia="Calibri" w:hAnsiTheme="majorBidi" w:cstheme="majorBidi"/>
          <w:sz w:val="24"/>
          <w:szCs w:val="24"/>
        </w:rPr>
        <w:t xml:space="preserve"> Therefore, crude oil, corn, wheat and soybeans markets are </w:t>
      </w:r>
      <w:r w:rsidR="00187ADA">
        <w:rPr>
          <w:rFonts w:asciiTheme="majorBidi" w:eastAsia="Calibri" w:hAnsiTheme="majorBidi" w:cstheme="majorBidi"/>
          <w:sz w:val="24"/>
          <w:szCs w:val="24"/>
        </w:rPr>
        <w:t xml:space="preserve">found </w:t>
      </w:r>
      <w:r w:rsidR="006D4A40">
        <w:rPr>
          <w:rFonts w:asciiTheme="majorBidi" w:eastAsia="Calibri" w:hAnsiTheme="majorBidi" w:cstheme="majorBidi"/>
          <w:sz w:val="24"/>
          <w:szCs w:val="24"/>
        </w:rPr>
        <w:t>to be more integrated</w:t>
      </w:r>
      <w:r w:rsidR="00FE3163">
        <w:rPr>
          <w:rFonts w:asciiTheme="majorBidi" w:eastAsia="Calibri" w:hAnsiTheme="majorBidi" w:cstheme="majorBidi"/>
          <w:sz w:val="24"/>
          <w:szCs w:val="24"/>
        </w:rPr>
        <w:t xml:space="preserve"> with oil </w:t>
      </w:r>
      <w:r w:rsidR="00187ADA">
        <w:rPr>
          <w:rFonts w:asciiTheme="majorBidi" w:eastAsia="Calibri" w:hAnsiTheme="majorBidi" w:cstheme="majorBidi"/>
          <w:sz w:val="24"/>
          <w:szCs w:val="24"/>
        </w:rPr>
        <w:t>by many researchers</w:t>
      </w:r>
      <w:r w:rsidR="00FE3163">
        <w:rPr>
          <w:rFonts w:asciiTheme="majorBidi" w:eastAsia="Calibri" w:hAnsiTheme="majorBidi" w:cstheme="majorBidi"/>
          <w:sz w:val="24"/>
          <w:szCs w:val="24"/>
        </w:rPr>
        <w:t>.</w:t>
      </w:r>
      <w:r w:rsidR="00187ADA">
        <w:rPr>
          <w:rStyle w:val="FootnoteReference"/>
          <w:rFonts w:asciiTheme="majorBidi" w:eastAsia="Calibri" w:hAnsiTheme="majorBidi"/>
          <w:sz w:val="24"/>
          <w:szCs w:val="24"/>
        </w:rPr>
        <w:footnoteReference w:id="22"/>
      </w:r>
      <w:r w:rsidR="00FE3163">
        <w:rPr>
          <w:rFonts w:asciiTheme="majorBidi" w:eastAsia="Calibri" w:hAnsiTheme="majorBidi" w:cstheme="majorBidi"/>
          <w:sz w:val="24"/>
          <w:szCs w:val="24"/>
        </w:rPr>
        <w:t xml:space="preserve"> </w:t>
      </w:r>
      <w:r w:rsidR="006D4A40">
        <w:rPr>
          <w:rFonts w:asciiTheme="majorBidi" w:eastAsia="Calibri" w:hAnsiTheme="majorBidi" w:cstheme="majorBidi"/>
          <w:sz w:val="24"/>
          <w:szCs w:val="24"/>
        </w:rPr>
        <w:t xml:space="preserve">  </w:t>
      </w:r>
      <w:r w:rsidR="00F21618">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         </w:t>
      </w:r>
      <w:r w:rsidR="00DE354D">
        <w:rPr>
          <w:rFonts w:asciiTheme="majorBidi" w:eastAsia="Calibri" w:hAnsiTheme="majorBidi" w:cstheme="majorBidi"/>
          <w:sz w:val="24"/>
          <w:szCs w:val="24"/>
        </w:rPr>
        <w:t xml:space="preserve">  </w:t>
      </w:r>
      <w:r w:rsidR="0047177B">
        <w:rPr>
          <w:rFonts w:asciiTheme="majorBidi" w:eastAsia="Calibri" w:hAnsiTheme="majorBidi" w:cstheme="majorBidi"/>
          <w:sz w:val="24"/>
          <w:szCs w:val="24"/>
        </w:rPr>
        <w:t xml:space="preserve"> </w:t>
      </w:r>
      <w:r w:rsidR="0011345F">
        <w:rPr>
          <w:rFonts w:asciiTheme="majorBidi" w:eastAsia="Calibri" w:hAnsiTheme="majorBidi" w:cstheme="majorBidi"/>
          <w:sz w:val="24"/>
          <w:szCs w:val="24"/>
        </w:rPr>
        <w:t xml:space="preserve">    </w:t>
      </w:r>
    </w:p>
    <w:p w:rsidR="00106998" w:rsidRDefault="004C64AD" w:rsidP="00106998">
      <w:pPr>
        <w:spacing w:after="0" w:line="480" w:lineRule="auto"/>
        <w:ind w:firstLine="284"/>
        <w:jc w:val="both"/>
        <w:rPr>
          <w:rFonts w:asciiTheme="majorBidi" w:eastAsia="Calibri" w:hAnsiTheme="majorBidi" w:cstheme="majorBidi"/>
          <w:sz w:val="24"/>
          <w:szCs w:val="24"/>
        </w:rPr>
      </w:pPr>
      <w:r w:rsidRPr="0022266D">
        <w:rPr>
          <w:rFonts w:asciiTheme="majorBidi" w:hAnsiTheme="majorBidi" w:cstheme="majorBidi"/>
          <w:noProof/>
          <w:sz w:val="24"/>
          <w:szCs w:val="24"/>
        </w:rPr>
        <w:t>However</w:t>
      </w:r>
      <w:r>
        <w:rPr>
          <w:rFonts w:asciiTheme="majorBidi" w:eastAsia="Calibri" w:hAnsiTheme="majorBidi" w:cstheme="majorBidi"/>
          <w:sz w:val="24"/>
          <w:szCs w:val="24"/>
        </w:rPr>
        <w:t xml:space="preserve">, </w:t>
      </w:r>
      <w:r w:rsidR="00A4473F">
        <w:rPr>
          <w:rFonts w:asciiTheme="majorBidi" w:eastAsia="Calibri" w:hAnsiTheme="majorBidi" w:cstheme="majorBidi"/>
          <w:sz w:val="24"/>
          <w:szCs w:val="24"/>
        </w:rPr>
        <w:t>in our sample we find that</w:t>
      </w:r>
      <w:r w:rsidR="00CB06E7">
        <w:rPr>
          <w:rFonts w:asciiTheme="majorBidi" w:eastAsia="Calibri" w:hAnsiTheme="majorBidi" w:cstheme="majorBidi"/>
          <w:sz w:val="24"/>
          <w:szCs w:val="24"/>
        </w:rPr>
        <w:t xml:space="preserve"> risk transfer </w:t>
      </w:r>
      <w:r w:rsidR="00076917">
        <w:rPr>
          <w:rFonts w:asciiTheme="majorBidi" w:eastAsia="Calibri" w:hAnsiTheme="majorBidi" w:cstheme="majorBidi"/>
          <w:sz w:val="24"/>
          <w:szCs w:val="24"/>
        </w:rPr>
        <w:t xml:space="preserve">between oil and </w:t>
      </w:r>
      <w:r>
        <w:rPr>
          <w:rFonts w:asciiTheme="majorBidi" w:eastAsia="Calibri" w:hAnsiTheme="majorBidi" w:cstheme="majorBidi"/>
          <w:sz w:val="24"/>
          <w:szCs w:val="24"/>
        </w:rPr>
        <w:t>corn, wheat</w:t>
      </w:r>
      <w:r w:rsidR="00A4473F">
        <w:rPr>
          <w:rFonts w:asciiTheme="majorBidi" w:eastAsia="Calibri" w:hAnsiTheme="majorBidi" w:cstheme="majorBidi"/>
          <w:sz w:val="24"/>
          <w:szCs w:val="24"/>
        </w:rPr>
        <w:t>,</w:t>
      </w:r>
      <w:r>
        <w:rPr>
          <w:rFonts w:asciiTheme="majorBidi" w:eastAsia="Calibri" w:hAnsiTheme="majorBidi" w:cstheme="majorBidi"/>
          <w:sz w:val="24"/>
          <w:szCs w:val="24"/>
        </w:rPr>
        <w:t xml:space="preserve"> and soybeans </w:t>
      </w:r>
      <w:r w:rsidR="00CB06E7">
        <w:rPr>
          <w:rFonts w:asciiTheme="majorBidi" w:eastAsia="Calibri" w:hAnsiTheme="majorBidi" w:cstheme="majorBidi"/>
          <w:sz w:val="24"/>
          <w:szCs w:val="24"/>
        </w:rPr>
        <w:t>is weak.</w:t>
      </w:r>
      <w:r>
        <w:rPr>
          <w:rFonts w:asciiTheme="majorBidi" w:eastAsia="Calibri" w:hAnsiTheme="majorBidi" w:cstheme="majorBidi"/>
          <w:sz w:val="24"/>
          <w:szCs w:val="24"/>
        </w:rPr>
        <w:t xml:space="preserve"> </w:t>
      </w:r>
      <w:r w:rsidR="00A4473F">
        <w:rPr>
          <w:rFonts w:asciiTheme="majorBidi" w:eastAsia="Calibri" w:hAnsiTheme="majorBidi" w:cstheme="majorBidi"/>
          <w:sz w:val="24"/>
          <w:szCs w:val="24"/>
        </w:rPr>
        <w:t>T</w:t>
      </w:r>
      <w:r>
        <w:rPr>
          <w:rFonts w:asciiTheme="majorBidi" w:eastAsia="Calibri" w:hAnsiTheme="majorBidi" w:cstheme="majorBidi"/>
          <w:sz w:val="24"/>
          <w:szCs w:val="24"/>
        </w:rPr>
        <w:t xml:space="preserve">he </w:t>
      </w:r>
      <w:r w:rsidR="00106998">
        <w:rPr>
          <w:rFonts w:asciiTheme="majorBidi" w:eastAsia="Calibri" w:hAnsiTheme="majorBidi" w:cstheme="majorBidi"/>
          <w:sz w:val="24"/>
          <w:szCs w:val="24"/>
        </w:rPr>
        <w:t xml:space="preserve">strong </w:t>
      </w:r>
      <w:r>
        <w:rPr>
          <w:rFonts w:asciiTheme="majorBidi" w:eastAsia="Calibri" w:hAnsiTheme="majorBidi" w:cstheme="majorBidi"/>
          <w:sz w:val="24"/>
          <w:szCs w:val="24"/>
        </w:rPr>
        <w:t xml:space="preserve">volatility </w:t>
      </w:r>
      <w:r w:rsidR="00A4473F">
        <w:rPr>
          <w:rFonts w:asciiTheme="majorBidi" w:eastAsia="Calibri" w:hAnsiTheme="majorBidi" w:cstheme="majorBidi"/>
          <w:sz w:val="24"/>
          <w:szCs w:val="24"/>
        </w:rPr>
        <w:t>linkages</w:t>
      </w:r>
      <w:r>
        <w:rPr>
          <w:rFonts w:asciiTheme="majorBidi" w:eastAsia="Calibri" w:hAnsiTheme="majorBidi" w:cstheme="majorBidi"/>
          <w:sz w:val="24"/>
          <w:szCs w:val="24"/>
        </w:rPr>
        <w:t xml:space="preserve"> between oil and agricultural commodities</w:t>
      </w:r>
      <w:r w:rsidR="00076917">
        <w:rPr>
          <w:rFonts w:asciiTheme="majorBidi" w:eastAsia="Calibri" w:hAnsiTheme="majorBidi" w:cstheme="majorBidi"/>
          <w:sz w:val="24"/>
          <w:szCs w:val="24"/>
        </w:rPr>
        <w:t xml:space="preserve"> that </w:t>
      </w:r>
      <w:r w:rsidR="00106998">
        <w:rPr>
          <w:rFonts w:asciiTheme="majorBidi" w:eastAsia="Calibri" w:hAnsiTheme="majorBidi" w:cstheme="majorBidi"/>
          <w:sz w:val="24"/>
          <w:szCs w:val="24"/>
        </w:rPr>
        <w:t xml:space="preserve">were </w:t>
      </w:r>
      <w:r w:rsidR="00076917">
        <w:rPr>
          <w:rFonts w:asciiTheme="majorBidi" w:eastAsia="Calibri" w:hAnsiTheme="majorBidi" w:cstheme="majorBidi"/>
          <w:sz w:val="24"/>
          <w:szCs w:val="24"/>
        </w:rPr>
        <w:t xml:space="preserve">reported </w:t>
      </w:r>
      <w:r w:rsidR="00A4473F">
        <w:rPr>
          <w:rFonts w:asciiTheme="majorBidi" w:eastAsia="Calibri" w:hAnsiTheme="majorBidi" w:cstheme="majorBidi"/>
          <w:sz w:val="24"/>
          <w:szCs w:val="24"/>
        </w:rPr>
        <w:t>by many researchers</w:t>
      </w:r>
      <w:r>
        <w:rPr>
          <w:rFonts w:asciiTheme="majorBidi" w:eastAsia="Calibri" w:hAnsiTheme="majorBidi" w:cstheme="majorBidi"/>
          <w:sz w:val="24"/>
          <w:szCs w:val="24"/>
        </w:rPr>
        <w:t xml:space="preserve"> </w:t>
      </w:r>
      <w:r w:rsidR="00106998">
        <w:rPr>
          <w:rFonts w:asciiTheme="majorBidi" w:eastAsia="Calibri" w:hAnsiTheme="majorBidi" w:cstheme="majorBidi"/>
          <w:sz w:val="24"/>
          <w:szCs w:val="24"/>
        </w:rPr>
        <w:t xml:space="preserve">after the rise of the bio-fuel industry in 2005 cannot be confirmed by </w:t>
      </w:r>
      <w:r w:rsidR="00A4473F">
        <w:rPr>
          <w:rFonts w:asciiTheme="majorBidi" w:eastAsia="Calibri" w:hAnsiTheme="majorBidi" w:cstheme="majorBidi"/>
          <w:sz w:val="24"/>
          <w:szCs w:val="24"/>
        </w:rPr>
        <w:t>our</w:t>
      </w:r>
      <w:r w:rsidR="00187ADA">
        <w:rPr>
          <w:rFonts w:asciiTheme="majorBidi" w:eastAsia="Calibri" w:hAnsiTheme="majorBidi" w:cstheme="majorBidi"/>
          <w:sz w:val="24"/>
          <w:szCs w:val="24"/>
        </w:rPr>
        <w:t xml:space="preserve"> </w:t>
      </w:r>
      <w:r>
        <w:rPr>
          <w:rFonts w:asciiTheme="majorBidi" w:eastAsia="Calibri" w:hAnsiTheme="majorBidi" w:cstheme="majorBidi"/>
          <w:sz w:val="24"/>
          <w:szCs w:val="24"/>
        </w:rPr>
        <w:t>sample.</w:t>
      </w:r>
      <w:r w:rsidR="00106998">
        <w:rPr>
          <w:rFonts w:asciiTheme="majorBidi" w:eastAsia="Calibri" w:hAnsiTheme="majorBidi" w:cstheme="majorBidi"/>
          <w:sz w:val="24"/>
          <w:szCs w:val="24"/>
        </w:rPr>
        <w:t xml:space="preserve"> </w:t>
      </w:r>
      <w:r w:rsidR="00106998" w:rsidRPr="001D1BE7">
        <w:rPr>
          <w:rFonts w:asciiTheme="majorBidi" w:eastAsia="Calibri" w:hAnsiTheme="majorBidi" w:cstheme="majorBidi"/>
          <w:sz w:val="24"/>
          <w:szCs w:val="24"/>
          <w:lang w:val="da-DK"/>
        </w:rPr>
        <w:t xml:space="preserve">Chang and Su (2010), Zhang et al. (2010), Alom (2011), and Du et al. </w:t>
      </w:r>
      <w:r w:rsidR="00106998">
        <w:rPr>
          <w:rFonts w:asciiTheme="majorBidi" w:eastAsia="Calibri" w:hAnsiTheme="majorBidi" w:cstheme="majorBidi"/>
          <w:sz w:val="24"/>
          <w:szCs w:val="24"/>
        </w:rPr>
        <w:t xml:space="preserve">(2011) reported significant </w:t>
      </w:r>
      <w:r w:rsidR="00106998">
        <w:rPr>
          <w:rFonts w:asciiTheme="majorBidi" w:eastAsia="Calibri" w:hAnsiTheme="majorBidi" w:cstheme="majorBidi"/>
          <w:sz w:val="24"/>
          <w:szCs w:val="24"/>
        </w:rPr>
        <w:lastRenderedPageBreak/>
        <w:t xml:space="preserve">volatility linkages between oil and agricultural commodities. </w:t>
      </w:r>
      <w:r w:rsidR="00187ADA">
        <w:rPr>
          <w:rFonts w:asciiTheme="majorBidi" w:eastAsia="Calibri" w:hAnsiTheme="majorBidi" w:cstheme="majorBidi"/>
          <w:sz w:val="24"/>
          <w:szCs w:val="24"/>
        </w:rPr>
        <w:t xml:space="preserve"> </w:t>
      </w:r>
      <w:r w:rsidR="00106998">
        <w:rPr>
          <w:rFonts w:asciiTheme="majorBidi" w:eastAsia="Calibri" w:hAnsiTheme="majorBidi" w:cstheme="majorBidi"/>
          <w:sz w:val="24"/>
          <w:szCs w:val="24"/>
        </w:rPr>
        <w:t xml:space="preserve">Nevertheless, our </w:t>
      </w:r>
      <w:r w:rsidR="00EA5AEA">
        <w:rPr>
          <w:rFonts w:asciiTheme="majorBidi" w:eastAsia="Calibri" w:hAnsiTheme="majorBidi" w:cstheme="majorBidi"/>
          <w:sz w:val="24"/>
          <w:szCs w:val="24"/>
        </w:rPr>
        <w:t xml:space="preserve">results </w:t>
      </w:r>
      <w:r w:rsidR="00106998">
        <w:rPr>
          <w:rFonts w:asciiTheme="majorBidi" w:eastAsia="Calibri" w:hAnsiTheme="majorBidi" w:cstheme="majorBidi"/>
          <w:sz w:val="24"/>
          <w:szCs w:val="24"/>
        </w:rPr>
        <w:t xml:space="preserve">are consistent with </w:t>
      </w:r>
      <w:r w:rsidR="00EA5AEA">
        <w:rPr>
          <w:rFonts w:asciiTheme="majorBidi" w:eastAsia="Calibri" w:hAnsiTheme="majorBidi" w:cstheme="majorBidi"/>
          <w:sz w:val="24"/>
          <w:szCs w:val="24"/>
        </w:rPr>
        <w:t>the findings o</w:t>
      </w:r>
      <w:r w:rsidR="00EF61EA">
        <w:rPr>
          <w:rFonts w:asciiTheme="majorBidi" w:eastAsia="Calibri" w:hAnsiTheme="majorBidi" w:cstheme="majorBidi"/>
          <w:sz w:val="24"/>
          <w:szCs w:val="24"/>
        </w:rPr>
        <w:t xml:space="preserve">f Gilbert (2010) who shows weak linkages between oil and food.  </w:t>
      </w:r>
    </w:p>
    <w:p w:rsidR="00C27712" w:rsidRDefault="00EA5AEA" w:rsidP="00CD09F4">
      <w:pPr>
        <w:spacing w:after="0" w:line="480" w:lineRule="auto"/>
        <w:ind w:firstLine="284"/>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The evidence that we provide is derived from a </w:t>
      </w:r>
      <w:r w:rsidR="00CD09F4">
        <w:rPr>
          <w:rFonts w:asciiTheme="majorBidi" w:eastAsia="Calibri" w:hAnsiTheme="majorBidi" w:cstheme="majorBidi"/>
          <w:sz w:val="24"/>
          <w:szCs w:val="24"/>
        </w:rPr>
        <w:t xml:space="preserve">more recent </w:t>
      </w:r>
      <w:r>
        <w:rPr>
          <w:rFonts w:asciiTheme="majorBidi" w:eastAsia="Calibri" w:hAnsiTheme="majorBidi" w:cstheme="majorBidi"/>
          <w:sz w:val="24"/>
          <w:szCs w:val="24"/>
        </w:rPr>
        <w:t>sample</w:t>
      </w:r>
      <w:r w:rsidR="00CD09F4">
        <w:rPr>
          <w:rFonts w:asciiTheme="majorBidi" w:eastAsia="Calibri" w:hAnsiTheme="majorBidi" w:cstheme="majorBidi"/>
          <w:sz w:val="24"/>
          <w:szCs w:val="24"/>
        </w:rPr>
        <w:t xml:space="preserve"> starting in 2012, eight years after </w:t>
      </w:r>
      <w:r>
        <w:rPr>
          <w:rFonts w:asciiTheme="majorBidi" w:eastAsia="Calibri" w:hAnsiTheme="majorBidi" w:cstheme="majorBidi"/>
          <w:sz w:val="24"/>
          <w:szCs w:val="24"/>
        </w:rPr>
        <w:t xml:space="preserve">the rise of the bio-fuel industry. </w:t>
      </w:r>
      <w:r w:rsidR="00C27712">
        <w:rPr>
          <w:rFonts w:asciiTheme="majorBidi" w:eastAsia="Calibri" w:hAnsiTheme="majorBidi" w:cstheme="majorBidi"/>
          <w:sz w:val="24"/>
          <w:szCs w:val="24"/>
        </w:rPr>
        <w:t>The changing fundamentals of energy markets</w:t>
      </w:r>
      <w:r w:rsidR="005F40A0">
        <w:rPr>
          <w:rFonts w:asciiTheme="majorBidi" w:eastAsia="Calibri" w:hAnsiTheme="majorBidi" w:cstheme="majorBidi"/>
          <w:sz w:val="24"/>
          <w:szCs w:val="24"/>
        </w:rPr>
        <w:t xml:space="preserve"> since then </w:t>
      </w:r>
      <w:r w:rsidR="00C27712">
        <w:rPr>
          <w:rFonts w:asciiTheme="majorBidi" w:eastAsia="Calibri" w:hAnsiTheme="majorBidi" w:cstheme="majorBidi"/>
          <w:sz w:val="24"/>
          <w:szCs w:val="24"/>
        </w:rPr>
        <w:t xml:space="preserve">may have severely affected production in the biofuel industry and consequently reduced the risk transfer between oil and </w:t>
      </w:r>
      <w:r w:rsidR="005F40A0">
        <w:rPr>
          <w:rFonts w:asciiTheme="majorBidi" w:eastAsia="Calibri" w:hAnsiTheme="majorBidi" w:cstheme="majorBidi"/>
          <w:sz w:val="24"/>
          <w:szCs w:val="24"/>
        </w:rPr>
        <w:t>agricultural commodities</w:t>
      </w:r>
      <w:r w:rsidR="00C27712">
        <w:rPr>
          <w:rFonts w:asciiTheme="majorBidi" w:eastAsia="Calibri" w:hAnsiTheme="majorBidi" w:cstheme="majorBidi"/>
          <w:sz w:val="24"/>
          <w:szCs w:val="24"/>
        </w:rPr>
        <w:t>.</w:t>
      </w:r>
      <w:r w:rsidR="00C27712">
        <w:rPr>
          <w:rStyle w:val="FootnoteReference"/>
          <w:rFonts w:asciiTheme="majorBidi" w:eastAsia="Calibri" w:hAnsiTheme="majorBidi"/>
          <w:sz w:val="24"/>
          <w:szCs w:val="24"/>
        </w:rPr>
        <w:footnoteReference w:id="23"/>
      </w:r>
    </w:p>
    <w:p w:rsidR="003E4BA2" w:rsidRDefault="00DE5165" w:rsidP="00E37DCE">
      <w:pPr>
        <w:spacing w:after="0" w:line="480" w:lineRule="auto"/>
        <w:ind w:firstLine="284"/>
        <w:jc w:val="both"/>
        <w:rPr>
          <w:rFonts w:asciiTheme="majorBidi" w:hAnsiTheme="majorBidi" w:cstheme="majorBidi"/>
          <w:noProof/>
          <w:sz w:val="24"/>
          <w:szCs w:val="24"/>
        </w:rPr>
      </w:pPr>
      <w:r>
        <w:rPr>
          <w:rFonts w:asciiTheme="majorBidi" w:eastAsia="Calibri" w:hAnsiTheme="majorBidi" w:cstheme="majorBidi"/>
          <w:sz w:val="24"/>
          <w:szCs w:val="24"/>
        </w:rPr>
        <w:t xml:space="preserve"> </w:t>
      </w:r>
      <w:r w:rsidR="00763F0F" w:rsidRPr="00763F0F">
        <w:rPr>
          <w:rFonts w:asciiTheme="majorBidi" w:hAnsiTheme="majorBidi" w:cstheme="majorBidi"/>
          <w:noProof/>
          <w:sz w:val="24"/>
          <w:szCs w:val="24"/>
        </w:rPr>
        <w:t xml:space="preserve">In the </w:t>
      </w:r>
      <w:r w:rsidR="00763F0F" w:rsidRPr="007C3582">
        <w:rPr>
          <w:rFonts w:asciiTheme="majorBidi" w:eastAsia="Calibri" w:hAnsiTheme="majorBidi" w:cstheme="majorBidi"/>
          <w:sz w:val="24"/>
          <w:szCs w:val="24"/>
        </w:rPr>
        <w:t>system</w:t>
      </w:r>
      <w:r w:rsidR="00763F0F" w:rsidRPr="00763F0F">
        <w:rPr>
          <w:rFonts w:asciiTheme="majorBidi" w:hAnsiTheme="majorBidi" w:cstheme="majorBidi"/>
          <w:noProof/>
          <w:sz w:val="24"/>
          <w:szCs w:val="24"/>
        </w:rPr>
        <w:t xml:space="preserve"> of </w:t>
      </w:r>
      <w:r w:rsidR="00763F0F">
        <w:rPr>
          <w:rFonts w:asciiTheme="majorBidi" w:hAnsiTheme="majorBidi" w:cstheme="majorBidi"/>
          <w:noProof/>
          <w:sz w:val="24"/>
          <w:szCs w:val="24"/>
        </w:rPr>
        <w:t>markets that</w:t>
      </w:r>
      <w:r w:rsidR="00763F0F" w:rsidRPr="00763F0F">
        <w:rPr>
          <w:rFonts w:asciiTheme="majorBidi" w:hAnsiTheme="majorBidi" w:cstheme="majorBidi"/>
          <w:noProof/>
          <w:sz w:val="24"/>
          <w:szCs w:val="24"/>
        </w:rPr>
        <w:t xml:space="preserve"> we have</w:t>
      </w:r>
      <w:r w:rsidR="00763F0F">
        <w:rPr>
          <w:rFonts w:asciiTheme="majorBidi" w:hAnsiTheme="majorBidi" w:cstheme="majorBidi"/>
          <w:noProof/>
          <w:sz w:val="24"/>
          <w:szCs w:val="24"/>
        </w:rPr>
        <w:t>, oil</w:t>
      </w:r>
      <w:r w:rsidR="00AD6DDB">
        <w:rPr>
          <w:rFonts w:asciiTheme="majorBidi" w:hAnsiTheme="majorBidi" w:cstheme="majorBidi"/>
          <w:noProof/>
          <w:sz w:val="24"/>
          <w:szCs w:val="24"/>
        </w:rPr>
        <w:t xml:space="preserve">, gold and wheat are </w:t>
      </w:r>
      <w:r w:rsidR="00EE08DF">
        <w:rPr>
          <w:rFonts w:asciiTheme="majorBidi" w:hAnsiTheme="majorBidi" w:cstheme="majorBidi"/>
          <w:noProof/>
          <w:sz w:val="24"/>
          <w:szCs w:val="24"/>
        </w:rPr>
        <w:t xml:space="preserve">found to be </w:t>
      </w:r>
      <w:r w:rsidR="00763F0F">
        <w:rPr>
          <w:rFonts w:asciiTheme="majorBidi" w:hAnsiTheme="majorBidi" w:cstheme="majorBidi"/>
          <w:noProof/>
          <w:sz w:val="24"/>
          <w:szCs w:val="24"/>
        </w:rPr>
        <w:t>net contributor</w:t>
      </w:r>
      <w:r w:rsidR="00AD6DDB">
        <w:rPr>
          <w:rFonts w:asciiTheme="majorBidi" w:hAnsiTheme="majorBidi" w:cstheme="majorBidi"/>
          <w:noProof/>
          <w:sz w:val="24"/>
          <w:szCs w:val="24"/>
        </w:rPr>
        <w:t xml:space="preserve">s to </w:t>
      </w:r>
      <w:r w:rsidR="00A4473F">
        <w:rPr>
          <w:rFonts w:asciiTheme="majorBidi" w:hAnsiTheme="majorBidi" w:cstheme="majorBidi"/>
          <w:noProof/>
          <w:sz w:val="24"/>
          <w:szCs w:val="24"/>
        </w:rPr>
        <w:t xml:space="preserve">all </w:t>
      </w:r>
      <w:r w:rsidR="00AD6DDB">
        <w:rPr>
          <w:rFonts w:asciiTheme="majorBidi" w:hAnsiTheme="majorBidi" w:cstheme="majorBidi"/>
          <w:noProof/>
          <w:sz w:val="24"/>
          <w:szCs w:val="24"/>
        </w:rPr>
        <w:t>other</w:t>
      </w:r>
      <w:r w:rsidR="00EE08DF">
        <w:rPr>
          <w:rFonts w:asciiTheme="majorBidi" w:hAnsiTheme="majorBidi" w:cstheme="majorBidi"/>
          <w:noProof/>
          <w:sz w:val="24"/>
          <w:szCs w:val="24"/>
        </w:rPr>
        <w:t>s</w:t>
      </w:r>
      <w:r w:rsidR="00AD6DDB">
        <w:rPr>
          <w:rFonts w:asciiTheme="majorBidi" w:hAnsiTheme="majorBidi" w:cstheme="majorBidi"/>
          <w:noProof/>
          <w:sz w:val="24"/>
          <w:szCs w:val="24"/>
        </w:rPr>
        <w:t xml:space="preserve">. </w:t>
      </w:r>
      <w:r w:rsidR="00763F0F" w:rsidRPr="00763F0F">
        <w:rPr>
          <w:rFonts w:asciiTheme="majorBidi" w:hAnsiTheme="majorBidi" w:cstheme="majorBidi"/>
          <w:noProof/>
          <w:sz w:val="24"/>
          <w:szCs w:val="24"/>
        </w:rPr>
        <w:t>The</w:t>
      </w:r>
      <w:r w:rsidR="00AD6DDB">
        <w:rPr>
          <w:rFonts w:asciiTheme="majorBidi" w:hAnsiTheme="majorBidi" w:cstheme="majorBidi"/>
          <w:noProof/>
          <w:sz w:val="24"/>
          <w:szCs w:val="24"/>
        </w:rPr>
        <w:t xml:space="preserve"> total</w:t>
      </w:r>
      <w:r w:rsidR="00763F0F" w:rsidRPr="00763F0F">
        <w:rPr>
          <w:rFonts w:asciiTheme="majorBidi" w:hAnsiTheme="majorBidi" w:cstheme="majorBidi"/>
          <w:noProof/>
          <w:sz w:val="24"/>
          <w:szCs w:val="24"/>
        </w:rPr>
        <w:t xml:space="preserve"> </w:t>
      </w:r>
      <w:r w:rsidR="00AD6DDB">
        <w:rPr>
          <w:rFonts w:asciiTheme="majorBidi" w:hAnsiTheme="majorBidi" w:cstheme="majorBidi"/>
          <w:noProof/>
          <w:sz w:val="24"/>
          <w:szCs w:val="24"/>
        </w:rPr>
        <w:t xml:space="preserve">directional </w:t>
      </w:r>
      <w:r w:rsidR="00763F0F" w:rsidRPr="00763F0F">
        <w:rPr>
          <w:rFonts w:asciiTheme="majorBidi" w:hAnsiTheme="majorBidi" w:cstheme="majorBidi"/>
          <w:noProof/>
          <w:sz w:val="24"/>
          <w:szCs w:val="24"/>
        </w:rPr>
        <w:t>net connectedness</w:t>
      </w:r>
      <w:r w:rsidR="00072C02">
        <w:rPr>
          <w:rFonts w:asciiTheme="majorBidi" w:hAnsiTheme="majorBidi" w:cstheme="majorBidi"/>
          <w:noProof/>
          <w:sz w:val="24"/>
          <w:szCs w:val="24"/>
        </w:rPr>
        <w:t xml:space="preserve"> </w:t>
      </w:r>
      <w:r w:rsidR="00763F0F" w:rsidRPr="00763F0F">
        <w:rPr>
          <w:rFonts w:asciiTheme="majorBidi" w:hAnsiTheme="majorBidi" w:cstheme="majorBidi"/>
          <w:noProof/>
          <w:sz w:val="24"/>
          <w:szCs w:val="24"/>
        </w:rPr>
        <w:t xml:space="preserve">of </w:t>
      </w:r>
      <w:r w:rsidR="00EE08DF">
        <w:rPr>
          <w:rFonts w:asciiTheme="majorBidi" w:hAnsiTheme="majorBidi" w:cstheme="majorBidi"/>
          <w:noProof/>
          <w:sz w:val="24"/>
          <w:szCs w:val="24"/>
        </w:rPr>
        <w:t xml:space="preserve">oil, </w:t>
      </w:r>
      <w:r w:rsidR="00AD6DDB">
        <w:rPr>
          <w:rFonts w:asciiTheme="majorBidi" w:hAnsiTheme="majorBidi" w:cstheme="majorBidi"/>
          <w:noProof/>
          <w:sz w:val="24"/>
          <w:szCs w:val="24"/>
        </w:rPr>
        <w:t xml:space="preserve">gold and </w:t>
      </w:r>
      <w:r w:rsidR="00EE08DF">
        <w:rPr>
          <w:rFonts w:asciiTheme="majorBidi" w:hAnsiTheme="majorBidi" w:cstheme="majorBidi"/>
          <w:noProof/>
          <w:sz w:val="24"/>
          <w:szCs w:val="24"/>
        </w:rPr>
        <w:t>w</w:t>
      </w:r>
      <w:r w:rsidR="00AD6DDB">
        <w:rPr>
          <w:rFonts w:asciiTheme="majorBidi" w:hAnsiTheme="majorBidi" w:cstheme="majorBidi"/>
          <w:noProof/>
          <w:sz w:val="24"/>
          <w:szCs w:val="24"/>
        </w:rPr>
        <w:t>heat</w:t>
      </w:r>
      <w:r w:rsidR="000473C1">
        <w:rPr>
          <w:rFonts w:asciiTheme="majorBidi" w:hAnsiTheme="majorBidi" w:cstheme="majorBidi"/>
          <w:noProof/>
          <w:sz w:val="24"/>
          <w:szCs w:val="24"/>
        </w:rPr>
        <w:t xml:space="preserve"> </w:t>
      </w:r>
      <w:r w:rsidR="00763F0F" w:rsidRPr="00763F0F">
        <w:rPr>
          <w:rFonts w:asciiTheme="majorBidi" w:hAnsiTheme="majorBidi" w:cstheme="majorBidi"/>
          <w:noProof/>
          <w:sz w:val="24"/>
          <w:szCs w:val="24"/>
        </w:rPr>
        <w:t xml:space="preserve">with all other markets is </w:t>
      </w:r>
      <w:r w:rsidR="00763F0F">
        <w:rPr>
          <w:rFonts w:asciiTheme="majorBidi" w:hAnsiTheme="majorBidi" w:cstheme="majorBidi"/>
          <w:noProof/>
          <w:sz w:val="24"/>
          <w:szCs w:val="24"/>
        </w:rPr>
        <w:t>55</w:t>
      </w:r>
      <w:r w:rsidR="00763F0F" w:rsidRPr="00763F0F">
        <w:rPr>
          <w:rFonts w:asciiTheme="majorBidi" w:hAnsiTheme="majorBidi" w:cstheme="majorBidi"/>
          <w:noProof/>
          <w:sz w:val="24"/>
          <w:szCs w:val="24"/>
        </w:rPr>
        <w:t>%</w:t>
      </w:r>
      <w:r w:rsidR="00AD6DDB">
        <w:rPr>
          <w:rFonts w:asciiTheme="majorBidi" w:hAnsiTheme="majorBidi" w:cstheme="majorBidi"/>
          <w:noProof/>
          <w:sz w:val="24"/>
          <w:szCs w:val="24"/>
        </w:rPr>
        <w:t>, 41% and 31% respectively</w:t>
      </w:r>
      <w:r w:rsidR="00072C02">
        <w:rPr>
          <w:rFonts w:asciiTheme="majorBidi" w:hAnsiTheme="majorBidi" w:cstheme="majorBidi"/>
          <w:noProof/>
          <w:sz w:val="24"/>
          <w:szCs w:val="24"/>
        </w:rPr>
        <w:t xml:space="preserve"> </w:t>
      </w:r>
      <w:r w:rsidR="00AD6DDB">
        <w:rPr>
          <w:rFonts w:asciiTheme="majorBidi" w:hAnsiTheme="majorBidi" w:cstheme="majorBidi"/>
          <w:noProof/>
          <w:sz w:val="24"/>
          <w:szCs w:val="24"/>
        </w:rPr>
        <w:t>.</w:t>
      </w:r>
      <w:r w:rsidR="00E55220">
        <w:rPr>
          <w:rFonts w:asciiTheme="majorBidi" w:hAnsiTheme="majorBidi" w:cstheme="majorBidi"/>
          <w:noProof/>
          <w:sz w:val="24"/>
          <w:szCs w:val="24"/>
        </w:rPr>
        <w:t xml:space="preserve"> Finally, t</w:t>
      </w:r>
      <w:r w:rsidR="00E55220" w:rsidRPr="00E55220">
        <w:rPr>
          <w:rFonts w:asciiTheme="majorBidi" w:hAnsiTheme="majorBidi" w:cstheme="majorBidi"/>
          <w:noProof/>
          <w:sz w:val="24"/>
          <w:szCs w:val="24"/>
        </w:rPr>
        <w:t>he total connectedness of implied volatilit</w:t>
      </w:r>
      <w:r w:rsidR="00E55220">
        <w:rPr>
          <w:rFonts w:asciiTheme="majorBidi" w:hAnsiTheme="majorBidi" w:cstheme="majorBidi"/>
          <w:noProof/>
          <w:sz w:val="24"/>
          <w:szCs w:val="24"/>
        </w:rPr>
        <w:t>ies</w:t>
      </w:r>
      <w:r w:rsidR="00E55220" w:rsidRPr="00E55220">
        <w:rPr>
          <w:rFonts w:asciiTheme="majorBidi" w:hAnsiTheme="majorBidi" w:cstheme="majorBidi"/>
          <w:noProof/>
          <w:sz w:val="24"/>
          <w:szCs w:val="24"/>
        </w:rPr>
        <w:t xml:space="preserve"> that is reported in the lower right corner of </w:t>
      </w:r>
      <w:r w:rsidR="00845C8D">
        <w:rPr>
          <w:rFonts w:asciiTheme="majorBidi" w:hAnsiTheme="majorBidi" w:cstheme="majorBidi"/>
          <w:noProof/>
          <w:sz w:val="24"/>
          <w:szCs w:val="24"/>
        </w:rPr>
        <w:t>T</w:t>
      </w:r>
      <w:r w:rsidR="00E55220" w:rsidRPr="00E55220">
        <w:rPr>
          <w:rFonts w:asciiTheme="majorBidi" w:hAnsiTheme="majorBidi" w:cstheme="majorBidi"/>
          <w:noProof/>
          <w:sz w:val="24"/>
          <w:szCs w:val="24"/>
        </w:rPr>
        <w:t>able</w:t>
      </w:r>
      <w:r w:rsidR="00E55220">
        <w:rPr>
          <w:rFonts w:asciiTheme="majorBidi" w:hAnsiTheme="majorBidi" w:cstheme="majorBidi"/>
          <w:noProof/>
          <w:sz w:val="24"/>
          <w:szCs w:val="24"/>
        </w:rPr>
        <w:t xml:space="preserve"> 3</w:t>
      </w:r>
      <w:r w:rsidR="00E55220" w:rsidRPr="00E55220">
        <w:rPr>
          <w:rFonts w:asciiTheme="majorBidi" w:hAnsiTheme="majorBidi" w:cstheme="majorBidi"/>
          <w:noProof/>
          <w:sz w:val="24"/>
          <w:szCs w:val="24"/>
        </w:rPr>
        <w:t xml:space="preserve"> is </w:t>
      </w:r>
      <w:r w:rsidR="00E55220">
        <w:rPr>
          <w:rFonts w:asciiTheme="majorBidi" w:hAnsiTheme="majorBidi" w:cstheme="majorBidi"/>
          <w:noProof/>
          <w:sz w:val="24"/>
          <w:szCs w:val="24"/>
        </w:rPr>
        <w:t>27.5</w:t>
      </w:r>
      <w:r w:rsidR="00E55220" w:rsidRPr="00E55220">
        <w:rPr>
          <w:rFonts w:asciiTheme="majorBidi" w:hAnsiTheme="majorBidi" w:cstheme="majorBidi"/>
          <w:noProof/>
          <w:sz w:val="24"/>
          <w:szCs w:val="24"/>
        </w:rPr>
        <w:t>%</w:t>
      </w:r>
      <w:r w:rsidR="00845C8D">
        <w:rPr>
          <w:rFonts w:asciiTheme="majorBidi" w:hAnsiTheme="majorBidi" w:cstheme="majorBidi"/>
          <w:noProof/>
          <w:sz w:val="24"/>
          <w:szCs w:val="24"/>
        </w:rPr>
        <w:t>.</w:t>
      </w:r>
      <w:r w:rsidR="000473C1">
        <w:rPr>
          <w:rFonts w:asciiTheme="majorBidi" w:hAnsiTheme="majorBidi" w:cstheme="majorBidi"/>
          <w:noProof/>
          <w:sz w:val="24"/>
          <w:szCs w:val="24"/>
        </w:rPr>
        <w:t xml:space="preserve"> </w:t>
      </w:r>
      <w:r w:rsidR="00845C8D">
        <w:rPr>
          <w:rFonts w:asciiTheme="majorBidi" w:hAnsiTheme="majorBidi" w:cstheme="majorBidi"/>
          <w:noProof/>
          <w:sz w:val="24"/>
          <w:szCs w:val="24"/>
        </w:rPr>
        <w:t>T</w:t>
      </w:r>
      <w:r w:rsidR="00A4473F">
        <w:rPr>
          <w:rFonts w:asciiTheme="majorBidi" w:hAnsiTheme="majorBidi" w:cstheme="majorBidi"/>
          <w:noProof/>
          <w:sz w:val="24"/>
          <w:szCs w:val="24"/>
        </w:rPr>
        <w:t>hus</w:t>
      </w:r>
      <w:r w:rsidR="00845C8D">
        <w:rPr>
          <w:rFonts w:asciiTheme="majorBidi" w:hAnsiTheme="majorBidi" w:cstheme="majorBidi"/>
          <w:noProof/>
          <w:sz w:val="24"/>
          <w:szCs w:val="24"/>
        </w:rPr>
        <w:t>,</w:t>
      </w:r>
      <w:r w:rsidR="00A4473F">
        <w:rPr>
          <w:rFonts w:asciiTheme="majorBidi" w:hAnsiTheme="majorBidi" w:cstheme="majorBidi"/>
          <w:noProof/>
          <w:sz w:val="24"/>
          <w:szCs w:val="24"/>
        </w:rPr>
        <w:t xml:space="preserve"> </w:t>
      </w:r>
      <w:r w:rsidR="00EE08DF">
        <w:rPr>
          <w:rFonts w:asciiTheme="majorBidi" w:hAnsiTheme="majorBidi" w:cstheme="majorBidi"/>
          <w:noProof/>
          <w:sz w:val="24"/>
          <w:szCs w:val="24"/>
        </w:rPr>
        <w:t>around one quarter of the system shocks is due to shocks</w:t>
      </w:r>
      <w:r w:rsidR="001307ED">
        <w:rPr>
          <w:rFonts w:asciiTheme="majorBidi" w:hAnsiTheme="majorBidi" w:cstheme="majorBidi"/>
          <w:noProof/>
          <w:sz w:val="24"/>
          <w:szCs w:val="24"/>
        </w:rPr>
        <w:t xml:space="preserve"> that em</w:t>
      </w:r>
      <w:r w:rsidR="00CD09F4">
        <w:rPr>
          <w:rFonts w:asciiTheme="majorBidi" w:hAnsiTheme="majorBidi" w:cstheme="majorBidi"/>
          <w:noProof/>
          <w:sz w:val="24"/>
          <w:szCs w:val="24"/>
        </w:rPr>
        <w:t>a</w:t>
      </w:r>
      <w:r w:rsidR="001307ED">
        <w:rPr>
          <w:rFonts w:asciiTheme="majorBidi" w:hAnsiTheme="majorBidi" w:cstheme="majorBidi"/>
          <w:noProof/>
          <w:sz w:val="24"/>
          <w:szCs w:val="24"/>
        </w:rPr>
        <w:t xml:space="preserve">nate </w:t>
      </w:r>
      <w:r w:rsidR="00EE08DF">
        <w:rPr>
          <w:rFonts w:asciiTheme="majorBidi" w:hAnsiTheme="majorBidi" w:cstheme="majorBidi"/>
          <w:noProof/>
          <w:sz w:val="24"/>
          <w:szCs w:val="24"/>
        </w:rPr>
        <w:t xml:space="preserve">from other markets while </w:t>
      </w:r>
      <w:r w:rsidR="00452915">
        <w:rPr>
          <w:rFonts w:asciiTheme="majorBidi" w:hAnsiTheme="majorBidi" w:cstheme="majorBidi"/>
          <w:noProof/>
          <w:sz w:val="24"/>
          <w:szCs w:val="24"/>
        </w:rPr>
        <w:t xml:space="preserve">three quarters </w:t>
      </w:r>
      <w:r w:rsidR="000473C1">
        <w:rPr>
          <w:rFonts w:asciiTheme="majorBidi" w:hAnsiTheme="majorBidi" w:cstheme="majorBidi"/>
          <w:noProof/>
          <w:sz w:val="24"/>
          <w:szCs w:val="24"/>
        </w:rPr>
        <w:t xml:space="preserve">are </w:t>
      </w:r>
      <w:r w:rsidR="001307ED">
        <w:rPr>
          <w:rFonts w:asciiTheme="majorBidi" w:hAnsiTheme="majorBidi" w:cstheme="majorBidi"/>
          <w:noProof/>
          <w:sz w:val="24"/>
          <w:szCs w:val="24"/>
        </w:rPr>
        <w:t xml:space="preserve">due to </w:t>
      </w:r>
      <w:r w:rsidR="00452915">
        <w:rPr>
          <w:rFonts w:asciiTheme="majorBidi" w:hAnsiTheme="majorBidi" w:cstheme="majorBidi"/>
          <w:noProof/>
          <w:sz w:val="24"/>
          <w:szCs w:val="24"/>
        </w:rPr>
        <w:t xml:space="preserve">own shocks. </w:t>
      </w:r>
      <w:r w:rsidR="000473C1">
        <w:rPr>
          <w:rFonts w:asciiTheme="majorBidi" w:hAnsiTheme="majorBidi" w:cstheme="majorBidi"/>
          <w:noProof/>
          <w:sz w:val="24"/>
          <w:szCs w:val="24"/>
        </w:rPr>
        <w:t>Th</w:t>
      </w:r>
      <w:r w:rsidR="00EE08DF">
        <w:rPr>
          <w:rFonts w:asciiTheme="majorBidi" w:hAnsiTheme="majorBidi" w:cstheme="majorBidi"/>
          <w:noProof/>
          <w:sz w:val="24"/>
          <w:szCs w:val="24"/>
        </w:rPr>
        <w:t>is</w:t>
      </w:r>
      <w:r w:rsidR="000473C1">
        <w:rPr>
          <w:rFonts w:asciiTheme="majorBidi" w:hAnsiTheme="majorBidi" w:cstheme="majorBidi"/>
          <w:noProof/>
          <w:sz w:val="24"/>
          <w:szCs w:val="24"/>
        </w:rPr>
        <w:t xml:space="preserve"> is relatively high compared to the total connectedness measure</w:t>
      </w:r>
      <w:r w:rsidR="00072C02">
        <w:rPr>
          <w:rFonts w:asciiTheme="majorBidi" w:hAnsiTheme="majorBidi" w:cstheme="majorBidi"/>
          <w:noProof/>
          <w:sz w:val="24"/>
          <w:szCs w:val="24"/>
        </w:rPr>
        <w:t>s</w:t>
      </w:r>
      <w:r w:rsidR="000473C1">
        <w:rPr>
          <w:rFonts w:asciiTheme="majorBidi" w:hAnsiTheme="majorBidi" w:cstheme="majorBidi"/>
          <w:noProof/>
          <w:sz w:val="24"/>
          <w:szCs w:val="24"/>
        </w:rPr>
        <w:t xml:space="preserve"> reported by Diebold and Yilmaz</w:t>
      </w:r>
      <w:r w:rsidR="00EE08DF">
        <w:rPr>
          <w:rFonts w:asciiTheme="majorBidi" w:hAnsiTheme="majorBidi" w:cstheme="majorBidi"/>
          <w:noProof/>
          <w:sz w:val="24"/>
          <w:szCs w:val="24"/>
        </w:rPr>
        <w:t xml:space="preserve"> (2010).</w:t>
      </w:r>
      <w:r w:rsidR="00EE08DF">
        <w:rPr>
          <w:rStyle w:val="FootnoteReference"/>
          <w:rFonts w:asciiTheme="majorBidi" w:hAnsiTheme="majorBidi"/>
          <w:noProof/>
          <w:sz w:val="24"/>
          <w:szCs w:val="24"/>
        </w:rPr>
        <w:footnoteReference w:id="24"/>
      </w:r>
      <w:r w:rsidR="00EE08DF">
        <w:rPr>
          <w:rFonts w:asciiTheme="majorBidi" w:hAnsiTheme="majorBidi" w:cstheme="majorBidi"/>
          <w:noProof/>
          <w:sz w:val="24"/>
          <w:szCs w:val="24"/>
        </w:rPr>
        <w:t xml:space="preserve"> </w:t>
      </w:r>
    </w:p>
    <w:p w:rsidR="008D18B4" w:rsidRPr="008D18B4" w:rsidRDefault="00CD09F4" w:rsidP="00E37DCE">
      <w:pPr>
        <w:spacing w:after="0" w:line="480" w:lineRule="auto"/>
        <w:ind w:firstLine="284"/>
        <w:jc w:val="center"/>
        <w:rPr>
          <w:rFonts w:asciiTheme="majorBidi" w:hAnsiTheme="majorBidi" w:cstheme="majorBidi"/>
          <w:b/>
          <w:bCs/>
          <w:noProof/>
          <w:sz w:val="24"/>
          <w:szCs w:val="24"/>
        </w:rPr>
      </w:pPr>
      <w:r>
        <w:rPr>
          <w:rFonts w:asciiTheme="majorBidi" w:hAnsiTheme="majorBidi" w:cstheme="majorBidi"/>
          <w:b/>
          <w:bCs/>
          <w:noProof/>
          <w:sz w:val="24"/>
          <w:szCs w:val="24"/>
        </w:rPr>
        <w:t>[</w:t>
      </w:r>
      <w:r w:rsidR="008D18B4" w:rsidRPr="008D18B4">
        <w:rPr>
          <w:rFonts w:asciiTheme="majorBidi" w:hAnsiTheme="majorBidi" w:cstheme="majorBidi"/>
          <w:b/>
          <w:bCs/>
          <w:noProof/>
          <w:sz w:val="24"/>
          <w:szCs w:val="24"/>
        </w:rPr>
        <w:t xml:space="preserve">INSERT TABLE </w:t>
      </w:r>
      <w:r w:rsidR="00BA6F1B">
        <w:rPr>
          <w:rFonts w:asciiTheme="majorBidi" w:hAnsiTheme="majorBidi" w:cstheme="majorBidi"/>
          <w:b/>
          <w:bCs/>
          <w:noProof/>
          <w:sz w:val="24"/>
          <w:szCs w:val="24"/>
        </w:rPr>
        <w:t>4</w:t>
      </w:r>
      <w:r>
        <w:rPr>
          <w:rFonts w:asciiTheme="majorBidi" w:hAnsiTheme="majorBidi" w:cstheme="majorBidi"/>
          <w:b/>
          <w:bCs/>
          <w:noProof/>
          <w:sz w:val="24"/>
          <w:szCs w:val="24"/>
        </w:rPr>
        <w:t>]</w:t>
      </w:r>
    </w:p>
    <w:p w:rsidR="000444BA" w:rsidRDefault="00DD6369" w:rsidP="000444BA">
      <w:pPr>
        <w:contextualSpacing/>
        <w:rPr>
          <w:rFonts w:asciiTheme="majorBidi" w:hAnsiTheme="majorBidi" w:cstheme="majorBidi"/>
          <w:b/>
          <w:bCs/>
          <w:sz w:val="24"/>
          <w:szCs w:val="24"/>
        </w:rPr>
      </w:pPr>
      <w:r w:rsidRPr="00F1187F">
        <w:rPr>
          <w:rFonts w:asciiTheme="majorBidi" w:eastAsia="Calibri" w:hAnsiTheme="majorBidi" w:cstheme="majorBidi"/>
          <w:b/>
          <w:bCs/>
          <w:sz w:val="24"/>
          <w:szCs w:val="24"/>
        </w:rPr>
        <w:t>5</w:t>
      </w:r>
      <w:r w:rsidR="000444BA" w:rsidRPr="00F1187F">
        <w:rPr>
          <w:rFonts w:asciiTheme="majorBidi" w:hAnsiTheme="majorBidi" w:cstheme="majorBidi"/>
          <w:b/>
          <w:bCs/>
          <w:sz w:val="24"/>
          <w:szCs w:val="24"/>
        </w:rPr>
        <w:t>.2 Dynamic volatility connectedness analysis</w:t>
      </w:r>
    </w:p>
    <w:p w:rsidR="00C05015" w:rsidRPr="000444BA" w:rsidRDefault="00C05015" w:rsidP="000444BA">
      <w:pPr>
        <w:contextualSpacing/>
        <w:rPr>
          <w:rFonts w:asciiTheme="majorBidi" w:hAnsiTheme="majorBidi" w:cstheme="majorBidi"/>
          <w:b/>
          <w:bCs/>
          <w:sz w:val="24"/>
          <w:szCs w:val="24"/>
        </w:rPr>
      </w:pPr>
    </w:p>
    <w:p w:rsidR="009F0A6C" w:rsidRDefault="00E76D33" w:rsidP="00F1187F">
      <w:pPr>
        <w:spacing w:line="480" w:lineRule="auto"/>
        <w:ind w:firstLine="284"/>
        <w:jc w:val="both"/>
        <w:rPr>
          <w:rFonts w:asciiTheme="majorBidi" w:hAnsiTheme="majorBidi" w:cstheme="majorBidi"/>
          <w:noProof/>
          <w:sz w:val="24"/>
          <w:szCs w:val="24"/>
        </w:rPr>
      </w:pPr>
      <w:r>
        <w:rPr>
          <w:rFonts w:asciiTheme="majorBidi" w:eastAsia="Calibri" w:hAnsiTheme="majorBidi" w:cstheme="majorBidi"/>
          <w:sz w:val="24"/>
          <w:szCs w:val="24"/>
        </w:rPr>
        <w:t xml:space="preserve"> </w:t>
      </w:r>
      <w:r w:rsidR="00C05015" w:rsidRPr="00C05015">
        <w:rPr>
          <w:rFonts w:asciiTheme="majorBidi" w:hAnsiTheme="majorBidi" w:cstheme="majorBidi"/>
          <w:noProof/>
          <w:sz w:val="24"/>
          <w:szCs w:val="24"/>
        </w:rPr>
        <w:t xml:space="preserve">Figure </w:t>
      </w:r>
      <w:r w:rsidR="00543F40">
        <w:rPr>
          <w:rFonts w:asciiTheme="majorBidi" w:hAnsiTheme="majorBidi" w:cstheme="majorBidi"/>
          <w:noProof/>
          <w:sz w:val="24"/>
          <w:szCs w:val="24"/>
        </w:rPr>
        <w:t>3</w:t>
      </w:r>
      <w:r w:rsidR="00C05015" w:rsidRPr="00C05015">
        <w:rPr>
          <w:rFonts w:asciiTheme="majorBidi" w:hAnsiTheme="majorBidi" w:cstheme="majorBidi"/>
          <w:noProof/>
          <w:sz w:val="24"/>
          <w:szCs w:val="24"/>
        </w:rPr>
        <w:t xml:space="preserve"> plots the total volatility connectedness </w:t>
      </w:r>
      <w:r w:rsidR="00F1187F">
        <w:rPr>
          <w:rFonts w:asciiTheme="majorBidi" w:hAnsiTheme="majorBidi" w:cstheme="majorBidi"/>
          <w:noProof/>
          <w:sz w:val="24"/>
          <w:szCs w:val="24"/>
        </w:rPr>
        <w:t xml:space="preserve">using </w:t>
      </w:r>
      <w:r w:rsidR="00C05015" w:rsidRPr="00C05015">
        <w:rPr>
          <w:rFonts w:asciiTheme="majorBidi" w:hAnsiTheme="majorBidi" w:cstheme="majorBidi"/>
          <w:noProof/>
          <w:sz w:val="24"/>
          <w:szCs w:val="24"/>
        </w:rPr>
        <w:t xml:space="preserve">200 days rolling sample windows. The figure </w:t>
      </w:r>
      <w:r w:rsidR="00AB091A">
        <w:rPr>
          <w:rFonts w:asciiTheme="majorBidi" w:hAnsiTheme="majorBidi" w:cstheme="majorBidi"/>
          <w:noProof/>
          <w:sz w:val="24"/>
          <w:szCs w:val="24"/>
        </w:rPr>
        <w:t xml:space="preserve">shows that </w:t>
      </w:r>
      <w:r w:rsidR="003E0C23">
        <w:rPr>
          <w:rFonts w:asciiTheme="majorBidi" w:hAnsiTheme="majorBidi" w:cstheme="majorBidi"/>
          <w:noProof/>
          <w:sz w:val="24"/>
          <w:szCs w:val="24"/>
        </w:rPr>
        <w:t xml:space="preserve">the </w:t>
      </w:r>
      <w:r w:rsidR="00AB091A">
        <w:rPr>
          <w:rFonts w:asciiTheme="majorBidi" w:hAnsiTheme="majorBidi" w:cstheme="majorBidi"/>
          <w:noProof/>
          <w:sz w:val="24"/>
          <w:szCs w:val="24"/>
        </w:rPr>
        <w:t xml:space="preserve">total connectedness of the markets is time varying over the sample period. </w:t>
      </w:r>
      <w:r w:rsidR="003E0C23">
        <w:rPr>
          <w:rFonts w:asciiTheme="majorBidi" w:hAnsiTheme="majorBidi" w:cstheme="majorBidi"/>
          <w:noProof/>
          <w:sz w:val="24"/>
          <w:szCs w:val="24"/>
        </w:rPr>
        <w:t>However, t</w:t>
      </w:r>
      <w:r w:rsidR="00AB091A">
        <w:rPr>
          <w:rFonts w:asciiTheme="majorBidi" w:hAnsiTheme="majorBidi" w:cstheme="majorBidi"/>
          <w:noProof/>
          <w:sz w:val="24"/>
          <w:szCs w:val="24"/>
        </w:rPr>
        <w:t xml:space="preserve">here is a big increase </w:t>
      </w:r>
      <w:r w:rsidR="003E0C23">
        <w:rPr>
          <w:rFonts w:asciiTheme="majorBidi" w:hAnsiTheme="majorBidi" w:cstheme="majorBidi"/>
          <w:noProof/>
          <w:sz w:val="24"/>
          <w:szCs w:val="24"/>
        </w:rPr>
        <w:t xml:space="preserve">in </w:t>
      </w:r>
      <w:r w:rsidR="00AB091A">
        <w:rPr>
          <w:rFonts w:asciiTheme="majorBidi" w:hAnsiTheme="majorBidi" w:cstheme="majorBidi"/>
          <w:noProof/>
          <w:sz w:val="24"/>
          <w:szCs w:val="24"/>
        </w:rPr>
        <w:t xml:space="preserve">total </w:t>
      </w:r>
      <w:r w:rsidR="003E0C23">
        <w:rPr>
          <w:rFonts w:asciiTheme="majorBidi" w:hAnsiTheme="majorBidi" w:cstheme="majorBidi"/>
          <w:noProof/>
          <w:sz w:val="24"/>
          <w:szCs w:val="24"/>
        </w:rPr>
        <w:t xml:space="preserve">cross </w:t>
      </w:r>
      <w:r w:rsidR="00AB091A">
        <w:rPr>
          <w:rFonts w:asciiTheme="majorBidi" w:hAnsiTheme="majorBidi" w:cstheme="majorBidi"/>
          <w:noProof/>
          <w:sz w:val="24"/>
          <w:szCs w:val="24"/>
        </w:rPr>
        <w:t>transmissions</w:t>
      </w:r>
      <w:r w:rsidR="003E0C23">
        <w:rPr>
          <w:rFonts w:asciiTheme="majorBidi" w:hAnsiTheme="majorBidi" w:cstheme="majorBidi"/>
          <w:noProof/>
          <w:sz w:val="24"/>
          <w:szCs w:val="24"/>
        </w:rPr>
        <w:t xml:space="preserve"> in July 2014, where the measure has increased </w:t>
      </w:r>
      <w:r w:rsidR="00542C59">
        <w:rPr>
          <w:rFonts w:asciiTheme="majorBidi" w:hAnsiTheme="majorBidi" w:cstheme="majorBidi"/>
          <w:noProof/>
          <w:sz w:val="24"/>
          <w:szCs w:val="24"/>
        </w:rPr>
        <w:t xml:space="preserve">from 40% </w:t>
      </w:r>
      <w:r w:rsidR="003E0C23">
        <w:rPr>
          <w:rFonts w:asciiTheme="majorBidi" w:hAnsiTheme="majorBidi" w:cstheme="majorBidi"/>
          <w:noProof/>
          <w:sz w:val="24"/>
          <w:szCs w:val="24"/>
        </w:rPr>
        <w:t xml:space="preserve">to 60%. </w:t>
      </w:r>
      <w:r w:rsidR="00F1187F">
        <w:rPr>
          <w:rFonts w:asciiTheme="majorBidi" w:hAnsiTheme="majorBidi" w:cstheme="majorBidi"/>
          <w:noProof/>
          <w:sz w:val="24"/>
          <w:szCs w:val="24"/>
        </w:rPr>
        <w:t>Later that year, c</w:t>
      </w:r>
      <w:r w:rsidR="009F0A6C">
        <w:rPr>
          <w:rFonts w:asciiTheme="majorBidi" w:hAnsiTheme="majorBidi" w:cstheme="majorBidi"/>
          <w:noProof/>
          <w:sz w:val="24"/>
          <w:szCs w:val="24"/>
        </w:rPr>
        <w:t xml:space="preserve">onnectedness </w:t>
      </w:r>
      <w:r w:rsidR="00542C59">
        <w:rPr>
          <w:rFonts w:asciiTheme="majorBidi" w:hAnsiTheme="majorBidi" w:cstheme="majorBidi"/>
          <w:noProof/>
          <w:sz w:val="24"/>
          <w:szCs w:val="24"/>
        </w:rPr>
        <w:t>reverted back to 40%</w:t>
      </w:r>
      <w:r w:rsidR="00F1187F">
        <w:rPr>
          <w:rFonts w:asciiTheme="majorBidi" w:hAnsiTheme="majorBidi" w:cstheme="majorBidi"/>
          <w:noProof/>
          <w:sz w:val="24"/>
          <w:szCs w:val="24"/>
        </w:rPr>
        <w:t>,</w:t>
      </w:r>
      <w:r w:rsidR="00542C59">
        <w:rPr>
          <w:rFonts w:asciiTheme="majorBidi" w:hAnsiTheme="majorBidi" w:cstheme="majorBidi"/>
          <w:noProof/>
          <w:sz w:val="24"/>
          <w:szCs w:val="24"/>
        </w:rPr>
        <w:t xml:space="preserve"> </w:t>
      </w:r>
      <w:r w:rsidR="009F0A6C">
        <w:rPr>
          <w:rFonts w:asciiTheme="majorBidi" w:hAnsiTheme="majorBidi" w:cstheme="majorBidi"/>
          <w:noProof/>
          <w:sz w:val="24"/>
          <w:szCs w:val="24"/>
        </w:rPr>
        <w:t xml:space="preserve">but </w:t>
      </w:r>
      <w:r w:rsidR="00542C59">
        <w:rPr>
          <w:rFonts w:asciiTheme="majorBidi" w:hAnsiTheme="majorBidi" w:cstheme="majorBidi"/>
          <w:noProof/>
          <w:sz w:val="24"/>
          <w:szCs w:val="24"/>
        </w:rPr>
        <w:t>i</w:t>
      </w:r>
      <w:r w:rsidR="009F0A6C">
        <w:rPr>
          <w:rFonts w:asciiTheme="majorBidi" w:hAnsiTheme="majorBidi" w:cstheme="majorBidi"/>
          <w:noProof/>
          <w:sz w:val="24"/>
          <w:szCs w:val="24"/>
        </w:rPr>
        <w:t xml:space="preserve">ncreased </w:t>
      </w:r>
      <w:r w:rsidR="00F1187F">
        <w:rPr>
          <w:rFonts w:asciiTheme="majorBidi" w:hAnsiTheme="majorBidi" w:cstheme="majorBidi"/>
          <w:noProof/>
          <w:sz w:val="24"/>
          <w:szCs w:val="24"/>
        </w:rPr>
        <w:t xml:space="preserve">again </w:t>
      </w:r>
      <w:r w:rsidR="009F0A6C">
        <w:rPr>
          <w:rFonts w:asciiTheme="majorBidi" w:hAnsiTheme="majorBidi" w:cstheme="majorBidi"/>
          <w:noProof/>
          <w:sz w:val="24"/>
          <w:szCs w:val="24"/>
        </w:rPr>
        <w:t xml:space="preserve">at the beginning of </w:t>
      </w:r>
      <w:r w:rsidR="00542C59">
        <w:rPr>
          <w:rFonts w:asciiTheme="majorBidi" w:hAnsiTheme="majorBidi" w:cstheme="majorBidi"/>
          <w:noProof/>
          <w:sz w:val="24"/>
          <w:szCs w:val="24"/>
        </w:rPr>
        <w:t>2015</w:t>
      </w:r>
      <w:r w:rsidR="009F0A6C">
        <w:rPr>
          <w:rFonts w:asciiTheme="majorBidi" w:hAnsiTheme="majorBidi" w:cstheme="majorBidi"/>
          <w:noProof/>
          <w:sz w:val="24"/>
          <w:szCs w:val="24"/>
        </w:rPr>
        <w:t xml:space="preserve"> before </w:t>
      </w:r>
      <w:r w:rsidR="00F1187F">
        <w:rPr>
          <w:rFonts w:asciiTheme="majorBidi" w:hAnsiTheme="majorBidi" w:cstheme="majorBidi"/>
          <w:noProof/>
          <w:sz w:val="24"/>
          <w:szCs w:val="24"/>
        </w:rPr>
        <w:t xml:space="preserve">reverting </w:t>
      </w:r>
      <w:r w:rsidR="00542C59">
        <w:rPr>
          <w:rFonts w:asciiTheme="majorBidi" w:hAnsiTheme="majorBidi" w:cstheme="majorBidi"/>
          <w:noProof/>
          <w:sz w:val="24"/>
          <w:szCs w:val="24"/>
        </w:rPr>
        <w:t xml:space="preserve">in </w:t>
      </w:r>
      <w:r w:rsidR="009F0A6C">
        <w:rPr>
          <w:rFonts w:asciiTheme="majorBidi" w:hAnsiTheme="majorBidi" w:cstheme="majorBidi"/>
          <w:noProof/>
          <w:sz w:val="24"/>
          <w:szCs w:val="24"/>
        </w:rPr>
        <w:t xml:space="preserve">March </w:t>
      </w:r>
      <w:r w:rsidR="004577C8">
        <w:rPr>
          <w:rFonts w:asciiTheme="majorBidi" w:hAnsiTheme="majorBidi" w:cstheme="majorBidi"/>
          <w:noProof/>
          <w:sz w:val="24"/>
          <w:szCs w:val="24"/>
        </w:rPr>
        <w:t xml:space="preserve">of </w:t>
      </w:r>
      <w:r w:rsidR="00542C59">
        <w:rPr>
          <w:rFonts w:asciiTheme="majorBidi" w:hAnsiTheme="majorBidi" w:cstheme="majorBidi"/>
          <w:noProof/>
          <w:sz w:val="24"/>
          <w:szCs w:val="24"/>
        </w:rPr>
        <w:t>the same year</w:t>
      </w:r>
      <w:r w:rsidR="009F0A6C">
        <w:rPr>
          <w:rFonts w:asciiTheme="majorBidi" w:hAnsiTheme="majorBidi" w:cstheme="majorBidi"/>
          <w:noProof/>
          <w:sz w:val="24"/>
          <w:szCs w:val="24"/>
        </w:rPr>
        <w:t xml:space="preserve">. </w:t>
      </w:r>
      <w:r w:rsidR="003E0C23">
        <w:rPr>
          <w:rFonts w:asciiTheme="majorBidi" w:hAnsiTheme="majorBidi" w:cstheme="majorBidi"/>
          <w:noProof/>
          <w:sz w:val="24"/>
          <w:szCs w:val="24"/>
        </w:rPr>
        <w:t xml:space="preserve">This </w:t>
      </w:r>
      <w:r w:rsidR="009F0A6C">
        <w:rPr>
          <w:rFonts w:asciiTheme="majorBidi" w:hAnsiTheme="majorBidi" w:cstheme="majorBidi"/>
          <w:noProof/>
          <w:sz w:val="24"/>
          <w:szCs w:val="24"/>
        </w:rPr>
        <w:t>period is char</w:t>
      </w:r>
      <w:r w:rsidR="00542C59">
        <w:rPr>
          <w:rFonts w:asciiTheme="majorBidi" w:hAnsiTheme="majorBidi" w:cstheme="majorBidi"/>
          <w:noProof/>
          <w:sz w:val="24"/>
          <w:szCs w:val="24"/>
        </w:rPr>
        <w:t>a</w:t>
      </w:r>
      <w:r w:rsidR="009F0A6C">
        <w:rPr>
          <w:rFonts w:asciiTheme="majorBidi" w:hAnsiTheme="majorBidi" w:cstheme="majorBidi"/>
          <w:noProof/>
          <w:sz w:val="24"/>
          <w:szCs w:val="24"/>
        </w:rPr>
        <w:t xml:space="preserve">cterized by hightened </w:t>
      </w:r>
      <w:r w:rsidR="003E0C23">
        <w:rPr>
          <w:rFonts w:asciiTheme="majorBidi" w:hAnsiTheme="majorBidi" w:cstheme="majorBidi"/>
          <w:noProof/>
          <w:sz w:val="24"/>
          <w:szCs w:val="24"/>
        </w:rPr>
        <w:t>market uncertainty regarding future prices</w:t>
      </w:r>
      <w:r w:rsidR="009F0A6C">
        <w:rPr>
          <w:rFonts w:asciiTheme="majorBidi" w:hAnsiTheme="majorBidi" w:cstheme="majorBidi"/>
          <w:noProof/>
          <w:sz w:val="24"/>
          <w:szCs w:val="24"/>
        </w:rPr>
        <w:t xml:space="preserve"> of oil</w:t>
      </w:r>
      <w:r w:rsidR="003E0C23">
        <w:rPr>
          <w:rFonts w:asciiTheme="majorBidi" w:hAnsiTheme="majorBidi" w:cstheme="majorBidi"/>
          <w:noProof/>
          <w:sz w:val="24"/>
          <w:szCs w:val="24"/>
        </w:rPr>
        <w:t>.</w:t>
      </w:r>
      <w:r w:rsidR="00542C59">
        <w:rPr>
          <w:rFonts w:asciiTheme="majorBidi" w:hAnsiTheme="majorBidi" w:cstheme="majorBidi"/>
          <w:noProof/>
          <w:sz w:val="24"/>
          <w:szCs w:val="24"/>
        </w:rPr>
        <w:t xml:space="preserve"> This uncertainty </w:t>
      </w:r>
      <w:r w:rsidR="00F1187F">
        <w:rPr>
          <w:rFonts w:asciiTheme="majorBidi" w:hAnsiTheme="majorBidi" w:cstheme="majorBidi"/>
          <w:noProof/>
          <w:sz w:val="24"/>
          <w:szCs w:val="24"/>
        </w:rPr>
        <w:t xml:space="preserve">was caused </w:t>
      </w:r>
      <w:r w:rsidR="00542C59">
        <w:rPr>
          <w:rFonts w:asciiTheme="majorBidi" w:hAnsiTheme="majorBidi" w:cstheme="majorBidi"/>
          <w:noProof/>
          <w:sz w:val="24"/>
          <w:szCs w:val="24"/>
        </w:rPr>
        <w:t xml:space="preserve">by the plentiful oil supplies due to shale production and </w:t>
      </w:r>
      <w:r w:rsidR="00672476">
        <w:rPr>
          <w:rFonts w:asciiTheme="majorBidi" w:hAnsiTheme="majorBidi" w:cstheme="majorBidi"/>
          <w:noProof/>
          <w:sz w:val="24"/>
          <w:szCs w:val="24"/>
        </w:rPr>
        <w:t xml:space="preserve">to the </w:t>
      </w:r>
      <w:r w:rsidR="004577C8">
        <w:rPr>
          <w:rFonts w:asciiTheme="majorBidi" w:hAnsiTheme="majorBidi" w:cstheme="majorBidi"/>
          <w:noProof/>
          <w:sz w:val="24"/>
          <w:szCs w:val="24"/>
        </w:rPr>
        <w:t xml:space="preserve">excess </w:t>
      </w:r>
      <w:r w:rsidR="00542C59">
        <w:rPr>
          <w:rFonts w:asciiTheme="majorBidi" w:hAnsiTheme="majorBidi" w:cstheme="majorBidi"/>
          <w:noProof/>
          <w:sz w:val="24"/>
          <w:szCs w:val="24"/>
        </w:rPr>
        <w:t>supplies</w:t>
      </w:r>
      <w:r w:rsidR="004577C8">
        <w:rPr>
          <w:rFonts w:asciiTheme="majorBidi" w:hAnsiTheme="majorBidi" w:cstheme="majorBidi"/>
          <w:noProof/>
          <w:sz w:val="24"/>
          <w:szCs w:val="24"/>
        </w:rPr>
        <w:t xml:space="preserve"> </w:t>
      </w:r>
      <w:r w:rsidR="00F1187F">
        <w:rPr>
          <w:rFonts w:asciiTheme="majorBidi" w:hAnsiTheme="majorBidi" w:cstheme="majorBidi"/>
          <w:noProof/>
          <w:sz w:val="24"/>
          <w:szCs w:val="24"/>
        </w:rPr>
        <w:t xml:space="preserve">by </w:t>
      </w:r>
      <w:r w:rsidR="004577C8">
        <w:rPr>
          <w:rFonts w:asciiTheme="majorBidi" w:hAnsiTheme="majorBidi" w:cstheme="majorBidi"/>
          <w:noProof/>
          <w:sz w:val="24"/>
          <w:szCs w:val="24"/>
        </w:rPr>
        <w:t xml:space="preserve">oil producers </w:t>
      </w:r>
      <w:r w:rsidR="00F1187F">
        <w:rPr>
          <w:rFonts w:asciiTheme="majorBidi" w:hAnsiTheme="majorBidi" w:cstheme="majorBidi"/>
          <w:noProof/>
          <w:sz w:val="24"/>
          <w:szCs w:val="24"/>
        </w:rPr>
        <w:t xml:space="preserve">who were trying </w:t>
      </w:r>
      <w:r w:rsidR="00542C59">
        <w:rPr>
          <w:rFonts w:asciiTheme="majorBidi" w:hAnsiTheme="majorBidi" w:cstheme="majorBidi"/>
          <w:noProof/>
          <w:sz w:val="24"/>
          <w:szCs w:val="24"/>
        </w:rPr>
        <w:t>to maintain their market shares</w:t>
      </w:r>
      <w:r w:rsidR="004577C8">
        <w:rPr>
          <w:rFonts w:asciiTheme="majorBidi" w:hAnsiTheme="majorBidi" w:cstheme="majorBidi"/>
          <w:noProof/>
          <w:sz w:val="24"/>
          <w:szCs w:val="24"/>
        </w:rPr>
        <w:t xml:space="preserve"> amid </w:t>
      </w:r>
      <w:r w:rsidR="00672476">
        <w:rPr>
          <w:rFonts w:asciiTheme="majorBidi" w:hAnsiTheme="majorBidi" w:cstheme="majorBidi"/>
          <w:noProof/>
          <w:sz w:val="24"/>
          <w:szCs w:val="24"/>
        </w:rPr>
        <w:t xml:space="preserve">a </w:t>
      </w:r>
      <w:r w:rsidR="004577C8">
        <w:rPr>
          <w:rFonts w:asciiTheme="majorBidi" w:hAnsiTheme="majorBidi" w:cstheme="majorBidi"/>
          <w:noProof/>
          <w:sz w:val="24"/>
          <w:szCs w:val="24"/>
        </w:rPr>
        <w:t>weak</w:t>
      </w:r>
      <w:r w:rsidR="00672476">
        <w:rPr>
          <w:rFonts w:asciiTheme="majorBidi" w:hAnsiTheme="majorBidi" w:cstheme="majorBidi"/>
          <w:noProof/>
          <w:sz w:val="24"/>
          <w:szCs w:val="24"/>
        </w:rPr>
        <w:t xml:space="preserve">ening </w:t>
      </w:r>
      <w:r w:rsidR="004577C8">
        <w:rPr>
          <w:rFonts w:asciiTheme="majorBidi" w:hAnsiTheme="majorBidi" w:cstheme="majorBidi"/>
          <w:noProof/>
          <w:sz w:val="24"/>
          <w:szCs w:val="24"/>
        </w:rPr>
        <w:t xml:space="preserve">demand </w:t>
      </w:r>
      <w:r w:rsidR="00672476">
        <w:rPr>
          <w:rFonts w:asciiTheme="majorBidi" w:hAnsiTheme="majorBidi" w:cstheme="majorBidi"/>
          <w:noProof/>
          <w:sz w:val="24"/>
          <w:szCs w:val="24"/>
        </w:rPr>
        <w:t xml:space="preserve">following </w:t>
      </w:r>
      <w:r w:rsidR="004577C8">
        <w:rPr>
          <w:rFonts w:asciiTheme="majorBidi" w:hAnsiTheme="majorBidi" w:cstheme="majorBidi"/>
          <w:noProof/>
          <w:sz w:val="24"/>
          <w:szCs w:val="24"/>
        </w:rPr>
        <w:t xml:space="preserve">the </w:t>
      </w:r>
      <w:r w:rsidR="00672476">
        <w:rPr>
          <w:rFonts w:asciiTheme="majorBidi" w:hAnsiTheme="majorBidi" w:cstheme="majorBidi"/>
          <w:noProof/>
          <w:sz w:val="24"/>
          <w:szCs w:val="24"/>
        </w:rPr>
        <w:lastRenderedPageBreak/>
        <w:t xml:space="preserve">financial crisis and the </w:t>
      </w:r>
      <w:r w:rsidR="004577C8">
        <w:rPr>
          <w:rFonts w:asciiTheme="majorBidi" w:hAnsiTheme="majorBidi" w:cstheme="majorBidi"/>
          <w:noProof/>
          <w:sz w:val="24"/>
          <w:szCs w:val="24"/>
        </w:rPr>
        <w:t xml:space="preserve">slow </w:t>
      </w:r>
      <w:r w:rsidR="002C2230">
        <w:rPr>
          <w:rFonts w:asciiTheme="majorBidi" w:hAnsiTheme="majorBidi" w:cstheme="majorBidi"/>
          <w:noProof/>
          <w:sz w:val="24"/>
          <w:szCs w:val="24"/>
        </w:rPr>
        <w:t xml:space="preserve">down </w:t>
      </w:r>
      <w:r w:rsidR="00672476">
        <w:rPr>
          <w:rFonts w:asciiTheme="majorBidi" w:hAnsiTheme="majorBidi" w:cstheme="majorBidi"/>
          <w:noProof/>
          <w:sz w:val="24"/>
          <w:szCs w:val="24"/>
        </w:rPr>
        <w:t>of</w:t>
      </w:r>
      <w:r w:rsidR="004577C8">
        <w:rPr>
          <w:rFonts w:asciiTheme="majorBidi" w:hAnsiTheme="majorBidi" w:cstheme="majorBidi"/>
          <w:noProof/>
          <w:sz w:val="24"/>
          <w:szCs w:val="24"/>
        </w:rPr>
        <w:t xml:space="preserve"> the global economy. </w:t>
      </w:r>
      <w:r w:rsidR="00672476">
        <w:rPr>
          <w:rFonts w:asciiTheme="majorBidi" w:hAnsiTheme="majorBidi" w:cstheme="majorBidi"/>
          <w:noProof/>
          <w:sz w:val="24"/>
          <w:szCs w:val="24"/>
        </w:rPr>
        <w:t>As a result, t</w:t>
      </w:r>
      <w:r w:rsidR="003E0C23">
        <w:rPr>
          <w:rFonts w:asciiTheme="majorBidi" w:hAnsiTheme="majorBidi" w:cstheme="majorBidi"/>
          <w:noProof/>
          <w:sz w:val="24"/>
          <w:szCs w:val="24"/>
        </w:rPr>
        <w:t xml:space="preserve">he </w:t>
      </w:r>
      <w:r w:rsidR="009F0A6C">
        <w:rPr>
          <w:rFonts w:asciiTheme="majorBidi" w:hAnsiTheme="majorBidi" w:cstheme="majorBidi"/>
          <w:noProof/>
          <w:sz w:val="24"/>
          <w:szCs w:val="24"/>
        </w:rPr>
        <w:t xml:space="preserve">price of </w:t>
      </w:r>
      <w:r w:rsidR="003E0C23">
        <w:rPr>
          <w:rFonts w:asciiTheme="majorBidi" w:hAnsiTheme="majorBidi" w:cstheme="majorBidi"/>
          <w:noProof/>
          <w:sz w:val="24"/>
          <w:szCs w:val="24"/>
        </w:rPr>
        <w:t>crude</w:t>
      </w:r>
      <w:r w:rsidR="00F1187F">
        <w:rPr>
          <w:rFonts w:asciiTheme="majorBidi" w:hAnsiTheme="majorBidi" w:cstheme="majorBidi"/>
          <w:noProof/>
          <w:sz w:val="24"/>
          <w:szCs w:val="24"/>
        </w:rPr>
        <w:t xml:space="preserve"> oil</w:t>
      </w:r>
      <w:r w:rsidR="003E0C23">
        <w:rPr>
          <w:rFonts w:asciiTheme="majorBidi" w:hAnsiTheme="majorBidi" w:cstheme="majorBidi"/>
          <w:noProof/>
          <w:sz w:val="24"/>
          <w:szCs w:val="24"/>
        </w:rPr>
        <w:t xml:space="preserve"> </w:t>
      </w:r>
      <w:r w:rsidR="009F0A6C">
        <w:rPr>
          <w:rFonts w:asciiTheme="majorBidi" w:hAnsiTheme="majorBidi" w:cstheme="majorBidi"/>
          <w:noProof/>
          <w:sz w:val="24"/>
          <w:szCs w:val="24"/>
        </w:rPr>
        <w:t xml:space="preserve">fell by a round 60% between late July 2014 and March 2015. The barrel </w:t>
      </w:r>
      <w:r w:rsidR="003E0C23">
        <w:rPr>
          <w:rFonts w:asciiTheme="majorBidi" w:hAnsiTheme="majorBidi" w:cstheme="majorBidi"/>
          <w:noProof/>
          <w:sz w:val="24"/>
          <w:szCs w:val="24"/>
        </w:rPr>
        <w:t xml:space="preserve">traded above $100  until the end of July 2014 </w:t>
      </w:r>
      <w:r w:rsidR="00672476">
        <w:rPr>
          <w:rFonts w:asciiTheme="majorBidi" w:hAnsiTheme="majorBidi" w:cstheme="majorBidi"/>
          <w:noProof/>
          <w:sz w:val="24"/>
          <w:szCs w:val="24"/>
        </w:rPr>
        <w:t xml:space="preserve">before collpased </w:t>
      </w:r>
      <w:r w:rsidR="003E0C23">
        <w:rPr>
          <w:rFonts w:asciiTheme="majorBidi" w:hAnsiTheme="majorBidi" w:cstheme="majorBidi"/>
          <w:noProof/>
          <w:sz w:val="24"/>
          <w:szCs w:val="24"/>
        </w:rPr>
        <w:t xml:space="preserve">to $44 by March </w:t>
      </w:r>
      <w:r w:rsidR="009F0A6C">
        <w:rPr>
          <w:rFonts w:asciiTheme="majorBidi" w:hAnsiTheme="majorBidi" w:cstheme="majorBidi"/>
          <w:noProof/>
          <w:sz w:val="24"/>
          <w:szCs w:val="24"/>
        </w:rPr>
        <w:t xml:space="preserve">2015. </w:t>
      </w:r>
    </w:p>
    <w:p w:rsidR="00D85B6D" w:rsidRPr="00D85B6D" w:rsidRDefault="007D3394" w:rsidP="00E37DCE">
      <w:pPr>
        <w:spacing w:after="0" w:line="480" w:lineRule="auto"/>
        <w:ind w:firstLine="284"/>
        <w:jc w:val="center"/>
        <w:rPr>
          <w:rFonts w:asciiTheme="majorBidi" w:hAnsiTheme="majorBidi" w:cstheme="majorBidi"/>
          <w:b/>
          <w:bCs/>
          <w:noProof/>
          <w:sz w:val="24"/>
          <w:szCs w:val="24"/>
        </w:rPr>
      </w:pPr>
      <w:r>
        <w:rPr>
          <w:rFonts w:asciiTheme="majorBidi" w:hAnsiTheme="majorBidi" w:cstheme="majorBidi"/>
          <w:b/>
          <w:bCs/>
          <w:noProof/>
          <w:sz w:val="24"/>
          <w:szCs w:val="24"/>
        </w:rPr>
        <w:t>[</w:t>
      </w:r>
      <w:r w:rsidR="00D85B6D" w:rsidRPr="00D85B6D">
        <w:rPr>
          <w:rFonts w:asciiTheme="majorBidi" w:hAnsiTheme="majorBidi" w:cstheme="majorBidi"/>
          <w:b/>
          <w:bCs/>
          <w:noProof/>
          <w:sz w:val="24"/>
          <w:szCs w:val="24"/>
        </w:rPr>
        <w:t xml:space="preserve">INSERT FIGURE </w:t>
      </w:r>
      <w:r w:rsidR="00543F40">
        <w:rPr>
          <w:rFonts w:asciiTheme="majorBidi" w:hAnsiTheme="majorBidi" w:cstheme="majorBidi"/>
          <w:b/>
          <w:bCs/>
          <w:noProof/>
          <w:sz w:val="24"/>
          <w:szCs w:val="24"/>
        </w:rPr>
        <w:t>3</w:t>
      </w:r>
      <w:r>
        <w:rPr>
          <w:rFonts w:asciiTheme="majorBidi" w:hAnsiTheme="majorBidi" w:cstheme="majorBidi"/>
          <w:b/>
          <w:bCs/>
          <w:noProof/>
          <w:sz w:val="24"/>
          <w:szCs w:val="24"/>
        </w:rPr>
        <w:t>]</w:t>
      </w:r>
    </w:p>
    <w:p w:rsidR="009F0A6C" w:rsidRDefault="009F0A6C" w:rsidP="00C043E6">
      <w:pPr>
        <w:spacing w:after="0" w:line="480" w:lineRule="auto"/>
        <w:ind w:firstLine="284"/>
        <w:jc w:val="both"/>
        <w:rPr>
          <w:rFonts w:asciiTheme="majorBidi" w:hAnsiTheme="majorBidi" w:cstheme="majorBidi"/>
          <w:noProof/>
          <w:sz w:val="24"/>
          <w:szCs w:val="24"/>
        </w:rPr>
      </w:pPr>
      <w:r w:rsidRPr="009F0A6C">
        <w:rPr>
          <w:rFonts w:asciiTheme="majorBidi" w:hAnsiTheme="majorBidi" w:cstheme="majorBidi"/>
          <w:noProof/>
          <w:sz w:val="24"/>
          <w:szCs w:val="24"/>
        </w:rPr>
        <w:t xml:space="preserve">Panel </w:t>
      </w:r>
      <w:r w:rsidR="00C043E6">
        <w:rPr>
          <w:rFonts w:asciiTheme="majorBidi" w:hAnsiTheme="majorBidi" w:cstheme="majorBidi"/>
          <w:noProof/>
          <w:sz w:val="24"/>
          <w:szCs w:val="24"/>
        </w:rPr>
        <w:t>a</w:t>
      </w:r>
      <w:r w:rsidR="00330D59">
        <w:rPr>
          <w:rFonts w:asciiTheme="majorBidi" w:hAnsiTheme="majorBidi" w:cstheme="majorBidi"/>
          <w:noProof/>
          <w:sz w:val="24"/>
          <w:szCs w:val="24"/>
        </w:rPr>
        <w:t xml:space="preserve"> of </w:t>
      </w:r>
      <w:r w:rsidR="00330D59" w:rsidRPr="009F0A6C">
        <w:rPr>
          <w:rFonts w:asciiTheme="majorBidi" w:hAnsiTheme="majorBidi" w:cstheme="majorBidi"/>
          <w:noProof/>
          <w:sz w:val="24"/>
          <w:szCs w:val="24"/>
        </w:rPr>
        <w:t xml:space="preserve">Figure </w:t>
      </w:r>
      <w:r w:rsidR="00330D59">
        <w:rPr>
          <w:rFonts w:asciiTheme="majorBidi" w:hAnsiTheme="majorBidi" w:cstheme="majorBidi"/>
          <w:noProof/>
          <w:sz w:val="24"/>
          <w:szCs w:val="24"/>
        </w:rPr>
        <w:t xml:space="preserve">4 </w:t>
      </w:r>
      <w:r w:rsidRPr="009F0A6C">
        <w:rPr>
          <w:rFonts w:asciiTheme="majorBidi" w:hAnsiTheme="majorBidi" w:cstheme="majorBidi"/>
          <w:noProof/>
          <w:sz w:val="24"/>
          <w:szCs w:val="24"/>
        </w:rPr>
        <w:t xml:space="preserve">presents plots of total directional connectedness of implied volatility originating from the oil market and transmisting to </w:t>
      </w:r>
      <w:r w:rsidR="00DE6BC7">
        <w:rPr>
          <w:rFonts w:asciiTheme="majorBidi" w:hAnsiTheme="majorBidi" w:cstheme="majorBidi"/>
          <w:noProof/>
          <w:sz w:val="24"/>
          <w:szCs w:val="24"/>
        </w:rPr>
        <w:t xml:space="preserve">all </w:t>
      </w:r>
      <w:r w:rsidRPr="009F0A6C">
        <w:rPr>
          <w:rFonts w:asciiTheme="majorBidi" w:hAnsiTheme="majorBidi" w:cstheme="majorBidi"/>
          <w:noProof/>
          <w:sz w:val="24"/>
          <w:szCs w:val="24"/>
        </w:rPr>
        <w:t>markets</w:t>
      </w:r>
      <w:r w:rsidR="00550AF0">
        <w:rPr>
          <w:rFonts w:asciiTheme="majorBidi" w:hAnsiTheme="majorBidi" w:cstheme="majorBidi"/>
          <w:noProof/>
          <w:sz w:val="24"/>
          <w:szCs w:val="24"/>
        </w:rPr>
        <w:t xml:space="preserve"> (i.e.</w:t>
      </w:r>
      <m:oMath>
        <m:r>
          <w:rPr>
            <w:rFonts w:ascii="Cambria Math" w:eastAsia="Calibri" w:hAnsi="Cambria Math" w:cstheme="majorBidi"/>
            <w:sz w:val="24"/>
            <w:szCs w:val="24"/>
          </w:rPr>
          <m:t xml:space="preserve"> </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C</m:t>
            </m:r>
          </m:e>
          <m:sub>
            <m:r>
              <w:rPr>
                <w:rFonts w:ascii="Cambria Math" w:eastAsia="Calibri" w:hAnsi="Cambria Math" w:cstheme="majorBidi"/>
                <w:sz w:val="24"/>
                <w:szCs w:val="24"/>
              </w:rPr>
              <m:t>∎←oil</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oMath>
      <w:r w:rsidR="00550AF0">
        <w:rPr>
          <w:rFonts w:asciiTheme="majorBidi" w:eastAsiaTheme="minorEastAsia" w:hAnsiTheme="majorBidi" w:cstheme="majorBidi"/>
          <w:noProof/>
          <w:sz w:val="24"/>
          <w:szCs w:val="24"/>
        </w:rPr>
        <w:t>)</w:t>
      </w:r>
      <w:r w:rsidRPr="009F0A6C">
        <w:rPr>
          <w:rFonts w:asciiTheme="majorBidi" w:hAnsiTheme="majorBidi" w:cstheme="majorBidi"/>
          <w:noProof/>
          <w:sz w:val="24"/>
          <w:szCs w:val="24"/>
        </w:rPr>
        <w:t xml:space="preserve">. Panel </w:t>
      </w:r>
      <w:r w:rsidR="00C043E6">
        <w:rPr>
          <w:rFonts w:asciiTheme="majorBidi" w:hAnsiTheme="majorBidi" w:cstheme="majorBidi"/>
          <w:noProof/>
          <w:sz w:val="24"/>
          <w:szCs w:val="24"/>
        </w:rPr>
        <w:t>b</w:t>
      </w:r>
      <w:r w:rsidRPr="009F0A6C">
        <w:rPr>
          <w:rFonts w:asciiTheme="majorBidi" w:hAnsiTheme="majorBidi" w:cstheme="majorBidi"/>
          <w:noProof/>
          <w:sz w:val="24"/>
          <w:szCs w:val="24"/>
        </w:rPr>
        <w:t xml:space="preserve"> of the same </w:t>
      </w:r>
      <w:r w:rsidR="00330D59">
        <w:rPr>
          <w:rFonts w:asciiTheme="majorBidi" w:hAnsiTheme="majorBidi" w:cstheme="majorBidi"/>
          <w:noProof/>
          <w:sz w:val="24"/>
          <w:szCs w:val="24"/>
        </w:rPr>
        <w:t xml:space="preserve">figure </w:t>
      </w:r>
      <w:r w:rsidRPr="009F0A6C">
        <w:rPr>
          <w:rFonts w:asciiTheme="majorBidi" w:hAnsiTheme="majorBidi" w:cstheme="majorBidi"/>
          <w:noProof/>
          <w:sz w:val="24"/>
          <w:szCs w:val="24"/>
        </w:rPr>
        <w:t xml:space="preserve">presents the transmissions of implied volatility in the opposite direction </w:t>
      </w:r>
      <w:r w:rsidR="00550AF0">
        <w:rPr>
          <w:rFonts w:asciiTheme="majorBidi" w:hAnsiTheme="majorBidi" w:cstheme="majorBidi"/>
          <w:noProof/>
          <w:sz w:val="24"/>
          <w:szCs w:val="24"/>
        </w:rPr>
        <w:t xml:space="preserve">(i.e. </w:t>
      </w: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C</m:t>
            </m:r>
          </m:e>
          <m:sub>
            <m:r>
              <w:rPr>
                <w:rFonts w:ascii="Cambria Math" w:eastAsia="Calibri" w:hAnsi="Cambria Math" w:cstheme="majorBidi"/>
                <w:sz w:val="24"/>
                <w:szCs w:val="24"/>
              </w:rPr>
              <m:t>oil←∎</m:t>
            </m:r>
          </m:sub>
        </m:sSub>
        <m:d>
          <m:dPr>
            <m:ctrlPr>
              <w:rPr>
                <w:rFonts w:ascii="Cambria Math" w:eastAsia="Calibri" w:hAnsi="Cambria Math" w:cstheme="majorBidi"/>
                <w:i/>
                <w:sz w:val="24"/>
                <w:szCs w:val="24"/>
              </w:rPr>
            </m:ctrlPr>
          </m:dPr>
          <m:e>
            <m:r>
              <w:rPr>
                <w:rFonts w:ascii="Cambria Math" w:eastAsia="Calibri" w:hAnsi="Cambria Math" w:cstheme="majorBidi"/>
                <w:sz w:val="24"/>
                <w:szCs w:val="24"/>
              </w:rPr>
              <m:t>H</m:t>
            </m:r>
          </m:e>
        </m:d>
      </m:oMath>
      <w:r w:rsidR="00550AF0">
        <w:rPr>
          <w:rFonts w:asciiTheme="majorBidi" w:eastAsiaTheme="minorEastAsia" w:hAnsiTheme="majorBidi" w:cstheme="majorBidi"/>
          <w:noProof/>
          <w:sz w:val="24"/>
          <w:szCs w:val="24"/>
        </w:rPr>
        <w:t>)</w:t>
      </w:r>
      <w:r w:rsidRPr="009F0A6C">
        <w:rPr>
          <w:rFonts w:asciiTheme="majorBidi" w:hAnsiTheme="majorBidi" w:cstheme="majorBidi"/>
          <w:noProof/>
          <w:sz w:val="24"/>
          <w:szCs w:val="24"/>
        </w:rPr>
        <w:t xml:space="preserve">. The net transmissions are presented in Panel </w:t>
      </w:r>
      <w:r w:rsidR="00C043E6">
        <w:rPr>
          <w:rFonts w:asciiTheme="majorBidi" w:hAnsiTheme="majorBidi" w:cstheme="majorBidi"/>
          <w:noProof/>
          <w:sz w:val="24"/>
          <w:szCs w:val="24"/>
        </w:rPr>
        <w:t>c</w:t>
      </w:r>
      <w:r w:rsidR="00550AF0">
        <w:rPr>
          <w:rFonts w:asciiTheme="majorBidi" w:hAnsiTheme="majorBidi" w:cstheme="majorBidi"/>
          <w:noProof/>
          <w:sz w:val="24"/>
          <w:szCs w:val="24"/>
        </w:rPr>
        <w:t xml:space="preserve"> </w:t>
      </w:r>
      <w:r w:rsidR="00550AF0">
        <w:rPr>
          <w:rFonts w:asciiTheme="majorBidi" w:eastAsiaTheme="minorEastAsia" w:hAnsiTheme="majorBidi" w:cstheme="majorBidi"/>
          <w:noProof/>
          <w:sz w:val="24"/>
          <w:szCs w:val="24"/>
        </w:rPr>
        <w:t xml:space="preserve">(i.e. </w:t>
      </w:r>
      <m:oMath>
        <m:sSub>
          <m:sSubPr>
            <m:ctrlPr>
              <w:rPr>
                <w:rFonts w:ascii="Cambria Math" w:hAnsi="Cambria Math" w:cstheme="majorBidi"/>
                <w:i/>
                <w:noProof/>
                <w:sz w:val="24"/>
                <w:szCs w:val="24"/>
              </w:rPr>
            </m:ctrlPr>
          </m:sSubPr>
          <m:e>
            <m:r>
              <w:rPr>
                <w:rFonts w:ascii="Cambria Math" w:hAnsi="Cambria Math" w:cstheme="majorBidi"/>
                <w:noProof/>
                <w:sz w:val="24"/>
                <w:szCs w:val="24"/>
              </w:rPr>
              <m:t>C</m:t>
            </m:r>
          </m:e>
          <m:sub>
            <m:r>
              <w:rPr>
                <w:rFonts w:ascii="Cambria Math" w:hAnsi="Cambria Math" w:cstheme="majorBidi"/>
                <w:noProof/>
                <w:sz w:val="24"/>
                <w:szCs w:val="24"/>
              </w:rPr>
              <m:t>i</m:t>
            </m:r>
          </m:sub>
        </m:sSub>
        <m:r>
          <w:rPr>
            <w:rFonts w:ascii="Cambria Math" w:hAnsi="Cambria Math" w:cstheme="majorBidi"/>
            <w:noProof/>
            <w:sz w:val="24"/>
            <w:szCs w:val="24"/>
          </w:rPr>
          <m:t>(H)</m:t>
        </m:r>
      </m:oMath>
      <w:r w:rsidR="00550AF0">
        <w:rPr>
          <w:rFonts w:asciiTheme="majorBidi" w:eastAsiaTheme="minorEastAsia" w:hAnsiTheme="majorBidi" w:cstheme="majorBidi"/>
          <w:noProof/>
          <w:sz w:val="24"/>
          <w:szCs w:val="24"/>
        </w:rPr>
        <w:t>)</w:t>
      </w:r>
      <w:r w:rsidRPr="009F0A6C">
        <w:rPr>
          <w:rFonts w:asciiTheme="majorBidi" w:hAnsiTheme="majorBidi" w:cstheme="majorBidi"/>
          <w:noProof/>
          <w:sz w:val="24"/>
          <w:szCs w:val="24"/>
        </w:rPr>
        <w:t xml:space="preserve">. </w:t>
      </w:r>
    </w:p>
    <w:p w:rsidR="00D6442D" w:rsidRDefault="00542C59" w:rsidP="00C043E6">
      <w:pPr>
        <w:spacing w:line="480" w:lineRule="auto"/>
        <w:ind w:firstLine="284"/>
        <w:jc w:val="both"/>
        <w:rPr>
          <w:rFonts w:asciiTheme="majorBidi" w:hAnsiTheme="majorBidi" w:cstheme="majorBidi"/>
          <w:noProof/>
          <w:sz w:val="24"/>
          <w:szCs w:val="24"/>
        </w:rPr>
      </w:pPr>
      <w:r w:rsidRPr="00542C59">
        <w:rPr>
          <w:rFonts w:asciiTheme="majorBidi" w:hAnsiTheme="majorBidi" w:cstheme="majorBidi"/>
          <w:noProof/>
          <w:sz w:val="24"/>
          <w:szCs w:val="24"/>
        </w:rPr>
        <w:t xml:space="preserve">The figure shows that the connectedness is largely dominated by the information transmissions from the crude oil market to </w:t>
      </w:r>
      <w:r w:rsidR="0005631E">
        <w:rPr>
          <w:rFonts w:asciiTheme="majorBidi" w:hAnsiTheme="majorBidi" w:cstheme="majorBidi"/>
          <w:noProof/>
          <w:sz w:val="24"/>
          <w:szCs w:val="24"/>
        </w:rPr>
        <w:t xml:space="preserve">the </w:t>
      </w:r>
      <w:r w:rsidRPr="00542C59">
        <w:rPr>
          <w:rFonts w:asciiTheme="majorBidi" w:hAnsiTheme="majorBidi" w:cstheme="majorBidi"/>
          <w:noProof/>
          <w:sz w:val="24"/>
          <w:szCs w:val="24"/>
        </w:rPr>
        <w:t xml:space="preserve">other markets and not the other way round. The crude oil gives to the rest of markets </w:t>
      </w:r>
      <w:r w:rsidR="0005631E">
        <w:rPr>
          <w:rFonts w:asciiTheme="majorBidi" w:hAnsiTheme="majorBidi" w:cstheme="majorBidi"/>
          <w:noProof/>
          <w:sz w:val="24"/>
          <w:szCs w:val="24"/>
        </w:rPr>
        <w:t>multiples of what it</w:t>
      </w:r>
      <w:r w:rsidRPr="00542C59">
        <w:rPr>
          <w:rFonts w:asciiTheme="majorBidi" w:hAnsiTheme="majorBidi" w:cstheme="majorBidi"/>
          <w:noProof/>
          <w:sz w:val="24"/>
          <w:szCs w:val="24"/>
        </w:rPr>
        <w:t xml:space="preserve"> receives </w:t>
      </w:r>
      <w:r w:rsidR="0005631E">
        <w:rPr>
          <w:rFonts w:asciiTheme="majorBidi" w:hAnsiTheme="majorBidi" w:cstheme="majorBidi"/>
          <w:noProof/>
          <w:sz w:val="24"/>
          <w:szCs w:val="24"/>
        </w:rPr>
        <w:t xml:space="preserve">as seen in Panels </w:t>
      </w:r>
      <w:r w:rsidR="00C043E6">
        <w:rPr>
          <w:rFonts w:asciiTheme="majorBidi" w:hAnsiTheme="majorBidi" w:cstheme="majorBidi"/>
          <w:noProof/>
          <w:sz w:val="24"/>
          <w:szCs w:val="24"/>
        </w:rPr>
        <w:t>a</w:t>
      </w:r>
      <w:r w:rsidR="0005631E">
        <w:rPr>
          <w:rFonts w:asciiTheme="majorBidi" w:hAnsiTheme="majorBidi" w:cstheme="majorBidi"/>
          <w:noProof/>
          <w:sz w:val="24"/>
          <w:szCs w:val="24"/>
        </w:rPr>
        <w:t xml:space="preserve"> and </w:t>
      </w:r>
      <w:r w:rsidR="00C043E6">
        <w:rPr>
          <w:rFonts w:asciiTheme="majorBidi" w:hAnsiTheme="majorBidi" w:cstheme="majorBidi"/>
          <w:noProof/>
          <w:sz w:val="24"/>
          <w:szCs w:val="24"/>
        </w:rPr>
        <w:t>b</w:t>
      </w:r>
      <w:r w:rsidRPr="00542C59">
        <w:rPr>
          <w:rFonts w:asciiTheme="majorBidi" w:hAnsiTheme="majorBidi" w:cstheme="majorBidi"/>
          <w:noProof/>
          <w:sz w:val="24"/>
          <w:szCs w:val="24"/>
        </w:rPr>
        <w:t xml:space="preserve">. Hence, there is a positive </w:t>
      </w:r>
      <w:r w:rsidR="00550AF0">
        <w:rPr>
          <w:rFonts w:asciiTheme="majorBidi" w:hAnsiTheme="majorBidi" w:cstheme="majorBidi"/>
          <w:noProof/>
          <w:sz w:val="24"/>
          <w:szCs w:val="24"/>
        </w:rPr>
        <w:t>net spillover of uncertainty</w:t>
      </w:r>
      <w:r w:rsidRPr="00542C59">
        <w:rPr>
          <w:rFonts w:asciiTheme="majorBidi" w:hAnsiTheme="majorBidi" w:cstheme="majorBidi"/>
          <w:noProof/>
          <w:sz w:val="24"/>
          <w:szCs w:val="24"/>
        </w:rPr>
        <w:t xml:space="preserve"> from the oil market to other markets. The graph of the net transmissions is presented in Panel </w:t>
      </w:r>
      <w:r w:rsidR="00C043E6">
        <w:rPr>
          <w:rFonts w:asciiTheme="majorBidi" w:hAnsiTheme="majorBidi" w:cstheme="majorBidi"/>
          <w:noProof/>
          <w:sz w:val="24"/>
          <w:szCs w:val="24"/>
        </w:rPr>
        <w:t>c</w:t>
      </w:r>
      <w:r w:rsidR="00330D59">
        <w:rPr>
          <w:rFonts w:asciiTheme="majorBidi" w:hAnsiTheme="majorBidi" w:cstheme="majorBidi"/>
          <w:noProof/>
          <w:sz w:val="24"/>
          <w:szCs w:val="24"/>
        </w:rPr>
        <w:t>. I</w:t>
      </w:r>
      <w:r w:rsidRPr="00542C59">
        <w:rPr>
          <w:rFonts w:asciiTheme="majorBidi" w:hAnsiTheme="majorBidi" w:cstheme="majorBidi"/>
          <w:noProof/>
          <w:sz w:val="24"/>
          <w:szCs w:val="24"/>
        </w:rPr>
        <w:t>t shows clearly that for most of the sample period the directional connectedness is established more by the transmissions from the oil market to other markets.</w:t>
      </w:r>
      <w:r w:rsidR="0005631E">
        <w:rPr>
          <w:rFonts w:asciiTheme="majorBidi" w:hAnsiTheme="majorBidi" w:cstheme="majorBidi"/>
          <w:noProof/>
          <w:sz w:val="24"/>
          <w:szCs w:val="24"/>
        </w:rPr>
        <w:t xml:space="preserve"> The </w:t>
      </w:r>
      <w:r w:rsidR="002C2230">
        <w:rPr>
          <w:rFonts w:asciiTheme="majorBidi" w:hAnsiTheme="majorBidi" w:cstheme="majorBidi"/>
          <w:noProof/>
          <w:sz w:val="24"/>
          <w:szCs w:val="24"/>
        </w:rPr>
        <w:t>increase</w:t>
      </w:r>
      <w:r w:rsidR="0005631E">
        <w:rPr>
          <w:rFonts w:asciiTheme="majorBidi" w:hAnsiTheme="majorBidi" w:cstheme="majorBidi"/>
          <w:noProof/>
          <w:sz w:val="24"/>
          <w:szCs w:val="24"/>
        </w:rPr>
        <w:t xml:space="preserve"> in </w:t>
      </w:r>
      <w:r w:rsidR="001D02AD">
        <w:rPr>
          <w:rFonts w:asciiTheme="majorBidi" w:hAnsiTheme="majorBidi" w:cstheme="majorBidi"/>
          <w:noProof/>
          <w:sz w:val="24"/>
          <w:szCs w:val="24"/>
        </w:rPr>
        <w:t xml:space="preserve">the system </w:t>
      </w:r>
      <w:r w:rsidR="0005631E">
        <w:rPr>
          <w:rFonts w:asciiTheme="majorBidi" w:hAnsiTheme="majorBidi" w:cstheme="majorBidi"/>
          <w:noProof/>
          <w:sz w:val="24"/>
          <w:szCs w:val="24"/>
        </w:rPr>
        <w:t xml:space="preserve">transmissions </w:t>
      </w:r>
      <w:r w:rsidR="001D02AD">
        <w:rPr>
          <w:rFonts w:asciiTheme="majorBidi" w:hAnsiTheme="majorBidi" w:cstheme="majorBidi"/>
          <w:noProof/>
          <w:sz w:val="24"/>
          <w:szCs w:val="24"/>
        </w:rPr>
        <w:t xml:space="preserve">around July 2014 </w:t>
      </w:r>
      <w:r w:rsidR="0005631E">
        <w:rPr>
          <w:rFonts w:asciiTheme="majorBidi" w:hAnsiTheme="majorBidi" w:cstheme="majorBidi"/>
          <w:noProof/>
          <w:sz w:val="24"/>
          <w:szCs w:val="24"/>
        </w:rPr>
        <w:t>can be also</w:t>
      </w:r>
      <w:r w:rsidR="00772BEA">
        <w:rPr>
          <w:rFonts w:asciiTheme="majorBidi" w:hAnsiTheme="majorBidi" w:cstheme="majorBidi"/>
          <w:noProof/>
          <w:sz w:val="24"/>
          <w:szCs w:val="24"/>
        </w:rPr>
        <w:t xml:space="preserve"> spotted in </w:t>
      </w:r>
      <w:r w:rsidR="00330D59">
        <w:rPr>
          <w:rFonts w:asciiTheme="majorBidi" w:hAnsiTheme="majorBidi" w:cstheme="majorBidi"/>
          <w:noProof/>
          <w:sz w:val="24"/>
          <w:szCs w:val="24"/>
        </w:rPr>
        <w:t>P</w:t>
      </w:r>
      <w:r w:rsidR="00772BEA">
        <w:rPr>
          <w:rFonts w:asciiTheme="majorBidi" w:hAnsiTheme="majorBidi" w:cstheme="majorBidi"/>
          <w:noProof/>
          <w:sz w:val="24"/>
          <w:szCs w:val="24"/>
        </w:rPr>
        <w:t xml:space="preserve">anels </w:t>
      </w:r>
      <w:r w:rsidR="00330D59">
        <w:rPr>
          <w:rFonts w:asciiTheme="majorBidi" w:hAnsiTheme="majorBidi" w:cstheme="majorBidi"/>
          <w:noProof/>
          <w:sz w:val="24"/>
          <w:szCs w:val="24"/>
        </w:rPr>
        <w:t>A</w:t>
      </w:r>
      <w:r w:rsidR="00772BEA">
        <w:rPr>
          <w:rFonts w:asciiTheme="majorBidi" w:hAnsiTheme="majorBidi" w:cstheme="majorBidi"/>
          <w:noProof/>
          <w:sz w:val="24"/>
          <w:szCs w:val="24"/>
        </w:rPr>
        <w:t xml:space="preserve"> and </w:t>
      </w:r>
      <w:r w:rsidR="00330D59">
        <w:rPr>
          <w:rFonts w:asciiTheme="majorBidi" w:hAnsiTheme="majorBidi" w:cstheme="majorBidi"/>
          <w:noProof/>
          <w:sz w:val="24"/>
          <w:szCs w:val="24"/>
        </w:rPr>
        <w:t>C</w:t>
      </w:r>
      <w:r w:rsidR="00772BEA">
        <w:rPr>
          <w:rFonts w:asciiTheme="majorBidi" w:hAnsiTheme="majorBidi" w:cstheme="majorBidi"/>
          <w:noProof/>
          <w:sz w:val="24"/>
          <w:szCs w:val="24"/>
        </w:rPr>
        <w:t>.</w:t>
      </w:r>
      <w:r w:rsidR="0005631E">
        <w:rPr>
          <w:rFonts w:asciiTheme="majorBidi" w:hAnsiTheme="majorBidi" w:cstheme="majorBidi"/>
          <w:noProof/>
          <w:sz w:val="24"/>
          <w:szCs w:val="24"/>
        </w:rPr>
        <w:t xml:space="preserve"> </w:t>
      </w:r>
      <w:r w:rsidR="002C2230">
        <w:rPr>
          <w:rFonts w:asciiTheme="majorBidi" w:hAnsiTheme="majorBidi" w:cstheme="majorBidi"/>
          <w:noProof/>
          <w:sz w:val="24"/>
          <w:szCs w:val="24"/>
        </w:rPr>
        <w:t>T</w:t>
      </w:r>
      <w:r w:rsidR="001D02AD">
        <w:rPr>
          <w:rFonts w:asciiTheme="majorBidi" w:hAnsiTheme="majorBidi" w:cstheme="majorBidi"/>
          <w:noProof/>
          <w:sz w:val="24"/>
          <w:szCs w:val="24"/>
        </w:rPr>
        <w:t xml:space="preserve">he increased linkages in the system around July in </w:t>
      </w:r>
      <w:r w:rsidR="00BA6F1B">
        <w:rPr>
          <w:rFonts w:asciiTheme="majorBidi" w:hAnsiTheme="majorBidi" w:cstheme="majorBidi"/>
          <w:noProof/>
          <w:sz w:val="24"/>
          <w:szCs w:val="24"/>
        </w:rPr>
        <w:t>F</w:t>
      </w:r>
      <w:r w:rsidR="001D02AD">
        <w:rPr>
          <w:rFonts w:asciiTheme="majorBidi" w:hAnsiTheme="majorBidi" w:cstheme="majorBidi"/>
          <w:noProof/>
          <w:sz w:val="24"/>
          <w:szCs w:val="24"/>
        </w:rPr>
        <w:t xml:space="preserve">igure </w:t>
      </w:r>
      <w:r w:rsidR="00543F40">
        <w:rPr>
          <w:rFonts w:asciiTheme="majorBidi" w:hAnsiTheme="majorBidi" w:cstheme="majorBidi"/>
          <w:noProof/>
          <w:sz w:val="24"/>
          <w:szCs w:val="24"/>
        </w:rPr>
        <w:t>3</w:t>
      </w:r>
      <w:r w:rsidR="001D02AD">
        <w:rPr>
          <w:rFonts w:asciiTheme="majorBidi" w:hAnsiTheme="majorBidi" w:cstheme="majorBidi"/>
          <w:noProof/>
          <w:sz w:val="24"/>
          <w:szCs w:val="24"/>
        </w:rPr>
        <w:t xml:space="preserve"> can be attributed to the increased transmissions from the oil market into the markets of equities, foreign exchange and commodities markets. </w:t>
      </w:r>
    </w:p>
    <w:p w:rsidR="00D85B6D" w:rsidRPr="00D85B6D" w:rsidRDefault="00330D59" w:rsidP="00E37DCE">
      <w:pPr>
        <w:spacing w:after="0" w:line="480" w:lineRule="auto"/>
        <w:ind w:firstLine="284"/>
        <w:jc w:val="center"/>
        <w:rPr>
          <w:rFonts w:asciiTheme="majorBidi" w:hAnsiTheme="majorBidi" w:cstheme="majorBidi"/>
          <w:b/>
          <w:bCs/>
          <w:noProof/>
          <w:sz w:val="24"/>
          <w:szCs w:val="24"/>
        </w:rPr>
      </w:pPr>
      <w:r>
        <w:rPr>
          <w:rFonts w:asciiTheme="majorBidi" w:hAnsiTheme="majorBidi" w:cstheme="majorBidi"/>
          <w:b/>
          <w:bCs/>
          <w:noProof/>
          <w:sz w:val="24"/>
          <w:szCs w:val="24"/>
        </w:rPr>
        <w:t>[</w:t>
      </w:r>
      <w:r w:rsidR="00D85B6D">
        <w:rPr>
          <w:rFonts w:asciiTheme="majorBidi" w:hAnsiTheme="majorBidi" w:cstheme="majorBidi"/>
          <w:b/>
          <w:bCs/>
          <w:noProof/>
          <w:sz w:val="24"/>
          <w:szCs w:val="24"/>
        </w:rPr>
        <w:t xml:space="preserve">INSERT FIGURE </w:t>
      </w:r>
      <w:r w:rsidR="00543F40">
        <w:rPr>
          <w:rFonts w:asciiTheme="majorBidi" w:hAnsiTheme="majorBidi" w:cstheme="majorBidi"/>
          <w:b/>
          <w:bCs/>
          <w:noProof/>
          <w:sz w:val="24"/>
          <w:szCs w:val="24"/>
        </w:rPr>
        <w:t>4</w:t>
      </w:r>
      <w:r>
        <w:rPr>
          <w:rFonts w:asciiTheme="majorBidi" w:hAnsiTheme="majorBidi" w:cstheme="majorBidi"/>
          <w:b/>
          <w:bCs/>
          <w:noProof/>
          <w:sz w:val="24"/>
          <w:szCs w:val="24"/>
        </w:rPr>
        <w:t>]</w:t>
      </w:r>
    </w:p>
    <w:p w:rsidR="00851877" w:rsidRDefault="00E76D33" w:rsidP="005A6F5E">
      <w:pPr>
        <w:spacing w:after="0" w:line="480" w:lineRule="auto"/>
        <w:ind w:firstLine="284"/>
        <w:jc w:val="both"/>
        <w:rPr>
          <w:rFonts w:asciiTheme="majorBidi" w:hAnsiTheme="majorBidi" w:cstheme="majorBidi"/>
          <w:noProof/>
          <w:sz w:val="24"/>
          <w:szCs w:val="24"/>
        </w:rPr>
      </w:pPr>
      <w:r>
        <w:rPr>
          <w:rFonts w:asciiTheme="majorBidi" w:hAnsiTheme="majorBidi" w:cstheme="majorBidi"/>
          <w:noProof/>
          <w:sz w:val="24"/>
          <w:szCs w:val="24"/>
        </w:rPr>
        <w:t xml:space="preserve"> </w:t>
      </w:r>
      <w:r w:rsidR="00851877">
        <w:rPr>
          <w:rFonts w:asciiTheme="majorBidi" w:hAnsiTheme="majorBidi" w:cstheme="majorBidi"/>
          <w:noProof/>
          <w:sz w:val="24"/>
          <w:szCs w:val="24"/>
        </w:rPr>
        <w:t xml:space="preserve">Figure </w:t>
      </w:r>
      <w:r w:rsidR="009B1D3E">
        <w:rPr>
          <w:rFonts w:asciiTheme="majorBidi" w:hAnsiTheme="majorBidi" w:cstheme="majorBidi"/>
          <w:noProof/>
          <w:sz w:val="24"/>
          <w:szCs w:val="24"/>
        </w:rPr>
        <w:t>5</w:t>
      </w:r>
      <w:r w:rsidR="00851877">
        <w:rPr>
          <w:rFonts w:asciiTheme="majorBidi" w:hAnsiTheme="majorBidi" w:cstheme="majorBidi"/>
          <w:noProof/>
          <w:sz w:val="24"/>
          <w:szCs w:val="24"/>
        </w:rPr>
        <w:t xml:space="preserve"> </w:t>
      </w:r>
      <w:r w:rsidR="002D3AE7" w:rsidRPr="002D3AE7">
        <w:rPr>
          <w:rFonts w:asciiTheme="majorBidi" w:hAnsiTheme="majorBidi" w:cstheme="majorBidi"/>
          <w:noProof/>
          <w:sz w:val="24"/>
          <w:szCs w:val="24"/>
        </w:rPr>
        <w:t>plot</w:t>
      </w:r>
      <w:r w:rsidR="00851877">
        <w:rPr>
          <w:rFonts w:asciiTheme="majorBidi" w:hAnsiTheme="majorBidi" w:cstheme="majorBidi"/>
          <w:noProof/>
          <w:sz w:val="24"/>
          <w:szCs w:val="24"/>
        </w:rPr>
        <w:t>s</w:t>
      </w:r>
      <w:r w:rsidR="002D3AE7" w:rsidRPr="002D3AE7">
        <w:rPr>
          <w:rFonts w:asciiTheme="majorBidi" w:hAnsiTheme="majorBidi" w:cstheme="majorBidi"/>
          <w:noProof/>
          <w:sz w:val="24"/>
          <w:szCs w:val="24"/>
        </w:rPr>
        <w:t xml:space="preserve"> </w:t>
      </w:r>
      <w:r w:rsidR="00851877">
        <w:rPr>
          <w:rFonts w:asciiTheme="majorBidi" w:hAnsiTheme="majorBidi" w:cstheme="majorBidi"/>
          <w:noProof/>
          <w:sz w:val="24"/>
          <w:szCs w:val="24"/>
        </w:rPr>
        <w:t>the</w:t>
      </w:r>
      <w:r w:rsidR="002D3AE7" w:rsidRPr="002D3AE7">
        <w:rPr>
          <w:rFonts w:asciiTheme="majorBidi" w:hAnsiTheme="majorBidi" w:cstheme="majorBidi"/>
          <w:noProof/>
          <w:sz w:val="24"/>
          <w:szCs w:val="24"/>
        </w:rPr>
        <w:t xml:space="preserve"> net pairwise directional dynamic connectedness of oil volatility with the volatility of each of the markets over the sample period. </w:t>
      </w:r>
      <w:r w:rsidR="00BD00B1">
        <w:rPr>
          <w:rFonts w:asciiTheme="majorBidi" w:hAnsiTheme="majorBidi" w:cstheme="majorBidi"/>
          <w:noProof/>
          <w:sz w:val="24"/>
          <w:szCs w:val="24"/>
        </w:rPr>
        <w:t>T</w:t>
      </w:r>
      <w:r w:rsidR="00851877">
        <w:rPr>
          <w:rFonts w:asciiTheme="majorBidi" w:hAnsiTheme="majorBidi" w:cstheme="majorBidi"/>
          <w:noProof/>
          <w:sz w:val="24"/>
          <w:szCs w:val="24"/>
        </w:rPr>
        <w:t>he net pairwise connectednes</w:t>
      </w:r>
      <w:r w:rsidR="00550AF0">
        <w:rPr>
          <w:rFonts w:asciiTheme="majorBidi" w:hAnsiTheme="majorBidi" w:cstheme="majorBidi"/>
          <w:noProof/>
          <w:sz w:val="24"/>
          <w:szCs w:val="24"/>
        </w:rPr>
        <w:t>s</w:t>
      </w:r>
      <w:r w:rsidR="00851877">
        <w:rPr>
          <w:rFonts w:asciiTheme="majorBidi" w:hAnsiTheme="majorBidi" w:cstheme="majorBidi"/>
          <w:noProof/>
          <w:sz w:val="24"/>
          <w:szCs w:val="24"/>
        </w:rPr>
        <w:t xml:space="preserve"> with equities indicate that the oil market is consistently a net giver </w:t>
      </w:r>
      <w:r w:rsidR="002C2230">
        <w:rPr>
          <w:rFonts w:asciiTheme="majorBidi" w:hAnsiTheme="majorBidi" w:cstheme="majorBidi"/>
          <w:noProof/>
          <w:sz w:val="24"/>
          <w:szCs w:val="24"/>
        </w:rPr>
        <w:t xml:space="preserve">to </w:t>
      </w:r>
      <w:r w:rsidR="00851877">
        <w:rPr>
          <w:rFonts w:asciiTheme="majorBidi" w:hAnsiTheme="majorBidi" w:cstheme="majorBidi"/>
          <w:noProof/>
          <w:sz w:val="24"/>
          <w:szCs w:val="24"/>
        </w:rPr>
        <w:t xml:space="preserve">US equities. </w:t>
      </w:r>
      <w:r w:rsidR="00BD00B1">
        <w:rPr>
          <w:rFonts w:asciiTheme="majorBidi" w:hAnsiTheme="majorBidi" w:cstheme="majorBidi"/>
          <w:noProof/>
          <w:sz w:val="24"/>
          <w:szCs w:val="24"/>
        </w:rPr>
        <w:t xml:space="preserve">A similar pattern </w:t>
      </w:r>
      <w:r w:rsidR="00851877">
        <w:rPr>
          <w:rFonts w:asciiTheme="majorBidi" w:hAnsiTheme="majorBidi" w:cstheme="majorBidi"/>
          <w:noProof/>
          <w:sz w:val="24"/>
          <w:szCs w:val="24"/>
        </w:rPr>
        <w:t xml:space="preserve">can be </w:t>
      </w:r>
      <w:r w:rsidR="00851877">
        <w:rPr>
          <w:rFonts w:asciiTheme="majorBidi" w:hAnsiTheme="majorBidi" w:cstheme="majorBidi"/>
          <w:noProof/>
          <w:sz w:val="24"/>
          <w:szCs w:val="24"/>
        </w:rPr>
        <w:lastRenderedPageBreak/>
        <w:t xml:space="preserve">seen with gold, silver and other commodities. However, the net </w:t>
      </w:r>
      <w:r w:rsidR="002C2230">
        <w:rPr>
          <w:rFonts w:asciiTheme="majorBidi" w:hAnsiTheme="majorBidi" w:cstheme="majorBidi"/>
          <w:noProof/>
          <w:sz w:val="24"/>
          <w:szCs w:val="24"/>
        </w:rPr>
        <w:t xml:space="preserve">pairwise spillover </w:t>
      </w:r>
      <w:r w:rsidR="00851877">
        <w:rPr>
          <w:rFonts w:asciiTheme="majorBidi" w:hAnsiTheme="majorBidi" w:cstheme="majorBidi"/>
          <w:noProof/>
          <w:sz w:val="24"/>
          <w:szCs w:val="24"/>
        </w:rPr>
        <w:t>with the Euro/Dollar rate is always alternating</w:t>
      </w:r>
      <w:r w:rsidR="005A6F5E">
        <w:rPr>
          <w:rFonts w:asciiTheme="majorBidi" w:hAnsiTheme="majorBidi" w:cstheme="majorBidi"/>
          <w:noProof/>
          <w:sz w:val="24"/>
          <w:szCs w:val="24"/>
        </w:rPr>
        <w:t>,</w:t>
      </w:r>
      <w:r w:rsidR="002C2230">
        <w:rPr>
          <w:rFonts w:asciiTheme="majorBidi" w:hAnsiTheme="majorBidi" w:cstheme="majorBidi"/>
          <w:noProof/>
          <w:sz w:val="24"/>
          <w:szCs w:val="24"/>
        </w:rPr>
        <w:t xml:space="preserve"> with the</w:t>
      </w:r>
      <w:r w:rsidR="00851877">
        <w:rPr>
          <w:rFonts w:asciiTheme="majorBidi" w:hAnsiTheme="majorBidi" w:cstheme="majorBidi"/>
          <w:noProof/>
          <w:sz w:val="24"/>
          <w:szCs w:val="24"/>
        </w:rPr>
        <w:t xml:space="preserve"> oil</w:t>
      </w:r>
      <w:r w:rsidR="002C2230">
        <w:rPr>
          <w:rFonts w:asciiTheme="majorBidi" w:hAnsiTheme="majorBidi" w:cstheme="majorBidi"/>
          <w:noProof/>
          <w:sz w:val="24"/>
          <w:szCs w:val="24"/>
        </w:rPr>
        <w:t xml:space="preserve"> market</w:t>
      </w:r>
      <w:r w:rsidR="00851877">
        <w:rPr>
          <w:rFonts w:asciiTheme="majorBidi" w:hAnsiTheme="majorBidi" w:cstheme="majorBidi"/>
          <w:noProof/>
          <w:sz w:val="24"/>
          <w:szCs w:val="24"/>
        </w:rPr>
        <w:t xml:space="preserve"> </w:t>
      </w:r>
      <w:r w:rsidR="005A6F5E">
        <w:rPr>
          <w:rFonts w:asciiTheme="majorBidi" w:hAnsiTheme="majorBidi" w:cstheme="majorBidi"/>
          <w:noProof/>
          <w:sz w:val="24"/>
          <w:szCs w:val="24"/>
        </w:rPr>
        <w:t xml:space="preserve">being </w:t>
      </w:r>
      <w:r w:rsidR="00851877">
        <w:rPr>
          <w:rFonts w:asciiTheme="majorBidi" w:hAnsiTheme="majorBidi" w:cstheme="majorBidi"/>
          <w:noProof/>
          <w:sz w:val="24"/>
          <w:szCs w:val="24"/>
        </w:rPr>
        <w:t>a net reciever at some periods.</w:t>
      </w:r>
    </w:p>
    <w:p w:rsidR="000444BA" w:rsidRDefault="00851877" w:rsidP="005A6F5E">
      <w:pPr>
        <w:spacing w:line="480" w:lineRule="auto"/>
        <w:ind w:firstLine="284"/>
        <w:jc w:val="both"/>
        <w:rPr>
          <w:rFonts w:asciiTheme="majorBidi" w:hAnsiTheme="majorBidi" w:cstheme="majorBidi"/>
          <w:noProof/>
          <w:sz w:val="24"/>
          <w:szCs w:val="24"/>
        </w:rPr>
      </w:pPr>
      <w:r>
        <w:rPr>
          <w:rFonts w:asciiTheme="majorBidi" w:hAnsiTheme="majorBidi" w:cstheme="majorBidi"/>
          <w:noProof/>
          <w:sz w:val="24"/>
          <w:szCs w:val="24"/>
        </w:rPr>
        <w:t xml:space="preserve">Finally in Figure 4, we </w:t>
      </w:r>
      <w:r w:rsidR="002C2230">
        <w:rPr>
          <w:rFonts w:asciiTheme="majorBidi" w:hAnsiTheme="majorBidi" w:cstheme="majorBidi"/>
          <w:noProof/>
          <w:sz w:val="24"/>
          <w:szCs w:val="24"/>
        </w:rPr>
        <w:t>see</w:t>
      </w:r>
      <w:r>
        <w:rPr>
          <w:rFonts w:asciiTheme="majorBidi" w:hAnsiTheme="majorBidi" w:cstheme="majorBidi"/>
          <w:noProof/>
          <w:sz w:val="24"/>
          <w:szCs w:val="24"/>
        </w:rPr>
        <w:t xml:space="preserve"> a</w:t>
      </w:r>
      <w:r w:rsidR="002C2230">
        <w:rPr>
          <w:rFonts w:asciiTheme="majorBidi" w:hAnsiTheme="majorBidi" w:cstheme="majorBidi"/>
          <w:noProof/>
          <w:sz w:val="24"/>
          <w:szCs w:val="24"/>
        </w:rPr>
        <w:t xml:space="preserve">n increase </w:t>
      </w:r>
      <w:r>
        <w:rPr>
          <w:rFonts w:asciiTheme="majorBidi" w:hAnsiTheme="majorBidi" w:cstheme="majorBidi"/>
          <w:noProof/>
          <w:sz w:val="24"/>
          <w:szCs w:val="24"/>
        </w:rPr>
        <w:t>in transmission</w:t>
      </w:r>
      <w:r w:rsidR="005A6F5E">
        <w:rPr>
          <w:rFonts w:asciiTheme="majorBidi" w:hAnsiTheme="majorBidi" w:cstheme="majorBidi"/>
          <w:noProof/>
          <w:sz w:val="24"/>
          <w:szCs w:val="24"/>
        </w:rPr>
        <w:t>s</w:t>
      </w:r>
      <w:r>
        <w:rPr>
          <w:rFonts w:asciiTheme="majorBidi" w:hAnsiTheme="majorBidi" w:cstheme="majorBidi"/>
          <w:noProof/>
          <w:sz w:val="24"/>
          <w:szCs w:val="24"/>
        </w:rPr>
        <w:t xml:space="preserve"> from the oil market </w:t>
      </w:r>
      <w:r w:rsidR="00447AAA">
        <w:rPr>
          <w:rFonts w:asciiTheme="majorBidi" w:hAnsiTheme="majorBidi" w:cstheme="majorBidi"/>
          <w:noProof/>
          <w:sz w:val="24"/>
          <w:szCs w:val="24"/>
        </w:rPr>
        <w:t>to US equities, gold, silver, wheat and corn</w:t>
      </w:r>
      <w:r w:rsidR="002C2230">
        <w:rPr>
          <w:rFonts w:asciiTheme="majorBidi" w:hAnsiTheme="majorBidi" w:cstheme="majorBidi"/>
          <w:noProof/>
          <w:sz w:val="24"/>
          <w:szCs w:val="24"/>
        </w:rPr>
        <w:t xml:space="preserve"> that </w:t>
      </w:r>
      <w:r w:rsidR="00550AF0">
        <w:rPr>
          <w:rFonts w:asciiTheme="majorBidi" w:hAnsiTheme="majorBidi" w:cstheme="majorBidi"/>
          <w:noProof/>
          <w:sz w:val="24"/>
          <w:szCs w:val="24"/>
        </w:rPr>
        <w:t xml:space="preserve">are </w:t>
      </w:r>
      <w:r w:rsidR="002C2230">
        <w:rPr>
          <w:rFonts w:asciiTheme="majorBidi" w:hAnsiTheme="majorBidi" w:cstheme="majorBidi"/>
          <w:noProof/>
          <w:sz w:val="24"/>
          <w:szCs w:val="24"/>
        </w:rPr>
        <w:t xml:space="preserve">parallel to the pattern of transmissions </w:t>
      </w:r>
      <w:r w:rsidR="00550AF0">
        <w:rPr>
          <w:rFonts w:asciiTheme="majorBidi" w:hAnsiTheme="majorBidi" w:cstheme="majorBidi"/>
          <w:noProof/>
          <w:sz w:val="24"/>
          <w:szCs w:val="24"/>
        </w:rPr>
        <w:t xml:space="preserve">observed </w:t>
      </w:r>
      <w:r w:rsidR="002C2230">
        <w:rPr>
          <w:rFonts w:asciiTheme="majorBidi" w:hAnsiTheme="majorBidi" w:cstheme="majorBidi"/>
          <w:noProof/>
          <w:sz w:val="24"/>
          <w:szCs w:val="24"/>
        </w:rPr>
        <w:t xml:space="preserve">in the previous figures. </w:t>
      </w:r>
      <w:r w:rsidR="00447AAA">
        <w:rPr>
          <w:rFonts w:asciiTheme="majorBidi" w:hAnsiTheme="majorBidi" w:cstheme="majorBidi"/>
          <w:noProof/>
          <w:sz w:val="24"/>
          <w:szCs w:val="24"/>
        </w:rPr>
        <w:t xml:space="preserve">Similar increased transmissions are </w:t>
      </w:r>
      <w:r w:rsidR="005A6F5E">
        <w:rPr>
          <w:rFonts w:asciiTheme="majorBidi" w:hAnsiTheme="majorBidi" w:cstheme="majorBidi"/>
          <w:noProof/>
          <w:sz w:val="24"/>
          <w:szCs w:val="24"/>
        </w:rPr>
        <w:t xml:space="preserve">noted </w:t>
      </w:r>
      <w:r w:rsidR="00447AAA">
        <w:rPr>
          <w:rFonts w:asciiTheme="majorBidi" w:hAnsiTheme="majorBidi" w:cstheme="majorBidi"/>
          <w:noProof/>
          <w:sz w:val="24"/>
          <w:szCs w:val="24"/>
        </w:rPr>
        <w:t>in the Euro/Dollar and soybeans market</w:t>
      </w:r>
      <w:r w:rsidR="005A6F5E">
        <w:rPr>
          <w:rFonts w:asciiTheme="majorBidi" w:hAnsiTheme="majorBidi" w:cstheme="majorBidi"/>
          <w:noProof/>
          <w:sz w:val="24"/>
          <w:szCs w:val="24"/>
        </w:rPr>
        <w:t>s</w:t>
      </w:r>
      <w:r w:rsidR="00447AAA">
        <w:rPr>
          <w:rFonts w:asciiTheme="majorBidi" w:hAnsiTheme="majorBidi" w:cstheme="majorBidi"/>
          <w:noProof/>
          <w:sz w:val="24"/>
          <w:szCs w:val="24"/>
        </w:rPr>
        <w:t xml:space="preserve">. </w:t>
      </w:r>
      <w:r w:rsidR="002C2230">
        <w:rPr>
          <w:rFonts w:asciiTheme="majorBidi" w:hAnsiTheme="majorBidi" w:cstheme="majorBidi"/>
          <w:noProof/>
          <w:sz w:val="24"/>
          <w:szCs w:val="24"/>
        </w:rPr>
        <w:t>Overall</w:t>
      </w:r>
      <w:r w:rsidR="005A6F5E">
        <w:rPr>
          <w:rFonts w:asciiTheme="majorBidi" w:hAnsiTheme="majorBidi" w:cstheme="majorBidi"/>
          <w:noProof/>
          <w:sz w:val="24"/>
          <w:szCs w:val="24"/>
        </w:rPr>
        <w:t>,</w:t>
      </w:r>
      <w:r w:rsidR="002C2230">
        <w:rPr>
          <w:rFonts w:asciiTheme="majorBidi" w:hAnsiTheme="majorBidi" w:cstheme="majorBidi"/>
          <w:noProof/>
          <w:sz w:val="24"/>
          <w:szCs w:val="24"/>
        </w:rPr>
        <w:t xml:space="preserve"> the</w:t>
      </w:r>
      <w:r w:rsidR="00447AAA">
        <w:rPr>
          <w:rFonts w:asciiTheme="majorBidi" w:hAnsiTheme="majorBidi" w:cstheme="majorBidi"/>
          <w:noProof/>
          <w:sz w:val="24"/>
          <w:szCs w:val="24"/>
        </w:rPr>
        <w:t xml:space="preserve"> </w:t>
      </w:r>
      <w:r w:rsidR="002C2230">
        <w:rPr>
          <w:rFonts w:asciiTheme="majorBidi" w:hAnsiTheme="majorBidi" w:cstheme="majorBidi"/>
          <w:noProof/>
          <w:sz w:val="24"/>
          <w:szCs w:val="24"/>
        </w:rPr>
        <w:t xml:space="preserve">dynamic analysis </w:t>
      </w:r>
      <w:r w:rsidR="00447AAA">
        <w:rPr>
          <w:rFonts w:asciiTheme="majorBidi" w:hAnsiTheme="majorBidi" w:cstheme="majorBidi"/>
          <w:noProof/>
          <w:sz w:val="24"/>
          <w:szCs w:val="24"/>
        </w:rPr>
        <w:t xml:space="preserve">results </w:t>
      </w:r>
      <w:r w:rsidR="005A6F5E">
        <w:rPr>
          <w:rFonts w:asciiTheme="majorBidi" w:hAnsiTheme="majorBidi" w:cstheme="majorBidi"/>
          <w:noProof/>
          <w:sz w:val="24"/>
          <w:szCs w:val="24"/>
        </w:rPr>
        <w:t xml:space="preserve">are consistent </w:t>
      </w:r>
      <w:r w:rsidR="00447AAA">
        <w:rPr>
          <w:rFonts w:asciiTheme="majorBidi" w:hAnsiTheme="majorBidi" w:cstheme="majorBidi"/>
          <w:noProof/>
          <w:sz w:val="24"/>
          <w:szCs w:val="24"/>
        </w:rPr>
        <w:t xml:space="preserve">with the </w:t>
      </w:r>
      <w:r w:rsidR="002C2230">
        <w:rPr>
          <w:rFonts w:asciiTheme="majorBidi" w:hAnsiTheme="majorBidi" w:cstheme="majorBidi"/>
          <w:noProof/>
          <w:sz w:val="24"/>
          <w:szCs w:val="24"/>
        </w:rPr>
        <w:t xml:space="preserve">static </w:t>
      </w:r>
      <w:r w:rsidR="00447AAA">
        <w:rPr>
          <w:rFonts w:asciiTheme="majorBidi" w:hAnsiTheme="majorBidi" w:cstheme="majorBidi"/>
          <w:noProof/>
          <w:sz w:val="24"/>
          <w:szCs w:val="24"/>
        </w:rPr>
        <w:t xml:space="preserve">connectedness matrix presented in </w:t>
      </w:r>
      <w:r w:rsidR="00D214FD">
        <w:rPr>
          <w:rFonts w:asciiTheme="majorBidi" w:hAnsiTheme="majorBidi" w:cstheme="majorBidi"/>
          <w:noProof/>
          <w:sz w:val="24"/>
          <w:szCs w:val="24"/>
        </w:rPr>
        <w:t>T</w:t>
      </w:r>
      <w:r w:rsidR="00447AAA">
        <w:rPr>
          <w:rFonts w:asciiTheme="majorBidi" w:hAnsiTheme="majorBidi" w:cstheme="majorBidi"/>
          <w:noProof/>
          <w:sz w:val="24"/>
          <w:szCs w:val="24"/>
        </w:rPr>
        <w:t>able 3</w:t>
      </w:r>
      <w:r w:rsidR="00483B52">
        <w:rPr>
          <w:rFonts w:asciiTheme="majorBidi" w:hAnsiTheme="majorBidi" w:cstheme="majorBidi"/>
          <w:noProof/>
          <w:sz w:val="24"/>
          <w:szCs w:val="24"/>
        </w:rPr>
        <w:t>.</w:t>
      </w:r>
      <w:r w:rsidR="001D02AD">
        <w:rPr>
          <w:rFonts w:asciiTheme="majorBidi" w:hAnsiTheme="majorBidi" w:cstheme="majorBidi"/>
          <w:noProof/>
          <w:sz w:val="24"/>
          <w:szCs w:val="24"/>
        </w:rPr>
        <w:t xml:space="preserve"> </w:t>
      </w:r>
    </w:p>
    <w:p w:rsidR="00D214FD" w:rsidRDefault="005A6F5E" w:rsidP="00E37DCE">
      <w:pPr>
        <w:spacing w:after="0" w:line="480" w:lineRule="auto"/>
        <w:ind w:firstLine="284"/>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w:t>
      </w:r>
      <w:r w:rsidR="00D214FD" w:rsidRPr="00D214FD">
        <w:rPr>
          <w:rFonts w:asciiTheme="majorBidi" w:eastAsia="Calibri" w:hAnsiTheme="majorBidi" w:cstheme="majorBidi"/>
          <w:b/>
          <w:bCs/>
          <w:sz w:val="24"/>
          <w:szCs w:val="24"/>
        </w:rPr>
        <w:t xml:space="preserve">INSERT FIGURE </w:t>
      </w:r>
      <w:r w:rsidR="009B1D3E">
        <w:rPr>
          <w:rFonts w:asciiTheme="majorBidi" w:eastAsia="Calibri" w:hAnsiTheme="majorBidi" w:cstheme="majorBidi"/>
          <w:b/>
          <w:bCs/>
          <w:sz w:val="24"/>
          <w:szCs w:val="24"/>
        </w:rPr>
        <w:t>5</w:t>
      </w:r>
      <w:r>
        <w:rPr>
          <w:rFonts w:asciiTheme="majorBidi" w:eastAsia="Calibri" w:hAnsiTheme="majorBidi" w:cstheme="majorBidi"/>
          <w:b/>
          <w:bCs/>
          <w:sz w:val="24"/>
          <w:szCs w:val="24"/>
        </w:rPr>
        <w:t>]</w:t>
      </w:r>
    </w:p>
    <w:p w:rsidR="000A2419" w:rsidRPr="00D214FD" w:rsidRDefault="000A2419" w:rsidP="009B1D3E">
      <w:pPr>
        <w:spacing w:after="0" w:line="480" w:lineRule="auto"/>
        <w:ind w:firstLine="284"/>
        <w:jc w:val="both"/>
        <w:rPr>
          <w:rFonts w:asciiTheme="majorBidi" w:eastAsia="Calibri" w:hAnsiTheme="majorBidi" w:cstheme="majorBidi"/>
          <w:b/>
          <w:bCs/>
          <w:sz w:val="24"/>
          <w:szCs w:val="24"/>
        </w:rPr>
      </w:pPr>
    </w:p>
    <w:p w:rsidR="00552E95" w:rsidRPr="00DD6369" w:rsidRDefault="007D4DC5" w:rsidP="007D4DC5">
      <w:pPr>
        <w:pStyle w:val="ListParagraph"/>
        <w:numPr>
          <w:ilvl w:val="0"/>
          <w:numId w:val="1"/>
        </w:numPr>
        <w:spacing w:after="0" w:line="480" w:lineRule="auto"/>
        <w:ind w:left="284" w:hanging="284"/>
        <w:rPr>
          <w:rFonts w:asciiTheme="majorBidi" w:eastAsia="Calibri" w:hAnsiTheme="majorBidi" w:cstheme="majorBidi"/>
          <w:b/>
          <w:bCs/>
          <w:sz w:val="24"/>
          <w:szCs w:val="24"/>
          <w:lang w:bidi="ar-AE"/>
        </w:rPr>
      </w:pPr>
      <w:r>
        <w:rPr>
          <w:rFonts w:asciiTheme="majorBidi" w:hAnsiTheme="majorBidi" w:cstheme="majorBidi"/>
          <w:b/>
          <w:bCs/>
          <w:sz w:val="24"/>
          <w:szCs w:val="24"/>
        </w:rPr>
        <w:t>Alternative volatility measures</w:t>
      </w:r>
    </w:p>
    <w:p w:rsidR="007D4DC5" w:rsidRDefault="0020202F" w:rsidP="00954DEB">
      <w:pPr>
        <w:spacing w:line="480" w:lineRule="auto"/>
        <w:ind w:firstLine="284"/>
        <w:jc w:val="both"/>
        <w:rPr>
          <w:rFonts w:asciiTheme="majorBidi" w:hAnsiTheme="majorBidi" w:cstheme="majorBidi"/>
          <w:noProof/>
          <w:sz w:val="24"/>
          <w:szCs w:val="24"/>
        </w:rPr>
      </w:pPr>
      <w:r w:rsidRPr="00D54857">
        <w:rPr>
          <w:rFonts w:asciiTheme="majorBidi" w:hAnsiTheme="majorBidi" w:cstheme="majorBidi"/>
          <w:noProof/>
          <w:sz w:val="24"/>
          <w:szCs w:val="24"/>
        </w:rPr>
        <w:t xml:space="preserve">This section </w:t>
      </w:r>
      <w:r w:rsidR="004F7FE6" w:rsidRPr="00D54857">
        <w:rPr>
          <w:rFonts w:asciiTheme="majorBidi" w:hAnsiTheme="majorBidi" w:cstheme="majorBidi"/>
          <w:noProof/>
          <w:sz w:val="24"/>
          <w:szCs w:val="24"/>
        </w:rPr>
        <w:t>check</w:t>
      </w:r>
      <w:r w:rsidR="00D54857">
        <w:rPr>
          <w:rFonts w:asciiTheme="majorBidi" w:hAnsiTheme="majorBidi" w:cstheme="majorBidi"/>
          <w:noProof/>
          <w:sz w:val="24"/>
          <w:szCs w:val="24"/>
        </w:rPr>
        <w:t>s</w:t>
      </w:r>
      <w:r w:rsidR="004F7FE6" w:rsidRPr="00D54857">
        <w:rPr>
          <w:rFonts w:asciiTheme="majorBidi" w:hAnsiTheme="majorBidi" w:cstheme="majorBidi"/>
          <w:noProof/>
          <w:sz w:val="24"/>
          <w:szCs w:val="24"/>
        </w:rPr>
        <w:t xml:space="preserve"> whether results </w:t>
      </w:r>
      <w:r w:rsidR="0062447F" w:rsidRPr="00D54857">
        <w:rPr>
          <w:rFonts w:asciiTheme="majorBidi" w:hAnsiTheme="majorBidi" w:cstheme="majorBidi"/>
          <w:noProof/>
          <w:sz w:val="24"/>
          <w:szCs w:val="24"/>
        </w:rPr>
        <w:t xml:space="preserve">in </w:t>
      </w:r>
      <w:r w:rsidR="005A6F5E">
        <w:rPr>
          <w:rFonts w:asciiTheme="majorBidi" w:hAnsiTheme="majorBidi" w:cstheme="majorBidi"/>
          <w:noProof/>
          <w:sz w:val="24"/>
          <w:szCs w:val="24"/>
        </w:rPr>
        <w:t xml:space="preserve">the previous section </w:t>
      </w:r>
      <w:r w:rsidR="004F7FE6" w:rsidRPr="00D54857">
        <w:rPr>
          <w:rFonts w:asciiTheme="majorBidi" w:hAnsiTheme="majorBidi" w:cstheme="majorBidi"/>
          <w:noProof/>
          <w:sz w:val="24"/>
          <w:szCs w:val="24"/>
        </w:rPr>
        <w:t>are robust</w:t>
      </w:r>
      <w:r w:rsidR="0069248E">
        <w:rPr>
          <w:rFonts w:asciiTheme="majorBidi" w:hAnsiTheme="majorBidi" w:cstheme="majorBidi"/>
          <w:noProof/>
          <w:sz w:val="24"/>
          <w:szCs w:val="24"/>
        </w:rPr>
        <w:t xml:space="preserve"> to the choice of the volatility measure</w:t>
      </w:r>
      <w:r w:rsidR="004F7FE6" w:rsidRPr="00D54857">
        <w:rPr>
          <w:rFonts w:asciiTheme="majorBidi" w:hAnsiTheme="majorBidi" w:cstheme="majorBidi"/>
          <w:noProof/>
          <w:sz w:val="24"/>
          <w:szCs w:val="24"/>
        </w:rPr>
        <w:t>.</w:t>
      </w:r>
      <w:r w:rsidR="0062447F" w:rsidRPr="00D54857">
        <w:rPr>
          <w:rFonts w:asciiTheme="majorBidi" w:hAnsiTheme="majorBidi" w:cstheme="majorBidi"/>
          <w:noProof/>
          <w:sz w:val="24"/>
          <w:szCs w:val="24"/>
        </w:rPr>
        <w:t xml:space="preserve"> </w:t>
      </w:r>
      <w:r w:rsidR="0069248E">
        <w:rPr>
          <w:rFonts w:asciiTheme="majorBidi" w:hAnsiTheme="majorBidi" w:cstheme="majorBidi"/>
          <w:noProof/>
          <w:sz w:val="24"/>
          <w:szCs w:val="24"/>
        </w:rPr>
        <w:t xml:space="preserve">To </w:t>
      </w:r>
      <w:r w:rsidR="00954DEB">
        <w:rPr>
          <w:rFonts w:asciiTheme="majorBidi" w:hAnsiTheme="majorBidi" w:cstheme="majorBidi"/>
          <w:noProof/>
          <w:sz w:val="24"/>
          <w:szCs w:val="24"/>
        </w:rPr>
        <w:t xml:space="preserve">that end </w:t>
      </w:r>
      <w:r w:rsidR="001B4687" w:rsidRPr="00D54857">
        <w:rPr>
          <w:rFonts w:asciiTheme="majorBidi" w:hAnsiTheme="majorBidi" w:cstheme="majorBidi"/>
          <w:noProof/>
          <w:sz w:val="24"/>
          <w:szCs w:val="24"/>
        </w:rPr>
        <w:t xml:space="preserve">we </w:t>
      </w:r>
      <w:r w:rsidR="00CC7986" w:rsidRPr="00D54857">
        <w:rPr>
          <w:rFonts w:asciiTheme="majorBidi" w:hAnsiTheme="majorBidi" w:cstheme="majorBidi"/>
          <w:noProof/>
          <w:sz w:val="24"/>
          <w:szCs w:val="24"/>
        </w:rPr>
        <w:t>use two</w:t>
      </w:r>
      <w:r w:rsidR="001B4687" w:rsidRPr="00D54857">
        <w:rPr>
          <w:rFonts w:asciiTheme="majorBidi" w:hAnsiTheme="majorBidi" w:cstheme="majorBidi"/>
          <w:noProof/>
          <w:sz w:val="24"/>
          <w:szCs w:val="24"/>
        </w:rPr>
        <w:t xml:space="preserve"> </w:t>
      </w:r>
      <w:r w:rsidR="0069248E">
        <w:rPr>
          <w:rFonts w:asciiTheme="majorBidi" w:hAnsiTheme="majorBidi" w:cstheme="majorBidi"/>
          <w:noProof/>
          <w:sz w:val="24"/>
          <w:szCs w:val="24"/>
        </w:rPr>
        <w:t xml:space="preserve">alternative </w:t>
      </w:r>
      <w:r w:rsidR="001B4687" w:rsidRPr="00D54857">
        <w:rPr>
          <w:rFonts w:asciiTheme="majorBidi" w:hAnsiTheme="majorBidi" w:cstheme="majorBidi"/>
          <w:noProof/>
          <w:sz w:val="24"/>
          <w:szCs w:val="24"/>
        </w:rPr>
        <w:t xml:space="preserve">volatility </w:t>
      </w:r>
      <w:r w:rsidR="001C60C4" w:rsidRPr="00D54857">
        <w:rPr>
          <w:rFonts w:asciiTheme="majorBidi" w:hAnsiTheme="majorBidi" w:cstheme="majorBidi"/>
          <w:noProof/>
          <w:sz w:val="24"/>
          <w:szCs w:val="24"/>
        </w:rPr>
        <w:t>measures</w:t>
      </w:r>
      <w:r w:rsidR="001B4687" w:rsidRPr="00D54857">
        <w:rPr>
          <w:rFonts w:asciiTheme="majorBidi" w:hAnsiTheme="majorBidi" w:cstheme="majorBidi"/>
          <w:noProof/>
          <w:sz w:val="24"/>
          <w:szCs w:val="24"/>
        </w:rPr>
        <w:t xml:space="preserve"> </w:t>
      </w:r>
      <w:r w:rsidR="00CC7986" w:rsidRPr="00D54857">
        <w:rPr>
          <w:rFonts w:asciiTheme="majorBidi" w:hAnsiTheme="majorBidi" w:cstheme="majorBidi"/>
          <w:noProof/>
          <w:sz w:val="24"/>
          <w:szCs w:val="24"/>
        </w:rPr>
        <w:t xml:space="preserve">that </w:t>
      </w:r>
      <w:r w:rsidR="00C840A3" w:rsidRPr="00D54857">
        <w:rPr>
          <w:rFonts w:asciiTheme="majorBidi" w:hAnsiTheme="majorBidi" w:cstheme="majorBidi"/>
          <w:noProof/>
          <w:sz w:val="24"/>
          <w:szCs w:val="24"/>
        </w:rPr>
        <w:t xml:space="preserve">are </w:t>
      </w:r>
      <w:r w:rsidR="0069248E">
        <w:rPr>
          <w:rFonts w:asciiTheme="majorBidi" w:hAnsiTheme="majorBidi" w:cstheme="majorBidi"/>
          <w:noProof/>
          <w:sz w:val="24"/>
          <w:szCs w:val="24"/>
        </w:rPr>
        <w:t xml:space="preserve">widely </w:t>
      </w:r>
      <w:r w:rsidR="00CC7986" w:rsidRPr="00D54857">
        <w:rPr>
          <w:rFonts w:asciiTheme="majorBidi" w:hAnsiTheme="majorBidi" w:cstheme="majorBidi"/>
          <w:noProof/>
          <w:sz w:val="24"/>
          <w:szCs w:val="24"/>
        </w:rPr>
        <w:t xml:space="preserve">used </w:t>
      </w:r>
      <w:r w:rsidR="001B4687" w:rsidRPr="00D54857">
        <w:rPr>
          <w:rFonts w:asciiTheme="majorBidi" w:hAnsiTheme="majorBidi" w:cstheme="majorBidi"/>
          <w:noProof/>
          <w:sz w:val="24"/>
          <w:szCs w:val="24"/>
        </w:rPr>
        <w:t>in the literature</w:t>
      </w:r>
      <w:r w:rsidR="00954DEB">
        <w:rPr>
          <w:rFonts w:asciiTheme="majorBidi" w:hAnsiTheme="majorBidi" w:cstheme="majorBidi"/>
          <w:noProof/>
          <w:sz w:val="24"/>
          <w:szCs w:val="24"/>
        </w:rPr>
        <w:t>, namely</w:t>
      </w:r>
      <w:r w:rsidR="00CC7986" w:rsidRPr="00D54857">
        <w:rPr>
          <w:rFonts w:asciiTheme="majorBidi" w:hAnsiTheme="majorBidi" w:cstheme="majorBidi"/>
          <w:noProof/>
          <w:sz w:val="24"/>
          <w:szCs w:val="24"/>
        </w:rPr>
        <w:t xml:space="preserve"> </w:t>
      </w:r>
      <w:r w:rsidR="0072445A">
        <w:rPr>
          <w:rFonts w:asciiTheme="majorBidi" w:hAnsiTheme="majorBidi" w:cstheme="majorBidi"/>
          <w:noProof/>
          <w:sz w:val="24"/>
          <w:szCs w:val="24"/>
        </w:rPr>
        <w:t xml:space="preserve">squared returns </w:t>
      </w:r>
      <w:r w:rsidR="00CC7986" w:rsidRPr="00D54857">
        <w:rPr>
          <w:rFonts w:asciiTheme="majorBidi" w:hAnsiTheme="majorBidi" w:cstheme="majorBidi"/>
          <w:noProof/>
          <w:sz w:val="24"/>
          <w:szCs w:val="24"/>
        </w:rPr>
        <w:t>and conditional-volatility</w:t>
      </w:r>
      <w:r w:rsidR="0069248E">
        <w:rPr>
          <w:rFonts w:asciiTheme="majorBidi" w:hAnsiTheme="majorBidi" w:cstheme="majorBidi"/>
          <w:noProof/>
          <w:sz w:val="24"/>
          <w:szCs w:val="24"/>
        </w:rPr>
        <w:t xml:space="preserve"> </w:t>
      </w:r>
      <w:r w:rsidR="00954DEB">
        <w:rPr>
          <w:rFonts w:asciiTheme="majorBidi" w:hAnsiTheme="majorBidi" w:cstheme="majorBidi"/>
          <w:noProof/>
          <w:sz w:val="24"/>
          <w:szCs w:val="24"/>
        </w:rPr>
        <w:t xml:space="preserve">from </w:t>
      </w:r>
      <w:r w:rsidR="0072445A">
        <w:rPr>
          <w:rFonts w:asciiTheme="majorBidi" w:hAnsiTheme="majorBidi" w:cstheme="majorBidi"/>
          <w:noProof/>
          <w:sz w:val="24"/>
          <w:szCs w:val="24"/>
        </w:rPr>
        <w:t xml:space="preserve">a </w:t>
      </w:r>
      <w:r w:rsidR="0069248E">
        <w:rPr>
          <w:rFonts w:asciiTheme="majorBidi" w:hAnsiTheme="majorBidi" w:cstheme="majorBidi"/>
          <w:noProof/>
          <w:sz w:val="24"/>
          <w:szCs w:val="24"/>
        </w:rPr>
        <w:t>GARCH</w:t>
      </w:r>
      <w:r w:rsidR="0072445A">
        <w:rPr>
          <w:rFonts w:asciiTheme="majorBidi" w:hAnsiTheme="majorBidi" w:cstheme="majorBidi"/>
          <w:noProof/>
          <w:sz w:val="24"/>
          <w:szCs w:val="24"/>
        </w:rPr>
        <w:t xml:space="preserve"> model</w:t>
      </w:r>
      <w:r w:rsidR="00CC7986" w:rsidRPr="00D54857">
        <w:rPr>
          <w:rFonts w:asciiTheme="majorBidi" w:hAnsiTheme="majorBidi" w:cstheme="majorBidi"/>
          <w:noProof/>
          <w:sz w:val="24"/>
          <w:szCs w:val="24"/>
        </w:rPr>
        <w:t xml:space="preserve">. </w:t>
      </w:r>
    </w:p>
    <w:p w:rsidR="00DF5ADC" w:rsidRDefault="0072445A" w:rsidP="00954DEB">
      <w:pPr>
        <w:spacing w:line="480" w:lineRule="auto"/>
        <w:ind w:firstLine="284"/>
        <w:jc w:val="both"/>
        <w:rPr>
          <w:rFonts w:asciiTheme="majorBidi" w:hAnsiTheme="majorBidi" w:cstheme="majorBidi"/>
          <w:noProof/>
          <w:sz w:val="24"/>
          <w:szCs w:val="24"/>
        </w:rPr>
      </w:pPr>
      <w:r>
        <w:rPr>
          <w:rFonts w:asciiTheme="majorBidi" w:hAnsiTheme="majorBidi" w:cstheme="majorBidi"/>
          <w:noProof/>
          <w:sz w:val="24"/>
          <w:szCs w:val="24"/>
        </w:rPr>
        <w:t xml:space="preserve">First </w:t>
      </w:r>
      <w:r w:rsidR="00EF20BB" w:rsidRPr="00C30377">
        <w:rPr>
          <w:rFonts w:asciiTheme="majorBidi" w:hAnsiTheme="majorBidi" w:cstheme="majorBidi"/>
          <w:noProof/>
          <w:sz w:val="24"/>
          <w:szCs w:val="24"/>
        </w:rPr>
        <w:t xml:space="preserve">we use </w:t>
      </w:r>
      <w:r w:rsidR="00F86179" w:rsidRPr="00C30377">
        <w:rPr>
          <w:rFonts w:asciiTheme="majorBidi" w:hAnsiTheme="majorBidi" w:cstheme="majorBidi"/>
          <w:noProof/>
          <w:sz w:val="24"/>
          <w:szCs w:val="24"/>
        </w:rPr>
        <w:t>daily square</w:t>
      </w:r>
      <w:r w:rsidR="00C30377">
        <w:rPr>
          <w:rFonts w:asciiTheme="majorBidi" w:hAnsiTheme="majorBidi" w:cstheme="majorBidi"/>
          <w:noProof/>
          <w:sz w:val="24"/>
          <w:szCs w:val="24"/>
        </w:rPr>
        <w:t>d</w:t>
      </w:r>
      <w:r w:rsidR="00F86179" w:rsidRPr="00C30377">
        <w:rPr>
          <w:rFonts w:asciiTheme="majorBidi" w:hAnsiTheme="majorBidi" w:cstheme="majorBidi"/>
          <w:noProof/>
          <w:sz w:val="24"/>
          <w:szCs w:val="24"/>
        </w:rPr>
        <w:t xml:space="preserve"> re</w:t>
      </w:r>
      <w:r w:rsidR="00C30377">
        <w:rPr>
          <w:rFonts w:asciiTheme="majorBidi" w:hAnsiTheme="majorBidi" w:cstheme="majorBidi"/>
          <w:noProof/>
          <w:sz w:val="24"/>
          <w:szCs w:val="24"/>
        </w:rPr>
        <w:t xml:space="preserve">turns to proxy the latent </w:t>
      </w:r>
      <w:r w:rsidR="00F86179" w:rsidRPr="00C30377">
        <w:rPr>
          <w:rFonts w:asciiTheme="majorBidi" w:hAnsiTheme="majorBidi" w:cstheme="majorBidi"/>
          <w:noProof/>
          <w:sz w:val="24"/>
          <w:szCs w:val="24"/>
        </w:rPr>
        <w:t>volatility.</w:t>
      </w:r>
      <w:r>
        <w:rPr>
          <w:rStyle w:val="FootnoteReference"/>
          <w:rFonts w:asciiTheme="majorBidi" w:hAnsiTheme="majorBidi"/>
          <w:noProof/>
          <w:sz w:val="24"/>
          <w:szCs w:val="24"/>
        </w:rPr>
        <w:footnoteReference w:id="25"/>
      </w:r>
      <w:r w:rsidR="00F86179" w:rsidRPr="00C30377">
        <w:rPr>
          <w:rFonts w:asciiTheme="majorBidi" w:hAnsiTheme="majorBidi" w:cstheme="majorBidi"/>
          <w:noProof/>
          <w:sz w:val="24"/>
          <w:szCs w:val="24"/>
        </w:rPr>
        <w:t xml:space="preserve"> For each </w:t>
      </w:r>
      <w:r w:rsidR="00C30377">
        <w:rPr>
          <w:rFonts w:asciiTheme="majorBidi" w:hAnsiTheme="majorBidi" w:cstheme="majorBidi"/>
          <w:noProof/>
          <w:sz w:val="24"/>
          <w:szCs w:val="24"/>
        </w:rPr>
        <w:t>of the</w:t>
      </w:r>
      <w:r w:rsidR="00F86179" w:rsidRPr="00C30377">
        <w:rPr>
          <w:rFonts w:asciiTheme="majorBidi" w:hAnsiTheme="majorBidi" w:cstheme="majorBidi"/>
          <w:noProof/>
          <w:sz w:val="24"/>
          <w:szCs w:val="24"/>
        </w:rPr>
        <w:t xml:space="preserve"> underlying assets</w:t>
      </w:r>
      <w:r w:rsidR="00C30377">
        <w:rPr>
          <w:rFonts w:asciiTheme="majorBidi" w:hAnsiTheme="majorBidi" w:cstheme="majorBidi"/>
          <w:noProof/>
          <w:sz w:val="24"/>
          <w:szCs w:val="24"/>
        </w:rPr>
        <w:t xml:space="preserve"> we compute</w:t>
      </w:r>
      <w:r w:rsidR="00F86179" w:rsidRPr="00C30377">
        <w:rPr>
          <w:rFonts w:asciiTheme="majorBidi" w:hAnsiTheme="majorBidi" w:cstheme="majorBidi"/>
          <w:noProof/>
          <w:sz w:val="24"/>
          <w:szCs w:val="24"/>
        </w:rPr>
        <w:t xml:space="preserve"> the continuously compounded return</w:t>
      </w:r>
      <w:r w:rsidR="00C30377">
        <w:rPr>
          <w:rFonts w:asciiTheme="majorBidi" w:hAnsiTheme="majorBidi" w:cstheme="majorBidi"/>
          <w:noProof/>
          <w:sz w:val="24"/>
          <w:szCs w:val="24"/>
        </w:rPr>
        <w:t>s</w:t>
      </w:r>
      <w:r w:rsidR="00F86179" w:rsidRPr="00C30377">
        <w:rPr>
          <w:rFonts w:asciiTheme="majorBidi" w:hAnsiTheme="majorBidi" w:cstheme="majorBidi"/>
          <w:noProof/>
          <w:sz w:val="24"/>
          <w:szCs w:val="24"/>
        </w:rPr>
        <w:t xml:space="preserve"> </w:t>
      </w:r>
      <w:r w:rsidR="0024498C" w:rsidRPr="00C30377">
        <w:rPr>
          <w:rFonts w:asciiTheme="majorBidi" w:hAnsiTheme="majorBidi" w:cstheme="majorBidi"/>
          <w:noProof/>
          <w:sz w:val="24"/>
          <w:szCs w:val="24"/>
        </w:rPr>
        <w:t>by taking the logarithmic first differences of the price series</w:t>
      </w:r>
      <w:r w:rsidR="00F86179" w:rsidRPr="00C30377">
        <w:rPr>
          <w:rFonts w:asciiTheme="majorBidi" w:hAnsiTheme="majorBidi" w:cstheme="majorBidi"/>
          <w:noProof/>
          <w:sz w:val="24"/>
          <w:szCs w:val="24"/>
        </w:rPr>
        <w:t>.</w:t>
      </w:r>
      <w:r w:rsidR="00CF1CA0" w:rsidRPr="00C30377">
        <w:rPr>
          <w:rFonts w:asciiTheme="majorBidi" w:hAnsiTheme="majorBidi" w:cstheme="majorBidi"/>
          <w:noProof/>
          <w:sz w:val="24"/>
          <w:szCs w:val="24"/>
        </w:rPr>
        <w:t xml:space="preserve"> </w:t>
      </w:r>
      <w:r w:rsidR="00C30377">
        <w:rPr>
          <w:rFonts w:asciiTheme="majorBidi" w:hAnsiTheme="majorBidi" w:cstheme="majorBidi"/>
          <w:noProof/>
          <w:sz w:val="24"/>
          <w:szCs w:val="24"/>
        </w:rPr>
        <w:t>The squared returns of the markets are</w:t>
      </w:r>
      <w:r w:rsidR="00A82931" w:rsidRPr="00C30377">
        <w:rPr>
          <w:rFonts w:asciiTheme="majorBidi" w:hAnsiTheme="majorBidi" w:cstheme="majorBidi"/>
          <w:noProof/>
          <w:sz w:val="24"/>
          <w:szCs w:val="24"/>
        </w:rPr>
        <w:t xml:space="preserve"> </w:t>
      </w:r>
      <w:r w:rsidR="00C30377">
        <w:rPr>
          <w:rFonts w:asciiTheme="majorBidi" w:hAnsiTheme="majorBidi" w:cstheme="majorBidi"/>
          <w:noProof/>
          <w:sz w:val="24"/>
          <w:szCs w:val="24"/>
        </w:rPr>
        <w:t xml:space="preserve">computed across the </w:t>
      </w:r>
      <w:r w:rsidR="00A82931" w:rsidRPr="00C30377">
        <w:rPr>
          <w:rFonts w:asciiTheme="majorBidi" w:hAnsiTheme="majorBidi" w:cstheme="majorBidi"/>
          <w:noProof/>
          <w:sz w:val="24"/>
          <w:szCs w:val="24"/>
        </w:rPr>
        <w:t>same sample length</w:t>
      </w:r>
      <w:r w:rsidR="00484AB2" w:rsidRPr="00C30377">
        <w:rPr>
          <w:rFonts w:asciiTheme="majorBidi" w:hAnsiTheme="majorBidi" w:cstheme="majorBidi"/>
          <w:noProof/>
          <w:sz w:val="24"/>
          <w:szCs w:val="24"/>
        </w:rPr>
        <w:t xml:space="preserve"> </w:t>
      </w:r>
      <w:r w:rsidR="00C30377">
        <w:rPr>
          <w:rFonts w:asciiTheme="majorBidi" w:hAnsiTheme="majorBidi" w:cstheme="majorBidi"/>
          <w:noProof/>
          <w:sz w:val="24"/>
          <w:szCs w:val="24"/>
        </w:rPr>
        <w:t>which</w:t>
      </w:r>
      <w:r w:rsidR="009C486C" w:rsidRPr="00C30377">
        <w:rPr>
          <w:rFonts w:asciiTheme="majorBidi" w:hAnsiTheme="majorBidi" w:cstheme="majorBidi"/>
          <w:noProof/>
          <w:sz w:val="24"/>
          <w:szCs w:val="24"/>
        </w:rPr>
        <w:t xml:space="preserve"> covers</w:t>
      </w:r>
      <w:r w:rsidR="008A5563" w:rsidRPr="00C30377">
        <w:rPr>
          <w:rFonts w:asciiTheme="majorBidi" w:hAnsiTheme="majorBidi" w:cstheme="majorBidi"/>
          <w:noProof/>
          <w:sz w:val="24"/>
          <w:szCs w:val="24"/>
        </w:rPr>
        <w:t xml:space="preserve"> the period </w:t>
      </w:r>
      <w:r w:rsidR="007C3293" w:rsidRPr="00C30377">
        <w:rPr>
          <w:rFonts w:asciiTheme="majorBidi" w:hAnsiTheme="majorBidi" w:cstheme="majorBidi"/>
          <w:noProof/>
          <w:sz w:val="24"/>
          <w:szCs w:val="24"/>
        </w:rPr>
        <w:t>from 27th of July 2012 to the 3rd of June 2015</w:t>
      </w:r>
      <w:r w:rsidR="008A5563" w:rsidRPr="00C30377">
        <w:rPr>
          <w:rFonts w:asciiTheme="majorBidi" w:hAnsiTheme="majorBidi" w:cstheme="majorBidi"/>
          <w:noProof/>
          <w:sz w:val="24"/>
          <w:szCs w:val="24"/>
        </w:rPr>
        <w:t xml:space="preserve">. The </w:t>
      </w:r>
      <w:r w:rsidR="00C30377">
        <w:rPr>
          <w:rFonts w:asciiTheme="majorBidi" w:hAnsiTheme="majorBidi" w:cstheme="majorBidi"/>
          <w:noProof/>
          <w:sz w:val="24"/>
          <w:szCs w:val="24"/>
        </w:rPr>
        <w:t xml:space="preserve">price </w:t>
      </w:r>
      <w:r w:rsidR="008A5563" w:rsidRPr="00C30377">
        <w:rPr>
          <w:rFonts w:asciiTheme="majorBidi" w:hAnsiTheme="majorBidi" w:cstheme="majorBidi"/>
          <w:noProof/>
          <w:sz w:val="24"/>
          <w:szCs w:val="24"/>
        </w:rPr>
        <w:t xml:space="preserve">data on all series </w:t>
      </w:r>
      <w:r w:rsidR="00954DEB">
        <w:rPr>
          <w:rFonts w:asciiTheme="majorBidi" w:hAnsiTheme="majorBidi" w:cstheme="majorBidi"/>
          <w:noProof/>
          <w:sz w:val="24"/>
          <w:szCs w:val="24"/>
        </w:rPr>
        <w:t>are</w:t>
      </w:r>
      <w:r w:rsidR="008A5563" w:rsidRPr="00C30377">
        <w:rPr>
          <w:rFonts w:asciiTheme="majorBidi" w:hAnsiTheme="majorBidi" w:cstheme="majorBidi"/>
          <w:noProof/>
          <w:sz w:val="24"/>
          <w:szCs w:val="24"/>
        </w:rPr>
        <w:t xml:space="preserve"> from DataStream</w:t>
      </w:r>
      <w:r w:rsidR="00992A16" w:rsidRPr="00C30377">
        <w:rPr>
          <w:rFonts w:asciiTheme="majorBidi" w:hAnsiTheme="majorBidi" w:cstheme="majorBidi"/>
          <w:noProof/>
          <w:sz w:val="24"/>
          <w:szCs w:val="24"/>
        </w:rPr>
        <w:t>.</w:t>
      </w:r>
      <w:r w:rsidR="005920C5" w:rsidRPr="00C30377">
        <w:rPr>
          <w:rFonts w:asciiTheme="majorBidi" w:hAnsiTheme="majorBidi" w:cstheme="majorBidi"/>
          <w:noProof/>
          <w:sz w:val="24"/>
          <w:szCs w:val="24"/>
        </w:rPr>
        <w:t xml:space="preserve"> </w:t>
      </w:r>
    </w:p>
    <w:p w:rsidR="0042117C" w:rsidRDefault="00DF5ADC" w:rsidP="00954DEB">
      <w:pPr>
        <w:spacing w:after="0" w:line="480" w:lineRule="auto"/>
        <w:ind w:firstLine="284"/>
        <w:jc w:val="both"/>
        <w:rPr>
          <w:rFonts w:asciiTheme="majorBidi" w:hAnsiTheme="majorBidi" w:cstheme="majorBidi"/>
          <w:noProof/>
          <w:sz w:val="24"/>
          <w:szCs w:val="24"/>
        </w:rPr>
      </w:pPr>
      <w:r>
        <w:rPr>
          <w:rFonts w:asciiTheme="majorBidi" w:hAnsiTheme="majorBidi" w:cstheme="majorBidi"/>
          <w:noProof/>
          <w:sz w:val="24"/>
          <w:szCs w:val="24"/>
        </w:rPr>
        <w:t xml:space="preserve">Table 5, Panel A reports the matrix of market </w:t>
      </w:r>
      <w:r w:rsidR="0072445A">
        <w:rPr>
          <w:rFonts w:asciiTheme="majorBidi" w:hAnsiTheme="majorBidi" w:cstheme="majorBidi"/>
          <w:noProof/>
          <w:sz w:val="24"/>
          <w:szCs w:val="24"/>
        </w:rPr>
        <w:t>spillovers</w:t>
      </w:r>
      <w:r>
        <w:rPr>
          <w:rFonts w:asciiTheme="majorBidi" w:hAnsiTheme="majorBidi" w:cstheme="majorBidi"/>
          <w:noProof/>
          <w:sz w:val="24"/>
          <w:szCs w:val="24"/>
        </w:rPr>
        <w:t xml:space="preserve">. The panel shows similar transmission patterns </w:t>
      </w:r>
      <w:r w:rsidR="00954DEB">
        <w:rPr>
          <w:rFonts w:asciiTheme="majorBidi" w:hAnsiTheme="majorBidi" w:cstheme="majorBidi"/>
          <w:noProof/>
          <w:sz w:val="24"/>
          <w:szCs w:val="24"/>
        </w:rPr>
        <w:t>to</w:t>
      </w:r>
      <w:r>
        <w:rPr>
          <w:rFonts w:asciiTheme="majorBidi" w:hAnsiTheme="majorBidi" w:cstheme="majorBidi"/>
          <w:noProof/>
          <w:sz w:val="24"/>
          <w:szCs w:val="24"/>
        </w:rPr>
        <w:t xml:space="preserve"> those reported in </w:t>
      </w:r>
      <w:r w:rsidR="0072445A">
        <w:rPr>
          <w:rFonts w:asciiTheme="majorBidi" w:hAnsiTheme="majorBidi" w:cstheme="majorBidi"/>
          <w:noProof/>
          <w:sz w:val="24"/>
          <w:szCs w:val="24"/>
        </w:rPr>
        <w:t xml:space="preserve">Table </w:t>
      </w:r>
      <w:r>
        <w:rPr>
          <w:rFonts w:asciiTheme="majorBidi" w:hAnsiTheme="majorBidi" w:cstheme="majorBidi"/>
          <w:noProof/>
          <w:sz w:val="24"/>
          <w:szCs w:val="24"/>
        </w:rPr>
        <w:t>4.</w:t>
      </w:r>
      <w:r w:rsidR="009D6F42">
        <w:rPr>
          <w:rFonts w:asciiTheme="majorBidi" w:hAnsiTheme="majorBidi" w:cstheme="majorBidi"/>
          <w:noProof/>
          <w:sz w:val="24"/>
          <w:szCs w:val="24"/>
        </w:rPr>
        <w:t xml:space="preserve"> </w:t>
      </w:r>
      <w:r w:rsidR="0072445A">
        <w:rPr>
          <w:rFonts w:asciiTheme="majorBidi" w:hAnsiTheme="majorBidi" w:cstheme="majorBidi"/>
          <w:noProof/>
          <w:sz w:val="24"/>
          <w:szCs w:val="24"/>
        </w:rPr>
        <w:t>T</w:t>
      </w:r>
      <w:r w:rsidR="009D6F42">
        <w:rPr>
          <w:rFonts w:asciiTheme="majorBidi" w:hAnsiTheme="majorBidi" w:cstheme="majorBidi"/>
          <w:noProof/>
          <w:sz w:val="24"/>
          <w:szCs w:val="24"/>
        </w:rPr>
        <w:t xml:space="preserve">he oil market is a net transmitter of volatility to all markets in the system. The pairwise conectedness of the oil market is highest with equities and lowest with </w:t>
      </w:r>
      <w:r w:rsidR="0042117C">
        <w:rPr>
          <w:rFonts w:asciiTheme="majorBidi" w:hAnsiTheme="majorBidi" w:cstheme="majorBidi"/>
          <w:noProof/>
          <w:sz w:val="24"/>
          <w:szCs w:val="24"/>
        </w:rPr>
        <w:t xml:space="preserve">agricultural </w:t>
      </w:r>
      <w:r w:rsidR="009D6F42">
        <w:rPr>
          <w:rFonts w:asciiTheme="majorBidi" w:hAnsiTheme="majorBidi" w:cstheme="majorBidi"/>
          <w:noProof/>
          <w:sz w:val="24"/>
          <w:szCs w:val="24"/>
        </w:rPr>
        <w:t xml:space="preserve">commodities. </w:t>
      </w:r>
      <w:r w:rsidR="0042117C">
        <w:rPr>
          <w:rFonts w:asciiTheme="majorBidi" w:hAnsiTheme="majorBidi" w:cstheme="majorBidi"/>
          <w:noProof/>
          <w:sz w:val="24"/>
          <w:szCs w:val="24"/>
        </w:rPr>
        <w:t>There is some transmissions to precious metals and foreign excha</w:t>
      </w:r>
      <w:r w:rsidR="0072445A">
        <w:rPr>
          <w:rFonts w:asciiTheme="majorBidi" w:hAnsiTheme="majorBidi" w:cstheme="majorBidi"/>
          <w:noProof/>
          <w:sz w:val="24"/>
          <w:szCs w:val="24"/>
        </w:rPr>
        <w:t>n</w:t>
      </w:r>
      <w:r w:rsidR="0042117C">
        <w:rPr>
          <w:rFonts w:asciiTheme="majorBidi" w:hAnsiTheme="majorBidi" w:cstheme="majorBidi"/>
          <w:noProof/>
          <w:sz w:val="24"/>
          <w:szCs w:val="24"/>
        </w:rPr>
        <w:t xml:space="preserve">ge. </w:t>
      </w:r>
      <w:r w:rsidR="009D6F42">
        <w:rPr>
          <w:rFonts w:asciiTheme="majorBidi" w:hAnsiTheme="majorBidi" w:cstheme="majorBidi"/>
          <w:noProof/>
          <w:sz w:val="24"/>
          <w:szCs w:val="24"/>
        </w:rPr>
        <w:t xml:space="preserve">The oil market spills 17.3% on equities and receives </w:t>
      </w:r>
      <w:r w:rsidR="00954DEB">
        <w:rPr>
          <w:rFonts w:asciiTheme="majorBidi" w:hAnsiTheme="majorBidi" w:cstheme="majorBidi"/>
          <w:noProof/>
          <w:sz w:val="24"/>
          <w:szCs w:val="24"/>
        </w:rPr>
        <w:t>no</w:t>
      </w:r>
      <w:r w:rsidR="009D6F42">
        <w:rPr>
          <w:rFonts w:asciiTheme="majorBidi" w:hAnsiTheme="majorBidi" w:cstheme="majorBidi"/>
          <w:noProof/>
          <w:sz w:val="24"/>
          <w:szCs w:val="24"/>
        </w:rPr>
        <w:t xml:space="preserve"> transmission</w:t>
      </w:r>
      <w:r w:rsidR="0072445A">
        <w:rPr>
          <w:rFonts w:asciiTheme="majorBidi" w:hAnsiTheme="majorBidi" w:cstheme="majorBidi"/>
          <w:noProof/>
          <w:sz w:val="24"/>
          <w:szCs w:val="24"/>
        </w:rPr>
        <w:t>s</w:t>
      </w:r>
      <w:r w:rsidR="009D6F42">
        <w:rPr>
          <w:rFonts w:asciiTheme="majorBidi" w:hAnsiTheme="majorBidi" w:cstheme="majorBidi"/>
          <w:noProof/>
          <w:sz w:val="24"/>
          <w:szCs w:val="24"/>
        </w:rPr>
        <w:t xml:space="preserve"> in the opposite direction. The same </w:t>
      </w:r>
      <w:r w:rsidR="0042117C">
        <w:rPr>
          <w:rFonts w:asciiTheme="majorBidi" w:hAnsiTheme="majorBidi" w:cstheme="majorBidi"/>
          <w:noProof/>
          <w:sz w:val="24"/>
          <w:szCs w:val="24"/>
        </w:rPr>
        <w:lastRenderedPageBreak/>
        <w:t xml:space="preserve">net pairwise </w:t>
      </w:r>
      <w:r w:rsidR="009D6F42">
        <w:rPr>
          <w:rFonts w:asciiTheme="majorBidi" w:hAnsiTheme="majorBidi" w:cstheme="majorBidi"/>
          <w:noProof/>
          <w:sz w:val="24"/>
          <w:szCs w:val="24"/>
        </w:rPr>
        <w:t>pattern is observed with every other market in the system. The total directional connectedness from oil to the whole system is 137% while it is a</w:t>
      </w:r>
      <w:r w:rsidR="00954DEB">
        <w:rPr>
          <w:rFonts w:asciiTheme="majorBidi" w:hAnsiTheme="majorBidi" w:cstheme="majorBidi"/>
          <w:noProof/>
          <w:sz w:val="24"/>
          <w:szCs w:val="24"/>
        </w:rPr>
        <w:t>s little as</w:t>
      </w:r>
      <w:r w:rsidR="009D6F42">
        <w:rPr>
          <w:rFonts w:asciiTheme="majorBidi" w:hAnsiTheme="majorBidi" w:cstheme="majorBidi"/>
          <w:noProof/>
          <w:sz w:val="24"/>
          <w:szCs w:val="24"/>
        </w:rPr>
        <w:t xml:space="preserve"> 3% in the opposite direction. </w:t>
      </w:r>
      <w:r w:rsidR="0042117C">
        <w:rPr>
          <w:rFonts w:asciiTheme="majorBidi" w:hAnsiTheme="majorBidi" w:cstheme="majorBidi"/>
          <w:noProof/>
          <w:sz w:val="24"/>
          <w:szCs w:val="24"/>
        </w:rPr>
        <w:t xml:space="preserve">The total transmission in the whole system is around 27%. These results </w:t>
      </w:r>
      <w:r w:rsidR="00954DEB">
        <w:rPr>
          <w:rFonts w:asciiTheme="majorBidi" w:hAnsiTheme="majorBidi" w:cstheme="majorBidi"/>
          <w:noProof/>
          <w:sz w:val="24"/>
          <w:szCs w:val="24"/>
        </w:rPr>
        <w:t xml:space="preserve">are in line </w:t>
      </w:r>
      <w:r w:rsidR="0042117C">
        <w:rPr>
          <w:rFonts w:asciiTheme="majorBidi" w:hAnsiTheme="majorBidi" w:cstheme="majorBidi"/>
          <w:noProof/>
          <w:sz w:val="24"/>
          <w:szCs w:val="24"/>
        </w:rPr>
        <w:t xml:space="preserve">with the results obtained from implied volatility </w:t>
      </w:r>
      <w:r w:rsidR="0072445A">
        <w:rPr>
          <w:rFonts w:asciiTheme="majorBidi" w:hAnsiTheme="majorBidi" w:cstheme="majorBidi"/>
          <w:noProof/>
          <w:sz w:val="24"/>
          <w:szCs w:val="24"/>
        </w:rPr>
        <w:t>measure</w:t>
      </w:r>
      <w:r w:rsidR="0042117C">
        <w:rPr>
          <w:rFonts w:asciiTheme="majorBidi" w:hAnsiTheme="majorBidi" w:cstheme="majorBidi"/>
          <w:noProof/>
          <w:sz w:val="24"/>
          <w:szCs w:val="24"/>
        </w:rPr>
        <w:t>.</w:t>
      </w:r>
    </w:p>
    <w:p w:rsidR="00B938CC" w:rsidRDefault="0042117C" w:rsidP="007D3394">
      <w:pPr>
        <w:spacing w:after="0" w:line="480" w:lineRule="auto"/>
        <w:ind w:firstLine="284"/>
        <w:jc w:val="both"/>
        <w:rPr>
          <w:rFonts w:asciiTheme="majorBidi" w:hAnsiTheme="majorBidi" w:cstheme="majorBidi"/>
          <w:noProof/>
          <w:sz w:val="24"/>
          <w:szCs w:val="24"/>
        </w:rPr>
      </w:pPr>
      <w:r>
        <w:rPr>
          <w:rFonts w:asciiTheme="majorBidi" w:hAnsiTheme="majorBidi" w:cstheme="majorBidi"/>
          <w:noProof/>
          <w:sz w:val="24"/>
          <w:szCs w:val="24"/>
        </w:rPr>
        <w:t xml:space="preserve">It is well known that squared returns </w:t>
      </w:r>
      <w:r w:rsidR="00954DEB">
        <w:rPr>
          <w:rFonts w:asciiTheme="majorBidi" w:hAnsiTheme="majorBidi" w:cstheme="majorBidi"/>
          <w:noProof/>
          <w:sz w:val="24"/>
          <w:szCs w:val="24"/>
        </w:rPr>
        <w:t>are</w:t>
      </w:r>
      <w:r>
        <w:rPr>
          <w:rFonts w:asciiTheme="majorBidi" w:hAnsiTheme="majorBidi" w:cstheme="majorBidi"/>
          <w:noProof/>
          <w:sz w:val="24"/>
          <w:szCs w:val="24"/>
        </w:rPr>
        <w:t xml:space="preserve"> noisy measure of volatility. Therefore, we </w:t>
      </w:r>
      <w:r w:rsidR="0072445A">
        <w:rPr>
          <w:rFonts w:asciiTheme="majorBidi" w:hAnsiTheme="majorBidi" w:cstheme="majorBidi"/>
          <w:noProof/>
          <w:sz w:val="24"/>
          <w:szCs w:val="24"/>
        </w:rPr>
        <w:t xml:space="preserve">use another </w:t>
      </w:r>
      <w:r>
        <w:rPr>
          <w:rFonts w:asciiTheme="majorBidi" w:hAnsiTheme="majorBidi" w:cstheme="majorBidi"/>
          <w:noProof/>
          <w:sz w:val="24"/>
          <w:szCs w:val="24"/>
        </w:rPr>
        <w:t>measure</w:t>
      </w:r>
      <w:r w:rsidR="00954DEB">
        <w:rPr>
          <w:rFonts w:asciiTheme="majorBidi" w:hAnsiTheme="majorBidi" w:cstheme="majorBidi"/>
          <w:noProof/>
          <w:sz w:val="24"/>
          <w:szCs w:val="24"/>
        </w:rPr>
        <w:t xml:space="preserve"> of</w:t>
      </w:r>
      <w:r>
        <w:rPr>
          <w:rFonts w:asciiTheme="majorBidi" w:hAnsiTheme="majorBidi" w:cstheme="majorBidi"/>
          <w:noProof/>
          <w:sz w:val="24"/>
          <w:szCs w:val="24"/>
        </w:rPr>
        <w:t xml:space="preserve"> volatility by taking the fitted value</w:t>
      </w:r>
      <w:r w:rsidR="0072445A">
        <w:rPr>
          <w:rFonts w:asciiTheme="majorBidi" w:hAnsiTheme="majorBidi" w:cstheme="majorBidi"/>
          <w:noProof/>
          <w:sz w:val="24"/>
          <w:szCs w:val="24"/>
        </w:rPr>
        <w:t>s</w:t>
      </w:r>
      <w:r>
        <w:rPr>
          <w:rFonts w:asciiTheme="majorBidi" w:hAnsiTheme="majorBidi" w:cstheme="majorBidi"/>
          <w:noProof/>
          <w:sz w:val="24"/>
          <w:szCs w:val="24"/>
        </w:rPr>
        <w:t xml:space="preserve"> of a GARCH model</w:t>
      </w:r>
      <w:r w:rsidR="0072445A">
        <w:rPr>
          <w:rFonts w:asciiTheme="majorBidi" w:hAnsiTheme="majorBidi" w:cstheme="majorBidi"/>
          <w:noProof/>
          <w:sz w:val="24"/>
          <w:szCs w:val="24"/>
        </w:rPr>
        <w:t xml:space="preserve"> as a measure of the latent volatility</w:t>
      </w:r>
      <w:r>
        <w:rPr>
          <w:rFonts w:asciiTheme="majorBidi" w:hAnsiTheme="majorBidi" w:cstheme="majorBidi"/>
          <w:noProof/>
          <w:sz w:val="24"/>
          <w:szCs w:val="24"/>
        </w:rPr>
        <w:t xml:space="preserve">. </w:t>
      </w:r>
      <w:r w:rsidR="00954DEB">
        <w:rPr>
          <w:rFonts w:asciiTheme="majorBidi" w:hAnsiTheme="majorBidi" w:cstheme="majorBidi"/>
          <w:noProof/>
          <w:sz w:val="24"/>
          <w:szCs w:val="24"/>
        </w:rPr>
        <w:t xml:space="preserve">Specifically, </w:t>
      </w:r>
      <w:r w:rsidR="00B938CC">
        <w:rPr>
          <w:rFonts w:asciiTheme="majorBidi" w:hAnsiTheme="majorBidi" w:cstheme="majorBidi"/>
          <w:noProof/>
          <w:sz w:val="24"/>
          <w:szCs w:val="24"/>
        </w:rPr>
        <w:t>we estimate an AR(1)-GARCH(1,1) model for each of the return series</w:t>
      </w:r>
      <w:r w:rsidR="0072445A">
        <w:rPr>
          <w:rFonts w:asciiTheme="majorBidi" w:hAnsiTheme="majorBidi" w:cstheme="majorBidi"/>
          <w:noProof/>
          <w:sz w:val="24"/>
          <w:szCs w:val="24"/>
        </w:rPr>
        <w:t>.</w:t>
      </w:r>
      <w:r w:rsidR="00B938CC">
        <w:rPr>
          <w:rFonts w:asciiTheme="majorBidi" w:hAnsiTheme="majorBidi" w:cstheme="majorBidi"/>
          <w:noProof/>
          <w:sz w:val="24"/>
          <w:szCs w:val="24"/>
        </w:rPr>
        <w:t xml:space="preserve"> </w:t>
      </w:r>
    </w:p>
    <w:p w:rsidR="0042117C" w:rsidRDefault="00B938CC" w:rsidP="007D3394">
      <w:pPr>
        <w:spacing w:line="480" w:lineRule="auto"/>
        <w:ind w:firstLine="284"/>
        <w:jc w:val="both"/>
        <w:rPr>
          <w:rFonts w:asciiTheme="majorBidi" w:hAnsiTheme="majorBidi" w:cstheme="majorBidi"/>
          <w:noProof/>
          <w:sz w:val="24"/>
          <w:szCs w:val="24"/>
        </w:rPr>
      </w:pPr>
      <w:r>
        <w:rPr>
          <w:rFonts w:asciiTheme="majorBidi" w:hAnsiTheme="majorBidi" w:cstheme="majorBidi"/>
          <w:noProof/>
          <w:sz w:val="24"/>
          <w:szCs w:val="24"/>
        </w:rPr>
        <w:t xml:space="preserve">Panel B of </w:t>
      </w:r>
      <w:r w:rsidR="007D3394">
        <w:rPr>
          <w:rFonts w:asciiTheme="majorBidi" w:hAnsiTheme="majorBidi" w:cstheme="majorBidi"/>
          <w:noProof/>
          <w:sz w:val="24"/>
          <w:szCs w:val="24"/>
        </w:rPr>
        <w:t xml:space="preserve">Table 5 </w:t>
      </w:r>
      <w:r>
        <w:rPr>
          <w:rFonts w:asciiTheme="majorBidi" w:hAnsiTheme="majorBidi" w:cstheme="majorBidi"/>
          <w:noProof/>
          <w:sz w:val="24"/>
          <w:szCs w:val="24"/>
        </w:rPr>
        <w:t xml:space="preserve">reports the results based on GARCH volatilities. As </w:t>
      </w:r>
      <w:r w:rsidR="007D3394">
        <w:rPr>
          <w:rFonts w:asciiTheme="majorBidi" w:hAnsiTheme="majorBidi" w:cstheme="majorBidi"/>
          <w:noProof/>
          <w:sz w:val="24"/>
          <w:szCs w:val="24"/>
        </w:rPr>
        <w:t xml:space="preserve">is clear from </w:t>
      </w:r>
      <w:r>
        <w:rPr>
          <w:rFonts w:asciiTheme="majorBidi" w:hAnsiTheme="majorBidi" w:cstheme="majorBidi"/>
          <w:noProof/>
          <w:sz w:val="24"/>
          <w:szCs w:val="24"/>
        </w:rPr>
        <w:t xml:space="preserve">the table, there </w:t>
      </w:r>
      <w:r w:rsidR="007D3394">
        <w:rPr>
          <w:rFonts w:asciiTheme="majorBidi" w:hAnsiTheme="majorBidi" w:cstheme="majorBidi"/>
          <w:noProof/>
          <w:sz w:val="24"/>
          <w:szCs w:val="24"/>
        </w:rPr>
        <w:t xml:space="preserve">is little discernible </w:t>
      </w:r>
      <w:r>
        <w:rPr>
          <w:rFonts w:asciiTheme="majorBidi" w:hAnsiTheme="majorBidi" w:cstheme="majorBidi"/>
          <w:noProof/>
          <w:sz w:val="24"/>
          <w:szCs w:val="24"/>
        </w:rPr>
        <w:t>change in the result</w:t>
      </w:r>
      <w:r w:rsidR="0072445A">
        <w:rPr>
          <w:rFonts w:asciiTheme="majorBidi" w:hAnsiTheme="majorBidi" w:cstheme="majorBidi"/>
          <w:noProof/>
          <w:sz w:val="24"/>
          <w:szCs w:val="24"/>
        </w:rPr>
        <w:t>s</w:t>
      </w:r>
      <w:r>
        <w:rPr>
          <w:rFonts w:asciiTheme="majorBidi" w:hAnsiTheme="majorBidi" w:cstheme="majorBidi"/>
          <w:noProof/>
          <w:sz w:val="24"/>
          <w:szCs w:val="24"/>
        </w:rPr>
        <w:t xml:space="preserve">. The GARCH volatilities of oil </w:t>
      </w:r>
      <w:r w:rsidR="007D3394">
        <w:rPr>
          <w:rFonts w:asciiTheme="majorBidi" w:hAnsiTheme="majorBidi" w:cstheme="majorBidi"/>
          <w:noProof/>
          <w:sz w:val="24"/>
          <w:szCs w:val="24"/>
        </w:rPr>
        <w:t xml:space="preserve">remain central to </w:t>
      </w:r>
      <w:r>
        <w:rPr>
          <w:rFonts w:asciiTheme="majorBidi" w:hAnsiTheme="majorBidi" w:cstheme="majorBidi"/>
          <w:noProof/>
          <w:sz w:val="24"/>
          <w:szCs w:val="24"/>
        </w:rPr>
        <w:t>transmission</w:t>
      </w:r>
      <w:r w:rsidR="0072445A">
        <w:rPr>
          <w:rFonts w:asciiTheme="majorBidi" w:hAnsiTheme="majorBidi" w:cstheme="majorBidi"/>
          <w:noProof/>
          <w:sz w:val="24"/>
          <w:szCs w:val="24"/>
        </w:rPr>
        <w:t xml:space="preserve">s </w:t>
      </w:r>
      <w:r w:rsidR="007D3394">
        <w:rPr>
          <w:rFonts w:asciiTheme="majorBidi" w:hAnsiTheme="majorBidi" w:cstheme="majorBidi"/>
          <w:noProof/>
          <w:sz w:val="24"/>
          <w:szCs w:val="24"/>
        </w:rPr>
        <w:t>with</w:t>
      </w:r>
      <w:r w:rsidR="0072445A">
        <w:rPr>
          <w:rFonts w:asciiTheme="majorBidi" w:hAnsiTheme="majorBidi" w:cstheme="majorBidi"/>
          <w:noProof/>
          <w:sz w:val="24"/>
          <w:szCs w:val="24"/>
        </w:rPr>
        <w:t>in the system</w:t>
      </w:r>
      <w:r>
        <w:rPr>
          <w:rFonts w:asciiTheme="majorBidi" w:hAnsiTheme="majorBidi" w:cstheme="majorBidi"/>
          <w:noProof/>
          <w:sz w:val="24"/>
          <w:szCs w:val="24"/>
        </w:rPr>
        <w:t>. Oil remain</w:t>
      </w:r>
      <w:r w:rsidR="007D3394">
        <w:rPr>
          <w:rFonts w:asciiTheme="majorBidi" w:hAnsiTheme="majorBidi" w:cstheme="majorBidi"/>
          <w:noProof/>
          <w:sz w:val="24"/>
          <w:szCs w:val="24"/>
        </w:rPr>
        <w:t>s</w:t>
      </w:r>
      <w:r>
        <w:rPr>
          <w:rFonts w:asciiTheme="majorBidi" w:hAnsiTheme="majorBidi" w:cstheme="majorBidi"/>
          <w:noProof/>
          <w:sz w:val="24"/>
          <w:szCs w:val="24"/>
        </w:rPr>
        <w:t xml:space="preserve"> the net giver of shocks to all markets with high transmission to equities, </w:t>
      </w:r>
      <w:r w:rsidR="007D3394">
        <w:rPr>
          <w:rFonts w:asciiTheme="majorBidi" w:hAnsiTheme="majorBidi" w:cstheme="majorBidi"/>
          <w:noProof/>
          <w:sz w:val="24"/>
          <w:szCs w:val="24"/>
        </w:rPr>
        <w:t xml:space="preserve">moderate </w:t>
      </w:r>
      <w:r>
        <w:rPr>
          <w:rFonts w:asciiTheme="majorBidi" w:hAnsiTheme="majorBidi" w:cstheme="majorBidi"/>
          <w:noProof/>
          <w:sz w:val="24"/>
          <w:szCs w:val="24"/>
        </w:rPr>
        <w:t>transmission to precious metals and excha</w:t>
      </w:r>
      <w:r w:rsidR="0072445A">
        <w:rPr>
          <w:rFonts w:asciiTheme="majorBidi" w:hAnsiTheme="majorBidi" w:cstheme="majorBidi"/>
          <w:noProof/>
          <w:sz w:val="24"/>
          <w:szCs w:val="24"/>
        </w:rPr>
        <w:t>n</w:t>
      </w:r>
      <w:r>
        <w:rPr>
          <w:rFonts w:asciiTheme="majorBidi" w:hAnsiTheme="majorBidi" w:cstheme="majorBidi"/>
          <w:noProof/>
          <w:sz w:val="24"/>
          <w:szCs w:val="24"/>
        </w:rPr>
        <w:t>ge rates</w:t>
      </w:r>
      <w:r w:rsidR="007D3394">
        <w:rPr>
          <w:rFonts w:asciiTheme="majorBidi" w:hAnsiTheme="majorBidi" w:cstheme="majorBidi"/>
          <w:noProof/>
          <w:sz w:val="24"/>
          <w:szCs w:val="24"/>
        </w:rPr>
        <w:t>,</w:t>
      </w:r>
      <w:r>
        <w:rPr>
          <w:rFonts w:asciiTheme="majorBidi" w:hAnsiTheme="majorBidi" w:cstheme="majorBidi"/>
          <w:noProof/>
          <w:sz w:val="24"/>
          <w:szCs w:val="24"/>
        </w:rPr>
        <w:t xml:space="preserve"> and </w:t>
      </w:r>
      <w:r w:rsidR="007D3394">
        <w:rPr>
          <w:rFonts w:asciiTheme="majorBidi" w:hAnsiTheme="majorBidi" w:cstheme="majorBidi"/>
          <w:noProof/>
          <w:sz w:val="24"/>
          <w:szCs w:val="24"/>
        </w:rPr>
        <w:t xml:space="preserve">low </w:t>
      </w:r>
      <w:r>
        <w:rPr>
          <w:rFonts w:asciiTheme="majorBidi" w:hAnsiTheme="majorBidi" w:cstheme="majorBidi"/>
          <w:noProof/>
          <w:sz w:val="24"/>
          <w:szCs w:val="24"/>
        </w:rPr>
        <w:t xml:space="preserve">transmission to agricultural products. </w:t>
      </w:r>
      <w:r w:rsidR="0042117C">
        <w:rPr>
          <w:rFonts w:asciiTheme="majorBidi" w:hAnsiTheme="majorBidi" w:cstheme="majorBidi"/>
          <w:noProof/>
          <w:sz w:val="24"/>
          <w:szCs w:val="24"/>
        </w:rPr>
        <w:t xml:space="preserve"> </w:t>
      </w:r>
    </w:p>
    <w:p w:rsidR="007D3394" w:rsidRDefault="007D3394" w:rsidP="007D3394">
      <w:pPr>
        <w:spacing w:line="480" w:lineRule="auto"/>
        <w:ind w:firstLine="284"/>
        <w:jc w:val="center"/>
        <w:rPr>
          <w:rFonts w:asciiTheme="majorBidi" w:hAnsiTheme="majorBidi" w:cstheme="majorBidi"/>
          <w:b/>
          <w:bCs/>
          <w:noProof/>
          <w:sz w:val="24"/>
          <w:szCs w:val="24"/>
        </w:rPr>
      </w:pPr>
      <w:r>
        <w:rPr>
          <w:rFonts w:asciiTheme="majorBidi" w:hAnsiTheme="majorBidi" w:cstheme="majorBidi"/>
          <w:b/>
          <w:bCs/>
          <w:noProof/>
          <w:sz w:val="24"/>
          <w:szCs w:val="24"/>
        </w:rPr>
        <w:t>[</w:t>
      </w:r>
      <w:r w:rsidRPr="00C30377">
        <w:rPr>
          <w:rFonts w:asciiTheme="majorBidi" w:hAnsiTheme="majorBidi" w:cstheme="majorBidi"/>
          <w:b/>
          <w:bCs/>
          <w:noProof/>
          <w:sz w:val="24"/>
          <w:szCs w:val="24"/>
        </w:rPr>
        <w:t xml:space="preserve">INSERT TABLE </w:t>
      </w:r>
      <w:r>
        <w:rPr>
          <w:rFonts w:asciiTheme="majorBidi" w:hAnsiTheme="majorBidi" w:cstheme="majorBidi"/>
          <w:b/>
          <w:bCs/>
          <w:noProof/>
          <w:sz w:val="24"/>
          <w:szCs w:val="24"/>
        </w:rPr>
        <w:t>5]</w:t>
      </w:r>
    </w:p>
    <w:p w:rsidR="00483B52" w:rsidRDefault="003E3B8B" w:rsidP="007C42F9">
      <w:pPr>
        <w:pStyle w:val="ListParagraph"/>
        <w:numPr>
          <w:ilvl w:val="0"/>
          <w:numId w:val="1"/>
        </w:numPr>
        <w:spacing w:after="0" w:line="480" w:lineRule="auto"/>
        <w:ind w:left="284" w:hanging="284"/>
        <w:rPr>
          <w:rFonts w:asciiTheme="majorBidi" w:eastAsia="Calibri" w:hAnsiTheme="majorBidi" w:cstheme="majorBidi"/>
          <w:b/>
          <w:bCs/>
          <w:sz w:val="24"/>
          <w:szCs w:val="24"/>
          <w:lang w:bidi="ar-AE"/>
        </w:rPr>
      </w:pPr>
      <w:r>
        <w:rPr>
          <w:rFonts w:asciiTheme="majorBidi" w:eastAsia="Calibri" w:hAnsiTheme="majorBidi" w:cstheme="majorBidi"/>
          <w:b/>
          <w:bCs/>
          <w:sz w:val="24"/>
          <w:szCs w:val="24"/>
          <w:lang w:bidi="ar-AE"/>
        </w:rPr>
        <w:t>Conclusion</w:t>
      </w:r>
    </w:p>
    <w:p w:rsidR="00201073" w:rsidRDefault="003E3B8B" w:rsidP="004E5FAE">
      <w:pPr>
        <w:spacing w:after="0" w:line="480" w:lineRule="auto"/>
        <w:ind w:firstLine="284"/>
        <w:jc w:val="both"/>
        <w:rPr>
          <w:rFonts w:asciiTheme="majorBidi" w:eastAsia="Calibri" w:hAnsiTheme="majorBidi" w:cstheme="majorBidi"/>
          <w:sz w:val="24"/>
          <w:szCs w:val="24"/>
          <w:lang w:bidi="ar-AE"/>
        </w:rPr>
      </w:pPr>
      <w:r>
        <w:rPr>
          <w:rFonts w:asciiTheme="majorBidi" w:eastAsia="Calibri" w:hAnsiTheme="majorBidi" w:cstheme="majorBidi"/>
          <w:sz w:val="24"/>
          <w:szCs w:val="24"/>
          <w:lang w:bidi="ar-AE"/>
        </w:rPr>
        <w:t xml:space="preserve">In this paper we </w:t>
      </w:r>
      <w:r w:rsidR="00FE2311">
        <w:rPr>
          <w:rFonts w:asciiTheme="majorBidi" w:eastAsia="Calibri" w:hAnsiTheme="majorBidi" w:cstheme="majorBidi"/>
          <w:sz w:val="24"/>
          <w:szCs w:val="24"/>
          <w:lang w:bidi="ar-AE"/>
        </w:rPr>
        <w:t xml:space="preserve">contribute to the literature on the </w:t>
      </w:r>
      <w:r w:rsidR="005F27E9">
        <w:rPr>
          <w:rFonts w:asciiTheme="majorBidi" w:eastAsia="Calibri" w:hAnsiTheme="majorBidi" w:cstheme="majorBidi"/>
          <w:sz w:val="24"/>
          <w:szCs w:val="24"/>
          <w:lang w:bidi="ar-AE"/>
        </w:rPr>
        <w:t>co-movement</w:t>
      </w:r>
      <w:r w:rsidR="00FE2311">
        <w:rPr>
          <w:rFonts w:asciiTheme="majorBidi" w:eastAsia="Calibri" w:hAnsiTheme="majorBidi" w:cstheme="majorBidi"/>
          <w:sz w:val="24"/>
          <w:szCs w:val="24"/>
          <w:lang w:bidi="ar-AE"/>
        </w:rPr>
        <w:t xml:space="preserve"> </w:t>
      </w:r>
      <w:r w:rsidR="005F27E9">
        <w:rPr>
          <w:rFonts w:asciiTheme="majorBidi" w:eastAsia="Calibri" w:hAnsiTheme="majorBidi" w:cstheme="majorBidi"/>
          <w:sz w:val="24"/>
          <w:szCs w:val="24"/>
          <w:lang w:bidi="ar-AE"/>
        </w:rPr>
        <w:t xml:space="preserve">of </w:t>
      </w:r>
      <w:r w:rsidR="00FE2311">
        <w:rPr>
          <w:rFonts w:asciiTheme="majorBidi" w:eastAsia="Calibri" w:hAnsiTheme="majorBidi" w:cstheme="majorBidi"/>
          <w:sz w:val="24"/>
          <w:szCs w:val="24"/>
          <w:lang w:bidi="ar-AE"/>
        </w:rPr>
        <w:t xml:space="preserve">oil and other markets </w:t>
      </w:r>
      <w:r w:rsidR="005F27E9">
        <w:rPr>
          <w:rFonts w:asciiTheme="majorBidi" w:eastAsia="Calibri" w:hAnsiTheme="majorBidi" w:cstheme="majorBidi"/>
          <w:sz w:val="24"/>
          <w:szCs w:val="24"/>
          <w:lang w:bidi="ar-AE"/>
        </w:rPr>
        <w:t xml:space="preserve">by focusing on </w:t>
      </w:r>
      <w:r w:rsidR="00FE2311">
        <w:rPr>
          <w:rFonts w:asciiTheme="majorBidi" w:eastAsia="Calibri" w:hAnsiTheme="majorBidi" w:cstheme="majorBidi"/>
          <w:sz w:val="24"/>
          <w:szCs w:val="24"/>
          <w:lang w:bidi="ar-AE"/>
        </w:rPr>
        <w:t>implied volatilit</w:t>
      </w:r>
      <w:r w:rsidR="004E5FAE">
        <w:rPr>
          <w:rFonts w:asciiTheme="majorBidi" w:eastAsia="Calibri" w:hAnsiTheme="majorBidi" w:cstheme="majorBidi"/>
          <w:sz w:val="24"/>
          <w:szCs w:val="24"/>
          <w:lang w:bidi="ar-AE"/>
        </w:rPr>
        <w:t>y</w:t>
      </w:r>
      <w:r w:rsidR="005F27E9">
        <w:rPr>
          <w:rFonts w:asciiTheme="majorBidi" w:eastAsia="Calibri" w:hAnsiTheme="majorBidi" w:cstheme="majorBidi"/>
          <w:sz w:val="24"/>
          <w:szCs w:val="24"/>
          <w:lang w:bidi="ar-AE"/>
        </w:rPr>
        <w:t xml:space="preserve"> linkages</w:t>
      </w:r>
      <w:r w:rsidR="00FE2311">
        <w:rPr>
          <w:rFonts w:asciiTheme="majorBidi" w:eastAsia="Calibri" w:hAnsiTheme="majorBidi" w:cstheme="majorBidi"/>
          <w:sz w:val="24"/>
          <w:szCs w:val="24"/>
          <w:lang w:bidi="ar-AE"/>
        </w:rPr>
        <w:t xml:space="preserve">. </w:t>
      </w:r>
      <w:r w:rsidR="005B1E77">
        <w:rPr>
          <w:rFonts w:asciiTheme="majorBidi" w:eastAsia="Calibri" w:hAnsiTheme="majorBidi" w:cstheme="majorBidi"/>
          <w:sz w:val="24"/>
          <w:szCs w:val="24"/>
          <w:lang w:bidi="ar-AE"/>
        </w:rPr>
        <w:t>W</w:t>
      </w:r>
      <w:r w:rsidR="00FE2311">
        <w:rPr>
          <w:rFonts w:asciiTheme="majorBidi" w:eastAsia="Calibri" w:hAnsiTheme="majorBidi" w:cstheme="majorBidi"/>
          <w:sz w:val="24"/>
          <w:szCs w:val="24"/>
          <w:lang w:bidi="ar-AE"/>
        </w:rPr>
        <w:t xml:space="preserve">e </w:t>
      </w:r>
      <w:r>
        <w:rPr>
          <w:rFonts w:asciiTheme="majorBidi" w:eastAsia="Calibri" w:hAnsiTheme="majorBidi" w:cstheme="majorBidi"/>
          <w:sz w:val="24"/>
          <w:szCs w:val="24"/>
          <w:lang w:bidi="ar-AE"/>
        </w:rPr>
        <w:t xml:space="preserve">exploit the recently published implied volatility </w:t>
      </w:r>
      <w:r w:rsidR="004E5FAE">
        <w:rPr>
          <w:rFonts w:asciiTheme="majorBidi" w:eastAsia="Calibri" w:hAnsiTheme="majorBidi" w:cstheme="majorBidi"/>
          <w:sz w:val="24"/>
          <w:szCs w:val="24"/>
          <w:lang w:bidi="ar-AE"/>
        </w:rPr>
        <w:t>indexes</w:t>
      </w:r>
      <w:r>
        <w:rPr>
          <w:rFonts w:asciiTheme="majorBidi" w:eastAsia="Calibri" w:hAnsiTheme="majorBidi" w:cstheme="majorBidi"/>
          <w:sz w:val="24"/>
          <w:szCs w:val="24"/>
          <w:lang w:bidi="ar-AE"/>
        </w:rPr>
        <w:t xml:space="preserve"> </w:t>
      </w:r>
      <w:r w:rsidR="005F27E9">
        <w:rPr>
          <w:rFonts w:asciiTheme="majorBidi" w:eastAsia="Calibri" w:hAnsiTheme="majorBidi" w:cstheme="majorBidi"/>
          <w:sz w:val="24"/>
          <w:szCs w:val="24"/>
          <w:lang w:bidi="ar-AE"/>
        </w:rPr>
        <w:t xml:space="preserve">by the CBOE </w:t>
      </w:r>
      <w:r>
        <w:rPr>
          <w:rFonts w:asciiTheme="majorBidi" w:eastAsia="Calibri" w:hAnsiTheme="majorBidi" w:cstheme="majorBidi"/>
          <w:sz w:val="24"/>
          <w:szCs w:val="24"/>
          <w:lang w:bidi="ar-AE"/>
        </w:rPr>
        <w:t>to investigate risk transmissions between oil and US equities, the Euro/Dollar exchange rate, precious metals and agricultural commodities.</w:t>
      </w:r>
      <w:r w:rsidR="00201073">
        <w:rPr>
          <w:rFonts w:asciiTheme="majorBidi" w:eastAsia="Calibri" w:hAnsiTheme="majorBidi" w:cstheme="majorBidi"/>
          <w:sz w:val="24"/>
          <w:szCs w:val="24"/>
          <w:lang w:bidi="ar-AE"/>
        </w:rPr>
        <w:t xml:space="preserve"> </w:t>
      </w:r>
    </w:p>
    <w:p w:rsidR="00BD274A" w:rsidRDefault="00201073" w:rsidP="005B1E77">
      <w:pPr>
        <w:spacing w:after="0" w:line="480" w:lineRule="auto"/>
        <w:ind w:firstLine="284"/>
        <w:jc w:val="both"/>
        <w:rPr>
          <w:rFonts w:ascii="Times New Roman" w:hAnsi="Times New Roman" w:cs="Times New Roman"/>
          <w:sz w:val="24"/>
          <w:szCs w:val="24"/>
        </w:rPr>
      </w:pPr>
      <w:r w:rsidRPr="00DB7C08">
        <w:rPr>
          <w:rFonts w:ascii="Times New Roman" w:hAnsi="Times New Roman" w:cs="Times New Roman"/>
          <w:sz w:val="24"/>
          <w:szCs w:val="24"/>
        </w:rPr>
        <w:t xml:space="preserve">Our results </w:t>
      </w:r>
      <w:r w:rsidRPr="002B1015">
        <w:rPr>
          <w:rFonts w:asciiTheme="majorBidi" w:eastAsia="Calibri" w:hAnsiTheme="majorBidi" w:cstheme="majorBidi"/>
          <w:sz w:val="24"/>
          <w:szCs w:val="24"/>
          <w:lang w:bidi="ar-AE"/>
        </w:rPr>
        <w:t>indicate</w:t>
      </w:r>
      <w:r>
        <w:rPr>
          <w:rFonts w:ascii="Times New Roman" w:hAnsi="Times New Roman" w:cs="Times New Roman"/>
          <w:sz w:val="24"/>
          <w:szCs w:val="24"/>
        </w:rPr>
        <w:t xml:space="preserve"> </w:t>
      </w:r>
      <w:r w:rsidR="004D64C2">
        <w:rPr>
          <w:rFonts w:ascii="Times New Roman" w:hAnsi="Times New Roman" w:cs="Times New Roman"/>
          <w:sz w:val="24"/>
          <w:szCs w:val="24"/>
        </w:rPr>
        <w:t xml:space="preserve">significant </w:t>
      </w:r>
      <w:r>
        <w:rPr>
          <w:rFonts w:ascii="Times New Roman" w:hAnsi="Times New Roman" w:cs="Times New Roman"/>
          <w:sz w:val="24"/>
          <w:szCs w:val="24"/>
        </w:rPr>
        <w:t xml:space="preserve">volatility transmission from the </w:t>
      </w:r>
      <w:r w:rsidRPr="00DB7C08">
        <w:rPr>
          <w:rFonts w:ascii="Times New Roman" w:hAnsi="Times New Roman" w:cs="Times New Roman"/>
          <w:sz w:val="24"/>
          <w:szCs w:val="24"/>
        </w:rPr>
        <w:t>oil</w:t>
      </w:r>
      <w:r>
        <w:rPr>
          <w:rFonts w:ascii="Times New Roman" w:hAnsi="Times New Roman" w:cs="Times New Roman"/>
          <w:sz w:val="24"/>
          <w:szCs w:val="24"/>
        </w:rPr>
        <w:t xml:space="preserve"> market to </w:t>
      </w:r>
      <w:r w:rsidR="004D64C2">
        <w:rPr>
          <w:rFonts w:ascii="Times New Roman" w:hAnsi="Times New Roman" w:cs="Times New Roman"/>
          <w:sz w:val="24"/>
          <w:szCs w:val="24"/>
        </w:rPr>
        <w:t xml:space="preserve">US </w:t>
      </w:r>
      <w:r>
        <w:rPr>
          <w:rFonts w:ascii="Times New Roman" w:hAnsi="Times New Roman" w:cs="Times New Roman"/>
          <w:sz w:val="24"/>
          <w:szCs w:val="24"/>
        </w:rPr>
        <w:t>equities</w:t>
      </w:r>
      <w:r w:rsidR="005B1E77">
        <w:rPr>
          <w:rFonts w:ascii="Times New Roman" w:hAnsi="Times New Roman" w:cs="Times New Roman"/>
          <w:sz w:val="24"/>
          <w:szCs w:val="24"/>
        </w:rPr>
        <w:t>,</w:t>
      </w:r>
      <w:r w:rsidR="004D64C2">
        <w:rPr>
          <w:rFonts w:ascii="Times New Roman" w:hAnsi="Times New Roman" w:cs="Times New Roman"/>
          <w:sz w:val="24"/>
          <w:szCs w:val="24"/>
        </w:rPr>
        <w:t xml:space="preserve"> </w:t>
      </w:r>
      <w:r w:rsidR="005B1E77">
        <w:rPr>
          <w:rFonts w:ascii="Times New Roman" w:hAnsi="Times New Roman" w:cs="Times New Roman"/>
          <w:sz w:val="24"/>
          <w:szCs w:val="24"/>
        </w:rPr>
        <w:t xml:space="preserve">moderate </w:t>
      </w:r>
      <w:r w:rsidR="004D64C2">
        <w:rPr>
          <w:rFonts w:ascii="Times New Roman" w:hAnsi="Times New Roman" w:cs="Times New Roman"/>
          <w:sz w:val="24"/>
          <w:szCs w:val="24"/>
        </w:rPr>
        <w:t>transmission to t</w:t>
      </w:r>
      <w:r>
        <w:rPr>
          <w:rFonts w:ascii="Times New Roman" w:hAnsi="Times New Roman" w:cs="Times New Roman"/>
          <w:sz w:val="24"/>
          <w:szCs w:val="24"/>
        </w:rPr>
        <w:t>he Euro/dollar exchange rate</w:t>
      </w:r>
      <w:r w:rsidR="005B1E77">
        <w:rPr>
          <w:rFonts w:ascii="Times New Roman" w:hAnsi="Times New Roman" w:cs="Times New Roman"/>
          <w:sz w:val="24"/>
          <w:szCs w:val="24"/>
        </w:rPr>
        <w:t xml:space="preserve"> and</w:t>
      </w:r>
      <w:r>
        <w:rPr>
          <w:rFonts w:ascii="Times New Roman" w:hAnsi="Times New Roman" w:cs="Times New Roman"/>
          <w:sz w:val="24"/>
          <w:szCs w:val="24"/>
        </w:rPr>
        <w:t xml:space="preserve"> precious metals</w:t>
      </w:r>
      <w:r w:rsidR="005B1E77">
        <w:rPr>
          <w:rFonts w:ascii="Times New Roman" w:hAnsi="Times New Roman" w:cs="Times New Roman"/>
          <w:sz w:val="24"/>
          <w:szCs w:val="24"/>
        </w:rPr>
        <w:t>, and low</w:t>
      </w:r>
      <w:r>
        <w:rPr>
          <w:rFonts w:ascii="Times New Roman" w:hAnsi="Times New Roman" w:cs="Times New Roman"/>
          <w:sz w:val="24"/>
          <w:szCs w:val="24"/>
        </w:rPr>
        <w:t xml:space="preserve"> </w:t>
      </w:r>
      <w:r w:rsidR="004E5FAE">
        <w:rPr>
          <w:rFonts w:ascii="Times New Roman" w:hAnsi="Times New Roman" w:cs="Times New Roman"/>
          <w:sz w:val="24"/>
          <w:szCs w:val="24"/>
        </w:rPr>
        <w:t>transmission to</w:t>
      </w:r>
      <w:r>
        <w:rPr>
          <w:rFonts w:ascii="Times New Roman" w:hAnsi="Times New Roman" w:cs="Times New Roman"/>
          <w:sz w:val="24"/>
          <w:szCs w:val="24"/>
        </w:rPr>
        <w:t xml:space="preserve"> agricultural commodities. The </w:t>
      </w:r>
      <w:r w:rsidR="005F27E9">
        <w:rPr>
          <w:rFonts w:ascii="Times New Roman" w:hAnsi="Times New Roman" w:cs="Times New Roman"/>
          <w:sz w:val="24"/>
          <w:szCs w:val="24"/>
        </w:rPr>
        <w:t xml:space="preserve">information spillovers </w:t>
      </w:r>
      <w:r>
        <w:rPr>
          <w:rFonts w:ascii="Times New Roman" w:hAnsi="Times New Roman" w:cs="Times New Roman"/>
          <w:sz w:val="24"/>
          <w:szCs w:val="24"/>
        </w:rPr>
        <w:t xml:space="preserve">from </w:t>
      </w:r>
      <w:r w:rsidR="004D64C2">
        <w:rPr>
          <w:rFonts w:ascii="Times New Roman" w:hAnsi="Times New Roman" w:cs="Times New Roman"/>
          <w:sz w:val="24"/>
          <w:szCs w:val="24"/>
        </w:rPr>
        <w:t xml:space="preserve">all </w:t>
      </w:r>
      <w:r>
        <w:rPr>
          <w:rFonts w:ascii="Times New Roman" w:hAnsi="Times New Roman" w:cs="Times New Roman"/>
          <w:sz w:val="24"/>
          <w:szCs w:val="24"/>
        </w:rPr>
        <w:t xml:space="preserve">markets to </w:t>
      </w:r>
      <w:r w:rsidR="004D64C2">
        <w:rPr>
          <w:rFonts w:ascii="Times New Roman" w:hAnsi="Times New Roman" w:cs="Times New Roman"/>
          <w:sz w:val="24"/>
          <w:szCs w:val="24"/>
        </w:rPr>
        <w:t xml:space="preserve">the </w:t>
      </w:r>
      <w:r>
        <w:rPr>
          <w:rFonts w:ascii="Times New Roman" w:hAnsi="Times New Roman" w:cs="Times New Roman"/>
          <w:sz w:val="24"/>
          <w:szCs w:val="24"/>
        </w:rPr>
        <w:t xml:space="preserve">oil </w:t>
      </w:r>
      <w:r w:rsidR="004D64C2">
        <w:rPr>
          <w:rFonts w:ascii="Times New Roman" w:hAnsi="Times New Roman" w:cs="Times New Roman"/>
          <w:sz w:val="24"/>
          <w:szCs w:val="24"/>
        </w:rPr>
        <w:t xml:space="preserve">market are </w:t>
      </w:r>
      <w:r>
        <w:rPr>
          <w:rFonts w:ascii="Times New Roman" w:hAnsi="Times New Roman" w:cs="Times New Roman"/>
          <w:sz w:val="24"/>
          <w:szCs w:val="24"/>
        </w:rPr>
        <w:t>negligible</w:t>
      </w:r>
      <w:r w:rsidR="005B1E77">
        <w:rPr>
          <w:rFonts w:ascii="Times New Roman" w:hAnsi="Times New Roman" w:cs="Times New Roman"/>
          <w:sz w:val="24"/>
          <w:szCs w:val="24"/>
        </w:rPr>
        <w:t>.</w:t>
      </w:r>
      <w:r w:rsidR="004D64C2">
        <w:rPr>
          <w:rFonts w:ascii="Times New Roman" w:hAnsi="Times New Roman" w:cs="Times New Roman"/>
          <w:sz w:val="24"/>
          <w:szCs w:val="24"/>
        </w:rPr>
        <w:t xml:space="preserve"> </w:t>
      </w:r>
      <w:r w:rsidR="005B1E77">
        <w:rPr>
          <w:rFonts w:ascii="Times New Roman" w:hAnsi="Times New Roman" w:cs="Times New Roman"/>
          <w:sz w:val="24"/>
          <w:szCs w:val="24"/>
        </w:rPr>
        <w:t xml:space="preserve">This leads us to </w:t>
      </w:r>
      <w:r>
        <w:rPr>
          <w:rFonts w:ascii="Times New Roman" w:hAnsi="Times New Roman" w:cs="Times New Roman"/>
          <w:sz w:val="24"/>
          <w:szCs w:val="24"/>
        </w:rPr>
        <w:t xml:space="preserve">conclude that in </w:t>
      </w:r>
      <w:r w:rsidR="004D64C2">
        <w:rPr>
          <w:rFonts w:ascii="Times New Roman" w:hAnsi="Times New Roman" w:cs="Times New Roman"/>
          <w:sz w:val="24"/>
          <w:szCs w:val="24"/>
        </w:rPr>
        <w:t xml:space="preserve">the </w:t>
      </w:r>
      <w:r>
        <w:rPr>
          <w:rFonts w:ascii="Times New Roman" w:hAnsi="Times New Roman" w:cs="Times New Roman"/>
          <w:sz w:val="24"/>
          <w:szCs w:val="24"/>
        </w:rPr>
        <w:t>risk association between oil and other</w:t>
      </w:r>
      <w:r w:rsidR="004D64C2">
        <w:rPr>
          <w:rFonts w:ascii="Times New Roman" w:hAnsi="Times New Roman" w:cs="Times New Roman"/>
          <w:sz w:val="24"/>
          <w:szCs w:val="24"/>
        </w:rPr>
        <w:t xml:space="preserve"> markets, the oil market is </w:t>
      </w:r>
      <w:r w:rsidR="005B1E77">
        <w:rPr>
          <w:rFonts w:ascii="Times New Roman" w:hAnsi="Times New Roman" w:cs="Times New Roman"/>
          <w:sz w:val="24"/>
          <w:szCs w:val="24"/>
        </w:rPr>
        <w:t>dominant</w:t>
      </w:r>
      <w:r>
        <w:rPr>
          <w:rFonts w:ascii="Times New Roman" w:hAnsi="Times New Roman" w:cs="Times New Roman"/>
          <w:sz w:val="24"/>
          <w:szCs w:val="24"/>
        </w:rPr>
        <w:t xml:space="preserve">. </w:t>
      </w:r>
    </w:p>
    <w:p w:rsidR="00BD274A" w:rsidRDefault="004D64C2" w:rsidP="00BD274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F27E9">
        <w:rPr>
          <w:rFonts w:ascii="Times New Roman" w:hAnsi="Times New Roman" w:cs="Times New Roman"/>
          <w:sz w:val="24"/>
          <w:szCs w:val="24"/>
        </w:rPr>
        <w:t xml:space="preserve">total </w:t>
      </w:r>
      <w:r w:rsidR="00B22934">
        <w:rPr>
          <w:rFonts w:ascii="Times New Roman" w:hAnsi="Times New Roman" w:cs="Times New Roman"/>
          <w:sz w:val="24"/>
          <w:szCs w:val="24"/>
        </w:rPr>
        <w:t xml:space="preserve">pairwise directional </w:t>
      </w:r>
      <w:r>
        <w:rPr>
          <w:rFonts w:ascii="Times New Roman" w:hAnsi="Times New Roman" w:cs="Times New Roman"/>
          <w:sz w:val="24"/>
          <w:szCs w:val="24"/>
        </w:rPr>
        <w:t>measure</w:t>
      </w:r>
      <w:r w:rsidR="00B22934">
        <w:rPr>
          <w:rFonts w:ascii="Times New Roman" w:hAnsi="Times New Roman" w:cs="Times New Roman"/>
          <w:sz w:val="24"/>
          <w:szCs w:val="24"/>
        </w:rPr>
        <w:t>s show</w:t>
      </w:r>
      <w:r>
        <w:rPr>
          <w:rFonts w:ascii="Times New Roman" w:hAnsi="Times New Roman" w:cs="Times New Roman"/>
          <w:sz w:val="24"/>
          <w:szCs w:val="24"/>
        </w:rPr>
        <w:t xml:space="preserve"> that </w:t>
      </w:r>
      <w:r w:rsidR="00201073">
        <w:rPr>
          <w:rFonts w:ascii="Times New Roman" w:hAnsi="Times New Roman" w:cs="Times New Roman"/>
          <w:sz w:val="24"/>
          <w:szCs w:val="24"/>
        </w:rPr>
        <w:t>volatility</w:t>
      </w:r>
      <w:r>
        <w:rPr>
          <w:rFonts w:ascii="Times New Roman" w:hAnsi="Times New Roman" w:cs="Times New Roman"/>
          <w:sz w:val="24"/>
          <w:szCs w:val="24"/>
        </w:rPr>
        <w:t xml:space="preserve"> transmission</w:t>
      </w:r>
      <w:r w:rsidR="00201073">
        <w:rPr>
          <w:rFonts w:ascii="Times New Roman" w:hAnsi="Times New Roman" w:cs="Times New Roman"/>
          <w:sz w:val="24"/>
          <w:szCs w:val="24"/>
        </w:rPr>
        <w:t xml:space="preserve"> </w:t>
      </w:r>
      <w:r w:rsidR="00BD274A">
        <w:rPr>
          <w:rFonts w:ascii="Times New Roman" w:hAnsi="Times New Roman" w:cs="Times New Roman"/>
          <w:sz w:val="24"/>
          <w:szCs w:val="24"/>
        </w:rPr>
        <w:t>is</w:t>
      </w:r>
      <w:r w:rsidR="00201073">
        <w:rPr>
          <w:rFonts w:ascii="Times New Roman" w:hAnsi="Times New Roman" w:cs="Times New Roman"/>
          <w:sz w:val="24"/>
          <w:szCs w:val="24"/>
        </w:rPr>
        <w:t xml:space="preserve"> highest with equities</w:t>
      </w:r>
      <w:r w:rsidR="00BD274A">
        <w:rPr>
          <w:rFonts w:ascii="Times New Roman" w:hAnsi="Times New Roman" w:cs="Times New Roman"/>
          <w:sz w:val="24"/>
          <w:szCs w:val="24"/>
        </w:rPr>
        <w:t xml:space="preserve">, followed by precious metals, then by the Euro/Dollar exchange rate. The lowest association was with </w:t>
      </w:r>
      <w:r w:rsidR="00201073">
        <w:rPr>
          <w:rFonts w:ascii="Times New Roman" w:hAnsi="Times New Roman" w:cs="Times New Roman"/>
          <w:sz w:val="24"/>
          <w:szCs w:val="24"/>
        </w:rPr>
        <w:t xml:space="preserve">agricultural products. </w:t>
      </w:r>
    </w:p>
    <w:p w:rsidR="00784FCF" w:rsidRDefault="00F257CF" w:rsidP="004E5FAE">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comparison </w:t>
      </w:r>
      <w:r w:rsidR="00767BBF">
        <w:rPr>
          <w:rFonts w:ascii="Times New Roman" w:hAnsi="Times New Roman" w:cs="Times New Roman"/>
          <w:sz w:val="24"/>
          <w:szCs w:val="24"/>
        </w:rPr>
        <w:t>with</w:t>
      </w:r>
      <w:r>
        <w:rPr>
          <w:rFonts w:ascii="Times New Roman" w:hAnsi="Times New Roman" w:cs="Times New Roman"/>
          <w:sz w:val="24"/>
          <w:szCs w:val="24"/>
        </w:rPr>
        <w:t xml:space="preserve"> the previous </w:t>
      </w:r>
      <w:r w:rsidR="00767BBF">
        <w:rPr>
          <w:rFonts w:ascii="Times New Roman" w:hAnsi="Times New Roman" w:cs="Times New Roman"/>
          <w:sz w:val="24"/>
          <w:szCs w:val="24"/>
        </w:rPr>
        <w:t xml:space="preserve">literature, we show that the strong integration between oil and food volatility </w:t>
      </w:r>
      <w:r w:rsidR="004E5FAE">
        <w:rPr>
          <w:rFonts w:ascii="Times New Roman" w:hAnsi="Times New Roman" w:cs="Times New Roman"/>
          <w:sz w:val="24"/>
          <w:szCs w:val="24"/>
        </w:rPr>
        <w:t>which</w:t>
      </w:r>
      <w:r w:rsidR="00767BBF">
        <w:rPr>
          <w:rFonts w:ascii="Times New Roman" w:hAnsi="Times New Roman" w:cs="Times New Roman"/>
          <w:sz w:val="24"/>
          <w:szCs w:val="24"/>
        </w:rPr>
        <w:t xml:space="preserve"> is observed </w:t>
      </w:r>
      <w:r w:rsidR="00A531BD">
        <w:rPr>
          <w:rFonts w:ascii="Times New Roman" w:hAnsi="Times New Roman" w:cs="Times New Roman"/>
          <w:sz w:val="24"/>
          <w:szCs w:val="24"/>
        </w:rPr>
        <w:t xml:space="preserve">with the big rise in energy prices and biofuel production after </w:t>
      </w:r>
      <w:r w:rsidR="00767BBF">
        <w:rPr>
          <w:rFonts w:ascii="Times New Roman" w:hAnsi="Times New Roman" w:cs="Times New Roman"/>
          <w:sz w:val="24"/>
          <w:szCs w:val="24"/>
        </w:rPr>
        <w:t>2005 has disappeared</w:t>
      </w:r>
      <w:r w:rsidR="00A531BD">
        <w:rPr>
          <w:rFonts w:ascii="Times New Roman" w:hAnsi="Times New Roman" w:cs="Times New Roman"/>
          <w:sz w:val="24"/>
          <w:szCs w:val="24"/>
        </w:rPr>
        <w:t xml:space="preserve">. Moreover, our results indicate </w:t>
      </w:r>
      <w:r w:rsidR="004E5FAE">
        <w:rPr>
          <w:rFonts w:ascii="Times New Roman" w:hAnsi="Times New Roman" w:cs="Times New Roman"/>
          <w:sz w:val="24"/>
          <w:szCs w:val="24"/>
        </w:rPr>
        <w:t>that</w:t>
      </w:r>
      <w:r w:rsidR="00A531BD">
        <w:rPr>
          <w:rFonts w:ascii="Times New Roman" w:hAnsi="Times New Roman" w:cs="Times New Roman"/>
          <w:sz w:val="24"/>
          <w:szCs w:val="24"/>
        </w:rPr>
        <w:t xml:space="preserve"> transmissions between oil, precious metals and the Euro/Dollar exchange rate are dominated by shocks in the oil market.</w:t>
      </w:r>
    </w:p>
    <w:p w:rsidR="00784FCF" w:rsidRPr="00784FCF" w:rsidRDefault="00784FCF" w:rsidP="00B50F0E">
      <w:pPr>
        <w:spacing w:after="0" w:line="480" w:lineRule="auto"/>
        <w:ind w:firstLine="284"/>
        <w:jc w:val="both"/>
        <w:rPr>
          <w:rFonts w:ascii="Times New Roman" w:hAnsi="Times New Roman" w:cs="Times New Roman"/>
          <w:sz w:val="24"/>
          <w:szCs w:val="24"/>
        </w:rPr>
      </w:pPr>
      <w:r w:rsidRPr="00890814">
        <w:rPr>
          <w:rFonts w:asciiTheme="majorBidi" w:eastAsiaTheme="majorBidi" w:hAnsiTheme="majorBidi" w:cstheme="majorBidi"/>
          <w:sz w:val="24"/>
          <w:szCs w:val="24"/>
        </w:rPr>
        <w:t xml:space="preserve">These findings highlight the importance of oil in assessing the </w:t>
      </w:r>
      <w:r>
        <w:rPr>
          <w:rFonts w:asciiTheme="majorBidi" w:eastAsiaTheme="majorBidi" w:hAnsiTheme="majorBidi" w:cstheme="majorBidi"/>
          <w:sz w:val="24"/>
          <w:szCs w:val="24"/>
        </w:rPr>
        <w:t>risk</w:t>
      </w:r>
      <w:r w:rsidRPr="00890814">
        <w:rPr>
          <w:rFonts w:asciiTheme="majorBidi" w:eastAsiaTheme="majorBidi" w:hAnsiTheme="majorBidi" w:cstheme="majorBidi"/>
          <w:sz w:val="24"/>
          <w:szCs w:val="24"/>
        </w:rPr>
        <w:t xml:space="preserve"> of </w:t>
      </w:r>
      <w:r>
        <w:rPr>
          <w:rFonts w:asciiTheme="majorBidi" w:eastAsiaTheme="majorBidi" w:hAnsiTheme="majorBidi" w:cstheme="majorBidi"/>
          <w:sz w:val="24"/>
          <w:szCs w:val="24"/>
        </w:rPr>
        <w:t>other commodity investment</w:t>
      </w:r>
      <w:r w:rsidR="00367D16">
        <w:rPr>
          <w:rFonts w:asciiTheme="majorBidi" w:eastAsiaTheme="majorBidi" w:hAnsiTheme="majorBidi" w:cstheme="majorBidi"/>
          <w:sz w:val="24"/>
          <w:szCs w:val="24"/>
        </w:rPr>
        <w:t>s</w:t>
      </w:r>
      <w:r w:rsidRPr="00890814">
        <w:rPr>
          <w:rFonts w:asciiTheme="majorBidi" w:eastAsiaTheme="majorBidi" w:hAnsiTheme="majorBidi" w:cstheme="majorBidi"/>
          <w:sz w:val="24"/>
          <w:szCs w:val="24"/>
        </w:rPr>
        <w:t>.</w:t>
      </w:r>
      <w:r>
        <w:rPr>
          <w:rFonts w:ascii="Times New Roman" w:hAnsi="Times New Roman" w:cs="Times New Roman"/>
          <w:sz w:val="24"/>
          <w:szCs w:val="24"/>
        </w:rPr>
        <w:t xml:space="preserve"> </w:t>
      </w:r>
      <w:r w:rsidRPr="00890814">
        <w:rPr>
          <w:rFonts w:asciiTheme="majorBidi" w:eastAsiaTheme="majorBidi" w:hAnsiTheme="majorBidi" w:cstheme="majorBidi"/>
          <w:sz w:val="24"/>
          <w:szCs w:val="24"/>
        </w:rPr>
        <w:t xml:space="preserve">Similarly, </w:t>
      </w:r>
      <w:r>
        <w:rPr>
          <w:rFonts w:asciiTheme="majorBidi" w:eastAsiaTheme="majorBidi" w:hAnsiTheme="majorBidi" w:cstheme="majorBidi"/>
          <w:sz w:val="24"/>
          <w:szCs w:val="24"/>
        </w:rPr>
        <w:t xml:space="preserve">they </w:t>
      </w:r>
      <w:r w:rsidR="00367D16">
        <w:rPr>
          <w:rFonts w:asciiTheme="majorBidi" w:eastAsiaTheme="majorBidi" w:hAnsiTheme="majorBidi" w:cstheme="majorBidi"/>
          <w:sz w:val="24"/>
          <w:szCs w:val="24"/>
        </w:rPr>
        <w:t>underline</w:t>
      </w:r>
      <w:r>
        <w:rPr>
          <w:rFonts w:asciiTheme="majorBidi" w:eastAsiaTheme="majorBidi" w:hAnsiTheme="majorBidi" w:cstheme="majorBidi"/>
          <w:sz w:val="24"/>
          <w:szCs w:val="24"/>
        </w:rPr>
        <w:t xml:space="preserve"> the importance of oil in </w:t>
      </w:r>
      <w:r w:rsidRPr="00890814">
        <w:rPr>
          <w:rFonts w:asciiTheme="majorBidi" w:eastAsiaTheme="majorBidi" w:hAnsiTheme="majorBidi" w:cstheme="majorBidi"/>
          <w:sz w:val="24"/>
          <w:szCs w:val="24"/>
        </w:rPr>
        <w:t>formulat</w:t>
      </w:r>
      <w:r>
        <w:rPr>
          <w:rFonts w:asciiTheme="majorBidi" w:eastAsiaTheme="majorBidi" w:hAnsiTheme="majorBidi" w:cstheme="majorBidi"/>
          <w:sz w:val="24"/>
          <w:szCs w:val="24"/>
        </w:rPr>
        <w:t>ing</w:t>
      </w:r>
      <w:r w:rsidRPr="00890814">
        <w:rPr>
          <w:rFonts w:asciiTheme="majorBidi" w:eastAsiaTheme="majorBidi" w:hAnsiTheme="majorBidi" w:cstheme="majorBidi"/>
          <w:sz w:val="24"/>
          <w:szCs w:val="24"/>
        </w:rPr>
        <w:t xml:space="preserve"> risk expectations regarding </w:t>
      </w:r>
      <w:r>
        <w:rPr>
          <w:rFonts w:asciiTheme="majorBidi" w:eastAsiaTheme="majorBidi" w:hAnsiTheme="majorBidi" w:cstheme="majorBidi"/>
          <w:sz w:val="24"/>
          <w:szCs w:val="24"/>
        </w:rPr>
        <w:t>other markets</w:t>
      </w:r>
      <w:r w:rsidRPr="00890814">
        <w:rPr>
          <w:rFonts w:asciiTheme="majorBidi" w:eastAsiaTheme="majorBidi" w:hAnsiTheme="majorBidi" w:cstheme="majorBidi"/>
          <w:sz w:val="24"/>
          <w:szCs w:val="24"/>
        </w:rPr>
        <w:t xml:space="preserve">. The risk transfer from oil to </w:t>
      </w:r>
      <w:r>
        <w:rPr>
          <w:rFonts w:asciiTheme="majorBidi" w:eastAsiaTheme="majorBidi" w:hAnsiTheme="majorBidi" w:cstheme="majorBidi"/>
          <w:sz w:val="24"/>
          <w:szCs w:val="24"/>
        </w:rPr>
        <w:t xml:space="preserve">equities, precious metals and the Euro/Dollar exchange rates </w:t>
      </w:r>
      <w:r w:rsidRPr="00890814">
        <w:rPr>
          <w:rFonts w:asciiTheme="majorBidi" w:eastAsiaTheme="majorBidi" w:hAnsiTheme="majorBidi" w:cstheme="majorBidi"/>
          <w:sz w:val="24"/>
          <w:szCs w:val="24"/>
        </w:rPr>
        <w:t>is significant</w:t>
      </w:r>
      <w:r w:rsidR="00BD274A">
        <w:rPr>
          <w:rFonts w:asciiTheme="majorBidi" w:eastAsiaTheme="majorBidi" w:hAnsiTheme="majorBidi" w:cstheme="majorBidi"/>
          <w:sz w:val="24"/>
          <w:szCs w:val="24"/>
        </w:rPr>
        <w:t>,</w:t>
      </w:r>
      <w:r w:rsidRPr="00890814">
        <w:rPr>
          <w:rFonts w:asciiTheme="majorBidi" w:eastAsiaTheme="majorBidi" w:hAnsiTheme="majorBidi" w:cstheme="majorBidi"/>
          <w:sz w:val="24"/>
          <w:szCs w:val="24"/>
        </w:rPr>
        <w:t xml:space="preserve"> while </w:t>
      </w:r>
      <w:r w:rsidR="00BD274A">
        <w:rPr>
          <w:rFonts w:asciiTheme="majorBidi" w:eastAsiaTheme="majorBidi" w:hAnsiTheme="majorBidi" w:cstheme="majorBidi"/>
          <w:sz w:val="24"/>
          <w:szCs w:val="24"/>
        </w:rPr>
        <w:t xml:space="preserve">the same risk transfer </w:t>
      </w:r>
      <w:r w:rsidRPr="00890814">
        <w:rPr>
          <w:rFonts w:asciiTheme="majorBidi" w:eastAsiaTheme="majorBidi" w:hAnsiTheme="majorBidi" w:cstheme="majorBidi"/>
          <w:sz w:val="24"/>
          <w:szCs w:val="24"/>
        </w:rPr>
        <w:t xml:space="preserve">to </w:t>
      </w:r>
      <w:r>
        <w:rPr>
          <w:rFonts w:asciiTheme="majorBidi" w:eastAsiaTheme="majorBidi" w:hAnsiTheme="majorBidi" w:cstheme="majorBidi"/>
          <w:sz w:val="24"/>
          <w:szCs w:val="24"/>
        </w:rPr>
        <w:t>agricultural commodities</w:t>
      </w:r>
      <w:r w:rsidR="00B50F0E" w:rsidRPr="00B50F0E">
        <w:rPr>
          <w:rFonts w:asciiTheme="majorBidi" w:eastAsiaTheme="majorBidi" w:hAnsiTheme="majorBidi" w:cstheme="majorBidi"/>
          <w:sz w:val="24"/>
          <w:szCs w:val="24"/>
        </w:rPr>
        <w:t xml:space="preserve"> </w:t>
      </w:r>
      <w:r w:rsidR="00B50F0E" w:rsidRPr="00890814">
        <w:rPr>
          <w:rFonts w:asciiTheme="majorBidi" w:eastAsiaTheme="majorBidi" w:hAnsiTheme="majorBidi" w:cstheme="majorBidi"/>
          <w:sz w:val="24"/>
          <w:szCs w:val="24"/>
        </w:rPr>
        <w:t>is negligible</w:t>
      </w:r>
      <w:r w:rsidRPr="00890814">
        <w:rPr>
          <w:rFonts w:asciiTheme="majorBidi" w:eastAsiaTheme="majorBidi" w:hAnsiTheme="majorBidi" w:cstheme="majorBidi"/>
          <w:sz w:val="24"/>
          <w:szCs w:val="24"/>
        </w:rPr>
        <w:t xml:space="preserve">. This indicates that forecasting the risk of </w:t>
      </w:r>
      <w:r>
        <w:rPr>
          <w:rFonts w:asciiTheme="majorBidi" w:eastAsiaTheme="majorBidi" w:hAnsiTheme="majorBidi" w:cstheme="majorBidi"/>
          <w:sz w:val="24"/>
          <w:szCs w:val="24"/>
        </w:rPr>
        <w:t>equities, precious metals, and foreign exchange rates</w:t>
      </w:r>
      <w:r w:rsidRPr="00890814">
        <w:rPr>
          <w:rFonts w:asciiTheme="majorBidi" w:eastAsiaTheme="majorBidi" w:hAnsiTheme="majorBidi" w:cstheme="majorBidi"/>
          <w:sz w:val="24"/>
          <w:szCs w:val="24"/>
        </w:rPr>
        <w:t xml:space="preserve"> can be improved by accounting for oil volatility. </w:t>
      </w:r>
      <w:r w:rsidR="00B50F0E">
        <w:rPr>
          <w:rFonts w:asciiTheme="majorBidi" w:eastAsiaTheme="majorBidi" w:hAnsiTheme="majorBidi" w:cstheme="majorBidi"/>
          <w:sz w:val="24"/>
          <w:szCs w:val="24"/>
        </w:rPr>
        <w:t>In contrast</w:t>
      </w:r>
      <w:r w:rsidRPr="00890814">
        <w:rPr>
          <w:rFonts w:asciiTheme="majorBidi" w:eastAsiaTheme="majorBidi" w:hAnsiTheme="majorBidi" w:cstheme="majorBidi"/>
          <w:sz w:val="24"/>
          <w:szCs w:val="24"/>
        </w:rPr>
        <w:t xml:space="preserve">, oil risk can be safely ignored in modelling and forecasting the expected volatility of </w:t>
      </w:r>
      <w:r w:rsidR="004E5FAE">
        <w:rPr>
          <w:rFonts w:asciiTheme="majorBidi" w:eastAsiaTheme="majorBidi" w:hAnsiTheme="majorBidi" w:cstheme="majorBidi"/>
          <w:sz w:val="24"/>
          <w:szCs w:val="24"/>
        </w:rPr>
        <w:t xml:space="preserve">agricultural </w:t>
      </w:r>
      <w:r w:rsidR="00353EDD">
        <w:rPr>
          <w:rFonts w:asciiTheme="majorBidi" w:eastAsiaTheme="majorBidi" w:hAnsiTheme="majorBidi" w:cstheme="majorBidi"/>
          <w:sz w:val="24"/>
          <w:szCs w:val="24"/>
        </w:rPr>
        <w:t>commodities</w:t>
      </w:r>
      <w:r w:rsidRPr="00890814">
        <w:rPr>
          <w:rFonts w:asciiTheme="majorBidi" w:eastAsiaTheme="majorBidi" w:hAnsiTheme="majorBidi" w:cstheme="majorBidi"/>
          <w:sz w:val="24"/>
          <w:szCs w:val="24"/>
        </w:rPr>
        <w:t xml:space="preserve">. </w:t>
      </w:r>
    </w:p>
    <w:p w:rsidR="002520BB" w:rsidRDefault="00B62EE6" w:rsidP="00195FAB">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These results are </w:t>
      </w:r>
      <w:r w:rsidR="004E5FAE">
        <w:rPr>
          <w:rFonts w:ascii="Times New Roman" w:hAnsi="Times New Roman" w:cs="Times New Roman"/>
          <w:sz w:val="24"/>
          <w:szCs w:val="24"/>
        </w:rPr>
        <w:t xml:space="preserve">also </w:t>
      </w:r>
      <w:r>
        <w:rPr>
          <w:rFonts w:ascii="Times New Roman" w:hAnsi="Times New Roman" w:cs="Times New Roman"/>
          <w:sz w:val="24"/>
          <w:szCs w:val="24"/>
        </w:rPr>
        <w:t xml:space="preserve">important for many groups of commodity investors who assume their exposures by forming derivatives portfolios in the commodity </w:t>
      </w:r>
      <w:r w:rsidR="004D5C2B">
        <w:rPr>
          <w:rFonts w:ascii="Times New Roman" w:hAnsi="Times New Roman" w:cs="Times New Roman"/>
          <w:sz w:val="24"/>
          <w:szCs w:val="24"/>
        </w:rPr>
        <w:t xml:space="preserve">paper </w:t>
      </w:r>
      <w:r>
        <w:rPr>
          <w:rFonts w:ascii="Times New Roman" w:hAnsi="Times New Roman" w:cs="Times New Roman"/>
          <w:sz w:val="24"/>
          <w:szCs w:val="24"/>
        </w:rPr>
        <w:t>markets. These investors include commodity index funds, managed future</w:t>
      </w:r>
      <w:r w:rsidR="004D5C2B">
        <w:rPr>
          <w:rFonts w:ascii="Times New Roman" w:hAnsi="Times New Roman" w:cs="Times New Roman"/>
          <w:sz w:val="24"/>
          <w:szCs w:val="24"/>
        </w:rPr>
        <w:t>s</w:t>
      </w:r>
      <w:r>
        <w:rPr>
          <w:rFonts w:ascii="Times New Roman" w:hAnsi="Times New Roman" w:cs="Times New Roman"/>
          <w:sz w:val="24"/>
          <w:szCs w:val="24"/>
        </w:rPr>
        <w:t xml:space="preserve"> funds, global macro funds and other hedge funds who assume non-linear exposures that are volatility sensitive and option like. </w:t>
      </w:r>
      <w:r w:rsidR="009864F2">
        <w:rPr>
          <w:rFonts w:ascii="Times New Roman" w:hAnsi="Times New Roman" w:cs="Times New Roman"/>
          <w:sz w:val="24"/>
          <w:szCs w:val="24"/>
        </w:rPr>
        <w:t>For instance, t</w:t>
      </w:r>
      <w:r w:rsidR="00881D86">
        <w:rPr>
          <w:rFonts w:ascii="Times New Roman" w:hAnsi="Times New Roman" w:cs="Times New Roman"/>
          <w:sz w:val="24"/>
          <w:szCs w:val="24"/>
        </w:rPr>
        <w:t>he weak linkage</w:t>
      </w:r>
      <w:r w:rsidR="004D5C2B">
        <w:rPr>
          <w:rFonts w:ascii="Times New Roman" w:hAnsi="Times New Roman" w:cs="Times New Roman"/>
          <w:sz w:val="24"/>
          <w:szCs w:val="24"/>
        </w:rPr>
        <w:t xml:space="preserve"> </w:t>
      </w:r>
      <w:r w:rsidR="009864F2">
        <w:rPr>
          <w:rFonts w:ascii="Times New Roman" w:hAnsi="Times New Roman" w:cs="Times New Roman"/>
          <w:sz w:val="24"/>
          <w:szCs w:val="24"/>
        </w:rPr>
        <w:t>betw</w:t>
      </w:r>
      <w:r w:rsidR="004D5C2B">
        <w:rPr>
          <w:rFonts w:ascii="Times New Roman" w:hAnsi="Times New Roman" w:cs="Times New Roman"/>
          <w:sz w:val="24"/>
          <w:szCs w:val="24"/>
        </w:rPr>
        <w:t>een oil and food implies</w:t>
      </w:r>
      <w:r w:rsidR="009864F2">
        <w:rPr>
          <w:rFonts w:ascii="Times New Roman" w:hAnsi="Times New Roman" w:cs="Times New Roman"/>
          <w:sz w:val="24"/>
          <w:szCs w:val="24"/>
        </w:rPr>
        <w:t xml:space="preserve"> </w:t>
      </w:r>
      <w:r w:rsidR="004D5C2B">
        <w:rPr>
          <w:rFonts w:ascii="Times New Roman" w:hAnsi="Times New Roman" w:cs="Times New Roman"/>
          <w:sz w:val="24"/>
          <w:szCs w:val="24"/>
        </w:rPr>
        <w:t xml:space="preserve">great </w:t>
      </w:r>
      <w:r w:rsidR="009864F2">
        <w:rPr>
          <w:rFonts w:ascii="Times New Roman" w:hAnsi="Times New Roman" w:cs="Times New Roman"/>
          <w:sz w:val="24"/>
          <w:szCs w:val="24"/>
        </w:rPr>
        <w:t>diversification benefits of including oil and agricultural commodit</w:t>
      </w:r>
      <w:r>
        <w:rPr>
          <w:rFonts w:ascii="Times New Roman" w:hAnsi="Times New Roman" w:cs="Times New Roman"/>
          <w:sz w:val="24"/>
          <w:szCs w:val="24"/>
        </w:rPr>
        <w:t xml:space="preserve">y options </w:t>
      </w:r>
      <w:r w:rsidR="009864F2">
        <w:rPr>
          <w:rFonts w:ascii="Times New Roman" w:hAnsi="Times New Roman" w:cs="Times New Roman"/>
          <w:sz w:val="24"/>
          <w:szCs w:val="24"/>
        </w:rPr>
        <w:t xml:space="preserve">in </w:t>
      </w:r>
      <w:r>
        <w:rPr>
          <w:rFonts w:ascii="Times New Roman" w:hAnsi="Times New Roman" w:cs="Times New Roman"/>
          <w:sz w:val="24"/>
          <w:szCs w:val="24"/>
        </w:rPr>
        <w:t xml:space="preserve">a derivative </w:t>
      </w:r>
      <w:r w:rsidR="009864F2">
        <w:rPr>
          <w:rFonts w:ascii="Times New Roman" w:hAnsi="Times New Roman" w:cs="Times New Roman"/>
          <w:sz w:val="24"/>
          <w:szCs w:val="24"/>
        </w:rPr>
        <w:t xml:space="preserve">portfolio. </w:t>
      </w:r>
    </w:p>
    <w:p w:rsidR="002E1E69" w:rsidRDefault="009864F2" w:rsidP="002520BB">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Moreover, as the association between oil and precious metals is not very strong</w:t>
      </w:r>
      <w:r w:rsidR="004D5C2B">
        <w:rPr>
          <w:rFonts w:ascii="Times New Roman" w:hAnsi="Times New Roman" w:cs="Times New Roman"/>
          <w:sz w:val="24"/>
          <w:szCs w:val="24"/>
        </w:rPr>
        <w:t xml:space="preserve"> they </w:t>
      </w:r>
      <w:r>
        <w:rPr>
          <w:rFonts w:ascii="Times New Roman" w:hAnsi="Times New Roman" w:cs="Times New Roman"/>
          <w:sz w:val="24"/>
          <w:szCs w:val="24"/>
        </w:rPr>
        <w:t>are also useful to be included with oil and agricultural commod</w:t>
      </w:r>
      <w:r w:rsidR="004D5C2B">
        <w:rPr>
          <w:rFonts w:ascii="Times New Roman" w:hAnsi="Times New Roman" w:cs="Times New Roman"/>
          <w:sz w:val="24"/>
          <w:szCs w:val="24"/>
        </w:rPr>
        <w:t>ities</w:t>
      </w:r>
      <w:r>
        <w:rPr>
          <w:rFonts w:ascii="Times New Roman" w:hAnsi="Times New Roman" w:cs="Times New Roman"/>
          <w:sz w:val="24"/>
          <w:szCs w:val="24"/>
        </w:rPr>
        <w:t xml:space="preserve">. The risk transfer among commodities is not substantial and this indicates that including </w:t>
      </w:r>
      <w:r w:rsidR="004D5C2B">
        <w:rPr>
          <w:rFonts w:ascii="Times New Roman" w:hAnsi="Times New Roman" w:cs="Times New Roman"/>
          <w:sz w:val="24"/>
          <w:szCs w:val="24"/>
        </w:rPr>
        <w:t>commodity options</w:t>
      </w:r>
      <w:r>
        <w:rPr>
          <w:rFonts w:ascii="Times New Roman" w:hAnsi="Times New Roman" w:cs="Times New Roman"/>
          <w:sz w:val="24"/>
          <w:szCs w:val="24"/>
        </w:rPr>
        <w:t xml:space="preserve"> </w:t>
      </w:r>
      <w:r w:rsidR="00B62EE6">
        <w:rPr>
          <w:rFonts w:ascii="Times New Roman" w:hAnsi="Times New Roman" w:cs="Times New Roman"/>
          <w:sz w:val="24"/>
          <w:szCs w:val="24"/>
        </w:rPr>
        <w:t>with</w:t>
      </w:r>
      <w:r>
        <w:rPr>
          <w:rFonts w:ascii="Times New Roman" w:hAnsi="Times New Roman" w:cs="Times New Roman"/>
          <w:sz w:val="24"/>
          <w:szCs w:val="24"/>
        </w:rPr>
        <w:t xml:space="preserve"> equity </w:t>
      </w:r>
      <w:r w:rsidR="00B62EE6">
        <w:rPr>
          <w:rFonts w:ascii="Times New Roman" w:hAnsi="Times New Roman" w:cs="Times New Roman"/>
          <w:sz w:val="24"/>
          <w:szCs w:val="24"/>
        </w:rPr>
        <w:t>options</w:t>
      </w:r>
      <w:r>
        <w:rPr>
          <w:rFonts w:ascii="Times New Roman" w:hAnsi="Times New Roman" w:cs="Times New Roman"/>
          <w:sz w:val="24"/>
          <w:szCs w:val="24"/>
        </w:rPr>
        <w:t xml:space="preserve"> </w:t>
      </w:r>
      <w:r w:rsidR="004D5C2B">
        <w:rPr>
          <w:rFonts w:ascii="Times New Roman" w:hAnsi="Times New Roman" w:cs="Times New Roman"/>
          <w:sz w:val="24"/>
          <w:szCs w:val="24"/>
        </w:rPr>
        <w:t xml:space="preserve">is double </w:t>
      </w:r>
      <w:r w:rsidR="004D5C2B">
        <w:rPr>
          <w:rFonts w:ascii="Times New Roman" w:hAnsi="Times New Roman" w:cs="Times New Roman"/>
          <w:sz w:val="24"/>
          <w:szCs w:val="24"/>
        </w:rPr>
        <w:lastRenderedPageBreak/>
        <w:t xml:space="preserve">diversifying </w:t>
      </w:r>
      <w:r>
        <w:rPr>
          <w:rFonts w:ascii="Times New Roman" w:hAnsi="Times New Roman" w:cs="Times New Roman"/>
          <w:sz w:val="24"/>
          <w:szCs w:val="24"/>
        </w:rPr>
        <w:t xml:space="preserve">due to </w:t>
      </w:r>
      <w:r w:rsidR="004D5C2B">
        <w:rPr>
          <w:rFonts w:ascii="Times New Roman" w:hAnsi="Times New Roman" w:cs="Times New Roman"/>
          <w:sz w:val="24"/>
          <w:szCs w:val="24"/>
        </w:rPr>
        <w:t xml:space="preserve">the </w:t>
      </w:r>
      <w:r w:rsidR="00B62EE6">
        <w:rPr>
          <w:rFonts w:ascii="Times New Roman" w:hAnsi="Times New Roman" w:cs="Times New Roman"/>
          <w:sz w:val="24"/>
          <w:szCs w:val="24"/>
        </w:rPr>
        <w:t xml:space="preserve">weak volatility </w:t>
      </w:r>
      <w:r>
        <w:rPr>
          <w:rFonts w:ascii="Times New Roman" w:hAnsi="Times New Roman" w:cs="Times New Roman"/>
          <w:sz w:val="24"/>
          <w:szCs w:val="24"/>
        </w:rPr>
        <w:t xml:space="preserve">linkages among themselves and </w:t>
      </w:r>
      <w:r w:rsidR="004D5C2B">
        <w:rPr>
          <w:rFonts w:ascii="Times New Roman" w:hAnsi="Times New Roman" w:cs="Times New Roman"/>
          <w:sz w:val="24"/>
          <w:szCs w:val="24"/>
        </w:rPr>
        <w:t xml:space="preserve">to the weak linkages </w:t>
      </w:r>
      <w:r w:rsidR="00B62EE6">
        <w:rPr>
          <w:rFonts w:ascii="Times New Roman" w:hAnsi="Times New Roman" w:cs="Times New Roman"/>
          <w:sz w:val="24"/>
          <w:szCs w:val="24"/>
        </w:rPr>
        <w:t xml:space="preserve">with the volatility of </w:t>
      </w:r>
      <w:r>
        <w:rPr>
          <w:rFonts w:ascii="Times New Roman" w:hAnsi="Times New Roman" w:cs="Times New Roman"/>
          <w:sz w:val="24"/>
          <w:szCs w:val="24"/>
        </w:rPr>
        <w:t xml:space="preserve">equities.   </w:t>
      </w:r>
    </w:p>
    <w:p w:rsidR="007C0B09" w:rsidRPr="00806715" w:rsidRDefault="007C0B09" w:rsidP="007C0B09">
      <w:pPr>
        <w:tabs>
          <w:tab w:val="left" w:pos="426"/>
        </w:tabs>
        <w:autoSpaceDE w:val="0"/>
        <w:autoSpaceDN w:val="0"/>
        <w:adjustRightInd w:val="0"/>
        <w:spacing w:after="0" w:line="480" w:lineRule="auto"/>
        <w:rPr>
          <w:rFonts w:ascii="Times New Roman" w:eastAsia="Calibri" w:hAnsi="Times New Roman" w:cs="Times New Roman"/>
          <w:b/>
          <w:bCs/>
          <w:sz w:val="24"/>
          <w:szCs w:val="24"/>
          <w:lang w:bidi="ar-AE"/>
        </w:rPr>
      </w:pPr>
      <w:r w:rsidRPr="00806715">
        <w:rPr>
          <w:rFonts w:ascii="Times New Roman" w:eastAsia="Calibri" w:hAnsi="Times New Roman" w:cs="Times New Roman"/>
          <w:b/>
          <w:bCs/>
          <w:sz w:val="24"/>
          <w:szCs w:val="24"/>
          <w:lang w:bidi="ar-AE"/>
        </w:rPr>
        <w:t>References</w:t>
      </w:r>
    </w:p>
    <w:p w:rsidR="005003F5" w:rsidRDefault="004C5103" w:rsidP="005003F5">
      <w:pPr>
        <w:spacing w:after="0" w:line="240" w:lineRule="auto"/>
        <w:jc w:val="both"/>
        <w:rPr>
          <w:rFonts w:ascii="Times New Roman" w:eastAsia="Times New Roman" w:hAnsi="Times New Roman" w:cs="Times New Roman"/>
          <w:color w:val="222222"/>
          <w:sz w:val="24"/>
          <w:szCs w:val="24"/>
          <w:lang w:val="en-GB" w:eastAsia="zh-CN"/>
        </w:rPr>
      </w:pPr>
      <w:r w:rsidRPr="00ED5675">
        <w:rPr>
          <w:rFonts w:ascii="Times New Roman" w:eastAsia="Times New Roman" w:hAnsi="Times New Roman" w:cs="Times New Roman"/>
          <w:color w:val="222222"/>
          <w:sz w:val="24"/>
          <w:szCs w:val="24"/>
          <w:lang w:val="sv-SE" w:eastAsia="zh-CN"/>
        </w:rPr>
        <w:t xml:space="preserve">Abbott, P. C., Hurt, C., &amp; Tyner, W. E. (2009). </w:t>
      </w:r>
      <w:r w:rsidRPr="00806715">
        <w:rPr>
          <w:rFonts w:ascii="Times New Roman" w:eastAsia="Times New Roman" w:hAnsi="Times New Roman" w:cs="Times New Roman"/>
          <w:i/>
          <w:iCs/>
          <w:color w:val="222222"/>
          <w:sz w:val="24"/>
          <w:szCs w:val="24"/>
          <w:lang w:val="en-GB" w:eastAsia="zh-CN"/>
        </w:rPr>
        <w:t>What's driving food prices? March 2009 Update</w:t>
      </w:r>
      <w:r w:rsidRPr="00806715">
        <w:rPr>
          <w:rFonts w:ascii="Times New Roman" w:eastAsia="Times New Roman" w:hAnsi="Times New Roman" w:cs="Times New Roman"/>
          <w:color w:val="222222"/>
          <w:sz w:val="24"/>
          <w:szCs w:val="24"/>
          <w:lang w:val="en-GB" w:eastAsia="zh-CN"/>
        </w:rPr>
        <w:t xml:space="preserve"> (No. 48495). Farm Foundation.</w:t>
      </w:r>
    </w:p>
    <w:p w:rsidR="005003F5" w:rsidRDefault="005003F5" w:rsidP="005003F5">
      <w:pPr>
        <w:spacing w:after="0" w:line="240" w:lineRule="auto"/>
        <w:jc w:val="both"/>
        <w:rPr>
          <w:rFonts w:ascii="Times New Roman" w:eastAsia="Times New Roman" w:hAnsi="Times New Roman" w:cs="Times New Roman"/>
          <w:color w:val="222222"/>
          <w:sz w:val="24"/>
          <w:szCs w:val="24"/>
          <w:lang w:val="en-GB" w:eastAsia="zh-CN"/>
        </w:rPr>
      </w:pPr>
    </w:p>
    <w:p w:rsidR="005003F5" w:rsidRPr="005003F5" w:rsidRDefault="005003F5" w:rsidP="005003F5">
      <w:pPr>
        <w:spacing w:after="0" w:line="240" w:lineRule="auto"/>
        <w:jc w:val="both"/>
        <w:rPr>
          <w:rFonts w:ascii="Times New Roman" w:hAnsi="Times New Roman" w:cs="Times New Roman"/>
          <w:color w:val="222222"/>
          <w:sz w:val="24"/>
          <w:szCs w:val="24"/>
          <w:shd w:val="clear" w:color="auto" w:fill="FFFFFF"/>
        </w:rPr>
      </w:pPr>
      <w:r w:rsidRPr="005003F5">
        <w:rPr>
          <w:rFonts w:ascii="Times New Roman" w:hAnsi="Times New Roman" w:cs="Times New Roman"/>
          <w:color w:val="222222"/>
          <w:sz w:val="24"/>
          <w:szCs w:val="24"/>
          <w:shd w:val="clear" w:color="auto" w:fill="FFFFFF"/>
        </w:rPr>
        <w:t>Akgiray, V. (1989). Conditional heteroscedasticity in time series of stock returns: Evidence and forecasts.</w:t>
      </w:r>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Journal of business</w:t>
      </w:r>
      <w:r w:rsidRPr="005003F5">
        <w:rPr>
          <w:rFonts w:ascii="Times New Roman" w:hAnsi="Times New Roman" w:cs="Times New Roman"/>
          <w:color w:val="222222"/>
          <w:sz w:val="24"/>
          <w:szCs w:val="24"/>
          <w:shd w:val="clear" w:color="auto" w:fill="FFFFFF"/>
        </w:rPr>
        <w:t>, 55-80.</w:t>
      </w:r>
    </w:p>
    <w:p w:rsidR="005003F5" w:rsidRDefault="005003F5" w:rsidP="005003F5">
      <w:pPr>
        <w:spacing w:after="0" w:line="240" w:lineRule="auto"/>
        <w:jc w:val="both"/>
        <w:rPr>
          <w:rFonts w:ascii="Times New Roman" w:eastAsia="Times New Roman" w:hAnsi="Times New Roman" w:cs="Times New Roman"/>
          <w:color w:val="222222"/>
          <w:sz w:val="24"/>
          <w:szCs w:val="24"/>
          <w:lang w:val="en-GB" w:eastAsia="zh-CN"/>
        </w:rPr>
      </w:pPr>
    </w:p>
    <w:p w:rsidR="005003F5" w:rsidRPr="005003F5" w:rsidRDefault="005003F5" w:rsidP="00A21562">
      <w:pPr>
        <w:spacing w:after="0" w:line="240" w:lineRule="auto"/>
        <w:jc w:val="both"/>
        <w:rPr>
          <w:rFonts w:ascii="Times New Roman" w:eastAsia="Times New Roman" w:hAnsi="Times New Roman" w:cs="Times New Roman"/>
          <w:color w:val="222222"/>
          <w:sz w:val="24"/>
          <w:szCs w:val="24"/>
          <w:lang w:val="en-GB" w:eastAsia="zh-CN"/>
        </w:rPr>
      </w:pPr>
      <w:r w:rsidRPr="005003F5">
        <w:rPr>
          <w:rFonts w:ascii="Times New Roman" w:hAnsi="Times New Roman" w:cs="Times New Roman"/>
          <w:color w:val="222222"/>
          <w:sz w:val="24"/>
          <w:szCs w:val="24"/>
          <w:shd w:val="clear" w:color="auto" w:fill="FFFFFF"/>
        </w:rPr>
        <w:t>Ankrim, E. M., &amp; Hensel, C. R. (1993). Commodities in Asset Allocation: A Real-Asset Alternative to Real Estate?.</w:t>
      </w:r>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Financial Analysts Journal</w:t>
      </w:r>
      <w:r w:rsidRPr="005003F5">
        <w:rPr>
          <w:rFonts w:ascii="Times New Roman" w:hAnsi="Times New Roman" w:cs="Times New Roman"/>
          <w:color w:val="222222"/>
          <w:sz w:val="24"/>
          <w:szCs w:val="24"/>
          <w:shd w:val="clear" w:color="auto" w:fill="FFFFFF"/>
        </w:rPr>
        <w:t>,</w:t>
      </w:r>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49</w:t>
      </w:r>
      <w:r w:rsidRPr="005003F5">
        <w:rPr>
          <w:rFonts w:ascii="Times New Roman" w:hAnsi="Times New Roman" w:cs="Times New Roman"/>
          <w:color w:val="222222"/>
          <w:sz w:val="24"/>
          <w:szCs w:val="24"/>
          <w:shd w:val="clear" w:color="auto" w:fill="FFFFFF"/>
        </w:rPr>
        <w:t>(3), 20-29.</w:t>
      </w:r>
    </w:p>
    <w:p w:rsidR="004054DF" w:rsidRPr="00806715" w:rsidRDefault="004054DF" w:rsidP="00A21562">
      <w:pPr>
        <w:spacing w:after="0" w:line="240" w:lineRule="auto"/>
        <w:jc w:val="both"/>
        <w:rPr>
          <w:rFonts w:ascii="Times New Roman" w:eastAsia="Times New Roman" w:hAnsi="Times New Roman" w:cs="Times New Roman"/>
          <w:color w:val="222222"/>
          <w:sz w:val="24"/>
          <w:szCs w:val="24"/>
          <w:lang w:val="en-GB" w:eastAsia="zh-CN"/>
        </w:rPr>
      </w:pPr>
    </w:p>
    <w:p w:rsidR="004054DF" w:rsidRPr="004054DF" w:rsidRDefault="004054DF" w:rsidP="00A21562">
      <w:pPr>
        <w:spacing w:after="0" w:line="240" w:lineRule="auto"/>
        <w:jc w:val="both"/>
        <w:rPr>
          <w:rFonts w:ascii="Times New Roman" w:eastAsia="Times New Roman" w:hAnsi="Times New Roman" w:cs="Times New Roman"/>
          <w:color w:val="222222"/>
          <w:sz w:val="24"/>
          <w:szCs w:val="24"/>
          <w:lang w:val="en-GB" w:eastAsia="zh-CN"/>
        </w:rPr>
      </w:pPr>
      <w:r w:rsidRPr="004054DF">
        <w:rPr>
          <w:rFonts w:ascii="Times New Roman" w:eastAsia="Times New Roman" w:hAnsi="Times New Roman" w:cs="Times New Roman"/>
          <w:color w:val="222222"/>
          <w:sz w:val="24"/>
          <w:szCs w:val="24"/>
          <w:lang w:val="en-GB" w:eastAsia="zh-CN"/>
        </w:rPr>
        <w:t xml:space="preserve">Alom, F., Ward, B., &amp; Hu, B. (2011, June). Spillover effects of World oil prices on food prices: evidence for Asia and Pacific countries. In </w:t>
      </w:r>
      <w:r w:rsidRPr="004054DF">
        <w:rPr>
          <w:rFonts w:ascii="Times New Roman" w:eastAsia="Times New Roman" w:hAnsi="Times New Roman" w:cs="Times New Roman"/>
          <w:i/>
          <w:iCs/>
          <w:color w:val="222222"/>
          <w:sz w:val="24"/>
          <w:szCs w:val="24"/>
          <w:lang w:val="en-GB" w:eastAsia="zh-CN"/>
        </w:rPr>
        <w:t>Proceedings of the 52nd Annual Conference New Zealand Association of Economists</w:t>
      </w:r>
      <w:r w:rsidRPr="004054DF">
        <w:rPr>
          <w:rFonts w:ascii="Times New Roman" w:eastAsia="Times New Roman" w:hAnsi="Times New Roman" w:cs="Times New Roman"/>
          <w:color w:val="222222"/>
          <w:sz w:val="24"/>
          <w:szCs w:val="24"/>
          <w:lang w:val="en-GB" w:eastAsia="zh-CN"/>
        </w:rPr>
        <w:t xml:space="preserve"> (Vol. 29).</w:t>
      </w:r>
    </w:p>
    <w:p w:rsidR="00F82103" w:rsidRPr="00806715" w:rsidRDefault="00F82103" w:rsidP="00A21562">
      <w:pPr>
        <w:spacing w:after="0" w:line="240" w:lineRule="auto"/>
        <w:jc w:val="both"/>
        <w:rPr>
          <w:rFonts w:ascii="Times New Roman" w:eastAsia="Times New Roman" w:hAnsi="Times New Roman" w:cs="Times New Roman"/>
          <w:color w:val="222222"/>
          <w:sz w:val="24"/>
          <w:szCs w:val="24"/>
          <w:lang w:val="en-GB" w:eastAsia="zh-CN"/>
        </w:rPr>
      </w:pPr>
    </w:p>
    <w:p w:rsidR="00F82103" w:rsidRPr="00806715" w:rsidRDefault="00F82103" w:rsidP="00A21562">
      <w:pPr>
        <w:spacing w:after="0" w:line="240" w:lineRule="auto"/>
        <w:jc w:val="both"/>
        <w:rPr>
          <w:rFonts w:ascii="Times New Roman" w:eastAsia="Times New Roman" w:hAnsi="Times New Roman" w:cs="Times New Roman"/>
          <w:color w:val="222222"/>
          <w:sz w:val="24"/>
          <w:szCs w:val="24"/>
          <w:lang w:val="en-GB" w:eastAsia="zh-CN"/>
        </w:rPr>
      </w:pPr>
      <w:r w:rsidRPr="00F82103">
        <w:rPr>
          <w:rFonts w:ascii="Times New Roman" w:eastAsia="Times New Roman" w:hAnsi="Times New Roman" w:cs="Times New Roman"/>
          <w:color w:val="222222"/>
          <w:sz w:val="24"/>
          <w:szCs w:val="24"/>
          <w:lang w:val="en-GB" w:eastAsia="zh-CN"/>
        </w:rPr>
        <w:t xml:space="preserve">Antonakakis, N., &amp; Kizys, R. (2015). Dynamic spillovers between commodity and currency markets. </w:t>
      </w:r>
      <w:r w:rsidRPr="00F82103">
        <w:rPr>
          <w:rFonts w:ascii="Times New Roman" w:eastAsia="Times New Roman" w:hAnsi="Times New Roman" w:cs="Times New Roman"/>
          <w:i/>
          <w:iCs/>
          <w:color w:val="222222"/>
          <w:sz w:val="24"/>
          <w:szCs w:val="24"/>
          <w:lang w:val="en-GB" w:eastAsia="zh-CN"/>
        </w:rPr>
        <w:t>International Review of Financial Analysis</w:t>
      </w:r>
      <w:r w:rsidRPr="00F82103">
        <w:rPr>
          <w:rFonts w:ascii="Times New Roman" w:eastAsia="Times New Roman" w:hAnsi="Times New Roman" w:cs="Times New Roman"/>
          <w:color w:val="222222"/>
          <w:sz w:val="24"/>
          <w:szCs w:val="24"/>
          <w:lang w:val="en-GB" w:eastAsia="zh-CN"/>
        </w:rPr>
        <w:t>.</w:t>
      </w:r>
    </w:p>
    <w:p w:rsidR="003E2078" w:rsidRPr="00806715" w:rsidRDefault="003E2078" w:rsidP="00A21562">
      <w:pPr>
        <w:spacing w:after="0" w:line="240" w:lineRule="auto"/>
        <w:jc w:val="both"/>
        <w:rPr>
          <w:rFonts w:ascii="Times New Roman" w:eastAsia="Times New Roman" w:hAnsi="Times New Roman" w:cs="Times New Roman"/>
          <w:color w:val="222222"/>
          <w:sz w:val="24"/>
          <w:szCs w:val="24"/>
          <w:lang w:val="en-GB" w:eastAsia="zh-CN"/>
        </w:rPr>
      </w:pPr>
    </w:p>
    <w:p w:rsidR="003E2078" w:rsidRDefault="003E2078" w:rsidP="00A21562">
      <w:pPr>
        <w:jc w:val="both"/>
        <w:rPr>
          <w:rFonts w:ascii="Times New Roman" w:hAnsi="Times New Roman" w:cs="Times New Roman"/>
          <w:color w:val="222222"/>
          <w:sz w:val="24"/>
          <w:szCs w:val="24"/>
        </w:rPr>
      </w:pPr>
      <w:r w:rsidRPr="00806715">
        <w:rPr>
          <w:rFonts w:ascii="Times New Roman" w:hAnsi="Times New Roman" w:cs="Times New Roman"/>
          <w:color w:val="222222"/>
          <w:sz w:val="24"/>
          <w:szCs w:val="24"/>
        </w:rPr>
        <w:t xml:space="preserve">Antonakakis, N. (2012). Exchange return co-movements and volatility spillovers before and after the introduction of euro. </w:t>
      </w:r>
      <w:r w:rsidRPr="00806715">
        <w:rPr>
          <w:rFonts w:ascii="Times New Roman" w:hAnsi="Times New Roman" w:cs="Times New Roman"/>
          <w:i/>
          <w:iCs/>
          <w:color w:val="222222"/>
          <w:sz w:val="24"/>
          <w:szCs w:val="24"/>
        </w:rPr>
        <w:t>Journal of International Financial Markets, Institutions and Money</w:t>
      </w:r>
      <w:r w:rsidRPr="00806715">
        <w:rPr>
          <w:rFonts w:ascii="Times New Roman" w:hAnsi="Times New Roman" w:cs="Times New Roman"/>
          <w:color w:val="222222"/>
          <w:sz w:val="24"/>
          <w:szCs w:val="24"/>
        </w:rPr>
        <w:t xml:space="preserve">, </w:t>
      </w:r>
      <w:r w:rsidRPr="00806715">
        <w:rPr>
          <w:rFonts w:ascii="Times New Roman" w:hAnsi="Times New Roman" w:cs="Times New Roman"/>
          <w:i/>
          <w:iCs/>
          <w:color w:val="222222"/>
          <w:sz w:val="24"/>
          <w:szCs w:val="24"/>
        </w:rPr>
        <w:t>22</w:t>
      </w:r>
      <w:r w:rsidRPr="00806715">
        <w:rPr>
          <w:rFonts w:ascii="Times New Roman" w:hAnsi="Times New Roman" w:cs="Times New Roman"/>
          <w:color w:val="222222"/>
          <w:sz w:val="24"/>
          <w:szCs w:val="24"/>
        </w:rPr>
        <w:t>(5), 1091-1109.</w:t>
      </w:r>
    </w:p>
    <w:p w:rsidR="005003F5" w:rsidRPr="005003F5" w:rsidRDefault="005003F5" w:rsidP="00A21562">
      <w:pPr>
        <w:jc w:val="both"/>
        <w:rPr>
          <w:rFonts w:ascii="Times New Roman" w:hAnsi="Times New Roman" w:cs="Times New Roman"/>
          <w:color w:val="222222"/>
          <w:sz w:val="24"/>
          <w:szCs w:val="24"/>
        </w:rPr>
      </w:pPr>
      <w:r w:rsidRPr="005003F5">
        <w:rPr>
          <w:rFonts w:ascii="Times New Roman" w:hAnsi="Times New Roman" w:cs="Times New Roman"/>
          <w:color w:val="222222"/>
          <w:sz w:val="24"/>
          <w:szCs w:val="24"/>
          <w:shd w:val="clear" w:color="auto" w:fill="FFFFFF"/>
        </w:rPr>
        <w:t>Anson, M. J. (1998). Spot returns, roll yield, and diversification with commodity futures.</w:t>
      </w:r>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The Journal of Alternative Investments</w:t>
      </w:r>
      <w:r w:rsidRPr="005003F5">
        <w:rPr>
          <w:rFonts w:ascii="Times New Roman" w:hAnsi="Times New Roman" w:cs="Times New Roman"/>
          <w:color w:val="222222"/>
          <w:sz w:val="24"/>
          <w:szCs w:val="24"/>
          <w:shd w:val="clear" w:color="auto" w:fill="FFFFFF"/>
        </w:rPr>
        <w:t>,</w:t>
      </w:r>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1</w:t>
      </w:r>
      <w:r w:rsidRPr="005003F5">
        <w:rPr>
          <w:rFonts w:ascii="Times New Roman" w:hAnsi="Times New Roman" w:cs="Times New Roman"/>
          <w:color w:val="222222"/>
          <w:sz w:val="24"/>
          <w:szCs w:val="24"/>
          <w:shd w:val="clear" w:color="auto" w:fill="FFFFFF"/>
        </w:rPr>
        <w:t>(3), 16-32.</w:t>
      </w:r>
    </w:p>
    <w:p w:rsidR="00F82103" w:rsidRPr="00806715" w:rsidRDefault="00F82103" w:rsidP="00A21562">
      <w:pPr>
        <w:jc w:val="both"/>
        <w:rPr>
          <w:rFonts w:ascii="Times New Roman" w:eastAsia="Times New Roman" w:hAnsi="Times New Roman" w:cs="Times New Roman"/>
          <w:color w:val="222222"/>
          <w:sz w:val="24"/>
          <w:szCs w:val="24"/>
          <w:lang w:val="en-GB" w:eastAsia="zh-CN"/>
        </w:rPr>
      </w:pPr>
      <w:r w:rsidRPr="00ED5675">
        <w:rPr>
          <w:rFonts w:ascii="Times New Roman" w:hAnsi="Times New Roman" w:cs="Times New Roman"/>
          <w:color w:val="222222"/>
          <w:sz w:val="24"/>
          <w:szCs w:val="24"/>
          <w:lang w:val="nb-NO" w:eastAsia="zh-CN"/>
        </w:rPr>
        <w:t xml:space="preserve">Apergis, N., &amp; Miller, S. M. (2009). </w:t>
      </w:r>
      <w:r w:rsidRPr="00806715">
        <w:rPr>
          <w:rFonts w:ascii="Times New Roman" w:hAnsi="Times New Roman" w:cs="Times New Roman"/>
          <w:color w:val="222222"/>
          <w:sz w:val="24"/>
          <w:szCs w:val="24"/>
          <w:lang w:val="en-GB" w:eastAsia="zh-CN"/>
        </w:rPr>
        <w:t>Do structural oil-market shocks affect stock prices</w:t>
      </w:r>
      <w:proofErr w:type="gramStart"/>
      <w:r w:rsidRPr="00806715">
        <w:rPr>
          <w:rFonts w:ascii="Times New Roman" w:hAnsi="Times New Roman" w:cs="Times New Roman"/>
          <w:color w:val="222222"/>
          <w:sz w:val="24"/>
          <w:szCs w:val="24"/>
          <w:lang w:val="en-GB" w:eastAsia="zh-CN"/>
        </w:rPr>
        <w:t>?.</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Energy 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31</w:t>
      </w:r>
      <w:r w:rsidRPr="00806715">
        <w:rPr>
          <w:rFonts w:ascii="Times New Roman" w:hAnsi="Times New Roman" w:cs="Times New Roman"/>
          <w:color w:val="222222"/>
          <w:sz w:val="24"/>
          <w:szCs w:val="24"/>
          <w:lang w:val="en-GB" w:eastAsia="zh-CN"/>
        </w:rPr>
        <w:t>(4), 569-575.</w:t>
      </w:r>
    </w:p>
    <w:p w:rsidR="00F82103" w:rsidRPr="00806715" w:rsidRDefault="00F82103" w:rsidP="00A21562">
      <w:pPr>
        <w:jc w:val="both"/>
        <w:rPr>
          <w:rFonts w:ascii="Times New Roman" w:hAnsi="Times New Roman" w:cs="Times New Roman"/>
          <w:color w:val="222222"/>
          <w:sz w:val="24"/>
          <w:szCs w:val="24"/>
          <w:lang w:val="en-GB" w:eastAsia="zh-CN"/>
        </w:rPr>
      </w:pPr>
      <w:proofErr w:type="spellStart"/>
      <w:proofErr w:type="gramStart"/>
      <w:r w:rsidRPr="00806715">
        <w:rPr>
          <w:rFonts w:ascii="Times New Roman" w:hAnsi="Times New Roman" w:cs="Times New Roman"/>
          <w:color w:val="222222"/>
          <w:sz w:val="24"/>
          <w:szCs w:val="24"/>
          <w:lang w:val="en-GB" w:eastAsia="zh-CN"/>
        </w:rPr>
        <w:t>Arouri</w:t>
      </w:r>
      <w:proofErr w:type="spellEnd"/>
      <w:r w:rsidRPr="00806715">
        <w:rPr>
          <w:rFonts w:ascii="Times New Roman" w:hAnsi="Times New Roman" w:cs="Times New Roman"/>
          <w:color w:val="222222"/>
          <w:sz w:val="24"/>
          <w:szCs w:val="24"/>
          <w:lang w:val="en-GB" w:eastAsia="zh-CN"/>
        </w:rPr>
        <w:t xml:space="preserve">, M. E. H., &amp; </w:t>
      </w:r>
      <w:proofErr w:type="spellStart"/>
      <w:r w:rsidRPr="00806715">
        <w:rPr>
          <w:rFonts w:ascii="Times New Roman" w:hAnsi="Times New Roman" w:cs="Times New Roman"/>
          <w:color w:val="222222"/>
          <w:sz w:val="24"/>
          <w:szCs w:val="24"/>
          <w:lang w:val="en-GB" w:eastAsia="zh-CN"/>
        </w:rPr>
        <w:t>Rault</w:t>
      </w:r>
      <w:proofErr w:type="spellEnd"/>
      <w:r w:rsidRPr="00806715">
        <w:rPr>
          <w:rFonts w:ascii="Times New Roman" w:hAnsi="Times New Roman" w:cs="Times New Roman"/>
          <w:color w:val="222222"/>
          <w:sz w:val="24"/>
          <w:szCs w:val="24"/>
          <w:lang w:val="en-GB" w:eastAsia="zh-CN"/>
        </w:rPr>
        <w:t>, C. (2012).</w:t>
      </w:r>
      <w:proofErr w:type="gramEnd"/>
      <w:r w:rsidRPr="00806715">
        <w:rPr>
          <w:rFonts w:ascii="Times New Roman" w:hAnsi="Times New Roman" w:cs="Times New Roman"/>
          <w:color w:val="222222"/>
          <w:sz w:val="24"/>
          <w:szCs w:val="24"/>
          <w:lang w:val="en-GB" w:eastAsia="zh-CN"/>
        </w:rPr>
        <w:t xml:space="preserve"> Oil prices and stock markets in GCC countries: empirical evidence from panel analysis. </w:t>
      </w:r>
      <w:r w:rsidRPr="00806715">
        <w:rPr>
          <w:rFonts w:ascii="Times New Roman" w:hAnsi="Times New Roman" w:cs="Times New Roman"/>
          <w:i/>
          <w:iCs/>
          <w:color w:val="222222"/>
          <w:sz w:val="24"/>
          <w:szCs w:val="24"/>
          <w:lang w:val="en-GB" w:eastAsia="zh-CN"/>
        </w:rPr>
        <w:t>International Journal of Finance &amp; 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17</w:t>
      </w:r>
      <w:r w:rsidRPr="00806715">
        <w:rPr>
          <w:rFonts w:ascii="Times New Roman" w:hAnsi="Times New Roman" w:cs="Times New Roman"/>
          <w:color w:val="222222"/>
          <w:sz w:val="24"/>
          <w:szCs w:val="24"/>
          <w:lang w:val="en-GB" w:eastAsia="zh-CN"/>
        </w:rPr>
        <w:t>(3), 242-253.</w:t>
      </w:r>
    </w:p>
    <w:p w:rsidR="00F04FC3" w:rsidRPr="00806715" w:rsidRDefault="00F04FC3" w:rsidP="00A21562">
      <w:pPr>
        <w:jc w:val="both"/>
        <w:rPr>
          <w:rFonts w:ascii="Times New Roman" w:hAnsi="Times New Roman" w:cs="Times New Roman"/>
          <w:color w:val="222222"/>
          <w:sz w:val="24"/>
          <w:szCs w:val="24"/>
          <w:lang w:val="en-GB" w:eastAsia="zh-CN"/>
        </w:rPr>
      </w:pPr>
      <w:r w:rsidRPr="00ED5675">
        <w:rPr>
          <w:rFonts w:ascii="Times New Roman" w:hAnsi="Times New Roman" w:cs="Times New Roman"/>
          <w:color w:val="222222"/>
          <w:sz w:val="24"/>
          <w:szCs w:val="24"/>
          <w:lang w:val="fi-FI" w:eastAsia="zh-CN"/>
        </w:rPr>
        <w:t xml:space="preserve">Arouri, M. E. H., Jouini, J., &amp; Nguyen, D. K. (2011). </w:t>
      </w:r>
      <w:r w:rsidRPr="00806715">
        <w:rPr>
          <w:rFonts w:ascii="Times New Roman" w:hAnsi="Times New Roman" w:cs="Times New Roman"/>
          <w:color w:val="222222"/>
          <w:sz w:val="24"/>
          <w:szCs w:val="24"/>
          <w:lang w:val="en-GB" w:eastAsia="zh-CN"/>
        </w:rPr>
        <w:t xml:space="preserve">Volatility spillovers between oil prices and stock sector returns: implications for portfolio management. </w:t>
      </w:r>
      <w:proofErr w:type="gramStart"/>
      <w:r w:rsidRPr="00806715">
        <w:rPr>
          <w:rFonts w:ascii="Times New Roman" w:hAnsi="Times New Roman" w:cs="Times New Roman"/>
          <w:i/>
          <w:iCs/>
          <w:color w:val="222222"/>
          <w:sz w:val="24"/>
          <w:szCs w:val="24"/>
          <w:lang w:val="en-GB" w:eastAsia="zh-CN"/>
        </w:rPr>
        <w:t>Journal of International money and finance</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30</w:t>
      </w:r>
      <w:r w:rsidRPr="00806715">
        <w:rPr>
          <w:rFonts w:ascii="Times New Roman" w:hAnsi="Times New Roman" w:cs="Times New Roman"/>
          <w:color w:val="222222"/>
          <w:sz w:val="24"/>
          <w:szCs w:val="24"/>
          <w:lang w:val="en-GB" w:eastAsia="zh-CN"/>
        </w:rPr>
        <w:t>(7), 1387-1405.</w:t>
      </w:r>
      <w:proofErr w:type="gramEnd"/>
    </w:p>
    <w:p w:rsidR="005E1F8A" w:rsidRPr="00806715" w:rsidRDefault="005E1F8A" w:rsidP="00A21562">
      <w:pPr>
        <w:jc w:val="both"/>
        <w:rPr>
          <w:rFonts w:ascii="Times New Roman" w:hAnsi="Times New Roman" w:cs="Times New Roman"/>
          <w:color w:val="222222"/>
          <w:sz w:val="24"/>
          <w:szCs w:val="24"/>
          <w:lang w:val="en-GB" w:eastAsia="zh-CN"/>
        </w:rPr>
      </w:pPr>
      <w:proofErr w:type="gramStart"/>
      <w:r w:rsidRPr="00BC12A2">
        <w:rPr>
          <w:rFonts w:ascii="Times New Roman" w:hAnsi="Times New Roman" w:cs="Times New Roman"/>
          <w:color w:val="222222"/>
          <w:sz w:val="24"/>
          <w:szCs w:val="24"/>
          <w:lang w:val="en-GB" w:eastAsia="zh-CN"/>
        </w:rPr>
        <w:t xml:space="preserve">Awartani, B., &amp; </w:t>
      </w:r>
      <w:proofErr w:type="spellStart"/>
      <w:r w:rsidRPr="00BC12A2">
        <w:rPr>
          <w:rFonts w:ascii="Times New Roman" w:hAnsi="Times New Roman" w:cs="Times New Roman"/>
          <w:color w:val="222222"/>
          <w:sz w:val="24"/>
          <w:szCs w:val="24"/>
          <w:lang w:val="en-GB" w:eastAsia="zh-CN"/>
        </w:rPr>
        <w:t>Maghyereh</w:t>
      </w:r>
      <w:proofErr w:type="spellEnd"/>
      <w:r w:rsidRPr="00BC12A2">
        <w:rPr>
          <w:rFonts w:ascii="Times New Roman" w:hAnsi="Times New Roman" w:cs="Times New Roman"/>
          <w:color w:val="222222"/>
          <w:sz w:val="24"/>
          <w:szCs w:val="24"/>
          <w:lang w:val="en-GB" w:eastAsia="zh-CN"/>
        </w:rPr>
        <w:t>, A. I. (2013).</w:t>
      </w:r>
      <w:proofErr w:type="gramEnd"/>
      <w:r w:rsidRPr="00BC12A2">
        <w:rPr>
          <w:rFonts w:ascii="Times New Roman" w:hAnsi="Times New Roman" w:cs="Times New Roman"/>
          <w:color w:val="222222"/>
          <w:sz w:val="24"/>
          <w:szCs w:val="24"/>
          <w:lang w:val="en-GB" w:eastAsia="zh-CN"/>
        </w:rPr>
        <w:t xml:space="preserve"> </w:t>
      </w:r>
      <w:proofErr w:type="gramStart"/>
      <w:r w:rsidRPr="00806715">
        <w:rPr>
          <w:rFonts w:ascii="Times New Roman" w:hAnsi="Times New Roman" w:cs="Times New Roman"/>
          <w:color w:val="222222"/>
          <w:sz w:val="24"/>
          <w:szCs w:val="24"/>
          <w:lang w:val="en-GB" w:eastAsia="zh-CN"/>
        </w:rPr>
        <w:t>Dynamic spillovers between oil and stock markets in the Gulf Cooperation Council Countries.</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Energy 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36</w:t>
      </w:r>
      <w:r w:rsidRPr="00806715">
        <w:rPr>
          <w:rFonts w:ascii="Times New Roman" w:hAnsi="Times New Roman" w:cs="Times New Roman"/>
          <w:color w:val="222222"/>
          <w:sz w:val="24"/>
          <w:szCs w:val="24"/>
          <w:lang w:val="en-GB" w:eastAsia="zh-CN"/>
        </w:rPr>
        <w:t>, 28-42.</w:t>
      </w:r>
    </w:p>
    <w:p w:rsidR="003E2078" w:rsidRPr="00806715" w:rsidRDefault="003E2078" w:rsidP="00A21562">
      <w:pPr>
        <w:jc w:val="both"/>
        <w:rPr>
          <w:rFonts w:ascii="Times New Roman" w:hAnsi="Times New Roman" w:cs="Times New Roman"/>
          <w:color w:val="222222"/>
          <w:sz w:val="24"/>
          <w:szCs w:val="24"/>
          <w:lang w:val="en-GB" w:eastAsia="zh-CN"/>
        </w:rPr>
      </w:pPr>
      <w:proofErr w:type="gramStart"/>
      <w:r w:rsidRPr="00806715">
        <w:rPr>
          <w:rFonts w:ascii="Times New Roman" w:hAnsi="Times New Roman" w:cs="Times New Roman"/>
          <w:color w:val="222222"/>
          <w:sz w:val="24"/>
          <w:szCs w:val="24"/>
          <w:lang w:val="en-GB" w:eastAsia="zh-CN"/>
        </w:rPr>
        <w:t xml:space="preserve">Awartani, B., </w:t>
      </w:r>
      <w:proofErr w:type="spellStart"/>
      <w:r w:rsidRPr="00806715">
        <w:rPr>
          <w:rFonts w:ascii="Times New Roman" w:hAnsi="Times New Roman" w:cs="Times New Roman"/>
          <w:color w:val="222222"/>
          <w:sz w:val="24"/>
          <w:szCs w:val="24"/>
          <w:lang w:val="en-GB" w:eastAsia="zh-CN"/>
        </w:rPr>
        <w:t>Maghyereh</w:t>
      </w:r>
      <w:proofErr w:type="spellEnd"/>
      <w:r w:rsidRPr="00806715">
        <w:rPr>
          <w:rFonts w:ascii="Times New Roman" w:hAnsi="Times New Roman" w:cs="Times New Roman"/>
          <w:color w:val="222222"/>
          <w:sz w:val="24"/>
          <w:szCs w:val="24"/>
          <w:lang w:val="en-GB" w:eastAsia="zh-CN"/>
        </w:rPr>
        <w:t xml:space="preserve">, A. I., &amp; Al </w:t>
      </w:r>
      <w:proofErr w:type="spellStart"/>
      <w:r w:rsidRPr="00806715">
        <w:rPr>
          <w:rFonts w:ascii="Times New Roman" w:hAnsi="Times New Roman" w:cs="Times New Roman"/>
          <w:color w:val="222222"/>
          <w:sz w:val="24"/>
          <w:szCs w:val="24"/>
          <w:lang w:val="en-GB" w:eastAsia="zh-CN"/>
        </w:rPr>
        <w:t>Shiab</w:t>
      </w:r>
      <w:proofErr w:type="spellEnd"/>
      <w:r w:rsidRPr="00806715">
        <w:rPr>
          <w:rFonts w:ascii="Times New Roman" w:hAnsi="Times New Roman" w:cs="Times New Roman"/>
          <w:color w:val="222222"/>
          <w:sz w:val="24"/>
          <w:szCs w:val="24"/>
          <w:lang w:val="en-GB" w:eastAsia="zh-CN"/>
        </w:rPr>
        <w:t>, M. (2013).</w:t>
      </w:r>
      <w:proofErr w:type="gramEnd"/>
      <w:r w:rsidRPr="00806715">
        <w:rPr>
          <w:rFonts w:ascii="Times New Roman" w:hAnsi="Times New Roman" w:cs="Times New Roman"/>
          <w:color w:val="222222"/>
          <w:sz w:val="24"/>
          <w:szCs w:val="24"/>
          <w:lang w:val="en-GB" w:eastAsia="zh-CN"/>
        </w:rPr>
        <w:t xml:space="preserve"> </w:t>
      </w:r>
      <w:proofErr w:type="gramStart"/>
      <w:r w:rsidRPr="00806715">
        <w:rPr>
          <w:rFonts w:ascii="Times New Roman" w:hAnsi="Times New Roman" w:cs="Times New Roman"/>
          <w:color w:val="222222"/>
          <w:sz w:val="24"/>
          <w:szCs w:val="24"/>
          <w:lang w:val="en-GB" w:eastAsia="zh-CN"/>
        </w:rPr>
        <w:t>Directional spillovers from the US and the Saudi market to equities in the Gulf Cooperation Council countries.</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Journal of International Financial Markets, Institutions and Money</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27</w:t>
      </w:r>
      <w:r w:rsidRPr="00806715">
        <w:rPr>
          <w:rFonts w:ascii="Times New Roman" w:hAnsi="Times New Roman" w:cs="Times New Roman"/>
          <w:color w:val="222222"/>
          <w:sz w:val="24"/>
          <w:szCs w:val="24"/>
          <w:lang w:val="en-GB" w:eastAsia="zh-CN"/>
        </w:rPr>
        <w:t>, 224-242.</w:t>
      </w:r>
    </w:p>
    <w:p w:rsidR="005E1F8A" w:rsidRPr="00806715" w:rsidRDefault="005E1F8A" w:rsidP="00A21562">
      <w:pPr>
        <w:jc w:val="both"/>
        <w:rPr>
          <w:rFonts w:ascii="Times New Roman" w:hAnsi="Times New Roman" w:cs="Times New Roman"/>
          <w:color w:val="222222"/>
          <w:sz w:val="24"/>
          <w:szCs w:val="24"/>
          <w:lang w:val="en-GB" w:eastAsia="zh-CN"/>
        </w:rPr>
      </w:pPr>
      <w:proofErr w:type="spellStart"/>
      <w:r w:rsidRPr="00806715">
        <w:rPr>
          <w:rFonts w:ascii="Times New Roman" w:hAnsi="Times New Roman" w:cs="Times New Roman"/>
          <w:color w:val="222222"/>
          <w:sz w:val="24"/>
          <w:szCs w:val="24"/>
          <w:lang w:val="en-GB" w:eastAsia="zh-CN"/>
        </w:rPr>
        <w:lastRenderedPageBreak/>
        <w:t>Bachmeier</w:t>
      </w:r>
      <w:proofErr w:type="spellEnd"/>
      <w:r w:rsidRPr="00806715">
        <w:rPr>
          <w:rFonts w:ascii="Times New Roman" w:hAnsi="Times New Roman" w:cs="Times New Roman"/>
          <w:color w:val="222222"/>
          <w:sz w:val="24"/>
          <w:szCs w:val="24"/>
          <w:lang w:val="en-GB" w:eastAsia="zh-CN"/>
        </w:rPr>
        <w:t xml:space="preserve">, L. (2008). </w:t>
      </w:r>
      <w:proofErr w:type="gramStart"/>
      <w:r w:rsidRPr="00806715">
        <w:rPr>
          <w:rFonts w:ascii="Times New Roman" w:hAnsi="Times New Roman" w:cs="Times New Roman"/>
          <w:color w:val="222222"/>
          <w:sz w:val="24"/>
          <w:szCs w:val="24"/>
          <w:lang w:val="en-GB" w:eastAsia="zh-CN"/>
        </w:rPr>
        <w:t>Monetary policy and the transmission of oil shocks.</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Journal of Macroeconomics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30</w:t>
      </w:r>
      <w:r w:rsidRPr="00806715">
        <w:rPr>
          <w:rFonts w:ascii="Times New Roman" w:hAnsi="Times New Roman" w:cs="Times New Roman"/>
          <w:color w:val="222222"/>
          <w:sz w:val="24"/>
          <w:szCs w:val="24"/>
          <w:lang w:val="en-GB" w:eastAsia="zh-CN"/>
        </w:rPr>
        <w:t>(4), 1738-1755.</w:t>
      </w:r>
    </w:p>
    <w:p w:rsidR="004C5103" w:rsidRPr="00806715" w:rsidRDefault="004C5103" w:rsidP="00A21562">
      <w:pPr>
        <w:spacing w:after="0" w:line="240" w:lineRule="auto"/>
        <w:jc w:val="both"/>
        <w:rPr>
          <w:rFonts w:ascii="Times New Roman" w:eastAsia="Times New Roman" w:hAnsi="Times New Roman" w:cs="Times New Roman"/>
          <w:color w:val="222222"/>
          <w:sz w:val="24"/>
          <w:szCs w:val="24"/>
          <w:lang w:val="en-GB" w:eastAsia="zh-CN"/>
        </w:rPr>
      </w:pPr>
      <w:r w:rsidRPr="00806715">
        <w:rPr>
          <w:rFonts w:ascii="Times New Roman" w:eastAsia="Times New Roman" w:hAnsi="Times New Roman" w:cs="Times New Roman"/>
          <w:color w:val="222222"/>
          <w:sz w:val="24"/>
          <w:szCs w:val="24"/>
          <w:lang w:val="en-GB" w:eastAsia="zh-CN"/>
        </w:rPr>
        <w:t xml:space="preserve">Baffes, J. (2007). Oil spills on other commodities. </w:t>
      </w:r>
      <w:r w:rsidRPr="00806715">
        <w:rPr>
          <w:rFonts w:ascii="Times New Roman" w:eastAsia="Times New Roman" w:hAnsi="Times New Roman" w:cs="Times New Roman"/>
          <w:i/>
          <w:iCs/>
          <w:color w:val="222222"/>
          <w:sz w:val="24"/>
          <w:szCs w:val="24"/>
          <w:lang w:val="en-GB" w:eastAsia="zh-CN"/>
        </w:rPr>
        <w:t>Resources Policy</w:t>
      </w:r>
      <w:r w:rsidRPr="00806715">
        <w:rPr>
          <w:rFonts w:ascii="Times New Roman" w:eastAsia="Times New Roman" w:hAnsi="Times New Roman" w:cs="Times New Roman"/>
          <w:color w:val="222222"/>
          <w:sz w:val="24"/>
          <w:szCs w:val="24"/>
          <w:lang w:val="en-GB" w:eastAsia="zh-CN"/>
        </w:rPr>
        <w:t xml:space="preserve">, </w:t>
      </w:r>
      <w:r w:rsidRPr="00806715">
        <w:rPr>
          <w:rFonts w:ascii="Times New Roman" w:eastAsia="Times New Roman" w:hAnsi="Times New Roman" w:cs="Times New Roman"/>
          <w:i/>
          <w:iCs/>
          <w:color w:val="222222"/>
          <w:sz w:val="24"/>
          <w:szCs w:val="24"/>
          <w:lang w:val="en-GB" w:eastAsia="zh-CN"/>
        </w:rPr>
        <w:t>32</w:t>
      </w:r>
      <w:r w:rsidRPr="00806715">
        <w:rPr>
          <w:rFonts w:ascii="Times New Roman" w:eastAsia="Times New Roman" w:hAnsi="Times New Roman" w:cs="Times New Roman"/>
          <w:color w:val="222222"/>
          <w:sz w:val="24"/>
          <w:szCs w:val="24"/>
          <w:lang w:val="en-GB" w:eastAsia="zh-CN"/>
        </w:rPr>
        <w:t>(3), 126-134.</w:t>
      </w:r>
    </w:p>
    <w:p w:rsidR="006C5710" w:rsidRPr="00806715" w:rsidRDefault="006C5710" w:rsidP="00A21562">
      <w:pPr>
        <w:spacing w:after="0" w:line="240" w:lineRule="auto"/>
        <w:jc w:val="both"/>
        <w:rPr>
          <w:rFonts w:ascii="Times New Roman" w:eastAsia="Times New Roman" w:hAnsi="Times New Roman" w:cs="Times New Roman"/>
          <w:color w:val="222222"/>
          <w:sz w:val="24"/>
          <w:szCs w:val="24"/>
          <w:lang w:val="en-GB" w:eastAsia="zh-CN"/>
        </w:rPr>
      </w:pPr>
    </w:p>
    <w:p w:rsidR="006C5710" w:rsidRPr="006C5710" w:rsidRDefault="006C5710" w:rsidP="00A21562">
      <w:pPr>
        <w:spacing w:after="0" w:line="240" w:lineRule="auto"/>
        <w:jc w:val="both"/>
        <w:rPr>
          <w:rFonts w:ascii="Times New Roman" w:eastAsia="Times New Roman" w:hAnsi="Times New Roman" w:cs="Times New Roman"/>
          <w:color w:val="222222"/>
          <w:sz w:val="24"/>
          <w:szCs w:val="24"/>
          <w:lang w:val="en-GB" w:eastAsia="zh-CN"/>
        </w:rPr>
      </w:pPr>
      <w:proofErr w:type="gramStart"/>
      <w:r w:rsidRPr="006C5710">
        <w:rPr>
          <w:rFonts w:ascii="Times New Roman" w:eastAsia="Times New Roman" w:hAnsi="Times New Roman" w:cs="Times New Roman"/>
          <w:color w:val="222222"/>
          <w:sz w:val="24"/>
          <w:szCs w:val="24"/>
          <w:lang w:val="en-GB" w:eastAsia="zh-CN"/>
        </w:rPr>
        <w:t xml:space="preserve">Baffes, J., &amp; </w:t>
      </w:r>
      <w:proofErr w:type="spellStart"/>
      <w:r w:rsidRPr="006C5710">
        <w:rPr>
          <w:rFonts w:ascii="Times New Roman" w:eastAsia="Times New Roman" w:hAnsi="Times New Roman" w:cs="Times New Roman"/>
          <w:color w:val="222222"/>
          <w:sz w:val="24"/>
          <w:szCs w:val="24"/>
          <w:lang w:val="en-GB" w:eastAsia="zh-CN"/>
        </w:rPr>
        <w:t>Haniotis</w:t>
      </w:r>
      <w:proofErr w:type="spellEnd"/>
      <w:r w:rsidRPr="006C5710">
        <w:rPr>
          <w:rFonts w:ascii="Times New Roman" w:eastAsia="Times New Roman" w:hAnsi="Times New Roman" w:cs="Times New Roman"/>
          <w:color w:val="222222"/>
          <w:sz w:val="24"/>
          <w:szCs w:val="24"/>
          <w:lang w:val="en-GB" w:eastAsia="zh-CN"/>
        </w:rPr>
        <w:t>, T. (2010).</w:t>
      </w:r>
      <w:proofErr w:type="gramEnd"/>
      <w:r w:rsidRPr="006C5710">
        <w:rPr>
          <w:rFonts w:ascii="Times New Roman" w:eastAsia="Times New Roman" w:hAnsi="Times New Roman" w:cs="Times New Roman"/>
          <w:color w:val="222222"/>
          <w:sz w:val="24"/>
          <w:szCs w:val="24"/>
          <w:lang w:val="en-GB" w:eastAsia="zh-CN"/>
        </w:rPr>
        <w:t xml:space="preserve"> </w:t>
      </w:r>
      <w:proofErr w:type="gramStart"/>
      <w:r w:rsidRPr="006C5710">
        <w:rPr>
          <w:rFonts w:ascii="Times New Roman" w:eastAsia="Times New Roman" w:hAnsi="Times New Roman" w:cs="Times New Roman"/>
          <w:color w:val="222222"/>
          <w:sz w:val="24"/>
          <w:szCs w:val="24"/>
          <w:lang w:val="en-GB" w:eastAsia="zh-CN"/>
        </w:rPr>
        <w:t>Placing the 2006/08 commodity price boom into perspective.</w:t>
      </w:r>
      <w:proofErr w:type="gramEnd"/>
      <w:r w:rsidRPr="006C5710">
        <w:rPr>
          <w:rFonts w:ascii="Times New Roman" w:eastAsia="Times New Roman" w:hAnsi="Times New Roman" w:cs="Times New Roman"/>
          <w:color w:val="222222"/>
          <w:sz w:val="24"/>
          <w:szCs w:val="24"/>
          <w:lang w:val="en-GB" w:eastAsia="zh-CN"/>
        </w:rPr>
        <w:t xml:space="preserve"> </w:t>
      </w:r>
      <w:r w:rsidRPr="006C5710">
        <w:rPr>
          <w:rFonts w:ascii="Times New Roman" w:eastAsia="Times New Roman" w:hAnsi="Times New Roman" w:cs="Times New Roman"/>
          <w:i/>
          <w:iCs/>
          <w:color w:val="222222"/>
          <w:sz w:val="24"/>
          <w:szCs w:val="24"/>
          <w:lang w:val="en-GB" w:eastAsia="zh-CN"/>
        </w:rPr>
        <w:t>World Bank Policy Research Working Paper Series, Vol</w:t>
      </w:r>
      <w:r w:rsidRPr="006C5710">
        <w:rPr>
          <w:rFonts w:ascii="Times New Roman" w:eastAsia="Times New Roman" w:hAnsi="Times New Roman" w:cs="Times New Roman"/>
          <w:color w:val="222222"/>
          <w:sz w:val="24"/>
          <w:szCs w:val="24"/>
          <w:lang w:val="en-GB" w:eastAsia="zh-CN"/>
        </w:rPr>
        <w:t>.</w:t>
      </w:r>
    </w:p>
    <w:p w:rsidR="00597E8C" w:rsidRPr="00806715" w:rsidRDefault="00597E8C" w:rsidP="00A21562">
      <w:pPr>
        <w:spacing w:after="0" w:line="240" w:lineRule="auto"/>
        <w:jc w:val="both"/>
        <w:rPr>
          <w:rFonts w:ascii="Times New Roman" w:eastAsia="Times New Roman" w:hAnsi="Times New Roman" w:cs="Times New Roman"/>
          <w:color w:val="222222"/>
          <w:sz w:val="24"/>
          <w:szCs w:val="24"/>
          <w:lang w:val="en-GB" w:eastAsia="zh-CN"/>
        </w:rPr>
      </w:pPr>
    </w:p>
    <w:p w:rsidR="00597E8C" w:rsidRPr="00597E8C" w:rsidRDefault="00597E8C"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r w:rsidRPr="00597E8C">
        <w:rPr>
          <w:rFonts w:ascii="Times New Roman" w:eastAsia="Times New Roman" w:hAnsi="Times New Roman" w:cs="Times New Roman"/>
          <w:color w:val="222222"/>
          <w:sz w:val="24"/>
          <w:szCs w:val="24"/>
          <w:lang w:val="en-GB" w:eastAsia="zh-CN"/>
        </w:rPr>
        <w:t>Baur</w:t>
      </w:r>
      <w:proofErr w:type="spellEnd"/>
      <w:r w:rsidRPr="00597E8C">
        <w:rPr>
          <w:rFonts w:ascii="Times New Roman" w:eastAsia="Times New Roman" w:hAnsi="Times New Roman" w:cs="Times New Roman"/>
          <w:color w:val="222222"/>
          <w:sz w:val="24"/>
          <w:szCs w:val="24"/>
          <w:lang w:val="en-GB" w:eastAsia="zh-CN"/>
        </w:rPr>
        <w:t xml:space="preserve">, D. G., &amp; McDermott, T. K. (2010). Is gold a safe haven? </w:t>
      </w:r>
      <w:proofErr w:type="gramStart"/>
      <w:r w:rsidRPr="00597E8C">
        <w:rPr>
          <w:rFonts w:ascii="Times New Roman" w:eastAsia="Times New Roman" w:hAnsi="Times New Roman" w:cs="Times New Roman"/>
          <w:color w:val="222222"/>
          <w:sz w:val="24"/>
          <w:szCs w:val="24"/>
          <w:lang w:val="en-GB" w:eastAsia="zh-CN"/>
        </w:rPr>
        <w:t>International evidence.</w:t>
      </w:r>
      <w:proofErr w:type="gramEnd"/>
      <w:r w:rsidRPr="00597E8C">
        <w:rPr>
          <w:rFonts w:ascii="Times New Roman" w:eastAsia="Times New Roman" w:hAnsi="Times New Roman" w:cs="Times New Roman"/>
          <w:color w:val="222222"/>
          <w:sz w:val="24"/>
          <w:szCs w:val="24"/>
          <w:lang w:val="en-GB" w:eastAsia="zh-CN"/>
        </w:rPr>
        <w:t xml:space="preserve"> </w:t>
      </w:r>
      <w:r w:rsidRPr="00597E8C">
        <w:rPr>
          <w:rFonts w:ascii="Times New Roman" w:eastAsia="Times New Roman" w:hAnsi="Times New Roman" w:cs="Times New Roman"/>
          <w:i/>
          <w:iCs/>
          <w:color w:val="222222"/>
          <w:sz w:val="24"/>
          <w:szCs w:val="24"/>
          <w:lang w:val="en-GB" w:eastAsia="zh-CN"/>
        </w:rPr>
        <w:t>Journal of Banking &amp; Finance</w:t>
      </w:r>
      <w:r w:rsidRPr="00597E8C">
        <w:rPr>
          <w:rFonts w:ascii="Times New Roman" w:eastAsia="Times New Roman" w:hAnsi="Times New Roman" w:cs="Times New Roman"/>
          <w:color w:val="222222"/>
          <w:sz w:val="24"/>
          <w:szCs w:val="24"/>
          <w:lang w:val="en-GB" w:eastAsia="zh-CN"/>
        </w:rPr>
        <w:t xml:space="preserve">, </w:t>
      </w:r>
      <w:r w:rsidRPr="00597E8C">
        <w:rPr>
          <w:rFonts w:ascii="Times New Roman" w:eastAsia="Times New Roman" w:hAnsi="Times New Roman" w:cs="Times New Roman"/>
          <w:i/>
          <w:iCs/>
          <w:color w:val="222222"/>
          <w:sz w:val="24"/>
          <w:szCs w:val="24"/>
          <w:lang w:val="en-GB" w:eastAsia="zh-CN"/>
        </w:rPr>
        <w:t>34</w:t>
      </w:r>
      <w:r w:rsidRPr="00597E8C">
        <w:rPr>
          <w:rFonts w:ascii="Times New Roman" w:eastAsia="Times New Roman" w:hAnsi="Times New Roman" w:cs="Times New Roman"/>
          <w:color w:val="222222"/>
          <w:sz w:val="24"/>
          <w:szCs w:val="24"/>
          <w:lang w:val="en-GB" w:eastAsia="zh-CN"/>
        </w:rPr>
        <w:t>(8), 1886-1898.</w:t>
      </w:r>
    </w:p>
    <w:p w:rsidR="00597E8C" w:rsidRPr="00806715" w:rsidRDefault="00597E8C" w:rsidP="00A21562">
      <w:pPr>
        <w:spacing w:after="0" w:line="240" w:lineRule="auto"/>
        <w:jc w:val="both"/>
        <w:rPr>
          <w:rFonts w:ascii="Times New Roman" w:eastAsia="Times New Roman" w:hAnsi="Times New Roman" w:cs="Times New Roman"/>
          <w:color w:val="222222"/>
          <w:sz w:val="24"/>
          <w:szCs w:val="24"/>
          <w:lang w:val="en-GB" w:eastAsia="zh-CN"/>
        </w:rPr>
      </w:pPr>
    </w:p>
    <w:p w:rsidR="00597E8C" w:rsidRDefault="00597E8C" w:rsidP="00A21562">
      <w:pPr>
        <w:spacing w:after="0" w:line="240" w:lineRule="auto"/>
        <w:jc w:val="both"/>
        <w:rPr>
          <w:rFonts w:ascii="Times New Roman" w:eastAsia="Times New Roman" w:hAnsi="Times New Roman" w:cs="Times New Roman"/>
          <w:color w:val="222222"/>
          <w:sz w:val="24"/>
          <w:szCs w:val="24"/>
          <w:lang w:val="en-GB" w:eastAsia="zh-CN"/>
        </w:rPr>
      </w:pPr>
      <w:r w:rsidRPr="001D1BE7">
        <w:rPr>
          <w:rFonts w:ascii="Times New Roman" w:eastAsia="Times New Roman" w:hAnsi="Times New Roman" w:cs="Times New Roman"/>
          <w:color w:val="222222"/>
          <w:sz w:val="24"/>
          <w:szCs w:val="24"/>
          <w:lang w:val="fr-FR" w:eastAsia="zh-CN"/>
        </w:rPr>
        <w:t xml:space="preserve">Baur, D. G., &amp; </w:t>
      </w:r>
      <w:proofErr w:type="spellStart"/>
      <w:r w:rsidRPr="001D1BE7">
        <w:rPr>
          <w:rFonts w:ascii="Times New Roman" w:eastAsia="Times New Roman" w:hAnsi="Times New Roman" w:cs="Times New Roman"/>
          <w:color w:val="222222"/>
          <w:sz w:val="24"/>
          <w:szCs w:val="24"/>
          <w:lang w:val="fr-FR" w:eastAsia="zh-CN"/>
        </w:rPr>
        <w:t>Lucey</w:t>
      </w:r>
      <w:proofErr w:type="spellEnd"/>
      <w:r w:rsidRPr="001D1BE7">
        <w:rPr>
          <w:rFonts w:ascii="Times New Roman" w:eastAsia="Times New Roman" w:hAnsi="Times New Roman" w:cs="Times New Roman"/>
          <w:color w:val="222222"/>
          <w:sz w:val="24"/>
          <w:szCs w:val="24"/>
          <w:lang w:val="fr-FR" w:eastAsia="zh-CN"/>
        </w:rPr>
        <w:t xml:space="preserve">, B. M. (2010). </w:t>
      </w:r>
      <w:r w:rsidRPr="00597E8C">
        <w:rPr>
          <w:rFonts w:ascii="Times New Roman" w:eastAsia="Times New Roman" w:hAnsi="Times New Roman" w:cs="Times New Roman"/>
          <w:color w:val="222222"/>
          <w:sz w:val="24"/>
          <w:szCs w:val="24"/>
          <w:lang w:val="en-GB" w:eastAsia="zh-CN"/>
        </w:rPr>
        <w:t xml:space="preserve">Is gold a hedge or a safe haven? </w:t>
      </w:r>
      <w:proofErr w:type="gramStart"/>
      <w:r w:rsidRPr="00597E8C">
        <w:rPr>
          <w:rFonts w:ascii="Times New Roman" w:eastAsia="Times New Roman" w:hAnsi="Times New Roman" w:cs="Times New Roman"/>
          <w:color w:val="222222"/>
          <w:sz w:val="24"/>
          <w:szCs w:val="24"/>
          <w:lang w:val="en-GB" w:eastAsia="zh-CN"/>
        </w:rPr>
        <w:t>An analysis of stocks, bonds and gold.</w:t>
      </w:r>
      <w:proofErr w:type="gramEnd"/>
      <w:r w:rsidRPr="00597E8C">
        <w:rPr>
          <w:rFonts w:ascii="Times New Roman" w:eastAsia="Times New Roman" w:hAnsi="Times New Roman" w:cs="Times New Roman"/>
          <w:color w:val="222222"/>
          <w:sz w:val="24"/>
          <w:szCs w:val="24"/>
          <w:lang w:val="en-GB" w:eastAsia="zh-CN"/>
        </w:rPr>
        <w:t xml:space="preserve"> </w:t>
      </w:r>
      <w:r w:rsidRPr="00597E8C">
        <w:rPr>
          <w:rFonts w:ascii="Times New Roman" w:eastAsia="Times New Roman" w:hAnsi="Times New Roman" w:cs="Times New Roman"/>
          <w:i/>
          <w:iCs/>
          <w:color w:val="222222"/>
          <w:sz w:val="24"/>
          <w:szCs w:val="24"/>
          <w:lang w:val="en-GB" w:eastAsia="zh-CN"/>
        </w:rPr>
        <w:t>Financial Review</w:t>
      </w:r>
      <w:r w:rsidRPr="00597E8C">
        <w:rPr>
          <w:rFonts w:ascii="Times New Roman" w:eastAsia="Times New Roman" w:hAnsi="Times New Roman" w:cs="Times New Roman"/>
          <w:color w:val="222222"/>
          <w:sz w:val="24"/>
          <w:szCs w:val="24"/>
          <w:lang w:val="en-GB" w:eastAsia="zh-CN"/>
        </w:rPr>
        <w:t xml:space="preserve">, </w:t>
      </w:r>
      <w:r w:rsidRPr="00597E8C">
        <w:rPr>
          <w:rFonts w:ascii="Times New Roman" w:eastAsia="Times New Roman" w:hAnsi="Times New Roman" w:cs="Times New Roman"/>
          <w:i/>
          <w:iCs/>
          <w:color w:val="222222"/>
          <w:sz w:val="24"/>
          <w:szCs w:val="24"/>
          <w:lang w:val="en-GB" w:eastAsia="zh-CN"/>
        </w:rPr>
        <w:t>45</w:t>
      </w:r>
      <w:r w:rsidRPr="00597E8C">
        <w:rPr>
          <w:rFonts w:ascii="Times New Roman" w:eastAsia="Times New Roman" w:hAnsi="Times New Roman" w:cs="Times New Roman"/>
          <w:color w:val="222222"/>
          <w:sz w:val="24"/>
          <w:szCs w:val="24"/>
          <w:lang w:val="en-GB" w:eastAsia="zh-CN"/>
        </w:rPr>
        <w:t>(2), 217-229.</w:t>
      </w:r>
    </w:p>
    <w:p w:rsidR="005003F5" w:rsidRDefault="005003F5" w:rsidP="00A21562">
      <w:pPr>
        <w:spacing w:after="0" w:line="240" w:lineRule="auto"/>
        <w:jc w:val="both"/>
        <w:rPr>
          <w:rFonts w:ascii="Times New Roman" w:eastAsia="Times New Roman" w:hAnsi="Times New Roman" w:cs="Times New Roman"/>
          <w:color w:val="222222"/>
          <w:sz w:val="24"/>
          <w:szCs w:val="24"/>
          <w:lang w:val="en-GB" w:eastAsia="zh-CN"/>
        </w:rPr>
      </w:pPr>
    </w:p>
    <w:p w:rsidR="005003F5" w:rsidRPr="005003F5" w:rsidRDefault="005003F5" w:rsidP="00A21562">
      <w:pPr>
        <w:spacing w:after="0" w:line="240" w:lineRule="auto"/>
        <w:jc w:val="both"/>
        <w:rPr>
          <w:rFonts w:ascii="Times New Roman" w:eastAsia="Times New Roman" w:hAnsi="Times New Roman" w:cs="Times New Roman"/>
          <w:color w:val="222222"/>
          <w:sz w:val="24"/>
          <w:szCs w:val="24"/>
          <w:lang w:val="en-GB" w:eastAsia="zh-CN"/>
        </w:rPr>
      </w:pPr>
      <w:r w:rsidRPr="00ED5675">
        <w:rPr>
          <w:rFonts w:ascii="Times New Roman" w:hAnsi="Times New Roman" w:cs="Times New Roman"/>
          <w:color w:val="222222"/>
          <w:sz w:val="24"/>
          <w:szCs w:val="24"/>
          <w:shd w:val="clear" w:color="auto" w:fill="FFFFFF"/>
          <w:lang w:val="sv-SE"/>
        </w:rPr>
        <w:t xml:space="preserve">Becker, K. G., &amp; Finnerty, J. E. (2000). </w:t>
      </w:r>
      <w:proofErr w:type="gramStart"/>
      <w:r w:rsidRPr="005003F5">
        <w:rPr>
          <w:rFonts w:ascii="Times New Roman" w:hAnsi="Times New Roman" w:cs="Times New Roman"/>
          <w:color w:val="222222"/>
          <w:sz w:val="24"/>
          <w:szCs w:val="24"/>
          <w:shd w:val="clear" w:color="auto" w:fill="FFFFFF"/>
        </w:rPr>
        <w:t>Indexed commodity futures and the risk and return of institutional portfolios.</w:t>
      </w:r>
      <w:proofErr w:type="gramEnd"/>
    </w:p>
    <w:p w:rsidR="00CA5AE0" w:rsidRDefault="00CA5AE0" w:rsidP="00A21562">
      <w:pPr>
        <w:spacing w:after="0" w:line="240" w:lineRule="auto"/>
        <w:jc w:val="both"/>
        <w:rPr>
          <w:rFonts w:ascii="Times New Roman" w:eastAsia="Times New Roman" w:hAnsi="Times New Roman" w:cs="Times New Roman"/>
          <w:color w:val="222222"/>
          <w:sz w:val="24"/>
          <w:szCs w:val="24"/>
          <w:lang w:val="en-GB" w:eastAsia="zh-CN"/>
        </w:rPr>
      </w:pPr>
    </w:p>
    <w:p w:rsidR="00CA5AE0" w:rsidRPr="00806715" w:rsidRDefault="00CA5AE0"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r w:rsidRPr="00CA5AE0">
        <w:rPr>
          <w:rFonts w:ascii="Times New Roman" w:eastAsia="Times New Roman" w:hAnsi="Times New Roman" w:cs="Times New Roman"/>
          <w:color w:val="222222"/>
          <w:sz w:val="24"/>
          <w:szCs w:val="24"/>
          <w:lang w:val="en-GB" w:eastAsia="zh-CN"/>
        </w:rPr>
        <w:t>Bentes</w:t>
      </w:r>
      <w:proofErr w:type="spellEnd"/>
      <w:r w:rsidRPr="00CA5AE0">
        <w:rPr>
          <w:rFonts w:ascii="Times New Roman" w:eastAsia="Times New Roman" w:hAnsi="Times New Roman" w:cs="Times New Roman"/>
          <w:color w:val="222222"/>
          <w:sz w:val="24"/>
          <w:szCs w:val="24"/>
          <w:lang w:val="en-GB" w:eastAsia="zh-CN"/>
        </w:rPr>
        <w:t xml:space="preserve">, S. R. (2015). A comparative analysis of the predictive power of implied volatility indices and GARCH forecasted volatility. </w:t>
      </w:r>
      <w:proofErr w:type="spellStart"/>
      <w:r w:rsidRPr="00CA5AE0">
        <w:rPr>
          <w:rFonts w:ascii="Times New Roman" w:eastAsia="Times New Roman" w:hAnsi="Times New Roman" w:cs="Times New Roman"/>
          <w:i/>
          <w:iCs/>
          <w:color w:val="222222"/>
          <w:sz w:val="24"/>
          <w:szCs w:val="24"/>
          <w:lang w:val="en-GB" w:eastAsia="zh-CN"/>
        </w:rPr>
        <w:t>Physica</w:t>
      </w:r>
      <w:proofErr w:type="spellEnd"/>
      <w:r w:rsidRPr="00CA5AE0">
        <w:rPr>
          <w:rFonts w:ascii="Times New Roman" w:eastAsia="Times New Roman" w:hAnsi="Times New Roman" w:cs="Times New Roman"/>
          <w:i/>
          <w:iCs/>
          <w:color w:val="222222"/>
          <w:sz w:val="24"/>
          <w:szCs w:val="24"/>
          <w:lang w:val="en-GB" w:eastAsia="zh-CN"/>
        </w:rPr>
        <w:t xml:space="preserve"> A</w:t>
      </w:r>
      <w:r w:rsidRPr="00CA5AE0">
        <w:rPr>
          <w:rFonts w:ascii="Times New Roman" w:eastAsia="Times New Roman" w:hAnsi="Times New Roman" w:cs="Times New Roman"/>
          <w:color w:val="222222"/>
          <w:sz w:val="24"/>
          <w:szCs w:val="24"/>
          <w:lang w:val="en-GB" w:eastAsia="zh-CN"/>
        </w:rPr>
        <w:t>, 424, 105–112.</w:t>
      </w:r>
    </w:p>
    <w:p w:rsidR="00600892" w:rsidRPr="00806715" w:rsidRDefault="00600892" w:rsidP="00A21562">
      <w:pPr>
        <w:spacing w:after="0" w:line="240" w:lineRule="auto"/>
        <w:jc w:val="both"/>
        <w:rPr>
          <w:rFonts w:ascii="Times New Roman" w:eastAsia="Times New Roman" w:hAnsi="Times New Roman" w:cs="Times New Roman"/>
          <w:color w:val="222222"/>
          <w:sz w:val="24"/>
          <w:szCs w:val="24"/>
          <w:lang w:val="en-GB" w:eastAsia="zh-CN"/>
        </w:rPr>
      </w:pPr>
    </w:p>
    <w:p w:rsidR="00A36045" w:rsidRPr="00A36045" w:rsidRDefault="00A36045" w:rsidP="00A21562">
      <w:pPr>
        <w:spacing w:after="0" w:line="240" w:lineRule="auto"/>
        <w:jc w:val="both"/>
        <w:rPr>
          <w:rFonts w:ascii="Times New Roman" w:hAnsi="Times New Roman" w:cs="Times New Roman"/>
          <w:color w:val="222222"/>
          <w:sz w:val="24"/>
          <w:szCs w:val="24"/>
          <w:shd w:val="clear" w:color="auto" w:fill="FFFFFF"/>
        </w:rPr>
      </w:pPr>
      <w:proofErr w:type="gramStart"/>
      <w:r w:rsidRPr="00A36045">
        <w:rPr>
          <w:rFonts w:ascii="Times New Roman" w:hAnsi="Times New Roman" w:cs="Times New Roman"/>
          <w:color w:val="222222"/>
          <w:sz w:val="24"/>
          <w:szCs w:val="24"/>
          <w:shd w:val="clear" w:color="auto" w:fill="FFFFFF"/>
        </w:rPr>
        <w:t>Blair, B. J., Poon, S. H., &amp; Taylor, S. J. (2001).</w:t>
      </w:r>
      <w:proofErr w:type="gramEnd"/>
      <w:r w:rsidRPr="00A36045">
        <w:rPr>
          <w:rFonts w:ascii="Times New Roman" w:hAnsi="Times New Roman" w:cs="Times New Roman"/>
          <w:color w:val="222222"/>
          <w:sz w:val="24"/>
          <w:szCs w:val="24"/>
          <w:shd w:val="clear" w:color="auto" w:fill="FFFFFF"/>
        </w:rPr>
        <w:t xml:space="preserve"> </w:t>
      </w:r>
      <w:proofErr w:type="gramStart"/>
      <w:r w:rsidRPr="00A36045">
        <w:rPr>
          <w:rFonts w:ascii="Times New Roman" w:hAnsi="Times New Roman" w:cs="Times New Roman"/>
          <w:color w:val="222222"/>
          <w:sz w:val="24"/>
          <w:szCs w:val="24"/>
          <w:shd w:val="clear" w:color="auto" w:fill="FFFFFF"/>
        </w:rPr>
        <w:t>Modelling S&amp;P 100 volatility: The information content of stock returns.</w:t>
      </w:r>
      <w:proofErr w:type="gramEnd"/>
      <w:r w:rsidRPr="00A36045">
        <w:rPr>
          <w:rStyle w:val="apple-converted-space"/>
          <w:rFonts w:ascii="Times New Roman" w:hAnsi="Times New Roman" w:cs="Times New Roman"/>
          <w:color w:val="222222"/>
          <w:sz w:val="24"/>
          <w:szCs w:val="24"/>
          <w:shd w:val="clear" w:color="auto" w:fill="FFFFFF"/>
        </w:rPr>
        <w:t> </w:t>
      </w:r>
      <w:proofErr w:type="gramStart"/>
      <w:r w:rsidRPr="00A36045">
        <w:rPr>
          <w:rFonts w:ascii="Times New Roman" w:hAnsi="Times New Roman" w:cs="Times New Roman"/>
          <w:i/>
          <w:iCs/>
          <w:color w:val="222222"/>
          <w:sz w:val="24"/>
          <w:szCs w:val="24"/>
          <w:shd w:val="clear" w:color="auto" w:fill="FFFFFF"/>
        </w:rPr>
        <w:t>Journal of banking &amp; finance</w:t>
      </w:r>
      <w:r w:rsidRPr="00A36045">
        <w:rPr>
          <w:rFonts w:ascii="Times New Roman" w:hAnsi="Times New Roman" w:cs="Times New Roman"/>
          <w:color w:val="222222"/>
          <w:sz w:val="24"/>
          <w:szCs w:val="24"/>
          <w:shd w:val="clear" w:color="auto" w:fill="FFFFFF"/>
        </w:rPr>
        <w:t>,</w:t>
      </w:r>
      <w:r w:rsidRPr="00A36045">
        <w:rPr>
          <w:rStyle w:val="apple-converted-space"/>
          <w:rFonts w:ascii="Times New Roman" w:hAnsi="Times New Roman" w:cs="Times New Roman"/>
          <w:color w:val="222222"/>
          <w:sz w:val="24"/>
          <w:szCs w:val="24"/>
          <w:shd w:val="clear" w:color="auto" w:fill="FFFFFF"/>
        </w:rPr>
        <w:t> </w:t>
      </w:r>
      <w:r w:rsidRPr="00A36045">
        <w:rPr>
          <w:rFonts w:ascii="Times New Roman" w:hAnsi="Times New Roman" w:cs="Times New Roman"/>
          <w:i/>
          <w:iCs/>
          <w:color w:val="222222"/>
          <w:sz w:val="24"/>
          <w:szCs w:val="24"/>
          <w:shd w:val="clear" w:color="auto" w:fill="FFFFFF"/>
        </w:rPr>
        <w:t>25</w:t>
      </w:r>
      <w:r w:rsidRPr="00A36045">
        <w:rPr>
          <w:rFonts w:ascii="Times New Roman" w:hAnsi="Times New Roman" w:cs="Times New Roman"/>
          <w:color w:val="222222"/>
          <w:sz w:val="24"/>
          <w:szCs w:val="24"/>
          <w:shd w:val="clear" w:color="auto" w:fill="FFFFFF"/>
        </w:rPr>
        <w:t>(9), 1665-1679.</w:t>
      </w:r>
      <w:proofErr w:type="gramEnd"/>
    </w:p>
    <w:p w:rsidR="00A36045" w:rsidRDefault="00A36045" w:rsidP="00A21562">
      <w:pPr>
        <w:spacing w:after="0" w:line="240" w:lineRule="auto"/>
        <w:jc w:val="both"/>
        <w:rPr>
          <w:rFonts w:ascii="Times New Roman" w:eastAsia="Times New Roman" w:hAnsi="Times New Roman" w:cs="Times New Roman"/>
          <w:color w:val="222222"/>
          <w:sz w:val="24"/>
          <w:szCs w:val="24"/>
          <w:lang w:val="en-GB" w:eastAsia="zh-CN"/>
        </w:rPr>
      </w:pPr>
    </w:p>
    <w:p w:rsidR="00600892" w:rsidRPr="00600892" w:rsidRDefault="00600892"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r w:rsidRPr="00600892">
        <w:rPr>
          <w:rFonts w:ascii="Times New Roman" w:eastAsia="Times New Roman" w:hAnsi="Times New Roman" w:cs="Times New Roman"/>
          <w:color w:val="222222"/>
          <w:sz w:val="24"/>
          <w:szCs w:val="24"/>
          <w:lang w:val="en-GB" w:eastAsia="zh-CN"/>
        </w:rPr>
        <w:t>Blose</w:t>
      </w:r>
      <w:proofErr w:type="spellEnd"/>
      <w:r w:rsidRPr="00600892">
        <w:rPr>
          <w:rFonts w:ascii="Times New Roman" w:eastAsia="Times New Roman" w:hAnsi="Times New Roman" w:cs="Times New Roman"/>
          <w:color w:val="222222"/>
          <w:sz w:val="24"/>
          <w:szCs w:val="24"/>
          <w:lang w:val="en-GB" w:eastAsia="zh-CN"/>
        </w:rPr>
        <w:t xml:space="preserve">, L. E. (2010). </w:t>
      </w:r>
      <w:proofErr w:type="gramStart"/>
      <w:r w:rsidRPr="00600892">
        <w:rPr>
          <w:rFonts w:ascii="Times New Roman" w:eastAsia="Times New Roman" w:hAnsi="Times New Roman" w:cs="Times New Roman"/>
          <w:color w:val="222222"/>
          <w:sz w:val="24"/>
          <w:szCs w:val="24"/>
          <w:lang w:val="en-GB" w:eastAsia="zh-CN"/>
        </w:rPr>
        <w:t>Gold prices, cost of carry, and expected inflation.</w:t>
      </w:r>
      <w:proofErr w:type="gramEnd"/>
      <w:r w:rsidRPr="00600892">
        <w:rPr>
          <w:rFonts w:ascii="Times New Roman" w:eastAsia="Times New Roman" w:hAnsi="Times New Roman" w:cs="Times New Roman"/>
          <w:color w:val="222222"/>
          <w:sz w:val="24"/>
          <w:szCs w:val="24"/>
          <w:lang w:val="en-GB" w:eastAsia="zh-CN"/>
        </w:rPr>
        <w:t xml:space="preserve"> </w:t>
      </w:r>
      <w:r w:rsidRPr="00600892">
        <w:rPr>
          <w:rFonts w:ascii="Times New Roman" w:eastAsia="Times New Roman" w:hAnsi="Times New Roman" w:cs="Times New Roman"/>
          <w:i/>
          <w:iCs/>
          <w:color w:val="222222"/>
          <w:sz w:val="24"/>
          <w:szCs w:val="24"/>
          <w:lang w:val="en-GB" w:eastAsia="zh-CN"/>
        </w:rPr>
        <w:t>Journal of Economics and Business</w:t>
      </w:r>
      <w:r w:rsidRPr="00600892">
        <w:rPr>
          <w:rFonts w:ascii="Times New Roman" w:eastAsia="Times New Roman" w:hAnsi="Times New Roman" w:cs="Times New Roman"/>
          <w:color w:val="222222"/>
          <w:sz w:val="24"/>
          <w:szCs w:val="24"/>
          <w:lang w:val="en-GB" w:eastAsia="zh-CN"/>
        </w:rPr>
        <w:t xml:space="preserve">, </w:t>
      </w:r>
      <w:r w:rsidRPr="00600892">
        <w:rPr>
          <w:rFonts w:ascii="Times New Roman" w:eastAsia="Times New Roman" w:hAnsi="Times New Roman" w:cs="Times New Roman"/>
          <w:i/>
          <w:iCs/>
          <w:color w:val="222222"/>
          <w:sz w:val="24"/>
          <w:szCs w:val="24"/>
          <w:lang w:val="en-GB" w:eastAsia="zh-CN"/>
        </w:rPr>
        <w:t>62</w:t>
      </w:r>
      <w:r w:rsidRPr="00600892">
        <w:rPr>
          <w:rFonts w:ascii="Times New Roman" w:eastAsia="Times New Roman" w:hAnsi="Times New Roman" w:cs="Times New Roman"/>
          <w:color w:val="222222"/>
          <w:sz w:val="24"/>
          <w:szCs w:val="24"/>
          <w:lang w:val="en-GB" w:eastAsia="zh-CN"/>
        </w:rPr>
        <w:t>(1), 35-47.</w:t>
      </w:r>
    </w:p>
    <w:p w:rsidR="00245D1F" w:rsidRPr="00806715" w:rsidRDefault="00245D1F" w:rsidP="00A21562">
      <w:pPr>
        <w:spacing w:after="0" w:line="240" w:lineRule="auto"/>
        <w:jc w:val="both"/>
        <w:rPr>
          <w:rFonts w:ascii="Times New Roman" w:eastAsia="Times New Roman" w:hAnsi="Times New Roman" w:cs="Times New Roman"/>
          <w:color w:val="222222"/>
          <w:sz w:val="24"/>
          <w:szCs w:val="24"/>
          <w:lang w:val="en-GB" w:eastAsia="zh-CN"/>
        </w:rPr>
      </w:pPr>
    </w:p>
    <w:p w:rsidR="00245D1F" w:rsidRDefault="00245D1F" w:rsidP="00A21562">
      <w:pPr>
        <w:jc w:val="both"/>
        <w:rPr>
          <w:rFonts w:ascii="Times New Roman" w:hAnsi="Times New Roman" w:cs="Times New Roman"/>
          <w:color w:val="222222"/>
          <w:sz w:val="24"/>
          <w:szCs w:val="24"/>
          <w:lang w:val="en-GB" w:eastAsia="zh-CN"/>
        </w:rPr>
      </w:pPr>
      <w:r w:rsidRPr="00ED5675">
        <w:rPr>
          <w:rFonts w:ascii="Times New Roman" w:hAnsi="Times New Roman" w:cs="Times New Roman"/>
          <w:color w:val="222222"/>
          <w:sz w:val="24"/>
          <w:szCs w:val="24"/>
          <w:lang w:val="de-DE" w:eastAsia="zh-CN"/>
        </w:rPr>
        <w:t xml:space="preserve">Broner, F. A., Gelos, R. G., &amp; Reinhart, C. M. (2006). </w:t>
      </w:r>
      <w:r w:rsidRPr="00806715">
        <w:rPr>
          <w:rFonts w:ascii="Times New Roman" w:hAnsi="Times New Roman" w:cs="Times New Roman"/>
          <w:color w:val="222222"/>
          <w:sz w:val="24"/>
          <w:szCs w:val="24"/>
          <w:lang w:val="en-GB" w:eastAsia="zh-CN"/>
        </w:rPr>
        <w:t xml:space="preserve">When in peril, retrench: Testing the portfolio channel of contagion. </w:t>
      </w:r>
      <w:r w:rsidRPr="00806715">
        <w:rPr>
          <w:rFonts w:ascii="Times New Roman" w:hAnsi="Times New Roman" w:cs="Times New Roman"/>
          <w:i/>
          <w:iCs/>
          <w:color w:val="222222"/>
          <w:sz w:val="24"/>
          <w:szCs w:val="24"/>
          <w:lang w:val="en-GB" w:eastAsia="zh-CN"/>
        </w:rPr>
        <w:t>Journal of International 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69</w:t>
      </w:r>
      <w:r w:rsidRPr="00806715">
        <w:rPr>
          <w:rFonts w:ascii="Times New Roman" w:hAnsi="Times New Roman" w:cs="Times New Roman"/>
          <w:color w:val="222222"/>
          <w:sz w:val="24"/>
          <w:szCs w:val="24"/>
          <w:lang w:val="en-GB" w:eastAsia="zh-CN"/>
        </w:rPr>
        <w:t>(1), 203-230.</w:t>
      </w:r>
    </w:p>
    <w:p w:rsidR="000F55C8" w:rsidRDefault="000F55C8" w:rsidP="000F55C8">
      <w:pPr>
        <w:jc w:val="both"/>
        <w:rPr>
          <w:rFonts w:ascii="Times New Roman" w:hAnsi="Times New Roman" w:cs="Times New Roman"/>
          <w:color w:val="222222"/>
          <w:sz w:val="24"/>
          <w:szCs w:val="24"/>
          <w:lang w:val="en-GB" w:eastAsia="zh-CN"/>
        </w:rPr>
      </w:pPr>
      <w:proofErr w:type="spellStart"/>
      <w:r w:rsidRPr="000F55C8">
        <w:rPr>
          <w:rFonts w:ascii="Times New Roman" w:hAnsi="Times New Roman" w:cs="Times New Roman"/>
          <w:color w:val="222222"/>
          <w:sz w:val="24"/>
          <w:szCs w:val="24"/>
          <w:lang w:val="en-GB" w:eastAsia="zh-CN"/>
        </w:rPr>
        <w:t>Bozdog</w:t>
      </w:r>
      <w:proofErr w:type="spellEnd"/>
      <w:r w:rsidRPr="000F55C8">
        <w:rPr>
          <w:rFonts w:ascii="Times New Roman" w:hAnsi="Times New Roman" w:cs="Times New Roman"/>
          <w:color w:val="222222"/>
          <w:sz w:val="24"/>
          <w:szCs w:val="24"/>
          <w:lang w:val="en-GB" w:eastAsia="zh-CN"/>
        </w:rPr>
        <w:t xml:space="preserve">, D., </w:t>
      </w:r>
      <w:proofErr w:type="spellStart"/>
      <w:r w:rsidRPr="000F55C8">
        <w:rPr>
          <w:rFonts w:ascii="Times New Roman" w:hAnsi="Times New Roman" w:cs="Times New Roman"/>
          <w:color w:val="222222"/>
          <w:sz w:val="24"/>
          <w:szCs w:val="24"/>
          <w:lang w:val="en-GB" w:eastAsia="zh-CN"/>
        </w:rPr>
        <w:t>Florescu</w:t>
      </w:r>
      <w:proofErr w:type="spellEnd"/>
      <w:r w:rsidRPr="000F55C8">
        <w:rPr>
          <w:rFonts w:ascii="Times New Roman" w:hAnsi="Times New Roman" w:cs="Times New Roman"/>
          <w:color w:val="222222"/>
          <w:sz w:val="24"/>
          <w:szCs w:val="24"/>
          <w:lang w:val="en-GB" w:eastAsia="zh-CN"/>
        </w:rPr>
        <w:t xml:space="preserve">, I., </w:t>
      </w:r>
      <w:proofErr w:type="spellStart"/>
      <w:r w:rsidRPr="000F55C8">
        <w:rPr>
          <w:rFonts w:ascii="Times New Roman" w:hAnsi="Times New Roman" w:cs="Times New Roman"/>
          <w:color w:val="222222"/>
          <w:sz w:val="24"/>
          <w:szCs w:val="24"/>
          <w:lang w:val="en-GB" w:eastAsia="zh-CN"/>
        </w:rPr>
        <w:t>Khashanah</w:t>
      </w:r>
      <w:proofErr w:type="spellEnd"/>
      <w:r w:rsidRPr="000F55C8">
        <w:rPr>
          <w:rFonts w:ascii="Times New Roman" w:hAnsi="Times New Roman" w:cs="Times New Roman"/>
          <w:color w:val="222222"/>
          <w:sz w:val="24"/>
          <w:szCs w:val="24"/>
          <w:lang w:val="en-GB" w:eastAsia="zh-CN"/>
        </w:rPr>
        <w:t xml:space="preserve">, K. </w:t>
      </w:r>
      <w:r>
        <w:rPr>
          <w:rFonts w:ascii="Times New Roman" w:hAnsi="Times New Roman" w:cs="Times New Roman"/>
          <w:color w:val="222222"/>
          <w:sz w:val="24"/>
          <w:szCs w:val="24"/>
          <w:lang w:val="en-GB" w:eastAsia="zh-CN"/>
        </w:rPr>
        <w:t>&amp;</w:t>
      </w:r>
      <w:r w:rsidRPr="000F55C8">
        <w:rPr>
          <w:rFonts w:ascii="Times New Roman" w:hAnsi="Times New Roman" w:cs="Times New Roman"/>
          <w:color w:val="222222"/>
          <w:sz w:val="24"/>
          <w:szCs w:val="24"/>
          <w:lang w:val="en-GB" w:eastAsia="zh-CN"/>
        </w:rPr>
        <w:t xml:space="preserve"> Qiu, H. (2011) Construction of Volatility Indices Using a Multinomial Tree Approximation Method, in </w:t>
      </w:r>
      <w:r w:rsidRPr="000F55C8">
        <w:rPr>
          <w:rFonts w:ascii="Times New Roman" w:hAnsi="Times New Roman" w:cs="Times New Roman"/>
          <w:i/>
          <w:iCs/>
          <w:color w:val="222222"/>
          <w:sz w:val="24"/>
          <w:szCs w:val="24"/>
          <w:lang w:val="en-GB" w:eastAsia="zh-CN"/>
        </w:rPr>
        <w:t xml:space="preserve">Handbook of </w:t>
      </w:r>
      <w:proofErr w:type="spellStart"/>
      <w:r w:rsidRPr="000F55C8">
        <w:rPr>
          <w:rFonts w:ascii="Times New Roman" w:hAnsi="Times New Roman" w:cs="Times New Roman"/>
          <w:i/>
          <w:iCs/>
          <w:color w:val="222222"/>
          <w:sz w:val="24"/>
          <w:szCs w:val="24"/>
          <w:lang w:val="en-GB" w:eastAsia="zh-CN"/>
        </w:rPr>
        <w:t>Modeling</w:t>
      </w:r>
      <w:proofErr w:type="spellEnd"/>
      <w:r w:rsidRPr="000F55C8">
        <w:rPr>
          <w:rFonts w:ascii="Times New Roman" w:hAnsi="Times New Roman" w:cs="Times New Roman"/>
          <w:i/>
          <w:iCs/>
          <w:color w:val="222222"/>
          <w:sz w:val="24"/>
          <w:szCs w:val="24"/>
          <w:lang w:val="en-GB" w:eastAsia="zh-CN"/>
        </w:rPr>
        <w:t xml:space="preserve"> High-Frequency Data in Finance</w:t>
      </w:r>
      <w:r w:rsidRPr="000F55C8">
        <w:rPr>
          <w:rFonts w:ascii="Times New Roman" w:hAnsi="Times New Roman" w:cs="Times New Roman"/>
          <w:color w:val="222222"/>
          <w:sz w:val="24"/>
          <w:szCs w:val="24"/>
          <w:lang w:val="en-GB" w:eastAsia="zh-CN"/>
        </w:rPr>
        <w:t xml:space="preserve"> (</w:t>
      </w:r>
      <w:proofErr w:type="spellStart"/>
      <w:r w:rsidRPr="000F55C8">
        <w:rPr>
          <w:rFonts w:ascii="Times New Roman" w:hAnsi="Times New Roman" w:cs="Times New Roman"/>
          <w:color w:val="222222"/>
          <w:sz w:val="24"/>
          <w:szCs w:val="24"/>
          <w:lang w:val="en-GB" w:eastAsia="zh-CN"/>
        </w:rPr>
        <w:t>eds</w:t>
      </w:r>
      <w:proofErr w:type="spellEnd"/>
      <w:r w:rsidRPr="000F55C8">
        <w:rPr>
          <w:rFonts w:ascii="Times New Roman" w:hAnsi="Times New Roman" w:cs="Times New Roman"/>
          <w:color w:val="222222"/>
          <w:sz w:val="24"/>
          <w:szCs w:val="24"/>
          <w:lang w:val="en-GB" w:eastAsia="zh-CN"/>
        </w:rPr>
        <w:t xml:space="preserve"> F. G. </w:t>
      </w:r>
      <w:proofErr w:type="spellStart"/>
      <w:r w:rsidRPr="000F55C8">
        <w:rPr>
          <w:rFonts w:ascii="Times New Roman" w:hAnsi="Times New Roman" w:cs="Times New Roman"/>
          <w:color w:val="222222"/>
          <w:sz w:val="24"/>
          <w:szCs w:val="24"/>
          <w:lang w:val="en-GB" w:eastAsia="zh-CN"/>
        </w:rPr>
        <w:t>Viens</w:t>
      </w:r>
      <w:proofErr w:type="spellEnd"/>
      <w:r w:rsidRPr="000F55C8">
        <w:rPr>
          <w:rFonts w:ascii="Times New Roman" w:hAnsi="Times New Roman" w:cs="Times New Roman"/>
          <w:color w:val="222222"/>
          <w:sz w:val="24"/>
          <w:szCs w:val="24"/>
          <w:lang w:val="en-GB" w:eastAsia="zh-CN"/>
        </w:rPr>
        <w:t xml:space="preserve">, M. C. </w:t>
      </w:r>
      <w:proofErr w:type="spellStart"/>
      <w:r w:rsidRPr="000F55C8">
        <w:rPr>
          <w:rFonts w:ascii="Times New Roman" w:hAnsi="Times New Roman" w:cs="Times New Roman"/>
          <w:color w:val="222222"/>
          <w:sz w:val="24"/>
          <w:szCs w:val="24"/>
          <w:lang w:val="en-GB" w:eastAsia="zh-CN"/>
        </w:rPr>
        <w:t>Mariani</w:t>
      </w:r>
      <w:proofErr w:type="spellEnd"/>
      <w:r w:rsidRPr="000F55C8">
        <w:rPr>
          <w:rFonts w:ascii="Times New Roman" w:hAnsi="Times New Roman" w:cs="Times New Roman"/>
          <w:color w:val="222222"/>
          <w:sz w:val="24"/>
          <w:szCs w:val="24"/>
          <w:lang w:val="en-GB" w:eastAsia="zh-CN"/>
        </w:rPr>
        <w:t xml:space="preserve"> and I. </w:t>
      </w:r>
      <w:proofErr w:type="spellStart"/>
      <w:r w:rsidRPr="000F55C8">
        <w:rPr>
          <w:rFonts w:ascii="Times New Roman" w:hAnsi="Times New Roman" w:cs="Times New Roman"/>
          <w:color w:val="222222"/>
          <w:sz w:val="24"/>
          <w:szCs w:val="24"/>
          <w:lang w:val="en-GB" w:eastAsia="zh-CN"/>
        </w:rPr>
        <w:t>Florescu</w:t>
      </w:r>
      <w:proofErr w:type="spellEnd"/>
      <w:r w:rsidRPr="000F55C8">
        <w:rPr>
          <w:rFonts w:ascii="Times New Roman" w:hAnsi="Times New Roman" w:cs="Times New Roman"/>
          <w:color w:val="222222"/>
          <w:sz w:val="24"/>
          <w:szCs w:val="24"/>
          <w:lang w:val="en-GB" w:eastAsia="zh-CN"/>
        </w:rPr>
        <w:t>), John Wiley &amp; Sons, Inc., Hoboken, NJ, USA.</w:t>
      </w:r>
    </w:p>
    <w:p w:rsidR="005003F5" w:rsidRPr="005003F5" w:rsidRDefault="005003F5" w:rsidP="000F55C8">
      <w:pPr>
        <w:jc w:val="both"/>
        <w:rPr>
          <w:rFonts w:ascii="Times New Roman" w:hAnsi="Times New Roman" w:cs="Times New Roman"/>
          <w:color w:val="222222"/>
          <w:sz w:val="24"/>
          <w:szCs w:val="24"/>
          <w:lang w:val="en-GB" w:eastAsia="zh-CN"/>
        </w:rPr>
      </w:pPr>
      <w:proofErr w:type="spellStart"/>
      <w:proofErr w:type="gramStart"/>
      <w:r w:rsidRPr="005003F5">
        <w:rPr>
          <w:rFonts w:ascii="Times New Roman" w:hAnsi="Times New Roman" w:cs="Times New Roman"/>
          <w:color w:val="222222"/>
          <w:sz w:val="24"/>
          <w:szCs w:val="24"/>
          <w:shd w:val="clear" w:color="auto" w:fill="FFFFFF"/>
        </w:rPr>
        <w:t>Brailsford</w:t>
      </w:r>
      <w:proofErr w:type="spellEnd"/>
      <w:r w:rsidRPr="005003F5">
        <w:rPr>
          <w:rFonts w:ascii="Times New Roman" w:hAnsi="Times New Roman" w:cs="Times New Roman"/>
          <w:color w:val="222222"/>
          <w:sz w:val="24"/>
          <w:szCs w:val="24"/>
          <w:shd w:val="clear" w:color="auto" w:fill="FFFFFF"/>
        </w:rPr>
        <w:t>, T. J., &amp; Faff, R. W. (1996).</w:t>
      </w:r>
      <w:proofErr w:type="gramEnd"/>
      <w:r w:rsidRPr="005003F5">
        <w:rPr>
          <w:rFonts w:ascii="Times New Roman" w:hAnsi="Times New Roman" w:cs="Times New Roman"/>
          <w:color w:val="222222"/>
          <w:sz w:val="24"/>
          <w:szCs w:val="24"/>
          <w:shd w:val="clear" w:color="auto" w:fill="FFFFFF"/>
        </w:rPr>
        <w:t xml:space="preserve"> </w:t>
      </w:r>
      <w:proofErr w:type="gramStart"/>
      <w:r w:rsidRPr="005003F5">
        <w:rPr>
          <w:rFonts w:ascii="Times New Roman" w:hAnsi="Times New Roman" w:cs="Times New Roman"/>
          <w:color w:val="222222"/>
          <w:sz w:val="24"/>
          <w:szCs w:val="24"/>
          <w:shd w:val="clear" w:color="auto" w:fill="FFFFFF"/>
        </w:rPr>
        <w:t>An evaluation of volatility forecasting techniques.</w:t>
      </w:r>
      <w:proofErr w:type="gramEnd"/>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Journal of Banking &amp; Finance</w:t>
      </w:r>
      <w:r w:rsidRPr="005003F5">
        <w:rPr>
          <w:rFonts w:ascii="Times New Roman" w:hAnsi="Times New Roman" w:cs="Times New Roman"/>
          <w:color w:val="222222"/>
          <w:sz w:val="24"/>
          <w:szCs w:val="24"/>
          <w:shd w:val="clear" w:color="auto" w:fill="FFFFFF"/>
        </w:rPr>
        <w:t>,</w:t>
      </w:r>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20</w:t>
      </w:r>
      <w:r w:rsidRPr="005003F5">
        <w:rPr>
          <w:rFonts w:ascii="Times New Roman" w:hAnsi="Times New Roman" w:cs="Times New Roman"/>
          <w:color w:val="222222"/>
          <w:sz w:val="24"/>
          <w:szCs w:val="24"/>
          <w:shd w:val="clear" w:color="auto" w:fill="FFFFFF"/>
        </w:rPr>
        <w:t>(3), 419-438.</w:t>
      </w:r>
    </w:p>
    <w:p w:rsidR="00245D1F" w:rsidRDefault="00245D1F" w:rsidP="00A21562">
      <w:pPr>
        <w:jc w:val="both"/>
        <w:rPr>
          <w:rFonts w:ascii="Times New Roman" w:hAnsi="Times New Roman" w:cs="Times New Roman"/>
          <w:color w:val="222222"/>
          <w:sz w:val="24"/>
          <w:szCs w:val="24"/>
          <w:lang w:val="en-GB" w:eastAsia="zh-CN"/>
        </w:rPr>
      </w:pPr>
      <w:r w:rsidRPr="00ED5675">
        <w:rPr>
          <w:rFonts w:ascii="Times New Roman" w:hAnsi="Times New Roman" w:cs="Times New Roman"/>
          <w:color w:val="222222"/>
          <w:sz w:val="24"/>
          <w:szCs w:val="24"/>
          <w:lang w:val="de-DE" w:eastAsia="zh-CN"/>
        </w:rPr>
        <w:t xml:space="preserve">Büyükşahin, B., &amp; Robe, M. A. (2014). </w:t>
      </w:r>
      <w:proofErr w:type="gramStart"/>
      <w:r w:rsidRPr="00806715">
        <w:rPr>
          <w:rFonts w:ascii="Times New Roman" w:hAnsi="Times New Roman" w:cs="Times New Roman"/>
          <w:color w:val="222222"/>
          <w:sz w:val="24"/>
          <w:szCs w:val="24"/>
          <w:lang w:val="en-GB" w:eastAsia="zh-CN"/>
        </w:rPr>
        <w:t>Speculators, commodities and cross-market linkages.</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Journal of International Money and Finance</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42</w:t>
      </w:r>
      <w:r w:rsidRPr="00806715">
        <w:rPr>
          <w:rFonts w:ascii="Times New Roman" w:hAnsi="Times New Roman" w:cs="Times New Roman"/>
          <w:color w:val="222222"/>
          <w:sz w:val="24"/>
          <w:szCs w:val="24"/>
          <w:lang w:val="en-GB" w:eastAsia="zh-CN"/>
        </w:rPr>
        <w:t>, 38-70.</w:t>
      </w:r>
    </w:p>
    <w:p w:rsidR="009D7F15" w:rsidRDefault="009D7F15" w:rsidP="00A21562">
      <w:pPr>
        <w:jc w:val="both"/>
        <w:rPr>
          <w:rFonts w:ascii="Times New Roman" w:hAnsi="Times New Roman" w:cs="Times New Roman"/>
          <w:color w:val="222222"/>
          <w:sz w:val="24"/>
          <w:szCs w:val="24"/>
          <w:lang w:val="en-GB" w:eastAsia="zh-CN"/>
        </w:rPr>
      </w:pPr>
      <w:proofErr w:type="gramStart"/>
      <w:r w:rsidRPr="009D7F15">
        <w:rPr>
          <w:rFonts w:ascii="Times New Roman" w:hAnsi="Times New Roman" w:cs="Times New Roman"/>
          <w:color w:val="222222"/>
          <w:sz w:val="24"/>
          <w:szCs w:val="24"/>
          <w:lang w:val="en-GB" w:eastAsia="zh-CN"/>
        </w:rPr>
        <w:t>Carr, P., &amp; Wu, L.-R.</w:t>
      </w:r>
      <w:proofErr w:type="gramEnd"/>
      <w:r w:rsidRPr="009D7F15">
        <w:rPr>
          <w:rFonts w:ascii="Times New Roman" w:hAnsi="Times New Roman" w:cs="Times New Roman"/>
          <w:color w:val="222222"/>
          <w:sz w:val="24"/>
          <w:szCs w:val="24"/>
          <w:lang w:val="en-GB" w:eastAsia="zh-CN"/>
        </w:rPr>
        <w:t xml:space="preserve"> </w:t>
      </w:r>
      <w:proofErr w:type="gramStart"/>
      <w:r w:rsidRPr="009D7F15">
        <w:rPr>
          <w:rFonts w:ascii="Times New Roman" w:hAnsi="Times New Roman" w:cs="Times New Roman"/>
          <w:color w:val="222222"/>
          <w:sz w:val="24"/>
          <w:szCs w:val="24"/>
          <w:lang w:val="en-GB" w:eastAsia="zh-CN"/>
        </w:rPr>
        <w:t>(2006). A tale of two indices.</w:t>
      </w:r>
      <w:proofErr w:type="gramEnd"/>
      <w:r w:rsidRPr="009D7F15">
        <w:rPr>
          <w:rFonts w:ascii="Times New Roman" w:hAnsi="Times New Roman" w:cs="Times New Roman"/>
          <w:color w:val="222222"/>
          <w:sz w:val="24"/>
          <w:szCs w:val="24"/>
          <w:lang w:val="en-GB" w:eastAsia="zh-CN"/>
        </w:rPr>
        <w:t xml:space="preserve"> </w:t>
      </w:r>
      <w:r w:rsidRPr="009D7F15">
        <w:rPr>
          <w:rFonts w:ascii="Times New Roman" w:hAnsi="Times New Roman" w:cs="Times New Roman"/>
          <w:i/>
          <w:iCs/>
          <w:color w:val="222222"/>
          <w:sz w:val="24"/>
          <w:szCs w:val="24"/>
          <w:lang w:val="en-GB" w:eastAsia="zh-CN"/>
        </w:rPr>
        <w:t>Journal of Derivatives</w:t>
      </w:r>
      <w:r w:rsidRPr="009D7F15">
        <w:rPr>
          <w:rFonts w:ascii="Times New Roman" w:hAnsi="Times New Roman" w:cs="Times New Roman"/>
          <w:color w:val="222222"/>
          <w:sz w:val="24"/>
          <w:szCs w:val="24"/>
          <w:lang w:val="en-GB" w:eastAsia="zh-CN"/>
        </w:rPr>
        <w:t>, 13, 13–29.</w:t>
      </w:r>
    </w:p>
    <w:p w:rsidR="00D179FC" w:rsidRPr="00806715" w:rsidRDefault="00D179FC" w:rsidP="00A21562">
      <w:pPr>
        <w:jc w:val="both"/>
        <w:rPr>
          <w:rFonts w:ascii="Times New Roman" w:hAnsi="Times New Roman" w:cs="Times New Roman"/>
          <w:color w:val="222222"/>
          <w:sz w:val="24"/>
          <w:szCs w:val="24"/>
          <w:lang w:val="en-GB" w:eastAsia="zh-CN"/>
        </w:rPr>
      </w:pPr>
      <w:proofErr w:type="spellStart"/>
      <w:r w:rsidRPr="00ED5675">
        <w:rPr>
          <w:rFonts w:ascii="Times New Roman" w:hAnsi="Times New Roman" w:cs="Times New Roman"/>
          <w:color w:val="222222"/>
          <w:sz w:val="24"/>
          <w:szCs w:val="24"/>
          <w:lang w:val="es-ES" w:eastAsia="zh-CN"/>
        </w:rPr>
        <w:t>Corrado</w:t>
      </w:r>
      <w:proofErr w:type="spellEnd"/>
      <w:r w:rsidRPr="00ED5675">
        <w:rPr>
          <w:rFonts w:ascii="Times New Roman" w:hAnsi="Times New Roman" w:cs="Times New Roman"/>
          <w:color w:val="222222"/>
          <w:sz w:val="24"/>
          <w:szCs w:val="24"/>
          <w:lang w:val="es-ES" w:eastAsia="zh-CN"/>
        </w:rPr>
        <w:t xml:space="preserve">, C. J., &amp; Miller, T. W. (2005). </w:t>
      </w:r>
      <w:r w:rsidRPr="00D179FC">
        <w:rPr>
          <w:rFonts w:ascii="Times New Roman" w:hAnsi="Times New Roman" w:cs="Times New Roman"/>
          <w:color w:val="222222"/>
          <w:sz w:val="24"/>
          <w:szCs w:val="24"/>
          <w:lang w:val="en-GB" w:eastAsia="zh-CN"/>
        </w:rPr>
        <w:t xml:space="preserve">The forecast quality of CBOE implied volatility indexes. </w:t>
      </w:r>
      <w:r w:rsidRPr="00D179FC">
        <w:rPr>
          <w:rFonts w:ascii="Times New Roman" w:hAnsi="Times New Roman" w:cs="Times New Roman"/>
          <w:i/>
          <w:iCs/>
          <w:color w:val="222222"/>
          <w:sz w:val="24"/>
          <w:szCs w:val="24"/>
          <w:lang w:val="en-GB" w:eastAsia="zh-CN"/>
        </w:rPr>
        <w:t>Journal of Futures Markets</w:t>
      </w:r>
      <w:r w:rsidRPr="00D179FC">
        <w:rPr>
          <w:rFonts w:ascii="Times New Roman" w:hAnsi="Times New Roman" w:cs="Times New Roman"/>
          <w:color w:val="222222"/>
          <w:sz w:val="24"/>
          <w:szCs w:val="24"/>
          <w:lang w:val="en-GB" w:eastAsia="zh-CN"/>
        </w:rPr>
        <w:t>, 25, 339–373.</w:t>
      </w:r>
    </w:p>
    <w:p w:rsidR="003E32EF" w:rsidRPr="003E32EF" w:rsidRDefault="003E32EF"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r w:rsidRPr="003E32EF">
        <w:rPr>
          <w:rFonts w:ascii="Times New Roman" w:eastAsia="Times New Roman" w:hAnsi="Times New Roman" w:cs="Times New Roman"/>
          <w:color w:val="222222"/>
          <w:sz w:val="24"/>
          <w:szCs w:val="24"/>
          <w:lang w:val="en-GB" w:eastAsia="zh-CN"/>
        </w:rPr>
        <w:t>Capie</w:t>
      </w:r>
      <w:proofErr w:type="spellEnd"/>
      <w:r w:rsidRPr="003E32EF">
        <w:rPr>
          <w:rFonts w:ascii="Times New Roman" w:eastAsia="Times New Roman" w:hAnsi="Times New Roman" w:cs="Times New Roman"/>
          <w:color w:val="222222"/>
          <w:sz w:val="24"/>
          <w:szCs w:val="24"/>
          <w:lang w:val="en-GB" w:eastAsia="zh-CN"/>
        </w:rPr>
        <w:t xml:space="preserve">, F., Mills, T. C., &amp; Wood, G. (2005). </w:t>
      </w:r>
      <w:proofErr w:type="gramStart"/>
      <w:r w:rsidRPr="003E32EF">
        <w:rPr>
          <w:rFonts w:ascii="Times New Roman" w:eastAsia="Times New Roman" w:hAnsi="Times New Roman" w:cs="Times New Roman"/>
          <w:color w:val="222222"/>
          <w:sz w:val="24"/>
          <w:szCs w:val="24"/>
          <w:lang w:val="en-GB" w:eastAsia="zh-CN"/>
        </w:rPr>
        <w:t>Gold as a hedge against the dollar.</w:t>
      </w:r>
      <w:proofErr w:type="gramEnd"/>
      <w:r w:rsidRPr="003E32EF">
        <w:rPr>
          <w:rFonts w:ascii="Times New Roman" w:eastAsia="Times New Roman" w:hAnsi="Times New Roman" w:cs="Times New Roman"/>
          <w:color w:val="222222"/>
          <w:sz w:val="24"/>
          <w:szCs w:val="24"/>
          <w:lang w:val="en-GB" w:eastAsia="zh-CN"/>
        </w:rPr>
        <w:t xml:space="preserve"> </w:t>
      </w:r>
      <w:r w:rsidRPr="003E32EF">
        <w:rPr>
          <w:rFonts w:ascii="Times New Roman" w:eastAsia="Times New Roman" w:hAnsi="Times New Roman" w:cs="Times New Roman"/>
          <w:i/>
          <w:iCs/>
          <w:color w:val="222222"/>
          <w:sz w:val="24"/>
          <w:szCs w:val="24"/>
          <w:lang w:val="en-GB" w:eastAsia="zh-CN"/>
        </w:rPr>
        <w:t>Journal of International Financial Markets, Institutions and Money</w:t>
      </w:r>
      <w:r w:rsidRPr="003E32EF">
        <w:rPr>
          <w:rFonts w:ascii="Times New Roman" w:eastAsia="Times New Roman" w:hAnsi="Times New Roman" w:cs="Times New Roman"/>
          <w:color w:val="222222"/>
          <w:sz w:val="24"/>
          <w:szCs w:val="24"/>
          <w:lang w:val="en-GB" w:eastAsia="zh-CN"/>
        </w:rPr>
        <w:t xml:space="preserve">, </w:t>
      </w:r>
      <w:r w:rsidRPr="003E32EF">
        <w:rPr>
          <w:rFonts w:ascii="Times New Roman" w:eastAsia="Times New Roman" w:hAnsi="Times New Roman" w:cs="Times New Roman"/>
          <w:i/>
          <w:iCs/>
          <w:color w:val="222222"/>
          <w:sz w:val="24"/>
          <w:szCs w:val="24"/>
          <w:lang w:val="en-GB" w:eastAsia="zh-CN"/>
        </w:rPr>
        <w:t>15</w:t>
      </w:r>
      <w:r w:rsidRPr="003E32EF">
        <w:rPr>
          <w:rFonts w:ascii="Times New Roman" w:eastAsia="Times New Roman" w:hAnsi="Times New Roman" w:cs="Times New Roman"/>
          <w:color w:val="222222"/>
          <w:sz w:val="24"/>
          <w:szCs w:val="24"/>
          <w:lang w:val="en-GB" w:eastAsia="zh-CN"/>
        </w:rPr>
        <w:t>(4), 343-352.</w:t>
      </w:r>
    </w:p>
    <w:p w:rsidR="003E32EF" w:rsidRPr="00806715" w:rsidRDefault="003E32EF" w:rsidP="00A21562">
      <w:pPr>
        <w:spacing w:after="0" w:line="240" w:lineRule="auto"/>
        <w:jc w:val="both"/>
        <w:rPr>
          <w:rFonts w:ascii="Times New Roman" w:eastAsia="Times New Roman" w:hAnsi="Times New Roman" w:cs="Times New Roman"/>
          <w:color w:val="222222"/>
          <w:sz w:val="24"/>
          <w:szCs w:val="24"/>
          <w:lang w:val="en-GB" w:eastAsia="zh-CN"/>
        </w:rPr>
      </w:pPr>
    </w:p>
    <w:p w:rsidR="0025071E" w:rsidRPr="0025071E" w:rsidRDefault="0025071E"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proofErr w:type="gramStart"/>
      <w:r w:rsidRPr="0025071E">
        <w:rPr>
          <w:rFonts w:ascii="Times New Roman" w:eastAsia="Times New Roman" w:hAnsi="Times New Roman" w:cs="Times New Roman"/>
          <w:color w:val="222222"/>
          <w:sz w:val="24"/>
          <w:szCs w:val="24"/>
          <w:lang w:val="en-GB" w:eastAsia="zh-CN"/>
        </w:rPr>
        <w:lastRenderedPageBreak/>
        <w:t>Cashin</w:t>
      </w:r>
      <w:proofErr w:type="spellEnd"/>
      <w:r w:rsidRPr="0025071E">
        <w:rPr>
          <w:rFonts w:ascii="Times New Roman" w:eastAsia="Times New Roman" w:hAnsi="Times New Roman" w:cs="Times New Roman"/>
          <w:color w:val="222222"/>
          <w:sz w:val="24"/>
          <w:szCs w:val="24"/>
          <w:lang w:val="en-GB" w:eastAsia="zh-CN"/>
        </w:rPr>
        <w:t>, P. A., McDermott, C. J., &amp; Scott, A. M. (1999).</w:t>
      </w:r>
      <w:proofErr w:type="gramEnd"/>
      <w:r w:rsidRPr="0025071E">
        <w:rPr>
          <w:rFonts w:ascii="Times New Roman" w:eastAsia="Times New Roman" w:hAnsi="Times New Roman" w:cs="Times New Roman"/>
          <w:color w:val="222222"/>
          <w:sz w:val="24"/>
          <w:szCs w:val="24"/>
          <w:lang w:val="en-GB" w:eastAsia="zh-CN"/>
        </w:rPr>
        <w:t xml:space="preserve"> </w:t>
      </w:r>
      <w:proofErr w:type="gramStart"/>
      <w:r w:rsidRPr="0025071E">
        <w:rPr>
          <w:rFonts w:ascii="Times New Roman" w:eastAsia="Times New Roman" w:hAnsi="Times New Roman" w:cs="Times New Roman"/>
          <w:color w:val="222222"/>
          <w:sz w:val="24"/>
          <w:szCs w:val="24"/>
          <w:lang w:val="en-GB" w:eastAsia="zh-CN"/>
        </w:rPr>
        <w:t xml:space="preserve">The myth of </w:t>
      </w:r>
      <w:proofErr w:type="spellStart"/>
      <w:r w:rsidRPr="0025071E">
        <w:rPr>
          <w:rFonts w:ascii="Times New Roman" w:eastAsia="Times New Roman" w:hAnsi="Times New Roman" w:cs="Times New Roman"/>
          <w:color w:val="222222"/>
          <w:sz w:val="24"/>
          <w:szCs w:val="24"/>
          <w:lang w:val="en-GB" w:eastAsia="zh-CN"/>
        </w:rPr>
        <w:t>comoving</w:t>
      </w:r>
      <w:proofErr w:type="spellEnd"/>
      <w:r w:rsidRPr="0025071E">
        <w:rPr>
          <w:rFonts w:ascii="Times New Roman" w:eastAsia="Times New Roman" w:hAnsi="Times New Roman" w:cs="Times New Roman"/>
          <w:color w:val="222222"/>
          <w:sz w:val="24"/>
          <w:szCs w:val="24"/>
          <w:lang w:val="en-GB" w:eastAsia="zh-CN"/>
        </w:rPr>
        <w:t xml:space="preserve"> commodity prices.</w:t>
      </w:r>
      <w:proofErr w:type="gramEnd"/>
      <w:r w:rsidRPr="00806715">
        <w:rPr>
          <w:rFonts w:ascii="Times New Roman" w:eastAsia="Times New Roman" w:hAnsi="Times New Roman" w:cs="Times New Roman"/>
          <w:color w:val="222222"/>
          <w:sz w:val="24"/>
          <w:szCs w:val="24"/>
          <w:lang w:val="en-GB" w:eastAsia="zh-CN"/>
        </w:rPr>
        <w:t xml:space="preserve"> </w:t>
      </w:r>
      <w:proofErr w:type="gramStart"/>
      <w:r w:rsidRPr="00806715">
        <w:rPr>
          <w:rFonts w:ascii="Times New Roman" w:eastAsia="Times New Roman" w:hAnsi="Times New Roman" w:cs="Times New Roman"/>
          <w:color w:val="222222"/>
          <w:sz w:val="24"/>
          <w:szCs w:val="24"/>
          <w:lang w:val="en-GB" w:eastAsia="zh-CN"/>
        </w:rPr>
        <w:t>Discussion Paper ~ G99/9.</w:t>
      </w:r>
      <w:proofErr w:type="gramEnd"/>
      <w:r w:rsidRPr="00806715">
        <w:rPr>
          <w:rFonts w:ascii="Times New Roman" w:eastAsia="Times New Roman" w:hAnsi="Times New Roman" w:cs="Times New Roman"/>
          <w:color w:val="222222"/>
          <w:sz w:val="24"/>
          <w:szCs w:val="24"/>
          <w:lang w:val="en-GB" w:eastAsia="zh-CN"/>
        </w:rPr>
        <w:t xml:space="preserve"> Reserve Bank of New Zealand</w:t>
      </w:r>
    </w:p>
    <w:p w:rsidR="004C5103" w:rsidRPr="00806715" w:rsidRDefault="004C5103" w:rsidP="00A21562">
      <w:pPr>
        <w:spacing w:after="0" w:line="240" w:lineRule="auto"/>
        <w:jc w:val="both"/>
        <w:rPr>
          <w:rFonts w:ascii="Times New Roman" w:eastAsia="Times New Roman" w:hAnsi="Times New Roman" w:cs="Times New Roman"/>
          <w:color w:val="222222"/>
          <w:sz w:val="24"/>
          <w:szCs w:val="24"/>
          <w:lang w:val="en-GB" w:eastAsia="zh-CN"/>
        </w:rPr>
      </w:pPr>
    </w:p>
    <w:p w:rsidR="004C5103" w:rsidRPr="00806715" w:rsidRDefault="004C5103" w:rsidP="00A21562">
      <w:pPr>
        <w:spacing w:after="0" w:line="240" w:lineRule="auto"/>
        <w:jc w:val="both"/>
        <w:rPr>
          <w:rFonts w:ascii="Times New Roman" w:eastAsia="Times New Roman" w:hAnsi="Times New Roman" w:cs="Times New Roman"/>
          <w:color w:val="222222"/>
          <w:sz w:val="24"/>
          <w:szCs w:val="24"/>
          <w:lang w:val="en-GB" w:eastAsia="zh-CN"/>
        </w:rPr>
      </w:pPr>
      <w:r w:rsidRPr="00ED5675">
        <w:rPr>
          <w:rFonts w:ascii="Times New Roman" w:eastAsia="Times New Roman" w:hAnsi="Times New Roman" w:cs="Times New Roman"/>
          <w:color w:val="222222"/>
          <w:sz w:val="24"/>
          <w:szCs w:val="24"/>
          <w:lang w:val="fr-FR" w:eastAsia="zh-CN"/>
        </w:rPr>
        <w:t xml:space="preserve">Chang, T. H., &amp; Su, H. M. (2010). </w:t>
      </w:r>
      <w:proofErr w:type="gramStart"/>
      <w:r w:rsidRPr="00806715">
        <w:rPr>
          <w:rFonts w:ascii="Times New Roman" w:eastAsia="Times New Roman" w:hAnsi="Times New Roman" w:cs="Times New Roman"/>
          <w:color w:val="222222"/>
          <w:sz w:val="24"/>
          <w:szCs w:val="24"/>
          <w:lang w:val="en-GB" w:eastAsia="zh-CN"/>
        </w:rPr>
        <w:t>The substitutive effect of biofuels on fossil fuels in the lower and higher crude oil price periods.</w:t>
      </w:r>
      <w:proofErr w:type="gramEnd"/>
      <w:r w:rsidRPr="00806715">
        <w:rPr>
          <w:rFonts w:ascii="Times New Roman" w:eastAsia="Times New Roman" w:hAnsi="Times New Roman" w:cs="Times New Roman"/>
          <w:color w:val="222222"/>
          <w:sz w:val="24"/>
          <w:szCs w:val="24"/>
          <w:lang w:val="en-GB" w:eastAsia="zh-CN"/>
        </w:rPr>
        <w:t xml:space="preserve"> </w:t>
      </w:r>
      <w:proofErr w:type="gramStart"/>
      <w:r w:rsidRPr="00806715">
        <w:rPr>
          <w:rFonts w:ascii="Times New Roman" w:eastAsia="Times New Roman" w:hAnsi="Times New Roman" w:cs="Times New Roman"/>
          <w:i/>
          <w:iCs/>
          <w:color w:val="222222"/>
          <w:sz w:val="24"/>
          <w:szCs w:val="24"/>
          <w:lang w:val="en-GB" w:eastAsia="zh-CN"/>
        </w:rPr>
        <w:t>Energy</w:t>
      </w:r>
      <w:r w:rsidRPr="00806715">
        <w:rPr>
          <w:rFonts w:ascii="Times New Roman" w:eastAsia="Times New Roman" w:hAnsi="Times New Roman" w:cs="Times New Roman"/>
          <w:color w:val="222222"/>
          <w:sz w:val="24"/>
          <w:szCs w:val="24"/>
          <w:lang w:val="en-GB" w:eastAsia="zh-CN"/>
        </w:rPr>
        <w:t xml:space="preserve">, </w:t>
      </w:r>
      <w:r w:rsidRPr="00806715">
        <w:rPr>
          <w:rFonts w:ascii="Times New Roman" w:eastAsia="Times New Roman" w:hAnsi="Times New Roman" w:cs="Times New Roman"/>
          <w:i/>
          <w:iCs/>
          <w:color w:val="222222"/>
          <w:sz w:val="24"/>
          <w:szCs w:val="24"/>
          <w:lang w:val="en-GB" w:eastAsia="zh-CN"/>
        </w:rPr>
        <w:t>35</w:t>
      </w:r>
      <w:r w:rsidRPr="00806715">
        <w:rPr>
          <w:rFonts w:ascii="Times New Roman" w:eastAsia="Times New Roman" w:hAnsi="Times New Roman" w:cs="Times New Roman"/>
          <w:color w:val="222222"/>
          <w:sz w:val="24"/>
          <w:szCs w:val="24"/>
          <w:lang w:val="en-GB" w:eastAsia="zh-CN"/>
        </w:rPr>
        <w:t>(7), 2807-2813.</w:t>
      </w:r>
      <w:proofErr w:type="gramEnd"/>
    </w:p>
    <w:p w:rsidR="00F82103" w:rsidRPr="00806715" w:rsidRDefault="00F82103" w:rsidP="00A21562">
      <w:pPr>
        <w:spacing w:after="0" w:line="240" w:lineRule="auto"/>
        <w:jc w:val="both"/>
        <w:rPr>
          <w:rFonts w:ascii="Times New Roman" w:eastAsia="Times New Roman" w:hAnsi="Times New Roman" w:cs="Times New Roman"/>
          <w:color w:val="222222"/>
          <w:sz w:val="24"/>
          <w:szCs w:val="24"/>
          <w:lang w:val="en-GB" w:eastAsia="zh-CN"/>
        </w:rPr>
      </w:pPr>
    </w:p>
    <w:p w:rsidR="004C5103" w:rsidRDefault="00F82103" w:rsidP="00A21562">
      <w:pPr>
        <w:jc w:val="both"/>
        <w:rPr>
          <w:rFonts w:ascii="Times New Roman" w:hAnsi="Times New Roman" w:cs="Times New Roman"/>
          <w:color w:val="222222"/>
          <w:sz w:val="24"/>
          <w:szCs w:val="24"/>
          <w:lang w:val="en-GB" w:eastAsia="zh-CN"/>
        </w:rPr>
      </w:pPr>
      <w:r w:rsidRPr="00806715">
        <w:rPr>
          <w:rFonts w:ascii="Times New Roman" w:hAnsi="Times New Roman" w:cs="Times New Roman"/>
          <w:color w:val="222222"/>
          <w:sz w:val="24"/>
          <w:szCs w:val="24"/>
          <w:lang w:val="en-GB" w:eastAsia="zh-CN"/>
        </w:rPr>
        <w:t>Chen, S. S. (2010). Do higher oil prices push the stock market into bear territory</w:t>
      </w:r>
      <w:proofErr w:type="gramStart"/>
      <w:r w:rsidRPr="00806715">
        <w:rPr>
          <w:rFonts w:ascii="Times New Roman" w:hAnsi="Times New Roman" w:cs="Times New Roman"/>
          <w:color w:val="222222"/>
          <w:sz w:val="24"/>
          <w:szCs w:val="24"/>
          <w:lang w:val="en-GB" w:eastAsia="zh-CN"/>
        </w:rPr>
        <w:t>?.</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Energy 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32</w:t>
      </w:r>
      <w:r w:rsidRPr="00806715">
        <w:rPr>
          <w:rFonts w:ascii="Times New Roman" w:hAnsi="Times New Roman" w:cs="Times New Roman"/>
          <w:color w:val="222222"/>
          <w:sz w:val="24"/>
          <w:szCs w:val="24"/>
          <w:lang w:val="en-GB" w:eastAsia="zh-CN"/>
        </w:rPr>
        <w:t>(2), 490-495.</w:t>
      </w:r>
    </w:p>
    <w:p w:rsidR="00A36045" w:rsidRPr="00A36045" w:rsidRDefault="00A36045" w:rsidP="00A21562">
      <w:pPr>
        <w:jc w:val="both"/>
        <w:rPr>
          <w:rFonts w:ascii="Times New Roman" w:hAnsi="Times New Roman" w:cs="Times New Roman"/>
          <w:color w:val="222222"/>
          <w:sz w:val="24"/>
          <w:szCs w:val="24"/>
          <w:lang w:val="en-GB" w:eastAsia="zh-CN"/>
        </w:rPr>
      </w:pPr>
      <w:proofErr w:type="gramStart"/>
      <w:r w:rsidRPr="00A36045">
        <w:rPr>
          <w:rFonts w:ascii="Times New Roman" w:hAnsi="Times New Roman" w:cs="Times New Roman"/>
          <w:color w:val="222222"/>
          <w:sz w:val="24"/>
          <w:szCs w:val="24"/>
          <w:shd w:val="clear" w:color="auto" w:fill="FFFFFF"/>
        </w:rPr>
        <w:t>Christensen, B. J., &amp; Prabhala, N. R. (1998).</w:t>
      </w:r>
      <w:proofErr w:type="gramEnd"/>
      <w:r w:rsidRPr="00A36045">
        <w:rPr>
          <w:rFonts w:ascii="Times New Roman" w:hAnsi="Times New Roman" w:cs="Times New Roman"/>
          <w:color w:val="222222"/>
          <w:sz w:val="24"/>
          <w:szCs w:val="24"/>
          <w:shd w:val="clear" w:color="auto" w:fill="FFFFFF"/>
        </w:rPr>
        <w:t xml:space="preserve"> </w:t>
      </w:r>
      <w:proofErr w:type="gramStart"/>
      <w:r w:rsidRPr="00A36045">
        <w:rPr>
          <w:rFonts w:ascii="Times New Roman" w:hAnsi="Times New Roman" w:cs="Times New Roman"/>
          <w:color w:val="222222"/>
          <w:sz w:val="24"/>
          <w:szCs w:val="24"/>
          <w:shd w:val="clear" w:color="auto" w:fill="FFFFFF"/>
        </w:rPr>
        <w:t>The relation between implied and realized volatility.</w:t>
      </w:r>
      <w:proofErr w:type="gramEnd"/>
      <w:r w:rsidRPr="00A36045">
        <w:rPr>
          <w:rStyle w:val="apple-converted-space"/>
          <w:rFonts w:ascii="Times New Roman" w:hAnsi="Times New Roman" w:cs="Times New Roman"/>
          <w:color w:val="222222"/>
          <w:sz w:val="24"/>
          <w:szCs w:val="24"/>
          <w:shd w:val="clear" w:color="auto" w:fill="FFFFFF"/>
        </w:rPr>
        <w:t> </w:t>
      </w:r>
      <w:r w:rsidRPr="00A36045">
        <w:rPr>
          <w:rFonts w:ascii="Times New Roman" w:hAnsi="Times New Roman" w:cs="Times New Roman"/>
          <w:i/>
          <w:iCs/>
          <w:color w:val="222222"/>
          <w:sz w:val="24"/>
          <w:szCs w:val="24"/>
          <w:shd w:val="clear" w:color="auto" w:fill="FFFFFF"/>
        </w:rPr>
        <w:t>Journal of Financial Economics</w:t>
      </w:r>
      <w:r w:rsidRPr="00A36045">
        <w:rPr>
          <w:rFonts w:ascii="Times New Roman" w:hAnsi="Times New Roman" w:cs="Times New Roman"/>
          <w:color w:val="222222"/>
          <w:sz w:val="24"/>
          <w:szCs w:val="24"/>
          <w:shd w:val="clear" w:color="auto" w:fill="FFFFFF"/>
        </w:rPr>
        <w:t>,</w:t>
      </w:r>
      <w:r w:rsidRPr="00A36045">
        <w:rPr>
          <w:rStyle w:val="apple-converted-space"/>
          <w:rFonts w:ascii="Times New Roman" w:hAnsi="Times New Roman" w:cs="Times New Roman"/>
          <w:color w:val="222222"/>
          <w:sz w:val="24"/>
          <w:szCs w:val="24"/>
          <w:shd w:val="clear" w:color="auto" w:fill="FFFFFF"/>
        </w:rPr>
        <w:t> </w:t>
      </w:r>
      <w:r w:rsidRPr="00A36045">
        <w:rPr>
          <w:rFonts w:ascii="Times New Roman" w:hAnsi="Times New Roman" w:cs="Times New Roman"/>
          <w:i/>
          <w:iCs/>
          <w:color w:val="222222"/>
          <w:sz w:val="24"/>
          <w:szCs w:val="24"/>
          <w:shd w:val="clear" w:color="auto" w:fill="FFFFFF"/>
        </w:rPr>
        <w:t>50</w:t>
      </w:r>
      <w:r w:rsidRPr="00A36045">
        <w:rPr>
          <w:rFonts w:ascii="Times New Roman" w:hAnsi="Times New Roman" w:cs="Times New Roman"/>
          <w:color w:val="222222"/>
          <w:sz w:val="24"/>
          <w:szCs w:val="24"/>
          <w:shd w:val="clear" w:color="auto" w:fill="FFFFFF"/>
        </w:rPr>
        <w:t>(2), 125-150.</w:t>
      </w:r>
    </w:p>
    <w:p w:rsidR="00600892" w:rsidRDefault="00600892" w:rsidP="00FB5BEB">
      <w:pPr>
        <w:spacing w:after="0" w:line="240" w:lineRule="auto"/>
        <w:jc w:val="both"/>
        <w:rPr>
          <w:rFonts w:ascii="Times New Roman" w:eastAsia="Times New Roman" w:hAnsi="Times New Roman" w:cs="Times New Roman"/>
          <w:color w:val="222222"/>
          <w:sz w:val="24"/>
          <w:szCs w:val="24"/>
          <w:lang w:val="en-GB" w:eastAsia="zh-CN"/>
        </w:rPr>
      </w:pPr>
      <w:proofErr w:type="gramStart"/>
      <w:r w:rsidRPr="00600892">
        <w:rPr>
          <w:rFonts w:ascii="Times New Roman" w:eastAsia="Times New Roman" w:hAnsi="Times New Roman" w:cs="Times New Roman"/>
          <w:color w:val="222222"/>
          <w:sz w:val="24"/>
          <w:szCs w:val="24"/>
          <w:lang w:val="en-GB" w:eastAsia="zh-CN"/>
        </w:rPr>
        <w:t>Chua, J., &amp; Woodward, R. S. (1982).</w:t>
      </w:r>
      <w:proofErr w:type="gramEnd"/>
      <w:r w:rsidRPr="00600892">
        <w:rPr>
          <w:rFonts w:ascii="Times New Roman" w:eastAsia="Times New Roman" w:hAnsi="Times New Roman" w:cs="Times New Roman"/>
          <w:color w:val="222222"/>
          <w:sz w:val="24"/>
          <w:szCs w:val="24"/>
          <w:lang w:val="en-GB" w:eastAsia="zh-CN"/>
        </w:rPr>
        <w:t xml:space="preserve"> Gold as an inflation hedge: a comparative study of six major industrial countries. </w:t>
      </w:r>
      <w:r w:rsidRPr="00600892">
        <w:rPr>
          <w:rFonts w:ascii="Times New Roman" w:eastAsia="Times New Roman" w:hAnsi="Times New Roman" w:cs="Times New Roman"/>
          <w:i/>
          <w:iCs/>
          <w:color w:val="222222"/>
          <w:sz w:val="24"/>
          <w:szCs w:val="24"/>
          <w:lang w:val="en-GB" w:eastAsia="zh-CN"/>
        </w:rPr>
        <w:t>Journal of Business Finance &amp; Accounting</w:t>
      </w:r>
      <w:r w:rsidRPr="00600892">
        <w:rPr>
          <w:rFonts w:ascii="Times New Roman" w:eastAsia="Times New Roman" w:hAnsi="Times New Roman" w:cs="Times New Roman"/>
          <w:color w:val="222222"/>
          <w:sz w:val="24"/>
          <w:szCs w:val="24"/>
          <w:lang w:val="en-GB" w:eastAsia="zh-CN"/>
        </w:rPr>
        <w:t xml:space="preserve">, </w:t>
      </w:r>
      <w:r w:rsidRPr="00600892">
        <w:rPr>
          <w:rFonts w:ascii="Times New Roman" w:eastAsia="Times New Roman" w:hAnsi="Times New Roman" w:cs="Times New Roman"/>
          <w:i/>
          <w:iCs/>
          <w:color w:val="222222"/>
          <w:sz w:val="24"/>
          <w:szCs w:val="24"/>
          <w:lang w:val="en-GB" w:eastAsia="zh-CN"/>
        </w:rPr>
        <w:t>9</w:t>
      </w:r>
      <w:r w:rsidRPr="00600892">
        <w:rPr>
          <w:rFonts w:ascii="Times New Roman" w:eastAsia="Times New Roman" w:hAnsi="Times New Roman" w:cs="Times New Roman"/>
          <w:color w:val="222222"/>
          <w:sz w:val="24"/>
          <w:szCs w:val="24"/>
          <w:lang w:val="en-GB" w:eastAsia="zh-CN"/>
        </w:rPr>
        <w:t>(2), 191-197.</w:t>
      </w:r>
    </w:p>
    <w:p w:rsidR="00FB5BEB" w:rsidRPr="00806715" w:rsidRDefault="00FB5BEB" w:rsidP="00FB5BEB">
      <w:pPr>
        <w:spacing w:after="0" w:line="240" w:lineRule="auto"/>
        <w:jc w:val="both"/>
        <w:rPr>
          <w:rFonts w:ascii="Times New Roman" w:eastAsia="Times New Roman" w:hAnsi="Times New Roman" w:cs="Times New Roman"/>
          <w:color w:val="222222"/>
          <w:sz w:val="24"/>
          <w:szCs w:val="24"/>
          <w:lang w:val="en-GB" w:eastAsia="zh-CN"/>
        </w:rPr>
      </w:pPr>
    </w:p>
    <w:p w:rsidR="004C5103" w:rsidRPr="00806715" w:rsidRDefault="004C5103" w:rsidP="00A21562">
      <w:pPr>
        <w:spacing w:after="0" w:line="240" w:lineRule="auto"/>
        <w:jc w:val="both"/>
        <w:rPr>
          <w:rFonts w:ascii="Times New Roman" w:eastAsia="Times New Roman" w:hAnsi="Times New Roman" w:cs="Times New Roman"/>
          <w:color w:val="222222"/>
          <w:sz w:val="24"/>
          <w:szCs w:val="24"/>
          <w:lang w:val="en-GB" w:eastAsia="zh-CN"/>
        </w:rPr>
      </w:pPr>
      <w:r w:rsidRPr="00806715">
        <w:rPr>
          <w:rFonts w:ascii="Times New Roman" w:eastAsia="Times New Roman" w:hAnsi="Times New Roman" w:cs="Times New Roman"/>
          <w:color w:val="222222"/>
          <w:sz w:val="24"/>
          <w:szCs w:val="24"/>
          <w:lang w:val="en-GB" w:eastAsia="zh-CN"/>
        </w:rPr>
        <w:t xml:space="preserve">Collins, K. J. (2008). </w:t>
      </w:r>
      <w:r w:rsidRPr="00806715">
        <w:rPr>
          <w:rFonts w:ascii="Times New Roman" w:eastAsia="Times New Roman" w:hAnsi="Times New Roman" w:cs="Times New Roman"/>
          <w:i/>
          <w:iCs/>
          <w:color w:val="222222"/>
          <w:sz w:val="24"/>
          <w:szCs w:val="24"/>
          <w:lang w:val="en-GB" w:eastAsia="zh-CN"/>
        </w:rPr>
        <w:t>The role of biofuels and other factors in increasing farm and food prices: a review of recent developments with a focus on feed grain markets and market prospects</w:t>
      </w:r>
      <w:r w:rsidRPr="00806715">
        <w:rPr>
          <w:rFonts w:ascii="Times New Roman" w:eastAsia="Times New Roman" w:hAnsi="Times New Roman" w:cs="Times New Roman"/>
          <w:color w:val="222222"/>
          <w:sz w:val="24"/>
          <w:szCs w:val="24"/>
          <w:lang w:val="en-GB" w:eastAsia="zh-CN"/>
        </w:rPr>
        <w:t>. K. Collins.</w:t>
      </w:r>
    </w:p>
    <w:p w:rsidR="00F82103" w:rsidRPr="00806715" w:rsidRDefault="00F82103" w:rsidP="00A21562">
      <w:pPr>
        <w:spacing w:after="0" w:line="240" w:lineRule="auto"/>
        <w:jc w:val="both"/>
        <w:rPr>
          <w:rFonts w:ascii="Times New Roman" w:eastAsia="Times New Roman" w:hAnsi="Times New Roman" w:cs="Times New Roman"/>
          <w:color w:val="222222"/>
          <w:sz w:val="24"/>
          <w:szCs w:val="24"/>
          <w:lang w:val="en-GB" w:eastAsia="zh-CN"/>
        </w:rPr>
      </w:pPr>
    </w:p>
    <w:p w:rsidR="00F82103" w:rsidRPr="00806715" w:rsidRDefault="00F82103" w:rsidP="00A21562">
      <w:pPr>
        <w:jc w:val="both"/>
        <w:rPr>
          <w:rFonts w:ascii="Times New Roman" w:hAnsi="Times New Roman" w:cs="Times New Roman"/>
          <w:color w:val="222222"/>
          <w:sz w:val="24"/>
          <w:szCs w:val="24"/>
          <w:lang w:val="en-GB" w:eastAsia="zh-CN"/>
        </w:rPr>
      </w:pPr>
      <w:r w:rsidRPr="00ED5675">
        <w:rPr>
          <w:rFonts w:ascii="Times New Roman" w:hAnsi="Times New Roman" w:cs="Times New Roman"/>
          <w:color w:val="222222"/>
          <w:sz w:val="24"/>
          <w:szCs w:val="24"/>
          <w:lang w:val="de-DE" w:eastAsia="zh-CN"/>
        </w:rPr>
        <w:t xml:space="preserve">Cong, R. G., Wei, Y. M., Jiao, J. L., &amp; Fan, Y. (2008). </w:t>
      </w:r>
      <w:r w:rsidRPr="00806715">
        <w:rPr>
          <w:rFonts w:ascii="Times New Roman" w:hAnsi="Times New Roman" w:cs="Times New Roman"/>
          <w:color w:val="222222"/>
          <w:sz w:val="24"/>
          <w:szCs w:val="24"/>
          <w:lang w:val="en-GB" w:eastAsia="zh-CN"/>
        </w:rPr>
        <w:t xml:space="preserve">Relationships between oil price shocks and stock market: An empirical analysis from China. </w:t>
      </w:r>
      <w:proofErr w:type="gramStart"/>
      <w:r w:rsidRPr="00806715">
        <w:rPr>
          <w:rFonts w:ascii="Times New Roman" w:hAnsi="Times New Roman" w:cs="Times New Roman"/>
          <w:i/>
          <w:iCs/>
          <w:color w:val="222222"/>
          <w:sz w:val="24"/>
          <w:szCs w:val="24"/>
          <w:lang w:val="en-GB" w:eastAsia="zh-CN"/>
        </w:rPr>
        <w:t>Energy Policy</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36</w:t>
      </w:r>
      <w:r w:rsidRPr="00806715">
        <w:rPr>
          <w:rFonts w:ascii="Times New Roman" w:hAnsi="Times New Roman" w:cs="Times New Roman"/>
          <w:color w:val="222222"/>
          <w:sz w:val="24"/>
          <w:szCs w:val="24"/>
          <w:lang w:val="en-GB" w:eastAsia="zh-CN"/>
        </w:rPr>
        <w:t>(9), 3544-3553.</w:t>
      </w:r>
      <w:proofErr w:type="gramEnd"/>
    </w:p>
    <w:p w:rsidR="00245D1F" w:rsidRPr="00806715" w:rsidRDefault="00245D1F" w:rsidP="00A21562">
      <w:pPr>
        <w:jc w:val="both"/>
        <w:rPr>
          <w:rFonts w:ascii="Times New Roman" w:hAnsi="Times New Roman" w:cs="Times New Roman"/>
          <w:color w:val="222222"/>
          <w:sz w:val="24"/>
          <w:szCs w:val="24"/>
          <w:lang w:val="en-GB" w:eastAsia="zh-CN"/>
        </w:rPr>
      </w:pPr>
      <w:proofErr w:type="spellStart"/>
      <w:proofErr w:type="gramStart"/>
      <w:r w:rsidRPr="00806715">
        <w:rPr>
          <w:rFonts w:ascii="Times New Roman" w:hAnsi="Times New Roman" w:cs="Times New Roman"/>
          <w:color w:val="222222"/>
          <w:sz w:val="24"/>
          <w:szCs w:val="24"/>
          <w:lang w:val="en-GB" w:eastAsia="zh-CN"/>
        </w:rPr>
        <w:t>Danielsson</w:t>
      </w:r>
      <w:proofErr w:type="spellEnd"/>
      <w:r w:rsidRPr="00806715">
        <w:rPr>
          <w:rFonts w:ascii="Times New Roman" w:hAnsi="Times New Roman" w:cs="Times New Roman"/>
          <w:color w:val="222222"/>
          <w:sz w:val="24"/>
          <w:szCs w:val="24"/>
          <w:lang w:val="en-GB" w:eastAsia="zh-CN"/>
        </w:rPr>
        <w:t xml:space="preserve">, J., Song Shin, H., &amp; </w:t>
      </w:r>
      <w:proofErr w:type="spellStart"/>
      <w:r w:rsidRPr="00806715">
        <w:rPr>
          <w:rFonts w:ascii="Times New Roman" w:hAnsi="Times New Roman" w:cs="Times New Roman"/>
          <w:color w:val="222222"/>
          <w:sz w:val="24"/>
          <w:szCs w:val="24"/>
          <w:lang w:val="en-GB" w:eastAsia="zh-CN"/>
        </w:rPr>
        <w:t>Zigrand</w:t>
      </w:r>
      <w:proofErr w:type="spellEnd"/>
      <w:r w:rsidRPr="00806715">
        <w:rPr>
          <w:rFonts w:ascii="Times New Roman" w:hAnsi="Times New Roman" w:cs="Times New Roman"/>
          <w:color w:val="222222"/>
          <w:sz w:val="24"/>
          <w:szCs w:val="24"/>
          <w:lang w:val="en-GB" w:eastAsia="zh-CN"/>
        </w:rPr>
        <w:t>, J. P. (2011).</w:t>
      </w:r>
      <w:proofErr w:type="gramEnd"/>
      <w:r w:rsidRPr="00806715">
        <w:rPr>
          <w:rFonts w:ascii="Times New Roman" w:hAnsi="Times New Roman" w:cs="Times New Roman"/>
          <w:color w:val="222222"/>
          <w:sz w:val="24"/>
          <w:szCs w:val="24"/>
          <w:lang w:val="en-GB" w:eastAsia="zh-CN"/>
        </w:rPr>
        <w:t xml:space="preserve"> </w:t>
      </w:r>
      <w:proofErr w:type="gramStart"/>
      <w:r w:rsidRPr="00806715">
        <w:rPr>
          <w:rFonts w:ascii="Times New Roman" w:hAnsi="Times New Roman" w:cs="Times New Roman"/>
          <w:color w:val="222222"/>
          <w:sz w:val="24"/>
          <w:szCs w:val="24"/>
          <w:lang w:val="en-GB" w:eastAsia="zh-CN"/>
        </w:rPr>
        <w:t>Balance sheet capacity and endogenous risk, working paper, London School pf Economics and Princeton University.</w:t>
      </w:r>
      <w:proofErr w:type="gramEnd"/>
      <w:r w:rsidRPr="00806715">
        <w:rPr>
          <w:rFonts w:ascii="Times New Roman" w:hAnsi="Times New Roman" w:cs="Times New Roman"/>
          <w:color w:val="222222"/>
          <w:sz w:val="24"/>
          <w:szCs w:val="24"/>
          <w:lang w:val="en-GB" w:eastAsia="zh-CN"/>
        </w:rPr>
        <w:t xml:space="preserve"> </w:t>
      </w:r>
    </w:p>
    <w:p w:rsidR="007C542C" w:rsidRDefault="007C542C" w:rsidP="00A21562">
      <w:pPr>
        <w:spacing w:after="0" w:line="240" w:lineRule="auto"/>
        <w:jc w:val="both"/>
        <w:rPr>
          <w:rFonts w:ascii="Times New Roman" w:eastAsia="Times New Roman" w:hAnsi="Times New Roman" w:cs="Times New Roman"/>
          <w:color w:val="222222"/>
          <w:sz w:val="24"/>
          <w:szCs w:val="24"/>
          <w:lang w:val="en-GB" w:eastAsia="zh-CN"/>
        </w:rPr>
      </w:pPr>
      <w:proofErr w:type="gramStart"/>
      <w:r w:rsidRPr="007C542C">
        <w:rPr>
          <w:rFonts w:ascii="Times New Roman" w:eastAsia="Times New Roman" w:hAnsi="Times New Roman" w:cs="Times New Roman"/>
          <w:color w:val="222222"/>
          <w:sz w:val="24"/>
          <w:szCs w:val="24"/>
          <w:lang w:val="en-GB" w:eastAsia="zh-CN"/>
        </w:rPr>
        <w:t xml:space="preserve">Deb, P., Trivedi, P. K., &amp; </w:t>
      </w:r>
      <w:proofErr w:type="spellStart"/>
      <w:r w:rsidRPr="007C542C">
        <w:rPr>
          <w:rFonts w:ascii="Times New Roman" w:eastAsia="Times New Roman" w:hAnsi="Times New Roman" w:cs="Times New Roman"/>
          <w:color w:val="222222"/>
          <w:sz w:val="24"/>
          <w:szCs w:val="24"/>
          <w:lang w:val="en-GB" w:eastAsia="zh-CN"/>
        </w:rPr>
        <w:t>Varangis</w:t>
      </w:r>
      <w:proofErr w:type="spellEnd"/>
      <w:r w:rsidRPr="007C542C">
        <w:rPr>
          <w:rFonts w:ascii="Times New Roman" w:eastAsia="Times New Roman" w:hAnsi="Times New Roman" w:cs="Times New Roman"/>
          <w:color w:val="222222"/>
          <w:sz w:val="24"/>
          <w:szCs w:val="24"/>
          <w:lang w:val="en-GB" w:eastAsia="zh-CN"/>
        </w:rPr>
        <w:t>, P. (1996).</w:t>
      </w:r>
      <w:proofErr w:type="gramEnd"/>
      <w:r w:rsidRPr="007C542C">
        <w:rPr>
          <w:rFonts w:ascii="Times New Roman" w:eastAsia="Times New Roman" w:hAnsi="Times New Roman" w:cs="Times New Roman"/>
          <w:color w:val="222222"/>
          <w:sz w:val="24"/>
          <w:szCs w:val="24"/>
          <w:lang w:val="en-GB" w:eastAsia="zh-CN"/>
        </w:rPr>
        <w:t xml:space="preserve"> The excess co</w:t>
      </w:r>
      <w:r w:rsidRPr="007C542C">
        <w:rPr>
          <w:rFonts w:ascii="Cambria Math" w:eastAsia="Times New Roman" w:hAnsi="Cambria Math" w:cs="Cambria Math"/>
          <w:color w:val="222222"/>
          <w:sz w:val="24"/>
          <w:szCs w:val="24"/>
          <w:lang w:val="en-GB" w:eastAsia="zh-CN"/>
        </w:rPr>
        <w:t>‐</w:t>
      </w:r>
      <w:r w:rsidRPr="007C542C">
        <w:rPr>
          <w:rFonts w:ascii="Times New Roman" w:eastAsia="Times New Roman" w:hAnsi="Times New Roman" w:cs="Times New Roman"/>
          <w:color w:val="222222"/>
          <w:sz w:val="24"/>
          <w:szCs w:val="24"/>
          <w:lang w:val="en-GB" w:eastAsia="zh-CN"/>
        </w:rPr>
        <w:t xml:space="preserve">movement of commodity prices reconsidered. </w:t>
      </w:r>
      <w:r w:rsidRPr="007C542C">
        <w:rPr>
          <w:rFonts w:ascii="Times New Roman" w:eastAsia="Times New Roman" w:hAnsi="Times New Roman" w:cs="Times New Roman"/>
          <w:i/>
          <w:iCs/>
          <w:color w:val="222222"/>
          <w:sz w:val="24"/>
          <w:szCs w:val="24"/>
          <w:lang w:val="en-GB" w:eastAsia="zh-CN"/>
        </w:rPr>
        <w:t>Journal of Applied Econometrics</w:t>
      </w:r>
      <w:r w:rsidRPr="007C542C">
        <w:rPr>
          <w:rFonts w:ascii="Times New Roman" w:eastAsia="Times New Roman" w:hAnsi="Times New Roman" w:cs="Times New Roman"/>
          <w:color w:val="222222"/>
          <w:sz w:val="24"/>
          <w:szCs w:val="24"/>
          <w:lang w:val="en-GB" w:eastAsia="zh-CN"/>
        </w:rPr>
        <w:t xml:space="preserve">, </w:t>
      </w:r>
      <w:r w:rsidRPr="007C542C">
        <w:rPr>
          <w:rFonts w:ascii="Times New Roman" w:eastAsia="Times New Roman" w:hAnsi="Times New Roman" w:cs="Times New Roman"/>
          <w:i/>
          <w:iCs/>
          <w:color w:val="222222"/>
          <w:sz w:val="24"/>
          <w:szCs w:val="24"/>
          <w:lang w:val="en-GB" w:eastAsia="zh-CN"/>
        </w:rPr>
        <w:t>11</w:t>
      </w:r>
      <w:r w:rsidRPr="007C542C">
        <w:rPr>
          <w:rFonts w:ascii="Times New Roman" w:eastAsia="Times New Roman" w:hAnsi="Times New Roman" w:cs="Times New Roman"/>
          <w:color w:val="222222"/>
          <w:sz w:val="24"/>
          <w:szCs w:val="24"/>
          <w:lang w:val="en-GB" w:eastAsia="zh-CN"/>
        </w:rPr>
        <w:t>(3), 275-291.</w:t>
      </w:r>
    </w:p>
    <w:p w:rsidR="00CA5AE0" w:rsidRDefault="00CA5AE0" w:rsidP="00A21562">
      <w:pPr>
        <w:spacing w:after="0" w:line="240" w:lineRule="auto"/>
        <w:jc w:val="both"/>
        <w:rPr>
          <w:rFonts w:ascii="Times New Roman" w:eastAsia="Times New Roman" w:hAnsi="Times New Roman" w:cs="Times New Roman"/>
          <w:color w:val="222222"/>
          <w:sz w:val="24"/>
          <w:szCs w:val="24"/>
          <w:lang w:val="en-GB" w:eastAsia="zh-CN"/>
        </w:rPr>
      </w:pPr>
    </w:p>
    <w:p w:rsidR="00CA5AE0" w:rsidRPr="00806715" w:rsidRDefault="00CA5AE0" w:rsidP="00CA5AE0">
      <w:pPr>
        <w:spacing w:after="0" w:line="240" w:lineRule="auto"/>
        <w:jc w:val="both"/>
        <w:rPr>
          <w:rFonts w:ascii="Times New Roman" w:eastAsia="Times New Roman" w:hAnsi="Times New Roman" w:cs="Times New Roman"/>
          <w:color w:val="222222"/>
          <w:sz w:val="24"/>
          <w:szCs w:val="24"/>
          <w:lang w:val="en-GB" w:eastAsia="zh-CN"/>
        </w:rPr>
      </w:pPr>
      <w:proofErr w:type="spellStart"/>
      <w:r w:rsidRPr="00CA5AE0">
        <w:rPr>
          <w:rFonts w:ascii="Times New Roman" w:eastAsia="Times New Roman" w:hAnsi="Times New Roman" w:cs="Times New Roman"/>
          <w:color w:val="222222"/>
          <w:sz w:val="24"/>
          <w:szCs w:val="24"/>
          <w:lang w:val="en-GB" w:eastAsia="zh-CN"/>
        </w:rPr>
        <w:t>Demeterfi</w:t>
      </w:r>
      <w:proofErr w:type="spellEnd"/>
      <w:r w:rsidRPr="00CA5AE0">
        <w:rPr>
          <w:rFonts w:ascii="Times New Roman" w:eastAsia="Times New Roman" w:hAnsi="Times New Roman" w:cs="Times New Roman"/>
          <w:color w:val="222222"/>
          <w:sz w:val="24"/>
          <w:szCs w:val="24"/>
          <w:lang w:val="en-GB" w:eastAsia="zh-CN"/>
        </w:rPr>
        <w:t xml:space="preserve">, K., </w:t>
      </w:r>
      <w:proofErr w:type="spellStart"/>
      <w:r w:rsidRPr="00CA5AE0">
        <w:rPr>
          <w:rFonts w:ascii="Times New Roman" w:eastAsia="Times New Roman" w:hAnsi="Times New Roman" w:cs="Times New Roman"/>
          <w:color w:val="222222"/>
          <w:sz w:val="24"/>
          <w:szCs w:val="24"/>
          <w:lang w:val="en-GB" w:eastAsia="zh-CN"/>
        </w:rPr>
        <w:t>Derman</w:t>
      </w:r>
      <w:proofErr w:type="spellEnd"/>
      <w:r w:rsidRPr="00CA5AE0">
        <w:rPr>
          <w:rFonts w:ascii="Times New Roman" w:eastAsia="Times New Roman" w:hAnsi="Times New Roman" w:cs="Times New Roman"/>
          <w:color w:val="222222"/>
          <w:sz w:val="24"/>
          <w:szCs w:val="24"/>
          <w:lang w:val="en-GB" w:eastAsia="zh-CN"/>
        </w:rPr>
        <w:t>, E., Kamal, M. and Zou, J. (1999) More than you ever wanted to know</w:t>
      </w:r>
      <w:r>
        <w:rPr>
          <w:rFonts w:ascii="Times New Roman" w:eastAsia="Times New Roman" w:hAnsi="Times New Roman" w:cs="Times New Roman"/>
          <w:color w:val="222222"/>
          <w:sz w:val="24"/>
          <w:szCs w:val="24"/>
          <w:lang w:val="en-GB" w:eastAsia="zh-CN"/>
        </w:rPr>
        <w:t xml:space="preserve"> </w:t>
      </w:r>
      <w:r w:rsidRPr="00CA5AE0">
        <w:rPr>
          <w:rFonts w:ascii="Times New Roman" w:eastAsia="Times New Roman" w:hAnsi="Times New Roman" w:cs="Times New Roman"/>
          <w:color w:val="222222"/>
          <w:sz w:val="24"/>
          <w:szCs w:val="24"/>
          <w:lang w:val="en-GB" w:eastAsia="zh-CN"/>
        </w:rPr>
        <w:t xml:space="preserve">about volatility swaps. </w:t>
      </w:r>
      <w:proofErr w:type="gramStart"/>
      <w:r w:rsidRPr="00CA5AE0">
        <w:rPr>
          <w:rFonts w:ascii="Times New Roman" w:eastAsia="Times New Roman" w:hAnsi="Times New Roman" w:cs="Times New Roman"/>
          <w:i/>
          <w:iCs/>
          <w:color w:val="222222"/>
          <w:sz w:val="24"/>
          <w:szCs w:val="24"/>
          <w:lang w:val="en-GB" w:eastAsia="zh-CN"/>
        </w:rPr>
        <w:t>Quantitative Strategies Research Notes</w:t>
      </w:r>
      <w:r w:rsidRPr="00CA5AE0">
        <w:rPr>
          <w:rFonts w:ascii="Times New Roman" w:eastAsia="Times New Roman" w:hAnsi="Times New Roman" w:cs="Times New Roman"/>
          <w:color w:val="222222"/>
          <w:sz w:val="24"/>
          <w:szCs w:val="24"/>
          <w:lang w:val="en-GB" w:eastAsia="zh-CN"/>
        </w:rPr>
        <w:t>, Goldman Sachs</w:t>
      </w:r>
      <w:r>
        <w:rPr>
          <w:rFonts w:ascii="Times New Roman" w:eastAsia="Times New Roman" w:hAnsi="Times New Roman" w:cs="Times New Roman"/>
          <w:color w:val="222222"/>
          <w:sz w:val="24"/>
          <w:szCs w:val="24"/>
          <w:lang w:val="en-GB" w:eastAsia="zh-CN"/>
        </w:rPr>
        <w:t>.</w:t>
      </w:r>
      <w:proofErr w:type="gramEnd"/>
    </w:p>
    <w:p w:rsidR="00245D1F" w:rsidRPr="00806715" w:rsidRDefault="00245D1F" w:rsidP="00A21562">
      <w:pPr>
        <w:spacing w:after="0" w:line="240" w:lineRule="auto"/>
        <w:jc w:val="both"/>
        <w:rPr>
          <w:rFonts w:ascii="Times New Roman" w:eastAsia="Times New Roman" w:hAnsi="Times New Roman" w:cs="Times New Roman"/>
          <w:color w:val="222222"/>
          <w:sz w:val="24"/>
          <w:szCs w:val="24"/>
          <w:lang w:val="en-GB" w:eastAsia="zh-CN"/>
        </w:rPr>
      </w:pPr>
    </w:p>
    <w:p w:rsidR="00245D1F" w:rsidRPr="00806715" w:rsidRDefault="00245D1F" w:rsidP="00A21562">
      <w:pPr>
        <w:jc w:val="both"/>
        <w:rPr>
          <w:rFonts w:ascii="Times New Roman" w:hAnsi="Times New Roman" w:cs="Times New Roman"/>
          <w:color w:val="222222"/>
          <w:sz w:val="24"/>
          <w:szCs w:val="24"/>
          <w:lang w:val="en-GB" w:eastAsia="zh-CN"/>
        </w:rPr>
      </w:pPr>
      <w:proofErr w:type="gramStart"/>
      <w:r w:rsidRPr="00806715">
        <w:rPr>
          <w:rFonts w:ascii="Times New Roman" w:hAnsi="Times New Roman" w:cs="Times New Roman"/>
          <w:color w:val="222222"/>
          <w:sz w:val="24"/>
          <w:szCs w:val="24"/>
          <w:lang w:val="en-GB" w:eastAsia="zh-CN"/>
        </w:rPr>
        <w:t>Diebold, F. X., &amp; Yilmaz, K. (2012).</w:t>
      </w:r>
      <w:proofErr w:type="gramEnd"/>
      <w:r w:rsidRPr="00806715">
        <w:rPr>
          <w:rFonts w:ascii="Times New Roman" w:hAnsi="Times New Roman" w:cs="Times New Roman"/>
          <w:color w:val="222222"/>
          <w:sz w:val="24"/>
          <w:szCs w:val="24"/>
          <w:lang w:val="en-GB" w:eastAsia="zh-CN"/>
        </w:rPr>
        <w:t xml:space="preserve"> Better to give than to receive: Predictive directional measurement of volatility spillovers. </w:t>
      </w:r>
      <w:r w:rsidRPr="00806715">
        <w:rPr>
          <w:rFonts w:ascii="Times New Roman" w:hAnsi="Times New Roman" w:cs="Times New Roman"/>
          <w:i/>
          <w:iCs/>
          <w:color w:val="222222"/>
          <w:sz w:val="24"/>
          <w:szCs w:val="24"/>
          <w:lang w:val="en-GB" w:eastAsia="zh-CN"/>
        </w:rPr>
        <w:t>International Journal of Forecasting</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28</w:t>
      </w:r>
      <w:r w:rsidRPr="00806715">
        <w:rPr>
          <w:rFonts w:ascii="Times New Roman" w:hAnsi="Times New Roman" w:cs="Times New Roman"/>
          <w:color w:val="222222"/>
          <w:sz w:val="24"/>
          <w:szCs w:val="24"/>
          <w:lang w:val="en-GB" w:eastAsia="zh-CN"/>
        </w:rPr>
        <w:t>(1), 57-66.</w:t>
      </w:r>
    </w:p>
    <w:p w:rsidR="00245D1F" w:rsidRPr="00806715" w:rsidRDefault="00245D1F" w:rsidP="00A21562">
      <w:pPr>
        <w:jc w:val="both"/>
        <w:rPr>
          <w:rFonts w:ascii="Times New Roman" w:hAnsi="Times New Roman" w:cs="Times New Roman"/>
          <w:color w:val="222222"/>
          <w:sz w:val="24"/>
          <w:szCs w:val="24"/>
          <w:lang w:val="en-GB" w:eastAsia="zh-CN"/>
        </w:rPr>
      </w:pPr>
      <w:proofErr w:type="gramStart"/>
      <w:r w:rsidRPr="00806715">
        <w:rPr>
          <w:rFonts w:ascii="Times New Roman" w:hAnsi="Times New Roman" w:cs="Times New Roman"/>
          <w:color w:val="222222"/>
          <w:sz w:val="24"/>
          <w:szCs w:val="24"/>
          <w:lang w:val="en-GB" w:eastAsia="zh-CN"/>
        </w:rPr>
        <w:t>Diebold, F. X., &amp; Yilmaz, K. (2009).</w:t>
      </w:r>
      <w:proofErr w:type="gramEnd"/>
      <w:r w:rsidRPr="00806715">
        <w:rPr>
          <w:rFonts w:ascii="Times New Roman" w:hAnsi="Times New Roman" w:cs="Times New Roman"/>
          <w:color w:val="222222"/>
          <w:sz w:val="24"/>
          <w:szCs w:val="24"/>
          <w:lang w:val="en-GB" w:eastAsia="zh-CN"/>
        </w:rPr>
        <w:t xml:space="preserve"> Measuring financial asset return and volatility spillovers, with application to global equity markets*. </w:t>
      </w:r>
      <w:r w:rsidRPr="00806715">
        <w:rPr>
          <w:rFonts w:ascii="Times New Roman" w:hAnsi="Times New Roman" w:cs="Times New Roman"/>
          <w:i/>
          <w:iCs/>
          <w:color w:val="222222"/>
          <w:sz w:val="24"/>
          <w:szCs w:val="24"/>
          <w:lang w:val="en-GB" w:eastAsia="zh-CN"/>
        </w:rPr>
        <w:t>The Economic Journal</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119</w:t>
      </w:r>
      <w:r w:rsidRPr="00806715">
        <w:rPr>
          <w:rFonts w:ascii="Times New Roman" w:hAnsi="Times New Roman" w:cs="Times New Roman"/>
          <w:color w:val="222222"/>
          <w:sz w:val="24"/>
          <w:szCs w:val="24"/>
          <w:lang w:val="en-GB" w:eastAsia="zh-CN"/>
        </w:rPr>
        <w:t>(534), 158-171.</w:t>
      </w:r>
    </w:p>
    <w:p w:rsidR="00245D1F" w:rsidRPr="00806715" w:rsidRDefault="00245D1F" w:rsidP="00A21562">
      <w:pPr>
        <w:jc w:val="both"/>
        <w:rPr>
          <w:rFonts w:ascii="Times New Roman" w:hAnsi="Times New Roman" w:cs="Times New Roman"/>
          <w:color w:val="222222"/>
          <w:sz w:val="24"/>
          <w:szCs w:val="24"/>
          <w:lang w:val="en-GB" w:eastAsia="zh-CN"/>
        </w:rPr>
      </w:pPr>
      <w:proofErr w:type="gramStart"/>
      <w:r w:rsidRPr="00806715">
        <w:rPr>
          <w:rFonts w:ascii="Times New Roman" w:hAnsi="Times New Roman" w:cs="Times New Roman"/>
          <w:color w:val="222222"/>
          <w:sz w:val="24"/>
          <w:szCs w:val="24"/>
          <w:lang w:val="en-GB" w:eastAsia="zh-CN"/>
        </w:rPr>
        <w:t>Diebold, F. X., &amp; Yılmaz, K. (2014).</w:t>
      </w:r>
      <w:proofErr w:type="gramEnd"/>
      <w:r w:rsidRPr="00806715">
        <w:rPr>
          <w:rFonts w:ascii="Times New Roman" w:hAnsi="Times New Roman" w:cs="Times New Roman"/>
          <w:color w:val="222222"/>
          <w:sz w:val="24"/>
          <w:szCs w:val="24"/>
          <w:lang w:val="en-GB" w:eastAsia="zh-CN"/>
        </w:rPr>
        <w:t xml:space="preserve"> On the network topology of variance decompositions: Measuring the connectedness of financial firms. </w:t>
      </w:r>
      <w:r w:rsidRPr="00806715">
        <w:rPr>
          <w:rFonts w:ascii="Times New Roman" w:hAnsi="Times New Roman" w:cs="Times New Roman"/>
          <w:i/>
          <w:iCs/>
          <w:color w:val="222222"/>
          <w:sz w:val="24"/>
          <w:szCs w:val="24"/>
          <w:lang w:val="en-GB" w:eastAsia="zh-CN"/>
        </w:rPr>
        <w:t>Journal of Econometrics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182</w:t>
      </w:r>
      <w:r w:rsidRPr="00806715">
        <w:rPr>
          <w:rFonts w:ascii="Times New Roman" w:hAnsi="Times New Roman" w:cs="Times New Roman"/>
          <w:color w:val="222222"/>
          <w:sz w:val="24"/>
          <w:szCs w:val="24"/>
          <w:lang w:val="en-GB" w:eastAsia="zh-CN"/>
        </w:rPr>
        <w:t>(1), 119-134.</w:t>
      </w:r>
    </w:p>
    <w:p w:rsidR="00245D1F" w:rsidRDefault="00245D1F" w:rsidP="00A21562">
      <w:pPr>
        <w:jc w:val="both"/>
        <w:rPr>
          <w:rFonts w:ascii="Times New Roman" w:hAnsi="Times New Roman" w:cs="Times New Roman"/>
          <w:color w:val="222222"/>
          <w:sz w:val="24"/>
          <w:szCs w:val="24"/>
          <w:lang w:val="en-GB" w:eastAsia="zh-CN"/>
        </w:rPr>
      </w:pPr>
      <w:r w:rsidRPr="00ED5675">
        <w:rPr>
          <w:rFonts w:ascii="Times New Roman" w:hAnsi="Times New Roman" w:cs="Times New Roman"/>
          <w:color w:val="222222"/>
          <w:sz w:val="24"/>
          <w:szCs w:val="24"/>
          <w:lang w:val="pt-BR" w:eastAsia="zh-CN"/>
        </w:rPr>
        <w:t>Diebold, F. X., &amp; Yilmaz, K. (2015</w:t>
      </w:r>
      <w:r w:rsidR="005C1A41" w:rsidRPr="00ED5675">
        <w:rPr>
          <w:rFonts w:ascii="Times New Roman" w:hAnsi="Times New Roman" w:cs="Times New Roman"/>
          <w:color w:val="222222"/>
          <w:sz w:val="24"/>
          <w:szCs w:val="24"/>
          <w:lang w:val="pt-BR" w:eastAsia="zh-CN"/>
        </w:rPr>
        <w:t>a</w:t>
      </w:r>
      <w:r w:rsidRPr="00ED5675">
        <w:rPr>
          <w:rFonts w:ascii="Times New Roman" w:hAnsi="Times New Roman" w:cs="Times New Roman"/>
          <w:color w:val="222222"/>
          <w:sz w:val="24"/>
          <w:szCs w:val="24"/>
          <w:lang w:val="pt-BR" w:eastAsia="zh-CN"/>
        </w:rPr>
        <w:t xml:space="preserve">). </w:t>
      </w:r>
      <w:r w:rsidRPr="00806715">
        <w:rPr>
          <w:rFonts w:ascii="Times New Roman" w:hAnsi="Times New Roman" w:cs="Times New Roman"/>
          <w:i/>
          <w:iCs/>
          <w:color w:val="222222"/>
          <w:sz w:val="24"/>
          <w:szCs w:val="24"/>
          <w:lang w:val="en-GB" w:eastAsia="zh-CN"/>
        </w:rPr>
        <w:t>Financial and Macroeconomic Connectedness: A Network Approach to Measurement and Monitoring</w:t>
      </w:r>
      <w:r w:rsidRPr="00806715">
        <w:rPr>
          <w:rFonts w:ascii="Times New Roman" w:hAnsi="Times New Roman" w:cs="Times New Roman"/>
          <w:color w:val="222222"/>
          <w:sz w:val="24"/>
          <w:szCs w:val="24"/>
          <w:lang w:val="en-GB" w:eastAsia="zh-CN"/>
        </w:rPr>
        <w:t xml:space="preserve">. </w:t>
      </w:r>
      <w:proofErr w:type="gramStart"/>
      <w:r w:rsidRPr="00806715">
        <w:rPr>
          <w:rFonts w:ascii="Times New Roman" w:hAnsi="Times New Roman" w:cs="Times New Roman"/>
          <w:color w:val="222222"/>
          <w:sz w:val="24"/>
          <w:szCs w:val="24"/>
          <w:lang w:val="en-GB" w:eastAsia="zh-CN"/>
        </w:rPr>
        <w:t>Oxford University Press.</w:t>
      </w:r>
      <w:proofErr w:type="gramEnd"/>
    </w:p>
    <w:p w:rsidR="005C1A41" w:rsidRPr="00806715" w:rsidRDefault="005C1A41" w:rsidP="00CD1AF9">
      <w:pPr>
        <w:jc w:val="both"/>
        <w:rPr>
          <w:rFonts w:ascii="Times New Roman" w:hAnsi="Times New Roman" w:cs="Times New Roman"/>
          <w:color w:val="222222"/>
          <w:sz w:val="24"/>
          <w:szCs w:val="24"/>
          <w:lang w:val="en-GB" w:eastAsia="zh-CN"/>
        </w:rPr>
      </w:pPr>
      <w:proofErr w:type="gramStart"/>
      <w:r w:rsidRPr="005C1A41">
        <w:rPr>
          <w:rFonts w:ascii="Times New Roman" w:hAnsi="Times New Roman" w:cs="Times New Roman"/>
          <w:color w:val="222222"/>
          <w:sz w:val="24"/>
          <w:szCs w:val="24"/>
          <w:lang w:val="en-GB" w:eastAsia="zh-CN"/>
        </w:rPr>
        <w:t>Diebold, F. X., &amp; Yilmaz, K. (201</w:t>
      </w:r>
      <w:r>
        <w:rPr>
          <w:rFonts w:ascii="Times New Roman" w:hAnsi="Times New Roman" w:cs="Times New Roman"/>
          <w:color w:val="222222"/>
          <w:sz w:val="24"/>
          <w:szCs w:val="24"/>
          <w:lang w:val="en-GB" w:eastAsia="zh-CN"/>
        </w:rPr>
        <w:t>6</w:t>
      </w:r>
      <w:r w:rsidRPr="005C1A41">
        <w:rPr>
          <w:rFonts w:ascii="Times New Roman" w:hAnsi="Times New Roman" w:cs="Times New Roman"/>
          <w:color w:val="222222"/>
          <w:sz w:val="24"/>
          <w:szCs w:val="24"/>
          <w:lang w:val="en-GB" w:eastAsia="zh-CN"/>
        </w:rPr>
        <w:t>).</w:t>
      </w:r>
      <w:proofErr w:type="gramEnd"/>
      <w:r w:rsidRPr="005C1A41">
        <w:t xml:space="preserve"> </w:t>
      </w:r>
      <w:r w:rsidRPr="005C1A41">
        <w:rPr>
          <w:rFonts w:ascii="Times New Roman" w:hAnsi="Times New Roman" w:cs="Times New Roman"/>
          <w:color w:val="222222"/>
          <w:sz w:val="24"/>
          <w:szCs w:val="24"/>
          <w:lang w:val="en-GB" w:eastAsia="zh-CN"/>
        </w:rPr>
        <w:t xml:space="preserve">Trans-Atlantic </w:t>
      </w:r>
      <w:r>
        <w:rPr>
          <w:rFonts w:ascii="Times New Roman" w:hAnsi="Times New Roman" w:cs="Times New Roman"/>
          <w:color w:val="222222"/>
          <w:sz w:val="24"/>
          <w:szCs w:val="24"/>
          <w:lang w:val="en-GB" w:eastAsia="zh-CN"/>
        </w:rPr>
        <w:t>e</w:t>
      </w:r>
      <w:r w:rsidRPr="005C1A41">
        <w:rPr>
          <w:rFonts w:ascii="Times New Roman" w:hAnsi="Times New Roman" w:cs="Times New Roman"/>
          <w:color w:val="222222"/>
          <w:sz w:val="24"/>
          <w:szCs w:val="24"/>
          <w:lang w:val="en-GB" w:eastAsia="zh-CN"/>
        </w:rPr>
        <w:t xml:space="preserve">quity </w:t>
      </w:r>
      <w:r>
        <w:rPr>
          <w:rFonts w:ascii="Times New Roman" w:hAnsi="Times New Roman" w:cs="Times New Roman"/>
          <w:color w:val="222222"/>
          <w:sz w:val="24"/>
          <w:szCs w:val="24"/>
          <w:lang w:val="en-GB" w:eastAsia="zh-CN"/>
        </w:rPr>
        <w:t>v</w:t>
      </w:r>
      <w:r w:rsidRPr="005C1A41">
        <w:rPr>
          <w:rFonts w:ascii="Times New Roman" w:hAnsi="Times New Roman" w:cs="Times New Roman"/>
          <w:color w:val="222222"/>
          <w:sz w:val="24"/>
          <w:szCs w:val="24"/>
          <w:lang w:val="en-GB" w:eastAsia="zh-CN"/>
        </w:rPr>
        <w:t>olatility</w:t>
      </w:r>
      <w:r>
        <w:rPr>
          <w:rFonts w:ascii="Times New Roman" w:hAnsi="Times New Roman" w:cs="Times New Roman"/>
          <w:color w:val="222222"/>
          <w:sz w:val="24"/>
          <w:szCs w:val="24"/>
          <w:lang w:val="en-GB" w:eastAsia="zh-CN"/>
        </w:rPr>
        <w:t xml:space="preserve"> c</w:t>
      </w:r>
      <w:r w:rsidRPr="005C1A41">
        <w:rPr>
          <w:rFonts w:ascii="Times New Roman" w:hAnsi="Times New Roman" w:cs="Times New Roman"/>
          <w:color w:val="222222"/>
          <w:sz w:val="24"/>
          <w:szCs w:val="24"/>
          <w:lang w:val="en-GB" w:eastAsia="zh-CN"/>
        </w:rPr>
        <w:t>onnectedness: U.S. and European</w:t>
      </w:r>
      <w:r>
        <w:rPr>
          <w:rFonts w:ascii="Times New Roman" w:hAnsi="Times New Roman" w:cs="Times New Roman"/>
          <w:color w:val="222222"/>
          <w:sz w:val="24"/>
          <w:szCs w:val="24"/>
          <w:lang w:val="en-GB" w:eastAsia="zh-CN"/>
        </w:rPr>
        <w:t xml:space="preserve"> f</w:t>
      </w:r>
      <w:r w:rsidRPr="005C1A41">
        <w:rPr>
          <w:rFonts w:ascii="Times New Roman" w:hAnsi="Times New Roman" w:cs="Times New Roman"/>
          <w:color w:val="222222"/>
          <w:sz w:val="24"/>
          <w:szCs w:val="24"/>
          <w:lang w:val="en-GB" w:eastAsia="zh-CN"/>
        </w:rPr>
        <w:t xml:space="preserve">inancial </w:t>
      </w:r>
      <w:r>
        <w:rPr>
          <w:rFonts w:ascii="Times New Roman" w:hAnsi="Times New Roman" w:cs="Times New Roman"/>
          <w:color w:val="222222"/>
          <w:sz w:val="24"/>
          <w:szCs w:val="24"/>
          <w:lang w:val="en-GB" w:eastAsia="zh-CN"/>
        </w:rPr>
        <w:t>i</w:t>
      </w:r>
      <w:r w:rsidRPr="005C1A41">
        <w:rPr>
          <w:rFonts w:ascii="Times New Roman" w:hAnsi="Times New Roman" w:cs="Times New Roman"/>
          <w:color w:val="222222"/>
          <w:sz w:val="24"/>
          <w:szCs w:val="24"/>
          <w:lang w:val="en-GB" w:eastAsia="zh-CN"/>
        </w:rPr>
        <w:t>nstitutions, 2004–2014</w:t>
      </w:r>
      <w:r>
        <w:rPr>
          <w:rFonts w:ascii="Times New Roman" w:hAnsi="Times New Roman" w:cs="Times New Roman"/>
          <w:color w:val="222222"/>
          <w:sz w:val="24"/>
          <w:szCs w:val="24"/>
          <w:lang w:val="en-GB" w:eastAsia="zh-CN"/>
        </w:rPr>
        <w:t xml:space="preserve">. </w:t>
      </w:r>
      <w:r w:rsidRPr="005C1A41">
        <w:rPr>
          <w:rFonts w:ascii="Times New Roman" w:hAnsi="Times New Roman" w:cs="Times New Roman"/>
          <w:i/>
          <w:iCs/>
          <w:color w:val="222222"/>
          <w:sz w:val="24"/>
          <w:szCs w:val="24"/>
          <w:lang w:val="en-GB" w:eastAsia="zh-CN"/>
        </w:rPr>
        <w:t>Journal of Financial Econometrics</w:t>
      </w:r>
      <w:r w:rsidRPr="005C1A41">
        <w:rPr>
          <w:rFonts w:ascii="Times New Roman" w:hAnsi="Times New Roman" w:cs="Times New Roman"/>
          <w:color w:val="222222"/>
          <w:sz w:val="24"/>
          <w:szCs w:val="24"/>
          <w:lang w:val="en-GB" w:eastAsia="zh-CN"/>
        </w:rPr>
        <w:t xml:space="preserve">, </w:t>
      </w:r>
      <w:r>
        <w:rPr>
          <w:rFonts w:ascii="Times New Roman" w:hAnsi="Times New Roman" w:cs="Times New Roman"/>
          <w:color w:val="222222"/>
          <w:sz w:val="24"/>
          <w:szCs w:val="24"/>
          <w:lang w:val="en-GB" w:eastAsia="zh-CN"/>
        </w:rPr>
        <w:t>14 (1)</w:t>
      </w:r>
      <w:r w:rsidRPr="005C1A41">
        <w:rPr>
          <w:rFonts w:ascii="Times New Roman" w:hAnsi="Times New Roman" w:cs="Times New Roman"/>
          <w:color w:val="222222"/>
          <w:sz w:val="24"/>
          <w:szCs w:val="24"/>
          <w:lang w:val="en-GB" w:eastAsia="zh-CN"/>
        </w:rPr>
        <w:t>, 81-127</w:t>
      </w:r>
      <w:r>
        <w:rPr>
          <w:rFonts w:ascii="Times New Roman" w:hAnsi="Times New Roman" w:cs="Times New Roman"/>
          <w:color w:val="222222"/>
          <w:sz w:val="24"/>
          <w:szCs w:val="24"/>
          <w:lang w:val="en-GB" w:eastAsia="zh-CN"/>
        </w:rPr>
        <w:t>.</w:t>
      </w:r>
    </w:p>
    <w:p w:rsidR="00F82103" w:rsidRPr="00806715" w:rsidRDefault="00F82103" w:rsidP="00A21562">
      <w:pPr>
        <w:jc w:val="both"/>
        <w:rPr>
          <w:rFonts w:ascii="Times New Roman" w:hAnsi="Times New Roman" w:cs="Times New Roman"/>
          <w:color w:val="222222"/>
          <w:sz w:val="24"/>
          <w:szCs w:val="24"/>
          <w:lang w:val="en-GB" w:eastAsia="zh-CN"/>
        </w:rPr>
      </w:pPr>
      <w:r w:rsidRPr="00ED5675">
        <w:rPr>
          <w:rFonts w:ascii="Times New Roman" w:hAnsi="Times New Roman" w:cs="Times New Roman"/>
          <w:color w:val="222222"/>
          <w:sz w:val="24"/>
          <w:szCs w:val="24"/>
          <w:lang w:val="nl-NL" w:eastAsia="zh-CN"/>
        </w:rPr>
        <w:t xml:space="preserve">Driesprong, G., Jacobsen, B., &amp; Maat, B. (2008). </w:t>
      </w:r>
      <w:r w:rsidRPr="00806715">
        <w:rPr>
          <w:rFonts w:ascii="Times New Roman" w:hAnsi="Times New Roman" w:cs="Times New Roman"/>
          <w:color w:val="222222"/>
          <w:sz w:val="24"/>
          <w:szCs w:val="24"/>
          <w:lang w:val="en-GB" w:eastAsia="zh-CN"/>
        </w:rPr>
        <w:t>Striking oil: Another puzzle</w:t>
      </w:r>
      <w:proofErr w:type="gramStart"/>
      <w:r w:rsidRPr="00806715">
        <w:rPr>
          <w:rFonts w:ascii="Times New Roman" w:hAnsi="Times New Roman" w:cs="Times New Roman"/>
          <w:color w:val="222222"/>
          <w:sz w:val="24"/>
          <w:szCs w:val="24"/>
          <w:lang w:val="en-GB" w:eastAsia="zh-CN"/>
        </w:rPr>
        <w:t>?.</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Journal of Financial 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89</w:t>
      </w:r>
      <w:r w:rsidRPr="00806715">
        <w:rPr>
          <w:rFonts w:ascii="Times New Roman" w:hAnsi="Times New Roman" w:cs="Times New Roman"/>
          <w:color w:val="222222"/>
          <w:sz w:val="24"/>
          <w:szCs w:val="24"/>
          <w:lang w:val="en-GB" w:eastAsia="zh-CN"/>
        </w:rPr>
        <w:t>(2), 307-327.</w:t>
      </w:r>
    </w:p>
    <w:p w:rsidR="004C5103" w:rsidRPr="00806715" w:rsidRDefault="004C5103" w:rsidP="00A21562">
      <w:pPr>
        <w:spacing w:after="0" w:line="240" w:lineRule="auto"/>
        <w:jc w:val="both"/>
        <w:rPr>
          <w:rFonts w:ascii="Times New Roman" w:eastAsia="Times New Roman" w:hAnsi="Times New Roman" w:cs="Times New Roman"/>
          <w:color w:val="222222"/>
          <w:sz w:val="24"/>
          <w:szCs w:val="24"/>
          <w:lang w:val="en-GB" w:eastAsia="zh-CN"/>
        </w:rPr>
      </w:pPr>
      <w:r w:rsidRPr="00ED5675">
        <w:rPr>
          <w:rFonts w:ascii="Times New Roman" w:eastAsia="Times New Roman" w:hAnsi="Times New Roman" w:cs="Times New Roman"/>
          <w:color w:val="222222"/>
          <w:sz w:val="24"/>
          <w:szCs w:val="24"/>
          <w:lang w:val="fr-FR" w:eastAsia="zh-CN"/>
        </w:rPr>
        <w:lastRenderedPageBreak/>
        <w:t xml:space="preserve">Du, X., Cindy, L. Y., &amp; Hayes, D. J. (2011). </w:t>
      </w:r>
      <w:r w:rsidRPr="00806715">
        <w:rPr>
          <w:rFonts w:ascii="Times New Roman" w:eastAsia="Times New Roman" w:hAnsi="Times New Roman" w:cs="Times New Roman"/>
          <w:color w:val="222222"/>
          <w:sz w:val="24"/>
          <w:szCs w:val="24"/>
          <w:lang w:val="en-GB" w:eastAsia="zh-CN"/>
        </w:rPr>
        <w:t xml:space="preserve">Speculation and volatility </w:t>
      </w:r>
      <w:proofErr w:type="spellStart"/>
      <w:r w:rsidRPr="00806715">
        <w:rPr>
          <w:rFonts w:ascii="Times New Roman" w:eastAsia="Times New Roman" w:hAnsi="Times New Roman" w:cs="Times New Roman"/>
          <w:color w:val="222222"/>
          <w:sz w:val="24"/>
          <w:szCs w:val="24"/>
          <w:lang w:val="en-GB" w:eastAsia="zh-CN"/>
        </w:rPr>
        <w:t>spillover</w:t>
      </w:r>
      <w:proofErr w:type="spellEnd"/>
      <w:r w:rsidRPr="00806715">
        <w:rPr>
          <w:rFonts w:ascii="Times New Roman" w:eastAsia="Times New Roman" w:hAnsi="Times New Roman" w:cs="Times New Roman"/>
          <w:color w:val="222222"/>
          <w:sz w:val="24"/>
          <w:szCs w:val="24"/>
          <w:lang w:val="en-GB" w:eastAsia="zh-CN"/>
        </w:rPr>
        <w:t xml:space="preserve"> in the crude oil and agricultural commodity markets: A Bayesian analysis. </w:t>
      </w:r>
      <w:r w:rsidRPr="00806715">
        <w:rPr>
          <w:rFonts w:ascii="Times New Roman" w:eastAsia="Times New Roman" w:hAnsi="Times New Roman" w:cs="Times New Roman"/>
          <w:i/>
          <w:iCs/>
          <w:color w:val="222222"/>
          <w:sz w:val="24"/>
          <w:szCs w:val="24"/>
          <w:lang w:val="en-GB" w:eastAsia="zh-CN"/>
        </w:rPr>
        <w:t>Energy Economics</w:t>
      </w:r>
      <w:r w:rsidRPr="00806715">
        <w:rPr>
          <w:rFonts w:ascii="Times New Roman" w:eastAsia="Times New Roman" w:hAnsi="Times New Roman" w:cs="Times New Roman"/>
          <w:color w:val="222222"/>
          <w:sz w:val="24"/>
          <w:szCs w:val="24"/>
          <w:lang w:val="en-GB" w:eastAsia="zh-CN"/>
        </w:rPr>
        <w:t xml:space="preserve">, </w:t>
      </w:r>
      <w:r w:rsidRPr="00806715">
        <w:rPr>
          <w:rFonts w:ascii="Times New Roman" w:eastAsia="Times New Roman" w:hAnsi="Times New Roman" w:cs="Times New Roman"/>
          <w:i/>
          <w:iCs/>
          <w:color w:val="222222"/>
          <w:sz w:val="24"/>
          <w:szCs w:val="24"/>
          <w:lang w:val="en-GB" w:eastAsia="zh-CN"/>
        </w:rPr>
        <w:t>33</w:t>
      </w:r>
      <w:r w:rsidRPr="00806715">
        <w:rPr>
          <w:rFonts w:ascii="Times New Roman" w:eastAsia="Times New Roman" w:hAnsi="Times New Roman" w:cs="Times New Roman"/>
          <w:color w:val="222222"/>
          <w:sz w:val="24"/>
          <w:szCs w:val="24"/>
          <w:lang w:val="en-GB" w:eastAsia="zh-CN"/>
        </w:rPr>
        <w:t>(3), 497-503.</w:t>
      </w:r>
    </w:p>
    <w:p w:rsidR="00F82103" w:rsidRPr="00806715" w:rsidRDefault="00F82103" w:rsidP="00A21562">
      <w:pPr>
        <w:spacing w:after="0" w:line="240" w:lineRule="auto"/>
        <w:jc w:val="both"/>
        <w:rPr>
          <w:rFonts w:ascii="Times New Roman" w:eastAsia="Times New Roman" w:hAnsi="Times New Roman" w:cs="Times New Roman"/>
          <w:color w:val="222222"/>
          <w:sz w:val="24"/>
          <w:szCs w:val="24"/>
          <w:lang w:val="en-GB" w:eastAsia="zh-CN"/>
        </w:rPr>
      </w:pPr>
    </w:p>
    <w:p w:rsidR="00F82103" w:rsidRPr="00806715" w:rsidRDefault="00F82103" w:rsidP="00A21562">
      <w:pPr>
        <w:spacing w:after="0" w:line="240" w:lineRule="auto"/>
        <w:jc w:val="both"/>
        <w:rPr>
          <w:rFonts w:ascii="Times New Roman" w:hAnsi="Times New Roman" w:cs="Times New Roman"/>
          <w:color w:val="222222"/>
          <w:sz w:val="24"/>
          <w:szCs w:val="24"/>
          <w:lang w:val="en-GB" w:eastAsia="zh-CN"/>
        </w:rPr>
      </w:pPr>
      <w:proofErr w:type="gramStart"/>
      <w:r w:rsidRPr="00806715">
        <w:rPr>
          <w:rFonts w:ascii="Times New Roman" w:hAnsi="Times New Roman" w:cs="Times New Roman"/>
          <w:color w:val="222222"/>
          <w:sz w:val="24"/>
          <w:szCs w:val="24"/>
          <w:lang w:val="en-GB" w:eastAsia="zh-CN"/>
        </w:rPr>
        <w:t>El-Sharif, I., Brown, D., Burton, B., Nixon, B., &amp; Russell, A. (2005).</w:t>
      </w:r>
      <w:proofErr w:type="gramEnd"/>
      <w:r w:rsidRPr="00806715">
        <w:rPr>
          <w:rFonts w:ascii="Times New Roman" w:hAnsi="Times New Roman" w:cs="Times New Roman"/>
          <w:color w:val="222222"/>
          <w:sz w:val="24"/>
          <w:szCs w:val="24"/>
          <w:lang w:val="en-GB" w:eastAsia="zh-CN"/>
        </w:rPr>
        <w:t xml:space="preserve"> </w:t>
      </w:r>
      <w:proofErr w:type="gramStart"/>
      <w:r w:rsidRPr="00806715">
        <w:rPr>
          <w:rFonts w:ascii="Times New Roman" w:hAnsi="Times New Roman" w:cs="Times New Roman"/>
          <w:color w:val="222222"/>
          <w:sz w:val="24"/>
          <w:szCs w:val="24"/>
          <w:lang w:val="en-GB" w:eastAsia="zh-CN"/>
        </w:rPr>
        <w:t>Evidence on the nature and extent of the relationship between oil prices and equity values in the UK.</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Energy 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27</w:t>
      </w:r>
      <w:r w:rsidRPr="00806715">
        <w:rPr>
          <w:rFonts w:ascii="Times New Roman" w:hAnsi="Times New Roman" w:cs="Times New Roman"/>
          <w:color w:val="222222"/>
          <w:sz w:val="24"/>
          <w:szCs w:val="24"/>
          <w:lang w:val="en-GB" w:eastAsia="zh-CN"/>
        </w:rPr>
        <w:t>(6), 819-830.</w:t>
      </w:r>
    </w:p>
    <w:p w:rsidR="0032609F" w:rsidRPr="00806715" w:rsidRDefault="0032609F" w:rsidP="00A21562">
      <w:pPr>
        <w:spacing w:after="0" w:line="240" w:lineRule="auto"/>
        <w:jc w:val="both"/>
        <w:rPr>
          <w:rFonts w:ascii="Times New Roman" w:hAnsi="Times New Roman" w:cs="Times New Roman"/>
          <w:color w:val="222222"/>
          <w:sz w:val="24"/>
          <w:szCs w:val="24"/>
          <w:lang w:val="en-GB" w:eastAsia="zh-CN"/>
        </w:rPr>
      </w:pPr>
    </w:p>
    <w:p w:rsidR="0032609F" w:rsidRDefault="0032609F" w:rsidP="00A21562">
      <w:pPr>
        <w:jc w:val="both"/>
        <w:rPr>
          <w:rFonts w:ascii="Times New Roman" w:hAnsi="Times New Roman" w:cs="Times New Roman"/>
          <w:color w:val="222222"/>
          <w:sz w:val="24"/>
          <w:szCs w:val="24"/>
          <w:lang w:val="en-GB" w:eastAsia="zh-CN"/>
        </w:rPr>
      </w:pPr>
      <w:r w:rsidRPr="00806715">
        <w:rPr>
          <w:rFonts w:ascii="Times New Roman" w:hAnsi="Times New Roman" w:cs="Times New Roman"/>
          <w:color w:val="222222"/>
          <w:sz w:val="24"/>
          <w:szCs w:val="24"/>
          <w:lang w:val="en-GB" w:eastAsia="zh-CN"/>
        </w:rPr>
        <w:t xml:space="preserve">Engle, R. (2002). Dynamic conditional correlation: A simple class of multivariate generalized autoregressive conditional </w:t>
      </w:r>
      <w:proofErr w:type="spellStart"/>
      <w:r w:rsidRPr="00806715">
        <w:rPr>
          <w:rFonts w:ascii="Times New Roman" w:hAnsi="Times New Roman" w:cs="Times New Roman"/>
          <w:color w:val="222222"/>
          <w:sz w:val="24"/>
          <w:szCs w:val="24"/>
          <w:lang w:val="en-GB" w:eastAsia="zh-CN"/>
        </w:rPr>
        <w:t>heteroskedasticity</w:t>
      </w:r>
      <w:proofErr w:type="spellEnd"/>
      <w:r w:rsidRPr="00806715">
        <w:rPr>
          <w:rFonts w:ascii="Times New Roman" w:hAnsi="Times New Roman" w:cs="Times New Roman"/>
          <w:color w:val="222222"/>
          <w:sz w:val="24"/>
          <w:szCs w:val="24"/>
          <w:lang w:val="en-GB" w:eastAsia="zh-CN"/>
        </w:rPr>
        <w:t xml:space="preserve"> models. </w:t>
      </w:r>
      <w:r w:rsidRPr="00806715">
        <w:rPr>
          <w:rFonts w:ascii="Times New Roman" w:hAnsi="Times New Roman" w:cs="Times New Roman"/>
          <w:i/>
          <w:iCs/>
          <w:color w:val="222222"/>
          <w:sz w:val="24"/>
          <w:szCs w:val="24"/>
          <w:lang w:val="en-GB" w:eastAsia="zh-CN"/>
        </w:rPr>
        <w:t>Journal of Business &amp; Economic Statistics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20</w:t>
      </w:r>
      <w:r w:rsidRPr="00806715">
        <w:rPr>
          <w:rFonts w:ascii="Times New Roman" w:hAnsi="Times New Roman" w:cs="Times New Roman"/>
          <w:color w:val="222222"/>
          <w:sz w:val="24"/>
          <w:szCs w:val="24"/>
          <w:lang w:val="en-GB" w:eastAsia="zh-CN"/>
        </w:rPr>
        <w:t>(3), 339-350.</w:t>
      </w:r>
    </w:p>
    <w:p w:rsidR="005003F5" w:rsidRPr="005003F5" w:rsidRDefault="005003F5" w:rsidP="00A21562">
      <w:pPr>
        <w:jc w:val="both"/>
        <w:rPr>
          <w:rFonts w:ascii="Times New Roman" w:hAnsi="Times New Roman" w:cs="Times New Roman"/>
          <w:color w:val="222222"/>
          <w:sz w:val="24"/>
          <w:szCs w:val="24"/>
          <w:lang w:val="en-GB" w:eastAsia="zh-CN"/>
        </w:rPr>
      </w:pPr>
      <w:proofErr w:type="spellStart"/>
      <w:proofErr w:type="gramStart"/>
      <w:r w:rsidRPr="005003F5">
        <w:rPr>
          <w:rFonts w:ascii="Times New Roman" w:hAnsi="Times New Roman" w:cs="Times New Roman"/>
          <w:color w:val="222222"/>
          <w:sz w:val="24"/>
          <w:szCs w:val="24"/>
          <w:shd w:val="clear" w:color="auto" w:fill="FFFFFF"/>
        </w:rPr>
        <w:t>Figlewski</w:t>
      </w:r>
      <w:proofErr w:type="spellEnd"/>
      <w:r w:rsidRPr="005003F5">
        <w:rPr>
          <w:rFonts w:ascii="Times New Roman" w:hAnsi="Times New Roman" w:cs="Times New Roman"/>
          <w:color w:val="222222"/>
          <w:sz w:val="24"/>
          <w:szCs w:val="24"/>
          <w:shd w:val="clear" w:color="auto" w:fill="FFFFFF"/>
        </w:rPr>
        <w:t>, S. (1997).</w:t>
      </w:r>
      <w:proofErr w:type="gramEnd"/>
      <w:r w:rsidRPr="005003F5">
        <w:rPr>
          <w:rFonts w:ascii="Times New Roman" w:hAnsi="Times New Roman" w:cs="Times New Roman"/>
          <w:color w:val="222222"/>
          <w:sz w:val="24"/>
          <w:szCs w:val="24"/>
          <w:shd w:val="clear" w:color="auto" w:fill="FFFFFF"/>
        </w:rPr>
        <w:t xml:space="preserve"> </w:t>
      </w:r>
      <w:proofErr w:type="gramStart"/>
      <w:r w:rsidRPr="005003F5">
        <w:rPr>
          <w:rFonts w:ascii="Times New Roman" w:hAnsi="Times New Roman" w:cs="Times New Roman"/>
          <w:color w:val="222222"/>
          <w:sz w:val="24"/>
          <w:szCs w:val="24"/>
          <w:shd w:val="clear" w:color="auto" w:fill="FFFFFF"/>
        </w:rPr>
        <w:t>Forecasting volatility.</w:t>
      </w:r>
      <w:proofErr w:type="gramEnd"/>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Financial markets, institutions &amp; instruments</w:t>
      </w:r>
      <w:r w:rsidRPr="005003F5">
        <w:rPr>
          <w:rFonts w:ascii="Times New Roman" w:hAnsi="Times New Roman" w:cs="Times New Roman"/>
          <w:color w:val="222222"/>
          <w:sz w:val="24"/>
          <w:szCs w:val="24"/>
          <w:shd w:val="clear" w:color="auto" w:fill="FFFFFF"/>
        </w:rPr>
        <w:t>,</w:t>
      </w:r>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6</w:t>
      </w:r>
      <w:r w:rsidRPr="005003F5">
        <w:rPr>
          <w:rFonts w:ascii="Times New Roman" w:hAnsi="Times New Roman" w:cs="Times New Roman"/>
          <w:color w:val="222222"/>
          <w:sz w:val="24"/>
          <w:szCs w:val="24"/>
          <w:shd w:val="clear" w:color="auto" w:fill="FFFFFF"/>
        </w:rPr>
        <w:t>(1), 1-88.</w:t>
      </w:r>
    </w:p>
    <w:p w:rsidR="000F55C8" w:rsidRDefault="000F55C8" w:rsidP="00A21562">
      <w:pPr>
        <w:jc w:val="both"/>
        <w:rPr>
          <w:rFonts w:ascii="Times New Roman" w:hAnsi="Times New Roman" w:cs="Times New Roman"/>
          <w:color w:val="222222"/>
          <w:sz w:val="24"/>
          <w:szCs w:val="24"/>
          <w:lang w:val="en-GB" w:eastAsia="zh-CN"/>
        </w:rPr>
      </w:pPr>
      <w:r w:rsidRPr="000F55C8">
        <w:rPr>
          <w:rFonts w:ascii="Times New Roman" w:hAnsi="Times New Roman" w:cs="Times New Roman"/>
          <w:color w:val="222222"/>
          <w:sz w:val="24"/>
          <w:szCs w:val="24"/>
          <w:lang w:val="en-GB" w:eastAsia="zh-CN"/>
        </w:rPr>
        <w:t xml:space="preserve">Fleming, J. (1998). The quality of market volatility forecasts implied by S&amp;P 100 index option prices. </w:t>
      </w:r>
      <w:r w:rsidRPr="000F55C8">
        <w:rPr>
          <w:rFonts w:ascii="Times New Roman" w:hAnsi="Times New Roman" w:cs="Times New Roman"/>
          <w:i/>
          <w:iCs/>
          <w:color w:val="222222"/>
          <w:sz w:val="24"/>
          <w:szCs w:val="24"/>
          <w:lang w:val="en-GB" w:eastAsia="zh-CN"/>
        </w:rPr>
        <w:t xml:space="preserve">Journal of Empirical </w:t>
      </w:r>
      <w:proofErr w:type="gramStart"/>
      <w:r w:rsidRPr="000F55C8">
        <w:rPr>
          <w:rFonts w:ascii="Times New Roman" w:hAnsi="Times New Roman" w:cs="Times New Roman"/>
          <w:i/>
          <w:iCs/>
          <w:color w:val="222222"/>
          <w:sz w:val="24"/>
          <w:szCs w:val="24"/>
          <w:lang w:val="en-GB" w:eastAsia="zh-CN"/>
        </w:rPr>
        <w:t>Finance</w:t>
      </w:r>
      <w:r w:rsidRPr="000F55C8">
        <w:rPr>
          <w:rFonts w:ascii="Times New Roman" w:hAnsi="Times New Roman" w:cs="Times New Roman"/>
          <w:color w:val="222222"/>
          <w:sz w:val="24"/>
          <w:szCs w:val="24"/>
          <w:lang w:val="en-GB" w:eastAsia="zh-CN"/>
        </w:rPr>
        <w:t xml:space="preserve"> ,</w:t>
      </w:r>
      <w:proofErr w:type="gramEnd"/>
      <w:r w:rsidRPr="000F55C8">
        <w:rPr>
          <w:rFonts w:ascii="Times New Roman" w:hAnsi="Times New Roman" w:cs="Times New Roman"/>
          <w:color w:val="222222"/>
          <w:sz w:val="24"/>
          <w:szCs w:val="24"/>
          <w:lang w:val="en-GB" w:eastAsia="zh-CN"/>
        </w:rPr>
        <w:t xml:space="preserve"> 5, 317-345.</w:t>
      </w:r>
    </w:p>
    <w:p w:rsidR="000671E3" w:rsidRDefault="000671E3" w:rsidP="000671E3">
      <w:pPr>
        <w:jc w:val="both"/>
        <w:rPr>
          <w:rFonts w:ascii="Times New Roman" w:hAnsi="Times New Roman" w:cs="Times New Roman"/>
          <w:color w:val="222222"/>
          <w:sz w:val="24"/>
          <w:szCs w:val="24"/>
          <w:lang w:val="en-GB" w:eastAsia="zh-CN"/>
        </w:rPr>
      </w:pPr>
      <w:r w:rsidRPr="000671E3">
        <w:rPr>
          <w:rFonts w:ascii="Times New Roman" w:hAnsi="Times New Roman" w:cs="Times New Roman"/>
          <w:color w:val="222222"/>
          <w:sz w:val="24"/>
          <w:szCs w:val="24"/>
          <w:lang w:val="en-GB" w:eastAsia="zh-CN"/>
        </w:rPr>
        <w:t xml:space="preserve">Foster, </w:t>
      </w:r>
      <w:r>
        <w:rPr>
          <w:rFonts w:ascii="Times New Roman" w:hAnsi="Times New Roman" w:cs="Times New Roman"/>
          <w:color w:val="222222"/>
          <w:sz w:val="24"/>
          <w:szCs w:val="24"/>
          <w:lang w:val="en-GB" w:eastAsia="zh-CN"/>
        </w:rPr>
        <w:t>D.</w:t>
      </w:r>
      <w:r w:rsidRPr="000671E3">
        <w:rPr>
          <w:rFonts w:ascii="Times New Roman" w:hAnsi="Times New Roman" w:cs="Times New Roman"/>
          <w:color w:val="222222"/>
          <w:sz w:val="24"/>
          <w:szCs w:val="24"/>
          <w:lang w:val="en-GB" w:eastAsia="zh-CN"/>
        </w:rPr>
        <w:t xml:space="preserve"> P., &amp; Nelson, </w:t>
      </w:r>
      <w:r>
        <w:rPr>
          <w:rFonts w:ascii="Times New Roman" w:hAnsi="Times New Roman" w:cs="Times New Roman"/>
          <w:color w:val="222222"/>
          <w:sz w:val="24"/>
          <w:szCs w:val="24"/>
          <w:lang w:val="en-GB" w:eastAsia="zh-CN"/>
        </w:rPr>
        <w:t>D.</w:t>
      </w:r>
      <w:r w:rsidRPr="000671E3">
        <w:rPr>
          <w:rFonts w:ascii="Times New Roman" w:hAnsi="Times New Roman" w:cs="Times New Roman"/>
          <w:color w:val="222222"/>
          <w:sz w:val="24"/>
          <w:szCs w:val="24"/>
          <w:lang w:val="en-GB" w:eastAsia="zh-CN"/>
        </w:rPr>
        <w:t xml:space="preserve"> B., </w:t>
      </w:r>
      <w:r>
        <w:rPr>
          <w:rFonts w:ascii="Times New Roman" w:hAnsi="Times New Roman" w:cs="Times New Roman"/>
          <w:color w:val="222222"/>
          <w:sz w:val="24"/>
          <w:szCs w:val="24"/>
          <w:lang w:val="en-GB" w:eastAsia="zh-CN"/>
        </w:rPr>
        <w:t>(1996).</w:t>
      </w:r>
      <w:r w:rsidRPr="000671E3">
        <w:rPr>
          <w:rFonts w:ascii="Times New Roman" w:hAnsi="Times New Roman" w:cs="Times New Roman"/>
          <w:color w:val="222222"/>
          <w:sz w:val="24"/>
          <w:szCs w:val="24"/>
          <w:lang w:val="en-GB" w:eastAsia="zh-CN"/>
        </w:rPr>
        <w:t xml:space="preserve"> Continuous </w:t>
      </w:r>
      <w:r>
        <w:rPr>
          <w:rFonts w:ascii="Times New Roman" w:hAnsi="Times New Roman" w:cs="Times New Roman"/>
          <w:color w:val="222222"/>
          <w:sz w:val="24"/>
          <w:szCs w:val="24"/>
          <w:lang w:val="en-GB" w:eastAsia="zh-CN"/>
        </w:rPr>
        <w:t>r</w:t>
      </w:r>
      <w:r w:rsidRPr="000671E3">
        <w:rPr>
          <w:rFonts w:ascii="Times New Roman" w:hAnsi="Times New Roman" w:cs="Times New Roman"/>
          <w:color w:val="222222"/>
          <w:sz w:val="24"/>
          <w:szCs w:val="24"/>
          <w:lang w:val="en-GB" w:eastAsia="zh-CN"/>
        </w:rPr>
        <w:t xml:space="preserve">ecord </w:t>
      </w:r>
      <w:proofErr w:type="spellStart"/>
      <w:r>
        <w:rPr>
          <w:rFonts w:ascii="Times New Roman" w:hAnsi="Times New Roman" w:cs="Times New Roman"/>
          <w:color w:val="222222"/>
          <w:sz w:val="24"/>
          <w:szCs w:val="24"/>
          <w:lang w:val="en-GB" w:eastAsia="zh-CN"/>
        </w:rPr>
        <w:t>a</w:t>
      </w:r>
      <w:r w:rsidRPr="000671E3">
        <w:rPr>
          <w:rFonts w:ascii="Times New Roman" w:hAnsi="Times New Roman" w:cs="Times New Roman"/>
          <w:color w:val="222222"/>
          <w:sz w:val="24"/>
          <w:szCs w:val="24"/>
          <w:lang w:val="en-GB" w:eastAsia="zh-CN"/>
        </w:rPr>
        <w:t>symptotics</w:t>
      </w:r>
      <w:proofErr w:type="spellEnd"/>
      <w:r w:rsidRPr="000671E3">
        <w:rPr>
          <w:rFonts w:ascii="Times New Roman" w:hAnsi="Times New Roman" w:cs="Times New Roman"/>
          <w:color w:val="222222"/>
          <w:sz w:val="24"/>
          <w:szCs w:val="24"/>
          <w:lang w:val="en-GB" w:eastAsia="zh-CN"/>
        </w:rPr>
        <w:t xml:space="preserve"> for </w:t>
      </w:r>
      <w:r>
        <w:rPr>
          <w:rFonts w:ascii="Times New Roman" w:hAnsi="Times New Roman" w:cs="Times New Roman"/>
          <w:color w:val="222222"/>
          <w:sz w:val="24"/>
          <w:szCs w:val="24"/>
          <w:lang w:val="en-GB" w:eastAsia="zh-CN"/>
        </w:rPr>
        <w:t>r</w:t>
      </w:r>
      <w:r w:rsidRPr="000671E3">
        <w:rPr>
          <w:rFonts w:ascii="Times New Roman" w:hAnsi="Times New Roman" w:cs="Times New Roman"/>
          <w:color w:val="222222"/>
          <w:sz w:val="24"/>
          <w:szCs w:val="24"/>
          <w:lang w:val="en-GB" w:eastAsia="zh-CN"/>
        </w:rPr>
        <w:t xml:space="preserve">olling </w:t>
      </w:r>
      <w:r>
        <w:rPr>
          <w:rFonts w:ascii="Times New Roman" w:hAnsi="Times New Roman" w:cs="Times New Roman"/>
          <w:color w:val="222222"/>
          <w:sz w:val="24"/>
          <w:szCs w:val="24"/>
          <w:lang w:val="en-GB" w:eastAsia="zh-CN"/>
        </w:rPr>
        <w:t>s</w:t>
      </w:r>
      <w:r w:rsidRPr="000671E3">
        <w:rPr>
          <w:rFonts w:ascii="Times New Roman" w:hAnsi="Times New Roman" w:cs="Times New Roman"/>
          <w:color w:val="222222"/>
          <w:sz w:val="24"/>
          <w:szCs w:val="24"/>
          <w:lang w:val="en-GB" w:eastAsia="zh-CN"/>
        </w:rPr>
        <w:t>ample</w:t>
      </w:r>
      <w:r>
        <w:rPr>
          <w:rFonts w:ascii="Times New Roman" w:hAnsi="Times New Roman" w:cs="Times New Roman"/>
          <w:color w:val="222222"/>
          <w:sz w:val="24"/>
          <w:szCs w:val="24"/>
          <w:lang w:val="en-GB" w:eastAsia="zh-CN"/>
        </w:rPr>
        <w:t xml:space="preserve"> v</w:t>
      </w:r>
      <w:r w:rsidRPr="000671E3">
        <w:rPr>
          <w:rFonts w:ascii="Times New Roman" w:hAnsi="Times New Roman" w:cs="Times New Roman"/>
          <w:color w:val="222222"/>
          <w:sz w:val="24"/>
          <w:szCs w:val="24"/>
          <w:lang w:val="en-GB" w:eastAsia="zh-CN"/>
        </w:rPr>
        <w:t xml:space="preserve">ariance </w:t>
      </w:r>
      <w:r>
        <w:rPr>
          <w:rFonts w:ascii="Times New Roman" w:hAnsi="Times New Roman" w:cs="Times New Roman"/>
          <w:color w:val="222222"/>
          <w:sz w:val="24"/>
          <w:szCs w:val="24"/>
          <w:lang w:val="en-GB" w:eastAsia="zh-CN"/>
        </w:rPr>
        <w:t>e</w:t>
      </w:r>
      <w:r w:rsidRPr="000671E3">
        <w:rPr>
          <w:rFonts w:ascii="Times New Roman" w:hAnsi="Times New Roman" w:cs="Times New Roman"/>
          <w:color w:val="222222"/>
          <w:sz w:val="24"/>
          <w:szCs w:val="24"/>
          <w:lang w:val="en-GB" w:eastAsia="zh-CN"/>
        </w:rPr>
        <w:t>stimators</w:t>
      </w:r>
      <w:r>
        <w:rPr>
          <w:rFonts w:ascii="Times New Roman" w:hAnsi="Times New Roman" w:cs="Times New Roman"/>
          <w:color w:val="222222"/>
          <w:sz w:val="24"/>
          <w:szCs w:val="24"/>
          <w:lang w:val="en-GB" w:eastAsia="zh-CN"/>
        </w:rPr>
        <w:t>.</w:t>
      </w:r>
      <w:r w:rsidRPr="000671E3">
        <w:rPr>
          <w:rFonts w:ascii="Times New Roman" w:hAnsi="Times New Roman" w:cs="Times New Roman"/>
          <w:color w:val="222222"/>
          <w:sz w:val="24"/>
          <w:szCs w:val="24"/>
          <w:lang w:val="en-GB" w:eastAsia="zh-CN"/>
        </w:rPr>
        <w:t xml:space="preserve"> </w:t>
      </w:r>
      <w:proofErr w:type="spellStart"/>
      <w:r w:rsidRPr="000671E3">
        <w:rPr>
          <w:rFonts w:ascii="Times New Roman" w:hAnsi="Times New Roman" w:cs="Times New Roman"/>
          <w:i/>
          <w:iCs/>
          <w:color w:val="222222"/>
          <w:sz w:val="24"/>
          <w:szCs w:val="24"/>
          <w:lang w:val="en-GB" w:eastAsia="zh-CN"/>
        </w:rPr>
        <w:t>Econometrica</w:t>
      </w:r>
      <w:proofErr w:type="spellEnd"/>
      <w:r w:rsidRPr="000671E3">
        <w:rPr>
          <w:rFonts w:ascii="Times New Roman" w:hAnsi="Times New Roman" w:cs="Times New Roman"/>
          <w:color w:val="222222"/>
          <w:sz w:val="24"/>
          <w:szCs w:val="24"/>
          <w:lang w:val="en-GB" w:eastAsia="zh-CN"/>
        </w:rPr>
        <w:t>, 64(1), 139-174.</w:t>
      </w:r>
    </w:p>
    <w:p w:rsidR="005003F5" w:rsidRPr="005003F5" w:rsidRDefault="005003F5" w:rsidP="000671E3">
      <w:pPr>
        <w:jc w:val="both"/>
        <w:rPr>
          <w:rFonts w:ascii="Times New Roman" w:hAnsi="Times New Roman" w:cs="Times New Roman"/>
          <w:color w:val="222222"/>
          <w:sz w:val="24"/>
          <w:szCs w:val="24"/>
          <w:lang w:val="en-GB" w:eastAsia="zh-CN"/>
        </w:rPr>
      </w:pPr>
      <w:r w:rsidRPr="00ED5675">
        <w:rPr>
          <w:rFonts w:ascii="Times New Roman" w:hAnsi="Times New Roman" w:cs="Times New Roman"/>
          <w:color w:val="222222"/>
          <w:sz w:val="24"/>
          <w:szCs w:val="24"/>
          <w:shd w:val="clear" w:color="auto" w:fill="FFFFFF"/>
          <w:lang w:val="nl-NL"/>
        </w:rPr>
        <w:t xml:space="preserve">Franses, P. H., &amp; Van Dijk, D. (1996). </w:t>
      </w:r>
      <w:proofErr w:type="gramStart"/>
      <w:r w:rsidRPr="005003F5">
        <w:rPr>
          <w:rFonts w:ascii="Times New Roman" w:hAnsi="Times New Roman" w:cs="Times New Roman"/>
          <w:color w:val="222222"/>
          <w:sz w:val="24"/>
          <w:szCs w:val="24"/>
          <w:shd w:val="clear" w:color="auto" w:fill="FFFFFF"/>
        </w:rPr>
        <w:t>Forecasting stock market volatility using (nonlinear) GARCH models.</w:t>
      </w:r>
      <w:proofErr w:type="gramEnd"/>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Journal of Forecasting</w:t>
      </w:r>
      <w:r w:rsidRPr="005003F5">
        <w:rPr>
          <w:rFonts w:ascii="Times New Roman" w:hAnsi="Times New Roman" w:cs="Times New Roman"/>
          <w:color w:val="222222"/>
          <w:sz w:val="24"/>
          <w:szCs w:val="24"/>
          <w:shd w:val="clear" w:color="auto" w:fill="FFFFFF"/>
        </w:rPr>
        <w:t>, 229-235.</w:t>
      </w:r>
    </w:p>
    <w:p w:rsidR="00600892" w:rsidRPr="00600892" w:rsidRDefault="00600892" w:rsidP="00A21562">
      <w:pPr>
        <w:spacing w:after="0" w:line="240" w:lineRule="auto"/>
        <w:jc w:val="both"/>
        <w:rPr>
          <w:rFonts w:ascii="Times New Roman" w:eastAsia="Times New Roman" w:hAnsi="Times New Roman" w:cs="Times New Roman"/>
          <w:color w:val="222222"/>
          <w:sz w:val="24"/>
          <w:szCs w:val="24"/>
          <w:lang w:val="en-GB" w:eastAsia="zh-CN"/>
        </w:rPr>
      </w:pPr>
      <w:proofErr w:type="gramStart"/>
      <w:r w:rsidRPr="00600892">
        <w:rPr>
          <w:rFonts w:ascii="Times New Roman" w:eastAsia="Times New Roman" w:hAnsi="Times New Roman" w:cs="Times New Roman"/>
          <w:color w:val="222222"/>
          <w:sz w:val="24"/>
          <w:szCs w:val="24"/>
          <w:lang w:val="en-GB" w:eastAsia="zh-CN"/>
        </w:rPr>
        <w:t>Ghosh, D., Levin, E. J., Macmillan, P., &amp; Wright, R. E. (2004).</w:t>
      </w:r>
      <w:proofErr w:type="gramEnd"/>
      <w:r w:rsidRPr="00600892">
        <w:rPr>
          <w:rFonts w:ascii="Times New Roman" w:eastAsia="Times New Roman" w:hAnsi="Times New Roman" w:cs="Times New Roman"/>
          <w:color w:val="222222"/>
          <w:sz w:val="24"/>
          <w:szCs w:val="24"/>
          <w:lang w:val="en-GB" w:eastAsia="zh-CN"/>
        </w:rPr>
        <w:t xml:space="preserve"> Gold as an inflation hedge</w:t>
      </w:r>
      <w:proofErr w:type="gramStart"/>
      <w:r w:rsidRPr="00600892">
        <w:rPr>
          <w:rFonts w:ascii="Times New Roman" w:eastAsia="Times New Roman" w:hAnsi="Times New Roman" w:cs="Times New Roman"/>
          <w:color w:val="222222"/>
          <w:sz w:val="24"/>
          <w:szCs w:val="24"/>
          <w:lang w:val="en-GB" w:eastAsia="zh-CN"/>
        </w:rPr>
        <w:t>?.</w:t>
      </w:r>
      <w:proofErr w:type="gramEnd"/>
      <w:r w:rsidRPr="00600892">
        <w:rPr>
          <w:rFonts w:ascii="Times New Roman" w:eastAsia="Times New Roman" w:hAnsi="Times New Roman" w:cs="Times New Roman"/>
          <w:color w:val="222222"/>
          <w:sz w:val="24"/>
          <w:szCs w:val="24"/>
          <w:lang w:val="en-GB" w:eastAsia="zh-CN"/>
        </w:rPr>
        <w:t xml:space="preserve"> </w:t>
      </w:r>
      <w:r w:rsidRPr="00600892">
        <w:rPr>
          <w:rFonts w:ascii="Times New Roman" w:eastAsia="Times New Roman" w:hAnsi="Times New Roman" w:cs="Times New Roman"/>
          <w:i/>
          <w:iCs/>
          <w:color w:val="222222"/>
          <w:sz w:val="24"/>
          <w:szCs w:val="24"/>
          <w:lang w:val="en-GB" w:eastAsia="zh-CN"/>
        </w:rPr>
        <w:t>Studies in Economics and Finance</w:t>
      </w:r>
      <w:r w:rsidRPr="00600892">
        <w:rPr>
          <w:rFonts w:ascii="Times New Roman" w:eastAsia="Times New Roman" w:hAnsi="Times New Roman" w:cs="Times New Roman"/>
          <w:color w:val="222222"/>
          <w:sz w:val="24"/>
          <w:szCs w:val="24"/>
          <w:lang w:val="en-GB" w:eastAsia="zh-CN"/>
        </w:rPr>
        <w:t xml:space="preserve">, </w:t>
      </w:r>
      <w:r w:rsidRPr="00600892">
        <w:rPr>
          <w:rFonts w:ascii="Times New Roman" w:eastAsia="Times New Roman" w:hAnsi="Times New Roman" w:cs="Times New Roman"/>
          <w:i/>
          <w:iCs/>
          <w:color w:val="222222"/>
          <w:sz w:val="24"/>
          <w:szCs w:val="24"/>
          <w:lang w:val="en-GB" w:eastAsia="zh-CN"/>
        </w:rPr>
        <w:t>22</w:t>
      </w:r>
      <w:r w:rsidRPr="00600892">
        <w:rPr>
          <w:rFonts w:ascii="Times New Roman" w:eastAsia="Times New Roman" w:hAnsi="Times New Roman" w:cs="Times New Roman"/>
          <w:color w:val="222222"/>
          <w:sz w:val="24"/>
          <w:szCs w:val="24"/>
          <w:lang w:val="en-GB" w:eastAsia="zh-CN"/>
        </w:rPr>
        <w:t>(1), 1-25.</w:t>
      </w:r>
    </w:p>
    <w:p w:rsidR="006C5710" w:rsidRPr="00806715" w:rsidRDefault="006C5710" w:rsidP="00A21562">
      <w:pPr>
        <w:spacing w:after="0" w:line="240" w:lineRule="auto"/>
        <w:jc w:val="both"/>
        <w:rPr>
          <w:rFonts w:ascii="Times New Roman" w:hAnsi="Times New Roman" w:cs="Times New Roman"/>
          <w:color w:val="222222"/>
          <w:sz w:val="24"/>
          <w:szCs w:val="24"/>
          <w:lang w:val="en-GB" w:eastAsia="zh-CN"/>
        </w:rPr>
      </w:pPr>
    </w:p>
    <w:p w:rsidR="006C5710" w:rsidRDefault="006C5710" w:rsidP="00A21562">
      <w:pPr>
        <w:spacing w:after="0" w:line="240" w:lineRule="auto"/>
        <w:jc w:val="both"/>
        <w:rPr>
          <w:rFonts w:ascii="Times New Roman" w:eastAsia="Times New Roman" w:hAnsi="Times New Roman" w:cs="Times New Roman"/>
          <w:color w:val="222222"/>
          <w:sz w:val="24"/>
          <w:szCs w:val="24"/>
          <w:lang w:val="en-GB" w:eastAsia="zh-CN"/>
        </w:rPr>
      </w:pPr>
      <w:r w:rsidRPr="006C5710">
        <w:rPr>
          <w:rFonts w:ascii="Times New Roman" w:eastAsia="Times New Roman" w:hAnsi="Times New Roman" w:cs="Times New Roman"/>
          <w:color w:val="222222"/>
          <w:sz w:val="24"/>
          <w:szCs w:val="24"/>
          <w:lang w:val="en-GB" w:eastAsia="zh-CN"/>
        </w:rPr>
        <w:t xml:space="preserve">Gilbert, C. L. (2010). </w:t>
      </w:r>
      <w:proofErr w:type="gramStart"/>
      <w:r w:rsidRPr="006C5710">
        <w:rPr>
          <w:rFonts w:ascii="Times New Roman" w:eastAsia="Times New Roman" w:hAnsi="Times New Roman" w:cs="Times New Roman"/>
          <w:color w:val="222222"/>
          <w:sz w:val="24"/>
          <w:szCs w:val="24"/>
          <w:lang w:val="en-GB" w:eastAsia="zh-CN"/>
        </w:rPr>
        <w:t>How to understand high food prices.</w:t>
      </w:r>
      <w:proofErr w:type="gramEnd"/>
      <w:r w:rsidRPr="006C5710">
        <w:rPr>
          <w:rFonts w:ascii="Times New Roman" w:eastAsia="Times New Roman" w:hAnsi="Times New Roman" w:cs="Times New Roman"/>
          <w:color w:val="222222"/>
          <w:sz w:val="24"/>
          <w:szCs w:val="24"/>
          <w:lang w:val="en-GB" w:eastAsia="zh-CN"/>
        </w:rPr>
        <w:t xml:space="preserve"> </w:t>
      </w:r>
      <w:r w:rsidRPr="006C5710">
        <w:rPr>
          <w:rFonts w:ascii="Times New Roman" w:eastAsia="Times New Roman" w:hAnsi="Times New Roman" w:cs="Times New Roman"/>
          <w:i/>
          <w:iCs/>
          <w:color w:val="222222"/>
          <w:sz w:val="24"/>
          <w:szCs w:val="24"/>
          <w:lang w:val="en-GB" w:eastAsia="zh-CN"/>
        </w:rPr>
        <w:t>Journal of Agricultural Economics</w:t>
      </w:r>
      <w:r w:rsidRPr="006C5710">
        <w:rPr>
          <w:rFonts w:ascii="Times New Roman" w:eastAsia="Times New Roman" w:hAnsi="Times New Roman" w:cs="Times New Roman"/>
          <w:color w:val="222222"/>
          <w:sz w:val="24"/>
          <w:szCs w:val="24"/>
          <w:lang w:val="en-GB" w:eastAsia="zh-CN"/>
        </w:rPr>
        <w:t xml:space="preserve">, </w:t>
      </w:r>
      <w:r w:rsidRPr="006C5710">
        <w:rPr>
          <w:rFonts w:ascii="Times New Roman" w:eastAsia="Times New Roman" w:hAnsi="Times New Roman" w:cs="Times New Roman"/>
          <w:i/>
          <w:iCs/>
          <w:color w:val="222222"/>
          <w:sz w:val="24"/>
          <w:szCs w:val="24"/>
          <w:lang w:val="en-GB" w:eastAsia="zh-CN"/>
        </w:rPr>
        <w:t>61</w:t>
      </w:r>
      <w:r w:rsidRPr="006C5710">
        <w:rPr>
          <w:rFonts w:ascii="Times New Roman" w:eastAsia="Times New Roman" w:hAnsi="Times New Roman" w:cs="Times New Roman"/>
          <w:color w:val="222222"/>
          <w:sz w:val="24"/>
          <w:szCs w:val="24"/>
          <w:lang w:val="en-GB" w:eastAsia="zh-CN"/>
        </w:rPr>
        <w:t>(2), 398-425.</w:t>
      </w:r>
    </w:p>
    <w:p w:rsidR="003B7F62" w:rsidRDefault="003B7F62" w:rsidP="00A21562">
      <w:pPr>
        <w:spacing w:after="0" w:line="240" w:lineRule="auto"/>
        <w:jc w:val="both"/>
        <w:rPr>
          <w:rFonts w:ascii="Times New Roman" w:eastAsia="Times New Roman" w:hAnsi="Times New Roman" w:cs="Times New Roman"/>
          <w:color w:val="222222"/>
          <w:sz w:val="24"/>
          <w:szCs w:val="24"/>
          <w:lang w:val="en-GB" w:eastAsia="zh-CN"/>
        </w:rPr>
      </w:pPr>
    </w:p>
    <w:p w:rsidR="003B7F62" w:rsidRDefault="003B7F62" w:rsidP="003B7F62">
      <w:pPr>
        <w:spacing w:after="0" w:line="240" w:lineRule="auto"/>
        <w:jc w:val="both"/>
        <w:rPr>
          <w:rFonts w:ascii="Times New Roman" w:eastAsia="Times New Roman" w:hAnsi="Times New Roman" w:cs="Times New Roman"/>
          <w:color w:val="222222"/>
          <w:sz w:val="24"/>
          <w:szCs w:val="24"/>
          <w:lang w:val="en-GB" w:eastAsia="zh-CN"/>
        </w:rPr>
      </w:pPr>
      <w:proofErr w:type="spellStart"/>
      <w:proofErr w:type="gramStart"/>
      <w:r w:rsidRPr="003B7F62">
        <w:rPr>
          <w:rFonts w:ascii="Times New Roman" w:eastAsia="Times New Roman" w:hAnsi="Times New Roman" w:cs="Times New Roman"/>
          <w:color w:val="222222"/>
          <w:sz w:val="24"/>
          <w:szCs w:val="24"/>
          <w:lang w:val="en-GB" w:eastAsia="zh-CN"/>
        </w:rPr>
        <w:t>Gwilym</w:t>
      </w:r>
      <w:proofErr w:type="spellEnd"/>
      <w:r w:rsidRPr="003B7F62">
        <w:rPr>
          <w:rFonts w:ascii="Times New Roman" w:eastAsia="Times New Roman" w:hAnsi="Times New Roman" w:cs="Times New Roman"/>
          <w:color w:val="222222"/>
          <w:sz w:val="24"/>
          <w:szCs w:val="24"/>
          <w:lang w:val="en-GB" w:eastAsia="zh-CN"/>
        </w:rPr>
        <w:t xml:space="preserve">, O.A., </w:t>
      </w:r>
      <w:r>
        <w:rPr>
          <w:rFonts w:ascii="Times New Roman" w:eastAsia="Times New Roman" w:hAnsi="Times New Roman" w:cs="Times New Roman"/>
          <w:color w:val="222222"/>
          <w:sz w:val="24"/>
          <w:szCs w:val="24"/>
          <w:lang w:val="en-GB" w:eastAsia="zh-CN"/>
        </w:rPr>
        <w:t>&amp; Buckle, M. (1999).</w:t>
      </w:r>
      <w:proofErr w:type="gramEnd"/>
      <w:r>
        <w:rPr>
          <w:rFonts w:ascii="Times New Roman" w:eastAsia="Times New Roman" w:hAnsi="Times New Roman" w:cs="Times New Roman"/>
          <w:color w:val="222222"/>
          <w:sz w:val="24"/>
          <w:szCs w:val="24"/>
          <w:lang w:val="en-GB" w:eastAsia="zh-CN"/>
        </w:rPr>
        <w:t xml:space="preserve"> </w:t>
      </w:r>
      <w:proofErr w:type="gramStart"/>
      <w:r w:rsidRPr="003B7F62">
        <w:rPr>
          <w:rFonts w:ascii="Times New Roman" w:eastAsia="Times New Roman" w:hAnsi="Times New Roman" w:cs="Times New Roman"/>
          <w:color w:val="222222"/>
          <w:sz w:val="24"/>
          <w:szCs w:val="24"/>
          <w:lang w:val="en-GB" w:eastAsia="zh-CN"/>
        </w:rPr>
        <w:t xml:space="preserve">Volatility </w:t>
      </w:r>
      <w:r>
        <w:rPr>
          <w:rFonts w:ascii="Times New Roman" w:eastAsia="Times New Roman" w:hAnsi="Times New Roman" w:cs="Times New Roman"/>
          <w:color w:val="222222"/>
          <w:sz w:val="24"/>
          <w:szCs w:val="24"/>
          <w:lang w:val="en-GB" w:eastAsia="zh-CN"/>
        </w:rPr>
        <w:t>f</w:t>
      </w:r>
      <w:r w:rsidRPr="003B7F62">
        <w:rPr>
          <w:rFonts w:ascii="Times New Roman" w:eastAsia="Times New Roman" w:hAnsi="Times New Roman" w:cs="Times New Roman"/>
          <w:color w:val="222222"/>
          <w:sz w:val="24"/>
          <w:szCs w:val="24"/>
          <w:lang w:val="en-GB" w:eastAsia="zh-CN"/>
        </w:rPr>
        <w:t xml:space="preserve">orecasting in the </w:t>
      </w:r>
      <w:r>
        <w:rPr>
          <w:rFonts w:ascii="Times New Roman" w:eastAsia="Times New Roman" w:hAnsi="Times New Roman" w:cs="Times New Roman"/>
          <w:color w:val="222222"/>
          <w:sz w:val="24"/>
          <w:szCs w:val="24"/>
          <w:lang w:val="en-GB" w:eastAsia="zh-CN"/>
        </w:rPr>
        <w:t>f</w:t>
      </w:r>
      <w:r w:rsidRPr="003B7F62">
        <w:rPr>
          <w:rFonts w:ascii="Times New Roman" w:eastAsia="Times New Roman" w:hAnsi="Times New Roman" w:cs="Times New Roman"/>
          <w:color w:val="222222"/>
          <w:sz w:val="24"/>
          <w:szCs w:val="24"/>
          <w:lang w:val="en-GB" w:eastAsia="zh-CN"/>
        </w:rPr>
        <w:t xml:space="preserve">ramework of the </w:t>
      </w:r>
      <w:r>
        <w:rPr>
          <w:rFonts w:ascii="Times New Roman" w:eastAsia="Times New Roman" w:hAnsi="Times New Roman" w:cs="Times New Roman"/>
          <w:color w:val="222222"/>
          <w:sz w:val="24"/>
          <w:szCs w:val="24"/>
          <w:lang w:val="en-GB" w:eastAsia="zh-CN"/>
        </w:rPr>
        <w:t>o</w:t>
      </w:r>
      <w:r w:rsidRPr="003B7F62">
        <w:rPr>
          <w:rFonts w:ascii="Times New Roman" w:eastAsia="Times New Roman" w:hAnsi="Times New Roman" w:cs="Times New Roman"/>
          <w:color w:val="222222"/>
          <w:sz w:val="24"/>
          <w:szCs w:val="24"/>
          <w:lang w:val="en-GB" w:eastAsia="zh-CN"/>
        </w:rPr>
        <w:t xml:space="preserve">ption </w:t>
      </w:r>
      <w:r>
        <w:rPr>
          <w:rFonts w:ascii="Times New Roman" w:eastAsia="Times New Roman" w:hAnsi="Times New Roman" w:cs="Times New Roman"/>
          <w:color w:val="222222"/>
          <w:sz w:val="24"/>
          <w:szCs w:val="24"/>
          <w:lang w:val="en-GB" w:eastAsia="zh-CN"/>
        </w:rPr>
        <w:t>e</w:t>
      </w:r>
      <w:r w:rsidRPr="003B7F62">
        <w:rPr>
          <w:rFonts w:ascii="Times New Roman" w:eastAsia="Times New Roman" w:hAnsi="Times New Roman" w:cs="Times New Roman"/>
          <w:color w:val="222222"/>
          <w:sz w:val="24"/>
          <w:szCs w:val="24"/>
          <w:lang w:val="en-GB" w:eastAsia="zh-CN"/>
        </w:rPr>
        <w:t xml:space="preserve">xpiry </w:t>
      </w:r>
      <w:r>
        <w:rPr>
          <w:rFonts w:ascii="Times New Roman" w:eastAsia="Times New Roman" w:hAnsi="Times New Roman" w:cs="Times New Roman"/>
          <w:color w:val="222222"/>
          <w:sz w:val="24"/>
          <w:szCs w:val="24"/>
          <w:lang w:val="en-GB" w:eastAsia="zh-CN"/>
        </w:rPr>
        <w:t>cycle.</w:t>
      </w:r>
      <w:proofErr w:type="gramEnd"/>
      <w:r w:rsidRPr="003B7F62">
        <w:rPr>
          <w:rFonts w:ascii="Times New Roman" w:eastAsia="Times New Roman" w:hAnsi="Times New Roman" w:cs="Times New Roman"/>
          <w:color w:val="222222"/>
          <w:sz w:val="24"/>
          <w:szCs w:val="24"/>
          <w:lang w:val="en-GB" w:eastAsia="zh-CN"/>
        </w:rPr>
        <w:t xml:space="preserve"> </w:t>
      </w:r>
      <w:r w:rsidRPr="003B7F62">
        <w:rPr>
          <w:rFonts w:ascii="Times New Roman" w:eastAsia="Times New Roman" w:hAnsi="Times New Roman" w:cs="Times New Roman"/>
          <w:i/>
          <w:iCs/>
          <w:color w:val="222222"/>
          <w:sz w:val="24"/>
          <w:szCs w:val="24"/>
          <w:lang w:val="en-GB" w:eastAsia="zh-CN"/>
        </w:rPr>
        <w:t>European Journal of Finance</w:t>
      </w:r>
      <w:r>
        <w:rPr>
          <w:rFonts w:ascii="Times New Roman" w:eastAsia="Times New Roman" w:hAnsi="Times New Roman" w:cs="Times New Roman"/>
          <w:color w:val="222222"/>
          <w:sz w:val="24"/>
          <w:szCs w:val="24"/>
          <w:lang w:val="en-GB" w:eastAsia="zh-CN"/>
        </w:rPr>
        <w:t>, 5,</w:t>
      </w:r>
      <w:r w:rsidRPr="003B7F62">
        <w:rPr>
          <w:rFonts w:ascii="Times New Roman" w:eastAsia="Times New Roman" w:hAnsi="Times New Roman" w:cs="Times New Roman"/>
          <w:color w:val="222222"/>
          <w:sz w:val="24"/>
          <w:szCs w:val="24"/>
          <w:lang w:val="en-GB" w:eastAsia="zh-CN"/>
        </w:rPr>
        <w:t xml:space="preserve"> 73-94.</w:t>
      </w:r>
    </w:p>
    <w:p w:rsidR="00CA5AE0" w:rsidRDefault="00CA5AE0" w:rsidP="00A21562">
      <w:pPr>
        <w:spacing w:after="0" w:line="240" w:lineRule="auto"/>
        <w:jc w:val="both"/>
        <w:rPr>
          <w:rFonts w:ascii="Times New Roman" w:eastAsia="Times New Roman" w:hAnsi="Times New Roman" w:cs="Times New Roman"/>
          <w:color w:val="222222"/>
          <w:sz w:val="24"/>
          <w:szCs w:val="24"/>
          <w:lang w:val="en-GB" w:eastAsia="zh-CN"/>
        </w:rPr>
      </w:pPr>
    </w:p>
    <w:p w:rsidR="00CA5AE0" w:rsidRPr="006C5710" w:rsidRDefault="00CA5AE0" w:rsidP="00A21562">
      <w:pPr>
        <w:spacing w:after="0" w:line="240" w:lineRule="auto"/>
        <w:jc w:val="both"/>
        <w:rPr>
          <w:rFonts w:ascii="Times New Roman" w:eastAsia="Times New Roman" w:hAnsi="Times New Roman" w:cs="Times New Roman"/>
          <w:color w:val="222222"/>
          <w:sz w:val="24"/>
          <w:szCs w:val="24"/>
          <w:lang w:val="en-GB" w:eastAsia="zh-CN"/>
        </w:rPr>
      </w:pPr>
      <w:r w:rsidRPr="00CA5AE0">
        <w:rPr>
          <w:rFonts w:ascii="Times New Roman" w:eastAsia="Times New Roman" w:hAnsi="Times New Roman" w:cs="Times New Roman"/>
          <w:color w:val="222222"/>
          <w:sz w:val="24"/>
          <w:szCs w:val="24"/>
          <w:lang w:val="en-GB" w:eastAsia="zh-CN"/>
        </w:rPr>
        <w:t xml:space="preserve">Gonzalez-Perez, M.T. (2015). Model-free volatility indexes in the financial literature: A review. </w:t>
      </w:r>
      <w:r w:rsidRPr="00CA5AE0">
        <w:rPr>
          <w:rFonts w:ascii="Times New Roman" w:eastAsia="Times New Roman" w:hAnsi="Times New Roman" w:cs="Times New Roman"/>
          <w:i/>
          <w:iCs/>
          <w:color w:val="222222"/>
          <w:sz w:val="24"/>
          <w:szCs w:val="24"/>
          <w:lang w:val="en-GB" w:eastAsia="zh-CN"/>
        </w:rPr>
        <w:t>International Review of Economics and Finance</w:t>
      </w:r>
      <w:r w:rsidRPr="00CA5AE0">
        <w:rPr>
          <w:rFonts w:ascii="Times New Roman" w:eastAsia="Times New Roman" w:hAnsi="Times New Roman" w:cs="Times New Roman"/>
          <w:color w:val="222222"/>
          <w:sz w:val="24"/>
          <w:szCs w:val="24"/>
          <w:lang w:val="en-GB" w:eastAsia="zh-CN"/>
        </w:rPr>
        <w:t>, 40, 141–159.</w:t>
      </w:r>
    </w:p>
    <w:p w:rsidR="005E1F8A" w:rsidRPr="00806715" w:rsidRDefault="005E1F8A" w:rsidP="00A21562">
      <w:pPr>
        <w:spacing w:after="0" w:line="240" w:lineRule="auto"/>
        <w:jc w:val="both"/>
        <w:rPr>
          <w:rFonts w:ascii="Times New Roman" w:hAnsi="Times New Roman" w:cs="Times New Roman"/>
          <w:color w:val="222222"/>
          <w:sz w:val="24"/>
          <w:szCs w:val="24"/>
          <w:lang w:val="en-GB" w:eastAsia="zh-CN"/>
        </w:rPr>
      </w:pPr>
    </w:p>
    <w:p w:rsidR="005E1F8A" w:rsidRPr="00806715" w:rsidRDefault="005E1F8A" w:rsidP="00A21562">
      <w:pPr>
        <w:jc w:val="both"/>
        <w:rPr>
          <w:rFonts w:ascii="Times New Roman" w:hAnsi="Times New Roman" w:cs="Times New Roman"/>
          <w:color w:val="222222"/>
          <w:sz w:val="24"/>
          <w:szCs w:val="24"/>
          <w:lang w:val="en-GB" w:eastAsia="zh-CN"/>
        </w:rPr>
      </w:pPr>
      <w:proofErr w:type="spellStart"/>
      <w:proofErr w:type="gramStart"/>
      <w:r w:rsidRPr="00806715">
        <w:rPr>
          <w:rFonts w:ascii="Times New Roman" w:hAnsi="Times New Roman" w:cs="Times New Roman"/>
          <w:color w:val="222222"/>
          <w:sz w:val="24"/>
          <w:szCs w:val="24"/>
          <w:lang w:val="en-GB" w:eastAsia="zh-CN"/>
        </w:rPr>
        <w:t>Hammoudeh</w:t>
      </w:r>
      <w:proofErr w:type="spellEnd"/>
      <w:r w:rsidRPr="00806715">
        <w:rPr>
          <w:rFonts w:ascii="Times New Roman" w:hAnsi="Times New Roman" w:cs="Times New Roman"/>
          <w:color w:val="222222"/>
          <w:sz w:val="24"/>
          <w:szCs w:val="24"/>
          <w:lang w:val="en-GB" w:eastAsia="zh-CN"/>
        </w:rPr>
        <w:t xml:space="preserve">, S., &amp; </w:t>
      </w:r>
      <w:proofErr w:type="spellStart"/>
      <w:r w:rsidRPr="00806715">
        <w:rPr>
          <w:rFonts w:ascii="Times New Roman" w:hAnsi="Times New Roman" w:cs="Times New Roman"/>
          <w:color w:val="222222"/>
          <w:sz w:val="24"/>
          <w:szCs w:val="24"/>
          <w:lang w:val="en-GB" w:eastAsia="zh-CN"/>
        </w:rPr>
        <w:t>Aleisa</w:t>
      </w:r>
      <w:proofErr w:type="spellEnd"/>
      <w:r w:rsidRPr="00806715">
        <w:rPr>
          <w:rFonts w:ascii="Times New Roman" w:hAnsi="Times New Roman" w:cs="Times New Roman"/>
          <w:color w:val="222222"/>
          <w:sz w:val="24"/>
          <w:szCs w:val="24"/>
          <w:lang w:val="en-GB" w:eastAsia="zh-CN"/>
        </w:rPr>
        <w:t>, E. (2004).</w:t>
      </w:r>
      <w:proofErr w:type="gramEnd"/>
      <w:r w:rsidRPr="00806715">
        <w:rPr>
          <w:rFonts w:ascii="Times New Roman" w:hAnsi="Times New Roman" w:cs="Times New Roman"/>
          <w:color w:val="222222"/>
          <w:sz w:val="24"/>
          <w:szCs w:val="24"/>
          <w:lang w:val="en-GB" w:eastAsia="zh-CN"/>
        </w:rPr>
        <w:t xml:space="preserve"> Dynamic relationships among GCC stock markets and NYMEX oil futures. </w:t>
      </w:r>
      <w:r w:rsidRPr="00806715">
        <w:rPr>
          <w:rFonts w:ascii="Times New Roman" w:hAnsi="Times New Roman" w:cs="Times New Roman"/>
          <w:i/>
          <w:iCs/>
          <w:color w:val="222222"/>
          <w:sz w:val="24"/>
          <w:szCs w:val="24"/>
          <w:lang w:val="en-GB" w:eastAsia="zh-CN"/>
        </w:rPr>
        <w:t>Contemporary Economic Policy</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22</w:t>
      </w:r>
      <w:r w:rsidRPr="00806715">
        <w:rPr>
          <w:rFonts w:ascii="Times New Roman" w:hAnsi="Times New Roman" w:cs="Times New Roman"/>
          <w:color w:val="222222"/>
          <w:sz w:val="24"/>
          <w:szCs w:val="24"/>
          <w:lang w:val="en-GB" w:eastAsia="zh-CN"/>
        </w:rPr>
        <w:t>(2), 250-269.</w:t>
      </w:r>
    </w:p>
    <w:p w:rsidR="005554AF" w:rsidRPr="00806715" w:rsidRDefault="005554AF"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proofErr w:type="gramStart"/>
      <w:r w:rsidRPr="005554AF">
        <w:rPr>
          <w:rFonts w:ascii="Times New Roman" w:eastAsia="Times New Roman" w:hAnsi="Times New Roman" w:cs="Times New Roman"/>
          <w:color w:val="222222"/>
          <w:sz w:val="24"/>
          <w:szCs w:val="24"/>
          <w:lang w:val="en-GB" w:eastAsia="zh-CN"/>
        </w:rPr>
        <w:t>Hammoudeh</w:t>
      </w:r>
      <w:proofErr w:type="spellEnd"/>
      <w:r w:rsidRPr="005554AF">
        <w:rPr>
          <w:rFonts w:ascii="Times New Roman" w:eastAsia="Times New Roman" w:hAnsi="Times New Roman" w:cs="Times New Roman"/>
          <w:color w:val="222222"/>
          <w:sz w:val="24"/>
          <w:szCs w:val="24"/>
          <w:lang w:val="en-GB" w:eastAsia="zh-CN"/>
        </w:rPr>
        <w:t>, S., &amp; Yuan, Y. (2008).</w:t>
      </w:r>
      <w:proofErr w:type="gramEnd"/>
      <w:r w:rsidRPr="005554AF">
        <w:rPr>
          <w:rFonts w:ascii="Times New Roman" w:eastAsia="Times New Roman" w:hAnsi="Times New Roman" w:cs="Times New Roman"/>
          <w:color w:val="222222"/>
          <w:sz w:val="24"/>
          <w:szCs w:val="24"/>
          <w:lang w:val="en-GB" w:eastAsia="zh-CN"/>
        </w:rPr>
        <w:t xml:space="preserve"> Metal volatility in presence of oil and interest rate shocks. </w:t>
      </w:r>
      <w:r w:rsidRPr="005554AF">
        <w:rPr>
          <w:rFonts w:ascii="Times New Roman" w:eastAsia="Times New Roman" w:hAnsi="Times New Roman" w:cs="Times New Roman"/>
          <w:i/>
          <w:iCs/>
          <w:color w:val="222222"/>
          <w:sz w:val="24"/>
          <w:szCs w:val="24"/>
          <w:lang w:val="en-GB" w:eastAsia="zh-CN"/>
        </w:rPr>
        <w:t>Energy Economics</w:t>
      </w:r>
      <w:r w:rsidRPr="005554AF">
        <w:rPr>
          <w:rFonts w:ascii="Times New Roman" w:eastAsia="Times New Roman" w:hAnsi="Times New Roman" w:cs="Times New Roman"/>
          <w:color w:val="222222"/>
          <w:sz w:val="24"/>
          <w:szCs w:val="24"/>
          <w:lang w:val="en-GB" w:eastAsia="zh-CN"/>
        </w:rPr>
        <w:t xml:space="preserve">, </w:t>
      </w:r>
      <w:r w:rsidRPr="005554AF">
        <w:rPr>
          <w:rFonts w:ascii="Times New Roman" w:eastAsia="Times New Roman" w:hAnsi="Times New Roman" w:cs="Times New Roman"/>
          <w:i/>
          <w:iCs/>
          <w:color w:val="222222"/>
          <w:sz w:val="24"/>
          <w:szCs w:val="24"/>
          <w:lang w:val="en-GB" w:eastAsia="zh-CN"/>
        </w:rPr>
        <w:t>30</w:t>
      </w:r>
      <w:r w:rsidRPr="005554AF">
        <w:rPr>
          <w:rFonts w:ascii="Times New Roman" w:eastAsia="Times New Roman" w:hAnsi="Times New Roman" w:cs="Times New Roman"/>
          <w:color w:val="222222"/>
          <w:sz w:val="24"/>
          <w:szCs w:val="24"/>
          <w:lang w:val="en-GB" w:eastAsia="zh-CN"/>
        </w:rPr>
        <w:t>(2), 606-620.</w:t>
      </w:r>
    </w:p>
    <w:p w:rsidR="00E04109" w:rsidRPr="00806715" w:rsidRDefault="00E04109" w:rsidP="00A21562">
      <w:pPr>
        <w:spacing w:after="0" w:line="240" w:lineRule="auto"/>
        <w:jc w:val="both"/>
        <w:rPr>
          <w:rFonts w:ascii="Times New Roman" w:eastAsia="Times New Roman" w:hAnsi="Times New Roman" w:cs="Times New Roman"/>
          <w:color w:val="222222"/>
          <w:sz w:val="24"/>
          <w:szCs w:val="24"/>
          <w:lang w:val="en-GB" w:eastAsia="zh-CN"/>
        </w:rPr>
      </w:pPr>
    </w:p>
    <w:p w:rsidR="00E04109" w:rsidRPr="00E04109" w:rsidRDefault="00E04109"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proofErr w:type="gramStart"/>
      <w:r w:rsidRPr="00E04109">
        <w:rPr>
          <w:rFonts w:ascii="Times New Roman" w:eastAsia="Times New Roman" w:hAnsi="Times New Roman" w:cs="Times New Roman"/>
          <w:color w:val="222222"/>
          <w:sz w:val="24"/>
          <w:szCs w:val="24"/>
          <w:lang w:val="en-GB" w:eastAsia="zh-CN"/>
        </w:rPr>
        <w:t>Harri</w:t>
      </w:r>
      <w:proofErr w:type="spellEnd"/>
      <w:r w:rsidRPr="00E04109">
        <w:rPr>
          <w:rFonts w:ascii="Times New Roman" w:eastAsia="Times New Roman" w:hAnsi="Times New Roman" w:cs="Times New Roman"/>
          <w:color w:val="222222"/>
          <w:sz w:val="24"/>
          <w:szCs w:val="24"/>
          <w:lang w:val="en-GB" w:eastAsia="zh-CN"/>
        </w:rPr>
        <w:t>, A., &amp; Hudson, D. (2009, November).</w:t>
      </w:r>
      <w:proofErr w:type="gramEnd"/>
      <w:r w:rsidRPr="00E04109">
        <w:rPr>
          <w:rFonts w:ascii="Times New Roman" w:eastAsia="Times New Roman" w:hAnsi="Times New Roman" w:cs="Times New Roman"/>
          <w:color w:val="222222"/>
          <w:sz w:val="24"/>
          <w:szCs w:val="24"/>
          <w:lang w:val="en-GB" w:eastAsia="zh-CN"/>
        </w:rPr>
        <w:t xml:space="preserve"> </w:t>
      </w:r>
      <w:proofErr w:type="gramStart"/>
      <w:r w:rsidRPr="00E04109">
        <w:rPr>
          <w:rFonts w:ascii="Times New Roman" w:eastAsia="Times New Roman" w:hAnsi="Times New Roman" w:cs="Times New Roman"/>
          <w:color w:val="222222"/>
          <w:sz w:val="24"/>
          <w:szCs w:val="24"/>
          <w:lang w:val="en-GB" w:eastAsia="zh-CN"/>
        </w:rPr>
        <w:t>Mean and variance dynamics between agricultural commodity prices and crude oil prices.</w:t>
      </w:r>
      <w:proofErr w:type="gramEnd"/>
      <w:r w:rsidRPr="00E04109">
        <w:rPr>
          <w:rFonts w:ascii="Times New Roman" w:eastAsia="Times New Roman" w:hAnsi="Times New Roman" w:cs="Times New Roman"/>
          <w:color w:val="222222"/>
          <w:sz w:val="24"/>
          <w:szCs w:val="24"/>
          <w:lang w:val="en-GB" w:eastAsia="zh-CN"/>
        </w:rPr>
        <w:t xml:space="preserve"> </w:t>
      </w:r>
      <w:proofErr w:type="gramStart"/>
      <w:r w:rsidRPr="00E04109">
        <w:rPr>
          <w:rFonts w:ascii="Times New Roman" w:eastAsia="Times New Roman" w:hAnsi="Times New Roman" w:cs="Times New Roman"/>
          <w:color w:val="222222"/>
          <w:sz w:val="24"/>
          <w:szCs w:val="24"/>
          <w:lang w:val="en-GB" w:eastAsia="zh-CN"/>
        </w:rPr>
        <w:t xml:space="preserve">In </w:t>
      </w:r>
      <w:r w:rsidRPr="00E04109">
        <w:rPr>
          <w:rFonts w:ascii="Times New Roman" w:eastAsia="Times New Roman" w:hAnsi="Times New Roman" w:cs="Times New Roman"/>
          <w:i/>
          <w:iCs/>
          <w:color w:val="222222"/>
          <w:sz w:val="24"/>
          <w:szCs w:val="24"/>
          <w:lang w:val="en-GB" w:eastAsia="zh-CN"/>
        </w:rPr>
        <w:t>Economics of Alternative Energy Sources and Globalization, The Road Ahead Meeting, Orlando, FL</w:t>
      </w:r>
      <w:r w:rsidRPr="00E04109">
        <w:rPr>
          <w:rFonts w:ascii="Times New Roman" w:eastAsia="Times New Roman" w:hAnsi="Times New Roman" w:cs="Times New Roman"/>
          <w:color w:val="222222"/>
          <w:sz w:val="24"/>
          <w:szCs w:val="24"/>
          <w:lang w:val="en-GB" w:eastAsia="zh-CN"/>
        </w:rPr>
        <w:t>.</w:t>
      </w:r>
      <w:proofErr w:type="gramEnd"/>
    </w:p>
    <w:p w:rsidR="004C5103" w:rsidRPr="00806715" w:rsidRDefault="004C5103" w:rsidP="00A21562">
      <w:pPr>
        <w:spacing w:after="0" w:line="240" w:lineRule="auto"/>
        <w:jc w:val="both"/>
        <w:rPr>
          <w:rFonts w:ascii="Times New Roman" w:eastAsia="Times New Roman" w:hAnsi="Times New Roman" w:cs="Times New Roman"/>
          <w:color w:val="222222"/>
          <w:sz w:val="24"/>
          <w:szCs w:val="24"/>
          <w:lang w:val="en-GB" w:eastAsia="zh-CN"/>
        </w:rPr>
      </w:pPr>
    </w:p>
    <w:p w:rsidR="00597E8C" w:rsidRPr="00806715" w:rsidRDefault="00597E8C" w:rsidP="00A21562">
      <w:pPr>
        <w:spacing w:after="0" w:line="240" w:lineRule="auto"/>
        <w:jc w:val="both"/>
        <w:rPr>
          <w:rFonts w:ascii="Times New Roman" w:eastAsia="Times New Roman" w:hAnsi="Times New Roman" w:cs="Times New Roman"/>
          <w:color w:val="222222"/>
          <w:sz w:val="24"/>
          <w:szCs w:val="24"/>
          <w:lang w:val="en-GB" w:eastAsia="zh-CN"/>
        </w:rPr>
      </w:pPr>
      <w:r w:rsidRPr="00597E8C">
        <w:rPr>
          <w:rFonts w:ascii="Times New Roman" w:eastAsia="Times New Roman" w:hAnsi="Times New Roman" w:cs="Times New Roman"/>
          <w:color w:val="222222"/>
          <w:sz w:val="24"/>
          <w:szCs w:val="24"/>
          <w:lang w:val="en-GB" w:eastAsia="zh-CN"/>
        </w:rPr>
        <w:t>Hooker, M. A. (2002). Are oil shocks inflationary</w:t>
      </w:r>
      <w:proofErr w:type="gramStart"/>
      <w:r w:rsidRPr="00597E8C">
        <w:rPr>
          <w:rFonts w:ascii="Times New Roman" w:eastAsia="Times New Roman" w:hAnsi="Times New Roman" w:cs="Times New Roman"/>
          <w:color w:val="222222"/>
          <w:sz w:val="24"/>
          <w:szCs w:val="24"/>
          <w:lang w:val="en-GB" w:eastAsia="zh-CN"/>
        </w:rPr>
        <w:t>?:</w:t>
      </w:r>
      <w:proofErr w:type="gramEnd"/>
      <w:r w:rsidRPr="00597E8C">
        <w:rPr>
          <w:rFonts w:ascii="Times New Roman" w:eastAsia="Times New Roman" w:hAnsi="Times New Roman" w:cs="Times New Roman"/>
          <w:color w:val="222222"/>
          <w:sz w:val="24"/>
          <w:szCs w:val="24"/>
          <w:lang w:val="en-GB" w:eastAsia="zh-CN"/>
        </w:rPr>
        <w:t xml:space="preserve"> Asymmetric and nonlinear specifications versus changes in regime. </w:t>
      </w:r>
      <w:r w:rsidRPr="00597E8C">
        <w:rPr>
          <w:rFonts w:ascii="Times New Roman" w:eastAsia="Times New Roman" w:hAnsi="Times New Roman" w:cs="Times New Roman"/>
          <w:i/>
          <w:iCs/>
          <w:color w:val="222222"/>
          <w:sz w:val="24"/>
          <w:szCs w:val="24"/>
          <w:lang w:val="en-GB" w:eastAsia="zh-CN"/>
        </w:rPr>
        <w:t>Journal of Money, Credit, and Banking</w:t>
      </w:r>
      <w:r w:rsidRPr="00597E8C">
        <w:rPr>
          <w:rFonts w:ascii="Times New Roman" w:eastAsia="Times New Roman" w:hAnsi="Times New Roman" w:cs="Times New Roman"/>
          <w:color w:val="222222"/>
          <w:sz w:val="24"/>
          <w:szCs w:val="24"/>
          <w:lang w:val="en-GB" w:eastAsia="zh-CN"/>
        </w:rPr>
        <w:t xml:space="preserve">, </w:t>
      </w:r>
      <w:r w:rsidRPr="00597E8C">
        <w:rPr>
          <w:rFonts w:ascii="Times New Roman" w:eastAsia="Times New Roman" w:hAnsi="Times New Roman" w:cs="Times New Roman"/>
          <w:i/>
          <w:iCs/>
          <w:color w:val="222222"/>
          <w:sz w:val="24"/>
          <w:szCs w:val="24"/>
          <w:lang w:val="en-GB" w:eastAsia="zh-CN"/>
        </w:rPr>
        <w:t>34</w:t>
      </w:r>
      <w:r w:rsidRPr="00597E8C">
        <w:rPr>
          <w:rFonts w:ascii="Times New Roman" w:eastAsia="Times New Roman" w:hAnsi="Times New Roman" w:cs="Times New Roman"/>
          <w:color w:val="222222"/>
          <w:sz w:val="24"/>
          <w:szCs w:val="24"/>
          <w:lang w:val="en-GB" w:eastAsia="zh-CN"/>
        </w:rPr>
        <w:t>(2), 540-561.</w:t>
      </w:r>
    </w:p>
    <w:p w:rsidR="00597E8C" w:rsidRPr="00806715" w:rsidRDefault="00597E8C" w:rsidP="00A21562">
      <w:pPr>
        <w:spacing w:after="0" w:line="240" w:lineRule="auto"/>
        <w:jc w:val="both"/>
        <w:rPr>
          <w:rFonts w:ascii="Times New Roman" w:eastAsia="Times New Roman" w:hAnsi="Times New Roman" w:cs="Times New Roman"/>
          <w:color w:val="222222"/>
          <w:sz w:val="24"/>
          <w:szCs w:val="24"/>
          <w:lang w:val="en-GB" w:eastAsia="zh-CN"/>
        </w:rPr>
      </w:pPr>
    </w:p>
    <w:p w:rsidR="00597E8C" w:rsidRPr="00806715" w:rsidRDefault="00597E8C" w:rsidP="00A21562">
      <w:pPr>
        <w:spacing w:after="0" w:line="240" w:lineRule="auto"/>
        <w:jc w:val="both"/>
        <w:rPr>
          <w:rFonts w:ascii="Times New Roman" w:eastAsia="Times New Roman" w:hAnsi="Times New Roman" w:cs="Times New Roman"/>
          <w:color w:val="222222"/>
          <w:sz w:val="24"/>
          <w:szCs w:val="24"/>
          <w:lang w:val="en-GB" w:eastAsia="zh-CN"/>
        </w:rPr>
      </w:pPr>
      <w:r w:rsidRPr="00597E8C">
        <w:rPr>
          <w:rFonts w:ascii="Times New Roman" w:eastAsia="Times New Roman" w:hAnsi="Times New Roman" w:cs="Times New Roman"/>
          <w:color w:val="222222"/>
          <w:sz w:val="24"/>
          <w:szCs w:val="24"/>
          <w:lang w:val="en-GB" w:eastAsia="zh-CN"/>
        </w:rPr>
        <w:lastRenderedPageBreak/>
        <w:t xml:space="preserve">Hunt, B. (2006). Oil price shocks and the US stagflation of the 1970s: some Insights from GEM. </w:t>
      </w:r>
      <w:r w:rsidRPr="00597E8C">
        <w:rPr>
          <w:rFonts w:ascii="Times New Roman" w:eastAsia="Times New Roman" w:hAnsi="Times New Roman" w:cs="Times New Roman"/>
          <w:i/>
          <w:iCs/>
          <w:color w:val="222222"/>
          <w:sz w:val="24"/>
          <w:szCs w:val="24"/>
          <w:lang w:val="en-GB" w:eastAsia="zh-CN"/>
        </w:rPr>
        <w:t>The Energy Journal</w:t>
      </w:r>
      <w:r w:rsidRPr="00597E8C">
        <w:rPr>
          <w:rFonts w:ascii="Times New Roman" w:eastAsia="Times New Roman" w:hAnsi="Times New Roman" w:cs="Times New Roman"/>
          <w:color w:val="222222"/>
          <w:sz w:val="24"/>
          <w:szCs w:val="24"/>
          <w:lang w:val="en-GB" w:eastAsia="zh-CN"/>
        </w:rPr>
        <w:t>, 61-80.</w:t>
      </w:r>
    </w:p>
    <w:p w:rsidR="00EB5764" w:rsidRPr="00806715" w:rsidRDefault="00EB5764" w:rsidP="00A21562">
      <w:pPr>
        <w:spacing w:after="0" w:line="240" w:lineRule="auto"/>
        <w:jc w:val="both"/>
        <w:rPr>
          <w:rFonts w:ascii="Times New Roman" w:eastAsia="Times New Roman" w:hAnsi="Times New Roman" w:cs="Times New Roman"/>
          <w:color w:val="222222"/>
          <w:sz w:val="24"/>
          <w:szCs w:val="24"/>
          <w:lang w:val="en-GB" w:eastAsia="zh-CN"/>
        </w:rPr>
      </w:pPr>
    </w:p>
    <w:p w:rsidR="00EB5764" w:rsidRDefault="00EB5764" w:rsidP="00A21562">
      <w:pPr>
        <w:spacing w:after="0" w:line="240" w:lineRule="auto"/>
        <w:jc w:val="both"/>
        <w:rPr>
          <w:rFonts w:ascii="Times New Roman" w:eastAsia="Times New Roman" w:hAnsi="Times New Roman" w:cs="Times New Roman"/>
          <w:color w:val="222222"/>
          <w:sz w:val="24"/>
          <w:szCs w:val="24"/>
          <w:lang w:val="en-GB" w:eastAsia="zh-CN"/>
        </w:rPr>
      </w:pPr>
      <w:r w:rsidRPr="00EB5764">
        <w:rPr>
          <w:rFonts w:ascii="Times New Roman" w:eastAsia="Times New Roman" w:hAnsi="Times New Roman" w:cs="Times New Roman"/>
          <w:color w:val="222222"/>
          <w:sz w:val="24"/>
          <w:szCs w:val="24"/>
          <w:lang w:val="en-GB" w:eastAsia="zh-CN"/>
        </w:rPr>
        <w:t xml:space="preserve">Jaffe, J. F. (1989). </w:t>
      </w:r>
      <w:proofErr w:type="gramStart"/>
      <w:r w:rsidRPr="00EB5764">
        <w:rPr>
          <w:rFonts w:ascii="Times New Roman" w:eastAsia="Times New Roman" w:hAnsi="Times New Roman" w:cs="Times New Roman"/>
          <w:color w:val="222222"/>
          <w:sz w:val="24"/>
          <w:szCs w:val="24"/>
          <w:lang w:val="en-GB" w:eastAsia="zh-CN"/>
        </w:rPr>
        <w:t>Gold and gold stocks as investments for institutional portfolios.</w:t>
      </w:r>
      <w:proofErr w:type="gramEnd"/>
      <w:r w:rsidRPr="00EB5764">
        <w:rPr>
          <w:rFonts w:ascii="Times New Roman" w:eastAsia="Times New Roman" w:hAnsi="Times New Roman" w:cs="Times New Roman"/>
          <w:color w:val="222222"/>
          <w:sz w:val="24"/>
          <w:szCs w:val="24"/>
          <w:lang w:val="en-GB" w:eastAsia="zh-CN"/>
        </w:rPr>
        <w:t xml:space="preserve"> </w:t>
      </w:r>
      <w:r w:rsidRPr="00EB5764">
        <w:rPr>
          <w:rFonts w:ascii="Times New Roman" w:eastAsia="Times New Roman" w:hAnsi="Times New Roman" w:cs="Times New Roman"/>
          <w:i/>
          <w:iCs/>
          <w:color w:val="222222"/>
          <w:sz w:val="24"/>
          <w:szCs w:val="24"/>
          <w:lang w:val="en-GB" w:eastAsia="zh-CN"/>
        </w:rPr>
        <w:t>Financial Analysts Journal</w:t>
      </w:r>
      <w:r w:rsidRPr="00EB5764">
        <w:rPr>
          <w:rFonts w:ascii="Times New Roman" w:eastAsia="Times New Roman" w:hAnsi="Times New Roman" w:cs="Times New Roman"/>
          <w:color w:val="222222"/>
          <w:sz w:val="24"/>
          <w:szCs w:val="24"/>
          <w:lang w:val="en-GB" w:eastAsia="zh-CN"/>
        </w:rPr>
        <w:t xml:space="preserve">, </w:t>
      </w:r>
      <w:r w:rsidRPr="00EB5764">
        <w:rPr>
          <w:rFonts w:ascii="Times New Roman" w:eastAsia="Times New Roman" w:hAnsi="Times New Roman" w:cs="Times New Roman"/>
          <w:i/>
          <w:iCs/>
          <w:color w:val="222222"/>
          <w:sz w:val="24"/>
          <w:szCs w:val="24"/>
          <w:lang w:val="en-GB" w:eastAsia="zh-CN"/>
        </w:rPr>
        <w:t>45</w:t>
      </w:r>
      <w:r w:rsidRPr="00EB5764">
        <w:rPr>
          <w:rFonts w:ascii="Times New Roman" w:eastAsia="Times New Roman" w:hAnsi="Times New Roman" w:cs="Times New Roman"/>
          <w:color w:val="222222"/>
          <w:sz w:val="24"/>
          <w:szCs w:val="24"/>
          <w:lang w:val="en-GB" w:eastAsia="zh-CN"/>
        </w:rPr>
        <w:t>(2), 53-59.</w:t>
      </w:r>
    </w:p>
    <w:p w:rsidR="00A36045" w:rsidRDefault="00A36045" w:rsidP="00A21562">
      <w:pPr>
        <w:spacing w:after="0" w:line="240" w:lineRule="auto"/>
        <w:jc w:val="both"/>
        <w:rPr>
          <w:rFonts w:ascii="Times New Roman" w:eastAsia="Times New Roman" w:hAnsi="Times New Roman" w:cs="Times New Roman"/>
          <w:color w:val="222222"/>
          <w:sz w:val="24"/>
          <w:szCs w:val="24"/>
          <w:lang w:val="en-GB" w:eastAsia="zh-CN"/>
        </w:rPr>
      </w:pPr>
    </w:p>
    <w:p w:rsidR="00A36045" w:rsidRPr="00A36045" w:rsidRDefault="00A36045" w:rsidP="00A21562">
      <w:pPr>
        <w:spacing w:after="0" w:line="240" w:lineRule="auto"/>
        <w:jc w:val="both"/>
        <w:rPr>
          <w:rFonts w:ascii="Times New Roman" w:eastAsia="Times New Roman" w:hAnsi="Times New Roman" w:cs="Times New Roman"/>
          <w:color w:val="222222"/>
          <w:sz w:val="24"/>
          <w:szCs w:val="24"/>
          <w:lang w:val="en-GB" w:eastAsia="zh-CN"/>
        </w:rPr>
      </w:pPr>
      <w:r w:rsidRPr="00A36045">
        <w:rPr>
          <w:rFonts w:ascii="Times New Roman" w:hAnsi="Times New Roman" w:cs="Times New Roman"/>
          <w:color w:val="222222"/>
          <w:sz w:val="24"/>
          <w:szCs w:val="24"/>
          <w:shd w:val="clear" w:color="auto" w:fill="FFFFFF"/>
        </w:rPr>
        <w:t xml:space="preserve">Jorion, P. (1995). </w:t>
      </w:r>
      <w:proofErr w:type="gramStart"/>
      <w:r w:rsidRPr="00A36045">
        <w:rPr>
          <w:rFonts w:ascii="Times New Roman" w:hAnsi="Times New Roman" w:cs="Times New Roman"/>
          <w:color w:val="222222"/>
          <w:sz w:val="24"/>
          <w:szCs w:val="24"/>
          <w:shd w:val="clear" w:color="auto" w:fill="FFFFFF"/>
        </w:rPr>
        <w:t>Predicting volatility in the foreign exchange market.</w:t>
      </w:r>
      <w:proofErr w:type="gramEnd"/>
      <w:r w:rsidRPr="00A36045">
        <w:rPr>
          <w:rStyle w:val="apple-converted-space"/>
          <w:rFonts w:ascii="Times New Roman" w:hAnsi="Times New Roman" w:cs="Times New Roman"/>
          <w:color w:val="222222"/>
          <w:sz w:val="24"/>
          <w:szCs w:val="24"/>
          <w:shd w:val="clear" w:color="auto" w:fill="FFFFFF"/>
        </w:rPr>
        <w:t> </w:t>
      </w:r>
      <w:r w:rsidRPr="00A36045">
        <w:rPr>
          <w:rFonts w:ascii="Times New Roman" w:hAnsi="Times New Roman" w:cs="Times New Roman"/>
          <w:i/>
          <w:iCs/>
          <w:color w:val="222222"/>
          <w:sz w:val="24"/>
          <w:szCs w:val="24"/>
          <w:shd w:val="clear" w:color="auto" w:fill="FFFFFF"/>
        </w:rPr>
        <w:t>The Journal of Finance</w:t>
      </w:r>
      <w:r w:rsidRPr="00A36045">
        <w:rPr>
          <w:rFonts w:ascii="Times New Roman" w:hAnsi="Times New Roman" w:cs="Times New Roman"/>
          <w:color w:val="222222"/>
          <w:sz w:val="24"/>
          <w:szCs w:val="24"/>
          <w:shd w:val="clear" w:color="auto" w:fill="FFFFFF"/>
        </w:rPr>
        <w:t>,</w:t>
      </w:r>
      <w:r w:rsidRPr="00A36045">
        <w:rPr>
          <w:rStyle w:val="apple-converted-space"/>
          <w:rFonts w:ascii="Times New Roman" w:hAnsi="Times New Roman" w:cs="Times New Roman"/>
          <w:color w:val="222222"/>
          <w:sz w:val="24"/>
          <w:szCs w:val="24"/>
          <w:shd w:val="clear" w:color="auto" w:fill="FFFFFF"/>
        </w:rPr>
        <w:t> </w:t>
      </w:r>
      <w:r w:rsidRPr="00A36045">
        <w:rPr>
          <w:rFonts w:ascii="Times New Roman" w:hAnsi="Times New Roman" w:cs="Times New Roman"/>
          <w:i/>
          <w:iCs/>
          <w:color w:val="222222"/>
          <w:sz w:val="24"/>
          <w:szCs w:val="24"/>
          <w:shd w:val="clear" w:color="auto" w:fill="FFFFFF"/>
        </w:rPr>
        <w:t>50</w:t>
      </w:r>
      <w:r w:rsidRPr="00A36045">
        <w:rPr>
          <w:rFonts w:ascii="Times New Roman" w:hAnsi="Times New Roman" w:cs="Times New Roman"/>
          <w:color w:val="222222"/>
          <w:sz w:val="24"/>
          <w:szCs w:val="24"/>
          <w:shd w:val="clear" w:color="auto" w:fill="FFFFFF"/>
        </w:rPr>
        <w:t>(2), 507-528.</w:t>
      </w:r>
    </w:p>
    <w:p w:rsidR="003E32EF" w:rsidRPr="00806715" w:rsidRDefault="003E32EF" w:rsidP="00A21562">
      <w:pPr>
        <w:spacing w:after="0" w:line="240" w:lineRule="auto"/>
        <w:jc w:val="both"/>
        <w:rPr>
          <w:rFonts w:ascii="Times New Roman" w:eastAsia="Times New Roman" w:hAnsi="Times New Roman" w:cs="Times New Roman"/>
          <w:color w:val="222222"/>
          <w:sz w:val="24"/>
          <w:szCs w:val="24"/>
          <w:lang w:val="en-GB" w:eastAsia="zh-CN"/>
        </w:rPr>
      </w:pPr>
    </w:p>
    <w:p w:rsidR="003E32EF" w:rsidRPr="003E32EF" w:rsidRDefault="003E32EF" w:rsidP="00A21562">
      <w:pPr>
        <w:spacing w:after="0" w:line="240" w:lineRule="auto"/>
        <w:jc w:val="both"/>
        <w:rPr>
          <w:rFonts w:ascii="Times New Roman" w:eastAsia="Times New Roman" w:hAnsi="Times New Roman" w:cs="Times New Roman"/>
          <w:color w:val="222222"/>
          <w:sz w:val="24"/>
          <w:szCs w:val="24"/>
          <w:lang w:val="en-GB" w:eastAsia="zh-CN"/>
        </w:rPr>
      </w:pPr>
      <w:r w:rsidRPr="003E32EF">
        <w:rPr>
          <w:rFonts w:ascii="Times New Roman" w:eastAsia="Times New Roman" w:hAnsi="Times New Roman" w:cs="Times New Roman"/>
          <w:color w:val="222222"/>
          <w:sz w:val="24"/>
          <w:szCs w:val="24"/>
          <w:lang w:val="en-GB" w:eastAsia="zh-CN"/>
        </w:rPr>
        <w:t>Joy, M. (2011). Gold and the US dollar: Hedge or haven</w:t>
      </w:r>
      <w:proofErr w:type="gramStart"/>
      <w:r w:rsidRPr="003E32EF">
        <w:rPr>
          <w:rFonts w:ascii="Times New Roman" w:eastAsia="Times New Roman" w:hAnsi="Times New Roman" w:cs="Times New Roman"/>
          <w:color w:val="222222"/>
          <w:sz w:val="24"/>
          <w:szCs w:val="24"/>
          <w:lang w:val="en-GB" w:eastAsia="zh-CN"/>
        </w:rPr>
        <w:t>?.</w:t>
      </w:r>
      <w:proofErr w:type="gramEnd"/>
      <w:r w:rsidRPr="003E32EF">
        <w:rPr>
          <w:rFonts w:ascii="Times New Roman" w:eastAsia="Times New Roman" w:hAnsi="Times New Roman" w:cs="Times New Roman"/>
          <w:color w:val="222222"/>
          <w:sz w:val="24"/>
          <w:szCs w:val="24"/>
          <w:lang w:val="en-GB" w:eastAsia="zh-CN"/>
        </w:rPr>
        <w:t xml:space="preserve"> </w:t>
      </w:r>
      <w:r w:rsidRPr="003E32EF">
        <w:rPr>
          <w:rFonts w:ascii="Times New Roman" w:eastAsia="Times New Roman" w:hAnsi="Times New Roman" w:cs="Times New Roman"/>
          <w:i/>
          <w:iCs/>
          <w:color w:val="222222"/>
          <w:sz w:val="24"/>
          <w:szCs w:val="24"/>
          <w:lang w:val="en-GB" w:eastAsia="zh-CN"/>
        </w:rPr>
        <w:t>Finance Research Letters</w:t>
      </w:r>
      <w:r w:rsidRPr="003E32EF">
        <w:rPr>
          <w:rFonts w:ascii="Times New Roman" w:eastAsia="Times New Roman" w:hAnsi="Times New Roman" w:cs="Times New Roman"/>
          <w:color w:val="222222"/>
          <w:sz w:val="24"/>
          <w:szCs w:val="24"/>
          <w:lang w:val="en-GB" w:eastAsia="zh-CN"/>
        </w:rPr>
        <w:t xml:space="preserve">, </w:t>
      </w:r>
      <w:r w:rsidRPr="003E32EF">
        <w:rPr>
          <w:rFonts w:ascii="Times New Roman" w:eastAsia="Times New Roman" w:hAnsi="Times New Roman" w:cs="Times New Roman"/>
          <w:i/>
          <w:iCs/>
          <w:color w:val="222222"/>
          <w:sz w:val="24"/>
          <w:szCs w:val="24"/>
          <w:lang w:val="en-GB" w:eastAsia="zh-CN"/>
        </w:rPr>
        <w:t>8</w:t>
      </w:r>
      <w:r w:rsidRPr="003E32EF">
        <w:rPr>
          <w:rFonts w:ascii="Times New Roman" w:eastAsia="Times New Roman" w:hAnsi="Times New Roman" w:cs="Times New Roman"/>
          <w:color w:val="222222"/>
          <w:sz w:val="24"/>
          <w:szCs w:val="24"/>
          <w:lang w:val="en-GB" w:eastAsia="zh-CN"/>
        </w:rPr>
        <w:t>(3), 120-131.</w:t>
      </w:r>
    </w:p>
    <w:p w:rsidR="00F82103" w:rsidRPr="00806715" w:rsidRDefault="00F82103" w:rsidP="00A21562">
      <w:pPr>
        <w:spacing w:after="0" w:line="240" w:lineRule="auto"/>
        <w:jc w:val="both"/>
        <w:rPr>
          <w:rFonts w:ascii="Times New Roman" w:eastAsia="Times New Roman" w:hAnsi="Times New Roman" w:cs="Times New Roman"/>
          <w:color w:val="222222"/>
          <w:sz w:val="24"/>
          <w:szCs w:val="24"/>
          <w:lang w:val="en-GB" w:eastAsia="zh-CN"/>
        </w:rPr>
      </w:pPr>
    </w:p>
    <w:p w:rsidR="00F82103" w:rsidRDefault="00F82103" w:rsidP="00A21562">
      <w:pPr>
        <w:jc w:val="both"/>
        <w:rPr>
          <w:rFonts w:ascii="Times New Roman" w:hAnsi="Times New Roman" w:cs="Times New Roman"/>
          <w:color w:val="222222"/>
          <w:sz w:val="24"/>
          <w:szCs w:val="24"/>
          <w:lang w:val="en-GB" w:eastAsia="zh-CN"/>
        </w:rPr>
      </w:pPr>
      <w:r w:rsidRPr="00806715">
        <w:rPr>
          <w:rFonts w:ascii="Times New Roman" w:hAnsi="Times New Roman" w:cs="Times New Roman"/>
          <w:color w:val="222222"/>
          <w:sz w:val="24"/>
          <w:szCs w:val="24"/>
          <w:lang w:val="en-GB" w:eastAsia="zh-CN"/>
        </w:rPr>
        <w:t>Kilian, L. (2008). Exogenous oil supply shocks: how big are they and how much do they matter for the US economy</w:t>
      </w:r>
      <w:proofErr w:type="gramStart"/>
      <w:r w:rsidRPr="00806715">
        <w:rPr>
          <w:rFonts w:ascii="Times New Roman" w:hAnsi="Times New Roman" w:cs="Times New Roman"/>
          <w:color w:val="222222"/>
          <w:sz w:val="24"/>
          <w:szCs w:val="24"/>
          <w:lang w:val="en-GB" w:eastAsia="zh-CN"/>
        </w:rPr>
        <w:t>?.</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The Review of Economics and Statistics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90</w:t>
      </w:r>
      <w:r w:rsidRPr="00806715">
        <w:rPr>
          <w:rFonts w:ascii="Times New Roman" w:hAnsi="Times New Roman" w:cs="Times New Roman"/>
          <w:color w:val="222222"/>
          <w:sz w:val="24"/>
          <w:szCs w:val="24"/>
          <w:lang w:val="en-GB" w:eastAsia="zh-CN"/>
        </w:rPr>
        <w:t>(2), 216-240.</w:t>
      </w:r>
    </w:p>
    <w:p w:rsidR="00351427" w:rsidRPr="00806715" w:rsidRDefault="00351427" w:rsidP="00351427">
      <w:pPr>
        <w:jc w:val="both"/>
        <w:rPr>
          <w:rFonts w:ascii="Times New Roman" w:hAnsi="Times New Roman" w:cs="Times New Roman"/>
          <w:color w:val="222222"/>
          <w:sz w:val="24"/>
          <w:szCs w:val="24"/>
          <w:lang w:val="en-GB" w:eastAsia="zh-CN"/>
        </w:rPr>
      </w:pPr>
      <w:proofErr w:type="gramStart"/>
      <w:r w:rsidRPr="00351427">
        <w:rPr>
          <w:rFonts w:ascii="Times New Roman" w:hAnsi="Times New Roman" w:cs="Times New Roman"/>
          <w:color w:val="222222"/>
          <w:sz w:val="24"/>
          <w:szCs w:val="24"/>
          <w:lang w:val="en-GB" w:eastAsia="zh-CN"/>
        </w:rPr>
        <w:t xml:space="preserve">Kanas, </w:t>
      </w:r>
      <w:r>
        <w:rPr>
          <w:rFonts w:ascii="Times New Roman" w:hAnsi="Times New Roman" w:cs="Times New Roman"/>
          <w:color w:val="222222"/>
          <w:sz w:val="24"/>
          <w:szCs w:val="24"/>
          <w:lang w:val="en-GB" w:eastAsia="zh-CN"/>
        </w:rPr>
        <w:t>A. (</w:t>
      </w:r>
      <w:r w:rsidRPr="00351427">
        <w:rPr>
          <w:rFonts w:ascii="Times New Roman" w:hAnsi="Times New Roman" w:cs="Times New Roman"/>
          <w:color w:val="222222"/>
          <w:sz w:val="24"/>
          <w:szCs w:val="24"/>
          <w:lang w:val="en-GB" w:eastAsia="zh-CN"/>
        </w:rPr>
        <w:t>2012</w:t>
      </w:r>
      <w:r>
        <w:rPr>
          <w:rFonts w:ascii="Times New Roman" w:hAnsi="Times New Roman" w:cs="Times New Roman"/>
          <w:color w:val="222222"/>
          <w:sz w:val="24"/>
          <w:szCs w:val="24"/>
          <w:lang w:val="en-GB" w:eastAsia="zh-CN"/>
        </w:rPr>
        <w:t>)</w:t>
      </w:r>
      <w:r w:rsidRPr="00351427">
        <w:rPr>
          <w:rFonts w:ascii="Times New Roman" w:hAnsi="Times New Roman" w:cs="Times New Roman"/>
          <w:color w:val="222222"/>
          <w:sz w:val="24"/>
          <w:szCs w:val="24"/>
          <w:lang w:val="en-GB" w:eastAsia="zh-CN"/>
        </w:rPr>
        <w:t>.</w:t>
      </w:r>
      <w:proofErr w:type="gramEnd"/>
      <w:r w:rsidRPr="00351427">
        <w:rPr>
          <w:rFonts w:ascii="Times New Roman" w:hAnsi="Times New Roman" w:cs="Times New Roman"/>
          <w:color w:val="222222"/>
          <w:sz w:val="24"/>
          <w:szCs w:val="24"/>
          <w:lang w:val="en-GB" w:eastAsia="zh-CN"/>
        </w:rPr>
        <w:t xml:space="preserve"> </w:t>
      </w:r>
      <w:proofErr w:type="gramStart"/>
      <w:r w:rsidRPr="00351427">
        <w:rPr>
          <w:rFonts w:ascii="Times New Roman" w:hAnsi="Times New Roman" w:cs="Times New Roman"/>
          <w:color w:val="222222"/>
          <w:sz w:val="24"/>
          <w:szCs w:val="24"/>
          <w:lang w:val="en-GB" w:eastAsia="zh-CN"/>
        </w:rPr>
        <w:t>Modelling the risk-return relation for the S&amp;P 100: the role of VIX.</w:t>
      </w:r>
      <w:proofErr w:type="gramEnd"/>
      <w:r w:rsidRPr="00351427">
        <w:rPr>
          <w:rFonts w:ascii="Times New Roman" w:hAnsi="Times New Roman" w:cs="Times New Roman"/>
          <w:color w:val="222222"/>
          <w:sz w:val="24"/>
          <w:szCs w:val="24"/>
          <w:lang w:val="en-GB" w:eastAsia="zh-CN"/>
        </w:rPr>
        <w:t xml:space="preserve"> </w:t>
      </w:r>
      <w:r w:rsidRPr="00853F79">
        <w:rPr>
          <w:rFonts w:ascii="Times New Roman" w:hAnsi="Times New Roman" w:cs="Times New Roman"/>
          <w:i/>
          <w:iCs/>
          <w:color w:val="222222"/>
          <w:sz w:val="24"/>
          <w:szCs w:val="24"/>
          <w:lang w:val="en-GB" w:eastAsia="zh-CN"/>
        </w:rPr>
        <w:t>Economic Modelling</w:t>
      </w:r>
      <w:r>
        <w:rPr>
          <w:rFonts w:ascii="Times New Roman" w:hAnsi="Times New Roman" w:cs="Times New Roman"/>
          <w:color w:val="222222"/>
          <w:sz w:val="24"/>
          <w:szCs w:val="24"/>
          <w:lang w:val="en-GB" w:eastAsia="zh-CN"/>
        </w:rPr>
        <w:t xml:space="preserve">, </w:t>
      </w:r>
      <w:r w:rsidRPr="00351427">
        <w:rPr>
          <w:rFonts w:ascii="Times New Roman" w:hAnsi="Times New Roman" w:cs="Times New Roman"/>
          <w:color w:val="222222"/>
          <w:sz w:val="24"/>
          <w:szCs w:val="24"/>
          <w:lang w:val="en-GB" w:eastAsia="zh-CN"/>
        </w:rPr>
        <w:t>29, 795–809.</w:t>
      </w:r>
    </w:p>
    <w:p w:rsidR="00C849BA" w:rsidRPr="00806715" w:rsidRDefault="00C849BA" w:rsidP="00A21562">
      <w:pPr>
        <w:jc w:val="both"/>
        <w:rPr>
          <w:rFonts w:ascii="Times New Roman" w:hAnsi="Times New Roman" w:cs="Times New Roman"/>
          <w:color w:val="222222"/>
          <w:sz w:val="24"/>
          <w:szCs w:val="24"/>
        </w:rPr>
      </w:pPr>
      <w:proofErr w:type="spellStart"/>
      <w:r w:rsidRPr="00806715">
        <w:rPr>
          <w:rFonts w:ascii="Times New Roman" w:hAnsi="Times New Roman" w:cs="Times New Roman"/>
          <w:color w:val="222222"/>
          <w:sz w:val="24"/>
          <w:szCs w:val="24"/>
        </w:rPr>
        <w:t>Klößner</w:t>
      </w:r>
      <w:proofErr w:type="spellEnd"/>
      <w:r w:rsidRPr="00806715">
        <w:rPr>
          <w:rFonts w:ascii="Times New Roman" w:hAnsi="Times New Roman" w:cs="Times New Roman"/>
          <w:color w:val="222222"/>
          <w:sz w:val="24"/>
          <w:szCs w:val="24"/>
        </w:rPr>
        <w:t xml:space="preserve">, S., &amp; Wagner, S. (2014). Exploring all VAR orderings for calculating spillovers? </w:t>
      </w:r>
      <w:proofErr w:type="gramStart"/>
      <w:r w:rsidRPr="00806715">
        <w:rPr>
          <w:rFonts w:ascii="Times New Roman" w:hAnsi="Times New Roman" w:cs="Times New Roman"/>
          <w:color w:val="222222"/>
          <w:sz w:val="24"/>
          <w:szCs w:val="24"/>
        </w:rPr>
        <w:t>yes</w:t>
      </w:r>
      <w:proofErr w:type="gramEnd"/>
      <w:r w:rsidRPr="00806715">
        <w:rPr>
          <w:rFonts w:ascii="Times New Roman" w:hAnsi="Times New Roman" w:cs="Times New Roman"/>
          <w:color w:val="222222"/>
          <w:sz w:val="24"/>
          <w:szCs w:val="24"/>
        </w:rPr>
        <w:t xml:space="preserve">, we can!—a note on Diebold and Yilmaz (2009). </w:t>
      </w:r>
      <w:r w:rsidRPr="00806715">
        <w:rPr>
          <w:rFonts w:ascii="Times New Roman" w:hAnsi="Times New Roman" w:cs="Times New Roman"/>
          <w:i/>
          <w:iCs/>
          <w:color w:val="222222"/>
          <w:sz w:val="24"/>
          <w:szCs w:val="24"/>
        </w:rPr>
        <w:t>Journal of Applied Econometrics</w:t>
      </w:r>
      <w:r w:rsidRPr="00806715">
        <w:rPr>
          <w:rFonts w:ascii="Times New Roman" w:hAnsi="Times New Roman" w:cs="Times New Roman"/>
          <w:color w:val="222222"/>
          <w:sz w:val="24"/>
          <w:szCs w:val="24"/>
        </w:rPr>
        <w:t xml:space="preserve">, </w:t>
      </w:r>
      <w:r w:rsidRPr="00806715">
        <w:rPr>
          <w:rFonts w:ascii="Times New Roman" w:hAnsi="Times New Roman" w:cs="Times New Roman"/>
          <w:i/>
          <w:iCs/>
          <w:color w:val="222222"/>
          <w:sz w:val="24"/>
          <w:szCs w:val="24"/>
        </w:rPr>
        <w:t>29</w:t>
      </w:r>
      <w:r w:rsidRPr="00806715">
        <w:rPr>
          <w:rFonts w:ascii="Times New Roman" w:hAnsi="Times New Roman" w:cs="Times New Roman"/>
          <w:color w:val="222222"/>
          <w:sz w:val="24"/>
          <w:szCs w:val="24"/>
        </w:rPr>
        <w:t>(1), 172-179.</w:t>
      </w:r>
    </w:p>
    <w:p w:rsidR="00245D1F" w:rsidRPr="00806715" w:rsidRDefault="00245D1F" w:rsidP="00A21562">
      <w:pPr>
        <w:jc w:val="both"/>
        <w:rPr>
          <w:rFonts w:ascii="Times New Roman" w:hAnsi="Times New Roman" w:cs="Times New Roman"/>
          <w:color w:val="222222"/>
          <w:sz w:val="24"/>
          <w:szCs w:val="24"/>
          <w:lang w:val="en-GB" w:eastAsia="zh-CN"/>
        </w:rPr>
      </w:pPr>
      <w:proofErr w:type="spellStart"/>
      <w:proofErr w:type="gramStart"/>
      <w:r w:rsidRPr="00806715">
        <w:rPr>
          <w:rFonts w:ascii="Times New Roman" w:hAnsi="Times New Roman" w:cs="Times New Roman"/>
          <w:color w:val="222222"/>
          <w:sz w:val="24"/>
          <w:szCs w:val="24"/>
          <w:lang w:val="en-GB" w:eastAsia="zh-CN"/>
        </w:rPr>
        <w:t>Kodres</w:t>
      </w:r>
      <w:proofErr w:type="spellEnd"/>
      <w:r w:rsidRPr="00806715">
        <w:rPr>
          <w:rFonts w:ascii="Times New Roman" w:hAnsi="Times New Roman" w:cs="Times New Roman"/>
          <w:color w:val="222222"/>
          <w:sz w:val="24"/>
          <w:szCs w:val="24"/>
          <w:lang w:val="en-GB" w:eastAsia="zh-CN"/>
        </w:rPr>
        <w:t xml:space="preserve">, L. E., &amp; </w:t>
      </w:r>
      <w:proofErr w:type="spellStart"/>
      <w:r w:rsidRPr="00806715">
        <w:rPr>
          <w:rFonts w:ascii="Times New Roman" w:hAnsi="Times New Roman" w:cs="Times New Roman"/>
          <w:color w:val="222222"/>
          <w:sz w:val="24"/>
          <w:szCs w:val="24"/>
          <w:lang w:val="en-GB" w:eastAsia="zh-CN"/>
        </w:rPr>
        <w:t>Pritsker</w:t>
      </w:r>
      <w:proofErr w:type="spellEnd"/>
      <w:r w:rsidRPr="00806715">
        <w:rPr>
          <w:rFonts w:ascii="Times New Roman" w:hAnsi="Times New Roman" w:cs="Times New Roman"/>
          <w:color w:val="222222"/>
          <w:sz w:val="24"/>
          <w:szCs w:val="24"/>
          <w:lang w:val="en-GB" w:eastAsia="zh-CN"/>
        </w:rPr>
        <w:t>, M. (2002).</w:t>
      </w:r>
      <w:proofErr w:type="gramEnd"/>
      <w:r w:rsidRPr="00806715">
        <w:rPr>
          <w:rFonts w:ascii="Times New Roman" w:hAnsi="Times New Roman" w:cs="Times New Roman"/>
          <w:color w:val="222222"/>
          <w:sz w:val="24"/>
          <w:szCs w:val="24"/>
          <w:lang w:val="en-GB" w:eastAsia="zh-CN"/>
        </w:rPr>
        <w:t xml:space="preserve"> </w:t>
      </w:r>
      <w:proofErr w:type="gramStart"/>
      <w:r w:rsidRPr="00806715">
        <w:rPr>
          <w:rFonts w:ascii="Times New Roman" w:hAnsi="Times New Roman" w:cs="Times New Roman"/>
          <w:color w:val="222222"/>
          <w:sz w:val="24"/>
          <w:szCs w:val="24"/>
          <w:lang w:val="en-GB" w:eastAsia="zh-CN"/>
        </w:rPr>
        <w:t>A rational expectations model of financial contagion.</w:t>
      </w:r>
      <w:proofErr w:type="gramEnd"/>
      <w:r w:rsidRPr="00806715">
        <w:rPr>
          <w:rFonts w:ascii="Times New Roman" w:hAnsi="Times New Roman" w:cs="Times New Roman"/>
          <w:color w:val="222222"/>
          <w:sz w:val="24"/>
          <w:szCs w:val="24"/>
          <w:lang w:val="en-GB" w:eastAsia="zh-CN"/>
        </w:rPr>
        <w:t xml:space="preserve"> </w:t>
      </w:r>
      <w:proofErr w:type="gramStart"/>
      <w:r w:rsidRPr="00806715">
        <w:rPr>
          <w:rFonts w:ascii="Times New Roman" w:hAnsi="Times New Roman" w:cs="Times New Roman"/>
          <w:i/>
          <w:iCs/>
          <w:color w:val="222222"/>
          <w:sz w:val="24"/>
          <w:szCs w:val="24"/>
          <w:lang w:val="en-GB" w:eastAsia="zh-CN"/>
        </w:rPr>
        <w:t>The journal of finance</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57</w:t>
      </w:r>
      <w:r w:rsidRPr="00806715">
        <w:rPr>
          <w:rFonts w:ascii="Times New Roman" w:hAnsi="Times New Roman" w:cs="Times New Roman"/>
          <w:color w:val="222222"/>
          <w:sz w:val="24"/>
          <w:szCs w:val="24"/>
          <w:lang w:val="en-GB" w:eastAsia="zh-CN"/>
        </w:rPr>
        <w:t>(2), 769-799.</w:t>
      </w:r>
      <w:proofErr w:type="gramEnd"/>
    </w:p>
    <w:p w:rsidR="00C849BA" w:rsidRPr="00806715" w:rsidRDefault="00C849BA" w:rsidP="00A21562">
      <w:pPr>
        <w:pStyle w:val="NormalWeb"/>
        <w:spacing w:before="0" w:beforeAutospacing="0" w:after="0" w:afterAutospacing="0"/>
        <w:ind w:left="851" w:hanging="851"/>
        <w:jc w:val="both"/>
        <w:rPr>
          <w:noProof/>
        </w:rPr>
      </w:pPr>
      <w:r w:rsidRPr="00806715">
        <w:rPr>
          <w:noProof/>
        </w:rPr>
        <w:t xml:space="preserve">Koop, G., Pesaran, M.H. and Potter, S.M. (1996). Impulse response analysis in nonlinear </w:t>
      </w:r>
    </w:p>
    <w:p w:rsidR="00C849BA" w:rsidRPr="00806715" w:rsidRDefault="00C849BA" w:rsidP="00A21562">
      <w:pPr>
        <w:pStyle w:val="NormalWeb"/>
        <w:spacing w:before="0" w:beforeAutospacing="0" w:after="0" w:afterAutospacing="0"/>
        <w:ind w:left="851" w:hanging="851"/>
        <w:jc w:val="both"/>
        <w:rPr>
          <w:noProof/>
        </w:rPr>
      </w:pPr>
      <w:r w:rsidRPr="00806715">
        <w:rPr>
          <w:noProof/>
        </w:rPr>
        <w:t xml:space="preserve">multivariate models. </w:t>
      </w:r>
      <w:r w:rsidRPr="00806715">
        <w:rPr>
          <w:i/>
          <w:iCs/>
          <w:noProof/>
        </w:rPr>
        <w:t>Journal of Econometrics</w:t>
      </w:r>
      <w:r w:rsidRPr="00806715">
        <w:rPr>
          <w:noProof/>
        </w:rPr>
        <w:t>, 74, 119-147.</w:t>
      </w:r>
    </w:p>
    <w:p w:rsidR="00C849BA" w:rsidRPr="00806715" w:rsidRDefault="00C849BA" w:rsidP="00A21562">
      <w:pPr>
        <w:spacing w:after="0" w:line="240" w:lineRule="auto"/>
        <w:jc w:val="both"/>
        <w:rPr>
          <w:rFonts w:ascii="Times New Roman" w:eastAsia="Times New Roman" w:hAnsi="Times New Roman" w:cs="Times New Roman"/>
          <w:color w:val="222222"/>
          <w:sz w:val="24"/>
          <w:szCs w:val="24"/>
          <w:lang w:val="en-GB" w:eastAsia="zh-CN"/>
        </w:rPr>
      </w:pPr>
    </w:p>
    <w:p w:rsidR="003E2078" w:rsidRDefault="00245D1F" w:rsidP="007847A5">
      <w:pPr>
        <w:spacing w:after="0" w:line="240" w:lineRule="auto"/>
        <w:jc w:val="both"/>
        <w:rPr>
          <w:rFonts w:ascii="Times New Roman" w:eastAsia="Times New Roman" w:hAnsi="Times New Roman" w:cs="Times New Roman"/>
          <w:color w:val="222222"/>
          <w:sz w:val="24"/>
          <w:szCs w:val="24"/>
          <w:lang w:val="en-GB" w:eastAsia="zh-CN"/>
        </w:rPr>
      </w:pPr>
      <w:proofErr w:type="gramStart"/>
      <w:r w:rsidRPr="00245D1F">
        <w:rPr>
          <w:rFonts w:ascii="Times New Roman" w:eastAsia="Times New Roman" w:hAnsi="Times New Roman" w:cs="Times New Roman"/>
          <w:color w:val="222222"/>
          <w:sz w:val="24"/>
          <w:szCs w:val="24"/>
          <w:lang w:val="en-GB" w:eastAsia="zh-CN"/>
        </w:rPr>
        <w:t xml:space="preserve">Kyle, A. S., &amp; </w:t>
      </w:r>
      <w:proofErr w:type="spellStart"/>
      <w:r w:rsidRPr="00245D1F">
        <w:rPr>
          <w:rFonts w:ascii="Times New Roman" w:eastAsia="Times New Roman" w:hAnsi="Times New Roman" w:cs="Times New Roman"/>
          <w:color w:val="222222"/>
          <w:sz w:val="24"/>
          <w:szCs w:val="24"/>
          <w:lang w:val="en-GB" w:eastAsia="zh-CN"/>
        </w:rPr>
        <w:t>Xiong</w:t>
      </w:r>
      <w:proofErr w:type="spellEnd"/>
      <w:r w:rsidRPr="00245D1F">
        <w:rPr>
          <w:rFonts w:ascii="Times New Roman" w:eastAsia="Times New Roman" w:hAnsi="Times New Roman" w:cs="Times New Roman"/>
          <w:color w:val="222222"/>
          <w:sz w:val="24"/>
          <w:szCs w:val="24"/>
          <w:lang w:val="en-GB" w:eastAsia="zh-CN"/>
        </w:rPr>
        <w:t>, W. (2001).</w:t>
      </w:r>
      <w:proofErr w:type="gramEnd"/>
      <w:r w:rsidRPr="00245D1F">
        <w:rPr>
          <w:rFonts w:ascii="Times New Roman" w:eastAsia="Times New Roman" w:hAnsi="Times New Roman" w:cs="Times New Roman"/>
          <w:color w:val="222222"/>
          <w:sz w:val="24"/>
          <w:szCs w:val="24"/>
          <w:lang w:val="en-GB" w:eastAsia="zh-CN"/>
        </w:rPr>
        <w:t xml:space="preserve"> </w:t>
      </w:r>
      <w:proofErr w:type="gramStart"/>
      <w:r w:rsidRPr="00245D1F">
        <w:rPr>
          <w:rFonts w:ascii="Times New Roman" w:eastAsia="Times New Roman" w:hAnsi="Times New Roman" w:cs="Times New Roman"/>
          <w:color w:val="222222"/>
          <w:sz w:val="24"/>
          <w:szCs w:val="24"/>
          <w:lang w:val="en-GB" w:eastAsia="zh-CN"/>
        </w:rPr>
        <w:t>Contagion as a wealth effect.</w:t>
      </w:r>
      <w:proofErr w:type="gramEnd"/>
      <w:r w:rsidRPr="00245D1F">
        <w:rPr>
          <w:rFonts w:ascii="Times New Roman" w:eastAsia="Times New Roman" w:hAnsi="Times New Roman" w:cs="Times New Roman"/>
          <w:color w:val="222222"/>
          <w:sz w:val="24"/>
          <w:szCs w:val="24"/>
          <w:lang w:val="en-GB" w:eastAsia="zh-CN"/>
        </w:rPr>
        <w:t xml:space="preserve"> </w:t>
      </w:r>
      <w:r w:rsidRPr="00245D1F">
        <w:rPr>
          <w:rFonts w:ascii="Times New Roman" w:eastAsia="Times New Roman" w:hAnsi="Times New Roman" w:cs="Times New Roman"/>
          <w:i/>
          <w:iCs/>
          <w:color w:val="222222"/>
          <w:sz w:val="24"/>
          <w:szCs w:val="24"/>
          <w:lang w:val="en-GB" w:eastAsia="zh-CN"/>
        </w:rPr>
        <w:t>The Journal of Finance</w:t>
      </w:r>
      <w:r w:rsidRPr="00245D1F">
        <w:rPr>
          <w:rFonts w:ascii="Times New Roman" w:eastAsia="Times New Roman" w:hAnsi="Times New Roman" w:cs="Times New Roman"/>
          <w:color w:val="222222"/>
          <w:sz w:val="24"/>
          <w:szCs w:val="24"/>
          <w:lang w:val="en-GB" w:eastAsia="zh-CN"/>
        </w:rPr>
        <w:t xml:space="preserve">, </w:t>
      </w:r>
      <w:r w:rsidRPr="00245D1F">
        <w:rPr>
          <w:rFonts w:ascii="Times New Roman" w:eastAsia="Times New Roman" w:hAnsi="Times New Roman" w:cs="Times New Roman"/>
          <w:i/>
          <w:iCs/>
          <w:color w:val="222222"/>
          <w:sz w:val="24"/>
          <w:szCs w:val="24"/>
          <w:lang w:val="en-GB" w:eastAsia="zh-CN"/>
        </w:rPr>
        <w:t>56</w:t>
      </w:r>
      <w:r w:rsidRPr="00245D1F">
        <w:rPr>
          <w:rFonts w:ascii="Times New Roman" w:eastAsia="Times New Roman" w:hAnsi="Times New Roman" w:cs="Times New Roman"/>
          <w:color w:val="222222"/>
          <w:sz w:val="24"/>
          <w:szCs w:val="24"/>
          <w:lang w:val="en-GB" w:eastAsia="zh-CN"/>
        </w:rPr>
        <w:t>(4), 1401-1440.</w:t>
      </w:r>
    </w:p>
    <w:p w:rsidR="007847A5" w:rsidRPr="007847A5" w:rsidRDefault="007847A5" w:rsidP="007847A5">
      <w:pPr>
        <w:spacing w:after="0" w:line="240" w:lineRule="auto"/>
        <w:jc w:val="both"/>
        <w:rPr>
          <w:rFonts w:ascii="Times New Roman" w:eastAsia="Times New Roman" w:hAnsi="Times New Roman" w:cs="Times New Roman"/>
          <w:color w:val="222222"/>
          <w:sz w:val="24"/>
          <w:szCs w:val="24"/>
          <w:lang w:val="en-GB" w:eastAsia="zh-CN"/>
        </w:rPr>
      </w:pPr>
    </w:p>
    <w:p w:rsidR="00B85846" w:rsidRPr="00B85846" w:rsidRDefault="00B85846" w:rsidP="00B85846">
      <w:pPr>
        <w:jc w:val="both"/>
        <w:rPr>
          <w:rFonts w:ascii="Times New Roman" w:eastAsia="Times New Roman" w:hAnsi="Times New Roman" w:cs="Times New Roman"/>
          <w:color w:val="222222"/>
          <w:sz w:val="24"/>
          <w:szCs w:val="24"/>
          <w:lang w:val="en-GB" w:eastAsia="zh-CN"/>
        </w:rPr>
      </w:pPr>
      <w:proofErr w:type="spellStart"/>
      <w:r w:rsidRPr="00B85846">
        <w:rPr>
          <w:rFonts w:ascii="Times New Roman" w:eastAsia="Times New Roman" w:hAnsi="Times New Roman" w:cs="Times New Roman"/>
          <w:color w:val="222222"/>
          <w:sz w:val="24"/>
          <w:szCs w:val="24"/>
          <w:lang w:val="en-GB" w:eastAsia="zh-CN"/>
        </w:rPr>
        <w:t>Maghyereh</w:t>
      </w:r>
      <w:proofErr w:type="spellEnd"/>
      <w:r w:rsidRPr="00B85846">
        <w:rPr>
          <w:rFonts w:ascii="Times New Roman" w:eastAsia="Times New Roman" w:hAnsi="Times New Roman" w:cs="Times New Roman"/>
          <w:color w:val="222222"/>
          <w:sz w:val="24"/>
          <w:szCs w:val="24"/>
          <w:lang w:val="en-GB" w:eastAsia="zh-CN"/>
        </w:rPr>
        <w:t>, A. (2004). Oil Price Shocks and Emerging Stock Markets: A Generalized VAR Approach. International Journal of Applied Econometrics and Quantitative Studies, 1(2), 27-40.</w:t>
      </w:r>
    </w:p>
    <w:p w:rsidR="00B85846" w:rsidRPr="00B85846" w:rsidRDefault="00B85846" w:rsidP="00B85846">
      <w:pPr>
        <w:jc w:val="both"/>
        <w:rPr>
          <w:rFonts w:ascii="Times New Roman" w:eastAsia="Times New Roman" w:hAnsi="Times New Roman" w:cs="Times New Roman"/>
          <w:color w:val="222222"/>
          <w:sz w:val="24"/>
          <w:szCs w:val="24"/>
          <w:lang w:val="en-GB" w:eastAsia="zh-CN"/>
        </w:rPr>
      </w:pPr>
      <w:proofErr w:type="spellStart"/>
      <w:proofErr w:type="gramStart"/>
      <w:r w:rsidRPr="00B85846">
        <w:rPr>
          <w:rFonts w:ascii="Times New Roman" w:eastAsia="Times New Roman" w:hAnsi="Times New Roman" w:cs="Times New Roman"/>
          <w:color w:val="222222"/>
          <w:sz w:val="24"/>
          <w:szCs w:val="24"/>
          <w:lang w:val="en-GB" w:eastAsia="zh-CN"/>
        </w:rPr>
        <w:t>Maghyereh</w:t>
      </w:r>
      <w:proofErr w:type="spellEnd"/>
      <w:r w:rsidRPr="00B85846">
        <w:rPr>
          <w:rFonts w:ascii="Times New Roman" w:eastAsia="Times New Roman" w:hAnsi="Times New Roman" w:cs="Times New Roman"/>
          <w:color w:val="222222"/>
          <w:sz w:val="24"/>
          <w:szCs w:val="24"/>
          <w:lang w:val="en-GB" w:eastAsia="zh-CN"/>
        </w:rPr>
        <w:t>, A. &amp; Al-</w:t>
      </w:r>
      <w:proofErr w:type="spellStart"/>
      <w:r w:rsidRPr="00B85846">
        <w:rPr>
          <w:rFonts w:ascii="Times New Roman" w:eastAsia="Times New Roman" w:hAnsi="Times New Roman" w:cs="Times New Roman"/>
          <w:color w:val="222222"/>
          <w:sz w:val="24"/>
          <w:szCs w:val="24"/>
          <w:lang w:val="en-GB" w:eastAsia="zh-CN"/>
        </w:rPr>
        <w:t>Kandari</w:t>
      </w:r>
      <w:proofErr w:type="spellEnd"/>
      <w:r w:rsidRPr="00B85846">
        <w:rPr>
          <w:rFonts w:ascii="Times New Roman" w:eastAsia="Times New Roman" w:hAnsi="Times New Roman" w:cs="Times New Roman"/>
          <w:color w:val="222222"/>
          <w:sz w:val="24"/>
          <w:szCs w:val="24"/>
          <w:lang w:val="en-GB" w:eastAsia="zh-CN"/>
        </w:rPr>
        <w:t>, A. (2007).</w:t>
      </w:r>
      <w:proofErr w:type="gramEnd"/>
      <w:r w:rsidRPr="00B85846">
        <w:rPr>
          <w:rFonts w:ascii="Times New Roman" w:eastAsia="Times New Roman" w:hAnsi="Times New Roman" w:cs="Times New Roman"/>
          <w:color w:val="222222"/>
          <w:sz w:val="24"/>
          <w:szCs w:val="24"/>
          <w:lang w:val="en-GB" w:eastAsia="zh-CN"/>
        </w:rPr>
        <w:t xml:space="preserve"> Oil Prices and Stock Markets in GCC Countries: New Evidence from Nonlinear </w:t>
      </w:r>
      <w:proofErr w:type="spellStart"/>
      <w:r w:rsidRPr="00B85846">
        <w:rPr>
          <w:rFonts w:ascii="Times New Roman" w:eastAsia="Times New Roman" w:hAnsi="Times New Roman" w:cs="Times New Roman"/>
          <w:color w:val="222222"/>
          <w:sz w:val="24"/>
          <w:szCs w:val="24"/>
          <w:lang w:val="en-GB" w:eastAsia="zh-CN"/>
        </w:rPr>
        <w:t>Cointegration</w:t>
      </w:r>
      <w:proofErr w:type="spellEnd"/>
      <w:r w:rsidRPr="00B85846">
        <w:rPr>
          <w:rFonts w:ascii="Times New Roman" w:eastAsia="Times New Roman" w:hAnsi="Times New Roman" w:cs="Times New Roman"/>
          <w:color w:val="222222"/>
          <w:sz w:val="24"/>
          <w:szCs w:val="24"/>
          <w:lang w:val="en-GB" w:eastAsia="zh-CN"/>
        </w:rPr>
        <w:t xml:space="preserve"> Analysis. Managerial Finance, 33 (7), 449-460.</w:t>
      </w:r>
    </w:p>
    <w:p w:rsidR="00B85846" w:rsidRPr="00B85846" w:rsidRDefault="00B85846" w:rsidP="00B85846">
      <w:pPr>
        <w:jc w:val="both"/>
        <w:rPr>
          <w:rFonts w:ascii="Times New Roman" w:eastAsia="Times New Roman" w:hAnsi="Times New Roman" w:cs="Times New Roman"/>
          <w:color w:val="222222"/>
          <w:sz w:val="24"/>
          <w:szCs w:val="24"/>
          <w:lang w:val="en-GB" w:eastAsia="zh-CN"/>
        </w:rPr>
      </w:pPr>
      <w:proofErr w:type="spellStart"/>
      <w:proofErr w:type="gramStart"/>
      <w:r w:rsidRPr="00B85846">
        <w:rPr>
          <w:rFonts w:ascii="Times New Roman" w:eastAsia="Times New Roman" w:hAnsi="Times New Roman" w:cs="Times New Roman"/>
          <w:color w:val="222222"/>
          <w:sz w:val="24"/>
          <w:szCs w:val="24"/>
          <w:lang w:val="en-GB" w:eastAsia="zh-CN"/>
        </w:rPr>
        <w:t>Maghyereh</w:t>
      </w:r>
      <w:proofErr w:type="spellEnd"/>
      <w:r w:rsidRPr="00B85846">
        <w:rPr>
          <w:rFonts w:ascii="Times New Roman" w:eastAsia="Times New Roman" w:hAnsi="Times New Roman" w:cs="Times New Roman"/>
          <w:color w:val="222222"/>
          <w:sz w:val="24"/>
          <w:szCs w:val="24"/>
          <w:lang w:val="en-GB" w:eastAsia="zh-CN"/>
        </w:rPr>
        <w:t>, A. &amp; Awartani, B. (2015).</w:t>
      </w:r>
      <w:proofErr w:type="gramEnd"/>
      <w:r w:rsidRPr="00B85846">
        <w:rPr>
          <w:rFonts w:ascii="Times New Roman" w:eastAsia="Times New Roman" w:hAnsi="Times New Roman" w:cs="Times New Roman"/>
          <w:color w:val="222222"/>
          <w:sz w:val="24"/>
          <w:szCs w:val="24"/>
          <w:lang w:val="en-GB" w:eastAsia="zh-CN"/>
        </w:rPr>
        <w:t xml:space="preserve"> Oil price uncertainty and equity returns: Evidence from oil importing and exporting countries in the MENA region. </w:t>
      </w:r>
      <w:proofErr w:type="gramStart"/>
      <w:r w:rsidRPr="00B85846">
        <w:rPr>
          <w:rFonts w:ascii="Times New Roman" w:eastAsia="Times New Roman" w:hAnsi="Times New Roman" w:cs="Times New Roman"/>
          <w:color w:val="222222"/>
          <w:sz w:val="24"/>
          <w:szCs w:val="24"/>
          <w:lang w:val="en-GB" w:eastAsia="zh-CN"/>
        </w:rPr>
        <w:t>Journal of Financial Economic Policy.</w:t>
      </w:r>
      <w:proofErr w:type="gramEnd"/>
      <w:r w:rsidRPr="00B85846">
        <w:rPr>
          <w:rFonts w:ascii="Times New Roman" w:eastAsia="Times New Roman" w:hAnsi="Times New Roman" w:cs="Times New Roman"/>
          <w:color w:val="222222"/>
          <w:sz w:val="24"/>
          <w:szCs w:val="24"/>
          <w:lang w:val="en-GB" w:eastAsia="zh-CN"/>
        </w:rPr>
        <w:t xml:space="preserve"> </w:t>
      </w:r>
      <w:proofErr w:type="gramStart"/>
      <w:r w:rsidRPr="00B85846">
        <w:rPr>
          <w:rFonts w:ascii="Times New Roman" w:eastAsia="Times New Roman" w:hAnsi="Times New Roman" w:cs="Times New Roman"/>
          <w:color w:val="222222"/>
          <w:sz w:val="24"/>
          <w:szCs w:val="24"/>
          <w:lang w:val="en-GB" w:eastAsia="zh-CN"/>
        </w:rPr>
        <w:t>Forthcoming</w:t>
      </w:r>
      <w:r>
        <w:rPr>
          <w:rFonts w:ascii="Times New Roman" w:eastAsia="Times New Roman" w:hAnsi="Times New Roman" w:cs="Times New Roman"/>
          <w:color w:val="222222"/>
          <w:sz w:val="24"/>
          <w:szCs w:val="24"/>
          <w:lang w:val="en-GB" w:eastAsia="zh-CN"/>
        </w:rPr>
        <w:t>.</w:t>
      </w:r>
      <w:proofErr w:type="gramEnd"/>
    </w:p>
    <w:p w:rsidR="003E2078" w:rsidRPr="00B85846" w:rsidRDefault="00B85846" w:rsidP="00B85846">
      <w:pPr>
        <w:jc w:val="both"/>
        <w:rPr>
          <w:rFonts w:ascii="Times New Roman" w:eastAsia="Times New Roman" w:hAnsi="Times New Roman" w:cs="Times New Roman"/>
          <w:color w:val="222222"/>
          <w:sz w:val="24"/>
          <w:szCs w:val="24"/>
          <w:lang w:val="en-GB" w:eastAsia="zh-CN"/>
        </w:rPr>
      </w:pPr>
      <w:proofErr w:type="spellStart"/>
      <w:r w:rsidRPr="00B85846">
        <w:rPr>
          <w:rFonts w:ascii="Times New Roman" w:eastAsia="Times New Roman" w:hAnsi="Times New Roman" w:cs="Times New Roman"/>
          <w:color w:val="222222"/>
          <w:sz w:val="24"/>
          <w:szCs w:val="24"/>
          <w:lang w:val="en-GB" w:eastAsia="zh-CN"/>
        </w:rPr>
        <w:t>Maghyereh</w:t>
      </w:r>
      <w:proofErr w:type="spellEnd"/>
      <w:r w:rsidRPr="00B85846">
        <w:rPr>
          <w:rFonts w:ascii="Times New Roman" w:eastAsia="Times New Roman" w:hAnsi="Times New Roman" w:cs="Times New Roman"/>
          <w:color w:val="222222"/>
          <w:sz w:val="24"/>
          <w:szCs w:val="24"/>
          <w:lang w:val="en-GB" w:eastAsia="zh-CN"/>
        </w:rPr>
        <w:t>, A</w:t>
      </w:r>
      <w:proofErr w:type="gramStart"/>
      <w:r w:rsidRPr="00B85846">
        <w:rPr>
          <w:rFonts w:ascii="Times New Roman" w:eastAsia="Times New Roman" w:hAnsi="Times New Roman" w:cs="Times New Roman"/>
          <w:color w:val="222222"/>
          <w:sz w:val="24"/>
          <w:szCs w:val="24"/>
          <w:lang w:val="en-GB" w:eastAsia="zh-CN"/>
        </w:rPr>
        <w:t>. ,</w:t>
      </w:r>
      <w:proofErr w:type="gramEnd"/>
      <w:r w:rsidRPr="00B85846">
        <w:rPr>
          <w:rFonts w:ascii="Times New Roman" w:eastAsia="Times New Roman" w:hAnsi="Times New Roman" w:cs="Times New Roman"/>
          <w:color w:val="222222"/>
          <w:sz w:val="24"/>
          <w:szCs w:val="24"/>
          <w:lang w:val="en-GB" w:eastAsia="zh-CN"/>
        </w:rPr>
        <w:t xml:space="preserve"> Awartani, B., &amp; Al </w:t>
      </w:r>
      <w:proofErr w:type="spellStart"/>
      <w:r w:rsidRPr="00B85846">
        <w:rPr>
          <w:rFonts w:ascii="Times New Roman" w:eastAsia="Times New Roman" w:hAnsi="Times New Roman" w:cs="Times New Roman"/>
          <w:color w:val="222222"/>
          <w:sz w:val="24"/>
          <w:szCs w:val="24"/>
          <w:lang w:val="en-GB" w:eastAsia="zh-CN"/>
        </w:rPr>
        <w:t>Hilu</w:t>
      </w:r>
      <w:proofErr w:type="spellEnd"/>
      <w:r w:rsidRPr="00B85846">
        <w:rPr>
          <w:rFonts w:ascii="Times New Roman" w:eastAsia="Times New Roman" w:hAnsi="Times New Roman" w:cs="Times New Roman"/>
          <w:color w:val="222222"/>
          <w:sz w:val="24"/>
          <w:szCs w:val="24"/>
          <w:lang w:val="en-GB" w:eastAsia="zh-CN"/>
        </w:rPr>
        <w:t xml:space="preserve">, K. (2015). Dynamic transmissions between the US and equity markets in the MENA countries: New evidence from pre-and post-global financial crisis. </w:t>
      </w:r>
      <w:r w:rsidRPr="00B85846">
        <w:rPr>
          <w:rFonts w:ascii="Times New Roman" w:eastAsia="Times New Roman" w:hAnsi="Times New Roman" w:cs="Times New Roman"/>
          <w:i/>
          <w:iCs/>
          <w:color w:val="222222"/>
          <w:sz w:val="24"/>
          <w:szCs w:val="24"/>
          <w:lang w:val="en-GB" w:eastAsia="zh-CN"/>
        </w:rPr>
        <w:t>The Quarterly Review of Economics and Finance</w:t>
      </w:r>
      <w:r w:rsidRPr="00B85846">
        <w:rPr>
          <w:rFonts w:ascii="Times New Roman" w:eastAsia="Times New Roman" w:hAnsi="Times New Roman" w:cs="Times New Roman"/>
          <w:color w:val="222222"/>
          <w:sz w:val="24"/>
          <w:szCs w:val="24"/>
          <w:lang w:val="en-GB" w:eastAsia="zh-CN"/>
        </w:rPr>
        <w:t xml:space="preserve">, </w:t>
      </w:r>
      <w:r w:rsidRPr="00B85846">
        <w:rPr>
          <w:rFonts w:ascii="Times New Roman" w:eastAsia="Times New Roman" w:hAnsi="Times New Roman" w:cs="Times New Roman"/>
          <w:i/>
          <w:iCs/>
          <w:color w:val="222222"/>
          <w:sz w:val="24"/>
          <w:szCs w:val="24"/>
          <w:lang w:val="en-GB" w:eastAsia="zh-CN"/>
        </w:rPr>
        <w:t>56</w:t>
      </w:r>
      <w:r w:rsidRPr="00B85846">
        <w:rPr>
          <w:rFonts w:ascii="Times New Roman" w:eastAsia="Times New Roman" w:hAnsi="Times New Roman" w:cs="Times New Roman"/>
          <w:color w:val="222222"/>
          <w:sz w:val="24"/>
          <w:szCs w:val="24"/>
          <w:lang w:val="en-GB" w:eastAsia="zh-CN"/>
        </w:rPr>
        <w:t>, 123-138.</w:t>
      </w:r>
    </w:p>
    <w:p w:rsidR="00F04FC3" w:rsidRPr="00806715" w:rsidRDefault="00F04FC3" w:rsidP="00A21562">
      <w:pPr>
        <w:jc w:val="both"/>
        <w:rPr>
          <w:rFonts w:ascii="Times New Roman" w:hAnsi="Times New Roman" w:cs="Times New Roman"/>
          <w:color w:val="222222"/>
          <w:sz w:val="24"/>
          <w:szCs w:val="24"/>
          <w:lang w:val="en-GB" w:eastAsia="zh-CN"/>
        </w:rPr>
      </w:pPr>
      <w:r w:rsidRPr="00ED5675">
        <w:rPr>
          <w:rFonts w:ascii="Times New Roman" w:hAnsi="Times New Roman" w:cs="Times New Roman"/>
          <w:color w:val="222222"/>
          <w:sz w:val="24"/>
          <w:szCs w:val="24"/>
          <w:lang w:val="de-DE" w:eastAsia="zh-CN"/>
        </w:rPr>
        <w:t xml:space="preserve">Malik, F., &amp; Ewing, B. T. (2009). </w:t>
      </w:r>
      <w:proofErr w:type="gramStart"/>
      <w:r w:rsidRPr="00806715">
        <w:rPr>
          <w:rFonts w:ascii="Times New Roman" w:hAnsi="Times New Roman" w:cs="Times New Roman"/>
          <w:color w:val="222222"/>
          <w:sz w:val="24"/>
          <w:szCs w:val="24"/>
          <w:lang w:val="en-GB" w:eastAsia="zh-CN"/>
        </w:rPr>
        <w:t>Volatility transmission between oil prices and equity sector returns.</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International Review of Financial Analysis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18</w:t>
      </w:r>
      <w:r w:rsidRPr="00806715">
        <w:rPr>
          <w:rFonts w:ascii="Times New Roman" w:hAnsi="Times New Roman" w:cs="Times New Roman"/>
          <w:color w:val="222222"/>
          <w:sz w:val="24"/>
          <w:szCs w:val="24"/>
          <w:lang w:val="en-GB" w:eastAsia="zh-CN"/>
        </w:rPr>
        <w:t>(3), 95-100.</w:t>
      </w:r>
    </w:p>
    <w:p w:rsidR="00F04FC3" w:rsidRPr="00806715" w:rsidRDefault="00F04FC3" w:rsidP="00A21562">
      <w:pPr>
        <w:jc w:val="both"/>
        <w:rPr>
          <w:rFonts w:ascii="Times New Roman" w:hAnsi="Times New Roman" w:cs="Times New Roman"/>
          <w:color w:val="222222"/>
          <w:sz w:val="24"/>
          <w:szCs w:val="24"/>
          <w:lang w:val="en-GB" w:eastAsia="zh-CN"/>
        </w:rPr>
      </w:pPr>
      <w:proofErr w:type="gramStart"/>
      <w:r w:rsidRPr="00806715">
        <w:rPr>
          <w:rFonts w:ascii="Times New Roman" w:hAnsi="Times New Roman" w:cs="Times New Roman"/>
          <w:color w:val="222222"/>
          <w:sz w:val="24"/>
          <w:szCs w:val="24"/>
          <w:lang w:val="en-GB" w:eastAsia="zh-CN"/>
        </w:rPr>
        <w:lastRenderedPageBreak/>
        <w:t xml:space="preserve">Malik, F., &amp; </w:t>
      </w:r>
      <w:proofErr w:type="spellStart"/>
      <w:r w:rsidRPr="00806715">
        <w:rPr>
          <w:rFonts w:ascii="Times New Roman" w:hAnsi="Times New Roman" w:cs="Times New Roman"/>
          <w:color w:val="222222"/>
          <w:sz w:val="24"/>
          <w:szCs w:val="24"/>
          <w:lang w:val="en-GB" w:eastAsia="zh-CN"/>
        </w:rPr>
        <w:t>Hammoudeh</w:t>
      </w:r>
      <w:proofErr w:type="spellEnd"/>
      <w:r w:rsidRPr="00806715">
        <w:rPr>
          <w:rFonts w:ascii="Times New Roman" w:hAnsi="Times New Roman" w:cs="Times New Roman"/>
          <w:color w:val="222222"/>
          <w:sz w:val="24"/>
          <w:szCs w:val="24"/>
          <w:lang w:val="en-GB" w:eastAsia="zh-CN"/>
        </w:rPr>
        <w:t>, S. (2007).</w:t>
      </w:r>
      <w:proofErr w:type="gramEnd"/>
      <w:r w:rsidRPr="00806715">
        <w:rPr>
          <w:rFonts w:ascii="Times New Roman" w:hAnsi="Times New Roman" w:cs="Times New Roman"/>
          <w:color w:val="222222"/>
          <w:sz w:val="24"/>
          <w:szCs w:val="24"/>
          <w:lang w:val="en-GB" w:eastAsia="zh-CN"/>
        </w:rPr>
        <w:t xml:space="preserve"> </w:t>
      </w:r>
      <w:proofErr w:type="gramStart"/>
      <w:r w:rsidRPr="00806715">
        <w:rPr>
          <w:rFonts w:ascii="Times New Roman" w:hAnsi="Times New Roman" w:cs="Times New Roman"/>
          <w:color w:val="222222"/>
          <w:sz w:val="24"/>
          <w:szCs w:val="24"/>
          <w:lang w:val="en-GB" w:eastAsia="zh-CN"/>
        </w:rPr>
        <w:t>Shock and volatility transmission in the oil, US and Gulf equity markets.</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International Review of Economics &amp; Finance</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16</w:t>
      </w:r>
      <w:r w:rsidRPr="00806715">
        <w:rPr>
          <w:rFonts w:ascii="Times New Roman" w:hAnsi="Times New Roman" w:cs="Times New Roman"/>
          <w:color w:val="222222"/>
          <w:sz w:val="24"/>
          <w:szCs w:val="24"/>
          <w:lang w:val="en-GB" w:eastAsia="zh-CN"/>
        </w:rPr>
        <w:t>(3), 357-368.</w:t>
      </w:r>
    </w:p>
    <w:p w:rsidR="003E2078" w:rsidRPr="00806715" w:rsidRDefault="003E2078" w:rsidP="00A21562">
      <w:pPr>
        <w:autoSpaceDE w:val="0"/>
        <w:autoSpaceDN w:val="0"/>
        <w:adjustRightInd w:val="0"/>
        <w:spacing w:line="240" w:lineRule="auto"/>
        <w:jc w:val="both"/>
        <w:rPr>
          <w:rFonts w:ascii="Times New Roman" w:hAnsi="Times New Roman" w:cs="Times New Roman"/>
          <w:sz w:val="24"/>
          <w:szCs w:val="24"/>
          <w:lang w:val="en-GB"/>
        </w:rPr>
      </w:pPr>
      <w:r w:rsidRPr="00806715">
        <w:rPr>
          <w:rFonts w:ascii="Times New Roman" w:hAnsi="Times New Roman" w:cs="Times New Roman"/>
          <w:sz w:val="24"/>
          <w:szCs w:val="24"/>
          <w:lang w:val="en-GB"/>
        </w:rPr>
        <w:t xml:space="preserve">McMillan, D. G., Speight, A. E. (2010). </w:t>
      </w:r>
      <w:proofErr w:type="gramStart"/>
      <w:r w:rsidRPr="00806715">
        <w:rPr>
          <w:rFonts w:ascii="Times New Roman" w:hAnsi="Times New Roman" w:cs="Times New Roman"/>
          <w:sz w:val="24"/>
          <w:szCs w:val="24"/>
          <w:lang w:val="en-GB"/>
        </w:rPr>
        <w:t>Return and volatility Spillovers in Three Euro Exchange rates.</w:t>
      </w:r>
      <w:proofErr w:type="gramEnd"/>
      <w:r w:rsidRPr="00806715">
        <w:rPr>
          <w:rFonts w:ascii="Times New Roman" w:hAnsi="Times New Roman" w:cs="Times New Roman"/>
          <w:sz w:val="24"/>
          <w:szCs w:val="24"/>
          <w:lang w:val="en-GB"/>
        </w:rPr>
        <w:t xml:space="preserve"> </w:t>
      </w:r>
      <w:r w:rsidRPr="00806715">
        <w:rPr>
          <w:rFonts w:ascii="Times New Roman" w:hAnsi="Times New Roman" w:cs="Times New Roman"/>
          <w:i/>
          <w:iCs/>
          <w:sz w:val="24"/>
          <w:szCs w:val="24"/>
          <w:lang w:val="en-GB"/>
        </w:rPr>
        <w:t>Journal of Economics and Business</w:t>
      </w:r>
      <w:r w:rsidRPr="00806715">
        <w:rPr>
          <w:rFonts w:ascii="Times New Roman" w:hAnsi="Times New Roman" w:cs="Times New Roman"/>
          <w:sz w:val="24"/>
          <w:szCs w:val="24"/>
          <w:lang w:val="en-GB"/>
        </w:rPr>
        <w:t xml:space="preserve"> 62 (2), 79-93</w:t>
      </w:r>
    </w:p>
    <w:p w:rsidR="00597E8C" w:rsidRPr="00597E8C" w:rsidRDefault="00597E8C" w:rsidP="00A21562">
      <w:pPr>
        <w:spacing w:after="0" w:line="240" w:lineRule="auto"/>
        <w:jc w:val="both"/>
        <w:rPr>
          <w:rFonts w:ascii="Times New Roman" w:eastAsia="Times New Roman" w:hAnsi="Times New Roman" w:cs="Times New Roman"/>
          <w:color w:val="222222"/>
          <w:sz w:val="24"/>
          <w:szCs w:val="24"/>
          <w:lang w:val="en-GB" w:eastAsia="zh-CN"/>
        </w:rPr>
      </w:pPr>
      <w:proofErr w:type="gramStart"/>
      <w:r w:rsidRPr="00597E8C">
        <w:rPr>
          <w:rFonts w:ascii="Times New Roman" w:eastAsia="Times New Roman" w:hAnsi="Times New Roman" w:cs="Times New Roman"/>
          <w:color w:val="222222"/>
          <w:sz w:val="24"/>
          <w:szCs w:val="24"/>
          <w:lang w:val="en-GB" w:eastAsia="zh-CN"/>
        </w:rPr>
        <w:t>Melvin, M., &amp; Sultan, J. (1990).</w:t>
      </w:r>
      <w:proofErr w:type="gramEnd"/>
      <w:r w:rsidRPr="00597E8C">
        <w:rPr>
          <w:rFonts w:ascii="Times New Roman" w:eastAsia="Times New Roman" w:hAnsi="Times New Roman" w:cs="Times New Roman"/>
          <w:color w:val="222222"/>
          <w:sz w:val="24"/>
          <w:szCs w:val="24"/>
          <w:lang w:val="en-GB" w:eastAsia="zh-CN"/>
        </w:rPr>
        <w:t xml:space="preserve"> </w:t>
      </w:r>
      <w:proofErr w:type="gramStart"/>
      <w:r w:rsidRPr="00597E8C">
        <w:rPr>
          <w:rFonts w:ascii="Times New Roman" w:eastAsia="Times New Roman" w:hAnsi="Times New Roman" w:cs="Times New Roman"/>
          <w:color w:val="222222"/>
          <w:sz w:val="24"/>
          <w:szCs w:val="24"/>
          <w:lang w:val="en-GB" w:eastAsia="zh-CN"/>
        </w:rPr>
        <w:t>South African political unrest, oil prices, and the time varying risk premium in the gold futures market.</w:t>
      </w:r>
      <w:proofErr w:type="gramEnd"/>
      <w:r w:rsidRPr="00597E8C">
        <w:rPr>
          <w:rFonts w:ascii="Times New Roman" w:eastAsia="Times New Roman" w:hAnsi="Times New Roman" w:cs="Times New Roman"/>
          <w:color w:val="222222"/>
          <w:sz w:val="24"/>
          <w:szCs w:val="24"/>
          <w:lang w:val="en-GB" w:eastAsia="zh-CN"/>
        </w:rPr>
        <w:t xml:space="preserve"> </w:t>
      </w:r>
      <w:r w:rsidRPr="00597E8C">
        <w:rPr>
          <w:rFonts w:ascii="Times New Roman" w:eastAsia="Times New Roman" w:hAnsi="Times New Roman" w:cs="Times New Roman"/>
          <w:i/>
          <w:iCs/>
          <w:color w:val="222222"/>
          <w:sz w:val="24"/>
          <w:szCs w:val="24"/>
          <w:lang w:val="en-GB" w:eastAsia="zh-CN"/>
        </w:rPr>
        <w:t>Journal of Futures Markets</w:t>
      </w:r>
      <w:r w:rsidRPr="00597E8C">
        <w:rPr>
          <w:rFonts w:ascii="Times New Roman" w:eastAsia="Times New Roman" w:hAnsi="Times New Roman" w:cs="Times New Roman"/>
          <w:color w:val="222222"/>
          <w:sz w:val="24"/>
          <w:szCs w:val="24"/>
          <w:lang w:val="en-GB" w:eastAsia="zh-CN"/>
        </w:rPr>
        <w:t xml:space="preserve">, </w:t>
      </w:r>
      <w:r w:rsidRPr="00597E8C">
        <w:rPr>
          <w:rFonts w:ascii="Times New Roman" w:eastAsia="Times New Roman" w:hAnsi="Times New Roman" w:cs="Times New Roman"/>
          <w:i/>
          <w:iCs/>
          <w:color w:val="222222"/>
          <w:sz w:val="24"/>
          <w:szCs w:val="24"/>
          <w:lang w:val="en-GB" w:eastAsia="zh-CN"/>
        </w:rPr>
        <w:t>10</w:t>
      </w:r>
      <w:r w:rsidRPr="00597E8C">
        <w:rPr>
          <w:rFonts w:ascii="Times New Roman" w:eastAsia="Times New Roman" w:hAnsi="Times New Roman" w:cs="Times New Roman"/>
          <w:color w:val="222222"/>
          <w:sz w:val="24"/>
          <w:szCs w:val="24"/>
          <w:lang w:val="en-GB" w:eastAsia="zh-CN"/>
        </w:rPr>
        <w:t>(2), 103-111.</w:t>
      </w:r>
    </w:p>
    <w:p w:rsidR="00597E8C" w:rsidRPr="00806715" w:rsidRDefault="00597E8C" w:rsidP="00A21562">
      <w:pPr>
        <w:spacing w:after="0" w:line="240" w:lineRule="auto"/>
        <w:jc w:val="both"/>
        <w:rPr>
          <w:rFonts w:ascii="Times New Roman" w:eastAsia="Times New Roman" w:hAnsi="Times New Roman" w:cs="Times New Roman"/>
          <w:color w:val="222222"/>
          <w:sz w:val="24"/>
          <w:szCs w:val="24"/>
          <w:lang w:val="en-GB" w:eastAsia="zh-CN"/>
        </w:rPr>
      </w:pPr>
    </w:p>
    <w:p w:rsidR="004C5103" w:rsidRPr="00806715" w:rsidRDefault="004C5103" w:rsidP="00A21562">
      <w:pPr>
        <w:spacing w:after="0" w:line="240" w:lineRule="auto"/>
        <w:jc w:val="both"/>
        <w:rPr>
          <w:rFonts w:ascii="Times New Roman" w:eastAsia="Times New Roman" w:hAnsi="Times New Roman" w:cs="Times New Roman"/>
          <w:color w:val="222222"/>
          <w:sz w:val="24"/>
          <w:szCs w:val="24"/>
          <w:lang w:val="en-GB" w:eastAsia="zh-CN"/>
        </w:rPr>
      </w:pPr>
      <w:r w:rsidRPr="00806715">
        <w:rPr>
          <w:rFonts w:ascii="Times New Roman" w:eastAsia="Times New Roman" w:hAnsi="Times New Roman" w:cs="Times New Roman"/>
          <w:color w:val="222222"/>
          <w:sz w:val="24"/>
          <w:szCs w:val="24"/>
          <w:lang w:val="en-GB" w:eastAsia="zh-CN"/>
        </w:rPr>
        <w:t xml:space="preserve">Mitchell, D. (2008). </w:t>
      </w:r>
      <w:proofErr w:type="gramStart"/>
      <w:r w:rsidRPr="00806715">
        <w:rPr>
          <w:rFonts w:ascii="Times New Roman" w:eastAsia="Times New Roman" w:hAnsi="Times New Roman" w:cs="Times New Roman"/>
          <w:color w:val="222222"/>
          <w:sz w:val="24"/>
          <w:szCs w:val="24"/>
          <w:lang w:val="en-GB" w:eastAsia="zh-CN"/>
        </w:rPr>
        <w:t>A note on rising food prices.</w:t>
      </w:r>
      <w:proofErr w:type="gramEnd"/>
      <w:r w:rsidRPr="00806715">
        <w:rPr>
          <w:rFonts w:ascii="Times New Roman" w:eastAsia="Times New Roman" w:hAnsi="Times New Roman" w:cs="Times New Roman"/>
          <w:color w:val="222222"/>
          <w:sz w:val="24"/>
          <w:szCs w:val="24"/>
          <w:lang w:val="en-GB" w:eastAsia="zh-CN"/>
        </w:rPr>
        <w:t xml:space="preserve"> </w:t>
      </w:r>
      <w:r w:rsidRPr="00806715">
        <w:rPr>
          <w:rFonts w:ascii="Times New Roman" w:eastAsia="Times New Roman" w:hAnsi="Times New Roman" w:cs="Times New Roman"/>
          <w:i/>
          <w:iCs/>
          <w:color w:val="222222"/>
          <w:sz w:val="24"/>
          <w:szCs w:val="24"/>
          <w:lang w:val="en-GB" w:eastAsia="zh-CN"/>
        </w:rPr>
        <w:t>World Bank Policy Research Working Paper Series, Vol</w:t>
      </w:r>
      <w:r w:rsidRPr="00806715">
        <w:rPr>
          <w:rFonts w:ascii="Times New Roman" w:eastAsia="Times New Roman" w:hAnsi="Times New Roman" w:cs="Times New Roman"/>
          <w:color w:val="222222"/>
          <w:sz w:val="24"/>
          <w:szCs w:val="24"/>
          <w:lang w:val="en-GB" w:eastAsia="zh-CN"/>
        </w:rPr>
        <w:t>.</w:t>
      </w:r>
    </w:p>
    <w:p w:rsidR="00F82103" w:rsidRPr="00806715" w:rsidRDefault="00F82103" w:rsidP="00A21562">
      <w:pPr>
        <w:spacing w:after="0" w:line="240" w:lineRule="auto"/>
        <w:jc w:val="both"/>
        <w:rPr>
          <w:rFonts w:ascii="Times New Roman" w:eastAsia="Times New Roman" w:hAnsi="Times New Roman" w:cs="Times New Roman"/>
          <w:color w:val="222222"/>
          <w:sz w:val="24"/>
          <w:szCs w:val="24"/>
          <w:lang w:val="en-GB" w:eastAsia="zh-CN"/>
        </w:rPr>
      </w:pPr>
    </w:p>
    <w:p w:rsidR="005E1F8A" w:rsidRPr="00806715" w:rsidRDefault="005E1F8A" w:rsidP="00A21562">
      <w:pPr>
        <w:jc w:val="both"/>
        <w:rPr>
          <w:rFonts w:ascii="Times New Roman" w:hAnsi="Times New Roman" w:cs="Times New Roman"/>
          <w:color w:val="222222"/>
          <w:sz w:val="24"/>
          <w:szCs w:val="24"/>
          <w:lang w:val="en-GB" w:eastAsia="zh-CN"/>
        </w:rPr>
      </w:pPr>
      <w:proofErr w:type="spellStart"/>
      <w:proofErr w:type="gramStart"/>
      <w:r w:rsidRPr="00806715">
        <w:rPr>
          <w:rFonts w:ascii="Times New Roman" w:hAnsi="Times New Roman" w:cs="Times New Roman"/>
          <w:color w:val="222222"/>
          <w:sz w:val="24"/>
          <w:szCs w:val="24"/>
          <w:lang w:val="en-GB" w:eastAsia="zh-CN"/>
        </w:rPr>
        <w:t>Mollick</w:t>
      </w:r>
      <w:proofErr w:type="spellEnd"/>
      <w:r w:rsidRPr="00806715">
        <w:rPr>
          <w:rFonts w:ascii="Times New Roman" w:hAnsi="Times New Roman" w:cs="Times New Roman"/>
          <w:color w:val="222222"/>
          <w:sz w:val="24"/>
          <w:szCs w:val="24"/>
          <w:lang w:val="en-GB" w:eastAsia="zh-CN"/>
        </w:rPr>
        <w:t xml:space="preserve">, A. V., &amp; </w:t>
      </w:r>
      <w:proofErr w:type="spellStart"/>
      <w:r w:rsidRPr="00806715">
        <w:rPr>
          <w:rFonts w:ascii="Times New Roman" w:hAnsi="Times New Roman" w:cs="Times New Roman"/>
          <w:color w:val="222222"/>
          <w:sz w:val="24"/>
          <w:szCs w:val="24"/>
          <w:lang w:val="en-GB" w:eastAsia="zh-CN"/>
        </w:rPr>
        <w:t>Assefa</w:t>
      </w:r>
      <w:proofErr w:type="spellEnd"/>
      <w:r w:rsidRPr="00806715">
        <w:rPr>
          <w:rFonts w:ascii="Times New Roman" w:hAnsi="Times New Roman" w:cs="Times New Roman"/>
          <w:color w:val="222222"/>
          <w:sz w:val="24"/>
          <w:szCs w:val="24"/>
          <w:lang w:val="en-GB" w:eastAsia="zh-CN"/>
        </w:rPr>
        <w:t>, T. A. (2013).</w:t>
      </w:r>
      <w:proofErr w:type="gramEnd"/>
      <w:r w:rsidRPr="00806715">
        <w:rPr>
          <w:rFonts w:ascii="Times New Roman" w:hAnsi="Times New Roman" w:cs="Times New Roman"/>
          <w:color w:val="222222"/>
          <w:sz w:val="24"/>
          <w:szCs w:val="24"/>
          <w:lang w:val="en-GB" w:eastAsia="zh-CN"/>
        </w:rPr>
        <w:t xml:space="preserve"> US stock returns and oil prices: The tale from daily data and the 2008–2009 financial </w:t>
      </w:r>
      <w:proofErr w:type="gramStart"/>
      <w:r w:rsidRPr="00806715">
        <w:rPr>
          <w:rFonts w:ascii="Times New Roman" w:hAnsi="Times New Roman" w:cs="Times New Roman"/>
          <w:color w:val="222222"/>
          <w:sz w:val="24"/>
          <w:szCs w:val="24"/>
          <w:lang w:val="en-GB" w:eastAsia="zh-CN"/>
        </w:rPr>
        <w:t>crisis</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Energy 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36</w:t>
      </w:r>
      <w:r w:rsidRPr="00806715">
        <w:rPr>
          <w:rFonts w:ascii="Times New Roman" w:hAnsi="Times New Roman" w:cs="Times New Roman"/>
          <w:color w:val="222222"/>
          <w:sz w:val="24"/>
          <w:szCs w:val="24"/>
          <w:lang w:val="en-GB" w:eastAsia="zh-CN"/>
        </w:rPr>
        <w:t>, 1-18.</w:t>
      </w:r>
    </w:p>
    <w:p w:rsidR="00F82103" w:rsidRPr="00806715" w:rsidRDefault="00F82103" w:rsidP="00A21562">
      <w:pPr>
        <w:jc w:val="both"/>
        <w:rPr>
          <w:rFonts w:ascii="Times New Roman" w:hAnsi="Times New Roman" w:cs="Times New Roman"/>
          <w:color w:val="222222"/>
          <w:sz w:val="24"/>
          <w:szCs w:val="24"/>
          <w:lang w:val="en-GB" w:eastAsia="zh-CN"/>
        </w:rPr>
      </w:pPr>
      <w:proofErr w:type="spellStart"/>
      <w:proofErr w:type="gramStart"/>
      <w:r w:rsidRPr="00806715">
        <w:rPr>
          <w:rFonts w:ascii="Times New Roman" w:hAnsi="Times New Roman" w:cs="Times New Roman"/>
          <w:color w:val="222222"/>
          <w:sz w:val="24"/>
          <w:szCs w:val="24"/>
          <w:lang w:val="en-GB" w:eastAsia="zh-CN"/>
        </w:rPr>
        <w:t>Nandha</w:t>
      </w:r>
      <w:proofErr w:type="spellEnd"/>
      <w:r w:rsidRPr="00806715">
        <w:rPr>
          <w:rFonts w:ascii="Times New Roman" w:hAnsi="Times New Roman" w:cs="Times New Roman"/>
          <w:color w:val="222222"/>
          <w:sz w:val="24"/>
          <w:szCs w:val="24"/>
          <w:lang w:val="en-GB" w:eastAsia="zh-CN"/>
        </w:rPr>
        <w:t>, M., &amp; Faff, R. (2008).</w:t>
      </w:r>
      <w:proofErr w:type="gramEnd"/>
      <w:r w:rsidRPr="00806715">
        <w:rPr>
          <w:rFonts w:ascii="Times New Roman" w:hAnsi="Times New Roman" w:cs="Times New Roman"/>
          <w:color w:val="222222"/>
          <w:sz w:val="24"/>
          <w:szCs w:val="24"/>
          <w:lang w:val="en-GB" w:eastAsia="zh-CN"/>
        </w:rPr>
        <w:t xml:space="preserve"> Does oil move equity prices? </w:t>
      </w:r>
      <w:proofErr w:type="gramStart"/>
      <w:r w:rsidRPr="00806715">
        <w:rPr>
          <w:rFonts w:ascii="Times New Roman" w:hAnsi="Times New Roman" w:cs="Times New Roman"/>
          <w:color w:val="222222"/>
          <w:sz w:val="24"/>
          <w:szCs w:val="24"/>
          <w:lang w:val="en-GB" w:eastAsia="zh-CN"/>
        </w:rPr>
        <w:t>A global view.</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Energy 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30</w:t>
      </w:r>
      <w:r w:rsidRPr="00806715">
        <w:rPr>
          <w:rFonts w:ascii="Times New Roman" w:hAnsi="Times New Roman" w:cs="Times New Roman"/>
          <w:color w:val="222222"/>
          <w:sz w:val="24"/>
          <w:szCs w:val="24"/>
          <w:lang w:val="en-GB" w:eastAsia="zh-CN"/>
        </w:rPr>
        <w:t>(3), 986-997.</w:t>
      </w:r>
    </w:p>
    <w:p w:rsidR="003E32EF" w:rsidRPr="00806715" w:rsidRDefault="003E32EF"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r w:rsidRPr="003E32EF">
        <w:rPr>
          <w:rFonts w:ascii="Times New Roman" w:eastAsia="Times New Roman" w:hAnsi="Times New Roman" w:cs="Times New Roman"/>
          <w:color w:val="222222"/>
          <w:sz w:val="24"/>
          <w:szCs w:val="24"/>
          <w:lang w:val="en-GB" w:eastAsia="zh-CN"/>
        </w:rPr>
        <w:t>Palaskas</w:t>
      </w:r>
      <w:proofErr w:type="spellEnd"/>
      <w:r w:rsidRPr="003E32EF">
        <w:rPr>
          <w:rFonts w:ascii="Times New Roman" w:eastAsia="Times New Roman" w:hAnsi="Times New Roman" w:cs="Times New Roman"/>
          <w:color w:val="222222"/>
          <w:sz w:val="24"/>
          <w:szCs w:val="24"/>
          <w:lang w:val="en-GB" w:eastAsia="zh-CN"/>
        </w:rPr>
        <w:t xml:space="preserve">, T. B. (1993). Commodity prices: implications of the co-movement and excess co-movement. </w:t>
      </w:r>
      <w:r w:rsidRPr="003E32EF">
        <w:rPr>
          <w:rFonts w:ascii="Times New Roman" w:eastAsia="Times New Roman" w:hAnsi="Times New Roman" w:cs="Times New Roman"/>
          <w:i/>
          <w:iCs/>
          <w:color w:val="222222"/>
          <w:sz w:val="24"/>
          <w:szCs w:val="24"/>
          <w:lang w:val="en-GB" w:eastAsia="zh-CN"/>
        </w:rPr>
        <w:t xml:space="preserve">Economic Crisis in Developing Countries: New Perspectives on Commodities, Trade and Finance, edited by M. </w:t>
      </w:r>
      <w:proofErr w:type="spellStart"/>
      <w:r w:rsidRPr="003E32EF">
        <w:rPr>
          <w:rFonts w:ascii="Times New Roman" w:eastAsia="Times New Roman" w:hAnsi="Times New Roman" w:cs="Times New Roman"/>
          <w:i/>
          <w:iCs/>
          <w:color w:val="222222"/>
          <w:sz w:val="24"/>
          <w:szCs w:val="24"/>
          <w:lang w:val="en-GB" w:eastAsia="zh-CN"/>
        </w:rPr>
        <w:t>Nissake</w:t>
      </w:r>
      <w:proofErr w:type="spellEnd"/>
      <w:r w:rsidRPr="003E32EF">
        <w:rPr>
          <w:rFonts w:ascii="Times New Roman" w:eastAsia="Times New Roman" w:hAnsi="Times New Roman" w:cs="Times New Roman"/>
          <w:i/>
          <w:iCs/>
          <w:color w:val="222222"/>
          <w:sz w:val="24"/>
          <w:szCs w:val="24"/>
          <w:lang w:val="en-GB" w:eastAsia="zh-CN"/>
        </w:rPr>
        <w:t>, and A. Hewitt. New York: printer</w:t>
      </w:r>
      <w:r w:rsidRPr="003E32EF">
        <w:rPr>
          <w:rFonts w:ascii="Times New Roman" w:eastAsia="Times New Roman" w:hAnsi="Times New Roman" w:cs="Times New Roman"/>
          <w:color w:val="222222"/>
          <w:sz w:val="24"/>
          <w:szCs w:val="24"/>
          <w:lang w:val="en-GB" w:eastAsia="zh-CN"/>
        </w:rPr>
        <w:t>, 89-103.</w:t>
      </w:r>
    </w:p>
    <w:p w:rsidR="003E32EF" w:rsidRPr="008A6808" w:rsidRDefault="003E32EF" w:rsidP="00A21562">
      <w:pPr>
        <w:spacing w:after="0" w:line="240" w:lineRule="auto"/>
        <w:jc w:val="both"/>
        <w:rPr>
          <w:rFonts w:ascii="Times New Roman" w:eastAsia="Times New Roman" w:hAnsi="Times New Roman" w:cs="Times New Roman"/>
          <w:color w:val="222222"/>
          <w:sz w:val="24"/>
          <w:szCs w:val="24"/>
          <w:lang w:val="en-GB" w:eastAsia="zh-CN"/>
        </w:rPr>
      </w:pPr>
    </w:p>
    <w:p w:rsidR="003E32EF" w:rsidRDefault="003E32EF" w:rsidP="00FB5BEB">
      <w:pPr>
        <w:spacing w:after="0" w:line="240" w:lineRule="auto"/>
        <w:jc w:val="both"/>
        <w:rPr>
          <w:rFonts w:ascii="Times New Roman" w:eastAsia="Times New Roman" w:hAnsi="Times New Roman" w:cs="Times New Roman"/>
          <w:color w:val="222222"/>
          <w:sz w:val="24"/>
          <w:szCs w:val="24"/>
          <w:lang w:val="en-GB" w:eastAsia="zh-CN"/>
        </w:rPr>
      </w:pPr>
      <w:r w:rsidRPr="00ED5675">
        <w:rPr>
          <w:rFonts w:ascii="Times New Roman" w:eastAsia="Times New Roman" w:hAnsi="Times New Roman" w:cs="Times New Roman"/>
          <w:color w:val="222222"/>
          <w:sz w:val="24"/>
          <w:szCs w:val="24"/>
          <w:lang w:val="fi-FI" w:eastAsia="zh-CN"/>
        </w:rPr>
        <w:t xml:space="preserve">Palaskas, T. B., &amp; Varangis, P. N. (1991). </w:t>
      </w:r>
      <w:r w:rsidRPr="003E32EF">
        <w:rPr>
          <w:rFonts w:ascii="Times New Roman" w:eastAsia="Times New Roman" w:hAnsi="Times New Roman" w:cs="Times New Roman"/>
          <w:i/>
          <w:iCs/>
          <w:color w:val="222222"/>
          <w:sz w:val="24"/>
          <w:szCs w:val="24"/>
          <w:lang w:val="en-GB" w:eastAsia="zh-CN"/>
        </w:rPr>
        <w:t>Is there excess co-movement of primary commodity prices</w:t>
      </w:r>
      <w:proofErr w:type="gramStart"/>
      <w:r w:rsidRPr="003E32EF">
        <w:rPr>
          <w:rFonts w:ascii="Times New Roman" w:eastAsia="Times New Roman" w:hAnsi="Times New Roman" w:cs="Times New Roman"/>
          <w:i/>
          <w:iCs/>
          <w:color w:val="222222"/>
          <w:sz w:val="24"/>
          <w:szCs w:val="24"/>
          <w:lang w:val="en-GB" w:eastAsia="zh-CN"/>
        </w:rPr>
        <w:t>?:</w:t>
      </w:r>
      <w:proofErr w:type="gramEnd"/>
      <w:r w:rsidRPr="003E32EF">
        <w:rPr>
          <w:rFonts w:ascii="Times New Roman" w:eastAsia="Times New Roman" w:hAnsi="Times New Roman" w:cs="Times New Roman"/>
          <w:i/>
          <w:iCs/>
          <w:color w:val="222222"/>
          <w:sz w:val="24"/>
          <w:szCs w:val="24"/>
          <w:lang w:val="en-GB" w:eastAsia="zh-CN"/>
        </w:rPr>
        <w:t xml:space="preserve"> a co-integration test</w:t>
      </w:r>
      <w:r w:rsidRPr="003E32EF">
        <w:rPr>
          <w:rFonts w:ascii="Times New Roman" w:eastAsia="Times New Roman" w:hAnsi="Times New Roman" w:cs="Times New Roman"/>
          <w:color w:val="222222"/>
          <w:sz w:val="24"/>
          <w:szCs w:val="24"/>
          <w:lang w:val="en-GB" w:eastAsia="zh-CN"/>
        </w:rPr>
        <w:t xml:space="preserve"> (Vol. 758). </w:t>
      </w:r>
      <w:proofErr w:type="gramStart"/>
      <w:r w:rsidRPr="003E32EF">
        <w:rPr>
          <w:rFonts w:ascii="Times New Roman" w:eastAsia="Times New Roman" w:hAnsi="Times New Roman" w:cs="Times New Roman"/>
          <w:color w:val="222222"/>
          <w:sz w:val="24"/>
          <w:szCs w:val="24"/>
          <w:lang w:val="en-GB" w:eastAsia="zh-CN"/>
        </w:rPr>
        <w:t>World Bank Publications.</w:t>
      </w:r>
      <w:proofErr w:type="gramEnd"/>
    </w:p>
    <w:p w:rsidR="00FB5BEB" w:rsidRPr="00FB5BEB" w:rsidRDefault="00FB5BEB" w:rsidP="00FB5BEB">
      <w:pPr>
        <w:spacing w:after="0" w:line="240" w:lineRule="auto"/>
        <w:jc w:val="both"/>
        <w:rPr>
          <w:rFonts w:ascii="Times New Roman" w:eastAsia="Times New Roman" w:hAnsi="Times New Roman" w:cs="Times New Roman"/>
          <w:color w:val="222222"/>
          <w:sz w:val="24"/>
          <w:szCs w:val="24"/>
          <w:lang w:val="en-GB" w:eastAsia="zh-CN"/>
        </w:rPr>
      </w:pPr>
    </w:p>
    <w:p w:rsidR="00F82103" w:rsidRPr="00806715" w:rsidRDefault="00F82103" w:rsidP="00A21562">
      <w:pPr>
        <w:jc w:val="both"/>
        <w:rPr>
          <w:rFonts w:ascii="Times New Roman" w:hAnsi="Times New Roman" w:cs="Times New Roman"/>
          <w:color w:val="222222"/>
          <w:sz w:val="24"/>
          <w:szCs w:val="24"/>
          <w:lang w:val="en-GB" w:eastAsia="zh-CN"/>
        </w:rPr>
      </w:pPr>
      <w:proofErr w:type="gramStart"/>
      <w:r w:rsidRPr="00BC12A2">
        <w:rPr>
          <w:rFonts w:ascii="Times New Roman" w:hAnsi="Times New Roman" w:cs="Times New Roman"/>
          <w:color w:val="222222"/>
          <w:sz w:val="24"/>
          <w:szCs w:val="24"/>
          <w:lang w:val="en-GB" w:eastAsia="zh-CN"/>
        </w:rPr>
        <w:t xml:space="preserve">Park, J., &amp; </w:t>
      </w:r>
      <w:proofErr w:type="spellStart"/>
      <w:r w:rsidRPr="00BC12A2">
        <w:rPr>
          <w:rFonts w:ascii="Times New Roman" w:hAnsi="Times New Roman" w:cs="Times New Roman"/>
          <w:color w:val="222222"/>
          <w:sz w:val="24"/>
          <w:szCs w:val="24"/>
          <w:lang w:val="en-GB" w:eastAsia="zh-CN"/>
        </w:rPr>
        <w:t>Ratti</w:t>
      </w:r>
      <w:proofErr w:type="spellEnd"/>
      <w:r w:rsidRPr="00BC12A2">
        <w:rPr>
          <w:rFonts w:ascii="Times New Roman" w:hAnsi="Times New Roman" w:cs="Times New Roman"/>
          <w:color w:val="222222"/>
          <w:sz w:val="24"/>
          <w:szCs w:val="24"/>
          <w:lang w:val="en-GB" w:eastAsia="zh-CN"/>
        </w:rPr>
        <w:t>, R. A. (2008).</w:t>
      </w:r>
      <w:proofErr w:type="gramEnd"/>
      <w:r w:rsidRPr="00BC12A2">
        <w:rPr>
          <w:rFonts w:ascii="Times New Roman" w:hAnsi="Times New Roman" w:cs="Times New Roman"/>
          <w:color w:val="222222"/>
          <w:sz w:val="24"/>
          <w:szCs w:val="24"/>
          <w:lang w:val="en-GB" w:eastAsia="zh-CN"/>
        </w:rPr>
        <w:t xml:space="preserve"> </w:t>
      </w:r>
      <w:proofErr w:type="gramStart"/>
      <w:r w:rsidRPr="00806715">
        <w:rPr>
          <w:rFonts w:ascii="Times New Roman" w:hAnsi="Times New Roman" w:cs="Times New Roman"/>
          <w:color w:val="222222"/>
          <w:sz w:val="24"/>
          <w:szCs w:val="24"/>
          <w:lang w:val="en-GB" w:eastAsia="zh-CN"/>
        </w:rPr>
        <w:t>Oil price shocks and stock markets in the US and 13 European countries.</w:t>
      </w:r>
      <w:proofErr w:type="gramEnd"/>
      <w:r w:rsidRPr="00806715">
        <w:rPr>
          <w:rFonts w:ascii="Times New Roman" w:hAnsi="Times New Roman" w:cs="Times New Roman"/>
          <w:color w:val="222222"/>
          <w:sz w:val="24"/>
          <w:szCs w:val="24"/>
          <w:lang w:val="en-GB" w:eastAsia="zh-CN"/>
        </w:rPr>
        <w:t xml:space="preserve"> </w:t>
      </w:r>
      <w:proofErr w:type="gramStart"/>
      <w:r w:rsidRPr="00806715">
        <w:rPr>
          <w:rFonts w:ascii="Times New Roman" w:hAnsi="Times New Roman" w:cs="Times New Roman"/>
          <w:i/>
          <w:iCs/>
          <w:color w:val="222222"/>
          <w:sz w:val="24"/>
          <w:szCs w:val="24"/>
          <w:lang w:val="en-GB" w:eastAsia="zh-CN"/>
        </w:rPr>
        <w:t>Energy 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30</w:t>
      </w:r>
      <w:r w:rsidRPr="00806715">
        <w:rPr>
          <w:rFonts w:ascii="Times New Roman" w:hAnsi="Times New Roman" w:cs="Times New Roman"/>
          <w:color w:val="222222"/>
          <w:sz w:val="24"/>
          <w:szCs w:val="24"/>
          <w:lang w:val="en-GB" w:eastAsia="zh-CN"/>
        </w:rPr>
        <w:t>(5), 2587-2608.</w:t>
      </w:r>
      <w:proofErr w:type="gramEnd"/>
    </w:p>
    <w:p w:rsidR="00C849BA" w:rsidRPr="00806715" w:rsidRDefault="00C849BA" w:rsidP="00A21562">
      <w:pPr>
        <w:pStyle w:val="NormalWeb"/>
        <w:spacing w:before="0" w:beforeAutospacing="0" w:after="0" w:afterAutospacing="0"/>
        <w:ind w:left="851" w:hanging="851"/>
        <w:jc w:val="both"/>
        <w:rPr>
          <w:noProof/>
        </w:rPr>
      </w:pPr>
      <w:r w:rsidRPr="00806715">
        <w:rPr>
          <w:noProof/>
        </w:rPr>
        <w:t xml:space="preserve">Pesaran, M.H. and Shin, Y. (1998). Generalized impulse response analysis in linear multivariate </w:t>
      </w:r>
    </w:p>
    <w:p w:rsidR="00C849BA" w:rsidRDefault="00C849BA" w:rsidP="00FB5BEB">
      <w:pPr>
        <w:pStyle w:val="NormalWeb"/>
        <w:spacing w:before="0" w:beforeAutospacing="0" w:after="0" w:afterAutospacing="0"/>
        <w:ind w:left="851" w:hanging="851"/>
        <w:jc w:val="both"/>
        <w:rPr>
          <w:noProof/>
        </w:rPr>
      </w:pPr>
      <w:r w:rsidRPr="00806715">
        <w:rPr>
          <w:noProof/>
        </w:rPr>
        <w:t xml:space="preserve">models. </w:t>
      </w:r>
      <w:r w:rsidRPr="00806715">
        <w:rPr>
          <w:i/>
          <w:iCs/>
          <w:noProof/>
        </w:rPr>
        <w:t>Economics Letters</w:t>
      </w:r>
      <w:r w:rsidRPr="00806715">
        <w:rPr>
          <w:noProof/>
        </w:rPr>
        <w:t>, 58, 17-29.</w:t>
      </w:r>
    </w:p>
    <w:p w:rsidR="00FB5BEB" w:rsidRPr="00FB5BEB" w:rsidRDefault="00FB5BEB" w:rsidP="00FB5BEB">
      <w:pPr>
        <w:pStyle w:val="NormalWeb"/>
        <w:spacing w:before="0" w:beforeAutospacing="0" w:after="0" w:afterAutospacing="0"/>
        <w:ind w:left="851" w:hanging="851"/>
        <w:jc w:val="both"/>
        <w:rPr>
          <w:noProof/>
        </w:rPr>
      </w:pPr>
    </w:p>
    <w:p w:rsidR="00245D1F" w:rsidRPr="00806715" w:rsidRDefault="00245D1F" w:rsidP="00A21562">
      <w:pPr>
        <w:jc w:val="both"/>
        <w:rPr>
          <w:rFonts w:ascii="Times New Roman" w:hAnsi="Times New Roman" w:cs="Times New Roman"/>
          <w:color w:val="222222"/>
          <w:sz w:val="24"/>
          <w:szCs w:val="24"/>
          <w:lang w:val="en-GB" w:eastAsia="zh-CN"/>
        </w:rPr>
      </w:pPr>
      <w:proofErr w:type="gramStart"/>
      <w:r w:rsidRPr="00806715">
        <w:rPr>
          <w:rFonts w:ascii="Times New Roman" w:hAnsi="Times New Roman" w:cs="Times New Roman"/>
          <w:color w:val="222222"/>
          <w:sz w:val="24"/>
          <w:szCs w:val="24"/>
          <w:lang w:val="en-GB" w:eastAsia="zh-CN"/>
        </w:rPr>
        <w:t xml:space="preserve">Pavlova, A., &amp; </w:t>
      </w:r>
      <w:proofErr w:type="spellStart"/>
      <w:r w:rsidRPr="00806715">
        <w:rPr>
          <w:rFonts w:ascii="Times New Roman" w:hAnsi="Times New Roman" w:cs="Times New Roman"/>
          <w:color w:val="222222"/>
          <w:sz w:val="24"/>
          <w:szCs w:val="24"/>
          <w:lang w:val="en-GB" w:eastAsia="zh-CN"/>
        </w:rPr>
        <w:t>Rigobon</w:t>
      </w:r>
      <w:proofErr w:type="spellEnd"/>
      <w:r w:rsidRPr="00806715">
        <w:rPr>
          <w:rFonts w:ascii="Times New Roman" w:hAnsi="Times New Roman" w:cs="Times New Roman"/>
          <w:color w:val="222222"/>
          <w:sz w:val="24"/>
          <w:szCs w:val="24"/>
          <w:lang w:val="en-GB" w:eastAsia="zh-CN"/>
        </w:rPr>
        <w:t>, R. (2008).</w:t>
      </w:r>
      <w:proofErr w:type="gramEnd"/>
      <w:r w:rsidRPr="00806715">
        <w:rPr>
          <w:rFonts w:ascii="Times New Roman" w:hAnsi="Times New Roman" w:cs="Times New Roman"/>
          <w:color w:val="222222"/>
          <w:sz w:val="24"/>
          <w:szCs w:val="24"/>
          <w:lang w:val="en-GB" w:eastAsia="zh-CN"/>
        </w:rPr>
        <w:t xml:space="preserve"> </w:t>
      </w:r>
      <w:proofErr w:type="gramStart"/>
      <w:r w:rsidRPr="00806715">
        <w:rPr>
          <w:rFonts w:ascii="Times New Roman" w:hAnsi="Times New Roman" w:cs="Times New Roman"/>
          <w:color w:val="222222"/>
          <w:sz w:val="24"/>
          <w:szCs w:val="24"/>
          <w:lang w:val="en-GB" w:eastAsia="zh-CN"/>
        </w:rPr>
        <w:t>The role of portfolio constraints in the international propagation of shocks.</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The Review of Economic Studies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75</w:t>
      </w:r>
      <w:r w:rsidRPr="00806715">
        <w:rPr>
          <w:rFonts w:ascii="Times New Roman" w:hAnsi="Times New Roman" w:cs="Times New Roman"/>
          <w:color w:val="222222"/>
          <w:sz w:val="24"/>
          <w:szCs w:val="24"/>
          <w:lang w:val="en-GB" w:eastAsia="zh-CN"/>
        </w:rPr>
        <w:t>(4), 1215-1256.</w:t>
      </w:r>
    </w:p>
    <w:p w:rsidR="003E6997" w:rsidRDefault="000F55C8" w:rsidP="00A21562">
      <w:pPr>
        <w:spacing w:after="0" w:line="240" w:lineRule="auto"/>
        <w:jc w:val="both"/>
        <w:rPr>
          <w:rFonts w:ascii="Times New Roman" w:eastAsia="Times New Roman" w:hAnsi="Times New Roman" w:cs="Times New Roman"/>
          <w:color w:val="222222"/>
          <w:sz w:val="24"/>
          <w:szCs w:val="24"/>
          <w:lang w:val="en-GB" w:eastAsia="zh-CN"/>
        </w:rPr>
      </w:pPr>
      <w:r w:rsidRPr="00ED5675">
        <w:rPr>
          <w:rFonts w:ascii="Times New Roman" w:eastAsia="Times New Roman" w:hAnsi="Times New Roman" w:cs="Times New Roman"/>
          <w:color w:val="222222"/>
          <w:sz w:val="24"/>
          <w:szCs w:val="24"/>
          <w:lang w:val="sv-SE" w:eastAsia="zh-CN"/>
        </w:rPr>
        <w:t xml:space="preserve">Pindyck, R. S., &amp; Rotemberg, J. </w:t>
      </w:r>
      <w:r w:rsidR="003E6997" w:rsidRPr="00ED5675">
        <w:rPr>
          <w:rFonts w:ascii="Times New Roman" w:eastAsia="Times New Roman" w:hAnsi="Times New Roman" w:cs="Times New Roman"/>
          <w:color w:val="222222"/>
          <w:sz w:val="24"/>
          <w:szCs w:val="24"/>
          <w:lang w:val="sv-SE" w:eastAsia="zh-CN"/>
        </w:rPr>
        <w:t>J. (19</w:t>
      </w:r>
      <w:r w:rsidR="00F80D20" w:rsidRPr="00ED5675">
        <w:rPr>
          <w:rFonts w:ascii="Times New Roman" w:eastAsia="Times New Roman" w:hAnsi="Times New Roman" w:cs="Times New Roman"/>
          <w:color w:val="222222"/>
          <w:sz w:val="24"/>
          <w:szCs w:val="24"/>
          <w:lang w:val="sv-SE" w:eastAsia="zh-CN"/>
        </w:rPr>
        <w:t>90</w:t>
      </w:r>
      <w:r w:rsidR="003E6997" w:rsidRPr="00ED5675">
        <w:rPr>
          <w:rFonts w:ascii="Times New Roman" w:eastAsia="Times New Roman" w:hAnsi="Times New Roman" w:cs="Times New Roman"/>
          <w:color w:val="222222"/>
          <w:sz w:val="24"/>
          <w:szCs w:val="24"/>
          <w:lang w:val="sv-SE" w:eastAsia="zh-CN"/>
        </w:rPr>
        <w:t xml:space="preserve">). </w:t>
      </w:r>
      <w:proofErr w:type="gramStart"/>
      <w:r w:rsidR="003E6997" w:rsidRPr="003E6997">
        <w:rPr>
          <w:rFonts w:ascii="Times New Roman" w:eastAsia="Times New Roman" w:hAnsi="Times New Roman" w:cs="Times New Roman"/>
          <w:i/>
          <w:iCs/>
          <w:color w:val="222222"/>
          <w:sz w:val="24"/>
          <w:szCs w:val="24"/>
          <w:lang w:val="en-GB" w:eastAsia="zh-CN"/>
        </w:rPr>
        <w:t>The excess co-movement of commodity prices</w:t>
      </w:r>
      <w:r w:rsidR="003E6997" w:rsidRPr="00806715">
        <w:rPr>
          <w:rFonts w:ascii="Times New Roman" w:eastAsia="Times New Roman" w:hAnsi="Times New Roman" w:cs="Times New Roman"/>
          <w:color w:val="222222"/>
          <w:sz w:val="24"/>
          <w:szCs w:val="24"/>
          <w:lang w:val="en-GB" w:eastAsia="zh-CN"/>
        </w:rPr>
        <w:t>.</w:t>
      </w:r>
      <w:proofErr w:type="gramEnd"/>
      <w:r w:rsidR="003E6997" w:rsidRPr="00806715">
        <w:rPr>
          <w:rFonts w:ascii="Times New Roman" w:eastAsia="Times New Roman" w:hAnsi="Times New Roman" w:cs="Times New Roman"/>
          <w:color w:val="222222"/>
          <w:sz w:val="24"/>
          <w:szCs w:val="24"/>
          <w:lang w:val="en-GB" w:eastAsia="zh-CN"/>
        </w:rPr>
        <w:t xml:space="preserve"> The Economic Journal, 100</w:t>
      </w:r>
      <w:r w:rsidR="00F80D20" w:rsidRPr="00806715">
        <w:rPr>
          <w:rFonts w:ascii="Times New Roman" w:eastAsia="Times New Roman" w:hAnsi="Times New Roman" w:cs="Times New Roman"/>
          <w:color w:val="222222"/>
          <w:sz w:val="24"/>
          <w:szCs w:val="24"/>
          <w:lang w:val="en-GB" w:eastAsia="zh-CN"/>
        </w:rPr>
        <w:t>(403), 1173-1189</w:t>
      </w:r>
      <w:r w:rsidR="00A815A0" w:rsidRPr="00806715">
        <w:rPr>
          <w:rFonts w:ascii="Times New Roman" w:eastAsia="Times New Roman" w:hAnsi="Times New Roman" w:cs="Times New Roman"/>
          <w:color w:val="222222"/>
          <w:sz w:val="24"/>
          <w:szCs w:val="24"/>
          <w:lang w:val="en-GB" w:eastAsia="zh-CN"/>
        </w:rPr>
        <w:t>.</w:t>
      </w:r>
    </w:p>
    <w:p w:rsidR="000F55C8" w:rsidRDefault="000F55C8" w:rsidP="00A21562">
      <w:pPr>
        <w:spacing w:after="0" w:line="240" w:lineRule="auto"/>
        <w:jc w:val="both"/>
        <w:rPr>
          <w:rFonts w:ascii="Times New Roman" w:eastAsia="Times New Roman" w:hAnsi="Times New Roman" w:cs="Times New Roman"/>
          <w:color w:val="222222"/>
          <w:sz w:val="24"/>
          <w:szCs w:val="24"/>
          <w:lang w:val="en-GB" w:eastAsia="zh-CN"/>
        </w:rPr>
      </w:pPr>
    </w:p>
    <w:p w:rsidR="000F55C8" w:rsidRPr="00806715" w:rsidRDefault="000F55C8" w:rsidP="00A21562">
      <w:pPr>
        <w:spacing w:after="0" w:line="240" w:lineRule="auto"/>
        <w:jc w:val="both"/>
        <w:rPr>
          <w:rFonts w:ascii="Times New Roman" w:eastAsia="Times New Roman" w:hAnsi="Times New Roman" w:cs="Times New Roman"/>
          <w:color w:val="222222"/>
          <w:sz w:val="24"/>
          <w:szCs w:val="24"/>
          <w:lang w:val="en-GB" w:eastAsia="zh-CN"/>
        </w:rPr>
      </w:pPr>
      <w:proofErr w:type="gramStart"/>
      <w:r>
        <w:rPr>
          <w:rFonts w:ascii="Times New Roman" w:eastAsia="Times New Roman" w:hAnsi="Times New Roman" w:cs="Times New Roman"/>
          <w:color w:val="222222"/>
          <w:sz w:val="24"/>
          <w:szCs w:val="24"/>
          <w:lang w:val="en-GB" w:eastAsia="zh-CN"/>
        </w:rPr>
        <w:t>Poon, S-H., &amp; Granger, C.W.J. (2003).</w:t>
      </w:r>
      <w:proofErr w:type="gramEnd"/>
      <w:r w:rsidRPr="000F55C8">
        <w:rPr>
          <w:rFonts w:ascii="Times New Roman" w:eastAsia="Times New Roman" w:hAnsi="Times New Roman" w:cs="Times New Roman"/>
          <w:color w:val="222222"/>
          <w:sz w:val="24"/>
          <w:szCs w:val="24"/>
          <w:lang w:val="en-GB" w:eastAsia="zh-CN"/>
        </w:rPr>
        <w:t xml:space="preserve"> Forecasting volatility in financial markets: a review. </w:t>
      </w:r>
      <w:r w:rsidRPr="000F55C8">
        <w:rPr>
          <w:rFonts w:ascii="Times New Roman" w:eastAsia="Times New Roman" w:hAnsi="Times New Roman" w:cs="Times New Roman"/>
          <w:i/>
          <w:iCs/>
          <w:color w:val="222222"/>
          <w:sz w:val="24"/>
          <w:szCs w:val="24"/>
          <w:lang w:val="en-GB" w:eastAsia="zh-CN"/>
        </w:rPr>
        <w:t>Journal of Economic Literature</w:t>
      </w:r>
      <w:r>
        <w:rPr>
          <w:rFonts w:ascii="Times New Roman" w:eastAsia="Times New Roman" w:hAnsi="Times New Roman" w:cs="Times New Roman"/>
          <w:color w:val="222222"/>
          <w:sz w:val="24"/>
          <w:szCs w:val="24"/>
          <w:lang w:val="en-GB" w:eastAsia="zh-CN"/>
        </w:rPr>
        <w:t>, 41(2)</w:t>
      </w:r>
      <w:proofErr w:type="gramStart"/>
      <w:r>
        <w:rPr>
          <w:rFonts w:ascii="Times New Roman" w:eastAsia="Times New Roman" w:hAnsi="Times New Roman" w:cs="Times New Roman"/>
          <w:color w:val="222222"/>
          <w:sz w:val="24"/>
          <w:szCs w:val="24"/>
          <w:lang w:val="en-GB" w:eastAsia="zh-CN"/>
        </w:rPr>
        <w:t>,478</w:t>
      </w:r>
      <w:proofErr w:type="gramEnd"/>
      <w:r>
        <w:rPr>
          <w:rFonts w:ascii="Times New Roman" w:eastAsia="Times New Roman" w:hAnsi="Times New Roman" w:cs="Times New Roman"/>
          <w:color w:val="222222"/>
          <w:sz w:val="24"/>
          <w:szCs w:val="24"/>
          <w:lang w:val="en-GB" w:eastAsia="zh-CN"/>
        </w:rPr>
        <w:t>-</w:t>
      </w:r>
      <w:r w:rsidRPr="000F55C8">
        <w:rPr>
          <w:rFonts w:ascii="Times New Roman" w:eastAsia="Times New Roman" w:hAnsi="Times New Roman" w:cs="Times New Roman"/>
          <w:color w:val="222222"/>
          <w:sz w:val="24"/>
          <w:szCs w:val="24"/>
          <w:lang w:val="en-GB" w:eastAsia="zh-CN"/>
        </w:rPr>
        <w:t>539.</w:t>
      </w:r>
    </w:p>
    <w:p w:rsidR="007020DC" w:rsidRPr="00806715" w:rsidRDefault="007020DC" w:rsidP="00A21562">
      <w:pPr>
        <w:spacing w:after="0" w:line="240" w:lineRule="auto"/>
        <w:jc w:val="both"/>
        <w:rPr>
          <w:rFonts w:ascii="Times New Roman" w:eastAsia="Times New Roman" w:hAnsi="Times New Roman" w:cs="Times New Roman"/>
          <w:color w:val="222222"/>
          <w:sz w:val="24"/>
          <w:szCs w:val="24"/>
          <w:lang w:val="en-GB" w:eastAsia="zh-CN"/>
        </w:rPr>
      </w:pPr>
    </w:p>
    <w:p w:rsidR="007020DC" w:rsidRPr="007020DC" w:rsidRDefault="007020DC"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r w:rsidRPr="007020DC">
        <w:rPr>
          <w:rFonts w:ascii="Times New Roman" w:eastAsia="Times New Roman" w:hAnsi="Times New Roman" w:cs="Times New Roman"/>
          <w:color w:val="222222"/>
          <w:sz w:val="24"/>
          <w:szCs w:val="24"/>
          <w:lang w:val="en-GB" w:eastAsia="zh-CN"/>
        </w:rPr>
        <w:t>Reboredo</w:t>
      </w:r>
      <w:proofErr w:type="spellEnd"/>
      <w:r w:rsidRPr="007020DC">
        <w:rPr>
          <w:rFonts w:ascii="Times New Roman" w:eastAsia="Times New Roman" w:hAnsi="Times New Roman" w:cs="Times New Roman"/>
          <w:color w:val="222222"/>
          <w:sz w:val="24"/>
          <w:szCs w:val="24"/>
          <w:lang w:val="en-GB" w:eastAsia="zh-CN"/>
        </w:rPr>
        <w:t xml:space="preserve">, J. C. (2010). Nonlinear effects of oil shocks on stock returns: a Markov-switching approach. </w:t>
      </w:r>
      <w:r w:rsidRPr="007020DC">
        <w:rPr>
          <w:rFonts w:ascii="Times New Roman" w:eastAsia="Times New Roman" w:hAnsi="Times New Roman" w:cs="Times New Roman"/>
          <w:i/>
          <w:iCs/>
          <w:color w:val="222222"/>
          <w:sz w:val="24"/>
          <w:szCs w:val="24"/>
          <w:lang w:val="en-GB" w:eastAsia="zh-CN"/>
        </w:rPr>
        <w:t>Applied Economics</w:t>
      </w:r>
      <w:r w:rsidRPr="007020DC">
        <w:rPr>
          <w:rFonts w:ascii="Times New Roman" w:eastAsia="Times New Roman" w:hAnsi="Times New Roman" w:cs="Times New Roman"/>
          <w:color w:val="222222"/>
          <w:sz w:val="24"/>
          <w:szCs w:val="24"/>
          <w:lang w:val="en-GB" w:eastAsia="zh-CN"/>
        </w:rPr>
        <w:t xml:space="preserve">, </w:t>
      </w:r>
      <w:r w:rsidRPr="007020DC">
        <w:rPr>
          <w:rFonts w:ascii="Times New Roman" w:eastAsia="Times New Roman" w:hAnsi="Times New Roman" w:cs="Times New Roman"/>
          <w:i/>
          <w:iCs/>
          <w:color w:val="222222"/>
          <w:sz w:val="24"/>
          <w:szCs w:val="24"/>
          <w:lang w:val="en-GB" w:eastAsia="zh-CN"/>
        </w:rPr>
        <w:t>42</w:t>
      </w:r>
      <w:r w:rsidRPr="007020DC">
        <w:rPr>
          <w:rFonts w:ascii="Times New Roman" w:eastAsia="Times New Roman" w:hAnsi="Times New Roman" w:cs="Times New Roman"/>
          <w:color w:val="222222"/>
          <w:sz w:val="24"/>
          <w:szCs w:val="24"/>
          <w:lang w:val="en-GB" w:eastAsia="zh-CN"/>
        </w:rPr>
        <w:t>(29), 3735-3744.</w:t>
      </w:r>
    </w:p>
    <w:p w:rsidR="006C5710" w:rsidRPr="00806715" w:rsidRDefault="006C5710" w:rsidP="00A21562">
      <w:pPr>
        <w:spacing w:after="0" w:line="240" w:lineRule="auto"/>
        <w:jc w:val="both"/>
        <w:rPr>
          <w:rFonts w:ascii="Times New Roman" w:eastAsia="Times New Roman" w:hAnsi="Times New Roman" w:cs="Times New Roman"/>
          <w:color w:val="222222"/>
          <w:sz w:val="24"/>
          <w:szCs w:val="24"/>
          <w:lang w:val="en-GB" w:eastAsia="zh-CN"/>
        </w:rPr>
      </w:pPr>
    </w:p>
    <w:p w:rsidR="006C5710" w:rsidRPr="006C5710" w:rsidRDefault="006C5710"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r w:rsidRPr="006C5710">
        <w:rPr>
          <w:rFonts w:ascii="Times New Roman" w:eastAsia="Times New Roman" w:hAnsi="Times New Roman" w:cs="Times New Roman"/>
          <w:color w:val="222222"/>
          <w:sz w:val="24"/>
          <w:szCs w:val="24"/>
          <w:lang w:val="en-GB" w:eastAsia="zh-CN"/>
        </w:rPr>
        <w:t>Reboredo</w:t>
      </w:r>
      <w:proofErr w:type="spellEnd"/>
      <w:r w:rsidRPr="006C5710">
        <w:rPr>
          <w:rFonts w:ascii="Times New Roman" w:eastAsia="Times New Roman" w:hAnsi="Times New Roman" w:cs="Times New Roman"/>
          <w:color w:val="222222"/>
          <w:sz w:val="24"/>
          <w:szCs w:val="24"/>
          <w:lang w:val="en-GB" w:eastAsia="zh-CN"/>
        </w:rPr>
        <w:t xml:space="preserve">, J. C. (2012). </w:t>
      </w:r>
      <w:proofErr w:type="gramStart"/>
      <w:r w:rsidRPr="006C5710">
        <w:rPr>
          <w:rFonts w:ascii="Times New Roman" w:eastAsia="Times New Roman" w:hAnsi="Times New Roman" w:cs="Times New Roman"/>
          <w:color w:val="222222"/>
          <w:sz w:val="24"/>
          <w:szCs w:val="24"/>
          <w:lang w:val="en-GB" w:eastAsia="zh-CN"/>
        </w:rPr>
        <w:t>Modelling oil price and exchange rate co-movements.</w:t>
      </w:r>
      <w:proofErr w:type="gramEnd"/>
      <w:r w:rsidRPr="006C5710">
        <w:rPr>
          <w:rFonts w:ascii="Times New Roman" w:eastAsia="Times New Roman" w:hAnsi="Times New Roman" w:cs="Times New Roman"/>
          <w:color w:val="222222"/>
          <w:sz w:val="24"/>
          <w:szCs w:val="24"/>
          <w:lang w:val="en-GB" w:eastAsia="zh-CN"/>
        </w:rPr>
        <w:t xml:space="preserve"> </w:t>
      </w:r>
      <w:r w:rsidRPr="006C5710">
        <w:rPr>
          <w:rFonts w:ascii="Times New Roman" w:eastAsia="Times New Roman" w:hAnsi="Times New Roman" w:cs="Times New Roman"/>
          <w:i/>
          <w:iCs/>
          <w:color w:val="222222"/>
          <w:sz w:val="24"/>
          <w:szCs w:val="24"/>
          <w:lang w:val="en-GB" w:eastAsia="zh-CN"/>
        </w:rPr>
        <w:t xml:space="preserve">Journal of Policy </w:t>
      </w:r>
      <w:proofErr w:type="spellStart"/>
      <w:r w:rsidRPr="006C5710">
        <w:rPr>
          <w:rFonts w:ascii="Times New Roman" w:eastAsia="Times New Roman" w:hAnsi="Times New Roman" w:cs="Times New Roman"/>
          <w:i/>
          <w:iCs/>
          <w:color w:val="222222"/>
          <w:sz w:val="24"/>
          <w:szCs w:val="24"/>
          <w:lang w:val="en-GB" w:eastAsia="zh-CN"/>
        </w:rPr>
        <w:t>Modeling</w:t>
      </w:r>
      <w:proofErr w:type="spellEnd"/>
      <w:r w:rsidRPr="006C5710">
        <w:rPr>
          <w:rFonts w:ascii="Times New Roman" w:eastAsia="Times New Roman" w:hAnsi="Times New Roman" w:cs="Times New Roman"/>
          <w:color w:val="222222"/>
          <w:sz w:val="24"/>
          <w:szCs w:val="24"/>
          <w:lang w:val="en-GB" w:eastAsia="zh-CN"/>
        </w:rPr>
        <w:t xml:space="preserve">, </w:t>
      </w:r>
      <w:r w:rsidRPr="006C5710">
        <w:rPr>
          <w:rFonts w:ascii="Times New Roman" w:eastAsia="Times New Roman" w:hAnsi="Times New Roman" w:cs="Times New Roman"/>
          <w:i/>
          <w:iCs/>
          <w:color w:val="222222"/>
          <w:sz w:val="24"/>
          <w:szCs w:val="24"/>
          <w:lang w:val="en-GB" w:eastAsia="zh-CN"/>
        </w:rPr>
        <w:t>34</w:t>
      </w:r>
      <w:r w:rsidRPr="006C5710">
        <w:rPr>
          <w:rFonts w:ascii="Times New Roman" w:eastAsia="Times New Roman" w:hAnsi="Times New Roman" w:cs="Times New Roman"/>
          <w:color w:val="222222"/>
          <w:sz w:val="24"/>
          <w:szCs w:val="24"/>
          <w:lang w:val="en-GB" w:eastAsia="zh-CN"/>
        </w:rPr>
        <w:t>(3), 419-440.</w:t>
      </w:r>
    </w:p>
    <w:p w:rsidR="00A815A0" w:rsidRPr="00806715" w:rsidRDefault="00A815A0" w:rsidP="00A21562">
      <w:pPr>
        <w:spacing w:after="0" w:line="240" w:lineRule="auto"/>
        <w:jc w:val="both"/>
        <w:rPr>
          <w:rFonts w:ascii="Times New Roman" w:eastAsia="Times New Roman" w:hAnsi="Times New Roman" w:cs="Times New Roman"/>
          <w:color w:val="222222"/>
          <w:sz w:val="24"/>
          <w:szCs w:val="24"/>
          <w:lang w:val="en-GB" w:eastAsia="zh-CN"/>
        </w:rPr>
      </w:pPr>
    </w:p>
    <w:p w:rsidR="003E6997" w:rsidRPr="00806715" w:rsidRDefault="00A815A0"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r w:rsidRPr="00A815A0">
        <w:rPr>
          <w:rFonts w:ascii="Times New Roman" w:eastAsia="Times New Roman" w:hAnsi="Times New Roman" w:cs="Times New Roman"/>
          <w:color w:val="222222"/>
          <w:sz w:val="24"/>
          <w:szCs w:val="24"/>
          <w:lang w:val="en-GB" w:eastAsia="zh-CN"/>
        </w:rPr>
        <w:t>Reboredo</w:t>
      </w:r>
      <w:proofErr w:type="spellEnd"/>
      <w:r w:rsidRPr="00A815A0">
        <w:rPr>
          <w:rFonts w:ascii="Times New Roman" w:eastAsia="Times New Roman" w:hAnsi="Times New Roman" w:cs="Times New Roman"/>
          <w:color w:val="222222"/>
          <w:sz w:val="24"/>
          <w:szCs w:val="24"/>
          <w:lang w:val="en-GB" w:eastAsia="zh-CN"/>
        </w:rPr>
        <w:t>, J. C. (2013). Is gold a hedge or safe haven against oil price movements</w:t>
      </w:r>
      <w:proofErr w:type="gramStart"/>
      <w:r w:rsidRPr="00A815A0">
        <w:rPr>
          <w:rFonts w:ascii="Times New Roman" w:eastAsia="Times New Roman" w:hAnsi="Times New Roman" w:cs="Times New Roman"/>
          <w:color w:val="222222"/>
          <w:sz w:val="24"/>
          <w:szCs w:val="24"/>
          <w:lang w:val="en-GB" w:eastAsia="zh-CN"/>
        </w:rPr>
        <w:t>?.</w:t>
      </w:r>
      <w:proofErr w:type="gramEnd"/>
      <w:r w:rsidRPr="00A815A0">
        <w:rPr>
          <w:rFonts w:ascii="Times New Roman" w:eastAsia="Times New Roman" w:hAnsi="Times New Roman" w:cs="Times New Roman"/>
          <w:color w:val="222222"/>
          <w:sz w:val="24"/>
          <w:szCs w:val="24"/>
          <w:lang w:val="en-GB" w:eastAsia="zh-CN"/>
        </w:rPr>
        <w:t xml:space="preserve"> </w:t>
      </w:r>
      <w:r w:rsidRPr="00A815A0">
        <w:rPr>
          <w:rFonts w:ascii="Times New Roman" w:eastAsia="Times New Roman" w:hAnsi="Times New Roman" w:cs="Times New Roman"/>
          <w:i/>
          <w:iCs/>
          <w:color w:val="222222"/>
          <w:sz w:val="24"/>
          <w:szCs w:val="24"/>
          <w:lang w:val="en-GB" w:eastAsia="zh-CN"/>
        </w:rPr>
        <w:t>Resources Policy</w:t>
      </w:r>
      <w:r w:rsidRPr="00A815A0">
        <w:rPr>
          <w:rFonts w:ascii="Times New Roman" w:eastAsia="Times New Roman" w:hAnsi="Times New Roman" w:cs="Times New Roman"/>
          <w:color w:val="222222"/>
          <w:sz w:val="24"/>
          <w:szCs w:val="24"/>
          <w:lang w:val="en-GB" w:eastAsia="zh-CN"/>
        </w:rPr>
        <w:t xml:space="preserve">, </w:t>
      </w:r>
      <w:r w:rsidRPr="00A815A0">
        <w:rPr>
          <w:rFonts w:ascii="Times New Roman" w:eastAsia="Times New Roman" w:hAnsi="Times New Roman" w:cs="Times New Roman"/>
          <w:i/>
          <w:iCs/>
          <w:color w:val="222222"/>
          <w:sz w:val="24"/>
          <w:szCs w:val="24"/>
          <w:lang w:val="en-GB" w:eastAsia="zh-CN"/>
        </w:rPr>
        <w:t>38</w:t>
      </w:r>
      <w:r w:rsidRPr="00A815A0">
        <w:rPr>
          <w:rFonts w:ascii="Times New Roman" w:eastAsia="Times New Roman" w:hAnsi="Times New Roman" w:cs="Times New Roman"/>
          <w:color w:val="222222"/>
          <w:sz w:val="24"/>
          <w:szCs w:val="24"/>
          <w:lang w:val="en-GB" w:eastAsia="zh-CN"/>
        </w:rPr>
        <w:t>(2), 130-137.</w:t>
      </w:r>
    </w:p>
    <w:p w:rsidR="00A815A0" w:rsidRPr="00806715" w:rsidRDefault="00A815A0" w:rsidP="00A21562">
      <w:pPr>
        <w:spacing w:after="0" w:line="240" w:lineRule="auto"/>
        <w:jc w:val="both"/>
        <w:rPr>
          <w:rFonts w:ascii="Times New Roman" w:hAnsi="Times New Roman" w:cs="Times New Roman"/>
          <w:color w:val="222222"/>
          <w:sz w:val="24"/>
          <w:szCs w:val="24"/>
          <w:lang w:val="en-GB" w:eastAsia="zh-CN"/>
        </w:rPr>
      </w:pPr>
    </w:p>
    <w:p w:rsidR="004C5103" w:rsidRPr="00806715" w:rsidRDefault="004C5103" w:rsidP="00A21562">
      <w:pPr>
        <w:spacing w:after="0" w:line="240" w:lineRule="auto"/>
        <w:jc w:val="both"/>
        <w:rPr>
          <w:rFonts w:ascii="Times New Roman" w:eastAsia="Times New Roman" w:hAnsi="Times New Roman" w:cs="Times New Roman"/>
          <w:color w:val="222222"/>
          <w:sz w:val="24"/>
          <w:szCs w:val="24"/>
          <w:lang w:val="en-GB" w:eastAsia="zh-CN"/>
        </w:rPr>
      </w:pPr>
      <w:r w:rsidRPr="00ED5675">
        <w:rPr>
          <w:rFonts w:ascii="Times New Roman" w:eastAsia="Times New Roman" w:hAnsi="Times New Roman" w:cs="Times New Roman"/>
          <w:color w:val="222222"/>
          <w:sz w:val="24"/>
          <w:szCs w:val="24"/>
          <w:lang w:val="it-IT" w:eastAsia="zh-CN"/>
        </w:rPr>
        <w:t xml:space="preserve">Rosegrant, M. W., Zhu, T., Msangi, S., &amp; Sulser, T. (2008). </w:t>
      </w:r>
      <w:r w:rsidRPr="00806715">
        <w:rPr>
          <w:rFonts w:ascii="Times New Roman" w:eastAsia="Times New Roman" w:hAnsi="Times New Roman" w:cs="Times New Roman"/>
          <w:color w:val="222222"/>
          <w:sz w:val="24"/>
          <w:szCs w:val="24"/>
          <w:lang w:val="en-GB" w:eastAsia="zh-CN"/>
        </w:rPr>
        <w:t xml:space="preserve">Global scenarios for biofuels: impacts and implications. </w:t>
      </w:r>
      <w:r w:rsidRPr="00806715">
        <w:rPr>
          <w:rFonts w:ascii="Times New Roman" w:eastAsia="Times New Roman" w:hAnsi="Times New Roman" w:cs="Times New Roman"/>
          <w:i/>
          <w:iCs/>
          <w:color w:val="222222"/>
          <w:sz w:val="24"/>
          <w:szCs w:val="24"/>
          <w:lang w:val="en-GB" w:eastAsia="zh-CN"/>
        </w:rPr>
        <w:t>Applied Economic Perspectives and Policy</w:t>
      </w:r>
      <w:r w:rsidRPr="00806715">
        <w:rPr>
          <w:rFonts w:ascii="Times New Roman" w:eastAsia="Times New Roman" w:hAnsi="Times New Roman" w:cs="Times New Roman"/>
          <w:color w:val="222222"/>
          <w:sz w:val="24"/>
          <w:szCs w:val="24"/>
          <w:lang w:val="en-GB" w:eastAsia="zh-CN"/>
        </w:rPr>
        <w:t xml:space="preserve">, </w:t>
      </w:r>
      <w:r w:rsidRPr="00806715">
        <w:rPr>
          <w:rFonts w:ascii="Times New Roman" w:eastAsia="Times New Roman" w:hAnsi="Times New Roman" w:cs="Times New Roman"/>
          <w:i/>
          <w:iCs/>
          <w:color w:val="222222"/>
          <w:sz w:val="24"/>
          <w:szCs w:val="24"/>
          <w:lang w:val="en-GB" w:eastAsia="zh-CN"/>
        </w:rPr>
        <w:t>30</w:t>
      </w:r>
      <w:r w:rsidRPr="00806715">
        <w:rPr>
          <w:rFonts w:ascii="Times New Roman" w:eastAsia="Times New Roman" w:hAnsi="Times New Roman" w:cs="Times New Roman"/>
          <w:color w:val="222222"/>
          <w:sz w:val="24"/>
          <w:szCs w:val="24"/>
          <w:lang w:val="en-GB" w:eastAsia="zh-CN"/>
        </w:rPr>
        <w:t>(3), 495-505.</w:t>
      </w:r>
    </w:p>
    <w:p w:rsidR="004054DF" w:rsidRPr="00806715" w:rsidRDefault="004054DF" w:rsidP="00A21562">
      <w:pPr>
        <w:spacing w:after="0" w:line="240" w:lineRule="auto"/>
        <w:jc w:val="both"/>
        <w:rPr>
          <w:rFonts w:ascii="Times New Roman" w:eastAsia="Times New Roman" w:hAnsi="Times New Roman" w:cs="Times New Roman"/>
          <w:color w:val="222222"/>
          <w:sz w:val="24"/>
          <w:szCs w:val="24"/>
          <w:lang w:val="en-GB" w:eastAsia="zh-CN"/>
        </w:rPr>
      </w:pPr>
    </w:p>
    <w:p w:rsidR="004054DF" w:rsidRPr="004054DF" w:rsidRDefault="004054DF" w:rsidP="00A21562">
      <w:pPr>
        <w:spacing w:after="0" w:line="240" w:lineRule="auto"/>
        <w:jc w:val="both"/>
        <w:rPr>
          <w:rFonts w:ascii="Times New Roman" w:eastAsia="Times New Roman" w:hAnsi="Times New Roman" w:cs="Times New Roman"/>
          <w:color w:val="222222"/>
          <w:sz w:val="24"/>
          <w:szCs w:val="24"/>
          <w:lang w:val="en-GB" w:eastAsia="zh-CN"/>
        </w:rPr>
      </w:pPr>
      <w:proofErr w:type="gramStart"/>
      <w:r w:rsidRPr="004054DF">
        <w:rPr>
          <w:rFonts w:ascii="Times New Roman" w:eastAsia="Times New Roman" w:hAnsi="Times New Roman" w:cs="Times New Roman"/>
          <w:color w:val="222222"/>
          <w:sz w:val="24"/>
          <w:szCs w:val="24"/>
          <w:lang w:val="en-GB" w:eastAsia="zh-CN"/>
        </w:rPr>
        <w:t xml:space="preserve">Sari, R., </w:t>
      </w:r>
      <w:proofErr w:type="spellStart"/>
      <w:r w:rsidRPr="004054DF">
        <w:rPr>
          <w:rFonts w:ascii="Times New Roman" w:eastAsia="Times New Roman" w:hAnsi="Times New Roman" w:cs="Times New Roman"/>
          <w:color w:val="222222"/>
          <w:sz w:val="24"/>
          <w:szCs w:val="24"/>
          <w:lang w:val="en-GB" w:eastAsia="zh-CN"/>
        </w:rPr>
        <w:t>Hammoudeh</w:t>
      </w:r>
      <w:proofErr w:type="spellEnd"/>
      <w:r w:rsidRPr="004054DF">
        <w:rPr>
          <w:rFonts w:ascii="Times New Roman" w:eastAsia="Times New Roman" w:hAnsi="Times New Roman" w:cs="Times New Roman"/>
          <w:color w:val="222222"/>
          <w:sz w:val="24"/>
          <w:szCs w:val="24"/>
          <w:lang w:val="en-GB" w:eastAsia="zh-CN"/>
        </w:rPr>
        <w:t xml:space="preserve">, S., Chang, C. L., &amp; </w:t>
      </w:r>
      <w:proofErr w:type="spellStart"/>
      <w:r w:rsidRPr="004054DF">
        <w:rPr>
          <w:rFonts w:ascii="Times New Roman" w:eastAsia="Times New Roman" w:hAnsi="Times New Roman" w:cs="Times New Roman"/>
          <w:color w:val="222222"/>
          <w:sz w:val="24"/>
          <w:szCs w:val="24"/>
          <w:lang w:val="en-GB" w:eastAsia="zh-CN"/>
        </w:rPr>
        <w:t>McAleer</w:t>
      </w:r>
      <w:proofErr w:type="spellEnd"/>
      <w:r w:rsidRPr="004054DF">
        <w:rPr>
          <w:rFonts w:ascii="Times New Roman" w:eastAsia="Times New Roman" w:hAnsi="Times New Roman" w:cs="Times New Roman"/>
          <w:color w:val="222222"/>
          <w:sz w:val="24"/>
          <w:szCs w:val="24"/>
          <w:lang w:val="en-GB" w:eastAsia="zh-CN"/>
        </w:rPr>
        <w:t>, M. (2012).</w:t>
      </w:r>
      <w:proofErr w:type="gramEnd"/>
      <w:r w:rsidRPr="004054DF">
        <w:rPr>
          <w:rFonts w:ascii="Times New Roman" w:eastAsia="Times New Roman" w:hAnsi="Times New Roman" w:cs="Times New Roman"/>
          <w:color w:val="222222"/>
          <w:sz w:val="24"/>
          <w:szCs w:val="24"/>
          <w:lang w:val="en-GB" w:eastAsia="zh-CN"/>
        </w:rPr>
        <w:t xml:space="preserve"> </w:t>
      </w:r>
      <w:proofErr w:type="gramStart"/>
      <w:r w:rsidRPr="004054DF">
        <w:rPr>
          <w:rFonts w:ascii="Times New Roman" w:eastAsia="Times New Roman" w:hAnsi="Times New Roman" w:cs="Times New Roman"/>
          <w:color w:val="222222"/>
          <w:sz w:val="24"/>
          <w:szCs w:val="24"/>
          <w:lang w:val="en-GB" w:eastAsia="zh-CN"/>
        </w:rPr>
        <w:t>Causality between market liquidity and depth for energy and grains.</w:t>
      </w:r>
      <w:proofErr w:type="gramEnd"/>
      <w:r w:rsidRPr="004054DF">
        <w:rPr>
          <w:rFonts w:ascii="Times New Roman" w:eastAsia="Times New Roman" w:hAnsi="Times New Roman" w:cs="Times New Roman"/>
          <w:color w:val="222222"/>
          <w:sz w:val="24"/>
          <w:szCs w:val="24"/>
          <w:lang w:val="en-GB" w:eastAsia="zh-CN"/>
        </w:rPr>
        <w:t xml:space="preserve"> </w:t>
      </w:r>
      <w:r w:rsidRPr="004054DF">
        <w:rPr>
          <w:rFonts w:ascii="Times New Roman" w:eastAsia="Times New Roman" w:hAnsi="Times New Roman" w:cs="Times New Roman"/>
          <w:i/>
          <w:iCs/>
          <w:color w:val="222222"/>
          <w:sz w:val="24"/>
          <w:szCs w:val="24"/>
          <w:lang w:val="en-GB" w:eastAsia="zh-CN"/>
        </w:rPr>
        <w:t>Energy Economics</w:t>
      </w:r>
      <w:r w:rsidRPr="004054DF">
        <w:rPr>
          <w:rFonts w:ascii="Times New Roman" w:eastAsia="Times New Roman" w:hAnsi="Times New Roman" w:cs="Times New Roman"/>
          <w:color w:val="222222"/>
          <w:sz w:val="24"/>
          <w:szCs w:val="24"/>
          <w:lang w:val="en-GB" w:eastAsia="zh-CN"/>
        </w:rPr>
        <w:t xml:space="preserve">, </w:t>
      </w:r>
      <w:r w:rsidRPr="004054DF">
        <w:rPr>
          <w:rFonts w:ascii="Times New Roman" w:eastAsia="Times New Roman" w:hAnsi="Times New Roman" w:cs="Times New Roman"/>
          <w:i/>
          <w:iCs/>
          <w:color w:val="222222"/>
          <w:sz w:val="24"/>
          <w:szCs w:val="24"/>
          <w:lang w:val="en-GB" w:eastAsia="zh-CN"/>
        </w:rPr>
        <w:t>34</w:t>
      </w:r>
      <w:r w:rsidRPr="004054DF">
        <w:rPr>
          <w:rFonts w:ascii="Times New Roman" w:eastAsia="Times New Roman" w:hAnsi="Times New Roman" w:cs="Times New Roman"/>
          <w:color w:val="222222"/>
          <w:sz w:val="24"/>
          <w:szCs w:val="24"/>
          <w:lang w:val="en-GB" w:eastAsia="zh-CN"/>
        </w:rPr>
        <w:t>(5), 1683-1692.</w:t>
      </w:r>
    </w:p>
    <w:p w:rsidR="0064059C" w:rsidRPr="00806715" w:rsidRDefault="0064059C" w:rsidP="00A21562">
      <w:pPr>
        <w:spacing w:after="0" w:line="240" w:lineRule="auto"/>
        <w:jc w:val="both"/>
        <w:rPr>
          <w:rFonts w:ascii="Times New Roman" w:eastAsia="Times New Roman" w:hAnsi="Times New Roman" w:cs="Times New Roman"/>
          <w:color w:val="222222"/>
          <w:sz w:val="24"/>
          <w:szCs w:val="24"/>
          <w:lang w:val="en-GB" w:eastAsia="zh-CN"/>
        </w:rPr>
      </w:pPr>
    </w:p>
    <w:p w:rsidR="0064059C" w:rsidRDefault="0064059C" w:rsidP="00A21562">
      <w:pPr>
        <w:spacing w:after="0" w:line="240" w:lineRule="auto"/>
        <w:jc w:val="both"/>
        <w:rPr>
          <w:rFonts w:ascii="Times New Roman" w:eastAsia="Times New Roman" w:hAnsi="Times New Roman" w:cs="Times New Roman"/>
          <w:color w:val="222222"/>
          <w:sz w:val="24"/>
          <w:szCs w:val="24"/>
          <w:lang w:val="en-GB" w:eastAsia="zh-CN"/>
        </w:rPr>
      </w:pPr>
      <w:r w:rsidRPr="00ED5675">
        <w:rPr>
          <w:rFonts w:ascii="Times New Roman" w:eastAsia="Times New Roman" w:hAnsi="Times New Roman" w:cs="Times New Roman"/>
          <w:color w:val="222222"/>
          <w:sz w:val="24"/>
          <w:szCs w:val="24"/>
          <w:lang w:val="fi-FI" w:eastAsia="zh-CN"/>
        </w:rPr>
        <w:t xml:space="preserve">Sari, R., Hammoudeh, S., &amp; Soytas, U. (2010). </w:t>
      </w:r>
      <w:r w:rsidRPr="0064059C">
        <w:rPr>
          <w:rFonts w:ascii="Times New Roman" w:eastAsia="Times New Roman" w:hAnsi="Times New Roman" w:cs="Times New Roman"/>
          <w:color w:val="222222"/>
          <w:sz w:val="24"/>
          <w:szCs w:val="24"/>
          <w:lang w:val="en-GB" w:eastAsia="zh-CN"/>
        </w:rPr>
        <w:t xml:space="preserve">Dynamics of oil price, precious metal prices, and exchange rate. </w:t>
      </w:r>
      <w:r w:rsidRPr="0064059C">
        <w:rPr>
          <w:rFonts w:ascii="Times New Roman" w:eastAsia="Times New Roman" w:hAnsi="Times New Roman" w:cs="Times New Roman"/>
          <w:i/>
          <w:iCs/>
          <w:color w:val="222222"/>
          <w:sz w:val="24"/>
          <w:szCs w:val="24"/>
          <w:lang w:val="en-GB" w:eastAsia="zh-CN"/>
        </w:rPr>
        <w:t>Energy Economics</w:t>
      </w:r>
      <w:r w:rsidRPr="0064059C">
        <w:rPr>
          <w:rFonts w:ascii="Times New Roman" w:eastAsia="Times New Roman" w:hAnsi="Times New Roman" w:cs="Times New Roman"/>
          <w:color w:val="222222"/>
          <w:sz w:val="24"/>
          <w:szCs w:val="24"/>
          <w:lang w:val="en-GB" w:eastAsia="zh-CN"/>
        </w:rPr>
        <w:t xml:space="preserve">, </w:t>
      </w:r>
      <w:r w:rsidRPr="0064059C">
        <w:rPr>
          <w:rFonts w:ascii="Times New Roman" w:eastAsia="Times New Roman" w:hAnsi="Times New Roman" w:cs="Times New Roman"/>
          <w:i/>
          <w:iCs/>
          <w:color w:val="222222"/>
          <w:sz w:val="24"/>
          <w:szCs w:val="24"/>
          <w:lang w:val="en-GB" w:eastAsia="zh-CN"/>
        </w:rPr>
        <w:t>32</w:t>
      </w:r>
      <w:r w:rsidRPr="0064059C">
        <w:rPr>
          <w:rFonts w:ascii="Times New Roman" w:eastAsia="Times New Roman" w:hAnsi="Times New Roman" w:cs="Times New Roman"/>
          <w:color w:val="222222"/>
          <w:sz w:val="24"/>
          <w:szCs w:val="24"/>
          <w:lang w:val="en-GB" w:eastAsia="zh-CN"/>
        </w:rPr>
        <w:t>(2), 351-362.</w:t>
      </w:r>
    </w:p>
    <w:p w:rsidR="005003F5" w:rsidRDefault="005003F5" w:rsidP="00A21562">
      <w:pPr>
        <w:spacing w:after="0" w:line="240" w:lineRule="auto"/>
        <w:jc w:val="both"/>
        <w:rPr>
          <w:rFonts w:ascii="Times New Roman" w:eastAsia="Times New Roman" w:hAnsi="Times New Roman" w:cs="Times New Roman"/>
          <w:color w:val="222222"/>
          <w:sz w:val="24"/>
          <w:szCs w:val="24"/>
          <w:lang w:val="en-GB" w:eastAsia="zh-CN"/>
        </w:rPr>
      </w:pPr>
    </w:p>
    <w:p w:rsidR="005003F5" w:rsidRPr="005003F5" w:rsidRDefault="005003F5" w:rsidP="00A21562">
      <w:pPr>
        <w:spacing w:after="0" w:line="240" w:lineRule="auto"/>
        <w:jc w:val="both"/>
        <w:rPr>
          <w:rFonts w:ascii="Times New Roman" w:eastAsia="Times New Roman" w:hAnsi="Times New Roman" w:cs="Times New Roman"/>
          <w:color w:val="222222"/>
          <w:sz w:val="24"/>
          <w:szCs w:val="24"/>
          <w:lang w:val="en-GB" w:eastAsia="zh-CN"/>
        </w:rPr>
      </w:pPr>
      <w:r w:rsidRPr="00ED5675">
        <w:rPr>
          <w:rFonts w:ascii="Times New Roman" w:hAnsi="Times New Roman" w:cs="Times New Roman"/>
          <w:color w:val="222222"/>
          <w:sz w:val="24"/>
          <w:szCs w:val="24"/>
          <w:shd w:val="clear" w:color="auto" w:fill="FFFFFF"/>
          <w:lang w:val="de-DE"/>
        </w:rPr>
        <w:t xml:space="preserve">Schneeweis, T., &amp; Spurgin, R. B. (1997). </w:t>
      </w:r>
      <w:r w:rsidRPr="005003F5">
        <w:rPr>
          <w:rFonts w:ascii="Times New Roman" w:hAnsi="Times New Roman" w:cs="Times New Roman"/>
          <w:color w:val="222222"/>
          <w:sz w:val="24"/>
          <w:szCs w:val="24"/>
          <w:shd w:val="clear" w:color="auto" w:fill="FFFFFF"/>
        </w:rPr>
        <w:t>Comparisons of commodity and managed futures benchmark indexes.</w:t>
      </w:r>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 xml:space="preserve">The </w:t>
      </w:r>
      <w:proofErr w:type="spellStart"/>
      <w:r w:rsidRPr="005003F5">
        <w:rPr>
          <w:rFonts w:ascii="Times New Roman" w:hAnsi="Times New Roman" w:cs="Times New Roman"/>
          <w:i/>
          <w:iCs/>
          <w:color w:val="222222"/>
          <w:sz w:val="24"/>
          <w:szCs w:val="24"/>
          <w:shd w:val="clear" w:color="auto" w:fill="FFFFFF"/>
        </w:rPr>
        <w:t>Journ</w:t>
      </w:r>
      <w:r>
        <w:rPr>
          <w:rFonts w:ascii="Times New Roman" w:hAnsi="Times New Roman" w:cs="Times New Roman"/>
          <w:i/>
          <w:iCs/>
          <w:color w:val="222222"/>
          <w:sz w:val="24"/>
          <w:szCs w:val="24"/>
          <w:shd w:val="clear" w:color="auto" w:fill="FFFFFF"/>
        </w:rPr>
        <w:t>Christ</w:t>
      </w:r>
      <w:r w:rsidRPr="005003F5">
        <w:rPr>
          <w:rFonts w:ascii="Times New Roman" w:hAnsi="Times New Roman" w:cs="Times New Roman"/>
          <w:i/>
          <w:iCs/>
          <w:color w:val="222222"/>
          <w:sz w:val="24"/>
          <w:szCs w:val="24"/>
          <w:shd w:val="clear" w:color="auto" w:fill="FFFFFF"/>
        </w:rPr>
        <w:t>al</w:t>
      </w:r>
      <w:proofErr w:type="spellEnd"/>
      <w:r w:rsidRPr="005003F5">
        <w:rPr>
          <w:rFonts w:ascii="Times New Roman" w:hAnsi="Times New Roman" w:cs="Times New Roman"/>
          <w:i/>
          <w:iCs/>
          <w:color w:val="222222"/>
          <w:sz w:val="24"/>
          <w:szCs w:val="24"/>
          <w:shd w:val="clear" w:color="auto" w:fill="FFFFFF"/>
        </w:rPr>
        <w:t xml:space="preserve"> of Derivatives</w:t>
      </w:r>
      <w:r w:rsidRPr="005003F5">
        <w:rPr>
          <w:rFonts w:ascii="Times New Roman" w:hAnsi="Times New Roman" w:cs="Times New Roman"/>
          <w:color w:val="222222"/>
          <w:sz w:val="24"/>
          <w:szCs w:val="24"/>
          <w:shd w:val="clear" w:color="auto" w:fill="FFFFFF"/>
        </w:rPr>
        <w:t>,</w:t>
      </w:r>
      <w:r w:rsidRPr="005003F5">
        <w:rPr>
          <w:rStyle w:val="apple-converted-space"/>
          <w:rFonts w:ascii="Times New Roman" w:hAnsi="Times New Roman" w:cs="Times New Roman"/>
          <w:color w:val="222222"/>
          <w:sz w:val="24"/>
          <w:szCs w:val="24"/>
          <w:shd w:val="clear" w:color="auto" w:fill="FFFFFF"/>
        </w:rPr>
        <w:t> </w:t>
      </w:r>
      <w:r w:rsidRPr="005003F5">
        <w:rPr>
          <w:rFonts w:ascii="Times New Roman" w:hAnsi="Times New Roman" w:cs="Times New Roman"/>
          <w:i/>
          <w:iCs/>
          <w:color w:val="222222"/>
          <w:sz w:val="24"/>
          <w:szCs w:val="24"/>
          <w:shd w:val="clear" w:color="auto" w:fill="FFFFFF"/>
        </w:rPr>
        <w:t>4</w:t>
      </w:r>
      <w:r w:rsidRPr="005003F5">
        <w:rPr>
          <w:rFonts w:ascii="Times New Roman" w:hAnsi="Times New Roman" w:cs="Times New Roman"/>
          <w:color w:val="222222"/>
          <w:sz w:val="24"/>
          <w:szCs w:val="24"/>
          <w:shd w:val="clear" w:color="auto" w:fill="FFFFFF"/>
        </w:rPr>
        <w:t>(4), 33-50.</w:t>
      </w:r>
    </w:p>
    <w:p w:rsidR="003B7F62" w:rsidRDefault="003B7F62" w:rsidP="00A21562">
      <w:pPr>
        <w:spacing w:after="0" w:line="240" w:lineRule="auto"/>
        <w:jc w:val="both"/>
        <w:rPr>
          <w:rFonts w:ascii="Times New Roman" w:eastAsia="Times New Roman" w:hAnsi="Times New Roman" w:cs="Times New Roman"/>
          <w:color w:val="222222"/>
          <w:sz w:val="24"/>
          <w:szCs w:val="24"/>
          <w:lang w:val="en-GB" w:eastAsia="zh-CN"/>
        </w:rPr>
      </w:pPr>
    </w:p>
    <w:p w:rsidR="003B7F62" w:rsidRPr="00806715" w:rsidRDefault="003B7F62" w:rsidP="003B7F62">
      <w:pPr>
        <w:spacing w:after="0" w:line="240" w:lineRule="auto"/>
        <w:jc w:val="both"/>
        <w:rPr>
          <w:rFonts w:ascii="Times New Roman" w:eastAsia="Times New Roman" w:hAnsi="Times New Roman" w:cs="Times New Roman"/>
          <w:color w:val="222222"/>
          <w:sz w:val="24"/>
          <w:szCs w:val="24"/>
          <w:lang w:val="en-GB" w:eastAsia="zh-CN"/>
        </w:rPr>
      </w:pPr>
      <w:proofErr w:type="gramStart"/>
      <w:r w:rsidRPr="003B7F62">
        <w:rPr>
          <w:rFonts w:ascii="Times New Roman" w:eastAsia="Times New Roman" w:hAnsi="Times New Roman" w:cs="Times New Roman"/>
          <w:color w:val="222222"/>
          <w:sz w:val="24"/>
          <w:szCs w:val="24"/>
          <w:lang w:val="en-GB" w:eastAsia="zh-CN"/>
        </w:rPr>
        <w:t>Simon, D. P. (2002).</w:t>
      </w:r>
      <w:proofErr w:type="gramEnd"/>
      <w:r w:rsidRPr="003B7F62">
        <w:rPr>
          <w:rFonts w:ascii="Times New Roman" w:eastAsia="Times New Roman" w:hAnsi="Times New Roman" w:cs="Times New Roman"/>
          <w:color w:val="222222"/>
          <w:sz w:val="24"/>
          <w:szCs w:val="24"/>
          <w:lang w:val="en-GB" w:eastAsia="zh-CN"/>
        </w:rPr>
        <w:t xml:space="preserve"> Implied </w:t>
      </w:r>
      <w:r>
        <w:rPr>
          <w:rFonts w:ascii="Times New Roman" w:eastAsia="Times New Roman" w:hAnsi="Times New Roman" w:cs="Times New Roman"/>
          <w:color w:val="222222"/>
          <w:sz w:val="24"/>
          <w:szCs w:val="24"/>
          <w:lang w:val="en-GB" w:eastAsia="zh-CN"/>
        </w:rPr>
        <w:t>v</w:t>
      </w:r>
      <w:r w:rsidRPr="003B7F62">
        <w:rPr>
          <w:rFonts w:ascii="Times New Roman" w:eastAsia="Times New Roman" w:hAnsi="Times New Roman" w:cs="Times New Roman"/>
          <w:color w:val="222222"/>
          <w:sz w:val="24"/>
          <w:szCs w:val="24"/>
          <w:lang w:val="en-GB" w:eastAsia="zh-CN"/>
        </w:rPr>
        <w:t xml:space="preserve">olatility </w:t>
      </w:r>
      <w:r>
        <w:rPr>
          <w:rFonts w:ascii="Times New Roman" w:eastAsia="Times New Roman" w:hAnsi="Times New Roman" w:cs="Times New Roman"/>
          <w:color w:val="222222"/>
          <w:sz w:val="24"/>
          <w:szCs w:val="24"/>
          <w:lang w:val="en-GB" w:eastAsia="zh-CN"/>
        </w:rPr>
        <w:t>f</w:t>
      </w:r>
      <w:r w:rsidRPr="003B7F62">
        <w:rPr>
          <w:rFonts w:ascii="Times New Roman" w:eastAsia="Times New Roman" w:hAnsi="Times New Roman" w:cs="Times New Roman"/>
          <w:color w:val="222222"/>
          <w:sz w:val="24"/>
          <w:szCs w:val="24"/>
          <w:lang w:val="en-GB" w:eastAsia="zh-CN"/>
        </w:rPr>
        <w:t xml:space="preserve">orecasts in the </w:t>
      </w:r>
      <w:r>
        <w:rPr>
          <w:rFonts w:ascii="Times New Roman" w:eastAsia="Times New Roman" w:hAnsi="Times New Roman" w:cs="Times New Roman"/>
          <w:color w:val="222222"/>
          <w:sz w:val="24"/>
          <w:szCs w:val="24"/>
          <w:lang w:val="en-GB" w:eastAsia="zh-CN"/>
        </w:rPr>
        <w:t>g</w:t>
      </w:r>
      <w:r w:rsidRPr="003B7F62">
        <w:rPr>
          <w:rFonts w:ascii="Times New Roman" w:eastAsia="Times New Roman" w:hAnsi="Times New Roman" w:cs="Times New Roman"/>
          <w:color w:val="222222"/>
          <w:sz w:val="24"/>
          <w:szCs w:val="24"/>
          <w:lang w:val="en-GB" w:eastAsia="zh-CN"/>
        </w:rPr>
        <w:t xml:space="preserve">rains </w:t>
      </w:r>
      <w:r>
        <w:rPr>
          <w:rFonts w:ascii="Times New Roman" w:eastAsia="Times New Roman" w:hAnsi="Times New Roman" w:cs="Times New Roman"/>
          <w:color w:val="222222"/>
          <w:sz w:val="24"/>
          <w:szCs w:val="24"/>
          <w:lang w:val="en-GB" w:eastAsia="zh-CN"/>
        </w:rPr>
        <w:t>c</w:t>
      </w:r>
      <w:r w:rsidRPr="003B7F62">
        <w:rPr>
          <w:rFonts w:ascii="Times New Roman" w:eastAsia="Times New Roman" w:hAnsi="Times New Roman" w:cs="Times New Roman"/>
          <w:color w:val="222222"/>
          <w:sz w:val="24"/>
          <w:szCs w:val="24"/>
          <w:lang w:val="en-GB" w:eastAsia="zh-CN"/>
        </w:rPr>
        <w:t xml:space="preserve">omplex. </w:t>
      </w:r>
      <w:r w:rsidRPr="003B7F62">
        <w:rPr>
          <w:rFonts w:ascii="Times New Roman" w:eastAsia="Times New Roman" w:hAnsi="Times New Roman" w:cs="Times New Roman"/>
          <w:i/>
          <w:iCs/>
          <w:color w:val="222222"/>
          <w:sz w:val="24"/>
          <w:szCs w:val="24"/>
          <w:lang w:val="en-GB" w:eastAsia="zh-CN"/>
        </w:rPr>
        <w:t>The Journal of Futures Markets</w:t>
      </w:r>
      <w:r w:rsidRPr="003B7F62">
        <w:rPr>
          <w:rFonts w:ascii="Times New Roman" w:eastAsia="Times New Roman" w:hAnsi="Times New Roman" w:cs="Times New Roman"/>
          <w:color w:val="222222"/>
          <w:sz w:val="24"/>
          <w:szCs w:val="24"/>
          <w:lang w:val="en-GB" w:eastAsia="zh-CN"/>
        </w:rPr>
        <w:t>, 22, 959-981.</w:t>
      </w:r>
    </w:p>
    <w:p w:rsidR="0064059C" w:rsidRPr="00806715" w:rsidRDefault="0064059C" w:rsidP="00A21562">
      <w:pPr>
        <w:spacing w:after="0" w:line="240" w:lineRule="auto"/>
        <w:jc w:val="both"/>
        <w:rPr>
          <w:rFonts w:ascii="Times New Roman" w:eastAsia="Times New Roman" w:hAnsi="Times New Roman" w:cs="Times New Roman"/>
          <w:color w:val="222222"/>
          <w:sz w:val="24"/>
          <w:szCs w:val="24"/>
          <w:lang w:val="en-GB" w:eastAsia="zh-CN"/>
        </w:rPr>
      </w:pPr>
    </w:p>
    <w:p w:rsidR="0064059C" w:rsidRDefault="00DD37E6" w:rsidP="00A21562">
      <w:pPr>
        <w:spacing w:after="0" w:line="240" w:lineRule="auto"/>
        <w:jc w:val="both"/>
        <w:rPr>
          <w:rFonts w:ascii="Times New Roman" w:eastAsia="Times New Roman" w:hAnsi="Times New Roman" w:cs="Times New Roman"/>
          <w:color w:val="222222"/>
          <w:sz w:val="24"/>
          <w:szCs w:val="24"/>
          <w:lang w:val="en-GB" w:eastAsia="zh-CN"/>
        </w:rPr>
      </w:pPr>
      <w:proofErr w:type="spellStart"/>
      <w:r w:rsidRPr="001D1BE7">
        <w:rPr>
          <w:rFonts w:ascii="Times New Roman" w:eastAsia="Times New Roman" w:hAnsi="Times New Roman" w:cs="Times New Roman"/>
          <w:color w:val="222222"/>
          <w:sz w:val="24"/>
          <w:szCs w:val="24"/>
          <w:lang w:val="fr-FR" w:eastAsia="zh-CN"/>
        </w:rPr>
        <w:t>Soytas</w:t>
      </w:r>
      <w:proofErr w:type="spellEnd"/>
      <w:r w:rsidRPr="001D1BE7">
        <w:rPr>
          <w:rFonts w:ascii="Times New Roman" w:eastAsia="Times New Roman" w:hAnsi="Times New Roman" w:cs="Times New Roman"/>
          <w:color w:val="222222"/>
          <w:sz w:val="24"/>
          <w:szCs w:val="24"/>
          <w:lang w:val="fr-FR" w:eastAsia="zh-CN"/>
        </w:rPr>
        <w:t xml:space="preserve">, U., Sari, R., </w:t>
      </w:r>
      <w:proofErr w:type="spellStart"/>
      <w:r w:rsidRPr="001D1BE7">
        <w:rPr>
          <w:rFonts w:ascii="Times New Roman" w:eastAsia="Times New Roman" w:hAnsi="Times New Roman" w:cs="Times New Roman"/>
          <w:color w:val="222222"/>
          <w:sz w:val="24"/>
          <w:szCs w:val="24"/>
          <w:lang w:val="fr-FR" w:eastAsia="zh-CN"/>
        </w:rPr>
        <w:t>Hammoudeh</w:t>
      </w:r>
      <w:proofErr w:type="spellEnd"/>
      <w:r w:rsidRPr="001D1BE7">
        <w:rPr>
          <w:rFonts w:ascii="Times New Roman" w:eastAsia="Times New Roman" w:hAnsi="Times New Roman" w:cs="Times New Roman"/>
          <w:color w:val="222222"/>
          <w:sz w:val="24"/>
          <w:szCs w:val="24"/>
          <w:lang w:val="fr-FR" w:eastAsia="zh-CN"/>
        </w:rPr>
        <w:t xml:space="preserve">, S., &amp; </w:t>
      </w:r>
      <w:proofErr w:type="spellStart"/>
      <w:r w:rsidRPr="001D1BE7">
        <w:rPr>
          <w:rFonts w:ascii="Times New Roman" w:eastAsia="Times New Roman" w:hAnsi="Times New Roman" w:cs="Times New Roman"/>
          <w:color w:val="222222"/>
          <w:sz w:val="24"/>
          <w:szCs w:val="24"/>
          <w:lang w:val="fr-FR" w:eastAsia="zh-CN"/>
        </w:rPr>
        <w:t>Hacihasanoglu</w:t>
      </w:r>
      <w:proofErr w:type="spellEnd"/>
      <w:r w:rsidRPr="001D1BE7">
        <w:rPr>
          <w:rFonts w:ascii="Times New Roman" w:eastAsia="Times New Roman" w:hAnsi="Times New Roman" w:cs="Times New Roman"/>
          <w:color w:val="222222"/>
          <w:sz w:val="24"/>
          <w:szCs w:val="24"/>
          <w:lang w:val="fr-FR" w:eastAsia="zh-CN"/>
        </w:rPr>
        <w:t xml:space="preserve">, E. (2009). </w:t>
      </w:r>
      <w:r w:rsidR="0064059C" w:rsidRPr="0064059C">
        <w:rPr>
          <w:rFonts w:ascii="Times New Roman" w:eastAsia="Times New Roman" w:hAnsi="Times New Roman" w:cs="Times New Roman"/>
          <w:color w:val="222222"/>
          <w:sz w:val="24"/>
          <w:szCs w:val="24"/>
          <w:lang w:val="en-GB" w:eastAsia="zh-CN"/>
        </w:rPr>
        <w:t xml:space="preserve">World oil prices, precious metal prices and </w:t>
      </w:r>
      <w:proofErr w:type="spellStart"/>
      <w:r w:rsidR="0064059C" w:rsidRPr="0064059C">
        <w:rPr>
          <w:rFonts w:ascii="Times New Roman" w:eastAsia="Times New Roman" w:hAnsi="Times New Roman" w:cs="Times New Roman"/>
          <w:color w:val="222222"/>
          <w:sz w:val="24"/>
          <w:szCs w:val="24"/>
          <w:lang w:val="en-GB" w:eastAsia="zh-CN"/>
        </w:rPr>
        <w:t>macroeconomy</w:t>
      </w:r>
      <w:proofErr w:type="spellEnd"/>
      <w:r w:rsidR="0064059C" w:rsidRPr="0064059C">
        <w:rPr>
          <w:rFonts w:ascii="Times New Roman" w:eastAsia="Times New Roman" w:hAnsi="Times New Roman" w:cs="Times New Roman"/>
          <w:color w:val="222222"/>
          <w:sz w:val="24"/>
          <w:szCs w:val="24"/>
          <w:lang w:val="en-GB" w:eastAsia="zh-CN"/>
        </w:rPr>
        <w:t xml:space="preserve"> in Turkey. </w:t>
      </w:r>
      <w:r w:rsidR="0064059C" w:rsidRPr="0064059C">
        <w:rPr>
          <w:rFonts w:ascii="Times New Roman" w:eastAsia="Times New Roman" w:hAnsi="Times New Roman" w:cs="Times New Roman"/>
          <w:i/>
          <w:iCs/>
          <w:color w:val="222222"/>
          <w:sz w:val="24"/>
          <w:szCs w:val="24"/>
          <w:lang w:val="en-GB" w:eastAsia="zh-CN"/>
        </w:rPr>
        <w:t>Energy Policy</w:t>
      </w:r>
      <w:r w:rsidR="0064059C" w:rsidRPr="0064059C">
        <w:rPr>
          <w:rFonts w:ascii="Times New Roman" w:eastAsia="Times New Roman" w:hAnsi="Times New Roman" w:cs="Times New Roman"/>
          <w:color w:val="222222"/>
          <w:sz w:val="24"/>
          <w:szCs w:val="24"/>
          <w:lang w:val="en-GB" w:eastAsia="zh-CN"/>
        </w:rPr>
        <w:t xml:space="preserve">, </w:t>
      </w:r>
      <w:r w:rsidR="0064059C" w:rsidRPr="0064059C">
        <w:rPr>
          <w:rFonts w:ascii="Times New Roman" w:eastAsia="Times New Roman" w:hAnsi="Times New Roman" w:cs="Times New Roman"/>
          <w:i/>
          <w:iCs/>
          <w:color w:val="222222"/>
          <w:sz w:val="24"/>
          <w:szCs w:val="24"/>
          <w:lang w:val="en-GB" w:eastAsia="zh-CN"/>
        </w:rPr>
        <w:t>37</w:t>
      </w:r>
      <w:r w:rsidR="0064059C" w:rsidRPr="0064059C">
        <w:rPr>
          <w:rFonts w:ascii="Times New Roman" w:eastAsia="Times New Roman" w:hAnsi="Times New Roman" w:cs="Times New Roman"/>
          <w:color w:val="222222"/>
          <w:sz w:val="24"/>
          <w:szCs w:val="24"/>
          <w:lang w:val="en-GB" w:eastAsia="zh-CN"/>
        </w:rPr>
        <w:t>(12), 5557-5566.</w:t>
      </w:r>
    </w:p>
    <w:p w:rsidR="000C3ED6" w:rsidRDefault="000C3ED6" w:rsidP="00A21562">
      <w:pPr>
        <w:spacing w:after="0" w:line="240" w:lineRule="auto"/>
        <w:jc w:val="both"/>
        <w:rPr>
          <w:rFonts w:ascii="Times New Roman" w:eastAsia="Times New Roman" w:hAnsi="Times New Roman" w:cs="Times New Roman"/>
          <w:color w:val="222222"/>
          <w:sz w:val="24"/>
          <w:szCs w:val="24"/>
          <w:lang w:val="en-GB" w:eastAsia="zh-CN"/>
        </w:rPr>
      </w:pPr>
    </w:p>
    <w:p w:rsidR="000C3ED6" w:rsidRPr="000C3ED6" w:rsidRDefault="000C3ED6" w:rsidP="000C3ED6">
      <w:pPr>
        <w:spacing w:after="0" w:line="240" w:lineRule="auto"/>
        <w:jc w:val="both"/>
        <w:rPr>
          <w:rFonts w:ascii="Times New Roman" w:eastAsia="Times New Roman" w:hAnsi="Times New Roman" w:cs="Times New Roman"/>
          <w:color w:val="222222"/>
          <w:sz w:val="24"/>
          <w:szCs w:val="24"/>
          <w:lang w:val="en-GB" w:eastAsia="zh-CN"/>
        </w:rPr>
      </w:pPr>
      <w:proofErr w:type="spellStart"/>
      <w:r w:rsidRPr="000C3ED6">
        <w:rPr>
          <w:rFonts w:ascii="Times New Roman" w:eastAsia="Times New Roman" w:hAnsi="Times New Roman" w:cs="Times New Roman"/>
          <w:color w:val="222222"/>
          <w:sz w:val="24"/>
          <w:szCs w:val="24"/>
          <w:lang w:val="en-GB" w:eastAsia="zh-CN"/>
        </w:rPr>
        <w:t>Triacca</w:t>
      </w:r>
      <w:proofErr w:type="spellEnd"/>
      <w:r w:rsidRPr="000C3ED6">
        <w:rPr>
          <w:rFonts w:ascii="Times New Roman" w:eastAsia="Times New Roman" w:hAnsi="Times New Roman" w:cs="Times New Roman"/>
          <w:color w:val="222222"/>
          <w:sz w:val="24"/>
          <w:szCs w:val="24"/>
          <w:lang w:val="en-GB" w:eastAsia="zh-CN"/>
        </w:rPr>
        <w:t>, U. (2007). On the variance of the error associated to the squared</w:t>
      </w:r>
      <w:r>
        <w:rPr>
          <w:rFonts w:ascii="Times New Roman" w:eastAsia="Times New Roman" w:hAnsi="Times New Roman" w:cs="Times New Roman"/>
          <w:color w:val="222222"/>
          <w:sz w:val="24"/>
          <w:szCs w:val="24"/>
          <w:lang w:val="en-GB" w:eastAsia="zh-CN"/>
        </w:rPr>
        <w:t xml:space="preserve"> return as proxy for volatility.</w:t>
      </w:r>
      <w:r w:rsidRPr="000C3ED6">
        <w:rPr>
          <w:rFonts w:ascii="Times New Roman" w:eastAsia="Times New Roman" w:hAnsi="Times New Roman" w:cs="Times New Roman"/>
          <w:color w:val="222222"/>
          <w:sz w:val="24"/>
          <w:szCs w:val="24"/>
          <w:lang w:val="en-GB" w:eastAsia="zh-CN"/>
        </w:rPr>
        <w:t xml:space="preserve"> </w:t>
      </w:r>
      <w:proofErr w:type="gramStart"/>
      <w:r w:rsidRPr="000C3ED6">
        <w:rPr>
          <w:rFonts w:ascii="Times New Roman" w:eastAsia="Times New Roman" w:hAnsi="Times New Roman" w:cs="Times New Roman"/>
          <w:i/>
          <w:iCs/>
          <w:color w:val="222222"/>
          <w:sz w:val="24"/>
          <w:szCs w:val="24"/>
          <w:lang w:val="en-GB" w:eastAsia="zh-CN"/>
        </w:rPr>
        <w:t>Applied Financial Economics Letters</w:t>
      </w:r>
      <w:r w:rsidRPr="000C3ED6">
        <w:rPr>
          <w:rFonts w:ascii="Times New Roman" w:eastAsia="Times New Roman" w:hAnsi="Times New Roman" w:cs="Times New Roman"/>
          <w:color w:val="222222"/>
          <w:sz w:val="24"/>
          <w:szCs w:val="24"/>
          <w:lang w:val="en-GB" w:eastAsia="zh-CN"/>
        </w:rPr>
        <w:t>, 3, 255</w:t>
      </w:r>
      <w:r w:rsidRPr="000C3ED6">
        <w:rPr>
          <w:rFonts w:ascii="Times New Roman" w:eastAsia="Times New Roman" w:hAnsi="Times New Roman" w:cs="Times New Roman" w:hint="cs"/>
          <w:color w:val="222222"/>
          <w:sz w:val="24"/>
          <w:szCs w:val="24"/>
          <w:lang w:val="en-GB" w:eastAsia="zh-CN"/>
        </w:rPr>
        <w:t>–</w:t>
      </w:r>
      <w:r w:rsidRPr="000C3ED6">
        <w:rPr>
          <w:rFonts w:ascii="Times New Roman" w:eastAsia="Times New Roman" w:hAnsi="Times New Roman" w:cs="Times New Roman"/>
          <w:color w:val="222222"/>
          <w:sz w:val="24"/>
          <w:szCs w:val="24"/>
          <w:lang w:val="en-GB" w:eastAsia="zh-CN"/>
        </w:rPr>
        <w:t>27.</w:t>
      </w:r>
      <w:proofErr w:type="gramEnd"/>
    </w:p>
    <w:p w:rsidR="003E32EF" w:rsidRPr="00806715" w:rsidRDefault="003E32EF" w:rsidP="00A21562">
      <w:pPr>
        <w:spacing w:after="0" w:line="240" w:lineRule="auto"/>
        <w:jc w:val="both"/>
        <w:rPr>
          <w:rFonts w:ascii="Times New Roman" w:eastAsia="Times New Roman" w:hAnsi="Times New Roman" w:cs="Times New Roman"/>
          <w:color w:val="222222"/>
          <w:sz w:val="24"/>
          <w:szCs w:val="24"/>
          <w:lang w:val="en-GB" w:eastAsia="zh-CN"/>
        </w:rPr>
      </w:pPr>
    </w:p>
    <w:p w:rsidR="0032609F" w:rsidRDefault="003E32EF" w:rsidP="00FB5BEB">
      <w:pPr>
        <w:spacing w:after="0" w:line="240" w:lineRule="auto"/>
        <w:jc w:val="both"/>
        <w:rPr>
          <w:rFonts w:ascii="Times New Roman" w:eastAsia="Times New Roman" w:hAnsi="Times New Roman" w:cs="Times New Roman"/>
          <w:color w:val="222222"/>
          <w:sz w:val="24"/>
          <w:szCs w:val="24"/>
          <w:lang w:val="en-GB" w:eastAsia="zh-CN"/>
        </w:rPr>
      </w:pPr>
      <w:r w:rsidRPr="003E32EF">
        <w:rPr>
          <w:rFonts w:ascii="Times New Roman" w:eastAsia="Times New Roman" w:hAnsi="Times New Roman" w:cs="Times New Roman"/>
          <w:color w:val="222222"/>
          <w:sz w:val="24"/>
          <w:szCs w:val="24"/>
          <w:lang w:val="en-GB" w:eastAsia="zh-CN"/>
        </w:rPr>
        <w:t xml:space="preserve">Trivedi, P. K. (1995). </w:t>
      </w:r>
      <w:proofErr w:type="gramStart"/>
      <w:r w:rsidRPr="003E32EF">
        <w:rPr>
          <w:rFonts w:ascii="Times New Roman" w:eastAsia="Times New Roman" w:hAnsi="Times New Roman" w:cs="Times New Roman"/>
          <w:color w:val="222222"/>
          <w:sz w:val="24"/>
          <w:szCs w:val="24"/>
          <w:lang w:val="en-GB" w:eastAsia="zh-CN"/>
        </w:rPr>
        <w:t xml:space="preserve">Tests of some hypotheses about the time series </w:t>
      </w:r>
      <w:proofErr w:type="spellStart"/>
      <w:r w:rsidRPr="003E32EF">
        <w:rPr>
          <w:rFonts w:ascii="Times New Roman" w:eastAsia="Times New Roman" w:hAnsi="Times New Roman" w:cs="Times New Roman"/>
          <w:color w:val="222222"/>
          <w:sz w:val="24"/>
          <w:szCs w:val="24"/>
          <w:lang w:val="en-GB" w:eastAsia="zh-CN"/>
        </w:rPr>
        <w:t>behavior</w:t>
      </w:r>
      <w:proofErr w:type="spellEnd"/>
      <w:r w:rsidRPr="003E32EF">
        <w:rPr>
          <w:rFonts w:ascii="Times New Roman" w:eastAsia="Times New Roman" w:hAnsi="Times New Roman" w:cs="Times New Roman"/>
          <w:color w:val="222222"/>
          <w:sz w:val="24"/>
          <w:szCs w:val="24"/>
          <w:lang w:val="en-GB" w:eastAsia="zh-CN"/>
        </w:rPr>
        <w:t xml:space="preserve"> of commodity prices.</w:t>
      </w:r>
      <w:proofErr w:type="gramEnd"/>
      <w:r w:rsidRPr="003E32EF">
        <w:rPr>
          <w:rFonts w:ascii="Times New Roman" w:eastAsia="Times New Roman" w:hAnsi="Times New Roman" w:cs="Times New Roman"/>
          <w:color w:val="222222"/>
          <w:sz w:val="24"/>
          <w:szCs w:val="24"/>
          <w:lang w:val="en-GB" w:eastAsia="zh-CN"/>
        </w:rPr>
        <w:t xml:space="preserve"> </w:t>
      </w:r>
      <w:r w:rsidRPr="003E32EF">
        <w:rPr>
          <w:rFonts w:ascii="Times New Roman" w:eastAsia="Times New Roman" w:hAnsi="Times New Roman" w:cs="Times New Roman"/>
          <w:i/>
          <w:iCs/>
          <w:color w:val="222222"/>
          <w:sz w:val="24"/>
          <w:szCs w:val="24"/>
          <w:lang w:val="en-GB" w:eastAsia="zh-CN"/>
        </w:rPr>
        <w:t xml:space="preserve">Advances in Econometrics and Quantitative Economics: Essays in </w:t>
      </w:r>
      <w:proofErr w:type="spellStart"/>
      <w:r w:rsidRPr="003E32EF">
        <w:rPr>
          <w:rFonts w:ascii="Times New Roman" w:eastAsia="Times New Roman" w:hAnsi="Times New Roman" w:cs="Times New Roman"/>
          <w:i/>
          <w:iCs/>
          <w:color w:val="222222"/>
          <w:sz w:val="24"/>
          <w:szCs w:val="24"/>
          <w:lang w:val="en-GB" w:eastAsia="zh-CN"/>
        </w:rPr>
        <w:t>Honor</w:t>
      </w:r>
      <w:proofErr w:type="spellEnd"/>
      <w:r w:rsidRPr="003E32EF">
        <w:rPr>
          <w:rFonts w:ascii="Times New Roman" w:eastAsia="Times New Roman" w:hAnsi="Times New Roman" w:cs="Times New Roman"/>
          <w:i/>
          <w:iCs/>
          <w:color w:val="222222"/>
          <w:sz w:val="24"/>
          <w:szCs w:val="24"/>
          <w:lang w:val="en-GB" w:eastAsia="zh-CN"/>
        </w:rPr>
        <w:t xml:space="preserve"> of CR Rao, Oxford: Blackwell</w:t>
      </w:r>
      <w:r w:rsidRPr="003E32EF">
        <w:rPr>
          <w:rFonts w:ascii="Times New Roman" w:eastAsia="Times New Roman" w:hAnsi="Times New Roman" w:cs="Times New Roman"/>
          <w:color w:val="222222"/>
          <w:sz w:val="24"/>
          <w:szCs w:val="24"/>
          <w:lang w:val="en-GB" w:eastAsia="zh-CN"/>
        </w:rPr>
        <w:t>, 382-412.</w:t>
      </w:r>
    </w:p>
    <w:p w:rsidR="00FB5BEB" w:rsidRPr="00FB5BEB" w:rsidRDefault="00FB5BEB" w:rsidP="00FB5BEB">
      <w:pPr>
        <w:spacing w:after="0" w:line="240" w:lineRule="auto"/>
        <w:jc w:val="both"/>
        <w:rPr>
          <w:rFonts w:ascii="Times New Roman" w:eastAsia="Times New Roman" w:hAnsi="Times New Roman" w:cs="Times New Roman"/>
          <w:color w:val="222222"/>
          <w:sz w:val="24"/>
          <w:szCs w:val="24"/>
          <w:lang w:val="en-GB" w:eastAsia="zh-CN"/>
        </w:rPr>
      </w:pPr>
    </w:p>
    <w:p w:rsidR="005E1F8A" w:rsidRPr="00806715" w:rsidRDefault="005E1F8A" w:rsidP="00A21562">
      <w:pPr>
        <w:jc w:val="both"/>
        <w:rPr>
          <w:rFonts w:ascii="Times New Roman" w:hAnsi="Times New Roman" w:cs="Times New Roman"/>
          <w:color w:val="222222"/>
          <w:sz w:val="24"/>
          <w:szCs w:val="24"/>
          <w:lang w:val="en-GB" w:eastAsia="zh-CN"/>
        </w:rPr>
      </w:pPr>
      <w:r w:rsidRPr="00806715">
        <w:rPr>
          <w:rFonts w:ascii="Times New Roman" w:hAnsi="Times New Roman" w:cs="Times New Roman"/>
          <w:color w:val="222222"/>
          <w:sz w:val="24"/>
          <w:szCs w:val="24"/>
          <w:lang w:val="en-GB" w:eastAsia="zh-CN"/>
        </w:rPr>
        <w:t>Tsai, C. L. (2015). How do US stock returns respond differently to oil price shocks pre-crisis, within the financial crisis, and post-crisis</w:t>
      </w:r>
      <w:proofErr w:type="gramStart"/>
      <w:r w:rsidRPr="00806715">
        <w:rPr>
          <w:rFonts w:ascii="Times New Roman" w:hAnsi="Times New Roman" w:cs="Times New Roman"/>
          <w:color w:val="222222"/>
          <w:sz w:val="24"/>
          <w:szCs w:val="24"/>
          <w:lang w:val="en-GB" w:eastAsia="zh-CN"/>
        </w:rPr>
        <w:t>?.</w:t>
      </w:r>
      <w:proofErr w:type="gramEnd"/>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Energy Economics</w:t>
      </w:r>
      <w:r w:rsidRPr="00806715">
        <w:rPr>
          <w:rFonts w:ascii="Times New Roman" w:hAnsi="Times New Roman" w:cs="Times New Roman"/>
          <w:color w:val="222222"/>
          <w:sz w:val="24"/>
          <w:szCs w:val="24"/>
          <w:lang w:val="en-GB" w:eastAsia="zh-CN"/>
        </w:rPr>
        <w:t xml:space="preserve">, </w:t>
      </w:r>
      <w:r w:rsidRPr="00806715">
        <w:rPr>
          <w:rFonts w:ascii="Times New Roman" w:hAnsi="Times New Roman" w:cs="Times New Roman"/>
          <w:i/>
          <w:iCs/>
          <w:color w:val="222222"/>
          <w:sz w:val="24"/>
          <w:szCs w:val="24"/>
          <w:lang w:val="en-GB" w:eastAsia="zh-CN"/>
        </w:rPr>
        <w:t>50</w:t>
      </w:r>
      <w:r w:rsidRPr="00806715">
        <w:rPr>
          <w:rFonts w:ascii="Times New Roman" w:hAnsi="Times New Roman" w:cs="Times New Roman"/>
          <w:color w:val="222222"/>
          <w:sz w:val="24"/>
          <w:szCs w:val="24"/>
          <w:lang w:val="en-GB" w:eastAsia="zh-CN"/>
        </w:rPr>
        <w:t>, 47-62.</w:t>
      </w:r>
    </w:p>
    <w:p w:rsidR="0032609F" w:rsidRPr="0032609F" w:rsidRDefault="0032609F" w:rsidP="00A21562">
      <w:pPr>
        <w:spacing w:after="0" w:line="240" w:lineRule="auto"/>
        <w:jc w:val="both"/>
        <w:rPr>
          <w:rFonts w:ascii="Times New Roman" w:eastAsia="Times New Roman" w:hAnsi="Times New Roman" w:cs="Times New Roman"/>
          <w:color w:val="222222"/>
          <w:sz w:val="24"/>
          <w:szCs w:val="24"/>
          <w:lang w:val="en-GB" w:eastAsia="zh-CN"/>
        </w:rPr>
      </w:pPr>
      <w:proofErr w:type="gramStart"/>
      <w:r w:rsidRPr="0032609F">
        <w:rPr>
          <w:rFonts w:ascii="Times New Roman" w:eastAsia="Times New Roman" w:hAnsi="Times New Roman" w:cs="Times New Roman"/>
          <w:color w:val="222222"/>
          <w:sz w:val="24"/>
          <w:szCs w:val="24"/>
          <w:lang w:val="en-GB" w:eastAsia="zh-CN"/>
        </w:rPr>
        <w:t>Tully, E., &amp; Lucey, B. M. (2007).</w:t>
      </w:r>
      <w:proofErr w:type="gramEnd"/>
      <w:r w:rsidRPr="0032609F">
        <w:rPr>
          <w:rFonts w:ascii="Times New Roman" w:eastAsia="Times New Roman" w:hAnsi="Times New Roman" w:cs="Times New Roman"/>
          <w:color w:val="222222"/>
          <w:sz w:val="24"/>
          <w:szCs w:val="24"/>
          <w:lang w:val="en-GB" w:eastAsia="zh-CN"/>
        </w:rPr>
        <w:t xml:space="preserve"> </w:t>
      </w:r>
      <w:proofErr w:type="gramStart"/>
      <w:r w:rsidRPr="0032609F">
        <w:rPr>
          <w:rFonts w:ascii="Times New Roman" w:eastAsia="Times New Roman" w:hAnsi="Times New Roman" w:cs="Times New Roman"/>
          <w:color w:val="222222"/>
          <w:sz w:val="24"/>
          <w:szCs w:val="24"/>
          <w:lang w:val="en-GB" w:eastAsia="zh-CN"/>
        </w:rPr>
        <w:t>A power GARCH examination of the gold market.</w:t>
      </w:r>
      <w:proofErr w:type="gramEnd"/>
      <w:r w:rsidRPr="0032609F">
        <w:rPr>
          <w:rFonts w:ascii="Times New Roman" w:eastAsia="Times New Roman" w:hAnsi="Times New Roman" w:cs="Times New Roman"/>
          <w:color w:val="222222"/>
          <w:sz w:val="24"/>
          <w:szCs w:val="24"/>
          <w:lang w:val="en-GB" w:eastAsia="zh-CN"/>
        </w:rPr>
        <w:t xml:space="preserve"> </w:t>
      </w:r>
      <w:r w:rsidRPr="0032609F">
        <w:rPr>
          <w:rFonts w:ascii="Times New Roman" w:eastAsia="Times New Roman" w:hAnsi="Times New Roman" w:cs="Times New Roman"/>
          <w:i/>
          <w:iCs/>
          <w:color w:val="222222"/>
          <w:sz w:val="24"/>
          <w:szCs w:val="24"/>
          <w:lang w:val="en-GB" w:eastAsia="zh-CN"/>
        </w:rPr>
        <w:t>Research in International Business and Finance</w:t>
      </w:r>
      <w:r w:rsidRPr="0032609F">
        <w:rPr>
          <w:rFonts w:ascii="Times New Roman" w:eastAsia="Times New Roman" w:hAnsi="Times New Roman" w:cs="Times New Roman"/>
          <w:color w:val="222222"/>
          <w:sz w:val="24"/>
          <w:szCs w:val="24"/>
          <w:lang w:val="en-GB" w:eastAsia="zh-CN"/>
        </w:rPr>
        <w:t xml:space="preserve">, </w:t>
      </w:r>
      <w:r w:rsidRPr="0032609F">
        <w:rPr>
          <w:rFonts w:ascii="Times New Roman" w:eastAsia="Times New Roman" w:hAnsi="Times New Roman" w:cs="Times New Roman"/>
          <w:i/>
          <w:iCs/>
          <w:color w:val="222222"/>
          <w:sz w:val="24"/>
          <w:szCs w:val="24"/>
          <w:lang w:val="en-GB" w:eastAsia="zh-CN"/>
        </w:rPr>
        <w:t>21</w:t>
      </w:r>
      <w:r w:rsidRPr="0032609F">
        <w:rPr>
          <w:rFonts w:ascii="Times New Roman" w:eastAsia="Times New Roman" w:hAnsi="Times New Roman" w:cs="Times New Roman"/>
          <w:color w:val="222222"/>
          <w:sz w:val="24"/>
          <w:szCs w:val="24"/>
          <w:lang w:val="en-GB" w:eastAsia="zh-CN"/>
        </w:rPr>
        <w:t>(2), 316-325.</w:t>
      </w:r>
    </w:p>
    <w:p w:rsidR="0032609F" w:rsidRPr="00806715" w:rsidRDefault="0032609F" w:rsidP="00A21562">
      <w:pPr>
        <w:spacing w:after="0" w:line="240" w:lineRule="auto"/>
        <w:jc w:val="both"/>
        <w:rPr>
          <w:rFonts w:ascii="Times New Roman" w:eastAsia="Times New Roman" w:hAnsi="Times New Roman" w:cs="Times New Roman"/>
          <w:color w:val="222222"/>
          <w:sz w:val="24"/>
          <w:szCs w:val="24"/>
          <w:lang w:val="en-GB" w:eastAsia="zh-CN"/>
        </w:rPr>
      </w:pPr>
    </w:p>
    <w:p w:rsidR="007020DC" w:rsidRDefault="007020DC" w:rsidP="00FB5BEB">
      <w:pPr>
        <w:spacing w:after="0" w:line="240" w:lineRule="auto"/>
        <w:jc w:val="both"/>
        <w:rPr>
          <w:rFonts w:ascii="Times New Roman" w:eastAsia="Times New Roman" w:hAnsi="Times New Roman" w:cs="Times New Roman"/>
          <w:color w:val="222222"/>
          <w:sz w:val="24"/>
          <w:szCs w:val="24"/>
          <w:lang w:val="en-GB" w:eastAsia="zh-CN"/>
        </w:rPr>
      </w:pPr>
      <w:proofErr w:type="gramStart"/>
      <w:r w:rsidRPr="007020DC">
        <w:rPr>
          <w:rFonts w:ascii="Times New Roman" w:eastAsia="Times New Roman" w:hAnsi="Times New Roman" w:cs="Times New Roman"/>
          <w:color w:val="222222"/>
          <w:sz w:val="24"/>
          <w:szCs w:val="24"/>
          <w:lang w:val="en-GB" w:eastAsia="zh-CN"/>
        </w:rPr>
        <w:t>Tyner, W. E. (2008).</w:t>
      </w:r>
      <w:proofErr w:type="gramEnd"/>
      <w:r w:rsidRPr="007020DC">
        <w:rPr>
          <w:rFonts w:ascii="Times New Roman" w:eastAsia="Times New Roman" w:hAnsi="Times New Roman" w:cs="Times New Roman"/>
          <w:color w:val="222222"/>
          <w:sz w:val="24"/>
          <w:szCs w:val="24"/>
          <w:lang w:val="en-GB" w:eastAsia="zh-CN"/>
        </w:rPr>
        <w:t xml:space="preserve"> The US ethanol and biofuels boom: Its origins, current status, and future prospects. </w:t>
      </w:r>
      <w:proofErr w:type="spellStart"/>
      <w:r w:rsidRPr="007020DC">
        <w:rPr>
          <w:rFonts w:ascii="Times New Roman" w:eastAsia="Times New Roman" w:hAnsi="Times New Roman" w:cs="Times New Roman"/>
          <w:i/>
          <w:iCs/>
          <w:color w:val="222222"/>
          <w:sz w:val="24"/>
          <w:szCs w:val="24"/>
          <w:lang w:val="en-GB" w:eastAsia="zh-CN"/>
        </w:rPr>
        <w:t>BioScience</w:t>
      </w:r>
      <w:proofErr w:type="spellEnd"/>
      <w:r w:rsidRPr="007020DC">
        <w:rPr>
          <w:rFonts w:ascii="Times New Roman" w:eastAsia="Times New Roman" w:hAnsi="Times New Roman" w:cs="Times New Roman"/>
          <w:color w:val="222222"/>
          <w:sz w:val="24"/>
          <w:szCs w:val="24"/>
          <w:lang w:val="en-GB" w:eastAsia="zh-CN"/>
        </w:rPr>
        <w:t xml:space="preserve">, </w:t>
      </w:r>
      <w:r w:rsidRPr="007020DC">
        <w:rPr>
          <w:rFonts w:ascii="Times New Roman" w:eastAsia="Times New Roman" w:hAnsi="Times New Roman" w:cs="Times New Roman"/>
          <w:i/>
          <w:iCs/>
          <w:color w:val="222222"/>
          <w:sz w:val="24"/>
          <w:szCs w:val="24"/>
          <w:lang w:val="en-GB" w:eastAsia="zh-CN"/>
        </w:rPr>
        <w:t>58</w:t>
      </w:r>
      <w:r w:rsidRPr="007020DC">
        <w:rPr>
          <w:rFonts w:ascii="Times New Roman" w:eastAsia="Times New Roman" w:hAnsi="Times New Roman" w:cs="Times New Roman"/>
          <w:color w:val="222222"/>
          <w:sz w:val="24"/>
          <w:szCs w:val="24"/>
          <w:lang w:val="en-GB" w:eastAsia="zh-CN"/>
        </w:rPr>
        <w:t>(7), 646-653.</w:t>
      </w:r>
    </w:p>
    <w:p w:rsidR="00E80B09" w:rsidRDefault="00E80B09" w:rsidP="00FB5BEB">
      <w:pPr>
        <w:spacing w:after="0" w:line="240" w:lineRule="auto"/>
        <w:jc w:val="both"/>
        <w:rPr>
          <w:rFonts w:ascii="Times New Roman" w:eastAsia="Times New Roman" w:hAnsi="Times New Roman" w:cs="Times New Roman"/>
          <w:color w:val="222222"/>
          <w:sz w:val="24"/>
          <w:szCs w:val="24"/>
          <w:lang w:val="en-GB" w:eastAsia="zh-CN"/>
        </w:rPr>
      </w:pPr>
    </w:p>
    <w:p w:rsidR="00E80B09" w:rsidRDefault="00E80B09" w:rsidP="00E80B09">
      <w:pPr>
        <w:spacing w:after="0" w:line="240" w:lineRule="auto"/>
        <w:jc w:val="both"/>
        <w:rPr>
          <w:rFonts w:ascii="Times New Roman" w:eastAsia="Times New Roman" w:hAnsi="Times New Roman" w:cs="Times New Roman"/>
          <w:color w:val="222222"/>
          <w:sz w:val="24"/>
          <w:szCs w:val="24"/>
          <w:lang w:val="en-GB" w:eastAsia="zh-CN"/>
        </w:rPr>
      </w:pPr>
      <w:proofErr w:type="gramStart"/>
      <w:r w:rsidRPr="00E80B09">
        <w:rPr>
          <w:rFonts w:ascii="Times New Roman" w:eastAsia="Times New Roman" w:hAnsi="Times New Roman" w:cs="Times New Roman"/>
          <w:color w:val="222222"/>
          <w:sz w:val="24"/>
          <w:szCs w:val="24"/>
          <w:lang w:val="en-GB" w:eastAsia="zh-CN"/>
        </w:rPr>
        <w:t>Whaley, R. E. (200</w:t>
      </w:r>
      <w:r>
        <w:rPr>
          <w:rFonts w:ascii="Times New Roman" w:eastAsia="Times New Roman" w:hAnsi="Times New Roman" w:cs="Times New Roman"/>
          <w:color w:val="222222"/>
          <w:sz w:val="24"/>
          <w:szCs w:val="24"/>
          <w:lang w:val="en-GB" w:eastAsia="zh-CN"/>
        </w:rPr>
        <w:t>8).</w:t>
      </w:r>
      <w:proofErr w:type="gramEnd"/>
      <w:r>
        <w:rPr>
          <w:rFonts w:ascii="Times New Roman" w:eastAsia="Times New Roman" w:hAnsi="Times New Roman" w:cs="Times New Roman"/>
          <w:color w:val="222222"/>
          <w:sz w:val="24"/>
          <w:szCs w:val="24"/>
          <w:lang w:val="en-GB" w:eastAsia="zh-CN"/>
        </w:rPr>
        <w:t xml:space="preserve"> </w:t>
      </w:r>
      <w:proofErr w:type="gramStart"/>
      <w:r>
        <w:rPr>
          <w:rFonts w:ascii="Times New Roman" w:eastAsia="Times New Roman" w:hAnsi="Times New Roman" w:cs="Times New Roman"/>
          <w:color w:val="222222"/>
          <w:sz w:val="24"/>
          <w:szCs w:val="24"/>
          <w:lang w:val="en-GB" w:eastAsia="zh-CN"/>
        </w:rPr>
        <w:t>Understanding VIX</w:t>
      </w:r>
      <w:r w:rsidRPr="00E80B09">
        <w:rPr>
          <w:rFonts w:ascii="Times New Roman" w:eastAsia="Times New Roman" w:hAnsi="Times New Roman" w:cs="Times New Roman"/>
          <w:color w:val="222222"/>
          <w:sz w:val="24"/>
          <w:szCs w:val="24"/>
          <w:lang w:val="en-GB" w:eastAsia="zh-CN"/>
        </w:rPr>
        <w:t>.</w:t>
      </w:r>
      <w:proofErr w:type="gramEnd"/>
      <w:r w:rsidRPr="00E80B09">
        <w:rPr>
          <w:rFonts w:ascii="Times New Roman" w:eastAsia="Times New Roman" w:hAnsi="Times New Roman" w:cs="Times New Roman"/>
          <w:color w:val="222222"/>
          <w:sz w:val="24"/>
          <w:szCs w:val="24"/>
          <w:lang w:val="en-GB" w:eastAsia="zh-CN"/>
        </w:rPr>
        <w:t xml:space="preserve"> Available at </w:t>
      </w:r>
      <w:hyperlink r:id="rId9" w:history="1">
        <w:r w:rsidRPr="00122EAC">
          <w:rPr>
            <w:rStyle w:val="Hyperlink"/>
            <w:rFonts w:ascii="Times New Roman" w:eastAsia="Times New Roman" w:hAnsi="Times New Roman" w:cs="Times New Roman"/>
            <w:sz w:val="24"/>
            <w:szCs w:val="24"/>
            <w:lang w:val="en-GB" w:eastAsia="zh-CN"/>
          </w:rPr>
          <w:t>http://papers.ssrn.com/sol3/papers.cfm?abstract_id=1296743</w:t>
        </w:r>
      </w:hyperlink>
    </w:p>
    <w:p w:rsidR="00E80B09" w:rsidRPr="00FB5BEB" w:rsidRDefault="00E80B09" w:rsidP="00E80B09">
      <w:pPr>
        <w:spacing w:after="0" w:line="240" w:lineRule="auto"/>
        <w:jc w:val="both"/>
        <w:rPr>
          <w:rFonts w:ascii="Times New Roman" w:eastAsia="Times New Roman" w:hAnsi="Times New Roman" w:cs="Times New Roman"/>
          <w:color w:val="222222"/>
          <w:sz w:val="24"/>
          <w:szCs w:val="24"/>
          <w:lang w:val="en-GB" w:eastAsia="zh-CN"/>
        </w:rPr>
      </w:pPr>
    </w:p>
    <w:p w:rsidR="0032609F" w:rsidRPr="0032609F" w:rsidRDefault="0032609F" w:rsidP="00A21562">
      <w:pPr>
        <w:spacing w:after="0" w:line="240" w:lineRule="auto"/>
        <w:jc w:val="both"/>
        <w:rPr>
          <w:rFonts w:ascii="Times New Roman" w:eastAsia="Times New Roman" w:hAnsi="Times New Roman" w:cs="Times New Roman"/>
          <w:color w:val="222222"/>
          <w:sz w:val="24"/>
          <w:szCs w:val="24"/>
          <w:lang w:val="en-GB" w:eastAsia="zh-CN"/>
        </w:rPr>
      </w:pPr>
      <w:proofErr w:type="gramStart"/>
      <w:r w:rsidRPr="0032609F">
        <w:rPr>
          <w:rFonts w:ascii="Times New Roman" w:eastAsia="Times New Roman" w:hAnsi="Times New Roman" w:cs="Times New Roman"/>
          <w:color w:val="222222"/>
          <w:sz w:val="24"/>
          <w:szCs w:val="24"/>
          <w:lang w:val="en-GB" w:eastAsia="zh-CN"/>
        </w:rPr>
        <w:t xml:space="preserve">Worthington, A. C., &amp; </w:t>
      </w:r>
      <w:proofErr w:type="spellStart"/>
      <w:r w:rsidRPr="0032609F">
        <w:rPr>
          <w:rFonts w:ascii="Times New Roman" w:eastAsia="Times New Roman" w:hAnsi="Times New Roman" w:cs="Times New Roman"/>
          <w:color w:val="222222"/>
          <w:sz w:val="24"/>
          <w:szCs w:val="24"/>
          <w:lang w:val="en-GB" w:eastAsia="zh-CN"/>
        </w:rPr>
        <w:t>Pahlavani</w:t>
      </w:r>
      <w:proofErr w:type="spellEnd"/>
      <w:r w:rsidRPr="0032609F">
        <w:rPr>
          <w:rFonts w:ascii="Times New Roman" w:eastAsia="Times New Roman" w:hAnsi="Times New Roman" w:cs="Times New Roman"/>
          <w:color w:val="222222"/>
          <w:sz w:val="24"/>
          <w:szCs w:val="24"/>
          <w:lang w:val="en-GB" w:eastAsia="zh-CN"/>
        </w:rPr>
        <w:t>, M. (2007).</w:t>
      </w:r>
      <w:proofErr w:type="gramEnd"/>
      <w:r w:rsidRPr="0032609F">
        <w:rPr>
          <w:rFonts w:ascii="Times New Roman" w:eastAsia="Times New Roman" w:hAnsi="Times New Roman" w:cs="Times New Roman"/>
          <w:color w:val="222222"/>
          <w:sz w:val="24"/>
          <w:szCs w:val="24"/>
          <w:lang w:val="en-GB" w:eastAsia="zh-CN"/>
        </w:rPr>
        <w:t xml:space="preserve"> Gold investment as an inflationary hedge: </w:t>
      </w:r>
      <w:proofErr w:type="spellStart"/>
      <w:r w:rsidRPr="0032609F">
        <w:rPr>
          <w:rFonts w:ascii="Times New Roman" w:eastAsia="Times New Roman" w:hAnsi="Times New Roman" w:cs="Times New Roman"/>
          <w:color w:val="222222"/>
          <w:sz w:val="24"/>
          <w:szCs w:val="24"/>
          <w:lang w:val="en-GB" w:eastAsia="zh-CN"/>
        </w:rPr>
        <w:t>Cointegration</w:t>
      </w:r>
      <w:proofErr w:type="spellEnd"/>
      <w:r w:rsidRPr="0032609F">
        <w:rPr>
          <w:rFonts w:ascii="Times New Roman" w:eastAsia="Times New Roman" w:hAnsi="Times New Roman" w:cs="Times New Roman"/>
          <w:color w:val="222222"/>
          <w:sz w:val="24"/>
          <w:szCs w:val="24"/>
          <w:lang w:val="en-GB" w:eastAsia="zh-CN"/>
        </w:rPr>
        <w:t xml:space="preserve"> evidence with allowance for endogenous structural breaks. </w:t>
      </w:r>
      <w:proofErr w:type="gramStart"/>
      <w:r w:rsidRPr="0032609F">
        <w:rPr>
          <w:rFonts w:ascii="Times New Roman" w:eastAsia="Times New Roman" w:hAnsi="Times New Roman" w:cs="Times New Roman"/>
          <w:i/>
          <w:iCs/>
          <w:color w:val="222222"/>
          <w:sz w:val="24"/>
          <w:szCs w:val="24"/>
          <w:lang w:val="en-GB" w:eastAsia="zh-CN"/>
        </w:rPr>
        <w:t>Applied Financial Economics Letters</w:t>
      </w:r>
      <w:r w:rsidRPr="0032609F">
        <w:rPr>
          <w:rFonts w:ascii="Times New Roman" w:eastAsia="Times New Roman" w:hAnsi="Times New Roman" w:cs="Times New Roman"/>
          <w:color w:val="222222"/>
          <w:sz w:val="24"/>
          <w:szCs w:val="24"/>
          <w:lang w:val="en-GB" w:eastAsia="zh-CN"/>
        </w:rPr>
        <w:t xml:space="preserve">, </w:t>
      </w:r>
      <w:r w:rsidRPr="0032609F">
        <w:rPr>
          <w:rFonts w:ascii="Times New Roman" w:eastAsia="Times New Roman" w:hAnsi="Times New Roman" w:cs="Times New Roman"/>
          <w:i/>
          <w:iCs/>
          <w:color w:val="222222"/>
          <w:sz w:val="24"/>
          <w:szCs w:val="24"/>
          <w:lang w:val="en-GB" w:eastAsia="zh-CN"/>
        </w:rPr>
        <w:t>3</w:t>
      </w:r>
      <w:r w:rsidRPr="0032609F">
        <w:rPr>
          <w:rFonts w:ascii="Times New Roman" w:eastAsia="Times New Roman" w:hAnsi="Times New Roman" w:cs="Times New Roman"/>
          <w:color w:val="222222"/>
          <w:sz w:val="24"/>
          <w:szCs w:val="24"/>
          <w:lang w:val="en-GB" w:eastAsia="zh-CN"/>
        </w:rPr>
        <w:t>(4), 259-262.</w:t>
      </w:r>
      <w:proofErr w:type="gramEnd"/>
    </w:p>
    <w:p w:rsidR="0032609F" w:rsidRPr="00806715" w:rsidRDefault="0032609F" w:rsidP="00A21562">
      <w:pPr>
        <w:spacing w:after="0" w:line="240" w:lineRule="auto"/>
        <w:jc w:val="both"/>
        <w:rPr>
          <w:rFonts w:ascii="Times New Roman" w:eastAsia="Times New Roman" w:hAnsi="Times New Roman" w:cs="Times New Roman"/>
          <w:color w:val="222222"/>
          <w:sz w:val="24"/>
          <w:szCs w:val="24"/>
          <w:lang w:val="en-GB" w:eastAsia="zh-CN"/>
        </w:rPr>
      </w:pPr>
    </w:p>
    <w:p w:rsidR="00DD3CD6" w:rsidRPr="00DD3CD6" w:rsidRDefault="00DD3CD6" w:rsidP="00A21562">
      <w:pPr>
        <w:spacing w:after="0" w:line="240" w:lineRule="auto"/>
        <w:jc w:val="both"/>
        <w:rPr>
          <w:rFonts w:ascii="Times New Roman" w:eastAsia="Times New Roman" w:hAnsi="Times New Roman" w:cs="Times New Roman"/>
          <w:color w:val="222222"/>
          <w:sz w:val="24"/>
          <w:szCs w:val="24"/>
          <w:lang w:val="en-GB" w:eastAsia="zh-CN"/>
        </w:rPr>
      </w:pPr>
      <w:r w:rsidRPr="00DD3CD6">
        <w:rPr>
          <w:rFonts w:ascii="Times New Roman" w:eastAsia="Times New Roman" w:hAnsi="Times New Roman" w:cs="Times New Roman"/>
          <w:color w:val="222222"/>
          <w:sz w:val="24"/>
          <w:szCs w:val="24"/>
          <w:lang w:val="en-GB" w:eastAsia="zh-CN"/>
        </w:rPr>
        <w:t xml:space="preserve">Yang, J., Qiu, H., Huang, J., &amp; </w:t>
      </w:r>
      <w:proofErr w:type="spellStart"/>
      <w:r w:rsidRPr="00DD3CD6">
        <w:rPr>
          <w:rFonts w:ascii="Times New Roman" w:eastAsia="Times New Roman" w:hAnsi="Times New Roman" w:cs="Times New Roman"/>
          <w:color w:val="222222"/>
          <w:sz w:val="24"/>
          <w:szCs w:val="24"/>
          <w:lang w:val="en-GB" w:eastAsia="zh-CN"/>
        </w:rPr>
        <w:t>Rozelle</w:t>
      </w:r>
      <w:proofErr w:type="spellEnd"/>
      <w:r w:rsidRPr="00DD3CD6">
        <w:rPr>
          <w:rFonts w:ascii="Times New Roman" w:eastAsia="Times New Roman" w:hAnsi="Times New Roman" w:cs="Times New Roman"/>
          <w:color w:val="222222"/>
          <w:sz w:val="24"/>
          <w:szCs w:val="24"/>
          <w:lang w:val="en-GB" w:eastAsia="zh-CN"/>
        </w:rPr>
        <w:t xml:space="preserve">, S. (2008). Fighting global food price rises in the developing world: the response of China and its effect on domestic and world markets. </w:t>
      </w:r>
      <w:r w:rsidRPr="00DD3CD6">
        <w:rPr>
          <w:rFonts w:ascii="Times New Roman" w:eastAsia="Times New Roman" w:hAnsi="Times New Roman" w:cs="Times New Roman"/>
          <w:i/>
          <w:iCs/>
          <w:color w:val="222222"/>
          <w:sz w:val="24"/>
          <w:szCs w:val="24"/>
          <w:lang w:val="en-GB" w:eastAsia="zh-CN"/>
        </w:rPr>
        <w:t>Agricultural Economics</w:t>
      </w:r>
      <w:r w:rsidRPr="00DD3CD6">
        <w:rPr>
          <w:rFonts w:ascii="Times New Roman" w:eastAsia="Times New Roman" w:hAnsi="Times New Roman" w:cs="Times New Roman"/>
          <w:color w:val="222222"/>
          <w:sz w:val="24"/>
          <w:szCs w:val="24"/>
          <w:lang w:val="en-GB" w:eastAsia="zh-CN"/>
        </w:rPr>
        <w:t xml:space="preserve">, </w:t>
      </w:r>
      <w:r w:rsidRPr="00DD3CD6">
        <w:rPr>
          <w:rFonts w:ascii="Times New Roman" w:eastAsia="Times New Roman" w:hAnsi="Times New Roman" w:cs="Times New Roman"/>
          <w:i/>
          <w:iCs/>
          <w:color w:val="222222"/>
          <w:sz w:val="24"/>
          <w:szCs w:val="24"/>
          <w:lang w:val="en-GB" w:eastAsia="zh-CN"/>
        </w:rPr>
        <w:t>39</w:t>
      </w:r>
      <w:r w:rsidRPr="00DD3CD6">
        <w:rPr>
          <w:rFonts w:ascii="Times New Roman" w:eastAsia="Times New Roman" w:hAnsi="Times New Roman" w:cs="Times New Roman"/>
          <w:color w:val="222222"/>
          <w:sz w:val="24"/>
          <w:szCs w:val="24"/>
          <w:lang w:val="en-GB" w:eastAsia="zh-CN"/>
        </w:rPr>
        <w:t>(s1), 453-464.</w:t>
      </w:r>
    </w:p>
    <w:p w:rsidR="004C5103" w:rsidRPr="00806715" w:rsidRDefault="004C5103" w:rsidP="00A21562">
      <w:pPr>
        <w:spacing w:after="0" w:line="240" w:lineRule="auto"/>
        <w:jc w:val="both"/>
        <w:rPr>
          <w:rFonts w:ascii="Times New Roman" w:eastAsia="Times New Roman" w:hAnsi="Times New Roman" w:cs="Times New Roman"/>
          <w:color w:val="222222"/>
          <w:sz w:val="24"/>
          <w:szCs w:val="24"/>
          <w:lang w:val="en-GB" w:eastAsia="zh-CN"/>
        </w:rPr>
      </w:pPr>
    </w:p>
    <w:p w:rsidR="000A04F0" w:rsidRDefault="0064059C" w:rsidP="00864DDA">
      <w:pPr>
        <w:spacing w:after="0" w:line="240" w:lineRule="auto"/>
        <w:jc w:val="both"/>
        <w:rPr>
          <w:rFonts w:ascii="Times New Roman" w:eastAsia="Times New Roman" w:hAnsi="Times New Roman" w:cs="Times New Roman"/>
          <w:color w:val="222222"/>
          <w:sz w:val="24"/>
          <w:szCs w:val="24"/>
          <w:lang w:val="en-GB" w:eastAsia="zh-CN"/>
        </w:rPr>
      </w:pPr>
      <w:r w:rsidRPr="00ED5675">
        <w:rPr>
          <w:rFonts w:ascii="Times New Roman" w:eastAsia="Times New Roman" w:hAnsi="Times New Roman" w:cs="Times New Roman"/>
          <w:color w:val="222222"/>
          <w:sz w:val="24"/>
          <w:szCs w:val="24"/>
          <w:lang w:val="de-DE" w:eastAsia="zh-CN"/>
        </w:rPr>
        <w:t xml:space="preserve">Zhang, Y. J., &amp; Wei, Y. M. (2010). </w:t>
      </w:r>
      <w:r w:rsidRPr="0064059C">
        <w:rPr>
          <w:rFonts w:ascii="Times New Roman" w:eastAsia="Times New Roman" w:hAnsi="Times New Roman" w:cs="Times New Roman"/>
          <w:color w:val="222222"/>
          <w:sz w:val="24"/>
          <w:szCs w:val="24"/>
          <w:lang w:val="en-GB" w:eastAsia="zh-CN"/>
        </w:rPr>
        <w:t xml:space="preserve">The crude oil market and the gold market: Evidence for </w:t>
      </w:r>
      <w:proofErr w:type="spellStart"/>
      <w:r w:rsidRPr="0064059C">
        <w:rPr>
          <w:rFonts w:ascii="Times New Roman" w:eastAsia="Times New Roman" w:hAnsi="Times New Roman" w:cs="Times New Roman"/>
          <w:color w:val="222222"/>
          <w:sz w:val="24"/>
          <w:szCs w:val="24"/>
          <w:lang w:val="en-GB" w:eastAsia="zh-CN"/>
        </w:rPr>
        <w:t>cointegration</w:t>
      </w:r>
      <w:proofErr w:type="spellEnd"/>
      <w:r w:rsidRPr="0064059C">
        <w:rPr>
          <w:rFonts w:ascii="Times New Roman" w:eastAsia="Times New Roman" w:hAnsi="Times New Roman" w:cs="Times New Roman"/>
          <w:color w:val="222222"/>
          <w:sz w:val="24"/>
          <w:szCs w:val="24"/>
          <w:lang w:val="en-GB" w:eastAsia="zh-CN"/>
        </w:rPr>
        <w:t xml:space="preserve">, causality and price discovery. </w:t>
      </w:r>
      <w:r w:rsidRPr="0064059C">
        <w:rPr>
          <w:rFonts w:ascii="Times New Roman" w:eastAsia="Times New Roman" w:hAnsi="Times New Roman" w:cs="Times New Roman"/>
          <w:i/>
          <w:iCs/>
          <w:color w:val="222222"/>
          <w:sz w:val="24"/>
          <w:szCs w:val="24"/>
          <w:lang w:val="en-GB" w:eastAsia="zh-CN"/>
        </w:rPr>
        <w:t>Resources Policy</w:t>
      </w:r>
      <w:r w:rsidRPr="0064059C">
        <w:rPr>
          <w:rFonts w:ascii="Times New Roman" w:eastAsia="Times New Roman" w:hAnsi="Times New Roman" w:cs="Times New Roman"/>
          <w:color w:val="222222"/>
          <w:sz w:val="24"/>
          <w:szCs w:val="24"/>
          <w:lang w:val="en-GB" w:eastAsia="zh-CN"/>
        </w:rPr>
        <w:t xml:space="preserve">, </w:t>
      </w:r>
      <w:r w:rsidRPr="0064059C">
        <w:rPr>
          <w:rFonts w:ascii="Times New Roman" w:eastAsia="Times New Roman" w:hAnsi="Times New Roman" w:cs="Times New Roman"/>
          <w:i/>
          <w:iCs/>
          <w:color w:val="222222"/>
          <w:sz w:val="24"/>
          <w:szCs w:val="24"/>
          <w:lang w:val="en-GB" w:eastAsia="zh-CN"/>
        </w:rPr>
        <w:t>35</w:t>
      </w:r>
      <w:r w:rsidRPr="0064059C">
        <w:rPr>
          <w:rFonts w:ascii="Times New Roman" w:eastAsia="Times New Roman" w:hAnsi="Times New Roman" w:cs="Times New Roman"/>
          <w:color w:val="222222"/>
          <w:sz w:val="24"/>
          <w:szCs w:val="24"/>
          <w:lang w:val="en-GB" w:eastAsia="zh-CN"/>
        </w:rPr>
        <w:t>(3), 168-177.</w:t>
      </w: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EC5322" w:rsidRDefault="00EC5322" w:rsidP="00864DDA">
      <w:pPr>
        <w:spacing w:after="0" w:line="240" w:lineRule="auto"/>
        <w:jc w:val="both"/>
        <w:rPr>
          <w:rFonts w:ascii="Times New Roman" w:eastAsia="Times New Roman" w:hAnsi="Times New Roman" w:cs="Times New Roman"/>
          <w:color w:val="222222"/>
          <w:sz w:val="24"/>
          <w:szCs w:val="24"/>
          <w:lang w:val="en-GB" w:eastAsia="zh-CN"/>
        </w:rPr>
      </w:pPr>
    </w:p>
    <w:p w:rsidR="008D7BC0" w:rsidRDefault="008D7BC0" w:rsidP="00864DDA">
      <w:pPr>
        <w:spacing w:after="0" w:line="240" w:lineRule="auto"/>
        <w:jc w:val="both"/>
        <w:rPr>
          <w:rFonts w:ascii="Times New Roman" w:eastAsia="Times New Roman" w:hAnsi="Times New Roman" w:cs="Times New Roman"/>
          <w:color w:val="222222"/>
          <w:sz w:val="24"/>
          <w:szCs w:val="24"/>
          <w:lang w:val="en-GB" w:eastAsia="zh-CN"/>
        </w:rPr>
      </w:pPr>
    </w:p>
    <w:p w:rsidR="005A0A16" w:rsidRDefault="005A0A16" w:rsidP="00A21562">
      <w:pPr>
        <w:spacing w:after="0" w:line="240" w:lineRule="auto"/>
        <w:jc w:val="both"/>
        <w:rPr>
          <w:rFonts w:ascii="Arial" w:eastAsia="Times New Roman" w:hAnsi="Arial" w:cs="Arial"/>
          <w:color w:val="222222"/>
          <w:sz w:val="20"/>
          <w:szCs w:val="20"/>
          <w:lang w:val="en-GB"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749"/>
        <w:gridCol w:w="1227"/>
        <w:gridCol w:w="1985"/>
        <w:gridCol w:w="2766"/>
      </w:tblGrid>
      <w:tr w:rsidR="00927CFD" w:rsidRPr="00927CFD" w:rsidTr="00927CFD">
        <w:trPr>
          <w:trHeight w:val="180"/>
        </w:trPr>
        <w:tc>
          <w:tcPr>
            <w:tcW w:w="9962" w:type="dxa"/>
            <w:gridSpan w:val="5"/>
            <w:tcBorders>
              <w:bottom w:val="single" w:sz="12" w:space="0" w:color="auto"/>
            </w:tcBorders>
          </w:tcPr>
          <w:p w:rsidR="00927CFD" w:rsidRPr="00927CFD" w:rsidRDefault="00927CFD" w:rsidP="00927CFD">
            <w:pPr>
              <w:autoSpaceDE w:val="0"/>
              <w:autoSpaceDN w:val="0"/>
              <w:adjustRightInd w:val="0"/>
              <w:rPr>
                <w:rFonts w:asciiTheme="majorBidi" w:eastAsia="Calibri" w:hAnsiTheme="majorBidi" w:cstheme="majorBidi"/>
                <w:b/>
                <w:bCs/>
                <w:sz w:val="18"/>
                <w:szCs w:val="18"/>
              </w:rPr>
            </w:pPr>
            <w:r w:rsidRPr="00927CFD">
              <w:rPr>
                <w:rFonts w:asciiTheme="majorBidi" w:eastAsia="Calibri" w:hAnsiTheme="majorBidi" w:cstheme="majorBidi"/>
                <w:b/>
                <w:bCs/>
                <w:sz w:val="18"/>
                <w:szCs w:val="18"/>
              </w:rPr>
              <w:t>Table 1: Summary of literature review</w:t>
            </w:r>
          </w:p>
        </w:tc>
      </w:tr>
      <w:tr w:rsidR="00927CFD" w:rsidRPr="00927CFD" w:rsidTr="00927CFD">
        <w:trPr>
          <w:trHeight w:val="180"/>
        </w:trPr>
        <w:tc>
          <w:tcPr>
            <w:tcW w:w="2235" w:type="dxa"/>
            <w:tcBorders>
              <w:top w:val="single" w:sz="12" w:space="0" w:color="auto"/>
              <w:bottom w:val="single" w:sz="6" w:space="0" w:color="auto"/>
            </w:tcBorders>
          </w:tcPr>
          <w:p w:rsidR="00927CFD" w:rsidRPr="00927CFD" w:rsidRDefault="00927CFD" w:rsidP="00545C5E">
            <w:pPr>
              <w:autoSpaceDE w:val="0"/>
              <w:autoSpaceDN w:val="0"/>
              <w:adjustRightInd w:val="0"/>
              <w:rPr>
                <w:rFonts w:asciiTheme="majorBidi" w:eastAsia="Calibri" w:hAnsiTheme="majorBidi" w:cstheme="majorBidi"/>
                <w:b/>
                <w:bCs/>
                <w:sz w:val="16"/>
                <w:szCs w:val="16"/>
                <w:lang w:bidi="ar-AE"/>
              </w:rPr>
            </w:pPr>
            <w:r w:rsidRPr="00927CFD">
              <w:rPr>
                <w:rFonts w:asciiTheme="majorBidi" w:eastAsia="Calibri" w:hAnsiTheme="majorBidi" w:cstheme="majorBidi"/>
                <w:b/>
                <w:bCs/>
                <w:sz w:val="16"/>
                <w:szCs w:val="16"/>
                <w:lang w:bidi="ar-AE"/>
              </w:rPr>
              <w:t>Study</w:t>
            </w:r>
          </w:p>
        </w:tc>
        <w:tc>
          <w:tcPr>
            <w:tcW w:w="1749" w:type="dxa"/>
            <w:tcBorders>
              <w:top w:val="single" w:sz="12" w:space="0" w:color="auto"/>
              <w:bottom w:val="single" w:sz="6" w:space="0" w:color="auto"/>
            </w:tcBorders>
          </w:tcPr>
          <w:p w:rsidR="00927CFD" w:rsidRPr="00927CFD" w:rsidRDefault="00927CFD" w:rsidP="00545C5E">
            <w:pPr>
              <w:autoSpaceDE w:val="0"/>
              <w:autoSpaceDN w:val="0"/>
              <w:adjustRightInd w:val="0"/>
              <w:rPr>
                <w:rFonts w:asciiTheme="majorBidi" w:eastAsia="Calibri" w:hAnsiTheme="majorBidi" w:cstheme="majorBidi"/>
                <w:b/>
                <w:bCs/>
                <w:sz w:val="16"/>
                <w:szCs w:val="16"/>
                <w:lang w:bidi="ar-AE"/>
              </w:rPr>
            </w:pPr>
            <w:r w:rsidRPr="00927CFD">
              <w:rPr>
                <w:rFonts w:asciiTheme="majorBidi" w:eastAsia="Calibri" w:hAnsiTheme="majorBidi" w:cstheme="majorBidi"/>
                <w:b/>
                <w:bCs/>
                <w:sz w:val="16"/>
                <w:szCs w:val="16"/>
                <w:lang w:bidi="ar-AE"/>
              </w:rPr>
              <w:t>Data</w:t>
            </w:r>
          </w:p>
        </w:tc>
        <w:tc>
          <w:tcPr>
            <w:tcW w:w="1227" w:type="dxa"/>
            <w:tcBorders>
              <w:top w:val="single" w:sz="12" w:space="0" w:color="auto"/>
              <w:bottom w:val="single" w:sz="6" w:space="0" w:color="auto"/>
            </w:tcBorders>
          </w:tcPr>
          <w:p w:rsidR="00927CFD" w:rsidRPr="00927CFD" w:rsidRDefault="00927CFD" w:rsidP="00545C5E">
            <w:pPr>
              <w:autoSpaceDE w:val="0"/>
              <w:autoSpaceDN w:val="0"/>
              <w:adjustRightInd w:val="0"/>
              <w:rPr>
                <w:rFonts w:asciiTheme="majorBidi" w:eastAsia="Calibri" w:hAnsiTheme="majorBidi" w:cstheme="majorBidi"/>
                <w:b/>
                <w:bCs/>
                <w:sz w:val="16"/>
                <w:szCs w:val="16"/>
                <w:lang w:bidi="ar-AE"/>
              </w:rPr>
            </w:pPr>
            <w:r w:rsidRPr="00927CFD">
              <w:rPr>
                <w:rFonts w:asciiTheme="majorBidi" w:eastAsia="Calibri" w:hAnsiTheme="majorBidi" w:cstheme="majorBidi"/>
                <w:b/>
                <w:bCs/>
                <w:sz w:val="16"/>
                <w:szCs w:val="16"/>
                <w:lang w:bidi="ar-AE"/>
              </w:rPr>
              <w:t>Method</w:t>
            </w:r>
          </w:p>
        </w:tc>
        <w:tc>
          <w:tcPr>
            <w:tcW w:w="1985" w:type="dxa"/>
            <w:tcBorders>
              <w:top w:val="single" w:sz="12" w:space="0" w:color="auto"/>
              <w:bottom w:val="single" w:sz="6" w:space="0" w:color="auto"/>
            </w:tcBorders>
          </w:tcPr>
          <w:p w:rsidR="00927CFD" w:rsidRPr="00927CFD" w:rsidRDefault="00927CFD" w:rsidP="00545C5E">
            <w:pPr>
              <w:autoSpaceDE w:val="0"/>
              <w:autoSpaceDN w:val="0"/>
              <w:adjustRightInd w:val="0"/>
              <w:rPr>
                <w:rFonts w:asciiTheme="majorBidi" w:eastAsia="Calibri" w:hAnsiTheme="majorBidi" w:cstheme="majorBidi"/>
                <w:b/>
                <w:bCs/>
                <w:sz w:val="16"/>
                <w:szCs w:val="16"/>
                <w:lang w:bidi="ar-AE"/>
              </w:rPr>
            </w:pPr>
            <w:r w:rsidRPr="00927CFD">
              <w:rPr>
                <w:rFonts w:asciiTheme="majorBidi" w:eastAsia="Calibri" w:hAnsiTheme="majorBidi" w:cstheme="majorBidi"/>
                <w:b/>
                <w:bCs/>
                <w:sz w:val="16"/>
                <w:szCs w:val="16"/>
                <w:lang w:bidi="ar-AE"/>
              </w:rPr>
              <w:t xml:space="preserve">Commodity /Assets  </w:t>
            </w:r>
          </w:p>
        </w:tc>
        <w:tc>
          <w:tcPr>
            <w:tcW w:w="2766" w:type="dxa"/>
            <w:tcBorders>
              <w:top w:val="single" w:sz="12" w:space="0" w:color="auto"/>
              <w:bottom w:val="single" w:sz="6" w:space="0" w:color="auto"/>
            </w:tcBorders>
          </w:tcPr>
          <w:p w:rsidR="00927CFD" w:rsidRPr="00927CFD" w:rsidRDefault="00927CFD" w:rsidP="00545C5E">
            <w:pPr>
              <w:autoSpaceDE w:val="0"/>
              <w:autoSpaceDN w:val="0"/>
              <w:adjustRightInd w:val="0"/>
              <w:rPr>
                <w:rFonts w:asciiTheme="majorBidi" w:eastAsia="Calibri" w:hAnsiTheme="majorBidi" w:cstheme="majorBidi"/>
                <w:b/>
                <w:bCs/>
                <w:sz w:val="16"/>
                <w:szCs w:val="16"/>
                <w:lang w:bidi="ar-AE"/>
              </w:rPr>
            </w:pPr>
            <w:r w:rsidRPr="00927CFD">
              <w:rPr>
                <w:rFonts w:asciiTheme="majorBidi" w:eastAsia="Calibri" w:hAnsiTheme="majorBidi" w:cstheme="majorBidi"/>
                <w:b/>
                <w:bCs/>
                <w:sz w:val="16"/>
                <w:szCs w:val="16"/>
                <w:lang w:bidi="ar-AE"/>
              </w:rPr>
              <w:t>Key Findings</w:t>
            </w:r>
          </w:p>
        </w:tc>
      </w:tr>
      <w:tr w:rsidR="008D7BC0" w:rsidRPr="00927CFD" w:rsidTr="00927CFD">
        <w:tc>
          <w:tcPr>
            <w:tcW w:w="2235" w:type="dxa"/>
            <w:tcBorders>
              <w:top w:val="single" w:sz="6" w:space="0" w:color="auto"/>
            </w:tcBorders>
          </w:tcPr>
          <w:p w:rsidR="008D7BC0" w:rsidRPr="00927CFD" w:rsidRDefault="008D7BC0"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Times New Roman" w:hAnsiTheme="majorBidi" w:cstheme="majorBidi"/>
                <w:color w:val="222222"/>
                <w:sz w:val="16"/>
                <w:szCs w:val="16"/>
                <w:lang w:val="en-GB" w:eastAsia="zh-CN"/>
              </w:rPr>
              <w:t xml:space="preserve">Deb, P., Trivedi, P. K., &amp; </w:t>
            </w:r>
            <w:proofErr w:type="spellStart"/>
            <w:r w:rsidRPr="00927CFD">
              <w:rPr>
                <w:rFonts w:asciiTheme="majorBidi" w:eastAsia="Times New Roman" w:hAnsiTheme="majorBidi" w:cstheme="majorBidi"/>
                <w:color w:val="222222"/>
                <w:sz w:val="16"/>
                <w:szCs w:val="16"/>
                <w:lang w:val="en-GB" w:eastAsia="zh-CN"/>
              </w:rPr>
              <w:t>Varangis</w:t>
            </w:r>
            <w:proofErr w:type="spellEnd"/>
            <w:r w:rsidRPr="00927CFD">
              <w:rPr>
                <w:rFonts w:asciiTheme="majorBidi" w:eastAsia="Times New Roman" w:hAnsiTheme="majorBidi" w:cstheme="majorBidi"/>
                <w:color w:val="222222"/>
                <w:sz w:val="16"/>
                <w:szCs w:val="16"/>
                <w:lang w:val="en-GB" w:eastAsia="zh-CN"/>
              </w:rPr>
              <w:t>, P. (1996)</w:t>
            </w:r>
          </w:p>
        </w:tc>
        <w:tc>
          <w:tcPr>
            <w:tcW w:w="1749" w:type="dxa"/>
            <w:tcBorders>
              <w:top w:val="single" w:sz="6" w:space="0" w:color="auto"/>
            </w:tcBorders>
          </w:tcPr>
          <w:p w:rsidR="008D7BC0" w:rsidRPr="00927CFD" w:rsidRDefault="008D7BC0"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Calibri" w:hAnsiTheme="majorBidi" w:cstheme="majorBidi"/>
                <w:sz w:val="16"/>
                <w:szCs w:val="16"/>
                <w:lang w:bidi="ar-AE"/>
              </w:rPr>
              <w:t>1960-1985 (monthly)</w:t>
            </w:r>
          </w:p>
          <w:p w:rsidR="008D7BC0" w:rsidRPr="00927CFD" w:rsidRDefault="008D7BC0"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Calibri" w:hAnsiTheme="majorBidi" w:cstheme="majorBidi"/>
                <w:sz w:val="16"/>
                <w:szCs w:val="16"/>
                <w:lang w:bidi="ar-AE"/>
              </w:rPr>
              <w:t>1974-1992 (monthly)</w:t>
            </w:r>
          </w:p>
        </w:tc>
        <w:tc>
          <w:tcPr>
            <w:tcW w:w="1227" w:type="dxa"/>
            <w:tcBorders>
              <w:top w:val="single" w:sz="6" w:space="0" w:color="auto"/>
            </w:tcBorders>
          </w:tcPr>
          <w:p w:rsidR="008D7BC0" w:rsidRPr="00927CFD" w:rsidRDefault="008D7BC0"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Calibri" w:hAnsiTheme="majorBidi" w:cstheme="majorBidi"/>
                <w:sz w:val="16"/>
                <w:szCs w:val="16"/>
                <w:lang w:bidi="ar-AE"/>
              </w:rPr>
              <w:t>Multi-variate GARCH</w:t>
            </w:r>
          </w:p>
        </w:tc>
        <w:tc>
          <w:tcPr>
            <w:tcW w:w="1985" w:type="dxa"/>
            <w:tcBorders>
              <w:top w:val="single" w:sz="6" w:space="0" w:color="auto"/>
            </w:tcBorders>
          </w:tcPr>
          <w:p w:rsidR="008D7BC0" w:rsidRPr="00927CFD" w:rsidRDefault="008D7BC0"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Calibri" w:hAnsiTheme="majorBidi" w:cstheme="majorBidi"/>
                <w:sz w:val="16"/>
                <w:szCs w:val="16"/>
                <w:lang w:bidi="ar-AE"/>
              </w:rPr>
              <w:t>oil, copper, cotton, gold, lumber, cocoa, maize, sugar, lead, coffee</w:t>
            </w:r>
          </w:p>
        </w:tc>
        <w:tc>
          <w:tcPr>
            <w:tcW w:w="2766" w:type="dxa"/>
            <w:tcBorders>
              <w:top w:val="single" w:sz="6" w:space="0" w:color="auto"/>
            </w:tcBorders>
          </w:tcPr>
          <w:p w:rsidR="008D7BC0" w:rsidRPr="00927CFD" w:rsidRDefault="008D7BC0"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Calibri" w:hAnsiTheme="majorBidi" w:cstheme="majorBidi"/>
                <w:sz w:val="16"/>
                <w:szCs w:val="16"/>
                <w:lang w:bidi="ar-AE"/>
              </w:rPr>
              <w:t xml:space="preserve">In the 60-85 </w:t>
            </w:r>
            <w:proofErr w:type="gramStart"/>
            <w:r w:rsidRPr="00927CFD">
              <w:rPr>
                <w:rFonts w:asciiTheme="majorBidi" w:eastAsia="Calibri" w:hAnsiTheme="majorBidi" w:cstheme="majorBidi"/>
                <w:sz w:val="16"/>
                <w:szCs w:val="16"/>
                <w:lang w:bidi="ar-AE"/>
              </w:rPr>
              <w:t>sample</w:t>
            </w:r>
            <w:proofErr w:type="gramEnd"/>
            <w:r w:rsidRPr="00927CFD">
              <w:rPr>
                <w:rFonts w:asciiTheme="majorBidi" w:eastAsia="Calibri" w:hAnsiTheme="majorBidi" w:cstheme="majorBidi"/>
                <w:sz w:val="16"/>
                <w:szCs w:val="16"/>
                <w:lang w:bidi="ar-AE"/>
              </w:rPr>
              <w:t xml:space="preserve"> the evidence with excess co-movement is weak. There is some evidence of excess co-movement in the 1974-1992 </w:t>
            </w:r>
            <w:proofErr w:type="gramStart"/>
            <w:r w:rsidRPr="00927CFD">
              <w:rPr>
                <w:rFonts w:asciiTheme="majorBidi" w:eastAsia="Calibri" w:hAnsiTheme="majorBidi" w:cstheme="majorBidi"/>
                <w:sz w:val="16"/>
                <w:szCs w:val="16"/>
                <w:lang w:bidi="ar-AE"/>
              </w:rPr>
              <w:t>sample</w:t>
            </w:r>
            <w:proofErr w:type="gramEnd"/>
            <w:r w:rsidRPr="00927CFD">
              <w:rPr>
                <w:rFonts w:asciiTheme="majorBidi" w:eastAsia="Calibri" w:hAnsiTheme="majorBidi" w:cstheme="majorBidi"/>
                <w:sz w:val="16"/>
                <w:szCs w:val="16"/>
                <w:lang w:bidi="ar-AE"/>
              </w:rPr>
              <w:t xml:space="preserve">. </w:t>
            </w:r>
          </w:p>
        </w:tc>
      </w:tr>
      <w:tr w:rsidR="008D7BC0" w:rsidRPr="00927CFD" w:rsidTr="00927CFD">
        <w:tc>
          <w:tcPr>
            <w:tcW w:w="2235" w:type="dxa"/>
          </w:tcPr>
          <w:p w:rsidR="008D7BC0" w:rsidRPr="00ED5675" w:rsidRDefault="008D7BC0" w:rsidP="00870029">
            <w:pPr>
              <w:autoSpaceDE w:val="0"/>
              <w:autoSpaceDN w:val="0"/>
              <w:adjustRightInd w:val="0"/>
              <w:jc w:val="both"/>
              <w:rPr>
                <w:rFonts w:asciiTheme="majorBidi" w:eastAsia="Times New Roman" w:hAnsiTheme="majorBidi" w:cstheme="majorBidi"/>
                <w:color w:val="222222"/>
                <w:sz w:val="16"/>
                <w:szCs w:val="16"/>
                <w:lang w:val="en-GB" w:eastAsia="zh-CN"/>
              </w:rPr>
            </w:pPr>
          </w:p>
        </w:tc>
        <w:tc>
          <w:tcPr>
            <w:tcW w:w="1749" w:type="dxa"/>
          </w:tcPr>
          <w:p w:rsidR="008D7BC0" w:rsidRPr="00ED5675"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1227" w:type="dxa"/>
          </w:tcPr>
          <w:p w:rsidR="008D7BC0" w:rsidRPr="00ED5675"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1985" w:type="dxa"/>
          </w:tcPr>
          <w:p w:rsidR="008D7BC0" w:rsidRPr="00927CFD"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2766" w:type="dxa"/>
          </w:tcPr>
          <w:p w:rsidR="008D7BC0" w:rsidRPr="00927CFD" w:rsidRDefault="008D7BC0" w:rsidP="00870029">
            <w:pPr>
              <w:autoSpaceDE w:val="0"/>
              <w:autoSpaceDN w:val="0"/>
              <w:adjustRightInd w:val="0"/>
              <w:jc w:val="both"/>
              <w:rPr>
                <w:rFonts w:asciiTheme="majorBidi" w:eastAsia="Calibri" w:hAnsiTheme="majorBidi" w:cstheme="majorBidi"/>
                <w:sz w:val="16"/>
                <w:szCs w:val="16"/>
                <w:lang w:val="en-GB" w:bidi="ar-AE"/>
              </w:rPr>
            </w:pPr>
          </w:p>
        </w:tc>
      </w:tr>
      <w:tr w:rsidR="005C70C0" w:rsidRPr="00927CFD" w:rsidTr="00927CFD">
        <w:tc>
          <w:tcPr>
            <w:tcW w:w="2235" w:type="dxa"/>
          </w:tcPr>
          <w:p w:rsidR="005C70C0" w:rsidRPr="00927CFD" w:rsidRDefault="005C70C0" w:rsidP="00870029">
            <w:pPr>
              <w:autoSpaceDE w:val="0"/>
              <w:autoSpaceDN w:val="0"/>
              <w:adjustRightInd w:val="0"/>
              <w:jc w:val="both"/>
              <w:rPr>
                <w:rFonts w:asciiTheme="majorBidi" w:eastAsia="Times New Roman" w:hAnsiTheme="majorBidi" w:cstheme="majorBidi"/>
                <w:color w:val="222222"/>
                <w:sz w:val="16"/>
                <w:szCs w:val="16"/>
                <w:lang w:val="fr-FR" w:eastAsia="zh-CN"/>
              </w:rPr>
            </w:pPr>
            <w:proofErr w:type="spellStart"/>
            <w:r>
              <w:rPr>
                <w:rFonts w:asciiTheme="majorBidi" w:eastAsia="Times New Roman" w:hAnsiTheme="majorBidi" w:cstheme="majorBidi"/>
                <w:color w:val="222222"/>
                <w:sz w:val="16"/>
                <w:szCs w:val="16"/>
                <w:lang w:val="en-GB" w:eastAsia="zh-CN"/>
              </w:rPr>
              <w:t>Harri</w:t>
            </w:r>
            <w:proofErr w:type="spellEnd"/>
            <w:r>
              <w:rPr>
                <w:rFonts w:asciiTheme="majorBidi" w:eastAsia="Times New Roman" w:hAnsiTheme="majorBidi" w:cstheme="majorBidi"/>
                <w:color w:val="222222"/>
                <w:sz w:val="16"/>
                <w:szCs w:val="16"/>
                <w:lang w:val="en-GB" w:eastAsia="zh-CN"/>
              </w:rPr>
              <w:t>, A., &amp; Hudson, D. (2009)</w:t>
            </w:r>
          </w:p>
        </w:tc>
        <w:tc>
          <w:tcPr>
            <w:tcW w:w="1749" w:type="dxa"/>
          </w:tcPr>
          <w:p w:rsidR="005C70C0" w:rsidRPr="00927CFD" w:rsidRDefault="005C70C0" w:rsidP="00870029">
            <w:pPr>
              <w:autoSpaceDE w:val="0"/>
              <w:autoSpaceDN w:val="0"/>
              <w:adjustRightInd w:val="0"/>
              <w:jc w:val="both"/>
              <w:rPr>
                <w:rFonts w:asciiTheme="majorBidi" w:eastAsia="Calibri" w:hAnsiTheme="majorBidi" w:cstheme="majorBidi"/>
                <w:sz w:val="16"/>
                <w:szCs w:val="16"/>
                <w:lang w:val="fr-FR" w:bidi="ar-AE"/>
              </w:rPr>
            </w:pPr>
            <w:r w:rsidRPr="00927CFD">
              <w:rPr>
                <w:rFonts w:asciiTheme="majorBidi" w:eastAsia="Calibri" w:hAnsiTheme="majorBidi" w:cstheme="majorBidi"/>
                <w:sz w:val="16"/>
                <w:szCs w:val="16"/>
                <w:lang w:val="fr-FR" w:bidi="ar-AE"/>
              </w:rPr>
              <w:t>2003-2009 (</w:t>
            </w:r>
            <w:proofErr w:type="spellStart"/>
            <w:r w:rsidRPr="00927CFD">
              <w:rPr>
                <w:rFonts w:asciiTheme="majorBidi" w:eastAsia="Calibri" w:hAnsiTheme="majorBidi" w:cstheme="majorBidi"/>
                <w:sz w:val="16"/>
                <w:szCs w:val="16"/>
                <w:lang w:val="fr-FR" w:bidi="ar-AE"/>
              </w:rPr>
              <w:t>daily</w:t>
            </w:r>
            <w:proofErr w:type="spellEnd"/>
            <w:r w:rsidRPr="00927CFD">
              <w:rPr>
                <w:rFonts w:asciiTheme="majorBidi" w:eastAsia="Calibri" w:hAnsiTheme="majorBidi" w:cstheme="majorBidi"/>
                <w:sz w:val="16"/>
                <w:szCs w:val="16"/>
                <w:lang w:val="fr-FR" w:bidi="ar-AE"/>
              </w:rPr>
              <w:t>)</w:t>
            </w:r>
          </w:p>
        </w:tc>
        <w:tc>
          <w:tcPr>
            <w:tcW w:w="1227" w:type="dxa"/>
          </w:tcPr>
          <w:p w:rsidR="005C70C0" w:rsidRPr="00927CFD" w:rsidRDefault="005C70C0" w:rsidP="00870029">
            <w:pPr>
              <w:autoSpaceDE w:val="0"/>
              <w:autoSpaceDN w:val="0"/>
              <w:adjustRightInd w:val="0"/>
              <w:jc w:val="both"/>
              <w:rPr>
                <w:rFonts w:asciiTheme="majorBidi" w:eastAsia="Calibri" w:hAnsiTheme="majorBidi" w:cstheme="majorBidi"/>
                <w:sz w:val="16"/>
                <w:szCs w:val="16"/>
                <w:lang w:val="fr-FR" w:bidi="ar-AE"/>
              </w:rPr>
            </w:pPr>
            <w:r w:rsidRPr="00927CFD">
              <w:rPr>
                <w:rFonts w:asciiTheme="majorBidi" w:eastAsia="Calibri" w:hAnsiTheme="majorBidi" w:cstheme="majorBidi"/>
                <w:sz w:val="16"/>
                <w:szCs w:val="16"/>
                <w:lang w:val="fr-FR" w:bidi="ar-AE"/>
              </w:rPr>
              <w:t>CCF</w:t>
            </w:r>
          </w:p>
        </w:tc>
        <w:tc>
          <w:tcPr>
            <w:tcW w:w="1985" w:type="dxa"/>
          </w:tcPr>
          <w:p w:rsidR="005C70C0" w:rsidRPr="00927CFD" w:rsidRDefault="005C70C0"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oil, wheat, cotton, soybeans, soybeans oil, corn</w:t>
            </w:r>
          </w:p>
        </w:tc>
        <w:tc>
          <w:tcPr>
            <w:tcW w:w="2766" w:type="dxa"/>
          </w:tcPr>
          <w:p w:rsidR="005C70C0" w:rsidRPr="00927CFD" w:rsidRDefault="005C70C0"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The variance of crude oil Granger cause the variance of corn prices</w:t>
            </w:r>
          </w:p>
        </w:tc>
      </w:tr>
      <w:tr w:rsidR="008D7BC0" w:rsidRPr="00927CFD" w:rsidTr="00927CFD">
        <w:tc>
          <w:tcPr>
            <w:tcW w:w="2235" w:type="dxa"/>
          </w:tcPr>
          <w:p w:rsidR="008D7BC0" w:rsidRPr="005C70C0" w:rsidRDefault="008D7BC0" w:rsidP="00870029">
            <w:pPr>
              <w:autoSpaceDE w:val="0"/>
              <w:autoSpaceDN w:val="0"/>
              <w:adjustRightInd w:val="0"/>
              <w:jc w:val="both"/>
              <w:rPr>
                <w:rFonts w:asciiTheme="majorBidi" w:eastAsia="Times New Roman" w:hAnsiTheme="majorBidi" w:cstheme="majorBidi"/>
                <w:color w:val="222222"/>
                <w:sz w:val="16"/>
                <w:szCs w:val="16"/>
                <w:lang w:val="en-GB" w:eastAsia="zh-CN"/>
              </w:rPr>
            </w:pPr>
          </w:p>
        </w:tc>
        <w:tc>
          <w:tcPr>
            <w:tcW w:w="1749" w:type="dxa"/>
          </w:tcPr>
          <w:p w:rsidR="008D7BC0" w:rsidRPr="005C70C0"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1227" w:type="dxa"/>
          </w:tcPr>
          <w:p w:rsidR="008D7BC0" w:rsidRPr="005C70C0"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1985" w:type="dxa"/>
          </w:tcPr>
          <w:p w:rsidR="008D7BC0" w:rsidRPr="00927CFD"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2766" w:type="dxa"/>
          </w:tcPr>
          <w:p w:rsidR="008D7BC0" w:rsidRPr="00927CFD" w:rsidRDefault="008D7BC0" w:rsidP="00870029">
            <w:pPr>
              <w:autoSpaceDE w:val="0"/>
              <w:autoSpaceDN w:val="0"/>
              <w:adjustRightInd w:val="0"/>
              <w:jc w:val="both"/>
              <w:rPr>
                <w:rFonts w:asciiTheme="majorBidi" w:eastAsia="Calibri" w:hAnsiTheme="majorBidi" w:cstheme="majorBidi"/>
                <w:sz w:val="16"/>
                <w:szCs w:val="16"/>
                <w:lang w:val="en-GB" w:bidi="ar-AE"/>
              </w:rPr>
            </w:pPr>
          </w:p>
        </w:tc>
      </w:tr>
      <w:tr w:rsidR="008D7BC0" w:rsidRPr="00927CFD" w:rsidTr="00927CFD">
        <w:tc>
          <w:tcPr>
            <w:tcW w:w="2235" w:type="dxa"/>
          </w:tcPr>
          <w:p w:rsidR="008D7BC0" w:rsidRPr="005C70C0" w:rsidRDefault="008D7BC0" w:rsidP="00870029">
            <w:pPr>
              <w:autoSpaceDE w:val="0"/>
              <w:autoSpaceDN w:val="0"/>
              <w:adjustRightInd w:val="0"/>
              <w:jc w:val="both"/>
              <w:rPr>
                <w:rFonts w:asciiTheme="majorBidi" w:eastAsia="Times New Roman" w:hAnsiTheme="majorBidi" w:cstheme="majorBidi"/>
                <w:color w:val="222222"/>
                <w:sz w:val="16"/>
                <w:szCs w:val="16"/>
                <w:lang w:val="en-GB" w:eastAsia="zh-CN"/>
              </w:rPr>
            </w:pPr>
          </w:p>
        </w:tc>
        <w:tc>
          <w:tcPr>
            <w:tcW w:w="1749" w:type="dxa"/>
          </w:tcPr>
          <w:p w:rsidR="008D7BC0" w:rsidRPr="005C70C0"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1227" w:type="dxa"/>
          </w:tcPr>
          <w:p w:rsidR="008D7BC0" w:rsidRPr="005C70C0"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1985" w:type="dxa"/>
          </w:tcPr>
          <w:p w:rsidR="008D7BC0" w:rsidRPr="00927CFD"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2766" w:type="dxa"/>
          </w:tcPr>
          <w:p w:rsidR="008D7BC0" w:rsidRPr="00927CFD" w:rsidRDefault="008D7BC0" w:rsidP="00870029">
            <w:pPr>
              <w:autoSpaceDE w:val="0"/>
              <w:autoSpaceDN w:val="0"/>
              <w:adjustRightInd w:val="0"/>
              <w:jc w:val="both"/>
              <w:rPr>
                <w:rFonts w:asciiTheme="majorBidi" w:eastAsia="Calibri" w:hAnsiTheme="majorBidi" w:cstheme="majorBidi"/>
                <w:sz w:val="16"/>
                <w:szCs w:val="16"/>
                <w:lang w:val="en-GB" w:bidi="ar-AE"/>
              </w:rPr>
            </w:pPr>
          </w:p>
        </w:tc>
      </w:tr>
      <w:tr w:rsidR="008B40D4" w:rsidRPr="00927CFD" w:rsidTr="00927CFD">
        <w:tc>
          <w:tcPr>
            <w:tcW w:w="2235" w:type="dxa"/>
          </w:tcPr>
          <w:p w:rsidR="008B40D4" w:rsidRPr="00927CFD" w:rsidRDefault="008B40D4" w:rsidP="00870029">
            <w:pPr>
              <w:autoSpaceDE w:val="0"/>
              <w:autoSpaceDN w:val="0"/>
              <w:adjustRightInd w:val="0"/>
              <w:jc w:val="both"/>
              <w:rPr>
                <w:rFonts w:asciiTheme="majorBidi" w:eastAsia="Times New Roman" w:hAnsiTheme="majorBidi" w:cstheme="majorBidi"/>
                <w:color w:val="222222"/>
                <w:sz w:val="16"/>
                <w:szCs w:val="16"/>
                <w:lang w:val="de-DE" w:eastAsia="zh-CN"/>
              </w:rPr>
            </w:pPr>
            <w:r w:rsidRPr="00927CFD">
              <w:rPr>
                <w:rFonts w:asciiTheme="majorBidi" w:eastAsia="Times New Roman" w:hAnsiTheme="majorBidi" w:cstheme="majorBidi"/>
                <w:color w:val="222222"/>
                <w:sz w:val="16"/>
                <w:szCs w:val="16"/>
                <w:lang w:val="de-DE" w:eastAsia="zh-CN"/>
              </w:rPr>
              <w:t>Zhang, Y. J., &amp; Wei, Y. M. (2010).</w:t>
            </w:r>
          </w:p>
        </w:tc>
        <w:tc>
          <w:tcPr>
            <w:tcW w:w="1749"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de-DE" w:bidi="ar-AE"/>
              </w:rPr>
            </w:pPr>
            <w:r w:rsidRPr="00927CFD">
              <w:rPr>
                <w:rFonts w:asciiTheme="majorBidi" w:eastAsia="Calibri" w:hAnsiTheme="majorBidi" w:cstheme="majorBidi"/>
                <w:sz w:val="16"/>
                <w:szCs w:val="16"/>
                <w:lang w:val="de-DE" w:bidi="ar-AE"/>
              </w:rPr>
              <w:t>2000-2008 (daily)</w:t>
            </w:r>
          </w:p>
        </w:tc>
        <w:tc>
          <w:tcPr>
            <w:tcW w:w="1227"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de-DE" w:bidi="ar-AE"/>
              </w:rPr>
            </w:pPr>
            <w:r w:rsidRPr="00927CFD">
              <w:rPr>
                <w:rFonts w:asciiTheme="majorBidi" w:eastAsia="Calibri" w:hAnsiTheme="majorBidi" w:cstheme="majorBidi"/>
                <w:sz w:val="16"/>
                <w:szCs w:val="16"/>
                <w:lang w:val="de-DE" w:bidi="ar-AE"/>
              </w:rPr>
              <w:t>cointegration</w:t>
            </w:r>
          </w:p>
        </w:tc>
        <w:tc>
          <w:tcPr>
            <w:tcW w:w="1985"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de-DE" w:bidi="ar-AE"/>
              </w:rPr>
            </w:pPr>
            <w:r w:rsidRPr="00927CFD">
              <w:rPr>
                <w:rFonts w:asciiTheme="majorBidi" w:eastAsia="Calibri" w:hAnsiTheme="majorBidi" w:cstheme="majorBidi"/>
                <w:sz w:val="16"/>
                <w:szCs w:val="16"/>
                <w:lang w:val="de-DE" w:bidi="ar-AE"/>
              </w:rPr>
              <w:t>oil and gold</w:t>
            </w:r>
          </w:p>
        </w:tc>
        <w:tc>
          <w:tcPr>
            <w:tcW w:w="2766"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Oil volatility Granger cause gold volatility but not the other way around</w:t>
            </w:r>
          </w:p>
        </w:tc>
      </w:tr>
      <w:tr w:rsidR="008D7BC0" w:rsidRPr="00927CFD" w:rsidTr="00927CFD">
        <w:tc>
          <w:tcPr>
            <w:tcW w:w="2235" w:type="dxa"/>
          </w:tcPr>
          <w:p w:rsidR="008D7BC0" w:rsidRPr="00927CFD" w:rsidRDefault="008D7BC0" w:rsidP="00870029">
            <w:pPr>
              <w:autoSpaceDE w:val="0"/>
              <w:autoSpaceDN w:val="0"/>
              <w:adjustRightInd w:val="0"/>
              <w:jc w:val="both"/>
              <w:rPr>
                <w:rFonts w:asciiTheme="majorBidi" w:eastAsia="Times New Roman" w:hAnsiTheme="majorBidi" w:cstheme="majorBidi"/>
                <w:color w:val="222222"/>
                <w:sz w:val="16"/>
                <w:szCs w:val="16"/>
                <w:lang w:val="en-GB" w:eastAsia="zh-CN"/>
              </w:rPr>
            </w:pPr>
          </w:p>
        </w:tc>
        <w:tc>
          <w:tcPr>
            <w:tcW w:w="1749" w:type="dxa"/>
          </w:tcPr>
          <w:p w:rsidR="008D7BC0" w:rsidRPr="00927CFD"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1227" w:type="dxa"/>
          </w:tcPr>
          <w:p w:rsidR="008D7BC0" w:rsidRPr="00927CFD"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1985" w:type="dxa"/>
          </w:tcPr>
          <w:p w:rsidR="008D7BC0" w:rsidRPr="00927CFD" w:rsidRDefault="008D7BC0" w:rsidP="00870029">
            <w:pPr>
              <w:autoSpaceDE w:val="0"/>
              <w:autoSpaceDN w:val="0"/>
              <w:adjustRightInd w:val="0"/>
              <w:jc w:val="both"/>
              <w:rPr>
                <w:rFonts w:asciiTheme="majorBidi" w:eastAsia="Calibri" w:hAnsiTheme="majorBidi" w:cstheme="majorBidi"/>
                <w:sz w:val="16"/>
                <w:szCs w:val="16"/>
                <w:lang w:val="en-GB" w:bidi="ar-AE"/>
              </w:rPr>
            </w:pPr>
          </w:p>
        </w:tc>
        <w:tc>
          <w:tcPr>
            <w:tcW w:w="2766" w:type="dxa"/>
          </w:tcPr>
          <w:p w:rsidR="008D7BC0" w:rsidRPr="00927CFD" w:rsidRDefault="008D7BC0" w:rsidP="00870029">
            <w:pPr>
              <w:autoSpaceDE w:val="0"/>
              <w:autoSpaceDN w:val="0"/>
              <w:adjustRightInd w:val="0"/>
              <w:jc w:val="both"/>
              <w:rPr>
                <w:rFonts w:asciiTheme="majorBidi" w:eastAsia="Calibri" w:hAnsiTheme="majorBidi" w:cstheme="majorBidi"/>
                <w:sz w:val="16"/>
                <w:szCs w:val="16"/>
                <w:lang w:val="en-GB" w:bidi="ar-AE"/>
              </w:rPr>
            </w:pPr>
          </w:p>
        </w:tc>
      </w:tr>
      <w:tr w:rsidR="008B40D4" w:rsidRPr="00927CFD" w:rsidTr="00927CFD">
        <w:tc>
          <w:tcPr>
            <w:tcW w:w="2235" w:type="dxa"/>
          </w:tcPr>
          <w:p w:rsidR="008B40D4" w:rsidRPr="00927CFD" w:rsidRDefault="008B40D4" w:rsidP="00870029">
            <w:pPr>
              <w:autoSpaceDE w:val="0"/>
              <w:autoSpaceDN w:val="0"/>
              <w:adjustRightInd w:val="0"/>
              <w:jc w:val="both"/>
              <w:rPr>
                <w:rFonts w:asciiTheme="majorBidi" w:eastAsia="Times New Roman" w:hAnsiTheme="majorBidi" w:cstheme="majorBidi"/>
                <w:color w:val="222222"/>
                <w:sz w:val="16"/>
                <w:szCs w:val="16"/>
                <w:lang w:val="fi-FI" w:eastAsia="zh-CN"/>
              </w:rPr>
            </w:pPr>
            <w:r w:rsidRPr="00927CFD">
              <w:rPr>
                <w:rFonts w:asciiTheme="majorBidi" w:eastAsia="Times New Roman" w:hAnsiTheme="majorBidi" w:cstheme="majorBidi"/>
                <w:color w:val="222222"/>
                <w:sz w:val="16"/>
                <w:szCs w:val="16"/>
                <w:lang w:val="fi-FI" w:eastAsia="zh-CN"/>
              </w:rPr>
              <w:t>Sari, R., Hammoudeh, S., &amp; Soytas, U. (2010).</w:t>
            </w:r>
          </w:p>
        </w:tc>
        <w:tc>
          <w:tcPr>
            <w:tcW w:w="1749"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fi-FI" w:bidi="ar-AE"/>
              </w:rPr>
            </w:pPr>
            <w:r w:rsidRPr="00927CFD">
              <w:rPr>
                <w:rFonts w:asciiTheme="majorBidi" w:eastAsia="Calibri" w:hAnsiTheme="majorBidi" w:cstheme="majorBidi"/>
                <w:sz w:val="16"/>
                <w:szCs w:val="16"/>
                <w:lang w:val="fi-FI" w:bidi="ar-AE"/>
              </w:rPr>
              <w:t>1999-2007 (daily)</w:t>
            </w:r>
          </w:p>
        </w:tc>
        <w:tc>
          <w:tcPr>
            <w:tcW w:w="1227"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fi-FI" w:bidi="ar-AE"/>
              </w:rPr>
            </w:pPr>
            <w:r w:rsidRPr="00927CFD">
              <w:rPr>
                <w:rFonts w:asciiTheme="majorBidi" w:eastAsia="Calibri" w:hAnsiTheme="majorBidi" w:cstheme="majorBidi"/>
                <w:sz w:val="16"/>
                <w:szCs w:val="16"/>
                <w:lang w:val="fi-FI" w:bidi="ar-AE"/>
              </w:rPr>
              <w:t>VAR, variance decomposition</w:t>
            </w:r>
          </w:p>
        </w:tc>
        <w:tc>
          <w:tcPr>
            <w:tcW w:w="1985"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oil, gold, silver, platinum, foreign exchange rate</w:t>
            </w:r>
          </w:p>
        </w:tc>
        <w:tc>
          <w:tcPr>
            <w:tcW w:w="2766"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The long term relation is weak. However, there is strong feedback between oil and these markets in the short term</w:t>
            </w:r>
          </w:p>
        </w:tc>
      </w:tr>
      <w:tr w:rsidR="008B40D4" w:rsidRPr="00927CFD" w:rsidTr="00927CFD">
        <w:tc>
          <w:tcPr>
            <w:tcW w:w="2235" w:type="dxa"/>
          </w:tcPr>
          <w:p w:rsidR="008B40D4" w:rsidRPr="00927CFD" w:rsidRDefault="008B40D4" w:rsidP="00870029">
            <w:pPr>
              <w:autoSpaceDE w:val="0"/>
              <w:autoSpaceDN w:val="0"/>
              <w:adjustRightInd w:val="0"/>
              <w:jc w:val="both"/>
              <w:rPr>
                <w:rFonts w:asciiTheme="majorBidi" w:eastAsia="Times New Roman" w:hAnsiTheme="majorBidi" w:cstheme="majorBidi"/>
                <w:color w:val="222222"/>
                <w:sz w:val="16"/>
                <w:szCs w:val="16"/>
                <w:lang w:eastAsia="zh-CN"/>
              </w:rPr>
            </w:pPr>
          </w:p>
        </w:tc>
        <w:tc>
          <w:tcPr>
            <w:tcW w:w="1749"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1227"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1985"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2766"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r>
      <w:tr w:rsidR="008B40D4" w:rsidRPr="00927CFD" w:rsidTr="00927CFD">
        <w:tc>
          <w:tcPr>
            <w:tcW w:w="2235" w:type="dxa"/>
          </w:tcPr>
          <w:p w:rsidR="008B40D4" w:rsidRPr="00927CFD" w:rsidRDefault="008B40D4" w:rsidP="00870029">
            <w:pPr>
              <w:autoSpaceDE w:val="0"/>
              <w:autoSpaceDN w:val="0"/>
              <w:adjustRightInd w:val="0"/>
              <w:jc w:val="both"/>
              <w:rPr>
                <w:rFonts w:asciiTheme="majorBidi" w:eastAsia="Times New Roman" w:hAnsiTheme="majorBidi" w:cstheme="majorBidi"/>
                <w:color w:val="222222"/>
                <w:sz w:val="16"/>
                <w:szCs w:val="16"/>
                <w:lang w:val="it-IT" w:eastAsia="zh-CN"/>
              </w:rPr>
            </w:pPr>
            <w:r w:rsidRPr="00927CFD">
              <w:rPr>
                <w:rFonts w:asciiTheme="majorBidi" w:eastAsia="Times New Roman" w:hAnsiTheme="majorBidi" w:cstheme="majorBidi"/>
                <w:color w:val="222222"/>
                <w:sz w:val="16"/>
                <w:szCs w:val="16"/>
                <w:lang w:val="it-IT" w:eastAsia="zh-CN"/>
              </w:rPr>
              <w:t>Chnage and Su (2010)</w:t>
            </w:r>
          </w:p>
        </w:tc>
        <w:tc>
          <w:tcPr>
            <w:tcW w:w="1749"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it-IT" w:bidi="ar-AE"/>
              </w:rPr>
            </w:pPr>
            <w:r w:rsidRPr="00927CFD">
              <w:rPr>
                <w:rFonts w:asciiTheme="majorBidi" w:eastAsia="Calibri" w:hAnsiTheme="majorBidi" w:cstheme="majorBidi"/>
                <w:sz w:val="16"/>
                <w:szCs w:val="16"/>
                <w:lang w:val="it-IT" w:bidi="ar-AE"/>
              </w:rPr>
              <w:t>2000-2008 (daily)</w:t>
            </w:r>
          </w:p>
        </w:tc>
        <w:tc>
          <w:tcPr>
            <w:tcW w:w="1227"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it-IT" w:bidi="ar-AE"/>
              </w:rPr>
            </w:pPr>
            <w:r w:rsidRPr="00927CFD">
              <w:rPr>
                <w:rFonts w:asciiTheme="majorBidi" w:eastAsia="Calibri" w:hAnsiTheme="majorBidi" w:cstheme="majorBidi"/>
                <w:sz w:val="16"/>
                <w:szCs w:val="16"/>
                <w:lang w:val="it-IT" w:bidi="ar-AE"/>
              </w:rPr>
              <w:t>EGARCH</w:t>
            </w:r>
          </w:p>
        </w:tc>
        <w:tc>
          <w:tcPr>
            <w:tcW w:w="1985"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 xml:space="preserve">Crude oil, corn, soybeans, </w:t>
            </w:r>
          </w:p>
        </w:tc>
        <w:tc>
          <w:tcPr>
            <w:tcW w:w="2766"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There is significant volatility transmission from oil to corn and soybeans</w:t>
            </w:r>
          </w:p>
        </w:tc>
      </w:tr>
      <w:tr w:rsidR="008B40D4" w:rsidRPr="00927CFD" w:rsidTr="00927CFD">
        <w:tc>
          <w:tcPr>
            <w:tcW w:w="2235" w:type="dxa"/>
          </w:tcPr>
          <w:p w:rsidR="008B40D4" w:rsidRPr="00927CFD" w:rsidRDefault="008B40D4" w:rsidP="00870029">
            <w:pPr>
              <w:autoSpaceDE w:val="0"/>
              <w:autoSpaceDN w:val="0"/>
              <w:adjustRightInd w:val="0"/>
              <w:jc w:val="both"/>
              <w:rPr>
                <w:rFonts w:asciiTheme="majorBidi" w:eastAsia="Times New Roman" w:hAnsiTheme="majorBidi" w:cstheme="majorBidi"/>
                <w:color w:val="222222"/>
                <w:sz w:val="16"/>
                <w:szCs w:val="16"/>
                <w:lang w:eastAsia="zh-CN"/>
              </w:rPr>
            </w:pPr>
          </w:p>
        </w:tc>
        <w:tc>
          <w:tcPr>
            <w:tcW w:w="1749"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1227"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1985"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2766"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r>
      <w:tr w:rsidR="008B40D4" w:rsidRPr="00927CFD" w:rsidTr="00927CFD">
        <w:tc>
          <w:tcPr>
            <w:tcW w:w="2235" w:type="dxa"/>
          </w:tcPr>
          <w:p w:rsidR="008B40D4" w:rsidRPr="00927CFD" w:rsidRDefault="008B40D4" w:rsidP="00870029">
            <w:pPr>
              <w:autoSpaceDE w:val="0"/>
              <w:autoSpaceDN w:val="0"/>
              <w:adjustRightInd w:val="0"/>
              <w:jc w:val="both"/>
              <w:rPr>
                <w:rFonts w:asciiTheme="majorBidi" w:eastAsia="Times New Roman" w:hAnsiTheme="majorBidi" w:cstheme="majorBidi"/>
                <w:color w:val="222222"/>
                <w:sz w:val="16"/>
                <w:szCs w:val="16"/>
                <w:lang w:val="fr-FR" w:eastAsia="zh-CN"/>
              </w:rPr>
            </w:pPr>
            <w:r w:rsidRPr="00927CFD">
              <w:rPr>
                <w:rFonts w:asciiTheme="majorBidi" w:eastAsia="Times New Roman" w:hAnsiTheme="majorBidi" w:cstheme="majorBidi"/>
                <w:color w:val="222222"/>
                <w:sz w:val="16"/>
                <w:szCs w:val="16"/>
                <w:lang w:val="fr-FR" w:eastAsia="zh-CN"/>
              </w:rPr>
              <w:t>Du, X., Cindy, L. Y., &amp; Hayes, D. J. (2011).</w:t>
            </w:r>
          </w:p>
        </w:tc>
        <w:tc>
          <w:tcPr>
            <w:tcW w:w="1749"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fr-FR" w:bidi="ar-AE"/>
              </w:rPr>
            </w:pPr>
            <w:r w:rsidRPr="00927CFD">
              <w:rPr>
                <w:rFonts w:asciiTheme="majorBidi" w:eastAsia="Calibri" w:hAnsiTheme="majorBidi" w:cstheme="majorBidi"/>
                <w:sz w:val="16"/>
                <w:szCs w:val="16"/>
                <w:lang w:val="fr-FR" w:bidi="ar-AE"/>
              </w:rPr>
              <w:t>1998-2009 (</w:t>
            </w:r>
            <w:proofErr w:type="spellStart"/>
            <w:r w:rsidRPr="00927CFD">
              <w:rPr>
                <w:rFonts w:asciiTheme="majorBidi" w:eastAsia="Calibri" w:hAnsiTheme="majorBidi" w:cstheme="majorBidi"/>
                <w:sz w:val="16"/>
                <w:szCs w:val="16"/>
                <w:lang w:val="fr-FR" w:bidi="ar-AE"/>
              </w:rPr>
              <w:t>weekly</w:t>
            </w:r>
            <w:proofErr w:type="spellEnd"/>
            <w:r w:rsidRPr="00927CFD">
              <w:rPr>
                <w:rFonts w:asciiTheme="majorBidi" w:eastAsia="Calibri" w:hAnsiTheme="majorBidi" w:cstheme="majorBidi"/>
                <w:sz w:val="16"/>
                <w:szCs w:val="16"/>
                <w:lang w:val="fr-FR" w:bidi="ar-AE"/>
              </w:rPr>
              <w:t>)</w:t>
            </w:r>
          </w:p>
        </w:tc>
        <w:tc>
          <w:tcPr>
            <w:tcW w:w="1227" w:type="dxa"/>
          </w:tcPr>
          <w:p w:rsidR="008B40D4" w:rsidRPr="00E37DCE" w:rsidRDefault="008B40D4" w:rsidP="00870029">
            <w:pPr>
              <w:autoSpaceDE w:val="0"/>
              <w:autoSpaceDN w:val="0"/>
              <w:adjustRightInd w:val="0"/>
              <w:spacing w:after="200" w:line="276" w:lineRule="auto"/>
              <w:jc w:val="both"/>
              <w:rPr>
                <w:rFonts w:asciiTheme="majorBidi" w:eastAsia="Calibri" w:hAnsiTheme="majorBidi" w:cstheme="majorBidi"/>
                <w:sz w:val="16"/>
                <w:szCs w:val="16"/>
                <w:lang w:val="en-GB" w:bidi="ar-AE"/>
              </w:rPr>
            </w:pPr>
            <w:r w:rsidRPr="00E37DCE">
              <w:rPr>
                <w:rFonts w:asciiTheme="majorBidi" w:eastAsia="Calibri" w:hAnsiTheme="majorBidi" w:cstheme="majorBidi"/>
                <w:sz w:val="16"/>
                <w:szCs w:val="16"/>
                <w:lang w:val="en-GB" w:bidi="ar-AE"/>
              </w:rPr>
              <w:t xml:space="preserve">Bi-variate stochastic volatility model </w:t>
            </w:r>
          </w:p>
        </w:tc>
        <w:tc>
          <w:tcPr>
            <w:tcW w:w="1985"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fr-FR" w:bidi="ar-AE"/>
              </w:rPr>
            </w:pPr>
            <w:proofErr w:type="spellStart"/>
            <w:r w:rsidRPr="00927CFD">
              <w:rPr>
                <w:rFonts w:asciiTheme="majorBidi" w:eastAsia="Calibri" w:hAnsiTheme="majorBidi" w:cstheme="majorBidi"/>
                <w:sz w:val="16"/>
                <w:szCs w:val="16"/>
                <w:lang w:val="fr-FR" w:bidi="ar-AE"/>
              </w:rPr>
              <w:t>oil</w:t>
            </w:r>
            <w:proofErr w:type="spellEnd"/>
            <w:r w:rsidRPr="00927CFD">
              <w:rPr>
                <w:rFonts w:asciiTheme="majorBidi" w:eastAsia="Calibri" w:hAnsiTheme="majorBidi" w:cstheme="majorBidi"/>
                <w:sz w:val="16"/>
                <w:szCs w:val="16"/>
                <w:lang w:val="fr-FR" w:bidi="ar-AE"/>
              </w:rPr>
              <w:t xml:space="preserve">, corn, </w:t>
            </w:r>
            <w:proofErr w:type="spellStart"/>
            <w:r w:rsidRPr="00927CFD">
              <w:rPr>
                <w:rFonts w:asciiTheme="majorBidi" w:eastAsia="Calibri" w:hAnsiTheme="majorBidi" w:cstheme="majorBidi"/>
                <w:sz w:val="16"/>
                <w:szCs w:val="16"/>
                <w:lang w:val="fr-FR" w:bidi="ar-AE"/>
              </w:rPr>
              <w:t>wheat</w:t>
            </w:r>
            <w:proofErr w:type="spellEnd"/>
          </w:p>
        </w:tc>
        <w:tc>
          <w:tcPr>
            <w:tcW w:w="2766"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oil shocks trigger sharp price changes in agricultural commodity prices</w:t>
            </w:r>
          </w:p>
        </w:tc>
      </w:tr>
      <w:tr w:rsidR="008B40D4" w:rsidRPr="00927CFD" w:rsidTr="00927CFD">
        <w:tc>
          <w:tcPr>
            <w:tcW w:w="2235" w:type="dxa"/>
          </w:tcPr>
          <w:p w:rsidR="008B40D4" w:rsidRPr="001D1BE7" w:rsidRDefault="008B40D4" w:rsidP="00927CFD">
            <w:pPr>
              <w:autoSpaceDE w:val="0"/>
              <w:autoSpaceDN w:val="0"/>
              <w:adjustRightInd w:val="0"/>
              <w:spacing w:after="200" w:line="276" w:lineRule="auto"/>
              <w:jc w:val="both"/>
              <w:rPr>
                <w:rFonts w:asciiTheme="majorBidi" w:eastAsia="Times New Roman" w:hAnsiTheme="majorBidi" w:cstheme="majorBidi"/>
                <w:color w:val="222222"/>
                <w:sz w:val="16"/>
                <w:szCs w:val="16"/>
                <w:lang w:val="en-GB" w:eastAsia="zh-CN"/>
              </w:rPr>
            </w:pPr>
          </w:p>
        </w:tc>
        <w:tc>
          <w:tcPr>
            <w:tcW w:w="1749" w:type="dxa"/>
          </w:tcPr>
          <w:p w:rsidR="008B40D4" w:rsidRPr="001D1BE7" w:rsidRDefault="008B40D4" w:rsidP="00927CFD">
            <w:pPr>
              <w:autoSpaceDE w:val="0"/>
              <w:autoSpaceDN w:val="0"/>
              <w:adjustRightInd w:val="0"/>
              <w:spacing w:after="200" w:line="276" w:lineRule="auto"/>
              <w:jc w:val="both"/>
              <w:rPr>
                <w:rFonts w:asciiTheme="majorBidi" w:eastAsia="Calibri" w:hAnsiTheme="majorBidi" w:cstheme="majorBidi"/>
                <w:sz w:val="16"/>
                <w:szCs w:val="16"/>
                <w:lang w:val="en-GB" w:bidi="ar-AE"/>
              </w:rPr>
            </w:pPr>
          </w:p>
        </w:tc>
        <w:tc>
          <w:tcPr>
            <w:tcW w:w="1227" w:type="dxa"/>
          </w:tcPr>
          <w:p w:rsidR="008B40D4" w:rsidRPr="001D1BE7" w:rsidRDefault="008B40D4" w:rsidP="00927CFD">
            <w:pPr>
              <w:autoSpaceDE w:val="0"/>
              <w:autoSpaceDN w:val="0"/>
              <w:adjustRightInd w:val="0"/>
              <w:spacing w:after="200" w:line="276" w:lineRule="auto"/>
              <w:jc w:val="both"/>
              <w:rPr>
                <w:rFonts w:asciiTheme="majorBidi" w:eastAsia="Calibri" w:hAnsiTheme="majorBidi" w:cstheme="majorBidi"/>
                <w:sz w:val="16"/>
                <w:szCs w:val="16"/>
                <w:lang w:val="en-GB" w:bidi="ar-AE"/>
              </w:rPr>
            </w:pPr>
          </w:p>
        </w:tc>
        <w:tc>
          <w:tcPr>
            <w:tcW w:w="1985" w:type="dxa"/>
          </w:tcPr>
          <w:p w:rsidR="008B40D4" w:rsidRPr="00927CFD" w:rsidRDefault="008B40D4" w:rsidP="00927CFD">
            <w:pPr>
              <w:autoSpaceDE w:val="0"/>
              <w:autoSpaceDN w:val="0"/>
              <w:adjustRightInd w:val="0"/>
              <w:jc w:val="both"/>
              <w:rPr>
                <w:rFonts w:asciiTheme="majorBidi" w:eastAsia="Calibri" w:hAnsiTheme="majorBidi" w:cstheme="majorBidi"/>
                <w:sz w:val="16"/>
                <w:szCs w:val="16"/>
                <w:lang w:val="en-GB" w:bidi="ar-AE"/>
              </w:rPr>
            </w:pPr>
          </w:p>
        </w:tc>
        <w:tc>
          <w:tcPr>
            <w:tcW w:w="2766" w:type="dxa"/>
          </w:tcPr>
          <w:p w:rsidR="008B40D4" w:rsidRPr="00927CFD" w:rsidRDefault="008B40D4" w:rsidP="00927CFD">
            <w:pPr>
              <w:autoSpaceDE w:val="0"/>
              <w:autoSpaceDN w:val="0"/>
              <w:adjustRightInd w:val="0"/>
              <w:jc w:val="both"/>
              <w:rPr>
                <w:rFonts w:asciiTheme="majorBidi" w:eastAsia="Calibri" w:hAnsiTheme="majorBidi" w:cstheme="majorBidi"/>
                <w:sz w:val="16"/>
                <w:szCs w:val="16"/>
                <w:lang w:val="en-GB" w:bidi="ar-AE"/>
              </w:rPr>
            </w:pPr>
          </w:p>
        </w:tc>
      </w:tr>
      <w:tr w:rsidR="008B40D4" w:rsidRPr="00927CFD" w:rsidTr="00927CFD">
        <w:tc>
          <w:tcPr>
            <w:tcW w:w="2235" w:type="dxa"/>
          </w:tcPr>
          <w:p w:rsidR="008B40D4" w:rsidRPr="00927CFD" w:rsidRDefault="008B40D4" w:rsidP="00870029">
            <w:pPr>
              <w:autoSpaceDE w:val="0"/>
              <w:autoSpaceDN w:val="0"/>
              <w:adjustRightInd w:val="0"/>
              <w:jc w:val="both"/>
              <w:rPr>
                <w:rFonts w:asciiTheme="majorBidi" w:eastAsia="Times New Roman" w:hAnsiTheme="majorBidi" w:cstheme="majorBidi"/>
                <w:color w:val="222222"/>
                <w:sz w:val="16"/>
                <w:szCs w:val="16"/>
                <w:lang w:val="en-GB" w:eastAsia="zh-CN"/>
              </w:rPr>
            </w:pPr>
            <w:r w:rsidRPr="00927CFD">
              <w:rPr>
                <w:rFonts w:asciiTheme="majorBidi" w:eastAsia="Times New Roman" w:hAnsiTheme="majorBidi" w:cstheme="majorBidi"/>
                <w:color w:val="222222"/>
                <w:sz w:val="16"/>
                <w:szCs w:val="16"/>
                <w:lang w:val="en-GB" w:eastAsia="zh-CN"/>
              </w:rPr>
              <w:t>Alom, F., Ward, B., &amp; Hu, B. (2011, June)</w:t>
            </w:r>
          </w:p>
        </w:tc>
        <w:tc>
          <w:tcPr>
            <w:tcW w:w="1749"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1995-2010 (daily)</w:t>
            </w:r>
          </w:p>
        </w:tc>
        <w:tc>
          <w:tcPr>
            <w:tcW w:w="1227"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VAR</w:t>
            </w:r>
          </w:p>
        </w:tc>
        <w:tc>
          <w:tcPr>
            <w:tcW w:w="1985"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oil, food price index</w:t>
            </w:r>
          </w:p>
        </w:tc>
        <w:tc>
          <w:tcPr>
            <w:tcW w:w="2766"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val="en-GB" w:bidi="ar-AE"/>
              </w:rPr>
            </w:pPr>
            <w:r w:rsidRPr="00927CFD">
              <w:rPr>
                <w:rFonts w:asciiTheme="majorBidi" w:eastAsia="Calibri" w:hAnsiTheme="majorBidi" w:cstheme="majorBidi"/>
                <w:sz w:val="16"/>
                <w:szCs w:val="16"/>
                <w:lang w:val="en-GB" w:bidi="ar-AE"/>
              </w:rPr>
              <w:t xml:space="preserve">The oil price volatility is positively correlated with food price volatility. However, the relationship varies across countries and periods </w:t>
            </w:r>
          </w:p>
        </w:tc>
      </w:tr>
      <w:tr w:rsidR="008B40D4" w:rsidRPr="00927CFD" w:rsidTr="00927CFD">
        <w:tc>
          <w:tcPr>
            <w:tcW w:w="2235" w:type="dxa"/>
          </w:tcPr>
          <w:p w:rsidR="008B40D4" w:rsidRPr="00927CFD" w:rsidRDefault="008B40D4" w:rsidP="00927CFD">
            <w:pPr>
              <w:autoSpaceDE w:val="0"/>
              <w:autoSpaceDN w:val="0"/>
              <w:adjustRightInd w:val="0"/>
              <w:jc w:val="both"/>
              <w:rPr>
                <w:rFonts w:asciiTheme="majorBidi" w:eastAsia="Times New Roman" w:hAnsiTheme="majorBidi" w:cstheme="majorBidi"/>
                <w:color w:val="222222"/>
                <w:sz w:val="16"/>
                <w:szCs w:val="16"/>
                <w:lang w:val="en-GB" w:eastAsia="zh-CN"/>
              </w:rPr>
            </w:pPr>
          </w:p>
        </w:tc>
        <w:tc>
          <w:tcPr>
            <w:tcW w:w="1749" w:type="dxa"/>
          </w:tcPr>
          <w:p w:rsidR="008B40D4" w:rsidRPr="001D1BE7" w:rsidRDefault="008B40D4" w:rsidP="00927CFD">
            <w:pPr>
              <w:autoSpaceDE w:val="0"/>
              <w:autoSpaceDN w:val="0"/>
              <w:adjustRightInd w:val="0"/>
              <w:spacing w:after="200" w:line="276" w:lineRule="auto"/>
              <w:jc w:val="both"/>
              <w:rPr>
                <w:rFonts w:asciiTheme="majorBidi" w:eastAsia="Calibri" w:hAnsiTheme="majorBidi" w:cstheme="majorBidi"/>
                <w:sz w:val="16"/>
                <w:szCs w:val="16"/>
                <w:lang w:val="en-GB" w:bidi="ar-AE"/>
              </w:rPr>
            </w:pPr>
          </w:p>
        </w:tc>
        <w:tc>
          <w:tcPr>
            <w:tcW w:w="1227" w:type="dxa"/>
          </w:tcPr>
          <w:p w:rsidR="008B40D4" w:rsidRPr="001D1BE7" w:rsidRDefault="008B40D4" w:rsidP="00927CFD">
            <w:pPr>
              <w:autoSpaceDE w:val="0"/>
              <w:autoSpaceDN w:val="0"/>
              <w:adjustRightInd w:val="0"/>
              <w:spacing w:after="200" w:line="276" w:lineRule="auto"/>
              <w:jc w:val="both"/>
              <w:rPr>
                <w:rFonts w:asciiTheme="majorBidi" w:eastAsia="Calibri" w:hAnsiTheme="majorBidi" w:cstheme="majorBidi"/>
                <w:sz w:val="16"/>
                <w:szCs w:val="16"/>
                <w:lang w:val="en-GB" w:bidi="ar-AE"/>
              </w:rPr>
            </w:pPr>
          </w:p>
        </w:tc>
        <w:tc>
          <w:tcPr>
            <w:tcW w:w="1985" w:type="dxa"/>
          </w:tcPr>
          <w:p w:rsidR="008B40D4" w:rsidRPr="00927CFD" w:rsidRDefault="008B40D4" w:rsidP="00927CFD">
            <w:pPr>
              <w:autoSpaceDE w:val="0"/>
              <w:autoSpaceDN w:val="0"/>
              <w:adjustRightInd w:val="0"/>
              <w:jc w:val="both"/>
              <w:rPr>
                <w:rFonts w:asciiTheme="majorBidi" w:eastAsia="Calibri" w:hAnsiTheme="majorBidi" w:cstheme="majorBidi"/>
                <w:sz w:val="16"/>
                <w:szCs w:val="16"/>
                <w:lang w:val="en-GB" w:bidi="ar-AE"/>
              </w:rPr>
            </w:pPr>
          </w:p>
        </w:tc>
        <w:tc>
          <w:tcPr>
            <w:tcW w:w="2766" w:type="dxa"/>
          </w:tcPr>
          <w:p w:rsidR="008B40D4" w:rsidRPr="00927CFD" w:rsidRDefault="008B40D4" w:rsidP="00927CFD">
            <w:pPr>
              <w:autoSpaceDE w:val="0"/>
              <w:autoSpaceDN w:val="0"/>
              <w:adjustRightInd w:val="0"/>
              <w:jc w:val="both"/>
              <w:rPr>
                <w:rFonts w:asciiTheme="majorBidi" w:eastAsia="Calibri" w:hAnsiTheme="majorBidi" w:cstheme="majorBidi"/>
                <w:sz w:val="16"/>
                <w:szCs w:val="16"/>
                <w:lang w:val="en-GB" w:bidi="ar-AE"/>
              </w:rPr>
            </w:pPr>
          </w:p>
        </w:tc>
      </w:tr>
      <w:tr w:rsidR="008B40D4" w:rsidRPr="00927CFD" w:rsidTr="00927CFD">
        <w:tc>
          <w:tcPr>
            <w:tcW w:w="2235" w:type="dxa"/>
          </w:tcPr>
          <w:p w:rsidR="008B40D4" w:rsidRPr="00927CFD" w:rsidRDefault="008B40D4" w:rsidP="00870029">
            <w:pPr>
              <w:autoSpaceDE w:val="0"/>
              <w:autoSpaceDN w:val="0"/>
              <w:adjustRightInd w:val="0"/>
              <w:jc w:val="both"/>
              <w:rPr>
                <w:rFonts w:asciiTheme="majorBidi" w:eastAsia="Times New Roman" w:hAnsiTheme="majorBidi" w:cstheme="majorBidi"/>
                <w:color w:val="222222"/>
                <w:sz w:val="16"/>
                <w:szCs w:val="16"/>
                <w:lang w:eastAsia="zh-CN"/>
              </w:rPr>
            </w:pPr>
            <w:proofErr w:type="spellStart"/>
            <w:r w:rsidRPr="00927CFD">
              <w:rPr>
                <w:rFonts w:asciiTheme="majorBidi" w:eastAsia="Times New Roman" w:hAnsiTheme="majorBidi" w:cstheme="majorBidi"/>
                <w:color w:val="222222"/>
                <w:sz w:val="16"/>
                <w:szCs w:val="16"/>
                <w:lang w:val="en-GB" w:eastAsia="zh-CN"/>
              </w:rPr>
              <w:t>Reboredo</w:t>
            </w:r>
            <w:proofErr w:type="spellEnd"/>
            <w:r w:rsidRPr="00927CFD">
              <w:rPr>
                <w:rFonts w:asciiTheme="majorBidi" w:eastAsia="Times New Roman" w:hAnsiTheme="majorBidi" w:cstheme="majorBidi"/>
                <w:color w:val="222222"/>
                <w:sz w:val="16"/>
                <w:szCs w:val="16"/>
                <w:lang w:val="en-GB" w:eastAsia="zh-CN"/>
              </w:rPr>
              <w:t>, J. C. (2012).</w:t>
            </w:r>
          </w:p>
        </w:tc>
        <w:tc>
          <w:tcPr>
            <w:tcW w:w="1749"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Calibri" w:hAnsiTheme="majorBidi" w:cstheme="majorBidi"/>
                <w:sz w:val="16"/>
                <w:szCs w:val="16"/>
                <w:lang w:bidi="ar-AE"/>
              </w:rPr>
              <w:t>2000-2010 (daily)</w:t>
            </w:r>
          </w:p>
        </w:tc>
        <w:tc>
          <w:tcPr>
            <w:tcW w:w="1227"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roofErr w:type="spellStart"/>
            <w:r>
              <w:rPr>
                <w:rFonts w:asciiTheme="majorBidi" w:eastAsia="Calibri" w:hAnsiTheme="majorBidi" w:cstheme="majorBidi"/>
                <w:sz w:val="16"/>
                <w:szCs w:val="16"/>
                <w:lang w:bidi="ar-AE"/>
              </w:rPr>
              <w:t>C</w:t>
            </w:r>
            <w:r w:rsidRPr="00927CFD">
              <w:rPr>
                <w:rFonts w:asciiTheme="majorBidi" w:eastAsia="Calibri" w:hAnsiTheme="majorBidi" w:cstheme="majorBidi"/>
                <w:sz w:val="16"/>
                <w:szCs w:val="16"/>
                <w:lang w:bidi="ar-AE"/>
              </w:rPr>
              <w:t>ouplas</w:t>
            </w:r>
            <w:proofErr w:type="spellEnd"/>
          </w:p>
        </w:tc>
        <w:tc>
          <w:tcPr>
            <w:tcW w:w="1985"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Calibri" w:hAnsiTheme="majorBidi" w:cstheme="majorBidi"/>
                <w:sz w:val="16"/>
                <w:szCs w:val="16"/>
                <w:lang w:bidi="ar-AE"/>
              </w:rPr>
              <w:t xml:space="preserve">Oil, foreign exchange rates </w:t>
            </w:r>
          </w:p>
        </w:tc>
        <w:tc>
          <w:tcPr>
            <w:tcW w:w="2766"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Calibri" w:hAnsiTheme="majorBidi" w:cstheme="majorBidi"/>
                <w:sz w:val="16"/>
                <w:szCs w:val="16"/>
                <w:lang w:bidi="ar-AE"/>
              </w:rPr>
              <w:t>Oil and exchange rates dependence is weak</w:t>
            </w:r>
          </w:p>
        </w:tc>
      </w:tr>
      <w:tr w:rsidR="008B40D4" w:rsidRPr="00927CFD" w:rsidTr="00927CFD">
        <w:tc>
          <w:tcPr>
            <w:tcW w:w="2235" w:type="dxa"/>
          </w:tcPr>
          <w:p w:rsidR="008B40D4" w:rsidRPr="00927CFD" w:rsidRDefault="008B40D4" w:rsidP="00870029">
            <w:pPr>
              <w:autoSpaceDE w:val="0"/>
              <w:autoSpaceDN w:val="0"/>
              <w:adjustRightInd w:val="0"/>
              <w:jc w:val="both"/>
              <w:rPr>
                <w:rFonts w:asciiTheme="majorBidi" w:eastAsia="Times New Roman" w:hAnsiTheme="majorBidi" w:cstheme="majorBidi"/>
                <w:color w:val="222222"/>
                <w:sz w:val="16"/>
                <w:szCs w:val="16"/>
                <w:lang w:eastAsia="zh-CN"/>
              </w:rPr>
            </w:pPr>
          </w:p>
        </w:tc>
        <w:tc>
          <w:tcPr>
            <w:tcW w:w="1749"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1227"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1985"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2766"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r>
      <w:tr w:rsidR="008B40D4" w:rsidRPr="00927CFD" w:rsidTr="00927CFD">
        <w:tc>
          <w:tcPr>
            <w:tcW w:w="2235" w:type="dxa"/>
          </w:tcPr>
          <w:p w:rsidR="008B40D4" w:rsidRPr="00927CFD" w:rsidRDefault="008B40D4" w:rsidP="00870029">
            <w:pPr>
              <w:autoSpaceDE w:val="0"/>
              <w:autoSpaceDN w:val="0"/>
              <w:adjustRightInd w:val="0"/>
              <w:jc w:val="both"/>
              <w:rPr>
                <w:rFonts w:asciiTheme="majorBidi" w:eastAsia="Times New Roman" w:hAnsiTheme="majorBidi" w:cstheme="majorBidi"/>
                <w:color w:val="222222"/>
                <w:sz w:val="16"/>
                <w:szCs w:val="16"/>
                <w:lang w:eastAsia="zh-CN"/>
              </w:rPr>
            </w:pPr>
            <w:proofErr w:type="spellStart"/>
            <w:r w:rsidRPr="00927CFD">
              <w:rPr>
                <w:rFonts w:asciiTheme="majorBidi" w:eastAsia="Times New Roman" w:hAnsiTheme="majorBidi" w:cstheme="majorBidi"/>
                <w:color w:val="222222"/>
                <w:sz w:val="16"/>
                <w:szCs w:val="16"/>
                <w:lang w:val="en-GB" w:eastAsia="zh-CN"/>
              </w:rPr>
              <w:t>Reboredo</w:t>
            </w:r>
            <w:proofErr w:type="spellEnd"/>
            <w:r w:rsidRPr="00927CFD">
              <w:rPr>
                <w:rFonts w:asciiTheme="majorBidi" w:eastAsia="Times New Roman" w:hAnsiTheme="majorBidi" w:cstheme="majorBidi"/>
                <w:color w:val="222222"/>
                <w:sz w:val="16"/>
                <w:szCs w:val="16"/>
                <w:lang w:val="en-GB" w:eastAsia="zh-CN"/>
              </w:rPr>
              <w:t>, J. C. (2013)</w:t>
            </w:r>
          </w:p>
        </w:tc>
        <w:tc>
          <w:tcPr>
            <w:tcW w:w="1749"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Calibri" w:hAnsiTheme="majorBidi" w:cstheme="majorBidi"/>
                <w:sz w:val="16"/>
                <w:szCs w:val="16"/>
                <w:lang w:bidi="ar-AE"/>
              </w:rPr>
              <w:t>2000-2011 (weekly)</w:t>
            </w:r>
          </w:p>
        </w:tc>
        <w:tc>
          <w:tcPr>
            <w:tcW w:w="1227"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roofErr w:type="spellStart"/>
            <w:r>
              <w:rPr>
                <w:rFonts w:asciiTheme="majorBidi" w:eastAsia="Calibri" w:hAnsiTheme="majorBidi" w:cstheme="majorBidi"/>
                <w:sz w:val="16"/>
                <w:szCs w:val="16"/>
                <w:lang w:bidi="ar-AE"/>
              </w:rPr>
              <w:t>C</w:t>
            </w:r>
            <w:r w:rsidRPr="00927CFD">
              <w:rPr>
                <w:rFonts w:asciiTheme="majorBidi" w:eastAsia="Calibri" w:hAnsiTheme="majorBidi" w:cstheme="majorBidi"/>
                <w:sz w:val="16"/>
                <w:szCs w:val="16"/>
                <w:lang w:bidi="ar-AE"/>
              </w:rPr>
              <w:t>ouplas</w:t>
            </w:r>
            <w:proofErr w:type="spellEnd"/>
          </w:p>
        </w:tc>
        <w:tc>
          <w:tcPr>
            <w:tcW w:w="1985"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Calibri" w:hAnsiTheme="majorBidi" w:cstheme="majorBidi"/>
                <w:sz w:val="16"/>
                <w:szCs w:val="16"/>
                <w:lang w:bidi="ar-AE"/>
              </w:rPr>
              <w:t>gold and oil</w:t>
            </w:r>
          </w:p>
        </w:tc>
        <w:tc>
          <w:tcPr>
            <w:tcW w:w="2766" w:type="dxa"/>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r w:rsidRPr="00927CFD">
              <w:rPr>
                <w:rFonts w:asciiTheme="majorBidi" w:eastAsia="Calibri" w:hAnsiTheme="majorBidi" w:cstheme="majorBidi"/>
                <w:sz w:val="16"/>
                <w:szCs w:val="16"/>
                <w:lang w:bidi="ar-AE"/>
              </w:rPr>
              <w:t>Positive and significant average dependence between gold and oil. Tail dependence as well</w:t>
            </w:r>
          </w:p>
        </w:tc>
      </w:tr>
      <w:tr w:rsidR="008B40D4" w:rsidRPr="00927CFD" w:rsidTr="00927CFD">
        <w:trPr>
          <w:trHeight w:val="495"/>
        </w:trPr>
        <w:tc>
          <w:tcPr>
            <w:tcW w:w="2235" w:type="dxa"/>
            <w:tcBorders>
              <w:bottom w:val="single" w:sz="12" w:space="0" w:color="auto"/>
            </w:tcBorders>
          </w:tcPr>
          <w:p w:rsidR="008B40D4" w:rsidRPr="00927CFD" w:rsidRDefault="008B40D4" w:rsidP="00870029">
            <w:pPr>
              <w:autoSpaceDE w:val="0"/>
              <w:autoSpaceDN w:val="0"/>
              <w:adjustRightInd w:val="0"/>
              <w:jc w:val="both"/>
              <w:rPr>
                <w:rFonts w:asciiTheme="majorBidi" w:eastAsia="Times New Roman" w:hAnsiTheme="majorBidi" w:cstheme="majorBidi"/>
                <w:color w:val="222222"/>
                <w:sz w:val="16"/>
                <w:szCs w:val="16"/>
                <w:lang w:eastAsia="zh-CN"/>
              </w:rPr>
            </w:pPr>
          </w:p>
        </w:tc>
        <w:tc>
          <w:tcPr>
            <w:tcW w:w="1749" w:type="dxa"/>
            <w:tcBorders>
              <w:bottom w:val="single" w:sz="12" w:space="0" w:color="auto"/>
            </w:tcBorders>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1227" w:type="dxa"/>
            <w:tcBorders>
              <w:bottom w:val="single" w:sz="12" w:space="0" w:color="auto"/>
            </w:tcBorders>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1985" w:type="dxa"/>
            <w:tcBorders>
              <w:bottom w:val="single" w:sz="12" w:space="0" w:color="auto"/>
            </w:tcBorders>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c>
          <w:tcPr>
            <w:tcW w:w="2766" w:type="dxa"/>
            <w:tcBorders>
              <w:bottom w:val="single" w:sz="12" w:space="0" w:color="auto"/>
            </w:tcBorders>
          </w:tcPr>
          <w:p w:rsidR="008B40D4" w:rsidRPr="00927CFD" w:rsidRDefault="008B40D4" w:rsidP="00870029">
            <w:pPr>
              <w:autoSpaceDE w:val="0"/>
              <w:autoSpaceDN w:val="0"/>
              <w:adjustRightInd w:val="0"/>
              <w:jc w:val="both"/>
              <w:rPr>
                <w:rFonts w:asciiTheme="majorBidi" w:eastAsia="Calibri" w:hAnsiTheme="majorBidi" w:cstheme="majorBidi"/>
                <w:sz w:val="16"/>
                <w:szCs w:val="16"/>
                <w:lang w:bidi="ar-AE"/>
              </w:rPr>
            </w:pPr>
          </w:p>
        </w:tc>
      </w:tr>
      <w:tr w:rsidR="008B40D4" w:rsidRPr="00927CFD" w:rsidTr="00927CFD">
        <w:trPr>
          <w:trHeight w:val="435"/>
        </w:trPr>
        <w:tc>
          <w:tcPr>
            <w:tcW w:w="9962" w:type="dxa"/>
            <w:gridSpan w:val="5"/>
            <w:tcBorders>
              <w:top w:val="single" w:sz="12" w:space="0" w:color="auto"/>
            </w:tcBorders>
          </w:tcPr>
          <w:p w:rsidR="008B40D4" w:rsidRDefault="008B40D4" w:rsidP="00E06005">
            <w:pPr>
              <w:autoSpaceDE w:val="0"/>
              <w:autoSpaceDN w:val="0"/>
              <w:adjustRightInd w:val="0"/>
              <w:jc w:val="both"/>
              <w:rPr>
                <w:rFonts w:asciiTheme="majorBidi" w:eastAsia="Calibri" w:hAnsiTheme="majorBidi" w:cstheme="majorBidi"/>
                <w:i/>
                <w:iCs/>
                <w:sz w:val="18"/>
                <w:szCs w:val="18"/>
                <w:lang w:val="en-GB"/>
              </w:rPr>
            </w:pPr>
            <w:r w:rsidRPr="00927CFD">
              <w:rPr>
                <w:rFonts w:asciiTheme="majorBidi" w:eastAsia="Calibri" w:hAnsiTheme="majorBidi" w:cstheme="majorBidi"/>
                <w:i/>
                <w:iCs/>
                <w:sz w:val="18"/>
                <w:szCs w:val="18"/>
                <w:lang w:val="en-GB"/>
              </w:rPr>
              <w:t xml:space="preserve">Notes: </w:t>
            </w:r>
            <w:r>
              <w:rPr>
                <w:rFonts w:asciiTheme="majorBidi" w:eastAsia="Calibri" w:hAnsiTheme="majorBidi" w:cstheme="majorBidi"/>
                <w:sz w:val="16"/>
                <w:szCs w:val="16"/>
                <w:lang w:val="en-GB"/>
              </w:rPr>
              <w:t xml:space="preserve">VAR </w:t>
            </w:r>
            <w:r w:rsidRPr="00927CFD">
              <w:rPr>
                <w:rFonts w:asciiTheme="majorBidi" w:eastAsia="Calibri" w:hAnsiTheme="majorBidi" w:cstheme="majorBidi"/>
                <w:sz w:val="16"/>
                <w:szCs w:val="16"/>
                <w:lang w:val="en-GB"/>
              </w:rPr>
              <w:t xml:space="preserve">stands for vector </w:t>
            </w:r>
            <w:r>
              <w:rPr>
                <w:rFonts w:asciiTheme="majorBidi" w:eastAsia="Calibri" w:hAnsiTheme="majorBidi" w:cstheme="majorBidi"/>
                <w:sz w:val="16"/>
                <w:szCs w:val="16"/>
                <w:lang w:val="en-GB"/>
              </w:rPr>
              <w:t>auto-regression</w:t>
            </w:r>
            <w:r w:rsidRPr="00927CFD">
              <w:rPr>
                <w:rFonts w:asciiTheme="majorBidi" w:eastAsia="Calibri" w:hAnsiTheme="majorBidi" w:cstheme="majorBidi"/>
                <w:sz w:val="16"/>
                <w:szCs w:val="16"/>
                <w:lang w:val="en-GB"/>
              </w:rPr>
              <w:t xml:space="preserve"> model. CCF stands for conditional correlation functions. ARDL stands for auto regressive dynamic linear models.</w:t>
            </w:r>
            <w:r w:rsidRPr="00927CFD">
              <w:rPr>
                <w:rFonts w:asciiTheme="majorBidi" w:eastAsia="Calibri" w:hAnsiTheme="majorBidi" w:cstheme="majorBidi"/>
                <w:sz w:val="18"/>
                <w:szCs w:val="18"/>
                <w:lang w:val="en-GB"/>
              </w:rPr>
              <w:t xml:space="preserve">  </w:t>
            </w:r>
            <w:r w:rsidRPr="00927CFD">
              <w:rPr>
                <w:rFonts w:asciiTheme="majorBidi" w:eastAsia="Calibri" w:hAnsiTheme="majorBidi" w:cstheme="majorBidi"/>
                <w:i/>
                <w:iCs/>
                <w:sz w:val="18"/>
                <w:szCs w:val="18"/>
                <w:lang w:val="en-GB"/>
              </w:rPr>
              <w:t xml:space="preserve"> </w:t>
            </w:r>
          </w:p>
          <w:p w:rsidR="008B40D4" w:rsidRDefault="008B40D4" w:rsidP="00927CFD">
            <w:pPr>
              <w:autoSpaceDE w:val="0"/>
              <w:autoSpaceDN w:val="0"/>
              <w:adjustRightInd w:val="0"/>
              <w:rPr>
                <w:rFonts w:asciiTheme="majorBidi" w:eastAsia="Calibri" w:hAnsiTheme="majorBidi" w:cstheme="majorBidi"/>
                <w:i/>
                <w:iCs/>
                <w:sz w:val="18"/>
                <w:szCs w:val="18"/>
                <w:lang w:val="en-GB"/>
              </w:rPr>
            </w:pPr>
          </w:p>
          <w:p w:rsidR="008B40D4" w:rsidRDefault="008B40D4" w:rsidP="00927CFD">
            <w:pPr>
              <w:autoSpaceDE w:val="0"/>
              <w:autoSpaceDN w:val="0"/>
              <w:adjustRightInd w:val="0"/>
              <w:rPr>
                <w:rFonts w:asciiTheme="majorBidi" w:eastAsia="Calibri" w:hAnsiTheme="majorBidi" w:cstheme="majorBidi"/>
                <w:i/>
                <w:iCs/>
                <w:sz w:val="18"/>
                <w:szCs w:val="18"/>
                <w:lang w:val="en-GB"/>
              </w:rPr>
            </w:pPr>
          </w:p>
          <w:p w:rsidR="008B40D4" w:rsidRPr="00927CFD" w:rsidRDefault="008B40D4" w:rsidP="00F062AC">
            <w:pPr>
              <w:autoSpaceDE w:val="0"/>
              <w:autoSpaceDN w:val="0"/>
              <w:adjustRightInd w:val="0"/>
              <w:rPr>
                <w:rFonts w:asciiTheme="majorBidi" w:eastAsia="Calibri" w:hAnsiTheme="majorBidi" w:cstheme="majorBidi"/>
                <w:sz w:val="18"/>
                <w:szCs w:val="18"/>
                <w:lang w:val="en-GB"/>
              </w:rPr>
            </w:pPr>
          </w:p>
        </w:tc>
      </w:tr>
    </w:tbl>
    <w:p w:rsidR="00D636F1" w:rsidRDefault="00D636F1">
      <w:r>
        <w:lastRenderedPageBreak/>
        <w:br w:type="page"/>
      </w:r>
    </w:p>
    <w:tbl>
      <w:tblPr>
        <w:tblStyle w:val="TableGrid1"/>
        <w:tblW w:w="50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1055"/>
        <w:gridCol w:w="978"/>
        <w:gridCol w:w="981"/>
        <w:gridCol w:w="1055"/>
        <w:gridCol w:w="1056"/>
        <w:gridCol w:w="1056"/>
        <w:gridCol w:w="1056"/>
        <w:gridCol w:w="986"/>
      </w:tblGrid>
      <w:tr w:rsidR="00D22327" w:rsidRPr="00D22327" w:rsidTr="00F062AC">
        <w:trPr>
          <w:trHeight w:val="225"/>
        </w:trPr>
        <w:tc>
          <w:tcPr>
            <w:tcW w:w="5000" w:type="pct"/>
            <w:gridSpan w:val="9"/>
            <w:tcBorders>
              <w:bottom w:val="single" w:sz="12" w:space="0" w:color="auto"/>
            </w:tcBorders>
          </w:tcPr>
          <w:p w:rsidR="00D22327" w:rsidRPr="00D22327" w:rsidRDefault="00F062AC" w:rsidP="00D22327">
            <w:pPr>
              <w:autoSpaceDE w:val="0"/>
              <w:autoSpaceDN w:val="0"/>
              <w:adjustRightInd w:val="0"/>
              <w:rPr>
                <w:rFonts w:ascii="Times New Roman" w:eastAsia="Calibri" w:hAnsi="Times New Roman" w:cs="Times New Roman"/>
                <w:i/>
                <w:iCs/>
                <w:sz w:val="16"/>
                <w:szCs w:val="16"/>
              </w:rPr>
            </w:pPr>
            <w:r w:rsidRPr="00D22327">
              <w:rPr>
                <w:rFonts w:ascii="Times New Roman" w:eastAsia="Calibri" w:hAnsi="Times New Roman" w:cs="Times New Roman"/>
                <w:b/>
                <w:bCs/>
                <w:sz w:val="18"/>
                <w:szCs w:val="18"/>
              </w:rPr>
              <w:lastRenderedPageBreak/>
              <w:t xml:space="preserve">Table </w:t>
            </w:r>
            <w:r>
              <w:rPr>
                <w:rFonts w:ascii="Times New Roman" w:eastAsia="Calibri" w:hAnsi="Times New Roman" w:cs="Times New Roman"/>
                <w:b/>
                <w:bCs/>
                <w:sz w:val="18"/>
                <w:szCs w:val="18"/>
              </w:rPr>
              <w:t>2</w:t>
            </w:r>
            <w:r w:rsidRPr="00D22327">
              <w:rPr>
                <w:rFonts w:ascii="Times New Roman" w:eastAsia="Calibri" w:hAnsi="Times New Roman" w:cs="Times New Roman"/>
                <w:b/>
                <w:bCs/>
                <w:sz w:val="18"/>
                <w:szCs w:val="18"/>
              </w:rPr>
              <w:t>: Descriptive statistics</w:t>
            </w:r>
            <w:r w:rsidRPr="00D22327">
              <w:rPr>
                <w:b/>
                <w:bCs/>
                <w:sz w:val="18"/>
                <w:szCs w:val="18"/>
              </w:rPr>
              <w:t xml:space="preserve"> </w:t>
            </w:r>
            <w:r w:rsidRPr="00D22327">
              <w:rPr>
                <w:rFonts w:ascii="Times New Roman" w:eastAsia="Calibri" w:hAnsi="Times New Roman" w:cs="Times New Roman"/>
                <w:b/>
                <w:bCs/>
                <w:sz w:val="18"/>
                <w:szCs w:val="18"/>
              </w:rPr>
              <w:t>o</w:t>
            </w:r>
            <w:r w:rsidR="00EC5322">
              <w:rPr>
                <w:rFonts w:ascii="Times New Roman" w:eastAsia="Calibri" w:hAnsi="Times New Roman" w:cs="Times New Roman"/>
                <w:b/>
                <w:bCs/>
                <w:sz w:val="18"/>
                <w:szCs w:val="18"/>
              </w:rPr>
              <w:t>f the implied volatility indexes</w:t>
            </w:r>
          </w:p>
        </w:tc>
      </w:tr>
      <w:tr w:rsidR="00F062AC" w:rsidRPr="00D22327" w:rsidTr="00F062AC">
        <w:trPr>
          <w:trHeight w:val="65"/>
        </w:trPr>
        <w:tc>
          <w:tcPr>
            <w:tcW w:w="5000" w:type="pct"/>
            <w:gridSpan w:val="9"/>
            <w:tcBorders>
              <w:top w:val="single" w:sz="12" w:space="0" w:color="auto"/>
              <w:bottom w:val="single" w:sz="6" w:space="0" w:color="auto"/>
            </w:tcBorders>
          </w:tcPr>
          <w:p w:rsidR="00F062AC" w:rsidRDefault="00F062AC" w:rsidP="00D22327">
            <w:pPr>
              <w:autoSpaceDE w:val="0"/>
              <w:autoSpaceDN w:val="0"/>
              <w:adjustRightInd w:val="0"/>
              <w:rPr>
                <w:rFonts w:ascii="Times New Roman" w:eastAsia="Calibri" w:hAnsi="Times New Roman" w:cs="Times New Roman"/>
                <w:i/>
                <w:iCs/>
                <w:sz w:val="16"/>
                <w:szCs w:val="16"/>
              </w:rPr>
            </w:pPr>
            <w:r w:rsidRPr="00D22327">
              <w:rPr>
                <w:rFonts w:ascii="Times New Roman" w:eastAsia="Calibri" w:hAnsi="Times New Roman" w:cs="Times New Roman"/>
                <w:i/>
                <w:iCs/>
                <w:sz w:val="16"/>
                <w:szCs w:val="16"/>
              </w:rPr>
              <w:t>Panel A: Levels</w:t>
            </w:r>
          </w:p>
        </w:tc>
      </w:tr>
      <w:tr w:rsidR="00D22327" w:rsidRPr="00D22327" w:rsidTr="00F062AC">
        <w:trPr>
          <w:trHeight w:val="209"/>
        </w:trPr>
        <w:tc>
          <w:tcPr>
            <w:tcW w:w="949" w:type="pct"/>
            <w:tcBorders>
              <w:top w:val="single" w:sz="6" w:space="0" w:color="auto"/>
            </w:tcBorders>
          </w:tcPr>
          <w:p w:rsidR="00D22327" w:rsidRPr="00D22327" w:rsidRDefault="00D22327" w:rsidP="00D22327">
            <w:pPr>
              <w:autoSpaceDE w:val="0"/>
              <w:autoSpaceDN w:val="0"/>
              <w:adjustRightInd w:val="0"/>
              <w:rPr>
                <w:rFonts w:ascii="Times New Roman" w:eastAsia="Calibri" w:hAnsi="Times New Roman" w:cs="Times New Roman"/>
                <w:sz w:val="16"/>
                <w:szCs w:val="16"/>
              </w:rPr>
            </w:pPr>
          </w:p>
        </w:tc>
        <w:tc>
          <w:tcPr>
            <w:tcW w:w="520" w:type="pct"/>
            <w:tcBorders>
              <w:top w:val="single" w:sz="6" w:space="0" w:color="auto"/>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Crude Oil</w:t>
            </w:r>
          </w:p>
        </w:tc>
        <w:tc>
          <w:tcPr>
            <w:tcW w:w="482" w:type="pct"/>
            <w:tcBorders>
              <w:top w:val="single" w:sz="6" w:space="0" w:color="auto"/>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US-Stock</w:t>
            </w:r>
          </w:p>
        </w:tc>
        <w:tc>
          <w:tcPr>
            <w:tcW w:w="483" w:type="pct"/>
            <w:tcBorders>
              <w:top w:val="single" w:sz="6" w:space="0" w:color="auto"/>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Euro/Dollar</w:t>
            </w:r>
          </w:p>
        </w:tc>
        <w:tc>
          <w:tcPr>
            <w:tcW w:w="520" w:type="pct"/>
            <w:tcBorders>
              <w:top w:val="single" w:sz="6" w:space="0" w:color="auto"/>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Gold</w:t>
            </w:r>
          </w:p>
        </w:tc>
        <w:tc>
          <w:tcPr>
            <w:tcW w:w="520" w:type="pct"/>
            <w:tcBorders>
              <w:top w:val="single" w:sz="6" w:space="0" w:color="auto"/>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Silver</w:t>
            </w:r>
          </w:p>
        </w:tc>
        <w:tc>
          <w:tcPr>
            <w:tcW w:w="520" w:type="pct"/>
            <w:tcBorders>
              <w:top w:val="single" w:sz="6" w:space="0" w:color="auto"/>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Wheat</w:t>
            </w:r>
          </w:p>
        </w:tc>
        <w:tc>
          <w:tcPr>
            <w:tcW w:w="520" w:type="pct"/>
            <w:tcBorders>
              <w:top w:val="single" w:sz="6" w:space="0" w:color="auto"/>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Corn</w:t>
            </w:r>
          </w:p>
        </w:tc>
        <w:tc>
          <w:tcPr>
            <w:tcW w:w="486" w:type="pct"/>
            <w:tcBorders>
              <w:top w:val="single" w:sz="6" w:space="0" w:color="auto"/>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Soybeans</w:t>
            </w:r>
          </w:p>
        </w:tc>
      </w:tr>
      <w:tr w:rsidR="00D22327" w:rsidRPr="00D22327" w:rsidTr="00B1441B">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Mean</w:t>
            </w:r>
          </w:p>
        </w:tc>
        <w:tc>
          <w:tcPr>
            <w:tcW w:w="520"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27.822</w:t>
            </w:r>
          </w:p>
        </w:tc>
        <w:tc>
          <w:tcPr>
            <w:tcW w:w="482"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15.737</w:t>
            </w:r>
          </w:p>
        </w:tc>
        <w:tc>
          <w:tcPr>
            <w:tcW w:w="483"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8.6063</w:t>
            </w:r>
          </w:p>
        </w:tc>
        <w:tc>
          <w:tcPr>
            <w:tcW w:w="520"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18.058</w:t>
            </w:r>
          </w:p>
        </w:tc>
        <w:tc>
          <w:tcPr>
            <w:tcW w:w="520"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30.034</w:t>
            </w:r>
          </w:p>
        </w:tc>
        <w:tc>
          <w:tcPr>
            <w:tcW w:w="520"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26.582</w:t>
            </w:r>
          </w:p>
        </w:tc>
        <w:tc>
          <w:tcPr>
            <w:tcW w:w="520"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25.312</w:t>
            </w:r>
          </w:p>
        </w:tc>
        <w:tc>
          <w:tcPr>
            <w:tcW w:w="486"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21.612</w:t>
            </w:r>
          </w:p>
        </w:tc>
      </w:tr>
      <w:tr w:rsidR="00D22327" w:rsidRPr="00D22327" w:rsidTr="00B1441B">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Min</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14.500</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5.770</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4.690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11.970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18.330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9.190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12.310</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0.012</w:t>
            </w:r>
          </w:p>
        </w:tc>
      </w:tr>
      <w:tr w:rsidR="00D22327" w:rsidRPr="00D22327" w:rsidTr="00B1441B">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Max</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63.140</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27.842</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14.550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34.480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54.920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49.220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45.780</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38.130</w:t>
            </w:r>
          </w:p>
        </w:tc>
      </w:tr>
      <w:tr w:rsidR="00D22327" w:rsidRPr="00D22327" w:rsidTr="00B1441B">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Std.dev</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11.337</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2.795</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2.114</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3.978</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5.778</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4.743</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4.793</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3.752</w:t>
            </w:r>
          </w:p>
        </w:tc>
      </w:tr>
      <w:tr w:rsidR="00D22327" w:rsidRPr="00D22327" w:rsidTr="00B1441B">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Skewness</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1.345</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0.734</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0.721</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0.792</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0.294</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0.529</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0.692</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0.182</w:t>
            </w:r>
          </w:p>
        </w:tc>
      </w:tr>
      <w:tr w:rsidR="00D22327" w:rsidRPr="00D22327" w:rsidTr="00B1441B">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Kurtosis</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0.981</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0.736</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0.352</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0.256</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-0.099</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3.374</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1.641</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3.627</w:t>
            </w:r>
          </w:p>
        </w:tc>
      </w:tr>
      <w:tr w:rsidR="00D22327" w:rsidRPr="00D22327" w:rsidTr="00B1441B">
        <w:trPr>
          <w:trHeight w:val="195"/>
        </w:trPr>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Jarque-Bera</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254.24***</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83.73***</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68.38***</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79.88***</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11.06***</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387.80*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143.04*</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411.95*</w:t>
            </w:r>
          </w:p>
        </w:tc>
      </w:tr>
      <w:tr w:rsidR="00D22327" w:rsidRPr="00D22327" w:rsidTr="00B1441B">
        <w:trPr>
          <w:trHeight w:val="56"/>
        </w:trPr>
        <w:tc>
          <w:tcPr>
            <w:tcW w:w="949" w:type="pct"/>
          </w:tcPr>
          <w:p w:rsidR="00D22327" w:rsidRPr="00D22327" w:rsidRDefault="00D22327" w:rsidP="00E773AF">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Q (</w:t>
            </w:r>
            <w:r w:rsidR="00E773AF">
              <w:rPr>
                <w:rFonts w:ascii="Times New Roman" w:eastAsia="Calibri" w:hAnsi="Times New Roman" w:cs="Times New Roman"/>
                <w:sz w:val="16"/>
                <w:szCs w:val="16"/>
              </w:rPr>
              <w:t>1</w:t>
            </w:r>
            <w:r w:rsidRPr="00D22327">
              <w:rPr>
                <w:rFonts w:ascii="Times New Roman" w:eastAsia="Calibri" w:hAnsi="Times New Roman" w:cs="Times New Roman"/>
                <w:sz w:val="16"/>
                <w:szCs w:val="16"/>
              </w:rPr>
              <w:t>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3343.30***</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434.32*</w:t>
            </w:r>
          </w:p>
        </w:tc>
        <w:tc>
          <w:tcPr>
            <w:tcW w:w="483" w:type="pct"/>
          </w:tcPr>
          <w:p w:rsidR="00D22327" w:rsidRPr="00D22327" w:rsidRDefault="00E773AF" w:rsidP="00D22327">
            <w:pPr>
              <w:autoSpaceDE w:val="0"/>
              <w:autoSpaceDN w:val="0"/>
              <w:adjustRightInd w:val="0"/>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D22327" w:rsidRPr="00D22327">
              <w:rPr>
                <w:rFonts w:ascii="Times New Roman" w:eastAsia="Calibri" w:hAnsi="Times New Roman" w:cs="Times New Roman"/>
                <w:sz w:val="16"/>
                <w:szCs w:val="16"/>
              </w:rPr>
              <w:t>92.60***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1298.00***</w:t>
            </w:r>
          </w:p>
        </w:tc>
        <w:tc>
          <w:tcPr>
            <w:tcW w:w="520" w:type="pct"/>
          </w:tcPr>
          <w:p w:rsidR="00D22327" w:rsidRPr="00D22327" w:rsidRDefault="00E773AF" w:rsidP="00D22327">
            <w:pPr>
              <w:autoSpaceDE w:val="0"/>
              <w:autoSpaceDN w:val="0"/>
              <w:adjustRightInd w:val="0"/>
              <w:jc w:val="center"/>
              <w:rPr>
                <w:rFonts w:ascii="Times New Roman" w:eastAsia="Calibri" w:hAnsi="Times New Roman" w:cs="Times New Roman"/>
                <w:sz w:val="16"/>
                <w:szCs w:val="16"/>
              </w:rPr>
            </w:pPr>
            <w:r>
              <w:rPr>
                <w:rFonts w:ascii="Times New Roman" w:eastAsia="Calibri" w:hAnsi="Times New Roman" w:cs="Times New Roman"/>
                <w:sz w:val="16"/>
                <w:szCs w:val="16"/>
              </w:rPr>
              <w:t>8</w:t>
            </w:r>
            <w:r w:rsidR="00D22327" w:rsidRPr="00D22327">
              <w:rPr>
                <w:rFonts w:ascii="Times New Roman" w:eastAsia="Calibri" w:hAnsi="Times New Roman" w:cs="Times New Roman"/>
                <w:sz w:val="16"/>
                <w:szCs w:val="16"/>
              </w:rPr>
              <w:t>31.80***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695.79***</w:t>
            </w:r>
          </w:p>
        </w:tc>
        <w:tc>
          <w:tcPr>
            <w:tcW w:w="520" w:type="pct"/>
          </w:tcPr>
          <w:p w:rsidR="00D22327" w:rsidRPr="00D22327" w:rsidRDefault="00E773AF" w:rsidP="00D22327">
            <w:pPr>
              <w:autoSpaceDE w:val="0"/>
              <w:autoSpaceDN w:val="0"/>
              <w:adjustRightInd w:val="0"/>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D22327" w:rsidRPr="00D22327">
              <w:rPr>
                <w:rFonts w:ascii="Times New Roman" w:eastAsia="Calibri" w:hAnsi="Times New Roman" w:cs="Times New Roman"/>
                <w:sz w:val="16"/>
                <w:szCs w:val="16"/>
              </w:rPr>
              <w:t>64.04***</w:t>
            </w:r>
          </w:p>
        </w:tc>
        <w:tc>
          <w:tcPr>
            <w:tcW w:w="486" w:type="pct"/>
          </w:tcPr>
          <w:p w:rsidR="00D22327" w:rsidRPr="00D22327" w:rsidRDefault="00E773AF" w:rsidP="00D22327">
            <w:pPr>
              <w:autoSpaceDE w:val="0"/>
              <w:autoSpaceDN w:val="0"/>
              <w:adjustRightInd w:val="0"/>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D22327" w:rsidRPr="00D22327">
              <w:rPr>
                <w:rFonts w:ascii="Times New Roman" w:eastAsia="Calibri" w:hAnsi="Times New Roman" w:cs="Times New Roman"/>
                <w:sz w:val="16"/>
                <w:szCs w:val="16"/>
              </w:rPr>
              <w:t>31.80***</w:t>
            </w:r>
          </w:p>
        </w:tc>
      </w:tr>
      <w:tr w:rsidR="00D22327" w:rsidRPr="00D22327" w:rsidTr="00B1441B">
        <w:trPr>
          <w:trHeight w:val="56"/>
        </w:trPr>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ADF Intercept</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-1.614</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-4.575***</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-1.981</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-3.625***</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-3.584***</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-5.373***</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-5.201***</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-3.582***</w:t>
            </w:r>
          </w:p>
        </w:tc>
      </w:tr>
      <w:tr w:rsidR="00D22327" w:rsidRPr="00D22327" w:rsidTr="00B1441B">
        <w:trPr>
          <w:trHeight w:val="56"/>
        </w:trPr>
        <w:tc>
          <w:tcPr>
            <w:tcW w:w="949" w:type="pct"/>
            <w:tcBorders>
              <w:bottom w:val="single" w:sz="6" w:space="0" w:color="auto"/>
            </w:tcBorders>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ADF Intercept and trend</w:t>
            </w:r>
          </w:p>
        </w:tc>
        <w:tc>
          <w:tcPr>
            <w:tcW w:w="520" w:type="pct"/>
            <w:tcBorders>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-2.024</w:t>
            </w:r>
          </w:p>
        </w:tc>
        <w:tc>
          <w:tcPr>
            <w:tcW w:w="482" w:type="pct"/>
            <w:tcBorders>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-5.167***</w:t>
            </w:r>
          </w:p>
        </w:tc>
        <w:tc>
          <w:tcPr>
            <w:tcW w:w="483" w:type="pct"/>
            <w:tcBorders>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-2.317</w:t>
            </w:r>
          </w:p>
        </w:tc>
        <w:tc>
          <w:tcPr>
            <w:tcW w:w="520" w:type="pct"/>
            <w:tcBorders>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-3.611**</w:t>
            </w:r>
          </w:p>
        </w:tc>
        <w:tc>
          <w:tcPr>
            <w:tcW w:w="520" w:type="pct"/>
            <w:tcBorders>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-3.572**</w:t>
            </w:r>
          </w:p>
        </w:tc>
        <w:tc>
          <w:tcPr>
            <w:tcW w:w="520" w:type="pct"/>
            <w:tcBorders>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-5.427***</w:t>
            </w:r>
          </w:p>
        </w:tc>
        <w:tc>
          <w:tcPr>
            <w:tcW w:w="520" w:type="pct"/>
            <w:tcBorders>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-5.187***</w:t>
            </w:r>
          </w:p>
        </w:tc>
        <w:tc>
          <w:tcPr>
            <w:tcW w:w="486" w:type="pct"/>
            <w:tcBorders>
              <w:bottom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-3.811**</w:t>
            </w:r>
          </w:p>
        </w:tc>
      </w:tr>
      <w:tr w:rsidR="00D22327" w:rsidRPr="00D22327" w:rsidTr="004F09BF">
        <w:trPr>
          <w:trHeight w:val="56"/>
        </w:trPr>
        <w:tc>
          <w:tcPr>
            <w:tcW w:w="5000" w:type="pct"/>
            <w:gridSpan w:val="9"/>
            <w:tcBorders>
              <w:top w:val="single" w:sz="6" w:space="0" w:color="auto"/>
              <w:bottom w:val="single" w:sz="6" w:space="0" w:color="auto"/>
            </w:tcBorders>
          </w:tcPr>
          <w:p w:rsidR="00D22327" w:rsidRPr="00D22327" w:rsidRDefault="00D22327" w:rsidP="00D22327">
            <w:pPr>
              <w:autoSpaceDE w:val="0"/>
              <w:autoSpaceDN w:val="0"/>
              <w:adjustRightInd w:val="0"/>
              <w:rPr>
                <w:rFonts w:ascii="Times New Roman" w:eastAsia="Calibri" w:hAnsi="Times New Roman" w:cs="Times New Roman"/>
                <w:i/>
                <w:iCs/>
                <w:sz w:val="16"/>
                <w:szCs w:val="16"/>
              </w:rPr>
            </w:pPr>
            <w:r w:rsidRPr="00D22327">
              <w:rPr>
                <w:rFonts w:ascii="Times New Roman" w:eastAsia="Calibri" w:hAnsi="Times New Roman" w:cs="Times New Roman"/>
                <w:i/>
                <w:iCs/>
                <w:sz w:val="16"/>
                <w:szCs w:val="16"/>
              </w:rPr>
              <w:t>Panel B: Log volatility changes</w:t>
            </w:r>
          </w:p>
        </w:tc>
      </w:tr>
      <w:tr w:rsidR="00D22327" w:rsidRPr="00D22327" w:rsidTr="00B1441B">
        <w:trPr>
          <w:trHeight w:val="207"/>
        </w:trPr>
        <w:tc>
          <w:tcPr>
            <w:tcW w:w="949" w:type="pct"/>
            <w:tcBorders>
              <w:top w:val="single" w:sz="6" w:space="0" w:color="auto"/>
            </w:tcBorders>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Mean</w:t>
            </w:r>
          </w:p>
        </w:tc>
        <w:tc>
          <w:tcPr>
            <w:tcW w:w="520"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0.0001</w:t>
            </w:r>
          </w:p>
        </w:tc>
        <w:tc>
          <w:tcPr>
            <w:tcW w:w="482"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-8.09e-7</w:t>
            </w:r>
          </w:p>
        </w:tc>
        <w:tc>
          <w:tcPr>
            <w:tcW w:w="483"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0.0010</w:t>
            </w:r>
          </w:p>
        </w:tc>
        <w:tc>
          <w:tcPr>
            <w:tcW w:w="520"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-3.21e-5</w:t>
            </w:r>
          </w:p>
        </w:tc>
        <w:tc>
          <w:tcPr>
            <w:tcW w:w="520"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-0.00055</w:t>
            </w:r>
          </w:p>
        </w:tc>
        <w:tc>
          <w:tcPr>
            <w:tcW w:w="520"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-0.00084</w:t>
            </w:r>
          </w:p>
        </w:tc>
        <w:tc>
          <w:tcPr>
            <w:tcW w:w="520"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-0.00081</w:t>
            </w:r>
          </w:p>
        </w:tc>
        <w:tc>
          <w:tcPr>
            <w:tcW w:w="486" w:type="pct"/>
            <w:tcBorders>
              <w:top w:val="single" w:sz="6"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-0.00100</w:t>
            </w:r>
          </w:p>
        </w:tc>
      </w:tr>
      <w:tr w:rsidR="00D22327" w:rsidRPr="00D22327" w:rsidTr="00B1441B">
        <w:trPr>
          <w:trHeight w:val="150"/>
        </w:trPr>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Min</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-0.114</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-1.046</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-0.175</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-0.160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-0.254</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-0.676</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-0.593</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-0.265</w:t>
            </w:r>
          </w:p>
        </w:tc>
      </w:tr>
      <w:tr w:rsidR="00D22327" w:rsidRPr="00D22327" w:rsidTr="00B1441B">
        <w:trPr>
          <w:trHeight w:val="150"/>
        </w:trPr>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Max</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0.278</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1.062</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0.569</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0.480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0.566</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0.665</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0.653</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0.070</w:t>
            </w:r>
          </w:p>
        </w:tc>
      </w:tr>
      <w:tr w:rsidR="00D22327" w:rsidRPr="00D22327" w:rsidTr="00B1441B">
        <w:trPr>
          <w:trHeight w:val="184"/>
        </w:trPr>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Std.dev</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0.043</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0.080</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0.045</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0.053</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0.054</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0.073</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0.070</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0.049</w:t>
            </w:r>
          </w:p>
        </w:tc>
      </w:tr>
      <w:tr w:rsidR="00D22327" w:rsidRPr="00D22327" w:rsidTr="00B1441B">
        <w:trPr>
          <w:trHeight w:val="219"/>
        </w:trPr>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Skewness</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1.293</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0.252</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0.365</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1.819</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2.383</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-0.360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0.628</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0.203</w:t>
            </w:r>
          </w:p>
        </w:tc>
      </w:tr>
      <w:tr w:rsidR="00D22327" w:rsidRPr="00D22327" w:rsidTr="00B1441B">
        <w:trPr>
          <w:trHeight w:val="230"/>
        </w:trPr>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Kurtosis</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5.885</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75.984</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5.1174</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11.959</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20.321</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28.170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29.342</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7.358</w:t>
            </w:r>
          </w:p>
        </w:tc>
      </w:tr>
      <w:tr w:rsidR="00D22327" w:rsidRPr="00D22327" w:rsidTr="00B1441B">
        <w:trPr>
          <w:trHeight w:val="161"/>
        </w:trPr>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Jarque-Bera</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1276.00***</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1.78e+5***</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825.02***</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4824.30***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13451.00***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24517.00***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26632.00***</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1676.70***</w:t>
            </w:r>
          </w:p>
        </w:tc>
      </w:tr>
      <w:tr w:rsidR="00D22327" w:rsidRPr="00D22327" w:rsidTr="00B1441B">
        <w:trPr>
          <w:trHeight w:val="196"/>
        </w:trPr>
        <w:tc>
          <w:tcPr>
            <w:tcW w:w="949" w:type="pct"/>
          </w:tcPr>
          <w:p w:rsidR="00D22327" w:rsidRPr="00D22327" w:rsidRDefault="00D22327" w:rsidP="00EB1256">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Q (</w:t>
            </w:r>
            <w:r w:rsidR="00EB1256">
              <w:rPr>
                <w:rFonts w:ascii="Times New Roman" w:eastAsia="Calibri" w:hAnsi="Times New Roman" w:cs="Times New Roman"/>
                <w:sz w:val="16"/>
                <w:szCs w:val="16"/>
              </w:rPr>
              <w:t>1</w:t>
            </w:r>
            <w:r w:rsidRPr="00D22327">
              <w:rPr>
                <w:rFonts w:ascii="Times New Roman" w:eastAsia="Calibri" w:hAnsi="Times New Roman" w:cs="Times New Roman"/>
                <w:sz w:val="16"/>
                <w:szCs w:val="16"/>
              </w:rPr>
              <w:t>0)</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26.025</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79.471***</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25.145</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27.985***</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32.669**</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71.565***</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75.620***</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20.813</w:t>
            </w:r>
          </w:p>
        </w:tc>
      </w:tr>
      <w:tr w:rsidR="00D22327" w:rsidRPr="00D22327" w:rsidTr="00B1441B">
        <w:trPr>
          <w:trHeight w:val="161"/>
        </w:trPr>
        <w:tc>
          <w:tcPr>
            <w:tcW w:w="949" w:type="pct"/>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ADF Intercept</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-16.941***</w:t>
            </w:r>
          </w:p>
        </w:tc>
        <w:tc>
          <w:tcPr>
            <w:tcW w:w="482"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-18.784***</w:t>
            </w:r>
          </w:p>
        </w:tc>
        <w:tc>
          <w:tcPr>
            <w:tcW w:w="483"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-17.285***</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-16.838***</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-17.252***</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-20.423***</w:t>
            </w:r>
          </w:p>
        </w:tc>
        <w:tc>
          <w:tcPr>
            <w:tcW w:w="520"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-17.982***</w:t>
            </w:r>
          </w:p>
        </w:tc>
        <w:tc>
          <w:tcPr>
            <w:tcW w:w="486" w:type="pct"/>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-16.690***</w:t>
            </w:r>
          </w:p>
        </w:tc>
      </w:tr>
      <w:tr w:rsidR="00D22327" w:rsidRPr="00D22327" w:rsidTr="00B1441B">
        <w:trPr>
          <w:trHeight w:val="66"/>
        </w:trPr>
        <w:tc>
          <w:tcPr>
            <w:tcW w:w="949" w:type="pct"/>
            <w:tcBorders>
              <w:bottom w:val="single" w:sz="12" w:space="0" w:color="auto"/>
            </w:tcBorders>
          </w:tcPr>
          <w:p w:rsidR="00D22327" w:rsidRPr="00D22327" w:rsidRDefault="00D22327" w:rsidP="00D22327">
            <w:pPr>
              <w:autoSpaceDE w:val="0"/>
              <w:autoSpaceDN w:val="0"/>
              <w:adjustRightInd w:val="0"/>
              <w:rPr>
                <w:rFonts w:ascii="Times New Roman" w:eastAsia="Calibri" w:hAnsi="Times New Roman" w:cs="Times New Roman"/>
                <w:sz w:val="16"/>
                <w:szCs w:val="16"/>
              </w:rPr>
            </w:pPr>
            <w:r w:rsidRPr="00D22327">
              <w:rPr>
                <w:rFonts w:ascii="Times New Roman" w:eastAsia="Calibri" w:hAnsi="Times New Roman" w:cs="Times New Roman"/>
                <w:sz w:val="16"/>
                <w:szCs w:val="16"/>
              </w:rPr>
              <w:t>ADF Intercept and trend</w:t>
            </w:r>
          </w:p>
        </w:tc>
        <w:tc>
          <w:tcPr>
            <w:tcW w:w="520" w:type="pct"/>
            <w:tcBorders>
              <w:bottom w:val="single" w:sz="12"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-16.962***</w:t>
            </w:r>
          </w:p>
        </w:tc>
        <w:tc>
          <w:tcPr>
            <w:tcW w:w="482" w:type="pct"/>
            <w:tcBorders>
              <w:bottom w:val="single" w:sz="12"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-18.790***</w:t>
            </w:r>
          </w:p>
        </w:tc>
        <w:tc>
          <w:tcPr>
            <w:tcW w:w="483" w:type="pct"/>
            <w:tcBorders>
              <w:bottom w:val="single" w:sz="12"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-17.365***</w:t>
            </w:r>
          </w:p>
        </w:tc>
        <w:tc>
          <w:tcPr>
            <w:tcW w:w="520" w:type="pct"/>
            <w:tcBorders>
              <w:bottom w:val="single" w:sz="12"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-16.827***</w:t>
            </w:r>
          </w:p>
        </w:tc>
        <w:tc>
          <w:tcPr>
            <w:tcW w:w="520" w:type="pct"/>
            <w:tcBorders>
              <w:bottom w:val="single" w:sz="12"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-17.241***</w:t>
            </w:r>
          </w:p>
        </w:tc>
        <w:tc>
          <w:tcPr>
            <w:tcW w:w="520" w:type="pct"/>
            <w:tcBorders>
              <w:bottom w:val="single" w:sz="12"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-20.454***</w:t>
            </w:r>
          </w:p>
        </w:tc>
        <w:tc>
          <w:tcPr>
            <w:tcW w:w="520" w:type="pct"/>
            <w:tcBorders>
              <w:bottom w:val="single" w:sz="12"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-17.988***</w:t>
            </w:r>
          </w:p>
        </w:tc>
        <w:tc>
          <w:tcPr>
            <w:tcW w:w="486" w:type="pct"/>
            <w:tcBorders>
              <w:bottom w:val="single" w:sz="12" w:space="0" w:color="auto"/>
            </w:tcBorders>
          </w:tcPr>
          <w:p w:rsidR="00D22327" w:rsidRPr="00D22327" w:rsidRDefault="00D22327" w:rsidP="00D22327">
            <w:pPr>
              <w:autoSpaceDE w:val="0"/>
              <w:autoSpaceDN w:val="0"/>
              <w:adjustRightInd w:val="0"/>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-16.688***</w:t>
            </w:r>
          </w:p>
        </w:tc>
      </w:tr>
      <w:tr w:rsidR="00D22327" w:rsidRPr="00D22327" w:rsidTr="004F09BF">
        <w:trPr>
          <w:trHeight w:val="334"/>
        </w:trPr>
        <w:tc>
          <w:tcPr>
            <w:tcW w:w="5000" w:type="pct"/>
            <w:gridSpan w:val="9"/>
            <w:tcBorders>
              <w:top w:val="single" w:sz="12" w:space="0" w:color="auto"/>
            </w:tcBorders>
          </w:tcPr>
          <w:p w:rsidR="00D22327" w:rsidRPr="00D22327" w:rsidRDefault="00D22327" w:rsidP="00D22327">
            <w:pPr>
              <w:autoSpaceDE w:val="0"/>
              <w:autoSpaceDN w:val="0"/>
              <w:adjustRightInd w:val="0"/>
              <w:jc w:val="both"/>
              <w:rPr>
                <w:rFonts w:ascii="Times New Roman" w:eastAsia="Calibri" w:hAnsi="Times New Roman" w:cs="Times New Roman"/>
                <w:sz w:val="16"/>
                <w:szCs w:val="16"/>
              </w:rPr>
            </w:pPr>
            <w:r w:rsidRPr="00D22327">
              <w:rPr>
                <w:rFonts w:ascii="Times New Roman" w:eastAsia="Calibri" w:hAnsi="Times New Roman" w:cs="Times New Roman"/>
                <w:i/>
                <w:iCs/>
                <w:sz w:val="16"/>
                <w:szCs w:val="16"/>
              </w:rPr>
              <w:t>Notes</w:t>
            </w:r>
            <w:r w:rsidRPr="00D22327">
              <w:rPr>
                <w:rFonts w:ascii="Times New Roman" w:eastAsia="Calibri" w:hAnsi="Times New Roman" w:cs="Times New Roman"/>
                <w:sz w:val="16"/>
                <w:szCs w:val="16"/>
              </w:rPr>
              <w:t>: This table reports summary statistics o</w:t>
            </w:r>
            <w:r w:rsidR="00EC5322">
              <w:rPr>
                <w:rFonts w:ascii="Times New Roman" w:eastAsia="Calibri" w:hAnsi="Times New Roman" w:cs="Times New Roman"/>
                <w:sz w:val="16"/>
                <w:szCs w:val="16"/>
              </w:rPr>
              <w:t>f the implied volatility indexes</w:t>
            </w:r>
            <w:r w:rsidRPr="00D22327">
              <w:rPr>
                <w:rFonts w:ascii="Times New Roman" w:eastAsia="Calibri" w:hAnsi="Times New Roman" w:cs="Times New Roman"/>
                <w:sz w:val="16"/>
                <w:szCs w:val="16"/>
              </w:rPr>
              <w:t>.</w:t>
            </w:r>
            <w:r w:rsidRPr="00D22327">
              <w:rPr>
                <w:sz w:val="16"/>
                <w:szCs w:val="16"/>
              </w:rPr>
              <w:t xml:space="preserve"> </w:t>
            </w:r>
            <w:r w:rsidRPr="00D22327">
              <w:rPr>
                <w:rFonts w:ascii="Times New Roman" w:eastAsia="Calibri" w:hAnsi="Times New Roman" w:cs="Times New Roman"/>
                <w:sz w:val="16"/>
                <w:szCs w:val="16"/>
              </w:rPr>
              <w:t xml:space="preserve">The number of daily observations is equal to 744 from 27th July 2012 to </w:t>
            </w:r>
            <w:proofErr w:type="gramStart"/>
            <w:r w:rsidRPr="00D22327">
              <w:rPr>
                <w:rFonts w:ascii="Times New Roman" w:eastAsia="Calibri" w:hAnsi="Times New Roman" w:cs="Times New Roman"/>
                <w:sz w:val="16"/>
                <w:szCs w:val="16"/>
              </w:rPr>
              <w:t>3rd  June</w:t>
            </w:r>
            <w:proofErr w:type="gramEnd"/>
            <w:r w:rsidRPr="00D22327">
              <w:rPr>
                <w:rFonts w:ascii="Times New Roman" w:eastAsia="Calibri" w:hAnsi="Times New Roman" w:cs="Times New Roman"/>
                <w:sz w:val="16"/>
                <w:szCs w:val="16"/>
              </w:rPr>
              <w:t xml:space="preserve"> 2015. Panel A reports statistics for the levels, while Panel B reports results for log differences. ADF is the t</w:t>
            </w:r>
            <w:r w:rsidRPr="00D22327">
              <w:rPr>
                <w:rFonts w:ascii="Times New Roman" w:eastAsia="Calibri" w:hAnsi="Times New Roman" w:cs="Times New Roman" w:hint="eastAsia"/>
                <w:sz w:val="16"/>
                <w:szCs w:val="16"/>
              </w:rPr>
              <w:t>‐</w:t>
            </w:r>
            <w:r w:rsidRPr="00D22327">
              <w:rPr>
                <w:rFonts w:ascii="Times New Roman" w:eastAsia="Calibri" w:hAnsi="Times New Roman" w:cs="Times New Roman"/>
                <w:sz w:val="16"/>
                <w:szCs w:val="16"/>
              </w:rPr>
              <w:t>statistics for the Augmented Dickey</w:t>
            </w:r>
            <w:r w:rsidRPr="00D22327">
              <w:rPr>
                <w:rFonts w:ascii="Times New Roman" w:eastAsia="Calibri" w:hAnsi="Times New Roman" w:cs="Times New Roman" w:hint="eastAsia"/>
                <w:sz w:val="16"/>
                <w:szCs w:val="16"/>
              </w:rPr>
              <w:t>‐</w:t>
            </w:r>
            <w:r w:rsidRPr="00D22327">
              <w:rPr>
                <w:rFonts w:ascii="Times New Roman" w:eastAsia="Calibri" w:hAnsi="Times New Roman" w:cs="Times New Roman"/>
                <w:sz w:val="16"/>
                <w:szCs w:val="16"/>
              </w:rPr>
              <w:t>Fuller test. ***, ** and * denote significance at the 1%, 5%, and 10% levels, respectively.</w:t>
            </w:r>
          </w:p>
        </w:tc>
      </w:tr>
    </w:tbl>
    <w:p w:rsidR="009927C5" w:rsidRDefault="009927C5" w:rsidP="009B3B94">
      <w:pPr>
        <w:autoSpaceDE w:val="0"/>
        <w:autoSpaceDN w:val="0"/>
        <w:adjustRightInd w:val="0"/>
        <w:spacing w:after="0" w:line="480" w:lineRule="auto"/>
        <w:ind w:firstLine="567"/>
        <w:rPr>
          <w:rFonts w:ascii="Times New Roman" w:eastAsia="Calibri" w:hAnsi="Times New Roman" w:cs="Times New Roman"/>
          <w:sz w:val="24"/>
          <w:szCs w:val="24"/>
        </w:rPr>
      </w:pPr>
    </w:p>
    <w:p w:rsidR="005A0A16" w:rsidRDefault="005A0A16" w:rsidP="009B3B94">
      <w:pPr>
        <w:autoSpaceDE w:val="0"/>
        <w:autoSpaceDN w:val="0"/>
        <w:adjustRightInd w:val="0"/>
        <w:spacing w:after="0" w:line="480" w:lineRule="auto"/>
        <w:ind w:firstLine="567"/>
        <w:rPr>
          <w:rFonts w:ascii="Times New Roman" w:eastAsia="Calibri" w:hAnsi="Times New Roman" w:cs="Times New Roman"/>
          <w:sz w:val="24"/>
          <w:szCs w:val="24"/>
        </w:rPr>
      </w:pPr>
    </w:p>
    <w:tbl>
      <w:tblPr>
        <w:tblW w:w="5000" w:type="pct"/>
        <w:tblLook w:val="04A0" w:firstRow="1" w:lastRow="0" w:firstColumn="1" w:lastColumn="0" w:noHBand="0" w:noVBand="1"/>
      </w:tblPr>
      <w:tblGrid>
        <w:gridCol w:w="1252"/>
        <w:gridCol w:w="1084"/>
        <w:gridCol w:w="1086"/>
        <w:gridCol w:w="1110"/>
        <w:gridCol w:w="1086"/>
        <w:gridCol w:w="1086"/>
        <w:gridCol w:w="1086"/>
        <w:gridCol w:w="1086"/>
        <w:gridCol w:w="1086"/>
      </w:tblGrid>
      <w:tr w:rsidR="00D22327" w:rsidRPr="00D22327" w:rsidTr="004F09BF">
        <w:trPr>
          <w:trHeight w:val="81"/>
        </w:trPr>
        <w:tc>
          <w:tcPr>
            <w:tcW w:w="5000" w:type="pct"/>
            <w:gridSpan w:val="9"/>
            <w:tcBorders>
              <w:bottom w:val="single" w:sz="12" w:space="0" w:color="auto"/>
            </w:tcBorders>
            <w:shd w:val="clear" w:color="auto" w:fill="auto"/>
            <w:noWrap/>
            <w:vAlign w:val="bottom"/>
            <w:hideMark/>
          </w:tcPr>
          <w:p w:rsidR="00D22327" w:rsidRPr="00D22327" w:rsidRDefault="00D22327" w:rsidP="0032415B">
            <w:pPr>
              <w:autoSpaceDE w:val="0"/>
              <w:autoSpaceDN w:val="0"/>
              <w:adjustRightInd w:val="0"/>
              <w:spacing w:after="0" w:line="240" w:lineRule="auto"/>
              <w:rPr>
                <w:rFonts w:ascii="Times New Roman" w:eastAsia="Calibri" w:hAnsi="Times New Roman" w:cs="Times New Roman"/>
                <w:b/>
                <w:bCs/>
                <w:sz w:val="18"/>
                <w:szCs w:val="18"/>
              </w:rPr>
            </w:pPr>
            <w:r w:rsidRPr="00D22327">
              <w:rPr>
                <w:rFonts w:ascii="Times New Roman" w:eastAsia="Calibri" w:hAnsi="Times New Roman" w:cs="Times New Roman"/>
                <w:b/>
                <w:bCs/>
                <w:sz w:val="18"/>
                <w:szCs w:val="18"/>
              </w:rPr>
              <w:t xml:space="preserve">Table </w:t>
            </w:r>
            <w:r w:rsidR="0032415B">
              <w:rPr>
                <w:rFonts w:ascii="Times New Roman" w:eastAsia="Calibri" w:hAnsi="Times New Roman" w:cs="Times New Roman"/>
                <w:b/>
                <w:bCs/>
                <w:sz w:val="18"/>
                <w:szCs w:val="18"/>
              </w:rPr>
              <w:t>3</w:t>
            </w:r>
            <w:r w:rsidRPr="00D22327">
              <w:rPr>
                <w:rFonts w:ascii="Times New Roman" w:eastAsia="Calibri" w:hAnsi="Times New Roman" w:cs="Times New Roman"/>
                <w:b/>
                <w:bCs/>
                <w:sz w:val="18"/>
                <w:szCs w:val="18"/>
              </w:rPr>
              <w:t>: Unconditional correlation amon</w:t>
            </w:r>
            <w:r w:rsidR="00EC5322">
              <w:rPr>
                <w:rFonts w:ascii="Times New Roman" w:eastAsia="Calibri" w:hAnsi="Times New Roman" w:cs="Times New Roman"/>
                <w:b/>
                <w:bCs/>
                <w:sz w:val="18"/>
                <w:szCs w:val="18"/>
              </w:rPr>
              <w:t>g the implied volatility indexes</w:t>
            </w:r>
          </w:p>
        </w:tc>
      </w:tr>
      <w:tr w:rsidR="00D22327" w:rsidRPr="00D22327" w:rsidTr="004F09BF">
        <w:trPr>
          <w:trHeight w:val="56"/>
        </w:trPr>
        <w:tc>
          <w:tcPr>
            <w:tcW w:w="629" w:type="pct"/>
            <w:tcBorders>
              <w:top w:val="single" w:sz="12" w:space="0" w:color="auto"/>
              <w:bottom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tcBorders>
              <w:top w:val="single" w:sz="12" w:space="0" w:color="auto"/>
              <w:bottom w:val="single" w:sz="6" w:space="0" w:color="auto"/>
            </w:tcBorders>
            <w:shd w:val="clear" w:color="auto" w:fill="auto"/>
            <w:noWrap/>
            <w:vAlign w:val="center"/>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Crude Oil</w:t>
            </w:r>
          </w:p>
        </w:tc>
        <w:tc>
          <w:tcPr>
            <w:tcW w:w="545" w:type="pct"/>
            <w:tcBorders>
              <w:top w:val="single" w:sz="12" w:space="0" w:color="auto"/>
              <w:bottom w:val="single" w:sz="6" w:space="0" w:color="auto"/>
            </w:tcBorders>
            <w:shd w:val="clear" w:color="auto" w:fill="auto"/>
            <w:noWrap/>
            <w:vAlign w:val="center"/>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US-Stock</w:t>
            </w:r>
          </w:p>
        </w:tc>
        <w:tc>
          <w:tcPr>
            <w:tcW w:w="557" w:type="pct"/>
            <w:tcBorders>
              <w:top w:val="single" w:sz="12" w:space="0" w:color="auto"/>
              <w:bottom w:val="single" w:sz="6" w:space="0" w:color="auto"/>
            </w:tcBorders>
            <w:shd w:val="clear" w:color="auto" w:fill="auto"/>
            <w:noWrap/>
            <w:vAlign w:val="center"/>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Euro/Dollar</w:t>
            </w:r>
          </w:p>
        </w:tc>
        <w:tc>
          <w:tcPr>
            <w:tcW w:w="545" w:type="pct"/>
            <w:tcBorders>
              <w:top w:val="single" w:sz="12" w:space="0" w:color="auto"/>
              <w:bottom w:val="single" w:sz="6" w:space="0" w:color="auto"/>
            </w:tcBorders>
            <w:shd w:val="clear" w:color="auto" w:fill="auto"/>
            <w:noWrap/>
            <w:vAlign w:val="center"/>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Gold</w:t>
            </w:r>
          </w:p>
        </w:tc>
        <w:tc>
          <w:tcPr>
            <w:tcW w:w="545" w:type="pct"/>
            <w:tcBorders>
              <w:top w:val="single" w:sz="12" w:space="0" w:color="auto"/>
              <w:bottom w:val="single" w:sz="6" w:space="0" w:color="auto"/>
            </w:tcBorders>
            <w:shd w:val="clear" w:color="auto" w:fill="auto"/>
            <w:noWrap/>
            <w:vAlign w:val="center"/>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Silver</w:t>
            </w:r>
          </w:p>
        </w:tc>
        <w:tc>
          <w:tcPr>
            <w:tcW w:w="545" w:type="pct"/>
            <w:tcBorders>
              <w:top w:val="single" w:sz="12" w:space="0" w:color="auto"/>
              <w:bottom w:val="single" w:sz="6" w:space="0" w:color="auto"/>
            </w:tcBorders>
            <w:shd w:val="clear" w:color="auto" w:fill="auto"/>
            <w:noWrap/>
            <w:vAlign w:val="center"/>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Wheat</w:t>
            </w:r>
          </w:p>
        </w:tc>
        <w:tc>
          <w:tcPr>
            <w:tcW w:w="545" w:type="pct"/>
            <w:tcBorders>
              <w:top w:val="single" w:sz="12" w:space="0" w:color="auto"/>
              <w:bottom w:val="single" w:sz="6" w:space="0" w:color="auto"/>
            </w:tcBorders>
            <w:shd w:val="clear" w:color="auto" w:fill="auto"/>
            <w:noWrap/>
            <w:vAlign w:val="center"/>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Corn</w:t>
            </w:r>
          </w:p>
        </w:tc>
        <w:tc>
          <w:tcPr>
            <w:tcW w:w="544" w:type="pct"/>
            <w:tcBorders>
              <w:top w:val="single" w:sz="12" w:space="0" w:color="auto"/>
              <w:bottom w:val="single" w:sz="6" w:space="0" w:color="auto"/>
            </w:tcBorders>
            <w:shd w:val="clear" w:color="auto" w:fill="auto"/>
            <w:noWrap/>
            <w:vAlign w:val="center"/>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Soybeans</w:t>
            </w:r>
          </w:p>
        </w:tc>
      </w:tr>
      <w:tr w:rsidR="00D22327" w:rsidRPr="00D22327" w:rsidTr="004F09BF">
        <w:trPr>
          <w:trHeight w:val="104"/>
        </w:trPr>
        <w:tc>
          <w:tcPr>
            <w:tcW w:w="5000" w:type="pct"/>
            <w:gridSpan w:val="9"/>
            <w:tcBorders>
              <w:bottom w:val="single" w:sz="6" w:space="0" w:color="auto"/>
            </w:tcBorders>
            <w:shd w:val="clear" w:color="auto" w:fill="auto"/>
            <w:noWrap/>
            <w:vAlign w:val="bottom"/>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i/>
                <w:iCs/>
                <w:sz w:val="16"/>
                <w:szCs w:val="16"/>
              </w:rPr>
              <w:t>Panel A: Levels</w:t>
            </w:r>
          </w:p>
        </w:tc>
      </w:tr>
      <w:tr w:rsidR="00D22327" w:rsidRPr="00D22327" w:rsidTr="004F09BF">
        <w:trPr>
          <w:trHeight w:val="56"/>
        </w:trPr>
        <w:tc>
          <w:tcPr>
            <w:tcW w:w="629" w:type="pct"/>
            <w:tcBorders>
              <w:top w:val="single" w:sz="6" w:space="0" w:color="auto"/>
            </w:tcBorders>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Crude Oil</w:t>
            </w:r>
          </w:p>
        </w:tc>
        <w:tc>
          <w:tcPr>
            <w:tcW w:w="544"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5"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57"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56"/>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US-Stock</w:t>
            </w: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0.688</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56"/>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Euro/Dollar</w:t>
            </w: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0.767</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0.625</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56"/>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Gold</w:t>
            </w:r>
          </w:p>
        </w:tc>
        <w:tc>
          <w:tcPr>
            <w:tcW w:w="544" w:type="pct"/>
            <w:shd w:val="clear" w:color="auto" w:fill="auto"/>
            <w:noWrap/>
            <w:vAlign w:val="bottom"/>
            <w:hideMark/>
          </w:tcPr>
          <w:p w:rsidR="00D22327" w:rsidRPr="00D22327" w:rsidRDefault="00D22327" w:rsidP="00142160">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w:t>
            </w:r>
            <w:r w:rsidR="00142160">
              <w:rPr>
                <w:rFonts w:ascii="Times New Roman" w:eastAsia="Calibri" w:hAnsi="Times New Roman" w:cs="Times New Roman"/>
                <w:sz w:val="16"/>
                <w:szCs w:val="16"/>
              </w:rPr>
              <w:t>3</w:t>
            </w:r>
            <w:r w:rsidRPr="00D22327">
              <w:rPr>
                <w:rFonts w:ascii="Times New Roman" w:eastAsia="Calibri" w:hAnsi="Times New Roman" w:cs="Times New Roman"/>
                <w:sz w:val="16"/>
                <w:szCs w:val="16"/>
              </w:rPr>
              <w:t>20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0.266</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0.195</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194"/>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Silver</w:t>
            </w: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0.287</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0.383</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0.320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0.919</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56"/>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Wheat</w:t>
            </w: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0.361</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0.396</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0.361</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0.143</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-0.030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56"/>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Corn</w:t>
            </w:r>
          </w:p>
        </w:tc>
        <w:tc>
          <w:tcPr>
            <w:tcW w:w="544" w:type="pct"/>
            <w:shd w:val="clear" w:color="auto" w:fill="auto"/>
            <w:noWrap/>
            <w:vAlign w:val="bottom"/>
            <w:hideMark/>
          </w:tcPr>
          <w:p w:rsidR="00D22327" w:rsidRPr="00D22327" w:rsidRDefault="00D22327" w:rsidP="00256E31">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w:t>
            </w:r>
            <w:r w:rsidR="00256E31">
              <w:rPr>
                <w:rFonts w:ascii="Times New Roman" w:eastAsia="Calibri" w:hAnsi="Times New Roman" w:cs="Times New Roman"/>
                <w:sz w:val="16"/>
                <w:szCs w:val="16"/>
              </w:rPr>
              <w:t>1</w:t>
            </w:r>
            <w:r w:rsidRPr="00D22327">
              <w:rPr>
                <w:rFonts w:ascii="Times New Roman" w:eastAsia="Calibri" w:hAnsi="Times New Roman" w:cs="Times New Roman"/>
                <w:sz w:val="16"/>
                <w:szCs w:val="16"/>
              </w:rPr>
              <w:t>01</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0.169</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-0.001</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0.321</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0.307</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0.509</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56"/>
        </w:trPr>
        <w:tc>
          <w:tcPr>
            <w:tcW w:w="629" w:type="pct"/>
            <w:tcBorders>
              <w:bottom w:val="single" w:sz="6" w:space="0" w:color="auto"/>
            </w:tcBorders>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Soybeans</w:t>
            </w:r>
          </w:p>
        </w:tc>
        <w:tc>
          <w:tcPr>
            <w:tcW w:w="544" w:type="pct"/>
            <w:tcBorders>
              <w:bottom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0.086</w:t>
            </w:r>
          </w:p>
        </w:tc>
        <w:tc>
          <w:tcPr>
            <w:tcW w:w="545" w:type="pct"/>
            <w:tcBorders>
              <w:bottom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0.157</w:t>
            </w:r>
          </w:p>
        </w:tc>
        <w:tc>
          <w:tcPr>
            <w:tcW w:w="557" w:type="pct"/>
            <w:tcBorders>
              <w:bottom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-0.084</w:t>
            </w:r>
          </w:p>
        </w:tc>
        <w:tc>
          <w:tcPr>
            <w:tcW w:w="545" w:type="pct"/>
            <w:tcBorders>
              <w:bottom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0.170</w:t>
            </w:r>
          </w:p>
        </w:tc>
        <w:tc>
          <w:tcPr>
            <w:tcW w:w="545" w:type="pct"/>
            <w:tcBorders>
              <w:bottom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0.235</w:t>
            </w:r>
          </w:p>
        </w:tc>
        <w:tc>
          <w:tcPr>
            <w:tcW w:w="545" w:type="pct"/>
            <w:tcBorders>
              <w:bottom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0.432</w:t>
            </w:r>
          </w:p>
        </w:tc>
        <w:tc>
          <w:tcPr>
            <w:tcW w:w="545" w:type="pct"/>
            <w:tcBorders>
              <w:bottom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0.744</w:t>
            </w:r>
          </w:p>
        </w:tc>
        <w:tc>
          <w:tcPr>
            <w:tcW w:w="544" w:type="pct"/>
            <w:tcBorders>
              <w:bottom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r>
      <w:tr w:rsidR="00D22327" w:rsidRPr="00D22327" w:rsidTr="004F09BF">
        <w:trPr>
          <w:trHeight w:val="71"/>
        </w:trPr>
        <w:tc>
          <w:tcPr>
            <w:tcW w:w="5000" w:type="pct"/>
            <w:gridSpan w:val="9"/>
            <w:tcBorders>
              <w:top w:val="single" w:sz="6" w:space="0" w:color="auto"/>
              <w:bottom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i/>
                <w:iCs/>
                <w:sz w:val="16"/>
                <w:szCs w:val="16"/>
              </w:rPr>
            </w:pPr>
            <w:r w:rsidRPr="00D22327">
              <w:rPr>
                <w:rFonts w:ascii="Times New Roman" w:eastAsia="Calibri" w:hAnsi="Times New Roman" w:cs="Times New Roman"/>
                <w:i/>
                <w:iCs/>
                <w:sz w:val="16"/>
                <w:szCs w:val="16"/>
              </w:rPr>
              <w:t>Panel B: Log volatility changes</w:t>
            </w:r>
          </w:p>
        </w:tc>
      </w:tr>
      <w:tr w:rsidR="00D22327" w:rsidRPr="00D22327" w:rsidTr="004F09BF">
        <w:trPr>
          <w:trHeight w:val="71"/>
        </w:trPr>
        <w:tc>
          <w:tcPr>
            <w:tcW w:w="629" w:type="pct"/>
            <w:tcBorders>
              <w:top w:val="single" w:sz="6" w:space="0" w:color="auto"/>
            </w:tcBorders>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Crude Oil</w:t>
            </w:r>
          </w:p>
        </w:tc>
        <w:tc>
          <w:tcPr>
            <w:tcW w:w="544"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5"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57"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tcBorders>
              <w:top w:val="single" w:sz="6"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56"/>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US-Stock</w:t>
            </w:r>
          </w:p>
        </w:tc>
        <w:tc>
          <w:tcPr>
            <w:tcW w:w="544" w:type="pct"/>
            <w:shd w:val="clear" w:color="auto" w:fill="auto"/>
            <w:noWrap/>
            <w:vAlign w:val="bottom"/>
            <w:hideMark/>
          </w:tcPr>
          <w:p w:rsidR="00D22327" w:rsidRPr="00D22327" w:rsidRDefault="00D22327" w:rsidP="00927132">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w:t>
            </w:r>
            <w:r w:rsidR="00927132">
              <w:rPr>
                <w:rFonts w:ascii="Times New Roman" w:eastAsia="Calibri" w:hAnsi="Times New Roman" w:cs="Times New Roman"/>
                <w:sz w:val="16"/>
                <w:szCs w:val="16"/>
              </w:rPr>
              <w:t>3</w:t>
            </w:r>
            <w:r w:rsidRPr="00D22327">
              <w:rPr>
                <w:rFonts w:ascii="Times New Roman" w:eastAsia="Calibri" w:hAnsi="Times New Roman" w:cs="Times New Roman"/>
                <w:sz w:val="16"/>
                <w:szCs w:val="16"/>
              </w:rPr>
              <w:t>38</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119"/>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Euro/Dollar</w:t>
            </w:r>
          </w:p>
        </w:tc>
        <w:tc>
          <w:tcPr>
            <w:tcW w:w="544" w:type="pct"/>
            <w:shd w:val="clear" w:color="auto" w:fill="auto"/>
            <w:noWrap/>
            <w:vAlign w:val="bottom"/>
            <w:hideMark/>
          </w:tcPr>
          <w:p w:rsidR="00D22327" w:rsidRPr="00D22327" w:rsidRDefault="00D22327" w:rsidP="00927132">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w:t>
            </w:r>
            <w:r w:rsidR="00927132">
              <w:rPr>
                <w:rFonts w:ascii="Times New Roman" w:eastAsia="Calibri" w:hAnsi="Times New Roman" w:cs="Times New Roman"/>
                <w:sz w:val="16"/>
                <w:szCs w:val="16"/>
              </w:rPr>
              <w:t>4</w:t>
            </w:r>
            <w:r w:rsidRPr="00D22327">
              <w:rPr>
                <w:rFonts w:ascii="Times New Roman" w:eastAsia="Calibri" w:hAnsi="Times New Roman" w:cs="Times New Roman"/>
                <w:sz w:val="16"/>
                <w:szCs w:val="16"/>
              </w:rPr>
              <w:t>17</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0.177</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65"/>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Gold</w:t>
            </w: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0.327</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0.113</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0.278</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152"/>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Silver</w:t>
            </w: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0.301</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0.089</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0.185</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0.735</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99"/>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Wheat</w:t>
            </w:r>
          </w:p>
        </w:tc>
        <w:tc>
          <w:tcPr>
            <w:tcW w:w="544" w:type="pct"/>
            <w:shd w:val="clear" w:color="auto" w:fill="auto"/>
            <w:noWrap/>
            <w:vAlign w:val="bottom"/>
            <w:hideMark/>
          </w:tcPr>
          <w:p w:rsidR="00D22327" w:rsidRPr="00D22327" w:rsidRDefault="00D22327" w:rsidP="00CC6B3B">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w:t>
            </w:r>
            <w:r w:rsidR="00CC6B3B">
              <w:rPr>
                <w:rFonts w:ascii="Times New Roman" w:eastAsia="Calibri" w:hAnsi="Times New Roman" w:cs="Times New Roman"/>
                <w:sz w:val="16"/>
                <w:szCs w:val="16"/>
              </w:rPr>
              <w:t>1</w:t>
            </w:r>
            <w:r w:rsidRPr="00D22327">
              <w:rPr>
                <w:rFonts w:ascii="Times New Roman" w:eastAsia="Calibri" w:hAnsi="Times New Roman" w:cs="Times New Roman"/>
                <w:sz w:val="16"/>
                <w:szCs w:val="16"/>
              </w:rPr>
              <w:t>73</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0.071</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0.109</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0.005</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0.118</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56"/>
        </w:trPr>
        <w:tc>
          <w:tcPr>
            <w:tcW w:w="629" w:type="pct"/>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Corn</w:t>
            </w: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0.083</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0.062</w:t>
            </w:r>
          </w:p>
        </w:tc>
        <w:tc>
          <w:tcPr>
            <w:tcW w:w="557"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0.081</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0.080</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0.127</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0.517</w:t>
            </w:r>
          </w:p>
        </w:tc>
        <w:tc>
          <w:tcPr>
            <w:tcW w:w="545"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c>
          <w:tcPr>
            <w:tcW w:w="544" w:type="pct"/>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p>
        </w:tc>
      </w:tr>
      <w:tr w:rsidR="00D22327" w:rsidRPr="00D22327" w:rsidTr="004F09BF">
        <w:trPr>
          <w:trHeight w:val="56"/>
        </w:trPr>
        <w:tc>
          <w:tcPr>
            <w:tcW w:w="629" w:type="pct"/>
            <w:tcBorders>
              <w:bottom w:val="single" w:sz="12" w:space="0" w:color="auto"/>
            </w:tcBorders>
            <w:shd w:val="clear" w:color="auto" w:fill="auto"/>
            <w:vAlign w:val="center"/>
            <w:hideMark/>
          </w:tcPr>
          <w:p w:rsidR="00D22327" w:rsidRPr="00D22327" w:rsidRDefault="00D22327" w:rsidP="00D22327">
            <w:pPr>
              <w:autoSpaceDE w:val="0"/>
              <w:autoSpaceDN w:val="0"/>
              <w:adjustRightInd w:val="0"/>
              <w:spacing w:after="0" w:line="240" w:lineRule="auto"/>
              <w:rPr>
                <w:rFonts w:ascii="Times New Roman" w:eastAsia="Calibri" w:hAnsi="Times New Roman" w:cs="Times New Roman"/>
                <w:sz w:val="16"/>
                <w:szCs w:val="16"/>
              </w:rPr>
            </w:pPr>
            <w:r w:rsidRPr="00D22327">
              <w:rPr>
                <w:rFonts w:ascii="Times New Roman" w:eastAsia="Calibri" w:hAnsi="Times New Roman" w:cs="Times New Roman"/>
                <w:sz w:val="16"/>
                <w:szCs w:val="16"/>
              </w:rPr>
              <w:t>Soybeans</w:t>
            </w:r>
          </w:p>
        </w:tc>
        <w:tc>
          <w:tcPr>
            <w:tcW w:w="544" w:type="pct"/>
            <w:tcBorders>
              <w:bottom w:val="single" w:sz="12"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0.095</w:t>
            </w:r>
          </w:p>
        </w:tc>
        <w:tc>
          <w:tcPr>
            <w:tcW w:w="545" w:type="pct"/>
            <w:tcBorders>
              <w:bottom w:val="single" w:sz="12"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-0.011</w:t>
            </w:r>
          </w:p>
        </w:tc>
        <w:tc>
          <w:tcPr>
            <w:tcW w:w="557" w:type="pct"/>
            <w:tcBorders>
              <w:bottom w:val="single" w:sz="12"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0.110</w:t>
            </w:r>
          </w:p>
        </w:tc>
        <w:tc>
          <w:tcPr>
            <w:tcW w:w="545" w:type="pct"/>
            <w:tcBorders>
              <w:bottom w:val="single" w:sz="12"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0.139</w:t>
            </w:r>
          </w:p>
        </w:tc>
        <w:tc>
          <w:tcPr>
            <w:tcW w:w="545" w:type="pct"/>
            <w:tcBorders>
              <w:bottom w:val="single" w:sz="12"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0.169</w:t>
            </w:r>
          </w:p>
        </w:tc>
        <w:tc>
          <w:tcPr>
            <w:tcW w:w="545" w:type="pct"/>
            <w:tcBorders>
              <w:bottom w:val="single" w:sz="12"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0.223</w:t>
            </w:r>
          </w:p>
        </w:tc>
        <w:tc>
          <w:tcPr>
            <w:tcW w:w="545" w:type="pct"/>
            <w:tcBorders>
              <w:bottom w:val="single" w:sz="12"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0.352</w:t>
            </w:r>
          </w:p>
        </w:tc>
        <w:tc>
          <w:tcPr>
            <w:tcW w:w="544" w:type="pct"/>
            <w:tcBorders>
              <w:bottom w:val="single" w:sz="12" w:space="0" w:color="auto"/>
            </w:tcBorders>
            <w:shd w:val="clear" w:color="auto" w:fill="auto"/>
            <w:noWrap/>
            <w:vAlign w:val="bottom"/>
            <w:hideMark/>
          </w:tcPr>
          <w:p w:rsidR="00D22327" w:rsidRPr="00D22327" w:rsidRDefault="00D22327" w:rsidP="00D22327">
            <w:pPr>
              <w:autoSpaceDE w:val="0"/>
              <w:autoSpaceDN w:val="0"/>
              <w:adjustRightInd w:val="0"/>
              <w:spacing w:after="0" w:line="240" w:lineRule="auto"/>
              <w:jc w:val="center"/>
              <w:rPr>
                <w:rFonts w:ascii="Times New Roman" w:eastAsia="Calibri" w:hAnsi="Times New Roman" w:cs="Times New Roman"/>
                <w:sz w:val="16"/>
                <w:szCs w:val="16"/>
              </w:rPr>
            </w:pPr>
            <w:r w:rsidRPr="00D22327">
              <w:rPr>
                <w:rFonts w:ascii="Times New Roman" w:eastAsia="Calibri" w:hAnsi="Times New Roman" w:cs="Times New Roman"/>
                <w:sz w:val="16"/>
                <w:szCs w:val="16"/>
              </w:rPr>
              <w:t>1.000</w:t>
            </w:r>
          </w:p>
        </w:tc>
      </w:tr>
    </w:tbl>
    <w:p w:rsidR="00CF2F0E" w:rsidRDefault="00CF2F0E" w:rsidP="001D525D">
      <w:pPr>
        <w:autoSpaceDE w:val="0"/>
        <w:autoSpaceDN w:val="0"/>
        <w:adjustRightInd w:val="0"/>
        <w:spacing w:after="0" w:line="480" w:lineRule="auto"/>
        <w:jc w:val="both"/>
        <w:rPr>
          <w:rFonts w:ascii="Times New Roman" w:eastAsia="Calibri" w:hAnsi="Times New Roman" w:cs="Times New Roman"/>
          <w:sz w:val="24"/>
          <w:szCs w:val="24"/>
        </w:rPr>
      </w:pPr>
    </w:p>
    <w:p w:rsidR="00D636F1" w:rsidRDefault="00D636F1">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857"/>
        <w:gridCol w:w="843"/>
        <w:gridCol w:w="992"/>
        <w:gridCol w:w="542"/>
        <w:gridCol w:w="606"/>
        <w:gridCol w:w="642"/>
        <w:gridCol w:w="542"/>
        <w:gridCol w:w="839"/>
        <w:gridCol w:w="2108"/>
      </w:tblGrid>
      <w:tr w:rsidR="006A0005" w:rsidRPr="00664F32" w:rsidTr="00BB681A">
        <w:trPr>
          <w:trHeight w:val="56"/>
        </w:trPr>
        <w:tc>
          <w:tcPr>
            <w:tcW w:w="5000" w:type="pct"/>
            <w:gridSpan w:val="10"/>
            <w:tcBorders>
              <w:bottom w:val="single" w:sz="12" w:space="0" w:color="auto"/>
            </w:tcBorders>
          </w:tcPr>
          <w:p w:rsidR="006A0005" w:rsidRPr="006A0005" w:rsidRDefault="006A0005" w:rsidP="00EC5322">
            <w:pPr>
              <w:autoSpaceDE w:val="0"/>
              <w:autoSpaceDN w:val="0"/>
              <w:adjustRightInd w:val="0"/>
              <w:rPr>
                <w:rFonts w:asciiTheme="majorBidi" w:eastAsia="Calibri" w:hAnsiTheme="majorBidi" w:cstheme="majorBidi"/>
                <w:b/>
                <w:bCs/>
                <w:sz w:val="18"/>
                <w:szCs w:val="18"/>
              </w:rPr>
            </w:pPr>
            <w:r w:rsidRPr="006A0005">
              <w:rPr>
                <w:rFonts w:asciiTheme="majorBidi" w:eastAsia="Calibri" w:hAnsiTheme="majorBidi" w:cstheme="majorBidi"/>
                <w:b/>
                <w:bCs/>
                <w:sz w:val="18"/>
                <w:szCs w:val="18"/>
              </w:rPr>
              <w:lastRenderedPageBreak/>
              <w:t xml:space="preserve">Table </w:t>
            </w:r>
            <w:r w:rsidR="0032415B">
              <w:rPr>
                <w:rFonts w:asciiTheme="majorBidi" w:eastAsia="Calibri" w:hAnsiTheme="majorBidi" w:cstheme="majorBidi"/>
                <w:b/>
                <w:bCs/>
                <w:sz w:val="18"/>
                <w:szCs w:val="18"/>
              </w:rPr>
              <w:t>4</w:t>
            </w:r>
            <w:r w:rsidRPr="006A0005">
              <w:rPr>
                <w:rFonts w:asciiTheme="majorBidi" w:eastAsia="Calibri" w:hAnsiTheme="majorBidi" w:cstheme="majorBidi"/>
                <w:b/>
                <w:bCs/>
                <w:sz w:val="18"/>
                <w:szCs w:val="18"/>
              </w:rPr>
              <w:t>: Direction of implied volatility spillovers</w:t>
            </w:r>
          </w:p>
        </w:tc>
      </w:tr>
      <w:tr w:rsidR="00664F32" w:rsidRPr="00664F32" w:rsidTr="00E37DCE">
        <w:trPr>
          <w:trHeight w:val="131"/>
        </w:trPr>
        <w:tc>
          <w:tcPr>
            <w:tcW w:w="1000" w:type="pct"/>
            <w:tcBorders>
              <w:top w:val="single" w:sz="12" w:space="0" w:color="auto"/>
            </w:tcBorders>
          </w:tcPr>
          <w:p w:rsidR="000B7776" w:rsidRPr="00664F32" w:rsidRDefault="000B7776" w:rsidP="000B7776">
            <w:pPr>
              <w:autoSpaceDE w:val="0"/>
              <w:autoSpaceDN w:val="0"/>
              <w:adjustRightInd w:val="0"/>
              <w:jc w:val="both"/>
              <w:rPr>
                <w:rFonts w:asciiTheme="majorBidi" w:eastAsia="Calibri" w:hAnsiTheme="majorBidi" w:cstheme="majorBidi"/>
                <w:sz w:val="16"/>
                <w:szCs w:val="16"/>
              </w:rPr>
            </w:pPr>
          </w:p>
        </w:tc>
        <w:tc>
          <w:tcPr>
            <w:tcW w:w="4000" w:type="pct"/>
            <w:gridSpan w:val="9"/>
            <w:tcBorders>
              <w:top w:val="single" w:sz="12" w:space="0" w:color="auto"/>
              <w:bottom w:val="single" w:sz="6" w:space="0" w:color="auto"/>
            </w:tcBorders>
            <w:vAlign w:val="center"/>
          </w:tcPr>
          <w:p w:rsidR="000B7776" w:rsidRPr="00664F32" w:rsidRDefault="000B7776" w:rsidP="000B7776">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 xml:space="preserve">From market </w:t>
            </w:r>
            <m:oMath>
              <m:r>
                <w:rPr>
                  <w:rFonts w:ascii="Cambria Math" w:eastAsia="Calibri" w:hAnsi="Cambria Math" w:cstheme="majorBidi"/>
                  <w:sz w:val="16"/>
                  <w:szCs w:val="16"/>
                </w:rPr>
                <m:t>j</m:t>
              </m:r>
            </m:oMath>
          </w:p>
        </w:tc>
      </w:tr>
      <w:tr w:rsidR="00664F32" w:rsidRPr="00664F32" w:rsidTr="00E37DCE">
        <w:trPr>
          <w:trHeight w:val="51"/>
        </w:trPr>
        <w:tc>
          <w:tcPr>
            <w:tcW w:w="1000" w:type="pct"/>
            <w:tcBorders>
              <w:bottom w:val="single" w:sz="6" w:space="0" w:color="auto"/>
            </w:tcBorders>
          </w:tcPr>
          <w:p w:rsidR="00CF2F0E" w:rsidRPr="00664F32" w:rsidRDefault="000B7776" w:rsidP="00664F32">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 xml:space="preserve">To market </w:t>
            </w:r>
            <m:oMath>
              <m:r>
                <w:rPr>
                  <w:rFonts w:ascii="Cambria Math" w:eastAsia="Calibri" w:hAnsi="Cambria Math" w:cstheme="majorBidi"/>
                  <w:sz w:val="16"/>
                  <w:szCs w:val="16"/>
                </w:rPr>
                <m:t>i</m:t>
              </m:r>
            </m:oMath>
          </w:p>
        </w:tc>
        <w:tc>
          <w:tcPr>
            <w:tcW w:w="430" w:type="pct"/>
            <w:tcBorders>
              <w:top w:val="single" w:sz="6" w:space="0" w:color="auto"/>
              <w:bottom w:val="single" w:sz="6" w:space="0" w:color="auto"/>
            </w:tcBorders>
            <w:vAlign w:val="center"/>
          </w:tcPr>
          <w:p w:rsidR="00CF2F0E" w:rsidRPr="00664F32" w:rsidRDefault="00CF2F0E" w:rsidP="00664F32">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Crude Oil</w:t>
            </w:r>
          </w:p>
        </w:tc>
        <w:tc>
          <w:tcPr>
            <w:tcW w:w="423" w:type="pct"/>
            <w:tcBorders>
              <w:top w:val="single" w:sz="6" w:space="0" w:color="auto"/>
              <w:bottom w:val="single" w:sz="6" w:space="0" w:color="auto"/>
            </w:tcBorders>
            <w:vAlign w:val="center"/>
          </w:tcPr>
          <w:p w:rsidR="00CF2F0E" w:rsidRPr="00664F32" w:rsidRDefault="00CF2F0E" w:rsidP="00664F32">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US-Stock</w:t>
            </w:r>
          </w:p>
        </w:tc>
        <w:tc>
          <w:tcPr>
            <w:tcW w:w="498" w:type="pct"/>
            <w:tcBorders>
              <w:top w:val="single" w:sz="6" w:space="0" w:color="auto"/>
              <w:bottom w:val="single" w:sz="6" w:space="0" w:color="auto"/>
            </w:tcBorders>
            <w:vAlign w:val="center"/>
          </w:tcPr>
          <w:p w:rsidR="00CF2F0E" w:rsidRPr="00664F32" w:rsidRDefault="00CF2F0E" w:rsidP="00664F32">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Euro/Dollar</w:t>
            </w:r>
          </w:p>
        </w:tc>
        <w:tc>
          <w:tcPr>
            <w:tcW w:w="272" w:type="pct"/>
            <w:tcBorders>
              <w:top w:val="single" w:sz="6" w:space="0" w:color="auto"/>
              <w:bottom w:val="single" w:sz="6" w:space="0" w:color="auto"/>
            </w:tcBorders>
            <w:vAlign w:val="center"/>
          </w:tcPr>
          <w:p w:rsidR="00CF2F0E" w:rsidRPr="00664F32" w:rsidRDefault="00CF2F0E" w:rsidP="00664F32">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Gold</w:t>
            </w:r>
          </w:p>
        </w:tc>
        <w:tc>
          <w:tcPr>
            <w:tcW w:w="304" w:type="pct"/>
            <w:tcBorders>
              <w:top w:val="single" w:sz="6" w:space="0" w:color="auto"/>
              <w:bottom w:val="single" w:sz="6" w:space="0" w:color="auto"/>
            </w:tcBorders>
            <w:vAlign w:val="center"/>
          </w:tcPr>
          <w:p w:rsidR="00CF2F0E" w:rsidRPr="00664F32" w:rsidRDefault="00CF2F0E" w:rsidP="00664F32">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Silver</w:t>
            </w:r>
          </w:p>
        </w:tc>
        <w:tc>
          <w:tcPr>
            <w:tcW w:w="322" w:type="pct"/>
            <w:tcBorders>
              <w:top w:val="single" w:sz="6" w:space="0" w:color="auto"/>
              <w:bottom w:val="single" w:sz="6" w:space="0" w:color="auto"/>
            </w:tcBorders>
            <w:vAlign w:val="center"/>
          </w:tcPr>
          <w:p w:rsidR="00CF2F0E" w:rsidRPr="00664F32" w:rsidRDefault="00CF2F0E" w:rsidP="00664F32">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Wheat</w:t>
            </w:r>
          </w:p>
        </w:tc>
        <w:tc>
          <w:tcPr>
            <w:tcW w:w="272" w:type="pct"/>
            <w:tcBorders>
              <w:top w:val="single" w:sz="6" w:space="0" w:color="auto"/>
              <w:bottom w:val="single" w:sz="6" w:space="0" w:color="auto"/>
            </w:tcBorders>
            <w:vAlign w:val="center"/>
          </w:tcPr>
          <w:p w:rsidR="00CF2F0E" w:rsidRPr="00664F32" w:rsidRDefault="00CF2F0E" w:rsidP="00664F32">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Corn</w:t>
            </w:r>
          </w:p>
        </w:tc>
        <w:tc>
          <w:tcPr>
            <w:tcW w:w="421" w:type="pct"/>
            <w:tcBorders>
              <w:top w:val="single" w:sz="6" w:space="0" w:color="auto"/>
              <w:bottom w:val="single" w:sz="6" w:space="0" w:color="auto"/>
            </w:tcBorders>
            <w:vAlign w:val="center"/>
          </w:tcPr>
          <w:p w:rsidR="00CF2F0E" w:rsidRPr="00664F32" w:rsidRDefault="00CF2F0E" w:rsidP="00664F32">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Soybean</w:t>
            </w:r>
            <w:r w:rsidR="00BB681A">
              <w:rPr>
                <w:rFonts w:asciiTheme="majorBidi" w:hAnsiTheme="majorBidi" w:cstheme="majorBidi"/>
                <w:color w:val="000000"/>
                <w:sz w:val="16"/>
                <w:szCs w:val="16"/>
              </w:rPr>
              <w:t>s</w:t>
            </w:r>
          </w:p>
        </w:tc>
        <w:tc>
          <w:tcPr>
            <w:tcW w:w="1057" w:type="pct"/>
            <w:tcBorders>
              <w:top w:val="single" w:sz="6" w:space="0" w:color="auto"/>
              <w:bottom w:val="single" w:sz="6" w:space="0" w:color="auto"/>
            </w:tcBorders>
          </w:tcPr>
          <w:p w:rsidR="00CF2F0E" w:rsidRPr="00664F32" w:rsidRDefault="000B7776" w:rsidP="00D9741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Contribution f</w:t>
            </w:r>
            <w:r w:rsidR="00CF2F0E" w:rsidRPr="00664F32">
              <w:rPr>
                <w:rFonts w:asciiTheme="majorBidi" w:eastAsia="Calibri" w:hAnsiTheme="majorBidi" w:cstheme="majorBidi"/>
                <w:sz w:val="16"/>
                <w:szCs w:val="16"/>
              </w:rPr>
              <w:t xml:space="preserve">rom </w:t>
            </w:r>
            <w:r w:rsidRPr="00664F32">
              <w:rPr>
                <w:rFonts w:asciiTheme="majorBidi" w:eastAsia="Calibri" w:hAnsiTheme="majorBidi" w:cstheme="majorBidi"/>
                <w:sz w:val="16"/>
                <w:szCs w:val="16"/>
              </w:rPr>
              <w:t>o</w:t>
            </w:r>
            <w:r w:rsidR="00CF2F0E" w:rsidRPr="00664F32">
              <w:rPr>
                <w:rFonts w:asciiTheme="majorBidi" w:eastAsia="Calibri" w:hAnsiTheme="majorBidi" w:cstheme="majorBidi"/>
                <w:sz w:val="16"/>
                <w:szCs w:val="16"/>
              </w:rPr>
              <w:t>thers</w:t>
            </w:r>
          </w:p>
        </w:tc>
      </w:tr>
      <w:tr w:rsidR="00664F32" w:rsidRPr="00664F32" w:rsidTr="00E37DCE">
        <w:tc>
          <w:tcPr>
            <w:tcW w:w="1000" w:type="pct"/>
            <w:tcBorders>
              <w:top w:val="single" w:sz="6" w:space="0" w:color="auto"/>
            </w:tcBorders>
          </w:tcPr>
          <w:p w:rsidR="00CF2F0E" w:rsidRPr="00664F32" w:rsidRDefault="00CF2F0E" w:rsidP="00664F32">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Crude Oil</w:t>
            </w:r>
          </w:p>
        </w:tc>
        <w:tc>
          <w:tcPr>
            <w:tcW w:w="430" w:type="pct"/>
            <w:tcBorders>
              <w:top w:val="single" w:sz="6" w:space="0" w:color="auto"/>
            </w:tcBorders>
          </w:tcPr>
          <w:p w:rsidR="00CF2F0E" w:rsidRPr="00664F32" w:rsidRDefault="00403D2B"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98.7</w:t>
            </w:r>
          </w:p>
        </w:tc>
        <w:tc>
          <w:tcPr>
            <w:tcW w:w="423" w:type="pct"/>
            <w:tcBorders>
              <w:top w:val="single" w:sz="6" w:space="0" w:color="auto"/>
            </w:tcBorders>
          </w:tcPr>
          <w:p w:rsidR="00CF2F0E" w:rsidRPr="00664F32" w:rsidRDefault="00403D2B"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0.3</w:t>
            </w:r>
          </w:p>
        </w:tc>
        <w:tc>
          <w:tcPr>
            <w:tcW w:w="498" w:type="pct"/>
            <w:tcBorders>
              <w:top w:val="single" w:sz="6" w:space="0" w:color="auto"/>
            </w:tcBorders>
          </w:tcPr>
          <w:p w:rsidR="00CF2F0E" w:rsidRPr="00664F32" w:rsidRDefault="007E6055"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0.0</w:t>
            </w:r>
          </w:p>
        </w:tc>
        <w:tc>
          <w:tcPr>
            <w:tcW w:w="272" w:type="pct"/>
            <w:tcBorders>
              <w:top w:val="single" w:sz="6" w:space="0" w:color="auto"/>
            </w:tcBorders>
          </w:tcPr>
          <w:p w:rsidR="00CF2F0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0.1</w:t>
            </w:r>
          </w:p>
        </w:tc>
        <w:tc>
          <w:tcPr>
            <w:tcW w:w="304" w:type="pct"/>
            <w:tcBorders>
              <w:top w:val="single" w:sz="6" w:space="0" w:color="auto"/>
            </w:tcBorders>
          </w:tcPr>
          <w:p w:rsidR="00CF2F0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0.2</w:t>
            </w:r>
          </w:p>
        </w:tc>
        <w:tc>
          <w:tcPr>
            <w:tcW w:w="322" w:type="pct"/>
            <w:tcBorders>
              <w:top w:val="single" w:sz="6" w:space="0" w:color="auto"/>
            </w:tcBorders>
          </w:tcPr>
          <w:p w:rsidR="00CF2F0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0.0</w:t>
            </w:r>
          </w:p>
        </w:tc>
        <w:tc>
          <w:tcPr>
            <w:tcW w:w="272" w:type="pct"/>
            <w:tcBorders>
              <w:top w:val="single" w:sz="6" w:space="0" w:color="auto"/>
            </w:tcBorders>
          </w:tcPr>
          <w:p w:rsidR="00CF2F0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0.1</w:t>
            </w:r>
          </w:p>
        </w:tc>
        <w:tc>
          <w:tcPr>
            <w:tcW w:w="421" w:type="pct"/>
            <w:tcBorders>
              <w:top w:val="single" w:sz="6" w:space="0" w:color="auto"/>
            </w:tcBorders>
          </w:tcPr>
          <w:p w:rsidR="00CF2F0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0.6</w:t>
            </w:r>
          </w:p>
        </w:tc>
        <w:tc>
          <w:tcPr>
            <w:tcW w:w="1057" w:type="pct"/>
            <w:tcBorders>
              <w:top w:val="single" w:sz="6" w:space="0" w:color="auto"/>
            </w:tcBorders>
          </w:tcPr>
          <w:p w:rsidR="00CF2F0E" w:rsidRPr="00664F32" w:rsidRDefault="00A40D1E" w:rsidP="00D9741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1</w:t>
            </w:r>
          </w:p>
        </w:tc>
      </w:tr>
      <w:tr w:rsidR="00664F32" w:rsidRPr="00664F32" w:rsidTr="00E37DCE">
        <w:tc>
          <w:tcPr>
            <w:tcW w:w="1000" w:type="pct"/>
          </w:tcPr>
          <w:p w:rsidR="00CF2F0E" w:rsidRPr="00664F32" w:rsidRDefault="00CF2F0E" w:rsidP="00664F32">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US-Stock</w:t>
            </w:r>
            <w:r w:rsidR="00B414AC">
              <w:rPr>
                <w:rFonts w:asciiTheme="majorBidi" w:eastAsia="Calibri" w:hAnsiTheme="majorBidi" w:cstheme="majorBidi"/>
                <w:sz w:val="16"/>
                <w:szCs w:val="16"/>
              </w:rPr>
              <w:t xml:space="preserve"> </w:t>
            </w:r>
          </w:p>
        </w:tc>
        <w:tc>
          <w:tcPr>
            <w:tcW w:w="430" w:type="pct"/>
          </w:tcPr>
          <w:p w:rsidR="00CF2F0E" w:rsidRPr="00664F32" w:rsidRDefault="00403D2B"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20.4</w:t>
            </w:r>
          </w:p>
        </w:tc>
        <w:tc>
          <w:tcPr>
            <w:tcW w:w="423" w:type="pct"/>
          </w:tcPr>
          <w:p w:rsidR="00CF2F0E" w:rsidRPr="00664F32" w:rsidRDefault="00403D2B"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75.5</w:t>
            </w:r>
          </w:p>
        </w:tc>
        <w:tc>
          <w:tcPr>
            <w:tcW w:w="498" w:type="pct"/>
          </w:tcPr>
          <w:p w:rsidR="00CF2F0E" w:rsidRPr="00664F32" w:rsidRDefault="007E6055"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1.1</w:t>
            </w:r>
          </w:p>
        </w:tc>
        <w:tc>
          <w:tcPr>
            <w:tcW w:w="272" w:type="pct"/>
          </w:tcPr>
          <w:p w:rsidR="00CF2F0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0.4</w:t>
            </w:r>
          </w:p>
        </w:tc>
        <w:tc>
          <w:tcPr>
            <w:tcW w:w="304" w:type="pct"/>
          </w:tcPr>
          <w:p w:rsidR="00CF2F0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1.3</w:t>
            </w:r>
          </w:p>
        </w:tc>
        <w:tc>
          <w:tcPr>
            <w:tcW w:w="322" w:type="pct"/>
          </w:tcPr>
          <w:p w:rsidR="00CF2F0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0.1</w:t>
            </w:r>
          </w:p>
        </w:tc>
        <w:tc>
          <w:tcPr>
            <w:tcW w:w="272" w:type="pct"/>
          </w:tcPr>
          <w:p w:rsidR="00CF2F0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0.1</w:t>
            </w:r>
          </w:p>
        </w:tc>
        <w:tc>
          <w:tcPr>
            <w:tcW w:w="421" w:type="pct"/>
          </w:tcPr>
          <w:p w:rsidR="00CF2F0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0.9</w:t>
            </w:r>
          </w:p>
        </w:tc>
        <w:tc>
          <w:tcPr>
            <w:tcW w:w="1057" w:type="pct"/>
          </w:tcPr>
          <w:p w:rsidR="00CF2F0E" w:rsidRPr="00664F32" w:rsidRDefault="00A40D1E" w:rsidP="00D9741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24</w:t>
            </w:r>
          </w:p>
        </w:tc>
      </w:tr>
      <w:tr w:rsidR="00664F32" w:rsidRPr="00664F32" w:rsidTr="00E37DCE">
        <w:tc>
          <w:tcPr>
            <w:tcW w:w="1000" w:type="pct"/>
          </w:tcPr>
          <w:p w:rsidR="00A40D1E" w:rsidRPr="00664F32" w:rsidRDefault="00A40D1E" w:rsidP="00664F32">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Euro/Dollar</w:t>
            </w:r>
            <w:r w:rsidR="00B414AC">
              <w:rPr>
                <w:rFonts w:asciiTheme="majorBidi" w:eastAsia="Calibri" w:hAnsiTheme="majorBidi" w:cstheme="majorBidi"/>
                <w:sz w:val="16"/>
                <w:szCs w:val="16"/>
              </w:rPr>
              <w:t xml:space="preserve"> </w:t>
            </w:r>
          </w:p>
        </w:tc>
        <w:tc>
          <w:tcPr>
            <w:tcW w:w="430"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8.9</w:t>
            </w:r>
          </w:p>
        </w:tc>
        <w:tc>
          <w:tcPr>
            <w:tcW w:w="423"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1.5</w:t>
            </w:r>
          </w:p>
        </w:tc>
        <w:tc>
          <w:tcPr>
            <w:tcW w:w="498"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88.8</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0.0</w:t>
            </w:r>
          </w:p>
        </w:tc>
        <w:tc>
          <w:tcPr>
            <w:tcW w:w="304"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0.5</w:t>
            </w:r>
          </w:p>
        </w:tc>
        <w:tc>
          <w:tcPr>
            <w:tcW w:w="32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0.1</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0.0</w:t>
            </w:r>
          </w:p>
        </w:tc>
        <w:tc>
          <w:tcPr>
            <w:tcW w:w="421"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0.1</w:t>
            </w:r>
          </w:p>
        </w:tc>
        <w:tc>
          <w:tcPr>
            <w:tcW w:w="1057" w:type="pct"/>
          </w:tcPr>
          <w:p w:rsidR="00A40D1E" w:rsidRPr="00664F32" w:rsidRDefault="00A40D1E" w:rsidP="00D9741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11</w:t>
            </w:r>
          </w:p>
        </w:tc>
      </w:tr>
      <w:tr w:rsidR="00664F32" w:rsidRPr="00664F32" w:rsidTr="00E37DCE">
        <w:tc>
          <w:tcPr>
            <w:tcW w:w="1000" w:type="pct"/>
          </w:tcPr>
          <w:p w:rsidR="00A40D1E" w:rsidRPr="00664F32" w:rsidRDefault="00A40D1E" w:rsidP="00664F32">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Gold</w:t>
            </w:r>
          </w:p>
        </w:tc>
        <w:tc>
          <w:tcPr>
            <w:tcW w:w="430"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11.1</w:t>
            </w:r>
          </w:p>
        </w:tc>
        <w:tc>
          <w:tcPr>
            <w:tcW w:w="423"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1.0</w:t>
            </w:r>
          </w:p>
        </w:tc>
        <w:tc>
          <w:tcPr>
            <w:tcW w:w="498"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5.2</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78.5</w:t>
            </w:r>
          </w:p>
        </w:tc>
        <w:tc>
          <w:tcPr>
            <w:tcW w:w="304"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0.1</w:t>
            </w:r>
          </w:p>
        </w:tc>
        <w:tc>
          <w:tcPr>
            <w:tcW w:w="32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0.4</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3.5</w:t>
            </w:r>
          </w:p>
        </w:tc>
        <w:tc>
          <w:tcPr>
            <w:tcW w:w="421"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0.2</w:t>
            </w:r>
          </w:p>
        </w:tc>
        <w:tc>
          <w:tcPr>
            <w:tcW w:w="1057" w:type="pct"/>
          </w:tcPr>
          <w:p w:rsidR="00A40D1E" w:rsidRPr="00664F32" w:rsidRDefault="00A40D1E" w:rsidP="00D9741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22</w:t>
            </w:r>
          </w:p>
        </w:tc>
      </w:tr>
      <w:tr w:rsidR="00664F32" w:rsidRPr="00664F32" w:rsidTr="00E37DCE">
        <w:tc>
          <w:tcPr>
            <w:tcW w:w="1000" w:type="pct"/>
          </w:tcPr>
          <w:p w:rsidR="00A40D1E" w:rsidRPr="00664F32" w:rsidRDefault="00A40D1E" w:rsidP="00664F32">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Silver</w:t>
            </w:r>
          </w:p>
        </w:tc>
        <w:tc>
          <w:tcPr>
            <w:tcW w:w="430"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11.0</w:t>
            </w:r>
          </w:p>
        </w:tc>
        <w:tc>
          <w:tcPr>
            <w:tcW w:w="423"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0.6</w:t>
            </w:r>
          </w:p>
        </w:tc>
        <w:tc>
          <w:tcPr>
            <w:tcW w:w="498"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4.0</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59.0</w:t>
            </w:r>
          </w:p>
        </w:tc>
        <w:tc>
          <w:tcPr>
            <w:tcW w:w="304"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22.1</w:t>
            </w:r>
          </w:p>
        </w:tc>
        <w:tc>
          <w:tcPr>
            <w:tcW w:w="32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0.5</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2.8</w:t>
            </w:r>
          </w:p>
        </w:tc>
        <w:tc>
          <w:tcPr>
            <w:tcW w:w="421"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0.0</w:t>
            </w:r>
          </w:p>
        </w:tc>
        <w:tc>
          <w:tcPr>
            <w:tcW w:w="1057" w:type="pct"/>
          </w:tcPr>
          <w:p w:rsidR="00A40D1E" w:rsidRPr="00664F32" w:rsidRDefault="00A40D1E" w:rsidP="00D9741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78</w:t>
            </w:r>
          </w:p>
        </w:tc>
      </w:tr>
      <w:tr w:rsidR="00664F32" w:rsidRPr="00664F32" w:rsidTr="00E37DCE">
        <w:tc>
          <w:tcPr>
            <w:tcW w:w="1000" w:type="pct"/>
          </w:tcPr>
          <w:p w:rsidR="00A40D1E" w:rsidRPr="00664F32" w:rsidRDefault="00A40D1E" w:rsidP="00664F32">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Wheat</w:t>
            </w:r>
          </w:p>
        </w:tc>
        <w:tc>
          <w:tcPr>
            <w:tcW w:w="430"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1.6</w:t>
            </w:r>
          </w:p>
        </w:tc>
        <w:tc>
          <w:tcPr>
            <w:tcW w:w="423"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3.6</w:t>
            </w:r>
          </w:p>
        </w:tc>
        <w:tc>
          <w:tcPr>
            <w:tcW w:w="498"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0.5</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0.4</w:t>
            </w:r>
          </w:p>
        </w:tc>
        <w:tc>
          <w:tcPr>
            <w:tcW w:w="304"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2.8</w:t>
            </w:r>
          </w:p>
        </w:tc>
        <w:tc>
          <w:tcPr>
            <w:tcW w:w="32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88.4</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1.0</w:t>
            </w:r>
          </w:p>
        </w:tc>
        <w:tc>
          <w:tcPr>
            <w:tcW w:w="421"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1.7</w:t>
            </w:r>
          </w:p>
        </w:tc>
        <w:tc>
          <w:tcPr>
            <w:tcW w:w="1057" w:type="pct"/>
          </w:tcPr>
          <w:p w:rsidR="00A40D1E" w:rsidRPr="00664F32" w:rsidRDefault="00A40D1E" w:rsidP="00D9741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12</w:t>
            </w:r>
          </w:p>
        </w:tc>
      </w:tr>
      <w:tr w:rsidR="00664F32" w:rsidRPr="00664F32" w:rsidTr="00E37DCE">
        <w:trPr>
          <w:trHeight w:val="56"/>
        </w:trPr>
        <w:tc>
          <w:tcPr>
            <w:tcW w:w="1000" w:type="pct"/>
          </w:tcPr>
          <w:p w:rsidR="00A40D1E" w:rsidRPr="00664F32" w:rsidRDefault="00A40D1E" w:rsidP="00664F32">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Corn</w:t>
            </w:r>
          </w:p>
        </w:tc>
        <w:tc>
          <w:tcPr>
            <w:tcW w:w="430"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1.0</w:t>
            </w:r>
          </w:p>
        </w:tc>
        <w:tc>
          <w:tcPr>
            <w:tcW w:w="423"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1.2</w:t>
            </w:r>
          </w:p>
        </w:tc>
        <w:tc>
          <w:tcPr>
            <w:tcW w:w="498"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0.2</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2.0</w:t>
            </w:r>
          </w:p>
        </w:tc>
        <w:tc>
          <w:tcPr>
            <w:tcW w:w="304"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0.3</w:t>
            </w:r>
          </w:p>
        </w:tc>
        <w:tc>
          <w:tcPr>
            <w:tcW w:w="32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31.6</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60.9</w:t>
            </w:r>
          </w:p>
        </w:tc>
        <w:tc>
          <w:tcPr>
            <w:tcW w:w="421"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2.7</w:t>
            </w:r>
          </w:p>
        </w:tc>
        <w:tc>
          <w:tcPr>
            <w:tcW w:w="1057" w:type="pct"/>
          </w:tcPr>
          <w:p w:rsidR="00A40D1E" w:rsidRPr="00664F32" w:rsidRDefault="00A40D1E" w:rsidP="00D9741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39</w:t>
            </w:r>
          </w:p>
        </w:tc>
      </w:tr>
      <w:tr w:rsidR="00664F32" w:rsidRPr="00664F32" w:rsidTr="00E37DCE">
        <w:trPr>
          <w:trHeight w:val="112"/>
        </w:trPr>
        <w:tc>
          <w:tcPr>
            <w:tcW w:w="1000" w:type="pct"/>
          </w:tcPr>
          <w:p w:rsidR="00A40D1E" w:rsidRPr="00664F32" w:rsidRDefault="00A40D1E" w:rsidP="00664F32">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Soybean</w:t>
            </w:r>
            <w:r w:rsidR="00BB681A">
              <w:rPr>
                <w:rFonts w:asciiTheme="majorBidi" w:eastAsia="Calibri" w:hAnsiTheme="majorBidi" w:cstheme="majorBidi"/>
                <w:sz w:val="16"/>
                <w:szCs w:val="16"/>
              </w:rPr>
              <w:t>s</w:t>
            </w:r>
          </w:p>
        </w:tc>
        <w:tc>
          <w:tcPr>
            <w:tcW w:w="430"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2.0</w:t>
            </w:r>
          </w:p>
        </w:tc>
        <w:tc>
          <w:tcPr>
            <w:tcW w:w="423"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0.2</w:t>
            </w:r>
          </w:p>
        </w:tc>
        <w:tc>
          <w:tcPr>
            <w:tcW w:w="498"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1.3</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1.1</w:t>
            </w:r>
          </w:p>
        </w:tc>
        <w:tc>
          <w:tcPr>
            <w:tcW w:w="304"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2.8</w:t>
            </w:r>
          </w:p>
        </w:tc>
        <w:tc>
          <w:tcPr>
            <w:tcW w:w="32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10.4</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15.1</w:t>
            </w:r>
          </w:p>
        </w:tc>
        <w:tc>
          <w:tcPr>
            <w:tcW w:w="421"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67.2</w:t>
            </w:r>
          </w:p>
        </w:tc>
        <w:tc>
          <w:tcPr>
            <w:tcW w:w="1057" w:type="pct"/>
          </w:tcPr>
          <w:p w:rsidR="00A40D1E" w:rsidRPr="00664F32" w:rsidRDefault="00A40D1E" w:rsidP="00D9741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33</w:t>
            </w:r>
          </w:p>
        </w:tc>
      </w:tr>
      <w:tr w:rsidR="00664F32" w:rsidRPr="00664F32" w:rsidTr="00E37DCE">
        <w:trPr>
          <w:trHeight w:val="172"/>
        </w:trPr>
        <w:tc>
          <w:tcPr>
            <w:tcW w:w="1000" w:type="pct"/>
          </w:tcPr>
          <w:p w:rsidR="00A40D1E" w:rsidRPr="00664F32" w:rsidRDefault="00A40D1E" w:rsidP="00664F32">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Contribution to others</w:t>
            </w:r>
          </w:p>
        </w:tc>
        <w:tc>
          <w:tcPr>
            <w:tcW w:w="430"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56</w:t>
            </w:r>
          </w:p>
        </w:tc>
        <w:tc>
          <w:tcPr>
            <w:tcW w:w="423"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8</w:t>
            </w:r>
          </w:p>
        </w:tc>
        <w:tc>
          <w:tcPr>
            <w:tcW w:w="498"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12</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63</w:t>
            </w:r>
          </w:p>
        </w:tc>
        <w:tc>
          <w:tcPr>
            <w:tcW w:w="304"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8</w:t>
            </w:r>
          </w:p>
        </w:tc>
        <w:tc>
          <w:tcPr>
            <w:tcW w:w="32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43</w:t>
            </w:r>
          </w:p>
        </w:tc>
        <w:tc>
          <w:tcPr>
            <w:tcW w:w="272"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22</w:t>
            </w:r>
          </w:p>
        </w:tc>
        <w:tc>
          <w:tcPr>
            <w:tcW w:w="421" w:type="pct"/>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6</w:t>
            </w:r>
          </w:p>
        </w:tc>
        <w:tc>
          <w:tcPr>
            <w:tcW w:w="1057" w:type="pct"/>
          </w:tcPr>
          <w:p w:rsidR="00A40D1E" w:rsidRPr="00664F32" w:rsidRDefault="00A40D1E" w:rsidP="00D9741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220</w:t>
            </w:r>
          </w:p>
        </w:tc>
      </w:tr>
      <w:tr w:rsidR="00664F32" w:rsidRPr="00664F32" w:rsidTr="00E37DCE">
        <w:trPr>
          <w:trHeight w:val="51"/>
        </w:trPr>
        <w:tc>
          <w:tcPr>
            <w:tcW w:w="1000" w:type="pct"/>
            <w:tcBorders>
              <w:bottom w:val="single" w:sz="12" w:space="0" w:color="auto"/>
            </w:tcBorders>
          </w:tcPr>
          <w:p w:rsidR="00A40D1E" w:rsidRPr="00664F32" w:rsidRDefault="00A40D1E" w:rsidP="00664F32">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Contribution including own</w:t>
            </w:r>
          </w:p>
        </w:tc>
        <w:tc>
          <w:tcPr>
            <w:tcW w:w="430" w:type="pct"/>
            <w:tcBorders>
              <w:bottom w:val="single" w:sz="12" w:space="0" w:color="auto"/>
            </w:tcBorders>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155</w:t>
            </w:r>
          </w:p>
        </w:tc>
        <w:tc>
          <w:tcPr>
            <w:tcW w:w="423" w:type="pct"/>
            <w:tcBorders>
              <w:bottom w:val="single" w:sz="12" w:space="0" w:color="auto"/>
            </w:tcBorders>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84</w:t>
            </w:r>
          </w:p>
        </w:tc>
        <w:tc>
          <w:tcPr>
            <w:tcW w:w="498" w:type="pct"/>
            <w:tcBorders>
              <w:bottom w:val="single" w:sz="12" w:space="0" w:color="auto"/>
            </w:tcBorders>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101</w:t>
            </w:r>
          </w:p>
        </w:tc>
        <w:tc>
          <w:tcPr>
            <w:tcW w:w="272" w:type="pct"/>
            <w:tcBorders>
              <w:bottom w:val="single" w:sz="12" w:space="0" w:color="auto"/>
            </w:tcBorders>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141</w:t>
            </w:r>
          </w:p>
        </w:tc>
        <w:tc>
          <w:tcPr>
            <w:tcW w:w="304" w:type="pct"/>
            <w:tcBorders>
              <w:bottom w:val="single" w:sz="12" w:space="0" w:color="auto"/>
            </w:tcBorders>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30</w:t>
            </w:r>
          </w:p>
        </w:tc>
        <w:tc>
          <w:tcPr>
            <w:tcW w:w="322" w:type="pct"/>
            <w:tcBorders>
              <w:bottom w:val="single" w:sz="12" w:space="0" w:color="auto"/>
            </w:tcBorders>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132</w:t>
            </w:r>
          </w:p>
        </w:tc>
        <w:tc>
          <w:tcPr>
            <w:tcW w:w="272" w:type="pct"/>
            <w:tcBorders>
              <w:bottom w:val="single" w:sz="12" w:space="0" w:color="auto"/>
            </w:tcBorders>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83</w:t>
            </w:r>
          </w:p>
        </w:tc>
        <w:tc>
          <w:tcPr>
            <w:tcW w:w="421" w:type="pct"/>
            <w:tcBorders>
              <w:bottom w:val="single" w:sz="12" w:space="0" w:color="auto"/>
            </w:tcBorders>
          </w:tcPr>
          <w:p w:rsidR="00A40D1E" w:rsidRPr="00664F32" w:rsidRDefault="00A40D1E" w:rsidP="00664F32">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73</w:t>
            </w:r>
          </w:p>
        </w:tc>
        <w:tc>
          <w:tcPr>
            <w:tcW w:w="1057" w:type="pct"/>
            <w:tcBorders>
              <w:bottom w:val="single" w:sz="12" w:space="0" w:color="auto"/>
            </w:tcBorders>
          </w:tcPr>
          <w:p w:rsidR="00A40D1E" w:rsidRPr="00664F32" w:rsidRDefault="00A40D1E" w:rsidP="00D9741A">
            <w:pPr>
              <w:autoSpaceDE w:val="0"/>
              <w:autoSpaceDN w:val="0"/>
              <w:adjustRightInd w:val="0"/>
              <w:jc w:val="right"/>
              <w:rPr>
                <w:rFonts w:asciiTheme="majorBidi" w:eastAsia="Calibri" w:hAnsiTheme="majorBidi" w:cstheme="majorBidi"/>
                <w:sz w:val="16"/>
                <w:szCs w:val="16"/>
              </w:rPr>
            </w:pPr>
            <w:r w:rsidRPr="00664F32">
              <w:rPr>
                <w:rFonts w:asciiTheme="majorBidi" w:eastAsia="Calibri" w:hAnsiTheme="majorBidi" w:cstheme="majorBidi"/>
                <w:sz w:val="16"/>
                <w:szCs w:val="16"/>
              </w:rPr>
              <w:t>Total spillover Index =27.5%</w:t>
            </w:r>
          </w:p>
        </w:tc>
      </w:tr>
    </w:tbl>
    <w:p w:rsidR="00664F32" w:rsidRDefault="00664F32" w:rsidP="0058714D">
      <w:pPr>
        <w:jc w:val="both"/>
        <w:rPr>
          <w:rFonts w:ascii="Times New Roman" w:eastAsia="Calibri" w:hAnsi="Times New Roman" w:cs="Times New Roman"/>
          <w:sz w:val="16"/>
          <w:szCs w:val="16"/>
          <w:rtl/>
        </w:rPr>
      </w:pPr>
      <w:r w:rsidRPr="00664F32">
        <w:rPr>
          <w:rFonts w:ascii="Times New Roman" w:eastAsia="Calibri" w:hAnsi="Times New Roman" w:cs="Times New Roman"/>
          <w:i/>
          <w:iCs/>
          <w:sz w:val="16"/>
          <w:szCs w:val="16"/>
        </w:rPr>
        <w:t>Note</w:t>
      </w:r>
      <w:r w:rsidR="002B1CE3">
        <w:rPr>
          <w:rFonts w:ascii="Times New Roman" w:eastAsia="Calibri" w:hAnsi="Times New Roman" w:cs="Times New Roman"/>
          <w:i/>
          <w:iCs/>
          <w:sz w:val="16"/>
          <w:szCs w:val="16"/>
        </w:rPr>
        <w:t>s</w:t>
      </w:r>
      <w:r w:rsidRPr="00664F32">
        <w:rPr>
          <w:rFonts w:ascii="Times New Roman" w:eastAsia="Calibri" w:hAnsi="Times New Roman" w:cs="Times New Roman"/>
          <w:i/>
          <w:iCs/>
          <w:sz w:val="16"/>
          <w:szCs w:val="16"/>
        </w:rPr>
        <w:t>:</w:t>
      </w:r>
      <w:r w:rsidRPr="00664F32">
        <w:rPr>
          <w:rFonts w:ascii="Times New Roman" w:eastAsia="Calibri" w:hAnsi="Times New Roman" w:cs="Times New Roman"/>
          <w:sz w:val="16"/>
          <w:szCs w:val="16"/>
        </w:rPr>
        <w:t xml:space="preserve"> The underlying variance decomposition is based on a daily VAR system with two lags. The </w:t>
      </w:r>
      <m:oMath>
        <m:d>
          <m:dPr>
            <m:ctrlPr>
              <w:rPr>
                <w:rFonts w:ascii="Cambria Math" w:eastAsia="Calibri" w:hAnsi="Cambria Math" w:cs="Times New Roman"/>
                <w:i/>
                <w:sz w:val="16"/>
                <w:szCs w:val="16"/>
              </w:rPr>
            </m:ctrlPr>
          </m:dPr>
          <m:e>
            <m:r>
              <w:rPr>
                <w:rFonts w:ascii="Cambria Math" w:eastAsia="Calibri" w:hAnsi="Cambria Math" w:cs="Times New Roman"/>
                <w:sz w:val="16"/>
                <w:szCs w:val="16"/>
              </w:rPr>
              <m:t>i,j</m:t>
            </m:r>
          </m:e>
        </m:d>
      </m:oMath>
      <w:r w:rsidRPr="00664F32">
        <w:rPr>
          <w:rFonts w:ascii="Times New Roman" w:eastAsia="Calibri" w:hAnsi="Times New Roman" w:cs="Times New Roman"/>
          <w:sz w:val="16"/>
          <w:szCs w:val="16"/>
        </w:rPr>
        <w:t xml:space="preserve">  value is the estimated contribution to the variance of the 10 step ahead implied volatility forecast error of market </w:t>
      </w:r>
      <m:oMath>
        <m:r>
          <w:rPr>
            <w:rFonts w:ascii="Cambria Math" w:eastAsia="Calibri" w:hAnsi="Cambria Math" w:cs="Times New Roman"/>
            <w:sz w:val="16"/>
            <w:szCs w:val="16"/>
          </w:rPr>
          <m:t>i</m:t>
        </m:r>
      </m:oMath>
      <w:r w:rsidRPr="00664F32">
        <w:rPr>
          <w:rFonts w:ascii="Times New Roman" w:eastAsia="Calibri" w:hAnsi="Times New Roman" w:cs="Times New Roman"/>
          <w:sz w:val="16"/>
          <w:szCs w:val="16"/>
        </w:rPr>
        <w:t xml:space="preserve"> coming from innovations to implied volatility of </w:t>
      </w:r>
      <w:proofErr w:type="gramStart"/>
      <w:r w:rsidRPr="00664F32">
        <w:rPr>
          <w:rFonts w:ascii="Times New Roman" w:eastAsia="Calibri" w:hAnsi="Times New Roman" w:cs="Times New Roman"/>
          <w:sz w:val="16"/>
          <w:szCs w:val="16"/>
        </w:rPr>
        <w:t xml:space="preserve">market </w:t>
      </w:r>
      <w:proofErr w:type="gramEnd"/>
      <m:oMath>
        <m:r>
          <w:rPr>
            <w:rFonts w:ascii="Cambria Math" w:eastAsia="Calibri" w:hAnsi="Cambria Math" w:cs="Times New Roman"/>
            <w:sz w:val="16"/>
            <w:szCs w:val="16"/>
          </w:rPr>
          <m:t>j</m:t>
        </m:r>
      </m:oMath>
      <w:r w:rsidRPr="00664F32">
        <w:rPr>
          <w:rFonts w:ascii="Times New Roman" w:eastAsia="Calibri" w:hAnsi="Times New Roman" w:cs="Times New Roman"/>
          <w:sz w:val="16"/>
          <w:szCs w:val="16"/>
        </w:rPr>
        <w:t>. The decomposition is generalized, and thus it is robust to the ordering shown in the column heading.</w:t>
      </w:r>
      <w:r w:rsidR="00113C4E" w:rsidRPr="00113C4E">
        <w:t xml:space="preserve"> </w:t>
      </w:r>
      <w:r w:rsidR="00113C4E" w:rsidRPr="00113C4E">
        <w:rPr>
          <w:rFonts w:ascii="Times New Roman" w:eastAsia="Calibri" w:hAnsi="Times New Roman" w:cs="Times New Roman"/>
          <w:sz w:val="16"/>
          <w:szCs w:val="16"/>
        </w:rPr>
        <w:t>The last column (</w:t>
      </w:r>
      <w:r w:rsidR="002B1CE3" w:rsidRPr="002B1CE3">
        <w:rPr>
          <w:rFonts w:ascii="Times New Roman" w:eastAsia="Calibri" w:hAnsi="Times New Roman" w:cs="Times New Roman"/>
          <w:sz w:val="16"/>
          <w:szCs w:val="16"/>
        </w:rPr>
        <w:t xml:space="preserve">labeled </w:t>
      </w:r>
      <w:r w:rsidR="002B1CE3">
        <w:rPr>
          <w:rFonts w:ascii="Times New Roman" w:eastAsia="Calibri" w:hAnsi="Times New Roman" w:cs="Times New Roman"/>
          <w:sz w:val="16"/>
          <w:szCs w:val="16"/>
        </w:rPr>
        <w:t>‘</w:t>
      </w:r>
      <w:r w:rsidR="00113C4E" w:rsidRPr="00113C4E">
        <w:rPr>
          <w:rFonts w:ascii="Times New Roman" w:eastAsia="Calibri" w:hAnsi="Times New Roman" w:cs="Times New Roman"/>
          <w:sz w:val="16"/>
          <w:szCs w:val="16"/>
        </w:rPr>
        <w:t>Contribution from others</w:t>
      </w:r>
      <w:r w:rsidR="002B1CE3">
        <w:rPr>
          <w:rFonts w:ascii="Times New Roman" w:eastAsia="Calibri" w:hAnsi="Times New Roman" w:cs="Times New Roman"/>
          <w:sz w:val="16"/>
          <w:szCs w:val="16"/>
        </w:rPr>
        <w:t>’</w:t>
      </w:r>
      <w:r w:rsidR="00113C4E" w:rsidRPr="00113C4E">
        <w:rPr>
          <w:rFonts w:ascii="Times New Roman" w:eastAsia="Calibri" w:hAnsi="Times New Roman" w:cs="Times New Roman"/>
          <w:sz w:val="16"/>
          <w:szCs w:val="16"/>
        </w:rPr>
        <w:t>)</w:t>
      </w:r>
      <w:r w:rsidR="00113C4E">
        <w:rPr>
          <w:rFonts w:ascii="Times New Roman" w:eastAsia="Calibri" w:hAnsi="Times New Roman" w:cs="Times New Roman"/>
          <w:sz w:val="16"/>
          <w:szCs w:val="16"/>
        </w:rPr>
        <w:t xml:space="preserve"> </w:t>
      </w:r>
      <w:r w:rsidR="00113C4E" w:rsidRPr="00113C4E">
        <w:rPr>
          <w:rFonts w:ascii="Times New Roman" w:eastAsia="Calibri" w:hAnsi="Times New Roman" w:cs="Times New Roman"/>
          <w:sz w:val="16"/>
          <w:szCs w:val="16"/>
        </w:rPr>
        <w:t>is equal to the row sum excluding the diagonal elements, and gives the total directional</w:t>
      </w:r>
      <w:r w:rsidR="00113C4E">
        <w:rPr>
          <w:rFonts w:ascii="Times New Roman" w:eastAsia="Calibri" w:hAnsi="Times New Roman" w:cs="Times New Roman"/>
          <w:sz w:val="16"/>
          <w:szCs w:val="16"/>
        </w:rPr>
        <w:t xml:space="preserve"> spillovers</w:t>
      </w:r>
      <w:r w:rsidR="00113C4E" w:rsidRPr="00113C4E">
        <w:rPr>
          <w:rFonts w:ascii="Times New Roman" w:eastAsia="Calibri" w:hAnsi="Times New Roman" w:cs="Times New Roman"/>
          <w:sz w:val="16"/>
          <w:szCs w:val="16"/>
        </w:rPr>
        <w:t xml:space="preserve"> from all others to </w:t>
      </w:r>
      <w:r w:rsidR="00113C4E">
        <w:rPr>
          <w:rFonts w:ascii="Times New Roman" w:eastAsia="Calibri" w:hAnsi="Times New Roman" w:cs="Times New Roman"/>
          <w:sz w:val="16"/>
          <w:szCs w:val="16"/>
        </w:rPr>
        <w:t>markets</w:t>
      </w:r>
      <w:r w:rsidR="00113C4E" w:rsidRPr="00113C4E">
        <w:rPr>
          <w:rFonts w:ascii="Times New Roman" w:eastAsia="Calibri" w:hAnsi="Times New Roman" w:cs="Times New Roman"/>
          <w:sz w:val="16"/>
          <w:szCs w:val="16"/>
        </w:rPr>
        <w:t xml:space="preserve">. The row at the bottom </w:t>
      </w:r>
      <w:proofErr w:type="gramStart"/>
      <w:r w:rsidR="00113C4E" w:rsidRPr="00113C4E">
        <w:rPr>
          <w:rFonts w:ascii="Times New Roman" w:eastAsia="Calibri" w:hAnsi="Times New Roman" w:cs="Times New Roman"/>
          <w:sz w:val="16"/>
          <w:szCs w:val="16"/>
        </w:rPr>
        <w:t xml:space="preserve">is </w:t>
      </w:r>
      <w:r w:rsidR="002B1CE3">
        <w:rPr>
          <w:rFonts w:ascii="Times New Roman" w:eastAsia="Calibri" w:hAnsi="Times New Roman" w:cs="Times New Roman"/>
          <w:sz w:val="16"/>
          <w:szCs w:val="16"/>
        </w:rPr>
        <w:t xml:space="preserve"> </w:t>
      </w:r>
      <w:r w:rsidR="002B1CE3" w:rsidRPr="002B1CE3">
        <w:rPr>
          <w:rFonts w:ascii="Times New Roman" w:eastAsia="Calibri" w:hAnsi="Times New Roman" w:cs="Times New Roman"/>
          <w:sz w:val="16"/>
          <w:szCs w:val="16"/>
        </w:rPr>
        <w:t>(</w:t>
      </w:r>
      <w:proofErr w:type="gramEnd"/>
      <w:r w:rsidR="002B1CE3" w:rsidRPr="002B1CE3">
        <w:rPr>
          <w:rFonts w:ascii="Times New Roman" w:eastAsia="Calibri" w:hAnsi="Times New Roman" w:cs="Times New Roman"/>
          <w:sz w:val="16"/>
          <w:szCs w:val="16"/>
        </w:rPr>
        <w:t>labeled ‘Contributions to others’</w:t>
      </w:r>
      <w:r w:rsidR="002B1CE3">
        <w:rPr>
          <w:rFonts w:ascii="Times New Roman" w:eastAsia="Calibri" w:hAnsi="Times New Roman" w:cs="Times New Roman"/>
          <w:sz w:val="16"/>
          <w:szCs w:val="16"/>
        </w:rPr>
        <w:t xml:space="preserve">) </w:t>
      </w:r>
      <w:r w:rsidR="00113C4E" w:rsidRPr="00113C4E">
        <w:rPr>
          <w:rFonts w:ascii="Times New Roman" w:eastAsia="Calibri" w:hAnsi="Times New Roman" w:cs="Times New Roman"/>
          <w:sz w:val="16"/>
          <w:szCs w:val="16"/>
        </w:rPr>
        <w:t>equal to the</w:t>
      </w:r>
      <w:r w:rsidR="00113C4E">
        <w:rPr>
          <w:rFonts w:ascii="Times New Roman" w:eastAsia="Calibri" w:hAnsi="Times New Roman" w:cs="Times New Roman"/>
          <w:sz w:val="16"/>
          <w:szCs w:val="16"/>
        </w:rPr>
        <w:t xml:space="preserve"> </w:t>
      </w:r>
      <w:r w:rsidR="00113C4E" w:rsidRPr="00113C4E">
        <w:rPr>
          <w:rFonts w:ascii="Times New Roman" w:eastAsia="Calibri" w:hAnsi="Times New Roman" w:cs="Times New Roman"/>
          <w:sz w:val="16"/>
          <w:szCs w:val="16"/>
        </w:rPr>
        <w:t xml:space="preserve">column sum excluding the diagonal elements, and </w:t>
      </w:r>
      <w:r w:rsidR="002B1CE3">
        <w:rPr>
          <w:rFonts w:ascii="Times New Roman" w:eastAsia="Calibri" w:hAnsi="Times New Roman" w:cs="Times New Roman"/>
          <w:sz w:val="16"/>
          <w:szCs w:val="16"/>
        </w:rPr>
        <w:t>reports</w:t>
      </w:r>
      <w:r w:rsidR="00113C4E" w:rsidRPr="00113C4E">
        <w:rPr>
          <w:rFonts w:ascii="Times New Roman" w:eastAsia="Calibri" w:hAnsi="Times New Roman" w:cs="Times New Roman"/>
          <w:sz w:val="16"/>
          <w:szCs w:val="16"/>
        </w:rPr>
        <w:t xml:space="preserve"> the total directional </w:t>
      </w:r>
      <w:r w:rsidR="002B1CE3">
        <w:rPr>
          <w:rFonts w:ascii="Times New Roman" w:eastAsia="Calibri" w:hAnsi="Times New Roman" w:cs="Times New Roman"/>
          <w:sz w:val="16"/>
          <w:szCs w:val="16"/>
        </w:rPr>
        <w:t>spillover</w:t>
      </w:r>
      <w:r w:rsidR="00113C4E">
        <w:rPr>
          <w:rFonts w:ascii="Times New Roman" w:eastAsia="Calibri" w:hAnsi="Times New Roman" w:cs="Times New Roman"/>
          <w:sz w:val="16"/>
          <w:szCs w:val="16"/>
        </w:rPr>
        <w:t xml:space="preserve"> </w:t>
      </w:r>
      <w:r w:rsidR="00113C4E" w:rsidRPr="00113C4E">
        <w:rPr>
          <w:rFonts w:ascii="Times New Roman" w:eastAsia="Calibri" w:hAnsi="Times New Roman" w:cs="Times New Roman"/>
          <w:sz w:val="16"/>
          <w:szCs w:val="16"/>
        </w:rPr>
        <w:t xml:space="preserve">from </w:t>
      </w:r>
      <w:r w:rsidR="002B1CE3">
        <w:rPr>
          <w:rFonts w:ascii="Times New Roman" w:eastAsia="Calibri" w:hAnsi="Times New Roman" w:cs="Times New Roman"/>
          <w:sz w:val="16"/>
          <w:szCs w:val="16"/>
        </w:rPr>
        <w:t>market</w:t>
      </w:r>
      <w:r w:rsidR="00113C4E" w:rsidRPr="00113C4E">
        <w:rPr>
          <w:rFonts w:ascii="Times New Roman" w:eastAsia="Calibri" w:hAnsi="Times New Roman" w:cs="Times New Roman"/>
          <w:sz w:val="16"/>
          <w:szCs w:val="16"/>
        </w:rPr>
        <w:t xml:space="preserve"> </w:t>
      </w:r>
      <m:oMath>
        <m:r>
          <w:rPr>
            <w:rFonts w:ascii="Cambria Math" w:eastAsia="Calibri" w:hAnsi="Cambria Math" w:cs="Times New Roman"/>
            <w:sz w:val="16"/>
            <w:szCs w:val="16"/>
          </w:rPr>
          <m:t>j</m:t>
        </m:r>
      </m:oMath>
      <w:r w:rsidR="00113C4E" w:rsidRPr="00113C4E">
        <w:rPr>
          <w:rFonts w:ascii="Times New Roman" w:eastAsia="Calibri" w:hAnsi="Times New Roman" w:cs="Times New Roman"/>
          <w:sz w:val="16"/>
          <w:szCs w:val="16"/>
        </w:rPr>
        <w:t xml:space="preserve"> to others</w:t>
      </w:r>
      <w:r w:rsidR="00B81634">
        <w:rPr>
          <w:rFonts w:ascii="Times New Roman" w:eastAsia="Calibri" w:hAnsi="Times New Roman" w:cs="Times New Roman"/>
          <w:sz w:val="16"/>
          <w:szCs w:val="16"/>
        </w:rPr>
        <w:t xml:space="preserve">. Finally, </w:t>
      </w:r>
      <w:r w:rsidR="00B81634" w:rsidRPr="00B81634">
        <w:rPr>
          <w:rFonts w:ascii="Times New Roman" w:eastAsia="Calibri" w:hAnsi="Times New Roman" w:cs="Times New Roman"/>
          <w:sz w:val="16"/>
          <w:szCs w:val="16"/>
        </w:rPr>
        <w:t xml:space="preserve">The </w:t>
      </w:r>
      <w:r w:rsidR="002B1CE3" w:rsidRPr="002B1CE3">
        <w:rPr>
          <w:rFonts w:ascii="Times New Roman" w:eastAsia="Calibri" w:hAnsi="Times New Roman" w:cs="Times New Roman"/>
          <w:sz w:val="16"/>
          <w:szCs w:val="16"/>
        </w:rPr>
        <w:t xml:space="preserve">lower right </w:t>
      </w:r>
      <w:proofErr w:type="gramStart"/>
      <w:r w:rsidR="002B1CE3" w:rsidRPr="002B1CE3">
        <w:rPr>
          <w:rFonts w:ascii="Times New Roman" w:eastAsia="Calibri" w:hAnsi="Times New Roman" w:cs="Times New Roman"/>
          <w:sz w:val="16"/>
          <w:szCs w:val="16"/>
        </w:rPr>
        <w:t>corner</w:t>
      </w:r>
      <w:r w:rsidR="002B1CE3">
        <w:rPr>
          <w:rFonts w:ascii="Times New Roman" w:eastAsia="Calibri" w:hAnsi="Times New Roman" w:cs="Times New Roman"/>
          <w:sz w:val="16"/>
          <w:szCs w:val="16"/>
        </w:rPr>
        <w:t xml:space="preserve"> </w:t>
      </w:r>
      <w:r w:rsidR="00B81634" w:rsidRPr="00B81634">
        <w:rPr>
          <w:rFonts w:ascii="Times New Roman" w:eastAsia="Calibri" w:hAnsi="Times New Roman" w:cs="Times New Roman"/>
          <w:sz w:val="16"/>
          <w:szCs w:val="16"/>
        </w:rPr>
        <w:t xml:space="preserve"> is</w:t>
      </w:r>
      <w:proofErr w:type="gramEnd"/>
      <w:r w:rsidR="00B81634" w:rsidRPr="00B81634">
        <w:rPr>
          <w:rFonts w:ascii="Times New Roman" w:eastAsia="Calibri" w:hAnsi="Times New Roman" w:cs="Times New Roman"/>
          <w:sz w:val="16"/>
          <w:szCs w:val="16"/>
        </w:rPr>
        <w:t xml:space="preserve"> </w:t>
      </w:r>
      <w:r w:rsidR="002B1CE3" w:rsidRPr="002B1CE3">
        <w:rPr>
          <w:rFonts w:ascii="Times New Roman" w:eastAsia="Calibri" w:hAnsi="Times New Roman" w:cs="Times New Roman"/>
          <w:sz w:val="16"/>
          <w:szCs w:val="16"/>
        </w:rPr>
        <w:t xml:space="preserve">expressed in percentage points </w:t>
      </w:r>
      <w:r w:rsidR="002B1CE3">
        <w:rPr>
          <w:rFonts w:ascii="Times New Roman" w:eastAsia="Calibri" w:hAnsi="Times New Roman" w:cs="Times New Roman"/>
          <w:sz w:val="16"/>
          <w:szCs w:val="16"/>
        </w:rPr>
        <w:t xml:space="preserve">and  reports the </w:t>
      </w:r>
      <w:r w:rsidR="002B1CE3" w:rsidRPr="002B1CE3">
        <w:rPr>
          <w:rFonts w:ascii="Times New Roman" w:eastAsia="Calibri" w:hAnsi="Times New Roman" w:cs="Times New Roman"/>
          <w:sz w:val="16"/>
          <w:szCs w:val="16"/>
        </w:rPr>
        <w:t>total volatility spillover</w:t>
      </w:r>
      <w:r w:rsidR="002B1CE3">
        <w:rPr>
          <w:rFonts w:ascii="Times New Roman" w:eastAsia="Calibri" w:hAnsi="Times New Roman" w:cs="Times New Roman"/>
          <w:sz w:val="16"/>
          <w:szCs w:val="16"/>
        </w:rPr>
        <w:t xml:space="preserve"> </w:t>
      </w:r>
      <w:r w:rsidR="002B1CE3" w:rsidRPr="002B1CE3">
        <w:rPr>
          <w:rFonts w:ascii="Times New Roman" w:eastAsia="Calibri" w:hAnsi="Times New Roman" w:cs="Times New Roman"/>
          <w:sz w:val="16"/>
          <w:szCs w:val="16"/>
        </w:rPr>
        <w:t>index which equal to the grand off-diagonal column</w:t>
      </w:r>
      <w:r w:rsidR="002B1CE3">
        <w:rPr>
          <w:rFonts w:ascii="Times New Roman" w:eastAsia="Calibri" w:hAnsi="Times New Roman" w:cs="Times New Roman"/>
          <w:sz w:val="16"/>
          <w:szCs w:val="16"/>
        </w:rPr>
        <w:t xml:space="preserve"> </w:t>
      </w:r>
      <w:r w:rsidR="002B1CE3" w:rsidRPr="002B1CE3">
        <w:rPr>
          <w:rFonts w:ascii="Times New Roman" w:eastAsia="Calibri" w:hAnsi="Times New Roman" w:cs="Times New Roman"/>
          <w:sz w:val="16"/>
          <w:szCs w:val="16"/>
        </w:rPr>
        <w:t>sum relative to the grand column sum including diagonals</w:t>
      </w:r>
      <w:r w:rsidR="002B1CE3">
        <w:rPr>
          <w:rFonts w:ascii="Times New Roman" w:eastAsia="Calibri" w:hAnsi="Times New Roman" w:cs="Times New Roman"/>
          <w:sz w:val="16"/>
          <w:szCs w:val="16"/>
        </w:rPr>
        <w:t xml:space="preserve">. </w:t>
      </w:r>
    </w:p>
    <w:p w:rsidR="005A0A16" w:rsidRDefault="005A0A16" w:rsidP="00F5267D">
      <w:pPr>
        <w:autoSpaceDE w:val="0"/>
        <w:autoSpaceDN w:val="0"/>
        <w:adjustRightInd w:val="0"/>
        <w:spacing w:after="0" w:line="480" w:lineRule="auto"/>
        <w:jc w:val="both"/>
        <w:rPr>
          <w:rFonts w:ascii="Times New Roman" w:eastAsia="Calibri" w:hAnsi="Times New Roman" w:cs="Times New Roman"/>
          <w:sz w:val="24"/>
          <w:szCs w:val="24"/>
        </w:rPr>
      </w:pPr>
    </w:p>
    <w:p w:rsidR="005A0A16" w:rsidRDefault="005A0A16" w:rsidP="00F5267D">
      <w:pPr>
        <w:autoSpaceDE w:val="0"/>
        <w:autoSpaceDN w:val="0"/>
        <w:adjustRightInd w:val="0"/>
        <w:spacing w:after="0" w:line="480" w:lineRule="auto"/>
        <w:jc w:val="both"/>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852"/>
        <w:gridCol w:w="839"/>
        <w:gridCol w:w="981"/>
        <w:gridCol w:w="536"/>
        <w:gridCol w:w="599"/>
        <w:gridCol w:w="634"/>
        <w:gridCol w:w="536"/>
        <w:gridCol w:w="830"/>
        <w:gridCol w:w="2142"/>
      </w:tblGrid>
      <w:tr w:rsidR="00F5267D" w:rsidRPr="00664F32" w:rsidTr="004E4D3A">
        <w:trPr>
          <w:trHeight w:val="56"/>
        </w:trPr>
        <w:tc>
          <w:tcPr>
            <w:tcW w:w="0" w:type="auto"/>
            <w:gridSpan w:val="10"/>
            <w:tcBorders>
              <w:bottom w:val="single" w:sz="12" w:space="0" w:color="auto"/>
            </w:tcBorders>
          </w:tcPr>
          <w:p w:rsidR="00F5267D" w:rsidRPr="006A0005" w:rsidRDefault="00F5267D" w:rsidP="00EC5322">
            <w:pPr>
              <w:autoSpaceDE w:val="0"/>
              <w:autoSpaceDN w:val="0"/>
              <w:adjustRightInd w:val="0"/>
              <w:rPr>
                <w:rFonts w:asciiTheme="majorBidi" w:eastAsia="Calibri" w:hAnsiTheme="majorBidi" w:cstheme="majorBidi"/>
                <w:b/>
                <w:bCs/>
                <w:sz w:val="18"/>
                <w:szCs w:val="18"/>
              </w:rPr>
            </w:pPr>
            <w:r w:rsidRPr="006A0005">
              <w:rPr>
                <w:rFonts w:asciiTheme="majorBidi" w:eastAsia="Calibri" w:hAnsiTheme="majorBidi" w:cstheme="majorBidi"/>
                <w:b/>
                <w:bCs/>
                <w:sz w:val="18"/>
                <w:szCs w:val="18"/>
              </w:rPr>
              <w:t xml:space="preserve">Table </w:t>
            </w:r>
            <w:r w:rsidR="0032415B">
              <w:rPr>
                <w:rFonts w:asciiTheme="majorBidi" w:eastAsia="Calibri" w:hAnsiTheme="majorBidi" w:cstheme="majorBidi"/>
                <w:b/>
                <w:bCs/>
                <w:sz w:val="18"/>
                <w:szCs w:val="18"/>
              </w:rPr>
              <w:t>5</w:t>
            </w:r>
            <w:r w:rsidRPr="006A0005">
              <w:rPr>
                <w:rFonts w:asciiTheme="majorBidi" w:eastAsia="Calibri" w:hAnsiTheme="majorBidi" w:cstheme="majorBidi"/>
                <w:b/>
                <w:bCs/>
                <w:sz w:val="18"/>
                <w:szCs w:val="18"/>
              </w:rPr>
              <w:t>: Direction of spillovers</w:t>
            </w:r>
            <w:r>
              <w:rPr>
                <w:rFonts w:asciiTheme="majorBidi" w:eastAsia="Calibri" w:hAnsiTheme="majorBidi" w:cstheme="majorBidi"/>
                <w:b/>
                <w:bCs/>
                <w:sz w:val="18"/>
                <w:szCs w:val="18"/>
              </w:rPr>
              <w:t xml:space="preserve"> using a</w:t>
            </w:r>
            <w:r w:rsidRPr="00F5267D">
              <w:rPr>
                <w:rFonts w:asciiTheme="majorBidi" w:eastAsia="Calibri" w:hAnsiTheme="majorBidi" w:cstheme="majorBidi"/>
                <w:b/>
                <w:bCs/>
                <w:sz w:val="18"/>
                <w:szCs w:val="18"/>
              </w:rPr>
              <w:t>lternative volatility measures</w:t>
            </w:r>
          </w:p>
        </w:tc>
      </w:tr>
      <w:tr w:rsidR="00F5267D" w:rsidRPr="00664F32" w:rsidTr="004E4D3A">
        <w:trPr>
          <w:trHeight w:val="131"/>
        </w:trPr>
        <w:tc>
          <w:tcPr>
            <w:tcW w:w="0" w:type="auto"/>
            <w:tcBorders>
              <w:top w:val="single" w:sz="12" w:space="0" w:color="auto"/>
            </w:tcBorders>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p>
        </w:tc>
        <w:tc>
          <w:tcPr>
            <w:tcW w:w="0" w:type="auto"/>
            <w:gridSpan w:val="9"/>
            <w:tcBorders>
              <w:top w:val="single" w:sz="12" w:space="0" w:color="auto"/>
              <w:bottom w:val="single" w:sz="6" w:space="0" w:color="auto"/>
            </w:tcBorders>
            <w:vAlign w:val="center"/>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 xml:space="preserve">From market </w:t>
            </w:r>
            <m:oMath>
              <m:r>
                <w:rPr>
                  <w:rFonts w:ascii="Cambria Math" w:eastAsia="Calibri" w:hAnsi="Cambria Math" w:cstheme="majorBidi"/>
                  <w:sz w:val="16"/>
                  <w:szCs w:val="16"/>
                </w:rPr>
                <m:t>j</m:t>
              </m:r>
            </m:oMath>
          </w:p>
        </w:tc>
      </w:tr>
      <w:tr w:rsidR="00F5267D" w:rsidRPr="00664F32" w:rsidTr="004E4D3A">
        <w:trPr>
          <w:trHeight w:val="221"/>
        </w:trPr>
        <w:tc>
          <w:tcPr>
            <w:tcW w:w="0" w:type="auto"/>
            <w:tcBorders>
              <w:bottom w:val="single" w:sz="6" w:space="0" w:color="auto"/>
            </w:tcBorders>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 xml:space="preserve">To market </w:t>
            </w:r>
            <m:oMath>
              <m:r>
                <w:rPr>
                  <w:rFonts w:ascii="Cambria Math" w:eastAsia="Calibri" w:hAnsi="Cambria Math" w:cstheme="majorBidi"/>
                  <w:sz w:val="16"/>
                  <w:szCs w:val="16"/>
                </w:rPr>
                <m:t>i</m:t>
              </m:r>
            </m:oMath>
          </w:p>
        </w:tc>
        <w:tc>
          <w:tcPr>
            <w:tcW w:w="0" w:type="auto"/>
            <w:tcBorders>
              <w:top w:val="single" w:sz="6" w:space="0" w:color="auto"/>
              <w:bottom w:val="single" w:sz="6" w:space="0" w:color="auto"/>
            </w:tcBorders>
            <w:vAlign w:val="center"/>
          </w:tcPr>
          <w:p w:rsidR="00F5267D" w:rsidRPr="00664F32" w:rsidRDefault="00F5267D" w:rsidP="004E4D3A">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Crude Oil</w:t>
            </w:r>
          </w:p>
        </w:tc>
        <w:tc>
          <w:tcPr>
            <w:tcW w:w="0" w:type="auto"/>
            <w:tcBorders>
              <w:top w:val="single" w:sz="6" w:space="0" w:color="auto"/>
              <w:bottom w:val="single" w:sz="6" w:space="0" w:color="auto"/>
            </w:tcBorders>
            <w:vAlign w:val="center"/>
          </w:tcPr>
          <w:p w:rsidR="00F5267D" w:rsidRPr="00664F32" w:rsidRDefault="00F5267D" w:rsidP="004E4D3A">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US-Stock</w:t>
            </w:r>
          </w:p>
        </w:tc>
        <w:tc>
          <w:tcPr>
            <w:tcW w:w="0" w:type="auto"/>
            <w:tcBorders>
              <w:top w:val="single" w:sz="6" w:space="0" w:color="auto"/>
              <w:bottom w:val="single" w:sz="6" w:space="0" w:color="auto"/>
            </w:tcBorders>
            <w:vAlign w:val="center"/>
          </w:tcPr>
          <w:p w:rsidR="00F5267D" w:rsidRPr="00664F32" w:rsidRDefault="00F5267D" w:rsidP="004E4D3A">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Euro/Dollar</w:t>
            </w:r>
          </w:p>
        </w:tc>
        <w:tc>
          <w:tcPr>
            <w:tcW w:w="0" w:type="auto"/>
            <w:tcBorders>
              <w:top w:val="single" w:sz="6" w:space="0" w:color="auto"/>
              <w:bottom w:val="single" w:sz="6" w:space="0" w:color="auto"/>
            </w:tcBorders>
            <w:vAlign w:val="center"/>
          </w:tcPr>
          <w:p w:rsidR="00F5267D" w:rsidRPr="00664F32" w:rsidRDefault="00F5267D" w:rsidP="004E4D3A">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Gold</w:t>
            </w:r>
          </w:p>
        </w:tc>
        <w:tc>
          <w:tcPr>
            <w:tcW w:w="0" w:type="auto"/>
            <w:tcBorders>
              <w:top w:val="single" w:sz="6" w:space="0" w:color="auto"/>
              <w:bottom w:val="single" w:sz="6" w:space="0" w:color="auto"/>
            </w:tcBorders>
            <w:vAlign w:val="center"/>
          </w:tcPr>
          <w:p w:rsidR="00F5267D" w:rsidRPr="00664F32" w:rsidRDefault="00F5267D" w:rsidP="004E4D3A">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Silver</w:t>
            </w:r>
          </w:p>
        </w:tc>
        <w:tc>
          <w:tcPr>
            <w:tcW w:w="0" w:type="auto"/>
            <w:tcBorders>
              <w:top w:val="single" w:sz="6" w:space="0" w:color="auto"/>
              <w:bottom w:val="single" w:sz="6" w:space="0" w:color="auto"/>
            </w:tcBorders>
            <w:vAlign w:val="center"/>
          </w:tcPr>
          <w:p w:rsidR="00F5267D" w:rsidRPr="00664F32" w:rsidRDefault="00F5267D" w:rsidP="004E4D3A">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Wheat</w:t>
            </w:r>
          </w:p>
        </w:tc>
        <w:tc>
          <w:tcPr>
            <w:tcW w:w="0" w:type="auto"/>
            <w:tcBorders>
              <w:top w:val="single" w:sz="6" w:space="0" w:color="auto"/>
              <w:bottom w:val="single" w:sz="6" w:space="0" w:color="auto"/>
            </w:tcBorders>
            <w:vAlign w:val="center"/>
          </w:tcPr>
          <w:p w:rsidR="00F5267D" w:rsidRPr="00664F32" w:rsidRDefault="00F5267D" w:rsidP="004E4D3A">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Corn</w:t>
            </w:r>
          </w:p>
        </w:tc>
        <w:tc>
          <w:tcPr>
            <w:tcW w:w="0" w:type="auto"/>
            <w:tcBorders>
              <w:top w:val="single" w:sz="6" w:space="0" w:color="auto"/>
              <w:bottom w:val="single" w:sz="6" w:space="0" w:color="auto"/>
            </w:tcBorders>
            <w:vAlign w:val="center"/>
          </w:tcPr>
          <w:p w:rsidR="00F5267D" w:rsidRPr="00664F32" w:rsidRDefault="00F5267D" w:rsidP="004E4D3A">
            <w:pPr>
              <w:jc w:val="center"/>
              <w:rPr>
                <w:rFonts w:asciiTheme="majorBidi" w:hAnsiTheme="majorBidi" w:cstheme="majorBidi"/>
                <w:color w:val="000000"/>
                <w:sz w:val="16"/>
                <w:szCs w:val="16"/>
              </w:rPr>
            </w:pPr>
            <w:r w:rsidRPr="00664F32">
              <w:rPr>
                <w:rFonts w:asciiTheme="majorBidi" w:hAnsiTheme="majorBidi" w:cstheme="majorBidi"/>
                <w:color w:val="000000"/>
                <w:sz w:val="16"/>
                <w:szCs w:val="16"/>
              </w:rPr>
              <w:t>Soybean</w:t>
            </w:r>
            <w:r>
              <w:rPr>
                <w:rFonts w:asciiTheme="majorBidi" w:hAnsiTheme="majorBidi" w:cstheme="majorBidi"/>
                <w:color w:val="000000"/>
                <w:sz w:val="16"/>
                <w:szCs w:val="16"/>
              </w:rPr>
              <w:t>s</w:t>
            </w:r>
          </w:p>
        </w:tc>
        <w:tc>
          <w:tcPr>
            <w:tcW w:w="0" w:type="auto"/>
            <w:tcBorders>
              <w:top w:val="single" w:sz="6" w:space="0" w:color="auto"/>
              <w:bottom w:val="single" w:sz="6" w:space="0" w:color="auto"/>
            </w:tcBorders>
          </w:tcPr>
          <w:p w:rsidR="00F5267D" w:rsidRPr="00664F32" w:rsidRDefault="00F5267D" w:rsidP="004E4D3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Contribution from others</w:t>
            </w:r>
          </w:p>
        </w:tc>
      </w:tr>
      <w:tr w:rsidR="00F5267D" w:rsidRPr="00664F32" w:rsidTr="004E4D3A">
        <w:trPr>
          <w:trHeight w:val="192"/>
        </w:trPr>
        <w:tc>
          <w:tcPr>
            <w:tcW w:w="0" w:type="auto"/>
            <w:gridSpan w:val="10"/>
            <w:tcBorders>
              <w:top w:val="single" w:sz="6" w:space="0" w:color="auto"/>
              <w:bottom w:val="single" w:sz="6" w:space="0" w:color="auto"/>
            </w:tcBorders>
          </w:tcPr>
          <w:p w:rsidR="00F5267D" w:rsidRPr="00F5267D" w:rsidRDefault="00F5267D" w:rsidP="004E4D3A">
            <w:pPr>
              <w:autoSpaceDE w:val="0"/>
              <w:autoSpaceDN w:val="0"/>
              <w:adjustRightInd w:val="0"/>
              <w:rPr>
                <w:rFonts w:asciiTheme="majorBidi" w:eastAsia="Calibri" w:hAnsiTheme="majorBidi" w:cstheme="majorBidi"/>
                <w:i/>
                <w:iCs/>
                <w:sz w:val="16"/>
                <w:szCs w:val="16"/>
              </w:rPr>
            </w:pPr>
            <w:r w:rsidRPr="00F5267D">
              <w:rPr>
                <w:rFonts w:asciiTheme="majorBidi" w:eastAsia="Calibri" w:hAnsiTheme="majorBidi" w:cstheme="majorBidi"/>
                <w:i/>
                <w:iCs/>
                <w:sz w:val="16"/>
                <w:szCs w:val="16"/>
              </w:rPr>
              <w:t>Panel A: Realized volatility</w:t>
            </w:r>
          </w:p>
        </w:tc>
      </w:tr>
      <w:tr w:rsidR="00F5267D" w:rsidRPr="00664F32" w:rsidTr="004E4D3A">
        <w:tc>
          <w:tcPr>
            <w:tcW w:w="0" w:type="auto"/>
            <w:tcBorders>
              <w:top w:val="single" w:sz="6" w:space="0" w:color="auto"/>
            </w:tcBorders>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Crude Oil</w:t>
            </w:r>
          </w:p>
        </w:tc>
        <w:tc>
          <w:tcPr>
            <w:tcW w:w="0" w:type="auto"/>
            <w:tcBorders>
              <w:top w:val="single" w:sz="6" w:space="0" w:color="auto"/>
            </w:tcBorders>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B97452">
              <w:rPr>
                <w:rFonts w:asciiTheme="majorBidi" w:eastAsia="Calibri" w:hAnsiTheme="majorBidi" w:cstheme="majorBidi"/>
                <w:sz w:val="16"/>
                <w:szCs w:val="16"/>
              </w:rPr>
              <w:t>97.3</w:t>
            </w:r>
          </w:p>
        </w:tc>
        <w:tc>
          <w:tcPr>
            <w:tcW w:w="0" w:type="auto"/>
            <w:tcBorders>
              <w:top w:val="single" w:sz="6" w:space="0" w:color="auto"/>
            </w:tcBorders>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B97452">
              <w:rPr>
                <w:rFonts w:asciiTheme="majorBidi" w:eastAsia="Calibri" w:hAnsiTheme="majorBidi" w:cstheme="majorBidi"/>
                <w:sz w:val="16"/>
                <w:szCs w:val="16"/>
              </w:rPr>
              <w:t>0.0</w:t>
            </w:r>
          </w:p>
        </w:tc>
        <w:tc>
          <w:tcPr>
            <w:tcW w:w="0" w:type="auto"/>
            <w:tcBorders>
              <w:top w:val="single" w:sz="6" w:space="0" w:color="auto"/>
            </w:tcBorders>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B97452">
              <w:rPr>
                <w:rFonts w:asciiTheme="majorBidi" w:eastAsia="Calibri" w:hAnsiTheme="majorBidi" w:cstheme="majorBidi"/>
                <w:sz w:val="16"/>
                <w:szCs w:val="16"/>
              </w:rPr>
              <w:t>0.2</w:t>
            </w:r>
          </w:p>
        </w:tc>
        <w:tc>
          <w:tcPr>
            <w:tcW w:w="0" w:type="auto"/>
            <w:tcBorders>
              <w:top w:val="single" w:sz="6" w:space="0" w:color="auto"/>
            </w:tcBorders>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B97452">
              <w:rPr>
                <w:rFonts w:asciiTheme="majorBidi" w:eastAsia="Calibri" w:hAnsiTheme="majorBidi" w:cstheme="majorBidi"/>
                <w:sz w:val="16"/>
                <w:szCs w:val="16"/>
              </w:rPr>
              <w:t>0.0</w:t>
            </w:r>
          </w:p>
        </w:tc>
        <w:tc>
          <w:tcPr>
            <w:tcW w:w="0" w:type="auto"/>
            <w:tcBorders>
              <w:top w:val="single" w:sz="6" w:space="0" w:color="auto"/>
            </w:tcBorders>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B97452">
              <w:rPr>
                <w:rFonts w:asciiTheme="majorBidi" w:eastAsia="Calibri" w:hAnsiTheme="majorBidi" w:cstheme="majorBidi"/>
                <w:sz w:val="16"/>
                <w:szCs w:val="16"/>
              </w:rPr>
              <w:t>2.2</w:t>
            </w:r>
          </w:p>
        </w:tc>
        <w:tc>
          <w:tcPr>
            <w:tcW w:w="0" w:type="auto"/>
            <w:tcBorders>
              <w:top w:val="single" w:sz="6" w:space="0" w:color="auto"/>
            </w:tcBorders>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B97452">
              <w:rPr>
                <w:rFonts w:asciiTheme="majorBidi" w:eastAsia="Calibri" w:hAnsiTheme="majorBidi" w:cstheme="majorBidi"/>
                <w:sz w:val="16"/>
                <w:szCs w:val="16"/>
              </w:rPr>
              <w:t>0.1</w:t>
            </w:r>
          </w:p>
        </w:tc>
        <w:tc>
          <w:tcPr>
            <w:tcW w:w="0" w:type="auto"/>
            <w:tcBorders>
              <w:top w:val="single" w:sz="6" w:space="0" w:color="auto"/>
            </w:tcBorders>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0.1</w:t>
            </w:r>
          </w:p>
        </w:tc>
        <w:tc>
          <w:tcPr>
            <w:tcW w:w="0" w:type="auto"/>
            <w:tcBorders>
              <w:top w:val="single" w:sz="6" w:space="0" w:color="auto"/>
            </w:tcBorders>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B97452">
              <w:rPr>
                <w:rFonts w:asciiTheme="majorBidi" w:eastAsia="Calibri" w:hAnsiTheme="majorBidi" w:cstheme="majorBidi"/>
                <w:sz w:val="16"/>
                <w:szCs w:val="16"/>
              </w:rPr>
              <w:t>0.1</w:t>
            </w:r>
          </w:p>
        </w:tc>
        <w:tc>
          <w:tcPr>
            <w:tcW w:w="0" w:type="auto"/>
            <w:tcBorders>
              <w:top w:val="single" w:sz="6" w:space="0" w:color="auto"/>
            </w:tcBorders>
          </w:tcPr>
          <w:p w:rsidR="00F5267D" w:rsidRPr="00664F32" w:rsidRDefault="00F5267D" w:rsidP="004E4D3A">
            <w:pPr>
              <w:autoSpaceDE w:val="0"/>
              <w:autoSpaceDN w:val="0"/>
              <w:adjustRightInd w:val="0"/>
              <w:rPr>
                <w:rFonts w:asciiTheme="majorBidi" w:eastAsia="Calibri" w:hAnsiTheme="majorBidi" w:cstheme="majorBidi"/>
                <w:sz w:val="16"/>
                <w:szCs w:val="16"/>
              </w:rPr>
            </w:pPr>
            <w:r>
              <w:rPr>
                <w:rFonts w:asciiTheme="majorBidi" w:eastAsia="Calibri" w:hAnsiTheme="majorBidi" w:cstheme="majorBidi" w:hint="cs"/>
                <w:sz w:val="16"/>
                <w:szCs w:val="16"/>
                <w:rtl/>
              </w:rPr>
              <w:t>3</w:t>
            </w:r>
          </w:p>
        </w:tc>
      </w:tr>
      <w:tr w:rsidR="00F5267D" w:rsidRPr="00664F32" w:rsidTr="004E4D3A">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US-Stock</w:t>
            </w:r>
            <w:r>
              <w:rPr>
                <w:rFonts w:asciiTheme="majorBidi" w:eastAsia="Calibri" w:hAnsiTheme="majorBidi" w:cstheme="majorBidi"/>
                <w:sz w:val="16"/>
                <w:szCs w:val="16"/>
              </w:rPr>
              <w:t xml:space="preserve"> </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hint="cs"/>
                <w:sz w:val="16"/>
                <w:szCs w:val="16"/>
                <w:rtl/>
              </w:rPr>
              <w:t>17</w:t>
            </w:r>
            <w:r w:rsidRPr="00664F32">
              <w:rPr>
                <w:rFonts w:asciiTheme="majorBidi" w:eastAsia="Calibri" w:hAnsiTheme="majorBidi" w:cstheme="majorBidi"/>
                <w:sz w:val="16"/>
                <w:szCs w:val="16"/>
              </w:rPr>
              <w:t>.</w:t>
            </w:r>
            <w:r>
              <w:rPr>
                <w:rFonts w:asciiTheme="majorBidi" w:eastAsia="Calibri" w:hAnsiTheme="majorBidi" w:cstheme="majorBidi" w:hint="cs"/>
                <w:sz w:val="16"/>
                <w:szCs w:val="16"/>
                <w:rtl/>
              </w:rPr>
              <w:t>2</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470D29">
              <w:rPr>
                <w:rFonts w:asciiTheme="majorBidi" w:eastAsia="Calibri" w:hAnsiTheme="majorBidi" w:cstheme="majorBidi"/>
                <w:sz w:val="16"/>
                <w:szCs w:val="16"/>
              </w:rPr>
              <w:t>79.8</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B97452">
              <w:rPr>
                <w:rFonts w:asciiTheme="majorBidi" w:eastAsia="Calibri" w:hAnsiTheme="majorBidi" w:cstheme="majorBidi"/>
                <w:sz w:val="16"/>
                <w:szCs w:val="16"/>
              </w:rPr>
              <w:t>0.1</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B97452">
              <w:rPr>
                <w:rFonts w:asciiTheme="majorBidi" w:eastAsia="Calibri" w:hAnsiTheme="majorBidi" w:cstheme="majorBidi"/>
                <w:sz w:val="16"/>
                <w:szCs w:val="16"/>
              </w:rPr>
              <w:t>0.4</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B97452">
              <w:rPr>
                <w:rFonts w:asciiTheme="majorBidi" w:eastAsia="Calibri" w:hAnsiTheme="majorBidi" w:cstheme="majorBidi"/>
                <w:sz w:val="16"/>
                <w:szCs w:val="16"/>
              </w:rPr>
              <w:t>0.1</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470D29">
              <w:rPr>
                <w:rFonts w:asciiTheme="majorBidi" w:eastAsia="Calibri" w:hAnsiTheme="majorBidi" w:cstheme="majorBidi"/>
                <w:sz w:val="16"/>
                <w:szCs w:val="16"/>
              </w:rPr>
              <w:t>1.7</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470D29">
              <w:rPr>
                <w:rFonts w:asciiTheme="majorBidi" w:eastAsia="Calibri" w:hAnsiTheme="majorBidi" w:cstheme="majorBidi"/>
                <w:sz w:val="16"/>
                <w:szCs w:val="16"/>
              </w:rPr>
              <w:t>0.3</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w:t>
            </w:r>
            <w:r>
              <w:rPr>
                <w:rFonts w:asciiTheme="majorBidi" w:eastAsia="Calibri" w:hAnsiTheme="majorBidi" w:cstheme="majorBidi"/>
                <w:sz w:val="16"/>
                <w:szCs w:val="16"/>
              </w:rPr>
              <w:t>4</w:t>
            </w:r>
          </w:p>
        </w:tc>
        <w:tc>
          <w:tcPr>
            <w:tcW w:w="0" w:type="auto"/>
          </w:tcPr>
          <w:p w:rsidR="00F5267D" w:rsidRPr="00664F32" w:rsidRDefault="00F5267D" w:rsidP="004E4D3A">
            <w:pPr>
              <w:autoSpaceDE w:val="0"/>
              <w:autoSpaceDN w:val="0"/>
              <w:adjustRightInd w:val="0"/>
              <w:rPr>
                <w:rFonts w:asciiTheme="majorBidi" w:eastAsia="Calibri" w:hAnsiTheme="majorBidi" w:cstheme="majorBidi"/>
                <w:sz w:val="16"/>
                <w:szCs w:val="16"/>
              </w:rPr>
            </w:pPr>
            <w:r>
              <w:rPr>
                <w:rFonts w:asciiTheme="majorBidi" w:eastAsia="Calibri" w:hAnsiTheme="majorBidi" w:cstheme="majorBidi"/>
                <w:sz w:val="16"/>
                <w:szCs w:val="16"/>
              </w:rPr>
              <w:t>20</w:t>
            </w:r>
          </w:p>
        </w:tc>
      </w:tr>
      <w:tr w:rsidR="00F5267D" w:rsidRPr="00664F32" w:rsidTr="004E4D3A">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Euro/Dollar</w:t>
            </w:r>
            <w:r>
              <w:rPr>
                <w:rFonts w:asciiTheme="majorBidi" w:eastAsia="Calibri" w:hAnsiTheme="majorBidi" w:cstheme="majorBidi"/>
                <w:sz w:val="16"/>
                <w:szCs w:val="16"/>
              </w:rPr>
              <w:t xml:space="preserve"> </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7</w:t>
            </w:r>
            <w:r w:rsidRPr="00470D29">
              <w:rPr>
                <w:rFonts w:asciiTheme="majorBidi" w:eastAsia="Calibri" w:hAnsiTheme="majorBidi" w:cstheme="majorBidi"/>
                <w:sz w:val="16"/>
                <w:szCs w:val="16"/>
              </w:rPr>
              <w:t>.3</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1.5</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AA69EF">
              <w:rPr>
                <w:rFonts w:asciiTheme="majorBidi" w:eastAsia="Calibri" w:hAnsiTheme="majorBidi" w:cstheme="majorBidi"/>
                <w:sz w:val="16"/>
                <w:szCs w:val="16"/>
              </w:rPr>
              <w:t>90.7</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470D29">
              <w:rPr>
                <w:rFonts w:asciiTheme="majorBidi" w:eastAsia="Calibri" w:hAnsiTheme="majorBidi" w:cstheme="majorBidi"/>
                <w:sz w:val="16"/>
                <w:szCs w:val="16"/>
              </w:rPr>
              <w:t>0.3</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w:t>
            </w:r>
            <w:r>
              <w:rPr>
                <w:rFonts w:asciiTheme="majorBidi" w:eastAsia="Calibri" w:hAnsiTheme="majorBidi" w:cstheme="majorBidi"/>
                <w:sz w:val="16"/>
                <w:szCs w:val="16"/>
              </w:rPr>
              <w:t>0</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w:t>
            </w:r>
            <w:r>
              <w:rPr>
                <w:rFonts w:asciiTheme="majorBidi" w:eastAsia="Calibri" w:hAnsiTheme="majorBidi" w:cstheme="majorBidi"/>
                <w:sz w:val="16"/>
                <w:szCs w:val="16"/>
              </w:rPr>
              <w:t>0</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w:t>
            </w:r>
            <w:r>
              <w:rPr>
                <w:rFonts w:asciiTheme="majorBidi" w:eastAsia="Calibri" w:hAnsiTheme="majorBidi" w:cstheme="majorBidi"/>
                <w:sz w:val="16"/>
                <w:szCs w:val="16"/>
              </w:rPr>
              <w:t>1</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0.1</w:t>
            </w:r>
          </w:p>
        </w:tc>
        <w:tc>
          <w:tcPr>
            <w:tcW w:w="0" w:type="auto"/>
          </w:tcPr>
          <w:p w:rsidR="00F5267D" w:rsidRPr="00664F32" w:rsidRDefault="00F5267D" w:rsidP="004E4D3A">
            <w:pPr>
              <w:autoSpaceDE w:val="0"/>
              <w:autoSpaceDN w:val="0"/>
              <w:adjustRightInd w:val="0"/>
              <w:rPr>
                <w:rFonts w:asciiTheme="majorBidi" w:eastAsia="Calibri" w:hAnsiTheme="majorBidi" w:cstheme="majorBidi"/>
                <w:sz w:val="16"/>
                <w:szCs w:val="16"/>
              </w:rPr>
            </w:pPr>
            <w:r>
              <w:rPr>
                <w:rFonts w:asciiTheme="majorBidi" w:eastAsia="Calibri" w:hAnsiTheme="majorBidi" w:cstheme="majorBidi"/>
                <w:sz w:val="16"/>
                <w:szCs w:val="16"/>
              </w:rPr>
              <w:t>9</w:t>
            </w:r>
          </w:p>
        </w:tc>
      </w:tr>
      <w:tr w:rsidR="00F5267D" w:rsidRPr="00664F32" w:rsidTr="004E4D3A">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Gold</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11.1</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1</w:t>
            </w:r>
            <w:r w:rsidRPr="00AA69EF">
              <w:rPr>
                <w:rFonts w:asciiTheme="majorBidi" w:eastAsia="Calibri" w:hAnsiTheme="majorBidi" w:cstheme="majorBidi"/>
                <w:sz w:val="16"/>
                <w:szCs w:val="16"/>
              </w:rPr>
              <w:t>.5</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3</w:t>
            </w:r>
            <w:r w:rsidRPr="00664F32">
              <w:rPr>
                <w:rFonts w:asciiTheme="majorBidi" w:eastAsia="Calibri" w:hAnsiTheme="majorBidi" w:cstheme="majorBidi"/>
                <w:sz w:val="16"/>
                <w:szCs w:val="16"/>
              </w:rPr>
              <w:t>.</w:t>
            </w:r>
            <w:r>
              <w:rPr>
                <w:rFonts w:asciiTheme="majorBidi" w:eastAsia="Calibri" w:hAnsiTheme="majorBidi" w:cstheme="majorBidi"/>
                <w:sz w:val="16"/>
                <w:szCs w:val="16"/>
              </w:rPr>
              <w:t>1</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AA69EF">
              <w:rPr>
                <w:rFonts w:asciiTheme="majorBidi" w:eastAsia="Calibri" w:hAnsiTheme="majorBidi" w:cstheme="majorBidi"/>
                <w:sz w:val="16"/>
                <w:szCs w:val="16"/>
              </w:rPr>
              <w:t>82.4</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AA69EF">
              <w:rPr>
                <w:rFonts w:asciiTheme="majorBidi" w:eastAsia="Calibri" w:hAnsiTheme="majorBidi" w:cstheme="majorBidi"/>
                <w:sz w:val="16"/>
                <w:szCs w:val="16"/>
              </w:rPr>
              <w:t>0.2</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w:t>
            </w:r>
            <w:r>
              <w:rPr>
                <w:rFonts w:asciiTheme="majorBidi" w:eastAsia="Calibri" w:hAnsiTheme="majorBidi" w:cstheme="majorBidi"/>
                <w:sz w:val="16"/>
                <w:szCs w:val="16"/>
              </w:rPr>
              <w:t>1</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1</w:t>
            </w:r>
            <w:r w:rsidRPr="00664F32">
              <w:rPr>
                <w:rFonts w:asciiTheme="majorBidi" w:eastAsia="Calibri" w:hAnsiTheme="majorBidi" w:cstheme="majorBidi"/>
                <w:sz w:val="16"/>
                <w:szCs w:val="16"/>
              </w:rPr>
              <w:t>.5</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w:t>
            </w:r>
            <w:r>
              <w:rPr>
                <w:rFonts w:asciiTheme="majorBidi" w:eastAsia="Calibri" w:hAnsiTheme="majorBidi" w:cstheme="majorBidi"/>
                <w:sz w:val="16"/>
                <w:szCs w:val="16"/>
              </w:rPr>
              <w:t>1</w:t>
            </w:r>
          </w:p>
        </w:tc>
        <w:tc>
          <w:tcPr>
            <w:tcW w:w="0" w:type="auto"/>
          </w:tcPr>
          <w:p w:rsidR="00F5267D" w:rsidRPr="00664F32" w:rsidRDefault="00F5267D" w:rsidP="004E4D3A">
            <w:pPr>
              <w:autoSpaceDE w:val="0"/>
              <w:autoSpaceDN w:val="0"/>
              <w:adjustRightInd w:val="0"/>
              <w:rPr>
                <w:rFonts w:asciiTheme="majorBidi" w:eastAsia="Calibri" w:hAnsiTheme="majorBidi" w:cstheme="majorBidi"/>
                <w:sz w:val="16"/>
                <w:szCs w:val="16"/>
              </w:rPr>
            </w:pPr>
            <w:r>
              <w:rPr>
                <w:rFonts w:asciiTheme="majorBidi" w:eastAsia="Calibri" w:hAnsiTheme="majorBidi" w:cstheme="majorBidi"/>
                <w:sz w:val="16"/>
                <w:szCs w:val="16"/>
              </w:rPr>
              <w:t>18</w:t>
            </w:r>
          </w:p>
        </w:tc>
      </w:tr>
      <w:tr w:rsidR="00F5267D" w:rsidRPr="00664F32" w:rsidTr="004E4D3A">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Silver</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9</w:t>
            </w:r>
            <w:r w:rsidRPr="00664F32">
              <w:rPr>
                <w:rFonts w:asciiTheme="majorBidi" w:eastAsia="Calibri" w:hAnsiTheme="majorBidi" w:cstheme="majorBidi"/>
                <w:sz w:val="16"/>
                <w:szCs w:val="16"/>
              </w:rPr>
              <w:t>.</w:t>
            </w:r>
            <w:r w:rsidRPr="00472996">
              <w:rPr>
                <w:rFonts w:asciiTheme="majorBidi" w:eastAsia="Calibri" w:hAnsiTheme="majorBidi" w:cstheme="majorBidi"/>
                <w:sz w:val="16"/>
                <w:szCs w:val="16"/>
              </w:rPr>
              <w:t>6</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3</w:t>
            </w:r>
            <w:r w:rsidRPr="00472996">
              <w:rPr>
                <w:rFonts w:asciiTheme="majorBidi" w:eastAsia="Calibri" w:hAnsiTheme="majorBidi" w:cstheme="majorBidi"/>
                <w:sz w:val="16"/>
                <w:szCs w:val="16"/>
              </w:rPr>
              <w:t>.</w:t>
            </w:r>
            <w:r>
              <w:rPr>
                <w:rFonts w:asciiTheme="majorBidi" w:eastAsia="Calibri" w:hAnsiTheme="majorBidi" w:cstheme="majorBidi"/>
                <w:sz w:val="16"/>
                <w:szCs w:val="16"/>
              </w:rPr>
              <w:t>0</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2</w:t>
            </w:r>
            <w:r w:rsidRPr="00472996">
              <w:rPr>
                <w:rFonts w:asciiTheme="majorBidi" w:eastAsia="Calibri" w:hAnsiTheme="majorBidi" w:cstheme="majorBidi"/>
                <w:sz w:val="16"/>
                <w:szCs w:val="16"/>
              </w:rPr>
              <w:t>.3</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472996">
              <w:rPr>
                <w:rFonts w:asciiTheme="majorBidi" w:eastAsia="Calibri" w:hAnsiTheme="majorBidi" w:cstheme="majorBidi"/>
                <w:sz w:val="16"/>
                <w:szCs w:val="16"/>
              </w:rPr>
              <w:t>65.4</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472996">
              <w:rPr>
                <w:rFonts w:asciiTheme="majorBidi" w:eastAsia="Calibri" w:hAnsiTheme="majorBidi" w:cstheme="majorBidi"/>
                <w:sz w:val="16"/>
                <w:szCs w:val="16"/>
              </w:rPr>
              <w:t>28.1</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472996">
              <w:rPr>
                <w:rFonts w:asciiTheme="majorBidi" w:eastAsia="Calibri" w:hAnsiTheme="majorBidi" w:cstheme="majorBidi"/>
                <w:sz w:val="16"/>
                <w:szCs w:val="16"/>
              </w:rPr>
              <w:t>0.1</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1</w:t>
            </w:r>
            <w:r w:rsidRPr="00472996">
              <w:rPr>
                <w:rFonts w:asciiTheme="majorBidi" w:eastAsia="Calibri" w:hAnsiTheme="majorBidi" w:cstheme="majorBidi"/>
                <w:sz w:val="16"/>
                <w:szCs w:val="16"/>
              </w:rPr>
              <w:t>.0</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w:t>
            </w:r>
            <w:r>
              <w:rPr>
                <w:rFonts w:asciiTheme="majorBidi" w:eastAsia="Calibri" w:hAnsiTheme="majorBidi" w:cstheme="majorBidi"/>
                <w:sz w:val="16"/>
                <w:szCs w:val="16"/>
              </w:rPr>
              <w:t>1</w:t>
            </w:r>
          </w:p>
        </w:tc>
        <w:tc>
          <w:tcPr>
            <w:tcW w:w="0" w:type="auto"/>
          </w:tcPr>
          <w:p w:rsidR="00F5267D" w:rsidRPr="00664F32" w:rsidRDefault="00F5267D" w:rsidP="004E4D3A">
            <w:pPr>
              <w:autoSpaceDE w:val="0"/>
              <w:autoSpaceDN w:val="0"/>
              <w:adjustRightInd w:val="0"/>
              <w:rPr>
                <w:rFonts w:asciiTheme="majorBidi" w:eastAsia="Calibri" w:hAnsiTheme="majorBidi" w:cstheme="majorBidi"/>
                <w:sz w:val="16"/>
                <w:szCs w:val="16"/>
              </w:rPr>
            </w:pPr>
            <w:r>
              <w:rPr>
                <w:rFonts w:asciiTheme="majorBidi" w:eastAsia="Calibri" w:hAnsiTheme="majorBidi" w:cstheme="majorBidi"/>
                <w:sz w:val="16"/>
                <w:szCs w:val="16"/>
              </w:rPr>
              <w:t>72</w:t>
            </w:r>
          </w:p>
        </w:tc>
      </w:tr>
      <w:tr w:rsidR="00F5267D" w:rsidRPr="00664F32" w:rsidTr="004E4D3A">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Wheat</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1</w:t>
            </w:r>
            <w:r w:rsidRPr="00664F32">
              <w:rPr>
                <w:rFonts w:asciiTheme="majorBidi" w:eastAsia="Calibri" w:hAnsiTheme="majorBidi" w:cstheme="majorBidi"/>
                <w:sz w:val="16"/>
                <w:szCs w:val="16"/>
              </w:rPr>
              <w:t>.</w:t>
            </w:r>
            <w:r>
              <w:rPr>
                <w:rFonts w:asciiTheme="majorBidi" w:eastAsia="Calibri" w:hAnsiTheme="majorBidi" w:cstheme="majorBidi"/>
                <w:sz w:val="16"/>
                <w:szCs w:val="16"/>
              </w:rPr>
              <w:t>5</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1</w:t>
            </w:r>
            <w:r w:rsidRPr="007D463D">
              <w:rPr>
                <w:rFonts w:asciiTheme="majorBidi" w:eastAsia="Calibri" w:hAnsiTheme="majorBidi" w:cstheme="majorBidi"/>
                <w:sz w:val="16"/>
                <w:szCs w:val="16"/>
              </w:rPr>
              <w:t>.7</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7D463D">
              <w:rPr>
                <w:rFonts w:asciiTheme="majorBidi" w:eastAsia="Calibri" w:hAnsiTheme="majorBidi" w:cstheme="majorBidi"/>
                <w:sz w:val="16"/>
                <w:szCs w:val="16"/>
              </w:rPr>
              <w:t>0.5</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7D463D">
              <w:rPr>
                <w:rFonts w:asciiTheme="majorBidi" w:eastAsia="Calibri" w:hAnsiTheme="majorBidi" w:cstheme="majorBidi"/>
                <w:sz w:val="16"/>
                <w:szCs w:val="16"/>
              </w:rPr>
              <w:t>0.1</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7D463D">
              <w:rPr>
                <w:rFonts w:asciiTheme="majorBidi" w:eastAsia="Calibri" w:hAnsiTheme="majorBidi" w:cstheme="majorBidi"/>
                <w:sz w:val="16"/>
                <w:szCs w:val="16"/>
              </w:rPr>
              <w:t>0.2</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7D463D">
              <w:rPr>
                <w:rFonts w:asciiTheme="majorBidi" w:eastAsia="Calibri" w:hAnsiTheme="majorBidi" w:cstheme="majorBidi"/>
                <w:sz w:val="16"/>
                <w:szCs w:val="16"/>
              </w:rPr>
              <w:t>92.3</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1.0</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7D463D">
              <w:rPr>
                <w:rFonts w:asciiTheme="majorBidi" w:eastAsia="Calibri" w:hAnsiTheme="majorBidi" w:cstheme="majorBidi"/>
                <w:sz w:val="16"/>
                <w:szCs w:val="16"/>
              </w:rPr>
              <w:t>2.7</w:t>
            </w:r>
          </w:p>
        </w:tc>
        <w:tc>
          <w:tcPr>
            <w:tcW w:w="0" w:type="auto"/>
          </w:tcPr>
          <w:p w:rsidR="00F5267D" w:rsidRPr="00664F32" w:rsidRDefault="00F5267D" w:rsidP="004E4D3A">
            <w:pPr>
              <w:autoSpaceDE w:val="0"/>
              <w:autoSpaceDN w:val="0"/>
              <w:adjustRightInd w:val="0"/>
              <w:rPr>
                <w:rFonts w:asciiTheme="majorBidi" w:eastAsia="Calibri" w:hAnsiTheme="majorBidi" w:cstheme="majorBidi"/>
                <w:sz w:val="16"/>
                <w:szCs w:val="16"/>
              </w:rPr>
            </w:pPr>
            <w:r>
              <w:rPr>
                <w:rFonts w:asciiTheme="majorBidi" w:eastAsia="Calibri" w:hAnsiTheme="majorBidi" w:cstheme="majorBidi"/>
                <w:sz w:val="16"/>
                <w:szCs w:val="16"/>
              </w:rPr>
              <w:t>8</w:t>
            </w:r>
          </w:p>
        </w:tc>
      </w:tr>
      <w:tr w:rsidR="00F5267D" w:rsidRPr="00664F32" w:rsidTr="004E4D3A">
        <w:trPr>
          <w:trHeight w:val="56"/>
        </w:trPr>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Corn</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1.0</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1.2</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0.2</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2.0</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0.3</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31.6</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60.9</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2.7</w:t>
            </w:r>
          </w:p>
        </w:tc>
        <w:tc>
          <w:tcPr>
            <w:tcW w:w="0" w:type="auto"/>
          </w:tcPr>
          <w:p w:rsidR="00F5267D" w:rsidRPr="00664F32" w:rsidRDefault="00F5267D" w:rsidP="004E4D3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39</w:t>
            </w:r>
          </w:p>
        </w:tc>
      </w:tr>
      <w:tr w:rsidR="00F5267D" w:rsidRPr="00664F32" w:rsidTr="004E4D3A">
        <w:trPr>
          <w:trHeight w:val="112"/>
        </w:trPr>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Soybean</w:t>
            </w:r>
            <w:r>
              <w:rPr>
                <w:rFonts w:asciiTheme="majorBidi" w:eastAsia="Calibri" w:hAnsiTheme="majorBidi" w:cstheme="majorBidi"/>
                <w:sz w:val="16"/>
                <w:szCs w:val="16"/>
              </w:rPr>
              <w:t>s</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1</w:t>
            </w:r>
            <w:r w:rsidRPr="00FB74E4">
              <w:rPr>
                <w:rFonts w:asciiTheme="majorBidi" w:eastAsia="Calibri" w:hAnsiTheme="majorBidi" w:cstheme="majorBidi"/>
                <w:sz w:val="16"/>
                <w:szCs w:val="16"/>
              </w:rPr>
              <w:t>.3</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FB74E4">
              <w:rPr>
                <w:rFonts w:asciiTheme="majorBidi" w:eastAsia="Calibri" w:hAnsiTheme="majorBidi" w:cstheme="majorBidi"/>
                <w:sz w:val="16"/>
                <w:szCs w:val="16"/>
              </w:rPr>
              <w:t>0.1</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1</w:t>
            </w:r>
            <w:r w:rsidRPr="00FB74E4">
              <w:rPr>
                <w:rFonts w:asciiTheme="majorBidi" w:eastAsia="Calibri" w:hAnsiTheme="majorBidi" w:cstheme="majorBidi"/>
                <w:sz w:val="16"/>
                <w:szCs w:val="16"/>
              </w:rPr>
              <w:t>.2</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1</w:t>
            </w:r>
            <w:r w:rsidRPr="00FB74E4">
              <w:rPr>
                <w:rFonts w:asciiTheme="majorBidi" w:eastAsia="Calibri" w:hAnsiTheme="majorBidi" w:cstheme="majorBidi"/>
                <w:sz w:val="16"/>
                <w:szCs w:val="16"/>
              </w:rPr>
              <w:t>.2</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2</w:t>
            </w:r>
            <w:r w:rsidRPr="00FB74E4">
              <w:rPr>
                <w:rFonts w:asciiTheme="majorBidi" w:eastAsia="Calibri" w:hAnsiTheme="majorBidi" w:cstheme="majorBidi"/>
                <w:sz w:val="16"/>
                <w:szCs w:val="16"/>
              </w:rPr>
              <w:t>.3</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9</w:t>
            </w:r>
            <w:r w:rsidRPr="00664F32">
              <w:rPr>
                <w:rFonts w:asciiTheme="majorBidi" w:eastAsia="Calibri" w:hAnsiTheme="majorBidi" w:cstheme="majorBidi"/>
                <w:sz w:val="16"/>
                <w:szCs w:val="16"/>
              </w:rPr>
              <w:t>.</w:t>
            </w:r>
            <w:r>
              <w:rPr>
                <w:rFonts w:asciiTheme="majorBidi" w:eastAsia="Calibri" w:hAnsiTheme="majorBidi" w:cstheme="majorBidi"/>
                <w:sz w:val="16"/>
                <w:szCs w:val="16"/>
              </w:rPr>
              <w:t>2</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sidRPr="00664F32">
              <w:rPr>
                <w:rFonts w:asciiTheme="majorBidi" w:eastAsia="Calibri" w:hAnsiTheme="majorBidi" w:cstheme="majorBidi"/>
                <w:sz w:val="16"/>
                <w:szCs w:val="16"/>
              </w:rPr>
              <w:t>1</w:t>
            </w:r>
            <w:r>
              <w:rPr>
                <w:rFonts w:asciiTheme="majorBidi" w:eastAsia="Calibri" w:hAnsiTheme="majorBidi" w:cstheme="majorBidi"/>
                <w:sz w:val="16"/>
                <w:szCs w:val="16"/>
              </w:rPr>
              <w:t>3</w:t>
            </w:r>
            <w:r w:rsidRPr="00664F32">
              <w:rPr>
                <w:rFonts w:asciiTheme="majorBidi" w:eastAsia="Calibri" w:hAnsiTheme="majorBidi" w:cstheme="majorBidi"/>
                <w:sz w:val="16"/>
                <w:szCs w:val="16"/>
              </w:rPr>
              <w:t>.</w:t>
            </w:r>
            <w:r>
              <w:rPr>
                <w:rFonts w:asciiTheme="majorBidi" w:eastAsia="Calibri" w:hAnsiTheme="majorBidi" w:cstheme="majorBidi"/>
                <w:sz w:val="16"/>
                <w:szCs w:val="16"/>
              </w:rPr>
              <w:t>5</w:t>
            </w:r>
          </w:p>
        </w:tc>
        <w:tc>
          <w:tcPr>
            <w:tcW w:w="0" w:type="auto"/>
          </w:tcPr>
          <w:p w:rsidR="00F5267D" w:rsidRPr="00664F32"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71</w:t>
            </w:r>
          </w:p>
        </w:tc>
        <w:tc>
          <w:tcPr>
            <w:tcW w:w="0" w:type="auto"/>
          </w:tcPr>
          <w:p w:rsidR="00F5267D" w:rsidRPr="00664F32" w:rsidRDefault="00F5267D" w:rsidP="004E4D3A">
            <w:pPr>
              <w:autoSpaceDE w:val="0"/>
              <w:autoSpaceDN w:val="0"/>
              <w:adjustRightInd w:val="0"/>
              <w:rPr>
                <w:rFonts w:asciiTheme="majorBidi" w:eastAsia="Calibri" w:hAnsiTheme="majorBidi" w:cstheme="majorBidi"/>
                <w:sz w:val="16"/>
                <w:szCs w:val="16"/>
              </w:rPr>
            </w:pPr>
            <w:r>
              <w:rPr>
                <w:rFonts w:asciiTheme="majorBidi" w:eastAsia="Calibri" w:hAnsiTheme="majorBidi" w:cstheme="majorBidi"/>
                <w:sz w:val="16"/>
                <w:szCs w:val="16"/>
              </w:rPr>
              <w:t>29</w:t>
            </w:r>
          </w:p>
        </w:tc>
      </w:tr>
      <w:tr w:rsidR="00F5267D" w:rsidRPr="00664F32" w:rsidTr="004E4D3A">
        <w:trPr>
          <w:trHeight w:val="172"/>
        </w:trPr>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Contribution to others</w:t>
            </w:r>
          </w:p>
        </w:tc>
        <w:tc>
          <w:tcPr>
            <w:tcW w:w="0" w:type="auto"/>
          </w:tcPr>
          <w:p w:rsidR="00F5267D" w:rsidRPr="00FB74E4"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39</w:t>
            </w:r>
          </w:p>
        </w:tc>
        <w:tc>
          <w:tcPr>
            <w:tcW w:w="0" w:type="auto"/>
          </w:tcPr>
          <w:p w:rsidR="00F5267D" w:rsidRPr="00FB74E4" w:rsidRDefault="00F5267D" w:rsidP="004E4D3A">
            <w:pPr>
              <w:autoSpaceDE w:val="0"/>
              <w:autoSpaceDN w:val="0"/>
              <w:adjustRightInd w:val="0"/>
              <w:jc w:val="center"/>
              <w:rPr>
                <w:rFonts w:asciiTheme="majorBidi" w:eastAsia="Calibri" w:hAnsiTheme="majorBidi" w:cstheme="majorBidi"/>
                <w:sz w:val="16"/>
                <w:szCs w:val="16"/>
              </w:rPr>
            </w:pPr>
            <w:r w:rsidRPr="00FB74E4">
              <w:rPr>
                <w:rFonts w:asciiTheme="majorBidi" w:eastAsia="Calibri" w:hAnsiTheme="majorBidi" w:cstheme="majorBidi"/>
                <w:sz w:val="16"/>
                <w:szCs w:val="16"/>
              </w:rPr>
              <w:t>9</w:t>
            </w:r>
          </w:p>
        </w:tc>
        <w:tc>
          <w:tcPr>
            <w:tcW w:w="0" w:type="auto"/>
          </w:tcPr>
          <w:p w:rsidR="00F5267D" w:rsidRPr="00FB74E4"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8</w:t>
            </w:r>
          </w:p>
        </w:tc>
        <w:tc>
          <w:tcPr>
            <w:tcW w:w="0" w:type="auto"/>
          </w:tcPr>
          <w:p w:rsidR="00F5267D" w:rsidRPr="00FB74E4"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69</w:t>
            </w:r>
          </w:p>
        </w:tc>
        <w:tc>
          <w:tcPr>
            <w:tcW w:w="0" w:type="auto"/>
          </w:tcPr>
          <w:p w:rsidR="00F5267D" w:rsidRPr="00FB74E4" w:rsidRDefault="00F5267D" w:rsidP="004E4D3A">
            <w:pPr>
              <w:autoSpaceDE w:val="0"/>
              <w:autoSpaceDN w:val="0"/>
              <w:adjustRightInd w:val="0"/>
              <w:jc w:val="center"/>
              <w:rPr>
                <w:rFonts w:asciiTheme="majorBidi" w:eastAsia="Calibri" w:hAnsiTheme="majorBidi" w:cstheme="majorBidi"/>
                <w:sz w:val="16"/>
                <w:szCs w:val="16"/>
              </w:rPr>
            </w:pPr>
            <w:r w:rsidRPr="00FB74E4">
              <w:rPr>
                <w:rFonts w:asciiTheme="majorBidi" w:eastAsia="Calibri" w:hAnsiTheme="majorBidi" w:cstheme="majorBidi"/>
                <w:sz w:val="16"/>
                <w:szCs w:val="16"/>
              </w:rPr>
              <w:t>5</w:t>
            </w:r>
          </w:p>
        </w:tc>
        <w:tc>
          <w:tcPr>
            <w:tcW w:w="0" w:type="auto"/>
          </w:tcPr>
          <w:p w:rsidR="00F5267D" w:rsidRPr="00FB74E4"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43</w:t>
            </w:r>
          </w:p>
        </w:tc>
        <w:tc>
          <w:tcPr>
            <w:tcW w:w="0" w:type="auto"/>
          </w:tcPr>
          <w:p w:rsidR="00F5267D" w:rsidRPr="00FB74E4"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18</w:t>
            </w:r>
          </w:p>
        </w:tc>
        <w:tc>
          <w:tcPr>
            <w:tcW w:w="0" w:type="auto"/>
          </w:tcPr>
          <w:p w:rsidR="00F5267D" w:rsidRPr="00FB74E4"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6</w:t>
            </w:r>
          </w:p>
        </w:tc>
        <w:tc>
          <w:tcPr>
            <w:tcW w:w="0" w:type="auto"/>
          </w:tcPr>
          <w:p w:rsidR="00F5267D" w:rsidRPr="00664F32" w:rsidRDefault="00F5267D" w:rsidP="004E4D3A">
            <w:pPr>
              <w:autoSpaceDE w:val="0"/>
              <w:autoSpaceDN w:val="0"/>
              <w:adjustRightInd w:val="0"/>
              <w:rPr>
                <w:rFonts w:asciiTheme="majorBidi" w:eastAsia="Calibri" w:hAnsiTheme="majorBidi" w:cstheme="majorBidi"/>
                <w:sz w:val="16"/>
                <w:szCs w:val="16"/>
              </w:rPr>
            </w:pPr>
            <w:r>
              <w:rPr>
                <w:rFonts w:asciiTheme="majorBidi" w:eastAsia="Calibri" w:hAnsiTheme="majorBidi" w:cstheme="majorBidi"/>
                <w:sz w:val="16"/>
                <w:szCs w:val="16"/>
              </w:rPr>
              <w:t>179</w:t>
            </w:r>
          </w:p>
        </w:tc>
      </w:tr>
      <w:tr w:rsidR="00F5267D" w:rsidRPr="00664F32" w:rsidTr="004E4D3A">
        <w:trPr>
          <w:trHeight w:val="70"/>
        </w:trPr>
        <w:tc>
          <w:tcPr>
            <w:tcW w:w="0" w:type="auto"/>
            <w:tcBorders>
              <w:bottom w:val="single" w:sz="6" w:space="0" w:color="auto"/>
            </w:tcBorders>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Contribution including own</w:t>
            </w:r>
          </w:p>
        </w:tc>
        <w:tc>
          <w:tcPr>
            <w:tcW w:w="0" w:type="auto"/>
            <w:tcBorders>
              <w:bottom w:val="single" w:sz="6" w:space="0" w:color="auto"/>
            </w:tcBorders>
            <w:vAlign w:val="bottom"/>
          </w:tcPr>
          <w:p w:rsidR="00F5267D" w:rsidRPr="001541C6"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137</w:t>
            </w:r>
          </w:p>
        </w:tc>
        <w:tc>
          <w:tcPr>
            <w:tcW w:w="0" w:type="auto"/>
            <w:tcBorders>
              <w:bottom w:val="single" w:sz="6" w:space="0" w:color="auto"/>
            </w:tcBorders>
            <w:vAlign w:val="bottom"/>
          </w:tcPr>
          <w:p w:rsidR="00F5267D" w:rsidRPr="001541C6"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89</w:t>
            </w:r>
          </w:p>
        </w:tc>
        <w:tc>
          <w:tcPr>
            <w:tcW w:w="0" w:type="auto"/>
            <w:tcBorders>
              <w:bottom w:val="single" w:sz="6" w:space="0" w:color="auto"/>
            </w:tcBorders>
            <w:vAlign w:val="bottom"/>
          </w:tcPr>
          <w:p w:rsidR="00F5267D" w:rsidRPr="001541C6"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98</w:t>
            </w:r>
          </w:p>
        </w:tc>
        <w:tc>
          <w:tcPr>
            <w:tcW w:w="0" w:type="auto"/>
            <w:tcBorders>
              <w:bottom w:val="single" w:sz="6" w:space="0" w:color="auto"/>
            </w:tcBorders>
            <w:vAlign w:val="bottom"/>
          </w:tcPr>
          <w:p w:rsidR="00F5267D" w:rsidRPr="001541C6" w:rsidRDefault="00F5267D" w:rsidP="004E4D3A">
            <w:pPr>
              <w:autoSpaceDE w:val="0"/>
              <w:autoSpaceDN w:val="0"/>
              <w:adjustRightInd w:val="0"/>
              <w:jc w:val="center"/>
              <w:rPr>
                <w:rFonts w:asciiTheme="majorBidi" w:eastAsia="Calibri" w:hAnsiTheme="majorBidi" w:cstheme="majorBidi"/>
                <w:sz w:val="16"/>
                <w:szCs w:val="16"/>
              </w:rPr>
            </w:pPr>
            <w:r w:rsidRPr="001541C6">
              <w:rPr>
                <w:rFonts w:asciiTheme="majorBidi" w:eastAsia="Calibri" w:hAnsiTheme="majorBidi" w:cstheme="majorBidi"/>
                <w:sz w:val="16"/>
                <w:szCs w:val="16"/>
              </w:rPr>
              <w:t>15</w:t>
            </w:r>
            <w:r>
              <w:rPr>
                <w:rFonts w:asciiTheme="majorBidi" w:eastAsia="Calibri" w:hAnsiTheme="majorBidi" w:cstheme="majorBidi"/>
                <w:sz w:val="16"/>
                <w:szCs w:val="16"/>
              </w:rPr>
              <w:t>2</w:t>
            </w:r>
          </w:p>
        </w:tc>
        <w:tc>
          <w:tcPr>
            <w:tcW w:w="0" w:type="auto"/>
            <w:tcBorders>
              <w:bottom w:val="single" w:sz="6" w:space="0" w:color="auto"/>
            </w:tcBorders>
            <w:vAlign w:val="bottom"/>
          </w:tcPr>
          <w:p w:rsidR="00F5267D" w:rsidRPr="001541C6"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33</w:t>
            </w:r>
          </w:p>
        </w:tc>
        <w:tc>
          <w:tcPr>
            <w:tcW w:w="0" w:type="auto"/>
            <w:tcBorders>
              <w:bottom w:val="single" w:sz="6" w:space="0" w:color="auto"/>
            </w:tcBorders>
            <w:vAlign w:val="bottom"/>
          </w:tcPr>
          <w:p w:rsidR="00F5267D" w:rsidRPr="001541C6"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135</w:t>
            </w:r>
          </w:p>
        </w:tc>
        <w:tc>
          <w:tcPr>
            <w:tcW w:w="0" w:type="auto"/>
            <w:tcBorders>
              <w:bottom w:val="single" w:sz="6" w:space="0" w:color="auto"/>
            </w:tcBorders>
            <w:vAlign w:val="bottom"/>
          </w:tcPr>
          <w:p w:rsidR="00F5267D" w:rsidRPr="001541C6"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78</w:t>
            </w:r>
          </w:p>
        </w:tc>
        <w:tc>
          <w:tcPr>
            <w:tcW w:w="0" w:type="auto"/>
            <w:tcBorders>
              <w:bottom w:val="single" w:sz="6" w:space="0" w:color="auto"/>
            </w:tcBorders>
            <w:vAlign w:val="bottom"/>
          </w:tcPr>
          <w:p w:rsidR="00F5267D" w:rsidRPr="001541C6" w:rsidRDefault="00F5267D" w:rsidP="004E4D3A">
            <w:pPr>
              <w:autoSpaceDE w:val="0"/>
              <w:autoSpaceDN w:val="0"/>
              <w:adjustRightInd w:val="0"/>
              <w:jc w:val="center"/>
              <w:rPr>
                <w:rFonts w:asciiTheme="majorBidi" w:eastAsia="Calibri" w:hAnsiTheme="majorBidi" w:cstheme="majorBidi"/>
                <w:sz w:val="16"/>
                <w:szCs w:val="16"/>
              </w:rPr>
            </w:pPr>
            <w:r>
              <w:rPr>
                <w:rFonts w:asciiTheme="majorBidi" w:eastAsia="Calibri" w:hAnsiTheme="majorBidi" w:cstheme="majorBidi"/>
                <w:sz w:val="16"/>
                <w:szCs w:val="16"/>
              </w:rPr>
              <w:t>77</w:t>
            </w:r>
          </w:p>
        </w:tc>
        <w:tc>
          <w:tcPr>
            <w:tcW w:w="0" w:type="auto"/>
            <w:tcBorders>
              <w:bottom w:val="single" w:sz="6" w:space="0" w:color="auto"/>
            </w:tcBorders>
          </w:tcPr>
          <w:p w:rsidR="00F5267D" w:rsidRPr="00664F32" w:rsidRDefault="00F5267D" w:rsidP="004E4D3A">
            <w:pPr>
              <w:autoSpaceDE w:val="0"/>
              <w:autoSpaceDN w:val="0"/>
              <w:adjustRightInd w:val="0"/>
              <w:rPr>
                <w:rFonts w:asciiTheme="majorBidi" w:eastAsia="Calibri" w:hAnsiTheme="majorBidi" w:cstheme="majorBidi"/>
                <w:sz w:val="16"/>
                <w:szCs w:val="16"/>
              </w:rPr>
            </w:pPr>
            <w:r w:rsidRPr="00664F32">
              <w:rPr>
                <w:rFonts w:asciiTheme="majorBidi" w:eastAsia="Calibri" w:hAnsiTheme="majorBidi" w:cstheme="majorBidi"/>
                <w:sz w:val="16"/>
                <w:szCs w:val="16"/>
              </w:rPr>
              <w:t>Total spillover Index =</w:t>
            </w:r>
            <w:r>
              <w:rPr>
                <w:rFonts w:asciiTheme="majorBidi" w:eastAsia="Calibri" w:hAnsiTheme="majorBidi" w:cstheme="majorBidi"/>
                <w:sz w:val="16"/>
                <w:szCs w:val="16"/>
              </w:rPr>
              <w:t>22.4</w:t>
            </w:r>
            <w:r w:rsidRPr="00664F32">
              <w:rPr>
                <w:rFonts w:asciiTheme="majorBidi" w:eastAsia="Calibri" w:hAnsiTheme="majorBidi" w:cstheme="majorBidi"/>
                <w:sz w:val="16"/>
                <w:szCs w:val="16"/>
              </w:rPr>
              <w:t>%</w:t>
            </w:r>
          </w:p>
        </w:tc>
      </w:tr>
      <w:tr w:rsidR="00F5267D" w:rsidRPr="00664F32" w:rsidTr="00F5267D">
        <w:trPr>
          <w:trHeight w:val="114"/>
        </w:trPr>
        <w:tc>
          <w:tcPr>
            <w:tcW w:w="0" w:type="auto"/>
            <w:gridSpan w:val="8"/>
            <w:tcBorders>
              <w:top w:val="single" w:sz="6" w:space="0" w:color="auto"/>
              <w:bottom w:val="single" w:sz="6" w:space="0" w:color="auto"/>
            </w:tcBorders>
          </w:tcPr>
          <w:p w:rsidR="00F5267D" w:rsidRPr="00F5267D" w:rsidRDefault="00F5267D" w:rsidP="004E4D3A">
            <w:pPr>
              <w:autoSpaceDE w:val="0"/>
              <w:autoSpaceDN w:val="0"/>
              <w:adjustRightInd w:val="0"/>
              <w:rPr>
                <w:rFonts w:asciiTheme="majorBidi" w:eastAsia="Calibri" w:hAnsiTheme="majorBidi" w:cstheme="majorBidi"/>
                <w:i/>
                <w:iCs/>
                <w:sz w:val="16"/>
                <w:szCs w:val="16"/>
              </w:rPr>
            </w:pPr>
            <w:r w:rsidRPr="00F5267D">
              <w:rPr>
                <w:rFonts w:asciiTheme="majorBidi" w:eastAsia="Calibri" w:hAnsiTheme="majorBidi" w:cstheme="majorBidi"/>
                <w:i/>
                <w:iCs/>
                <w:sz w:val="16"/>
                <w:szCs w:val="16"/>
              </w:rPr>
              <w:t>Panel B: Conditional volatility</w:t>
            </w:r>
          </w:p>
        </w:tc>
        <w:tc>
          <w:tcPr>
            <w:tcW w:w="0" w:type="auto"/>
            <w:gridSpan w:val="2"/>
            <w:tcBorders>
              <w:top w:val="single" w:sz="6" w:space="0" w:color="auto"/>
              <w:bottom w:val="single" w:sz="6" w:space="0" w:color="auto"/>
            </w:tcBorders>
          </w:tcPr>
          <w:p w:rsidR="00F5267D" w:rsidRPr="00664F32" w:rsidRDefault="00F5267D" w:rsidP="004E4D3A">
            <w:pPr>
              <w:autoSpaceDE w:val="0"/>
              <w:autoSpaceDN w:val="0"/>
              <w:adjustRightInd w:val="0"/>
              <w:rPr>
                <w:rFonts w:asciiTheme="majorBidi" w:eastAsia="Calibri" w:hAnsiTheme="majorBidi" w:cstheme="majorBidi"/>
                <w:sz w:val="16"/>
                <w:szCs w:val="16"/>
              </w:rPr>
            </w:pPr>
          </w:p>
        </w:tc>
      </w:tr>
      <w:tr w:rsidR="00F5267D" w:rsidRPr="00664F32" w:rsidTr="004E4D3A">
        <w:trPr>
          <w:trHeight w:val="173"/>
        </w:trPr>
        <w:tc>
          <w:tcPr>
            <w:tcW w:w="0" w:type="auto"/>
            <w:tcBorders>
              <w:top w:val="single" w:sz="6" w:space="0" w:color="auto"/>
            </w:tcBorders>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Crude Oil</w:t>
            </w:r>
          </w:p>
        </w:tc>
        <w:tc>
          <w:tcPr>
            <w:tcW w:w="0" w:type="auto"/>
            <w:tcBorders>
              <w:top w:val="single" w:sz="6"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98.5</w:t>
            </w:r>
          </w:p>
        </w:tc>
        <w:tc>
          <w:tcPr>
            <w:tcW w:w="0" w:type="auto"/>
            <w:tcBorders>
              <w:top w:val="single" w:sz="6"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w:t>
            </w:r>
          </w:p>
        </w:tc>
        <w:tc>
          <w:tcPr>
            <w:tcW w:w="0" w:type="auto"/>
            <w:tcBorders>
              <w:top w:val="single" w:sz="6"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0.3</w:t>
            </w:r>
          </w:p>
        </w:tc>
        <w:tc>
          <w:tcPr>
            <w:tcW w:w="0" w:type="auto"/>
            <w:tcBorders>
              <w:top w:val="single" w:sz="6"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w:t>
            </w:r>
          </w:p>
        </w:tc>
        <w:tc>
          <w:tcPr>
            <w:tcW w:w="0" w:type="auto"/>
            <w:tcBorders>
              <w:top w:val="single" w:sz="6"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1.1</w:t>
            </w:r>
          </w:p>
        </w:tc>
        <w:tc>
          <w:tcPr>
            <w:tcW w:w="0" w:type="auto"/>
            <w:tcBorders>
              <w:top w:val="single" w:sz="6"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0.1</w:t>
            </w:r>
          </w:p>
        </w:tc>
        <w:tc>
          <w:tcPr>
            <w:tcW w:w="0" w:type="auto"/>
            <w:tcBorders>
              <w:top w:val="single" w:sz="6"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w:t>
            </w:r>
          </w:p>
        </w:tc>
        <w:tc>
          <w:tcPr>
            <w:tcW w:w="0" w:type="auto"/>
            <w:tcBorders>
              <w:top w:val="single" w:sz="6"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w:t>
            </w:r>
          </w:p>
        </w:tc>
        <w:tc>
          <w:tcPr>
            <w:tcW w:w="0" w:type="auto"/>
            <w:tcBorders>
              <w:top w:val="single" w:sz="6" w:space="0" w:color="auto"/>
            </w:tcBorders>
            <w:vAlign w:val="center"/>
          </w:tcPr>
          <w:p w:rsidR="00F5267D" w:rsidRPr="00A27BF0" w:rsidRDefault="00F5267D" w:rsidP="004E4D3A">
            <w:pPr>
              <w:autoSpaceDE w:val="0"/>
              <w:autoSpaceDN w:val="0"/>
              <w:adjustRightInd w:val="0"/>
              <w:rPr>
                <w:rFonts w:asciiTheme="majorBidi" w:eastAsia="Calibri" w:hAnsiTheme="majorBidi" w:cstheme="majorBidi"/>
                <w:sz w:val="16"/>
                <w:szCs w:val="16"/>
              </w:rPr>
            </w:pPr>
            <w:r w:rsidRPr="00A27BF0">
              <w:rPr>
                <w:rFonts w:asciiTheme="majorBidi" w:eastAsia="Calibri" w:hAnsiTheme="majorBidi" w:cstheme="majorBidi"/>
                <w:sz w:val="16"/>
                <w:szCs w:val="16"/>
              </w:rPr>
              <w:t>2</w:t>
            </w:r>
          </w:p>
        </w:tc>
      </w:tr>
      <w:tr w:rsidR="00F5267D" w:rsidRPr="00664F32" w:rsidTr="004E4D3A">
        <w:trPr>
          <w:trHeight w:val="195"/>
        </w:trPr>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US-Stock</w:t>
            </w:r>
            <w:r>
              <w:rPr>
                <w:rFonts w:asciiTheme="majorBidi" w:eastAsia="Calibri" w:hAnsiTheme="majorBidi" w:cstheme="majorBidi"/>
                <w:sz w:val="16"/>
                <w:szCs w:val="16"/>
              </w:rPr>
              <w:t xml:space="preserve"> </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16.1</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80</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0.1</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0.2</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0.4</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2.6</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0.5</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0.1</w:t>
            </w:r>
          </w:p>
        </w:tc>
        <w:tc>
          <w:tcPr>
            <w:tcW w:w="0" w:type="auto"/>
            <w:vAlign w:val="center"/>
          </w:tcPr>
          <w:p w:rsidR="00F5267D" w:rsidRPr="00A27BF0" w:rsidRDefault="00F5267D" w:rsidP="004E4D3A">
            <w:pPr>
              <w:autoSpaceDE w:val="0"/>
              <w:autoSpaceDN w:val="0"/>
              <w:adjustRightInd w:val="0"/>
              <w:rPr>
                <w:rFonts w:asciiTheme="majorBidi" w:eastAsia="Calibri" w:hAnsiTheme="majorBidi" w:cstheme="majorBidi"/>
                <w:sz w:val="16"/>
                <w:szCs w:val="16"/>
              </w:rPr>
            </w:pPr>
            <w:r w:rsidRPr="00A27BF0">
              <w:rPr>
                <w:rFonts w:asciiTheme="majorBidi" w:eastAsia="Calibri" w:hAnsiTheme="majorBidi" w:cstheme="majorBidi"/>
                <w:sz w:val="16"/>
                <w:szCs w:val="16"/>
              </w:rPr>
              <w:t>20</w:t>
            </w:r>
          </w:p>
        </w:tc>
      </w:tr>
      <w:tr w:rsidR="00F5267D" w:rsidRPr="00664F32" w:rsidTr="004E4D3A">
        <w:trPr>
          <w:trHeight w:val="173"/>
        </w:trPr>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Euro/Dollar</w:t>
            </w:r>
            <w:r>
              <w:rPr>
                <w:rFonts w:asciiTheme="majorBidi" w:eastAsia="Calibri" w:hAnsiTheme="majorBidi" w:cstheme="majorBidi"/>
                <w:sz w:val="16"/>
                <w:szCs w:val="16"/>
              </w:rPr>
              <w:t xml:space="preserve"> </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7.7</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1.9</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89.2</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0.3</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0.1</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0.1</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0.5</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0.2</w:t>
            </w:r>
          </w:p>
        </w:tc>
        <w:tc>
          <w:tcPr>
            <w:tcW w:w="0" w:type="auto"/>
            <w:vAlign w:val="center"/>
          </w:tcPr>
          <w:p w:rsidR="00F5267D" w:rsidRPr="00A27BF0" w:rsidRDefault="00F5267D" w:rsidP="004E4D3A">
            <w:pPr>
              <w:autoSpaceDE w:val="0"/>
              <w:autoSpaceDN w:val="0"/>
              <w:adjustRightInd w:val="0"/>
              <w:rPr>
                <w:rFonts w:asciiTheme="majorBidi" w:eastAsia="Calibri" w:hAnsiTheme="majorBidi" w:cstheme="majorBidi"/>
                <w:sz w:val="16"/>
                <w:szCs w:val="16"/>
              </w:rPr>
            </w:pPr>
            <w:r w:rsidRPr="00A27BF0">
              <w:rPr>
                <w:rFonts w:asciiTheme="majorBidi" w:eastAsia="Calibri" w:hAnsiTheme="majorBidi" w:cstheme="majorBidi"/>
                <w:sz w:val="16"/>
                <w:szCs w:val="16"/>
              </w:rPr>
              <w:t>11</w:t>
            </w:r>
          </w:p>
        </w:tc>
      </w:tr>
      <w:tr w:rsidR="00F5267D" w:rsidRPr="00664F32" w:rsidTr="004E4D3A">
        <w:trPr>
          <w:trHeight w:val="173"/>
        </w:trPr>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Gold</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10.2</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1.6</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0.1</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84</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0.2</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0.1</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3.1</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0.7</w:t>
            </w:r>
          </w:p>
        </w:tc>
        <w:tc>
          <w:tcPr>
            <w:tcW w:w="0" w:type="auto"/>
            <w:vAlign w:val="center"/>
          </w:tcPr>
          <w:p w:rsidR="00F5267D" w:rsidRPr="00A27BF0" w:rsidRDefault="00F5267D" w:rsidP="004E4D3A">
            <w:pPr>
              <w:autoSpaceDE w:val="0"/>
              <w:autoSpaceDN w:val="0"/>
              <w:adjustRightInd w:val="0"/>
              <w:rPr>
                <w:rFonts w:asciiTheme="majorBidi" w:eastAsia="Calibri" w:hAnsiTheme="majorBidi" w:cstheme="majorBidi"/>
                <w:sz w:val="16"/>
                <w:szCs w:val="16"/>
              </w:rPr>
            </w:pPr>
            <w:r w:rsidRPr="00A27BF0">
              <w:rPr>
                <w:rFonts w:asciiTheme="majorBidi" w:eastAsia="Calibri" w:hAnsiTheme="majorBidi" w:cstheme="majorBidi"/>
                <w:sz w:val="16"/>
                <w:szCs w:val="16"/>
              </w:rPr>
              <w:t>16</w:t>
            </w:r>
          </w:p>
        </w:tc>
      </w:tr>
      <w:tr w:rsidR="00F5267D" w:rsidRPr="00664F32" w:rsidTr="004E4D3A">
        <w:trPr>
          <w:trHeight w:val="180"/>
        </w:trPr>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Silver</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8.2</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4.8</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0.2</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60.6</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22.6</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0.1</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3.5</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w:t>
            </w:r>
          </w:p>
        </w:tc>
        <w:tc>
          <w:tcPr>
            <w:tcW w:w="0" w:type="auto"/>
            <w:vAlign w:val="center"/>
          </w:tcPr>
          <w:p w:rsidR="00F5267D" w:rsidRPr="00A27BF0" w:rsidRDefault="00F5267D" w:rsidP="004E4D3A">
            <w:pPr>
              <w:autoSpaceDE w:val="0"/>
              <w:autoSpaceDN w:val="0"/>
              <w:adjustRightInd w:val="0"/>
              <w:rPr>
                <w:rFonts w:asciiTheme="majorBidi" w:eastAsia="Calibri" w:hAnsiTheme="majorBidi" w:cstheme="majorBidi"/>
                <w:sz w:val="16"/>
                <w:szCs w:val="16"/>
              </w:rPr>
            </w:pPr>
            <w:r w:rsidRPr="00A27BF0">
              <w:rPr>
                <w:rFonts w:asciiTheme="majorBidi" w:eastAsia="Calibri" w:hAnsiTheme="majorBidi" w:cstheme="majorBidi"/>
                <w:sz w:val="16"/>
                <w:szCs w:val="16"/>
              </w:rPr>
              <w:t>77</w:t>
            </w:r>
          </w:p>
        </w:tc>
      </w:tr>
      <w:tr w:rsidR="00F5267D" w:rsidRPr="00664F32" w:rsidTr="004E4D3A">
        <w:trPr>
          <w:trHeight w:val="165"/>
        </w:trPr>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Wheat</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0.2</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0.2</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2.4</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91.5</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1.6</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3.1</w:t>
            </w:r>
          </w:p>
        </w:tc>
        <w:tc>
          <w:tcPr>
            <w:tcW w:w="0" w:type="auto"/>
            <w:vAlign w:val="center"/>
          </w:tcPr>
          <w:p w:rsidR="00F5267D" w:rsidRPr="00A27BF0" w:rsidRDefault="00F5267D" w:rsidP="004E4D3A">
            <w:pPr>
              <w:autoSpaceDE w:val="0"/>
              <w:autoSpaceDN w:val="0"/>
              <w:adjustRightInd w:val="0"/>
              <w:rPr>
                <w:rFonts w:asciiTheme="majorBidi" w:eastAsia="Calibri" w:hAnsiTheme="majorBidi" w:cstheme="majorBidi"/>
                <w:sz w:val="16"/>
                <w:szCs w:val="16"/>
              </w:rPr>
            </w:pPr>
            <w:r w:rsidRPr="00A27BF0">
              <w:rPr>
                <w:rFonts w:asciiTheme="majorBidi" w:eastAsia="Calibri" w:hAnsiTheme="majorBidi" w:cstheme="majorBidi"/>
                <w:sz w:val="16"/>
                <w:szCs w:val="16"/>
              </w:rPr>
              <w:t>9</w:t>
            </w:r>
          </w:p>
        </w:tc>
      </w:tr>
      <w:tr w:rsidR="00F5267D" w:rsidRPr="00664F32" w:rsidTr="004E4D3A">
        <w:trPr>
          <w:trHeight w:val="210"/>
        </w:trPr>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Corn</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1.4</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1.3</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1.1</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0.2</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1.4</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34.5</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58.6</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1.5</w:t>
            </w:r>
          </w:p>
        </w:tc>
        <w:tc>
          <w:tcPr>
            <w:tcW w:w="0" w:type="auto"/>
            <w:vAlign w:val="center"/>
          </w:tcPr>
          <w:p w:rsidR="00F5267D" w:rsidRPr="00A27BF0" w:rsidRDefault="00F5267D" w:rsidP="004E4D3A">
            <w:pPr>
              <w:autoSpaceDE w:val="0"/>
              <w:autoSpaceDN w:val="0"/>
              <w:adjustRightInd w:val="0"/>
              <w:rPr>
                <w:rFonts w:asciiTheme="majorBidi" w:eastAsia="Calibri" w:hAnsiTheme="majorBidi" w:cstheme="majorBidi"/>
                <w:sz w:val="16"/>
                <w:szCs w:val="16"/>
              </w:rPr>
            </w:pPr>
            <w:r w:rsidRPr="00A27BF0">
              <w:rPr>
                <w:rFonts w:asciiTheme="majorBidi" w:eastAsia="Calibri" w:hAnsiTheme="majorBidi" w:cstheme="majorBidi"/>
                <w:sz w:val="16"/>
                <w:szCs w:val="16"/>
              </w:rPr>
              <w:t>41</w:t>
            </w:r>
          </w:p>
        </w:tc>
      </w:tr>
      <w:tr w:rsidR="00F5267D" w:rsidRPr="00664F32" w:rsidTr="004E4D3A">
        <w:trPr>
          <w:trHeight w:val="150"/>
        </w:trPr>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Soybean</w:t>
            </w:r>
            <w:r>
              <w:rPr>
                <w:rFonts w:asciiTheme="majorBidi" w:eastAsia="Calibri" w:hAnsiTheme="majorBidi" w:cstheme="majorBidi"/>
                <w:sz w:val="16"/>
                <w:szCs w:val="16"/>
              </w:rPr>
              <w:t>s</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1.4</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0.9</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1.2</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1.6</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8.3</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11.3</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74.3</w:t>
            </w:r>
          </w:p>
        </w:tc>
        <w:tc>
          <w:tcPr>
            <w:tcW w:w="0" w:type="auto"/>
            <w:vAlign w:val="center"/>
          </w:tcPr>
          <w:p w:rsidR="00F5267D" w:rsidRPr="00A27BF0" w:rsidRDefault="00F5267D" w:rsidP="004E4D3A">
            <w:pPr>
              <w:autoSpaceDE w:val="0"/>
              <w:autoSpaceDN w:val="0"/>
              <w:adjustRightInd w:val="0"/>
              <w:rPr>
                <w:rFonts w:asciiTheme="majorBidi" w:eastAsia="Calibri" w:hAnsiTheme="majorBidi" w:cstheme="majorBidi"/>
                <w:sz w:val="16"/>
                <w:szCs w:val="16"/>
              </w:rPr>
            </w:pPr>
            <w:r w:rsidRPr="00A27BF0">
              <w:rPr>
                <w:rFonts w:asciiTheme="majorBidi" w:eastAsia="Calibri" w:hAnsiTheme="majorBidi" w:cstheme="majorBidi"/>
                <w:sz w:val="16"/>
                <w:szCs w:val="16"/>
              </w:rPr>
              <w:t>26</w:t>
            </w:r>
          </w:p>
        </w:tc>
      </w:tr>
      <w:tr w:rsidR="00F5267D" w:rsidRPr="00664F32" w:rsidTr="004E4D3A">
        <w:trPr>
          <w:trHeight w:val="70"/>
        </w:trPr>
        <w:tc>
          <w:tcPr>
            <w:tcW w:w="0" w:type="auto"/>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Contribution to others</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46</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10.7</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3</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62.5</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7.2</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45.8</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20.5</w:t>
            </w:r>
          </w:p>
        </w:tc>
        <w:tc>
          <w:tcPr>
            <w:tcW w:w="0" w:type="auto"/>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5.6</w:t>
            </w:r>
          </w:p>
        </w:tc>
        <w:tc>
          <w:tcPr>
            <w:tcW w:w="0" w:type="auto"/>
            <w:vAlign w:val="center"/>
          </w:tcPr>
          <w:p w:rsidR="00F5267D" w:rsidRPr="00A27BF0" w:rsidRDefault="00F5267D" w:rsidP="004E4D3A">
            <w:pPr>
              <w:autoSpaceDE w:val="0"/>
              <w:autoSpaceDN w:val="0"/>
              <w:adjustRightInd w:val="0"/>
              <w:rPr>
                <w:rFonts w:asciiTheme="majorBidi" w:eastAsia="Calibri" w:hAnsiTheme="majorBidi" w:cstheme="majorBidi"/>
                <w:sz w:val="16"/>
                <w:szCs w:val="16"/>
              </w:rPr>
            </w:pPr>
            <w:r w:rsidRPr="00A27BF0">
              <w:rPr>
                <w:rFonts w:asciiTheme="majorBidi" w:eastAsia="Calibri" w:hAnsiTheme="majorBidi" w:cstheme="majorBidi"/>
                <w:sz w:val="16"/>
                <w:szCs w:val="16"/>
              </w:rPr>
              <w:t>201</w:t>
            </w:r>
          </w:p>
        </w:tc>
      </w:tr>
      <w:tr w:rsidR="00F5267D" w:rsidRPr="00664F32" w:rsidTr="004E4D3A">
        <w:trPr>
          <w:trHeight w:val="89"/>
        </w:trPr>
        <w:tc>
          <w:tcPr>
            <w:tcW w:w="0" w:type="auto"/>
            <w:tcBorders>
              <w:bottom w:val="single" w:sz="12" w:space="0" w:color="auto"/>
            </w:tcBorders>
          </w:tcPr>
          <w:p w:rsidR="00F5267D" w:rsidRPr="00664F32" w:rsidRDefault="00F5267D" w:rsidP="004E4D3A">
            <w:pPr>
              <w:autoSpaceDE w:val="0"/>
              <w:autoSpaceDN w:val="0"/>
              <w:adjustRightInd w:val="0"/>
              <w:jc w:val="both"/>
              <w:rPr>
                <w:rFonts w:asciiTheme="majorBidi" w:eastAsia="Calibri" w:hAnsiTheme="majorBidi" w:cstheme="majorBidi"/>
                <w:sz w:val="16"/>
                <w:szCs w:val="16"/>
              </w:rPr>
            </w:pPr>
            <w:r w:rsidRPr="00664F32">
              <w:rPr>
                <w:rFonts w:asciiTheme="majorBidi" w:eastAsia="Calibri" w:hAnsiTheme="majorBidi" w:cstheme="majorBidi"/>
                <w:sz w:val="16"/>
                <w:szCs w:val="16"/>
              </w:rPr>
              <w:t>Contribution including own</w:t>
            </w:r>
          </w:p>
        </w:tc>
        <w:tc>
          <w:tcPr>
            <w:tcW w:w="0" w:type="auto"/>
            <w:tcBorders>
              <w:bottom w:val="single" w:sz="12"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145</w:t>
            </w:r>
          </w:p>
        </w:tc>
        <w:tc>
          <w:tcPr>
            <w:tcW w:w="0" w:type="auto"/>
            <w:tcBorders>
              <w:bottom w:val="single" w:sz="12"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91</w:t>
            </w:r>
          </w:p>
        </w:tc>
        <w:tc>
          <w:tcPr>
            <w:tcW w:w="0" w:type="auto"/>
            <w:tcBorders>
              <w:bottom w:val="single" w:sz="12"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92</w:t>
            </w:r>
          </w:p>
        </w:tc>
        <w:tc>
          <w:tcPr>
            <w:tcW w:w="0" w:type="auto"/>
            <w:tcBorders>
              <w:bottom w:val="single" w:sz="12"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147</w:t>
            </w:r>
          </w:p>
        </w:tc>
        <w:tc>
          <w:tcPr>
            <w:tcW w:w="0" w:type="auto"/>
            <w:tcBorders>
              <w:bottom w:val="single" w:sz="12"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30</w:t>
            </w:r>
          </w:p>
        </w:tc>
        <w:tc>
          <w:tcPr>
            <w:tcW w:w="0" w:type="auto"/>
            <w:tcBorders>
              <w:bottom w:val="single" w:sz="12"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137</w:t>
            </w:r>
          </w:p>
        </w:tc>
        <w:tc>
          <w:tcPr>
            <w:tcW w:w="0" w:type="auto"/>
            <w:tcBorders>
              <w:bottom w:val="single" w:sz="12"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79</w:t>
            </w:r>
          </w:p>
        </w:tc>
        <w:tc>
          <w:tcPr>
            <w:tcW w:w="0" w:type="auto"/>
            <w:tcBorders>
              <w:bottom w:val="single" w:sz="12" w:space="0" w:color="auto"/>
            </w:tcBorders>
            <w:vAlign w:val="center"/>
          </w:tcPr>
          <w:p w:rsidR="00F5267D" w:rsidRPr="00A27BF0" w:rsidRDefault="00F5267D" w:rsidP="004E4D3A">
            <w:pPr>
              <w:autoSpaceDE w:val="0"/>
              <w:autoSpaceDN w:val="0"/>
              <w:adjustRightInd w:val="0"/>
              <w:jc w:val="center"/>
              <w:rPr>
                <w:rFonts w:asciiTheme="majorBidi" w:eastAsia="Calibri" w:hAnsiTheme="majorBidi" w:cstheme="majorBidi"/>
                <w:sz w:val="16"/>
                <w:szCs w:val="16"/>
              </w:rPr>
            </w:pPr>
            <w:r w:rsidRPr="00A27BF0">
              <w:rPr>
                <w:rFonts w:asciiTheme="majorBidi" w:eastAsia="Calibri" w:hAnsiTheme="majorBidi" w:cstheme="majorBidi"/>
                <w:sz w:val="16"/>
                <w:szCs w:val="16"/>
              </w:rPr>
              <w:t>80</w:t>
            </w:r>
          </w:p>
        </w:tc>
        <w:tc>
          <w:tcPr>
            <w:tcW w:w="0" w:type="auto"/>
            <w:tcBorders>
              <w:bottom w:val="single" w:sz="12" w:space="0" w:color="auto"/>
            </w:tcBorders>
            <w:vAlign w:val="center"/>
          </w:tcPr>
          <w:p w:rsidR="00F5267D" w:rsidRPr="00A27BF0" w:rsidRDefault="00F5267D" w:rsidP="004E4D3A">
            <w:pPr>
              <w:autoSpaceDE w:val="0"/>
              <w:autoSpaceDN w:val="0"/>
              <w:adjustRightInd w:val="0"/>
              <w:rPr>
                <w:rFonts w:asciiTheme="majorBidi" w:eastAsia="Calibri" w:hAnsiTheme="majorBidi" w:cstheme="majorBidi"/>
                <w:sz w:val="16"/>
                <w:szCs w:val="16"/>
              </w:rPr>
            </w:pPr>
            <w:r w:rsidRPr="00A27BF0">
              <w:rPr>
                <w:rFonts w:asciiTheme="majorBidi" w:eastAsia="Calibri" w:hAnsiTheme="majorBidi" w:cstheme="majorBidi"/>
                <w:sz w:val="16"/>
                <w:szCs w:val="16"/>
              </w:rPr>
              <w:t> Total spillover Index =25.1%</w:t>
            </w:r>
          </w:p>
        </w:tc>
      </w:tr>
    </w:tbl>
    <w:p w:rsidR="00F5267D" w:rsidRDefault="00F5267D" w:rsidP="008074BE">
      <w:pPr>
        <w:jc w:val="both"/>
        <w:rPr>
          <w:rFonts w:ascii="Times New Roman" w:eastAsia="Calibri" w:hAnsi="Times New Roman" w:cs="Times New Roman"/>
          <w:sz w:val="16"/>
          <w:szCs w:val="16"/>
        </w:rPr>
      </w:pPr>
      <w:r w:rsidRPr="00664F32">
        <w:rPr>
          <w:rFonts w:ascii="Times New Roman" w:eastAsia="Calibri" w:hAnsi="Times New Roman" w:cs="Times New Roman"/>
          <w:i/>
          <w:iCs/>
          <w:sz w:val="16"/>
          <w:szCs w:val="16"/>
        </w:rPr>
        <w:t>Note</w:t>
      </w:r>
      <w:r>
        <w:rPr>
          <w:rFonts w:ascii="Times New Roman" w:eastAsia="Calibri" w:hAnsi="Times New Roman" w:cs="Times New Roman"/>
          <w:i/>
          <w:iCs/>
          <w:sz w:val="16"/>
          <w:szCs w:val="16"/>
        </w:rPr>
        <w:t>s</w:t>
      </w:r>
      <w:r w:rsidRPr="00664F32">
        <w:rPr>
          <w:rFonts w:ascii="Times New Roman" w:eastAsia="Calibri" w:hAnsi="Times New Roman" w:cs="Times New Roman"/>
          <w:i/>
          <w:iCs/>
          <w:sz w:val="16"/>
          <w:szCs w:val="16"/>
        </w:rPr>
        <w:t>:</w:t>
      </w:r>
      <w:r w:rsidRPr="00664F32">
        <w:rPr>
          <w:rFonts w:ascii="Times New Roman" w:eastAsia="Calibri" w:hAnsi="Times New Roman" w:cs="Times New Roman"/>
          <w:sz w:val="16"/>
          <w:szCs w:val="16"/>
        </w:rPr>
        <w:t xml:space="preserve"> </w:t>
      </w:r>
      <w:r w:rsidR="000B264A">
        <w:rPr>
          <w:rFonts w:ascii="Times New Roman" w:eastAsia="Calibri" w:hAnsi="Times New Roman" w:cs="Times New Roman"/>
          <w:sz w:val="16"/>
          <w:szCs w:val="16"/>
        </w:rPr>
        <w:t>R</w:t>
      </w:r>
      <w:r w:rsidR="00D375ED" w:rsidRPr="00D375ED">
        <w:rPr>
          <w:rFonts w:ascii="Times New Roman" w:eastAsia="Calibri" w:hAnsi="Times New Roman" w:cs="Times New Roman"/>
          <w:sz w:val="16"/>
          <w:szCs w:val="16"/>
        </w:rPr>
        <w:t xml:space="preserve">ealized volatility </w:t>
      </w:r>
      <w:r w:rsidR="000B264A">
        <w:rPr>
          <w:rFonts w:ascii="Times New Roman" w:eastAsia="Calibri" w:hAnsi="Times New Roman" w:cs="Times New Roman"/>
          <w:sz w:val="16"/>
          <w:szCs w:val="16"/>
        </w:rPr>
        <w:t>is measured as</w:t>
      </w:r>
      <w:r w:rsidR="000B264A" w:rsidRPr="000B264A">
        <w:rPr>
          <w:rFonts w:ascii="Times New Roman" w:eastAsia="Calibri" w:hAnsi="Times New Roman" w:cs="Times New Roman"/>
          <w:sz w:val="16"/>
          <w:szCs w:val="16"/>
        </w:rPr>
        <w:t xml:space="preserve"> square </w:t>
      </w:r>
      <w:proofErr w:type="gramStart"/>
      <w:r w:rsidR="000B264A" w:rsidRPr="000B264A">
        <w:rPr>
          <w:rFonts w:ascii="Times New Roman" w:eastAsia="Calibri" w:hAnsi="Times New Roman" w:cs="Times New Roman"/>
          <w:sz w:val="16"/>
          <w:szCs w:val="16"/>
        </w:rPr>
        <w:t xml:space="preserve">returns </w:t>
      </w:r>
      <w:r w:rsidR="000B264A">
        <w:rPr>
          <w:rFonts w:ascii="Times New Roman" w:eastAsia="Calibri" w:hAnsi="Times New Roman" w:cs="Times New Roman"/>
          <w:sz w:val="16"/>
          <w:szCs w:val="16"/>
        </w:rPr>
        <w:t>.</w:t>
      </w:r>
      <w:proofErr w:type="gramEnd"/>
      <w:r w:rsidR="000B264A">
        <w:rPr>
          <w:rFonts w:ascii="Times New Roman" w:eastAsia="Calibri" w:hAnsi="Times New Roman" w:cs="Times New Roman"/>
          <w:sz w:val="16"/>
          <w:szCs w:val="16"/>
        </w:rPr>
        <w:t xml:space="preserve"> The </w:t>
      </w:r>
      <w:r w:rsidR="000B264A" w:rsidRPr="000B264A">
        <w:rPr>
          <w:rFonts w:ascii="Times New Roman" w:eastAsia="Calibri" w:hAnsi="Times New Roman" w:cs="Times New Roman"/>
          <w:sz w:val="16"/>
          <w:szCs w:val="16"/>
        </w:rPr>
        <w:t xml:space="preserve">conditional volatility is </w:t>
      </w:r>
      <w:r w:rsidR="000B264A">
        <w:rPr>
          <w:rFonts w:ascii="Times New Roman" w:eastAsia="Calibri" w:hAnsi="Times New Roman" w:cs="Times New Roman"/>
          <w:sz w:val="16"/>
          <w:szCs w:val="16"/>
        </w:rPr>
        <w:t>estimated</w:t>
      </w:r>
      <w:r w:rsidR="000B264A" w:rsidRPr="000B264A">
        <w:rPr>
          <w:rFonts w:ascii="Times New Roman" w:eastAsia="Calibri" w:hAnsi="Times New Roman" w:cs="Times New Roman"/>
          <w:sz w:val="16"/>
          <w:szCs w:val="16"/>
        </w:rPr>
        <w:t xml:space="preserve"> by</w:t>
      </w:r>
      <w:r w:rsidR="000B264A">
        <w:rPr>
          <w:rFonts w:ascii="Times New Roman" w:eastAsia="Calibri" w:hAnsi="Times New Roman" w:cs="Times New Roman"/>
          <w:sz w:val="16"/>
          <w:szCs w:val="16"/>
        </w:rPr>
        <w:t xml:space="preserve"> the </w:t>
      </w:r>
      <w:proofErr w:type="gramStart"/>
      <w:r w:rsidR="000B264A">
        <w:rPr>
          <w:rFonts w:ascii="Times New Roman" w:eastAsia="Calibri" w:hAnsi="Times New Roman" w:cs="Times New Roman"/>
          <w:sz w:val="16"/>
          <w:szCs w:val="16"/>
        </w:rPr>
        <w:t>AR(</w:t>
      </w:r>
      <w:proofErr w:type="gramEnd"/>
      <w:r w:rsidR="000B264A">
        <w:rPr>
          <w:rFonts w:ascii="Times New Roman" w:eastAsia="Calibri" w:hAnsi="Times New Roman" w:cs="Times New Roman"/>
          <w:sz w:val="16"/>
          <w:szCs w:val="16"/>
        </w:rPr>
        <w:t>1)- GARCH (1,1) model</w:t>
      </w:r>
      <w:r w:rsidR="000B264A" w:rsidRPr="000B264A">
        <w:rPr>
          <w:rFonts w:ascii="Times New Roman" w:eastAsia="Calibri" w:hAnsi="Times New Roman" w:cs="Times New Roman"/>
          <w:sz w:val="16"/>
          <w:szCs w:val="16"/>
        </w:rPr>
        <w:t xml:space="preserve">. </w:t>
      </w:r>
      <w:r w:rsidRPr="00664F32">
        <w:rPr>
          <w:rFonts w:ascii="Times New Roman" w:eastAsia="Calibri" w:hAnsi="Times New Roman" w:cs="Times New Roman"/>
          <w:sz w:val="16"/>
          <w:szCs w:val="16"/>
        </w:rPr>
        <w:t xml:space="preserve">The underlying variance decomposition is based on a daily VAR system with two lags. The </w:t>
      </w:r>
      <m:oMath>
        <m:d>
          <m:dPr>
            <m:ctrlPr>
              <w:rPr>
                <w:rFonts w:ascii="Cambria Math" w:eastAsia="Calibri" w:hAnsi="Cambria Math" w:cs="Times New Roman"/>
                <w:i/>
                <w:sz w:val="16"/>
                <w:szCs w:val="16"/>
              </w:rPr>
            </m:ctrlPr>
          </m:dPr>
          <m:e>
            <m:r>
              <w:rPr>
                <w:rFonts w:ascii="Cambria Math" w:eastAsia="Calibri" w:hAnsi="Cambria Math" w:cs="Times New Roman"/>
                <w:sz w:val="16"/>
                <w:szCs w:val="16"/>
              </w:rPr>
              <m:t>i,j</m:t>
            </m:r>
          </m:e>
        </m:d>
      </m:oMath>
      <w:r w:rsidRPr="00664F32">
        <w:rPr>
          <w:rFonts w:ascii="Times New Roman" w:eastAsia="Calibri" w:hAnsi="Times New Roman" w:cs="Times New Roman"/>
          <w:sz w:val="16"/>
          <w:szCs w:val="16"/>
        </w:rPr>
        <w:t xml:space="preserve">  value is the estimated contribution to the variance of the 10 step ahead implied volatility forecast error of market </w:t>
      </w:r>
      <m:oMath>
        <m:r>
          <w:rPr>
            <w:rFonts w:ascii="Cambria Math" w:eastAsia="Calibri" w:hAnsi="Cambria Math" w:cs="Times New Roman"/>
            <w:sz w:val="16"/>
            <w:szCs w:val="16"/>
          </w:rPr>
          <m:t>i</m:t>
        </m:r>
      </m:oMath>
      <w:r w:rsidRPr="00664F32">
        <w:rPr>
          <w:rFonts w:ascii="Times New Roman" w:eastAsia="Calibri" w:hAnsi="Times New Roman" w:cs="Times New Roman"/>
          <w:sz w:val="16"/>
          <w:szCs w:val="16"/>
        </w:rPr>
        <w:t xml:space="preserve"> coming from innovations to implied volatility of </w:t>
      </w:r>
      <w:proofErr w:type="gramStart"/>
      <w:r w:rsidRPr="00664F32">
        <w:rPr>
          <w:rFonts w:ascii="Times New Roman" w:eastAsia="Calibri" w:hAnsi="Times New Roman" w:cs="Times New Roman"/>
          <w:sz w:val="16"/>
          <w:szCs w:val="16"/>
        </w:rPr>
        <w:t xml:space="preserve">market </w:t>
      </w:r>
      <w:proofErr w:type="gramEnd"/>
      <m:oMath>
        <m:r>
          <w:rPr>
            <w:rFonts w:ascii="Cambria Math" w:eastAsia="Calibri" w:hAnsi="Cambria Math" w:cs="Times New Roman"/>
            <w:sz w:val="16"/>
            <w:szCs w:val="16"/>
          </w:rPr>
          <m:t>j</m:t>
        </m:r>
      </m:oMath>
      <w:r w:rsidRPr="00664F32">
        <w:rPr>
          <w:rFonts w:ascii="Times New Roman" w:eastAsia="Calibri" w:hAnsi="Times New Roman" w:cs="Times New Roman"/>
          <w:sz w:val="16"/>
          <w:szCs w:val="16"/>
        </w:rPr>
        <w:t>. The decomposition is generalized, and thus it is robust to the ordering shown in the column heading.</w:t>
      </w:r>
      <w:r w:rsidRPr="00113C4E">
        <w:t xml:space="preserve"> </w:t>
      </w:r>
      <w:r w:rsidRPr="00113C4E">
        <w:rPr>
          <w:rFonts w:ascii="Times New Roman" w:eastAsia="Calibri" w:hAnsi="Times New Roman" w:cs="Times New Roman"/>
          <w:sz w:val="16"/>
          <w:szCs w:val="16"/>
        </w:rPr>
        <w:t>The last column (</w:t>
      </w:r>
      <w:r w:rsidRPr="002B1CE3">
        <w:rPr>
          <w:rFonts w:ascii="Times New Roman" w:eastAsia="Calibri" w:hAnsi="Times New Roman" w:cs="Times New Roman"/>
          <w:sz w:val="16"/>
          <w:szCs w:val="16"/>
        </w:rPr>
        <w:t xml:space="preserve">labeled </w:t>
      </w:r>
      <w:r>
        <w:rPr>
          <w:rFonts w:ascii="Times New Roman" w:eastAsia="Calibri" w:hAnsi="Times New Roman" w:cs="Times New Roman"/>
          <w:sz w:val="16"/>
          <w:szCs w:val="16"/>
        </w:rPr>
        <w:t>‘</w:t>
      </w:r>
      <w:r w:rsidRPr="00113C4E">
        <w:rPr>
          <w:rFonts w:ascii="Times New Roman" w:eastAsia="Calibri" w:hAnsi="Times New Roman" w:cs="Times New Roman"/>
          <w:sz w:val="16"/>
          <w:szCs w:val="16"/>
        </w:rPr>
        <w:t>Contribution from others</w:t>
      </w:r>
      <w:r>
        <w:rPr>
          <w:rFonts w:ascii="Times New Roman" w:eastAsia="Calibri" w:hAnsi="Times New Roman" w:cs="Times New Roman"/>
          <w:sz w:val="16"/>
          <w:szCs w:val="16"/>
        </w:rPr>
        <w:t>’</w:t>
      </w:r>
      <w:r w:rsidRPr="00113C4E">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r w:rsidRPr="00113C4E">
        <w:rPr>
          <w:rFonts w:ascii="Times New Roman" w:eastAsia="Calibri" w:hAnsi="Times New Roman" w:cs="Times New Roman"/>
          <w:sz w:val="16"/>
          <w:szCs w:val="16"/>
        </w:rPr>
        <w:t>is equal to the row sum excluding the diagonal elements, and gives the total directional</w:t>
      </w:r>
      <w:r>
        <w:rPr>
          <w:rFonts w:ascii="Times New Roman" w:eastAsia="Calibri" w:hAnsi="Times New Roman" w:cs="Times New Roman"/>
          <w:sz w:val="16"/>
          <w:szCs w:val="16"/>
        </w:rPr>
        <w:t xml:space="preserve"> spillovers</w:t>
      </w:r>
      <w:r w:rsidRPr="00113C4E">
        <w:rPr>
          <w:rFonts w:ascii="Times New Roman" w:eastAsia="Calibri" w:hAnsi="Times New Roman" w:cs="Times New Roman"/>
          <w:sz w:val="16"/>
          <w:szCs w:val="16"/>
        </w:rPr>
        <w:t xml:space="preserve"> from all others to </w:t>
      </w:r>
      <w:r>
        <w:rPr>
          <w:rFonts w:ascii="Times New Roman" w:eastAsia="Calibri" w:hAnsi="Times New Roman" w:cs="Times New Roman"/>
          <w:sz w:val="16"/>
          <w:szCs w:val="16"/>
        </w:rPr>
        <w:t>markets</w:t>
      </w:r>
      <w:r w:rsidRPr="00113C4E">
        <w:rPr>
          <w:rFonts w:ascii="Times New Roman" w:eastAsia="Calibri" w:hAnsi="Times New Roman" w:cs="Times New Roman"/>
          <w:sz w:val="16"/>
          <w:szCs w:val="16"/>
        </w:rPr>
        <w:t xml:space="preserve">. The row at the bottom </w:t>
      </w:r>
      <w:proofErr w:type="gramStart"/>
      <w:r w:rsidRPr="00113C4E">
        <w:rPr>
          <w:rFonts w:ascii="Times New Roman" w:eastAsia="Calibri" w:hAnsi="Times New Roman" w:cs="Times New Roman"/>
          <w:sz w:val="16"/>
          <w:szCs w:val="16"/>
        </w:rPr>
        <w:t xml:space="preserve">is </w:t>
      </w:r>
      <w:r>
        <w:rPr>
          <w:rFonts w:ascii="Times New Roman" w:eastAsia="Calibri" w:hAnsi="Times New Roman" w:cs="Times New Roman"/>
          <w:sz w:val="16"/>
          <w:szCs w:val="16"/>
        </w:rPr>
        <w:t xml:space="preserve"> </w:t>
      </w:r>
      <w:r w:rsidRPr="002B1CE3">
        <w:rPr>
          <w:rFonts w:ascii="Times New Roman" w:eastAsia="Calibri" w:hAnsi="Times New Roman" w:cs="Times New Roman"/>
          <w:sz w:val="16"/>
          <w:szCs w:val="16"/>
        </w:rPr>
        <w:t>(</w:t>
      </w:r>
      <w:proofErr w:type="gramEnd"/>
      <w:r w:rsidRPr="002B1CE3">
        <w:rPr>
          <w:rFonts w:ascii="Times New Roman" w:eastAsia="Calibri" w:hAnsi="Times New Roman" w:cs="Times New Roman"/>
          <w:sz w:val="16"/>
          <w:szCs w:val="16"/>
        </w:rPr>
        <w:t>labeled ‘Contributions to others’</w:t>
      </w:r>
      <w:r>
        <w:rPr>
          <w:rFonts w:ascii="Times New Roman" w:eastAsia="Calibri" w:hAnsi="Times New Roman" w:cs="Times New Roman"/>
          <w:sz w:val="16"/>
          <w:szCs w:val="16"/>
        </w:rPr>
        <w:t xml:space="preserve">) </w:t>
      </w:r>
      <w:r w:rsidRPr="00113C4E">
        <w:rPr>
          <w:rFonts w:ascii="Times New Roman" w:eastAsia="Calibri" w:hAnsi="Times New Roman" w:cs="Times New Roman"/>
          <w:sz w:val="16"/>
          <w:szCs w:val="16"/>
        </w:rPr>
        <w:t>equal to the</w:t>
      </w:r>
      <w:r>
        <w:rPr>
          <w:rFonts w:ascii="Times New Roman" w:eastAsia="Calibri" w:hAnsi="Times New Roman" w:cs="Times New Roman"/>
          <w:sz w:val="16"/>
          <w:szCs w:val="16"/>
        </w:rPr>
        <w:t xml:space="preserve"> </w:t>
      </w:r>
      <w:r w:rsidRPr="00113C4E">
        <w:rPr>
          <w:rFonts w:ascii="Times New Roman" w:eastAsia="Calibri" w:hAnsi="Times New Roman" w:cs="Times New Roman"/>
          <w:sz w:val="16"/>
          <w:szCs w:val="16"/>
        </w:rPr>
        <w:t xml:space="preserve">column sum excluding the diagonal elements, and </w:t>
      </w:r>
      <w:r>
        <w:rPr>
          <w:rFonts w:ascii="Times New Roman" w:eastAsia="Calibri" w:hAnsi="Times New Roman" w:cs="Times New Roman"/>
          <w:sz w:val="16"/>
          <w:szCs w:val="16"/>
        </w:rPr>
        <w:t>reports</w:t>
      </w:r>
      <w:r w:rsidRPr="00113C4E">
        <w:rPr>
          <w:rFonts w:ascii="Times New Roman" w:eastAsia="Calibri" w:hAnsi="Times New Roman" w:cs="Times New Roman"/>
          <w:sz w:val="16"/>
          <w:szCs w:val="16"/>
        </w:rPr>
        <w:t xml:space="preserve"> the total directional </w:t>
      </w:r>
      <w:r>
        <w:rPr>
          <w:rFonts w:ascii="Times New Roman" w:eastAsia="Calibri" w:hAnsi="Times New Roman" w:cs="Times New Roman"/>
          <w:sz w:val="16"/>
          <w:szCs w:val="16"/>
        </w:rPr>
        <w:t xml:space="preserve">spillover </w:t>
      </w:r>
      <w:r w:rsidRPr="00113C4E">
        <w:rPr>
          <w:rFonts w:ascii="Times New Roman" w:eastAsia="Calibri" w:hAnsi="Times New Roman" w:cs="Times New Roman"/>
          <w:sz w:val="16"/>
          <w:szCs w:val="16"/>
        </w:rPr>
        <w:t xml:space="preserve">from </w:t>
      </w:r>
      <w:r>
        <w:rPr>
          <w:rFonts w:ascii="Times New Roman" w:eastAsia="Calibri" w:hAnsi="Times New Roman" w:cs="Times New Roman"/>
          <w:sz w:val="16"/>
          <w:szCs w:val="16"/>
        </w:rPr>
        <w:t>market</w:t>
      </w:r>
      <w:r w:rsidRPr="00113C4E">
        <w:rPr>
          <w:rFonts w:ascii="Times New Roman" w:eastAsia="Calibri" w:hAnsi="Times New Roman" w:cs="Times New Roman"/>
          <w:sz w:val="16"/>
          <w:szCs w:val="16"/>
        </w:rPr>
        <w:t xml:space="preserve"> </w:t>
      </w:r>
      <m:oMath>
        <m:r>
          <w:rPr>
            <w:rFonts w:ascii="Cambria Math" w:eastAsia="Calibri" w:hAnsi="Cambria Math" w:cs="Times New Roman"/>
            <w:sz w:val="16"/>
            <w:szCs w:val="16"/>
          </w:rPr>
          <m:t>j</m:t>
        </m:r>
      </m:oMath>
      <w:r w:rsidRPr="00113C4E">
        <w:rPr>
          <w:rFonts w:ascii="Times New Roman" w:eastAsia="Calibri" w:hAnsi="Times New Roman" w:cs="Times New Roman"/>
          <w:sz w:val="16"/>
          <w:szCs w:val="16"/>
        </w:rPr>
        <w:t xml:space="preserve"> to others</w:t>
      </w:r>
      <w:r>
        <w:rPr>
          <w:rFonts w:ascii="Times New Roman" w:eastAsia="Calibri" w:hAnsi="Times New Roman" w:cs="Times New Roman"/>
          <w:sz w:val="16"/>
          <w:szCs w:val="16"/>
        </w:rPr>
        <w:t xml:space="preserve">. Finally, </w:t>
      </w:r>
      <w:r w:rsidRPr="00B81634">
        <w:rPr>
          <w:rFonts w:ascii="Times New Roman" w:eastAsia="Calibri" w:hAnsi="Times New Roman" w:cs="Times New Roman"/>
          <w:sz w:val="16"/>
          <w:szCs w:val="16"/>
        </w:rPr>
        <w:t xml:space="preserve">The </w:t>
      </w:r>
      <w:r w:rsidRPr="002B1CE3">
        <w:rPr>
          <w:rFonts w:ascii="Times New Roman" w:eastAsia="Calibri" w:hAnsi="Times New Roman" w:cs="Times New Roman"/>
          <w:sz w:val="16"/>
          <w:szCs w:val="16"/>
        </w:rPr>
        <w:t xml:space="preserve">lower right </w:t>
      </w:r>
      <w:proofErr w:type="gramStart"/>
      <w:r w:rsidRPr="002B1CE3">
        <w:rPr>
          <w:rFonts w:ascii="Times New Roman" w:eastAsia="Calibri" w:hAnsi="Times New Roman" w:cs="Times New Roman"/>
          <w:sz w:val="16"/>
          <w:szCs w:val="16"/>
        </w:rPr>
        <w:t>corner</w:t>
      </w:r>
      <w:r>
        <w:rPr>
          <w:rFonts w:ascii="Times New Roman" w:eastAsia="Calibri" w:hAnsi="Times New Roman" w:cs="Times New Roman"/>
          <w:sz w:val="16"/>
          <w:szCs w:val="16"/>
        </w:rPr>
        <w:t xml:space="preserve"> </w:t>
      </w:r>
      <w:r w:rsidRPr="00B81634">
        <w:rPr>
          <w:rFonts w:ascii="Times New Roman" w:eastAsia="Calibri" w:hAnsi="Times New Roman" w:cs="Times New Roman"/>
          <w:sz w:val="16"/>
          <w:szCs w:val="16"/>
        </w:rPr>
        <w:t xml:space="preserve"> is</w:t>
      </w:r>
      <w:proofErr w:type="gramEnd"/>
      <w:r w:rsidRPr="00B81634">
        <w:rPr>
          <w:rFonts w:ascii="Times New Roman" w:eastAsia="Calibri" w:hAnsi="Times New Roman" w:cs="Times New Roman"/>
          <w:sz w:val="16"/>
          <w:szCs w:val="16"/>
        </w:rPr>
        <w:t xml:space="preserve"> </w:t>
      </w:r>
      <w:r w:rsidRPr="002B1CE3">
        <w:rPr>
          <w:rFonts w:ascii="Times New Roman" w:eastAsia="Calibri" w:hAnsi="Times New Roman" w:cs="Times New Roman"/>
          <w:sz w:val="16"/>
          <w:szCs w:val="16"/>
        </w:rPr>
        <w:t xml:space="preserve">expressed in percentage points </w:t>
      </w:r>
      <w:r>
        <w:rPr>
          <w:rFonts w:ascii="Times New Roman" w:eastAsia="Calibri" w:hAnsi="Times New Roman" w:cs="Times New Roman"/>
          <w:sz w:val="16"/>
          <w:szCs w:val="16"/>
        </w:rPr>
        <w:t xml:space="preserve">and  reports the </w:t>
      </w:r>
      <w:r w:rsidRPr="002B1CE3">
        <w:rPr>
          <w:rFonts w:ascii="Times New Roman" w:eastAsia="Calibri" w:hAnsi="Times New Roman" w:cs="Times New Roman"/>
          <w:sz w:val="16"/>
          <w:szCs w:val="16"/>
        </w:rPr>
        <w:t>total volatility spillover</w:t>
      </w:r>
      <w:r>
        <w:rPr>
          <w:rFonts w:ascii="Times New Roman" w:eastAsia="Calibri" w:hAnsi="Times New Roman" w:cs="Times New Roman"/>
          <w:sz w:val="16"/>
          <w:szCs w:val="16"/>
        </w:rPr>
        <w:t xml:space="preserve"> </w:t>
      </w:r>
      <w:r w:rsidRPr="002B1CE3">
        <w:rPr>
          <w:rFonts w:ascii="Times New Roman" w:eastAsia="Calibri" w:hAnsi="Times New Roman" w:cs="Times New Roman"/>
          <w:sz w:val="16"/>
          <w:szCs w:val="16"/>
        </w:rPr>
        <w:t>index which equal to the grand off-diagonal column</w:t>
      </w:r>
      <w:r>
        <w:rPr>
          <w:rFonts w:ascii="Times New Roman" w:eastAsia="Calibri" w:hAnsi="Times New Roman" w:cs="Times New Roman"/>
          <w:sz w:val="16"/>
          <w:szCs w:val="16"/>
        </w:rPr>
        <w:t xml:space="preserve"> </w:t>
      </w:r>
      <w:r w:rsidRPr="002B1CE3">
        <w:rPr>
          <w:rFonts w:ascii="Times New Roman" w:eastAsia="Calibri" w:hAnsi="Times New Roman" w:cs="Times New Roman"/>
          <w:sz w:val="16"/>
          <w:szCs w:val="16"/>
        </w:rPr>
        <w:t>sum relative to the grand column sum including diagonals</w:t>
      </w:r>
      <w:r>
        <w:rPr>
          <w:rFonts w:ascii="Times New Roman" w:eastAsia="Calibri" w:hAnsi="Times New Roman" w:cs="Times New Roman"/>
          <w:sz w:val="16"/>
          <w:szCs w:val="16"/>
        </w:rPr>
        <w:t xml:space="preserve">. </w:t>
      </w:r>
    </w:p>
    <w:p w:rsidR="008074BE" w:rsidRDefault="008074BE" w:rsidP="008074BE">
      <w:pPr>
        <w:jc w:val="both"/>
        <w:rPr>
          <w:rFonts w:ascii="Times New Roman" w:eastAsia="Calibri" w:hAnsi="Times New Roman" w:cs="Times New Roman"/>
          <w:sz w:val="16"/>
          <w:szCs w:val="16"/>
        </w:rPr>
      </w:pPr>
    </w:p>
    <w:p w:rsidR="00097B09" w:rsidRDefault="00097B09" w:rsidP="00097B09">
      <w:pPr>
        <w:jc w:val="both"/>
        <w:rPr>
          <w:rFonts w:ascii="Times New Roman" w:eastAsia="Calibri" w:hAnsi="Times New Roman" w:cs="Times New Roman"/>
          <w:sz w:val="16"/>
          <w:szCs w:val="16"/>
          <w:rtl/>
        </w:rPr>
      </w:pPr>
    </w:p>
    <w:p w:rsidR="00097B09" w:rsidRDefault="00097B09" w:rsidP="00097B09">
      <w:pPr>
        <w:jc w:val="both"/>
        <w:rPr>
          <w:rFonts w:ascii="Times New Roman" w:eastAsia="Calibri" w:hAnsi="Times New Roman" w:cs="Times New Roman"/>
          <w:sz w:val="16"/>
          <w:szCs w:val="16"/>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8074BE" w:rsidTr="0076766D">
        <w:tc>
          <w:tcPr>
            <w:tcW w:w="13562" w:type="dxa"/>
          </w:tcPr>
          <w:p w:rsidR="00D636F1" w:rsidRDefault="00D636F1" w:rsidP="008074BE">
            <w:pPr>
              <w:tabs>
                <w:tab w:val="left" w:pos="1230"/>
              </w:tabs>
              <w:rPr>
                <w:b/>
                <w:bCs/>
              </w:rPr>
            </w:pPr>
          </w:p>
          <w:p w:rsidR="008074BE" w:rsidRPr="002D14F5" w:rsidRDefault="008074BE" w:rsidP="008074BE">
            <w:pPr>
              <w:tabs>
                <w:tab w:val="left" w:pos="1230"/>
              </w:tabs>
              <w:rPr>
                <w:rFonts w:asciiTheme="majorBidi" w:hAnsiTheme="majorBidi" w:cstheme="majorBidi"/>
                <w:lang w:bidi="ar-AE"/>
              </w:rPr>
            </w:pPr>
            <w:r w:rsidRPr="002D14F5">
              <w:rPr>
                <w:rFonts w:asciiTheme="majorBidi" w:hAnsiTheme="majorBidi" w:cstheme="majorBidi"/>
                <w:b/>
                <w:bCs/>
              </w:rPr>
              <w:t xml:space="preserve">Figure 1 A: Time series plot of the implied volatility index in level </w:t>
            </w:r>
          </w:p>
        </w:tc>
      </w:tr>
      <w:tr w:rsidR="008074BE" w:rsidTr="0076766D">
        <w:tc>
          <w:tcPr>
            <w:tcW w:w="13562" w:type="dxa"/>
          </w:tcPr>
          <w:p w:rsidR="008074BE" w:rsidRDefault="008074BE" w:rsidP="0076766D">
            <w:pPr>
              <w:tabs>
                <w:tab w:val="left" w:pos="1230"/>
              </w:tabs>
              <w:rPr>
                <w:lang w:bidi="ar-AE"/>
              </w:rPr>
            </w:pPr>
            <w:r>
              <w:rPr>
                <w:noProof/>
                <w:lang w:val="en-GB" w:eastAsia="en-GB"/>
              </w:rPr>
              <w:drawing>
                <wp:inline distT="0" distB="0" distL="0" distR="0" wp14:anchorId="524BA306" wp14:editId="3AB9F72B">
                  <wp:extent cx="6181725" cy="23336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3826" cy="2334418"/>
                          </a:xfrm>
                          <a:prstGeom prst="rect">
                            <a:avLst/>
                          </a:prstGeom>
                          <a:noFill/>
                          <a:ln>
                            <a:noFill/>
                          </a:ln>
                        </pic:spPr>
                      </pic:pic>
                    </a:graphicData>
                  </a:graphic>
                </wp:inline>
              </w:drawing>
            </w:r>
          </w:p>
        </w:tc>
      </w:tr>
      <w:tr w:rsidR="008074BE" w:rsidRPr="005F51D4" w:rsidTr="0076766D">
        <w:trPr>
          <w:trHeight w:val="105"/>
        </w:trPr>
        <w:tc>
          <w:tcPr>
            <w:tcW w:w="13562" w:type="dxa"/>
          </w:tcPr>
          <w:p w:rsidR="008074BE" w:rsidRPr="005F51D4" w:rsidRDefault="008074BE" w:rsidP="0076766D">
            <w:pPr>
              <w:tabs>
                <w:tab w:val="left" w:pos="1230"/>
              </w:tabs>
              <w:jc w:val="both"/>
              <w:rPr>
                <w:rFonts w:asciiTheme="majorBidi" w:hAnsiTheme="majorBidi" w:cstheme="majorBidi"/>
                <w:sz w:val="18"/>
                <w:szCs w:val="18"/>
                <w:lang w:bidi="ar-AE"/>
              </w:rPr>
            </w:pPr>
            <w:r w:rsidRPr="005F51D4">
              <w:rPr>
                <w:rFonts w:asciiTheme="majorBidi" w:hAnsiTheme="majorBidi" w:cstheme="majorBidi"/>
                <w:sz w:val="18"/>
                <w:szCs w:val="18"/>
                <w:lang w:bidi="ar-AE"/>
              </w:rPr>
              <w:t>Notes: This figure shows the implied volatility index of crude oil, US-stock, Euro/Dollar exchange, gold</w:t>
            </w:r>
            <w:proofErr w:type="gramStart"/>
            <w:r w:rsidRPr="005F51D4">
              <w:rPr>
                <w:rFonts w:asciiTheme="majorBidi" w:hAnsiTheme="majorBidi" w:cstheme="majorBidi"/>
                <w:sz w:val="18"/>
                <w:szCs w:val="18"/>
                <w:lang w:bidi="ar-AE"/>
              </w:rPr>
              <w:t>,  silver</w:t>
            </w:r>
            <w:proofErr w:type="gramEnd"/>
            <w:r w:rsidRPr="005F51D4">
              <w:rPr>
                <w:rFonts w:asciiTheme="majorBidi" w:hAnsiTheme="majorBidi" w:cstheme="majorBidi"/>
                <w:sz w:val="18"/>
                <w:szCs w:val="18"/>
                <w:lang w:bidi="ar-AE"/>
              </w:rPr>
              <w:t>, wheat, corn  and soybeans markets over the sample period 27th July 2012 to 3rd June 2015.</w:t>
            </w:r>
          </w:p>
        </w:tc>
      </w:tr>
      <w:tr w:rsidR="008074BE" w:rsidTr="0076766D">
        <w:trPr>
          <w:trHeight w:val="165"/>
        </w:trPr>
        <w:tc>
          <w:tcPr>
            <w:tcW w:w="13562" w:type="dxa"/>
          </w:tcPr>
          <w:p w:rsidR="008074BE" w:rsidRDefault="008074BE" w:rsidP="0076766D">
            <w:pPr>
              <w:tabs>
                <w:tab w:val="left" w:pos="1230"/>
              </w:tabs>
              <w:rPr>
                <w:b/>
                <w:bCs/>
              </w:rPr>
            </w:pPr>
          </w:p>
          <w:p w:rsidR="008074BE" w:rsidRPr="002D14F5" w:rsidRDefault="008074BE" w:rsidP="008074BE">
            <w:pPr>
              <w:tabs>
                <w:tab w:val="left" w:pos="1230"/>
              </w:tabs>
              <w:rPr>
                <w:rFonts w:asciiTheme="majorBidi" w:hAnsiTheme="majorBidi" w:cstheme="majorBidi"/>
                <w:lang w:bidi="ar-AE"/>
              </w:rPr>
            </w:pPr>
            <w:r w:rsidRPr="002D14F5">
              <w:rPr>
                <w:rFonts w:asciiTheme="majorBidi" w:hAnsiTheme="majorBidi" w:cstheme="majorBidi"/>
                <w:b/>
                <w:bCs/>
              </w:rPr>
              <w:t>Figure 1B : Time series plot of the implied volatility index in log changes</w:t>
            </w:r>
          </w:p>
        </w:tc>
      </w:tr>
      <w:tr w:rsidR="008074BE" w:rsidTr="0076766D">
        <w:tc>
          <w:tcPr>
            <w:tcW w:w="13562" w:type="dxa"/>
          </w:tcPr>
          <w:p w:rsidR="008074BE" w:rsidRDefault="008074BE" w:rsidP="0076766D">
            <w:pPr>
              <w:tabs>
                <w:tab w:val="left" w:pos="1230"/>
              </w:tabs>
              <w:rPr>
                <w:lang w:bidi="ar-AE"/>
              </w:rPr>
            </w:pPr>
            <w:r>
              <w:rPr>
                <w:noProof/>
                <w:lang w:val="en-GB" w:eastAsia="en-GB"/>
              </w:rPr>
              <w:drawing>
                <wp:inline distT="0" distB="0" distL="0" distR="0" wp14:anchorId="24AE0169" wp14:editId="4278D5C3">
                  <wp:extent cx="6276975" cy="23336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5095" cy="2332926"/>
                          </a:xfrm>
                          <a:prstGeom prst="rect">
                            <a:avLst/>
                          </a:prstGeom>
                          <a:noFill/>
                          <a:ln>
                            <a:noFill/>
                          </a:ln>
                        </pic:spPr>
                      </pic:pic>
                    </a:graphicData>
                  </a:graphic>
                </wp:inline>
              </w:drawing>
            </w:r>
          </w:p>
        </w:tc>
      </w:tr>
      <w:tr w:rsidR="008074BE" w:rsidTr="0076766D">
        <w:tc>
          <w:tcPr>
            <w:tcW w:w="13562" w:type="dxa"/>
          </w:tcPr>
          <w:p w:rsidR="008074BE" w:rsidRDefault="008074BE" w:rsidP="0076766D">
            <w:pPr>
              <w:tabs>
                <w:tab w:val="left" w:pos="1230"/>
              </w:tabs>
              <w:jc w:val="both"/>
              <w:rPr>
                <w:lang w:bidi="ar-AE"/>
              </w:rPr>
            </w:pPr>
            <w:r w:rsidRPr="00DE20C8">
              <w:rPr>
                <w:rFonts w:ascii="Times New Roman" w:eastAsia="Calibri" w:hAnsi="Times New Roman" w:cs="Times New Roman"/>
                <w:i/>
                <w:iCs/>
                <w:sz w:val="18"/>
                <w:szCs w:val="18"/>
              </w:rPr>
              <w:t>Notes:</w:t>
            </w:r>
            <w:r w:rsidRPr="00DE20C8">
              <w:rPr>
                <w:rFonts w:ascii="Times New Roman" w:eastAsia="Calibri" w:hAnsi="Times New Roman" w:cs="Times New Roman"/>
                <w:sz w:val="18"/>
                <w:szCs w:val="18"/>
              </w:rPr>
              <w:t xml:space="preserve"> This figure shows the implied volatility index </w:t>
            </w:r>
            <w:r w:rsidRPr="000E3BEA">
              <w:rPr>
                <w:rFonts w:ascii="Times New Roman" w:eastAsia="Calibri" w:hAnsi="Times New Roman" w:cs="Times New Roman"/>
                <w:sz w:val="18"/>
                <w:szCs w:val="18"/>
              </w:rPr>
              <w:t>in log changes</w:t>
            </w:r>
            <w:r>
              <w:rPr>
                <w:rFonts w:ascii="Times New Roman" w:eastAsia="Calibri" w:hAnsi="Times New Roman" w:cs="Times New Roman"/>
                <w:sz w:val="18"/>
                <w:szCs w:val="18"/>
              </w:rPr>
              <w:t>)</w:t>
            </w:r>
            <w:r w:rsidRPr="000E3BEA">
              <w:rPr>
                <w:rFonts w:ascii="Times New Roman" w:eastAsia="Calibri" w:hAnsi="Times New Roman" w:cs="Times New Roman"/>
                <w:sz w:val="18"/>
                <w:szCs w:val="18"/>
              </w:rPr>
              <w:t xml:space="preserve"> </w:t>
            </w:r>
            <w:r w:rsidRPr="00DE20C8">
              <w:rPr>
                <w:rFonts w:ascii="Times New Roman" w:eastAsia="Calibri" w:hAnsi="Times New Roman" w:cs="Times New Roman"/>
                <w:sz w:val="18"/>
                <w:szCs w:val="18"/>
              </w:rPr>
              <w:t>of crude oil, US-stock, Euro/Dollar exchange, gold,  silver, wheat, corn  and soybeans markets over the sample period 27th July 2012 to 3rd June 2015.</w:t>
            </w:r>
          </w:p>
        </w:tc>
      </w:tr>
    </w:tbl>
    <w:p w:rsidR="00CF2F0E" w:rsidRDefault="00CF2F0E" w:rsidP="001D525D">
      <w:pPr>
        <w:autoSpaceDE w:val="0"/>
        <w:autoSpaceDN w:val="0"/>
        <w:adjustRightInd w:val="0"/>
        <w:spacing w:after="0" w:line="480" w:lineRule="auto"/>
        <w:jc w:val="both"/>
        <w:rPr>
          <w:rFonts w:ascii="Times New Roman" w:eastAsia="Calibri" w:hAnsi="Times New Roman" w:cs="Times New Roman"/>
          <w:sz w:val="24"/>
          <w:szCs w:val="24"/>
        </w:rPr>
      </w:pPr>
    </w:p>
    <w:p w:rsidR="008074BE" w:rsidRDefault="008074BE" w:rsidP="001D525D">
      <w:pPr>
        <w:autoSpaceDE w:val="0"/>
        <w:autoSpaceDN w:val="0"/>
        <w:adjustRightInd w:val="0"/>
        <w:spacing w:after="0" w:line="480" w:lineRule="auto"/>
        <w:jc w:val="both"/>
        <w:rPr>
          <w:rFonts w:ascii="Times New Roman" w:eastAsia="Calibri" w:hAnsi="Times New Roman" w:cs="Times New Roman"/>
          <w:sz w:val="24"/>
          <w:szCs w:val="24"/>
        </w:rPr>
      </w:pPr>
    </w:p>
    <w:p w:rsidR="00C235D4" w:rsidRDefault="00C235D4" w:rsidP="00C235D4"/>
    <w:p w:rsidR="008074BE" w:rsidRDefault="008074BE" w:rsidP="00C235D4"/>
    <w:p w:rsidR="008074BE" w:rsidRDefault="008074BE" w:rsidP="00C235D4"/>
    <w:p w:rsidR="008074BE" w:rsidRDefault="008074BE" w:rsidP="00C235D4"/>
    <w:p w:rsidR="008074BE" w:rsidRDefault="008074BE" w:rsidP="00C235D4"/>
    <w:p w:rsidR="008074BE" w:rsidRDefault="008074BE" w:rsidP="00C235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C235D4" w:rsidTr="00B1441B">
        <w:trPr>
          <w:trHeight w:val="200"/>
        </w:trPr>
        <w:tc>
          <w:tcPr>
            <w:tcW w:w="9962" w:type="dxa"/>
          </w:tcPr>
          <w:p w:rsidR="005A0A16" w:rsidRDefault="005A0A16" w:rsidP="00B1441B">
            <w:pPr>
              <w:jc w:val="center"/>
              <w:rPr>
                <w:rFonts w:ascii="Times New Roman" w:eastAsia="Calibri" w:hAnsi="Times New Roman" w:cs="Times New Roman"/>
                <w:b/>
                <w:bCs/>
                <w:sz w:val="20"/>
                <w:szCs w:val="20"/>
              </w:rPr>
            </w:pPr>
          </w:p>
          <w:p w:rsidR="005A0A16" w:rsidRDefault="005A0A16" w:rsidP="00B1441B">
            <w:pPr>
              <w:jc w:val="center"/>
              <w:rPr>
                <w:rFonts w:ascii="Times New Roman" w:eastAsia="Calibri" w:hAnsi="Times New Roman" w:cs="Times New Roman"/>
                <w:b/>
                <w:bCs/>
                <w:sz w:val="20"/>
                <w:szCs w:val="20"/>
              </w:rPr>
            </w:pPr>
          </w:p>
          <w:p w:rsidR="005A0A16" w:rsidRDefault="005A0A16" w:rsidP="005A0A16">
            <w:pPr>
              <w:jc w:val="center"/>
              <w:rPr>
                <w:rFonts w:ascii="Times New Roman" w:eastAsia="Calibri" w:hAnsi="Times New Roman" w:cs="Times New Roman"/>
                <w:b/>
                <w:bCs/>
                <w:sz w:val="20"/>
                <w:szCs w:val="20"/>
              </w:rPr>
            </w:pPr>
            <w:r w:rsidRPr="00845972">
              <w:rPr>
                <w:rFonts w:ascii="Times New Roman" w:eastAsia="Calibri" w:hAnsi="Times New Roman" w:cs="Times New Roman"/>
                <w:b/>
                <w:bCs/>
                <w:sz w:val="20"/>
                <w:szCs w:val="20"/>
              </w:rPr>
              <w:t xml:space="preserve">Figure </w:t>
            </w:r>
            <w:r>
              <w:rPr>
                <w:rFonts w:ascii="Times New Roman" w:eastAsia="Calibri" w:hAnsi="Times New Roman" w:cs="Times New Roman"/>
                <w:b/>
                <w:bCs/>
                <w:sz w:val="20"/>
                <w:szCs w:val="20"/>
              </w:rPr>
              <w:t>2</w:t>
            </w:r>
            <w:r w:rsidRPr="00845972">
              <w:rPr>
                <w:rFonts w:ascii="Times New Roman" w:eastAsia="Calibri" w:hAnsi="Times New Roman" w:cs="Times New Roman"/>
                <w:b/>
                <w:bCs/>
                <w:sz w:val="20"/>
                <w:szCs w:val="20"/>
              </w:rPr>
              <w:t>: Dynamic conditional correlations</w:t>
            </w:r>
          </w:p>
          <w:p w:rsidR="005A0A16" w:rsidRDefault="005A0A16" w:rsidP="00B1441B">
            <w:pPr>
              <w:jc w:val="center"/>
              <w:rPr>
                <w:rFonts w:ascii="Times New Roman" w:eastAsia="Calibri" w:hAnsi="Times New Roman" w:cs="Times New Roman"/>
                <w:b/>
                <w:bCs/>
                <w:sz w:val="20"/>
                <w:szCs w:val="20"/>
              </w:rPr>
            </w:pPr>
          </w:p>
          <w:p w:rsidR="005A0A16" w:rsidRDefault="005A0A16" w:rsidP="00B1441B">
            <w:pPr>
              <w:jc w:val="center"/>
              <w:rPr>
                <w:rFonts w:ascii="Times New Roman" w:eastAsia="Calibri" w:hAnsi="Times New Roman" w:cs="Times New Roman"/>
                <w:b/>
                <w:bCs/>
                <w:sz w:val="20"/>
                <w:szCs w:val="20"/>
              </w:rPr>
            </w:pPr>
          </w:p>
          <w:p w:rsidR="005A0A16" w:rsidRDefault="005A0A16" w:rsidP="00B1441B">
            <w:pPr>
              <w:jc w:val="center"/>
              <w:rPr>
                <w:rFonts w:ascii="Times New Roman" w:eastAsia="Calibri" w:hAnsi="Times New Roman" w:cs="Times New Roman"/>
                <w:b/>
                <w:bCs/>
                <w:sz w:val="20"/>
                <w:szCs w:val="20"/>
              </w:rPr>
            </w:pPr>
          </w:p>
          <w:p w:rsidR="005A0A16" w:rsidRDefault="005A0A16" w:rsidP="00B1441B">
            <w:pPr>
              <w:jc w:val="center"/>
              <w:rPr>
                <w:rFonts w:ascii="Times New Roman" w:eastAsia="Calibri" w:hAnsi="Times New Roman" w:cs="Times New Roman"/>
                <w:b/>
                <w:bCs/>
                <w:sz w:val="20"/>
                <w:szCs w:val="20"/>
              </w:rPr>
            </w:pPr>
            <w:r>
              <w:rPr>
                <w:noProof/>
                <w:lang w:val="en-GB" w:eastAsia="en-GB"/>
              </w:rPr>
              <w:drawing>
                <wp:inline distT="0" distB="0" distL="0" distR="0" wp14:anchorId="30AD71A8" wp14:editId="08EE0F61">
                  <wp:extent cx="5915025" cy="2628900"/>
                  <wp:effectExtent l="0" t="0" r="0" b="0"/>
                  <wp:docPr id="3748" name="Picture 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923376" cy="2632612"/>
                          </a:xfrm>
                          <a:prstGeom prst="rect">
                            <a:avLst/>
                          </a:prstGeom>
                        </pic:spPr>
                      </pic:pic>
                    </a:graphicData>
                  </a:graphic>
                </wp:inline>
              </w:drawing>
            </w:r>
          </w:p>
          <w:p w:rsidR="005A0A16" w:rsidRDefault="005A0A16" w:rsidP="00B1441B">
            <w:pPr>
              <w:jc w:val="center"/>
              <w:rPr>
                <w:rFonts w:ascii="Times New Roman" w:eastAsia="Calibri" w:hAnsi="Times New Roman" w:cs="Times New Roman"/>
                <w:b/>
                <w:bCs/>
                <w:sz w:val="20"/>
                <w:szCs w:val="20"/>
              </w:rPr>
            </w:pPr>
          </w:p>
          <w:p w:rsidR="005A0A16" w:rsidRDefault="005A0A16" w:rsidP="00B1441B">
            <w:pPr>
              <w:jc w:val="center"/>
              <w:rPr>
                <w:rFonts w:asciiTheme="majorBidi" w:hAnsiTheme="majorBidi" w:cstheme="majorBidi"/>
                <w:sz w:val="18"/>
                <w:szCs w:val="18"/>
              </w:rPr>
            </w:pPr>
            <w:r w:rsidRPr="003D1164">
              <w:rPr>
                <w:rFonts w:asciiTheme="majorBidi" w:hAnsiTheme="majorBidi" w:cstheme="majorBidi"/>
                <w:i/>
                <w:iCs/>
                <w:sz w:val="18"/>
                <w:szCs w:val="18"/>
              </w:rPr>
              <w:t>Notes</w:t>
            </w:r>
            <w:r w:rsidRPr="003D1164">
              <w:rPr>
                <w:rFonts w:asciiTheme="majorBidi" w:hAnsiTheme="majorBidi" w:cstheme="majorBidi"/>
                <w:sz w:val="18"/>
                <w:szCs w:val="18"/>
              </w:rPr>
              <w:t>: This figure shows the dynamic conditional correlations between crude oil volatility index and seven market volatility indices during the period 27th July 2012 to 3rd June 2015.</w:t>
            </w:r>
          </w:p>
          <w:p w:rsidR="005A0A16" w:rsidRDefault="005A0A16" w:rsidP="00B1441B">
            <w:pPr>
              <w:jc w:val="center"/>
              <w:rPr>
                <w:rFonts w:asciiTheme="majorBidi" w:hAnsiTheme="majorBidi" w:cstheme="majorBidi"/>
                <w:sz w:val="18"/>
                <w:szCs w:val="18"/>
              </w:rPr>
            </w:pPr>
          </w:p>
          <w:p w:rsidR="005A0A16" w:rsidRDefault="005A0A16" w:rsidP="00B1441B">
            <w:pPr>
              <w:jc w:val="center"/>
              <w:rPr>
                <w:rFonts w:asciiTheme="majorBidi" w:hAnsiTheme="majorBidi" w:cstheme="majorBidi"/>
                <w:sz w:val="18"/>
                <w:szCs w:val="18"/>
              </w:rPr>
            </w:pPr>
          </w:p>
          <w:p w:rsidR="005A0A16" w:rsidRDefault="005A0A16" w:rsidP="00B1441B">
            <w:pPr>
              <w:jc w:val="center"/>
              <w:rPr>
                <w:rFonts w:asciiTheme="majorBidi" w:hAnsiTheme="majorBidi" w:cstheme="majorBidi"/>
                <w:sz w:val="18"/>
                <w:szCs w:val="18"/>
              </w:rPr>
            </w:pPr>
          </w:p>
          <w:p w:rsidR="00C235D4" w:rsidRPr="00894B4B" w:rsidRDefault="00C235D4" w:rsidP="005A0A16">
            <w:pPr>
              <w:jc w:val="center"/>
              <w:rPr>
                <w:b/>
                <w:bCs/>
              </w:rPr>
            </w:pPr>
            <w:r w:rsidRPr="008C6BAD">
              <w:rPr>
                <w:rFonts w:ascii="Times New Roman" w:eastAsia="Calibri" w:hAnsi="Times New Roman" w:cs="Times New Roman"/>
                <w:b/>
                <w:bCs/>
                <w:sz w:val="20"/>
                <w:szCs w:val="20"/>
              </w:rPr>
              <w:t xml:space="preserve">Figure </w:t>
            </w:r>
            <w:r w:rsidR="005A0A16">
              <w:rPr>
                <w:rFonts w:ascii="Times New Roman" w:eastAsia="Calibri" w:hAnsi="Times New Roman" w:cs="Times New Roman"/>
                <w:b/>
                <w:bCs/>
                <w:sz w:val="20"/>
                <w:szCs w:val="20"/>
              </w:rPr>
              <w:t>3</w:t>
            </w:r>
            <w:r w:rsidRPr="008C6BAD">
              <w:rPr>
                <w:rFonts w:ascii="Times New Roman" w:eastAsia="Calibri" w:hAnsi="Times New Roman" w:cs="Times New Roman"/>
                <w:b/>
                <w:bCs/>
                <w:sz w:val="20"/>
                <w:szCs w:val="20"/>
              </w:rPr>
              <w:t>: Dynamic total implied volatility spillover index</w:t>
            </w:r>
          </w:p>
        </w:tc>
      </w:tr>
      <w:tr w:rsidR="00C235D4" w:rsidTr="00B1441B">
        <w:trPr>
          <w:trHeight w:val="2091"/>
        </w:trPr>
        <w:tc>
          <w:tcPr>
            <w:tcW w:w="9962" w:type="dxa"/>
          </w:tcPr>
          <w:p w:rsidR="00C235D4" w:rsidRDefault="00166F94" w:rsidP="00B1441B">
            <w:pPr>
              <w:rPr>
                <w:noProof/>
              </w:rPr>
            </w:pPr>
            <w:r>
              <w:rPr>
                <w:noProof/>
                <w:lang w:val="en-GB" w:eastAsia="en-GB"/>
              </w:rPr>
              <w:drawing>
                <wp:inline distT="0" distB="0" distL="0" distR="0" wp14:anchorId="2FD0AB72" wp14:editId="734DF885">
                  <wp:extent cx="6181725" cy="1762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1725" cy="1762125"/>
                          </a:xfrm>
                          <a:prstGeom prst="rect">
                            <a:avLst/>
                          </a:prstGeom>
                          <a:noFill/>
                          <a:ln>
                            <a:noFill/>
                          </a:ln>
                        </pic:spPr>
                      </pic:pic>
                    </a:graphicData>
                  </a:graphic>
                </wp:inline>
              </w:drawing>
            </w:r>
          </w:p>
        </w:tc>
      </w:tr>
      <w:tr w:rsidR="00C235D4" w:rsidTr="00B1441B">
        <w:tc>
          <w:tcPr>
            <w:tcW w:w="9962" w:type="dxa"/>
            <w:shd w:val="clear" w:color="auto" w:fill="auto"/>
          </w:tcPr>
          <w:p w:rsidR="00C235D4" w:rsidRPr="00C754FC" w:rsidRDefault="00C235D4" w:rsidP="008074BE">
            <w:pPr>
              <w:autoSpaceDE w:val="0"/>
              <w:autoSpaceDN w:val="0"/>
              <w:adjustRightInd w:val="0"/>
              <w:rPr>
                <w:rFonts w:ascii="Times New Roman" w:eastAsia="Calibri" w:hAnsi="Times New Roman" w:cs="Times New Roman"/>
                <w:sz w:val="18"/>
                <w:szCs w:val="18"/>
              </w:rPr>
            </w:pPr>
            <w:r w:rsidRPr="00412BB5">
              <w:rPr>
                <w:rFonts w:ascii="Times New Roman" w:eastAsia="Calibri" w:hAnsi="Times New Roman" w:cs="Times New Roman"/>
                <w:i/>
                <w:iCs/>
                <w:sz w:val="18"/>
                <w:szCs w:val="18"/>
              </w:rPr>
              <w:t>Notes</w:t>
            </w:r>
            <w:r w:rsidRPr="00412BB5">
              <w:rPr>
                <w:rFonts w:ascii="Times New Roman" w:eastAsia="Calibri" w:hAnsi="Times New Roman" w:cs="Times New Roman"/>
                <w:sz w:val="18"/>
                <w:szCs w:val="18"/>
              </w:rPr>
              <w:t xml:space="preserve">: This </w:t>
            </w:r>
            <w:r w:rsidRPr="00412BB5">
              <w:rPr>
                <w:rFonts w:ascii="Times New Roman" w:eastAsia="Calibri" w:hAnsi="Times New Roman" w:cs="Times New Roman"/>
                <w:sz w:val="18"/>
                <w:szCs w:val="18"/>
              </w:rPr>
              <w:br w:type="page"/>
              <w:t>figure shows the spillover index over the sample period 27th July 2012 to 3rd June 2015 estimated with</w:t>
            </w:r>
            <w:r>
              <w:rPr>
                <w:rFonts w:ascii="Times New Roman" w:eastAsia="Calibri" w:hAnsi="Times New Roman" w:cs="Times New Roman"/>
                <w:sz w:val="18"/>
                <w:szCs w:val="18"/>
              </w:rPr>
              <w:t xml:space="preserve"> a rolling window of 2</w:t>
            </w:r>
            <w:r w:rsidRPr="00412BB5">
              <w:rPr>
                <w:rFonts w:ascii="Times New Roman" w:eastAsia="Calibri" w:hAnsi="Times New Roman" w:cs="Times New Roman"/>
                <w:sz w:val="18"/>
                <w:szCs w:val="18"/>
              </w:rPr>
              <w:t xml:space="preserve">00- day and </w:t>
            </w:r>
            <w:r w:rsidRPr="00C754FC">
              <w:rPr>
                <w:rFonts w:ascii="Times New Roman" w:eastAsia="Calibri" w:hAnsi="Times New Roman" w:cs="Times New Roman"/>
                <w:sz w:val="18"/>
                <w:szCs w:val="18"/>
              </w:rPr>
              <w:t>predictive horizon for the underlying variance</w:t>
            </w:r>
            <w:r>
              <w:rPr>
                <w:rFonts w:ascii="Times New Roman" w:eastAsia="Calibri" w:hAnsi="Times New Roman" w:cs="Times New Roman"/>
                <w:sz w:val="18"/>
                <w:szCs w:val="18"/>
              </w:rPr>
              <w:t xml:space="preserve"> </w:t>
            </w:r>
            <w:r w:rsidRPr="003C00EB">
              <w:rPr>
                <w:rFonts w:ascii="Times New Roman" w:eastAsia="Calibri" w:hAnsi="Times New Roman" w:cs="Times New Roman"/>
                <w:sz w:val="18"/>
                <w:szCs w:val="18"/>
              </w:rPr>
              <w:t xml:space="preserve">decomposition is </w:t>
            </w:r>
            <w:r w:rsidR="00E257F2" w:rsidRPr="003C00EB">
              <w:rPr>
                <w:rFonts w:ascii="Times New Roman" w:eastAsia="Calibri" w:hAnsi="Times New Roman" w:cs="Times New Roman"/>
                <w:sz w:val="18"/>
                <w:szCs w:val="18"/>
              </w:rPr>
              <w:t>10-step-ahead forecasts</w:t>
            </w:r>
            <w:r w:rsidRPr="003C00EB">
              <w:rPr>
                <w:rFonts w:ascii="Times New Roman" w:eastAsia="Calibri" w:hAnsi="Times New Roman" w:cs="Times New Roman"/>
                <w:sz w:val="18"/>
                <w:szCs w:val="18"/>
              </w:rPr>
              <w:t>.</w:t>
            </w:r>
          </w:p>
        </w:tc>
      </w:tr>
    </w:tbl>
    <w:p w:rsidR="00B36A0A" w:rsidRDefault="00B36A0A" w:rsidP="007601E0">
      <w:pPr>
        <w:rPr>
          <w:rFonts w:ascii="Georgia" w:hAnsi="Georgia"/>
          <w:color w:val="000000" w:themeColor="text1"/>
          <w:shd w:val="clear" w:color="auto" w:fill="FFFFFF"/>
        </w:rPr>
      </w:pPr>
    </w:p>
    <w:p w:rsidR="00C235D4" w:rsidRPr="008E23AB" w:rsidRDefault="00C235D4" w:rsidP="00C235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C235D4" w:rsidRPr="00FC6D16" w:rsidTr="00B1441B">
        <w:trPr>
          <w:trHeight w:val="55"/>
        </w:trPr>
        <w:tc>
          <w:tcPr>
            <w:tcW w:w="9962" w:type="dxa"/>
          </w:tcPr>
          <w:p w:rsidR="005A0A16" w:rsidRDefault="005A0A16" w:rsidP="005A0A16">
            <w:pPr>
              <w:jc w:val="center"/>
              <w:rPr>
                <w:rFonts w:ascii="Times New Roman" w:eastAsia="Calibri" w:hAnsi="Times New Roman" w:cs="Times New Roman"/>
                <w:b/>
                <w:bCs/>
                <w:sz w:val="20"/>
                <w:szCs w:val="20"/>
              </w:rPr>
            </w:pPr>
          </w:p>
          <w:p w:rsidR="005A0A16" w:rsidRDefault="005A0A16" w:rsidP="005A0A16">
            <w:pPr>
              <w:jc w:val="center"/>
              <w:rPr>
                <w:rFonts w:ascii="Times New Roman" w:eastAsia="Calibri" w:hAnsi="Times New Roman" w:cs="Times New Roman"/>
                <w:b/>
                <w:bCs/>
                <w:sz w:val="20"/>
                <w:szCs w:val="20"/>
              </w:rPr>
            </w:pPr>
          </w:p>
          <w:p w:rsidR="005A0A16" w:rsidRDefault="005A0A16" w:rsidP="005A0A16">
            <w:pPr>
              <w:jc w:val="center"/>
              <w:rPr>
                <w:rFonts w:ascii="Times New Roman" w:eastAsia="Calibri" w:hAnsi="Times New Roman" w:cs="Times New Roman"/>
                <w:b/>
                <w:bCs/>
                <w:sz w:val="20"/>
                <w:szCs w:val="20"/>
              </w:rPr>
            </w:pPr>
          </w:p>
          <w:p w:rsidR="005A0A16" w:rsidRDefault="005A0A16" w:rsidP="005A0A16">
            <w:pPr>
              <w:jc w:val="center"/>
              <w:rPr>
                <w:rFonts w:ascii="Times New Roman" w:eastAsia="Calibri" w:hAnsi="Times New Roman" w:cs="Times New Roman"/>
                <w:b/>
                <w:bCs/>
                <w:sz w:val="20"/>
                <w:szCs w:val="20"/>
              </w:rPr>
            </w:pPr>
          </w:p>
          <w:p w:rsidR="005A0A16" w:rsidRDefault="005A0A16" w:rsidP="005A0A16">
            <w:pPr>
              <w:jc w:val="center"/>
              <w:rPr>
                <w:rFonts w:ascii="Times New Roman" w:eastAsia="Calibri" w:hAnsi="Times New Roman" w:cs="Times New Roman"/>
                <w:b/>
                <w:bCs/>
                <w:sz w:val="20"/>
                <w:szCs w:val="20"/>
              </w:rPr>
            </w:pPr>
          </w:p>
          <w:p w:rsidR="005A0A16" w:rsidRDefault="005A0A16" w:rsidP="005A0A16">
            <w:pPr>
              <w:jc w:val="center"/>
              <w:rPr>
                <w:rFonts w:ascii="Times New Roman" w:eastAsia="Calibri" w:hAnsi="Times New Roman" w:cs="Times New Roman"/>
                <w:b/>
                <w:bCs/>
                <w:sz w:val="20"/>
                <w:szCs w:val="20"/>
              </w:rPr>
            </w:pPr>
          </w:p>
          <w:p w:rsidR="005A0A16" w:rsidRDefault="005A0A16" w:rsidP="005A0A16">
            <w:pPr>
              <w:jc w:val="center"/>
              <w:rPr>
                <w:rFonts w:ascii="Times New Roman" w:eastAsia="Calibri" w:hAnsi="Times New Roman" w:cs="Times New Roman"/>
                <w:b/>
                <w:bCs/>
                <w:sz w:val="20"/>
                <w:szCs w:val="20"/>
              </w:rPr>
            </w:pPr>
          </w:p>
          <w:p w:rsidR="005A0A16" w:rsidRDefault="005A0A16" w:rsidP="005A0A16">
            <w:pPr>
              <w:jc w:val="center"/>
              <w:rPr>
                <w:rFonts w:ascii="Times New Roman" w:eastAsia="Calibri" w:hAnsi="Times New Roman" w:cs="Times New Roman"/>
                <w:b/>
                <w:bCs/>
                <w:sz w:val="20"/>
                <w:szCs w:val="20"/>
              </w:rPr>
            </w:pPr>
          </w:p>
          <w:p w:rsidR="005A0A16" w:rsidRDefault="005A0A16" w:rsidP="005A0A16">
            <w:pPr>
              <w:jc w:val="center"/>
              <w:rPr>
                <w:rFonts w:ascii="Times New Roman" w:eastAsia="Calibri" w:hAnsi="Times New Roman" w:cs="Times New Roman"/>
                <w:b/>
                <w:bCs/>
                <w:sz w:val="20"/>
                <w:szCs w:val="20"/>
              </w:rPr>
            </w:pPr>
          </w:p>
          <w:p w:rsidR="00C235D4" w:rsidRPr="00FC6D16" w:rsidRDefault="00C235D4" w:rsidP="005A0A16">
            <w:pPr>
              <w:jc w:val="center"/>
              <w:rPr>
                <w:rFonts w:ascii="Times New Roman" w:eastAsia="Calibri" w:hAnsi="Times New Roman" w:cs="Times New Roman"/>
                <w:b/>
                <w:bCs/>
                <w:sz w:val="20"/>
                <w:szCs w:val="20"/>
              </w:rPr>
            </w:pPr>
            <w:r w:rsidRPr="006E4703">
              <w:rPr>
                <w:rFonts w:ascii="Times New Roman" w:eastAsia="Calibri" w:hAnsi="Times New Roman" w:cs="Times New Roman"/>
                <w:b/>
                <w:bCs/>
                <w:sz w:val="20"/>
                <w:szCs w:val="20"/>
              </w:rPr>
              <w:lastRenderedPageBreak/>
              <w:t>Fig</w:t>
            </w:r>
            <w:r>
              <w:rPr>
                <w:rFonts w:ascii="Times New Roman" w:eastAsia="Calibri" w:hAnsi="Times New Roman" w:cs="Times New Roman"/>
                <w:b/>
                <w:bCs/>
                <w:sz w:val="20"/>
                <w:szCs w:val="20"/>
              </w:rPr>
              <w:t>ure</w:t>
            </w:r>
            <w:r w:rsidRPr="006E4703">
              <w:rPr>
                <w:rFonts w:ascii="Times New Roman" w:eastAsia="Calibri" w:hAnsi="Times New Roman" w:cs="Times New Roman"/>
                <w:b/>
                <w:bCs/>
                <w:sz w:val="20"/>
                <w:szCs w:val="20"/>
              </w:rPr>
              <w:t xml:space="preserve"> </w:t>
            </w:r>
            <w:r w:rsidR="005A0A16">
              <w:rPr>
                <w:rFonts w:ascii="Times New Roman" w:eastAsia="Calibri" w:hAnsi="Times New Roman" w:cs="Times New Roman"/>
                <w:b/>
                <w:bCs/>
                <w:sz w:val="20"/>
                <w:szCs w:val="20"/>
              </w:rPr>
              <w:t>4</w:t>
            </w:r>
            <w:r>
              <w:rPr>
                <w:rFonts w:ascii="Times New Roman" w:eastAsia="Calibri" w:hAnsi="Times New Roman" w:cs="Times New Roman"/>
                <w:b/>
                <w:bCs/>
                <w:sz w:val="20"/>
                <w:szCs w:val="20"/>
              </w:rPr>
              <w:t>:</w:t>
            </w:r>
            <w:r w:rsidRPr="006E4703">
              <w:rPr>
                <w:rFonts w:ascii="Times New Roman" w:eastAsia="Calibri" w:hAnsi="Times New Roman" w:cs="Times New Roman"/>
                <w:b/>
                <w:bCs/>
                <w:sz w:val="20"/>
                <w:szCs w:val="20"/>
              </w:rPr>
              <w:t xml:space="preserve"> </w:t>
            </w:r>
            <w:r w:rsidRPr="00FC6D16">
              <w:rPr>
                <w:rFonts w:ascii="Times New Roman" w:eastAsia="Calibri" w:hAnsi="Times New Roman" w:cs="Times New Roman"/>
                <w:b/>
                <w:bCs/>
                <w:sz w:val="20"/>
                <w:szCs w:val="20"/>
              </w:rPr>
              <w:t>Direction of implied volatility spillovers</w:t>
            </w:r>
          </w:p>
        </w:tc>
      </w:tr>
      <w:tr w:rsidR="00C235D4" w:rsidTr="00B1441B">
        <w:trPr>
          <w:trHeight w:val="4959"/>
        </w:trPr>
        <w:tc>
          <w:tcPr>
            <w:tcW w:w="9962" w:type="dxa"/>
          </w:tcPr>
          <w:p w:rsidR="00C235D4" w:rsidRDefault="00C235D4" w:rsidP="00B1441B">
            <w:pPr>
              <w:rPr>
                <w:noProof/>
              </w:rPr>
            </w:pPr>
            <w:r>
              <w:rPr>
                <w:noProof/>
                <w:lang w:val="en-GB" w:eastAsia="en-GB"/>
              </w:rPr>
              <w:lastRenderedPageBreak/>
              <w:drawing>
                <wp:inline distT="0" distB="0" distL="0" distR="0" wp14:anchorId="11440ACB" wp14:editId="7A5EC69D">
                  <wp:extent cx="6186115" cy="3172570"/>
                  <wp:effectExtent l="0" t="0" r="5715" b="8890"/>
                  <wp:docPr id="3742" name="Picture 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6115" cy="3172570"/>
                          </a:xfrm>
                          <a:prstGeom prst="rect">
                            <a:avLst/>
                          </a:prstGeom>
                          <a:noFill/>
                          <a:ln>
                            <a:noFill/>
                          </a:ln>
                        </pic:spPr>
                      </pic:pic>
                    </a:graphicData>
                  </a:graphic>
                </wp:inline>
              </w:drawing>
            </w:r>
          </w:p>
        </w:tc>
      </w:tr>
      <w:tr w:rsidR="00C235D4" w:rsidRPr="00EF624C" w:rsidTr="00B1441B">
        <w:tc>
          <w:tcPr>
            <w:tcW w:w="9962" w:type="dxa"/>
          </w:tcPr>
          <w:p w:rsidR="00C235D4" w:rsidRPr="00EF624C" w:rsidRDefault="00C235D4" w:rsidP="00B1441B">
            <w:pPr>
              <w:jc w:val="both"/>
              <w:rPr>
                <w:sz w:val="18"/>
                <w:szCs w:val="18"/>
              </w:rPr>
            </w:pPr>
            <w:r w:rsidRPr="00EF624C">
              <w:rPr>
                <w:rFonts w:ascii="Times New Roman" w:eastAsia="Calibri" w:hAnsi="Times New Roman" w:cs="Times New Roman"/>
                <w:i/>
                <w:iCs/>
                <w:sz w:val="18"/>
                <w:szCs w:val="18"/>
              </w:rPr>
              <w:t>Notes</w:t>
            </w:r>
            <w:r w:rsidRPr="00EF624C">
              <w:rPr>
                <w:rFonts w:ascii="Times New Roman" w:eastAsia="Calibri" w:hAnsi="Times New Roman" w:cs="Times New Roman"/>
                <w:sz w:val="18"/>
                <w:szCs w:val="18"/>
              </w:rPr>
              <w:t xml:space="preserve">: This figure shows the directional spillovers from Oil to all markets' over the sample period </w:t>
            </w:r>
            <w:proofErr w:type="gramStart"/>
            <w:r w:rsidRPr="00EF624C">
              <w:rPr>
                <w:rFonts w:ascii="Times New Roman" w:eastAsia="Calibri" w:hAnsi="Times New Roman" w:cs="Times New Roman"/>
                <w:sz w:val="18"/>
                <w:szCs w:val="18"/>
              </w:rPr>
              <w:t>27th  July</w:t>
            </w:r>
            <w:proofErr w:type="gramEnd"/>
            <w:r w:rsidRPr="00EF624C">
              <w:rPr>
                <w:rFonts w:ascii="Times New Roman" w:eastAsia="Calibri" w:hAnsi="Times New Roman" w:cs="Times New Roman"/>
                <w:sz w:val="18"/>
                <w:szCs w:val="18"/>
              </w:rPr>
              <w:t xml:space="preserve"> 2012 to 3rd June 2015 estimated with a rolling window of </w:t>
            </w:r>
            <w:r>
              <w:rPr>
                <w:rFonts w:ascii="Times New Roman" w:eastAsia="Calibri" w:hAnsi="Times New Roman" w:cs="Times New Roman"/>
                <w:sz w:val="18"/>
                <w:szCs w:val="18"/>
              </w:rPr>
              <w:t>2</w:t>
            </w:r>
            <w:r w:rsidRPr="00EF624C">
              <w:rPr>
                <w:rFonts w:ascii="Times New Roman" w:eastAsia="Calibri" w:hAnsi="Times New Roman" w:cs="Times New Roman"/>
                <w:sz w:val="18"/>
                <w:szCs w:val="18"/>
              </w:rPr>
              <w:t>00- day and predictive horizon for the underlying variance decomposition is 10-day.</w:t>
            </w:r>
            <w:r w:rsidRPr="00EF624C">
              <w:rPr>
                <w:sz w:val="18"/>
                <w:szCs w:val="18"/>
              </w:rPr>
              <w:t xml:space="preserve"> </w:t>
            </w:r>
          </w:p>
        </w:tc>
      </w:tr>
    </w:tbl>
    <w:p w:rsidR="00C235D4" w:rsidRPr="008E23AB" w:rsidRDefault="00C235D4" w:rsidP="00C235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C235D4" w:rsidTr="00B1441B">
        <w:tc>
          <w:tcPr>
            <w:tcW w:w="9962" w:type="dxa"/>
          </w:tcPr>
          <w:p w:rsidR="00C235D4" w:rsidRPr="00BE1426" w:rsidRDefault="00C235D4" w:rsidP="005A0A16">
            <w:pPr>
              <w:jc w:val="center"/>
              <w:rPr>
                <w:b/>
                <w:bCs/>
              </w:rPr>
            </w:pPr>
            <w:r w:rsidRPr="00CB2A38">
              <w:rPr>
                <w:rFonts w:ascii="Times New Roman" w:eastAsia="Calibri" w:hAnsi="Times New Roman" w:cs="Times New Roman"/>
                <w:b/>
                <w:bCs/>
                <w:sz w:val="20"/>
                <w:szCs w:val="20"/>
              </w:rPr>
              <w:t xml:space="preserve">Figure </w:t>
            </w:r>
            <w:r w:rsidR="005A0A16">
              <w:rPr>
                <w:rFonts w:ascii="Times New Roman" w:eastAsia="Calibri" w:hAnsi="Times New Roman" w:cs="Times New Roman"/>
                <w:b/>
                <w:bCs/>
                <w:sz w:val="20"/>
                <w:szCs w:val="20"/>
              </w:rPr>
              <w:t>5</w:t>
            </w:r>
            <w:r w:rsidRPr="00CB2A38">
              <w:rPr>
                <w:rFonts w:ascii="Times New Roman" w:eastAsia="Calibri" w:hAnsi="Times New Roman" w:cs="Times New Roman"/>
                <w:b/>
                <w:bCs/>
                <w:sz w:val="20"/>
                <w:szCs w:val="20"/>
              </w:rPr>
              <w:t>: Pairwise directional net volatility spillovers between the crude oil market and other markets</w:t>
            </w:r>
          </w:p>
        </w:tc>
      </w:tr>
      <w:tr w:rsidR="00C235D4" w:rsidTr="00B1441B">
        <w:tc>
          <w:tcPr>
            <w:tcW w:w="9962" w:type="dxa"/>
          </w:tcPr>
          <w:p w:rsidR="00C235D4" w:rsidRDefault="00C235D4" w:rsidP="00B1441B">
            <w:r>
              <w:rPr>
                <w:noProof/>
                <w:lang w:val="en-GB" w:eastAsia="en-GB"/>
              </w:rPr>
              <w:drawing>
                <wp:inline distT="0" distB="0" distL="0" distR="0" wp14:anchorId="20F67012" wp14:editId="29361FE8">
                  <wp:extent cx="6177739" cy="3053301"/>
                  <wp:effectExtent l="0" t="0" r="0" b="0"/>
                  <wp:docPr id="3746" name="Picture 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7915" cy="3053388"/>
                          </a:xfrm>
                          <a:prstGeom prst="rect">
                            <a:avLst/>
                          </a:prstGeom>
                          <a:noFill/>
                          <a:ln>
                            <a:noFill/>
                          </a:ln>
                        </pic:spPr>
                      </pic:pic>
                    </a:graphicData>
                  </a:graphic>
                </wp:inline>
              </w:drawing>
            </w:r>
          </w:p>
        </w:tc>
      </w:tr>
      <w:tr w:rsidR="00C235D4" w:rsidTr="00B1441B">
        <w:tc>
          <w:tcPr>
            <w:tcW w:w="9962" w:type="dxa"/>
          </w:tcPr>
          <w:p w:rsidR="00C235D4" w:rsidRDefault="00C235D4" w:rsidP="00B1441B">
            <w:pPr>
              <w:jc w:val="both"/>
              <w:rPr>
                <w:rFonts w:asciiTheme="majorBidi" w:hAnsiTheme="majorBidi" w:cstheme="majorBidi"/>
                <w:sz w:val="18"/>
                <w:szCs w:val="18"/>
              </w:rPr>
            </w:pPr>
            <w:r w:rsidRPr="004D3B8F">
              <w:rPr>
                <w:rFonts w:asciiTheme="majorBidi" w:hAnsiTheme="majorBidi" w:cstheme="majorBidi"/>
                <w:i/>
                <w:iCs/>
                <w:sz w:val="18"/>
                <w:szCs w:val="18"/>
              </w:rPr>
              <w:t>Notes:</w:t>
            </w:r>
            <w:r w:rsidRPr="004D3B8F">
              <w:rPr>
                <w:rFonts w:asciiTheme="majorBidi" w:hAnsiTheme="majorBidi" w:cstheme="majorBidi"/>
                <w:sz w:val="18"/>
                <w:szCs w:val="18"/>
              </w:rPr>
              <w:t xml:space="preserve"> This figure shows the directional of net spillovers from </w:t>
            </w:r>
            <w:r>
              <w:rPr>
                <w:rFonts w:asciiTheme="majorBidi" w:hAnsiTheme="majorBidi" w:cstheme="majorBidi"/>
                <w:sz w:val="18"/>
                <w:szCs w:val="18"/>
              </w:rPr>
              <w:t>o</w:t>
            </w:r>
            <w:r w:rsidRPr="004D3B8F">
              <w:rPr>
                <w:rFonts w:asciiTheme="majorBidi" w:hAnsiTheme="majorBidi" w:cstheme="majorBidi"/>
                <w:sz w:val="18"/>
                <w:szCs w:val="18"/>
              </w:rPr>
              <w:t xml:space="preserve">il to each market over the sample period </w:t>
            </w:r>
            <w:proofErr w:type="gramStart"/>
            <w:r w:rsidRPr="004D3B8F">
              <w:rPr>
                <w:rFonts w:asciiTheme="majorBidi" w:hAnsiTheme="majorBidi" w:cstheme="majorBidi"/>
                <w:sz w:val="18"/>
                <w:szCs w:val="18"/>
              </w:rPr>
              <w:t>27th  July</w:t>
            </w:r>
            <w:proofErr w:type="gramEnd"/>
            <w:r w:rsidRPr="004D3B8F">
              <w:rPr>
                <w:rFonts w:asciiTheme="majorBidi" w:hAnsiTheme="majorBidi" w:cstheme="majorBidi"/>
                <w:sz w:val="18"/>
                <w:szCs w:val="18"/>
              </w:rPr>
              <w:t xml:space="preserve"> 2012 to 3rd June 2015 estimated with a rolling window of </w:t>
            </w:r>
            <w:r>
              <w:rPr>
                <w:rFonts w:asciiTheme="majorBidi" w:hAnsiTheme="majorBidi" w:cstheme="majorBidi"/>
                <w:sz w:val="18"/>
                <w:szCs w:val="18"/>
              </w:rPr>
              <w:t>2</w:t>
            </w:r>
            <w:r w:rsidRPr="004D3B8F">
              <w:rPr>
                <w:rFonts w:asciiTheme="majorBidi" w:hAnsiTheme="majorBidi" w:cstheme="majorBidi"/>
                <w:sz w:val="18"/>
                <w:szCs w:val="18"/>
              </w:rPr>
              <w:t>00- day and predictive horizon for the underlying variance decomposition is 10-day. Positive (negative) values indicate that oil is a net transmitter (receiver) of shocks to the respective market.</w:t>
            </w:r>
          </w:p>
          <w:p w:rsidR="003C00EB" w:rsidRPr="004D3B8F" w:rsidRDefault="003C00EB" w:rsidP="00B1441B">
            <w:pPr>
              <w:jc w:val="both"/>
              <w:rPr>
                <w:rFonts w:asciiTheme="majorBidi" w:hAnsiTheme="majorBidi" w:cstheme="majorBidi"/>
                <w:sz w:val="18"/>
                <w:szCs w:val="18"/>
              </w:rPr>
            </w:pPr>
          </w:p>
        </w:tc>
      </w:tr>
    </w:tbl>
    <w:p w:rsidR="00C235D4" w:rsidRDefault="00C235D4" w:rsidP="00C235D4">
      <w:pPr>
        <w:tabs>
          <w:tab w:val="left" w:pos="2051"/>
        </w:tabs>
      </w:pPr>
      <w:r>
        <w:tab/>
      </w:r>
    </w:p>
    <w:p w:rsidR="00124320" w:rsidRPr="009B6195" w:rsidRDefault="00124320" w:rsidP="009B6195">
      <w:pPr>
        <w:tabs>
          <w:tab w:val="left" w:pos="3165"/>
        </w:tabs>
        <w:rPr>
          <w:rtl/>
          <w:lang w:bidi="ar-AE"/>
        </w:rPr>
      </w:pPr>
    </w:p>
    <w:sectPr w:rsidR="00124320" w:rsidRPr="009B6195" w:rsidSect="00184B84">
      <w:footerReference w:type="default" r:id="rId16"/>
      <w:pgSz w:w="12240" w:h="15840" w:code="1"/>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B7" w:rsidRDefault="003974B7" w:rsidP="009E7494">
      <w:pPr>
        <w:spacing w:after="0" w:line="240" w:lineRule="auto"/>
      </w:pPr>
      <w:r>
        <w:separator/>
      </w:r>
    </w:p>
  </w:endnote>
  <w:endnote w:type="continuationSeparator" w:id="0">
    <w:p w:rsidR="003974B7" w:rsidRDefault="003974B7" w:rsidP="009E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077043"/>
      <w:docPartObj>
        <w:docPartGallery w:val="Page Numbers (Bottom of Page)"/>
        <w:docPartUnique/>
      </w:docPartObj>
    </w:sdtPr>
    <w:sdtEndPr>
      <w:rPr>
        <w:noProof/>
      </w:rPr>
    </w:sdtEndPr>
    <w:sdtContent>
      <w:p w:rsidR="00B64164" w:rsidRDefault="00B64164">
        <w:pPr>
          <w:pStyle w:val="Footer"/>
          <w:jc w:val="center"/>
        </w:pPr>
        <w:r>
          <w:fldChar w:fldCharType="begin"/>
        </w:r>
        <w:r>
          <w:instrText xml:space="preserve"> PAGE   \* MERGEFORMAT </w:instrText>
        </w:r>
        <w:r>
          <w:fldChar w:fldCharType="separate"/>
        </w:r>
        <w:r w:rsidR="001D1BE7">
          <w:rPr>
            <w:noProof/>
          </w:rPr>
          <w:t>1</w:t>
        </w:r>
        <w:r>
          <w:rPr>
            <w:noProof/>
          </w:rPr>
          <w:fldChar w:fldCharType="end"/>
        </w:r>
      </w:p>
    </w:sdtContent>
  </w:sdt>
  <w:p w:rsidR="00B64164" w:rsidRDefault="00B64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B7" w:rsidRDefault="003974B7" w:rsidP="009E7494">
      <w:pPr>
        <w:spacing w:after="0" w:line="240" w:lineRule="auto"/>
      </w:pPr>
      <w:r>
        <w:separator/>
      </w:r>
    </w:p>
  </w:footnote>
  <w:footnote w:type="continuationSeparator" w:id="0">
    <w:p w:rsidR="003974B7" w:rsidRDefault="003974B7" w:rsidP="009E7494">
      <w:pPr>
        <w:spacing w:after="0" w:line="240" w:lineRule="auto"/>
      </w:pPr>
      <w:r>
        <w:continuationSeparator/>
      </w:r>
    </w:p>
  </w:footnote>
  <w:footnote w:id="1">
    <w:p w:rsidR="00B64164" w:rsidRPr="00420C54" w:rsidRDefault="00B64164" w:rsidP="00B4352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For research with equities see </w:t>
      </w:r>
      <w:r w:rsidRPr="00420C54">
        <w:rPr>
          <w:rFonts w:ascii="Times New Roman" w:hAnsi="Times New Roman" w:cs="Times New Roman"/>
        </w:rPr>
        <w:t xml:space="preserve">Kilian (2008), </w:t>
      </w:r>
      <w:proofErr w:type="spellStart"/>
      <w:r w:rsidRPr="00420C54">
        <w:rPr>
          <w:rFonts w:ascii="Times New Roman" w:hAnsi="Times New Roman" w:cs="Times New Roman"/>
        </w:rPr>
        <w:t>Nandha</w:t>
      </w:r>
      <w:proofErr w:type="spellEnd"/>
      <w:r w:rsidRPr="00420C54">
        <w:rPr>
          <w:rFonts w:ascii="Times New Roman" w:hAnsi="Times New Roman" w:cs="Times New Roman"/>
        </w:rPr>
        <w:t xml:space="preserve"> and</w:t>
      </w:r>
      <w:r>
        <w:rPr>
          <w:rFonts w:ascii="Times New Roman" w:hAnsi="Times New Roman" w:cs="Times New Roman"/>
        </w:rPr>
        <w:t xml:space="preserve"> </w:t>
      </w:r>
      <w:r w:rsidRPr="00420C54">
        <w:rPr>
          <w:rFonts w:ascii="Times New Roman" w:hAnsi="Times New Roman" w:cs="Times New Roman"/>
        </w:rPr>
        <w:t xml:space="preserve">Faff (2008), Cong et al. (2008), Chen (2010), </w:t>
      </w:r>
      <w:proofErr w:type="spellStart"/>
      <w:r w:rsidRPr="00420C54">
        <w:rPr>
          <w:rFonts w:ascii="Times New Roman" w:hAnsi="Times New Roman" w:cs="Times New Roman"/>
        </w:rPr>
        <w:t>Arouri</w:t>
      </w:r>
      <w:proofErr w:type="spellEnd"/>
      <w:r w:rsidRPr="00420C54">
        <w:rPr>
          <w:rFonts w:ascii="Times New Roman" w:hAnsi="Times New Roman" w:cs="Times New Roman"/>
        </w:rPr>
        <w:t xml:space="preserve"> and </w:t>
      </w:r>
      <w:proofErr w:type="spellStart"/>
      <w:r w:rsidRPr="00420C54">
        <w:rPr>
          <w:rFonts w:ascii="Times New Roman" w:hAnsi="Times New Roman" w:cs="Times New Roman"/>
        </w:rPr>
        <w:t>Rault</w:t>
      </w:r>
      <w:proofErr w:type="spellEnd"/>
      <w:r w:rsidRPr="00420C54">
        <w:rPr>
          <w:rFonts w:ascii="Times New Roman" w:hAnsi="Times New Roman" w:cs="Times New Roman"/>
        </w:rPr>
        <w:t xml:space="preserve"> (2012)</w:t>
      </w:r>
      <w:r>
        <w:rPr>
          <w:rFonts w:ascii="Times New Roman" w:hAnsi="Times New Roman" w:cs="Times New Roman"/>
        </w:rPr>
        <w:t xml:space="preserve">, </w:t>
      </w:r>
      <w:r w:rsidRPr="00420C54">
        <w:rPr>
          <w:rFonts w:ascii="Times New Roman" w:hAnsi="Times New Roman" w:cs="Times New Roman"/>
        </w:rPr>
        <w:t xml:space="preserve"> </w:t>
      </w:r>
      <w:proofErr w:type="spellStart"/>
      <w:r w:rsidRPr="00420C54">
        <w:rPr>
          <w:rFonts w:ascii="Times New Roman" w:hAnsi="Times New Roman" w:cs="Times New Roman"/>
        </w:rPr>
        <w:t>Apergis</w:t>
      </w:r>
      <w:proofErr w:type="spellEnd"/>
      <w:r w:rsidRPr="00420C54">
        <w:rPr>
          <w:rFonts w:ascii="Times New Roman" w:hAnsi="Times New Roman" w:cs="Times New Roman"/>
        </w:rPr>
        <w:t xml:space="preserve"> and Miller (2009), </w:t>
      </w:r>
      <w:proofErr w:type="spellStart"/>
      <w:r w:rsidRPr="00420C54">
        <w:rPr>
          <w:rFonts w:ascii="Times New Roman" w:hAnsi="Times New Roman" w:cs="Times New Roman"/>
        </w:rPr>
        <w:t>Driesprong</w:t>
      </w:r>
      <w:proofErr w:type="spellEnd"/>
      <w:r w:rsidRPr="00420C54">
        <w:rPr>
          <w:rFonts w:ascii="Times New Roman" w:hAnsi="Times New Roman" w:cs="Times New Roman"/>
        </w:rPr>
        <w:t xml:space="preserve"> et al. (2008), Park and </w:t>
      </w:r>
      <w:proofErr w:type="spellStart"/>
      <w:r w:rsidRPr="00420C54">
        <w:rPr>
          <w:rFonts w:ascii="Times New Roman" w:hAnsi="Times New Roman" w:cs="Times New Roman"/>
        </w:rPr>
        <w:t>Ratti</w:t>
      </w:r>
      <w:proofErr w:type="spellEnd"/>
      <w:r w:rsidRPr="00420C54">
        <w:rPr>
          <w:rFonts w:ascii="Times New Roman" w:hAnsi="Times New Roman" w:cs="Times New Roman"/>
        </w:rPr>
        <w:t xml:space="preserve"> (2008)</w:t>
      </w:r>
      <w:r>
        <w:rPr>
          <w:rFonts w:ascii="Times New Roman" w:hAnsi="Times New Roman" w:cs="Times New Roman"/>
        </w:rPr>
        <w:t xml:space="preserve">; and with commodities see Baffes (2007), Alom et al.(2011), </w:t>
      </w:r>
      <w:proofErr w:type="spellStart"/>
      <w:r>
        <w:rPr>
          <w:rFonts w:ascii="Times New Roman" w:hAnsi="Times New Roman" w:cs="Times New Roman"/>
        </w:rPr>
        <w:t>Soytas</w:t>
      </w:r>
      <w:proofErr w:type="spellEnd"/>
      <w:r>
        <w:rPr>
          <w:rFonts w:ascii="Times New Roman" w:hAnsi="Times New Roman" w:cs="Times New Roman"/>
        </w:rPr>
        <w:t xml:space="preserve"> et al. (2009); and with foreign exchange see Sari et al.(2010) and </w:t>
      </w:r>
      <w:proofErr w:type="spellStart"/>
      <w:r>
        <w:rPr>
          <w:rFonts w:ascii="Times New Roman" w:hAnsi="Times New Roman" w:cs="Times New Roman"/>
        </w:rPr>
        <w:t>Antonakakis</w:t>
      </w:r>
      <w:proofErr w:type="spellEnd"/>
      <w:r>
        <w:rPr>
          <w:rFonts w:ascii="Times New Roman" w:hAnsi="Times New Roman" w:cs="Times New Roman"/>
        </w:rPr>
        <w:t xml:space="preserve"> and </w:t>
      </w:r>
      <w:proofErr w:type="spellStart"/>
      <w:r>
        <w:rPr>
          <w:rFonts w:ascii="Times New Roman" w:hAnsi="Times New Roman" w:cs="Times New Roman"/>
        </w:rPr>
        <w:t>Kizys</w:t>
      </w:r>
      <w:proofErr w:type="spellEnd"/>
      <w:r>
        <w:rPr>
          <w:rFonts w:ascii="Times New Roman" w:hAnsi="Times New Roman" w:cs="Times New Roman"/>
        </w:rPr>
        <w:t xml:space="preserve"> (2015).    </w:t>
      </w:r>
    </w:p>
  </w:footnote>
  <w:footnote w:id="2">
    <w:p w:rsidR="00B64164" w:rsidRPr="00385AA6" w:rsidRDefault="00B64164" w:rsidP="00D308BC">
      <w:pPr>
        <w:pStyle w:val="FootnoteText"/>
        <w:jc w:val="both"/>
        <w:rPr>
          <w:rFonts w:asciiTheme="majorBidi" w:hAnsiTheme="majorBidi" w:cstheme="majorBidi"/>
        </w:rPr>
      </w:pPr>
      <w:r>
        <w:rPr>
          <w:rStyle w:val="FootnoteReference"/>
        </w:rPr>
        <w:footnoteRef/>
      </w:r>
      <w:r>
        <w:t xml:space="preserve"> </w:t>
      </w:r>
      <w:r w:rsidRPr="003D615B">
        <w:rPr>
          <w:rFonts w:asciiTheme="majorBidi" w:hAnsiTheme="majorBidi" w:cstheme="majorBidi"/>
        </w:rPr>
        <w:t xml:space="preserve">For more information on this structural change and its impact on markets linkages see </w:t>
      </w:r>
      <w:r>
        <w:rPr>
          <w:rFonts w:asciiTheme="majorBidi" w:hAnsiTheme="majorBidi" w:cstheme="majorBidi"/>
        </w:rPr>
        <w:t>(</w:t>
      </w:r>
      <w:r w:rsidRPr="003D615B">
        <w:rPr>
          <w:rFonts w:asciiTheme="majorBidi" w:hAnsiTheme="majorBidi" w:cstheme="majorBidi"/>
        </w:rPr>
        <w:t xml:space="preserve">Kyle and </w:t>
      </w:r>
      <w:proofErr w:type="spellStart"/>
      <w:r w:rsidRPr="003D615B">
        <w:rPr>
          <w:rFonts w:asciiTheme="majorBidi" w:hAnsiTheme="majorBidi" w:cstheme="majorBidi"/>
        </w:rPr>
        <w:t>Xiong</w:t>
      </w:r>
      <w:proofErr w:type="spellEnd"/>
      <w:r w:rsidRPr="003D615B">
        <w:rPr>
          <w:rFonts w:asciiTheme="majorBidi" w:hAnsiTheme="majorBidi" w:cstheme="majorBidi"/>
        </w:rPr>
        <w:t xml:space="preserve">, 2001; </w:t>
      </w:r>
      <w:proofErr w:type="spellStart"/>
      <w:r w:rsidRPr="003D615B">
        <w:rPr>
          <w:rFonts w:asciiTheme="majorBidi" w:hAnsiTheme="majorBidi" w:cstheme="majorBidi"/>
        </w:rPr>
        <w:t>Kodres</w:t>
      </w:r>
      <w:proofErr w:type="spellEnd"/>
      <w:r w:rsidRPr="003D615B">
        <w:rPr>
          <w:rFonts w:asciiTheme="majorBidi" w:hAnsiTheme="majorBidi" w:cstheme="majorBidi"/>
        </w:rPr>
        <w:t xml:space="preserve"> and </w:t>
      </w:r>
      <w:proofErr w:type="spellStart"/>
      <w:r w:rsidRPr="003D615B">
        <w:rPr>
          <w:rFonts w:asciiTheme="majorBidi" w:hAnsiTheme="majorBidi" w:cstheme="majorBidi"/>
        </w:rPr>
        <w:t>Pritsker</w:t>
      </w:r>
      <w:proofErr w:type="spellEnd"/>
      <w:r w:rsidRPr="003D615B">
        <w:rPr>
          <w:rFonts w:asciiTheme="majorBidi" w:hAnsiTheme="majorBidi" w:cstheme="majorBidi"/>
        </w:rPr>
        <w:t xml:space="preserve">, 2002; Boner et al., 2006; Pavlova and </w:t>
      </w:r>
      <w:proofErr w:type="spellStart"/>
      <w:r w:rsidRPr="003D615B">
        <w:rPr>
          <w:rFonts w:asciiTheme="majorBidi" w:hAnsiTheme="majorBidi" w:cstheme="majorBidi"/>
        </w:rPr>
        <w:t>Rigobon</w:t>
      </w:r>
      <w:proofErr w:type="spellEnd"/>
      <w:r w:rsidRPr="003D615B">
        <w:rPr>
          <w:rFonts w:asciiTheme="majorBidi" w:hAnsiTheme="majorBidi" w:cstheme="majorBidi"/>
        </w:rPr>
        <w:t xml:space="preserve">, 2008; </w:t>
      </w:r>
      <w:proofErr w:type="spellStart"/>
      <w:r w:rsidRPr="003D615B">
        <w:rPr>
          <w:rFonts w:asciiTheme="majorBidi" w:hAnsiTheme="majorBidi" w:cstheme="majorBidi"/>
        </w:rPr>
        <w:t>Danielsson</w:t>
      </w:r>
      <w:proofErr w:type="spellEnd"/>
      <w:r w:rsidRPr="003D615B">
        <w:rPr>
          <w:rFonts w:asciiTheme="majorBidi" w:hAnsiTheme="majorBidi" w:cstheme="majorBidi"/>
        </w:rPr>
        <w:t xml:space="preserve"> et al, 2011</w:t>
      </w:r>
      <w:r>
        <w:rPr>
          <w:rFonts w:asciiTheme="majorBidi" w:hAnsiTheme="majorBidi" w:cstheme="majorBidi"/>
        </w:rPr>
        <w:t xml:space="preserve">; and </w:t>
      </w:r>
      <w:proofErr w:type="spellStart"/>
      <w:r w:rsidRPr="00E16DD4">
        <w:rPr>
          <w:rFonts w:asciiTheme="majorBidi" w:hAnsiTheme="majorBidi" w:cstheme="majorBidi"/>
          <w:color w:val="222222"/>
          <w:lang w:val="en-GB" w:eastAsia="zh-CN"/>
        </w:rPr>
        <w:t>Büyükşahin</w:t>
      </w:r>
      <w:proofErr w:type="spellEnd"/>
      <w:r>
        <w:t xml:space="preserve"> </w:t>
      </w:r>
      <w:r w:rsidRPr="00385AA6">
        <w:rPr>
          <w:rFonts w:asciiTheme="majorBidi" w:hAnsiTheme="majorBidi" w:cstheme="majorBidi"/>
        </w:rPr>
        <w:t>and Robe</w:t>
      </w:r>
      <w:r>
        <w:rPr>
          <w:rFonts w:asciiTheme="majorBidi" w:hAnsiTheme="majorBidi" w:cstheme="majorBidi"/>
        </w:rPr>
        <w:t>,</w:t>
      </w:r>
      <w:r w:rsidRPr="00385AA6">
        <w:rPr>
          <w:rFonts w:asciiTheme="majorBidi" w:hAnsiTheme="majorBidi" w:cstheme="majorBidi"/>
        </w:rPr>
        <w:t xml:space="preserve"> 2014)</w:t>
      </w:r>
      <w:r>
        <w:rPr>
          <w:rFonts w:asciiTheme="majorBidi" w:hAnsiTheme="majorBidi" w:cstheme="majorBidi"/>
        </w:rPr>
        <w:t>.</w:t>
      </w:r>
    </w:p>
  </w:footnote>
  <w:footnote w:id="3">
    <w:p w:rsidR="00B64164" w:rsidRPr="00906E71" w:rsidRDefault="00B64164" w:rsidP="00906E71">
      <w:pPr>
        <w:jc w:val="both"/>
        <w:rPr>
          <w:rFonts w:asciiTheme="majorBidi" w:hAnsiTheme="majorBidi" w:cstheme="majorBidi"/>
          <w:sz w:val="20"/>
          <w:szCs w:val="20"/>
        </w:rPr>
      </w:pPr>
      <w:r w:rsidRPr="006F54A9">
        <w:rPr>
          <w:rStyle w:val="FootnoteReference"/>
          <w:sz w:val="20"/>
          <w:szCs w:val="20"/>
        </w:rPr>
        <w:footnoteRef/>
      </w:r>
      <w:r w:rsidRPr="006F54A9">
        <w:rPr>
          <w:sz w:val="20"/>
          <w:szCs w:val="20"/>
        </w:rPr>
        <w:t xml:space="preserve"> </w:t>
      </w:r>
      <w:r w:rsidRPr="006F54A9">
        <w:rPr>
          <w:rFonts w:asciiTheme="majorBidi" w:hAnsiTheme="majorBidi" w:cstheme="majorBidi"/>
          <w:sz w:val="20"/>
          <w:szCs w:val="20"/>
        </w:rPr>
        <w:t xml:space="preserve">These measures are </w:t>
      </w:r>
      <w:r>
        <w:rPr>
          <w:rFonts w:asciiTheme="majorBidi" w:hAnsiTheme="majorBidi" w:cstheme="majorBidi"/>
          <w:sz w:val="20"/>
          <w:szCs w:val="20"/>
        </w:rPr>
        <w:t xml:space="preserve">developed by </w:t>
      </w:r>
      <w:r w:rsidRPr="006F54A9">
        <w:rPr>
          <w:rFonts w:asciiTheme="majorBidi" w:hAnsiTheme="majorBidi" w:cstheme="majorBidi"/>
          <w:sz w:val="20"/>
          <w:szCs w:val="20"/>
        </w:rPr>
        <w:t>Diebold and Yilmaz in a series of papers (Diebold and Yilmaz, 2009; Diebold and Yilmaz, 2012; Diebold and Yilmaz 2014)</w:t>
      </w:r>
      <w:r>
        <w:rPr>
          <w:rFonts w:asciiTheme="majorBidi" w:hAnsiTheme="majorBidi" w:cstheme="majorBidi"/>
          <w:sz w:val="20"/>
          <w:szCs w:val="20"/>
        </w:rPr>
        <w:t xml:space="preserve"> and then unified in Diebold and Yilmaz (2015, 2016).</w:t>
      </w:r>
      <w:r w:rsidRPr="006F54A9">
        <w:rPr>
          <w:rFonts w:asciiTheme="majorBidi" w:hAnsiTheme="majorBidi" w:cstheme="majorBidi"/>
          <w:sz w:val="20"/>
          <w:szCs w:val="20"/>
        </w:rPr>
        <w:t xml:space="preserve"> </w:t>
      </w:r>
    </w:p>
  </w:footnote>
  <w:footnote w:id="4">
    <w:p w:rsidR="00B64164" w:rsidRPr="00B11D50" w:rsidRDefault="00B64164" w:rsidP="00B6416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Table 1 shows chronological summary of the studies that have addressed volatility connectedness.   </w:t>
      </w:r>
    </w:p>
  </w:footnote>
  <w:footnote w:id="5">
    <w:p w:rsidR="00B64164" w:rsidRPr="009310AB" w:rsidRDefault="00B64164" w:rsidP="008A69BA">
      <w:pPr>
        <w:pStyle w:val="FootnoteText"/>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Gilbert(</w:t>
      </w:r>
      <w:proofErr w:type="gramEnd"/>
      <w:r>
        <w:rPr>
          <w:rFonts w:ascii="Times New Roman" w:hAnsi="Times New Roman" w:cs="Times New Roman"/>
        </w:rPr>
        <w:t xml:space="preserve">2010) points out that oil-food linkages are related to the general demand growth and that the influence of the biofuel industry growth is marginal.  </w:t>
      </w:r>
    </w:p>
  </w:footnote>
  <w:footnote w:id="6">
    <w:p w:rsidR="00B64164" w:rsidRPr="00303E38" w:rsidRDefault="00B64164" w:rsidP="00303E38">
      <w:pPr>
        <w:pStyle w:val="FootnoteText"/>
        <w:rPr>
          <w:rFonts w:ascii="Times New Roman" w:hAnsi="Times New Roman" w:cs="Times New Roman"/>
        </w:rPr>
      </w:pPr>
      <w:r w:rsidRPr="00812854">
        <w:rPr>
          <w:rStyle w:val="FootnoteReference"/>
          <w:rFonts w:ascii="Times New Roman" w:hAnsi="Times New Roman"/>
        </w:rPr>
        <w:footnoteRef/>
      </w:r>
      <w:r w:rsidRPr="00812854">
        <w:rPr>
          <w:rFonts w:ascii="Times New Roman" w:hAnsi="Times New Roman" w:cs="Times New Roman"/>
          <w:vertAlign w:val="superscript"/>
        </w:rPr>
        <w:t xml:space="preserve"> </w:t>
      </w:r>
      <w:r>
        <w:rPr>
          <w:rFonts w:ascii="Times New Roman" w:hAnsi="Times New Roman" w:cs="Times New Roman"/>
        </w:rPr>
        <w:t>The concept of fair value was</w:t>
      </w:r>
      <w:r w:rsidRPr="00303E38">
        <w:rPr>
          <w:rFonts w:ascii="Times New Roman" w:hAnsi="Times New Roman" w:cs="Times New Roman"/>
        </w:rPr>
        <w:t xml:space="preserve"> </w:t>
      </w:r>
      <w:r>
        <w:rPr>
          <w:rFonts w:ascii="Times New Roman" w:hAnsi="Times New Roman" w:cs="Times New Roman"/>
        </w:rPr>
        <w:t>first d</w:t>
      </w:r>
      <w:r w:rsidRPr="00303E38">
        <w:rPr>
          <w:rFonts w:ascii="Times New Roman" w:hAnsi="Times New Roman" w:cs="Times New Roman"/>
        </w:rPr>
        <w:t xml:space="preserve">eveloped by </w:t>
      </w:r>
      <w:proofErr w:type="spellStart"/>
      <w:r w:rsidRPr="00303E38">
        <w:rPr>
          <w:rFonts w:ascii="Times New Roman" w:hAnsi="Times New Roman" w:cs="Times New Roman"/>
        </w:rPr>
        <w:t>Demeterfi</w:t>
      </w:r>
      <w:proofErr w:type="spellEnd"/>
      <w:r w:rsidRPr="00303E38">
        <w:rPr>
          <w:rFonts w:ascii="Times New Roman" w:hAnsi="Times New Roman" w:cs="Times New Roman"/>
        </w:rPr>
        <w:t xml:space="preserve"> et al. (1999)</w:t>
      </w:r>
      <w:r>
        <w:rPr>
          <w:rFonts w:ascii="Times New Roman" w:hAnsi="Times New Roman" w:cs="Times New Roman"/>
        </w:rPr>
        <w:t xml:space="preserve">. </w:t>
      </w:r>
    </w:p>
  </w:footnote>
  <w:footnote w:id="7">
    <w:p w:rsidR="00B64164" w:rsidRPr="00D56A22" w:rsidRDefault="00B64164" w:rsidP="00D56A22">
      <w:pPr>
        <w:pStyle w:val="FootnoteText"/>
        <w:rPr>
          <w:rFonts w:ascii="Times New Roman" w:hAnsi="Times New Roman" w:cs="Times New Roman"/>
        </w:rPr>
      </w:pPr>
      <w:r w:rsidRPr="00D56A22">
        <w:rPr>
          <w:rStyle w:val="FootnoteReference"/>
        </w:rPr>
        <w:footnoteRef/>
      </w:r>
      <w:r w:rsidRPr="00D56A22">
        <w:t xml:space="preserve"> </w:t>
      </w:r>
      <w:r>
        <w:t xml:space="preserve"> </w:t>
      </w:r>
      <w:r w:rsidRPr="00D56A22">
        <w:rPr>
          <w:rFonts w:ascii="Times New Roman" w:hAnsi="Times New Roman" w:cs="Times New Roman"/>
        </w:rPr>
        <w:t>More detail</w:t>
      </w:r>
      <w:r>
        <w:rPr>
          <w:rFonts w:ascii="Times New Roman" w:hAnsi="Times New Roman" w:cs="Times New Roman"/>
        </w:rPr>
        <w:t>s</w:t>
      </w:r>
      <w:r w:rsidRPr="00D56A22">
        <w:rPr>
          <w:rFonts w:ascii="Times New Roman" w:hAnsi="Times New Roman" w:cs="Times New Roman"/>
        </w:rPr>
        <w:t xml:space="preserve"> </w:t>
      </w:r>
      <w:r>
        <w:rPr>
          <w:rFonts w:ascii="Times New Roman" w:hAnsi="Times New Roman" w:cs="Times New Roman"/>
        </w:rPr>
        <w:t xml:space="preserve">on </w:t>
      </w:r>
      <w:r w:rsidRPr="00D56A22">
        <w:rPr>
          <w:rFonts w:ascii="Times New Roman" w:hAnsi="Times New Roman" w:cs="Times New Roman"/>
        </w:rPr>
        <w:t xml:space="preserve">the calculation of the implied-volatility </w:t>
      </w:r>
      <w:r>
        <w:rPr>
          <w:rFonts w:ascii="Times New Roman" w:hAnsi="Times New Roman" w:cs="Times New Roman"/>
        </w:rPr>
        <w:t xml:space="preserve">indexes can be found in </w:t>
      </w:r>
      <w:r w:rsidRPr="00D56A22">
        <w:rPr>
          <w:rFonts w:ascii="Times New Roman" w:hAnsi="Times New Roman" w:cs="Times New Roman"/>
        </w:rPr>
        <w:t>Bozdog et al. (2010).</w:t>
      </w:r>
    </w:p>
  </w:footnote>
  <w:footnote w:id="8">
    <w:p w:rsidR="00B64164" w:rsidRPr="000E742D" w:rsidRDefault="00B64164" w:rsidP="00A56561">
      <w:pPr>
        <w:pStyle w:val="FootnoteText"/>
        <w:jc w:val="both"/>
        <w:rPr>
          <w:rFonts w:ascii="Times New Roman" w:hAnsi="Times New Roman" w:cs="Times New Roman"/>
        </w:rPr>
      </w:pPr>
      <w:r w:rsidRPr="000E742D">
        <w:rPr>
          <w:rStyle w:val="FootnoteReference"/>
        </w:rPr>
        <w:footnoteRef/>
      </w:r>
      <w:r w:rsidRPr="000E742D">
        <w:t xml:space="preserve"> </w:t>
      </w:r>
      <w:r>
        <w:rPr>
          <w:rFonts w:asciiTheme="majorBidi" w:hAnsiTheme="majorBidi" w:cstheme="majorBidi"/>
        </w:rPr>
        <w:t>See for instance Poon and Granger (2003), Whaley (2008),</w:t>
      </w:r>
      <w:r w:rsidRPr="000E742D">
        <w:rPr>
          <w:rFonts w:asciiTheme="majorBidi" w:hAnsiTheme="majorBidi" w:cstheme="majorBidi"/>
        </w:rPr>
        <w:t xml:space="preserve"> Carr and Wu (2006), Granger (2003), </w:t>
      </w:r>
      <w:proofErr w:type="spellStart"/>
      <w:r w:rsidRPr="000E742D">
        <w:rPr>
          <w:rFonts w:asciiTheme="majorBidi" w:hAnsiTheme="majorBidi" w:cstheme="majorBidi"/>
        </w:rPr>
        <w:t>Corrado</w:t>
      </w:r>
      <w:proofErr w:type="spellEnd"/>
      <w:r w:rsidRPr="000E742D">
        <w:rPr>
          <w:rFonts w:asciiTheme="majorBidi" w:hAnsiTheme="majorBidi" w:cstheme="majorBidi"/>
        </w:rPr>
        <w:t xml:space="preserve"> and Miller (2005), </w:t>
      </w:r>
      <w:proofErr w:type="spellStart"/>
      <w:r w:rsidRPr="000E742D">
        <w:rPr>
          <w:rFonts w:asciiTheme="majorBidi" w:hAnsiTheme="majorBidi" w:cstheme="majorBidi"/>
        </w:rPr>
        <w:t>Bentes</w:t>
      </w:r>
      <w:proofErr w:type="spellEnd"/>
      <w:r w:rsidRPr="000E742D">
        <w:rPr>
          <w:rFonts w:asciiTheme="majorBidi" w:hAnsiTheme="majorBidi" w:cstheme="majorBidi"/>
        </w:rPr>
        <w:t xml:space="preserve"> (2015)</w:t>
      </w:r>
      <w:r>
        <w:rPr>
          <w:rFonts w:asciiTheme="majorBidi" w:hAnsiTheme="majorBidi" w:cstheme="majorBidi"/>
        </w:rPr>
        <w:t xml:space="preserve">, </w:t>
      </w:r>
      <w:r w:rsidRPr="000E742D">
        <w:rPr>
          <w:rFonts w:ascii="Times New Roman" w:hAnsi="Times New Roman" w:cs="Times New Roman"/>
        </w:rPr>
        <w:t>Kanas (2012), and Gonzalez-Perez (2015).</w:t>
      </w:r>
    </w:p>
  </w:footnote>
  <w:footnote w:id="9">
    <w:p w:rsidR="00B64164" w:rsidRDefault="00B64164">
      <w:pPr>
        <w:pStyle w:val="FootnoteText"/>
        <w:jc w:val="both"/>
      </w:pPr>
      <w:r>
        <w:rPr>
          <w:rStyle w:val="FootnoteReference"/>
        </w:rPr>
        <w:footnoteRef/>
      </w:r>
      <w:r>
        <w:t xml:space="preserve"> </w:t>
      </w:r>
      <w:r>
        <w:rPr>
          <w:rFonts w:asciiTheme="majorBidi" w:hAnsiTheme="majorBidi" w:cstheme="majorBidi"/>
          <w:noProof/>
        </w:rPr>
        <w:t>O</w:t>
      </w:r>
      <w:r w:rsidRPr="00F070EB">
        <w:rPr>
          <w:rFonts w:asciiTheme="majorBidi" w:hAnsiTheme="majorBidi" w:cstheme="majorBidi"/>
          <w:noProof/>
        </w:rPr>
        <w:t xml:space="preserve">il traded above $100 per barrel until the end of July 2014. At that point, prices started to collapse falling to approximately $44 by March </w:t>
      </w:r>
      <w:r>
        <w:rPr>
          <w:rFonts w:asciiTheme="majorBidi" w:hAnsiTheme="majorBidi" w:cstheme="majorBidi"/>
          <w:noProof/>
        </w:rPr>
        <w:t>20</w:t>
      </w:r>
      <w:r w:rsidRPr="00F070EB">
        <w:rPr>
          <w:rFonts w:asciiTheme="majorBidi" w:hAnsiTheme="majorBidi" w:cstheme="majorBidi"/>
          <w:noProof/>
        </w:rPr>
        <w:t>16</w:t>
      </w:r>
      <w:r>
        <w:rPr>
          <w:rFonts w:asciiTheme="majorBidi" w:hAnsiTheme="majorBidi" w:cstheme="majorBidi"/>
          <w:noProof/>
        </w:rPr>
        <w:t xml:space="preserve">. </w:t>
      </w:r>
      <w:r w:rsidRPr="00F070EB">
        <w:rPr>
          <w:rFonts w:asciiTheme="majorBidi" w:hAnsiTheme="majorBidi" w:cstheme="majorBidi"/>
        </w:rPr>
        <w:t>OPEC</w:t>
      </w:r>
      <w:r>
        <w:rPr>
          <w:rFonts w:asciiTheme="majorBidi" w:hAnsiTheme="majorBidi" w:cstheme="majorBidi"/>
        </w:rPr>
        <w:t>’s</w:t>
      </w:r>
      <w:r w:rsidRPr="00F070EB">
        <w:rPr>
          <w:rFonts w:asciiTheme="majorBidi" w:hAnsiTheme="majorBidi" w:cstheme="majorBidi"/>
        </w:rPr>
        <w:t xml:space="preserve"> announcement on November 27, 2014 to hold crude oil supplies steady at 30 million barrels per day led to 11.2% decline in the price of crude in that day</w:t>
      </w:r>
      <w:r>
        <w:rPr>
          <w:rFonts w:asciiTheme="majorBidi" w:hAnsiTheme="majorBidi" w:cstheme="majorBidi"/>
        </w:rPr>
        <w:t xml:space="preserve"> alone</w:t>
      </w:r>
      <w:r w:rsidRPr="00F070EB">
        <w:rPr>
          <w:rFonts w:asciiTheme="majorBidi" w:hAnsiTheme="majorBidi" w:cstheme="majorBidi"/>
        </w:rPr>
        <w:t>. The recent slowdown of the Chin</w:t>
      </w:r>
      <w:r>
        <w:rPr>
          <w:rFonts w:asciiTheme="majorBidi" w:hAnsiTheme="majorBidi" w:cstheme="majorBidi"/>
        </w:rPr>
        <w:t>e</w:t>
      </w:r>
      <w:r w:rsidRPr="00F070EB">
        <w:rPr>
          <w:rFonts w:asciiTheme="majorBidi" w:hAnsiTheme="majorBidi" w:cstheme="majorBidi"/>
        </w:rPr>
        <w:t xml:space="preserve">se economy also contributed to weakening the oil market. </w:t>
      </w:r>
    </w:p>
  </w:footnote>
  <w:footnote w:id="10">
    <w:p w:rsidR="00B64164" w:rsidRDefault="00B64164">
      <w:pPr>
        <w:pStyle w:val="FootnoteText"/>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Naturally correlations are higher within group. For instance, the correlation between gold and silver is 0.9, and 0.74 between corn and soybeans.  </w:t>
      </w:r>
    </w:p>
  </w:footnote>
  <w:footnote w:id="11">
    <w:p w:rsidR="00B64164" w:rsidRDefault="00B6416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conditional correlations are computed following Engle (2002). We assume that the underlying volatility follows a GARCH process.  </w:t>
      </w:r>
    </w:p>
  </w:footnote>
  <w:footnote w:id="12">
    <w:p w:rsidR="00B64164" w:rsidRPr="00BF469E" w:rsidRDefault="00B64164" w:rsidP="00383252">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exception is gold and silver where the correlation between the two is high. </w:t>
      </w:r>
    </w:p>
  </w:footnote>
  <w:footnote w:id="13">
    <w:p w:rsidR="00B64164" w:rsidRPr="00880DD1" w:rsidRDefault="00B64164" w:rsidP="007E2E89">
      <w:pPr>
        <w:pStyle w:val="FootnoteText"/>
        <w:jc w:val="both"/>
        <w:rPr>
          <w:rFonts w:asciiTheme="majorBidi" w:hAnsiTheme="majorBidi" w:cstheme="majorBidi"/>
        </w:rPr>
      </w:pPr>
      <w:r>
        <w:rPr>
          <w:rStyle w:val="FootnoteReference"/>
        </w:rPr>
        <w:footnoteRef/>
      </w:r>
      <w:r>
        <w:t xml:space="preserve"> </w:t>
      </w:r>
      <w:r w:rsidRPr="00C95E58">
        <w:rPr>
          <w:rFonts w:asciiTheme="majorBidi" w:hAnsiTheme="majorBidi" w:cstheme="majorBidi"/>
        </w:rPr>
        <w:t xml:space="preserve">This procedure has been </w:t>
      </w:r>
      <w:r>
        <w:rPr>
          <w:rFonts w:asciiTheme="majorBidi" w:hAnsiTheme="majorBidi" w:cstheme="majorBidi"/>
        </w:rPr>
        <w:t xml:space="preserve">widely </w:t>
      </w:r>
      <w:r w:rsidRPr="00C95E58">
        <w:rPr>
          <w:rFonts w:asciiTheme="majorBidi" w:hAnsiTheme="majorBidi" w:cstheme="majorBidi"/>
        </w:rPr>
        <w:t>adopted in the literature</w:t>
      </w:r>
      <w:r>
        <w:rPr>
          <w:rFonts w:asciiTheme="majorBidi" w:hAnsiTheme="majorBidi" w:cstheme="majorBidi"/>
        </w:rPr>
        <w:t>. See</w:t>
      </w:r>
      <w:r w:rsidRPr="00880DD1">
        <w:rPr>
          <w:rFonts w:asciiTheme="majorBidi" w:hAnsiTheme="majorBidi" w:cstheme="majorBidi"/>
        </w:rPr>
        <w:t>, for example</w:t>
      </w:r>
      <w:r>
        <w:rPr>
          <w:rFonts w:asciiTheme="majorBidi" w:hAnsiTheme="majorBidi" w:cstheme="majorBidi"/>
        </w:rPr>
        <w:t>,</w:t>
      </w:r>
      <w:r w:rsidRPr="00880DD1">
        <w:rPr>
          <w:rFonts w:asciiTheme="majorBidi" w:hAnsiTheme="majorBidi" w:cstheme="majorBidi"/>
        </w:rPr>
        <w:t xml:space="preserve"> McMillan and Speight</w:t>
      </w:r>
      <w:r>
        <w:rPr>
          <w:rFonts w:asciiTheme="majorBidi" w:hAnsiTheme="majorBidi" w:cstheme="majorBidi"/>
        </w:rPr>
        <w:t xml:space="preserve"> </w:t>
      </w:r>
      <w:r w:rsidRPr="00880DD1">
        <w:rPr>
          <w:rFonts w:asciiTheme="majorBidi" w:hAnsiTheme="majorBidi" w:cstheme="majorBidi"/>
        </w:rPr>
        <w:t xml:space="preserve">(2010), Antonakakis (2012), </w:t>
      </w:r>
      <w:r>
        <w:rPr>
          <w:rFonts w:asciiTheme="majorBidi" w:hAnsiTheme="majorBidi" w:cstheme="majorBidi"/>
        </w:rPr>
        <w:t xml:space="preserve">Awartani and Maghyereh (2013), Awartani, et al., (2014), and Maghyereh et al. (2015). </w:t>
      </w:r>
    </w:p>
  </w:footnote>
  <w:footnote w:id="14">
    <w:p w:rsidR="00B64164" w:rsidRPr="00112680" w:rsidRDefault="00B64164" w:rsidP="007E2E89">
      <w:pPr>
        <w:pStyle w:val="FootnoteText"/>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 We adopt a similar notation to </w:t>
      </w:r>
      <w:r w:rsidRPr="00112680">
        <w:rPr>
          <w:rFonts w:asciiTheme="majorBidi" w:hAnsiTheme="majorBidi" w:cstheme="majorBidi"/>
        </w:rPr>
        <w:t>Diebold and Yilmaz (2012</w:t>
      </w:r>
      <w:r>
        <w:rPr>
          <w:rFonts w:asciiTheme="majorBidi" w:hAnsiTheme="majorBidi" w:cstheme="majorBidi"/>
        </w:rPr>
        <w:t xml:space="preserve">, 2014, 2015, </w:t>
      </w:r>
      <w:proofErr w:type="gramStart"/>
      <w:r>
        <w:rPr>
          <w:rFonts w:asciiTheme="majorBidi" w:hAnsiTheme="majorBidi" w:cstheme="majorBidi"/>
        </w:rPr>
        <w:t>2016</w:t>
      </w:r>
      <w:proofErr w:type="gramEnd"/>
      <w:r w:rsidRPr="00112680">
        <w:rPr>
          <w:rFonts w:asciiTheme="majorBidi" w:hAnsiTheme="majorBidi" w:cstheme="majorBidi"/>
        </w:rPr>
        <w:t>).</w:t>
      </w:r>
    </w:p>
  </w:footnote>
  <w:footnote w:id="15">
    <w:p w:rsidR="00B64164" w:rsidRPr="00B56618" w:rsidRDefault="00B64164" w:rsidP="00B1441B">
      <w:pPr>
        <w:pStyle w:val="FootnoteText"/>
        <w:jc w:val="both"/>
        <w:rPr>
          <w:rFonts w:asciiTheme="majorBidi" w:hAnsiTheme="majorBidi" w:cstheme="majorBidi"/>
        </w:rPr>
      </w:pPr>
      <w:r>
        <w:rPr>
          <w:rStyle w:val="FootnoteReference"/>
        </w:rPr>
        <w:footnoteRef/>
      </w:r>
      <w:r>
        <w:t xml:space="preserve"> </w:t>
      </w:r>
      <w:r w:rsidRPr="00B56618">
        <w:rPr>
          <w:rFonts w:asciiTheme="majorBidi" w:hAnsiTheme="majorBidi" w:cstheme="majorBidi"/>
        </w:rPr>
        <w:t>Different orderings may result in significantly different spillover estimates (Klößner and Wagner, 2014).</w:t>
      </w:r>
    </w:p>
  </w:footnote>
  <w:footnote w:id="16">
    <w:p w:rsidR="00B64164" w:rsidRPr="009B7F08" w:rsidRDefault="00B64164" w:rsidP="00B1441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Although the KPPS approach is robust to ordering, its decompositions do not sum up to one as in the Cholesky factorization. Thus, the normalization of the sum will enable an intuitive computation of the contribution of a particular market, and an intuitive sum of contributions across markets.  </w:t>
      </w:r>
    </w:p>
  </w:footnote>
  <w:footnote w:id="17">
    <w:p w:rsidR="00B64164" w:rsidRPr="00386294" w:rsidRDefault="00B64164" w:rsidP="0090518F">
      <w:pPr>
        <w:pStyle w:val="FootnoteText"/>
        <w:jc w:val="both"/>
        <w:rPr>
          <w:rFonts w:asciiTheme="majorBidi" w:hAnsiTheme="majorBidi" w:cstheme="majorBidi"/>
          <w:lang w:val="en-GB"/>
        </w:rPr>
      </w:pPr>
      <w:r w:rsidRPr="00386294">
        <w:rPr>
          <w:rStyle w:val="FootnoteReference"/>
          <w:rFonts w:asciiTheme="majorBidi" w:hAnsiTheme="majorBidi" w:cstheme="majorBidi"/>
        </w:rPr>
        <w:footnoteRef/>
      </w:r>
      <w:r w:rsidRPr="00386294">
        <w:rPr>
          <w:rFonts w:asciiTheme="majorBidi" w:hAnsiTheme="majorBidi" w:cstheme="majorBidi"/>
        </w:rPr>
        <w:t xml:space="preserve"> </w:t>
      </w:r>
      <w:r w:rsidRPr="00386294">
        <w:rPr>
          <w:rFonts w:asciiTheme="majorBidi" w:hAnsiTheme="majorBidi" w:cstheme="majorBidi"/>
          <w:noProof/>
        </w:rPr>
        <w:t xml:space="preserve">All the results in the table are based on vector autoregression of order 2, and generalized variance decompositions of 10 </w:t>
      </w:r>
      <w:r>
        <w:rPr>
          <w:rFonts w:asciiTheme="majorBidi" w:hAnsiTheme="majorBidi" w:cstheme="majorBidi"/>
          <w:noProof/>
        </w:rPr>
        <w:t>day</w:t>
      </w:r>
      <w:r w:rsidRPr="00386294">
        <w:rPr>
          <w:rFonts w:asciiTheme="majorBidi" w:hAnsiTheme="majorBidi" w:cstheme="majorBidi"/>
          <w:noProof/>
        </w:rPr>
        <w:t xml:space="preserve"> ahead forecast errors.</w:t>
      </w:r>
      <w:r w:rsidRPr="00A10F7C">
        <w:t xml:space="preserve"> </w:t>
      </w:r>
      <w:r w:rsidRPr="00A10F7C">
        <w:rPr>
          <w:rFonts w:asciiTheme="majorBidi" w:hAnsiTheme="majorBidi" w:cstheme="majorBidi"/>
          <w:noProof/>
        </w:rPr>
        <w:t>We also use Cholesky-factorizations with alternative orderings. The results (</w:t>
      </w:r>
      <w:r>
        <w:rPr>
          <w:rFonts w:asciiTheme="majorBidi" w:hAnsiTheme="majorBidi" w:cstheme="majorBidi"/>
          <w:noProof/>
        </w:rPr>
        <w:t>un</w:t>
      </w:r>
      <w:r w:rsidRPr="00A10F7C">
        <w:rPr>
          <w:rFonts w:asciiTheme="majorBidi" w:hAnsiTheme="majorBidi" w:cstheme="majorBidi"/>
          <w:noProof/>
        </w:rPr>
        <w:t>reported but available from the authors upon request) remain qualitatively similar.</w:t>
      </w:r>
    </w:p>
  </w:footnote>
  <w:footnote w:id="18">
    <w:p w:rsidR="00000699" w:rsidRPr="006011CF" w:rsidRDefault="00000699" w:rsidP="00000699">
      <w:pPr>
        <w:pStyle w:val="FootnoteText"/>
        <w:jc w:val="both"/>
        <w:rPr>
          <w:rFonts w:asciiTheme="majorBidi" w:hAnsiTheme="majorBidi" w:cstheme="majorBidi"/>
        </w:rPr>
      </w:pPr>
      <w:r>
        <w:rPr>
          <w:rStyle w:val="FootnoteReference"/>
        </w:rPr>
        <w:footnoteRef/>
      </w:r>
      <w:r>
        <w:t xml:space="preserve"> </w:t>
      </w:r>
      <w:r>
        <w:rPr>
          <w:rFonts w:ascii="Times New Roman" w:hAnsi="Times New Roman" w:cs="Times New Roman"/>
        </w:rPr>
        <w:t>The US dollar volatility causes volatility in the revenues of oil producing countries. Thus, the links between Oil and the Euro/Dollar exchange rate may also be established through hedging the value of the dollar by these countries</w:t>
      </w:r>
      <w:r>
        <w:rPr>
          <w:rFonts w:asciiTheme="majorBidi" w:hAnsiTheme="majorBidi" w:cstheme="majorBidi"/>
        </w:rPr>
        <w:t xml:space="preserve">. </w:t>
      </w:r>
    </w:p>
  </w:footnote>
  <w:footnote w:id="19">
    <w:p w:rsidR="00B64164" w:rsidRPr="00BF222E" w:rsidRDefault="00B64164" w:rsidP="000569A2">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relationship between gold and inflation has been widely studied in the literature (Chua and Woodward, 1982; Ghosh et al., 2004; Worthington and </w:t>
      </w:r>
      <w:proofErr w:type="spellStart"/>
      <w:r>
        <w:rPr>
          <w:rFonts w:ascii="Times New Roman" w:hAnsi="Times New Roman" w:cs="Times New Roman"/>
        </w:rPr>
        <w:t>Pahlavani</w:t>
      </w:r>
      <w:proofErr w:type="spellEnd"/>
      <w:r>
        <w:rPr>
          <w:rFonts w:ascii="Times New Roman" w:hAnsi="Times New Roman" w:cs="Times New Roman"/>
        </w:rPr>
        <w:t xml:space="preserve">, 2007; Tully and Lucy, 2007; </w:t>
      </w:r>
      <w:proofErr w:type="spellStart"/>
      <w:r>
        <w:rPr>
          <w:rFonts w:ascii="Times New Roman" w:hAnsi="Times New Roman" w:cs="Times New Roman"/>
        </w:rPr>
        <w:t>Blose</w:t>
      </w:r>
      <w:proofErr w:type="spellEnd"/>
      <w:r>
        <w:rPr>
          <w:rFonts w:ascii="Times New Roman" w:hAnsi="Times New Roman" w:cs="Times New Roman"/>
        </w:rPr>
        <w:t>, 2010).</w:t>
      </w:r>
    </w:p>
  </w:footnote>
  <w:footnote w:id="20">
    <w:p w:rsidR="00B64164" w:rsidRPr="00CE5B00" w:rsidRDefault="00B64164" w:rsidP="000569A2">
      <w:pPr>
        <w:spacing w:after="0" w:line="240" w:lineRule="auto"/>
        <w:jc w:val="both"/>
        <w:rPr>
          <w:sz w:val="20"/>
          <w:szCs w:val="20"/>
        </w:rPr>
      </w:pPr>
      <w:r w:rsidRPr="00CE5B00">
        <w:rPr>
          <w:rStyle w:val="FootnoteReference"/>
          <w:sz w:val="20"/>
          <w:szCs w:val="20"/>
        </w:rPr>
        <w:footnoteRef/>
      </w:r>
      <w:r w:rsidRPr="00CE5B00">
        <w:rPr>
          <w:sz w:val="20"/>
          <w:szCs w:val="20"/>
        </w:rPr>
        <w:t xml:space="preserve"> </w:t>
      </w:r>
      <w:r w:rsidRPr="00CE5B00">
        <w:rPr>
          <w:rFonts w:asciiTheme="majorBidi" w:hAnsiTheme="majorBidi"/>
          <w:noProof/>
          <w:sz w:val="20"/>
          <w:szCs w:val="20"/>
        </w:rPr>
        <w:t xml:space="preserve">Silver is also an industrial metal and is similar to oil in that it is related to economic activity. </w:t>
      </w:r>
    </w:p>
  </w:footnote>
  <w:footnote w:id="21">
    <w:p w:rsidR="00B64164" w:rsidRPr="00BB73E7" w:rsidRDefault="00B64164" w:rsidP="000569A2">
      <w:pPr>
        <w:pStyle w:val="FootnoteText"/>
        <w:jc w:val="both"/>
        <w:rPr>
          <w:lang w:val="en-GB"/>
        </w:rPr>
      </w:pPr>
      <w:r w:rsidRPr="00BB73E7">
        <w:rPr>
          <w:rStyle w:val="FootnoteReference"/>
        </w:rPr>
        <w:footnoteRef/>
      </w:r>
      <w:r w:rsidRPr="00BB73E7">
        <w:t xml:space="preserve"> </w:t>
      </w:r>
      <w:r>
        <w:rPr>
          <w:rFonts w:asciiTheme="majorBidi" w:hAnsiTheme="majorBidi" w:cstheme="majorBidi"/>
          <w:noProof/>
        </w:rPr>
        <w:t>T</w:t>
      </w:r>
      <w:r w:rsidRPr="00BB73E7">
        <w:rPr>
          <w:rFonts w:asciiTheme="majorBidi" w:hAnsiTheme="majorBidi" w:cstheme="majorBidi"/>
          <w:noProof/>
        </w:rPr>
        <w:t>he connectedness between oil and precious metals</w:t>
      </w:r>
      <w:r>
        <w:rPr>
          <w:rFonts w:asciiTheme="majorBidi" w:hAnsiTheme="majorBidi" w:cstheme="majorBidi"/>
          <w:noProof/>
        </w:rPr>
        <w:t xml:space="preserve"> returns</w:t>
      </w:r>
      <w:r w:rsidRPr="00BB73E7">
        <w:rPr>
          <w:rFonts w:asciiTheme="majorBidi" w:hAnsiTheme="majorBidi" w:cstheme="majorBidi"/>
          <w:noProof/>
        </w:rPr>
        <w:t xml:space="preserve"> can be established by </w:t>
      </w:r>
      <w:r>
        <w:rPr>
          <w:rFonts w:asciiTheme="majorBidi" w:hAnsiTheme="majorBidi" w:cstheme="majorBidi"/>
          <w:noProof/>
        </w:rPr>
        <w:t>many</w:t>
      </w:r>
      <w:r w:rsidRPr="00BB73E7">
        <w:rPr>
          <w:rFonts w:asciiTheme="majorBidi" w:hAnsiTheme="majorBidi" w:cstheme="majorBidi"/>
          <w:noProof/>
        </w:rPr>
        <w:t xml:space="preserve"> factors. For instance, when the dollar depreciates in value the price of oil increases, and meanwhile invetsors switch to precious metals for protection and thus pushing up their prices</w:t>
      </w:r>
      <w:r>
        <w:rPr>
          <w:rFonts w:asciiTheme="majorBidi" w:hAnsiTheme="majorBidi" w:cstheme="majorBidi"/>
          <w:noProof/>
        </w:rPr>
        <w:t xml:space="preserve"> (Capie et al., 2005; Joy, 2011)</w:t>
      </w:r>
      <w:r w:rsidRPr="00BB73E7">
        <w:rPr>
          <w:rFonts w:asciiTheme="majorBidi" w:hAnsiTheme="majorBidi" w:cstheme="majorBidi"/>
          <w:noProof/>
        </w:rPr>
        <w:t xml:space="preserve">. Similarly, with the increase in oil prices and oil revenues, oil exporting countries increase their demand for gold to maintain the gold share in their international reserves portfolios and this </w:t>
      </w:r>
      <w:r>
        <w:rPr>
          <w:rFonts w:asciiTheme="majorBidi" w:hAnsiTheme="majorBidi" w:cstheme="majorBidi"/>
          <w:noProof/>
        </w:rPr>
        <w:t xml:space="preserve">also </w:t>
      </w:r>
      <w:r w:rsidRPr="00BB73E7">
        <w:rPr>
          <w:rFonts w:asciiTheme="majorBidi" w:hAnsiTheme="majorBidi" w:cstheme="majorBidi"/>
          <w:noProof/>
        </w:rPr>
        <w:t xml:space="preserve">increases </w:t>
      </w:r>
      <w:r>
        <w:rPr>
          <w:rFonts w:asciiTheme="majorBidi" w:hAnsiTheme="majorBidi" w:cstheme="majorBidi"/>
          <w:noProof/>
        </w:rPr>
        <w:t xml:space="preserve">the price of </w:t>
      </w:r>
      <w:r w:rsidRPr="00BB73E7">
        <w:rPr>
          <w:rFonts w:asciiTheme="majorBidi" w:hAnsiTheme="majorBidi" w:cstheme="majorBidi"/>
          <w:noProof/>
        </w:rPr>
        <w:t xml:space="preserve">gold </w:t>
      </w:r>
      <w:r>
        <w:rPr>
          <w:rFonts w:asciiTheme="majorBidi" w:hAnsiTheme="majorBidi" w:cstheme="majorBidi"/>
          <w:noProof/>
        </w:rPr>
        <w:t>(Melvin and Sultan, 1990)</w:t>
      </w:r>
      <w:r w:rsidRPr="00BB73E7">
        <w:rPr>
          <w:rFonts w:asciiTheme="majorBidi" w:hAnsiTheme="majorBidi" w:cstheme="majorBidi"/>
          <w:noProof/>
        </w:rPr>
        <w:t>.</w:t>
      </w:r>
    </w:p>
  </w:footnote>
  <w:footnote w:id="22">
    <w:p w:rsidR="00B64164" w:rsidRPr="00076917" w:rsidRDefault="00B64164" w:rsidP="000569A2">
      <w:pPr>
        <w:pStyle w:val="FootnoteText"/>
        <w:jc w:val="both"/>
        <w:rPr>
          <w:rFonts w:ascii="Times New Roman" w:hAnsi="Times New Roman" w:cs="Times New Roman"/>
          <w:lang w:val="en-GB"/>
        </w:rPr>
      </w:pPr>
      <w:r>
        <w:rPr>
          <w:rStyle w:val="FootnoteReference"/>
        </w:rPr>
        <w:footnoteRef/>
      </w:r>
      <w:r>
        <w:rPr>
          <w:rFonts w:asciiTheme="majorBidi" w:hAnsiTheme="majorBidi" w:cstheme="majorBidi"/>
        </w:rPr>
        <w:t xml:space="preserve"> Substantial linkages between oil and agricultural commodities are found in many studies (Due et al, 2011; Tyner, 2008; Mitchell, 2008; Yang et al., 2008).  </w:t>
      </w:r>
      <w:r>
        <w:t xml:space="preserve"> </w:t>
      </w:r>
    </w:p>
  </w:footnote>
  <w:footnote w:id="23">
    <w:p w:rsidR="00B64164" w:rsidRPr="00C27712" w:rsidRDefault="00B64164" w:rsidP="00330D59">
      <w:pPr>
        <w:pStyle w:val="FootnoteText"/>
        <w:jc w:val="both"/>
        <w:rPr>
          <w:rFonts w:asciiTheme="majorBidi" w:hAnsiTheme="majorBidi" w:cstheme="majorBidi"/>
          <w:lang w:val="en-GB"/>
        </w:rPr>
      </w:pPr>
      <w:r w:rsidRPr="00C27712">
        <w:rPr>
          <w:rStyle w:val="FootnoteReference"/>
        </w:rPr>
        <w:footnoteRef/>
      </w:r>
      <w:r w:rsidRPr="00C27712">
        <w:t xml:space="preserve"> </w:t>
      </w:r>
      <w:r w:rsidRPr="00C27712">
        <w:rPr>
          <w:rFonts w:asciiTheme="majorBidi" w:hAnsiTheme="majorBidi" w:cstheme="majorBidi"/>
        </w:rPr>
        <w:t xml:space="preserve">The </w:t>
      </w:r>
      <w:r>
        <w:rPr>
          <w:rFonts w:asciiTheme="majorBidi" w:hAnsiTheme="majorBidi" w:cstheme="majorBidi"/>
        </w:rPr>
        <w:t>sharp</w:t>
      </w:r>
      <w:r w:rsidRPr="00C27712">
        <w:rPr>
          <w:rFonts w:asciiTheme="majorBidi" w:hAnsiTheme="majorBidi" w:cstheme="majorBidi"/>
        </w:rPr>
        <w:t xml:space="preserve"> drop in </w:t>
      </w:r>
      <w:r>
        <w:rPr>
          <w:rFonts w:asciiTheme="majorBidi" w:hAnsiTheme="majorBidi" w:cstheme="majorBidi"/>
        </w:rPr>
        <w:t xml:space="preserve">oil </w:t>
      </w:r>
      <w:r w:rsidRPr="00C27712">
        <w:rPr>
          <w:rFonts w:asciiTheme="majorBidi" w:hAnsiTheme="majorBidi" w:cstheme="majorBidi"/>
        </w:rPr>
        <w:t>price</w:t>
      </w:r>
      <w:r>
        <w:rPr>
          <w:rFonts w:asciiTheme="majorBidi" w:hAnsiTheme="majorBidi" w:cstheme="majorBidi"/>
        </w:rPr>
        <w:t xml:space="preserve">s in 2014-2015 has led </w:t>
      </w:r>
      <w:r w:rsidRPr="00C27712">
        <w:rPr>
          <w:rFonts w:asciiTheme="majorBidi" w:hAnsiTheme="majorBidi" w:cstheme="majorBidi"/>
        </w:rPr>
        <w:t xml:space="preserve">to </w:t>
      </w:r>
      <w:r>
        <w:rPr>
          <w:rFonts w:asciiTheme="majorBidi" w:hAnsiTheme="majorBidi" w:cstheme="majorBidi"/>
        </w:rPr>
        <w:t xml:space="preserve">a severe slowdown </w:t>
      </w:r>
      <w:r w:rsidRPr="00C27712">
        <w:rPr>
          <w:rFonts w:asciiTheme="majorBidi" w:hAnsiTheme="majorBidi" w:cstheme="majorBidi"/>
        </w:rPr>
        <w:t xml:space="preserve">of the biofuel industry. </w:t>
      </w:r>
      <w:r>
        <w:rPr>
          <w:rFonts w:asciiTheme="majorBidi" w:hAnsiTheme="majorBidi" w:cstheme="majorBidi"/>
        </w:rPr>
        <w:t xml:space="preserve"> </w:t>
      </w:r>
    </w:p>
  </w:footnote>
  <w:footnote w:id="24">
    <w:p w:rsidR="00B64164" w:rsidRPr="00EE08DF" w:rsidRDefault="00B64164" w:rsidP="00845C8D">
      <w:pPr>
        <w:pStyle w:val="FootnoteText"/>
        <w:jc w:val="both"/>
        <w:rPr>
          <w:rFonts w:asciiTheme="majorBidi" w:hAnsiTheme="majorBidi" w:cstheme="majorBidi"/>
          <w:lang w:val="en-GB"/>
        </w:rPr>
      </w:pPr>
      <w:r>
        <w:rPr>
          <w:rStyle w:val="FootnoteReference"/>
        </w:rPr>
        <w:footnoteRef/>
      </w:r>
      <w:r>
        <w:t xml:space="preserve"> </w:t>
      </w:r>
      <w:r>
        <w:rPr>
          <w:rFonts w:asciiTheme="majorBidi" w:hAnsiTheme="majorBidi" w:cstheme="majorBidi"/>
          <w:lang w:val="en-GB"/>
        </w:rPr>
        <w:t xml:space="preserve">Note also that the connectedness is strong within commodity groups and weak across groups. For instance gold and silver are very well connected </w:t>
      </w:r>
      <w:r w:rsidR="00C043E6">
        <w:rPr>
          <w:rFonts w:asciiTheme="majorBidi" w:hAnsiTheme="majorBidi" w:cstheme="majorBidi"/>
          <w:lang w:val="en-GB"/>
        </w:rPr>
        <w:t xml:space="preserve">compared to </w:t>
      </w:r>
      <w:r>
        <w:rPr>
          <w:rFonts w:asciiTheme="majorBidi" w:hAnsiTheme="majorBidi" w:cstheme="majorBidi"/>
          <w:lang w:val="en-GB"/>
        </w:rPr>
        <w:t xml:space="preserve">each with other commodities.  </w:t>
      </w:r>
    </w:p>
  </w:footnote>
  <w:footnote w:id="25">
    <w:p w:rsidR="00B64164" w:rsidRPr="0072445A" w:rsidRDefault="00B64164" w:rsidP="0072445A">
      <w:pPr>
        <w:pStyle w:val="FootnoteText"/>
        <w:rPr>
          <w:rFonts w:ascii="Times New Roman" w:hAnsi="Times New Roman" w:cs="Times New Roman"/>
        </w:rPr>
      </w:pPr>
      <w:r w:rsidRPr="0072445A">
        <w:rPr>
          <w:rStyle w:val="FootnoteReference"/>
          <w:rFonts w:ascii="Times New Roman" w:hAnsi="Times New Roman"/>
        </w:rPr>
        <w:footnoteRef/>
      </w:r>
      <w:r w:rsidRPr="0072445A">
        <w:rPr>
          <w:rFonts w:ascii="Times New Roman" w:hAnsi="Times New Roman" w:cs="Times New Roman"/>
        </w:rPr>
        <w:t xml:space="preserve"> On using squared returns to measure volatility </w:t>
      </w:r>
      <w:r>
        <w:rPr>
          <w:rFonts w:ascii="Times New Roman" w:hAnsi="Times New Roman" w:cs="Times New Roman"/>
          <w:noProof/>
        </w:rPr>
        <w:t>s</w:t>
      </w:r>
      <w:r w:rsidRPr="0072445A">
        <w:rPr>
          <w:rFonts w:ascii="Times New Roman" w:hAnsi="Times New Roman" w:cs="Times New Roman"/>
          <w:noProof/>
        </w:rPr>
        <w:t>ee Foster and Nelson (1996) and Triacca (2007)</w:t>
      </w:r>
      <w:r>
        <w:rPr>
          <w:rFonts w:ascii="Times New Roman" w:hAnsi="Times New Roman" w:cs="Times New Roman"/>
          <w:noProof/>
        </w:rPr>
        <w:t xml:space="preserve">. </w:t>
      </w:r>
      <w:r w:rsidRPr="0072445A">
        <w:rPr>
          <w:rFonts w:ascii="Times New Roman" w:hAnsi="Times New Roman" w:cs="Times New Roman"/>
          <w:noProo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F1FC8"/>
    <w:multiLevelType w:val="multilevel"/>
    <w:tmpl w:val="970AF0DC"/>
    <w:lvl w:ilvl="0">
      <w:start w:val="1"/>
      <w:numFmt w:val="decimal"/>
      <w:lvlText w:val="%1."/>
      <w:lvlJc w:val="left"/>
      <w:pPr>
        <w:ind w:left="720" w:hanging="360"/>
      </w:pPr>
      <w:rPr>
        <w:rFonts w:asciiTheme="majorBidi" w:hAnsiTheme="majorBidi" w:cstheme="majorBidi" w:hint="default"/>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C7F0B90"/>
    <w:multiLevelType w:val="hybridMultilevel"/>
    <w:tmpl w:val="56BAB05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4FDA361F"/>
    <w:multiLevelType w:val="hybridMultilevel"/>
    <w:tmpl w:val="8BBC3414"/>
    <w:lvl w:ilvl="0" w:tplc="1BD2D13C">
      <w:start w:val="5"/>
      <w:numFmt w:val="decimal"/>
      <w:lvlText w:val="%1."/>
      <w:lvlJc w:val="left"/>
      <w:pPr>
        <w:ind w:left="720" w:hanging="360"/>
      </w:pPr>
      <w:rPr>
        <w:rFonts w:eastAsia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081862"/>
    <w:multiLevelType w:val="multilevel"/>
    <w:tmpl w:val="970AF0DC"/>
    <w:lvl w:ilvl="0">
      <w:start w:val="1"/>
      <w:numFmt w:val="decimal"/>
      <w:lvlText w:val="%1."/>
      <w:lvlJc w:val="left"/>
      <w:pPr>
        <w:ind w:left="720" w:hanging="360"/>
      </w:pPr>
      <w:rPr>
        <w:rFonts w:asciiTheme="majorBidi" w:hAnsiTheme="majorBidi" w:cstheme="majorBidi" w:hint="default"/>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956298D"/>
    <w:multiLevelType w:val="multilevel"/>
    <w:tmpl w:val="5F3638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CD"/>
    <w:rsid w:val="00000607"/>
    <w:rsid w:val="00000699"/>
    <w:rsid w:val="00001399"/>
    <w:rsid w:val="00002BD0"/>
    <w:rsid w:val="00003B16"/>
    <w:rsid w:val="000040BB"/>
    <w:rsid w:val="00006DAA"/>
    <w:rsid w:val="000074FA"/>
    <w:rsid w:val="00013D48"/>
    <w:rsid w:val="00016352"/>
    <w:rsid w:val="00016B12"/>
    <w:rsid w:val="00020ED4"/>
    <w:rsid w:val="00020FDE"/>
    <w:rsid w:val="000219C3"/>
    <w:rsid w:val="00022C32"/>
    <w:rsid w:val="00024625"/>
    <w:rsid w:val="00024985"/>
    <w:rsid w:val="00026F6B"/>
    <w:rsid w:val="00027D06"/>
    <w:rsid w:val="0003073A"/>
    <w:rsid w:val="00032817"/>
    <w:rsid w:val="00033082"/>
    <w:rsid w:val="000335A7"/>
    <w:rsid w:val="00033D33"/>
    <w:rsid w:val="000340E8"/>
    <w:rsid w:val="000347AE"/>
    <w:rsid w:val="000348D5"/>
    <w:rsid w:val="00034D6E"/>
    <w:rsid w:val="00036817"/>
    <w:rsid w:val="000373D0"/>
    <w:rsid w:val="000415C5"/>
    <w:rsid w:val="000416F1"/>
    <w:rsid w:val="00042954"/>
    <w:rsid w:val="0004403A"/>
    <w:rsid w:val="000444BA"/>
    <w:rsid w:val="000458B5"/>
    <w:rsid w:val="000473C1"/>
    <w:rsid w:val="0005004B"/>
    <w:rsid w:val="00050492"/>
    <w:rsid w:val="00050D01"/>
    <w:rsid w:val="00050D90"/>
    <w:rsid w:val="00055257"/>
    <w:rsid w:val="000555B8"/>
    <w:rsid w:val="00055695"/>
    <w:rsid w:val="000562AA"/>
    <w:rsid w:val="0005631E"/>
    <w:rsid w:val="000563C4"/>
    <w:rsid w:val="000569A2"/>
    <w:rsid w:val="00056DF4"/>
    <w:rsid w:val="00060BD6"/>
    <w:rsid w:val="00061654"/>
    <w:rsid w:val="00066599"/>
    <w:rsid w:val="000671E3"/>
    <w:rsid w:val="00067618"/>
    <w:rsid w:val="00067DF5"/>
    <w:rsid w:val="00070D0C"/>
    <w:rsid w:val="00070EF4"/>
    <w:rsid w:val="00072C02"/>
    <w:rsid w:val="00072E59"/>
    <w:rsid w:val="0007684F"/>
    <w:rsid w:val="00076917"/>
    <w:rsid w:val="000814E8"/>
    <w:rsid w:val="00081739"/>
    <w:rsid w:val="000825B9"/>
    <w:rsid w:val="000842C8"/>
    <w:rsid w:val="000865E7"/>
    <w:rsid w:val="0009098C"/>
    <w:rsid w:val="00091853"/>
    <w:rsid w:val="000918BE"/>
    <w:rsid w:val="00093511"/>
    <w:rsid w:val="0009474F"/>
    <w:rsid w:val="00096E70"/>
    <w:rsid w:val="00097B09"/>
    <w:rsid w:val="000A01E0"/>
    <w:rsid w:val="000A04F0"/>
    <w:rsid w:val="000A17B0"/>
    <w:rsid w:val="000A2419"/>
    <w:rsid w:val="000A3E63"/>
    <w:rsid w:val="000A70F9"/>
    <w:rsid w:val="000A7D95"/>
    <w:rsid w:val="000B0D84"/>
    <w:rsid w:val="000B0FF8"/>
    <w:rsid w:val="000B264A"/>
    <w:rsid w:val="000B2850"/>
    <w:rsid w:val="000B31FD"/>
    <w:rsid w:val="000B7776"/>
    <w:rsid w:val="000C3ED6"/>
    <w:rsid w:val="000C535F"/>
    <w:rsid w:val="000D11C9"/>
    <w:rsid w:val="000D121A"/>
    <w:rsid w:val="000D2F96"/>
    <w:rsid w:val="000D425F"/>
    <w:rsid w:val="000D648B"/>
    <w:rsid w:val="000D6C06"/>
    <w:rsid w:val="000E1A65"/>
    <w:rsid w:val="000E2AF0"/>
    <w:rsid w:val="000E3BEA"/>
    <w:rsid w:val="000E45BC"/>
    <w:rsid w:val="000E4C41"/>
    <w:rsid w:val="000E53FF"/>
    <w:rsid w:val="000E5E03"/>
    <w:rsid w:val="000E742D"/>
    <w:rsid w:val="000F15EE"/>
    <w:rsid w:val="000F1C8B"/>
    <w:rsid w:val="000F3379"/>
    <w:rsid w:val="000F3A13"/>
    <w:rsid w:val="000F407C"/>
    <w:rsid w:val="000F42C7"/>
    <w:rsid w:val="000F55C8"/>
    <w:rsid w:val="000F609A"/>
    <w:rsid w:val="000F66E7"/>
    <w:rsid w:val="000F7106"/>
    <w:rsid w:val="000F7380"/>
    <w:rsid w:val="000F771F"/>
    <w:rsid w:val="000F7D6A"/>
    <w:rsid w:val="001014B7"/>
    <w:rsid w:val="0010217B"/>
    <w:rsid w:val="00103B0A"/>
    <w:rsid w:val="0010584A"/>
    <w:rsid w:val="001060E0"/>
    <w:rsid w:val="00106212"/>
    <w:rsid w:val="0010684D"/>
    <w:rsid w:val="00106998"/>
    <w:rsid w:val="00106D93"/>
    <w:rsid w:val="001070B4"/>
    <w:rsid w:val="001073D6"/>
    <w:rsid w:val="001073E3"/>
    <w:rsid w:val="0011345F"/>
    <w:rsid w:val="00113C4E"/>
    <w:rsid w:val="00113EC6"/>
    <w:rsid w:val="0011411F"/>
    <w:rsid w:val="0011643B"/>
    <w:rsid w:val="0011646D"/>
    <w:rsid w:val="00117EDC"/>
    <w:rsid w:val="00120A42"/>
    <w:rsid w:val="00121442"/>
    <w:rsid w:val="001221E5"/>
    <w:rsid w:val="00122C64"/>
    <w:rsid w:val="00124320"/>
    <w:rsid w:val="00124788"/>
    <w:rsid w:val="00126155"/>
    <w:rsid w:val="001274B3"/>
    <w:rsid w:val="00127D93"/>
    <w:rsid w:val="001307ED"/>
    <w:rsid w:val="001311B9"/>
    <w:rsid w:val="001316FA"/>
    <w:rsid w:val="001318E1"/>
    <w:rsid w:val="00132649"/>
    <w:rsid w:val="0013324E"/>
    <w:rsid w:val="00134975"/>
    <w:rsid w:val="00136877"/>
    <w:rsid w:val="00140D83"/>
    <w:rsid w:val="001410DC"/>
    <w:rsid w:val="00141B3B"/>
    <w:rsid w:val="00142160"/>
    <w:rsid w:val="00144452"/>
    <w:rsid w:val="0014456C"/>
    <w:rsid w:val="0014509C"/>
    <w:rsid w:val="00146522"/>
    <w:rsid w:val="00146550"/>
    <w:rsid w:val="00151373"/>
    <w:rsid w:val="0015166D"/>
    <w:rsid w:val="0015185C"/>
    <w:rsid w:val="00151B6D"/>
    <w:rsid w:val="00151EEA"/>
    <w:rsid w:val="001522C5"/>
    <w:rsid w:val="001541C6"/>
    <w:rsid w:val="00156367"/>
    <w:rsid w:val="00156DB4"/>
    <w:rsid w:val="00160684"/>
    <w:rsid w:val="00161344"/>
    <w:rsid w:val="001614EA"/>
    <w:rsid w:val="00162680"/>
    <w:rsid w:val="001634CE"/>
    <w:rsid w:val="001638AB"/>
    <w:rsid w:val="00163B61"/>
    <w:rsid w:val="00165CED"/>
    <w:rsid w:val="00165FEE"/>
    <w:rsid w:val="00166F94"/>
    <w:rsid w:val="00167CB0"/>
    <w:rsid w:val="0017155A"/>
    <w:rsid w:val="00172DDF"/>
    <w:rsid w:val="00172E09"/>
    <w:rsid w:val="001731A3"/>
    <w:rsid w:val="00173BF1"/>
    <w:rsid w:val="00174573"/>
    <w:rsid w:val="00175CA3"/>
    <w:rsid w:val="00176969"/>
    <w:rsid w:val="001771DF"/>
    <w:rsid w:val="0018019D"/>
    <w:rsid w:val="001819ED"/>
    <w:rsid w:val="00181A06"/>
    <w:rsid w:val="00182255"/>
    <w:rsid w:val="0018377D"/>
    <w:rsid w:val="0018377E"/>
    <w:rsid w:val="00184B84"/>
    <w:rsid w:val="00187ADA"/>
    <w:rsid w:val="00187C5E"/>
    <w:rsid w:val="00190B04"/>
    <w:rsid w:val="00192630"/>
    <w:rsid w:val="00192764"/>
    <w:rsid w:val="001928D6"/>
    <w:rsid w:val="0019311C"/>
    <w:rsid w:val="00193D19"/>
    <w:rsid w:val="00193F8B"/>
    <w:rsid w:val="00194DB4"/>
    <w:rsid w:val="00195FAB"/>
    <w:rsid w:val="001969A0"/>
    <w:rsid w:val="001973BC"/>
    <w:rsid w:val="001A09F3"/>
    <w:rsid w:val="001A2D48"/>
    <w:rsid w:val="001A5219"/>
    <w:rsid w:val="001A5799"/>
    <w:rsid w:val="001A587A"/>
    <w:rsid w:val="001A5DC8"/>
    <w:rsid w:val="001B0538"/>
    <w:rsid w:val="001B09F8"/>
    <w:rsid w:val="001B0CAA"/>
    <w:rsid w:val="001B0CEA"/>
    <w:rsid w:val="001B4687"/>
    <w:rsid w:val="001B46E0"/>
    <w:rsid w:val="001B5815"/>
    <w:rsid w:val="001B62F0"/>
    <w:rsid w:val="001C046C"/>
    <w:rsid w:val="001C0FFF"/>
    <w:rsid w:val="001C5BF8"/>
    <w:rsid w:val="001C60C4"/>
    <w:rsid w:val="001C6A04"/>
    <w:rsid w:val="001D02AD"/>
    <w:rsid w:val="001D0ACD"/>
    <w:rsid w:val="001D1BE7"/>
    <w:rsid w:val="001D525D"/>
    <w:rsid w:val="001D5347"/>
    <w:rsid w:val="001D610C"/>
    <w:rsid w:val="001D69C7"/>
    <w:rsid w:val="001E4202"/>
    <w:rsid w:val="001E69A1"/>
    <w:rsid w:val="001E788F"/>
    <w:rsid w:val="001F20D8"/>
    <w:rsid w:val="001F2E5F"/>
    <w:rsid w:val="001F4E58"/>
    <w:rsid w:val="001F54BE"/>
    <w:rsid w:val="00201073"/>
    <w:rsid w:val="0020161A"/>
    <w:rsid w:val="0020202F"/>
    <w:rsid w:val="00204729"/>
    <w:rsid w:val="00205534"/>
    <w:rsid w:val="00207340"/>
    <w:rsid w:val="00207BA7"/>
    <w:rsid w:val="00213A68"/>
    <w:rsid w:val="0022266D"/>
    <w:rsid w:val="00226A38"/>
    <w:rsid w:val="00227A7D"/>
    <w:rsid w:val="002340C6"/>
    <w:rsid w:val="002357D2"/>
    <w:rsid w:val="0023720D"/>
    <w:rsid w:val="002375B9"/>
    <w:rsid w:val="00240548"/>
    <w:rsid w:val="00244975"/>
    <w:rsid w:val="0024498C"/>
    <w:rsid w:val="00244C6A"/>
    <w:rsid w:val="00245D1F"/>
    <w:rsid w:val="002465A7"/>
    <w:rsid w:val="0025071E"/>
    <w:rsid w:val="002516CB"/>
    <w:rsid w:val="002520BB"/>
    <w:rsid w:val="002528FF"/>
    <w:rsid w:val="002533B8"/>
    <w:rsid w:val="00254BFA"/>
    <w:rsid w:val="002559A2"/>
    <w:rsid w:val="00255BFE"/>
    <w:rsid w:val="00256E31"/>
    <w:rsid w:val="002601A7"/>
    <w:rsid w:val="002619DB"/>
    <w:rsid w:val="00263DDB"/>
    <w:rsid w:val="00265662"/>
    <w:rsid w:val="002706B3"/>
    <w:rsid w:val="00275B84"/>
    <w:rsid w:val="00276BE9"/>
    <w:rsid w:val="00283D2D"/>
    <w:rsid w:val="00284239"/>
    <w:rsid w:val="002848A0"/>
    <w:rsid w:val="00284FCA"/>
    <w:rsid w:val="00285E63"/>
    <w:rsid w:val="00286C33"/>
    <w:rsid w:val="0029045E"/>
    <w:rsid w:val="00290A7C"/>
    <w:rsid w:val="002921FA"/>
    <w:rsid w:val="00294899"/>
    <w:rsid w:val="00294E03"/>
    <w:rsid w:val="0029580A"/>
    <w:rsid w:val="00295BB5"/>
    <w:rsid w:val="00296C9C"/>
    <w:rsid w:val="00296F58"/>
    <w:rsid w:val="00297C03"/>
    <w:rsid w:val="002A0B20"/>
    <w:rsid w:val="002A0C55"/>
    <w:rsid w:val="002A0ED1"/>
    <w:rsid w:val="002A376E"/>
    <w:rsid w:val="002A407B"/>
    <w:rsid w:val="002A549B"/>
    <w:rsid w:val="002A6D54"/>
    <w:rsid w:val="002B1015"/>
    <w:rsid w:val="002B1CE3"/>
    <w:rsid w:val="002B4DB3"/>
    <w:rsid w:val="002B5C1E"/>
    <w:rsid w:val="002B6B3A"/>
    <w:rsid w:val="002B73BC"/>
    <w:rsid w:val="002C2230"/>
    <w:rsid w:val="002C4845"/>
    <w:rsid w:val="002C5C8E"/>
    <w:rsid w:val="002D14F5"/>
    <w:rsid w:val="002D293B"/>
    <w:rsid w:val="002D354B"/>
    <w:rsid w:val="002D3AE7"/>
    <w:rsid w:val="002D435F"/>
    <w:rsid w:val="002D54D0"/>
    <w:rsid w:val="002D6BC2"/>
    <w:rsid w:val="002D6D1D"/>
    <w:rsid w:val="002D6D49"/>
    <w:rsid w:val="002E0B76"/>
    <w:rsid w:val="002E1AA4"/>
    <w:rsid w:val="002E1E69"/>
    <w:rsid w:val="002E72D1"/>
    <w:rsid w:val="002F4F73"/>
    <w:rsid w:val="00301423"/>
    <w:rsid w:val="00301DED"/>
    <w:rsid w:val="00302EEF"/>
    <w:rsid w:val="00303E38"/>
    <w:rsid w:val="00305CD6"/>
    <w:rsid w:val="00306AC1"/>
    <w:rsid w:val="00307F84"/>
    <w:rsid w:val="0031172F"/>
    <w:rsid w:val="00315AC2"/>
    <w:rsid w:val="003168A2"/>
    <w:rsid w:val="00316A36"/>
    <w:rsid w:val="003219EC"/>
    <w:rsid w:val="0032341A"/>
    <w:rsid w:val="0032415B"/>
    <w:rsid w:val="00325EE8"/>
    <w:rsid w:val="0032609F"/>
    <w:rsid w:val="003260D4"/>
    <w:rsid w:val="00327E7B"/>
    <w:rsid w:val="00330D59"/>
    <w:rsid w:val="00331650"/>
    <w:rsid w:val="00332C40"/>
    <w:rsid w:val="00332DBC"/>
    <w:rsid w:val="00333957"/>
    <w:rsid w:val="00333A1A"/>
    <w:rsid w:val="00334FC4"/>
    <w:rsid w:val="00335B9E"/>
    <w:rsid w:val="00340BE4"/>
    <w:rsid w:val="00340FEB"/>
    <w:rsid w:val="003458CA"/>
    <w:rsid w:val="003471B6"/>
    <w:rsid w:val="00347F57"/>
    <w:rsid w:val="00347F88"/>
    <w:rsid w:val="00350507"/>
    <w:rsid w:val="00351427"/>
    <w:rsid w:val="0035389E"/>
    <w:rsid w:val="00353965"/>
    <w:rsid w:val="00353EDD"/>
    <w:rsid w:val="00354E57"/>
    <w:rsid w:val="00355B3D"/>
    <w:rsid w:val="0035626C"/>
    <w:rsid w:val="00357AF2"/>
    <w:rsid w:val="003601D8"/>
    <w:rsid w:val="00360344"/>
    <w:rsid w:val="0036173F"/>
    <w:rsid w:val="0036184A"/>
    <w:rsid w:val="00362BA9"/>
    <w:rsid w:val="00363C6D"/>
    <w:rsid w:val="00363E8D"/>
    <w:rsid w:val="003661D6"/>
    <w:rsid w:val="00367D16"/>
    <w:rsid w:val="00370B07"/>
    <w:rsid w:val="003725E4"/>
    <w:rsid w:val="00374735"/>
    <w:rsid w:val="003770A4"/>
    <w:rsid w:val="003813F0"/>
    <w:rsid w:val="00381F13"/>
    <w:rsid w:val="00382C72"/>
    <w:rsid w:val="00383252"/>
    <w:rsid w:val="00383A3C"/>
    <w:rsid w:val="00387AB8"/>
    <w:rsid w:val="003902B5"/>
    <w:rsid w:val="003906F1"/>
    <w:rsid w:val="00390E9D"/>
    <w:rsid w:val="00393E84"/>
    <w:rsid w:val="0039502E"/>
    <w:rsid w:val="0039595C"/>
    <w:rsid w:val="003974B7"/>
    <w:rsid w:val="003A01D0"/>
    <w:rsid w:val="003A15AB"/>
    <w:rsid w:val="003A1DB1"/>
    <w:rsid w:val="003A64E7"/>
    <w:rsid w:val="003B30BF"/>
    <w:rsid w:val="003B3FBA"/>
    <w:rsid w:val="003B7878"/>
    <w:rsid w:val="003B7A81"/>
    <w:rsid w:val="003B7F62"/>
    <w:rsid w:val="003C00EB"/>
    <w:rsid w:val="003C12C4"/>
    <w:rsid w:val="003C1E9B"/>
    <w:rsid w:val="003C6217"/>
    <w:rsid w:val="003D0FCC"/>
    <w:rsid w:val="003D1164"/>
    <w:rsid w:val="003D1558"/>
    <w:rsid w:val="003D2162"/>
    <w:rsid w:val="003D2292"/>
    <w:rsid w:val="003D2AE2"/>
    <w:rsid w:val="003D4F35"/>
    <w:rsid w:val="003E0592"/>
    <w:rsid w:val="003E0C23"/>
    <w:rsid w:val="003E2078"/>
    <w:rsid w:val="003E32EF"/>
    <w:rsid w:val="003E3B8B"/>
    <w:rsid w:val="003E3E51"/>
    <w:rsid w:val="003E4BA2"/>
    <w:rsid w:val="003E524E"/>
    <w:rsid w:val="003E54D6"/>
    <w:rsid w:val="003E690B"/>
    <w:rsid w:val="003E6997"/>
    <w:rsid w:val="003E6B0E"/>
    <w:rsid w:val="003F16D1"/>
    <w:rsid w:val="003F28C6"/>
    <w:rsid w:val="003F324B"/>
    <w:rsid w:val="00400162"/>
    <w:rsid w:val="00400FCD"/>
    <w:rsid w:val="00401274"/>
    <w:rsid w:val="004017AD"/>
    <w:rsid w:val="0040284C"/>
    <w:rsid w:val="00402A60"/>
    <w:rsid w:val="00402B95"/>
    <w:rsid w:val="00403C77"/>
    <w:rsid w:val="00403D2B"/>
    <w:rsid w:val="004047D7"/>
    <w:rsid w:val="0040497A"/>
    <w:rsid w:val="00404B50"/>
    <w:rsid w:val="004054DF"/>
    <w:rsid w:val="00411027"/>
    <w:rsid w:val="004111B1"/>
    <w:rsid w:val="00412BB5"/>
    <w:rsid w:val="00413990"/>
    <w:rsid w:val="004141BA"/>
    <w:rsid w:val="00415587"/>
    <w:rsid w:val="0041615B"/>
    <w:rsid w:val="00417CFB"/>
    <w:rsid w:val="0042048F"/>
    <w:rsid w:val="004208EF"/>
    <w:rsid w:val="00420C54"/>
    <w:rsid w:val="0042117C"/>
    <w:rsid w:val="0042156C"/>
    <w:rsid w:val="00422336"/>
    <w:rsid w:val="0042240B"/>
    <w:rsid w:val="00424876"/>
    <w:rsid w:val="0043018E"/>
    <w:rsid w:val="00430243"/>
    <w:rsid w:val="0043052B"/>
    <w:rsid w:val="0043099B"/>
    <w:rsid w:val="004311CD"/>
    <w:rsid w:val="00431E7C"/>
    <w:rsid w:val="00432B99"/>
    <w:rsid w:val="0043526B"/>
    <w:rsid w:val="00435A67"/>
    <w:rsid w:val="00435F42"/>
    <w:rsid w:val="00437E43"/>
    <w:rsid w:val="00441EEF"/>
    <w:rsid w:val="00442776"/>
    <w:rsid w:val="00444FCB"/>
    <w:rsid w:val="00445F10"/>
    <w:rsid w:val="00447163"/>
    <w:rsid w:val="00447AAA"/>
    <w:rsid w:val="00450462"/>
    <w:rsid w:val="00452915"/>
    <w:rsid w:val="00453C29"/>
    <w:rsid w:val="00455AA5"/>
    <w:rsid w:val="004577C8"/>
    <w:rsid w:val="004626DA"/>
    <w:rsid w:val="00467306"/>
    <w:rsid w:val="004705A3"/>
    <w:rsid w:val="004706AC"/>
    <w:rsid w:val="00470D29"/>
    <w:rsid w:val="00470E83"/>
    <w:rsid w:val="0047177B"/>
    <w:rsid w:val="004719D2"/>
    <w:rsid w:val="00472996"/>
    <w:rsid w:val="00473129"/>
    <w:rsid w:val="00475758"/>
    <w:rsid w:val="00476266"/>
    <w:rsid w:val="004824F4"/>
    <w:rsid w:val="00483B52"/>
    <w:rsid w:val="00483FF9"/>
    <w:rsid w:val="00484AB2"/>
    <w:rsid w:val="00486AE5"/>
    <w:rsid w:val="00490232"/>
    <w:rsid w:val="004905A9"/>
    <w:rsid w:val="00492314"/>
    <w:rsid w:val="004941A8"/>
    <w:rsid w:val="00495A49"/>
    <w:rsid w:val="0049784D"/>
    <w:rsid w:val="00497E44"/>
    <w:rsid w:val="004A03B3"/>
    <w:rsid w:val="004A0A57"/>
    <w:rsid w:val="004A2DB4"/>
    <w:rsid w:val="004A3711"/>
    <w:rsid w:val="004A610F"/>
    <w:rsid w:val="004A7C56"/>
    <w:rsid w:val="004B1D8D"/>
    <w:rsid w:val="004B2357"/>
    <w:rsid w:val="004B2650"/>
    <w:rsid w:val="004B27E7"/>
    <w:rsid w:val="004B2DA8"/>
    <w:rsid w:val="004B7D78"/>
    <w:rsid w:val="004C14BF"/>
    <w:rsid w:val="004C187A"/>
    <w:rsid w:val="004C1EF9"/>
    <w:rsid w:val="004C2EBC"/>
    <w:rsid w:val="004C4D5A"/>
    <w:rsid w:val="004C5103"/>
    <w:rsid w:val="004C5767"/>
    <w:rsid w:val="004C64AD"/>
    <w:rsid w:val="004C6C19"/>
    <w:rsid w:val="004C7CAE"/>
    <w:rsid w:val="004D3B8F"/>
    <w:rsid w:val="004D3D91"/>
    <w:rsid w:val="004D4C07"/>
    <w:rsid w:val="004D517D"/>
    <w:rsid w:val="004D5C2B"/>
    <w:rsid w:val="004D64C2"/>
    <w:rsid w:val="004D7432"/>
    <w:rsid w:val="004D7EB7"/>
    <w:rsid w:val="004E4142"/>
    <w:rsid w:val="004E4CA5"/>
    <w:rsid w:val="004E4D3A"/>
    <w:rsid w:val="004E55D3"/>
    <w:rsid w:val="004E5FAE"/>
    <w:rsid w:val="004E7209"/>
    <w:rsid w:val="004E7B23"/>
    <w:rsid w:val="004F039E"/>
    <w:rsid w:val="004F09BF"/>
    <w:rsid w:val="004F32C0"/>
    <w:rsid w:val="004F4A6D"/>
    <w:rsid w:val="004F4DBE"/>
    <w:rsid w:val="004F629D"/>
    <w:rsid w:val="004F7FE6"/>
    <w:rsid w:val="005003F5"/>
    <w:rsid w:val="00502B8E"/>
    <w:rsid w:val="00502D9A"/>
    <w:rsid w:val="005032BB"/>
    <w:rsid w:val="00503D8A"/>
    <w:rsid w:val="00505037"/>
    <w:rsid w:val="0050581B"/>
    <w:rsid w:val="00505DD9"/>
    <w:rsid w:val="0050614E"/>
    <w:rsid w:val="0050798B"/>
    <w:rsid w:val="005101F0"/>
    <w:rsid w:val="0051044F"/>
    <w:rsid w:val="00510832"/>
    <w:rsid w:val="00510F63"/>
    <w:rsid w:val="00511D60"/>
    <w:rsid w:val="00512AC5"/>
    <w:rsid w:val="0051619C"/>
    <w:rsid w:val="0051678D"/>
    <w:rsid w:val="00516FA7"/>
    <w:rsid w:val="00517D07"/>
    <w:rsid w:val="0052275B"/>
    <w:rsid w:val="005231DB"/>
    <w:rsid w:val="00523612"/>
    <w:rsid w:val="005314FD"/>
    <w:rsid w:val="00531E52"/>
    <w:rsid w:val="005338DD"/>
    <w:rsid w:val="00534861"/>
    <w:rsid w:val="00534BC5"/>
    <w:rsid w:val="00536B9C"/>
    <w:rsid w:val="00542C59"/>
    <w:rsid w:val="00543F40"/>
    <w:rsid w:val="00545C5E"/>
    <w:rsid w:val="005504ED"/>
    <w:rsid w:val="00550AF0"/>
    <w:rsid w:val="0055108E"/>
    <w:rsid w:val="00552623"/>
    <w:rsid w:val="00552E95"/>
    <w:rsid w:val="005532C0"/>
    <w:rsid w:val="00553E9F"/>
    <w:rsid w:val="005554AF"/>
    <w:rsid w:val="00556DB1"/>
    <w:rsid w:val="005605F9"/>
    <w:rsid w:val="00563958"/>
    <w:rsid w:val="00565C4C"/>
    <w:rsid w:val="005736CE"/>
    <w:rsid w:val="00574B6B"/>
    <w:rsid w:val="005759E3"/>
    <w:rsid w:val="00575B91"/>
    <w:rsid w:val="00576A57"/>
    <w:rsid w:val="005821D1"/>
    <w:rsid w:val="00583BB1"/>
    <w:rsid w:val="005846D3"/>
    <w:rsid w:val="00584C6A"/>
    <w:rsid w:val="00584ED6"/>
    <w:rsid w:val="00585A30"/>
    <w:rsid w:val="0058714D"/>
    <w:rsid w:val="005920C5"/>
    <w:rsid w:val="005942D4"/>
    <w:rsid w:val="00595886"/>
    <w:rsid w:val="00596038"/>
    <w:rsid w:val="00597E8C"/>
    <w:rsid w:val="005A0A16"/>
    <w:rsid w:val="005A3004"/>
    <w:rsid w:val="005A5A73"/>
    <w:rsid w:val="005A609C"/>
    <w:rsid w:val="005A6F5E"/>
    <w:rsid w:val="005A7298"/>
    <w:rsid w:val="005B185A"/>
    <w:rsid w:val="005B1E77"/>
    <w:rsid w:val="005B524A"/>
    <w:rsid w:val="005B55E1"/>
    <w:rsid w:val="005B5DF7"/>
    <w:rsid w:val="005B6A1B"/>
    <w:rsid w:val="005B7621"/>
    <w:rsid w:val="005C1A41"/>
    <w:rsid w:val="005C28E7"/>
    <w:rsid w:val="005C2D45"/>
    <w:rsid w:val="005C3110"/>
    <w:rsid w:val="005C42F0"/>
    <w:rsid w:val="005C70C0"/>
    <w:rsid w:val="005D02F3"/>
    <w:rsid w:val="005D100A"/>
    <w:rsid w:val="005D2228"/>
    <w:rsid w:val="005D6247"/>
    <w:rsid w:val="005E1707"/>
    <w:rsid w:val="005E1F8A"/>
    <w:rsid w:val="005E3E0A"/>
    <w:rsid w:val="005E4B21"/>
    <w:rsid w:val="005E5076"/>
    <w:rsid w:val="005F27E9"/>
    <w:rsid w:val="005F2A06"/>
    <w:rsid w:val="005F3FD2"/>
    <w:rsid w:val="005F40A0"/>
    <w:rsid w:val="005F6A10"/>
    <w:rsid w:val="00600892"/>
    <w:rsid w:val="00600AC3"/>
    <w:rsid w:val="006011CF"/>
    <w:rsid w:val="00601264"/>
    <w:rsid w:val="00605246"/>
    <w:rsid w:val="0060596B"/>
    <w:rsid w:val="0060731E"/>
    <w:rsid w:val="00613ECA"/>
    <w:rsid w:val="0061454E"/>
    <w:rsid w:val="006151C2"/>
    <w:rsid w:val="0061578E"/>
    <w:rsid w:val="00620EF4"/>
    <w:rsid w:val="0062447F"/>
    <w:rsid w:val="006250BE"/>
    <w:rsid w:val="00626F9C"/>
    <w:rsid w:val="00627308"/>
    <w:rsid w:val="00627B75"/>
    <w:rsid w:val="0063146A"/>
    <w:rsid w:val="006315DB"/>
    <w:rsid w:val="00632D45"/>
    <w:rsid w:val="00632D68"/>
    <w:rsid w:val="00633D94"/>
    <w:rsid w:val="00635F71"/>
    <w:rsid w:val="0064059C"/>
    <w:rsid w:val="006423E9"/>
    <w:rsid w:val="00643457"/>
    <w:rsid w:val="0064349B"/>
    <w:rsid w:val="0064546F"/>
    <w:rsid w:val="00646628"/>
    <w:rsid w:val="00647E19"/>
    <w:rsid w:val="00650E78"/>
    <w:rsid w:val="00651A21"/>
    <w:rsid w:val="006528BF"/>
    <w:rsid w:val="006569C4"/>
    <w:rsid w:val="00661257"/>
    <w:rsid w:val="00662B48"/>
    <w:rsid w:val="00662FEC"/>
    <w:rsid w:val="006632AA"/>
    <w:rsid w:val="00664F32"/>
    <w:rsid w:val="0066659F"/>
    <w:rsid w:val="00670878"/>
    <w:rsid w:val="00672476"/>
    <w:rsid w:val="00673564"/>
    <w:rsid w:val="006751C2"/>
    <w:rsid w:val="00676F0E"/>
    <w:rsid w:val="00677032"/>
    <w:rsid w:val="00677575"/>
    <w:rsid w:val="00677DFB"/>
    <w:rsid w:val="00682FD2"/>
    <w:rsid w:val="0068533C"/>
    <w:rsid w:val="00686526"/>
    <w:rsid w:val="00687851"/>
    <w:rsid w:val="006879BC"/>
    <w:rsid w:val="00690E8B"/>
    <w:rsid w:val="0069123A"/>
    <w:rsid w:val="0069248E"/>
    <w:rsid w:val="00694103"/>
    <w:rsid w:val="00694FD4"/>
    <w:rsid w:val="006A0005"/>
    <w:rsid w:val="006A0538"/>
    <w:rsid w:val="006A0D76"/>
    <w:rsid w:val="006A1377"/>
    <w:rsid w:val="006A35FB"/>
    <w:rsid w:val="006B1FD1"/>
    <w:rsid w:val="006B3F64"/>
    <w:rsid w:val="006B5BE1"/>
    <w:rsid w:val="006B6E6F"/>
    <w:rsid w:val="006B78CD"/>
    <w:rsid w:val="006B7A89"/>
    <w:rsid w:val="006C14C2"/>
    <w:rsid w:val="006C1CF3"/>
    <w:rsid w:val="006C4506"/>
    <w:rsid w:val="006C4BB7"/>
    <w:rsid w:val="006C52FC"/>
    <w:rsid w:val="006C5710"/>
    <w:rsid w:val="006C7097"/>
    <w:rsid w:val="006D0126"/>
    <w:rsid w:val="006D0A69"/>
    <w:rsid w:val="006D0E9F"/>
    <w:rsid w:val="006D19D0"/>
    <w:rsid w:val="006D26DB"/>
    <w:rsid w:val="006D3AC6"/>
    <w:rsid w:val="006D4A40"/>
    <w:rsid w:val="006D6102"/>
    <w:rsid w:val="006D6643"/>
    <w:rsid w:val="006E2146"/>
    <w:rsid w:val="006E299C"/>
    <w:rsid w:val="006E3DB9"/>
    <w:rsid w:val="006E4703"/>
    <w:rsid w:val="006E54D1"/>
    <w:rsid w:val="006E6349"/>
    <w:rsid w:val="006E750F"/>
    <w:rsid w:val="006E7782"/>
    <w:rsid w:val="006F4570"/>
    <w:rsid w:val="006F56F3"/>
    <w:rsid w:val="006F6066"/>
    <w:rsid w:val="006F6DC5"/>
    <w:rsid w:val="006F6E69"/>
    <w:rsid w:val="006F7BE1"/>
    <w:rsid w:val="007020DC"/>
    <w:rsid w:val="0070334D"/>
    <w:rsid w:val="007035BC"/>
    <w:rsid w:val="00703F6E"/>
    <w:rsid w:val="00710A89"/>
    <w:rsid w:val="0071224F"/>
    <w:rsid w:val="0071361E"/>
    <w:rsid w:val="0071439C"/>
    <w:rsid w:val="0071495B"/>
    <w:rsid w:val="0071547E"/>
    <w:rsid w:val="00715FC7"/>
    <w:rsid w:val="0071614C"/>
    <w:rsid w:val="007179C6"/>
    <w:rsid w:val="0072139E"/>
    <w:rsid w:val="007232D3"/>
    <w:rsid w:val="0072445A"/>
    <w:rsid w:val="00730DE2"/>
    <w:rsid w:val="00731FDD"/>
    <w:rsid w:val="00734081"/>
    <w:rsid w:val="00734999"/>
    <w:rsid w:val="00736E69"/>
    <w:rsid w:val="007415EA"/>
    <w:rsid w:val="00742617"/>
    <w:rsid w:val="00742ACF"/>
    <w:rsid w:val="0074346F"/>
    <w:rsid w:val="007435D8"/>
    <w:rsid w:val="00744035"/>
    <w:rsid w:val="00744362"/>
    <w:rsid w:val="00744FBA"/>
    <w:rsid w:val="0074631A"/>
    <w:rsid w:val="00750E2C"/>
    <w:rsid w:val="00751891"/>
    <w:rsid w:val="00751985"/>
    <w:rsid w:val="00752CB7"/>
    <w:rsid w:val="00754B30"/>
    <w:rsid w:val="00755A70"/>
    <w:rsid w:val="007601E0"/>
    <w:rsid w:val="00763F0F"/>
    <w:rsid w:val="0076766D"/>
    <w:rsid w:val="00767BBF"/>
    <w:rsid w:val="00770C37"/>
    <w:rsid w:val="00770F7B"/>
    <w:rsid w:val="00771292"/>
    <w:rsid w:val="00771AED"/>
    <w:rsid w:val="00772858"/>
    <w:rsid w:val="00772BEA"/>
    <w:rsid w:val="00773E45"/>
    <w:rsid w:val="00774940"/>
    <w:rsid w:val="00777E9E"/>
    <w:rsid w:val="00783E08"/>
    <w:rsid w:val="007847A5"/>
    <w:rsid w:val="00784FCF"/>
    <w:rsid w:val="00786416"/>
    <w:rsid w:val="00786E79"/>
    <w:rsid w:val="0079036E"/>
    <w:rsid w:val="007936A4"/>
    <w:rsid w:val="00794112"/>
    <w:rsid w:val="007946D1"/>
    <w:rsid w:val="007954C9"/>
    <w:rsid w:val="00796760"/>
    <w:rsid w:val="007A2339"/>
    <w:rsid w:val="007A2C78"/>
    <w:rsid w:val="007A2F7F"/>
    <w:rsid w:val="007A3A14"/>
    <w:rsid w:val="007A67FD"/>
    <w:rsid w:val="007A6E89"/>
    <w:rsid w:val="007B0A80"/>
    <w:rsid w:val="007B0BC3"/>
    <w:rsid w:val="007B13CD"/>
    <w:rsid w:val="007B20DD"/>
    <w:rsid w:val="007B2C64"/>
    <w:rsid w:val="007B51A0"/>
    <w:rsid w:val="007B6F26"/>
    <w:rsid w:val="007B7B48"/>
    <w:rsid w:val="007C0B09"/>
    <w:rsid w:val="007C23CC"/>
    <w:rsid w:val="007C3293"/>
    <w:rsid w:val="007C3582"/>
    <w:rsid w:val="007C3603"/>
    <w:rsid w:val="007C4134"/>
    <w:rsid w:val="007C42F9"/>
    <w:rsid w:val="007C542C"/>
    <w:rsid w:val="007C66BA"/>
    <w:rsid w:val="007C6B50"/>
    <w:rsid w:val="007D0F06"/>
    <w:rsid w:val="007D1956"/>
    <w:rsid w:val="007D2B5E"/>
    <w:rsid w:val="007D3394"/>
    <w:rsid w:val="007D3BB6"/>
    <w:rsid w:val="007D4364"/>
    <w:rsid w:val="007D463D"/>
    <w:rsid w:val="007D4DC5"/>
    <w:rsid w:val="007D5042"/>
    <w:rsid w:val="007D58E3"/>
    <w:rsid w:val="007D5FF2"/>
    <w:rsid w:val="007D62D6"/>
    <w:rsid w:val="007E008D"/>
    <w:rsid w:val="007E03C2"/>
    <w:rsid w:val="007E13AF"/>
    <w:rsid w:val="007E2E89"/>
    <w:rsid w:val="007E3488"/>
    <w:rsid w:val="007E3721"/>
    <w:rsid w:val="007E6055"/>
    <w:rsid w:val="007E63DA"/>
    <w:rsid w:val="007E67CE"/>
    <w:rsid w:val="007F0010"/>
    <w:rsid w:val="007F0C8E"/>
    <w:rsid w:val="007F0FE1"/>
    <w:rsid w:val="007F4322"/>
    <w:rsid w:val="007F73B6"/>
    <w:rsid w:val="007F73E1"/>
    <w:rsid w:val="00800AB0"/>
    <w:rsid w:val="00803926"/>
    <w:rsid w:val="00806715"/>
    <w:rsid w:val="00806A63"/>
    <w:rsid w:val="008074BE"/>
    <w:rsid w:val="008076C3"/>
    <w:rsid w:val="00811594"/>
    <w:rsid w:val="00812854"/>
    <w:rsid w:val="008156CD"/>
    <w:rsid w:val="008166AC"/>
    <w:rsid w:val="00817A06"/>
    <w:rsid w:val="008207D1"/>
    <w:rsid w:val="00821D81"/>
    <w:rsid w:val="008227B9"/>
    <w:rsid w:val="008260F4"/>
    <w:rsid w:val="00834DC3"/>
    <w:rsid w:val="008364F0"/>
    <w:rsid w:val="008368F4"/>
    <w:rsid w:val="00841B8B"/>
    <w:rsid w:val="00843C8A"/>
    <w:rsid w:val="00845972"/>
    <w:rsid w:val="00845C8D"/>
    <w:rsid w:val="00851431"/>
    <w:rsid w:val="0085148E"/>
    <w:rsid w:val="00851877"/>
    <w:rsid w:val="00852FA5"/>
    <w:rsid w:val="008539D5"/>
    <w:rsid w:val="00853B09"/>
    <w:rsid w:val="00853EDE"/>
    <w:rsid w:val="00853F79"/>
    <w:rsid w:val="008552D5"/>
    <w:rsid w:val="008568B9"/>
    <w:rsid w:val="00857480"/>
    <w:rsid w:val="008578D7"/>
    <w:rsid w:val="0086134D"/>
    <w:rsid w:val="008614D5"/>
    <w:rsid w:val="00861531"/>
    <w:rsid w:val="00861D83"/>
    <w:rsid w:val="008629FA"/>
    <w:rsid w:val="00864DDA"/>
    <w:rsid w:val="0086574D"/>
    <w:rsid w:val="00866CB6"/>
    <w:rsid w:val="0086768F"/>
    <w:rsid w:val="008713E2"/>
    <w:rsid w:val="00871696"/>
    <w:rsid w:val="008725B8"/>
    <w:rsid w:val="00872875"/>
    <w:rsid w:val="00874505"/>
    <w:rsid w:val="00876459"/>
    <w:rsid w:val="008766BB"/>
    <w:rsid w:val="00876D2F"/>
    <w:rsid w:val="00880DD1"/>
    <w:rsid w:val="00881D86"/>
    <w:rsid w:val="00891C11"/>
    <w:rsid w:val="00894B4B"/>
    <w:rsid w:val="00894DA0"/>
    <w:rsid w:val="00894ED4"/>
    <w:rsid w:val="00895250"/>
    <w:rsid w:val="0089577A"/>
    <w:rsid w:val="0089593D"/>
    <w:rsid w:val="008A00B0"/>
    <w:rsid w:val="008A5563"/>
    <w:rsid w:val="008A6808"/>
    <w:rsid w:val="008A69BA"/>
    <w:rsid w:val="008B1325"/>
    <w:rsid w:val="008B13EB"/>
    <w:rsid w:val="008B40D4"/>
    <w:rsid w:val="008B4B7F"/>
    <w:rsid w:val="008B4CF5"/>
    <w:rsid w:val="008B5988"/>
    <w:rsid w:val="008B6624"/>
    <w:rsid w:val="008C46BA"/>
    <w:rsid w:val="008C6BAD"/>
    <w:rsid w:val="008C7833"/>
    <w:rsid w:val="008D0018"/>
    <w:rsid w:val="008D18B4"/>
    <w:rsid w:val="008D1CAB"/>
    <w:rsid w:val="008D2B18"/>
    <w:rsid w:val="008D367B"/>
    <w:rsid w:val="008D7BC0"/>
    <w:rsid w:val="008E0B67"/>
    <w:rsid w:val="008E23AB"/>
    <w:rsid w:val="008E563E"/>
    <w:rsid w:val="008F0F46"/>
    <w:rsid w:val="008F303D"/>
    <w:rsid w:val="008F3E7E"/>
    <w:rsid w:val="008F4D2E"/>
    <w:rsid w:val="00901298"/>
    <w:rsid w:val="00901B0B"/>
    <w:rsid w:val="00901F1A"/>
    <w:rsid w:val="00902092"/>
    <w:rsid w:val="00902162"/>
    <w:rsid w:val="009030AF"/>
    <w:rsid w:val="00903689"/>
    <w:rsid w:val="0090518F"/>
    <w:rsid w:val="009062C7"/>
    <w:rsid w:val="00906E71"/>
    <w:rsid w:val="009108FA"/>
    <w:rsid w:val="009110F4"/>
    <w:rsid w:val="009112F4"/>
    <w:rsid w:val="00911537"/>
    <w:rsid w:val="009141C4"/>
    <w:rsid w:val="00915716"/>
    <w:rsid w:val="00916904"/>
    <w:rsid w:val="00916DC6"/>
    <w:rsid w:val="009216AE"/>
    <w:rsid w:val="00922753"/>
    <w:rsid w:val="00923ED9"/>
    <w:rsid w:val="00926141"/>
    <w:rsid w:val="00927132"/>
    <w:rsid w:val="00927299"/>
    <w:rsid w:val="00927BE0"/>
    <w:rsid w:val="00927CFD"/>
    <w:rsid w:val="00930C4B"/>
    <w:rsid w:val="009310AB"/>
    <w:rsid w:val="00932C00"/>
    <w:rsid w:val="00935448"/>
    <w:rsid w:val="009358BE"/>
    <w:rsid w:val="009425A5"/>
    <w:rsid w:val="0094384F"/>
    <w:rsid w:val="009451F6"/>
    <w:rsid w:val="00946852"/>
    <w:rsid w:val="00947499"/>
    <w:rsid w:val="009475A2"/>
    <w:rsid w:val="00947865"/>
    <w:rsid w:val="0095033C"/>
    <w:rsid w:val="00951637"/>
    <w:rsid w:val="00951679"/>
    <w:rsid w:val="00951D52"/>
    <w:rsid w:val="009523CF"/>
    <w:rsid w:val="00953FAA"/>
    <w:rsid w:val="00954203"/>
    <w:rsid w:val="00954DEB"/>
    <w:rsid w:val="00956D17"/>
    <w:rsid w:val="009602EE"/>
    <w:rsid w:val="00960589"/>
    <w:rsid w:val="009635FB"/>
    <w:rsid w:val="00963CFC"/>
    <w:rsid w:val="009641EC"/>
    <w:rsid w:val="00964B1E"/>
    <w:rsid w:val="00970F6E"/>
    <w:rsid w:val="009723B9"/>
    <w:rsid w:val="00972E09"/>
    <w:rsid w:val="009754E1"/>
    <w:rsid w:val="00976222"/>
    <w:rsid w:val="00977EDF"/>
    <w:rsid w:val="00982220"/>
    <w:rsid w:val="00982406"/>
    <w:rsid w:val="00982864"/>
    <w:rsid w:val="00984BBE"/>
    <w:rsid w:val="009864F2"/>
    <w:rsid w:val="00986B60"/>
    <w:rsid w:val="00986FBA"/>
    <w:rsid w:val="009907E8"/>
    <w:rsid w:val="009927C5"/>
    <w:rsid w:val="00992A16"/>
    <w:rsid w:val="00993D56"/>
    <w:rsid w:val="00994C68"/>
    <w:rsid w:val="00995037"/>
    <w:rsid w:val="0099521F"/>
    <w:rsid w:val="00995310"/>
    <w:rsid w:val="009954B1"/>
    <w:rsid w:val="00996770"/>
    <w:rsid w:val="0099714A"/>
    <w:rsid w:val="009A1700"/>
    <w:rsid w:val="009A37BF"/>
    <w:rsid w:val="009A4742"/>
    <w:rsid w:val="009B1D3E"/>
    <w:rsid w:val="009B1D47"/>
    <w:rsid w:val="009B3B94"/>
    <w:rsid w:val="009B3EF7"/>
    <w:rsid w:val="009B47B9"/>
    <w:rsid w:val="009B6195"/>
    <w:rsid w:val="009B61F1"/>
    <w:rsid w:val="009B692B"/>
    <w:rsid w:val="009B6FDE"/>
    <w:rsid w:val="009B7094"/>
    <w:rsid w:val="009C04D7"/>
    <w:rsid w:val="009C2C5B"/>
    <w:rsid w:val="009C486C"/>
    <w:rsid w:val="009C74C3"/>
    <w:rsid w:val="009D1182"/>
    <w:rsid w:val="009D1BBC"/>
    <w:rsid w:val="009D2B4B"/>
    <w:rsid w:val="009D4847"/>
    <w:rsid w:val="009D5E5A"/>
    <w:rsid w:val="009D610E"/>
    <w:rsid w:val="009D6344"/>
    <w:rsid w:val="009D6F42"/>
    <w:rsid w:val="009D7F15"/>
    <w:rsid w:val="009E1746"/>
    <w:rsid w:val="009E17E9"/>
    <w:rsid w:val="009E36D0"/>
    <w:rsid w:val="009E4301"/>
    <w:rsid w:val="009E4645"/>
    <w:rsid w:val="009E6C58"/>
    <w:rsid w:val="009E7494"/>
    <w:rsid w:val="009F0A6C"/>
    <w:rsid w:val="009F0DA3"/>
    <w:rsid w:val="009F1D4E"/>
    <w:rsid w:val="009F566E"/>
    <w:rsid w:val="009F71AB"/>
    <w:rsid w:val="00A00604"/>
    <w:rsid w:val="00A03A18"/>
    <w:rsid w:val="00A04C1D"/>
    <w:rsid w:val="00A05371"/>
    <w:rsid w:val="00A0550E"/>
    <w:rsid w:val="00A10852"/>
    <w:rsid w:val="00A10CF1"/>
    <w:rsid w:val="00A10F7C"/>
    <w:rsid w:val="00A119C5"/>
    <w:rsid w:val="00A13CC5"/>
    <w:rsid w:val="00A1533D"/>
    <w:rsid w:val="00A16575"/>
    <w:rsid w:val="00A17A80"/>
    <w:rsid w:val="00A2050A"/>
    <w:rsid w:val="00A21562"/>
    <w:rsid w:val="00A2223F"/>
    <w:rsid w:val="00A235CE"/>
    <w:rsid w:val="00A24151"/>
    <w:rsid w:val="00A24426"/>
    <w:rsid w:val="00A24CF4"/>
    <w:rsid w:val="00A25BE8"/>
    <w:rsid w:val="00A26528"/>
    <w:rsid w:val="00A27BF0"/>
    <w:rsid w:val="00A30DCB"/>
    <w:rsid w:val="00A30FDD"/>
    <w:rsid w:val="00A3182F"/>
    <w:rsid w:val="00A36045"/>
    <w:rsid w:val="00A40D1E"/>
    <w:rsid w:val="00A4204C"/>
    <w:rsid w:val="00A43F23"/>
    <w:rsid w:val="00A4473F"/>
    <w:rsid w:val="00A477A0"/>
    <w:rsid w:val="00A47F58"/>
    <w:rsid w:val="00A503BE"/>
    <w:rsid w:val="00A5065A"/>
    <w:rsid w:val="00A51147"/>
    <w:rsid w:val="00A5179E"/>
    <w:rsid w:val="00A531BD"/>
    <w:rsid w:val="00A56561"/>
    <w:rsid w:val="00A5742F"/>
    <w:rsid w:val="00A60A1A"/>
    <w:rsid w:val="00A60E8D"/>
    <w:rsid w:val="00A6235F"/>
    <w:rsid w:val="00A64AA8"/>
    <w:rsid w:val="00A65B1B"/>
    <w:rsid w:val="00A666B9"/>
    <w:rsid w:val="00A707E5"/>
    <w:rsid w:val="00A70C92"/>
    <w:rsid w:val="00A71297"/>
    <w:rsid w:val="00A72D1D"/>
    <w:rsid w:val="00A744CA"/>
    <w:rsid w:val="00A75AB6"/>
    <w:rsid w:val="00A77D2C"/>
    <w:rsid w:val="00A815A0"/>
    <w:rsid w:val="00A818D8"/>
    <w:rsid w:val="00A82931"/>
    <w:rsid w:val="00A8414A"/>
    <w:rsid w:val="00A843DC"/>
    <w:rsid w:val="00A9267A"/>
    <w:rsid w:val="00A92725"/>
    <w:rsid w:val="00A92A25"/>
    <w:rsid w:val="00A93D12"/>
    <w:rsid w:val="00A95176"/>
    <w:rsid w:val="00A95638"/>
    <w:rsid w:val="00AA016B"/>
    <w:rsid w:val="00AA1909"/>
    <w:rsid w:val="00AA29DF"/>
    <w:rsid w:val="00AA2D71"/>
    <w:rsid w:val="00AA5B85"/>
    <w:rsid w:val="00AA69EF"/>
    <w:rsid w:val="00AB091A"/>
    <w:rsid w:val="00AB1B95"/>
    <w:rsid w:val="00AB1BA4"/>
    <w:rsid w:val="00AB21B3"/>
    <w:rsid w:val="00AB2A17"/>
    <w:rsid w:val="00AB3A37"/>
    <w:rsid w:val="00AB63CB"/>
    <w:rsid w:val="00AB7D54"/>
    <w:rsid w:val="00AC1B82"/>
    <w:rsid w:val="00AC34BF"/>
    <w:rsid w:val="00AC4DCB"/>
    <w:rsid w:val="00AC6AA8"/>
    <w:rsid w:val="00AD0BD0"/>
    <w:rsid w:val="00AD1FC3"/>
    <w:rsid w:val="00AD41E9"/>
    <w:rsid w:val="00AD5C88"/>
    <w:rsid w:val="00AD5D91"/>
    <w:rsid w:val="00AD6DDB"/>
    <w:rsid w:val="00AD77AA"/>
    <w:rsid w:val="00AE003B"/>
    <w:rsid w:val="00AE05EC"/>
    <w:rsid w:val="00AE4F1E"/>
    <w:rsid w:val="00AE6810"/>
    <w:rsid w:val="00AE76CB"/>
    <w:rsid w:val="00AE7BA7"/>
    <w:rsid w:val="00AF2827"/>
    <w:rsid w:val="00AF6134"/>
    <w:rsid w:val="00AF722D"/>
    <w:rsid w:val="00AF74ED"/>
    <w:rsid w:val="00AF7CE6"/>
    <w:rsid w:val="00B02062"/>
    <w:rsid w:val="00B07141"/>
    <w:rsid w:val="00B07831"/>
    <w:rsid w:val="00B11D50"/>
    <w:rsid w:val="00B1441B"/>
    <w:rsid w:val="00B152E9"/>
    <w:rsid w:val="00B22934"/>
    <w:rsid w:val="00B24F39"/>
    <w:rsid w:val="00B24F5B"/>
    <w:rsid w:val="00B26F44"/>
    <w:rsid w:val="00B277AD"/>
    <w:rsid w:val="00B31250"/>
    <w:rsid w:val="00B33303"/>
    <w:rsid w:val="00B3513C"/>
    <w:rsid w:val="00B36A0A"/>
    <w:rsid w:val="00B414AC"/>
    <w:rsid w:val="00B424A1"/>
    <w:rsid w:val="00B4352A"/>
    <w:rsid w:val="00B50F0E"/>
    <w:rsid w:val="00B5154C"/>
    <w:rsid w:val="00B518EC"/>
    <w:rsid w:val="00B54273"/>
    <w:rsid w:val="00B614E3"/>
    <w:rsid w:val="00B62BE5"/>
    <w:rsid w:val="00B62EE6"/>
    <w:rsid w:val="00B64164"/>
    <w:rsid w:val="00B65B7B"/>
    <w:rsid w:val="00B660BB"/>
    <w:rsid w:val="00B70295"/>
    <w:rsid w:val="00B7054B"/>
    <w:rsid w:val="00B70AEB"/>
    <w:rsid w:val="00B72BB7"/>
    <w:rsid w:val="00B737ED"/>
    <w:rsid w:val="00B74228"/>
    <w:rsid w:val="00B74AC1"/>
    <w:rsid w:val="00B77DB8"/>
    <w:rsid w:val="00B81634"/>
    <w:rsid w:val="00B85846"/>
    <w:rsid w:val="00B8595F"/>
    <w:rsid w:val="00B92EC6"/>
    <w:rsid w:val="00B938CC"/>
    <w:rsid w:val="00B94D76"/>
    <w:rsid w:val="00B97452"/>
    <w:rsid w:val="00BA4769"/>
    <w:rsid w:val="00BA4D47"/>
    <w:rsid w:val="00BA4DB2"/>
    <w:rsid w:val="00BA5675"/>
    <w:rsid w:val="00BA6F1B"/>
    <w:rsid w:val="00BB073B"/>
    <w:rsid w:val="00BB1571"/>
    <w:rsid w:val="00BB2B73"/>
    <w:rsid w:val="00BB43C6"/>
    <w:rsid w:val="00BB4FC7"/>
    <w:rsid w:val="00BB681A"/>
    <w:rsid w:val="00BB7364"/>
    <w:rsid w:val="00BB73E7"/>
    <w:rsid w:val="00BC09A4"/>
    <w:rsid w:val="00BC12A2"/>
    <w:rsid w:val="00BC23A8"/>
    <w:rsid w:val="00BC3CD2"/>
    <w:rsid w:val="00BC4088"/>
    <w:rsid w:val="00BC53C7"/>
    <w:rsid w:val="00BC5B6B"/>
    <w:rsid w:val="00BC7749"/>
    <w:rsid w:val="00BD00B1"/>
    <w:rsid w:val="00BD274A"/>
    <w:rsid w:val="00BD3355"/>
    <w:rsid w:val="00BD351A"/>
    <w:rsid w:val="00BD774D"/>
    <w:rsid w:val="00BE1426"/>
    <w:rsid w:val="00BE146F"/>
    <w:rsid w:val="00BE3CD8"/>
    <w:rsid w:val="00BE6FFD"/>
    <w:rsid w:val="00BE7E48"/>
    <w:rsid w:val="00BF0476"/>
    <w:rsid w:val="00BF0C73"/>
    <w:rsid w:val="00BF184A"/>
    <w:rsid w:val="00BF222E"/>
    <w:rsid w:val="00BF2509"/>
    <w:rsid w:val="00BF2B7A"/>
    <w:rsid w:val="00BF2F3E"/>
    <w:rsid w:val="00BF416B"/>
    <w:rsid w:val="00BF469E"/>
    <w:rsid w:val="00BF4A0E"/>
    <w:rsid w:val="00BF5F9A"/>
    <w:rsid w:val="00C01FDD"/>
    <w:rsid w:val="00C03600"/>
    <w:rsid w:val="00C03E17"/>
    <w:rsid w:val="00C04005"/>
    <w:rsid w:val="00C043E6"/>
    <w:rsid w:val="00C05015"/>
    <w:rsid w:val="00C06834"/>
    <w:rsid w:val="00C07098"/>
    <w:rsid w:val="00C07FE0"/>
    <w:rsid w:val="00C10BCF"/>
    <w:rsid w:val="00C113C0"/>
    <w:rsid w:val="00C164B5"/>
    <w:rsid w:val="00C16920"/>
    <w:rsid w:val="00C21D40"/>
    <w:rsid w:val="00C229B7"/>
    <w:rsid w:val="00C235D4"/>
    <w:rsid w:val="00C252CF"/>
    <w:rsid w:val="00C269BD"/>
    <w:rsid w:val="00C27712"/>
    <w:rsid w:val="00C27CF0"/>
    <w:rsid w:val="00C30377"/>
    <w:rsid w:val="00C31786"/>
    <w:rsid w:val="00C35BDC"/>
    <w:rsid w:val="00C35BEE"/>
    <w:rsid w:val="00C3646E"/>
    <w:rsid w:val="00C369B7"/>
    <w:rsid w:val="00C37BE1"/>
    <w:rsid w:val="00C37F5C"/>
    <w:rsid w:val="00C414EC"/>
    <w:rsid w:val="00C42352"/>
    <w:rsid w:val="00C433D8"/>
    <w:rsid w:val="00C43405"/>
    <w:rsid w:val="00C46659"/>
    <w:rsid w:val="00C51BCB"/>
    <w:rsid w:val="00C51CCD"/>
    <w:rsid w:val="00C53512"/>
    <w:rsid w:val="00C5359B"/>
    <w:rsid w:val="00C53C07"/>
    <w:rsid w:val="00C54E35"/>
    <w:rsid w:val="00C557B4"/>
    <w:rsid w:val="00C576C9"/>
    <w:rsid w:val="00C61193"/>
    <w:rsid w:val="00C64AD6"/>
    <w:rsid w:val="00C656CB"/>
    <w:rsid w:val="00C66E48"/>
    <w:rsid w:val="00C67620"/>
    <w:rsid w:val="00C71D33"/>
    <w:rsid w:val="00C72068"/>
    <w:rsid w:val="00C73925"/>
    <w:rsid w:val="00C73AC4"/>
    <w:rsid w:val="00C74D6B"/>
    <w:rsid w:val="00C754FC"/>
    <w:rsid w:val="00C75DB2"/>
    <w:rsid w:val="00C800AD"/>
    <w:rsid w:val="00C80199"/>
    <w:rsid w:val="00C8058B"/>
    <w:rsid w:val="00C83082"/>
    <w:rsid w:val="00C83ABE"/>
    <w:rsid w:val="00C84003"/>
    <w:rsid w:val="00C840A3"/>
    <w:rsid w:val="00C849BA"/>
    <w:rsid w:val="00C84A4D"/>
    <w:rsid w:val="00C915CE"/>
    <w:rsid w:val="00C92380"/>
    <w:rsid w:val="00C923BF"/>
    <w:rsid w:val="00C94C3B"/>
    <w:rsid w:val="00C94D2B"/>
    <w:rsid w:val="00C9598D"/>
    <w:rsid w:val="00CA092D"/>
    <w:rsid w:val="00CA1627"/>
    <w:rsid w:val="00CA34BB"/>
    <w:rsid w:val="00CA3A67"/>
    <w:rsid w:val="00CA438D"/>
    <w:rsid w:val="00CA5AE0"/>
    <w:rsid w:val="00CA6FA0"/>
    <w:rsid w:val="00CB06E7"/>
    <w:rsid w:val="00CB2A38"/>
    <w:rsid w:val="00CC3324"/>
    <w:rsid w:val="00CC5138"/>
    <w:rsid w:val="00CC6166"/>
    <w:rsid w:val="00CC6B3B"/>
    <w:rsid w:val="00CC7986"/>
    <w:rsid w:val="00CC7F88"/>
    <w:rsid w:val="00CD05EE"/>
    <w:rsid w:val="00CD09F4"/>
    <w:rsid w:val="00CD1135"/>
    <w:rsid w:val="00CD198C"/>
    <w:rsid w:val="00CD1AF9"/>
    <w:rsid w:val="00CD618D"/>
    <w:rsid w:val="00CD7F90"/>
    <w:rsid w:val="00CE01E5"/>
    <w:rsid w:val="00CE1A6E"/>
    <w:rsid w:val="00CE5B00"/>
    <w:rsid w:val="00CE6465"/>
    <w:rsid w:val="00CE64BC"/>
    <w:rsid w:val="00CE668B"/>
    <w:rsid w:val="00CE6F81"/>
    <w:rsid w:val="00CF1CA0"/>
    <w:rsid w:val="00CF2F0E"/>
    <w:rsid w:val="00CF3623"/>
    <w:rsid w:val="00CF4155"/>
    <w:rsid w:val="00CF4380"/>
    <w:rsid w:val="00CF540D"/>
    <w:rsid w:val="00CF6978"/>
    <w:rsid w:val="00D05037"/>
    <w:rsid w:val="00D064F3"/>
    <w:rsid w:val="00D069D9"/>
    <w:rsid w:val="00D10104"/>
    <w:rsid w:val="00D10671"/>
    <w:rsid w:val="00D10912"/>
    <w:rsid w:val="00D10BD5"/>
    <w:rsid w:val="00D10E14"/>
    <w:rsid w:val="00D11022"/>
    <w:rsid w:val="00D11898"/>
    <w:rsid w:val="00D11FA0"/>
    <w:rsid w:val="00D1453F"/>
    <w:rsid w:val="00D16A69"/>
    <w:rsid w:val="00D17987"/>
    <w:rsid w:val="00D179FC"/>
    <w:rsid w:val="00D204E0"/>
    <w:rsid w:val="00D20AFC"/>
    <w:rsid w:val="00D20D8A"/>
    <w:rsid w:val="00D214FD"/>
    <w:rsid w:val="00D22327"/>
    <w:rsid w:val="00D26A87"/>
    <w:rsid w:val="00D308BC"/>
    <w:rsid w:val="00D32455"/>
    <w:rsid w:val="00D334F7"/>
    <w:rsid w:val="00D3424D"/>
    <w:rsid w:val="00D35ABE"/>
    <w:rsid w:val="00D35BFD"/>
    <w:rsid w:val="00D363F9"/>
    <w:rsid w:val="00D374E3"/>
    <w:rsid w:val="00D375ED"/>
    <w:rsid w:val="00D407B0"/>
    <w:rsid w:val="00D41EC8"/>
    <w:rsid w:val="00D50A6C"/>
    <w:rsid w:val="00D52914"/>
    <w:rsid w:val="00D52F44"/>
    <w:rsid w:val="00D5309E"/>
    <w:rsid w:val="00D53EFD"/>
    <w:rsid w:val="00D54857"/>
    <w:rsid w:val="00D55AA4"/>
    <w:rsid w:val="00D56A22"/>
    <w:rsid w:val="00D5722A"/>
    <w:rsid w:val="00D60FFD"/>
    <w:rsid w:val="00D6199B"/>
    <w:rsid w:val="00D61CF9"/>
    <w:rsid w:val="00D62805"/>
    <w:rsid w:val="00D636F1"/>
    <w:rsid w:val="00D6442D"/>
    <w:rsid w:val="00D6536C"/>
    <w:rsid w:val="00D657BB"/>
    <w:rsid w:val="00D66F15"/>
    <w:rsid w:val="00D67CE8"/>
    <w:rsid w:val="00D709CC"/>
    <w:rsid w:val="00D70E2B"/>
    <w:rsid w:val="00D7262D"/>
    <w:rsid w:val="00D73785"/>
    <w:rsid w:val="00D759E4"/>
    <w:rsid w:val="00D75D2D"/>
    <w:rsid w:val="00D7669E"/>
    <w:rsid w:val="00D80A0B"/>
    <w:rsid w:val="00D82448"/>
    <w:rsid w:val="00D83991"/>
    <w:rsid w:val="00D840E3"/>
    <w:rsid w:val="00D85B6D"/>
    <w:rsid w:val="00D8644B"/>
    <w:rsid w:val="00D865C9"/>
    <w:rsid w:val="00D86AF9"/>
    <w:rsid w:val="00D86F00"/>
    <w:rsid w:val="00D87B77"/>
    <w:rsid w:val="00D92A5D"/>
    <w:rsid w:val="00D92F90"/>
    <w:rsid w:val="00D938C9"/>
    <w:rsid w:val="00D95053"/>
    <w:rsid w:val="00D958B2"/>
    <w:rsid w:val="00D9741A"/>
    <w:rsid w:val="00D97680"/>
    <w:rsid w:val="00DA1D9E"/>
    <w:rsid w:val="00DA2EE0"/>
    <w:rsid w:val="00DA348F"/>
    <w:rsid w:val="00DA3BCB"/>
    <w:rsid w:val="00DA42C9"/>
    <w:rsid w:val="00DA4718"/>
    <w:rsid w:val="00DA6F7B"/>
    <w:rsid w:val="00DA7068"/>
    <w:rsid w:val="00DB2FB2"/>
    <w:rsid w:val="00DB7C08"/>
    <w:rsid w:val="00DC1240"/>
    <w:rsid w:val="00DC1AB0"/>
    <w:rsid w:val="00DC26E7"/>
    <w:rsid w:val="00DC3AAE"/>
    <w:rsid w:val="00DC5165"/>
    <w:rsid w:val="00DD07FC"/>
    <w:rsid w:val="00DD1C2F"/>
    <w:rsid w:val="00DD37E6"/>
    <w:rsid w:val="00DD3CD6"/>
    <w:rsid w:val="00DD49E7"/>
    <w:rsid w:val="00DD55DF"/>
    <w:rsid w:val="00DD6369"/>
    <w:rsid w:val="00DE0FF8"/>
    <w:rsid w:val="00DE29D8"/>
    <w:rsid w:val="00DE31CB"/>
    <w:rsid w:val="00DE34EB"/>
    <w:rsid w:val="00DE354D"/>
    <w:rsid w:val="00DE3B8D"/>
    <w:rsid w:val="00DE5165"/>
    <w:rsid w:val="00DE5B87"/>
    <w:rsid w:val="00DE6327"/>
    <w:rsid w:val="00DE6BC7"/>
    <w:rsid w:val="00DE7A17"/>
    <w:rsid w:val="00DE7F89"/>
    <w:rsid w:val="00DF3A09"/>
    <w:rsid w:val="00DF4518"/>
    <w:rsid w:val="00DF5ADC"/>
    <w:rsid w:val="00DF5EF0"/>
    <w:rsid w:val="00E0092E"/>
    <w:rsid w:val="00E00A12"/>
    <w:rsid w:val="00E0285B"/>
    <w:rsid w:val="00E02923"/>
    <w:rsid w:val="00E031F7"/>
    <w:rsid w:val="00E03436"/>
    <w:rsid w:val="00E0356F"/>
    <w:rsid w:val="00E035FB"/>
    <w:rsid w:val="00E04109"/>
    <w:rsid w:val="00E04C47"/>
    <w:rsid w:val="00E05C15"/>
    <w:rsid w:val="00E06005"/>
    <w:rsid w:val="00E15D36"/>
    <w:rsid w:val="00E16321"/>
    <w:rsid w:val="00E164F7"/>
    <w:rsid w:val="00E16920"/>
    <w:rsid w:val="00E21C84"/>
    <w:rsid w:val="00E2512E"/>
    <w:rsid w:val="00E255C6"/>
    <w:rsid w:val="00E257F2"/>
    <w:rsid w:val="00E26568"/>
    <w:rsid w:val="00E304BE"/>
    <w:rsid w:val="00E311E6"/>
    <w:rsid w:val="00E37DCE"/>
    <w:rsid w:val="00E40273"/>
    <w:rsid w:val="00E4097D"/>
    <w:rsid w:val="00E40FE1"/>
    <w:rsid w:val="00E4282C"/>
    <w:rsid w:val="00E445AF"/>
    <w:rsid w:val="00E45415"/>
    <w:rsid w:val="00E47505"/>
    <w:rsid w:val="00E47FD4"/>
    <w:rsid w:val="00E53569"/>
    <w:rsid w:val="00E53D5A"/>
    <w:rsid w:val="00E54FDC"/>
    <w:rsid w:val="00E55220"/>
    <w:rsid w:val="00E55783"/>
    <w:rsid w:val="00E60159"/>
    <w:rsid w:val="00E60289"/>
    <w:rsid w:val="00E615A6"/>
    <w:rsid w:val="00E62C46"/>
    <w:rsid w:val="00E66F70"/>
    <w:rsid w:val="00E70ED0"/>
    <w:rsid w:val="00E73569"/>
    <w:rsid w:val="00E7368F"/>
    <w:rsid w:val="00E7383D"/>
    <w:rsid w:val="00E74C06"/>
    <w:rsid w:val="00E75B8F"/>
    <w:rsid w:val="00E76D33"/>
    <w:rsid w:val="00E773AF"/>
    <w:rsid w:val="00E80B09"/>
    <w:rsid w:val="00E810FC"/>
    <w:rsid w:val="00E8150D"/>
    <w:rsid w:val="00E82B89"/>
    <w:rsid w:val="00E85D89"/>
    <w:rsid w:val="00E86F6B"/>
    <w:rsid w:val="00E92643"/>
    <w:rsid w:val="00E94DFB"/>
    <w:rsid w:val="00E978E3"/>
    <w:rsid w:val="00EA08A1"/>
    <w:rsid w:val="00EA3CC8"/>
    <w:rsid w:val="00EA5AEA"/>
    <w:rsid w:val="00EA6189"/>
    <w:rsid w:val="00EB058D"/>
    <w:rsid w:val="00EB1256"/>
    <w:rsid w:val="00EB248B"/>
    <w:rsid w:val="00EB3225"/>
    <w:rsid w:val="00EB5764"/>
    <w:rsid w:val="00EB5993"/>
    <w:rsid w:val="00EB620A"/>
    <w:rsid w:val="00EB7825"/>
    <w:rsid w:val="00EC1188"/>
    <w:rsid w:val="00EC14B3"/>
    <w:rsid w:val="00EC2B96"/>
    <w:rsid w:val="00EC5322"/>
    <w:rsid w:val="00EC6629"/>
    <w:rsid w:val="00EC67BD"/>
    <w:rsid w:val="00ED00E6"/>
    <w:rsid w:val="00ED1838"/>
    <w:rsid w:val="00ED416C"/>
    <w:rsid w:val="00ED5675"/>
    <w:rsid w:val="00ED599E"/>
    <w:rsid w:val="00ED5A14"/>
    <w:rsid w:val="00ED70FE"/>
    <w:rsid w:val="00ED7E7E"/>
    <w:rsid w:val="00ED7F04"/>
    <w:rsid w:val="00EE08DF"/>
    <w:rsid w:val="00EE0B6E"/>
    <w:rsid w:val="00EE269C"/>
    <w:rsid w:val="00EE4003"/>
    <w:rsid w:val="00EE5EC9"/>
    <w:rsid w:val="00EE7BD0"/>
    <w:rsid w:val="00EE7F48"/>
    <w:rsid w:val="00EF20BB"/>
    <w:rsid w:val="00EF2E45"/>
    <w:rsid w:val="00EF3812"/>
    <w:rsid w:val="00EF49A7"/>
    <w:rsid w:val="00EF599B"/>
    <w:rsid w:val="00EF61EA"/>
    <w:rsid w:val="00EF624C"/>
    <w:rsid w:val="00F00070"/>
    <w:rsid w:val="00F00FD1"/>
    <w:rsid w:val="00F01A08"/>
    <w:rsid w:val="00F042D4"/>
    <w:rsid w:val="00F04FC3"/>
    <w:rsid w:val="00F062AC"/>
    <w:rsid w:val="00F1187F"/>
    <w:rsid w:val="00F11C28"/>
    <w:rsid w:val="00F12EEB"/>
    <w:rsid w:val="00F141C5"/>
    <w:rsid w:val="00F1420B"/>
    <w:rsid w:val="00F1719B"/>
    <w:rsid w:val="00F21618"/>
    <w:rsid w:val="00F21C81"/>
    <w:rsid w:val="00F21D46"/>
    <w:rsid w:val="00F23762"/>
    <w:rsid w:val="00F257CF"/>
    <w:rsid w:val="00F26123"/>
    <w:rsid w:val="00F304D6"/>
    <w:rsid w:val="00F31C77"/>
    <w:rsid w:val="00F35B7E"/>
    <w:rsid w:val="00F37C79"/>
    <w:rsid w:val="00F42E5A"/>
    <w:rsid w:val="00F445F3"/>
    <w:rsid w:val="00F459E3"/>
    <w:rsid w:val="00F45AE8"/>
    <w:rsid w:val="00F45C4E"/>
    <w:rsid w:val="00F461F7"/>
    <w:rsid w:val="00F46672"/>
    <w:rsid w:val="00F469B5"/>
    <w:rsid w:val="00F5055F"/>
    <w:rsid w:val="00F505AE"/>
    <w:rsid w:val="00F5267D"/>
    <w:rsid w:val="00F53B5F"/>
    <w:rsid w:val="00F53C27"/>
    <w:rsid w:val="00F55015"/>
    <w:rsid w:val="00F55273"/>
    <w:rsid w:val="00F648AA"/>
    <w:rsid w:val="00F648FF"/>
    <w:rsid w:val="00F662A5"/>
    <w:rsid w:val="00F6662E"/>
    <w:rsid w:val="00F67CE7"/>
    <w:rsid w:val="00F70149"/>
    <w:rsid w:val="00F70DF4"/>
    <w:rsid w:val="00F71617"/>
    <w:rsid w:val="00F73759"/>
    <w:rsid w:val="00F752E1"/>
    <w:rsid w:val="00F756C1"/>
    <w:rsid w:val="00F7616C"/>
    <w:rsid w:val="00F768E7"/>
    <w:rsid w:val="00F80D20"/>
    <w:rsid w:val="00F80E35"/>
    <w:rsid w:val="00F813B3"/>
    <w:rsid w:val="00F82103"/>
    <w:rsid w:val="00F84772"/>
    <w:rsid w:val="00F85BA4"/>
    <w:rsid w:val="00F86179"/>
    <w:rsid w:val="00F90ED3"/>
    <w:rsid w:val="00F926D7"/>
    <w:rsid w:val="00F930EC"/>
    <w:rsid w:val="00F95957"/>
    <w:rsid w:val="00F95994"/>
    <w:rsid w:val="00FA0917"/>
    <w:rsid w:val="00FA0BB6"/>
    <w:rsid w:val="00FA2A6E"/>
    <w:rsid w:val="00FA5489"/>
    <w:rsid w:val="00FA57CB"/>
    <w:rsid w:val="00FA59AA"/>
    <w:rsid w:val="00FA5E04"/>
    <w:rsid w:val="00FB00F7"/>
    <w:rsid w:val="00FB11A6"/>
    <w:rsid w:val="00FB16C8"/>
    <w:rsid w:val="00FB1E95"/>
    <w:rsid w:val="00FB3766"/>
    <w:rsid w:val="00FB46AD"/>
    <w:rsid w:val="00FB5638"/>
    <w:rsid w:val="00FB59CB"/>
    <w:rsid w:val="00FB5BEB"/>
    <w:rsid w:val="00FB74E4"/>
    <w:rsid w:val="00FC2BEE"/>
    <w:rsid w:val="00FC4670"/>
    <w:rsid w:val="00FC651F"/>
    <w:rsid w:val="00FC6BAF"/>
    <w:rsid w:val="00FC6D16"/>
    <w:rsid w:val="00FD18A8"/>
    <w:rsid w:val="00FD1E43"/>
    <w:rsid w:val="00FD4829"/>
    <w:rsid w:val="00FD5C72"/>
    <w:rsid w:val="00FD77D0"/>
    <w:rsid w:val="00FE2311"/>
    <w:rsid w:val="00FE27AF"/>
    <w:rsid w:val="00FE3163"/>
    <w:rsid w:val="00FE3739"/>
    <w:rsid w:val="00FE4612"/>
    <w:rsid w:val="00FE4BA2"/>
    <w:rsid w:val="00FE5841"/>
    <w:rsid w:val="00FE6EED"/>
    <w:rsid w:val="00FE78B6"/>
    <w:rsid w:val="00FF0BA9"/>
    <w:rsid w:val="00FF0BC5"/>
    <w:rsid w:val="00FF1C2E"/>
    <w:rsid w:val="00FF4564"/>
    <w:rsid w:val="00FF4691"/>
    <w:rsid w:val="00FF63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C8B"/>
    <w:rPr>
      <w:rFonts w:ascii="Tahoma" w:hAnsi="Tahoma" w:cs="Tahoma"/>
      <w:sz w:val="16"/>
      <w:szCs w:val="16"/>
    </w:rPr>
  </w:style>
  <w:style w:type="paragraph" w:styleId="FootnoteText">
    <w:name w:val="footnote text"/>
    <w:basedOn w:val="Normal"/>
    <w:link w:val="FootnoteTextChar"/>
    <w:uiPriority w:val="99"/>
    <w:semiHidden/>
    <w:rsid w:val="009E7494"/>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9E7494"/>
    <w:rPr>
      <w:rFonts w:ascii="Calibri" w:eastAsia="Calibri" w:hAnsi="Calibri" w:cs="Arial"/>
      <w:sz w:val="20"/>
      <w:szCs w:val="20"/>
    </w:rPr>
  </w:style>
  <w:style w:type="character" w:styleId="FootnoteReference">
    <w:name w:val="footnote reference"/>
    <w:basedOn w:val="DefaultParagraphFont"/>
    <w:uiPriority w:val="99"/>
    <w:semiHidden/>
    <w:rsid w:val="009E7494"/>
    <w:rPr>
      <w:rFonts w:cs="Times New Roman"/>
      <w:vertAlign w:val="superscript"/>
    </w:rPr>
  </w:style>
  <w:style w:type="paragraph" w:styleId="ListParagraph">
    <w:name w:val="List Paragraph"/>
    <w:basedOn w:val="Normal"/>
    <w:uiPriority w:val="34"/>
    <w:qFormat/>
    <w:rsid w:val="00927BE0"/>
    <w:pPr>
      <w:ind w:left="720"/>
      <w:contextualSpacing/>
    </w:pPr>
  </w:style>
  <w:style w:type="character" w:styleId="Hyperlink">
    <w:name w:val="Hyperlink"/>
    <w:basedOn w:val="DefaultParagraphFont"/>
    <w:uiPriority w:val="99"/>
    <w:unhideWhenUsed/>
    <w:rsid w:val="00FD1E43"/>
    <w:rPr>
      <w:color w:val="0000FF" w:themeColor="hyperlink"/>
      <w:u w:val="single"/>
    </w:rPr>
  </w:style>
  <w:style w:type="table" w:styleId="TableGrid">
    <w:name w:val="Table Grid"/>
    <w:basedOn w:val="TableNormal"/>
    <w:uiPriority w:val="59"/>
    <w:rsid w:val="009B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2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420B"/>
    <w:rPr>
      <w:color w:val="808080"/>
    </w:rPr>
  </w:style>
  <w:style w:type="paragraph" w:styleId="Header">
    <w:name w:val="header"/>
    <w:basedOn w:val="Normal"/>
    <w:link w:val="HeaderChar"/>
    <w:uiPriority w:val="99"/>
    <w:unhideWhenUsed/>
    <w:rsid w:val="00A51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1147"/>
  </w:style>
  <w:style w:type="paragraph" w:styleId="Footer">
    <w:name w:val="footer"/>
    <w:basedOn w:val="Normal"/>
    <w:link w:val="FooterChar"/>
    <w:uiPriority w:val="99"/>
    <w:unhideWhenUsed/>
    <w:rsid w:val="00A51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1147"/>
  </w:style>
  <w:style w:type="paragraph" w:styleId="NormalWeb">
    <w:name w:val="Normal (Web)"/>
    <w:basedOn w:val="Normal"/>
    <w:uiPriority w:val="99"/>
    <w:semiHidden/>
    <w:rsid w:val="00C84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03F5"/>
  </w:style>
  <w:style w:type="character" w:styleId="CommentReference">
    <w:name w:val="annotation reference"/>
    <w:basedOn w:val="DefaultParagraphFont"/>
    <w:uiPriority w:val="99"/>
    <w:semiHidden/>
    <w:unhideWhenUsed/>
    <w:rsid w:val="00255BFE"/>
    <w:rPr>
      <w:sz w:val="16"/>
      <w:szCs w:val="16"/>
    </w:rPr>
  </w:style>
  <w:style w:type="paragraph" w:styleId="CommentText">
    <w:name w:val="annotation text"/>
    <w:basedOn w:val="Normal"/>
    <w:link w:val="CommentTextChar"/>
    <w:uiPriority w:val="99"/>
    <w:semiHidden/>
    <w:unhideWhenUsed/>
    <w:rsid w:val="00255BFE"/>
    <w:pPr>
      <w:spacing w:line="240" w:lineRule="auto"/>
    </w:pPr>
    <w:rPr>
      <w:sz w:val="20"/>
      <w:szCs w:val="20"/>
    </w:rPr>
  </w:style>
  <w:style w:type="character" w:customStyle="1" w:styleId="CommentTextChar">
    <w:name w:val="Comment Text Char"/>
    <w:basedOn w:val="DefaultParagraphFont"/>
    <w:link w:val="CommentText"/>
    <w:uiPriority w:val="99"/>
    <w:semiHidden/>
    <w:rsid w:val="00255BFE"/>
    <w:rPr>
      <w:sz w:val="20"/>
      <w:szCs w:val="20"/>
    </w:rPr>
  </w:style>
  <w:style w:type="paragraph" w:styleId="CommentSubject">
    <w:name w:val="annotation subject"/>
    <w:basedOn w:val="CommentText"/>
    <w:next w:val="CommentText"/>
    <w:link w:val="CommentSubjectChar"/>
    <w:uiPriority w:val="99"/>
    <w:semiHidden/>
    <w:unhideWhenUsed/>
    <w:rsid w:val="00255BFE"/>
    <w:rPr>
      <w:b/>
      <w:bCs/>
    </w:rPr>
  </w:style>
  <w:style w:type="character" w:customStyle="1" w:styleId="CommentSubjectChar">
    <w:name w:val="Comment Subject Char"/>
    <w:basedOn w:val="CommentTextChar"/>
    <w:link w:val="CommentSubject"/>
    <w:uiPriority w:val="99"/>
    <w:semiHidden/>
    <w:rsid w:val="00255BFE"/>
    <w:rPr>
      <w:b/>
      <w:bCs/>
      <w:sz w:val="20"/>
      <w:szCs w:val="20"/>
    </w:rPr>
  </w:style>
  <w:style w:type="paragraph" w:styleId="Revision">
    <w:name w:val="Revision"/>
    <w:hidden/>
    <w:uiPriority w:val="99"/>
    <w:semiHidden/>
    <w:rsid w:val="00D324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C8B"/>
    <w:rPr>
      <w:rFonts w:ascii="Tahoma" w:hAnsi="Tahoma" w:cs="Tahoma"/>
      <w:sz w:val="16"/>
      <w:szCs w:val="16"/>
    </w:rPr>
  </w:style>
  <w:style w:type="paragraph" w:styleId="FootnoteText">
    <w:name w:val="footnote text"/>
    <w:basedOn w:val="Normal"/>
    <w:link w:val="FootnoteTextChar"/>
    <w:uiPriority w:val="99"/>
    <w:semiHidden/>
    <w:rsid w:val="009E7494"/>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9E7494"/>
    <w:rPr>
      <w:rFonts w:ascii="Calibri" w:eastAsia="Calibri" w:hAnsi="Calibri" w:cs="Arial"/>
      <w:sz w:val="20"/>
      <w:szCs w:val="20"/>
    </w:rPr>
  </w:style>
  <w:style w:type="character" w:styleId="FootnoteReference">
    <w:name w:val="footnote reference"/>
    <w:basedOn w:val="DefaultParagraphFont"/>
    <w:uiPriority w:val="99"/>
    <w:semiHidden/>
    <w:rsid w:val="009E7494"/>
    <w:rPr>
      <w:rFonts w:cs="Times New Roman"/>
      <w:vertAlign w:val="superscript"/>
    </w:rPr>
  </w:style>
  <w:style w:type="paragraph" w:styleId="ListParagraph">
    <w:name w:val="List Paragraph"/>
    <w:basedOn w:val="Normal"/>
    <w:uiPriority w:val="34"/>
    <w:qFormat/>
    <w:rsid w:val="00927BE0"/>
    <w:pPr>
      <w:ind w:left="720"/>
      <w:contextualSpacing/>
    </w:pPr>
  </w:style>
  <w:style w:type="character" w:styleId="Hyperlink">
    <w:name w:val="Hyperlink"/>
    <w:basedOn w:val="DefaultParagraphFont"/>
    <w:uiPriority w:val="99"/>
    <w:unhideWhenUsed/>
    <w:rsid w:val="00FD1E43"/>
    <w:rPr>
      <w:color w:val="0000FF" w:themeColor="hyperlink"/>
      <w:u w:val="single"/>
    </w:rPr>
  </w:style>
  <w:style w:type="table" w:styleId="TableGrid">
    <w:name w:val="Table Grid"/>
    <w:basedOn w:val="TableNormal"/>
    <w:uiPriority w:val="59"/>
    <w:rsid w:val="009B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2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420B"/>
    <w:rPr>
      <w:color w:val="808080"/>
    </w:rPr>
  </w:style>
  <w:style w:type="paragraph" w:styleId="Header">
    <w:name w:val="header"/>
    <w:basedOn w:val="Normal"/>
    <w:link w:val="HeaderChar"/>
    <w:uiPriority w:val="99"/>
    <w:unhideWhenUsed/>
    <w:rsid w:val="00A51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1147"/>
  </w:style>
  <w:style w:type="paragraph" w:styleId="Footer">
    <w:name w:val="footer"/>
    <w:basedOn w:val="Normal"/>
    <w:link w:val="FooterChar"/>
    <w:uiPriority w:val="99"/>
    <w:unhideWhenUsed/>
    <w:rsid w:val="00A51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1147"/>
  </w:style>
  <w:style w:type="paragraph" w:styleId="NormalWeb">
    <w:name w:val="Normal (Web)"/>
    <w:basedOn w:val="Normal"/>
    <w:uiPriority w:val="99"/>
    <w:semiHidden/>
    <w:rsid w:val="00C84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03F5"/>
  </w:style>
  <w:style w:type="character" w:styleId="CommentReference">
    <w:name w:val="annotation reference"/>
    <w:basedOn w:val="DefaultParagraphFont"/>
    <w:uiPriority w:val="99"/>
    <w:semiHidden/>
    <w:unhideWhenUsed/>
    <w:rsid w:val="00255BFE"/>
    <w:rPr>
      <w:sz w:val="16"/>
      <w:szCs w:val="16"/>
    </w:rPr>
  </w:style>
  <w:style w:type="paragraph" w:styleId="CommentText">
    <w:name w:val="annotation text"/>
    <w:basedOn w:val="Normal"/>
    <w:link w:val="CommentTextChar"/>
    <w:uiPriority w:val="99"/>
    <w:semiHidden/>
    <w:unhideWhenUsed/>
    <w:rsid w:val="00255BFE"/>
    <w:pPr>
      <w:spacing w:line="240" w:lineRule="auto"/>
    </w:pPr>
    <w:rPr>
      <w:sz w:val="20"/>
      <w:szCs w:val="20"/>
    </w:rPr>
  </w:style>
  <w:style w:type="character" w:customStyle="1" w:styleId="CommentTextChar">
    <w:name w:val="Comment Text Char"/>
    <w:basedOn w:val="DefaultParagraphFont"/>
    <w:link w:val="CommentText"/>
    <w:uiPriority w:val="99"/>
    <w:semiHidden/>
    <w:rsid w:val="00255BFE"/>
    <w:rPr>
      <w:sz w:val="20"/>
      <w:szCs w:val="20"/>
    </w:rPr>
  </w:style>
  <w:style w:type="paragraph" w:styleId="CommentSubject">
    <w:name w:val="annotation subject"/>
    <w:basedOn w:val="CommentText"/>
    <w:next w:val="CommentText"/>
    <w:link w:val="CommentSubjectChar"/>
    <w:uiPriority w:val="99"/>
    <w:semiHidden/>
    <w:unhideWhenUsed/>
    <w:rsid w:val="00255BFE"/>
    <w:rPr>
      <w:b/>
      <w:bCs/>
    </w:rPr>
  </w:style>
  <w:style w:type="character" w:customStyle="1" w:styleId="CommentSubjectChar">
    <w:name w:val="Comment Subject Char"/>
    <w:basedOn w:val="CommentTextChar"/>
    <w:link w:val="CommentSubject"/>
    <w:uiPriority w:val="99"/>
    <w:semiHidden/>
    <w:rsid w:val="00255BFE"/>
    <w:rPr>
      <w:b/>
      <w:bCs/>
      <w:sz w:val="20"/>
      <w:szCs w:val="20"/>
    </w:rPr>
  </w:style>
  <w:style w:type="paragraph" w:styleId="Revision">
    <w:name w:val="Revision"/>
    <w:hidden/>
    <w:uiPriority w:val="99"/>
    <w:semiHidden/>
    <w:rsid w:val="00D324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528">
      <w:bodyDiv w:val="1"/>
      <w:marLeft w:val="0"/>
      <w:marRight w:val="0"/>
      <w:marTop w:val="0"/>
      <w:marBottom w:val="0"/>
      <w:divBdr>
        <w:top w:val="none" w:sz="0" w:space="0" w:color="auto"/>
        <w:left w:val="none" w:sz="0" w:space="0" w:color="auto"/>
        <w:bottom w:val="none" w:sz="0" w:space="0" w:color="auto"/>
        <w:right w:val="none" w:sz="0" w:space="0" w:color="auto"/>
      </w:divBdr>
      <w:divsChild>
        <w:div w:id="2126119662">
          <w:marLeft w:val="0"/>
          <w:marRight w:val="0"/>
          <w:marTop w:val="0"/>
          <w:marBottom w:val="0"/>
          <w:divBdr>
            <w:top w:val="none" w:sz="0" w:space="0" w:color="auto"/>
            <w:left w:val="none" w:sz="0" w:space="0" w:color="auto"/>
            <w:bottom w:val="none" w:sz="0" w:space="0" w:color="auto"/>
            <w:right w:val="none" w:sz="0" w:space="0" w:color="auto"/>
          </w:divBdr>
          <w:divsChild>
            <w:div w:id="1216086580">
              <w:marLeft w:val="0"/>
              <w:marRight w:val="0"/>
              <w:marTop w:val="0"/>
              <w:marBottom w:val="0"/>
              <w:divBdr>
                <w:top w:val="none" w:sz="0" w:space="0" w:color="auto"/>
                <w:left w:val="none" w:sz="0" w:space="0" w:color="auto"/>
                <w:bottom w:val="none" w:sz="0" w:space="0" w:color="auto"/>
                <w:right w:val="none" w:sz="0" w:space="0" w:color="auto"/>
              </w:divBdr>
              <w:divsChild>
                <w:div w:id="79108119">
                  <w:marLeft w:val="0"/>
                  <w:marRight w:val="0"/>
                  <w:marTop w:val="0"/>
                  <w:marBottom w:val="0"/>
                  <w:divBdr>
                    <w:top w:val="none" w:sz="0" w:space="0" w:color="auto"/>
                    <w:left w:val="none" w:sz="0" w:space="0" w:color="auto"/>
                    <w:bottom w:val="none" w:sz="0" w:space="0" w:color="auto"/>
                    <w:right w:val="none" w:sz="0" w:space="0" w:color="auto"/>
                  </w:divBdr>
                  <w:divsChild>
                    <w:div w:id="871184441">
                      <w:marLeft w:val="0"/>
                      <w:marRight w:val="0"/>
                      <w:marTop w:val="0"/>
                      <w:marBottom w:val="0"/>
                      <w:divBdr>
                        <w:top w:val="none" w:sz="0" w:space="0" w:color="auto"/>
                        <w:left w:val="none" w:sz="0" w:space="0" w:color="auto"/>
                        <w:bottom w:val="none" w:sz="0" w:space="0" w:color="auto"/>
                        <w:right w:val="none" w:sz="0" w:space="0" w:color="auto"/>
                      </w:divBdr>
                      <w:divsChild>
                        <w:div w:id="832447759">
                          <w:marLeft w:val="0"/>
                          <w:marRight w:val="0"/>
                          <w:marTop w:val="0"/>
                          <w:marBottom w:val="0"/>
                          <w:divBdr>
                            <w:top w:val="none" w:sz="0" w:space="0" w:color="auto"/>
                            <w:left w:val="none" w:sz="0" w:space="0" w:color="auto"/>
                            <w:bottom w:val="none" w:sz="0" w:space="0" w:color="auto"/>
                            <w:right w:val="none" w:sz="0" w:space="0" w:color="auto"/>
                          </w:divBdr>
                          <w:divsChild>
                            <w:div w:id="11028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2009">
      <w:bodyDiv w:val="1"/>
      <w:marLeft w:val="0"/>
      <w:marRight w:val="0"/>
      <w:marTop w:val="0"/>
      <w:marBottom w:val="0"/>
      <w:divBdr>
        <w:top w:val="none" w:sz="0" w:space="0" w:color="auto"/>
        <w:left w:val="none" w:sz="0" w:space="0" w:color="auto"/>
        <w:bottom w:val="none" w:sz="0" w:space="0" w:color="auto"/>
        <w:right w:val="none" w:sz="0" w:space="0" w:color="auto"/>
      </w:divBdr>
      <w:divsChild>
        <w:div w:id="1277635213">
          <w:marLeft w:val="0"/>
          <w:marRight w:val="0"/>
          <w:marTop w:val="0"/>
          <w:marBottom w:val="0"/>
          <w:divBdr>
            <w:top w:val="none" w:sz="0" w:space="0" w:color="auto"/>
            <w:left w:val="none" w:sz="0" w:space="0" w:color="auto"/>
            <w:bottom w:val="none" w:sz="0" w:space="0" w:color="auto"/>
            <w:right w:val="none" w:sz="0" w:space="0" w:color="auto"/>
          </w:divBdr>
          <w:divsChild>
            <w:div w:id="1299795832">
              <w:marLeft w:val="0"/>
              <w:marRight w:val="0"/>
              <w:marTop w:val="0"/>
              <w:marBottom w:val="0"/>
              <w:divBdr>
                <w:top w:val="none" w:sz="0" w:space="0" w:color="auto"/>
                <w:left w:val="none" w:sz="0" w:space="0" w:color="auto"/>
                <w:bottom w:val="none" w:sz="0" w:space="0" w:color="auto"/>
                <w:right w:val="none" w:sz="0" w:space="0" w:color="auto"/>
              </w:divBdr>
              <w:divsChild>
                <w:div w:id="162204768">
                  <w:marLeft w:val="0"/>
                  <w:marRight w:val="0"/>
                  <w:marTop w:val="0"/>
                  <w:marBottom w:val="0"/>
                  <w:divBdr>
                    <w:top w:val="none" w:sz="0" w:space="0" w:color="auto"/>
                    <w:left w:val="none" w:sz="0" w:space="0" w:color="auto"/>
                    <w:bottom w:val="none" w:sz="0" w:space="0" w:color="auto"/>
                    <w:right w:val="none" w:sz="0" w:space="0" w:color="auto"/>
                  </w:divBdr>
                  <w:divsChild>
                    <w:div w:id="1222252706">
                      <w:marLeft w:val="0"/>
                      <w:marRight w:val="0"/>
                      <w:marTop w:val="0"/>
                      <w:marBottom w:val="0"/>
                      <w:divBdr>
                        <w:top w:val="none" w:sz="0" w:space="0" w:color="auto"/>
                        <w:left w:val="none" w:sz="0" w:space="0" w:color="auto"/>
                        <w:bottom w:val="none" w:sz="0" w:space="0" w:color="auto"/>
                        <w:right w:val="none" w:sz="0" w:space="0" w:color="auto"/>
                      </w:divBdr>
                      <w:divsChild>
                        <w:div w:id="452941508">
                          <w:marLeft w:val="0"/>
                          <w:marRight w:val="0"/>
                          <w:marTop w:val="0"/>
                          <w:marBottom w:val="0"/>
                          <w:divBdr>
                            <w:top w:val="none" w:sz="0" w:space="0" w:color="auto"/>
                            <w:left w:val="none" w:sz="0" w:space="0" w:color="auto"/>
                            <w:bottom w:val="none" w:sz="0" w:space="0" w:color="auto"/>
                            <w:right w:val="none" w:sz="0" w:space="0" w:color="auto"/>
                          </w:divBdr>
                          <w:divsChild>
                            <w:div w:id="18158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52867">
      <w:bodyDiv w:val="1"/>
      <w:marLeft w:val="0"/>
      <w:marRight w:val="0"/>
      <w:marTop w:val="0"/>
      <w:marBottom w:val="0"/>
      <w:divBdr>
        <w:top w:val="none" w:sz="0" w:space="0" w:color="auto"/>
        <w:left w:val="none" w:sz="0" w:space="0" w:color="auto"/>
        <w:bottom w:val="none" w:sz="0" w:space="0" w:color="auto"/>
        <w:right w:val="none" w:sz="0" w:space="0" w:color="auto"/>
      </w:divBdr>
    </w:div>
    <w:div w:id="138422803">
      <w:bodyDiv w:val="1"/>
      <w:marLeft w:val="0"/>
      <w:marRight w:val="0"/>
      <w:marTop w:val="0"/>
      <w:marBottom w:val="0"/>
      <w:divBdr>
        <w:top w:val="none" w:sz="0" w:space="0" w:color="auto"/>
        <w:left w:val="none" w:sz="0" w:space="0" w:color="auto"/>
        <w:bottom w:val="none" w:sz="0" w:space="0" w:color="auto"/>
        <w:right w:val="none" w:sz="0" w:space="0" w:color="auto"/>
      </w:divBdr>
      <w:divsChild>
        <w:div w:id="418405299">
          <w:marLeft w:val="0"/>
          <w:marRight w:val="0"/>
          <w:marTop w:val="0"/>
          <w:marBottom w:val="0"/>
          <w:divBdr>
            <w:top w:val="none" w:sz="0" w:space="0" w:color="auto"/>
            <w:left w:val="none" w:sz="0" w:space="0" w:color="auto"/>
            <w:bottom w:val="none" w:sz="0" w:space="0" w:color="auto"/>
            <w:right w:val="none" w:sz="0" w:space="0" w:color="auto"/>
          </w:divBdr>
          <w:divsChild>
            <w:div w:id="163667858">
              <w:marLeft w:val="0"/>
              <w:marRight w:val="0"/>
              <w:marTop w:val="0"/>
              <w:marBottom w:val="0"/>
              <w:divBdr>
                <w:top w:val="none" w:sz="0" w:space="0" w:color="auto"/>
                <w:left w:val="none" w:sz="0" w:space="0" w:color="auto"/>
                <w:bottom w:val="none" w:sz="0" w:space="0" w:color="auto"/>
                <w:right w:val="none" w:sz="0" w:space="0" w:color="auto"/>
              </w:divBdr>
              <w:divsChild>
                <w:div w:id="1998486867">
                  <w:marLeft w:val="0"/>
                  <w:marRight w:val="0"/>
                  <w:marTop w:val="0"/>
                  <w:marBottom w:val="0"/>
                  <w:divBdr>
                    <w:top w:val="none" w:sz="0" w:space="0" w:color="auto"/>
                    <w:left w:val="none" w:sz="0" w:space="0" w:color="auto"/>
                    <w:bottom w:val="none" w:sz="0" w:space="0" w:color="auto"/>
                    <w:right w:val="none" w:sz="0" w:space="0" w:color="auto"/>
                  </w:divBdr>
                  <w:divsChild>
                    <w:div w:id="346979964">
                      <w:marLeft w:val="0"/>
                      <w:marRight w:val="0"/>
                      <w:marTop w:val="0"/>
                      <w:marBottom w:val="0"/>
                      <w:divBdr>
                        <w:top w:val="none" w:sz="0" w:space="0" w:color="auto"/>
                        <w:left w:val="none" w:sz="0" w:space="0" w:color="auto"/>
                        <w:bottom w:val="none" w:sz="0" w:space="0" w:color="auto"/>
                        <w:right w:val="none" w:sz="0" w:space="0" w:color="auto"/>
                      </w:divBdr>
                      <w:divsChild>
                        <w:div w:id="253562331">
                          <w:marLeft w:val="0"/>
                          <w:marRight w:val="0"/>
                          <w:marTop w:val="0"/>
                          <w:marBottom w:val="0"/>
                          <w:divBdr>
                            <w:top w:val="none" w:sz="0" w:space="0" w:color="auto"/>
                            <w:left w:val="none" w:sz="0" w:space="0" w:color="auto"/>
                            <w:bottom w:val="none" w:sz="0" w:space="0" w:color="auto"/>
                            <w:right w:val="none" w:sz="0" w:space="0" w:color="auto"/>
                          </w:divBdr>
                          <w:divsChild>
                            <w:div w:id="11420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049439">
      <w:bodyDiv w:val="1"/>
      <w:marLeft w:val="0"/>
      <w:marRight w:val="0"/>
      <w:marTop w:val="0"/>
      <w:marBottom w:val="0"/>
      <w:divBdr>
        <w:top w:val="none" w:sz="0" w:space="0" w:color="auto"/>
        <w:left w:val="none" w:sz="0" w:space="0" w:color="auto"/>
        <w:bottom w:val="none" w:sz="0" w:space="0" w:color="auto"/>
        <w:right w:val="none" w:sz="0" w:space="0" w:color="auto"/>
      </w:divBdr>
      <w:divsChild>
        <w:div w:id="1100489073">
          <w:marLeft w:val="0"/>
          <w:marRight w:val="0"/>
          <w:marTop w:val="0"/>
          <w:marBottom w:val="0"/>
          <w:divBdr>
            <w:top w:val="none" w:sz="0" w:space="0" w:color="auto"/>
            <w:left w:val="none" w:sz="0" w:space="0" w:color="auto"/>
            <w:bottom w:val="none" w:sz="0" w:space="0" w:color="auto"/>
            <w:right w:val="none" w:sz="0" w:space="0" w:color="auto"/>
          </w:divBdr>
          <w:divsChild>
            <w:div w:id="2043553820">
              <w:marLeft w:val="0"/>
              <w:marRight w:val="0"/>
              <w:marTop w:val="0"/>
              <w:marBottom w:val="0"/>
              <w:divBdr>
                <w:top w:val="none" w:sz="0" w:space="0" w:color="auto"/>
                <w:left w:val="none" w:sz="0" w:space="0" w:color="auto"/>
                <w:bottom w:val="none" w:sz="0" w:space="0" w:color="auto"/>
                <w:right w:val="none" w:sz="0" w:space="0" w:color="auto"/>
              </w:divBdr>
              <w:divsChild>
                <w:div w:id="364064077">
                  <w:marLeft w:val="0"/>
                  <w:marRight w:val="0"/>
                  <w:marTop w:val="0"/>
                  <w:marBottom w:val="0"/>
                  <w:divBdr>
                    <w:top w:val="none" w:sz="0" w:space="0" w:color="auto"/>
                    <w:left w:val="none" w:sz="0" w:space="0" w:color="auto"/>
                    <w:bottom w:val="none" w:sz="0" w:space="0" w:color="auto"/>
                    <w:right w:val="none" w:sz="0" w:space="0" w:color="auto"/>
                  </w:divBdr>
                  <w:divsChild>
                    <w:div w:id="1796866732">
                      <w:marLeft w:val="0"/>
                      <w:marRight w:val="0"/>
                      <w:marTop w:val="0"/>
                      <w:marBottom w:val="0"/>
                      <w:divBdr>
                        <w:top w:val="none" w:sz="0" w:space="0" w:color="auto"/>
                        <w:left w:val="none" w:sz="0" w:space="0" w:color="auto"/>
                        <w:bottom w:val="none" w:sz="0" w:space="0" w:color="auto"/>
                        <w:right w:val="none" w:sz="0" w:space="0" w:color="auto"/>
                      </w:divBdr>
                      <w:divsChild>
                        <w:div w:id="1764692042">
                          <w:marLeft w:val="0"/>
                          <w:marRight w:val="0"/>
                          <w:marTop w:val="0"/>
                          <w:marBottom w:val="0"/>
                          <w:divBdr>
                            <w:top w:val="none" w:sz="0" w:space="0" w:color="auto"/>
                            <w:left w:val="none" w:sz="0" w:space="0" w:color="auto"/>
                            <w:bottom w:val="none" w:sz="0" w:space="0" w:color="auto"/>
                            <w:right w:val="none" w:sz="0" w:space="0" w:color="auto"/>
                          </w:divBdr>
                          <w:divsChild>
                            <w:div w:id="11519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94935">
      <w:bodyDiv w:val="1"/>
      <w:marLeft w:val="0"/>
      <w:marRight w:val="0"/>
      <w:marTop w:val="0"/>
      <w:marBottom w:val="0"/>
      <w:divBdr>
        <w:top w:val="none" w:sz="0" w:space="0" w:color="auto"/>
        <w:left w:val="none" w:sz="0" w:space="0" w:color="auto"/>
        <w:bottom w:val="none" w:sz="0" w:space="0" w:color="auto"/>
        <w:right w:val="none" w:sz="0" w:space="0" w:color="auto"/>
      </w:divBdr>
      <w:divsChild>
        <w:div w:id="1656105464">
          <w:marLeft w:val="0"/>
          <w:marRight w:val="0"/>
          <w:marTop w:val="0"/>
          <w:marBottom w:val="0"/>
          <w:divBdr>
            <w:top w:val="none" w:sz="0" w:space="0" w:color="auto"/>
            <w:left w:val="none" w:sz="0" w:space="0" w:color="auto"/>
            <w:bottom w:val="none" w:sz="0" w:space="0" w:color="auto"/>
            <w:right w:val="none" w:sz="0" w:space="0" w:color="auto"/>
          </w:divBdr>
          <w:divsChild>
            <w:div w:id="429162160">
              <w:marLeft w:val="0"/>
              <w:marRight w:val="0"/>
              <w:marTop w:val="0"/>
              <w:marBottom w:val="0"/>
              <w:divBdr>
                <w:top w:val="none" w:sz="0" w:space="0" w:color="auto"/>
                <w:left w:val="none" w:sz="0" w:space="0" w:color="auto"/>
                <w:bottom w:val="none" w:sz="0" w:space="0" w:color="auto"/>
                <w:right w:val="none" w:sz="0" w:space="0" w:color="auto"/>
              </w:divBdr>
              <w:divsChild>
                <w:div w:id="844981362">
                  <w:marLeft w:val="0"/>
                  <w:marRight w:val="0"/>
                  <w:marTop w:val="0"/>
                  <w:marBottom w:val="0"/>
                  <w:divBdr>
                    <w:top w:val="none" w:sz="0" w:space="0" w:color="auto"/>
                    <w:left w:val="none" w:sz="0" w:space="0" w:color="auto"/>
                    <w:bottom w:val="none" w:sz="0" w:space="0" w:color="auto"/>
                    <w:right w:val="none" w:sz="0" w:space="0" w:color="auto"/>
                  </w:divBdr>
                  <w:divsChild>
                    <w:div w:id="684865167">
                      <w:marLeft w:val="0"/>
                      <w:marRight w:val="0"/>
                      <w:marTop w:val="0"/>
                      <w:marBottom w:val="0"/>
                      <w:divBdr>
                        <w:top w:val="none" w:sz="0" w:space="0" w:color="auto"/>
                        <w:left w:val="none" w:sz="0" w:space="0" w:color="auto"/>
                        <w:bottom w:val="none" w:sz="0" w:space="0" w:color="auto"/>
                        <w:right w:val="none" w:sz="0" w:space="0" w:color="auto"/>
                      </w:divBdr>
                      <w:divsChild>
                        <w:div w:id="292296583">
                          <w:marLeft w:val="0"/>
                          <w:marRight w:val="0"/>
                          <w:marTop w:val="0"/>
                          <w:marBottom w:val="0"/>
                          <w:divBdr>
                            <w:top w:val="none" w:sz="0" w:space="0" w:color="auto"/>
                            <w:left w:val="none" w:sz="0" w:space="0" w:color="auto"/>
                            <w:bottom w:val="none" w:sz="0" w:space="0" w:color="auto"/>
                            <w:right w:val="none" w:sz="0" w:space="0" w:color="auto"/>
                          </w:divBdr>
                          <w:divsChild>
                            <w:div w:id="10504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639180">
      <w:bodyDiv w:val="1"/>
      <w:marLeft w:val="0"/>
      <w:marRight w:val="0"/>
      <w:marTop w:val="0"/>
      <w:marBottom w:val="0"/>
      <w:divBdr>
        <w:top w:val="none" w:sz="0" w:space="0" w:color="auto"/>
        <w:left w:val="none" w:sz="0" w:space="0" w:color="auto"/>
        <w:bottom w:val="none" w:sz="0" w:space="0" w:color="auto"/>
        <w:right w:val="none" w:sz="0" w:space="0" w:color="auto"/>
      </w:divBdr>
      <w:divsChild>
        <w:div w:id="702756068">
          <w:marLeft w:val="0"/>
          <w:marRight w:val="0"/>
          <w:marTop w:val="0"/>
          <w:marBottom w:val="0"/>
          <w:divBdr>
            <w:top w:val="none" w:sz="0" w:space="0" w:color="auto"/>
            <w:left w:val="none" w:sz="0" w:space="0" w:color="auto"/>
            <w:bottom w:val="none" w:sz="0" w:space="0" w:color="auto"/>
            <w:right w:val="none" w:sz="0" w:space="0" w:color="auto"/>
          </w:divBdr>
          <w:divsChild>
            <w:div w:id="816187207">
              <w:marLeft w:val="0"/>
              <w:marRight w:val="0"/>
              <w:marTop w:val="0"/>
              <w:marBottom w:val="0"/>
              <w:divBdr>
                <w:top w:val="none" w:sz="0" w:space="0" w:color="auto"/>
                <w:left w:val="none" w:sz="0" w:space="0" w:color="auto"/>
                <w:bottom w:val="none" w:sz="0" w:space="0" w:color="auto"/>
                <w:right w:val="none" w:sz="0" w:space="0" w:color="auto"/>
              </w:divBdr>
              <w:divsChild>
                <w:div w:id="645866096">
                  <w:marLeft w:val="0"/>
                  <w:marRight w:val="0"/>
                  <w:marTop w:val="0"/>
                  <w:marBottom w:val="0"/>
                  <w:divBdr>
                    <w:top w:val="none" w:sz="0" w:space="0" w:color="auto"/>
                    <w:left w:val="none" w:sz="0" w:space="0" w:color="auto"/>
                    <w:bottom w:val="none" w:sz="0" w:space="0" w:color="auto"/>
                    <w:right w:val="none" w:sz="0" w:space="0" w:color="auto"/>
                  </w:divBdr>
                  <w:divsChild>
                    <w:div w:id="2100902724">
                      <w:marLeft w:val="0"/>
                      <w:marRight w:val="0"/>
                      <w:marTop w:val="0"/>
                      <w:marBottom w:val="0"/>
                      <w:divBdr>
                        <w:top w:val="none" w:sz="0" w:space="0" w:color="auto"/>
                        <w:left w:val="none" w:sz="0" w:space="0" w:color="auto"/>
                        <w:bottom w:val="none" w:sz="0" w:space="0" w:color="auto"/>
                        <w:right w:val="none" w:sz="0" w:space="0" w:color="auto"/>
                      </w:divBdr>
                      <w:divsChild>
                        <w:div w:id="920681320">
                          <w:marLeft w:val="0"/>
                          <w:marRight w:val="0"/>
                          <w:marTop w:val="0"/>
                          <w:marBottom w:val="0"/>
                          <w:divBdr>
                            <w:top w:val="none" w:sz="0" w:space="0" w:color="auto"/>
                            <w:left w:val="none" w:sz="0" w:space="0" w:color="auto"/>
                            <w:bottom w:val="none" w:sz="0" w:space="0" w:color="auto"/>
                            <w:right w:val="none" w:sz="0" w:space="0" w:color="auto"/>
                          </w:divBdr>
                          <w:divsChild>
                            <w:div w:id="2360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8397">
      <w:bodyDiv w:val="1"/>
      <w:marLeft w:val="0"/>
      <w:marRight w:val="0"/>
      <w:marTop w:val="0"/>
      <w:marBottom w:val="0"/>
      <w:divBdr>
        <w:top w:val="none" w:sz="0" w:space="0" w:color="auto"/>
        <w:left w:val="none" w:sz="0" w:space="0" w:color="auto"/>
        <w:bottom w:val="none" w:sz="0" w:space="0" w:color="auto"/>
        <w:right w:val="none" w:sz="0" w:space="0" w:color="auto"/>
      </w:divBdr>
      <w:divsChild>
        <w:div w:id="788553262">
          <w:marLeft w:val="0"/>
          <w:marRight w:val="0"/>
          <w:marTop w:val="0"/>
          <w:marBottom w:val="0"/>
          <w:divBdr>
            <w:top w:val="none" w:sz="0" w:space="0" w:color="auto"/>
            <w:left w:val="none" w:sz="0" w:space="0" w:color="auto"/>
            <w:bottom w:val="none" w:sz="0" w:space="0" w:color="auto"/>
            <w:right w:val="none" w:sz="0" w:space="0" w:color="auto"/>
          </w:divBdr>
          <w:divsChild>
            <w:div w:id="1916544884">
              <w:marLeft w:val="0"/>
              <w:marRight w:val="0"/>
              <w:marTop w:val="0"/>
              <w:marBottom w:val="0"/>
              <w:divBdr>
                <w:top w:val="none" w:sz="0" w:space="0" w:color="auto"/>
                <w:left w:val="none" w:sz="0" w:space="0" w:color="auto"/>
                <w:bottom w:val="none" w:sz="0" w:space="0" w:color="auto"/>
                <w:right w:val="none" w:sz="0" w:space="0" w:color="auto"/>
              </w:divBdr>
              <w:divsChild>
                <w:div w:id="265892106">
                  <w:marLeft w:val="0"/>
                  <w:marRight w:val="0"/>
                  <w:marTop w:val="0"/>
                  <w:marBottom w:val="0"/>
                  <w:divBdr>
                    <w:top w:val="none" w:sz="0" w:space="0" w:color="auto"/>
                    <w:left w:val="none" w:sz="0" w:space="0" w:color="auto"/>
                    <w:bottom w:val="none" w:sz="0" w:space="0" w:color="auto"/>
                    <w:right w:val="none" w:sz="0" w:space="0" w:color="auto"/>
                  </w:divBdr>
                  <w:divsChild>
                    <w:div w:id="785663425">
                      <w:marLeft w:val="0"/>
                      <w:marRight w:val="0"/>
                      <w:marTop w:val="0"/>
                      <w:marBottom w:val="0"/>
                      <w:divBdr>
                        <w:top w:val="none" w:sz="0" w:space="0" w:color="auto"/>
                        <w:left w:val="none" w:sz="0" w:space="0" w:color="auto"/>
                        <w:bottom w:val="none" w:sz="0" w:space="0" w:color="auto"/>
                        <w:right w:val="none" w:sz="0" w:space="0" w:color="auto"/>
                      </w:divBdr>
                      <w:divsChild>
                        <w:div w:id="1788086797">
                          <w:marLeft w:val="0"/>
                          <w:marRight w:val="0"/>
                          <w:marTop w:val="0"/>
                          <w:marBottom w:val="0"/>
                          <w:divBdr>
                            <w:top w:val="none" w:sz="0" w:space="0" w:color="auto"/>
                            <w:left w:val="none" w:sz="0" w:space="0" w:color="auto"/>
                            <w:bottom w:val="none" w:sz="0" w:space="0" w:color="auto"/>
                            <w:right w:val="none" w:sz="0" w:space="0" w:color="auto"/>
                          </w:divBdr>
                          <w:divsChild>
                            <w:div w:id="1911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827697">
      <w:bodyDiv w:val="1"/>
      <w:marLeft w:val="0"/>
      <w:marRight w:val="0"/>
      <w:marTop w:val="0"/>
      <w:marBottom w:val="0"/>
      <w:divBdr>
        <w:top w:val="none" w:sz="0" w:space="0" w:color="auto"/>
        <w:left w:val="none" w:sz="0" w:space="0" w:color="auto"/>
        <w:bottom w:val="none" w:sz="0" w:space="0" w:color="auto"/>
        <w:right w:val="none" w:sz="0" w:space="0" w:color="auto"/>
      </w:divBdr>
      <w:divsChild>
        <w:div w:id="1914389820">
          <w:marLeft w:val="0"/>
          <w:marRight w:val="0"/>
          <w:marTop w:val="0"/>
          <w:marBottom w:val="0"/>
          <w:divBdr>
            <w:top w:val="none" w:sz="0" w:space="0" w:color="auto"/>
            <w:left w:val="none" w:sz="0" w:space="0" w:color="auto"/>
            <w:bottom w:val="none" w:sz="0" w:space="0" w:color="auto"/>
            <w:right w:val="none" w:sz="0" w:space="0" w:color="auto"/>
          </w:divBdr>
          <w:divsChild>
            <w:div w:id="875507898">
              <w:marLeft w:val="0"/>
              <w:marRight w:val="0"/>
              <w:marTop w:val="0"/>
              <w:marBottom w:val="0"/>
              <w:divBdr>
                <w:top w:val="none" w:sz="0" w:space="0" w:color="auto"/>
                <w:left w:val="none" w:sz="0" w:space="0" w:color="auto"/>
                <w:bottom w:val="none" w:sz="0" w:space="0" w:color="auto"/>
                <w:right w:val="none" w:sz="0" w:space="0" w:color="auto"/>
              </w:divBdr>
              <w:divsChild>
                <w:div w:id="357045501">
                  <w:marLeft w:val="0"/>
                  <w:marRight w:val="0"/>
                  <w:marTop w:val="0"/>
                  <w:marBottom w:val="0"/>
                  <w:divBdr>
                    <w:top w:val="none" w:sz="0" w:space="0" w:color="auto"/>
                    <w:left w:val="none" w:sz="0" w:space="0" w:color="auto"/>
                    <w:bottom w:val="none" w:sz="0" w:space="0" w:color="auto"/>
                    <w:right w:val="none" w:sz="0" w:space="0" w:color="auto"/>
                  </w:divBdr>
                  <w:divsChild>
                    <w:div w:id="642274764">
                      <w:marLeft w:val="0"/>
                      <w:marRight w:val="0"/>
                      <w:marTop w:val="0"/>
                      <w:marBottom w:val="0"/>
                      <w:divBdr>
                        <w:top w:val="none" w:sz="0" w:space="0" w:color="auto"/>
                        <w:left w:val="none" w:sz="0" w:space="0" w:color="auto"/>
                        <w:bottom w:val="none" w:sz="0" w:space="0" w:color="auto"/>
                        <w:right w:val="none" w:sz="0" w:space="0" w:color="auto"/>
                      </w:divBdr>
                      <w:divsChild>
                        <w:div w:id="5182553">
                          <w:marLeft w:val="0"/>
                          <w:marRight w:val="0"/>
                          <w:marTop w:val="0"/>
                          <w:marBottom w:val="0"/>
                          <w:divBdr>
                            <w:top w:val="none" w:sz="0" w:space="0" w:color="auto"/>
                            <w:left w:val="none" w:sz="0" w:space="0" w:color="auto"/>
                            <w:bottom w:val="none" w:sz="0" w:space="0" w:color="auto"/>
                            <w:right w:val="none" w:sz="0" w:space="0" w:color="auto"/>
                          </w:divBdr>
                          <w:divsChild>
                            <w:div w:id="2027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113616">
      <w:bodyDiv w:val="1"/>
      <w:marLeft w:val="0"/>
      <w:marRight w:val="0"/>
      <w:marTop w:val="0"/>
      <w:marBottom w:val="0"/>
      <w:divBdr>
        <w:top w:val="none" w:sz="0" w:space="0" w:color="auto"/>
        <w:left w:val="none" w:sz="0" w:space="0" w:color="auto"/>
        <w:bottom w:val="none" w:sz="0" w:space="0" w:color="auto"/>
        <w:right w:val="none" w:sz="0" w:space="0" w:color="auto"/>
      </w:divBdr>
      <w:divsChild>
        <w:div w:id="144393315">
          <w:marLeft w:val="0"/>
          <w:marRight w:val="0"/>
          <w:marTop w:val="0"/>
          <w:marBottom w:val="0"/>
          <w:divBdr>
            <w:top w:val="none" w:sz="0" w:space="0" w:color="auto"/>
            <w:left w:val="none" w:sz="0" w:space="0" w:color="auto"/>
            <w:bottom w:val="none" w:sz="0" w:space="0" w:color="auto"/>
            <w:right w:val="none" w:sz="0" w:space="0" w:color="auto"/>
          </w:divBdr>
          <w:divsChild>
            <w:div w:id="284700085">
              <w:marLeft w:val="0"/>
              <w:marRight w:val="0"/>
              <w:marTop w:val="0"/>
              <w:marBottom w:val="0"/>
              <w:divBdr>
                <w:top w:val="none" w:sz="0" w:space="0" w:color="auto"/>
                <w:left w:val="none" w:sz="0" w:space="0" w:color="auto"/>
                <w:bottom w:val="none" w:sz="0" w:space="0" w:color="auto"/>
                <w:right w:val="none" w:sz="0" w:space="0" w:color="auto"/>
              </w:divBdr>
              <w:divsChild>
                <w:div w:id="253369413">
                  <w:marLeft w:val="0"/>
                  <w:marRight w:val="0"/>
                  <w:marTop w:val="0"/>
                  <w:marBottom w:val="0"/>
                  <w:divBdr>
                    <w:top w:val="none" w:sz="0" w:space="0" w:color="auto"/>
                    <w:left w:val="none" w:sz="0" w:space="0" w:color="auto"/>
                    <w:bottom w:val="none" w:sz="0" w:space="0" w:color="auto"/>
                    <w:right w:val="none" w:sz="0" w:space="0" w:color="auto"/>
                  </w:divBdr>
                  <w:divsChild>
                    <w:div w:id="177159960">
                      <w:marLeft w:val="0"/>
                      <w:marRight w:val="0"/>
                      <w:marTop w:val="0"/>
                      <w:marBottom w:val="0"/>
                      <w:divBdr>
                        <w:top w:val="none" w:sz="0" w:space="0" w:color="auto"/>
                        <w:left w:val="none" w:sz="0" w:space="0" w:color="auto"/>
                        <w:bottom w:val="none" w:sz="0" w:space="0" w:color="auto"/>
                        <w:right w:val="none" w:sz="0" w:space="0" w:color="auto"/>
                      </w:divBdr>
                      <w:divsChild>
                        <w:div w:id="2075396544">
                          <w:marLeft w:val="0"/>
                          <w:marRight w:val="0"/>
                          <w:marTop w:val="0"/>
                          <w:marBottom w:val="0"/>
                          <w:divBdr>
                            <w:top w:val="none" w:sz="0" w:space="0" w:color="auto"/>
                            <w:left w:val="none" w:sz="0" w:space="0" w:color="auto"/>
                            <w:bottom w:val="none" w:sz="0" w:space="0" w:color="auto"/>
                            <w:right w:val="none" w:sz="0" w:space="0" w:color="auto"/>
                          </w:divBdr>
                          <w:divsChild>
                            <w:div w:id="13786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849988">
      <w:bodyDiv w:val="1"/>
      <w:marLeft w:val="0"/>
      <w:marRight w:val="0"/>
      <w:marTop w:val="0"/>
      <w:marBottom w:val="0"/>
      <w:divBdr>
        <w:top w:val="none" w:sz="0" w:space="0" w:color="auto"/>
        <w:left w:val="none" w:sz="0" w:space="0" w:color="auto"/>
        <w:bottom w:val="none" w:sz="0" w:space="0" w:color="auto"/>
        <w:right w:val="none" w:sz="0" w:space="0" w:color="auto"/>
      </w:divBdr>
      <w:divsChild>
        <w:div w:id="60643649">
          <w:marLeft w:val="0"/>
          <w:marRight w:val="0"/>
          <w:marTop w:val="0"/>
          <w:marBottom w:val="0"/>
          <w:divBdr>
            <w:top w:val="none" w:sz="0" w:space="0" w:color="auto"/>
            <w:left w:val="none" w:sz="0" w:space="0" w:color="auto"/>
            <w:bottom w:val="none" w:sz="0" w:space="0" w:color="auto"/>
            <w:right w:val="none" w:sz="0" w:space="0" w:color="auto"/>
          </w:divBdr>
          <w:divsChild>
            <w:div w:id="6911431">
              <w:marLeft w:val="0"/>
              <w:marRight w:val="0"/>
              <w:marTop w:val="0"/>
              <w:marBottom w:val="0"/>
              <w:divBdr>
                <w:top w:val="none" w:sz="0" w:space="0" w:color="auto"/>
                <w:left w:val="none" w:sz="0" w:space="0" w:color="auto"/>
                <w:bottom w:val="none" w:sz="0" w:space="0" w:color="auto"/>
                <w:right w:val="none" w:sz="0" w:space="0" w:color="auto"/>
              </w:divBdr>
              <w:divsChild>
                <w:div w:id="1881045401">
                  <w:marLeft w:val="0"/>
                  <w:marRight w:val="0"/>
                  <w:marTop w:val="0"/>
                  <w:marBottom w:val="0"/>
                  <w:divBdr>
                    <w:top w:val="none" w:sz="0" w:space="0" w:color="auto"/>
                    <w:left w:val="none" w:sz="0" w:space="0" w:color="auto"/>
                    <w:bottom w:val="none" w:sz="0" w:space="0" w:color="auto"/>
                    <w:right w:val="none" w:sz="0" w:space="0" w:color="auto"/>
                  </w:divBdr>
                  <w:divsChild>
                    <w:div w:id="677584444">
                      <w:marLeft w:val="0"/>
                      <w:marRight w:val="0"/>
                      <w:marTop w:val="0"/>
                      <w:marBottom w:val="0"/>
                      <w:divBdr>
                        <w:top w:val="none" w:sz="0" w:space="0" w:color="auto"/>
                        <w:left w:val="none" w:sz="0" w:space="0" w:color="auto"/>
                        <w:bottom w:val="none" w:sz="0" w:space="0" w:color="auto"/>
                        <w:right w:val="none" w:sz="0" w:space="0" w:color="auto"/>
                      </w:divBdr>
                      <w:divsChild>
                        <w:div w:id="1183204845">
                          <w:marLeft w:val="0"/>
                          <w:marRight w:val="0"/>
                          <w:marTop w:val="0"/>
                          <w:marBottom w:val="0"/>
                          <w:divBdr>
                            <w:top w:val="none" w:sz="0" w:space="0" w:color="auto"/>
                            <w:left w:val="none" w:sz="0" w:space="0" w:color="auto"/>
                            <w:bottom w:val="none" w:sz="0" w:space="0" w:color="auto"/>
                            <w:right w:val="none" w:sz="0" w:space="0" w:color="auto"/>
                          </w:divBdr>
                          <w:divsChild>
                            <w:div w:id="2684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30485">
      <w:bodyDiv w:val="1"/>
      <w:marLeft w:val="0"/>
      <w:marRight w:val="0"/>
      <w:marTop w:val="0"/>
      <w:marBottom w:val="0"/>
      <w:divBdr>
        <w:top w:val="none" w:sz="0" w:space="0" w:color="auto"/>
        <w:left w:val="none" w:sz="0" w:space="0" w:color="auto"/>
        <w:bottom w:val="none" w:sz="0" w:space="0" w:color="auto"/>
        <w:right w:val="none" w:sz="0" w:space="0" w:color="auto"/>
      </w:divBdr>
      <w:divsChild>
        <w:div w:id="544492811">
          <w:marLeft w:val="0"/>
          <w:marRight w:val="0"/>
          <w:marTop w:val="0"/>
          <w:marBottom w:val="0"/>
          <w:divBdr>
            <w:top w:val="none" w:sz="0" w:space="0" w:color="auto"/>
            <w:left w:val="none" w:sz="0" w:space="0" w:color="auto"/>
            <w:bottom w:val="none" w:sz="0" w:space="0" w:color="auto"/>
            <w:right w:val="none" w:sz="0" w:space="0" w:color="auto"/>
          </w:divBdr>
          <w:divsChild>
            <w:div w:id="1232042640">
              <w:marLeft w:val="0"/>
              <w:marRight w:val="0"/>
              <w:marTop w:val="0"/>
              <w:marBottom w:val="0"/>
              <w:divBdr>
                <w:top w:val="none" w:sz="0" w:space="0" w:color="auto"/>
                <w:left w:val="none" w:sz="0" w:space="0" w:color="auto"/>
                <w:bottom w:val="none" w:sz="0" w:space="0" w:color="auto"/>
                <w:right w:val="none" w:sz="0" w:space="0" w:color="auto"/>
              </w:divBdr>
              <w:divsChild>
                <w:div w:id="596402058">
                  <w:marLeft w:val="0"/>
                  <w:marRight w:val="0"/>
                  <w:marTop w:val="0"/>
                  <w:marBottom w:val="0"/>
                  <w:divBdr>
                    <w:top w:val="none" w:sz="0" w:space="0" w:color="auto"/>
                    <w:left w:val="none" w:sz="0" w:space="0" w:color="auto"/>
                    <w:bottom w:val="none" w:sz="0" w:space="0" w:color="auto"/>
                    <w:right w:val="none" w:sz="0" w:space="0" w:color="auto"/>
                  </w:divBdr>
                  <w:divsChild>
                    <w:div w:id="300774923">
                      <w:marLeft w:val="0"/>
                      <w:marRight w:val="0"/>
                      <w:marTop w:val="0"/>
                      <w:marBottom w:val="0"/>
                      <w:divBdr>
                        <w:top w:val="none" w:sz="0" w:space="0" w:color="auto"/>
                        <w:left w:val="none" w:sz="0" w:space="0" w:color="auto"/>
                        <w:bottom w:val="none" w:sz="0" w:space="0" w:color="auto"/>
                        <w:right w:val="none" w:sz="0" w:space="0" w:color="auto"/>
                      </w:divBdr>
                      <w:divsChild>
                        <w:div w:id="246156269">
                          <w:marLeft w:val="0"/>
                          <w:marRight w:val="0"/>
                          <w:marTop w:val="0"/>
                          <w:marBottom w:val="0"/>
                          <w:divBdr>
                            <w:top w:val="none" w:sz="0" w:space="0" w:color="auto"/>
                            <w:left w:val="none" w:sz="0" w:space="0" w:color="auto"/>
                            <w:bottom w:val="none" w:sz="0" w:space="0" w:color="auto"/>
                            <w:right w:val="none" w:sz="0" w:space="0" w:color="auto"/>
                          </w:divBdr>
                          <w:divsChild>
                            <w:div w:id="114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708833">
      <w:bodyDiv w:val="1"/>
      <w:marLeft w:val="0"/>
      <w:marRight w:val="0"/>
      <w:marTop w:val="0"/>
      <w:marBottom w:val="0"/>
      <w:divBdr>
        <w:top w:val="none" w:sz="0" w:space="0" w:color="auto"/>
        <w:left w:val="none" w:sz="0" w:space="0" w:color="auto"/>
        <w:bottom w:val="none" w:sz="0" w:space="0" w:color="auto"/>
        <w:right w:val="none" w:sz="0" w:space="0" w:color="auto"/>
      </w:divBdr>
      <w:divsChild>
        <w:div w:id="1778677269">
          <w:marLeft w:val="0"/>
          <w:marRight w:val="0"/>
          <w:marTop w:val="0"/>
          <w:marBottom w:val="0"/>
          <w:divBdr>
            <w:top w:val="none" w:sz="0" w:space="0" w:color="auto"/>
            <w:left w:val="none" w:sz="0" w:space="0" w:color="auto"/>
            <w:bottom w:val="none" w:sz="0" w:space="0" w:color="auto"/>
            <w:right w:val="none" w:sz="0" w:space="0" w:color="auto"/>
          </w:divBdr>
          <w:divsChild>
            <w:div w:id="1781947661">
              <w:marLeft w:val="0"/>
              <w:marRight w:val="0"/>
              <w:marTop w:val="0"/>
              <w:marBottom w:val="0"/>
              <w:divBdr>
                <w:top w:val="none" w:sz="0" w:space="0" w:color="auto"/>
                <w:left w:val="none" w:sz="0" w:space="0" w:color="auto"/>
                <w:bottom w:val="none" w:sz="0" w:space="0" w:color="auto"/>
                <w:right w:val="none" w:sz="0" w:space="0" w:color="auto"/>
              </w:divBdr>
              <w:divsChild>
                <w:div w:id="618948992">
                  <w:marLeft w:val="0"/>
                  <w:marRight w:val="0"/>
                  <w:marTop w:val="0"/>
                  <w:marBottom w:val="0"/>
                  <w:divBdr>
                    <w:top w:val="none" w:sz="0" w:space="0" w:color="auto"/>
                    <w:left w:val="none" w:sz="0" w:space="0" w:color="auto"/>
                    <w:bottom w:val="none" w:sz="0" w:space="0" w:color="auto"/>
                    <w:right w:val="none" w:sz="0" w:space="0" w:color="auto"/>
                  </w:divBdr>
                  <w:divsChild>
                    <w:div w:id="1246920524">
                      <w:marLeft w:val="0"/>
                      <w:marRight w:val="0"/>
                      <w:marTop w:val="0"/>
                      <w:marBottom w:val="0"/>
                      <w:divBdr>
                        <w:top w:val="none" w:sz="0" w:space="0" w:color="auto"/>
                        <w:left w:val="none" w:sz="0" w:space="0" w:color="auto"/>
                        <w:bottom w:val="none" w:sz="0" w:space="0" w:color="auto"/>
                        <w:right w:val="none" w:sz="0" w:space="0" w:color="auto"/>
                      </w:divBdr>
                      <w:divsChild>
                        <w:div w:id="703137801">
                          <w:marLeft w:val="0"/>
                          <w:marRight w:val="0"/>
                          <w:marTop w:val="0"/>
                          <w:marBottom w:val="0"/>
                          <w:divBdr>
                            <w:top w:val="none" w:sz="0" w:space="0" w:color="auto"/>
                            <w:left w:val="none" w:sz="0" w:space="0" w:color="auto"/>
                            <w:bottom w:val="none" w:sz="0" w:space="0" w:color="auto"/>
                            <w:right w:val="none" w:sz="0" w:space="0" w:color="auto"/>
                          </w:divBdr>
                          <w:divsChild>
                            <w:div w:id="4708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63985">
      <w:bodyDiv w:val="1"/>
      <w:marLeft w:val="0"/>
      <w:marRight w:val="0"/>
      <w:marTop w:val="0"/>
      <w:marBottom w:val="0"/>
      <w:divBdr>
        <w:top w:val="none" w:sz="0" w:space="0" w:color="auto"/>
        <w:left w:val="none" w:sz="0" w:space="0" w:color="auto"/>
        <w:bottom w:val="none" w:sz="0" w:space="0" w:color="auto"/>
        <w:right w:val="none" w:sz="0" w:space="0" w:color="auto"/>
      </w:divBdr>
      <w:divsChild>
        <w:div w:id="196162381">
          <w:marLeft w:val="0"/>
          <w:marRight w:val="0"/>
          <w:marTop w:val="0"/>
          <w:marBottom w:val="0"/>
          <w:divBdr>
            <w:top w:val="none" w:sz="0" w:space="0" w:color="auto"/>
            <w:left w:val="none" w:sz="0" w:space="0" w:color="auto"/>
            <w:bottom w:val="none" w:sz="0" w:space="0" w:color="auto"/>
            <w:right w:val="none" w:sz="0" w:space="0" w:color="auto"/>
          </w:divBdr>
          <w:divsChild>
            <w:div w:id="1322465004">
              <w:marLeft w:val="0"/>
              <w:marRight w:val="0"/>
              <w:marTop w:val="0"/>
              <w:marBottom w:val="0"/>
              <w:divBdr>
                <w:top w:val="none" w:sz="0" w:space="0" w:color="auto"/>
                <w:left w:val="none" w:sz="0" w:space="0" w:color="auto"/>
                <w:bottom w:val="none" w:sz="0" w:space="0" w:color="auto"/>
                <w:right w:val="none" w:sz="0" w:space="0" w:color="auto"/>
              </w:divBdr>
              <w:divsChild>
                <w:div w:id="505100647">
                  <w:marLeft w:val="0"/>
                  <w:marRight w:val="0"/>
                  <w:marTop w:val="0"/>
                  <w:marBottom w:val="0"/>
                  <w:divBdr>
                    <w:top w:val="none" w:sz="0" w:space="0" w:color="auto"/>
                    <w:left w:val="none" w:sz="0" w:space="0" w:color="auto"/>
                    <w:bottom w:val="none" w:sz="0" w:space="0" w:color="auto"/>
                    <w:right w:val="none" w:sz="0" w:space="0" w:color="auto"/>
                  </w:divBdr>
                  <w:divsChild>
                    <w:div w:id="1362168123">
                      <w:marLeft w:val="0"/>
                      <w:marRight w:val="0"/>
                      <w:marTop w:val="0"/>
                      <w:marBottom w:val="0"/>
                      <w:divBdr>
                        <w:top w:val="none" w:sz="0" w:space="0" w:color="auto"/>
                        <w:left w:val="none" w:sz="0" w:space="0" w:color="auto"/>
                        <w:bottom w:val="none" w:sz="0" w:space="0" w:color="auto"/>
                        <w:right w:val="none" w:sz="0" w:space="0" w:color="auto"/>
                      </w:divBdr>
                      <w:divsChild>
                        <w:div w:id="2141142276">
                          <w:marLeft w:val="0"/>
                          <w:marRight w:val="0"/>
                          <w:marTop w:val="0"/>
                          <w:marBottom w:val="0"/>
                          <w:divBdr>
                            <w:top w:val="none" w:sz="0" w:space="0" w:color="auto"/>
                            <w:left w:val="none" w:sz="0" w:space="0" w:color="auto"/>
                            <w:bottom w:val="none" w:sz="0" w:space="0" w:color="auto"/>
                            <w:right w:val="none" w:sz="0" w:space="0" w:color="auto"/>
                          </w:divBdr>
                          <w:divsChild>
                            <w:div w:id="9078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07769">
      <w:bodyDiv w:val="1"/>
      <w:marLeft w:val="0"/>
      <w:marRight w:val="0"/>
      <w:marTop w:val="0"/>
      <w:marBottom w:val="0"/>
      <w:divBdr>
        <w:top w:val="none" w:sz="0" w:space="0" w:color="auto"/>
        <w:left w:val="none" w:sz="0" w:space="0" w:color="auto"/>
        <w:bottom w:val="none" w:sz="0" w:space="0" w:color="auto"/>
        <w:right w:val="none" w:sz="0" w:space="0" w:color="auto"/>
      </w:divBdr>
      <w:divsChild>
        <w:div w:id="1751003040">
          <w:marLeft w:val="0"/>
          <w:marRight w:val="0"/>
          <w:marTop w:val="0"/>
          <w:marBottom w:val="0"/>
          <w:divBdr>
            <w:top w:val="none" w:sz="0" w:space="0" w:color="auto"/>
            <w:left w:val="none" w:sz="0" w:space="0" w:color="auto"/>
            <w:bottom w:val="none" w:sz="0" w:space="0" w:color="auto"/>
            <w:right w:val="none" w:sz="0" w:space="0" w:color="auto"/>
          </w:divBdr>
          <w:divsChild>
            <w:div w:id="871916767">
              <w:marLeft w:val="0"/>
              <w:marRight w:val="0"/>
              <w:marTop w:val="0"/>
              <w:marBottom w:val="0"/>
              <w:divBdr>
                <w:top w:val="none" w:sz="0" w:space="0" w:color="auto"/>
                <w:left w:val="none" w:sz="0" w:space="0" w:color="auto"/>
                <w:bottom w:val="none" w:sz="0" w:space="0" w:color="auto"/>
                <w:right w:val="none" w:sz="0" w:space="0" w:color="auto"/>
              </w:divBdr>
              <w:divsChild>
                <w:div w:id="798259623">
                  <w:marLeft w:val="0"/>
                  <w:marRight w:val="0"/>
                  <w:marTop w:val="0"/>
                  <w:marBottom w:val="0"/>
                  <w:divBdr>
                    <w:top w:val="none" w:sz="0" w:space="0" w:color="auto"/>
                    <w:left w:val="none" w:sz="0" w:space="0" w:color="auto"/>
                    <w:bottom w:val="none" w:sz="0" w:space="0" w:color="auto"/>
                    <w:right w:val="none" w:sz="0" w:space="0" w:color="auto"/>
                  </w:divBdr>
                  <w:divsChild>
                    <w:div w:id="91437054">
                      <w:marLeft w:val="0"/>
                      <w:marRight w:val="0"/>
                      <w:marTop w:val="0"/>
                      <w:marBottom w:val="0"/>
                      <w:divBdr>
                        <w:top w:val="none" w:sz="0" w:space="0" w:color="auto"/>
                        <w:left w:val="none" w:sz="0" w:space="0" w:color="auto"/>
                        <w:bottom w:val="none" w:sz="0" w:space="0" w:color="auto"/>
                        <w:right w:val="none" w:sz="0" w:space="0" w:color="auto"/>
                      </w:divBdr>
                      <w:divsChild>
                        <w:div w:id="291786958">
                          <w:marLeft w:val="0"/>
                          <w:marRight w:val="0"/>
                          <w:marTop w:val="0"/>
                          <w:marBottom w:val="0"/>
                          <w:divBdr>
                            <w:top w:val="none" w:sz="0" w:space="0" w:color="auto"/>
                            <w:left w:val="none" w:sz="0" w:space="0" w:color="auto"/>
                            <w:bottom w:val="none" w:sz="0" w:space="0" w:color="auto"/>
                            <w:right w:val="none" w:sz="0" w:space="0" w:color="auto"/>
                          </w:divBdr>
                          <w:divsChild>
                            <w:div w:id="14211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857641">
      <w:bodyDiv w:val="1"/>
      <w:marLeft w:val="0"/>
      <w:marRight w:val="0"/>
      <w:marTop w:val="0"/>
      <w:marBottom w:val="0"/>
      <w:divBdr>
        <w:top w:val="none" w:sz="0" w:space="0" w:color="auto"/>
        <w:left w:val="none" w:sz="0" w:space="0" w:color="auto"/>
        <w:bottom w:val="none" w:sz="0" w:space="0" w:color="auto"/>
        <w:right w:val="none" w:sz="0" w:space="0" w:color="auto"/>
      </w:divBdr>
      <w:divsChild>
        <w:div w:id="1010762980">
          <w:marLeft w:val="0"/>
          <w:marRight w:val="0"/>
          <w:marTop w:val="0"/>
          <w:marBottom w:val="0"/>
          <w:divBdr>
            <w:top w:val="none" w:sz="0" w:space="0" w:color="auto"/>
            <w:left w:val="none" w:sz="0" w:space="0" w:color="auto"/>
            <w:bottom w:val="none" w:sz="0" w:space="0" w:color="auto"/>
            <w:right w:val="none" w:sz="0" w:space="0" w:color="auto"/>
          </w:divBdr>
          <w:divsChild>
            <w:div w:id="169806380">
              <w:marLeft w:val="0"/>
              <w:marRight w:val="0"/>
              <w:marTop w:val="0"/>
              <w:marBottom w:val="0"/>
              <w:divBdr>
                <w:top w:val="none" w:sz="0" w:space="0" w:color="auto"/>
                <w:left w:val="none" w:sz="0" w:space="0" w:color="auto"/>
                <w:bottom w:val="none" w:sz="0" w:space="0" w:color="auto"/>
                <w:right w:val="none" w:sz="0" w:space="0" w:color="auto"/>
              </w:divBdr>
              <w:divsChild>
                <w:div w:id="984972060">
                  <w:marLeft w:val="0"/>
                  <w:marRight w:val="0"/>
                  <w:marTop w:val="0"/>
                  <w:marBottom w:val="0"/>
                  <w:divBdr>
                    <w:top w:val="none" w:sz="0" w:space="0" w:color="auto"/>
                    <w:left w:val="none" w:sz="0" w:space="0" w:color="auto"/>
                    <w:bottom w:val="none" w:sz="0" w:space="0" w:color="auto"/>
                    <w:right w:val="none" w:sz="0" w:space="0" w:color="auto"/>
                  </w:divBdr>
                  <w:divsChild>
                    <w:div w:id="312180099">
                      <w:marLeft w:val="0"/>
                      <w:marRight w:val="0"/>
                      <w:marTop w:val="0"/>
                      <w:marBottom w:val="0"/>
                      <w:divBdr>
                        <w:top w:val="none" w:sz="0" w:space="0" w:color="auto"/>
                        <w:left w:val="none" w:sz="0" w:space="0" w:color="auto"/>
                        <w:bottom w:val="none" w:sz="0" w:space="0" w:color="auto"/>
                        <w:right w:val="none" w:sz="0" w:space="0" w:color="auto"/>
                      </w:divBdr>
                      <w:divsChild>
                        <w:div w:id="1599370952">
                          <w:marLeft w:val="0"/>
                          <w:marRight w:val="0"/>
                          <w:marTop w:val="0"/>
                          <w:marBottom w:val="0"/>
                          <w:divBdr>
                            <w:top w:val="none" w:sz="0" w:space="0" w:color="auto"/>
                            <w:left w:val="none" w:sz="0" w:space="0" w:color="auto"/>
                            <w:bottom w:val="none" w:sz="0" w:space="0" w:color="auto"/>
                            <w:right w:val="none" w:sz="0" w:space="0" w:color="auto"/>
                          </w:divBdr>
                          <w:divsChild>
                            <w:div w:id="561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597149">
      <w:bodyDiv w:val="1"/>
      <w:marLeft w:val="0"/>
      <w:marRight w:val="0"/>
      <w:marTop w:val="0"/>
      <w:marBottom w:val="0"/>
      <w:divBdr>
        <w:top w:val="none" w:sz="0" w:space="0" w:color="auto"/>
        <w:left w:val="none" w:sz="0" w:space="0" w:color="auto"/>
        <w:bottom w:val="none" w:sz="0" w:space="0" w:color="auto"/>
        <w:right w:val="none" w:sz="0" w:space="0" w:color="auto"/>
      </w:divBdr>
      <w:divsChild>
        <w:div w:id="1047683153">
          <w:marLeft w:val="0"/>
          <w:marRight w:val="0"/>
          <w:marTop w:val="0"/>
          <w:marBottom w:val="0"/>
          <w:divBdr>
            <w:top w:val="none" w:sz="0" w:space="0" w:color="auto"/>
            <w:left w:val="none" w:sz="0" w:space="0" w:color="auto"/>
            <w:bottom w:val="none" w:sz="0" w:space="0" w:color="auto"/>
            <w:right w:val="none" w:sz="0" w:space="0" w:color="auto"/>
          </w:divBdr>
          <w:divsChild>
            <w:div w:id="1070076077">
              <w:marLeft w:val="0"/>
              <w:marRight w:val="0"/>
              <w:marTop w:val="0"/>
              <w:marBottom w:val="0"/>
              <w:divBdr>
                <w:top w:val="none" w:sz="0" w:space="0" w:color="auto"/>
                <w:left w:val="none" w:sz="0" w:space="0" w:color="auto"/>
                <w:bottom w:val="none" w:sz="0" w:space="0" w:color="auto"/>
                <w:right w:val="none" w:sz="0" w:space="0" w:color="auto"/>
              </w:divBdr>
              <w:divsChild>
                <w:div w:id="1947956591">
                  <w:marLeft w:val="0"/>
                  <w:marRight w:val="0"/>
                  <w:marTop w:val="0"/>
                  <w:marBottom w:val="0"/>
                  <w:divBdr>
                    <w:top w:val="none" w:sz="0" w:space="0" w:color="auto"/>
                    <w:left w:val="none" w:sz="0" w:space="0" w:color="auto"/>
                    <w:bottom w:val="none" w:sz="0" w:space="0" w:color="auto"/>
                    <w:right w:val="none" w:sz="0" w:space="0" w:color="auto"/>
                  </w:divBdr>
                  <w:divsChild>
                    <w:div w:id="1643539263">
                      <w:marLeft w:val="0"/>
                      <w:marRight w:val="0"/>
                      <w:marTop w:val="0"/>
                      <w:marBottom w:val="0"/>
                      <w:divBdr>
                        <w:top w:val="none" w:sz="0" w:space="0" w:color="auto"/>
                        <w:left w:val="none" w:sz="0" w:space="0" w:color="auto"/>
                        <w:bottom w:val="none" w:sz="0" w:space="0" w:color="auto"/>
                        <w:right w:val="none" w:sz="0" w:space="0" w:color="auto"/>
                      </w:divBdr>
                      <w:divsChild>
                        <w:div w:id="1855461774">
                          <w:marLeft w:val="0"/>
                          <w:marRight w:val="0"/>
                          <w:marTop w:val="0"/>
                          <w:marBottom w:val="0"/>
                          <w:divBdr>
                            <w:top w:val="none" w:sz="0" w:space="0" w:color="auto"/>
                            <w:left w:val="none" w:sz="0" w:space="0" w:color="auto"/>
                            <w:bottom w:val="none" w:sz="0" w:space="0" w:color="auto"/>
                            <w:right w:val="none" w:sz="0" w:space="0" w:color="auto"/>
                          </w:divBdr>
                          <w:divsChild>
                            <w:div w:id="4440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148741">
      <w:bodyDiv w:val="1"/>
      <w:marLeft w:val="0"/>
      <w:marRight w:val="0"/>
      <w:marTop w:val="0"/>
      <w:marBottom w:val="0"/>
      <w:divBdr>
        <w:top w:val="none" w:sz="0" w:space="0" w:color="auto"/>
        <w:left w:val="none" w:sz="0" w:space="0" w:color="auto"/>
        <w:bottom w:val="none" w:sz="0" w:space="0" w:color="auto"/>
        <w:right w:val="none" w:sz="0" w:space="0" w:color="auto"/>
      </w:divBdr>
      <w:divsChild>
        <w:div w:id="1583103639">
          <w:marLeft w:val="0"/>
          <w:marRight w:val="0"/>
          <w:marTop w:val="0"/>
          <w:marBottom w:val="0"/>
          <w:divBdr>
            <w:top w:val="none" w:sz="0" w:space="0" w:color="auto"/>
            <w:left w:val="none" w:sz="0" w:space="0" w:color="auto"/>
            <w:bottom w:val="none" w:sz="0" w:space="0" w:color="auto"/>
            <w:right w:val="none" w:sz="0" w:space="0" w:color="auto"/>
          </w:divBdr>
          <w:divsChild>
            <w:div w:id="760882117">
              <w:marLeft w:val="0"/>
              <w:marRight w:val="0"/>
              <w:marTop w:val="0"/>
              <w:marBottom w:val="0"/>
              <w:divBdr>
                <w:top w:val="none" w:sz="0" w:space="0" w:color="auto"/>
                <w:left w:val="none" w:sz="0" w:space="0" w:color="auto"/>
                <w:bottom w:val="none" w:sz="0" w:space="0" w:color="auto"/>
                <w:right w:val="none" w:sz="0" w:space="0" w:color="auto"/>
              </w:divBdr>
              <w:divsChild>
                <w:div w:id="2078505940">
                  <w:marLeft w:val="0"/>
                  <w:marRight w:val="0"/>
                  <w:marTop w:val="0"/>
                  <w:marBottom w:val="0"/>
                  <w:divBdr>
                    <w:top w:val="none" w:sz="0" w:space="0" w:color="auto"/>
                    <w:left w:val="none" w:sz="0" w:space="0" w:color="auto"/>
                    <w:bottom w:val="none" w:sz="0" w:space="0" w:color="auto"/>
                    <w:right w:val="none" w:sz="0" w:space="0" w:color="auto"/>
                  </w:divBdr>
                  <w:divsChild>
                    <w:div w:id="2005936728">
                      <w:marLeft w:val="0"/>
                      <w:marRight w:val="0"/>
                      <w:marTop w:val="0"/>
                      <w:marBottom w:val="0"/>
                      <w:divBdr>
                        <w:top w:val="none" w:sz="0" w:space="0" w:color="auto"/>
                        <w:left w:val="none" w:sz="0" w:space="0" w:color="auto"/>
                        <w:bottom w:val="none" w:sz="0" w:space="0" w:color="auto"/>
                        <w:right w:val="none" w:sz="0" w:space="0" w:color="auto"/>
                      </w:divBdr>
                      <w:divsChild>
                        <w:div w:id="1214467537">
                          <w:marLeft w:val="0"/>
                          <w:marRight w:val="0"/>
                          <w:marTop w:val="0"/>
                          <w:marBottom w:val="0"/>
                          <w:divBdr>
                            <w:top w:val="none" w:sz="0" w:space="0" w:color="auto"/>
                            <w:left w:val="none" w:sz="0" w:space="0" w:color="auto"/>
                            <w:bottom w:val="none" w:sz="0" w:space="0" w:color="auto"/>
                            <w:right w:val="none" w:sz="0" w:space="0" w:color="auto"/>
                          </w:divBdr>
                          <w:divsChild>
                            <w:div w:id="8949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57529">
      <w:bodyDiv w:val="1"/>
      <w:marLeft w:val="0"/>
      <w:marRight w:val="0"/>
      <w:marTop w:val="0"/>
      <w:marBottom w:val="0"/>
      <w:divBdr>
        <w:top w:val="none" w:sz="0" w:space="0" w:color="auto"/>
        <w:left w:val="none" w:sz="0" w:space="0" w:color="auto"/>
        <w:bottom w:val="none" w:sz="0" w:space="0" w:color="auto"/>
        <w:right w:val="none" w:sz="0" w:space="0" w:color="auto"/>
      </w:divBdr>
      <w:divsChild>
        <w:div w:id="465507174">
          <w:marLeft w:val="0"/>
          <w:marRight w:val="0"/>
          <w:marTop w:val="0"/>
          <w:marBottom w:val="0"/>
          <w:divBdr>
            <w:top w:val="none" w:sz="0" w:space="0" w:color="auto"/>
            <w:left w:val="none" w:sz="0" w:space="0" w:color="auto"/>
            <w:bottom w:val="none" w:sz="0" w:space="0" w:color="auto"/>
            <w:right w:val="none" w:sz="0" w:space="0" w:color="auto"/>
          </w:divBdr>
          <w:divsChild>
            <w:div w:id="941492555">
              <w:marLeft w:val="0"/>
              <w:marRight w:val="0"/>
              <w:marTop w:val="0"/>
              <w:marBottom w:val="0"/>
              <w:divBdr>
                <w:top w:val="none" w:sz="0" w:space="0" w:color="auto"/>
                <w:left w:val="none" w:sz="0" w:space="0" w:color="auto"/>
                <w:bottom w:val="none" w:sz="0" w:space="0" w:color="auto"/>
                <w:right w:val="none" w:sz="0" w:space="0" w:color="auto"/>
              </w:divBdr>
              <w:divsChild>
                <w:div w:id="521624640">
                  <w:marLeft w:val="0"/>
                  <w:marRight w:val="0"/>
                  <w:marTop w:val="0"/>
                  <w:marBottom w:val="0"/>
                  <w:divBdr>
                    <w:top w:val="none" w:sz="0" w:space="0" w:color="auto"/>
                    <w:left w:val="none" w:sz="0" w:space="0" w:color="auto"/>
                    <w:bottom w:val="none" w:sz="0" w:space="0" w:color="auto"/>
                    <w:right w:val="none" w:sz="0" w:space="0" w:color="auto"/>
                  </w:divBdr>
                  <w:divsChild>
                    <w:div w:id="59794770">
                      <w:marLeft w:val="0"/>
                      <w:marRight w:val="0"/>
                      <w:marTop w:val="0"/>
                      <w:marBottom w:val="0"/>
                      <w:divBdr>
                        <w:top w:val="none" w:sz="0" w:space="0" w:color="auto"/>
                        <w:left w:val="none" w:sz="0" w:space="0" w:color="auto"/>
                        <w:bottom w:val="none" w:sz="0" w:space="0" w:color="auto"/>
                        <w:right w:val="none" w:sz="0" w:space="0" w:color="auto"/>
                      </w:divBdr>
                      <w:divsChild>
                        <w:div w:id="1107887548">
                          <w:marLeft w:val="0"/>
                          <w:marRight w:val="0"/>
                          <w:marTop w:val="0"/>
                          <w:marBottom w:val="0"/>
                          <w:divBdr>
                            <w:top w:val="none" w:sz="0" w:space="0" w:color="auto"/>
                            <w:left w:val="none" w:sz="0" w:space="0" w:color="auto"/>
                            <w:bottom w:val="none" w:sz="0" w:space="0" w:color="auto"/>
                            <w:right w:val="none" w:sz="0" w:space="0" w:color="auto"/>
                          </w:divBdr>
                          <w:divsChild>
                            <w:div w:id="16239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01004">
      <w:bodyDiv w:val="1"/>
      <w:marLeft w:val="0"/>
      <w:marRight w:val="0"/>
      <w:marTop w:val="0"/>
      <w:marBottom w:val="0"/>
      <w:divBdr>
        <w:top w:val="none" w:sz="0" w:space="0" w:color="auto"/>
        <w:left w:val="none" w:sz="0" w:space="0" w:color="auto"/>
        <w:bottom w:val="none" w:sz="0" w:space="0" w:color="auto"/>
        <w:right w:val="none" w:sz="0" w:space="0" w:color="auto"/>
      </w:divBdr>
      <w:divsChild>
        <w:div w:id="936252279">
          <w:marLeft w:val="0"/>
          <w:marRight w:val="0"/>
          <w:marTop w:val="0"/>
          <w:marBottom w:val="0"/>
          <w:divBdr>
            <w:top w:val="none" w:sz="0" w:space="0" w:color="auto"/>
            <w:left w:val="none" w:sz="0" w:space="0" w:color="auto"/>
            <w:bottom w:val="none" w:sz="0" w:space="0" w:color="auto"/>
            <w:right w:val="none" w:sz="0" w:space="0" w:color="auto"/>
          </w:divBdr>
          <w:divsChild>
            <w:div w:id="1655184401">
              <w:marLeft w:val="0"/>
              <w:marRight w:val="0"/>
              <w:marTop w:val="0"/>
              <w:marBottom w:val="0"/>
              <w:divBdr>
                <w:top w:val="none" w:sz="0" w:space="0" w:color="auto"/>
                <w:left w:val="none" w:sz="0" w:space="0" w:color="auto"/>
                <w:bottom w:val="none" w:sz="0" w:space="0" w:color="auto"/>
                <w:right w:val="none" w:sz="0" w:space="0" w:color="auto"/>
              </w:divBdr>
              <w:divsChild>
                <w:div w:id="1855412883">
                  <w:marLeft w:val="0"/>
                  <w:marRight w:val="0"/>
                  <w:marTop w:val="0"/>
                  <w:marBottom w:val="0"/>
                  <w:divBdr>
                    <w:top w:val="none" w:sz="0" w:space="0" w:color="auto"/>
                    <w:left w:val="none" w:sz="0" w:space="0" w:color="auto"/>
                    <w:bottom w:val="none" w:sz="0" w:space="0" w:color="auto"/>
                    <w:right w:val="none" w:sz="0" w:space="0" w:color="auto"/>
                  </w:divBdr>
                  <w:divsChild>
                    <w:div w:id="2006979735">
                      <w:marLeft w:val="0"/>
                      <w:marRight w:val="0"/>
                      <w:marTop w:val="0"/>
                      <w:marBottom w:val="0"/>
                      <w:divBdr>
                        <w:top w:val="none" w:sz="0" w:space="0" w:color="auto"/>
                        <w:left w:val="none" w:sz="0" w:space="0" w:color="auto"/>
                        <w:bottom w:val="none" w:sz="0" w:space="0" w:color="auto"/>
                        <w:right w:val="none" w:sz="0" w:space="0" w:color="auto"/>
                      </w:divBdr>
                      <w:divsChild>
                        <w:div w:id="1174684236">
                          <w:marLeft w:val="0"/>
                          <w:marRight w:val="0"/>
                          <w:marTop w:val="0"/>
                          <w:marBottom w:val="0"/>
                          <w:divBdr>
                            <w:top w:val="none" w:sz="0" w:space="0" w:color="auto"/>
                            <w:left w:val="none" w:sz="0" w:space="0" w:color="auto"/>
                            <w:bottom w:val="none" w:sz="0" w:space="0" w:color="auto"/>
                            <w:right w:val="none" w:sz="0" w:space="0" w:color="auto"/>
                          </w:divBdr>
                          <w:divsChild>
                            <w:div w:id="11502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836020">
      <w:bodyDiv w:val="1"/>
      <w:marLeft w:val="0"/>
      <w:marRight w:val="0"/>
      <w:marTop w:val="0"/>
      <w:marBottom w:val="0"/>
      <w:divBdr>
        <w:top w:val="none" w:sz="0" w:space="0" w:color="auto"/>
        <w:left w:val="none" w:sz="0" w:space="0" w:color="auto"/>
        <w:bottom w:val="none" w:sz="0" w:space="0" w:color="auto"/>
        <w:right w:val="none" w:sz="0" w:space="0" w:color="auto"/>
      </w:divBdr>
      <w:divsChild>
        <w:div w:id="910240706">
          <w:marLeft w:val="0"/>
          <w:marRight w:val="0"/>
          <w:marTop w:val="0"/>
          <w:marBottom w:val="0"/>
          <w:divBdr>
            <w:top w:val="none" w:sz="0" w:space="0" w:color="auto"/>
            <w:left w:val="none" w:sz="0" w:space="0" w:color="auto"/>
            <w:bottom w:val="none" w:sz="0" w:space="0" w:color="auto"/>
            <w:right w:val="none" w:sz="0" w:space="0" w:color="auto"/>
          </w:divBdr>
          <w:divsChild>
            <w:div w:id="1986347317">
              <w:marLeft w:val="0"/>
              <w:marRight w:val="0"/>
              <w:marTop w:val="0"/>
              <w:marBottom w:val="0"/>
              <w:divBdr>
                <w:top w:val="none" w:sz="0" w:space="0" w:color="auto"/>
                <w:left w:val="none" w:sz="0" w:space="0" w:color="auto"/>
                <w:bottom w:val="none" w:sz="0" w:space="0" w:color="auto"/>
                <w:right w:val="none" w:sz="0" w:space="0" w:color="auto"/>
              </w:divBdr>
              <w:divsChild>
                <w:div w:id="2032871680">
                  <w:marLeft w:val="0"/>
                  <w:marRight w:val="0"/>
                  <w:marTop w:val="0"/>
                  <w:marBottom w:val="0"/>
                  <w:divBdr>
                    <w:top w:val="none" w:sz="0" w:space="0" w:color="auto"/>
                    <w:left w:val="none" w:sz="0" w:space="0" w:color="auto"/>
                    <w:bottom w:val="none" w:sz="0" w:space="0" w:color="auto"/>
                    <w:right w:val="none" w:sz="0" w:space="0" w:color="auto"/>
                  </w:divBdr>
                  <w:divsChild>
                    <w:div w:id="1567373476">
                      <w:marLeft w:val="0"/>
                      <w:marRight w:val="0"/>
                      <w:marTop w:val="0"/>
                      <w:marBottom w:val="0"/>
                      <w:divBdr>
                        <w:top w:val="none" w:sz="0" w:space="0" w:color="auto"/>
                        <w:left w:val="none" w:sz="0" w:space="0" w:color="auto"/>
                        <w:bottom w:val="none" w:sz="0" w:space="0" w:color="auto"/>
                        <w:right w:val="none" w:sz="0" w:space="0" w:color="auto"/>
                      </w:divBdr>
                      <w:divsChild>
                        <w:div w:id="1175343185">
                          <w:marLeft w:val="0"/>
                          <w:marRight w:val="0"/>
                          <w:marTop w:val="0"/>
                          <w:marBottom w:val="0"/>
                          <w:divBdr>
                            <w:top w:val="none" w:sz="0" w:space="0" w:color="auto"/>
                            <w:left w:val="none" w:sz="0" w:space="0" w:color="auto"/>
                            <w:bottom w:val="none" w:sz="0" w:space="0" w:color="auto"/>
                            <w:right w:val="none" w:sz="0" w:space="0" w:color="auto"/>
                          </w:divBdr>
                          <w:divsChild>
                            <w:div w:id="6916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12013">
      <w:bodyDiv w:val="1"/>
      <w:marLeft w:val="0"/>
      <w:marRight w:val="0"/>
      <w:marTop w:val="0"/>
      <w:marBottom w:val="0"/>
      <w:divBdr>
        <w:top w:val="none" w:sz="0" w:space="0" w:color="auto"/>
        <w:left w:val="none" w:sz="0" w:space="0" w:color="auto"/>
        <w:bottom w:val="none" w:sz="0" w:space="0" w:color="auto"/>
        <w:right w:val="none" w:sz="0" w:space="0" w:color="auto"/>
      </w:divBdr>
      <w:divsChild>
        <w:div w:id="826409075">
          <w:marLeft w:val="0"/>
          <w:marRight w:val="0"/>
          <w:marTop w:val="0"/>
          <w:marBottom w:val="0"/>
          <w:divBdr>
            <w:top w:val="none" w:sz="0" w:space="0" w:color="auto"/>
            <w:left w:val="none" w:sz="0" w:space="0" w:color="auto"/>
            <w:bottom w:val="none" w:sz="0" w:space="0" w:color="auto"/>
            <w:right w:val="none" w:sz="0" w:space="0" w:color="auto"/>
          </w:divBdr>
          <w:divsChild>
            <w:div w:id="180433478">
              <w:marLeft w:val="0"/>
              <w:marRight w:val="0"/>
              <w:marTop w:val="0"/>
              <w:marBottom w:val="0"/>
              <w:divBdr>
                <w:top w:val="none" w:sz="0" w:space="0" w:color="auto"/>
                <w:left w:val="none" w:sz="0" w:space="0" w:color="auto"/>
                <w:bottom w:val="none" w:sz="0" w:space="0" w:color="auto"/>
                <w:right w:val="none" w:sz="0" w:space="0" w:color="auto"/>
              </w:divBdr>
              <w:divsChild>
                <w:div w:id="363287735">
                  <w:marLeft w:val="0"/>
                  <w:marRight w:val="0"/>
                  <w:marTop w:val="0"/>
                  <w:marBottom w:val="0"/>
                  <w:divBdr>
                    <w:top w:val="none" w:sz="0" w:space="0" w:color="auto"/>
                    <w:left w:val="none" w:sz="0" w:space="0" w:color="auto"/>
                    <w:bottom w:val="none" w:sz="0" w:space="0" w:color="auto"/>
                    <w:right w:val="none" w:sz="0" w:space="0" w:color="auto"/>
                  </w:divBdr>
                  <w:divsChild>
                    <w:div w:id="1238637357">
                      <w:marLeft w:val="0"/>
                      <w:marRight w:val="0"/>
                      <w:marTop w:val="0"/>
                      <w:marBottom w:val="0"/>
                      <w:divBdr>
                        <w:top w:val="none" w:sz="0" w:space="0" w:color="auto"/>
                        <w:left w:val="none" w:sz="0" w:space="0" w:color="auto"/>
                        <w:bottom w:val="none" w:sz="0" w:space="0" w:color="auto"/>
                        <w:right w:val="none" w:sz="0" w:space="0" w:color="auto"/>
                      </w:divBdr>
                      <w:divsChild>
                        <w:div w:id="1558083174">
                          <w:marLeft w:val="0"/>
                          <w:marRight w:val="0"/>
                          <w:marTop w:val="0"/>
                          <w:marBottom w:val="0"/>
                          <w:divBdr>
                            <w:top w:val="none" w:sz="0" w:space="0" w:color="auto"/>
                            <w:left w:val="none" w:sz="0" w:space="0" w:color="auto"/>
                            <w:bottom w:val="none" w:sz="0" w:space="0" w:color="auto"/>
                            <w:right w:val="none" w:sz="0" w:space="0" w:color="auto"/>
                          </w:divBdr>
                          <w:divsChild>
                            <w:div w:id="11383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15289">
      <w:bodyDiv w:val="1"/>
      <w:marLeft w:val="0"/>
      <w:marRight w:val="0"/>
      <w:marTop w:val="0"/>
      <w:marBottom w:val="0"/>
      <w:divBdr>
        <w:top w:val="none" w:sz="0" w:space="0" w:color="auto"/>
        <w:left w:val="none" w:sz="0" w:space="0" w:color="auto"/>
        <w:bottom w:val="none" w:sz="0" w:space="0" w:color="auto"/>
        <w:right w:val="none" w:sz="0" w:space="0" w:color="auto"/>
      </w:divBdr>
      <w:divsChild>
        <w:div w:id="900675233">
          <w:marLeft w:val="0"/>
          <w:marRight w:val="0"/>
          <w:marTop w:val="0"/>
          <w:marBottom w:val="0"/>
          <w:divBdr>
            <w:top w:val="none" w:sz="0" w:space="0" w:color="auto"/>
            <w:left w:val="none" w:sz="0" w:space="0" w:color="auto"/>
            <w:bottom w:val="none" w:sz="0" w:space="0" w:color="auto"/>
            <w:right w:val="none" w:sz="0" w:space="0" w:color="auto"/>
          </w:divBdr>
          <w:divsChild>
            <w:div w:id="1594557118">
              <w:marLeft w:val="0"/>
              <w:marRight w:val="0"/>
              <w:marTop w:val="0"/>
              <w:marBottom w:val="0"/>
              <w:divBdr>
                <w:top w:val="none" w:sz="0" w:space="0" w:color="auto"/>
                <w:left w:val="none" w:sz="0" w:space="0" w:color="auto"/>
                <w:bottom w:val="none" w:sz="0" w:space="0" w:color="auto"/>
                <w:right w:val="none" w:sz="0" w:space="0" w:color="auto"/>
              </w:divBdr>
              <w:divsChild>
                <w:div w:id="941691314">
                  <w:marLeft w:val="0"/>
                  <w:marRight w:val="0"/>
                  <w:marTop w:val="0"/>
                  <w:marBottom w:val="0"/>
                  <w:divBdr>
                    <w:top w:val="none" w:sz="0" w:space="0" w:color="auto"/>
                    <w:left w:val="none" w:sz="0" w:space="0" w:color="auto"/>
                    <w:bottom w:val="none" w:sz="0" w:space="0" w:color="auto"/>
                    <w:right w:val="none" w:sz="0" w:space="0" w:color="auto"/>
                  </w:divBdr>
                  <w:divsChild>
                    <w:div w:id="1715495811">
                      <w:marLeft w:val="0"/>
                      <w:marRight w:val="0"/>
                      <w:marTop w:val="0"/>
                      <w:marBottom w:val="0"/>
                      <w:divBdr>
                        <w:top w:val="none" w:sz="0" w:space="0" w:color="auto"/>
                        <w:left w:val="none" w:sz="0" w:space="0" w:color="auto"/>
                        <w:bottom w:val="none" w:sz="0" w:space="0" w:color="auto"/>
                        <w:right w:val="none" w:sz="0" w:space="0" w:color="auto"/>
                      </w:divBdr>
                      <w:divsChild>
                        <w:div w:id="964771090">
                          <w:marLeft w:val="0"/>
                          <w:marRight w:val="0"/>
                          <w:marTop w:val="0"/>
                          <w:marBottom w:val="0"/>
                          <w:divBdr>
                            <w:top w:val="none" w:sz="0" w:space="0" w:color="auto"/>
                            <w:left w:val="none" w:sz="0" w:space="0" w:color="auto"/>
                            <w:bottom w:val="none" w:sz="0" w:space="0" w:color="auto"/>
                            <w:right w:val="none" w:sz="0" w:space="0" w:color="auto"/>
                          </w:divBdr>
                          <w:divsChild>
                            <w:div w:id="7774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669711">
      <w:bodyDiv w:val="1"/>
      <w:marLeft w:val="0"/>
      <w:marRight w:val="0"/>
      <w:marTop w:val="0"/>
      <w:marBottom w:val="0"/>
      <w:divBdr>
        <w:top w:val="none" w:sz="0" w:space="0" w:color="auto"/>
        <w:left w:val="none" w:sz="0" w:space="0" w:color="auto"/>
        <w:bottom w:val="none" w:sz="0" w:space="0" w:color="auto"/>
        <w:right w:val="none" w:sz="0" w:space="0" w:color="auto"/>
      </w:divBdr>
      <w:divsChild>
        <w:div w:id="275794094">
          <w:marLeft w:val="0"/>
          <w:marRight w:val="0"/>
          <w:marTop w:val="0"/>
          <w:marBottom w:val="0"/>
          <w:divBdr>
            <w:top w:val="none" w:sz="0" w:space="0" w:color="auto"/>
            <w:left w:val="none" w:sz="0" w:space="0" w:color="auto"/>
            <w:bottom w:val="none" w:sz="0" w:space="0" w:color="auto"/>
            <w:right w:val="none" w:sz="0" w:space="0" w:color="auto"/>
          </w:divBdr>
          <w:divsChild>
            <w:div w:id="292828798">
              <w:marLeft w:val="0"/>
              <w:marRight w:val="0"/>
              <w:marTop w:val="0"/>
              <w:marBottom w:val="0"/>
              <w:divBdr>
                <w:top w:val="none" w:sz="0" w:space="0" w:color="auto"/>
                <w:left w:val="none" w:sz="0" w:space="0" w:color="auto"/>
                <w:bottom w:val="none" w:sz="0" w:space="0" w:color="auto"/>
                <w:right w:val="none" w:sz="0" w:space="0" w:color="auto"/>
              </w:divBdr>
              <w:divsChild>
                <w:div w:id="844977639">
                  <w:marLeft w:val="0"/>
                  <w:marRight w:val="0"/>
                  <w:marTop w:val="0"/>
                  <w:marBottom w:val="0"/>
                  <w:divBdr>
                    <w:top w:val="none" w:sz="0" w:space="0" w:color="auto"/>
                    <w:left w:val="none" w:sz="0" w:space="0" w:color="auto"/>
                    <w:bottom w:val="none" w:sz="0" w:space="0" w:color="auto"/>
                    <w:right w:val="none" w:sz="0" w:space="0" w:color="auto"/>
                  </w:divBdr>
                  <w:divsChild>
                    <w:div w:id="508715263">
                      <w:marLeft w:val="0"/>
                      <w:marRight w:val="0"/>
                      <w:marTop w:val="0"/>
                      <w:marBottom w:val="0"/>
                      <w:divBdr>
                        <w:top w:val="none" w:sz="0" w:space="0" w:color="auto"/>
                        <w:left w:val="none" w:sz="0" w:space="0" w:color="auto"/>
                        <w:bottom w:val="none" w:sz="0" w:space="0" w:color="auto"/>
                        <w:right w:val="none" w:sz="0" w:space="0" w:color="auto"/>
                      </w:divBdr>
                      <w:divsChild>
                        <w:div w:id="1758669921">
                          <w:marLeft w:val="0"/>
                          <w:marRight w:val="0"/>
                          <w:marTop w:val="0"/>
                          <w:marBottom w:val="0"/>
                          <w:divBdr>
                            <w:top w:val="none" w:sz="0" w:space="0" w:color="auto"/>
                            <w:left w:val="none" w:sz="0" w:space="0" w:color="auto"/>
                            <w:bottom w:val="none" w:sz="0" w:space="0" w:color="auto"/>
                            <w:right w:val="none" w:sz="0" w:space="0" w:color="auto"/>
                          </w:divBdr>
                          <w:divsChild>
                            <w:div w:id="610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41138">
      <w:bodyDiv w:val="1"/>
      <w:marLeft w:val="0"/>
      <w:marRight w:val="0"/>
      <w:marTop w:val="0"/>
      <w:marBottom w:val="0"/>
      <w:divBdr>
        <w:top w:val="none" w:sz="0" w:space="0" w:color="auto"/>
        <w:left w:val="none" w:sz="0" w:space="0" w:color="auto"/>
        <w:bottom w:val="none" w:sz="0" w:space="0" w:color="auto"/>
        <w:right w:val="none" w:sz="0" w:space="0" w:color="auto"/>
      </w:divBdr>
      <w:divsChild>
        <w:div w:id="1849515227">
          <w:marLeft w:val="0"/>
          <w:marRight w:val="0"/>
          <w:marTop w:val="0"/>
          <w:marBottom w:val="0"/>
          <w:divBdr>
            <w:top w:val="none" w:sz="0" w:space="0" w:color="auto"/>
            <w:left w:val="none" w:sz="0" w:space="0" w:color="auto"/>
            <w:bottom w:val="none" w:sz="0" w:space="0" w:color="auto"/>
            <w:right w:val="none" w:sz="0" w:space="0" w:color="auto"/>
          </w:divBdr>
          <w:divsChild>
            <w:div w:id="2125077999">
              <w:marLeft w:val="0"/>
              <w:marRight w:val="0"/>
              <w:marTop w:val="0"/>
              <w:marBottom w:val="0"/>
              <w:divBdr>
                <w:top w:val="none" w:sz="0" w:space="0" w:color="auto"/>
                <w:left w:val="none" w:sz="0" w:space="0" w:color="auto"/>
                <w:bottom w:val="none" w:sz="0" w:space="0" w:color="auto"/>
                <w:right w:val="none" w:sz="0" w:space="0" w:color="auto"/>
              </w:divBdr>
              <w:divsChild>
                <w:div w:id="687559172">
                  <w:marLeft w:val="0"/>
                  <w:marRight w:val="0"/>
                  <w:marTop w:val="0"/>
                  <w:marBottom w:val="0"/>
                  <w:divBdr>
                    <w:top w:val="none" w:sz="0" w:space="0" w:color="auto"/>
                    <w:left w:val="none" w:sz="0" w:space="0" w:color="auto"/>
                    <w:bottom w:val="none" w:sz="0" w:space="0" w:color="auto"/>
                    <w:right w:val="none" w:sz="0" w:space="0" w:color="auto"/>
                  </w:divBdr>
                  <w:divsChild>
                    <w:div w:id="1861233421">
                      <w:marLeft w:val="0"/>
                      <w:marRight w:val="0"/>
                      <w:marTop w:val="0"/>
                      <w:marBottom w:val="0"/>
                      <w:divBdr>
                        <w:top w:val="none" w:sz="0" w:space="0" w:color="auto"/>
                        <w:left w:val="none" w:sz="0" w:space="0" w:color="auto"/>
                        <w:bottom w:val="none" w:sz="0" w:space="0" w:color="auto"/>
                        <w:right w:val="none" w:sz="0" w:space="0" w:color="auto"/>
                      </w:divBdr>
                      <w:divsChild>
                        <w:div w:id="749736213">
                          <w:marLeft w:val="0"/>
                          <w:marRight w:val="0"/>
                          <w:marTop w:val="0"/>
                          <w:marBottom w:val="0"/>
                          <w:divBdr>
                            <w:top w:val="none" w:sz="0" w:space="0" w:color="auto"/>
                            <w:left w:val="none" w:sz="0" w:space="0" w:color="auto"/>
                            <w:bottom w:val="none" w:sz="0" w:space="0" w:color="auto"/>
                            <w:right w:val="none" w:sz="0" w:space="0" w:color="auto"/>
                          </w:divBdr>
                          <w:divsChild>
                            <w:div w:id="12071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252923">
      <w:bodyDiv w:val="1"/>
      <w:marLeft w:val="0"/>
      <w:marRight w:val="0"/>
      <w:marTop w:val="0"/>
      <w:marBottom w:val="0"/>
      <w:divBdr>
        <w:top w:val="none" w:sz="0" w:space="0" w:color="auto"/>
        <w:left w:val="none" w:sz="0" w:space="0" w:color="auto"/>
        <w:bottom w:val="none" w:sz="0" w:space="0" w:color="auto"/>
        <w:right w:val="none" w:sz="0" w:space="0" w:color="auto"/>
      </w:divBdr>
      <w:divsChild>
        <w:div w:id="1736708519">
          <w:marLeft w:val="0"/>
          <w:marRight w:val="0"/>
          <w:marTop w:val="0"/>
          <w:marBottom w:val="0"/>
          <w:divBdr>
            <w:top w:val="none" w:sz="0" w:space="0" w:color="auto"/>
            <w:left w:val="none" w:sz="0" w:space="0" w:color="auto"/>
            <w:bottom w:val="none" w:sz="0" w:space="0" w:color="auto"/>
            <w:right w:val="none" w:sz="0" w:space="0" w:color="auto"/>
          </w:divBdr>
          <w:divsChild>
            <w:div w:id="1068647238">
              <w:marLeft w:val="0"/>
              <w:marRight w:val="0"/>
              <w:marTop w:val="0"/>
              <w:marBottom w:val="0"/>
              <w:divBdr>
                <w:top w:val="none" w:sz="0" w:space="0" w:color="auto"/>
                <w:left w:val="none" w:sz="0" w:space="0" w:color="auto"/>
                <w:bottom w:val="none" w:sz="0" w:space="0" w:color="auto"/>
                <w:right w:val="none" w:sz="0" w:space="0" w:color="auto"/>
              </w:divBdr>
              <w:divsChild>
                <w:div w:id="480001487">
                  <w:marLeft w:val="0"/>
                  <w:marRight w:val="0"/>
                  <w:marTop w:val="0"/>
                  <w:marBottom w:val="0"/>
                  <w:divBdr>
                    <w:top w:val="none" w:sz="0" w:space="0" w:color="auto"/>
                    <w:left w:val="none" w:sz="0" w:space="0" w:color="auto"/>
                    <w:bottom w:val="none" w:sz="0" w:space="0" w:color="auto"/>
                    <w:right w:val="none" w:sz="0" w:space="0" w:color="auto"/>
                  </w:divBdr>
                  <w:divsChild>
                    <w:div w:id="7952471">
                      <w:marLeft w:val="0"/>
                      <w:marRight w:val="0"/>
                      <w:marTop w:val="0"/>
                      <w:marBottom w:val="0"/>
                      <w:divBdr>
                        <w:top w:val="none" w:sz="0" w:space="0" w:color="auto"/>
                        <w:left w:val="none" w:sz="0" w:space="0" w:color="auto"/>
                        <w:bottom w:val="none" w:sz="0" w:space="0" w:color="auto"/>
                        <w:right w:val="none" w:sz="0" w:space="0" w:color="auto"/>
                      </w:divBdr>
                      <w:divsChild>
                        <w:div w:id="770128536">
                          <w:marLeft w:val="0"/>
                          <w:marRight w:val="0"/>
                          <w:marTop w:val="0"/>
                          <w:marBottom w:val="0"/>
                          <w:divBdr>
                            <w:top w:val="none" w:sz="0" w:space="0" w:color="auto"/>
                            <w:left w:val="none" w:sz="0" w:space="0" w:color="auto"/>
                            <w:bottom w:val="none" w:sz="0" w:space="0" w:color="auto"/>
                            <w:right w:val="none" w:sz="0" w:space="0" w:color="auto"/>
                          </w:divBdr>
                          <w:divsChild>
                            <w:div w:id="4675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68669">
      <w:bodyDiv w:val="1"/>
      <w:marLeft w:val="0"/>
      <w:marRight w:val="0"/>
      <w:marTop w:val="0"/>
      <w:marBottom w:val="0"/>
      <w:divBdr>
        <w:top w:val="none" w:sz="0" w:space="0" w:color="auto"/>
        <w:left w:val="none" w:sz="0" w:space="0" w:color="auto"/>
        <w:bottom w:val="none" w:sz="0" w:space="0" w:color="auto"/>
        <w:right w:val="none" w:sz="0" w:space="0" w:color="auto"/>
      </w:divBdr>
      <w:divsChild>
        <w:div w:id="1925989660">
          <w:marLeft w:val="0"/>
          <w:marRight w:val="0"/>
          <w:marTop w:val="0"/>
          <w:marBottom w:val="0"/>
          <w:divBdr>
            <w:top w:val="none" w:sz="0" w:space="0" w:color="auto"/>
            <w:left w:val="none" w:sz="0" w:space="0" w:color="auto"/>
            <w:bottom w:val="none" w:sz="0" w:space="0" w:color="auto"/>
            <w:right w:val="none" w:sz="0" w:space="0" w:color="auto"/>
          </w:divBdr>
          <w:divsChild>
            <w:div w:id="1149202803">
              <w:marLeft w:val="0"/>
              <w:marRight w:val="0"/>
              <w:marTop w:val="0"/>
              <w:marBottom w:val="0"/>
              <w:divBdr>
                <w:top w:val="none" w:sz="0" w:space="0" w:color="auto"/>
                <w:left w:val="none" w:sz="0" w:space="0" w:color="auto"/>
                <w:bottom w:val="none" w:sz="0" w:space="0" w:color="auto"/>
                <w:right w:val="none" w:sz="0" w:space="0" w:color="auto"/>
              </w:divBdr>
              <w:divsChild>
                <w:div w:id="1308168402">
                  <w:marLeft w:val="0"/>
                  <w:marRight w:val="0"/>
                  <w:marTop w:val="0"/>
                  <w:marBottom w:val="0"/>
                  <w:divBdr>
                    <w:top w:val="none" w:sz="0" w:space="0" w:color="auto"/>
                    <w:left w:val="none" w:sz="0" w:space="0" w:color="auto"/>
                    <w:bottom w:val="none" w:sz="0" w:space="0" w:color="auto"/>
                    <w:right w:val="none" w:sz="0" w:space="0" w:color="auto"/>
                  </w:divBdr>
                  <w:divsChild>
                    <w:div w:id="1399136590">
                      <w:marLeft w:val="0"/>
                      <w:marRight w:val="0"/>
                      <w:marTop w:val="0"/>
                      <w:marBottom w:val="0"/>
                      <w:divBdr>
                        <w:top w:val="none" w:sz="0" w:space="0" w:color="auto"/>
                        <w:left w:val="none" w:sz="0" w:space="0" w:color="auto"/>
                        <w:bottom w:val="none" w:sz="0" w:space="0" w:color="auto"/>
                        <w:right w:val="none" w:sz="0" w:space="0" w:color="auto"/>
                      </w:divBdr>
                      <w:divsChild>
                        <w:div w:id="275062128">
                          <w:marLeft w:val="0"/>
                          <w:marRight w:val="0"/>
                          <w:marTop w:val="0"/>
                          <w:marBottom w:val="0"/>
                          <w:divBdr>
                            <w:top w:val="none" w:sz="0" w:space="0" w:color="auto"/>
                            <w:left w:val="none" w:sz="0" w:space="0" w:color="auto"/>
                            <w:bottom w:val="none" w:sz="0" w:space="0" w:color="auto"/>
                            <w:right w:val="none" w:sz="0" w:space="0" w:color="auto"/>
                          </w:divBdr>
                          <w:divsChild>
                            <w:div w:id="6562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71752">
      <w:bodyDiv w:val="1"/>
      <w:marLeft w:val="0"/>
      <w:marRight w:val="0"/>
      <w:marTop w:val="0"/>
      <w:marBottom w:val="0"/>
      <w:divBdr>
        <w:top w:val="none" w:sz="0" w:space="0" w:color="auto"/>
        <w:left w:val="none" w:sz="0" w:space="0" w:color="auto"/>
        <w:bottom w:val="none" w:sz="0" w:space="0" w:color="auto"/>
        <w:right w:val="none" w:sz="0" w:space="0" w:color="auto"/>
      </w:divBdr>
      <w:divsChild>
        <w:div w:id="931812824">
          <w:marLeft w:val="0"/>
          <w:marRight w:val="0"/>
          <w:marTop w:val="0"/>
          <w:marBottom w:val="0"/>
          <w:divBdr>
            <w:top w:val="none" w:sz="0" w:space="0" w:color="auto"/>
            <w:left w:val="none" w:sz="0" w:space="0" w:color="auto"/>
            <w:bottom w:val="none" w:sz="0" w:space="0" w:color="auto"/>
            <w:right w:val="none" w:sz="0" w:space="0" w:color="auto"/>
          </w:divBdr>
          <w:divsChild>
            <w:div w:id="910238056">
              <w:marLeft w:val="0"/>
              <w:marRight w:val="0"/>
              <w:marTop w:val="0"/>
              <w:marBottom w:val="0"/>
              <w:divBdr>
                <w:top w:val="none" w:sz="0" w:space="0" w:color="auto"/>
                <w:left w:val="none" w:sz="0" w:space="0" w:color="auto"/>
                <w:bottom w:val="none" w:sz="0" w:space="0" w:color="auto"/>
                <w:right w:val="none" w:sz="0" w:space="0" w:color="auto"/>
              </w:divBdr>
              <w:divsChild>
                <w:div w:id="154540072">
                  <w:marLeft w:val="0"/>
                  <w:marRight w:val="0"/>
                  <w:marTop w:val="0"/>
                  <w:marBottom w:val="0"/>
                  <w:divBdr>
                    <w:top w:val="none" w:sz="0" w:space="0" w:color="auto"/>
                    <w:left w:val="none" w:sz="0" w:space="0" w:color="auto"/>
                    <w:bottom w:val="none" w:sz="0" w:space="0" w:color="auto"/>
                    <w:right w:val="none" w:sz="0" w:space="0" w:color="auto"/>
                  </w:divBdr>
                  <w:divsChild>
                    <w:div w:id="754866726">
                      <w:marLeft w:val="0"/>
                      <w:marRight w:val="0"/>
                      <w:marTop w:val="0"/>
                      <w:marBottom w:val="0"/>
                      <w:divBdr>
                        <w:top w:val="none" w:sz="0" w:space="0" w:color="auto"/>
                        <w:left w:val="none" w:sz="0" w:space="0" w:color="auto"/>
                        <w:bottom w:val="none" w:sz="0" w:space="0" w:color="auto"/>
                        <w:right w:val="none" w:sz="0" w:space="0" w:color="auto"/>
                      </w:divBdr>
                      <w:divsChild>
                        <w:div w:id="866336093">
                          <w:marLeft w:val="0"/>
                          <w:marRight w:val="0"/>
                          <w:marTop w:val="0"/>
                          <w:marBottom w:val="0"/>
                          <w:divBdr>
                            <w:top w:val="none" w:sz="0" w:space="0" w:color="auto"/>
                            <w:left w:val="none" w:sz="0" w:space="0" w:color="auto"/>
                            <w:bottom w:val="none" w:sz="0" w:space="0" w:color="auto"/>
                            <w:right w:val="none" w:sz="0" w:space="0" w:color="auto"/>
                          </w:divBdr>
                          <w:divsChild>
                            <w:div w:id="12049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70274">
      <w:bodyDiv w:val="1"/>
      <w:marLeft w:val="0"/>
      <w:marRight w:val="0"/>
      <w:marTop w:val="0"/>
      <w:marBottom w:val="0"/>
      <w:divBdr>
        <w:top w:val="none" w:sz="0" w:space="0" w:color="auto"/>
        <w:left w:val="none" w:sz="0" w:space="0" w:color="auto"/>
        <w:bottom w:val="none" w:sz="0" w:space="0" w:color="auto"/>
        <w:right w:val="none" w:sz="0" w:space="0" w:color="auto"/>
      </w:divBdr>
      <w:divsChild>
        <w:div w:id="1059013405">
          <w:marLeft w:val="0"/>
          <w:marRight w:val="0"/>
          <w:marTop w:val="0"/>
          <w:marBottom w:val="0"/>
          <w:divBdr>
            <w:top w:val="none" w:sz="0" w:space="0" w:color="auto"/>
            <w:left w:val="none" w:sz="0" w:space="0" w:color="auto"/>
            <w:bottom w:val="none" w:sz="0" w:space="0" w:color="auto"/>
            <w:right w:val="none" w:sz="0" w:space="0" w:color="auto"/>
          </w:divBdr>
          <w:divsChild>
            <w:div w:id="1951428140">
              <w:marLeft w:val="0"/>
              <w:marRight w:val="0"/>
              <w:marTop w:val="0"/>
              <w:marBottom w:val="0"/>
              <w:divBdr>
                <w:top w:val="none" w:sz="0" w:space="0" w:color="auto"/>
                <w:left w:val="none" w:sz="0" w:space="0" w:color="auto"/>
                <w:bottom w:val="none" w:sz="0" w:space="0" w:color="auto"/>
                <w:right w:val="none" w:sz="0" w:space="0" w:color="auto"/>
              </w:divBdr>
              <w:divsChild>
                <w:div w:id="1116406243">
                  <w:marLeft w:val="0"/>
                  <w:marRight w:val="0"/>
                  <w:marTop w:val="0"/>
                  <w:marBottom w:val="0"/>
                  <w:divBdr>
                    <w:top w:val="none" w:sz="0" w:space="0" w:color="auto"/>
                    <w:left w:val="none" w:sz="0" w:space="0" w:color="auto"/>
                    <w:bottom w:val="none" w:sz="0" w:space="0" w:color="auto"/>
                    <w:right w:val="none" w:sz="0" w:space="0" w:color="auto"/>
                  </w:divBdr>
                  <w:divsChild>
                    <w:div w:id="347827913">
                      <w:marLeft w:val="0"/>
                      <w:marRight w:val="0"/>
                      <w:marTop w:val="0"/>
                      <w:marBottom w:val="0"/>
                      <w:divBdr>
                        <w:top w:val="none" w:sz="0" w:space="0" w:color="auto"/>
                        <w:left w:val="none" w:sz="0" w:space="0" w:color="auto"/>
                        <w:bottom w:val="none" w:sz="0" w:space="0" w:color="auto"/>
                        <w:right w:val="none" w:sz="0" w:space="0" w:color="auto"/>
                      </w:divBdr>
                      <w:divsChild>
                        <w:div w:id="269899012">
                          <w:marLeft w:val="0"/>
                          <w:marRight w:val="0"/>
                          <w:marTop w:val="0"/>
                          <w:marBottom w:val="0"/>
                          <w:divBdr>
                            <w:top w:val="none" w:sz="0" w:space="0" w:color="auto"/>
                            <w:left w:val="none" w:sz="0" w:space="0" w:color="auto"/>
                            <w:bottom w:val="none" w:sz="0" w:space="0" w:color="auto"/>
                            <w:right w:val="none" w:sz="0" w:space="0" w:color="auto"/>
                          </w:divBdr>
                          <w:divsChild>
                            <w:div w:id="13614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132508">
      <w:bodyDiv w:val="1"/>
      <w:marLeft w:val="0"/>
      <w:marRight w:val="0"/>
      <w:marTop w:val="0"/>
      <w:marBottom w:val="0"/>
      <w:divBdr>
        <w:top w:val="none" w:sz="0" w:space="0" w:color="auto"/>
        <w:left w:val="none" w:sz="0" w:space="0" w:color="auto"/>
        <w:bottom w:val="none" w:sz="0" w:space="0" w:color="auto"/>
        <w:right w:val="none" w:sz="0" w:space="0" w:color="auto"/>
      </w:divBdr>
      <w:divsChild>
        <w:div w:id="911966172">
          <w:marLeft w:val="0"/>
          <w:marRight w:val="0"/>
          <w:marTop w:val="0"/>
          <w:marBottom w:val="0"/>
          <w:divBdr>
            <w:top w:val="none" w:sz="0" w:space="0" w:color="auto"/>
            <w:left w:val="none" w:sz="0" w:space="0" w:color="auto"/>
            <w:bottom w:val="none" w:sz="0" w:space="0" w:color="auto"/>
            <w:right w:val="none" w:sz="0" w:space="0" w:color="auto"/>
          </w:divBdr>
          <w:divsChild>
            <w:div w:id="187136684">
              <w:marLeft w:val="0"/>
              <w:marRight w:val="0"/>
              <w:marTop w:val="0"/>
              <w:marBottom w:val="0"/>
              <w:divBdr>
                <w:top w:val="none" w:sz="0" w:space="0" w:color="auto"/>
                <w:left w:val="none" w:sz="0" w:space="0" w:color="auto"/>
                <w:bottom w:val="none" w:sz="0" w:space="0" w:color="auto"/>
                <w:right w:val="none" w:sz="0" w:space="0" w:color="auto"/>
              </w:divBdr>
              <w:divsChild>
                <w:div w:id="1616210815">
                  <w:marLeft w:val="0"/>
                  <w:marRight w:val="0"/>
                  <w:marTop w:val="0"/>
                  <w:marBottom w:val="0"/>
                  <w:divBdr>
                    <w:top w:val="none" w:sz="0" w:space="0" w:color="auto"/>
                    <w:left w:val="none" w:sz="0" w:space="0" w:color="auto"/>
                    <w:bottom w:val="none" w:sz="0" w:space="0" w:color="auto"/>
                    <w:right w:val="none" w:sz="0" w:space="0" w:color="auto"/>
                  </w:divBdr>
                  <w:divsChild>
                    <w:div w:id="617179366">
                      <w:marLeft w:val="0"/>
                      <w:marRight w:val="0"/>
                      <w:marTop w:val="0"/>
                      <w:marBottom w:val="0"/>
                      <w:divBdr>
                        <w:top w:val="none" w:sz="0" w:space="0" w:color="auto"/>
                        <w:left w:val="none" w:sz="0" w:space="0" w:color="auto"/>
                        <w:bottom w:val="none" w:sz="0" w:space="0" w:color="auto"/>
                        <w:right w:val="none" w:sz="0" w:space="0" w:color="auto"/>
                      </w:divBdr>
                      <w:divsChild>
                        <w:div w:id="1917126304">
                          <w:marLeft w:val="0"/>
                          <w:marRight w:val="0"/>
                          <w:marTop w:val="0"/>
                          <w:marBottom w:val="0"/>
                          <w:divBdr>
                            <w:top w:val="none" w:sz="0" w:space="0" w:color="auto"/>
                            <w:left w:val="none" w:sz="0" w:space="0" w:color="auto"/>
                            <w:bottom w:val="none" w:sz="0" w:space="0" w:color="auto"/>
                            <w:right w:val="none" w:sz="0" w:space="0" w:color="auto"/>
                          </w:divBdr>
                          <w:divsChild>
                            <w:div w:id="12006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669792">
      <w:bodyDiv w:val="1"/>
      <w:marLeft w:val="0"/>
      <w:marRight w:val="0"/>
      <w:marTop w:val="0"/>
      <w:marBottom w:val="0"/>
      <w:divBdr>
        <w:top w:val="none" w:sz="0" w:space="0" w:color="auto"/>
        <w:left w:val="none" w:sz="0" w:space="0" w:color="auto"/>
        <w:bottom w:val="none" w:sz="0" w:space="0" w:color="auto"/>
        <w:right w:val="none" w:sz="0" w:space="0" w:color="auto"/>
      </w:divBdr>
      <w:divsChild>
        <w:div w:id="2114325634">
          <w:marLeft w:val="0"/>
          <w:marRight w:val="0"/>
          <w:marTop w:val="0"/>
          <w:marBottom w:val="0"/>
          <w:divBdr>
            <w:top w:val="none" w:sz="0" w:space="0" w:color="auto"/>
            <w:left w:val="none" w:sz="0" w:space="0" w:color="auto"/>
            <w:bottom w:val="none" w:sz="0" w:space="0" w:color="auto"/>
            <w:right w:val="none" w:sz="0" w:space="0" w:color="auto"/>
          </w:divBdr>
          <w:divsChild>
            <w:div w:id="1989506440">
              <w:marLeft w:val="0"/>
              <w:marRight w:val="0"/>
              <w:marTop w:val="0"/>
              <w:marBottom w:val="0"/>
              <w:divBdr>
                <w:top w:val="none" w:sz="0" w:space="0" w:color="auto"/>
                <w:left w:val="none" w:sz="0" w:space="0" w:color="auto"/>
                <w:bottom w:val="none" w:sz="0" w:space="0" w:color="auto"/>
                <w:right w:val="none" w:sz="0" w:space="0" w:color="auto"/>
              </w:divBdr>
              <w:divsChild>
                <w:div w:id="635988205">
                  <w:marLeft w:val="0"/>
                  <w:marRight w:val="0"/>
                  <w:marTop w:val="0"/>
                  <w:marBottom w:val="0"/>
                  <w:divBdr>
                    <w:top w:val="none" w:sz="0" w:space="0" w:color="auto"/>
                    <w:left w:val="none" w:sz="0" w:space="0" w:color="auto"/>
                    <w:bottom w:val="none" w:sz="0" w:space="0" w:color="auto"/>
                    <w:right w:val="none" w:sz="0" w:space="0" w:color="auto"/>
                  </w:divBdr>
                  <w:divsChild>
                    <w:div w:id="331378800">
                      <w:marLeft w:val="0"/>
                      <w:marRight w:val="0"/>
                      <w:marTop w:val="0"/>
                      <w:marBottom w:val="0"/>
                      <w:divBdr>
                        <w:top w:val="none" w:sz="0" w:space="0" w:color="auto"/>
                        <w:left w:val="none" w:sz="0" w:space="0" w:color="auto"/>
                        <w:bottom w:val="none" w:sz="0" w:space="0" w:color="auto"/>
                        <w:right w:val="none" w:sz="0" w:space="0" w:color="auto"/>
                      </w:divBdr>
                      <w:divsChild>
                        <w:div w:id="2014910880">
                          <w:marLeft w:val="0"/>
                          <w:marRight w:val="0"/>
                          <w:marTop w:val="0"/>
                          <w:marBottom w:val="0"/>
                          <w:divBdr>
                            <w:top w:val="none" w:sz="0" w:space="0" w:color="auto"/>
                            <w:left w:val="none" w:sz="0" w:space="0" w:color="auto"/>
                            <w:bottom w:val="none" w:sz="0" w:space="0" w:color="auto"/>
                            <w:right w:val="none" w:sz="0" w:space="0" w:color="auto"/>
                          </w:divBdr>
                          <w:divsChild>
                            <w:div w:id="7154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207161">
      <w:bodyDiv w:val="1"/>
      <w:marLeft w:val="0"/>
      <w:marRight w:val="0"/>
      <w:marTop w:val="0"/>
      <w:marBottom w:val="0"/>
      <w:divBdr>
        <w:top w:val="none" w:sz="0" w:space="0" w:color="auto"/>
        <w:left w:val="none" w:sz="0" w:space="0" w:color="auto"/>
        <w:bottom w:val="none" w:sz="0" w:space="0" w:color="auto"/>
        <w:right w:val="none" w:sz="0" w:space="0" w:color="auto"/>
      </w:divBdr>
    </w:div>
    <w:div w:id="1631010674">
      <w:bodyDiv w:val="1"/>
      <w:marLeft w:val="0"/>
      <w:marRight w:val="0"/>
      <w:marTop w:val="0"/>
      <w:marBottom w:val="0"/>
      <w:divBdr>
        <w:top w:val="none" w:sz="0" w:space="0" w:color="auto"/>
        <w:left w:val="none" w:sz="0" w:space="0" w:color="auto"/>
        <w:bottom w:val="none" w:sz="0" w:space="0" w:color="auto"/>
        <w:right w:val="none" w:sz="0" w:space="0" w:color="auto"/>
      </w:divBdr>
      <w:divsChild>
        <w:div w:id="208303051">
          <w:marLeft w:val="0"/>
          <w:marRight w:val="0"/>
          <w:marTop w:val="0"/>
          <w:marBottom w:val="0"/>
          <w:divBdr>
            <w:top w:val="none" w:sz="0" w:space="0" w:color="auto"/>
            <w:left w:val="none" w:sz="0" w:space="0" w:color="auto"/>
            <w:bottom w:val="none" w:sz="0" w:space="0" w:color="auto"/>
            <w:right w:val="none" w:sz="0" w:space="0" w:color="auto"/>
          </w:divBdr>
          <w:divsChild>
            <w:div w:id="900142689">
              <w:marLeft w:val="0"/>
              <w:marRight w:val="0"/>
              <w:marTop w:val="0"/>
              <w:marBottom w:val="0"/>
              <w:divBdr>
                <w:top w:val="none" w:sz="0" w:space="0" w:color="auto"/>
                <w:left w:val="none" w:sz="0" w:space="0" w:color="auto"/>
                <w:bottom w:val="none" w:sz="0" w:space="0" w:color="auto"/>
                <w:right w:val="none" w:sz="0" w:space="0" w:color="auto"/>
              </w:divBdr>
              <w:divsChild>
                <w:div w:id="1406684784">
                  <w:marLeft w:val="0"/>
                  <w:marRight w:val="0"/>
                  <w:marTop w:val="0"/>
                  <w:marBottom w:val="0"/>
                  <w:divBdr>
                    <w:top w:val="none" w:sz="0" w:space="0" w:color="auto"/>
                    <w:left w:val="none" w:sz="0" w:space="0" w:color="auto"/>
                    <w:bottom w:val="none" w:sz="0" w:space="0" w:color="auto"/>
                    <w:right w:val="none" w:sz="0" w:space="0" w:color="auto"/>
                  </w:divBdr>
                  <w:divsChild>
                    <w:div w:id="854416549">
                      <w:marLeft w:val="0"/>
                      <w:marRight w:val="0"/>
                      <w:marTop w:val="0"/>
                      <w:marBottom w:val="0"/>
                      <w:divBdr>
                        <w:top w:val="none" w:sz="0" w:space="0" w:color="auto"/>
                        <w:left w:val="none" w:sz="0" w:space="0" w:color="auto"/>
                        <w:bottom w:val="none" w:sz="0" w:space="0" w:color="auto"/>
                        <w:right w:val="none" w:sz="0" w:space="0" w:color="auto"/>
                      </w:divBdr>
                      <w:divsChild>
                        <w:div w:id="1291017427">
                          <w:marLeft w:val="0"/>
                          <w:marRight w:val="0"/>
                          <w:marTop w:val="0"/>
                          <w:marBottom w:val="0"/>
                          <w:divBdr>
                            <w:top w:val="none" w:sz="0" w:space="0" w:color="auto"/>
                            <w:left w:val="none" w:sz="0" w:space="0" w:color="auto"/>
                            <w:bottom w:val="none" w:sz="0" w:space="0" w:color="auto"/>
                            <w:right w:val="none" w:sz="0" w:space="0" w:color="auto"/>
                          </w:divBdr>
                          <w:divsChild>
                            <w:div w:id="9350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770636">
      <w:bodyDiv w:val="1"/>
      <w:marLeft w:val="0"/>
      <w:marRight w:val="0"/>
      <w:marTop w:val="0"/>
      <w:marBottom w:val="0"/>
      <w:divBdr>
        <w:top w:val="none" w:sz="0" w:space="0" w:color="auto"/>
        <w:left w:val="none" w:sz="0" w:space="0" w:color="auto"/>
        <w:bottom w:val="none" w:sz="0" w:space="0" w:color="auto"/>
        <w:right w:val="none" w:sz="0" w:space="0" w:color="auto"/>
      </w:divBdr>
      <w:divsChild>
        <w:div w:id="1992169156">
          <w:marLeft w:val="0"/>
          <w:marRight w:val="0"/>
          <w:marTop w:val="0"/>
          <w:marBottom w:val="0"/>
          <w:divBdr>
            <w:top w:val="none" w:sz="0" w:space="0" w:color="auto"/>
            <w:left w:val="none" w:sz="0" w:space="0" w:color="auto"/>
            <w:bottom w:val="none" w:sz="0" w:space="0" w:color="auto"/>
            <w:right w:val="none" w:sz="0" w:space="0" w:color="auto"/>
          </w:divBdr>
          <w:divsChild>
            <w:div w:id="701978620">
              <w:marLeft w:val="0"/>
              <w:marRight w:val="0"/>
              <w:marTop w:val="0"/>
              <w:marBottom w:val="0"/>
              <w:divBdr>
                <w:top w:val="none" w:sz="0" w:space="0" w:color="auto"/>
                <w:left w:val="none" w:sz="0" w:space="0" w:color="auto"/>
                <w:bottom w:val="none" w:sz="0" w:space="0" w:color="auto"/>
                <w:right w:val="none" w:sz="0" w:space="0" w:color="auto"/>
              </w:divBdr>
              <w:divsChild>
                <w:div w:id="1220821621">
                  <w:marLeft w:val="0"/>
                  <w:marRight w:val="0"/>
                  <w:marTop w:val="0"/>
                  <w:marBottom w:val="0"/>
                  <w:divBdr>
                    <w:top w:val="none" w:sz="0" w:space="0" w:color="auto"/>
                    <w:left w:val="none" w:sz="0" w:space="0" w:color="auto"/>
                    <w:bottom w:val="none" w:sz="0" w:space="0" w:color="auto"/>
                    <w:right w:val="none" w:sz="0" w:space="0" w:color="auto"/>
                  </w:divBdr>
                  <w:divsChild>
                    <w:div w:id="445735334">
                      <w:marLeft w:val="0"/>
                      <w:marRight w:val="0"/>
                      <w:marTop w:val="0"/>
                      <w:marBottom w:val="0"/>
                      <w:divBdr>
                        <w:top w:val="none" w:sz="0" w:space="0" w:color="auto"/>
                        <w:left w:val="none" w:sz="0" w:space="0" w:color="auto"/>
                        <w:bottom w:val="none" w:sz="0" w:space="0" w:color="auto"/>
                        <w:right w:val="none" w:sz="0" w:space="0" w:color="auto"/>
                      </w:divBdr>
                      <w:divsChild>
                        <w:div w:id="2074542274">
                          <w:marLeft w:val="0"/>
                          <w:marRight w:val="0"/>
                          <w:marTop w:val="0"/>
                          <w:marBottom w:val="0"/>
                          <w:divBdr>
                            <w:top w:val="none" w:sz="0" w:space="0" w:color="auto"/>
                            <w:left w:val="none" w:sz="0" w:space="0" w:color="auto"/>
                            <w:bottom w:val="none" w:sz="0" w:space="0" w:color="auto"/>
                            <w:right w:val="none" w:sz="0" w:space="0" w:color="auto"/>
                          </w:divBdr>
                          <w:divsChild>
                            <w:div w:id="7088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328914">
      <w:bodyDiv w:val="1"/>
      <w:marLeft w:val="0"/>
      <w:marRight w:val="0"/>
      <w:marTop w:val="0"/>
      <w:marBottom w:val="0"/>
      <w:divBdr>
        <w:top w:val="none" w:sz="0" w:space="0" w:color="auto"/>
        <w:left w:val="none" w:sz="0" w:space="0" w:color="auto"/>
        <w:bottom w:val="none" w:sz="0" w:space="0" w:color="auto"/>
        <w:right w:val="none" w:sz="0" w:space="0" w:color="auto"/>
      </w:divBdr>
      <w:divsChild>
        <w:div w:id="1187984931">
          <w:marLeft w:val="0"/>
          <w:marRight w:val="0"/>
          <w:marTop w:val="0"/>
          <w:marBottom w:val="0"/>
          <w:divBdr>
            <w:top w:val="none" w:sz="0" w:space="0" w:color="auto"/>
            <w:left w:val="none" w:sz="0" w:space="0" w:color="auto"/>
            <w:bottom w:val="none" w:sz="0" w:space="0" w:color="auto"/>
            <w:right w:val="none" w:sz="0" w:space="0" w:color="auto"/>
          </w:divBdr>
          <w:divsChild>
            <w:div w:id="1933663827">
              <w:marLeft w:val="0"/>
              <w:marRight w:val="0"/>
              <w:marTop w:val="0"/>
              <w:marBottom w:val="0"/>
              <w:divBdr>
                <w:top w:val="none" w:sz="0" w:space="0" w:color="auto"/>
                <w:left w:val="none" w:sz="0" w:space="0" w:color="auto"/>
                <w:bottom w:val="none" w:sz="0" w:space="0" w:color="auto"/>
                <w:right w:val="none" w:sz="0" w:space="0" w:color="auto"/>
              </w:divBdr>
              <w:divsChild>
                <w:div w:id="1491599807">
                  <w:marLeft w:val="0"/>
                  <w:marRight w:val="0"/>
                  <w:marTop w:val="0"/>
                  <w:marBottom w:val="0"/>
                  <w:divBdr>
                    <w:top w:val="none" w:sz="0" w:space="0" w:color="auto"/>
                    <w:left w:val="none" w:sz="0" w:space="0" w:color="auto"/>
                    <w:bottom w:val="none" w:sz="0" w:space="0" w:color="auto"/>
                    <w:right w:val="none" w:sz="0" w:space="0" w:color="auto"/>
                  </w:divBdr>
                  <w:divsChild>
                    <w:div w:id="1532717419">
                      <w:marLeft w:val="0"/>
                      <w:marRight w:val="0"/>
                      <w:marTop w:val="0"/>
                      <w:marBottom w:val="0"/>
                      <w:divBdr>
                        <w:top w:val="none" w:sz="0" w:space="0" w:color="auto"/>
                        <w:left w:val="none" w:sz="0" w:space="0" w:color="auto"/>
                        <w:bottom w:val="none" w:sz="0" w:space="0" w:color="auto"/>
                        <w:right w:val="none" w:sz="0" w:space="0" w:color="auto"/>
                      </w:divBdr>
                      <w:divsChild>
                        <w:div w:id="361982068">
                          <w:marLeft w:val="0"/>
                          <w:marRight w:val="0"/>
                          <w:marTop w:val="0"/>
                          <w:marBottom w:val="0"/>
                          <w:divBdr>
                            <w:top w:val="none" w:sz="0" w:space="0" w:color="auto"/>
                            <w:left w:val="none" w:sz="0" w:space="0" w:color="auto"/>
                            <w:bottom w:val="none" w:sz="0" w:space="0" w:color="auto"/>
                            <w:right w:val="none" w:sz="0" w:space="0" w:color="auto"/>
                          </w:divBdr>
                          <w:divsChild>
                            <w:div w:id="20425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96400">
      <w:bodyDiv w:val="1"/>
      <w:marLeft w:val="0"/>
      <w:marRight w:val="0"/>
      <w:marTop w:val="0"/>
      <w:marBottom w:val="0"/>
      <w:divBdr>
        <w:top w:val="none" w:sz="0" w:space="0" w:color="auto"/>
        <w:left w:val="none" w:sz="0" w:space="0" w:color="auto"/>
        <w:bottom w:val="none" w:sz="0" w:space="0" w:color="auto"/>
        <w:right w:val="none" w:sz="0" w:space="0" w:color="auto"/>
      </w:divBdr>
      <w:divsChild>
        <w:div w:id="253324078">
          <w:marLeft w:val="0"/>
          <w:marRight w:val="0"/>
          <w:marTop w:val="0"/>
          <w:marBottom w:val="0"/>
          <w:divBdr>
            <w:top w:val="none" w:sz="0" w:space="0" w:color="auto"/>
            <w:left w:val="none" w:sz="0" w:space="0" w:color="auto"/>
            <w:bottom w:val="none" w:sz="0" w:space="0" w:color="auto"/>
            <w:right w:val="none" w:sz="0" w:space="0" w:color="auto"/>
          </w:divBdr>
          <w:divsChild>
            <w:div w:id="555899624">
              <w:marLeft w:val="0"/>
              <w:marRight w:val="0"/>
              <w:marTop w:val="0"/>
              <w:marBottom w:val="0"/>
              <w:divBdr>
                <w:top w:val="none" w:sz="0" w:space="0" w:color="auto"/>
                <w:left w:val="none" w:sz="0" w:space="0" w:color="auto"/>
                <w:bottom w:val="none" w:sz="0" w:space="0" w:color="auto"/>
                <w:right w:val="none" w:sz="0" w:space="0" w:color="auto"/>
              </w:divBdr>
              <w:divsChild>
                <w:div w:id="1696154493">
                  <w:marLeft w:val="0"/>
                  <w:marRight w:val="0"/>
                  <w:marTop w:val="0"/>
                  <w:marBottom w:val="0"/>
                  <w:divBdr>
                    <w:top w:val="none" w:sz="0" w:space="0" w:color="auto"/>
                    <w:left w:val="none" w:sz="0" w:space="0" w:color="auto"/>
                    <w:bottom w:val="none" w:sz="0" w:space="0" w:color="auto"/>
                    <w:right w:val="none" w:sz="0" w:space="0" w:color="auto"/>
                  </w:divBdr>
                  <w:divsChild>
                    <w:div w:id="1654676479">
                      <w:marLeft w:val="0"/>
                      <w:marRight w:val="0"/>
                      <w:marTop w:val="0"/>
                      <w:marBottom w:val="0"/>
                      <w:divBdr>
                        <w:top w:val="none" w:sz="0" w:space="0" w:color="auto"/>
                        <w:left w:val="none" w:sz="0" w:space="0" w:color="auto"/>
                        <w:bottom w:val="none" w:sz="0" w:space="0" w:color="auto"/>
                        <w:right w:val="none" w:sz="0" w:space="0" w:color="auto"/>
                      </w:divBdr>
                      <w:divsChild>
                        <w:div w:id="844978208">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7279">
      <w:bodyDiv w:val="1"/>
      <w:marLeft w:val="0"/>
      <w:marRight w:val="0"/>
      <w:marTop w:val="0"/>
      <w:marBottom w:val="0"/>
      <w:divBdr>
        <w:top w:val="none" w:sz="0" w:space="0" w:color="auto"/>
        <w:left w:val="none" w:sz="0" w:space="0" w:color="auto"/>
        <w:bottom w:val="none" w:sz="0" w:space="0" w:color="auto"/>
        <w:right w:val="none" w:sz="0" w:space="0" w:color="auto"/>
      </w:divBdr>
      <w:divsChild>
        <w:div w:id="1699618754">
          <w:marLeft w:val="0"/>
          <w:marRight w:val="0"/>
          <w:marTop w:val="0"/>
          <w:marBottom w:val="0"/>
          <w:divBdr>
            <w:top w:val="none" w:sz="0" w:space="0" w:color="auto"/>
            <w:left w:val="none" w:sz="0" w:space="0" w:color="auto"/>
            <w:bottom w:val="none" w:sz="0" w:space="0" w:color="auto"/>
            <w:right w:val="none" w:sz="0" w:space="0" w:color="auto"/>
          </w:divBdr>
          <w:divsChild>
            <w:div w:id="1199662830">
              <w:marLeft w:val="0"/>
              <w:marRight w:val="0"/>
              <w:marTop w:val="0"/>
              <w:marBottom w:val="0"/>
              <w:divBdr>
                <w:top w:val="none" w:sz="0" w:space="0" w:color="auto"/>
                <w:left w:val="none" w:sz="0" w:space="0" w:color="auto"/>
                <w:bottom w:val="none" w:sz="0" w:space="0" w:color="auto"/>
                <w:right w:val="none" w:sz="0" w:space="0" w:color="auto"/>
              </w:divBdr>
              <w:divsChild>
                <w:div w:id="1970932502">
                  <w:marLeft w:val="0"/>
                  <w:marRight w:val="0"/>
                  <w:marTop w:val="0"/>
                  <w:marBottom w:val="0"/>
                  <w:divBdr>
                    <w:top w:val="none" w:sz="0" w:space="0" w:color="auto"/>
                    <w:left w:val="none" w:sz="0" w:space="0" w:color="auto"/>
                    <w:bottom w:val="none" w:sz="0" w:space="0" w:color="auto"/>
                    <w:right w:val="none" w:sz="0" w:space="0" w:color="auto"/>
                  </w:divBdr>
                  <w:divsChild>
                    <w:div w:id="1532451769">
                      <w:marLeft w:val="0"/>
                      <w:marRight w:val="0"/>
                      <w:marTop w:val="0"/>
                      <w:marBottom w:val="0"/>
                      <w:divBdr>
                        <w:top w:val="none" w:sz="0" w:space="0" w:color="auto"/>
                        <w:left w:val="none" w:sz="0" w:space="0" w:color="auto"/>
                        <w:bottom w:val="none" w:sz="0" w:space="0" w:color="auto"/>
                        <w:right w:val="none" w:sz="0" w:space="0" w:color="auto"/>
                      </w:divBdr>
                      <w:divsChild>
                        <w:div w:id="574706769">
                          <w:marLeft w:val="0"/>
                          <w:marRight w:val="0"/>
                          <w:marTop w:val="0"/>
                          <w:marBottom w:val="0"/>
                          <w:divBdr>
                            <w:top w:val="none" w:sz="0" w:space="0" w:color="auto"/>
                            <w:left w:val="none" w:sz="0" w:space="0" w:color="auto"/>
                            <w:bottom w:val="none" w:sz="0" w:space="0" w:color="auto"/>
                            <w:right w:val="none" w:sz="0" w:space="0" w:color="auto"/>
                          </w:divBdr>
                          <w:divsChild>
                            <w:div w:id="1410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89824">
      <w:bodyDiv w:val="1"/>
      <w:marLeft w:val="0"/>
      <w:marRight w:val="0"/>
      <w:marTop w:val="0"/>
      <w:marBottom w:val="0"/>
      <w:divBdr>
        <w:top w:val="none" w:sz="0" w:space="0" w:color="auto"/>
        <w:left w:val="none" w:sz="0" w:space="0" w:color="auto"/>
        <w:bottom w:val="none" w:sz="0" w:space="0" w:color="auto"/>
        <w:right w:val="none" w:sz="0" w:space="0" w:color="auto"/>
      </w:divBdr>
      <w:divsChild>
        <w:div w:id="137697364">
          <w:marLeft w:val="0"/>
          <w:marRight w:val="0"/>
          <w:marTop w:val="0"/>
          <w:marBottom w:val="0"/>
          <w:divBdr>
            <w:top w:val="none" w:sz="0" w:space="0" w:color="auto"/>
            <w:left w:val="none" w:sz="0" w:space="0" w:color="auto"/>
            <w:bottom w:val="none" w:sz="0" w:space="0" w:color="auto"/>
            <w:right w:val="none" w:sz="0" w:space="0" w:color="auto"/>
          </w:divBdr>
          <w:divsChild>
            <w:div w:id="2098162866">
              <w:marLeft w:val="0"/>
              <w:marRight w:val="0"/>
              <w:marTop w:val="0"/>
              <w:marBottom w:val="0"/>
              <w:divBdr>
                <w:top w:val="none" w:sz="0" w:space="0" w:color="auto"/>
                <w:left w:val="none" w:sz="0" w:space="0" w:color="auto"/>
                <w:bottom w:val="none" w:sz="0" w:space="0" w:color="auto"/>
                <w:right w:val="none" w:sz="0" w:space="0" w:color="auto"/>
              </w:divBdr>
              <w:divsChild>
                <w:div w:id="659041800">
                  <w:marLeft w:val="0"/>
                  <w:marRight w:val="0"/>
                  <w:marTop w:val="0"/>
                  <w:marBottom w:val="0"/>
                  <w:divBdr>
                    <w:top w:val="none" w:sz="0" w:space="0" w:color="auto"/>
                    <w:left w:val="none" w:sz="0" w:space="0" w:color="auto"/>
                    <w:bottom w:val="none" w:sz="0" w:space="0" w:color="auto"/>
                    <w:right w:val="none" w:sz="0" w:space="0" w:color="auto"/>
                  </w:divBdr>
                  <w:divsChild>
                    <w:div w:id="1539052953">
                      <w:marLeft w:val="0"/>
                      <w:marRight w:val="0"/>
                      <w:marTop w:val="0"/>
                      <w:marBottom w:val="0"/>
                      <w:divBdr>
                        <w:top w:val="none" w:sz="0" w:space="0" w:color="auto"/>
                        <w:left w:val="none" w:sz="0" w:space="0" w:color="auto"/>
                        <w:bottom w:val="none" w:sz="0" w:space="0" w:color="auto"/>
                        <w:right w:val="none" w:sz="0" w:space="0" w:color="auto"/>
                      </w:divBdr>
                      <w:divsChild>
                        <w:div w:id="1782407737">
                          <w:marLeft w:val="0"/>
                          <w:marRight w:val="0"/>
                          <w:marTop w:val="0"/>
                          <w:marBottom w:val="0"/>
                          <w:divBdr>
                            <w:top w:val="none" w:sz="0" w:space="0" w:color="auto"/>
                            <w:left w:val="none" w:sz="0" w:space="0" w:color="auto"/>
                            <w:bottom w:val="none" w:sz="0" w:space="0" w:color="auto"/>
                            <w:right w:val="none" w:sz="0" w:space="0" w:color="auto"/>
                          </w:divBdr>
                          <w:divsChild>
                            <w:div w:id="7763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12839">
      <w:bodyDiv w:val="1"/>
      <w:marLeft w:val="0"/>
      <w:marRight w:val="0"/>
      <w:marTop w:val="0"/>
      <w:marBottom w:val="0"/>
      <w:divBdr>
        <w:top w:val="none" w:sz="0" w:space="0" w:color="auto"/>
        <w:left w:val="none" w:sz="0" w:space="0" w:color="auto"/>
        <w:bottom w:val="none" w:sz="0" w:space="0" w:color="auto"/>
        <w:right w:val="none" w:sz="0" w:space="0" w:color="auto"/>
      </w:divBdr>
      <w:divsChild>
        <w:div w:id="474569987">
          <w:marLeft w:val="0"/>
          <w:marRight w:val="0"/>
          <w:marTop w:val="0"/>
          <w:marBottom w:val="0"/>
          <w:divBdr>
            <w:top w:val="none" w:sz="0" w:space="0" w:color="auto"/>
            <w:left w:val="none" w:sz="0" w:space="0" w:color="auto"/>
            <w:bottom w:val="none" w:sz="0" w:space="0" w:color="auto"/>
            <w:right w:val="none" w:sz="0" w:space="0" w:color="auto"/>
          </w:divBdr>
          <w:divsChild>
            <w:div w:id="1685936815">
              <w:marLeft w:val="0"/>
              <w:marRight w:val="0"/>
              <w:marTop w:val="0"/>
              <w:marBottom w:val="0"/>
              <w:divBdr>
                <w:top w:val="none" w:sz="0" w:space="0" w:color="auto"/>
                <w:left w:val="none" w:sz="0" w:space="0" w:color="auto"/>
                <w:bottom w:val="none" w:sz="0" w:space="0" w:color="auto"/>
                <w:right w:val="none" w:sz="0" w:space="0" w:color="auto"/>
              </w:divBdr>
              <w:divsChild>
                <w:div w:id="1763448065">
                  <w:marLeft w:val="0"/>
                  <w:marRight w:val="0"/>
                  <w:marTop w:val="0"/>
                  <w:marBottom w:val="0"/>
                  <w:divBdr>
                    <w:top w:val="none" w:sz="0" w:space="0" w:color="auto"/>
                    <w:left w:val="none" w:sz="0" w:space="0" w:color="auto"/>
                    <w:bottom w:val="none" w:sz="0" w:space="0" w:color="auto"/>
                    <w:right w:val="none" w:sz="0" w:space="0" w:color="auto"/>
                  </w:divBdr>
                  <w:divsChild>
                    <w:div w:id="1370448599">
                      <w:marLeft w:val="0"/>
                      <w:marRight w:val="0"/>
                      <w:marTop w:val="0"/>
                      <w:marBottom w:val="0"/>
                      <w:divBdr>
                        <w:top w:val="none" w:sz="0" w:space="0" w:color="auto"/>
                        <w:left w:val="none" w:sz="0" w:space="0" w:color="auto"/>
                        <w:bottom w:val="none" w:sz="0" w:space="0" w:color="auto"/>
                        <w:right w:val="none" w:sz="0" w:space="0" w:color="auto"/>
                      </w:divBdr>
                      <w:divsChild>
                        <w:div w:id="1328364347">
                          <w:marLeft w:val="0"/>
                          <w:marRight w:val="0"/>
                          <w:marTop w:val="0"/>
                          <w:marBottom w:val="0"/>
                          <w:divBdr>
                            <w:top w:val="none" w:sz="0" w:space="0" w:color="auto"/>
                            <w:left w:val="none" w:sz="0" w:space="0" w:color="auto"/>
                            <w:bottom w:val="none" w:sz="0" w:space="0" w:color="auto"/>
                            <w:right w:val="none" w:sz="0" w:space="0" w:color="auto"/>
                          </w:divBdr>
                          <w:divsChild>
                            <w:div w:id="6399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15360">
      <w:bodyDiv w:val="1"/>
      <w:marLeft w:val="0"/>
      <w:marRight w:val="0"/>
      <w:marTop w:val="0"/>
      <w:marBottom w:val="0"/>
      <w:divBdr>
        <w:top w:val="none" w:sz="0" w:space="0" w:color="auto"/>
        <w:left w:val="none" w:sz="0" w:space="0" w:color="auto"/>
        <w:bottom w:val="none" w:sz="0" w:space="0" w:color="auto"/>
        <w:right w:val="none" w:sz="0" w:space="0" w:color="auto"/>
      </w:divBdr>
      <w:divsChild>
        <w:div w:id="1153644728">
          <w:marLeft w:val="0"/>
          <w:marRight w:val="0"/>
          <w:marTop w:val="0"/>
          <w:marBottom w:val="0"/>
          <w:divBdr>
            <w:top w:val="none" w:sz="0" w:space="0" w:color="auto"/>
            <w:left w:val="none" w:sz="0" w:space="0" w:color="auto"/>
            <w:bottom w:val="none" w:sz="0" w:space="0" w:color="auto"/>
            <w:right w:val="none" w:sz="0" w:space="0" w:color="auto"/>
          </w:divBdr>
          <w:divsChild>
            <w:div w:id="2139689210">
              <w:marLeft w:val="0"/>
              <w:marRight w:val="0"/>
              <w:marTop w:val="0"/>
              <w:marBottom w:val="0"/>
              <w:divBdr>
                <w:top w:val="none" w:sz="0" w:space="0" w:color="auto"/>
                <w:left w:val="none" w:sz="0" w:space="0" w:color="auto"/>
                <w:bottom w:val="none" w:sz="0" w:space="0" w:color="auto"/>
                <w:right w:val="none" w:sz="0" w:space="0" w:color="auto"/>
              </w:divBdr>
              <w:divsChild>
                <w:div w:id="597786192">
                  <w:marLeft w:val="0"/>
                  <w:marRight w:val="0"/>
                  <w:marTop w:val="0"/>
                  <w:marBottom w:val="0"/>
                  <w:divBdr>
                    <w:top w:val="none" w:sz="0" w:space="0" w:color="auto"/>
                    <w:left w:val="none" w:sz="0" w:space="0" w:color="auto"/>
                    <w:bottom w:val="none" w:sz="0" w:space="0" w:color="auto"/>
                    <w:right w:val="none" w:sz="0" w:space="0" w:color="auto"/>
                  </w:divBdr>
                  <w:divsChild>
                    <w:div w:id="81925102">
                      <w:marLeft w:val="0"/>
                      <w:marRight w:val="0"/>
                      <w:marTop w:val="0"/>
                      <w:marBottom w:val="0"/>
                      <w:divBdr>
                        <w:top w:val="none" w:sz="0" w:space="0" w:color="auto"/>
                        <w:left w:val="none" w:sz="0" w:space="0" w:color="auto"/>
                        <w:bottom w:val="none" w:sz="0" w:space="0" w:color="auto"/>
                        <w:right w:val="none" w:sz="0" w:space="0" w:color="auto"/>
                      </w:divBdr>
                      <w:divsChild>
                        <w:div w:id="731779123">
                          <w:marLeft w:val="0"/>
                          <w:marRight w:val="0"/>
                          <w:marTop w:val="0"/>
                          <w:marBottom w:val="0"/>
                          <w:divBdr>
                            <w:top w:val="none" w:sz="0" w:space="0" w:color="auto"/>
                            <w:left w:val="none" w:sz="0" w:space="0" w:color="auto"/>
                            <w:bottom w:val="none" w:sz="0" w:space="0" w:color="auto"/>
                            <w:right w:val="none" w:sz="0" w:space="0" w:color="auto"/>
                          </w:divBdr>
                          <w:divsChild>
                            <w:div w:id="18356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481261">
      <w:bodyDiv w:val="1"/>
      <w:marLeft w:val="0"/>
      <w:marRight w:val="0"/>
      <w:marTop w:val="0"/>
      <w:marBottom w:val="0"/>
      <w:divBdr>
        <w:top w:val="none" w:sz="0" w:space="0" w:color="auto"/>
        <w:left w:val="none" w:sz="0" w:space="0" w:color="auto"/>
        <w:bottom w:val="none" w:sz="0" w:space="0" w:color="auto"/>
        <w:right w:val="none" w:sz="0" w:space="0" w:color="auto"/>
      </w:divBdr>
      <w:divsChild>
        <w:div w:id="894389426">
          <w:marLeft w:val="0"/>
          <w:marRight w:val="0"/>
          <w:marTop w:val="0"/>
          <w:marBottom w:val="0"/>
          <w:divBdr>
            <w:top w:val="none" w:sz="0" w:space="0" w:color="auto"/>
            <w:left w:val="none" w:sz="0" w:space="0" w:color="auto"/>
            <w:bottom w:val="none" w:sz="0" w:space="0" w:color="auto"/>
            <w:right w:val="none" w:sz="0" w:space="0" w:color="auto"/>
          </w:divBdr>
          <w:divsChild>
            <w:div w:id="1172447309">
              <w:marLeft w:val="0"/>
              <w:marRight w:val="0"/>
              <w:marTop w:val="0"/>
              <w:marBottom w:val="0"/>
              <w:divBdr>
                <w:top w:val="none" w:sz="0" w:space="0" w:color="auto"/>
                <w:left w:val="none" w:sz="0" w:space="0" w:color="auto"/>
                <w:bottom w:val="none" w:sz="0" w:space="0" w:color="auto"/>
                <w:right w:val="none" w:sz="0" w:space="0" w:color="auto"/>
              </w:divBdr>
              <w:divsChild>
                <w:div w:id="1257061255">
                  <w:marLeft w:val="0"/>
                  <w:marRight w:val="0"/>
                  <w:marTop w:val="0"/>
                  <w:marBottom w:val="0"/>
                  <w:divBdr>
                    <w:top w:val="none" w:sz="0" w:space="0" w:color="auto"/>
                    <w:left w:val="none" w:sz="0" w:space="0" w:color="auto"/>
                    <w:bottom w:val="none" w:sz="0" w:space="0" w:color="auto"/>
                    <w:right w:val="none" w:sz="0" w:space="0" w:color="auto"/>
                  </w:divBdr>
                  <w:divsChild>
                    <w:div w:id="1218123526">
                      <w:marLeft w:val="0"/>
                      <w:marRight w:val="0"/>
                      <w:marTop w:val="0"/>
                      <w:marBottom w:val="0"/>
                      <w:divBdr>
                        <w:top w:val="none" w:sz="0" w:space="0" w:color="auto"/>
                        <w:left w:val="none" w:sz="0" w:space="0" w:color="auto"/>
                        <w:bottom w:val="none" w:sz="0" w:space="0" w:color="auto"/>
                        <w:right w:val="none" w:sz="0" w:space="0" w:color="auto"/>
                      </w:divBdr>
                      <w:divsChild>
                        <w:div w:id="1339818216">
                          <w:marLeft w:val="0"/>
                          <w:marRight w:val="0"/>
                          <w:marTop w:val="0"/>
                          <w:marBottom w:val="0"/>
                          <w:divBdr>
                            <w:top w:val="none" w:sz="0" w:space="0" w:color="auto"/>
                            <w:left w:val="none" w:sz="0" w:space="0" w:color="auto"/>
                            <w:bottom w:val="none" w:sz="0" w:space="0" w:color="auto"/>
                            <w:right w:val="none" w:sz="0" w:space="0" w:color="auto"/>
                          </w:divBdr>
                          <w:divsChild>
                            <w:div w:id="15234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083031">
      <w:bodyDiv w:val="1"/>
      <w:marLeft w:val="0"/>
      <w:marRight w:val="0"/>
      <w:marTop w:val="0"/>
      <w:marBottom w:val="0"/>
      <w:divBdr>
        <w:top w:val="none" w:sz="0" w:space="0" w:color="auto"/>
        <w:left w:val="none" w:sz="0" w:space="0" w:color="auto"/>
        <w:bottom w:val="none" w:sz="0" w:space="0" w:color="auto"/>
        <w:right w:val="none" w:sz="0" w:space="0" w:color="auto"/>
      </w:divBdr>
      <w:divsChild>
        <w:div w:id="2051033139">
          <w:marLeft w:val="0"/>
          <w:marRight w:val="0"/>
          <w:marTop w:val="0"/>
          <w:marBottom w:val="0"/>
          <w:divBdr>
            <w:top w:val="none" w:sz="0" w:space="0" w:color="auto"/>
            <w:left w:val="none" w:sz="0" w:space="0" w:color="auto"/>
            <w:bottom w:val="none" w:sz="0" w:space="0" w:color="auto"/>
            <w:right w:val="none" w:sz="0" w:space="0" w:color="auto"/>
          </w:divBdr>
          <w:divsChild>
            <w:div w:id="110128726">
              <w:marLeft w:val="0"/>
              <w:marRight w:val="0"/>
              <w:marTop w:val="0"/>
              <w:marBottom w:val="0"/>
              <w:divBdr>
                <w:top w:val="none" w:sz="0" w:space="0" w:color="auto"/>
                <w:left w:val="none" w:sz="0" w:space="0" w:color="auto"/>
                <w:bottom w:val="none" w:sz="0" w:space="0" w:color="auto"/>
                <w:right w:val="none" w:sz="0" w:space="0" w:color="auto"/>
              </w:divBdr>
              <w:divsChild>
                <w:div w:id="2063676383">
                  <w:marLeft w:val="0"/>
                  <w:marRight w:val="0"/>
                  <w:marTop w:val="0"/>
                  <w:marBottom w:val="0"/>
                  <w:divBdr>
                    <w:top w:val="none" w:sz="0" w:space="0" w:color="auto"/>
                    <w:left w:val="none" w:sz="0" w:space="0" w:color="auto"/>
                    <w:bottom w:val="none" w:sz="0" w:space="0" w:color="auto"/>
                    <w:right w:val="none" w:sz="0" w:space="0" w:color="auto"/>
                  </w:divBdr>
                  <w:divsChild>
                    <w:div w:id="1553885918">
                      <w:marLeft w:val="0"/>
                      <w:marRight w:val="0"/>
                      <w:marTop w:val="0"/>
                      <w:marBottom w:val="0"/>
                      <w:divBdr>
                        <w:top w:val="none" w:sz="0" w:space="0" w:color="auto"/>
                        <w:left w:val="none" w:sz="0" w:space="0" w:color="auto"/>
                        <w:bottom w:val="none" w:sz="0" w:space="0" w:color="auto"/>
                        <w:right w:val="none" w:sz="0" w:space="0" w:color="auto"/>
                      </w:divBdr>
                      <w:divsChild>
                        <w:div w:id="659962406">
                          <w:marLeft w:val="0"/>
                          <w:marRight w:val="0"/>
                          <w:marTop w:val="0"/>
                          <w:marBottom w:val="0"/>
                          <w:divBdr>
                            <w:top w:val="none" w:sz="0" w:space="0" w:color="auto"/>
                            <w:left w:val="none" w:sz="0" w:space="0" w:color="auto"/>
                            <w:bottom w:val="none" w:sz="0" w:space="0" w:color="auto"/>
                            <w:right w:val="none" w:sz="0" w:space="0" w:color="auto"/>
                          </w:divBdr>
                          <w:divsChild>
                            <w:div w:id="459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55538">
      <w:bodyDiv w:val="1"/>
      <w:marLeft w:val="0"/>
      <w:marRight w:val="0"/>
      <w:marTop w:val="0"/>
      <w:marBottom w:val="0"/>
      <w:divBdr>
        <w:top w:val="none" w:sz="0" w:space="0" w:color="auto"/>
        <w:left w:val="none" w:sz="0" w:space="0" w:color="auto"/>
        <w:bottom w:val="none" w:sz="0" w:space="0" w:color="auto"/>
        <w:right w:val="none" w:sz="0" w:space="0" w:color="auto"/>
      </w:divBdr>
    </w:div>
    <w:div w:id="2068411068">
      <w:bodyDiv w:val="1"/>
      <w:marLeft w:val="0"/>
      <w:marRight w:val="0"/>
      <w:marTop w:val="0"/>
      <w:marBottom w:val="0"/>
      <w:divBdr>
        <w:top w:val="none" w:sz="0" w:space="0" w:color="auto"/>
        <w:left w:val="none" w:sz="0" w:space="0" w:color="auto"/>
        <w:bottom w:val="none" w:sz="0" w:space="0" w:color="auto"/>
        <w:right w:val="none" w:sz="0" w:space="0" w:color="auto"/>
      </w:divBdr>
      <w:divsChild>
        <w:div w:id="884366235">
          <w:marLeft w:val="0"/>
          <w:marRight w:val="0"/>
          <w:marTop w:val="0"/>
          <w:marBottom w:val="0"/>
          <w:divBdr>
            <w:top w:val="none" w:sz="0" w:space="0" w:color="auto"/>
            <w:left w:val="none" w:sz="0" w:space="0" w:color="auto"/>
            <w:bottom w:val="none" w:sz="0" w:space="0" w:color="auto"/>
            <w:right w:val="none" w:sz="0" w:space="0" w:color="auto"/>
          </w:divBdr>
          <w:divsChild>
            <w:div w:id="99644792">
              <w:marLeft w:val="0"/>
              <w:marRight w:val="0"/>
              <w:marTop w:val="0"/>
              <w:marBottom w:val="0"/>
              <w:divBdr>
                <w:top w:val="none" w:sz="0" w:space="0" w:color="auto"/>
                <w:left w:val="none" w:sz="0" w:space="0" w:color="auto"/>
                <w:bottom w:val="none" w:sz="0" w:space="0" w:color="auto"/>
                <w:right w:val="none" w:sz="0" w:space="0" w:color="auto"/>
              </w:divBdr>
              <w:divsChild>
                <w:div w:id="675425417">
                  <w:marLeft w:val="0"/>
                  <w:marRight w:val="0"/>
                  <w:marTop w:val="0"/>
                  <w:marBottom w:val="0"/>
                  <w:divBdr>
                    <w:top w:val="none" w:sz="0" w:space="0" w:color="auto"/>
                    <w:left w:val="none" w:sz="0" w:space="0" w:color="auto"/>
                    <w:bottom w:val="none" w:sz="0" w:space="0" w:color="auto"/>
                    <w:right w:val="none" w:sz="0" w:space="0" w:color="auto"/>
                  </w:divBdr>
                  <w:divsChild>
                    <w:div w:id="1108310923">
                      <w:marLeft w:val="0"/>
                      <w:marRight w:val="0"/>
                      <w:marTop w:val="0"/>
                      <w:marBottom w:val="0"/>
                      <w:divBdr>
                        <w:top w:val="none" w:sz="0" w:space="0" w:color="auto"/>
                        <w:left w:val="none" w:sz="0" w:space="0" w:color="auto"/>
                        <w:bottom w:val="none" w:sz="0" w:space="0" w:color="auto"/>
                        <w:right w:val="none" w:sz="0" w:space="0" w:color="auto"/>
                      </w:divBdr>
                      <w:divsChild>
                        <w:div w:id="1982617251">
                          <w:marLeft w:val="0"/>
                          <w:marRight w:val="0"/>
                          <w:marTop w:val="0"/>
                          <w:marBottom w:val="0"/>
                          <w:divBdr>
                            <w:top w:val="none" w:sz="0" w:space="0" w:color="auto"/>
                            <w:left w:val="none" w:sz="0" w:space="0" w:color="auto"/>
                            <w:bottom w:val="none" w:sz="0" w:space="0" w:color="auto"/>
                            <w:right w:val="none" w:sz="0" w:space="0" w:color="auto"/>
                          </w:divBdr>
                          <w:divsChild>
                            <w:div w:id="20684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19772">
      <w:bodyDiv w:val="1"/>
      <w:marLeft w:val="0"/>
      <w:marRight w:val="0"/>
      <w:marTop w:val="0"/>
      <w:marBottom w:val="0"/>
      <w:divBdr>
        <w:top w:val="none" w:sz="0" w:space="0" w:color="auto"/>
        <w:left w:val="none" w:sz="0" w:space="0" w:color="auto"/>
        <w:bottom w:val="none" w:sz="0" w:space="0" w:color="auto"/>
        <w:right w:val="none" w:sz="0" w:space="0" w:color="auto"/>
      </w:divBdr>
      <w:divsChild>
        <w:div w:id="1841962039">
          <w:marLeft w:val="0"/>
          <w:marRight w:val="0"/>
          <w:marTop w:val="0"/>
          <w:marBottom w:val="0"/>
          <w:divBdr>
            <w:top w:val="none" w:sz="0" w:space="0" w:color="auto"/>
            <w:left w:val="none" w:sz="0" w:space="0" w:color="auto"/>
            <w:bottom w:val="none" w:sz="0" w:space="0" w:color="auto"/>
            <w:right w:val="none" w:sz="0" w:space="0" w:color="auto"/>
          </w:divBdr>
          <w:divsChild>
            <w:div w:id="2115709270">
              <w:marLeft w:val="0"/>
              <w:marRight w:val="0"/>
              <w:marTop w:val="0"/>
              <w:marBottom w:val="0"/>
              <w:divBdr>
                <w:top w:val="none" w:sz="0" w:space="0" w:color="auto"/>
                <w:left w:val="none" w:sz="0" w:space="0" w:color="auto"/>
                <w:bottom w:val="none" w:sz="0" w:space="0" w:color="auto"/>
                <w:right w:val="none" w:sz="0" w:space="0" w:color="auto"/>
              </w:divBdr>
              <w:divsChild>
                <w:div w:id="2114982076">
                  <w:marLeft w:val="0"/>
                  <w:marRight w:val="0"/>
                  <w:marTop w:val="0"/>
                  <w:marBottom w:val="0"/>
                  <w:divBdr>
                    <w:top w:val="none" w:sz="0" w:space="0" w:color="auto"/>
                    <w:left w:val="none" w:sz="0" w:space="0" w:color="auto"/>
                    <w:bottom w:val="none" w:sz="0" w:space="0" w:color="auto"/>
                    <w:right w:val="none" w:sz="0" w:space="0" w:color="auto"/>
                  </w:divBdr>
                  <w:divsChild>
                    <w:div w:id="573706845">
                      <w:marLeft w:val="0"/>
                      <w:marRight w:val="0"/>
                      <w:marTop w:val="0"/>
                      <w:marBottom w:val="0"/>
                      <w:divBdr>
                        <w:top w:val="none" w:sz="0" w:space="0" w:color="auto"/>
                        <w:left w:val="none" w:sz="0" w:space="0" w:color="auto"/>
                        <w:bottom w:val="none" w:sz="0" w:space="0" w:color="auto"/>
                        <w:right w:val="none" w:sz="0" w:space="0" w:color="auto"/>
                      </w:divBdr>
                      <w:divsChild>
                        <w:div w:id="1057437540">
                          <w:marLeft w:val="0"/>
                          <w:marRight w:val="0"/>
                          <w:marTop w:val="0"/>
                          <w:marBottom w:val="0"/>
                          <w:divBdr>
                            <w:top w:val="none" w:sz="0" w:space="0" w:color="auto"/>
                            <w:left w:val="none" w:sz="0" w:space="0" w:color="auto"/>
                            <w:bottom w:val="none" w:sz="0" w:space="0" w:color="auto"/>
                            <w:right w:val="none" w:sz="0" w:space="0" w:color="auto"/>
                          </w:divBdr>
                          <w:divsChild>
                            <w:div w:id="13295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236613">
      <w:bodyDiv w:val="1"/>
      <w:marLeft w:val="0"/>
      <w:marRight w:val="0"/>
      <w:marTop w:val="0"/>
      <w:marBottom w:val="0"/>
      <w:divBdr>
        <w:top w:val="none" w:sz="0" w:space="0" w:color="auto"/>
        <w:left w:val="none" w:sz="0" w:space="0" w:color="auto"/>
        <w:bottom w:val="none" w:sz="0" w:space="0" w:color="auto"/>
        <w:right w:val="none" w:sz="0" w:space="0" w:color="auto"/>
      </w:divBdr>
      <w:divsChild>
        <w:div w:id="1382094713">
          <w:marLeft w:val="0"/>
          <w:marRight w:val="0"/>
          <w:marTop w:val="0"/>
          <w:marBottom w:val="0"/>
          <w:divBdr>
            <w:top w:val="none" w:sz="0" w:space="0" w:color="auto"/>
            <w:left w:val="none" w:sz="0" w:space="0" w:color="auto"/>
            <w:bottom w:val="none" w:sz="0" w:space="0" w:color="auto"/>
            <w:right w:val="none" w:sz="0" w:space="0" w:color="auto"/>
          </w:divBdr>
          <w:divsChild>
            <w:div w:id="244610085">
              <w:marLeft w:val="0"/>
              <w:marRight w:val="0"/>
              <w:marTop w:val="0"/>
              <w:marBottom w:val="0"/>
              <w:divBdr>
                <w:top w:val="none" w:sz="0" w:space="0" w:color="auto"/>
                <w:left w:val="none" w:sz="0" w:space="0" w:color="auto"/>
                <w:bottom w:val="none" w:sz="0" w:space="0" w:color="auto"/>
                <w:right w:val="none" w:sz="0" w:space="0" w:color="auto"/>
              </w:divBdr>
              <w:divsChild>
                <w:div w:id="1249459368">
                  <w:marLeft w:val="0"/>
                  <w:marRight w:val="0"/>
                  <w:marTop w:val="0"/>
                  <w:marBottom w:val="0"/>
                  <w:divBdr>
                    <w:top w:val="none" w:sz="0" w:space="0" w:color="auto"/>
                    <w:left w:val="none" w:sz="0" w:space="0" w:color="auto"/>
                    <w:bottom w:val="none" w:sz="0" w:space="0" w:color="auto"/>
                    <w:right w:val="none" w:sz="0" w:space="0" w:color="auto"/>
                  </w:divBdr>
                  <w:divsChild>
                    <w:div w:id="627514121">
                      <w:marLeft w:val="0"/>
                      <w:marRight w:val="0"/>
                      <w:marTop w:val="0"/>
                      <w:marBottom w:val="0"/>
                      <w:divBdr>
                        <w:top w:val="none" w:sz="0" w:space="0" w:color="auto"/>
                        <w:left w:val="none" w:sz="0" w:space="0" w:color="auto"/>
                        <w:bottom w:val="none" w:sz="0" w:space="0" w:color="auto"/>
                        <w:right w:val="none" w:sz="0" w:space="0" w:color="auto"/>
                      </w:divBdr>
                      <w:divsChild>
                        <w:div w:id="396633855">
                          <w:marLeft w:val="0"/>
                          <w:marRight w:val="0"/>
                          <w:marTop w:val="0"/>
                          <w:marBottom w:val="0"/>
                          <w:divBdr>
                            <w:top w:val="none" w:sz="0" w:space="0" w:color="auto"/>
                            <w:left w:val="none" w:sz="0" w:space="0" w:color="auto"/>
                            <w:bottom w:val="none" w:sz="0" w:space="0" w:color="auto"/>
                            <w:right w:val="none" w:sz="0" w:space="0" w:color="auto"/>
                          </w:divBdr>
                          <w:divsChild>
                            <w:div w:id="19392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papers.ssrn.com/sol3/papers.cfm?abstract_id=1296743"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9FAB-7E1E-485A-8348-1B58CB27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10619</Words>
  <Characters>60530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71007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Aktham Issa Almaghaireh</dc:creator>
  <cp:lastModifiedBy>C G</cp:lastModifiedBy>
  <cp:revision>2</cp:revision>
  <cp:lastPrinted>2016-09-26T14:33:00Z</cp:lastPrinted>
  <dcterms:created xsi:type="dcterms:W3CDTF">2016-11-08T10:50:00Z</dcterms:created>
  <dcterms:modified xsi:type="dcterms:W3CDTF">2016-11-08T10:50:00Z</dcterms:modified>
</cp:coreProperties>
</file>