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17" w:rsidRDefault="001B02B0" w:rsidP="001B02B0">
      <w:pPr>
        <w:spacing w:line="360" w:lineRule="auto"/>
        <w:rPr>
          <w:b/>
          <w:sz w:val="28"/>
        </w:rPr>
      </w:pPr>
      <w:bookmarkStart w:id="0" w:name="_GoBack"/>
      <w:bookmarkEnd w:id="0"/>
      <w:r w:rsidRPr="001B02B0">
        <w:rPr>
          <w:b/>
          <w:sz w:val="28"/>
        </w:rPr>
        <w:t xml:space="preserve">Evaluating outreach activities: </w:t>
      </w:r>
      <w:r w:rsidR="00046580">
        <w:rPr>
          <w:b/>
          <w:sz w:val="28"/>
        </w:rPr>
        <w:t>overcoming challenges through a realist ‘small steps’ approach</w:t>
      </w:r>
    </w:p>
    <w:p w:rsidR="001B02B0" w:rsidRDefault="001B02B0" w:rsidP="001B02B0">
      <w:pPr>
        <w:spacing w:line="360" w:lineRule="auto"/>
      </w:pPr>
    </w:p>
    <w:p w:rsidR="001B02B0" w:rsidRDefault="001B02B0" w:rsidP="001B02B0">
      <w:pPr>
        <w:spacing w:line="360" w:lineRule="auto"/>
      </w:pPr>
    </w:p>
    <w:p w:rsidR="001B02B0" w:rsidRPr="00B96F8A" w:rsidRDefault="001B02B0" w:rsidP="001B02B0">
      <w:pPr>
        <w:spacing w:line="360" w:lineRule="auto"/>
        <w:rPr>
          <w:b/>
        </w:rPr>
      </w:pPr>
      <w:r w:rsidRPr="00B96F8A">
        <w:rPr>
          <w:b/>
        </w:rPr>
        <w:t>Abstract:</w:t>
      </w:r>
    </w:p>
    <w:p w:rsidR="001B02B0" w:rsidRDefault="001B02B0" w:rsidP="001B02B0">
      <w:pPr>
        <w:spacing w:line="360" w:lineRule="auto"/>
      </w:pPr>
    </w:p>
    <w:p w:rsidR="001B02B0" w:rsidRDefault="001B02B0" w:rsidP="001B02B0">
      <w:pPr>
        <w:spacing w:line="360" w:lineRule="auto"/>
      </w:pPr>
      <w:r>
        <w:t xml:space="preserve">Practitioners are being placed under increasing pressure to evaluate the success of their outreach activities, both by government and by their own universities.  Based in a reductionist doctrine of ‘evidence-based </w:t>
      </w:r>
      <w:r w:rsidR="00205610">
        <w:t>practice</w:t>
      </w:r>
      <w:r>
        <w:t xml:space="preserve">’, there is a desire to demonstrate the effectiveness and value-for-money across activities that now account for around £175 million per year across England.  This article examines some of the difficulties in evaluating </w:t>
      </w:r>
      <w:r w:rsidR="00B96F8A">
        <w:t xml:space="preserve">the complex social world of </w:t>
      </w:r>
      <w:r>
        <w:t>outreach and suggests a ‘small steps’ approach to overcome some of these.</w:t>
      </w:r>
      <w:r w:rsidR="00B96F8A">
        <w:t xml:space="preserve">  This uses the idea of a </w:t>
      </w:r>
      <w:r w:rsidR="00EB260D">
        <w:t xml:space="preserve">transformative </w:t>
      </w:r>
      <w:r w:rsidR="00B96F8A">
        <w:t xml:space="preserve">‘theory of change’ as a framework for understanding the particular contribution </w:t>
      </w:r>
      <w:r w:rsidR="00FA548F">
        <w:t>made by discrete activities within a wider portfolio, providing a more reliable form of inference than attempts to ‘prove’ impact over longer timeframes.</w:t>
      </w:r>
    </w:p>
    <w:p w:rsidR="00FA548F" w:rsidRDefault="00FA548F" w:rsidP="001B02B0">
      <w:pPr>
        <w:spacing w:line="360" w:lineRule="auto"/>
      </w:pPr>
    </w:p>
    <w:p w:rsidR="00FA548F" w:rsidRDefault="00FA548F">
      <w:r>
        <w:br w:type="page"/>
      </w:r>
    </w:p>
    <w:p w:rsidR="00C070EA" w:rsidRDefault="00C070EA" w:rsidP="00B7371A">
      <w:pPr>
        <w:spacing w:line="360" w:lineRule="auto"/>
      </w:pPr>
      <w:r>
        <w:rPr>
          <w:b/>
        </w:rPr>
        <w:lastRenderedPageBreak/>
        <w:t>Introduction</w:t>
      </w:r>
    </w:p>
    <w:p w:rsidR="00C070EA" w:rsidRDefault="00C070EA" w:rsidP="00B7371A">
      <w:pPr>
        <w:spacing w:line="360" w:lineRule="auto"/>
      </w:pPr>
    </w:p>
    <w:p w:rsidR="00B7371A" w:rsidRDefault="00C7422C" w:rsidP="00B7371A">
      <w:pPr>
        <w:spacing w:line="360" w:lineRule="auto"/>
      </w:pPr>
      <w:r>
        <w:t>For some time, there has been</w:t>
      </w:r>
      <w:r w:rsidR="00C070EA">
        <w:t xml:space="preserve"> concern about the effectiveness of </w:t>
      </w:r>
      <w:r w:rsidR="00376082">
        <w:t>outreach</w:t>
      </w:r>
      <w:r w:rsidR="00C070EA">
        <w:t xml:space="preserve"> activities</w:t>
      </w:r>
      <w:r w:rsidR="00376082">
        <w:t xml:space="preserve"> </w:t>
      </w:r>
      <w:r w:rsidR="00B7466B">
        <w:t>(</w:t>
      </w:r>
      <w:r>
        <w:t>e.g.</w:t>
      </w:r>
      <w:r w:rsidR="008E4C45">
        <w:t xml:space="preserve"> summer schools, university taster days and mentoring schemes</w:t>
      </w:r>
      <w:r w:rsidR="00B7466B">
        <w:t>) that are</w:t>
      </w:r>
      <w:r w:rsidR="008E4C45">
        <w:t xml:space="preserve"> </w:t>
      </w:r>
      <w:r w:rsidR="00376082">
        <w:t>designed to encourage disadvantaged individuals to apply to higher education</w:t>
      </w:r>
      <w:r w:rsidR="00C070EA">
        <w:t>.  This is perhaps inevitable for any high-profile and high-cost social policy, especial</w:t>
      </w:r>
      <w:r w:rsidR="008E256E">
        <w:t>ly during a period of austerity; the latest figures show outreach activities totalling</w:t>
      </w:r>
      <w:r w:rsidR="00110C7F">
        <w:t xml:space="preserve"> nearly £17</w:t>
      </w:r>
      <w:r w:rsidR="008E256E">
        <w:t xml:space="preserve">5 million </w:t>
      </w:r>
      <w:r w:rsidR="00087C8A">
        <w:t xml:space="preserve">in England </w:t>
      </w:r>
      <w:r w:rsidR="008E256E">
        <w:t>(Office for Fair Access</w:t>
      </w:r>
      <w:r w:rsidR="00F12B77">
        <w:t xml:space="preserve"> [OFFA]</w:t>
      </w:r>
      <w:r w:rsidR="008E256E">
        <w:t>, 2016).</w:t>
      </w:r>
      <w:r w:rsidR="00B7371A">
        <w:t xml:space="preserve">  The recent national strategy document lays out a clear expectation:</w:t>
      </w:r>
    </w:p>
    <w:p w:rsidR="00B7371A" w:rsidRDefault="00B7371A" w:rsidP="00B7371A">
      <w:pPr>
        <w:spacing w:line="360" w:lineRule="auto"/>
      </w:pPr>
    </w:p>
    <w:p w:rsidR="00F12B77" w:rsidRPr="000C0382" w:rsidRDefault="00B7371A" w:rsidP="00F12B77">
      <w:pPr>
        <w:spacing w:line="360" w:lineRule="auto"/>
        <w:ind w:left="720"/>
        <w:rPr>
          <w:rFonts w:cs="Frutiger LT Std"/>
          <w:color w:val="000000"/>
          <w:szCs w:val="24"/>
        </w:rPr>
      </w:pPr>
      <w:r>
        <w:rPr>
          <w:rFonts w:cs="Frutiger LT Std"/>
          <w:color w:val="000000"/>
          <w:szCs w:val="24"/>
        </w:rPr>
        <w:t>‘</w:t>
      </w:r>
      <w:r w:rsidRPr="00B7371A">
        <w:rPr>
          <w:rFonts w:cs="Frutiger LT Std"/>
          <w:color w:val="000000"/>
          <w:szCs w:val="24"/>
        </w:rPr>
        <w:t xml:space="preserve">It is essential to understand which approaches and activities have the greatest impact, and why. An improved evidence base, and a robust approach to evaluation, are critical in helping the sector and partners to understand which of their activities are most effective and have the greatest impact on access, student success and progression, so enabling </w:t>
      </w:r>
      <w:r w:rsidRPr="000C0382">
        <w:rPr>
          <w:rFonts w:cs="Frutiger LT Std"/>
          <w:color w:val="000000"/>
          <w:szCs w:val="24"/>
        </w:rPr>
        <w:t>effort to be focused on these areas’</w:t>
      </w:r>
      <w:r w:rsidR="000C0382">
        <w:rPr>
          <w:rFonts w:cs="Frutiger LT Std"/>
          <w:color w:val="000000"/>
          <w:szCs w:val="24"/>
        </w:rPr>
        <w:t xml:space="preserve"> (</w:t>
      </w:r>
      <w:r w:rsidR="00231CB0">
        <w:rPr>
          <w:rFonts w:cs="Frutiger LT Std"/>
          <w:color w:val="000000"/>
          <w:szCs w:val="24"/>
        </w:rPr>
        <w:t>Department of Business, Innovation and Skills [</w:t>
      </w:r>
      <w:r w:rsidR="000C0382">
        <w:rPr>
          <w:rFonts w:cs="Frutiger LT Std"/>
          <w:color w:val="000000"/>
          <w:szCs w:val="24"/>
        </w:rPr>
        <w:t>BIS</w:t>
      </w:r>
      <w:r w:rsidR="00231CB0">
        <w:rPr>
          <w:rFonts w:cs="Frutiger LT Std"/>
          <w:color w:val="000000"/>
          <w:szCs w:val="24"/>
        </w:rPr>
        <w:t>]</w:t>
      </w:r>
      <w:r w:rsidR="002841DF">
        <w:rPr>
          <w:rFonts w:cs="Frutiger LT Std"/>
          <w:color w:val="000000"/>
          <w:szCs w:val="24"/>
        </w:rPr>
        <w:t>, 2014, p.</w:t>
      </w:r>
      <w:r w:rsidR="000C0382">
        <w:rPr>
          <w:rFonts w:cs="Frutiger LT Std"/>
          <w:color w:val="000000"/>
          <w:szCs w:val="24"/>
        </w:rPr>
        <w:t>9</w:t>
      </w:r>
      <w:r w:rsidRPr="000C0382">
        <w:rPr>
          <w:rFonts w:cs="Frutiger LT Std"/>
          <w:color w:val="000000"/>
          <w:szCs w:val="24"/>
        </w:rPr>
        <w:t>).</w:t>
      </w:r>
    </w:p>
    <w:p w:rsidR="00F12B77" w:rsidRDefault="00F12B77" w:rsidP="00F12B77">
      <w:pPr>
        <w:spacing w:line="360" w:lineRule="auto"/>
        <w:rPr>
          <w:rFonts w:cs="Frutiger LT Std"/>
          <w:color w:val="000000"/>
          <w:szCs w:val="24"/>
        </w:rPr>
      </w:pPr>
    </w:p>
    <w:p w:rsidR="000C0382" w:rsidRDefault="000C0382" w:rsidP="00F12B77">
      <w:pPr>
        <w:spacing w:line="360" w:lineRule="auto"/>
        <w:rPr>
          <w:rFonts w:cs="Frutiger LT Std"/>
          <w:color w:val="000000"/>
          <w:szCs w:val="24"/>
        </w:rPr>
      </w:pPr>
      <w:r>
        <w:rPr>
          <w:rFonts w:cs="Frutiger LT Std"/>
          <w:color w:val="000000"/>
          <w:szCs w:val="24"/>
        </w:rPr>
        <w:t xml:space="preserve">With slightly softer rhetoric, the recent OFFA strategic plan makes a similar point, signalling </w:t>
      </w:r>
      <w:r w:rsidR="007C41CA">
        <w:rPr>
          <w:rFonts w:cs="Frutiger LT Std"/>
          <w:color w:val="000000"/>
          <w:szCs w:val="24"/>
        </w:rPr>
        <w:t>its</w:t>
      </w:r>
      <w:r>
        <w:rPr>
          <w:rFonts w:cs="Frutiger LT Std"/>
          <w:color w:val="000000"/>
          <w:szCs w:val="24"/>
        </w:rPr>
        <w:t xml:space="preserve"> intent to </w:t>
      </w:r>
      <w:r w:rsidR="00EA78AA">
        <w:rPr>
          <w:rFonts w:cs="Frutiger LT Std"/>
          <w:color w:val="000000"/>
          <w:szCs w:val="24"/>
        </w:rPr>
        <w:t>use</w:t>
      </w:r>
    </w:p>
    <w:p w:rsidR="000C0382" w:rsidRPr="000C0382" w:rsidRDefault="000C0382" w:rsidP="00F12B77">
      <w:pPr>
        <w:spacing w:line="360" w:lineRule="auto"/>
        <w:rPr>
          <w:rFonts w:cs="Frutiger LT Std"/>
          <w:color w:val="000000"/>
          <w:szCs w:val="24"/>
        </w:rPr>
      </w:pPr>
    </w:p>
    <w:p w:rsidR="00F12B77" w:rsidRDefault="00EA78AA" w:rsidP="00EA78AA">
      <w:pPr>
        <w:spacing w:line="360" w:lineRule="auto"/>
        <w:ind w:left="720"/>
        <w:rPr>
          <w:rFonts w:eastAsia="Times New Roman" w:cs="Arial"/>
          <w:szCs w:val="24"/>
          <w:lang w:eastAsia="en-GB"/>
        </w:rPr>
      </w:pPr>
      <w:r>
        <w:rPr>
          <w:rFonts w:eastAsia="Times New Roman" w:cs="Arial"/>
          <w:szCs w:val="24"/>
          <w:lang w:eastAsia="en-GB"/>
        </w:rPr>
        <w:t>‘…</w:t>
      </w:r>
      <w:r w:rsidR="00F12B77" w:rsidRPr="00F12B77">
        <w:rPr>
          <w:rFonts w:eastAsia="Times New Roman" w:cs="Arial"/>
          <w:szCs w:val="24"/>
          <w:lang w:eastAsia="en-GB"/>
        </w:rPr>
        <w:t>an</w:t>
      </w:r>
      <w:r w:rsidR="00F12B77" w:rsidRPr="000C0382">
        <w:rPr>
          <w:rFonts w:eastAsia="Times New Roman" w:cs="Arial"/>
          <w:szCs w:val="24"/>
          <w:lang w:eastAsia="en-GB"/>
        </w:rPr>
        <w:t xml:space="preserve"> evidence</w:t>
      </w:r>
      <w:r w:rsidR="00F12B77" w:rsidRPr="00F12B77">
        <w:rPr>
          <w:rFonts w:eastAsia="Times New Roman" w:cs="Arial"/>
          <w:szCs w:val="24"/>
          <w:lang w:eastAsia="en-GB"/>
        </w:rPr>
        <w:t>-based</w:t>
      </w:r>
      <w:r w:rsidR="00F12B77" w:rsidRPr="000C0382">
        <w:rPr>
          <w:rFonts w:eastAsia="Times New Roman" w:cs="Arial"/>
          <w:szCs w:val="24"/>
          <w:lang w:eastAsia="en-GB"/>
        </w:rPr>
        <w:t xml:space="preserve"> </w:t>
      </w:r>
      <w:r w:rsidR="00F12B77" w:rsidRPr="00F12B77">
        <w:rPr>
          <w:rFonts w:eastAsia="Times New Roman" w:cs="Arial"/>
          <w:szCs w:val="24"/>
          <w:lang w:eastAsia="en-GB"/>
        </w:rPr>
        <w:t>approach</w:t>
      </w:r>
      <w:r w:rsidR="00F12B77" w:rsidRPr="000C0382">
        <w:rPr>
          <w:rFonts w:eastAsia="Times New Roman" w:cs="Arial"/>
          <w:szCs w:val="24"/>
          <w:lang w:eastAsia="en-GB"/>
        </w:rPr>
        <w:t xml:space="preserve"> </w:t>
      </w:r>
      <w:r w:rsidR="00F12B77" w:rsidRPr="00F12B77">
        <w:rPr>
          <w:rFonts w:eastAsia="Times New Roman" w:cs="Arial"/>
          <w:szCs w:val="24"/>
          <w:lang w:eastAsia="en-GB"/>
        </w:rPr>
        <w:t>to</w:t>
      </w:r>
      <w:r w:rsidR="00F12B77" w:rsidRPr="000C0382">
        <w:rPr>
          <w:rFonts w:eastAsia="Times New Roman" w:cs="Arial"/>
          <w:szCs w:val="24"/>
          <w:lang w:eastAsia="en-GB"/>
        </w:rPr>
        <w:t xml:space="preserve"> </w:t>
      </w:r>
      <w:r w:rsidR="00F12B77" w:rsidRPr="00F12B77">
        <w:rPr>
          <w:rFonts w:eastAsia="Times New Roman" w:cs="Arial"/>
          <w:szCs w:val="24"/>
          <w:lang w:eastAsia="en-GB"/>
        </w:rPr>
        <w:t>more</w:t>
      </w:r>
      <w:r w:rsidR="00F12B77" w:rsidRPr="000C0382">
        <w:rPr>
          <w:rFonts w:eastAsia="Times New Roman" w:cs="Arial"/>
          <w:szCs w:val="24"/>
          <w:lang w:eastAsia="en-GB"/>
        </w:rPr>
        <w:t xml:space="preserve"> </w:t>
      </w:r>
      <w:r w:rsidR="00F12B77" w:rsidRPr="00F12B77">
        <w:rPr>
          <w:rFonts w:eastAsia="Times New Roman" w:cs="Arial"/>
          <w:szCs w:val="24"/>
          <w:lang w:eastAsia="en-GB"/>
        </w:rPr>
        <w:t>actively</w:t>
      </w:r>
      <w:r w:rsidR="00F12B77" w:rsidRPr="000C0382">
        <w:rPr>
          <w:rFonts w:eastAsia="Times New Roman" w:cs="Arial"/>
          <w:szCs w:val="24"/>
          <w:lang w:eastAsia="en-GB"/>
        </w:rPr>
        <w:t xml:space="preserve"> </w:t>
      </w:r>
      <w:r w:rsidR="00F12B77" w:rsidRPr="00F12B77">
        <w:rPr>
          <w:rFonts w:eastAsia="Times New Roman" w:cs="Arial"/>
          <w:szCs w:val="24"/>
          <w:lang w:eastAsia="en-GB"/>
        </w:rPr>
        <w:t>challenge</w:t>
      </w:r>
      <w:r w:rsidR="00F12B77" w:rsidRPr="000C0382">
        <w:rPr>
          <w:rFonts w:eastAsia="Times New Roman" w:cs="Arial"/>
          <w:szCs w:val="24"/>
          <w:lang w:eastAsia="en-GB"/>
        </w:rPr>
        <w:t xml:space="preserve"> </w:t>
      </w:r>
      <w:r w:rsidR="00F12B77" w:rsidRPr="00F12B77">
        <w:rPr>
          <w:rFonts w:eastAsia="Times New Roman" w:cs="Arial"/>
          <w:szCs w:val="24"/>
          <w:lang w:eastAsia="en-GB"/>
        </w:rPr>
        <w:t>and</w:t>
      </w:r>
      <w:r w:rsidR="00F12B77" w:rsidRPr="000C0382">
        <w:rPr>
          <w:rFonts w:eastAsia="Times New Roman" w:cs="Arial"/>
          <w:szCs w:val="24"/>
          <w:lang w:eastAsia="en-GB"/>
        </w:rPr>
        <w:t xml:space="preserve"> </w:t>
      </w:r>
      <w:r w:rsidR="00F12B77" w:rsidRPr="00F12B77">
        <w:rPr>
          <w:rFonts w:eastAsia="Times New Roman" w:cs="Arial"/>
          <w:szCs w:val="24"/>
          <w:lang w:eastAsia="en-GB"/>
        </w:rPr>
        <w:t>engage</w:t>
      </w:r>
      <w:r w:rsidR="00F12B77" w:rsidRPr="000C0382">
        <w:rPr>
          <w:rFonts w:eastAsia="Times New Roman" w:cs="Arial"/>
          <w:szCs w:val="24"/>
          <w:lang w:eastAsia="en-GB"/>
        </w:rPr>
        <w:t xml:space="preserve"> </w:t>
      </w:r>
      <w:r w:rsidR="00F12B77" w:rsidRPr="00F12B77">
        <w:rPr>
          <w:rFonts w:eastAsia="Times New Roman" w:cs="Arial"/>
          <w:szCs w:val="24"/>
          <w:lang w:eastAsia="en-GB"/>
        </w:rPr>
        <w:t>with</w:t>
      </w:r>
      <w:r w:rsidR="00F12B77" w:rsidRPr="000C0382">
        <w:rPr>
          <w:rFonts w:eastAsia="Times New Roman" w:cs="Arial"/>
          <w:szCs w:val="24"/>
          <w:lang w:eastAsia="en-GB"/>
        </w:rPr>
        <w:t xml:space="preserve"> </w:t>
      </w:r>
      <w:r w:rsidR="00F12B77" w:rsidRPr="00F12B77">
        <w:rPr>
          <w:rFonts w:eastAsia="Times New Roman" w:cs="Arial"/>
          <w:szCs w:val="24"/>
          <w:lang w:eastAsia="en-GB"/>
        </w:rPr>
        <w:t>universities</w:t>
      </w:r>
      <w:r w:rsidR="00F12B77" w:rsidRPr="000C0382">
        <w:rPr>
          <w:rFonts w:eastAsia="Times New Roman" w:cs="Arial"/>
          <w:szCs w:val="24"/>
          <w:lang w:eastAsia="en-GB"/>
        </w:rPr>
        <w:t xml:space="preserve"> </w:t>
      </w:r>
      <w:r w:rsidR="00F12B77" w:rsidRPr="00F12B77">
        <w:rPr>
          <w:rFonts w:eastAsia="Times New Roman" w:cs="Arial"/>
          <w:szCs w:val="24"/>
          <w:lang w:eastAsia="en-GB"/>
        </w:rPr>
        <w:t>and</w:t>
      </w:r>
      <w:r w:rsidR="00F12B77" w:rsidRPr="000C0382">
        <w:rPr>
          <w:rFonts w:eastAsia="Times New Roman" w:cs="Arial"/>
          <w:szCs w:val="24"/>
          <w:lang w:eastAsia="en-GB"/>
        </w:rPr>
        <w:t xml:space="preserve"> </w:t>
      </w:r>
      <w:r w:rsidR="00F12B77" w:rsidRPr="00F12B77">
        <w:rPr>
          <w:rFonts w:eastAsia="Times New Roman" w:cs="Arial"/>
          <w:szCs w:val="24"/>
          <w:lang w:eastAsia="en-GB"/>
        </w:rPr>
        <w:t>colleges</w:t>
      </w:r>
      <w:r w:rsidR="00F12B77" w:rsidRPr="000C0382">
        <w:rPr>
          <w:rFonts w:eastAsia="Times New Roman" w:cs="Arial"/>
          <w:szCs w:val="24"/>
          <w:lang w:eastAsia="en-GB"/>
        </w:rPr>
        <w:t xml:space="preserve"> </w:t>
      </w:r>
      <w:r w:rsidR="00F12B77" w:rsidRPr="00F12B77">
        <w:rPr>
          <w:rFonts w:eastAsia="Times New Roman" w:cs="Arial"/>
          <w:szCs w:val="24"/>
          <w:lang w:eastAsia="en-GB"/>
        </w:rPr>
        <w:t>to</w:t>
      </w:r>
      <w:r w:rsidR="00F12B77" w:rsidRPr="000C0382">
        <w:rPr>
          <w:rFonts w:eastAsia="Times New Roman" w:cs="Arial"/>
          <w:szCs w:val="24"/>
          <w:lang w:eastAsia="en-GB"/>
        </w:rPr>
        <w:t xml:space="preserve"> </w:t>
      </w:r>
      <w:r w:rsidR="00F12B77" w:rsidRPr="00F12B77">
        <w:rPr>
          <w:rFonts w:eastAsia="Times New Roman" w:cs="Arial"/>
          <w:szCs w:val="24"/>
          <w:lang w:eastAsia="en-GB"/>
        </w:rPr>
        <w:t>make</w:t>
      </w:r>
      <w:r w:rsidR="00F12B77" w:rsidRPr="000C0382">
        <w:rPr>
          <w:rFonts w:eastAsia="Times New Roman" w:cs="Arial"/>
          <w:szCs w:val="24"/>
          <w:lang w:eastAsia="en-GB"/>
        </w:rPr>
        <w:t xml:space="preserve"> </w:t>
      </w:r>
      <w:r w:rsidR="00F12B77" w:rsidRPr="00F12B77">
        <w:rPr>
          <w:rFonts w:eastAsia="Times New Roman" w:cs="Arial"/>
          <w:szCs w:val="24"/>
          <w:lang w:eastAsia="en-GB"/>
        </w:rPr>
        <w:t>sustained</w:t>
      </w:r>
      <w:r w:rsidR="00F12B77" w:rsidRPr="000C0382">
        <w:rPr>
          <w:rFonts w:eastAsia="Times New Roman" w:cs="Arial"/>
          <w:szCs w:val="24"/>
          <w:lang w:eastAsia="en-GB"/>
        </w:rPr>
        <w:t xml:space="preserve"> </w:t>
      </w:r>
      <w:r w:rsidR="00F12B77" w:rsidRPr="00F12B77">
        <w:rPr>
          <w:rFonts w:eastAsia="Times New Roman" w:cs="Arial"/>
          <w:szCs w:val="24"/>
          <w:lang w:eastAsia="en-GB"/>
        </w:rPr>
        <w:t>and</w:t>
      </w:r>
      <w:r w:rsidR="00F12B77" w:rsidRPr="000C0382">
        <w:rPr>
          <w:rFonts w:eastAsia="Times New Roman" w:cs="Arial"/>
          <w:szCs w:val="24"/>
          <w:lang w:eastAsia="en-GB"/>
        </w:rPr>
        <w:t xml:space="preserve"> </w:t>
      </w:r>
      <w:r w:rsidR="00F12B77" w:rsidRPr="00F12B77">
        <w:rPr>
          <w:rFonts w:eastAsia="Times New Roman" w:cs="Arial"/>
          <w:szCs w:val="24"/>
          <w:lang w:eastAsia="en-GB"/>
        </w:rPr>
        <w:t xml:space="preserve">faster progress towards their targets </w:t>
      </w:r>
      <w:r w:rsidR="00C64F05">
        <w:rPr>
          <w:rFonts w:eastAsia="Times New Roman" w:cs="Arial"/>
          <w:szCs w:val="24"/>
          <w:lang w:eastAsia="en-GB"/>
        </w:rPr>
        <w:t>a</w:t>
      </w:r>
      <w:r w:rsidR="00F12B77" w:rsidRPr="00F12B77">
        <w:rPr>
          <w:rFonts w:eastAsia="Times New Roman" w:cs="Arial"/>
          <w:szCs w:val="24"/>
          <w:lang w:eastAsia="en-GB"/>
        </w:rPr>
        <w:t>cross the student</w:t>
      </w:r>
      <w:r w:rsidR="00F12B77" w:rsidRPr="000C0382">
        <w:rPr>
          <w:rFonts w:eastAsia="Times New Roman" w:cs="Arial"/>
          <w:szCs w:val="24"/>
          <w:lang w:eastAsia="en-GB"/>
        </w:rPr>
        <w:t xml:space="preserve"> l</w:t>
      </w:r>
      <w:r w:rsidR="00F12B77" w:rsidRPr="00F12B77">
        <w:rPr>
          <w:rFonts w:eastAsia="Times New Roman" w:cs="Arial"/>
          <w:szCs w:val="24"/>
          <w:lang w:eastAsia="en-GB"/>
        </w:rPr>
        <w:t>ifecycle</w:t>
      </w:r>
      <w:r>
        <w:rPr>
          <w:rFonts w:eastAsia="Times New Roman" w:cs="Arial"/>
          <w:szCs w:val="24"/>
          <w:lang w:eastAsia="en-GB"/>
        </w:rPr>
        <w:t>’</w:t>
      </w:r>
      <w:r w:rsidR="002841DF">
        <w:rPr>
          <w:rFonts w:eastAsia="Times New Roman" w:cs="Arial"/>
          <w:szCs w:val="24"/>
          <w:lang w:eastAsia="en-GB"/>
        </w:rPr>
        <w:t xml:space="preserve"> (OFFA, 2015, p.</w:t>
      </w:r>
      <w:r w:rsidR="000C0382">
        <w:rPr>
          <w:rFonts w:eastAsia="Times New Roman" w:cs="Arial"/>
          <w:szCs w:val="24"/>
          <w:lang w:eastAsia="en-GB"/>
        </w:rPr>
        <w:t>12).</w:t>
      </w:r>
    </w:p>
    <w:p w:rsidR="00EA78AA" w:rsidRDefault="00EA78AA" w:rsidP="00EA78AA">
      <w:pPr>
        <w:spacing w:line="360" w:lineRule="auto"/>
        <w:rPr>
          <w:rFonts w:eastAsia="Times New Roman" w:cs="Arial"/>
          <w:szCs w:val="24"/>
          <w:lang w:eastAsia="en-GB"/>
        </w:rPr>
      </w:pPr>
    </w:p>
    <w:p w:rsidR="00EA78AA" w:rsidRDefault="00F25383" w:rsidP="00EA78AA">
      <w:pPr>
        <w:spacing w:line="360" w:lineRule="auto"/>
        <w:rPr>
          <w:rFonts w:eastAsia="Times New Roman" w:cs="Arial"/>
          <w:szCs w:val="24"/>
          <w:lang w:eastAsia="en-GB"/>
        </w:rPr>
      </w:pPr>
      <w:r>
        <w:rPr>
          <w:rFonts w:eastAsia="Times New Roman" w:cs="Arial"/>
          <w:szCs w:val="24"/>
          <w:lang w:eastAsia="en-GB"/>
        </w:rPr>
        <w:t xml:space="preserve">This fits within a wider doctrine of ‘evidence-based practice’ in education, sometimes colloquially known as ‘what works’.  The idea is simple: to focus resources on activities that have strong evidence for effectiveness.  The reality is significantly more problematic, as generating </w:t>
      </w:r>
      <w:r w:rsidR="00376082">
        <w:rPr>
          <w:rFonts w:eastAsia="Times New Roman" w:cs="Arial"/>
          <w:szCs w:val="24"/>
          <w:lang w:eastAsia="en-GB"/>
        </w:rPr>
        <w:t>unequivocal</w:t>
      </w:r>
      <w:r>
        <w:rPr>
          <w:rFonts w:eastAsia="Times New Roman" w:cs="Arial"/>
          <w:szCs w:val="24"/>
          <w:lang w:eastAsia="en-GB"/>
        </w:rPr>
        <w:t xml:space="preserve"> evidence in complex social fields is notoriously difficult (</w:t>
      </w:r>
      <w:r w:rsidR="00205610">
        <w:rPr>
          <w:rFonts w:eastAsia="Times New Roman" w:cs="Arial"/>
          <w:szCs w:val="24"/>
          <w:lang w:eastAsia="en-GB"/>
        </w:rPr>
        <w:t xml:space="preserve">Donaldson, Christie and Mark, 2009; </w:t>
      </w:r>
      <w:r w:rsidR="004441B9">
        <w:rPr>
          <w:rFonts w:eastAsia="Times New Roman" w:cs="Arial"/>
          <w:szCs w:val="24"/>
          <w:lang w:eastAsia="en-GB"/>
        </w:rPr>
        <w:t>Pawson, 2013;</w:t>
      </w:r>
      <w:r w:rsidR="00087C8A">
        <w:rPr>
          <w:rFonts w:eastAsia="Times New Roman" w:cs="Arial"/>
          <w:szCs w:val="24"/>
          <w:lang w:eastAsia="en-GB"/>
        </w:rPr>
        <w:t xml:space="preserve"> </w:t>
      </w:r>
      <w:proofErr w:type="spellStart"/>
      <w:r w:rsidR="004953F5">
        <w:rPr>
          <w:rFonts w:eastAsia="Times New Roman" w:cs="Arial"/>
          <w:szCs w:val="24"/>
          <w:lang w:eastAsia="en-GB"/>
        </w:rPr>
        <w:t>Ling</w:t>
      </w:r>
      <w:r>
        <w:rPr>
          <w:rFonts w:eastAsia="Times New Roman" w:cs="Arial"/>
          <w:szCs w:val="24"/>
          <w:lang w:eastAsia="en-GB"/>
        </w:rPr>
        <w:t>enfelter</w:t>
      </w:r>
      <w:proofErr w:type="spellEnd"/>
      <w:r>
        <w:rPr>
          <w:rFonts w:eastAsia="Times New Roman" w:cs="Arial"/>
          <w:szCs w:val="24"/>
          <w:lang w:eastAsia="en-GB"/>
        </w:rPr>
        <w:t>, 2016).</w:t>
      </w:r>
      <w:r w:rsidR="00F84EDF">
        <w:rPr>
          <w:rFonts w:eastAsia="Times New Roman" w:cs="Arial"/>
          <w:szCs w:val="24"/>
          <w:lang w:eastAsia="en-GB"/>
        </w:rPr>
        <w:t xml:space="preserve">  </w:t>
      </w:r>
      <w:r w:rsidR="00F06FA4">
        <w:rPr>
          <w:rFonts w:eastAsia="Times New Roman" w:cs="Arial"/>
          <w:szCs w:val="24"/>
          <w:lang w:eastAsia="en-GB"/>
        </w:rPr>
        <w:t>Outreach</w:t>
      </w:r>
      <w:r w:rsidR="00F84EDF">
        <w:rPr>
          <w:rFonts w:eastAsia="Times New Roman" w:cs="Arial"/>
          <w:szCs w:val="24"/>
          <w:lang w:eastAsia="en-GB"/>
        </w:rPr>
        <w:t xml:space="preserve"> is clearly such a field, with its long timescales</w:t>
      </w:r>
      <w:r w:rsidR="00F06FA4">
        <w:rPr>
          <w:rFonts w:eastAsia="Times New Roman" w:cs="Arial"/>
          <w:szCs w:val="24"/>
          <w:lang w:eastAsia="en-GB"/>
        </w:rPr>
        <w:t>, diverse settings</w:t>
      </w:r>
      <w:r w:rsidR="00F84EDF">
        <w:rPr>
          <w:rFonts w:eastAsia="Times New Roman" w:cs="Arial"/>
          <w:szCs w:val="24"/>
          <w:lang w:eastAsia="en-GB"/>
        </w:rPr>
        <w:t xml:space="preserve"> and </w:t>
      </w:r>
      <w:r w:rsidR="00AB202F">
        <w:rPr>
          <w:rFonts w:eastAsia="Times New Roman" w:cs="Arial"/>
          <w:szCs w:val="24"/>
          <w:lang w:eastAsia="en-GB"/>
        </w:rPr>
        <w:t>myriad</w:t>
      </w:r>
      <w:r w:rsidR="00F84EDF">
        <w:rPr>
          <w:rFonts w:eastAsia="Times New Roman" w:cs="Arial"/>
          <w:szCs w:val="24"/>
          <w:lang w:eastAsia="en-GB"/>
        </w:rPr>
        <w:t xml:space="preserve"> </w:t>
      </w:r>
      <w:r w:rsidR="004953F5">
        <w:rPr>
          <w:rFonts w:eastAsia="Times New Roman" w:cs="Arial"/>
          <w:szCs w:val="24"/>
          <w:lang w:eastAsia="en-GB"/>
        </w:rPr>
        <w:t>influences</w:t>
      </w:r>
      <w:r w:rsidR="00F84EDF">
        <w:rPr>
          <w:rFonts w:eastAsia="Times New Roman" w:cs="Arial"/>
          <w:szCs w:val="24"/>
          <w:lang w:eastAsia="en-GB"/>
        </w:rPr>
        <w:t>.</w:t>
      </w:r>
    </w:p>
    <w:p w:rsidR="00231CB0" w:rsidRDefault="00231CB0" w:rsidP="00EA78AA">
      <w:pPr>
        <w:spacing w:line="360" w:lineRule="auto"/>
        <w:rPr>
          <w:rFonts w:eastAsia="Times New Roman" w:cs="Arial"/>
          <w:szCs w:val="24"/>
          <w:lang w:eastAsia="en-GB"/>
        </w:rPr>
      </w:pPr>
    </w:p>
    <w:p w:rsidR="005F33DB" w:rsidRDefault="002C0E0D" w:rsidP="00EA78AA">
      <w:pPr>
        <w:spacing w:line="360" w:lineRule="auto"/>
        <w:rPr>
          <w:szCs w:val="24"/>
        </w:rPr>
      </w:pPr>
      <w:r>
        <w:rPr>
          <w:rFonts w:eastAsia="Times New Roman" w:cs="Arial"/>
          <w:szCs w:val="24"/>
          <w:lang w:eastAsia="en-GB"/>
        </w:rPr>
        <w:t>This</w:t>
      </w:r>
      <w:r w:rsidR="00231CB0">
        <w:rPr>
          <w:rFonts w:eastAsia="Times New Roman" w:cs="Arial"/>
          <w:szCs w:val="24"/>
          <w:lang w:eastAsia="en-GB"/>
        </w:rPr>
        <w:t xml:space="preserve"> complexity is </w:t>
      </w:r>
      <w:r w:rsidR="00E61F28">
        <w:rPr>
          <w:rFonts w:eastAsia="Times New Roman" w:cs="Arial"/>
          <w:szCs w:val="24"/>
          <w:lang w:eastAsia="en-GB"/>
        </w:rPr>
        <w:t>exacerbated</w:t>
      </w:r>
      <w:r w:rsidR="00231CB0">
        <w:rPr>
          <w:rFonts w:eastAsia="Times New Roman" w:cs="Arial"/>
          <w:szCs w:val="24"/>
          <w:lang w:eastAsia="en-GB"/>
        </w:rPr>
        <w:t xml:space="preserve"> </w:t>
      </w:r>
      <w:r w:rsidR="00AB202F">
        <w:rPr>
          <w:rFonts w:eastAsia="Times New Roman" w:cs="Arial"/>
          <w:szCs w:val="24"/>
          <w:lang w:eastAsia="en-GB"/>
        </w:rPr>
        <w:t>without</w:t>
      </w:r>
      <w:r w:rsidR="00231CB0">
        <w:rPr>
          <w:rFonts w:eastAsia="Times New Roman" w:cs="Arial"/>
          <w:szCs w:val="24"/>
          <w:lang w:eastAsia="en-GB"/>
        </w:rPr>
        <w:t xml:space="preserve"> a clear definition of ‘effectiveness’ in place.  Current government policy </w:t>
      </w:r>
      <w:r w:rsidR="00AB202F">
        <w:rPr>
          <w:rFonts w:eastAsia="Times New Roman" w:cs="Arial"/>
          <w:szCs w:val="24"/>
          <w:lang w:eastAsia="en-GB"/>
        </w:rPr>
        <w:t xml:space="preserve">aims </w:t>
      </w:r>
      <w:r w:rsidR="00231CB0" w:rsidRPr="00672DB8">
        <w:rPr>
          <w:szCs w:val="24"/>
        </w:rPr>
        <w:t>‘to double the proportion of people from disadvantaged backgrounds entering university in 2020 compared to 2009’ (BIS, 2016, p. 54</w:t>
      </w:r>
      <w:r w:rsidR="00231CB0">
        <w:rPr>
          <w:szCs w:val="24"/>
        </w:rPr>
        <w:t xml:space="preserve">), </w:t>
      </w:r>
      <w:r w:rsidR="00AB202F">
        <w:rPr>
          <w:szCs w:val="24"/>
        </w:rPr>
        <w:t xml:space="preserve">additionally focusing on </w:t>
      </w:r>
      <w:r w:rsidR="00AB202F">
        <w:rPr>
          <w:szCs w:val="24"/>
        </w:rPr>
        <w:lastRenderedPageBreak/>
        <w:t>increasing the proportion</w:t>
      </w:r>
      <w:r w:rsidR="00231CB0">
        <w:rPr>
          <w:szCs w:val="24"/>
        </w:rPr>
        <w:t xml:space="preserve"> </w:t>
      </w:r>
      <w:r w:rsidR="00034935">
        <w:rPr>
          <w:szCs w:val="24"/>
        </w:rPr>
        <w:t>entering</w:t>
      </w:r>
      <w:r w:rsidR="00231CB0">
        <w:rPr>
          <w:szCs w:val="24"/>
        </w:rPr>
        <w:t xml:space="preserve"> elite universities.</w:t>
      </w:r>
      <w:r w:rsidR="00034935">
        <w:rPr>
          <w:szCs w:val="24"/>
        </w:rPr>
        <w:t xml:space="preserve">  </w:t>
      </w:r>
      <w:r w:rsidR="00AB202F">
        <w:rPr>
          <w:szCs w:val="24"/>
        </w:rPr>
        <w:t xml:space="preserve">Conversely, </w:t>
      </w:r>
      <w:r w:rsidR="00034935">
        <w:rPr>
          <w:szCs w:val="24"/>
        </w:rPr>
        <w:t>individual universities</w:t>
      </w:r>
      <w:r w:rsidR="00764A0A">
        <w:rPr>
          <w:szCs w:val="24"/>
        </w:rPr>
        <w:t xml:space="preserve"> are duty bound to direct their</w:t>
      </w:r>
      <w:r w:rsidR="00034935">
        <w:rPr>
          <w:szCs w:val="24"/>
        </w:rPr>
        <w:t xml:space="preserve"> outreach activities to</w:t>
      </w:r>
      <w:r w:rsidR="00764A0A">
        <w:rPr>
          <w:szCs w:val="24"/>
        </w:rPr>
        <w:t>wards</w:t>
      </w:r>
      <w:r w:rsidR="00034935">
        <w:rPr>
          <w:szCs w:val="24"/>
        </w:rPr>
        <w:t xml:space="preserve"> meet</w:t>
      </w:r>
      <w:r w:rsidR="00764A0A">
        <w:rPr>
          <w:szCs w:val="24"/>
        </w:rPr>
        <w:t>ing</w:t>
      </w:r>
      <w:r w:rsidR="00034935">
        <w:rPr>
          <w:szCs w:val="24"/>
        </w:rPr>
        <w:t xml:space="preserve"> the requirement</w:t>
      </w:r>
      <w:r w:rsidR="00764A0A">
        <w:rPr>
          <w:szCs w:val="24"/>
        </w:rPr>
        <w:t>s</w:t>
      </w:r>
      <w:r w:rsidR="00034935">
        <w:rPr>
          <w:szCs w:val="24"/>
        </w:rPr>
        <w:t xml:space="preserve"> of the Access Agreement</w:t>
      </w:r>
      <w:r w:rsidR="00E61F28">
        <w:rPr>
          <w:szCs w:val="24"/>
        </w:rPr>
        <w:t>s</w:t>
      </w:r>
      <w:r w:rsidR="00034935">
        <w:rPr>
          <w:szCs w:val="24"/>
        </w:rPr>
        <w:t xml:space="preserve"> </w:t>
      </w:r>
      <w:r w:rsidR="00764A0A">
        <w:rPr>
          <w:szCs w:val="24"/>
        </w:rPr>
        <w:t xml:space="preserve">that they </w:t>
      </w:r>
      <w:r w:rsidR="00E61F28">
        <w:rPr>
          <w:szCs w:val="24"/>
        </w:rPr>
        <w:t>negotiate</w:t>
      </w:r>
      <w:r w:rsidR="00034935">
        <w:rPr>
          <w:szCs w:val="24"/>
        </w:rPr>
        <w:t xml:space="preserve"> with OFFA.</w:t>
      </w:r>
      <w:r w:rsidR="005F33DB">
        <w:rPr>
          <w:szCs w:val="24"/>
        </w:rPr>
        <w:t xml:space="preserve">  These are</w:t>
      </w:r>
      <w:r w:rsidR="00764A0A">
        <w:rPr>
          <w:szCs w:val="24"/>
        </w:rPr>
        <w:t xml:space="preserve"> generally</w:t>
      </w:r>
      <w:r w:rsidR="005F33DB">
        <w:rPr>
          <w:szCs w:val="24"/>
        </w:rPr>
        <w:t xml:space="preserve"> couched in </w:t>
      </w:r>
      <w:r w:rsidR="00AB202F">
        <w:rPr>
          <w:szCs w:val="24"/>
        </w:rPr>
        <w:t xml:space="preserve">competitive </w:t>
      </w:r>
      <w:r w:rsidR="005F33DB">
        <w:rPr>
          <w:szCs w:val="24"/>
        </w:rPr>
        <w:t xml:space="preserve">terms of </w:t>
      </w:r>
      <w:r w:rsidR="00AB202F">
        <w:rPr>
          <w:szCs w:val="24"/>
        </w:rPr>
        <w:t>meeting</w:t>
      </w:r>
      <w:r w:rsidR="00E61F28">
        <w:rPr>
          <w:szCs w:val="24"/>
        </w:rPr>
        <w:t xml:space="preserve"> recruitment</w:t>
      </w:r>
      <w:r w:rsidR="005F33DB">
        <w:rPr>
          <w:szCs w:val="24"/>
        </w:rPr>
        <w:t xml:space="preserve"> targets of disadvantaged students to </w:t>
      </w:r>
      <w:r w:rsidR="005F33DB" w:rsidRPr="005F33DB">
        <w:rPr>
          <w:i/>
          <w:szCs w:val="24"/>
        </w:rPr>
        <w:t>that specific university</w:t>
      </w:r>
      <w:r w:rsidR="000F775B">
        <w:t xml:space="preserve"> (</w:t>
      </w:r>
      <w:proofErr w:type="spellStart"/>
      <w:r w:rsidR="000F775B">
        <w:t>McCaig</w:t>
      </w:r>
      <w:proofErr w:type="spellEnd"/>
      <w:r w:rsidR="000F775B">
        <w:t>, 2015</w:t>
      </w:r>
      <w:r w:rsidR="00CA7FA8">
        <w:t xml:space="preserve">; </w:t>
      </w:r>
      <w:proofErr w:type="spellStart"/>
      <w:r w:rsidR="00CA7FA8">
        <w:t>Rainford</w:t>
      </w:r>
      <w:proofErr w:type="spellEnd"/>
      <w:r w:rsidR="00CA7FA8">
        <w:t>, in press</w:t>
      </w:r>
      <w:r w:rsidR="000F775B">
        <w:t>)</w:t>
      </w:r>
      <w:r w:rsidR="005F33DB">
        <w:rPr>
          <w:szCs w:val="24"/>
        </w:rPr>
        <w:t xml:space="preserve">.  </w:t>
      </w:r>
      <w:r>
        <w:rPr>
          <w:szCs w:val="24"/>
        </w:rPr>
        <w:t xml:space="preserve">Senior </w:t>
      </w:r>
      <w:r w:rsidR="00E61F28">
        <w:rPr>
          <w:szCs w:val="24"/>
        </w:rPr>
        <w:t xml:space="preserve">university </w:t>
      </w:r>
      <w:r>
        <w:rPr>
          <w:szCs w:val="24"/>
        </w:rPr>
        <w:t xml:space="preserve">managers </w:t>
      </w:r>
      <w:r w:rsidR="00E61F28">
        <w:rPr>
          <w:szCs w:val="24"/>
        </w:rPr>
        <w:t>are inevitably</w:t>
      </w:r>
      <w:r>
        <w:rPr>
          <w:szCs w:val="24"/>
        </w:rPr>
        <w:t xml:space="preserve"> keen to avoid censure </w:t>
      </w:r>
      <w:r w:rsidR="00764A0A">
        <w:rPr>
          <w:szCs w:val="24"/>
        </w:rPr>
        <w:t xml:space="preserve">(or worse) </w:t>
      </w:r>
      <w:r>
        <w:rPr>
          <w:szCs w:val="24"/>
        </w:rPr>
        <w:t>from OFFA</w:t>
      </w:r>
      <w:r w:rsidR="00764A0A">
        <w:rPr>
          <w:szCs w:val="24"/>
        </w:rPr>
        <w:t xml:space="preserve"> and</w:t>
      </w:r>
      <w:r>
        <w:rPr>
          <w:szCs w:val="24"/>
        </w:rPr>
        <w:t xml:space="preserve"> </w:t>
      </w:r>
      <w:r w:rsidR="00764A0A">
        <w:rPr>
          <w:szCs w:val="24"/>
        </w:rPr>
        <w:t xml:space="preserve">ensure </w:t>
      </w:r>
      <w:r>
        <w:rPr>
          <w:szCs w:val="24"/>
        </w:rPr>
        <w:t xml:space="preserve">that </w:t>
      </w:r>
      <w:r w:rsidR="00C7422C">
        <w:rPr>
          <w:szCs w:val="24"/>
        </w:rPr>
        <w:t xml:space="preserve">their </w:t>
      </w:r>
      <w:r w:rsidR="00E61F28">
        <w:rPr>
          <w:szCs w:val="24"/>
        </w:rPr>
        <w:t>admissions remain</w:t>
      </w:r>
      <w:r>
        <w:rPr>
          <w:szCs w:val="24"/>
        </w:rPr>
        <w:t xml:space="preserve"> buoyant</w:t>
      </w:r>
      <w:r w:rsidR="00764A0A">
        <w:rPr>
          <w:szCs w:val="24"/>
        </w:rPr>
        <w:t>, alongside</w:t>
      </w:r>
      <w:r w:rsidR="001F3879">
        <w:rPr>
          <w:szCs w:val="24"/>
        </w:rPr>
        <w:t xml:space="preserve"> wider</w:t>
      </w:r>
      <w:r w:rsidR="00764A0A">
        <w:rPr>
          <w:szCs w:val="24"/>
        </w:rPr>
        <w:t xml:space="preserve"> social justice motivations</w:t>
      </w:r>
      <w:r>
        <w:rPr>
          <w:szCs w:val="24"/>
        </w:rPr>
        <w:t>.</w:t>
      </w:r>
    </w:p>
    <w:p w:rsidR="005F33DB" w:rsidRDefault="005F33DB" w:rsidP="00EA78AA">
      <w:pPr>
        <w:spacing w:line="360" w:lineRule="auto"/>
        <w:rPr>
          <w:szCs w:val="24"/>
        </w:rPr>
      </w:pPr>
    </w:p>
    <w:p w:rsidR="00231CB0" w:rsidRDefault="005F33DB" w:rsidP="00EA78AA">
      <w:pPr>
        <w:spacing w:line="360" w:lineRule="auto"/>
        <w:rPr>
          <w:szCs w:val="24"/>
        </w:rPr>
      </w:pPr>
      <w:r>
        <w:rPr>
          <w:szCs w:val="24"/>
        </w:rPr>
        <w:t xml:space="preserve">The </w:t>
      </w:r>
      <w:r w:rsidR="004953F5">
        <w:rPr>
          <w:szCs w:val="24"/>
        </w:rPr>
        <w:t>tension</w:t>
      </w:r>
      <w:r>
        <w:rPr>
          <w:szCs w:val="24"/>
        </w:rPr>
        <w:t xml:space="preserve"> here is obvious: a university can </w:t>
      </w:r>
      <w:r w:rsidR="00E61F28">
        <w:rPr>
          <w:szCs w:val="24"/>
        </w:rPr>
        <w:t xml:space="preserve">meet </w:t>
      </w:r>
      <w:r>
        <w:rPr>
          <w:szCs w:val="24"/>
        </w:rPr>
        <w:t xml:space="preserve">its </w:t>
      </w:r>
      <w:r w:rsidR="00E61F28">
        <w:rPr>
          <w:szCs w:val="24"/>
        </w:rPr>
        <w:t xml:space="preserve">targets (and </w:t>
      </w:r>
      <w:r w:rsidR="00AB202F">
        <w:rPr>
          <w:szCs w:val="24"/>
        </w:rPr>
        <w:t xml:space="preserve">ostensibly </w:t>
      </w:r>
      <w:r w:rsidR="00E61F28">
        <w:rPr>
          <w:szCs w:val="24"/>
        </w:rPr>
        <w:t>be effective) for</w:t>
      </w:r>
      <w:r>
        <w:rPr>
          <w:szCs w:val="24"/>
        </w:rPr>
        <w:t xml:space="preserve"> </w:t>
      </w:r>
      <w:r w:rsidR="00393D6E">
        <w:rPr>
          <w:szCs w:val="24"/>
        </w:rPr>
        <w:t xml:space="preserve">recruiting </w:t>
      </w:r>
      <w:r>
        <w:rPr>
          <w:szCs w:val="24"/>
        </w:rPr>
        <w:t>disadvantaged students without impacting</w:t>
      </w:r>
      <w:r w:rsidR="00AB202F">
        <w:rPr>
          <w:szCs w:val="24"/>
        </w:rPr>
        <w:t xml:space="preserve"> at all on the national targets</w:t>
      </w:r>
      <w:r>
        <w:rPr>
          <w:szCs w:val="24"/>
        </w:rPr>
        <w:t xml:space="preserve"> if it is </w:t>
      </w:r>
      <w:r w:rsidR="00AB202F">
        <w:rPr>
          <w:szCs w:val="24"/>
        </w:rPr>
        <w:t>simply</w:t>
      </w:r>
      <w:r>
        <w:rPr>
          <w:szCs w:val="24"/>
        </w:rPr>
        <w:t xml:space="preserve"> capturing a greater share of the </w:t>
      </w:r>
      <w:r w:rsidR="00C7422C">
        <w:rPr>
          <w:szCs w:val="24"/>
        </w:rPr>
        <w:t xml:space="preserve">existing </w:t>
      </w:r>
      <w:r w:rsidR="00AB202F">
        <w:rPr>
          <w:szCs w:val="24"/>
        </w:rPr>
        <w:t xml:space="preserve">applicant </w:t>
      </w:r>
      <w:r w:rsidR="00E61F28">
        <w:rPr>
          <w:szCs w:val="24"/>
        </w:rPr>
        <w:t>pool</w:t>
      </w:r>
      <w:r w:rsidR="00373CE6">
        <w:rPr>
          <w:szCs w:val="24"/>
        </w:rPr>
        <w:t>;</w:t>
      </w:r>
      <w:r w:rsidR="00E61F28">
        <w:rPr>
          <w:szCs w:val="24"/>
        </w:rPr>
        <w:t xml:space="preserve"> a</w:t>
      </w:r>
      <w:r>
        <w:rPr>
          <w:szCs w:val="24"/>
        </w:rPr>
        <w:t xml:space="preserve"> </w:t>
      </w:r>
      <w:r w:rsidR="00E61F28">
        <w:rPr>
          <w:szCs w:val="24"/>
        </w:rPr>
        <w:t>‘</w:t>
      </w:r>
      <w:r>
        <w:rPr>
          <w:szCs w:val="24"/>
        </w:rPr>
        <w:t>zero sum game</w:t>
      </w:r>
      <w:r w:rsidR="00E61F28">
        <w:rPr>
          <w:szCs w:val="24"/>
        </w:rPr>
        <w:t>’</w:t>
      </w:r>
      <w:r>
        <w:rPr>
          <w:szCs w:val="24"/>
        </w:rPr>
        <w:t xml:space="preserve"> where outreach is conflated with recruitment</w:t>
      </w:r>
      <w:r w:rsidR="00C541F6">
        <w:rPr>
          <w:szCs w:val="24"/>
        </w:rPr>
        <w:t xml:space="preserve"> and universities seek easy wins,</w:t>
      </w:r>
      <w:r>
        <w:rPr>
          <w:szCs w:val="24"/>
        </w:rPr>
        <w:t xml:space="preserve"> </w:t>
      </w:r>
      <w:r w:rsidR="00C541F6">
        <w:rPr>
          <w:szCs w:val="24"/>
        </w:rPr>
        <w:t>leading</w:t>
      </w:r>
      <w:r>
        <w:rPr>
          <w:szCs w:val="24"/>
        </w:rPr>
        <w:t xml:space="preserve"> </w:t>
      </w:r>
      <w:r w:rsidR="00C541F6">
        <w:rPr>
          <w:szCs w:val="24"/>
        </w:rPr>
        <w:t xml:space="preserve">to </w:t>
      </w:r>
      <w:r>
        <w:rPr>
          <w:szCs w:val="24"/>
        </w:rPr>
        <w:t xml:space="preserve">few additional students </w:t>
      </w:r>
      <w:r w:rsidR="00C541F6">
        <w:rPr>
          <w:szCs w:val="24"/>
        </w:rPr>
        <w:t>being</w:t>
      </w:r>
      <w:r>
        <w:rPr>
          <w:szCs w:val="24"/>
        </w:rPr>
        <w:t xml:space="preserve"> encouraged into higher education.  This ‘confusion of successes’ </w:t>
      </w:r>
      <w:r w:rsidR="00C541F6">
        <w:rPr>
          <w:szCs w:val="24"/>
        </w:rPr>
        <w:t xml:space="preserve">is an </w:t>
      </w:r>
      <w:r w:rsidR="00E61F28">
        <w:rPr>
          <w:szCs w:val="24"/>
        </w:rPr>
        <w:t>added</w:t>
      </w:r>
      <w:r w:rsidR="00C541F6">
        <w:rPr>
          <w:szCs w:val="24"/>
        </w:rPr>
        <w:t xml:space="preserve"> challenge </w:t>
      </w:r>
      <w:r w:rsidR="00275C61">
        <w:rPr>
          <w:szCs w:val="24"/>
        </w:rPr>
        <w:t>to practitioners</w:t>
      </w:r>
      <w:r w:rsidR="00A408B4">
        <w:rPr>
          <w:szCs w:val="24"/>
        </w:rPr>
        <w:t>:</w:t>
      </w:r>
      <w:r w:rsidR="00275C61">
        <w:rPr>
          <w:szCs w:val="24"/>
        </w:rPr>
        <w:t xml:space="preserve"> is it success against </w:t>
      </w:r>
      <w:r w:rsidR="00E61F28">
        <w:rPr>
          <w:szCs w:val="24"/>
        </w:rPr>
        <w:t>institutional</w:t>
      </w:r>
      <w:r w:rsidR="00275C61">
        <w:rPr>
          <w:szCs w:val="24"/>
        </w:rPr>
        <w:t xml:space="preserve"> or national targets that matters</w:t>
      </w:r>
      <w:r w:rsidR="00A408B4">
        <w:rPr>
          <w:szCs w:val="24"/>
        </w:rPr>
        <w:t xml:space="preserve"> – e</w:t>
      </w:r>
      <w:r w:rsidR="00B259E5">
        <w:rPr>
          <w:szCs w:val="24"/>
        </w:rPr>
        <w:t xml:space="preserve">ffectiveness </w:t>
      </w:r>
      <w:r w:rsidR="00F057B9">
        <w:rPr>
          <w:szCs w:val="24"/>
        </w:rPr>
        <w:t>for one university or for society</w:t>
      </w:r>
      <w:r w:rsidR="00B259E5">
        <w:rPr>
          <w:szCs w:val="24"/>
        </w:rPr>
        <w:t xml:space="preserve"> in general?</w:t>
      </w:r>
      <w:r w:rsidR="00E61F28">
        <w:rPr>
          <w:szCs w:val="24"/>
        </w:rPr>
        <w:t xml:space="preserve"> </w:t>
      </w:r>
    </w:p>
    <w:p w:rsidR="0048376E" w:rsidRPr="005F33DB" w:rsidRDefault="0048376E" w:rsidP="00EA78AA">
      <w:pPr>
        <w:spacing w:line="360" w:lineRule="auto"/>
        <w:rPr>
          <w:szCs w:val="24"/>
        </w:rPr>
      </w:pPr>
    </w:p>
    <w:p w:rsidR="0048376E" w:rsidRPr="004E5623" w:rsidRDefault="0048376E" w:rsidP="0048376E">
      <w:pPr>
        <w:spacing w:line="360" w:lineRule="auto"/>
      </w:pPr>
      <w:r>
        <w:t xml:space="preserve">Outreach activities are often focused on changing attitudes to higher education by, for example, making it appear desirable, achievable or ‘normal’.  However, other changes may also occur in terms of knowledge, behaviours or social relations.  This article therefore focuses on evaluating whether and how activities lead to change.  </w:t>
      </w:r>
      <w:r>
        <w:rPr>
          <w:rFonts w:eastAsia="Times New Roman" w:cs="Arial"/>
          <w:szCs w:val="24"/>
          <w:lang w:eastAsia="en-GB"/>
        </w:rPr>
        <w:t>This change could be the explicit intention to enter higher education or, more likely, an intermediate state such as increased motivation at school, having a clear career goal or developing more self-confidence.  ‘Effectiveness’ is used hereafter in an informal sense of judging the amount of change which can be ascribed to an activity.  In other words, it is an assessment of what did happen with respect to participants relative to what would have happened otherwise – often described as the ‘counterfactual’ situation.  Similarly, ‘causality’ is used informally to indicate the certainty that an activity is directly responsible for this change.</w:t>
      </w:r>
    </w:p>
    <w:p w:rsidR="0014789F" w:rsidRDefault="0014789F" w:rsidP="00EA78AA">
      <w:pPr>
        <w:spacing w:line="360" w:lineRule="auto"/>
        <w:rPr>
          <w:rFonts w:eastAsia="Times New Roman" w:cs="Arial"/>
          <w:szCs w:val="24"/>
          <w:lang w:eastAsia="en-GB"/>
        </w:rPr>
      </w:pPr>
    </w:p>
    <w:p w:rsidR="002416DA" w:rsidRDefault="002C16CD" w:rsidP="00EA78AA">
      <w:pPr>
        <w:spacing w:line="360" w:lineRule="auto"/>
        <w:rPr>
          <w:rFonts w:eastAsia="Times New Roman" w:cs="Arial"/>
          <w:szCs w:val="24"/>
          <w:lang w:eastAsia="en-GB"/>
        </w:rPr>
      </w:pPr>
      <w:r>
        <w:rPr>
          <w:rFonts w:eastAsia="Times New Roman" w:cs="Arial"/>
          <w:szCs w:val="24"/>
          <w:lang w:eastAsia="en-GB"/>
        </w:rPr>
        <w:t xml:space="preserve">These complexities underline the need for a </w:t>
      </w:r>
      <w:r w:rsidR="00393D6E">
        <w:rPr>
          <w:rFonts w:eastAsia="Times New Roman" w:cs="Arial"/>
          <w:szCs w:val="24"/>
          <w:lang w:eastAsia="en-GB"/>
        </w:rPr>
        <w:t>considered and critical</w:t>
      </w:r>
      <w:r>
        <w:rPr>
          <w:rFonts w:eastAsia="Times New Roman" w:cs="Arial"/>
          <w:szCs w:val="24"/>
          <w:lang w:eastAsia="en-GB"/>
        </w:rPr>
        <w:t xml:space="preserve"> approach to evaluation that generates credible claims to knowledge.</w:t>
      </w:r>
      <w:r w:rsidR="00621CF7">
        <w:rPr>
          <w:rFonts w:eastAsia="Times New Roman" w:cs="Arial"/>
          <w:szCs w:val="24"/>
          <w:lang w:eastAsia="en-GB"/>
        </w:rPr>
        <w:t xml:space="preserve">  </w:t>
      </w:r>
      <w:r w:rsidR="002416DA">
        <w:rPr>
          <w:rFonts w:eastAsia="Times New Roman" w:cs="Arial"/>
          <w:szCs w:val="24"/>
          <w:lang w:eastAsia="en-GB"/>
        </w:rPr>
        <w:t xml:space="preserve">This article is aimed at those expected to generate or assess such claims, including </w:t>
      </w:r>
      <w:r w:rsidR="00393D6E">
        <w:rPr>
          <w:rFonts w:eastAsia="Times New Roman" w:cs="Arial"/>
          <w:szCs w:val="24"/>
          <w:lang w:eastAsia="en-GB"/>
        </w:rPr>
        <w:t xml:space="preserve">researchers, practitioners, university </w:t>
      </w:r>
      <w:r w:rsidR="002416DA">
        <w:rPr>
          <w:rFonts w:eastAsia="Times New Roman" w:cs="Arial"/>
          <w:szCs w:val="24"/>
          <w:lang w:eastAsia="en-GB"/>
        </w:rPr>
        <w:t>managers</w:t>
      </w:r>
      <w:r w:rsidR="00393D6E">
        <w:rPr>
          <w:rFonts w:eastAsia="Times New Roman" w:cs="Arial"/>
          <w:szCs w:val="24"/>
          <w:lang w:eastAsia="en-GB"/>
        </w:rPr>
        <w:t xml:space="preserve"> and</w:t>
      </w:r>
      <w:r w:rsidR="002416DA">
        <w:rPr>
          <w:rFonts w:eastAsia="Times New Roman" w:cs="Arial"/>
          <w:szCs w:val="24"/>
          <w:lang w:eastAsia="en-GB"/>
        </w:rPr>
        <w:t xml:space="preserve"> </w:t>
      </w:r>
      <w:r w:rsidR="00AB202F">
        <w:rPr>
          <w:rFonts w:eastAsia="Times New Roman" w:cs="Arial"/>
          <w:szCs w:val="24"/>
          <w:lang w:eastAsia="en-GB"/>
        </w:rPr>
        <w:t>experienced</w:t>
      </w:r>
      <w:r w:rsidR="002416DA">
        <w:rPr>
          <w:rFonts w:eastAsia="Times New Roman" w:cs="Arial"/>
          <w:szCs w:val="24"/>
          <w:lang w:eastAsia="en-GB"/>
        </w:rPr>
        <w:t xml:space="preserve"> evaluators applying their expertise to outreach activities.</w:t>
      </w:r>
      <w:r w:rsidR="001E5F80">
        <w:rPr>
          <w:rFonts w:eastAsia="Times New Roman" w:cs="Arial"/>
          <w:szCs w:val="24"/>
          <w:lang w:eastAsia="en-GB"/>
        </w:rPr>
        <w:t xml:space="preserve">  </w:t>
      </w:r>
      <w:r w:rsidR="00834DBF">
        <w:rPr>
          <w:rFonts w:eastAsia="Times New Roman" w:cs="Arial"/>
          <w:szCs w:val="24"/>
          <w:lang w:eastAsia="en-GB"/>
        </w:rPr>
        <w:t xml:space="preserve">It draws on the findings of the recent </w:t>
      </w:r>
      <w:r w:rsidR="00834DBF">
        <w:rPr>
          <w:rFonts w:eastAsia="Times New Roman" w:cs="Arial"/>
          <w:i/>
          <w:szCs w:val="24"/>
          <w:lang w:eastAsia="en-GB"/>
        </w:rPr>
        <w:t>Assessing Impact and Measuring Success</w:t>
      </w:r>
      <w:r w:rsidR="00834DBF">
        <w:rPr>
          <w:rFonts w:eastAsia="Times New Roman" w:cs="Arial"/>
          <w:szCs w:val="24"/>
          <w:lang w:eastAsia="en-GB"/>
        </w:rPr>
        <w:t xml:space="preserve"> project led by the authors (</w:t>
      </w:r>
      <w:r w:rsidR="005F723F" w:rsidRPr="005F723F">
        <w:rPr>
          <w:rFonts w:eastAsia="Times New Roman" w:cs="Arial"/>
          <w:color w:val="FF0000"/>
          <w:szCs w:val="24"/>
          <w:lang w:eastAsia="en-GB"/>
        </w:rPr>
        <w:t>removed for review</w:t>
      </w:r>
      <w:r w:rsidR="00834DBF">
        <w:rPr>
          <w:rFonts w:eastAsia="Times New Roman" w:cs="Arial"/>
          <w:szCs w:val="24"/>
          <w:lang w:eastAsia="en-GB"/>
        </w:rPr>
        <w:t xml:space="preserve">).  </w:t>
      </w:r>
      <w:r w:rsidR="00834DBF">
        <w:rPr>
          <w:rFonts w:eastAsia="Times New Roman" w:cs="Arial"/>
          <w:i/>
          <w:szCs w:val="24"/>
          <w:lang w:eastAsia="en-GB"/>
        </w:rPr>
        <w:t>Inter alia</w:t>
      </w:r>
      <w:r w:rsidR="00834DBF">
        <w:rPr>
          <w:rFonts w:eastAsia="Times New Roman" w:cs="Arial"/>
          <w:szCs w:val="24"/>
          <w:lang w:eastAsia="en-GB"/>
        </w:rPr>
        <w:t xml:space="preserve">, this </w:t>
      </w:r>
      <w:r w:rsidR="00C7422C">
        <w:rPr>
          <w:rFonts w:eastAsia="Times New Roman" w:cs="Arial"/>
          <w:szCs w:val="24"/>
          <w:lang w:eastAsia="en-GB"/>
        </w:rPr>
        <w:t xml:space="preserve">study </w:t>
      </w:r>
      <w:r w:rsidR="00834DBF">
        <w:rPr>
          <w:rFonts w:eastAsia="Times New Roman" w:cs="Arial"/>
          <w:szCs w:val="24"/>
          <w:lang w:eastAsia="en-GB"/>
        </w:rPr>
        <w:t>found</w:t>
      </w:r>
      <w:r w:rsidR="001E5F80">
        <w:rPr>
          <w:rFonts w:eastAsia="Times New Roman" w:cs="Arial"/>
          <w:szCs w:val="24"/>
          <w:lang w:eastAsia="en-GB"/>
        </w:rPr>
        <w:t xml:space="preserve"> that 32 percent </w:t>
      </w:r>
      <w:r w:rsidR="00834DBF">
        <w:rPr>
          <w:rFonts w:eastAsia="Times New Roman" w:cs="Arial"/>
          <w:szCs w:val="24"/>
          <w:lang w:eastAsia="en-GB"/>
        </w:rPr>
        <w:t xml:space="preserve">of university outreach managers </w:t>
      </w:r>
      <w:r w:rsidR="001E5F80">
        <w:rPr>
          <w:rFonts w:eastAsia="Times New Roman" w:cs="Arial"/>
          <w:szCs w:val="24"/>
          <w:lang w:eastAsia="en-GB"/>
        </w:rPr>
        <w:t xml:space="preserve">had concerns about the </w:t>
      </w:r>
      <w:r w:rsidR="001E5F80">
        <w:rPr>
          <w:rFonts w:eastAsia="Times New Roman" w:cs="Arial"/>
          <w:szCs w:val="24"/>
          <w:lang w:eastAsia="en-GB"/>
        </w:rPr>
        <w:lastRenderedPageBreak/>
        <w:t xml:space="preserve">quality of evidence available to them, while 91 percent were seeking to improve their evaluation processes. </w:t>
      </w:r>
    </w:p>
    <w:p w:rsidR="002416DA" w:rsidRDefault="002416DA" w:rsidP="00EA78AA">
      <w:pPr>
        <w:spacing w:line="360" w:lineRule="auto"/>
        <w:rPr>
          <w:rFonts w:eastAsia="Times New Roman" w:cs="Arial"/>
          <w:szCs w:val="24"/>
          <w:lang w:eastAsia="en-GB"/>
        </w:rPr>
      </w:pPr>
    </w:p>
    <w:p w:rsidR="006A3804" w:rsidRPr="009D499D" w:rsidRDefault="00621CF7" w:rsidP="006D10E9">
      <w:pPr>
        <w:spacing w:line="360" w:lineRule="auto"/>
        <w:rPr>
          <w:rFonts w:eastAsia="Times New Roman" w:cs="Arial"/>
          <w:szCs w:val="24"/>
          <w:lang w:eastAsia="en-GB"/>
        </w:rPr>
      </w:pPr>
      <w:r>
        <w:rPr>
          <w:rFonts w:eastAsia="Times New Roman" w:cs="Arial"/>
          <w:szCs w:val="24"/>
          <w:lang w:eastAsia="en-GB"/>
        </w:rPr>
        <w:t xml:space="preserve">This article </w:t>
      </w:r>
      <w:r w:rsidR="00B87B30">
        <w:rPr>
          <w:rFonts w:eastAsia="Times New Roman" w:cs="Arial"/>
          <w:szCs w:val="24"/>
          <w:lang w:eastAsia="en-GB"/>
        </w:rPr>
        <w:t>is</w:t>
      </w:r>
      <w:r>
        <w:rPr>
          <w:rFonts w:eastAsia="Times New Roman" w:cs="Arial"/>
          <w:szCs w:val="24"/>
          <w:lang w:eastAsia="en-GB"/>
        </w:rPr>
        <w:t xml:space="preserve"> </w:t>
      </w:r>
      <w:r w:rsidR="00AB202F">
        <w:rPr>
          <w:rFonts w:eastAsia="Times New Roman" w:cs="Arial"/>
          <w:szCs w:val="24"/>
          <w:lang w:eastAsia="en-GB"/>
        </w:rPr>
        <w:t>methodologically agnostic</w:t>
      </w:r>
      <w:r>
        <w:rPr>
          <w:rFonts w:eastAsia="Times New Roman" w:cs="Arial"/>
          <w:szCs w:val="24"/>
          <w:lang w:eastAsia="en-GB"/>
        </w:rPr>
        <w:t xml:space="preserve">, concerning itself instead with </w:t>
      </w:r>
      <w:r w:rsidR="002416DA">
        <w:rPr>
          <w:rFonts w:eastAsia="Times New Roman" w:cs="Arial"/>
          <w:szCs w:val="24"/>
          <w:lang w:eastAsia="en-GB"/>
        </w:rPr>
        <w:t>broad</w:t>
      </w:r>
      <w:r w:rsidR="00C608E6">
        <w:rPr>
          <w:rFonts w:eastAsia="Times New Roman" w:cs="Arial"/>
          <w:szCs w:val="24"/>
          <w:lang w:eastAsia="en-GB"/>
        </w:rPr>
        <w:t xml:space="preserve"> </w:t>
      </w:r>
      <w:r w:rsidR="00B87B30">
        <w:rPr>
          <w:rFonts w:eastAsia="Times New Roman" w:cs="Arial"/>
          <w:szCs w:val="24"/>
          <w:lang w:eastAsia="en-GB"/>
        </w:rPr>
        <w:t>principles</w:t>
      </w:r>
      <w:r w:rsidR="00C608E6">
        <w:rPr>
          <w:rFonts w:eastAsia="Times New Roman" w:cs="Arial"/>
          <w:szCs w:val="24"/>
          <w:lang w:eastAsia="en-GB"/>
        </w:rPr>
        <w:t xml:space="preserve"> that can usefully underpin all forms of evaluation.</w:t>
      </w:r>
      <w:r w:rsidR="006A3804">
        <w:rPr>
          <w:rFonts w:eastAsia="Times New Roman" w:cs="Arial"/>
          <w:szCs w:val="24"/>
          <w:lang w:eastAsia="en-GB"/>
        </w:rPr>
        <w:t xml:space="preserve">  </w:t>
      </w:r>
      <w:r w:rsidR="008667EC">
        <w:rPr>
          <w:rFonts w:eastAsia="Times New Roman" w:cs="Arial"/>
          <w:szCs w:val="24"/>
          <w:lang w:eastAsia="en-GB"/>
        </w:rPr>
        <w:t>I</w:t>
      </w:r>
      <w:r w:rsidR="00321403">
        <w:rPr>
          <w:rFonts w:eastAsia="Times New Roman" w:cs="Arial"/>
          <w:szCs w:val="24"/>
          <w:lang w:eastAsia="en-GB"/>
        </w:rPr>
        <w:t xml:space="preserve">t might </w:t>
      </w:r>
      <w:r w:rsidR="00AA2D95">
        <w:rPr>
          <w:rFonts w:eastAsia="Times New Roman" w:cs="Arial"/>
          <w:szCs w:val="24"/>
          <w:lang w:eastAsia="en-GB"/>
        </w:rPr>
        <w:t xml:space="preserve">appropriately </w:t>
      </w:r>
      <w:r w:rsidR="00321403">
        <w:rPr>
          <w:rFonts w:eastAsia="Times New Roman" w:cs="Arial"/>
          <w:szCs w:val="24"/>
          <w:lang w:eastAsia="en-GB"/>
        </w:rPr>
        <w:t xml:space="preserve">be positioned within the ‘realist’ </w:t>
      </w:r>
      <w:r w:rsidR="00C35652">
        <w:rPr>
          <w:rFonts w:eastAsia="Times New Roman" w:cs="Arial"/>
          <w:szCs w:val="24"/>
          <w:lang w:eastAsia="en-GB"/>
        </w:rPr>
        <w:t xml:space="preserve">tradition </w:t>
      </w:r>
      <w:r w:rsidR="008667EC">
        <w:rPr>
          <w:rFonts w:eastAsia="Times New Roman" w:cs="Arial"/>
          <w:szCs w:val="24"/>
          <w:lang w:eastAsia="en-GB"/>
        </w:rPr>
        <w:t xml:space="preserve">developed and </w:t>
      </w:r>
      <w:r w:rsidR="00C35652">
        <w:rPr>
          <w:rFonts w:eastAsia="Times New Roman" w:cs="Arial"/>
          <w:szCs w:val="24"/>
          <w:lang w:eastAsia="en-GB"/>
        </w:rPr>
        <w:t>advocated</w:t>
      </w:r>
      <w:r w:rsidR="00321403">
        <w:rPr>
          <w:rFonts w:eastAsia="Times New Roman" w:cs="Arial"/>
          <w:szCs w:val="24"/>
          <w:lang w:eastAsia="en-GB"/>
        </w:rPr>
        <w:t xml:space="preserve"> by Pawson (</w:t>
      </w:r>
      <w:r w:rsidR="008667EC">
        <w:rPr>
          <w:rFonts w:eastAsia="Times New Roman" w:cs="Arial"/>
          <w:szCs w:val="24"/>
          <w:lang w:eastAsia="en-GB"/>
        </w:rPr>
        <w:t>200</w:t>
      </w:r>
      <w:r w:rsidR="00834DBF">
        <w:rPr>
          <w:rFonts w:eastAsia="Times New Roman" w:cs="Arial"/>
          <w:szCs w:val="24"/>
          <w:lang w:eastAsia="en-GB"/>
        </w:rPr>
        <w:t>6</w:t>
      </w:r>
      <w:r w:rsidR="008667EC">
        <w:rPr>
          <w:rFonts w:eastAsia="Times New Roman" w:cs="Arial"/>
          <w:szCs w:val="24"/>
          <w:lang w:eastAsia="en-GB"/>
        </w:rPr>
        <w:t xml:space="preserve">, </w:t>
      </w:r>
      <w:r w:rsidR="00321403">
        <w:rPr>
          <w:rFonts w:eastAsia="Times New Roman" w:cs="Arial"/>
          <w:szCs w:val="24"/>
          <w:lang w:eastAsia="en-GB"/>
        </w:rPr>
        <w:t>2013)</w:t>
      </w:r>
      <w:r w:rsidR="004953F5">
        <w:rPr>
          <w:rFonts w:eastAsia="Times New Roman" w:cs="Arial"/>
          <w:szCs w:val="24"/>
          <w:lang w:eastAsia="en-GB"/>
        </w:rPr>
        <w:t xml:space="preserve"> which </w:t>
      </w:r>
      <w:r w:rsidR="00AB202F">
        <w:rPr>
          <w:rFonts w:eastAsia="Times New Roman" w:cs="Arial"/>
          <w:szCs w:val="24"/>
          <w:lang w:eastAsia="en-GB"/>
        </w:rPr>
        <w:t>engages</w:t>
      </w:r>
      <w:r w:rsidR="004953F5">
        <w:rPr>
          <w:rFonts w:eastAsia="Times New Roman" w:cs="Arial"/>
          <w:szCs w:val="24"/>
          <w:lang w:eastAsia="en-GB"/>
        </w:rPr>
        <w:t xml:space="preserve"> with the intricate realities of how human choices are made within complex social fields</w:t>
      </w:r>
      <w:r w:rsidR="00321403">
        <w:rPr>
          <w:rFonts w:eastAsia="Times New Roman" w:cs="Arial"/>
          <w:szCs w:val="24"/>
          <w:lang w:eastAsia="en-GB"/>
        </w:rPr>
        <w:t>.</w:t>
      </w:r>
      <w:r w:rsidR="0048376E">
        <w:rPr>
          <w:rFonts w:eastAsia="Times New Roman" w:cs="Arial"/>
          <w:szCs w:val="24"/>
          <w:lang w:eastAsia="en-GB"/>
        </w:rPr>
        <w:t xml:space="preserve">  In particular, it looks at </w:t>
      </w:r>
      <w:r w:rsidR="00681839">
        <w:rPr>
          <w:rFonts w:eastAsia="Times New Roman" w:cs="Arial"/>
          <w:szCs w:val="24"/>
          <w:lang w:eastAsia="en-GB"/>
        </w:rPr>
        <w:t xml:space="preserve">how we might better understand the impact of outreach in terms of </w:t>
      </w:r>
      <w:r w:rsidR="009D6BCA">
        <w:rPr>
          <w:rFonts w:eastAsia="Times New Roman" w:cs="Arial"/>
          <w:szCs w:val="24"/>
          <w:lang w:eastAsia="en-GB"/>
        </w:rPr>
        <w:t>transformational c</w:t>
      </w:r>
      <w:r w:rsidR="00C0268C">
        <w:rPr>
          <w:rFonts w:eastAsia="Times New Roman" w:cs="Arial"/>
          <w:szCs w:val="24"/>
          <w:lang w:eastAsia="en-GB"/>
        </w:rPr>
        <w:t>hanges that are reflected in the</w:t>
      </w:r>
      <w:r w:rsidR="009D6BCA">
        <w:rPr>
          <w:rFonts w:eastAsia="Times New Roman" w:cs="Arial"/>
          <w:szCs w:val="24"/>
          <w:lang w:eastAsia="en-GB"/>
        </w:rPr>
        <w:t xml:space="preserve"> choices made by</w:t>
      </w:r>
      <w:r w:rsidR="006D10E9">
        <w:rPr>
          <w:rFonts w:eastAsia="Times New Roman" w:cs="Arial"/>
          <w:szCs w:val="24"/>
          <w:lang w:eastAsia="en-GB"/>
        </w:rPr>
        <w:t xml:space="preserve"> </w:t>
      </w:r>
      <w:r w:rsidR="009D6BCA">
        <w:rPr>
          <w:rFonts w:eastAsia="Times New Roman" w:cs="Arial"/>
          <w:szCs w:val="24"/>
          <w:lang w:eastAsia="en-GB"/>
        </w:rPr>
        <w:t>young people</w:t>
      </w:r>
      <w:r w:rsidR="006D10E9">
        <w:rPr>
          <w:rFonts w:eastAsia="Times New Roman" w:cs="Arial"/>
          <w:szCs w:val="24"/>
          <w:lang w:eastAsia="en-GB"/>
        </w:rPr>
        <w:t xml:space="preserve"> who have been subject to </w:t>
      </w:r>
      <w:r w:rsidR="0048376E">
        <w:rPr>
          <w:rFonts w:eastAsia="Times New Roman" w:cs="Arial"/>
          <w:szCs w:val="24"/>
          <w:lang w:eastAsia="en-GB"/>
        </w:rPr>
        <w:t>deeply-ingrained educational inequalities.  It also obliquely questions whether an evaluative focus on institutional</w:t>
      </w:r>
      <w:r w:rsidR="009D6BCA">
        <w:rPr>
          <w:rFonts w:eastAsia="Times New Roman" w:cs="Arial"/>
          <w:szCs w:val="24"/>
          <w:lang w:eastAsia="en-GB"/>
        </w:rPr>
        <w:t>ly-driven</w:t>
      </w:r>
      <w:r w:rsidR="0048376E">
        <w:rPr>
          <w:rFonts w:eastAsia="Times New Roman" w:cs="Arial"/>
          <w:szCs w:val="24"/>
          <w:lang w:eastAsia="en-GB"/>
        </w:rPr>
        <w:t xml:space="preserve"> </w:t>
      </w:r>
      <w:r w:rsidR="009D6BCA">
        <w:rPr>
          <w:rFonts w:eastAsia="Times New Roman" w:cs="Arial"/>
          <w:szCs w:val="24"/>
          <w:lang w:eastAsia="en-GB"/>
        </w:rPr>
        <w:t xml:space="preserve">ideas of </w:t>
      </w:r>
      <w:r w:rsidR="0048376E">
        <w:rPr>
          <w:rFonts w:eastAsia="Times New Roman" w:cs="Arial"/>
          <w:szCs w:val="24"/>
          <w:lang w:eastAsia="en-GB"/>
        </w:rPr>
        <w:t xml:space="preserve">success is actually a distraction from </w:t>
      </w:r>
      <w:r w:rsidR="00681839">
        <w:rPr>
          <w:rFonts w:eastAsia="Times New Roman" w:cs="Arial"/>
          <w:szCs w:val="24"/>
          <w:lang w:eastAsia="en-GB"/>
        </w:rPr>
        <w:t>the wider issues of social justice that outreach is intended to address.</w:t>
      </w:r>
    </w:p>
    <w:p w:rsidR="00684CC3" w:rsidRDefault="00684CC3" w:rsidP="00EA78AA">
      <w:pPr>
        <w:spacing w:line="360" w:lineRule="auto"/>
        <w:rPr>
          <w:rFonts w:eastAsia="Times New Roman" w:cs="Arial"/>
          <w:szCs w:val="24"/>
          <w:lang w:eastAsia="en-GB"/>
        </w:rPr>
      </w:pPr>
    </w:p>
    <w:p w:rsidR="002C16CD" w:rsidRDefault="002C16CD" w:rsidP="00EA78AA">
      <w:pPr>
        <w:spacing w:line="360" w:lineRule="auto"/>
        <w:rPr>
          <w:rFonts w:eastAsia="Times New Roman" w:cs="Arial"/>
          <w:szCs w:val="24"/>
          <w:lang w:eastAsia="en-GB"/>
        </w:rPr>
      </w:pPr>
    </w:p>
    <w:p w:rsidR="0048376E" w:rsidRDefault="0048376E" w:rsidP="00EA78AA">
      <w:pPr>
        <w:spacing w:line="360" w:lineRule="auto"/>
        <w:rPr>
          <w:rFonts w:eastAsia="Times New Roman" w:cs="Arial"/>
          <w:szCs w:val="24"/>
          <w:lang w:eastAsia="en-GB"/>
        </w:rPr>
      </w:pPr>
    </w:p>
    <w:p w:rsidR="0048376E" w:rsidRDefault="0048376E" w:rsidP="0048376E">
      <w:pPr>
        <w:spacing w:line="360" w:lineRule="auto"/>
      </w:pPr>
      <w:r>
        <w:rPr>
          <w:b/>
        </w:rPr>
        <w:t>Dominant approaches to outreach evaluation</w:t>
      </w:r>
    </w:p>
    <w:p w:rsidR="0048376E" w:rsidRDefault="0048376E" w:rsidP="0048376E">
      <w:pPr>
        <w:spacing w:line="360" w:lineRule="auto"/>
      </w:pPr>
    </w:p>
    <w:p w:rsidR="0048376E" w:rsidRDefault="0048376E" w:rsidP="0048376E">
      <w:pPr>
        <w:spacing w:line="360" w:lineRule="auto"/>
      </w:pPr>
      <w:r>
        <w:t>At the time of writing, two approaches to evaluating outreach work are attaining a form of dominance in the field, yet both have shortcomings:</w:t>
      </w:r>
    </w:p>
    <w:p w:rsidR="0048376E" w:rsidRDefault="0048376E" w:rsidP="0048376E">
      <w:pPr>
        <w:spacing w:line="360" w:lineRule="auto"/>
      </w:pPr>
    </w:p>
    <w:p w:rsidR="0048376E" w:rsidRDefault="0048376E" w:rsidP="0048376E">
      <w:pPr>
        <w:pStyle w:val="ListParagraph"/>
        <w:numPr>
          <w:ilvl w:val="0"/>
          <w:numId w:val="2"/>
        </w:numPr>
        <w:spacing w:line="360" w:lineRule="auto"/>
      </w:pPr>
      <w:r>
        <w:t>The ‘tracking’ approach.  This has widespread support among current practitioner-managers (</w:t>
      </w:r>
      <w:r w:rsidR="005F723F" w:rsidRPr="005F723F">
        <w:rPr>
          <w:rFonts w:eastAsia="Times New Roman" w:cs="Arial"/>
          <w:color w:val="FF0000"/>
          <w:szCs w:val="24"/>
          <w:lang w:eastAsia="en-GB"/>
        </w:rPr>
        <w:t>removed for review</w:t>
      </w:r>
      <w:r>
        <w:t xml:space="preserve">) and is generally based on collecting data on individuals over time with respect to (a) their involvement in activities, (b) their changing attitudes and choices, and (c) school outcomes including qualifications.  These data are then used to explore the effectiveness of individual activities or a whole programme by identifying how attitudes and behaviours shift in step with outreach activities.  </w:t>
      </w:r>
    </w:p>
    <w:p w:rsidR="0048376E" w:rsidRDefault="0048376E" w:rsidP="0048376E">
      <w:pPr>
        <w:pStyle w:val="ListParagraph"/>
        <w:spacing w:line="360" w:lineRule="auto"/>
      </w:pPr>
    </w:p>
    <w:p w:rsidR="0048376E" w:rsidRDefault="0048376E" w:rsidP="0048376E">
      <w:pPr>
        <w:pStyle w:val="ListParagraph"/>
        <w:numPr>
          <w:ilvl w:val="0"/>
          <w:numId w:val="2"/>
        </w:numPr>
        <w:spacing w:line="360" w:lineRule="auto"/>
      </w:pPr>
      <w:r>
        <w:t>The ‘trials’ approach.   This is emerging as a ‘borrowing’ from medicine and seeks to use techniques like randomised controlled trials to isolate a direct causal effect of activities.  This has historically strong support in the US, albeit that there are growing critical voices about its claims (</w:t>
      </w:r>
      <w:r w:rsidR="000F54DB">
        <w:t xml:space="preserve">e.g. Bickman and Reich, 2009; </w:t>
      </w:r>
      <w:proofErr w:type="spellStart"/>
      <w:r w:rsidR="000F54DB">
        <w:t>Scriven</w:t>
      </w:r>
      <w:proofErr w:type="spellEnd"/>
      <w:r w:rsidR="000F54DB">
        <w:t xml:space="preserve">, 2016; </w:t>
      </w:r>
      <w:proofErr w:type="spellStart"/>
      <w:r>
        <w:t>Lingenfelter</w:t>
      </w:r>
      <w:proofErr w:type="spellEnd"/>
      <w:r>
        <w:t>, 2016).  It is not currently widely used in the UK, although some practitioners believe it offers something of a ‘gold standard’ (</w:t>
      </w:r>
      <w:r w:rsidR="005F723F" w:rsidRPr="005F723F">
        <w:rPr>
          <w:rFonts w:eastAsia="Times New Roman" w:cs="Arial"/>
          <w:color w:val="FF0000"/>
          <w:szCs w:val="24"/>
          <w:lang w:eastAsia="en-GB"/>
        </w:rPr>
        <w:t>removed for review</w:t>
      </w:r>
      <w:r>
        <w:rPr>
          <w:rFonts w:eastAsia="Times New Roman" w:cs="Arial"/>
          <w:szCs w:val="24"/>
          <w:lang w:eastAsia="en-GB"/>
        </w:rPr>
        <w:t>)</w:t>
      </w:r>
      <w:r>
        <w:t xml:space="preserve">.  </w:t>
      </w:r>
    </w:p>
    <w:p w:rsidR="0048376E" w:rsidRDefault="0048376E" w:rsidP="00EA78AA">
      <w:pPr>
        <w:spacing w:line="360" w:lineRule="auto"/>
        <w:rPr>
          <w:rFonts w:eastAsia="Times New Roman" w:cs="Arial"/>
          <w:szCs w:val="24"/>
          <w:lang w:eastAsia="en-GB"/>
        </w:rPr>
      </w:pPr>
    </w:p>
    <w:p w:rsidR="00C070EA" w:rsidRPr="00B7371A" w:rsidRDefault="00C070EA" w:rsidP="00B7371A">
      <w:pPr>
        <w:spacing w:line="360" w:lineRule="auto"/>
        <w:rPr>
          <w:szCs w:val="24"/>
        </w:rPr>
      </w:pPr>
    </w:p>
    <w:p w:rsidR="00411D86" w:rsidRDefault="00557C4D" w:rsidP="00411D86">
      <w:pPr>
        <w:spacing w:line="360" w:lineRule="auto"/>
      </w:pPr>
      <w:r>
        <w:rPr>
          <w:b/>
        </w:rPr>
        <w:t>Five c</w:t>
      </w:r>
      <w:r w:rsidR="00EB7E51">
        <w:rPr>
          <w:b/>
        </w:rPr>
        <w:t>hallenges for evaluating outreach</w:t>
      </w:r>
    </w:p>
    <w:p w:rsidR="00411D86" w:rsidRDefault="00411D86" w:rsidP="00411D86">
      <w:pPr>
        <w:spacing w:line="360" w:lineRule="auto"/>
      </w:pPr>
    </w:p>
    <w:p w:rsidR="002279A3" w:rsidRDefault="002279A3" w:rsidP="00411D86">
      <w:pPr>
        <w:spacing w:line="360" w:lineRule="auto"/>
      </w:pPr>
      <w:r>
        <w:t xml:space="preserve">This section briefly explores five key epistemological challenges that are inherent within evaluations of outreach work and which any successful approach needs to consider, mitigate as far as possible and preferably overcome.  They are not intended to be exhaustive, but rather a starting point for critiquing any proposed approach, including the tracking and trials approaches </w:t>
      </w:r>
      <w:r w:rsidR="00D2477E">
        <w:t>outlined above; indeed, the former are likely to be susceptible to 1 and 3, while the latter are more likely to be challenged by 2, 4 and 5.</w:t>
      </w:r>
    </w:p>
    <w:p w:rsidR="002279A3" w:rsidRDefault="002279A3" w:rsidP="00411D86">
      <w:pPr>
        <w:spacing w:line="360" w:lineRule="auto"/>
      </w:pPr>
    </w:p>
    <w:p w:rsidR="00D2477E" w:rsidRDefault="00D2477E" w:rsidP="00411D86">
      <w:pPr>
        <w:spacing w:line="360" w:lineRule="auto"/>
      </w:pPr>
    </w:p>
    <w:p w:rsidR="006A1EA4" w:rsidRPr="006A1EA4" w:rsidRDefault="006A1EA4" w:rsidP="006A1EA4">
      <w:pPr>
        <w:spacing w:line="360" w:lineRule="auto"/>
        <w:rPr>
          <w:i/>
        </w:rPr>
      </w:pPr>
      <w:r>
        <w:rPr>
          <w:i/>
        </w:rPr>
        <w:t>1</w:t>
      </w:r>
      <w:r w:rsidRPr="006A1EA4">
        <w:rPr>
          <w:i/>
        </w:rPr>
        <w:t>. Selection and self-selection biases</w:t>
      </w:r>
    </w:p>
    <w:p w:rsidR="006A1EA4" w:rsidRDefault="006A1EA4" w:rsidP="00411D86">
      <w:pPr>
        <w:spacing w:line="360" w:lineRule="auto"/>
      </w:pPr>
    </w:p>
    <w:p w:rsidR="00380FCD" w:rsidRDefault="001B6D53" w:rsidP="00411D86">
      <w:pPr>
        <w:spacing w:line="360" w:lineRule="auto"/>
      </w:pPr>
      <w:r>
        <w:t xml:space="preserve">A </w:t>
      </w:r>
      <w:r w:rsidR="009935B2">
        <w:t xml:space="preserve">longstanding </w:t>
      </w:r>
      <w:r>
        <w:t>tenet</w:t>
      </w:r>
      <w:r w:rsidR="00FA699A">
        <w:t xml:space="preserve"> of outreach is </w:t>
      </w:r>
      <w:r w:rsidR="009935B2">
        <w:t xml:space="preserve">to </w:t>
      </w:r>
      <w:r w:rsidR="00FA699A">
        <w:t xml:space="preserve">target activities at individuals </w:t>
      </w:r>
      <w:r w:rsidR="009935B2">
        <w:t xml:space="preserve">within </w:t>
      </w:r>
      <w:r w:rsidR="00FA699A">
        <w:t>identified disadvantaged groups who are felt likely to benefit from them</w:t>
      </w:r>
      <w:r w:rsidR="009935B2">
        <w:t xml:space="preserve"> (</w:t>
      </w:r>
      <w:r w:rsidR="00D77F17">
        <w:t xml:space="preserve">e.g. Department for Education and Employment, 2000; </w:t>
      </w:r>
      <w:r w:rsidR="009935B2">
        <w:t>BIS, 2014)</w:t>
      </w:r>
      <w:r w:rsidR="00FA699A">
        <w:t>.</w:t>
      </w:r>
      <w:r w:rsidR="00B12CBC">
        <w:t xml:space="preserve">  This is clearly appropriate in seeking to overcome structural educational inequalities by providing more support to those most in need, but it is heightened further where resources are constrained.</w:t>
      </w:r>
      <w:r w:rsidR="00BB4291">
        <w:t xml:space="preserve">  </w:t>
      </w:r>
      <w:r w:rsidR="00380FCD">
        <w:t xml:space="preserve">From the evaluation perspective, this creates a strong </w:t>
      </w:r>
      <w:r w:rsidR="00380FCD" w:rsidRPr="00BB4291">
        <w:rPr>
          <w:i/>
        </w:rPr>
        <w:t>selection bias</w:t>
      </w:r>
      <w:r w:rsidR="00380FCD">
        <w:t xml:space="preserve"> within any data collected.  The participants are not representative of the school or area from which they are drawn, but form a rarefied subgroup that have been selected for a particular purpose</w:t>
      </w:r>
      <w:r w:rsidR="009935B2">
        <w:t xml:space="preserve"> – i.e. because they are deemed to be potentially ‘in the market’ for higher education</w:t>
      </w:r>
      <w:r w:rsidR="00380FCD">
        <w:t xml:space="preserve">.  </w:t>
      </w:r>
    </w:p>
    <w:p w:rsidR="004B4043" w:rsidRDefault="004B4043" w:rsidP="00411D86">
      <w:pPr>
        <w:spacing w:line="360" w:lineRule="auto"/>
      </w:pPr>
    </w:p>
    <w:p w:rsidR="0017652C" w:rsidRDefault="004B4043" w:rsidP="00411D86">
      <w:pPr>
        <w:spacing w:line="360" w:lineRule="auto"/>
      </w:pPr>
      <w:r>
        <w:t xml:space="preserve">This is further complicated where </w:t>
      </w:r>
      <w:r w:rsidR="00CF7D38">
        <w:t xml:space="preserve">targeted </w:t>
      </w:r>
      <w:r>
        <w:t xml:space="preserve">young people, their families or their schools </w:t>
      </w:r>
      <w:r w:rsidR="00CF7D38">
        <w:t xml:space="preserve">are able to </w:t>
      </w:r>
      <w:r w:rsidR="00BB4291">
        <w:t>absent themselves from the activity</w:t>
      </w:r>
      <w:r w:rsidR="00CF7D38">
        <w:t>, either through a choice to opt-out (e.g. a refusal to part</w:t>
      </w:r>
      <w:r w:rsidR="00BB4291">
        <w:t>icipate) or a failure to opt-in –</w:t>
      </w:r>
      <w:r w:rsidR="00CF7D38">
        <w:t xml:space="preserve"> whether active (e.g. not completing a form) or passive (e.g. not being aware of the activity).  If an activity requires an opt-in or where there are significant numbers of opt-outs, then </w:t>
      </w:r>
      <w:r w:rsidR="00CF7D38" w:rsidRPr="00BB4291">
        <w:rPr>
          <w:i/>
        </w:rPr>
        <w:t>self-selection bias</w:t>
      </w:r>
      <w:r w:rsidR="00CF7D38">
        <w:t xml:space="preserve"> is layered on top of the selection bias outlined above.</w:t>
      </w:r>
      <w:r w:rsidR="00D82DB8">
        <w:t xml:space="preserve">  </w:t>
      </w:r>
    </w:p>
    <w:p w:rsidR="0017652C" w:rsidRDefault="00AF7CCC" w:rsidP="00411D86">
      <w:pPr>
        <w:spacing w:line="360" w:lineRule="auto"/>
      </w:pPr>
      <w:r>
        <w:t>T</w:t>
      </w:r>
      <w:r w:rsidR="0017652C">
        <w:t xml:space="preserve">hose </w:t>
      </w:r>
      <w:r w:rsidR="00611CE7">
        <w:t xml:space="preserve">families </w:t>
      </w:r>
      <w:r w:rsidR="0017652C">
        <w:t xml:space="preserve">already </w:t>
      </w:r>
      <w:r w:rsidR="008E5D39">
        <w:t xml:space="preserve">positively </w:t>
      </w:r>
      <w:r w:rsidR="0017652C">
        <w:t xml:space="preserve">predisposed towards education </w:t>
      </w:r>
      <w:r>
        <w:t xml:space="preserve">are likely to </w:t>
      </w:r>
      <w:r w:rsidR="0017652C">
        <w:t xml:space="preserve">disproportionately take up opportunities </w:t>
      </w:r>
      <w:r w:rsidR="00611CE7">
        <w:t xml:space="preserve">compared to </w:t>
      </w:r>
      <w:r w:rsidR="0017652C">
        <w:t xml:space="preserve">those </w:t>
      </w:r>
      <w:r w:rsidR="008E5D39">
        <w:t xml:space="preserve">‘hard-to-reach’ families </w:t>
      </w:r>
      <w:r w:rsidR="0017652C">
        <w:t xml:space="preserve">who might benefit more </w:t>
      </w:r>
      <w:r w:rsidR="00611CE7">
        <w:t xml:space="preserve">but who </w:t>
      </w:r>
      <w:r w:rsidR="00DC2A4A">
        <w:t>may be</w:t>
      </w:r>
      <w:r w:rsidR="0017652C">
        <w:t xml:space="preserve"> less likely to participate</w:t>
      </w:r>
      <w:r w:rsidR="008E5D39">
        <w:t xml:space="preserve"> due to various forms of exclusion (</w:t>
      </w:r>
      <w:proofErr w:type="spellStart"/>
      <w:r w:rsidR="008E5D39">
        <w:t>Boag</w:t>
      </w:r>
      <w:proofErr w:type="spellEnd"/>
      <w:r w:rsidR="008E5D39">
        <w:t xml:space="preserve">-Munroe and </w:t>
      </w:r>
      <w:proofErr w:type="spellStart"/>
      <w:r w:rsidR="008E5D39">
        <w:t>Evangelou</w:t>
      </w:r>
      <w:proofErr w:type="spellEnd"/>
      <w:r w:rsidR="008E5D39">
        <w:t>, 2012)</w:t>
      </w:r>
      <w:r w:rsidR="0017652C">
        <w:t>.</w:t>
      </w:r>
    </w:p>
    <w:p w:rsidR="0017652C" w:rsidRDefault="0017652C" w:rsidP="00411D86">
      <w:pPr>
        <w:spacing w:line="360" w:lineRule="auto"/>
      </w:pPr>
    </w:p>
    <w:p w:rsidR="0038771A" w:rsidRDefault="0017652C" w:rsidP="00411D86">
      <w:pPr>
        <w:spacing w:line="360" w:lineRule="auto"/>
      </w:pPr>
      <w:r>
        <w:t>Evaluations which seek to compare the (self-)selected group</w:t>
      </w:r>
      <w:r w:rsidR="001B6D53">
        <w:t xml:space="preserve"> with an unselected group as a</w:t>
      </w:r>
      <w:r>
        <w:t xml:space="preserve"> counterfactual analysis are </w:t>
      </w:r>
      <w:r w:rsidR="00AF7CCC">
        <w:t xml:space="preserve">therefore </w:t>
      </w:r>
      <w:r>
        <w:t xml:space="preserve">likely to be fallacious and will usually over-estimate effectiveness </w:t>
      </w:r>
      <w:r w:rsidR="00A81C36">
        <w:t>as the two groups are likely to have different demographic profiles and pre-activity attitudes towards education.</w:t>
      </w:r>
    </w:p>
    <w:p w:rsidR="006A1EA4" w:rsidRDefault="006A1EA4" w:rsidP="00411D86">
      <w:pPr>
        <w:spacing w:line="360" w:lineRule="auto"/>
      </w:pPr>
    </w:p>
    <w:p w:rsidR="0017652C" w:rsidRDefault="0017652C" w:rsidP="00411D86">
      <w:pPr>
        <w:spacing w:line="360" w:lineRule="auto"/>
      </w:pPr>
    </w:p>
    <w:p w:rsidR="00411D86" w:rsidRDefault="006A1EA4" w:rsidP="00411D86">
      <w:pPr>
        <w:spacing w:line="360" w:lineRule="auto"/>
      </w:pPr>
      <w:r>
        <w:rPr>
          <w:i/>
        </w:rPr>
        <w:t>2</w:t>
      </w:r>
      <w:r w:rsidR="00411D86" w:rsidRPr="00411D86">
        <w:rPr>
          <w:i/>
        </w:rPr>
        <w:t xml:space="preserve">. </w:t>
      </w:r>
      <w:r w:rsidR="00A0258C">
        <w:rPr>
          <w:i/>
        </w:rPr>
        <w:t>Priming and social desirability</w:t>
      </w:r>
      <w:r w:rsidR="00411D86" w:rsidRPr="00411D86">
        <w:rPr>
          <w:i/>
        </w:rPr>
        <w:t xml:space="preserve"> effects</w:t>
      </w:r>
    </w:p>
    <w:p w:rsidR="00A0258C" w:rsidRDefault="00A0258C" w:rsidP="00411D86">
      <w:pPr>
        <w:spacing w:line="360" w:lineRule="auto"/>
      </w:pPr>
    </w:p>
    <w:p w:rsidR="00A0258C" w:rsidRDefault="00A0258C" w:rsidP="00411D86">
      <w:pPr>
        <w:spacing w:line="360" w:lineRule="auto"/>
      </w:pPr>
      <w:r>
        <w:t xml:space="preserve">The challenge with evaluating activities designed to shift attitudes is that young people very quickly become attuned to the idea that there are a ‘correct’ collection of attitudes to express to practitioners, teachers and parents.  This is a form of </w:t>
      </w:r>
      <w:r w:rsidRPr="00573DFD">
        <w:rPr>
          <w:i/>
        </w:rPr>
        <w:t>social desirability bias</w:t>
      </w:r>
      <w:r>
        <w:t>; a well-attested phenomenon in</w:t>
      </w:r>
      <w:r w:rsidR="009935B2">
        <w:t xml:space="preserve"> social</w:t>
      </w:r>
      <w:r>
        <w:t xml:space="preserve"> research whereby the participant will reproduce what the</w:t>
      </w:r>
      <w:r w:rsidR="001F3879">
        <w:t>y</w:t>
      </w:r>
      <w:r>
        <w:t xml:space="preserve"> understand to be the required responses in order to please, impress or reassure the researcher.</w:t>
      </w:r>
      <w:r w:rsidR="002124F7">
        <w:t xml:space="preserve">  This </w:t>
      </w:r>
      <w:r w:rsidR="009935B2">
        <w:t xml:space="preserve">potentially </w:t>
      </w:r>
      <w:r w:rsidR="002124F7">
        <w:t>compromises both the reliability and validity of the evaluation data collected</w:t>
      </w:r>
      <w:r w:rsidR="001B6DA1">
        <w:t xml:space="preserve"> from young people about their educational experiences (Bowman and Seifert, 2011)</w:t>
      </w:r>
    </w:p>
    <w:p w:rsidR="00A0258C" w:rsidRDefault="00A0258C" w:rsidP="00411D86">
      <w:pPr>
        <w:spacing w:line="360" w:lineRule="auto"/>
      </w:pPr>
    </w:p>
    <w:p w:rsidR="00A0258C" w:rsidRDefault="00DC2A4A" w:rsidP="00411D86">
      <w:pPr>
        <w:spacing w:line="360" w:lineRule="auto"/>
      </w:pPr>
      <w:r>
        <w:t>Similarly, i</w:t>
      </w:r>
      <w:r w:rsidR="001752C1">
        <w:t xml:space="preserve">f a young person has been engaged in an </w:t>
      </w:r>
      <w:r w:rsidR="00573DFD">
        <w:t>activity</w:t>
      </w:r>
      <w:r w:rsidR="001752C1">
        <w:t xml:space="preserve"> that is designed to </w:t>
      </w:r>
      <w:r w:rsidR="00E746B7">
        <w:t>impart</w:t>
      </w:r>
      <w:r w:rsidR="001752C1">
        <w:t xml:space="preserve"> certain </w:t>
      </w:r>
      <w:r w:rsidR="00E746B7">
        <w:t>knowledge</w:t>
      </w:r>
      <w:r w:rsidR="0081053C">
        <w:t xml:space="preserve"> about higher education</w:t>
      </w:r>
      <w:r w:rsidR="001752C1">
        <w:t xml:space="preserve">, it is likely that they will </w:t>
      </w:r>
      <w:r w:rsidR="00573DFD">
        <w:t xml:space="preserve">reflect </w:t>
      </w:r>
      <w:r w:rsidR="009935B2">
        <w:t xml:space="preserve">this </w:t>
      </w:r>
      <w:r w:rsidR="00573DFD">
        <w:t>back to evaluators and others</w:t>
      </w:r>
      <w:r w:rsidR="001752C1">
        <w:t xml:space="preserve"> i</w:t>
      </w:r>
      <w:r w:rsidR="00573DFD">
        <w:t>n the short term, especial</w:t>
      </w:r>
      <w:r w:rsidR="00E746B7">
        <w:t xml:space="preserve">ly if they are </w:t>
      </w:r>
      <w:r w:rsidR="0081053C">
        <w:t xml:space="preserve">also </w:t>
      </w:r>
      <w:r w:rsidR="001752C1">
        <w:t xml:space="preserve">asked about </w:t>
      </w:r>
      <w:r w:rsidR="00E746B7">
        <w:t>what they will do in the future</w:t>
      </w:r>
      <w:r w:rsidR="001752C1">
        <w:t>.  In the context of outreach, a taster day is very likely to generate</w:t>
      </w:r>
      <w:r w:rsidR="0081053C">
        <w:t xml:space="preserve"> short-term</w:t>
      </w:r>
      <w:r w:rsidR="001752C1">
        <w:t xml:space="preserve"> results that suggest an increased likelihood of attending university as this has been the purpose of the day and the events are fresh in the young person’s mind.</w:t>
      </w:r>
      <w:r w:rsidR="00DF09DD">
        <w:t xml:space="preserve">  Unless it is effectively internalised or regularly reinforced, </w:t>
      </w:r>
      <w:r>
        <w:t xml:space="preserve">this </w:t>
      </w:r>
      <w:r w:rsidR="00DF09DD">
        <w:t xml:space="preserve">priming </w:t>
      </w:r>
      <w:r>
        <w:t>will fade</w:t>
      </w:r>
      <w:r w:rsidR="00DF09DD">
        <w:t xml:space="preserve"> over time as the information </w:t>
      </w:r>
      <w:r w:rsidR="0081053C">
        <w:t xml:space="preserve">and experiences </w:t>
      </w:r>
      <w:r w:rsidR="00DF09DD">
        <w:t>fall out of memory.</w:t>
      </w:r>
      <w:r w:rsidR="0081053C">
        <w:t xml:space="preserve">  As a result, the effectiveness of activities </w:t>
      </w:r>
      <w:proofErr w:type="gramStart"/>
      <w:r w:rsidR="008E5D39">
        <w:t>are</w:t>
      </w:r>
      <w:proofErr w:type="gramEnd"/>
      <w:r w:rsidR="008E5D39">
        <w:t xml:space="preserve"> likely to </w:t>
      </w:r>
      <w:r w:rsidR="004E7463">
        <w:t>appear</w:t>
      </w:r>
      <w:r w:rsidR="0081053C">
        <w:t xml:space="preserve"> greater the closer in time </w:t>
      </w:r>
      <w:r w:rsidR="00C80DAE">
        <w:t xml:space="preserve">the </w:t>
      </w:r>
      <w:r w:rsidR="0081053C">
        <w:t xml:space="preserve">data </w:t>
      </w:r>
      <w:r w:rsidR="00C80DAE">
        <w:t>are</w:t>
      </w:r>
      <w:r w:rsidR="0081053C">
        <w:t xml:space="preserve"> collected.</w:t>
      </w:r>
    </w:p>
    <w:p w:rsidR="005F5032" w:rsidRDefault="005F5032" w:rsidP="00411D86">
      <w:pPr>
        <w:spacing w:line="360" w:lineRule="auto"/>
      </w:pPr>
    </w:p>
    <w:p w:rsidR="005F5032" w:rsidRDefault="005F5032" w:rsidP="00411D86">
      <w:pPr>
        <w:spacing w:line="360" w:lineRule="auto"/>
      </w:pPr>
    </w:p>
    <w:p w:rsidR="005F5032" w:rsidRDefault="006A1EA4" w:rsidP="00411D86">
      <w:pPr>
        <w:spacing w:line="360" w:lineRule="auto"/>
      </w:pPr>
      <w:r>
        <w:rPr>
          <w:i/>
        </w:rPr>
        <w:t>3</w:t>
      </w:r>
      <w:r w:rsidR="005F5032" w:rsidRPr="005F5032">
        <w:rPr>
          <w:i/>
        </w:rPr>
        <w:t>. Deadweight and leakage</w:t>
      </w:r>
    </w:p>
    <w:p w:rsidR="005F5032" w:rsidRDefault="005F5032" w:rsidP="00411D86">
      <w:pPr>
        <w:spacing w:line="360" w:lineRule="auto"/>
      </w:pPr>
    </w:p>
    <w:p w:rsidR="005F5032" w:rsidRDefault="00756493" w:rsidP="00411D86">
      <w:pPr>
        <w:spacing w:line="360" w:lineRule="auto"/>
      </w:pPr>
      <w:r>
        <w:t>The linked phenomena</w:t>
      </w:r>
      <w:r w:rsidR="005F5032">
        <w:t xml:space="preserve"> of </w:t>
      </w:r>
      <w:r w:rsidR="004615BF" w:rsidRPr="00A44387">
        <w:rPr>
          <w:i/>
        </w:rPr>
        <w:t>leakage</w:t>
      </w:r>
      <w:r w:rsidR="004615BF">
        <w:t xml:space="preserve"> and </w:t>
      </w:r>
      <w:r w:rsidR="00A44387" w:rsidRPr="00A44387">
        <w:rPr>
          <w:i/>
        </w:rPr>
        <w:t>deadweight</w:t>
      </w:r>
      <w:r w:rsidR="00A44387">
        <w:t xml:space="preserve"> </w:t>
      </w:r>
      <w:r w:rsidR="005F5032">
        <w:t xml:space="preserve">are relevant to any social policy which is predicated on targeting certain individuals, including participation </w:t>
      </w:r>
      <w:r w:rsidR="00DC2A4A">
        <w:t xml:space="preserve">in higher education </w:t>
      </w:r>
      <w:r w:rsidR="005F5032">
        <w:t>(</w:t>
      </w:r>
      <w:r w:rsidR="005F723F" w:rsidRPr="005F723F">
        <w:rPr>
          <w:rFonts w:eastAsia="Times New Roman" w:cs="Arial"/>
          <w:color w:val="FF0000"/>
          <w:szCs w:val="24"/>
          <w:lang w:eastAsia="en-GB"/>
        </w:rPr>
        <w:t>removed for review</w:t>
      </w:r>
      <w:r w:rsidR="005F5032">
        <w:t>).</w:t>
      </w:r>
    </w:p>
    <w:p w:rsidR="0000472D" w:rsidRDefault="0000472D" w:rsidP="00411D86">
      <w:pPr>
        <w:spacing w:line="360" w:lineRule="auto"/>
      </w:pPr>
    </w:p>
    <w:p w:rsidR="0000472D" w:rsidRDefault="0000472D" w:rsidP="00411D86">
      <w:pPr>
        <w:spacing w:line="360" w:lineRule="auto"/>
      </w:pPr>
      <w:r>
        <w:t xml:space="preserve">Leakage occurs when the targeting method fails and relatively advantaged individuals are erroneously included within the target group.  </w:t>
      </w:r>
      <w:r w:rsidR="00195243">
        <w:t>Aside from the wastage of resources, t</w:t>
      </w:r>
      <w:r>
        <w:t>his is challenge for evaluation as it will tend to cause an</w:t>
      </w:r>
      <w:r w:rsidR="00194E85">
        <w:t xml:space="preserve"> over-estimation of </w:t>
      </w:r>
      <w:r w:rsidR="0092271C">
        <w:t>an activity’s</w:t>
      </w:r>
      <w:r w:rsidR="00194E85">
        <w:t xml:space="preserve"> effectiveness</w:t>
      </w:r>
      <w:r>
        <w:t xml:space="preserve"> by capturing individuals who </w:t>
      </w:r>
      <w:r w:rsidR="00A44387">
        <w:t>were</w:t>
      </w:r>
      <w:r w:rsidR="00195243">
        <w:t xml:space="preserve"> always </w:t>
      </w:r>
      <w:r w:rsidR="00A44387">
        <w:t>likely to apply to university</w:t>
      </w:r>
      <w:r>
        <w:t>.</w:t>
      </w:r>
      <w:r w:rsidR="004441B9">
        <w:t xml:space="preserve">  This might occur, for example, where relative advantaged children in a school serving a disadvantaged area are included in </w:t>
      </w:r>
      <w:r w:rsidR="00DC2A4A">
        <w:t xml:space="preserve">general </w:t>
      </w:r>
      <w:r w:rsidR="004441B9">
        <w:t>classroom-based activities.</w:t>
      </w:r>
    </w:p>
    <w:p w:rsidR="0000472D" w:rsidRDefault="0000472D" w:rsidP="00411D86">
      <w:pPr>
        <w:spacing w:line="360" w:lineRule="auto"/>
      </w:pPr>
    </w:p>
    <w:p w:rsidR="00194E85" w:rsidRDefault="0000472D" w:rsidP="00194E85">
      <w:pPr>
        <w:spacing w:line="360" w:lineRule="auto"/>
      </w:pPr>
      <w:r>
        <w:t>Deadweight is a more complex idea.  It relates to the targeting of individuals who meet the relevant criteria of disadvantage, but who</w:t>
      </w:r>
      <w:r w:rsidR="00195243">
        <w:t xml:space="preserve"> would have followed the desired path without the </w:t>
      </w:r>
      <w:r w:rsidR="0092271C">
        <w:t>activity; i</w:t>
      </w:r>
      <w:r w:rsidR="00195243">
        <w:t>n other words, a disadvantaged young person who is already on the pathway to higher education without the need for outreach activities</w:t>
      </w:r>
      <w:r w:rsidR="004D2C24">
        <w:t xml:space="preserve">, </w:t>
      </w:r>
      <w:r w:rsidR="004D2C24">
        <w:rPr>
          <w:i/>
        </w:rPr>
        <w:t>even if they themselves are not aware of it at the time</w:t>
      </w:r>
      <w:r w:rsidR="00195243">
        <w:t>.  Clearly, this is very difficult to assess from the practitioner</w:t>
      </w:r>
      <w:r w:rsidR="0092271C">
        <w:t>’s</w:t>
      </w:r>
      <w:r w:rsidR="00195243">
        <w:t xml:space="preserve"> perspective, as it involves </w:t>
      </w:r>
      <w:r w:rsidR="004D2C24">
        <w:t>engaging</w:t>
      </w:r>
      <w:r w:rsidR="00195243">
        <w:t xml:space="preserve"> with future decisions </w:t>
      </w:r>
      <w:r w:rsidR="00194E85">
        <w:t xml:space="preserve">yet to be </w:t>
      </w:r>
      <w:r w:rsidR="00195243">
        <w:t>made by a young person</w:t>
      </w:r>
      <w:r w:rsidR="00194E85">
        <w:t xml:space="preserve"> who cannot know at, say, the age of 13 what their intentions will turn out to be at the age of 17.  </w:t>
      </w:r>
    </w:p>
    <w:p w:rsidR="00194E85" w:rsidRDefault="00194E85" w:rsidP="00194E85">
      <w:pPr>
        <w:spacing w:line="360" w:lineRule="auto"/>
      </w:pPr>
    </w:p>
    <w:p w:rsidR="00194E85" w:rsidRDefault="00194E85" w:rsidP="00194E85">
      <w:pPr>
        <w:spacing w:line="360" w:lineRule="auto"/>
      </w:pPr>
      <w:r>
        <w:t xml:space="preserve">In this instance, changes in reported intention can be erroneously assigned to activities that happen to coincide, without there being a causal relationship.  In particular, </w:t>
      </w:r>
      <w:r w:rsidR="00A44387">
        <w:t>this</w:t>
      </w:r>
      <w:r>
        <w:t xml:space="preserve"> is a risk when evaluating lengthy programmes of activities that occur over several years, which can appear very effective simply by selecting high-achieving</w:t>
      </w:r>
      <w:r w:rsidR="00FC3ACF">
        <w:t>, but</w:t>
      </w:r>
      <w:r>
        <w:t xml:space="preserve"> disadvantaged</w:t>
      </w:r>
      <w:r w:rsidR="00FC3ACF">
        <w:t>,</w:t>
      </w:r>
      <w:r>
        <w:t xml:space="preserve"> young people who would a</w:t>
      </w:r>
      <w:r w:rsidR="00A44387">
        <w:t>lmost certainly have progressed anyway</w:t>
      </w:r>
      <w:r w:rsidR="0092271C">
        <w:t xml:space="preserve"> (</w:t>
      </w:r>
      <w:proofErr w:type="spellStart"/>
      <w:r w:rsidR="0092271C">
        <w:t>Croll</w:t>
      </w:r>
      <w:proofErr w:type="spellEnd"/>
      <w:r w:rsidR="0092271C">
        <w:t xml:space="preserve"> and Attwood, 2013)</w:t>
      </w:r>
      <w:r w:rsidR="00A44387">
        <w:t xml:space="preserve">.  The </w:t>
      </w:r>
      <w:r w:rsidR="00736D26">
        <w:t>inability to predict future choices makes the construction of a viable comparison group problematic; indeed, improving this prediction would be a useful goal for future research.</w:t>
      </w:r>
    </w:p>
    <w:p w:rsidR="00194E85" w:rsidRDefault="00194E85" w:rsidP="00194E85">
      <w:pPr>
        <w:spacing w:line="360" w:lineRule="auto"/>
      </w:pPr>
    </w:p>
    <w:p w:rsidR="006A1EA4" w:rsidRDefault="006A1EA4" w:rsidP="00411D86">
      <w:pPr>
        <w:spacing w:line="360" w:lineRule="auto"/>
      </w:pPr>
    </w:p>
    <w:p w:rsidR="00D82ACA" w:rsidRDefault="00C97F80" w:rsidP="00411D86">
      <w:pPr>
        <w:spacing w:line="360" w:lineRule="auto"/>
      </w:pPr>
      <w:r>
        <w:rPr>
          <w:i/>
        </w:rPr>
        <w:t>4</w:t>
      </w:r>
      <w:r w:rsidR="00BE7060">
        <w:rPr>
          <w:i/>
        </w:rPr>
        <w:t>. Complexity and</w:t>
      </w:r>
      <w:r w:rsidR="00936CE7">
        <w:rPr>
          <w:i/>
        </w:rPr>
        <w:t xml:space="preserve"> bounded </w:t>
      </w:r>
      <w:r w:rsidR="00D82ACA" w:rsidRPr="00D82ACA">
        <w:rPr>
          <w:i/>
        </w:rPr>
        <w:t>rationality</w:t>
      </w:r>
    </w:p>
    <w:p w:rsidR="00D82ACA" w:rsidRDefault="00D82ACA" w:rsidP="00411D86">
      <w:pPr>
        <w:spacing w:line="360" w:lineRule="auto"/>
      </w:pPr>
    </w:p>
    <w:p w:rsidR="00E147C5" w:rsidRDefault="001D10B5" w:rsidP="00411D86">
      <w:pPr>
        <w:spacing w:line="360" w:lineRule="auto"/>
      </w:pPr>
      <w:r>
        <w:t>Social fields like participation</w:t>
      </w:r>
      <w:r w:rsidR="00DC2A4A">
        <w:t xml:space="preserve"> in higher education</w:t>
      </w:r>
      <w:r>
        <w:t xml:space="preserve"> are inherently complex.</w:t>
      </w:r>
      <w:r w:rsidR="001C297E">
        <w:t xml:space="preserve">  It is</w:t>
      </w:r>
      <w:r w:rsidR="00936CE7">
        <w:t>, however,</w:t>
      </w:r>
      <w:r w:rsidR="001C297E">
        <w:t xml:space="preserve"> easy to slip into a reductionist mindset of viewing outreach activities as quasi-scientific interventions, where a specific stimulus leads in</w:t>
      </w:r>
      <w:r w:rsidR="00E147C5">
        <w:t>exorably to a measurable result</w:t>
      </w:r>
      <w:r w:rsidR="00FC3ACF">
        <w:t xml:space="preserve"> (Doyle and Griffin, 2012; Pawson, 2013)</w:t>
      </w:r>
      <w:r w:rsidR="00E147C5">
        <w:t xml:space="preserve">.  Within this mindset, the objective of the practitioner is to devise the ‘right’ </w:t>
      </w:r>
      <w:r w:rsidR="0019352B">
        <w:t>portfolio</w:t>
      </w:r>
      <w:r w:rsidR="00E147C5">
        <w:t xml:space="preserve"> of </w:t>
      </w:r>
      <w:r w:rsidR="0092271C">
        <w:t>activities</w:t>
      </w:r>
      <w:r w:rsidR="00E147C5">
        <w:t xml:space="preserve"> and the role of the evaluator is to </w:t>
      </w:r>
      <w:r w:rsidR="0058452D">
        <w:t>confirm ‘what works’</w:t>
      </w:r>
      <w:r w:rsidR="0019352B">
        <w:t xml:space="preserve"> by demonstrating unequivocal </w:t>
      </w:r>
      <w:r w:rsidR="0058452D">
        <w:t xml:space="preserve">causal </w:t>
      </w:r>
      <w:r w:rsidR="0019352B">
        <w:t>changes.</w:t>
      </w:r>
    </w:p>
    <w:p w:rsidR="0019352B" w:rsidRDefault="0019352B" w:rsidP="00411D86">
      <w:pPr>
        <w:spacing w:line="360" w:lineRule="auto"/>
      </w:pPr>
    </w:p>
    <w:p w:rsidR="0019352B" w:rsidRDefault="00936CE7" w:rsidP="00411D86">
      <w:pPr>
        <w:spacing w:line="360" w:lineRule="auto"/>
      </w:pPr>
      <w:r>
        <w:t>T</w:t>
      </w:r>
      <w:r w:rsidR="0019352B">
        <w:t xml:space="preserve">he reality is very different.  The lives of all young people are ‘messy’ </w:t>
      </w:r>
      <w:r w:rsidR="0058452D">
        <w:t>as</w:t>
      </w:r>
      <w:r w:rsidR="0019352B">
        <w:t xml:space="preserve"> they are buffeted by myriad experiences and influences – some planned, but many </w:t>
      </w:r>
      <w:proofErr w:type="gramStart"/>
      <w:r w:rsidR="0019352B">
        <w:t>accidental</w:t>
      </w:r>
      <w:proofErr w:type="gramEnd"/>
      <w:r w:rsidR="0019352B">
        <w:t xml:space="preserve">.  </w:t>
      </w:r>
      <w:r w:rsidR="0058452D">
        <w:t xml:space="preserve">The beliefs and expectations of their families, schools and communities will shape </w:t>
      </w:r>
      <w:r w:rsidR="006A0341">
        <w:t>their own attitudes and ambition</w:t>
      </w:r>
      <w:r w:rsidR="0058452D">
        <w:t xml:space="preserve">s.  </w:t>
      </w:r>
      <w:r w:rsidR="0019352B">
        <w:t>T</w:t>
      </w:r>
      <w:r w:rsidR="0058452D">
        <w:t xml:space="preserve">he intersection of their gender and ethnicity will also play a role, as will other social factors like disability or sexuality.  </w:t>
      </w:r>
      <w:r w:rsidR="006A0341">
        <w:t xml:space="preserve">All of these </w:t>
      </w:r>
      <w:r w:rsidR="008B466D">
        <w:t xml:space="preserve">elements </w:t>
      </w:r>
      <w:r w:rsidR="006A0341">
        <w:t xml:space="preserve">are then mediated through the prism of personality – itself mutable in the process of becoming </w:t>
      </w:r>
      <w:r>
        <w:t xml:space="preserve">an </w:t>
      </w:r>
      <w:r w:rsidR="006A0341">
        <w:t>adult.</w:t>
      </w:r>
    </w:p>
    <w:p w:rsidR="0058452D" w:rsidRDefault="0058452D" w:rsidP="00411D86">
      <w:pPr>
        <w:spacing w:line="360" w:lineRule="auto"/>
      </w:pPr>
    </w:p>
    <w:p w:rsidR="0058452D" w:rsidRDefault="0058452D" w:rsidP="00411D86">
      <w:pPr>
        <w:spacing w:line="360" w:lineRule="auto"/>
      </w:pPr>
      <w:r>
        <w:t xml:space="preserve">Furthermore, </w:t>
      </w:r>
      <w:r w:rsidR="00F923ED">
        <w:t>Simon’s</w:t>
      </w:r>
      <w:r w:rsidR="00936CE7">
        <w:t xml:space="preserve"> (e.g. 1979, 1997</w:t>
      </w:r>
      <w:r w:rsidR="00BD7FBE">
        <w:t>)</w:t>
      </w:r>
      <w:r w:rsidR="00F923ED">
        <w:t xml:space="preserve"> seminal work</w:t>
      </w:r>
      <w:r w:rsidR="00936CE7">
        <w:t xml:space="preserve"> on </w:t>
      </w:r>
      <w:r w:rsidR="00F923ED" w:rsidRPr="00936CE7">
        <w:rPr>
          <w:i/>
        </w:rPr>
        <w:t>bounded rational</w:t>
      </w:r>
      <w:r w:rsidR="00936CE7" w:rsidRPr="00936CE7">
        <w:rPr>
          <w:i/>
        </w:rPr>
        <w:t>ity</w:t>
      </w:r>
      <w:r w:rsidR="00936CE7">
        <w:t xml:space="preserve"> compelling asserts the limits of</w:t>
      </w:r>
      <w:r w:rsidR="00F923ED">
        <w:t xml:space="preserve"> human decision-making.  This is not to say that young people are inherently irrational, but that their decisions</w:t>
      </w:r>
      <w:r w:rsidR="00C73FD7">
        <w:t xml:space="preserve"> about higher education</w:t>
      </w:r>
      <w:r w:rsidR="00F923ED">
        <w:t xml:space="preserve"> will be </w:t>
      </w:r>
      <w:r w:rsidR="00BD7FBE">
        <w:t>dictated by the information available to them, their own subjective priorities</w:t>
      </w:r>
      <w:r w:rsidR="00C73FD7">
        <w:t>, the time available</w:t>
      </w:r>
      <w:r w:rsidR="00BD7FBE">
        <w:t xml:space="preserve"> and judgements about likelihoods and risk.  Humans also tend to make intuitive decisions that are grounded in emotions and a range of </w:t>
      </w:r>
      <w:r w:rsidR="004E7463">
        <w:t>unconscious heuristics</w:t>
      </w:r>
      <w:r w:rsidR="00BD7FBE">
        <w:t xml:space="preserve"> (</w:t>
      </w:r>
      <w:proofErr w:type="spellStart"/>
      <w:r w:rsidR="00BD7FBE">
        <w:t>Kahneman</w:t>
      </w:r>
      <w:proofErr w:type="spellEnd"/>
      <w:r w:rsidR="00BD7FBE">
        <w:t>, 2003).</w:t>
      </w:r>
      <w:r w:rsidR="00BE7060">
        <w:t xml:space="preserve"> </w:t>
      </w:r>
    </w:p>
    <w:p w:rsidR="009E64E2" w:rsidRDefault="009E64E2" w:rsidP="00411D86">
      <w:pPr>
        <w:spacing w:line="360" w:lineRule="auto"/>
      </w:pPr>
    </w:p>
    <w:p w:rsidR="00312452" w:rsidRDefault="009E64E2" w:rsidP="00411D86">
      <w:pPr>
        <w:spacing w:line="360" w:lineRule="auto"/>
      </w:pPr>
      <w:r>
        <w:t xml:space="preserve">Given this </w:t>
      </w:r>
      <w:r w:rsidR="00C73FD7">
        <w:t>complexity of environment and decision-making</w:t>
      </w:r>
      <w:r>
        <w:t xml:space="preserve">, the idea of </w:t>
      </w:r>
      <w:r w:rsidR="00293656">
        <w:t xml:space="preserve">an outreach </w:t>
      </w:r>
      <w:r w:rsidR="004A088C">
        <w:t>activity</w:t>
      </w:r>
      <w:r w:rsidR="00293656">
        <w:t xml:space="preserve"> having a predictable </w:t>
      </w:r>
      <w:r w:rsidR="00AD66D6">
        <w:t xml:space="preserve">causal </w:t>
      </w:r>
      <w:r w:rsidR="00293656">
        <w:t>outcome on a young person</w:t>
      </w:r>
      <w:r w:rsidR="00BE7060">
        <w:t>’s decisions</w:t>
      </w:r>
      <w:r w:rsidR="00293656">
        <w:t xml:space="preserve"> </w:t>
      </w:r>
      <w:r w:rsidR="00EB260D">
        <w:t xml:space="preserve">appears </w:t>
      </w:r>
      <w:r w:rsidR="00293656">
        <w:t>thoroughly misguided.</w:t>
      </w:r>
      <w:r w:rsidR="00AD66D6">
        <w:t xml:space="preserve">  Activities </w:t>
      </w:r>
      <w:r w:rsidR="00BE7060">
        <w:t>will</w:t>
      </w:r>
      <w:r w:rsidR="00AD66D6">
        <w:t xml:space="preserve"> affect certain groups or individuals more than others – indeed, they may be actively negative for some.  Similar</w:t>
      </w:r>
      <w:r w:rsidR="00BE7060">
        <w:t xml:space="preserve">ly, the impact may be positive </w:t>
      </w:r>
      <w:r w:rsidR="00AD66D6">
        <w:t xml:space="preserve">from the </w:t>
      </w:r>
      <w:r w:rsidR="00BE7060">
        <w:t>perspective of the practitioner</w:t>
      </w:r>
      <w:r w:rsidR="00AD66D6">
        <w:t xml:space="preserve"> in one element (e.g. raising motivation for schoolwork), but negative in another (e.g. making apprenticeships seem more </w:t>
      </w:r>
      <w:r w:rsidR="00F8784E">
        <w:t xml:space="preserve">attractive than university).  The same activity run twice with different individuals or in different places </w:t>
      </w:r>
      <w:r w:rsidR="004441B9">
        <w:t>may well</w:t>
      </w:r>
      <w:r w:rsidR="004A088C">
        <w:t xml:space="preserve"> </w:t>
      </w:r>
      <w:r w:rsidR="00F8784E">
        <w:t>have markedly different outcomes.</w:t>
      </w:r>
      <w:r w:rsidR="00312452">
        <w:t xml:space="preserve">  </w:t>
      </w:r>
    </w:p>
    <w:p w:rsidR="00312452" w:rsidRDefault="00312452" w:rsidP="00411D86">
      <w:pPr>
        <w:spacing w:line="360" w:lineRule="auto"/>
      </w:pPr>
    </w:p>
    <w:p w:rsidR="009E64E2" w:rsidRDefault="00312452" w:rsidP="00411D86">
      <w:pPr>
        <w:spacing w:line="360" w:lineRule="auto"/>
      </w:pPr>
      <w:r>
        <w:t>This comple</w:t>
      </w:r>
      <w:r w:rsidR="00BE7060">
        <w:t>xity means that effectiveness of</w:t>
      </w:r>
      <w:r>
        <w:t xml:space="preserve"> activities will never be static or predictable.  An activity can only be judged to have been successful at one time and in one context</w:t>
      </w:r>
      <w:r w:rsidR="00C73FD7">
        <w:t xml:space="preserve"> –</w:t>
      </w:r>
      <w:r>
        <w:t xml:space="preserve"> and </w:t>
      </w:r>
      <w:r w:rsidR="00BE7060">
        <w:t xml:space="preserve">probably only </w:t>
      </w:r>
      <w:r>
        <w:t>with some of the participants</w:t>
      </w:r>
      <w:r w:rsidR="00683F9E">
        <w:t xml:space="preserve"> (Pawson, 2013)</w:t>
      </w:r>
      <w:r>
        <w:t xml:space="preserve">.  This </w:t>
      </w:r>
      <w:r w:rsidR="004A088C">
        <w:t>must limit</w:t>
      </w:r>
      <w:r>
        <w:t xml:space="preserve"> the </w:t>
      </w:r>
      <w:r w:rsidR="00BE7060">
        <w:t>inferences that can be dra</w:t>
      </w:r>
      <w:r w:rsidR="00DC2A4A">
        <w:t>wn about effectiveness and the</w:t>
      </w:r>
      <w:r w:rsidR="00BE7060">
        <w:t xml:space="preserve"> life expectancy</w:t>
      </w:r>
      <w:r w:rsidR="00DC2A4A">
        <w:t xml:space="preserve"> of those inferences</w:t>
      </w:r>
      <w:r w:rsidR="00BE7060">
        <w:t>.  It also makes conclusions about certain types of activity in the ab</w:t>
      </w:r>
      <w:r w:rsidR="003E6B80">
        <w:t>stract particularly problematic – e.g. a claim that ‘</w:t>
      </w:r>
      <w:r w:rsidR="00535AE9">
        <w:t>summer</w:t>
      </w:r>
      <w:r w:rsidR="004A088C">
        <w:t xml:space="preserve"> schools are effective’ – especially as every university will provide their own ‘flavour’ of the activity with different staff and resources</w:t>
      </w:r>
      <w:r w:rsidR="00F2414A">
        <w:t xml:space="preserve"> (Hoare and Mann, 2014)</w:t>
      </w:r>
      <w:r w:rsidR="004A088C">
        <w:t>.</w:t>
      </w:r>
    </w:p>
    <w:p w:rsidR="00C97F80" w:rsidRDefault="00C97F80" w:rsidP="00411D86">
      <w:pPr>
        <w:spacing w:line="360" w:lineRule="auto"/>
      </w:pPr>
    </w:p>
    <w:p w:rsidR="00C97F80" w:rsidRDefault="00C97F80" w:rsidP="00411D86">
      <w:pPr>
        <w:spacing w:line="360" w:lineRule="auto"/>
      </w:pPr>
    </w:p>
    <w:p w:rsidR="00C97F80" w:rsidRDefault="00C97F80" w:rsidP="00C97F80">
      <w:pPr>
        <w:spacing w:line="360" w:lineRule="auto"/>
      </w:pPr>
      <w:r>
        <w:rPr>
          <w:i/>
        </w:rPr>
        <w:t>5</w:t>
      </w:r>
      <w:r w:rsidRPr="000E1552">
        <w:rPr>
          <w:i/>
        </w:rPr>
        <w:t xml:space="preserve">. Confounding factors </w:t>
      </w:r>
      <w:r w:rsidR="001A6BAF">
        <w:rPr>
          <w:i/>
        </w:rPr>
        <w:t xml:space="preserve">and </w:t>
      </w:r>
      <w:r w:rsidR="000C2FE9">
        <w:rPr>
          <w:i/>
        </w:rPr>
        <w:t>non-linearity</w:t>
      </w:r>
    </w:p>
    <w:p w:rsidR="00C97F80" w:rsidRDefault="00C97F80" w:rsidP="00C97F80">
      <w:pPr>
        <w:spacing w:line="360" w:lineRule="auto"/>
      </w:pPr>
    </w:p>
    <w:p w:rsidR="00C97F80" w:rsidRDefault="00C97F80" w:rsidP="00C97F80">
      <w:pPr>
        <w:spacing w:line="360" w:lineRule="auto"/>
      </w:pPr>
      <w:r>
        <w:t xml:space="preserve">From its inception, </w:t>
      </w:r>
      <w:r w:rsidR="004E7463">
        <w:t>outreach</w:t>
      </w:r>
      <w:r>
        <w:t xml:space="preserve"> has </w:t>
      </w:r>
      <w:r w:rsidR="00347FA1">
        <w:t xml:space="preserve">generally </w:t>
      </w:r>
      <w:r>
        <w:t>been conceived as a process rather than as a single event in time.  It is assumed, probably rightly, that shifting the knowledge, beliefs, attitudes and behaviours of young people takes concerted effort over a series of encounters – especially where there are ingrained expectations from their families</w:t>
      </w:r>
      <w:r w:rsidR="00C73FD7">
        <w:t>, their schools</w:t>
      </w:r>
      <w:r>
        <w:t xml:space="preserve"> or their communities acting to prevent that change</w:t>
      </w:r>
      <w:r w:rsidR="00FC3ACF">
        <w:t xml:space="preserve"> (</w:t>
      </w:r>
      <w:proofErr w:type="spellStart"/>
      <w:r w:rsidR="00FC3ACF">
        <w:t>Gorard</w:t>
      </w:r>
      <w:proofErr w:type="spellEnd"/>
      <w:r w:rsidR="00FC3ACF">
        <w:t xml:space="preserve"> </w:t>
      </w:r>
      <w:r w:rsidR="00FC3ACF" w:rsidRPr="00FC3ACF">
        <w:rPr>
          <w:i/>
        </w:rPr>
        <w:t>et al.</w:t>
      </w:r>
      <w:r w:rsidR="00FC3ACF">
        <w:t>, 2006)</w:t>
      </w:r>
      <w:r>
        <w:t xml:space="preserve">.  In its most extreme incarnations, </w:t>
      </w:r>
      <w:r w:rsidR="004E7463">
        <w:t>it is</w:t>
      </w:r>
      <w:r>
        <w:t xml:space="preserve"> a ten-year process </w:t>
      </w:r>
      <w:r w:rsidR="004E7463">
        <w:t>spanning</w:t>
      </w:r>
      <w:r>
        <w:t xml:space="preserve"> mid primary </w:t>
      </w:r>
      <w:r w:rsidR="004E7463">
        <w:t>through to</w:t>
      </w:r>
      <w:r>
        <w:t xml:space="preserve"> late secondary school</w:t>
      </w:r>
      <w:r w:rsidR="00DC2A4A">
        <w:t>ing</w:t>
      </w:r>
      <w:r>
        <w:t>.</w:t>
      </w:r>
    </w:p>
    <w:p w:rsidR="00C97F80" w:rsidRDefault="00C97F80" w:rsidP="00C97F80">
      <w:pPr>
        <w:spacing w:line="360" w:lineRule="auto"/>
      </w:pPr>
    </w:p>
    <w:p w:rsidR="00C97F80" w:rsidRDefault="00C73FD7" w:rsidP="00C97F80">
      <w:pPr>
        <w:spacing w:line="360" w:lineRule="auto"/>
      </w:pPr>
      <w:r>
        <w:t>In a related point to the previous one, o</w:t>
      </w:r>
      <w:r w:rsidR="00C97F80">
        <w:t xml:space="preserve">ne </w:t>
      </w:r>
      <w:r>
        <w:t>temptation may be</w:t>
      </w:r>
      <w:r w:rsidR="00C97F80">
        <w:t xml:space="preserve"> to seek to evaluate changes in young people over this time period as if </w:t>
      </w:r>
      <w:r w:rsidR="00624842">
        <w:t xml:space="preserve">the efforts of practitioners are the only influence when, in reality, there are many confounding factors at work.  In particular, the impact of the school and its teachers, where young people spend far more time than in outreach activities, are </w:t>
      </w:r>
      <w:r w:rsidR="00DC2A4A">
        <w:t>very</w:t>
      </w:r>
      <w:r w:rsidR="00624842">
        <w:t xml:space="preserve"> likely to effect changes to knowledge about and attitudes towards higher education</w:t>
      </w:r>
      <w:r w:rsidR="000C5D45">
        <w:t xml:space="preserve"> (</w:t>
      </w:r>
      <w:proofErr w:type="spellStart"/>
      <w:r w:rsidR="000C5D45">
        <w:t>Winterton</w:t>
      </w:r>
      <w:proofErr w:type="spellEnd"/>
      <w:r w:rsidR="000C5D45">
        <w:t xml:space="preserve"> and Irwin, 2012; Fuller, 2014)</w:t>
      </w:r>
      <w:r w:rsidR="00624842">
        <w:t>.</w:t>
      </w:r>
      <w:r w:rsidR="00EB300F">
        <w:t xml:space="preserve">  Within a long-term</w:t>
      </w:r>
      <w:r>
        <w:t>, but punctuated,</w:t>
      </w:r>
      <w:r w:rsidR="00EB300F">
        <w:t xml:space="preserve"> programme of </w:t>
      </w:r>
      <w:r>
        <w:t>activities</w:t>
      </w:r>
      <w:r w:rsidR="00EB300F">
        <w:t xml:space="preserve">, there is a risk of erroneously ascribing changes to those </w:t>
      </w:r>
      <w:r>
        <w:t>activities</w:t>
      </w:r>
      <w:r w:rsidR="00EB300F">
        <w:t xml:space="preserve"> rather than what might occur in</w:t>
      </w:r>
      <w:r w:rsidR="001A6BAF">
        <w:t xml:space="preserve"> </w:t>
      </w:r>
      <w:r>
        <w:t>between</w:t>
      </w:r>
      <w:r w:rsidR="00AB14AB">
        <w:t>:</w:t>
      </w:r>
      <w:r>
        <w:t xml:space="preserve"> is it the activities offered that are effecti</w:t>
      </w:r>
      <w:r w:rsidR="00AB14AB">
        <w:t>ve or</w:t>
      </w:r>
      <w:r>
        <w:t xml:space="preserve"> </w:t>
      </w:r>
      <w:r w:rsidR="00417C1E">
        <w:t>the d</w:t>
      </w:r>
      <w:r w:rsidR="004441B9">
        <w:t>ay-to-day influence of teachers?  It may</w:t>
      </w:r>
      <w:r>
        <w:t xml:space="preserve"> </w:t>
      </w:r>
      <w:r w:rsidR="00AB14AB">
        <w:t xml:space="preserve">even </w:t>
      </w:r>
      <w:r w:rsidR="004441B9">
        <w:t xml:space="preserve">be </w:t>
      </w:r>
      <w:r>
        <w:t xml:space="preserve">the </w:t>
      </w:r>
      <w:r w:rsidR="00AB14AB">
        <w:t xml:space="preserve">ongoing </w:t>
      </w:r>
      <w:r>
        <w:t>partnership between a university and a school which impacts on the knowledge, expectations a</w:t>
      </w:r>
      <w:r w:rsidR="004441B9">
        <w:t>nd ethos embodied in the latter, rather than any direct effect of activities.</w:t>
      </w:r>
    </w:p>
    <w:p w:rsidR="001A6BAF" w:rsidRDefault="001A6BAF" w:rsidP="00C97F80">
      <w:pPr>
        <w:spacing w:line="360" w:lineRule="auto"/>
      </w:pPr>
    </w:p>
    <w:p w:rsidR="00D31B7A" w:rsidRDefault="001A6BAF" w:rsidP="00C97F80">
      <w:pPr>
        <w:spacing w:line="360" w:lineRule="auto"/>
      </w:pPr>
      <w:r>
        <w:t>Within a structured and long-term series of activities with</w:t>
      </w:r>
      <w:r w:rsidR="00E43571">
        <w:t xml:space="preserve"> a young person, there is also the risk of assuming that there is a linear and positive cumulative effect over time – i.e. that each activity goes a little way further to tipping them towards higher education.  This is </w:t>
      </w:r>
      <w:r w:rsidR="006D7433">
        <w:t>likely to be</w:t>
      </w:r>
      <w:r w:rsidR="00E43571">
        <w:t xml:space="preserve"> fallacious</w:t>
      </w:r>
      <w:r w:rsidR="00C73FD7">
        <w:t>.  As noted earlier, s</w:t>
      </w:r>
      <w:r w:rsidR="00E43571">
        <w:t>ome activities may have negative effects from the perspective of higher education (e.g. by suggesting alternative routes) or may only have an effect months later when reflected upon, perhaps in conjunction with other experiences.</w:t>
      </w:r>
      <w:r w:rsidR="00D31B7A">
        <w:t xml:space="preserve">  </w:t>
      </w:r>
      <w:r w:rsidR="0079641E">
        <w:t xml:space="preserve">Alternatively, two activities might only prove effective when offered several months apart, providing mutual reinforcement, with neither being effective in isolation. </w:t>
      </w:r>
      <w:r w:rsidR="000C2FE9">
        <w:t xml:space="preserve"> </w:t>
      </w:r>
      <w:r w:rsidR="00C73FD7">
        <w:t>T</w:t>
      </w:r>
      <w:r w:rsidR="00D31B7A">
        <w:t xml:space="preserve">his non-linearity makes </w:t>
      </w:r>
      <w:r w:rsidR="004E04DD">
        <w:t>conclusions</w:t>
      </w:r>
      <w:r w:rsidR="00D31B7A">
        <w:t xml:space="preserve"> about </w:t>
      </w:r>
      <w:r w:rsidR="00C73FD7">
        <w:t xml:space="preserve">causality and </w:t>
      </w:r>
      <w:r w:rsidR="00D31B7A">
        <w:t xml:space="preserve">effectiveness </w:t>
      </w:r>
      <w:r w:rsidR="00C73FD7">
        <w:t xml:space="preserve">problematic.  </w:t>
      </w:r>
    </w:p>
    <w:p w:rsidR="00C97F80" w:rsidRDefault="00C97F80" w:rsidP="00411D86">
      <w:pPr>
        <w:spacing w:line="360" w:lineRule="auto"/>
      </w:pPr>
    </w:p>
    <w:p w:rsidR="00E0385C" w:rsidRDefault="00E0385C" w:rsidP="00411D86">
      <w:pPr>
        <w:spacing w:line="360" w:lineRule="auto"/>
      </w:pPr>
    </w:p>
    <w:p w:rsidR="002343B0" w:rsidRDefault="002343B0" w:rsidP="00A0047D"/>
    <w:p w:rsidR="002343B0" w:rsidRDefault="002343B0" w:rsidP="002343B0">
      <w:pPr>
        <w:spacing w:line="360" w:lineRule="auto"/>
      </w:pPr>
    </w:p>
    <w:p w:rsidR="002343B0" w:rsidRDefault="005E5F61" w:rsidP="002343B0">
      <w:pPr>
        <w:spacing w:line="360" w:lineRule="auto"/>
      </w:pPr>
      <w:r>
        <w:rPr>
          <w:b/>
        </w:rPr>
        <w:t>Realist evaluation</w:t>
      </w:r>
    </w:p>
    <w:p w:rsidR="005937E1" w:rsidRDefault="005937E1" w:rsidP="002343B0">
      <w:pPr>
        <w:spacing w:line="360" w:lineRule="auto"/>
      </w:pPr>
    </w:p>
    <w:p w:rsidR="00CA32FD" w:rsidRDefault="00221098" w:rsidP="00CA32FD">
      <w:pPr>
        <w:spacing w:line="360" w:lineRule="auto"/>
      </w:pPr>
      <w:r>
        <w:t>As a springboard, this article uses Pawson’</w:t>
      </w:r>
      <w:r w:rsidR="00CF4266">
        <w:t>s (2006</w:t>
      </w:r>
      <w:r w:rsidR="006A5B03">
        <w:t>, 2013</w:t>
      </w:r>
      <w:r w:rsidR="00CF6AD4">
        <w:t xml:space="preserve">) </w:t>
      </w:r>
      <w:r w:rsidR="006A5B03">
        <w:t xml:space="preserve">idea of </w:t>
      </w:r>
      <w:r w:rsidR="00DC08ED">
        <w:t>‘</w:t>
      </w:r>
      <w:r w:rsidR="006A5B03">
        <w:t>realist</w:t>
      </w:r>
      <w:r w:rsidR="00DC08ED">
        <w:t>’</w:t>
      </w:r>
      <w:r w:rsidR="006A5B03">
        <w:t xml:space="preserve"> evaluation.</w:t>
      </w:r>
      <w:r w:rsidR="00DC08ED">
        <w:t xml:space="preserve">  This approach places the individual’s choices at the heart of the evaluation</w:t>
      </w:r>
      <w:r w:rsidR="0018639D">
        <w:t>,</w:t>
      </w:r>
      <w:r w:rsidR="00873F8B">
        <w:t xml:space="preserve"> ‘recognising that the fate of social policy lies in the real choices of choice makers and </w:t>
      </w:r>
      <w:r w:rsidR="0018639D">
        <w:t>[evaluation’s]</w:t>
      </w:r>
      <w:r w:rsidR="00873F8B">
        <w:t xml:space="preserve"> task is to explain the distribution and consequences of those choices’ (Pawson, 2013, p. 71)</w:t>
      </w:r>
      <w:r w:rsidR="00DC08ED">
        <w:t xml:space="preserve">.  Human choice is seen as the driving force for changes in behaviour, so the purpose of </w:t>
      </w:r>
      <w:r w:rsidR="00CA32FD">
        <w:t>an</w:t>
      </w:r>
      <w:r w:rsidR="00DC08ED">
        <w:t xml:space="preserve"> </w:t>
      </w:r>
      <w:r w:rsidR="00147E08">
        <w:t>activity</w:t>
      </w:r>
      <w:r w:rsidR="00DC08ED">
        <w:t xml:space="preserve"> is to provide circumstances where changes can take place.  </w:t>
      </w:r>
      <w:r w:rsidR="00CA32FD">
        <w:t xml:space="preserve">The idea of direct causality between </w:t>
      </w:r>
      <w:r w:rsidR="00147E08">
        <w:t xml:space="preserve">activity </w:t>
      </w:r>
      <w:r w:rsidR="00CA32FD">
        <w:t>and change is dismissed as simplistic in a complex social field with multiple confounding influences.  In particular, it rejects ‘medicalised’ approaches to evaluation that derive from a basic stimulus-effect model of human beha</w:t>
      </w:r>
      <w:r w:rsidR="00CF4266">
        <w:t>viour.  Pawson (2006</w:t>
      </w:r>
      <w:r w:rsidR="00AA1006">
        <w:t>, p.</w:t>
      </w:r>
      <w:r w:rsidR="00CA32FD">
        <w:t xml:space="preserve">25) emphasises the ‘messiness’ of social fields and argues that the only appropriate question is ‘What works for whom and in what circumstances?’, rather than seeking authoritative statements about effectiveness that are decontextualized from people, setting or time: ‘the ludicrous idea that evaluators and researchers are able to tell policy-makers and practitioners exactly what works in the world of </w:t>
      </w:r>
      <w:r w:rsidR="00AA1006">
        <w:t>policy interventions’ (ibid, p.</w:t>
      </w:r>
      <w:r w:rsidR="00CA32FD">
        <w:t>170).</w:t>
      </w:r>
      <w:r w:rsidR="006B455F">
        <w:t xml:space="preserve"> </w:t>
      </w:r>
    </w:p>
    <w:p w:rsidR="006A5B03" w:rsidRDefault="006A5B03" w:rsidP="00287F9C">
      <w:pPr>
        <w:spacing w:line="360" w:lineRule="auto"/>
      </w:pPr>
    </w:p>
    <w:p w:rsidR="00287F9C" w:rsidRDefault="00CA32FD" w:rsidP="00287F9C">
      <w:pPr>
        <w:spacing w:line="360" w:lineRule="auto"/>
      </w:pPr>
      <w:r>
        <w:t xml:space="preserve">A key idea of realist evaluation is that </w:t>
      </w:r>
      <w:r w:rsidR="003D035A">
        <w:t xml:space="preserve">a planned activity </w:t>
      </w:r>
      <w:r w:rsidR="00CF6AD4">
        <w:t xml:space="preserve">within a social field </w:t>
      </w:r>
      <w:r w:rsidR="00221098">
        <w:t xml:space="preserve">is the embodiment of a </w:t>
      </w:r>
      <w:r w:rsidR="0018639D">
        <w:t>‘</w:t>
      </w:r>
      <w:r w:rsidR="00221098">
        <w:t>theory of change</w:t>
      </w:r>
      <w:r w:rsidR="0018639D">
        <w:t>’</w:t>
      </w:r>
      <w:r>
        <w:t xml:space="preserve"> – </w:t>
      </w:r>
      <w:r w:rsidR="00221098">
        <w:t xml:space="preserve">it represents </w:t>
      </w:r>
      <w:r w:rsidR="00680A94">
        <w:t>some</w:t>
      </w:r>
      <w:r w:rsidR="00221098">
        <w:t xml:space="preserve"> conception of how an individual might be </w:t>
      </w:r>
      <w:r w:rsidR="00CF6AD4">
        <w:t>‘</w:t>
      </w:r>
      <w:r w:rsidR="00221098">
        <w:t>moved</w:t>
      </w:r>
      <w:r w:rsidR="00CF6AD4">
        <w:t>’</w:t>
      </w:r>
      <w:r w:rsidR="00221098">
        <w:t xml:space="preserve"> from one state to another.</w:t>
      </w:r>
      <w:r w:rsidR="00680A94">
        <w:t xml:space="preserve">  </w:t>
      </w:r>
      <w:r w:rsidR="002168CE">
        <w:t xml:space="preserve">This might be a deliberate process, based in the expertise of the practitioner or social theory, or a tacit one based on beliefs, prior </w:t>
      </w:r>
      <w:r>
        <w:t>experiences</w:t>
      </w:r>
      <w:r w:rsidR="002168CE">
        <w:t xml:space="preserve"> or borrowing from </w:t>
      </w:r>
      <w:r w:rsidR="0018639D">
        <w:t xml:space="preserve">elsewhere.  </w:t>
      </w:r>
      <w:r w:rsidR="007E2E6F">
        <w:t>Pawson sees this</w:t>
      </w:r>
      <w:r w:rsidR="00083E4D">
        <w:t xml:space="preserve"> transformational</w:t>
      </w:r>
      <w:r w:rsidR="007E2E6F">
        <w:t xml:space="preserve"> theory of change as being the </w:t>
      </w:r>
      <w:r w:rsidR="0018639D">
        <w:t>focus</w:t>
      </w:r>
      <w:r w:rsidR="007E2E6F">
        <w:t xml:space="preserve"> of evaluation rather than the </w:t>
      </w:r>
      <w:r w:rsidR="00CF6AD4">
        <w:t xml:space="preserve">outcomes of the </w:t>
      </w:r>
      <w:r w:rsidR="004615BF">
        <w:t>activity</w:t>
      </w:r>
      <w:r>
        <w:t xml:space="preserve">, with the purpose of evaluation being to </w:t>
      </w:r>
      <w:r w:rsidR="003D035A">
        <w:t xml:space="preserve">interrogate and </w:t>
      </w:r>
      <w:r>
        <w:t>hone this theory.</w:t>
      </w:r>
      <w:r w:rsidR="00340997">
        <w:t xml:space="preserve">  This approach embraces the inherent complexity of fields like </w:t>
      </w:r>
      <w:r w:rsidR="00FD54B5">
        <w:t>outreach</w:t>
      </w:r>
      <w:r w:rsidR="00147E08">
        <w:t xml:space="preserve"> and the bounds on human </w:t>
      </w:r>
      <w:r w:rsidR="00340997">
        <w:t xml:space="preserve">rationality, with a desire to </w:t>
      </w:r>
      <w:r w:rsidR="00340997" w:rsidRPr="00340997">
        <w:rPr>
          <w:i/>
        </w:rPr>
        <w:t>understand</w:t>
      </w:r>
      <w:r w:rsidR="00340997">
        <w:t xml:space="preserve"> the complex web of factors as work </w:t>
      </w:r>
      <w:r w:rsidR="00147E08">
        <w:t xml:space="preserve">and how to influence them, </w:t>
      </w:r>
      <w:r w:rsidR="00340997">
        <w:t xml:space="preserve">rather than seeking to </w:t>
      </w:r>
      <w:r w:rsidR="00340997">
        <w:rPr>
          <w:i/>
        </w:rPr>
        <w:t>ignore</w:t>
      </w:r>
      <w:r w:rsidR="00340997">
        <w:t xml:space="preserve"> or </w:t>
      </w:r>
      <w:r w:rsidR="00340997" w:rsidRPr="00340997">
        <w:rPr>
          <w:i/>
        </w:rPr>
        <w:t>eliminate</w:t>
      </w:r>
      <w:r w:rsidR="00340997">
        <w:t xml:space="preserve"> them in pursuit of simplistic causal relationships</w:t>
      </w:r>
      <w:r w:rsidR="006F2023">
        <w:t xml:space="preserve"> and dubious measures of effectiveness</w:t>
      </w:r>
      <w:r w:rsidR="00340997">
        <w:t>.</w:t>
      </w:r>
      <w:r w:rsidR="006B455F" w:rsidRPr="006B455F">
        <w:t xml:space="preserve"> </w:t>
      </w:r>
      <w:r w:rsidR="006B455F">
        <w:t xml:space="preserve"> R</w:t>
      </w:r>
      <w:r w:rsidR="00A317D5">
        <w:t xml:space="preserve">ealist evaluation rejects this </w:t>
      </w:r>
      <w:r w:rsidR="006B455F">
        <w:t xml:space="preserve">as likely to </w:t>
      </w:r>
      <w:r w:rsidR="009D4B77">
        <w:t xml:space="preserve">create </w:t>
      </w:r>
      <w:r w:rsidR="006B455F">
        <w:t>mislead</w:t>
      </w:r>
      <w:r w:rsidR="009D4B77">
        <w:t>ing results</w:t>
      </w:r>
      <w:r w:rsidR="006B455F">
        <w:t xml:space="preserve"> </w:t>
      </w:r>
      <w:r w:rsidR="002856B0">
        <w:t xml:space="preserve">with over-confident conclusions, </w:t>
      </w:r>
      <w:r w:rsidR="006B455F">
        <w:t>while remaining si</w:t>
      </w:r>
      <w:r w:rsidR="0018639D">
        <w:t>lent on how to improve practice:</w:t>
      </w:r>
    </w:p>
    <w:p w:rsidR="0018639D" w:rsidRDefault="0018639D" w:rsidP="00287F9C">
      <w:pPr>
        <w:spacing w:line="360" w:lineRule="auto"/>
      </w:pPr>
    </w:p>
    <w:p w:rsidR="0018639D" w:rsidRDefault="0018639D" w:rsidP="0018639D">
      <w:pPr>
        <w:spacing w:line="360" w:lineRule="auto"/>
        <w:ind w:left="720"/>
      </w:pPr>
      <w:r>
        <w:t>‘There is […] no concealing the reality that the same intervention can trigger change in myriad ways, and no way of camouflaging the truth that the different contexts in which programmes are implemented are as wide as society is wide’ (Pawson, 2013, pp. 29-30).</w:t>
      </w:r>
    </w:p>
    <w:p w:rsidR="00A526E9" w:rsidRDefault="00A526E9" w:rsidP="002343B0">
      <w:pPr>
        <w:spacing w:line="360" w:lineRule="auto"/>
      </w:pPr>
    </w:p>
    <w:p w:rsidR="00A526E9" w:rsidRDefault="00A526E9" w:rsidP="002343B0">
      <w:pPr>
        <w:spacing w:line="360" w:lineRule="auto"/>
      </w:pPr>
    </w:p>
    <w:p w:rsidR="00A526E9" w:rsidRDefault="001D662F" w:rsidP="002343B0">
      <w:pPr>
        <w:spacing w:line="360" w:lineRule="auto"/>
      </w:pPr>
      <w:r>
        <w:rPr>
          <w:b/>
        </w:rPr>
        <w:lastRenderedPageBreak/>
        <w:t>A</w:t>
      </w:r>
      <w:r w:rsidR="00A526E9">
        <w:rPr>
          <w:b/>
        </w:rPr>
        <w:t xml:space="preserve"> </w:t>
      </w:r>
      <w:r w:rsidR="00A35CB4">
        <w:rPr>
          <w:b/>
        </w:rPr>
        <w:t>‘small steps’</w:t>
      </w:r>
      <w:r w:rsidR="00A526E9">
        <w:rPr>
          <w:b/>
        </w:rPr>
        <w:t xml:space="preserve"> approach</w:t>
      </w:r>
    </w:p>
    <w:p w:rsidR="00A526E9" w:rsidRDefault="00A526E9" w:rsidP="002343B0">
      <w:pPr>
        <w:spacing w:line="360" w:lineRule="auto"/>
      </w:pPr>
    </w:p>
    <w:p w:rsidR="00362BC4" w:rsidRDefault="00A526E9" w:rsidP="002343B0">
      <w:pPr>
        <w:spacing w:line="360" w:lineRule="auto"/>
      </w:pPr>
      <w:r>
        <w:t>This section outlines a potential alternative approach</w:t>
      </w:r>
      <w:r w:rsidR="00E75CA0">
        <w:t>, broadly within the realist tradition,</w:t>
      </w:r>
      <w:r>
        <w:t xml:space="preserve"> to </w:t>
      </w:r>
      <w:r w:rsidR="00362BC4">
        <w:t xml:space="preserve">both conceiving and </w:t>
      </w:r>
      <w:r>
        <w:t xml:space="preserve">evaluating outreach </w:t>
      </w:r>
      <w:r w:rsidR="00A35CB4">
        <w:t>activity based on ‘s</w:t>
      </w:r>
      <w:r>
        <w:t xml:space="preserve">mall </w:t>
      </w:r>
      <w:r w:rsidR="00A35CB4">
        <w:t>s</w:t>
      </w:r>
      <w:r>
        <w:t xml:space="preserve">teps’.  </w:t>
      </w:r>
      <w:r w:rsidR="00A35CB4">
        <w:t xml:space="preserve">This </w:t>
      </w:r>
      <w:r w:rsidR="00362BC4">
        <w:t xml:space="preserve">is intended to signal a </w:t>
      </w:r>
      <w:r w:rsidR="008C03ED">
        <w:t xml:space="preserve">partial </w:t>
      </w:r>
      <w:r w:rsidR="00362BC4">
        <w:t>rejection both of long-term tracking (although this may have value for understanding key junctures at which change occ</w:t>
      </w:r>
      <w:r w:rsidR="00287425">
        <w:t xml:space="preserve">urs) and of </w:t>
      </w:r>
      <w:r w:rsidR="00B91622">
        <w:t>unwieldy</w:t>
      </w:r>
      <w:r w:rsidR="00013261">
        <w:t xml:space="preserve"> and </w:t>
      </w:r>
      <w:r w:rsidR="00287425">
        <w:t xml:space="preserve">over-engineered </w:t>
      </w:r>
      <w:r w:rsidR="00362BC4">
        <w:t xml:space="preserve">trials (although they may have some value </w:t>
      </w:r>
      <w:r w:rsidR="0001674B">
        <w:t xml:space="preserve">in evaluating </w:t>
      </w:r>
      <w:r w:rsidR="008C03ED">
        <w:t xml:space="preserve">short-term </w:t>
      </w:r>
      <w:r w:rsidR="00287425">
        <w:t>activities</w:t>
      </w:r>
      <w:r w:rsidR="008C03ED">
        <w:t xml:space="preserve">). </w:t>
      </w:r>
      <w:r w:rsidR="00B23DBB">
        <w:t xml:space="preserve"> It </w:t>
      </w:r>
      <w:r w:rsidR="009D262A">
        <w:t>also denotes</w:t>
      </w:r>
      <w:r w:rsidR="00B23DBB">
        <w:t xml:space="preserve"> a conceptualisation of participation </w:t>
      </w:r>
      <w:r w:rsidR="00B91622">
        <w:t xml:space="preserve">in higher education </w:t>
      </w:r>
      <w:r w:rsidR="00B23DBB">
        <w:t>as a process with many intermediat</w:t>
      </w:r>
      <w:r w:rsidR="009D262A">
        <w:t>e steps which young people take and which evaluators must heed.</w:t>
      </w:r>
    </w:p>
    <w:p w:rsidR="009D262A" w:rsidRDefault="009D262A" w:rsidP="002343B0">
      <w:pPr>
        <w:spacing w:line="360" w:lineRule="auto"/>
      </w:pPr>
    </w:p>
    <w:p w:rsidR="00A526E9" w:rsidRDefault="00A526E9" w:rsidP="002343B0">
      <w:pPr>
        <w:spacing w:line="360" w:lineRule="auto"/>
      </w:pPr>
      <w:r>
        <w:t xml:space="preserve">It attempts to provide a means of </w:t>
      </w:r>
      <w:r w:rsidR="00E75CA0">
        <w:t>addressing issues of effectiveness while</w:t>
      </w:r>
      <w:r>
        <w:t xml:space="preserve"> overcoming some of the challenges outlined above.  It is methodologically neutral, in that it is compatible with a range of data collection </w:t>
      </w:r>
      <w:r w:rsidR="00E75CA0">
        <w:t>methods</w:t>
      </w:r>
      <w:r>
        <w:t xml:space="preserve"> – bo</w:t>
      </w:r>
      <w:r w:rsidR="00E75CA0">
        <w:t>th quantitative and qualitative – which need to be designed around the intervention, the participant group and the practitioners involved.</w:t>
      </w:r>
      <w:r w:rsidR="005C7A79">
        <w:t xml:space="preserve">  Rather, </w:t>
      </w:r>
      <w:r w:rsidR="00B91622">
        <w:t>we</w:t>
      </w:r>
      <w:r w:rsidR="005C7A79">
        <w:t xml:space="preserve"> </w:t>
      </w:r>
      <w:r w:rsidR="00B91622">
        <w:t>suggest</w:t>
      </w:r>
      <w:r w:rsidR="005C7A79">
        <w:t xml:space="preserve"> five principles to guide how evaluation is conceived and undertaken, relating to theories of change, measurement, causali</w:t>
      </w:r>
      <w:r w:rsidR="00FE33DA">
        <w:t>ty, timescales and disadvantage:</w:t>
      </w:r>
    </w:p>
    <w:p w:rsidR="0027477F" w:rsidRDefault="0027477F" w:rsidP="002343B0">
      <w:pPr>
        <w:spacing w:line="360" w:lineRule="auto"/>
      </w:pPr>
    </w:p>
    <w:p w:rsidR="0027477F" w:rsidRPr="00C02D60" w:rsidRDefault="00E5681E" w:rsidP="00505346">
      <w:pPr>
        <w:pStyle w:val="ListParagraph"/>
        <w:numPr>
          <w:ilvl w:val="0"/>
          <w:numId w:val="3"/>
        </w:numPr>
        <w:spacing w:line="360" w:lineRule="auto"/>
        <w:rPr>
          <w:b/>
        </w:rPr>
      </w:pPr>
      <w:r w:rsidRPr="00E5681E">
        <w:rPr>
          <w:b/>
        </w:rPr>
        <w:t>Articulation of a clear theory of change.</w:t>
      </w:r>
      <w:r>
        <w:t xml:space="preserve">  </w:t>
      </w:r>
      <w:r w:rsidR="00EA1302">
        <w:t>Outreach activities</w:t>
      </w:r>
      <w:r w:rsidR="002A38DB">
        <w:t xml:space="preserve"> </w:t>
      </w:r>
      <w:r w:rsidR="00EA1302">
        <w:t>are, at their</w:t>
      </w:r>
      <w:r w:rsidR="002A38DB">
        <w:t xml:space="preserve"> heart, about caus</w:t>
      </w:r>
      <w:r w:rsidR="00505346">
        <w:t>ing change within individuals</w:t>
      </w:r>
      <w:r w:rsidR="002A38DB">
        <w:t xml:space="preserve">.  If practitioners expect to cause change, then they need to have a clear articulation of the mechanisms by which they expect this to occur at the individual level – a theory of change.  </w:t>
      </w:r>
      <w:r w:rsidR="00600BF8">
        <w:t>As well as attending to outcomes, which is an obvious concern of evaluation, the starting point of the individual needs to be recognised</w:t>
      </w:r>
      <w:r w:rsidR="00505346">
        <w:t xml:space="preserve"> alongside a deep</w:t>
      </w:r>
      <w:r w:rsidR="002A38DB">
        <w:t xml:space="preserve"> engagement with psychological</w:t>
      </w:r>
      <w:r w:rsidR="008E0563">
        <w:t>, sociologi</w:t>
      </w:r>
      <w:r w:rsidR="00505346">
        <w:t>cal and psychosocial processes;</w:t>
      </w:r>
      <w:r w:rsidR="008E0563">
        <w:t xml:space="preserve"> indeed, the first and last of these have been somewhat neglected within theorisations of participation in general.</w:t>
      </w:r>
      <w:r w:rsidR="00362BC4">
        <w:t xml:space="preserve">  Fo</w:t>
      </w:r>
      <w:r w:rsidR="00505346">
        <w:t>r</w:t>
      </w:r>
      <w:r w:rsidR="00362BC4">
        <w:t xml:space="preserve"> example, practitioners </w:t>
      </w:r>
      <w:r w:rsidR="00505346">
        <w:t xml:space="preserve">wanting to ‘raise aspirations’ </w:t>
      </w:r>
      <w:r w:rsidR="00362BC4">
        <w:t xml:space="preserve">need to be clear </w:t>
      </w:r>
      <w:r w:rsidR="00362BC4" w:rsidRPr="00362BC4">
        <w:rPr>
          <w:i/>
        </w:rPr>
        <w:t>what an aspiration is</w:t>
      </w:r>
      <w:r w:rsidR="00362BC4">
        <w:t xml:space="preserve">, </w:t>
      </w:r>
      <w:r w:rsidR="00362BC4" w:rsidRPr="00362BC4">
        <w:rPr>
          <w:i/>
        </w:rPr>
        <w:t>how it is formed</w:t>
      </w:r>
      <w:r w:rsidR="00362BC4">
        <w:t xml:space="preserve"> and </w:t>
      </w:r>
      <w:r w:rsidR="00362BC4" w:rsidRPr="00362BC4">
        <w:rPr>
          <w:i/>
        </w:rPr>
        <w:t>how it is crystallised in reference to others</w:t>
      </w:r>
      <w:r w:rsidR="00362BC4">
        <w:t>.</w:t>
      </w:r>
      <w:r w:rsidR="001C4826">
        <w:t xml:space="preserve">  This clarity then provides a framework for evaluation which focuses on</w:t>
      </w:r>
      <w:r w:rsidR="00B23DBB">
        <w:t xml:space="preserve"> individual and group processes</w:t>
      </w:r>
      <w:r w:rsidR="00805651">
        <w:t xml:space="preserve"> in sequence (i.e. a logic chain)</w:t>
      </w:r>
      <w:r w:rsidR="00B23DBB">
        <w:t xml:space="preserve">.  </w:t>
      </w:r>
      <w:r w:rsidR="00505346">
        <w:t xml:space="preserve">The theory of change can then be evaluated in terms of its effectiveness in describing </w:t>
      </w:r>
      <w:r w:rsidR="00F2021A">
        <w:t xml:space="preserve">processes and </w:t>
      </w:r>
      <w:r w:rsidR="009E1575">
        <w:t>predicting</w:t>
      </w:r>
      <w:r w:rsidR="00F2021A">
        <w:t xml:space="preserve"> outcomes, to be </w:t>
      </w:r>
      <w:r w:rsidR="009E1575">
        <w:t>further honed through</w:t>
      </w:r>
      <w:r w:rsidR="00805651">
        <w:t xml:space="preserve"> reflective practice and empirical research.</w:t>
      </w:r>
    </w:p>
    <w:p w:rsidR="004A342C" w:rsidRPr="001A1479" w:rsidRDefault="004A342C" w:rsidP="004A342C">
      <w:pPr>
        <w:pStyle w:val="ListParagraph"/>
        <w:rPr>
          <w:b/>
        </w:rPr>
      </w:pPr>
    </w:p>
    <w:p w:rsidR="004A342C" w:rsidRPr="00877E4B" w:rsidRDefault="004A342C" w:rsidP="00877E4B">
      <w:pPr>
        <w:pStyle w:val="ListParagraph"/>
        <w:numPr>
          <w:ilvl w:val="0"/>
          <w:numId w:val="3"/>
        </w:numPr>
        <w:spacing w:line="360" w:lineRule="auto"/>
        <w:rPr>
          <w:b/>
        </w:rPr>
      </w:pPr>
      <w:r>
        <w:rPr>
          <w:b/>
        </w:rPr>
        <w:t>Criticality about causality.</w:t>
      </w:r>
      <w:r>
        <w:t xml:space="preserve">  The complexity and non-linearity outlined above is problematic for drawing strong conclusions about an activity and its causal effects on individuals.  The </w:t>
      </w:r>
      <w:r>
        <w:lastRenderedPageBreak/>
        <w:t>trial approach attempts to resolve this by focusing on the outcomes of participants relative to a (preferably randomised) group of non-participants.  If well-</w:t>
      </w:r>
      <w:r w:rsidR="000126F1">
        <w:t>executed</w:t>
      </w:r>
      <w:r>
        <w:t xml:space="preserve">, this can provide some evidence as to </w:t>
      </w:r>
      <w:r w:rsidRPr="00854F28">
        <w:rPr>
          <w:i/>
        </w:rPr>
        <w:t>whether</w:t>
      </w:r>
      <w:r>
        <w:t xml:space="preserve"> an intervention is effective (self-selection, priming and confounding issues</w:t>
      </w:r>
      <w:r w:rsidR="00BF4ACA">
        <w:t xml:space="preserve"> notwithstanding</w:t>
      </w:r>
      <w:r>
        <w:t xml:space="preserve">), but not the more important question of </w:t>
      </w:r>
      <w:r>
        <w:rPr>
          <w:i/>
        </w:rPr>
        <w:t>why</w:t>
      </w:r>
      <w:r>
        <w:t xml:space="preserve"> it is effective</w:t>
      </w:r>
      <w:r w:rsidR="00D97049">
        <w:t>.</w:t>
      </w:r>
      <w:r w:rsidR="00BF4ACA">
        <w:t xml:space="preserve">  This sort of evaluation risks reducing activities to a form of ‘magic</w:t>
      </w:r>
      <w:r w:rsidR="000126F1">
        <w:t xml:space="preserve"> box</w:t>
      </w:r>
      <w:r w:rsidR="00BF4ACA">
        <w:t>’</w:t>
      </w:r>
      <w:r w:rsidR="000126F1">
        <w:t xml:space="preserve"> where nothing is known about the processes within it</w:t>
      </w:r>
      <w:r w:rsidR="00BF4ACA">
        <w:t xml:space="preserve">.  </w:t>
      </w:r>
      <w:r w:rsidR="00877E4B">
        <w:t>Indeed, it may fail to identify if the effective element is incidental to the activity rather than integral to it – e.g. the personal relationships developed</w:t>
      </w:r>
      <w:r w:rsidR="00F20C59">
        <w:t xml:space="preserve"> alongside the activity</w:t>
      </w:r>
      <w:r w:rsidR="00877E4B">
        <w:t xml:space="preserve">.  </w:t>
      </w:r>
      <w:r w:rsidR="00BF4ACA">
        <w:t>Instead, w</w:t>
      </w:r>
      <w:r>
        <w:t xml:space="preserve">e </w:t>
      </w:r>
      <w:r w:rsidR="00D97049">
        <w:t>advocate</w:t>
      </w:r>
      <w:r>
        <w:t xml:space="preserve"> </w:t>
      </w:r>
      <w:r w:rsidR="00D97049">
        <w:t>evaluating</w:t>
      </w:r>
      <w:r>
        <w:t xml:space="preserve"> the success of </w:t>
      </w:r>
      <w:r w:rsidR="00D97049">
        <w:t>activities</w:t>
      </w:r>
      <w:r>
        <w:t xml:space="preserve"> in terms of the</w:t>
      </w:r>
      <w:r w:rsidR="000126F1">
        <w:t>se</w:t>
      </w:r>
      <w:r w:rsidR="00AD48F0">
        <w:t xml:space="preserve"> intermediate processes – i.e. the </w:t>
      </w:r>
      <w:r w:rsidR="00640D5D">
        <w:t>logic chain</w:t>
      </w:r>
      <w:r w:rsidR="00AD48F0">
        <w:t xml:space="preserve"> within the theory of change.  In general, the research community knows surprisingly little about the effects of interventions on educational disadvantage (</w:t>
      </w:r>
      <w:proofErr w:type="spellStart"/>
      <w:r w:rsidR="00AD48F0">
        <w:t>Gorard</w:t>
      </w:r>
      <w:proofErr w:type="spellEnd"/>
      <w:r w:rsidR="00AD48F0">
        <w:t xml:space="preserve"> and See, 2013).  Instead, much is assumed </w:t>
      </w:r>
      <w:r w:rsidR="00426188">
        <w:t xml:space="preserve">by practitioners </w:t>
      </w:r>
      <w:r w:rsidR="00AD48F0">
        <w:t xml:space="preserve">and it is in these areas of small change that evaluations focusing on </w:t>
      </w:r>
      <w:r w:rsidR="00C64B32">
        <w:t>causality</w:t>
      </w:r>
      <w:r w:rsidR="00AD48F0">
        <w:t xml:space="preserve"> might best be used.</w:t>
      </w:r>
    </w:p>
    <w:p w:rsidR="00C02D60" w:rsidRPr="00C02D60" w:rsidRDefault="00C02D60" w:rsidP="00C02D60">
      <w:pPr>
        <w:pStyle w:val="ListParagraph"/>
        <w:spacing w:line="360" w:lineRule="auto"/>
        <w:rPr>
          <w:b/>
        </w:rPr>
      </w:pPr>
    </w:p>
    <w:p w:rsidR="00C02D60" w:rsidRPr="00995C89" w:rsidRDefault="00210626" w:rsidP="009C37A4">
      <w:pPr>
        <w:pStyle w:val="ListParagraph"/>
        <w:numPr>
          <w:ilvl w:val="0"/>
          <w:numId w:val="3"/>
        </w:numPr>
        <w:spacing w:line="360" w:lineRule="auto"/>
        <w:rPr>
          <w:b/>
        </w:rPr>
      </w:pPr>
      <w:r>
        <w:rPr>
          <w:b/>
        </w:rPr>
        <w:t xml:space="preserve">Criticality about measurability.  </w:t>
      </w:r>
      <w:r>
        <w:t>While some of the measures used to understand widening participation are broadly reliable and valid (e.g. examination results</w:t>
      </w:r>
      <w:r w:rsidR="0041555D">
        <w:t xml:space="preserve"> or the submission of a university application</w:t>
      </w:r>
      <w:r>
        <w:t xml:space="preserve">), many are </w:t>
      </w:r>
      <w:r w:rsidR="0041555D">
        <w:t xml:space="preserve">more subjective and readily contestable.  In particular, evaluations often rely on </w:t>
      </w:r>
      <w:r w:rsidR="00AC16F3">
        <w:t xml:space="preserve">easily-collected </w:t>
      </w:r>
      <w:r w:rsidR="0041555D">
        <w:t>self-reports of attitudes and future intentions from young people (or teacher</w:t>
      </w:r>
      <w:r w:rsidR="0070326B">
        <w:t>s</w:t>
      </w:r>
      <w:r w:rsidR="0041555D">
        <w:t xml:space="preserve"> and parents)</w:t>
      </w:r>
      <w:r w:rsidR="00AC16F3">
        <w:t xml:space="preserve"> – measuring the measurable</w:t>
      </w:r>
      <w:r w:rsidR="00AF2A5D">
        <w:t>.  Validity here is very uncertain, especially given priming and social desirability effects</w:t>
      </w:r>
      <w:r w:rsidR="001F6655">
        <w:t xml:space="preserve">.  </w:t>
      </w:r>
      <w:r w:rsidR="00B728BB">
        <w:t xml:space="preserve">In order to ensure evaluation through measures with </w:t>
      </w:r>
      <w:r w:rsidR="001F6655">
        <w:t>strong re</w:t>
      </w:r>
      <w:r w:rsidR="00B728BB">
        <w:t>liability and internal validity</w:t>
      </w:r>
      <w:r w:rsidR="0070326B">
        <w:t>, we suggest</w:t>
      </w:r>
      <w:r w:rsidR="00B728BB">
        <w:t xml:space="preserve"> </w:t>
      </w:r>
      <w:r w:rsidR="001F6655">
        <w:t xml:space="preserve">eschewing attitudinal measures in favour of those based on knowledge or behaviours – </w:t>
      </w:r>
      <w:r w:rsidR="00973A39">
        <w:t>e.g.</w:t>
      </w:r>
      <w:r w:rsidR="001F6655">
        <w:t xml:space="preserve"> </w:t>
      </w:r>
      <w:r w:rsidR="00830A05">
        <w:t xml:space="preserve">asking about </w:t>
      </w:r>
      <w:r w:rsidR="00973A39">
        <w:t xml:space="preserve">the </w:t>
      </w:r>
      <w:r w:rsidR="00830A05">
        <w:t>number of university websites visited rather than a</w:t>
      </w:r>
      <w:r w:rsidR="000126F1">
        <w:t xml:space="preserve"> possible</w:t>
      </w:r>
      <w:r w:rsidR="00830A05">
        <w:t xml:space="preserve"> future intention to apply.</w:t>
      </w:r>
      <w:r w:rsidR="00973A39">
        <w:t xml:space="preserve">  Future research may be able to reveal which </w:t>
      </w:r>
      <w:r w:rsidR="0051549B">
        <w:t xml:space="preserve">of </w:t>
      </w:r>
      <w:r w:rsidR="00973A39">
        <w:t>such measures are strongly correlated with future behaviou</w:t>
      </w:r>
      <w:r w:rsidR="0051549B">
        <w:t>rs and can therefore be used as a proxy.</w:t>
      </w:r>
      <w:r w:rsidR="00B728BB">
        <w:t xml:space="preserve">  Greater use of pre/</w:t>
      </w:r>
      <w:r w:rsidR="00C37966">
        <w:t xml:space="preserve">post </w:t>
      </w:r>
      <w:r w:rsidR="00A16682">
        <w:t xml:space="preserve">and quasi-experimental </w:t>
      </w:r>
      <w:r w:rsidR="00C37966">
        <w:t xml:space="preserve">designs </w:t>
      </w:r>
      <w:r w:rsidR="00B728BB">
        <w:t>are also likely to support a more robust approach to</w:t>
      </w:r>
      <w:r w:rsidR="0001674B">
        <w:t xml:space="preserve"> the identification </w:t>
      </w:r>
      <w:r w:rsidR="00A16682">
        <w:t>of changes</w:t>
      </w:r>
      <w:r w:rsidR="00B728BB">
        <w:t>.</w:t>
      </w:r>
    </w:p>
    <w:p w:rsidR="00D511BA" w:rsidRPr="00D511BA" w:rsidRDefault="00D511BA" w:rsidP="00D511BA">
      <w:pPr>
        <w:ind w:left="360"/>
        <w:rPr>
          <w:b/>
        </w:rPr>
      </w:pPr>
    </w:p>
    <w:p w:rsidR="00EA7573" w:rsidRPr="00FE33DA" w:rsidRDefault="0019069B" w:rsidP="00FE33DA">
      <w:pPr>
        <w:pStyle w:val="ListParagraph"/>
        <w:numPr>
          <w:ilvl w:val="0"/>
          <w:numId w:val="3"/>
        </w:numPr>
        <w:spacing w:line="360" w:lineRule="auto"/>
        <w:rPr>
          <w:b/>
        </w:rPr>
      </w:pPr>
      <w:r w:rsidRPr="00FE33DA">
        <w:rPr>
          <w:b/>
        </w:rPr>
        <w:t>Using appropriate</w:t>
      </w:r>
      <w:r w:rsidR="001A1479" w:rsidRPr="00FE33DA">
        <w:rPr>
          <w:b/>
        </w:rPr>
        <w:t xml:space="preserve"> timescales.</w:t>
      </w:r>
      <w:r w:rsidR="00C4275D">
        <w:t xml:space="preserve">  </w:t>
      </w:r>
      <w:r>
        <w:t xml:space="preserve">There is a tension between evaluating individual activities over a short time period and evaluating whole programmes over very long periods, potentially measured in years.  </w:t>
      </w:r>
      <w:r w:rsidR="00FE33DA">
        <w:t xml:space="preserve">While the desire for the latter is understandable, we suggest that it is probably unattainable due to complexity and the dominance of the confounding factors in young people’s lives, as well as the difficulty in undertaking a </w:t>
      </w:r>
      <w:r w:rsidR="00FE33DA">
        <w:lastRenderedPageBreak/>
        <w:t xml:space="preserve">counterfactual analysis.  Where there certainly is value is in tracking young people’s attitudes at regular points in time, with appropriate distance from major activities to mitigate social desirability </w:t>
      </w:r>
      <w:r w:rsidR="00640D5D">
        <w:t xml:space="preserve">and priming </w:t>
      </w:r>
      <w:r w:rsidR="00FE33DA">
        <w:t xml:space="preserve">effects.  Instead, we suggest that evaluative efforts are </w:t>
      </w:r>
      <w:r w:rsidR="00C4275D">
        <w:t>focus</w:t>
      </w:r>
      <w:r w:rsidR="00FE33DA">
        <w:t>ed</w:t>
      </w:r>
      <w:r w:rsidR="00C4275D">
        <w:t xml:space="preserve"> </w:t>
      </w:r>
      <w:r w:rsidR="00EA7573">
        <w:t>on individual activities.  If a robust theory of change for each activity is evidenced and there is an overarching theory of change for the integrated programme, then there is unlikely to be a need to evaluate the programme as a whole – and efforts to do so are likely to be vexed for the reasons discussed above.  It is more important to have confidence in eac</w:t>
      </w:r>
      <w:r w:rsidR="001D662F">
        <w:t>h intervention in its own terms</w:t>
      </w:r>
      <w:r w:rsidR="00083E4D">
        <w:t>, relative to its theory of change</w:t>
      </w:r>
      <w:r w:rsidR="001D662F">
        <w:t>, especially in universities which employ a ‘pick and mix’ approach where young people receive a varying portfolio of activities built around their unique needs.</w:t>
      </w:r>
    </w:p>
    <w:p w:rsidR="00EA7573" w:rsidRPr="00EA7573" w:rsidRDefault="00EA7573" w:rsidP="00EA7573">
      <w:pPr>
        <w:rPr>
          <w:b/>
        </w:rPr>
      </w:pPr>
    </w:p>
    <w:p w:rsidR="00EA7573" w:rsidRPr="00324E99" w:rsidRDefault="00EA7573" w:rsidP="00EA7573">
      <w:pPr>
        <w:pStyle w:val="ListParagraph"/>
        <w:numPr>
          <w:ilvl w:val="0"/>
          <w:numId w:val="3"/>
        </w:numPr>
        <w:spacing w:line="360" w:lineRule="auto"/>
        <w:rPr>
          <w:b/>
        </w:rPr>
      </w:pPr>
      <w:r>
        <w:rPr>
          <w:b/>
        </w:rPr>
        <w:t xml:space="preserve">A focus on educational disadvantage.  </w:t>
      </w:r>
      <w:r>
        <w:t xml:space="preserve">Evidence is building that differences in participation rates between socioeconomic groups results from the </w:t>
      </w:r>
      <w:r w:rsidR="00710796">
        <w:t>ac</w:t>
      </w:r>
      <w:r>
        <w:t>cumulated educational disadvantages faced by some young people, rather than being an issue around aspirations in the late-teenage years (e.g. Crawford, 2014</w:t>
      </w:r>
      <w:r w:rsidR="00FE33DA">
        <w:t>; Whitty, Hayton and Tang, 2015</w:t>
      </w:r>
      <w:r>
        <w:t xml:space="preserve">).  As such, it is not only morally important that outreach should address </w:t>
      </w:r>
      <w:r w:rsidR="00FE33DA">
        <w:t xml:space="preserve">itself more directly </w:t>
      </w:r>
      <w:r>
        <w:t xml:space="preserve">to these structural inequalities, but it provides a useful distinction </w:t>
      </w:r>
      <w:r w:rsidR="00710796">
        <w:t xml:space="preserve">between </w:t>
      </w:r>
      <w:r w:rsidR="00E95BB1">
        <w:t>effectiveness</w:t>
      </w:r>
      <w:r w:rsidR="00710796">
        <w:t xml:space="preserve"> as conceived as challenging disadvantage as opposed to success in recruitment for a specific university</w:t>
      </w:r>
      <w:r w:rsidR="00E95BB1">
        <w:t>; w</w:t>
      </w:r>
      <w:r w:rsidR="000F775B">
        <w:t>e suggest that e</w:t>
      </w:r>
      <w:r w:rsidR="00191981">
        <w:t>valuation also need</w:t>
      </w:r>
      <w:r w:rsidR="00BA6C34">
        <w:t>s</w:t>
      </w:r>
      <w:r w:rsidR="00191981">
        <w:t xml:space="preserve"> to recognise this distinction.</w:t>
      </w:r>
      <w:r w:rsidR="00BA160D">
        <w:t xml:space="preserve">  Inequalities in attainment are clearly key, but other areas that have been somewhat neglected </w:t>
      </w:r>
      <w:r w:rsidR="009360C1">
        <w:t>include challenging negative expectations</w:t>
      </w:r>
      <w:r w:rsidR="00BB6C4F">
        <w:t xml:space="preserve"> from adults </w:t>
      </w:r>
      <w:r w:rsidR="000F775B">
        <w:t>surrounding</w:t>
      </w:r>
      <w:r w:rsidR="00BB6C4F">
        <w:t xml:space="preserve"> young people</w:t>
      </w:r>
      <w:r w:rsidR="009360C1">
        <w:t>, broadening career horizons</w:t>
      </w:r>
      <w:r w:rsidR="00BB6C4F">
        <w:t xml:space="preserve"> and providing high-quality </w:t>
      </w:r>
      <w:r w:rsidR="00175D28">
        <w:t xml:space="preserve">advice and </w:t>
      </w:r>
      <w:r w:rsidR="00BB6C4F">
        <w:t>guidance</w:t>
      </w:r>
      <w:r w:rsidR="00BD5C6F">
        <w:t xml:space="preserve"> (</w:t>
      </w:r>
      <w:r w:rsidR="005F723F" w:rsidRPr="005F723F">
        <w:rPr>
          <w:rFonts w:eastAsia="Times New Roman" w:cs="Arial"/>
          <w:color w:val="FF0000"/>
          <w:szCs w:val="24"/>
          <w:lang w:eastAsia="en-GB"/>
        </w:rPr>
        <w:t>removed for review</w:t>
      </w:r>
      <w:r w:rsidR="00BD5C6F">
        <w:t>).</w:t>
      </w:r>
    </w:p>
    <w:p w:rsidR="00505346" w:rsidRPr="00505346" w:rsidRDefault="00505346" w:rsidP="00505346">
      <w:pPr>
        <w:rPr>
          <w:b/>
        </w:rPr>
      </w:pPr>
    </w:p>
    <w:p w:rsidR="00324E99" w:rsidRDefault="00324E99" w:rsidP="00324E99">
      <w:pPr>
        <w:spacing w:line="360" w:lineRule="auto"/>
      </w:pPr>
    </w:p>
    <w:p w:rsidR="00324E99" w:rsidRDefault="00324E99" w:rsidP="00324E99">
      <w:pPr>
        <w:spacing w:line="360" w:lineRule="auto"/>
      </w:pPr>
      <w:r>
        <w:rPr>
          <w:b/>
        </w:rPr>
        <w:t>Conclusion</w:t>
      </w:r>
    </w:p>
    <w:p w:rsidR="00324E99" w:rsidRDefault="00324E99" w:rsidP="00324E99">
      <w:pPr>
        <w:spacing w:line="360" w:lineRule="auto"/>
      </w:pPr>
    </w:p>
    <w:p w:rsidR="00C0031A" w:rsidRDefault="00C0031A" w:rsidP="00324E99">
      <w:pPr>
        <w:spacing w:line="360" w:lineRule="auto"/>
      </w:pPr>
      <w:r>
        <w:t>This arti</w:t>
      </w:r>
      <w:r w:rsidR="006C5C34">
        <w:t>cle does not seek to provide a toolkit</w:t>
      </w:r>
      <w:r>
        <w:t xml:space="preserve"> for evaluation, but rather to identify challenges to be mitigated and principles that are likely to underpin effective evaluation practice</w:t>
      </w:r>
      <w:r w:rsidR="00EA1302">
        <w:t xml:space="preserve">.  We do not claim that </w:t>
      </w:r>
      <w:r w:rsidR="00640D5D">
        <w:t xml:space="preserve">the </w:t>
      </w:r>
      <w:r w:rsidR="00083E4D">
        <w:t>‘</w:t>
      </w:r>
      <w:r w:rsidR="00640D5D">
        <w:t>small steps</w:t>
      </w:r>
      <w:r w:rsidR="00083E4D">
        <w:t>’</w:t>
      </w:r>
      <w:r w:rsidR="00320E5D">
        <w:t xml:space="preserve"> </w:t>
      </w:r>
      <w:r w:rsidR="00640D5D">
        <w:t xml:space="preserve">approach we advocate </w:t>
      </w:r>
      <w:r w:rsidR="00320E5D">
        <w:t xml:space="preserve">provides a full solution to the vexed issues outlined in the first half of the article.  However, we do feel that </w:t>
      </w:r>
      <w:r w:rsidR="00640D5D">
        <w:t>it does</w:t>
      </w:r>
      <w:r w:rsidR="00320E5D">
        <w:t xml:space="preserve"> provide a sounder basis than the existing </w:t>
      </w:r>
      <w:r w:rsidR="00EA1302">
        <w:t xml:space="preserve">and emerging </w:t>
      </w:r>
      <w:r w:rsidR="00320E5D">
        <w:t>orthodoxies</w:t>
      </w:r>
      <w:r w:rsidR="000A218D">
        <w:t xml:space="preserve"> with their focus on excessive timeframes or certifying ‘the best’ interventions</w:t>
      </w:r>
      <w:r w:rsidR="00320E5D">
        <w:t xml:space="preserve">.  </w:t>
      </w:r>
      <w:r>
        <w:t>Per</w:t>
      </w:r>
      <w:r w:rsidR="00320E5D">
        <w:t>haps the most important element</w:t>
      </w:r>
      <w:r>
        <w:t xml:space="preserve"> of this </w:t>
      </w:r>
      <w:r w:rsidR="00320E5D">
        <w:t>is</w:t>
      </w:r>
      <w:r>
        <w:t xml:space="preserve"> the focus on the </w:t>
      </w:r>
      <w:r w:rsidR="006C5C34">
        <w:t xml:space="preserve">social and individual </w:t>
      </w:r>
      <w:r>
        <w:t xml:space="preserve">theory of change </w:t>
      </w:r>
      <w:r w:rsidR="00320E5D">
        <w:t xml:space="preserve">embodied within an </w:t>
      </w:r>
      <w:r w:rsidR="006C5C34">
        <w:t>activity</w:t>
      </w:r>
      <w:r w:rsidR="00BC19E9">
        <w:t>.</w:t>
      </w:r>
      <w:r w:rsidR="00320E5D">
        <w:t xml:space="preserve">  In particular, our approach respects the role of </w:t>
      </w:r>
      <w:r w:rsidR="00320E5D">
        <w:lastRenderedPageBreak/>
        <w:t xml:space="preserve">practitioners as reflective professionals who, with help from evaluators, can </w:t>
      </w:r>
      <w:r w:rsidR="006C5C34">
        <w:t>refine</w:t>
      </w:r>
      <w:r w:rsidR="00320E5D">
        <w:t xml:space="preserve"> their theories of change and the </w:t>
      </w:r>
      <w:r w:rsidR="006C5C34">
        <w:t>resulting</w:t>
      </w:r>
      <w:r w:rsidR="00320E5D">
        <w:t xml:space="preserve"> practices.</w:t>
      </w:r>
    </w:p>
    <w:p w:rsidR="00DA1C97" w:rsidRDefault="00DA1C97" w:rsidP="00324E99">
      <w:pPr>
        <w:spacing w:line="360" w:lineRule="auto"/>
      </w:pPr>
    </w:p>
    <w:p w:rsidR="00BC19E9" w:rsidRDefault="00DA1C97" w:rsidP="00324E99">
      <w:pPr>
        <w:spacing w:line="360" w:lineRule="auto"/>
      </w:pPr>
      <w:r>
        <w:t xml:space="preserve">We have contextualised our </w:t>
      </w:r>
      <w:r w:rsidR="00640D5D">
        <w:t>s</w:t>
      </w:r>
      <w:r>
        <w:t xml:space="preserve">mall </w:t>
      </w:r>
      <w:r w:rsidR="00640D5D">
        <w:t>s</w:t>
      </w:r>
      <w:r>
        <w:t>teps approach within a peri</w:t>
      </w:r>
      <w:r w:rsidR="00EA1302">
        <w:t>od of policy that is marked by what we have typified as a</w:t>
      </w:r>
      <w:r>
        <w:t xml:space="preserve"> </w:t>
      </w:r>
      <w:r w:rsidR="00EA1302">
        <w:t>‘</w:t>
      </w:r>
      <w:r>
        <w:t>confusion of successes</w:t>
      </w:r>
      <w:r w:rsidR="00EA1302">
        <w:t>’</w:t>
      </w:r>
      <w:r>
        <w:t>.  On the one hand, the recent White Paper (BIS, 2016) commits to doubl</w:t>
      </w:r>
      <w:r w:rsidR="000A218D">
        <w:t xml:space="preserve">ing participation rates for </w:t>
      </w:r>
      <w:r>
        <w:t>disadvantaged young people, however the main policy lever</w:t>
      </w:r>
      <w:r w:rsidR="000A218D">
        <w:t>s</w:t>
      </w:r>
      <w:r w:rsidR="00B5306C">
        <w:t xml:space="preserve"> used</w:t>
      </w:r>
      <w:r>
        <w:t xml:space="preserve"> on </w:t>
      </w:r>
      <w:r w:rsidR="00BC19E9">
        <w:t xml:space="preserve">individual </w:t>
      </w:r>
      <w:r>
        <w:t xml:space="preserve">universities </w:t>
      </w:r>
      <w:r w:rsidR="000A218D">
        <w:t xml:space="preserve">instils </w:t>
      </w:r>
      <w:r>
        <w:t xml:space="preserve">a competitive </w:t>
      </w:r>
      <w:r w:rsidR="00880B4E">
        <w:t xml:space="preserve">market where targets can just as easily be met by </w:t>
      </w:r>
      <w:r w:rsidR="00640D5D">
        <w:t xml:space="preserve">targeted </w:t>
      </w:r>
      <w:r w:rsidR="00880B4E">
        <w:t>recruitment activities as those designed to challenge educational inequalities.</w:t>
      </w:r>
      <w:r w:rsidR="00B05D41">
        <w:t xml:space="preserve">  </w:t>
      </w:r>
      <w:r w:rsidR="00B5306C">
        <w:t>W</w:t>
      </w:r>
      <w:r w:rsidR="00B05D41">
        <w:t xml:space="preserve">e believe this </w:t>
      </w:r>
      <w:r w:rsidR="00E74E72">
        <w:t>risks distorting</w:t>
      </w:r>
      <w:r w:rsidR="00B05D41">
        <w:t xml:space="preserve"> evaluation activity to focus on attempts to demonstrate value-for-money against </w:t>
      </w:r>
      <w:r w:rsidR="00BC19E9">
        <w:t xml:space="preserve">simplistic and </w:t>
      </w:r>
      <w:r w:rsidR="00320E5D">
        <w:t>inward-looking institutional</w:t>
      </w:r>
      <w:r w:rsidR="006C5C34">
        <w:t xml:space="preserve"> recruitment</w:t>
      </w:r>
      <w:r w:rsidR="00B05D41">
        <w:t xml:space="preserve"> outcomes</w:t>
      </w:r>
      <w:r w:rsidR="007A788D">
        <w:t xml:space="preserve"> (</w:t>
      </w:r>
      <w:r w:rsidR="005F723F" w:rsidRPr="005F723F">
        <w:rPr>
          <w:rFonts w:eastAsia="Times New Roman" w:cs="Arial"/>
          <w:color w:val="FF0000"/>
          <w:szCs w:val="24"/>
          <w:lang w:eastAsia="en-GB"/>
        </w:rPr>
        <w:t>removed for review</w:t>
      </w:r>
      <w:r w:rsidR="007A788D">
        <w:t>)</w:t>
      </w:r>
      <w:r w:rsidR="00B05D41">
        <w:t>.</w:t>
      </w:r>
      <w:r w:rsidR="007A788D">
        <w:t xml:space="preserve">  Our final point, then, is to encourage practitioners to refocus their evaluative efforts back on effectiveness in </w:t>
      </w:r>
      <w:r w:rsidR="00BC19E9">
        <w:t xml:space="preserve">addressing </w:t>
      </w:r>
      <w:r w:rsidR="006C5C34">
        <w:t>structural</w:t>
      </w:r>
      <w:r w:rsidR="00DB0414">
        <w:t xml:space="preserve"> educational </w:t>
      </w:r>
      <w:r w:rsidR="00BC19E9">
        <w:t>inequalities</w:t>
      </w:r>
      <w:r w:rsidR="007A788D">
        <w:t xml:space="preserve">, in particular through </w:t>
      </w:r>
      <w:r w:rsidR="00320E5D">
        <w:t>improv</w:t>
      </w:r>
      <w:r w:rsidR="007A788D">
        <w:t>ing</w:t>
      </w:r>
      <w:r w:rsidR="00CC75F3">
        <w:t xml:space="preserve"> young people’s</w:t>
      </w:r>
      <w:r w:rsidR="00320E5D">
        <w:t xml:space="preserve"> attainment,</w:t>
      </w:r>
      <w:r w:rsidR="00CC7B74">
        <w:t xml:space="preserve"> broaden</w:t>
      </w:r>
      <w:r w:rsidR="007A788D">
        <w:t>ing</w:t>
      </w:r>
      <w:r w:rsidR="00CC7B74">
        <w:t xml:space="preserve"> the</w:t>
      </w:r>
      <w:r w:rsidR="00E74E72">
        <w:t xml:space="preserve"> educational and occupational</w:t>
      </w:r>
      <w:r w:rsidR="00CC7B74">
        <w:t xml:space="preserve"> </w:t>
      </w:r>
      <w:r w:rsidR="00E74E72">
        <w:t>opportunities</w:t>
      </w:r>
      <w:r w:rsidR="00CC7B74">
        <w:t xml:space="preserve"> available to them</w:t>
      </w:r>
      <w:r w:rsidR="00320E5D">
        <w:t xml:space="preserve"> and </w:t>
      </w:r>
      <w:r w:rsidR="007A788D">
        <w:t>offering</w:t>
      </w:r>
      <w:r w:rsidR="00320E5D">
        <w:t xml:space="preserve"> </w:t>
      </w:r>
      <w:r w:rsidR="007A788D">
        <w:t xml:space="preserve">guidance to help </w:t>
      </w:r>
      <w:r w:rsidR="00320E5D">
        <w:t>them realise their ambitions.</w:t>
      </w:r>
    </w:p>
    <w:p w:rsidR="00013261" w:rsidRDefault="00013261" w:rsidP="00324E99">
      <w:pPr>
        <w:spacing w:line="360" w:lineRule="auto"/>
      </w:pPr>
    </w:p>
    <w:p w:rsidR="00013261" w:rsidRDefault="00013261">
      <w:r>
        <w:br w:type="page"/>
      </w:r>
    </w:p>
    <w:p w:rsidR="00013261" w:rsidRDefault="00013261" w:rsidP="00324E99">
      <w:pPr>
        <w:spacing w:line="360" w:lineRule="auto"/>
        <w:rPr>
          <w:b/>
        </w:rPr>
      </w:pPr>
      <w:r w:rsidRPr="00013261">
        <w:rPr>
          <w:b/>
        </w:rPr>
        <w:lastRenderedPageBreak/>
        <w:t>References</w:t>
      </w:r>
    </w:p>
    <w:p w:rsidR="00013261" w:rsidRDefault="00013261" w:rsidP="00324E99">
      <w:pPr>
        <w:spacing w:line="360" w:lineRule="auto"/>
        <w:rPr>
          <w:b/>
        </w:rPr>
      </w:pPr>
    </w:p>
    <w:p w:rsidR="000F54DB" w:rsidRDefault="000F54DB" w:rsidP="000F54DB">
      <w:pPr>
        <w:spacing w:line="360" w:lineRule="auto"/>
        <w:ind w:left="426" w:hanging="426"/>
        <w:rPr>
          <w:color w:val="000000"/>
          <w:szCs w:val="24"/>
        </w:rPr>
      </w:pPr>
      <w:r>
        <w:rPr>
          <w:color w:val="000000"/>
          <w:szCs w:val="20"/>
        </w:rPr>
        <w:t xml:space="preserve">Bickman, L. and S. Reich. 2009. Randomized controlled trials: a gold standard with feet of clay? In S. </w:t>
      </w:r>
      <w:r>
        <w:rPr>
          <w:color w:val="000000"/>
          <w:szCs w:val="24"/>
        </w:rPr>
        <w:t xml:space="preserve">Donaldson, C. Christie and M. Mark (eds.) </w:t>
      </w:r>
      <w:r>
        <w:rPr>
          <w:i/>
          <w:color w:val="000000"/>
          <w:szCs w:val="24"/>
        </w:rPr>
        <w:t>What counts as credible evidence in applied research and evaluation practice?</w:t>
      </w:r>
      <w:r>
        <w:rPr>
          <w:color w:val="000000"/>
          <w:szCs w:val="24"/>
        </w:rPr>
        <w:t xml:space="preserve"> Thousand Oaks: Sage. </w:t>
      </w:r>
    </w:p>
    <w:p w:rsidR="008E5D39" w:rsidRDefault="008E5D39" w:rsidP="000F54DB">
      <w:pPr>
        <w:spacing w:line="360" w:lineRule="auto"/>
        <w:ind w:left="426" w:hanging="426"/>
        <w:rPr>
          <w:color w:val="000000"/>
          <w:szCs w:val="24"/>
        </w:rPr>
      </w:pPr>
      <w:proofErr w:type="spellStart"/>
      <w:r>
        <w:rPr>
          <w:color w:val="000000"/>
          <w:szCs w:val="24"/>
        </w:rPr>
        <w:t>Boag</w:t>
      </w:r>
      <w:proofErr w:type="spellEnd"/>
      <w:r>
        <w:rPr>
          <w:color w:val="000000"/>
          <w:szCs w:val="24"/>
        </w:rPr>
        <w:t xml:space="preserve">-Munroe, G. and M. </w:t>
      </w:r>
      <w:proofErr w:type="spellStart"/>
      <w:r>
        <w:rPr>
          <w:color w:val="000000"/>
          <w:szCs w:val="24"/>
        </w:rPr>
        <w:t>Evangelou</w:t>
      </w:r>
      <w:proofErr w:type="spellEnd"/>
      <w:r>
        <w:rPr>
          <w:color w:val="000000"/>
          <w:szCs w:val="24"/>
        </w:rPr>
        <w:t xml:space="preserve">. 2012. </w:t>
      </w:r>
      <w:r w:rsidRPr="008E5D39">
        <w:rPr>
          <w:color w:val="000000"/>
          <w:szCs w:val="24"/>
        </w:rPr>
        <w:t>From hard to reach to how to reach: A systematic review of the literature on hard-to-reach families</w:t>
      </w:r>
      <w:r>
        <w:rPr>
          <w:color w:val="000000"/>
          <w:szCs w:val="24"/>
        </w:rPr>
        <w:t xml:space="preserve">. </w:t>
      </w:r>
      <w:r>
        <w:rPr>
          <w:i/>
          <w:color w:val="000000"/>
          <w:szCs w:val="24"/>
        </w:rPr>
        <w:t>Research Papers in Education</w:t>
      </w:r>
      <w:r>
        <w:rPr>
          <w:color w:val="000000"/>
          <w:szCs w:val="24"/>
        </w:rPr>
        <w:t xml:space="preserve"> 27(2): 209-239.</w:t>
      </w:r>
    </w:p>
    <w:p w:rsidR="001B6DA1" w:rsidRPr="001B6DA1" w:rsidRDefault="001B6DA1" w:rsidP="000F54DB">
      <w:pPr>
        <w:spacing w:line="360" w:lineRule="auto"/>
        <w:ind w:left="426" w:hanging="426"/>
        <w:rPr>
          <w:color w:val="000000"/>
          <w:szCs w:val="24"/>
        </w:rPr>
      </w:pPr>
      <w:r>
        <w:rPr>
          <w:color w:val="000000"/>
          <w:szCs w:val="24"/>
        </w:rPr>
        <w:t>Bowman, N. and T. Seifert. 2011. Can c</w:t>
      </w:r>
      <w:r w:rsidRPr="001B6DA1">
        <w:rPr>
          <w:color w:val="000000"/>
          <w:szCs w:val="24"/>
        </w:rPr>
        <w:t xml:space="preserve">ollege </w:t>
      </w:r>
      <w:r>
        <w:rPr>
          <w:color w:val="000000"/>
          <w:szCs w:val="24"/>
        </w:rPr>
        <w:t>s</w:t>
      </w:r>
      <w:r w:rsidRPr="001B6DA1">
        <w:rPr>
          <w:color w:val="000000"/>
          <w:szCs w:val="24"/>
        </w:rPr>
        <w:t xml:space="preserve">tudents </w:t>
      </w:r>
      <w:r>
        <w:rPr>
          <w:color w:val="000000"/>
          <w:szCs w:val="24"/>
        </w:rPr>
        <w:t>a</w:t>
      </w:r>
      <w:r w:rsidRPr="001B6DA1">
        <w:rPr>
          <w:color w:val="000000"/>
          <w:szCs w:val="24"/>
        </w:rPr>
        <w:t xml:space="preserve">ccurately </w:t>
      </w:r>
      <w:r>
        <w:rPr>
          <w:color w:val="000000"/>
          <w:szCs w:val="24"/>
        </w:rPr>
        <w:t>a</w:t>
      </w:r>
      <w:r w:rsidRPr="001B6DA1">
        <w:rPr>
          <w:color w:val="000000"/>
          <w:szCs w:val="24"/>
        </w:rPr>
        <w:t xml:space="preserve">ssess </w:t>
      </w:r>
      <w:r>
        <w:rPr>
          <w:color w:val="000000"/>
          <w:szCs w:val="24"/>
        </w:rPr>
        <w:t>w</w:t>
      </w:r>
      <w:r w:rsidRPr="001B6DA1">
        <w:rPr>
          <w:color w:val="000000"/>
          <w:szCs w:val="24"/>
        </w:rPr>
        <w:t xml:space="preserve">hat </w:t>
      </w:r>
      <w:r>
        <w:rPr>
          <w:color w:val="000000"/>
          <w:szCs w:val="24"/>
        </w:rPr>
        <w:t>affects t</w:t>
      </w:r>
      <w:r w:rsidRPr="001B6DA1">
        <w:rPr>
          <w:color w:val="000000"/>
          <w:szCs w:val="24"/>
        </w:rPr>
        <w:t xml:space="preserve">heir </w:t>
      </w:r>
      <w:r>
        <w:rPr>
          <w:color w:val="000000"/>
          <w:szCs w:val="24"/>
        </w:rPr>
        <w:t>l</w:t>
      </w:r>
      <w:r w:rsidRPr="001B6DA1">
        <w:rPr>
          <w:color w:val="000000"/>
          <w:szCs w:val="24"/>
        </w:rPr>
        <w:t xml:space="preserve">earning and </w:t>
      </w:r>
      <w:r>
        <w:rPr>
          <w:color w:val="000000"/>
          <w:szCs w:val="24"/>
        </w:rPr>
        <w:t>d</w:t>
      </w:r>
      <w:r w:rsidRPr="001B6DA1">
        <w:rPr>
          <w:color w:val="000000"/>
          <w:szCs w:val="24"/>
        </w:rPr>
        <w:t>evelopment?</w:t>
      </w:r>
      <w:r>
        <w:rPr>
          <w:color w:val="000000"/>
          <w:szCs w:val="24"/>
        </w:rPr>
        <w:t xml:space="preserve"> </w:t>
      </w:r>
      <w:r>
        <w:rPr>
          <w:i/>
          <w:color w:val="000000"/>
          <w:szCs w:val="24"/>
        </w:rPr>
        <w:t>Journal of College Student Development</w:t>
      </w:r>
      <w:r>
        <w:rPr>
          <w:color w:val="000000"/>
          <w:szCs w:val="24"/>
        </w:rPr>
        <w:t xml:space="preserve"> 52(3): 270-290.</w:t>
      </w:r>
    </w:p>
    <w:p w:rsidR="004875A9" w:rsidRDefault="004875A9" w:rsidP="004875A9">
      <w:pPr>
        <w:autoSpaceDE w:val="0"/>
        <w:autoSpaceDN w:val="0"/>
        <w:adjustRightInd w:val="0"/>
        <w:spacing w:line="360" w:lineRule="auto"/>
        <w:ind w:left="284" w:hanging="284"/>
        <w:rPr>
          <w:color w:val="000000"/>
          <w:szCs w:val="20"/>
        </w:rPr>
      </w:pPr>
      <w:r>
        <w:rPr>
          <w:color w:val="000000"/>
          <w:szCs w:val="20"/>
        </w:rPr>
        <w:t>Crawford, C. 2014.</w:t>
      </w:r>
      <w:r w:rsidRPr="000276EB">
        <w:rPr>
          <w:color w:val="000000"/>
          <w:szCs w:val="20"/>
        </w:rPr>
        <w:t xml:space="preserve"> </w:t>
      </w:r>
      <w:r w:rsidRPr="000276EB">
        <w:rPr>
          <w:i/>
          <w:iCs/>
          <w:color w:val="000000"/>
          <w:szCs w:val="20"/>
        </w:rPr>
        <w:t>The link between secondary school characteristics and university participation and outcomes</w:t>
      </w:r>
      <w:r w:rsidRPr="000276EB">
        <w:rPr>
          <w:color w:val="000000"/>
          <w:szCs w:val="20"/>
        </w:rPr>
        <w:t>.  London: DFE.</w:t>
      </w:r>
    </w:p>
    <w:p w:rsidR="00ED3CA4" w:rsidRPr="00ED3CA4" w:rsidRDefault="00ED3CA4" w:rsidP="004875A9">
      <w:pPr>
        <w:autoSpaceDE w:val="0"/>
        <w:autoSpaceDN w:val="0"/>
        <w:adjustRightInd w:val="0"/>
        <w:spacing w:line="360" w:lineRule="auto"/>
        <w:ind w:left="284" w:hanging="284"/>
        <w:rPr>
          <w:color w:val="000000"/>
          <w:szCs w:val="20"/>
        </w:rPr>
      </w:pPr>
      <w:proofErr w:type="spellStart"/>
      <w:r>
        <w:rPr>
          <w:color w:val="000000"/>
          <w:szCs w:val="20"/>
        </w:rPr>
        <w:t>Croll</w:t>
      </w:r>
      <w:proofErr w:type="spellEnd"/>
      <w:r>
        <w:rPr>
          <w:color w:val="000000"/>
          <w:szCs w:val="20"/>
        </w:rPr>
        <w:t xml:space="preserve">, P. and Attwood, G. 2013. Participation in higher education: aspirations, attainment and social background. </w:t>
      </w:r>
      <w:r>
        <w:rPr>
          <w:i/>
          <w:color w:val="000000"/>
          <w:szCs w:val="20"/>
        </w:rPr>
        <w:t>British Journal of Educational Studies</w:t>
      </w:r>
      <w:r>
        <w:rPr>
          <w:color w:val="000000"/>
          <w:szCs w:val="20"/>
        </w:rPr>
        <w:t xml:space="preserve"> 61(2): 187-202.</w:t>
      </w:r>
    </w:p>
    <w:p w:rsidR="00013261" w:rsidRPr="0025258A" w:rsidRDefault="00013261" w:rsidP="00854ED3">
      <w:pPr>
        <w:spacing w:line="360" w:lineRule="auto"/>
        <w:ind w:left="426" w:hanging="426"/>
        <w:rPr>
          <w:color w:val="000000"/>
          <w:szCs w:val="24"/>
        </w:rPr>
      </w:pPr>
      <w:r w:rsidRPr="0025258A">
        <w:rPr>
          <w:rFonts w:eastAsia="Times New Roman" w:cs="Times New Roman"/>
          <w:szCs w:val="24"/>
          <w:lang w:eastAsia="en-GB"/>
        </w:rPr>
        <w:t xml:space="preserve">Department for Business, Innovation and Skills [BIS]. 2014. </w:t>
      </w:r>
      <w:r w:rsidRPr="00854ED3">
        <w:rPr>
          <w:rFonts w:eastAsia="Times New Roman" w:cs="Times New Roman"/>
          <w:i/>
          <w:szCs w:val="24"/>
          <w:lang w:eastAsia="en-GB"/>
        </w:rPr>
        <w:t xml:space="preserve">National strategy for access and student success in higher education. </w:t>
      </w:r>
      <w:r w:rsidRPr="0025258A">
        <w:rPr>
          <w:rFonts w:eastAsia="Times New Roman" w:cs="Times New Roman"/>
          <w:szCs w:val="24"/>
          <w:lang w:eastAsia="en-GB"/>
        </w:rPr>
        <w:t xml:space="preserve">London: BIS. </w:t>
      </w:r>
    </w:p>
    <w:p w:rsidR="004875A9" w:rsidRDefault="00013261" w:rsidP="004875A9">
      <w:pPr>
        <w:spacing w:line="360" w:lineRule="auto"/>
        <w:ind w:left="426" w:hanging="426"/>
        <w:rPr>
          <w:color w:val="000000"/>
          <w:szCs w:val="24"/>
        </w:rPr>
      </w:pPr>
      <w:r>
        <w:rPr>
          <w:color w:val="000000"/>
          <w:szCs w:val="24"/>
        </w:rPr>
        <w:t xml:space="preserve">Department for Business, Innovation and Skills [BIS]. 2016. </w:t>
      </w:r>
      <w:r>
        <w:rPr>
          <w:rStyle w:val="Emphasis"/>
          <w:bCs/>
        </w:rPr>
        <w:t>Success as a k</w:t>
      </w:r>
      <w:r w:rsidRPr="0025258A">
        <w:rPr>
          <w:rStyle w:val="Emphasis"/>
          <w:bCs/>
        </w:rPr>
        <w:t xml:space="preserve">nowledge </w:t>
      </w:r>
      <w:r>
        <w:rPr>
          <w:rStyle w:val="Emphasis"/>
          <w:bCs/>
        </w:rPr>
        <w:t>economy: teaching e</w:t>
      </w:r>
      <w:r w:rsidRPr="0025258A">
        <w:rPr>
          <w:rStyle w:val="Emphasis"/>
          <w:bCs/>
        </w:rPr>
        <w:t xml:space="preserve">xcellence, </w:t>
      </w:r>
      <w:r>
        <w:rPr>
          <w:rStyle w:val="Emphasis"/>
          <w:bCs/>
        </w:rPr>
        <w:t>social m</w:t>
      </w:r>
      <w:r w:rsidRPr="0025258A">
        <w:rPr>
          <w:rStyle w:val="Emphasis"/>
          <w:bCs/>
        </w:rPr>
        <w:t xml:space="preserve">obility and </w:t>
      </w:r>
      <w:r>
        <w:rPr>
          <w:rStyle w:val="Emphasis"/>
          <w:bCs/>
        </w:rPr>
        <w:t>s</w:t>
      </w:r>
      <w:r w:rsidRPr="0025258A">
        <w:rPr>
          <w:rStyle w:val="Emphasis"/>
          <w:bCs/>
        </w:rPr>
        <w:t xml:space="preserve">tudent </w:t>
      </w:r>
      <w:r>
        <w:rPr>
          <w:rStyle w:val="Emphasis"/>
          <w:bCs/>
        </w:rPr>
        <w:t>c</w:t>
      </w:r>
      <w:r w:rsidRPr="0025258A">
        <w:rPr>
          <w:rStyle w:val="Emphasis"/>
          <w:bCs/>
        </w:rPr>
        <w:t>hoice.</w:t>
      </w:r>
      <w:r>
        <w:rPr>
          <w:color w:val="000000"/>
          <w:szCs w:val="24"/>
        </w:rPr>
        <w:t xml:space="preserve"> London: BIS.</w:t>
      </w:r>
    </w:p>
    <w:p w:rsidR="00D77F17" w:rsidRPr="00D77F17" w:rsidRDefault="00D77F17" w:rsidP="004875A9">
      <w:pPr>
        <w:spacing w:line="360" w:lineRule="auto"/>
        <w:ind w:left="426" w:hanging="426"/>
        <w:rPr>
          <w:color w:val="000000"/>
          <w:szCs w:val="24"/>
        </w:rPr>
      </w:pPr>
      <w:r>
        <w:rPr>
          <w:color w:val="000000"/>
          <w:szCs w:val="24"/>
        </w:rPr>
        <w:t xml:space="preserve">Department for Education and Employment. 2000. </w:t>
      </w:r>
      <w:r>
        <w:rPr>
          <w:i/>
          <w:color w:val="000000"/>
          <w:szCs w:val="24"/>
        </w:rPr>
        <w:t>The Excellence Challenge</w:t>
      </w:r>
      <w:r>
        <w:rPr>
          <w:color w:val="000000"/>
          <w:szCs w:val="24"/>
        </w:rPr>
        <w:t>. London: DFEE.</w:t>
      </w:r>
    </w:p>
    <w:p w:rsidR="00205610" w:rsidRDefault="00205610" w:rsidP="004875A9">
      <w:pPr>
        <w:spacing w:line="360" w:lineRule="auto"/>
        <w:ind w:left="426" w:hanging="426"/>
        <w:rPr>
          <w:color w:val="000000"/>
          <w:szCs w:val="24"/>
        </w:rPr>
      </w:pPr>
      <w:r>
        <w:rPr>
          <w:color w:val="000000"/>
          <w:szCs w:val="24"/>
        </w:rPr>
        <w:t xml:space="preserve">Donaldson, S., Christie, C. and Mark, M. (eds.) 2009. </w:t>
      </w:r>
      <w:r>
        <w:rPr>
          <w:i/>
          <w:color w:val="000000"/>
          <w:szCs w:val="24"/>
        </w:rPr>
        <w:t xml:space="preserve">What counts as </w:t>
      </w:r>
      <w:r w:rsidR="00F06FA4">
        <w:rPr>
          <w:i/>
          <w:color w:val="000000"/>
          <w:szCs w:val="24"/>
        </w:rPr>
        <w:t>credible evidence in applied</w:t>
      </w:r>
      <w:r>
        <w:rPr>
          <w:i/>
          <w:color w:val="000000"/>
          <w:szCs w:val="24"/>
        </w:rPr>
        <w:t xml:space="preserve"> research and evaluation practice?</w:t>
      </w:r>
      <w:r>
        <w:rPr>
          <w:color w:val="000000"/>
          <w:szCs w:val="24"/>
        </w:rPr>
        <w:t xml:space="preserve"> Thousand Oaks: Sage. </w:t>
      </w:r>
    </w:p>
    <w:p w:rsidR="00FC3ACF" w:rsidRPr="00F2414A" w:rsidRDefault="00FC3ACF" w:rsidP="00F2414A">
      <w:pPr>
        <w:spacing w:line="360" w:lineRule="auto"/>
        <w:ind w:left="426" w:hanging="426"/>
        <w:rPr>
          <w:color w:val="000000"/>
          <w:szCs w:val="24"/>
        </w:rPr>
      </w:pPr>
      <w:r>
        <w:rPr>
          <w:color w:val="000000"/>
          <w:szCs w:val="24"/>
        </w:rPr>
        <w:t xml:space="preserve">Doyle, </w:t>
      </w:r>
      <w:r w:rsidR="00F2414A">
        <w:rPr>
          <w:color w:val="000000"/>
          <w:szCs w:val="24"/>
        </w:rPr>
        <w:t xml:space="preserve">M. and M. Griffin. 2012. </w:t>
      </w:r>
      <w:r w:rsidR="00F2414A" w:rsidRPr="00F2414A">
        <w:rPr>
          <w:color w:val="000000"/>
          <w:szCs w:val="24"/>
        </w:rPr>
        <w:t>Raised aspirations and attain</w:t>
      </w:r>
      <w:r w:rsidR="00F2414A">
        <w:rPr>
          <w:color w:val="000000"/>
          <w:szCs w:val="24"/>
        </w:rPr>
        <w:t xml:space="preserve">ment? A review of the impact of </w:t>
      </w:r>
      <w:r w:rsidR="00F2414A" w:rsidRPr="00F2414A">
        <w:rPr>
          <w:color w:val="000000"/>
          <w:szCs w:val="24"/>
        </w:rPr>
        <w:t>Aimhigher (2004–2011) on w</w:t>
      </w:r>
      <w:r w:rsidR="00F2414A">
        <w:rPr>
          <w:color w:val="000000"/>
          <w:szCs w:val="24"/>
        </w:rPr>
        <w:t xml:space="preserve">idening participation in higher </w:t>
      </w:r>
      <w:r w:rsidR="00F2414A" w:rsidRPr="00F2414A">
        <w:rPr>
          <w:color w:val="000000"/>
          <w:szCs w:val="24"/>
        </w:rPr>
        <w:t>education in England</w:t>
      </w:r>
      <w:r w:rsidR="00F2414A">
        <w:rPr>
          <w:color w:val="000000"/>
          <w:szCs w:val="24"/>
        </w:rPr>
        <w:t xml:space="preserve">. </w:t>
      </w:r>
      <w:r w:rsidR="00F2414A">
        <w:rPr>
          <w:i/>
          <w:color w:val="000000"/>
          <w:szCs w:val="24"/>
        </w:rPr>
        <w:t>London Review of Education</w:t>
      </w:r>
      <w:r w:rsidR="00F2414A">
        <w:rPr>
          <w:color w:val="000000"/>
          <w:szCs w:val="24"/>
        </w:rPr>
        <w:t xml:space="preserve"> 10(1): 75-88.</w:t>
      </w:r>
    </w:p>
    <w:p w:rsidR="000C5D45" w:rsidRDefault="000C5D45" w:rsidP="004875A9">
      <w:pPr>
        <w:spacing w:line="360" w:lineRule="auto"/>
        <w:ind w:left="426" w:hanging="426"/>
      </w:pPr>
      <w:r>
        <w:t xml:space="preserve">Fuller, C. 2014. Social capital and the role of trust in aspirations for higher education. </w:t>
      </w:r>
      <w:r>
        <w:rPr>
          <w:i/>
          <w:iCs/>
        </w:rPr>
        <w:t>Educational Review</w:t>
      </w:r>
      <w:r>
        <w:t xml:space="preserve">, </w:t>
      </w:r>
      <w:r w:rsidRPr="000C5D45">
        <w:rPr>
          <w:iCs/>
        </w:rPr>
        <w:t>66</w:t>
      </w:r>
      <w:r>
        <w:t>(2): 131-147.</w:t>
      </w:r>
    </w:p>
    <w:p w:rsidR="00FC3ACF" w:rsidRPr="00F2414A" w:rsidRDefault="00F2414A" w:rsidP="00F2414A">
      <w:pPr>
        <w:spacing w:line="360" w:lineRule="auto"/>
        <w:ind w:left="426" w:hanging="426"/>
        <w:rPr>
          <w:rFonts w:cs="Times New Roman"/>
          <w:szCs w:val="24"/>
        </w:rPr>
      </w:pPr>
      <w:proofErr w:type="spellStart"/>
      <w:r w:rsidRPr="004618E6">
        <w:rPr>
          <w:rFonts w:cs="Times New Roman"/>
          <w:szCs w:val="24"/>
        </w:rPr>
        <w:t>Gorard</w:t>
      </w:r>
      <w:proofErr w:type="spellEnd"/>
      <w:r w:rsidRPr="004618E6">
        <w:rPr>
          <w:rFonts w:cs="Times New Roman"/>
          <w:szCs w:val="24"/>
        </w:rPr>
        <w:t xml:space="preserve">, S., </w:t>
      </w:r>
      <w:r>
        <w:rPr>
          <w:rFonts w:cs="Times New Roman"/>
          <w:szCs w:val="24"/>
        </w:rPr>
        <w:t xml:space="preserve">N. </w:t>
      </w:r>
      <w:proofErr w:type="spellStart"/>
      <w:r w:rsidRPr="004618E6">
        <w:rPr>
          <w:rFonts w:cs="Times New Roman"/>
          <w:szCs w:val="24"/>
        </w:rPr>
        <w:t>Adnett</w:t>
      </w:r>
      <w:proofErr w:type="spellEnd"/>
      <w:r>
        <w:rPr>
          <w:rFonts w:cs="Times New Roman"/>
          <w:szCs w:val="24"/>
        </w:rPr>
        <w:t xml:space="preserve">, H. </w:t>
      </w:r>
      <w:r w:rsidRPr="004618E6">
        <w:rPr>
          <w:rFonts w:cs="Times New Roman"/>
          <w:szCs w:val="24"/>
        </w:rPr>
        <w:t xml:space="preserve">May, </w:t>
      </w:r>
      <w:r>
        <w:rPr>
          <w:rFonts w:cs="Times New Roman"/>
          <w:szCs w:val="24"/>
        </w:rPr>
        <w:t>K.</w:t>
      </w:r>
      <w:r w:rsidRPr="004618E6">
        <w:rPr>
          <w:rFonts w:cs="Times New Roman"/>
          <w:szCs w:val="24"/>
        </w:rPr>
        <w:t xml:space="preserve"> Slack, </w:t>
      </w:r>
      <w:r>
        <w:rPr>
          <w:rFonts w:cs="Times New Roman"/>
          <w:szCs w:val="24"/>
        </w:rPr>
        <w:t>E.</w:t>
      </w:r>
      <w:r w:rsidRPr="004618E6">
        <w:rPr>
          <w:rFonts w:cs="Times New Roman"/>
          <w:szCs w:val="24"/>
        </w:rPr>
        <w:t xml:space="preserve"> Smith</w:t>
      </w:r>
      <w:r>
        <w:rPr>
          <w:rFonts w:cs="Times New Roman"/>
          <w:szCs w:val="24"/>
        </w:rPr>
        <w:t xml:space="preserve"> and L. </w:t>
      </w:r>
      <w:r w:rsidRPr="004618E6">
        <w:rPr>
          <w:rFonts w:cs="Times New Roman"/>
          <w:szCs w:val="24"/>
        </w:rPr>
        <w:t>Thomas</w:t>
      </w:r>
      <w:r>
        <w:rPr>
          <w:rFonts w:cs="Times New Roman"/>
          <w:szCs w:val="24"/>
        </w:rPr>
        <w:t>. 2006.</w:t>
      </w:r>
      <w:r w:rsidRPr="004618E6">
        <w:rPr>
          <w:rFonts w:cs="Times New Roman"/>
          <w:szCs w:val="24"/>
        </w:rPr>
        <w:t xml:space="preserve"> </w:t>
      </w:r>
      <w:r>
        <w:rPr>
          <w:rFonts w:cs="Times New Roman"/>
          <w:i/>
          <w:szCs w:val="24"/>
        </w:rPr>
        <w:t>Overcoming the b</w:t>
      </w:r>
      <w:r w:rsidRPr="004618E6">
        <w:rPr>
          <w:rFonts w:cs="Times New Roman"/>
          <w:i/>
          <w:szCs w:val="24"/>
        </w:rPr>
        <w:t xml:space="preserve">arriers to </w:t>
      </w:r>
      <w:r>
        <w:rPr>
          <w:rFonts w:cs="Times New Roman"/>
          <w:i/>
          <w:szCs w:val="24"/>
        </w:rPr>
        <w:t>h</w:t>
      </w:r>
      <w:r w:rsidRPr="004618E6">
        <w:rPr>
          <w:rFonts w:cs="Times New Roman"/>
          <w:i/>
          <w:szCs w:val="24"/>
        </w:rPr>
        <w:t xml:space="preserve">igher </w:t>
      </w:r>
      <w:r>
        <w:rPr>
          <w:rFonts w:cs="Times New Roman"/>
          <w:i/>
          <w:szCs w:val="24"/>
        </w:rPr>
        <w:t>e</w:t>
      </w:r>
      <w:r w:rsidRPr="004618E6">
        <w:rPr>
          <w:rFonts w:cs="Times New Roman"/>
          <w:i/>
          <w:szCs w:val="24"/>
        </w:rPr>
        <w:t>ducation</w:t>
      </w:r>
      <w:r w:rsidRPr="004618E6">
        <w:rPr>
          <w:rFonts w:cs="Times New Roman"/>
          <w:szCs w:val="24"/>
        </w:rPr>
        <w:t>. Stoke-on-Trent: Trentham.</w:t>
      </w:r>
    </w:p>
    <w:p w:rsidR="004E7463" w:rsidRDefault="004875A9" w:rsidP="004E7463">
      <w:pPr>
        <w:spacing w:line="360" w:lineRule="auto"/>
        <w:ind w:left="426" w:hanging="426"/>
        <w:rPr>
          <w:rFonts w:cs="Times New Roman"/>
          <w:szCs w:val="24"/>
        </w:rPr>
      </w:pPr>
      <w:proofErr w:type="spellStart"/>
      <w:r>
        <w:rPr>
          <w:rFonts w:cs="Times New Roman"/>
          <w:szCs w:val="24"/>
        </w:rPr>
        <w:t>Gorard</w:t>
      </w:r>
      <w:proofErr w:type="spellEnd"/>
      <w:r>
        <w:rPr>
          <w:rFonts w:cs="Times New Roman"/>
          <w:szCs w:val="24"/>
        </w:rPr>
        <w:t xml:space="preserve">, S. and B.H. See. 2013. </w:t>
      </w:r>
      <w:r>
        <w:rPr>
          <w:rFonts w:cs="Times New Roman"/>
          <w:i/>
          <w:szCs w:val="24"/>
        </w:rPr>
        <w:t>Overcoming disadvantage in education</w:t>
      </w:r>
      <w:r>
        <w:rPr>
          <w:rFonts w:cs="Times New Roman"/>
          <w:szCs w:val="24"/>
        </w:rPr>
        <w:t>. Abingdon: Routledge.</w:t>
      </w:r>
    </w:p>
    <w:p w:rsidR="00F2414A" w:rsidRPr="00F2414A" w:rsidRDefault="00F2414A" w:rsidP="00F2414A">
      <w:pPr>
        <w:spacing w:line="360" w:lineRule="auto"/>
        <w:ind w:left="426" w:hanging="426"/>
      </w:pPr>
      <w:r>
        <w:t xml:space="preserve">Hoare, T. and R. Mann. 2012. </w:t>
      </w:r>
      <w:r>
        <w:rPr>
          <w:i/>
        </w:rPr>
        <w:t>The impact of the Sutton Trust’s Summer Schools on subsequent higher education participation</w:t>
      </w:r>
      <w:r>
        <w:t>. London: Sutton Trust.</w:t>
      </w:r>
    </w:p>
    <w:p w:rsidR="00C25F11" w:rsidRPr="00C25F11" w:rsidRDefault="00C25F11" w:rsidP="00C25F11">
      <w:pPr>
        <w:spacing w:line="360" w:lineRule="auto"/>
        <w:ind w:left="426" w:hanging="426"/>
      </w:pPr>
      <w:r w:rsidRPr="00D562AB">
        <w:rPr>
          <w:szCs w:val="24"/>
        </w:rPr>
        <w:t xml:space="preserve">Kahneman, D. 2003. Maps of bounded rationality: psychology of behavioural economics. </w:t>
      </w:r>
      <w:r w:rsidRPr="00D562AB">
        <w:rPr>
          <w:i/>
          <w:szCs w:val="24"/>
        </w:rPr>
        <w:t>American Economic Review</w:t>
      </w:r>
      <w:r>
        <w:rPr>
          <w:szCs w:val="24"/>
        </w:rPr>
        <w:t xml:space="preserve"> 93</w:t>
      </w:r>
      <w:r w:rsidRPr="00D562AB">
        <w:rPr>
          <w:szCs w:val="24"/>
        </w:rPr>
        <w:t>(5): 1449-1475.</w:t>
      </w:r>
    </w:p>
    <w:p w:rsidR="00854ED3" w:rsidRDefault="00854ED3" w:rsidP="00854ED3">
      <w:pPr>
        <w:spacing w:line="360" w:lineRule="auto"/>
        <w:ind w:left="426" w:hanging="426"/>
        <w:rPr>
          <w:color w:val="000000"/>
          <w:szCs w:val="24"/>
        </w:rPr>
      </w:pPr>
      <w:proofErr w:type="spellStart"/>
      <w:r>
        <w:rPr>
          <w:color w:val="000000"/>
          <w:szCs w:val="24"/>
        </w:rPr>
        <w:lastRenderedPageBreak/>
        <w:t>Lingenfelter</w:t>
      </w:r>
      <w:proofErr w:type="spellEnd"/>
      <w:r>
        <w:rPr>
          <w:color w:val="000000"/>
          <w:szCs w:val="24"/>
        </w:rPr>
        <w:t xml:space="preserve">, P. 2016. </w:t>
      </w:r>
      <w:r>
        <w:rPr>
          <w:i/>
          <w:color w:val="000000"/>
          <w:szCs w:val="24"/>
        </w:rPr>
        <w:t>“Proof”, policy and practice: understanding the role of evidence in improving education</w:t>
      </w:r>
      <w:r>
        <w:rPr>
          <w:color w:val="000000"/>
          <w:szCs w:val="24"/>
        </w:rPr>
        <w:t>.  Sterling: Stylus Publishing.</w:t>
      </w:r>
    </w:p>
    <w:p w:rsidR="00854ED3" w:rsidRPr="00854ED3" w:rsidRDefault="00854ED3" w:rsidP="00854ED3">
      <w:pPr>
        <w:spacing w:line="360" w:lineRule="auto"/>
        <w:ind w:left="426" w:hanging="426"/>
        <w:rPr>
          <w:szCs w:val="24"/>
        </w:rPr>
      </w:pPr>
      <w:proofErr w:type="spellStart"/>
      <w:r>
        <w:rPr>
          <w:rFonts w:eastAsia="Times New Roman" w:cs="Times New Roman"/>
          <w:szCs w:val="24"/>
          <w:lang w:eastAsia="en-GB"/>
        </w:rPr>
        <w:t>McCaig</w:t>
      </w:r>
      <w:proofErr w:type="spellEnd"/>
      <w:r>
        <w:rPr>
          <w:rFonts w:eastAsia="Times New Roman" w:cs="Times New Roman"/>
          <w:szCs w:val="24"/>
          <w:lang w:eastAsia="en-GB"/>
        </w:rPr>
        <w:t xml:space="preserve">, C. 2015. Marketisation and widening participation in English higher education: a critical discourse analysis of institutional access policy documents. </w:t>
      </w:r>
      <w:r>
        <w:rPr>
          <w:rFonts w:eastAsia="Times New Roman" w:cs="Times New Roman"/>
          <w:i/>
          <w:szCs w:val="24"/>
          <w:lang w:eastAsia="en-GB"/>
        </w:rPr>
        <w:t xml:space="preserve">Higher Education </w:t>
      </w:r>
      <w:r w:rsidRPr="0055100E">
        <w:rPr>
          <w:rFonts w:eastAsia="Times New Roman" w:cs="Times New Roman"/>
          <w:i/>
          <w:szCs w:val="24"/>
          <w:lang w:eastAsia="en-GB"/>
        </w:rPr>
        <w:t>Review</w:t>
      </w:r>
      <w:r>
        <w:rPr>
          <w:szCs w:val="24"/>
        </w:rPr>
        <w:t xml:space="preserve"> 48</w:t>
      </w:r>
      <w:r w:rsidRPr="0055100E">
        <w:rPr>
          <w:szCs w:val="24"/>
        </w:rPr>
        <w:t>(1): 6-24.</w:t>
      </w:r>
    </w:p>
    <w:p w:rsidR="00854ED3" w:rsidRPr="00854ED3" w:rsidRDefault="00854ED3" w:rsidP="00854ED3">
      <w:pPr>
        <w:spacing w:line="360" w:lineRule="auto"/>
        <w:ind w:left="426" w:hanging="426"/>
        <w:rPr>
          <w:rFonts w:cs="TimesNewRomanPS"/>
          <w:color w:val="000000"/>
          <w:szCs w:val="24"/>
          <w:lang w:eastAsia="en-GB"/>
        </w:rPr>
      </w:pPr>
      <w:r>
        <w:rPr>
          <w:rFonts w:cs="TimesNewRomanPS"/>
          <w:color w:val="000000"/>
          <w:szCs w:val="24"/>
          <w:lang w:eastAsia="en-GB"/>
        </w:rPr>
        <w:t xml:space="preserve">Office for Fair Access [OFFA]. 2015. </w:t>
      </w:r>
      <w:r>
        <w:rPr>
          <w:rFonts w:cs="TimesNewRomanPS"/>
          <w:i/>
          <w:color w:val="000000"/>
          <w:szCs w:val="24"/>
          <w:lang w:eastAsia="en-GB"/>
        </w:rPr>
        <w:t>Strategic plan: 2015-2020</w:t>
      </w:r>
      <w:r>
        <w:rPr>
          <w:rFonts w:cs="TimesNewRomanPS"/>
          <w:color w:val="000000"/>
          <w:szCs w:val="24"/>
          <w:lang w:eastAsia="en-GB"/>
        </w:rPr>
        <w:t>.  Bristol: OFFA.</w:t>
      </w:r>
    </w:p>
    <w:p w:rsidR="00013261" w:rsidRPr="00061D4D" w:rsidRDefault="00013261" w:rsidP="00854ED3">
      <w:pPr>
        <w:spacing w:line="360" w:lineRule="auto"/>
        <w:ind w:left="426" w:hanging="426"/>
        <w:rPr>
          <w:rFonts w:cs="TimesNewRomanPS"/>
          <w:color w:val="000000"/>
          <w:szCs w:val="24"/>
          <w:lang w:eastAsia="en-GB"/>
        </w:rPr>
      </w:pPr>
      <w:r>
        <w:rPr>
          <w:rFonts w:cs="TimesNewRomanPS"/>
          <w:color w:val="000000"/>
          <w:szCs w:val="24"/>
          <w:lang w:eastAsia="en-GB"/>
        </w:rPr>
        <w:t xml:space="preserve">Office for Fair Access [OFFA]. 2016. </w:t>
      </w:r>
      <w:r>
        <w:rPr>
          <w:rFonts w:cs="TimesNewRomanPS"/>
          <w:i/>
          <w:color w:val="000000"/>
          <w:szCs w:val="24"/>
          <w:lang w:eastAsia="en-GB"/>
        </w:rPr>
        <w:t>Outcomes of access agreement monitoring for 2014-15</w:t>
      </w:r>
      <w:r>
        <w:rPr>
          <w:rFonts w:cs="TimesNewRomanPS"/>
          <w:color w:val="000000"/>
          <w:szCs w:val="24"/>
          <w:lang w:eastAsia="en-GB"/>
        </w:rPr>
        <w:t>.  Bristol: OFFA.</w:t>
      </w:r>
    </w:p>
    <w:p w:rsidR="00013261" w:rsidRDefault="00854ED3" w:rsidP="00854ED3">
      <w:pPr>
        <w:spacing w:line="360" w:lineRule="auto"/>
      </w:pPr>
      <w:r>
        <w:t xml:space="preserve">Pawson, R. 2006. </w:t>
      </w:r>
      <w:r>
        <w:rPr>
          <w:i/>
        </w:rPr>
        <w:t>Evidence-based policy: a realist perspective.</w:t>
      </w:r>
      <w:r>
        <w:t xml:space="preserve"> London: Sage.</w:t>
      </w:r>
    </w:p>
    <w:p w:rsidR="00CA7FA8" w:rsidRDefault="00854ED3" w:rsidP="00C25F11">
      <w:pPr>
        <w:spacing w:line="360" w:lineRule="auto"/>
      </w:pPr>
      <w:r>
        <w:t xml:space="preserve">Pawson, R. 2013. </w:t>
      </w:r>
      <w:r>
        <w:rPr>
          <w:i/>
        </w:rPr>
        <w:t>The science of evaluation: a realist manifesto.</w:t>
      </w:r>
      <w:r>
        <w:t xml:space="preserve"> London: Sage.</w:t>
      </w:r>
    </w:p>
    <w:p w:rsidR="00CA7FA8" w:rsidRPr="00CA7FA8" w:rsidRDefault="00CA7FA8" w:rsidP="00CA7FA8">
      <w:pPr>
        <w:spacing w:line="360" w:lineRule="auto"/>
        <w:ind w:left="426" w:hanging="426"/>
      </w:pPr>
      <w:proofErr w:type="spellStart"/>
      <w:r>
        <w:t>Rainford</w:t>
      </w:r>
      <w:proofErr w:type="spellEnd"/>
      <w:r>
        <w:t xml:space="preserve">, J. In press. </w:t>
      </w:r>
      <w:r w:rsidRPr="00CA7FA8">
        <w:t>Targeting of widening participation measures by elite institutions: widening access or simply aiding recruitment?</w:t>
      </w:r>
      <w:r>
        <w:t xml:space="preserve"> Awaiting publication in </w:t>
      </w:r>
      <w:r>
        <w:rPr>
          <w:i/>
        </w:rPr>
        <w:t xml:space="preserve">Perspectives: Policy and Practice in Higher Education. </w:t>
      </w:r>
      <w:r>
        <w:t xml:space="preserve">DOI: </w:t>
      </w:r>
      <w:r w:rsidRPr="00CA7FA8">
        <w:t>10.1080/13603108.2016.1148645</w:t>
      </w:r>
    </w:p>
    <w:p w:rsidR="000F54DB" w:rsidRPr="000F54DB" w:rsidRDefault="000F54DB" w:rsidP="000F54DB">
      <w:pPr>
        <w:spacing w:line="360" w:lineRule="auto"/>
        <w:ind w:left="426" w:hanging="426"/>
      </w:pPr>
      <w:proofErr w:type="spellStart"/>
      <w:r>
        <w:t>Scriven</w:t>
      </w:r>
      <w:proofErr w:type="spellEnd"/>
      <w:r>
        <w:t xml:space="preserve">, M. 2016. Roadblocks to recognition and revelation. </w:t>
      </w:r>
      <w:r>
        <w:rPr>
          <w:i/>
        </w:rPr>
        <w:t>American Journal of Evaluation</w:t>
      </w:r>
      <w:r>
        <w:t xml:space="preserve"> 37(1): 27-44.</w:t>
      </w:r>
    </w:p>
    <w:p w:rsidR="00C25F11" w:rsidRDefault="00C25F11" w:rsidP="00C25F11">
      <w:pPr>
        <w:spacing w:line="360" w:lineRule="auto"/>
        <w:ind w:left="426" w:hanging="426"/>
      </w:pPr>
      <w:r w:rsidRPr="00D562AB">
        <w:rPr>
          <w:szCs w:val="24"/>
        </w:rPr>
        <w:t xml:space="preserve">Simon, H. 1979. Rational decision-making in business organisations. </w:t>
      </w:r>
      <w:r w:rsidRPr="00D562AB">
        <w:rPr>
          <w:i/>
          <w:szCs w:val="24"/>
        </w:rPr>
        <w:t xml:space="preserve">American Economic Review </w:t>
      </w:r>
      <w:r>
        <w:rPr>
          <w:szCs w:val="24"/>
        </w:rPr>
        <w:t>69</w:t>
      </w:r>
      <w:r w:rsidRPr="00D562AB">
        <w:rPr>
          <w:szCs w:val="24"/>
        </w:rPr>
        <w:t>(4):</w:t>
      </w:r>
      <w:r>
        <w:rPr>
          <w:szCs w:val="24"/>
        </w:rPr>
        <w:t xml:space="preserve"> </w:t>
      </w:r>
      <w:r w:rsidRPr="00D562AB">
        <w:rPr>
          <w:szCs w:val="24"/>
        </w:rPr>
        <w:t>493-513.</w:t>
      </w:r>
    </w:p>
    <w:p w:rsidR="000C5D45" w:rsidRDefault="00C25F11" w:rsidP="00C25F11">
      <w:pPr>
        <w:spacing w:line="360" w:lineRule="auto"/>
        <w:rPr>
          <w:szCs w:val="24"/>
        </w:rPr>
      </w:pPr>
      <w:r w:rsidRPr="00D562AB">
        <w:rPr>
          <w:szCs w:val="24"/>
        </w:rPr>
        <w:t xml:space="preserve">Simon, H. 1997. </w:t>
      </w:r>
      <w:r w:rsidRPr="00D562AB">
        <w:rPr>
          <w:i/>
          <w:iCs/>
          <w:szCs w:val="24"/>
        </w:rPr>
        <w:t>An empirically based microeconomics</w:t>
      </w:r>
      <w:r w:rsidRPr="00D562AB">
        <w:rPr>
          <w:szCs w:val="24"/>
        </w:rPr>
        <w:t>. Cambridge: Cambridge University Press.</w:t>
      </w:r>
    </w:p>
    <w:p w:rsidR="000C5D45" w:rsidRPr="000C5D45" w:rsidRDefault="000C5D45" w:rsidP="000C5D45">
      <w:pPr>
        <w:spacing w:line="360" w:lineRule="auto"/>
        <w:ind w:left="426" w:hanging="426"/>
        <w:rPr>
          <w:szCs w:val="24"/>
        </w:rPr>
      </w:pPr>
      <w:proofErr w:type="spellStart"/>
      <w:r>
        <w:t>Winterton</w:t>
      </w:r>
      <w:proofErr w:type="spellEnd"/>
      <w:r>
        <w:t xml:space="preserve">, M. and Irwin, S. 2012. Teenage expectations of going to university: the ebb and flow of influences from 14 to 18. </w:t>
      </w:r>
      <w:r>
        <w:rPr>
          <w:i/>
          <w:iCs/>
        </w:rPr>
        <w:t>Journal of Youth Studies</w:t>
      </w:r>
      <w:r>
        <w:t xml:space="preserve"> </w:t>
      </w:r>
      <w:r w:rsidRPr="000C5D45">
        <w:rPr>
          <w:iCs/>
        </w:rPr>
        <w:t>15</w:t>
      </w:r>
      <w:r>
        <w:t>(7): 858-874.</w:t>
      </w:r>
    </w:p>
    <w:p w:rsidR="00854ED3" w:rsidRPr="002E39DC" w:rsidRDefault="00854ED3" w:rsidP="00854ED3">
      <w:pPr>
        <w:spacing w:line="360" w:lineRule="auto"/>
        <w:ind w:left="426" w:hanging="426"/>
        <w:rPr>
          <w:sz w:val="20"/>
          <w:szCs w:val="20"/>
        </w:rPr>
      </w:pPr>
      <w:r w:rsidRPr="00B85B31">
        <w:rPr>
          <w:szCs w:val="20"/>
        </w:rPr>
        <w:t>Whit</w:t>
      </w:r>
      <w:r>
        <w:rPr>
          <w:szCs w:val="20"/>
        </w:rPr>
        <w:t>ty, G., A. Hayton and S. Tang. 2015.</w:t>
      </w:r>
      <w:r w:rsidRPr="00B85B31">
        <w:rPr>
          <w:szCs w:val="20"/>
        </w:rPr>
        <w:t xml:space="preserve"> Who you know, what you know and knowing the ropes: a review of evidence about access to higher education institutions in England.  </w:t>
      </w:r>
      <w:r w:rsidRPr="00B85B31">
        <w:rPr>
          <w:i/>
          <w:szCs w:val="20"/>
        </w:rPr>
        <w:t>Review of Education</w:t>
      </w:r>
      <w:r w:rsidRPr="00B85B31">
        <w:rPr>
          <w:szCs w:val="20"/>
        </w:rPr>
        <w:t xml:space="preserve"> 3</w:t>
      </w:r>
      <w:r>
        <w:rPr>
          <w:szCs w:val="20"/>
        </w:rPr>
        <w:t xml:space="preserve"> </w:t>
      </w:r>
      <w:r w:rsidRPr="00B85B31">
        <w:rPr>
          <w:szCs w:val="20"/>
        </w:rPr>
        <w:t>(1): 27-67.</w:t>
      </w:r>
    </w:p>
    <w:p w:rsidR="00854ED3" w:rsidRPr="00854ED3" w:rsidRDefault="00854ED3" w:rsidP="00324E99">
      <w:pPr>
        <w:spacing w:line="360" w:lineRule="auto"/>
      </w:pPr>
    </w:p>
    <w:sectPr w:rsidR="00854ED3" w:rsidRPr="00854ED3" w:rsidSect="007F1C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1BA"/>
    <w:multiLevelType w:val="hybridMultilevel"/>
    <w:tmpl w:val="D538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4DA0"/>
    <w:multiLevelType w:val="hybridMultilevel"/>
    <w:tmpl w:val="5904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423B0"/>
    <w:multiLevelType w:val="hybridMultilevel"/>
    <w:tmpl w:val="85662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0076A"/>
    <w:multiLevelType w:val="hybridMultilevel"/>
    <w:tmpl w:val="53CC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B0"/>
    <w:rsid w:val="0000472D"/>
    <w:rsid w:val="00012047"/>
    <w:rsid w:val="000126F1"/>
    <w:rsid w:val="00013261"/>
    <w:rsid w:val="0001674B"/>
    <w:rsid w:val="00016F0E"/>
    <w:rsid w:val="00034935"/>
    <w:rsid w:val="00046580"/>
    <w:rsid w:val="00064ACA"/>
    <w:rsid w:val="0007666D"/>
    <w:rsid w:val="00083E4D"/>
    <w:rsid w:val="00087C8A"/>
    <w:rsid w:val="000916F7"/>
    <w:rsid w:val="000977EF"/>
    <w:rsid w:val="000A218D"/>
    <w:rsid w:val="000C0382"/>
    <w:rsid w:val="000C2FE9"/>
    <w:rsid w:val="000C5D45"/>
    <w:rsid w:val="000E1552"/>
    <w:rsid w:val="000F54DB"/>
    <w:rsid w:val="000F775B"/>
    <w:rsid w:val="00110C7F"/>
    <w:rsid w:val="001124A1"/>
    <w:rsid w:val="001208D4"/>
    <w:rsid w:val="0014789F"/>
    <w:rsid w:val="00147E08"/>
    <w:rsid w:val="001752C1"/>
    <w:rsid w:val="00175D28"/>
    <w:rsid w:val="0017652C"/>
    <w:rsid w:val="0018639D"/>
    <w:rsid w:val="0019069B"/>
    <w:rsid w:val="00191981"/>
    <w:rsid w:val="0019352B"/>
    <w:rsid w:val="00194E85"/>
    <w:rsid w:val="00195243"/>
    <w:rsid w:val="001A1479"/>
    <w:rsid w:val="001A6BAF"/>
    <w:rsid w:val="001B02B0"/>
    <w:rsid w:val="001B2F98"/>
    <w:rsid w:val="001B6D53"/>
    <w:rsid w:val="001B6DA1"/>
    <w:rsid w:val="001C03FA"/>
    <w:rsid w:val="001C297E"/>
    <w:rsid w:val="001C4826"/>
    <w:rsid w:val="001D0D1A"/>
    <w:rsid w:val="001D10B5"/>
    <w:rsid w:val="001D662F"/>
    <w:rsid w:val="001E5F80"/>
    <w:rsid w:val="001F3879"/>
    <w:rsid w:val="001F6655"/>
    <w:rsid w:val="0020454B"/>
    <w:rsid w:val="00205610"/>
    <w:rsid w:val="00210626"/>
    <w:rsid w:val="002124F7"/>
    <w:rsid w:val="002168CE"/>
    <w:rsid w:val="00221098"/>
    <w:rsid w:val="002279A3"/>
    <w:rsid w:val="00231CB0"/>
    <w:rsid w:val="002343B0"/>
    <w:rsid w:val="002416DA"/>
    <w:rsid w:val="00263B2C"/>
    <w:rsid w:val="0027477F"/>
    <w:rsid w:val="00275C61"/>
    <w:rsid w:val="002841DF"/>
    <w:rsid w:val="002856B0"/>
    <w:rsid w:val="00287425"/>
    <w:rsid w:val="00287ACC"/>
    <w:rsid w:val="00287F9C"/>
    <w:rsid w:val="00293656"/>
    <w:rsid w:val="002A38DB"/>
    <w:rsid w:val="002C0E0D"/>
    <w:rsid w:val="002C16CD"/>
    <w:rsid w:val="002F06BC"/>
    <w:rsid w:val="002F2CB2"/>
    <w:rsid w:val="00312452"/>
    <w:rsid w:val="00317B94"/>
    <w:rsid w:val="00320E5D"/>
    <w:rsid w:val="00321403"/>
    <w:rsid w:val="00324E99"/>
    <w:rsid w:val="00340997"/>
    <w:rsid w:val="00341687"/>
    <w:rsid w:val="00347FA1"/>
    <w:rsid w:val="00362BC4"/>
    <w:rsid w:val="00373CE6"/>
    <w:rsid w:val="00376082"/>
    <w:rsid w:val="00380FCD"/>
    <w:rsid w:val="0038771A"/>
    <w:rsid w:val="00393D6E"/>
    <w:rsid w:val="003D035A"/>
    <w:rsid w:val="003E401C"/>
    <w:rsid w:val="003E6B80"/>
    <w:rsid w:val="00411D86"/>
    <w:rsid w:val="0041555D"/>
    <w:rsid w:val="00417C1E"/>
    <w:rsid w:val="00424498"/>
    <w:rsid w:val="00426188"/>
    <w:rsid w:val="004441B9"/>
    <w:rsid w:val="004446FF"/>
    <w:rsid w:val="004615BF"/>
    <w:rsid w:val="0048376E"/>
    <w:rsid w:val="004875A9"/>
    <w:rsid w:val="00490C43"/>
    <w:rsid w:val="004953F5"/>
    <w:rsid w:val="004A088C"/>
    <w:rsid w:val="004A342C"/>
    <w:rsid w:val="004B4043"/>
    <w:rsid w:val="004C116C"/>
    <w:rsid w:val="004D2C24"/>
    <w:rsid w:val="004E04DD"/>
    <w:rsid w:val="004E4C95"/>
    <w:rsid w:val="004E5623"/>
    <w:rsid w:val="004E7463"/>
    <w:rsid w:val="00505346"/>
    <w:rsid w:val="0051549B"/>
    <w:rsid w:val="00535AE9"/>
    <w:rsid w:val="0053660F"/>
    <w:rsid w:val="005367A3"/>
    <w:rsid w:val="00537062"/>
    <w:rsid w:val="00557C4D"/>
    <w:rsid w:val="00573DFD"/>
    <w:rsid w:val="0058452D"/>
    <w:rsid w:val="005937E1"/>
    <w:rsid w:val="005C65C0"/>
    <w:rsid w:val="005C7A79"/>
    <w:rsid w:val="005D3FE2"/>
    <w:rsid w:val="005E5F61"/>
    <w:rsid w:val="005F1A41"/>
    <w:rsid w:val="005F33DB"/>
    <w:rsid w:val="005F5032"/>
    <w:rsid w:val="005F6845"/>
    <w:rsid w:val="005F723F"/>
    <w:rsid w:val="00600BF8"/>
    <w:rsid w:val="00611CE7"/>
    <w:rsid w:val="00621CF7"/>
    <w:rsid w:val="00624842"/>
    <w:rsid w:val="00631758"/>
    <w:rsid w:val="00640D5D"/>
    <w:rsid w:val="00657BB2"/>
    <w:rsid w:val="00663D04"/>
    <w:rsid w:val="00680A94"/>
    <w:rsid w:val="00681839"/>
    <w:rsid w:val="00683F9E"/>
    <w:rsid w:val="00684CC3"/>
    <w:rsid w:val="006A0341"/>
    <w:rsid w:val="006A1EA4"/>
    <w:rsid w:val="006A2B5D"/>
    <w:rsid w:val="006A3804"/>
    <w:rsid w:val="006A5B03"/>
    <w:rsid w:val="006B455F"/>
    <w:rsid w:val="006C5C34"/>
    <w:rsid w:val="006D10E9"/>
    <w:rsid w:val="006D158A"/>
    <w:rsid w:val="006D7433"/>
    <w:rsid w:val="006F2023"/>
    <w:rsid w:val="0070326B"/>
    <w:rsid w:val="00710796"/>
    <w:rsid w:val="00712719"/>
    <w:rsid w:val="007363CF"/>
    <w:rsid w:val="00736D26"/>
    <w:rsid w:val="00752A0A"/>
    <w:rsid w:val="00756493"/>
    <w:rsid w:val="00756855"/>
    <w:rsid w:val="00764A0A"/>
    <w:rsid w:val="00772A2C"/>
    <w:rsid w:val="007770D1"/>
    <w:rsid w:val="0079641E"/>
    <w:rsid w:val="00796517"/>
    <w:rsid w:val="007A788D"/>
    <w:rsid w:val="007C41CA"/>
    <w:rsid w:val="007D7766"/>
    <w:rsid w:val="007E2E6F"/>
    <w:rsid w:val="007F1C6B"/>
    <w:rsid w:val="00805651"/>
    <w:rsid w:val="0081053C"/>
    <w:rsid w:val="00830A05"/>
    <w:rsid w:val="00834DBF"/>
    <w:rsid w:val="008502A7"/>
    <w:rsid w:val="00854ED3"/>
    <w:rsid w:val="00854F28"/>
    <w:rsid w:val="008667EC"/>
    <w:rsid w:val="00873F8B"/>
    <w:rsid w:val="00877E4B"/>
    <w:rsid w:val="00880B4E"/>
    <w:rsid w:val="008B466D"/>
    <w:rsid w:val="008C03ED"/>
    <w:rsid w:val="008E0563"/>
    <w:rsid w:val="008E256E"/>
    <w:rsid w:val="008E4C45"/>
    <w:rsid w:val="008E5D39"/>
    <w:rsid w:val="009034AB"/>
    <w:rsid w:val="009118D8"/>
    <w:rsid w:val="0092271C"/>
    <w:rsid w:val="009360C1"/>
    <w:rsid w:val="00936CE7"/>
    <w:rsid w:val="00973A39"/>
    <w:rsid w:val="0098714A"/>
    <w:rsid w:val="009935B2"/>
    <w:rsid w:val="00995C89"/>
    <w:rsid w:val="009C2217"/>
    <w:rsid w:val="009C37A4"/>
    <w:rsid w:val="009D262A"/>
    <w:rsid w:val="009D423A"/>
    <w:rsid w:val="009D499D"/>
    <w:rsid w:val="009D4B77"/>
    <w:rsid w:val="009D6BCA"/>
    <w:rsid w:val="009E1575"/>
    <w:rsid w:val="009E64E2"/>
    <w:rsid w:val="00A0047D"/>
    <w:rsid w:val="00A0258C"/>
    <w:rsid w:val="00A1150D"/>
    <w:rsid w:val="00A16682"/>
    <w:rsid w:val="00A317D5"/>
    <w:rsid w:val="00A35CB4"/>
    <w:rsid w:val="00A408B4"/>
    <w:rsid w:val="00A44387"/>
    <w:rsid w:val="00A51358"/>
    <w:rsid w:val="00A526E9"/>
    <w:rsid w:val="00A53EA0"/>
    <w:rsid w:val="00A81C36"/>
    <w:rsid w:val="00A9453F"/>
    <w:rsid w:val="00AA1006"/>
    <w:rsid w:val="00AA26BA"/>
    <w:rsid w:val="00AA2D95"/>
    <w:rsid w:val="00AA79A1"/>
    <w:rsid w:val="00AB14AB"/>
    <w:rsid w:val="00AB202F"/>
    <w:rsid w:val="00AC16F3"/>
    <w:rsid w:val="00AD48F0"/>
    <w:rsid w:val="00AD66D6"/>
    <w:rsid w:val="00AF2A5D"/>
    <w:rsid w:val="00AF7CCC"/>
    <w:rsid w:val="00B05D41"/>
    <w:rsid w:val="00B12CBC"/>
    <w:rsid w:val="00B23DBB"/>
    <w:rsid w:val="00B259E5"/>
    <w:rsid w:val="00B5306C"/>
    <w:rsid w:val="00B65B21"/>
    <w:rsid w:val="00B728BB"/>
    <w:rsid w:val="00B7371A"/>
    <w:rsid w:val="00B7466B"/>
    <w:rsid w:val="00B836BC"/>
    <w:rsid w:val="00B87B30"/>
    <w:rsid w:val="00B91622"/>
    <w:rsid w:val="00B96F8A"/>
    <w:rsid w:val="00BA160D"/>
    <w:rsid w:val="00BA6C34"/>
    <w:rsid w:val="00BB4291"/>
    <w:rsid w:val="00BB6C4F"/>
    <w:rsid w:val="00BC19E9"/>
    <w:rsid w:val="00BD5C6F"/>
    <w:rsid w:val="00BD7FBE"/>
    <w:rsid w:val="00BE1A8D"/>
    <w:rsid w:val="00BE292C"/>
    <w:rsid w:val="00BE7060"/>
    <w:rsid w:val="00BF4ACA"/>
    <w:rsid w:val="00C0031A"/>
    <w:rsid w:val="00C0268C"/>
    <w:rsid w:val="00C02D60"/>
    <w:rsid w:val="00C070EA"/>
    <w:rsid w:val="00C16E01"/>
    <w:rsid w:val="00C25F11"/>
    <w:rsid w:val="00C35652"/>
    <w:rsid w:val="00C37966"/>
    <w:rsid w:val="00C4275D"/>
    <w:rsid w:val="00C541F6"/>
    <w:rsid w:val="00C608E6"/>
    <w:rsid w:val="00C64B32"/>
    <w:rsid w:val="00C64F05"/>
    <w:rsid w:val="00C73FD7"/>
    <w:rsid w:val="00C7422C"/>
    <w:rsid w:val="00C80DAE"/>
    <w:rsid w:val="00C97F80"/>
    <w:rsid w:val="00CA32FD"/>
    <w:rsid w:val="00CA7FA8"/>
    <w:rsid w:val="00CB7E54"/>
    <w:rsid w:val="00CC75F3"/>
    <w:rsid w:val="00CC7B74"/>
    <w:rsid w:val="00CF4266"/>
    <w:rsid w:val="00CF6AD4"/>
    <w:rsid w:val="00CF7D38"/>
    <w:rsid w:val="00D2477E"/>
    <w:rsid w:val="00D31B7A"/>
    <w:rsid w:val="00D43E6C"/>
    <w:rsid w:val="00D460DA"/>
    <w:rsid w:val="00D511BA"/>
    <w:rsid w:val="00D6084E"/>
    <w:rsid w:val="00D77F17"/>
    <w:rsid w:val="00D8014E"/>
    <w:rsid w:val="00D82ACA"/>
    <w:rsid w:val="00D82DB8"/>
    <w:rsid w:val="00D97049"/>
    <w:rsid w:val="00DA1C97"/>
    <w:rsid w:val="00DB0414"/>
    <w:rsid w:val="00DC08ED"/>
    <w:rsid w:val="00DC2A4A"/>
    <w:rsid w:val="00DD4F81"/>
    <w:rsid w:val="00DF09DD"/>
    <w:rsid w:val="00E0385C"/>
    <w:rsid w:val="00E147C5"/>
    <w:rsid w:val="00E43571"/>
    <w:rsid w:val="00E4607B"/>
    <w:rsid w:val="00E5681E"/>
    <w:rsid w:val="00E61F28"/>
    <w:rsid w:val="00E746B7"/>
    <w:rsid w:val="00E74E72"/>
    <w:rsid w:val="00E75CA0"/>
    <w:rsid w:val="00E92349"/>
    <w:rsid w:val="00E95BB1"/>
    <w:rsid w:val="00E97FB8"/>
    <w:rsid w:val="00EA1302"/>
    <w:rsid w:val="00EA7573"/>
    <w:rsid w:val="00EA78AA"/>
    <w:rsid w:val="00EB260D"/>
    <w:rsid w:val="00EB300F"/>
    <w:rsid w:val="00EB7E51"/>
    <w:rsid w:val="00ED2E19"/>
    <w:rsid w:val="00ED3CA4"/>
    <w:rsid w:val="00F057B9"/>
    <w:rsid w:val="00F06FA4"/>
    <w:rsid w:val="00F0778C"/>
    <w:rsid w:val="00F12B77"/>
    <w:rsid w:val="00F2021A"/>
    <w:rsid w:val="00F20C59"/>
    <w:rsid w:val="00F2414A"/>
    <w:rsid w:val="00F25383"/>
    <w:rsid w:val="00F42895"/>
    <w:rsid w:val="00F473DA"/>
    <w:rsid w:val="00F50DC4"/>
    <w:rsid w:val="00F84EDF"/>
    <w:rsid w:val="00F8784E"/>
    <w:rsid w:val="00F923ED"/>
    <w:rsid w:val="00FA2080"/>
    <w:rsid w:val="00FA548F"/>
    <w:rsid w:val="00FA699A"/>
    <w:rsid w:val="00FB6BCA"/>
    <w:rsid w:val="00FC3ACF"/>
    <w:rsid w:val="00FD2AC8"/>
    <w:rsid w:val="00FD54B5"/>
    <w:rsid w:val="00FE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555A-9CBD-49F9-92BC-4FB77D71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48F"/>
    <w:pPr>
      <w:ind w:left="720"/>
      <w:contextualSpacing/>
    </w:pPr>
  </w:style>
  <w:style w:type="character" w:customStyle="1" w:styleId="highlight">
    <w:name w:val="highlight"/>
    <w:basedOn w:val="DefaultParagraphFont"/>
    <w:rsid w:val="00F12B77"/>
  </w:style>
  <w:style w:type="paragraph" w:styleId="BalloonText">
    <w:name w:val="Balloon Text"/>
    <w:basedOn w:val="Normal"/>
    <w:link w:val="BalloonTextChar"/>
    <w:uiPriority w:val="99"/>
    <w:semiHidden/>
    <w:unhideWhenUsed/>
    <w:rsid w:val="00772A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A2C"/>
    <w:rPr>
      <w:rFonts w:ascii="Segoe UI" w:hAnsi="Segoe UI" w:cs="Segoe UI"/>
      <w:sz w:val="18"/>
      <w:szCs w:val="18"/>
    </w:rPr>
  </w:style>
  <w:style w:type="character" w:styleId="Emphasis">
    <w:name w:val="Emphasis"/>
    <w:basedOn w:val="DefaultParagraphFont"/>
    <w:uiPriority w:val="20"/>
    <w:qFormat/>
    <w:rsid w:val="00013261"/>
    <w:rPr>
      <w:i/>
      <w:iCs/>
    </w:rPr>
  </w:style>
  <w:style w:type="character" w:customStyle="1" w:styleId="personname">
    <w:name w:val="person_name"/>
    <w:basedOn w:val="DefaultParagraphFont"/>
    <w:rsid w:val="004E7463"/>
  </w:style>
  <w:style w:type="paragraph" w:customStyle="1" w:styleId="Default">
    <w:name w:val="Default"/>
    <w:rsid w:val="00F2414A"/>
    <w:pPr>
      <w:autoSpaceDE w:val="0"/>
      <w:autoSpaceDN w:val="0"/>
      <w:adjustRightInd w:val="0"/>
      <w:spacing w:line="240" w:lineRule="auto"/>
    </w:pPr>
    <w:rPr>
      <w:rFonts w:ascii="Arial" w:eastAsia="Times New Roman" w:hAnsi="Arial"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2034">
      <w:bodyDiv w:val="1"/>
      <w:marLeft w:val="0"/>
      <w:marRight w:val="0"/>
      <w:marTop w:val="0"/>
      <w:marBottom w:val="0"/>
      <w:divBdr>
        <w:top w:val="none" w:sz="0" w:space="0" w:color="auto"/>
        <w:left w:val="none" w:sz="0" w:space="0" w:color="auto"/>
        <w:bottom w:val="none" w:sz="0" w:space="0" w:color="auto"/>
        <w:right w:val="none" w:sz="0" w:space="0" w:color="auto"/>
      </w:divBdr>
      <w:divsChild>
        <w:div w:id="437481746">
          <w:marLeft w:val="0"/>
          <w:marRight w:val="0"/>
          <w:marTop w:val="0"/>
          <w:marBottom w:val="0"/>
          <w:divBdr>
            <w:top w:val="none" w:sz="0" w:space="0" w:color="auto"/>
            <w:left w:val="none" w:sz="0" w:space="0" w:color="auto"/>
            <w:bottom w:val="none" w:sz="0" w:space="0" w:color="auto"/>
            <w:right w:val="none" w:sz="0" w:space="0" w:color="auto"/>
          </w:divBdr>
        </w:div>
        <w:div w:id="661543601">
          <w:marLeft w:val="0"/>
          <w:marRight w:val="0"/>
          <w:marTop w:val="0"/>
          <w:marBottom w:val="0"/>
          <w:divBdr>
            <w:top w:val="none" w:sz="0" w:space="0" w:color="auto"/>
            <w:left w:val="none" w:sz="0" w:space="0" w:color="auto"/>
            <w:bottom w:val="none" w:sz="0" w:space="0" w:color="auto"/>
            <w:right w:val="none" w:sz="0" w:space="0" w:color="auto"/>
          </w:divBdr>
        </w:div>
        <w:div w:id="664866019">
          <w:marLeft w:val="0"/>
          <w:marRight w:val="0"/>
          <w:marTop w:val="0"/>
          <w:marBottom w:val="0"/>
          <w:divBdr>
            <w:top w:val="none" w:sz="0" w:space="0" w:color="auto"/>
            <w:left w:val="none" w:sz="0" w:space="0" w:color="auto"/>
            <w:bottom w:val="none" w:sz="0" w:space="0" w:color="auto"/>
            <w:right w:val="none" w:sz="0" w:space="0" w:color="auto"/>
          </w:divBdr>
        </w:div>
        <w:div w:id="754279849">
          <w:marLeft w:val="0"/>
          <w:marRight w:val="0"/>
          <w:marTop w:val="0"/>
          <w:marBottom w:val="0"/>
          <w:divBdr>
            <w:top w:val="none" w:sz="0" w:space="0" w:color="auto"/>
            <w:left w:val="none" w:sz="0" w:space="0" w:color="auto"/>
            <w:bottom w:val="none" w:sz="0" w:space="0" w:color="auto"/>
            <w:right w:val="none" w:sz="0" w:space="0" w:color="auto"/>
          </w:divBdr>
        </w:div>
        <w:div w:id="806359739">
          <w:marLeft w:val="0"/>
          <w:marRight w:val="0"/>
          <w:marTop w:val="0"/>
          <w:marBottom w:val="0"/>
          <w:divBdr>
            <w:top w:val="none" w:sz="0" w:space="0" w:color="auto"/>
            <w:left w:val="none" w:sz="0" w:space="0" w:color="auto"/>
            <w:bottom w:val="none" w:sz="0" w:space="0" w:color="auto"/>
            <w:right w:val="none" w:sz="0" w:space="0" w:color="auto"/>
          </w:divBdr>
        </w:div>
        <w:div w:id="861086711">
          <w:marLeft w:val="0"/>
          <w:marRight w:val="0"/>
          <w:marTop w:val="0"/>
          <w:marBottom w:val="0"/>
          <w:divBdr>
            <w:top w:val="none" w:sz="0" w:space="0" w:color="auto"/>
            <w:left w:val="none" w:sz="0" w:space="0" w:color="auto"/>
            <w:bottom w:val="none" w:sz="0" w:space="0" w:color="auto"/>
            <w:right w:val="none" w:sz="0" w:space="0" w:color="auto"/>
          </w:divBdr>
        </w:div>
        <w:div w:id="981691174">
          <w:marLeft w:val="0"/>
          <w:marRight w:val="0"/>
          <w:marTop w:val="0"/>
          <w:marBottom w:val="0"/>
          <w:divBdr>
            <w:top w:val="none" w:sz="0" w:space="0" w:color="auto"/>
            <w:left w:val="none" w:sz="0" w:space="0" w:color="auto"/>
            <w:bottom w:val="none" w:sz="0" w:space="0" w:color="auto"/>
            <w:right w:val="none" w:sz="0" w:space="0" w:color="auto"/>
          </w:divBdr>
        </w:div>
        <w:div w:id="1032806119">
          <w:marLeft w:val="0"/>
          <w:marRight w:val="0"/>
          <w:marTop w:val="0"/>
          <w:marBottom w:val="0"/>
          <w:divBdr>
            <w:top w:val="none" w:sz="0" w:space="0" w:color="auto"/>
            <w:left w:val="none" w:sz="0" w:space="0" w:color="auto"/>
            <w:bottom w:val="none" w:sz="0" w:space="0" w:color="auto"/>
            <w:right w:val="none" w:sz="0" w:space="0" w:color="auto"/>
          </w:divBdr>
        </w:div>
        <w:div w:id="1159618155">
          <w:marLeft w:val="0"/>
          <w:marRight w:val="0"/>
          <w:marTop w:val="0"/>
          <w:marBottom w:val="0"/>
          <w:divBdr>
            <w:top w:val="none" w:sz="0" w:space="0" w:color="auto"/>
            <w:left w:val="none" w:sz="0" w:space="0" w:color="auto"/>
            <w:bottom w:val="none" w:sz="0" w:space="0" w:color="auto"/>
            <w:right w:val="none" w:sz="0" w:space="0" w:color="auto"/>
          </w:divBdr>
        </w:div>
        <w:div w:id="1201019449">
          <w:marLeft w:val="0"/>
          <w:marRight w:val="0"/>
          <w:marTop w:val="0"/>
          <w:marBottom w:val="0"/>
          <w:divBdr>
            <w:top w:val="none" w:sz="0" w:space="0" w:color="auto"/>
            <w:left w:val="none" w:sz="0" w:space="0" w:color="auto"/>
            <w:bottom w:val="none" w:sz="0" w:space="0" w:color="auto"/>
            <w:right w:val="none" w:sz="0" w:space="0" w:color="auto"/>
          </w:divBdr>
        </w:div>
        <w:div w:id="1301111974">
          <w:marLeft w:val="0"/>
          <w:marRight w:val="0"/>
          <w:marTop w:val="0"/>
          <w:marBottom w:val="0"/>
          <w:divBdr>
            <w:top w:val="none" w:sz="0" w:space="0" w:color="auto"/>
            <w:left w:val="none" w:sz="0" w:space="0" w:color="auto"/>
            <w:bottom w:val="none" w:sz="0" w:space="0" w:color="auto"/>
            <w:right w:val="none" w:sz="0" w:space="0" w:color="auto"/>
          </w:divBdr>
        </w:div>
        <w:div w:id="1333795594">
          <w:marLeft w:val="0"/>
          <w:marRight w:val="0"/>
          <w:marTop w:val="0"/>
          <w:marBottom w:val="0"/>
          <w:divBdr>
            <w:top w:val="none" w:sz="0" w:space="0" w:color="auto"/>
            <w:left w:val="none" w:sz="0" w:space="0" w:color="auto"/>
            <w:bottom w:val="none" w:sz="0" w:space="0" w:color="auto"/>
            <w:right w:val="none" w:sz="0" w:space="0" w:color="auto"/>
          </w:divBdr>
        </w:div>
        <w:div w:id="1419785391">
          <w:marLeft w:val="0"/>
          <w:marRight w:val="0"/>
          <w:marTop w:val="0"/>
          <w:marBottom w:val="0"/>
          <w:divBdr>
            <w:top w:val="none" w:sz="0" w:space="0" w:color="auto"/>
            <w:left w:val="none" w:sz="0" w:space="0" w:color="auto"/>
            <w:bottom w:val="none" w:sz="0" w:space="0" w:color="auto"/>
            <w:right w:val="none" w:sz="0" w:space="0" w:color="auto"/>
          </w:divBdr>
        </w:div>
        <w:div w:id="1479108664">
          <w:marLeft w:val="0"/>
          <w:marRight w:val="0"/>
          <w:marTop w:val="0"/>
          <w:marBottom w:val="0"/>
          <w:divBdr>
            <w:top w:val="none" w:sz="0" w:space="0" w:color="auto"/>
            <w:left w:val="none" w:sz="0" w:space="0" w:color="auto"/>
            <w:bottom w:val="none" w:sz="0" w:space="0" w:color="auto"/>
            <w:right w:val="none" w:sz="0" w:space="0" w:color="auto"/>
          </w:divBdr>
        </w:div>
        <w:div w:id="1588155050">
          <w:marLeft w:val="0"/>
          <w:marRight w:val="0"/>
          <w:marTop w:val="0"/>
          <w:marBottom w:val="0"/>
          <w:divBdr>
            <w:top w:val="none" w:sz="0" w:space="0" w:color="auto"/>
            <w:left w:val="none" w:sz="0" w:space="0" w:color="auto"/>
            <w:bottom w:val="none" w:sz="0" w:space="0" w:color="auto"/>
            <w:right w:val="none" w:sz="0" w:space="0" w:color="auto"/>
          </w:divBdr>
        </w:div>
        <w:div w:id="1621259664">
          <w:marLeft w:val="0"/>
          <w:marRight w:val="0"/>
          <w:marTop w:val="0"/>
          <w:marBottom w:val="0"/>
          <w:divBdr>
            <w:top w:val="none" w:sz="0" w:space="0" w:color="auto"/>
            <w:left w:val="none" w:sz="0" w:space="0" w:color="auto"/>
            <w:bottom w:val="none" w:sz="0" w:space="0" w:color="auto"/>
            <w:right w:val="none" w:sz="0" w:space="0" w:color="auto"/>
          </w:divBdr>
        </w:div>
        <w:div w:id="1636793490">
          <w:marLeft w:val="0"/>
          <w:marRight w:val="0"/>
          <w:marTop w:val="0"/>
          <w:marBottom w:val="0"/>
          <w:divBdr>
            <w:top w:val="none" w:sz="0" w:space="0" w:color="auto"/>
            <w:left w:val="none" w:sz="0" w:space="0" w:color="auto"/>
            <w:bottom w:val="none" w:sz="0" w:space="0" w:color="auto"/>
            <w:right w:val="none" w:sz="0" w:space="0" w:color="auto"/>
          </w:divBdr>
        </w:div>
        <w:div w:id="1654677649">
          <w:marLeft w:val="0"/>
          <w:marRight w:val="0"/>
          <w:marTop w:val="0"/>
          <w:marBottom w:val="0"/>
          <w:divBdr>
            <w:top w:val="none" w:sz="0" w:space="0" w:color="auto"/>
            <w:left w:val="none" w:sz="0" w:space="0" w:color="auto"/>
            <w:bottom w:val="none" w:sz="0" w:space="0" w:color="auto"/>
            <w:right w:val="none" w:sz="0" w:space="0" w:color="auto"/>
          </w:divBdr>
        </w:div>
        <w:div w:id="1663771792">
          <w:marLeft w:val="0"/>
          <w:marRight w:val="0"/>
          <w:marTop w:val="0"/>
          <w:marBottom w:val="0"/>
          <w:divBdr>
            <w:top w:val="none" w:sz="0" w:space="0" w:color="auto"/>
            <w:left w:val="none" w:sz="0" w:space="0" w:color="auto"/>
            <w:bottom w:val="none" w:sz="0" w:space="0" w:color="auto"/>
            <w:right w:val="none" w:sz="0" w:space="0" w:color="auto"/>
          </w:divBdr>
        </w:div>
        <w:div w:id="1777140919">
          <w:marLeft w:val="0"/>
          <w:marRight w:val="0"/>
          <w:marTop w:val="0"/>
          <w:marBottom w:val="0"/>
          <w:divBdr>
            <w:top w:val="none" w:sz="0" w:space="0" w:color="auto"/>
            <w:left w:val="none" w:sz="0" w:space="0" w:color="auto"/>
            <w:bottom w:val="none" w:sz="0" w:space="0" w:color="auto"/>
            <w:right w:val="none" w:sz="0" w:space="0" w:color="auto"/>
          </w:divBdr>
        </w:div>
        <w:div w:id="208787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3953-483E-48EA-803C-B5A81A0A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5195</Words>
  <Characters>29615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Harrison</dc:creator>
  <cp:keywords/>
  <dc:description/>
  <cp:lastModifiedBy>Charlotte Vaughton</cp:lastModifiedBy>
  <cp:revision>2</cp:revision>
  <cp:lastPrinted>2016-08-09T15:28:00Z</cp:lastPrinted>
  <dcterms:created xsi:type="dcterms:W3CDTF">2016-12-20T11:19:00Z</dcterms:created>
  <dcterms:modified xsi:type="dcterms:W3CDTF">2016-12-20T11:19:00Z</dcterms:modified>
</cp:coreProperties>
</file>