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708B" w14:textId="31EF1ECC" w:rsidR="00546A3A" w:rsidRDefault="00670386">
      <w:pPr>
        <w:rPr>
          <w:rFonts w:asciiTheme="minorHAnsi" w:hAnsiTheme="minorHAnsi"/>
          <w:b/>
          <w:sz w:val="28"/>
          <w:szCs w:val="28"/>
        </w:rPr>
      </w:pPr>
      <w:r>
        <w:rPr>
          <w:rFonts w:asciiTheme="minorHAnsi" w:hAnsiTheme="minorHAnsi"/>
          <w:b/>
          <w:sz w:val="28"/>
          <w:szCs w:val="28"/>
        </w:rPr>
        <w:t>Law Society</w:t>
      </w:r>
      <w:r w:rsidR="003E5ABD">
        <w:rPr>
          <w:rFonts w:asciiTheme="minorHAnsi" w:hAnsiTheme="minorHAnsi"/>
          <w:b/>
          <w:sz w:val="28"/>
          <w:szCs w:val="28"/>
        </w:rPr>
        <w:t xml:space="preserve"> breaches competition rules over </w:t>
      </w:r>
      <w:r w:rsidR="000A3C36">
        <w:rPr>
          <w:rFonts w:asciiTheme="minorHAnsi" w:hAnsiTheme="minorHAnsi"/>
          <w:b/>
          <w:sz w:val="28"/>
          <w:szCs w:val="28"/>
        </w:rPr>
        <w:t>financial regulation training</w:t>
      </w:r>
      <w:r w:rsidR="002A0B16">
        <w:rPr>
          <w:rFonts w:asciiTheme="minorHAnsi" w:hAnsiTheme="minorHAnsi"/>
          <w:b/>
          <w:sz w:val="28"/>
          <w:szCs w:val="28"/>
        </w:rPr>
        <w:t xml:space="preserve"> for conveyancers</w:t>
      </w:r>
    </w:p>
    <w:p w14:paraId="43401F38" w14:textId="77777777" w:rsidR="00670386" w:rsidRPr="00C55CBB" w:rsidRDefault="00670386">
      <w:pPr>
        <w:rPr>
          <w:rFonts w:asciiTheme="minorHAnsi" w:hAnsiTheme="minorHAnsi"/>
        </w:rPr>
      </w:pPr>
    </w:p>
    <w:p w14:paraId="633A416E" w14:textId="35D7C27F" w:rsidR="00782251" w:rsidRPr="00782251" w:rsidRDefault="00782251" w:rsidP="00782251">
      <w:pPr>
        <w:rPr>
          <w:rFonts w:asciiTheme="minorHAnsi" w:eastAsia="Times New Roman" w:hAnsiTheme="minorHAnsi"/>
          <w:b/>
          <w:i/>
        </w:rPr>
      </w:pPr>
      <w:r w:rsidRPr="00C55CBB">
        <w:rPr>
          <w:rFonts w:asciiTheme="minorHAnsi" w:eastAsia="Times New Roman" w:hAnsiTheme="minorHAnsi"/>
          <w:b/>
        </w:rPr>
        <w:t>Case</w:t>
      </w:r>
      <w:r w:rsidRPr="00C55CBB">
        <w:rPr>
          <w:rFonts w:asciiTheme="minorHAnsi" w:eastAsia="Times New Roman" w:hAnsiTheme="minorHAnsi"/>
          <w:b/>
          <w:i/>
        </w:rPr>
        <w:t xml:space="preserve"> </w:t>
      </w:r>
      <w:hyperlink r:id="rId7" w:history="1">
        <w:r w:rsidRPr="00C55CBB">
          <w:rPr>
            <w:rFonts w:asciiTheme="minorHAnsi" w:eastAsia="Times New Roman" w:hAnsiTheme="minorHAnsi"/>
            <w:b/>
            <w:i/>
            <w:color w:val="000000"/>
          </w:rPr>
          <w:t>1249/5/7/16 Socrates Training Limited v The Law Society of England and Wales</w:t>
        </w:r>
      </w:hyperlink>
      <w:r w:rsidRPr="00C55CBB">
        <w:rPr>
          <w:rFonts w:asciiTheme="minorHAnsi" w:eastAsia="Times New Roman" w:hAnsiTheme="minorHAnsi"/>
          <w:b/>
          <w:i/>
        </w:rPr>
        <w:t xml:space="preserve"> </w:t>
      </w:r>
      <w:r w:rsidRPr="00C55CBB">
        <w:rPr>
          <w:rFonts w:asciiTheme="minorHAnsi" w:eastAsia="Times New Roman" w:hAnsiTheme="minorHAnsi"/>
          <w:b/>
        </w:rPr>
        <w:t>Competition Appeals Tribunal 26 May 2017</w:t>
      </w:r>
    </w:p>
    <w:p w14:paraId="12123C6C" w14:textId="77777777" w:rsidR="00546A3A" w:rsidRPr="00C55CBB" w:rsidRDefault="00546A3A">
      <w:pPr>
        <w:rPr>
          <w:rFonts w:asciiTheme="minorHAnsi" w:hAnsiTheme="minorHAnsi"/>
        </w:rPr>
      </w:pPr>
    </w:p>
    <w:p w14:paraId="05D9D667" w14:textId="2C7322CC" w:rsidR="00530F8B" w:rsidRPr="00C55CBB" w:rsidRDefault="00530F8B">
      <w:pPr>
        <w:rPr>
          <w:rFonts w:asciiTheme="minorHAnsi" w:hAnsiTheme="minorHAnsi"/>
          <w:b/>
        </w:rPr>
      </w:pPr>
      <w:r w:rsidRPr="00C55CBB">
        <w:rPr>
          <w:rFonts w:asciiTheme="minorHAnsi" w:hAnsiTheme="minorHAnsi"/>
          <w:b/>
        </w:rPr>
        <w:t>BACKGROUND</w:t>
      </w:r>
    </w:p>
    <w:p w14:paraId="5BF3E157" w14:textId="79DD91A4" w:rsidR="00E54DB6" w:rsidRDefault="00546A3A">
      <w:pPr>
        <w:rPr>
          <w:rFonts w:asciiTheme="minorHAnsi" w:hAnsiTheme="minorHAnsi"/>
        </w:rPr>
      </w:pPr>
      <w:r w:rsidRPr="00C55CBB">
        <w:rPr>
          <w:rFonts w:asciiTheme="minorHAnsi" w:hAnsiTheme="minorHAnsi"/>
        </w:rPr>
        <w:t xml:space="preserve">The </w:t>
      </w:r>
      <w:r w:rsidR="008F22D6">
        <w:rPr>
          <w:rFonts w:asciiTheme="minorHAnsi" w:hAnsiTheme="minorHAnsi"/>
        </w:rPr>
        <w:t xml:space="preserve">legal </w:t>
      </w:r>
      <w:r w:rsidR="00E54DB6">
        <w:rPr>
          <w:rFonts w:asciiTheme="minorHAnsi" w:hAnsiTheme="minorHAnsi"/>
        </w:rPr>
        <w:t xml:space="preserve">requirement that all ‘relevant persons’ must be made aware of the law relating to money laundering and terrorist financing and </w:t>
      </w:r>
      <w:r w:rsidR="007145B3">
        <w:rPr>
          <w:rFonts w:asciiTheme="minorHAnsi" w:hAnsiTheme="minorHAnsi"/>
        </w:rPr>
        <w:t xml:space="preserve">that they </w:t>
      </w:r>
      <w:r w:rsidR="00E54DB6">
        <w:rPr>
          <w:rFonts w:asciiTheme="minorHAnsi" w:hAnsiTheme="minorHAnsi"/>
        </w:rPr>
        <w:t xml:space="preserve">receive regular training relating </w:t>
      </w:r>
      <w:r w:rsidR="00293249">
        <w:rPr>
          <w:rFonts w:asciiTheme="minorHAnsi" w:hAnsiTheme="minorHAnsi"/>
        </w:rPr>
        <w:t xml:space="preserve">in relation </w:t>
      </w:r>
      <w:r w:rsidR="00E54DB6">
        <w:rPr>
          <w:rFonts w:asciiTheme="minorHAnsi" w:hAnsiTheme="minorHAnsi"/>
        </w:rPr>
        <w:t>to this</w:t>
      </w:r>
      <w:r w:rsidR="0049323A">
        <w:rPr>
          <w:rStyle w:val="FootnoteReference"/>
          <w:rFonts w:asciiTheme="minorHAnsi" w:hAnsiTheme="minorHAnsi"/>
        </w:rPr>
        <w:footnoteReference w:id="1"/>
      </w:r>
      <w:r w:rsidR="00E54DB6">
        <w:rPr>
          <w:rFonts w:asciiTheme="minorHAnsi" w:hAnsiTheme="minorHAnsi"/>
        </w:rPr>
        <w:t xml:space="preserve"> has resulted in </w:t>
      </w:r>
      <w:r w:rsidR="00E54DB6">
        <w:rPr>
          <w:rFonts w:asciiTheme="minorHAnsi" w:hAnsiTheme="minorHAnsi"/>
        </w:rPr>
        <w:t xml:space="preserve">the </w:t>
      </w:r>
      <w:r w:rsidR="00E54DB6" w:rsidRPr="00C55CBB">
        <w:rPr>
          <w:rFonts w:asciiTheme="minorHAnsi" w:hAnsiTheme="minorHAnsi"/>
        </w:rPr>
        <w:t>Law Society of England and Wales</w:t>
      </w:r>
      <w:r w:rsidR="00E54DB6">
        <w:rPr>
          <w:rFonts w:asciiTheme="minorHAnsi" w:hAnsiTheme="minorHAnsi"/>
        </w:rPr>
        <w:t xml:space="preserve"> being found to be in breach of competition law. </w:t>
      </w:r>
    </w:p>
    <w:p w14:paraId="6A1AC3B9" w14:textId="77777777" w:rsidR="00E54DB6" w:rsidRDefault="00E54DB6">
      <w:pPr>
        <w:rPr>
          <w:rFonts w:asciiTheme="minorHAnsi" w:hAnsiTheme="minorHAnsi"/>
        </w:rPr>
      </w:pPr>
    </w:p>
    <w:p w14:paraId="068DEB04" w14:textId="47579070" w:rsidR="007224C1" w:rsidRDefault="007224C1">
      <w:pPr>
        <w:rPr>
          <w:rFonts w:asciiTheme="minorHAnsi" w:hAnsiTheme="minorHAnsi"/>
        </w:rPr>
      </w:pPr>
      <w:r w:rsidRPr="00C55CBB">
        <w:rPr>
          <w:rFonts w:asciiTheme="minorHAnsi" w:hAnsiTheme="minorHAnsi"/>
        </w:rPr>
        <w:t xml:space="preserve">The Law Society is an independent professional body which represents solicitors in promoting the highest professional standards. However on 26 May 2017 the Competition Appeals Tribunal </w:t>
      </w:r>
      <w:r>
        <w:rPr>
          <w:rFonts w:asciiTheme="minorHAnsi" w:hAnsiTheme="minorHAnsi"/>
        </w:rPr>
        <w:t xml:space="preserve">(CAT) </w:t>
      </w:r>
      <w:r w:rsidRPr="00C55CBB">
        <w:rPr>
          <w:rFonts w:asciiTheme="minorHAnsi" w:hAnsiTheme="minorHAnsi"/>
        </w:rPr>
        <w:t xml:space="preserve">published a </w:t>
      </w:r>
      <w:r w:rsidRPr="00CA2270">
        <w:rPr>
          <w:rFonts w:asciiTheme="minorHAnsi" w:hAnsiTheme="minorHAnsi"/>
        </w:rPr>
        <w:t>judgement</w:t>
      </w:r>
      <w:r w:rsidR="00CA2270">
        <w:rPr>
          <w:rStyle w:val="FootnoteReference"/>
          <w:rFonts w:asciiTheme="minorHAnsi" w:hAnsiTheme="minorHAnsi"/>
        </w:rPr>
        <w:footnoteReference w:id="2"/>
      </w:r>
      <w:r w:rsidRPr="00C55CBB">
        <w:rPr>
          <w:rFonts w:asciiTheme="minorHAnsi" w:hAnsiTheme="minorHAnsi"/>
        </w:rPr>
        <w:t xml:space="preserve"> which held that the Law Society had broken UK competition rules over a two year period from </w:t>
      </w:r>
      <w:r>
        <w:rPr>
          <w:rFonts w:asciiTheme="minorHAnsi" w:hAnsiTheme="minorHAnsi"/>
        </w:rPr>
        <w:t xml:space="preserve">the end of </w:t>
      </w:r>
      <w:r w:rsidRPr="00C55CBB">
        <w:rPr>
          <w:rFonts w:asciiTheme="minorHAnsi" w:hAnsiTheme="minorHAnsi"/>
        </w:rPr>
        <w:t>April 2015 to date.</w:t>
      </w:r>
    </w:p>
    <w:p w14:paraId="2908BD55" w14:textId="77777777" w:rsidR="007224C1" w:rsidRDefault="007224C1">
      <w:pPr>
        <w:rPr>
          <w:rFonts w:asciiTheme="minorHAnsi" w:hAnsiTheme="minorHAnsi"/>
        </w:rPr>
      </w:pPr>
    </w:p>
    <w:p w14:paraId="3B2F74A4" w14:textId="3484C796" w:rsidR="00174E3B" w:rsidRDefault="00174E3B" w:rsidP="00174E3B">
      <w:pPr>
        <w:rPr>
          <w:rFonts w:asciiTheme="minorHAnsi" w:hAnsiTheme="minorHAnsi"/>
        </w:rPr>
      </w:pPr>
      <w:r w:rsidRPr="00C55CBB">
        <w:rPr>
          <w:rFonts w:asciiTheme="minorHAnsi" w:hAnsiTheme="minorHAnsi"/>
        </w:rPr>
        <w:t>The case against the Law Society was brought by Socrates</w:t>
      </w:r>
      <w:r>
        <w:rPr>
          <w:rFonts w:asciiTheme="minorHAnsi" w:hAnsiTheme="minorHAnsi"/>
        </w:rPr>
        <w:t xml:space="preserve"> Training Limited (Socrates)</w:t>
      </w:r>
      <w:r w:rsidRPr="00C55CBB">
        <w:rPr>
          <w:rFonts w:asciiTheme="minorHAnsi" w:hAnsiTheme="minorHAnsi"/>
        </w:rPr>
        <w:t xml:space="preserve">, </w:t>
      </w:r>
      <w:r>
        <w:rPr>
          <w:rFonts w:asciiTheme="minorHAnsi" w:hAnsiTheme="minorHAnsi"/>
        </w:rPr>
        <w:t>who describe themselves as ‘the UK’s leading provider of online compliance courses for law firms’</w:t>
      </w:r>
      <w:r w:rsidR="001F1277">
        <w:rPr>
          <w:rStyle w:val="FootnoteReference"/>
          <w:rFonts w:asciiTheme="minorHAnsi" w:hAnsiTheme="minorHAnsi"/>
        </w:rPr>
        <w:footnoteReference w:id="3"/>
      </w:r>
      <w:r>
        <w:rPr>
          <w:rFonts w:asciiTheme="minorHAnsi" w:hAnsiTheme="minorHAnsi"/>
        </w:rPr>
        <w:t>. Socrates primarily provide courses to lawyers and accountants and its flagship course on anti-money laundering accounted for over half of its turnover as at July 2016</w:t>
      </w:r>
      <w:r w:rsidR="000E6CF3">
        <w:rPr>
          <w:rStyle w:val="FootnoteReference"/>
          <w:rFonts w:asciiTheme="minorHAnsi" w:hAnsiTheme="minorHAnsi"/>
        </w:rPr>
        <w:footnoteReference w:id="4"/>
      </w:r>
      <w:r>
        <w:rPr>
          <w:rFonts w:asciiTheme="minorHAnsi" w:hAnsiTheme="minorHAnsi"/>
        </w:rPr>
        <w:t xml:space="preserve">. </w:t>
      </w:r>
    </w:p>
    <w:p w14:paraId="25B79074" w14:textId="77777777" w:rsidR="002E054B" w:rsidRDefault="002E054B">
      <w:pPr>
        <w:rPr>
          <w:rFonts w:asciiTheme="minorHAnsi" w:hAnsiTheme="minorHAnsi"/>
        </w:rPr>
      </w:pPr>
    </w:p>
    <w:p w14:paraId="00F3551C" w14:textId="36E12AEC" w:rsidR="00FA5246" w:rsidRDefault="00F22CC3" w:rsidP="00FA5246">
      <w:pPr>
        <w:rPr>
          <w:rFonts w:asciiTheme="minorHAnsi" w:hAnsiTheme="minorHAnsi"/>
        </w:rPr>
      </w:pPr>
      <w:r>
        <w:rPr>
          <w:rFonts w:asciiTheme="minorHAnsi" w:hAnsiTheme="minorHAnsi"/>
        </w:rPr>
        <w:t xml:space="preserve">Since early 2015 the Law Society made it compulsory for all </w:t>
      </w:r>
      <w:r w:rsidR="00CF749F">
        <w:rPr>
          <w:rFonts w:asciiTheme="minorHAnsi" w:hAnsiTheme="minorHAnsi"/>
        </w:rPr>
        <w:t xml:space="preserve">residential conveyancing </w:t>
      </w:r>
      <w:r>
        <w:rPr>
          <w:rFonts w:asciiTheme="minorHAnsi" w:hAnsiTheme="minorHAnsi"/>
        </w:rPr>
        <w:t xml:space="preserve">law firms who were part of its </w:t>
      </w:r>
      <w:r w:rsidR="00FA5246">
        <w:rPr>
          <w:rFonts w:asciiTheme="minorHAnsi" w:hAnsiTheme="minorHAnsi"/>
        </w:rPr>
        <w:t>Conveyancing Quality Scheme (</w:t>
      </w:r>
      <w:r>
        <w:rPr>
          <w:rFonts w:asciiTheme="minorHAnsi" w:hAnsiTheme="minorHAnsi"/>
        </w:rPr>
        <w:t>CQS</w:t>
      </w:r>
      <w:r w:rsidR="00FA5246">
        <w:rPr>
          <w:rFonts w:asciiTheme="minorHAnsi" w:hAnsiTheme="minorHAnsi"/>
        </w:rPr>
        <w:t>)</w:t>
      </w:r>
      <w:r w:rsidR="00DF3E36">
        <w:rPr>
          <w:rFonts w:asciiTheme="minorHAnsi" w:hAnsiTheme="minorHAnsi"/>
        </w:rPr>
        <w:t xml:space="preserve"> to buy </w:t>
      </w:r>
      <w:r w:rsidR="00707D32">
        <w:rPr>
          <w:rFonts w:asciiTheme="minorHAnsi" w:hAnsiTheme="minorHAnsi"/>
        </w:rPr>
        <w:t xml:space="preserve">anti-money laundering and mortgage fraud training </w:t>
      </w:r>
      <w:r w:rsidR="00C17AE0">
        <w:rPr>
          <w:rFonts w:asciiTheme="minorHAnsi" w:hAnsiTheme="minorHAnsi"/>
        </w:rPr>
        <w:t xml:space="preserve">modules </w:t>
      </w:r>
      <w:r w:rsidR="00FA5246">
        <w:rPr>
          <w:rFonts w:asciiTheme="minorHAnsi" w:hAnsiTheme="minorHAnsi"/>
        </w:rPr>
        <w:t xml:space="preserve">only </w:t>
      </w:r>
      <w:r w:rsidR="00707D32">
        <w:rPr>
          <w:rFonts w:asciiTheme="minorHAnsi" w:hAnsiTheme="minorHAnsi"/>
        </w:rPr>
        <w:t xml:space="preserve">from the Law Society. Both of these training courses are compulsory for </w:t>
      </w:r>
      <w:r w:rsidR="00D92140">
        <w:rPr>
          <w:rFonts w:asciiTheme="minorHAnsi" w:hAnsiTheme="minorHAnsi"/>
        </w:rPr>
        <w:t>relevant persons who provide services in</w:t>
      </w:r>
      <w:r w:rsidR="00FE0FD7">
        <w:rPr>
          <w:rFonts w:asciiTheme="minorHAnsi" w:hAnsiTheme="minorHAnsi"/>
        </w:rPr>
        <w:t xml:space="preserve"> relation to buying or selling property </w:t>
      </w:r>
      <w:r w:rsidR="00707D32" w:rsidRPr="00F422BA">
        <w:rPr>
          <w:rFonts w:asciiTheme="minorHAnsi" w:hAnsiTheme="minorHAnsi"/>
        </w:rPr>
        <w:t xml:space="preserve">pursuant to </w:t>
      </w:r>
      <w:r w:rsidR="005B32C9" w:rsidRPr="005B32C9">
        <w:rPr>
          <w:rFonts w:asciiTheme="minorHAnsi" w:hAnsiTheme="minorHAnsi"/>
        </w:rPr>
        <w:t>reg 21 of the Money Laundering Regulations 2007</w:t>
      </w:r>
      <w:r w:rsidR="00707D32" w:rsidRPr="00F422BA">
        <w:rPr>
          <w:rFonts w:asciiTheme="minorHAnsi" w:hAnsiTheme="minorHAnsi"/>
        </w:rPr>
        <w:t>.</w:t>
      </w:r>
      <w:r w:rsidR="00707D32">
        <w:rPr>
          <w:rFonts w:asciiTheme="minorHAnsi" w:hAnsiTheme="minorHAnsi"/>
        </w:rPr>
        <w:t xml:space="preserve"> </w:t>
      </w:r>
    </w:p>
    <w:p w14:paraId="6D3F8997" w14:textId="77777777" w:rsidR="005B32C9" w:rsidRDefault="005B32C9" w:rsidP="00FA5246">
      <w:pPr>
        <w:rPr>
          <w:rFonts w:asciiTheme="minorHAnsi" w:hAnsiTheme="minorHAnsi"/>
        </w:rPr>
      </w:pPr>
    </w:p>
    <w:p w14:paraId="22CF2E96" w14:textId="77777777" w:rsidR="005B32C9" w:rsidRDefault="005B32C9" w:rsidP="005B32C9">
      <w:pPr>
        <w:rPr>
          <w:rFonts w:asciiTheme="minorHAnsi" w:hAnsiTheme="minorHAnsi"/>
        </w:rPr>
      </w:pPr>
      <w:r>
        <w:rPr>
          <w:rFonts w:asciiTheme="minorHAnsi" w:hAnsiTheme="minorHAnsi"/>
        </w:rPr>
        <w:t>‘Relevant persons’, for the purposes of the Money Laundering Regulations 2007 (shortly to be replaced by the Money Laundering Regulations 2017) include ‘independent legal professionals’ and apply to any law firm who provides legal services in connection with the purchase or sale of property. This is relevant for any law firm who assists clients in buying or selling a house.</w:t>
      </w:r>
    </w:p>
    <w:p w14:paraId="40387572" w14:textId="77777777" w:rsidR="00FA5246" w:rsidRDefault="00FA5246" w:rsidP="00FA5246">
      <w:pPr>
        <w:rPr>
          <w:rFonts w:asciiTheme="minorHAnsi" w:hAnsiTheme="minorHAnsi"/>
        </w:rPr>
      </w:pPr>
    </w:p>
    <w:p w14:paraId="76C6568B" w14:textId="49B3EF68" w:rsidR="0054640D" w:rsidRDefault="00107DDC">
      <w:pPr>
        <w:rPr>
          <w:rFonts w:asciiTheme="minorHAnsi" w:hAnsiTheme="minorHAnsi"/>
        </w:rPr>
      </w:pPr>
      <w:r>
        <w:rPr>
          <w:rFonts w:asciiTheme="minorHAnsi" w:hAnsiTheme="minorHAnsi"/>
        </w:rPr>
        <w:t xml:space="preserve">The CAT judgement </w:t>
      </w:r>
      <w:r w:rsidR="00E627F6">
        <w:rPr>
          <w:rFonts w:asciiTheme="minorHAnsi" w:hAnsiTheme="minorHAnsi"/>
        </w:rPr>
        <w:t xml:space="preserve">of 26 May </w:t>
      </w:r>
      <w:r>
        <w:rPr>
          <w:rFonts w:asciiTheme="minorHAnsi" w:hAnsiTheme="minorHAnsi"/>
        </w:rPr>
        <w:t>found that the competition law breach by the Law Society had only arisen since the end of April 2015. This finding was partly due to the fact that s</w:t>
      </w:r>
      <w:r w:rsidR="00FA5246">
        <w:rPr>
          <w:rFonts w:asciiTheme="minorHAnsi" w:hAnsiTheme="minorHAnsi"/>
        </w:rPr>
        <w:t>ince 2015 38% of mortgage lending was by lenders who required CQS accreditation from their panel firms – a significant increase of some 65% from the previous year</w:t>
      </w:r>
      <w:r w:rsidR="00E627F6">
        <w:rPr>
          <w:rStyle w:val="FootnoteReference"/>
          <w:rFonts w:asciiTheme="minorHAnsi" w:hAnsiTheme="minorHAnsi"/>
        </w:rPr>
        <w:footnoteReference w:id="5"/>
      </w:r>
      <w:r w:rsidR="00FA5246">
        <w:rPr>
          <w:rFonts w:asciiTheme="minorHAnsi" w:hAnsiTheme="minorHAnsi"/>
        </w:rPr>
        <w:t xml:space="preserve">. </w:t>
      </w:r>
      <w:r w:rsidR="00FA5246">
        <w:rPr>
          <w:rFonts w:asciiTheme="minorHAnsi" w:hAnsiTheme="minorHAnsi"/>
        </w:rPr>
        <w:t>This means that a large</w:t>
      </w:r>
      <w:r w:rsidR="007E2CC8">
        <w:rPr>
          <w:rFonts w:asciiTheme="minorHAnsi" w:hAnsiTheme="minorHAnsi"/>
        </w:rPr>
        <w:t xml:space="preserve"> and rapidly increasing</w:t>
      </w:r>
      <w:r w:rsidR="00FA5246">
        <w:rPr>
          <w:rFonts w:asciiTheme="minorHAnsi" w:hAnsiTheme="minorHAnsi"/>
        </w:rPr>
        <w:t xml:space="preserve"> part of the market for the provision of training courses on anti-money laundering and mortgage fraud was tied up by the Law Society since the end of April 2015.</w:t>
      </w:r>
      <w:r>
        <w:rPr>
          <w:rFonts w:asciiTheme="minorHAnsi" w:hAnsiTheme="minorHAnsi"/>
        </w:rPr>
        <w:t xml:space="preserve"> It was also since around April 2015 that the Law Society had made it compulsory for </w:t>
      </w:r>
      <w:r>
        <w:rPr>
          <w:rFonts w:asciiTheme="minorHAnsi" w:hAnsiTheme="minorHAnsi"/>
        </w:rPr>
        <w:lastRenderedPageBreak/>
        <w:t xml:space="preserve">firms who were CQS accredited to purchase the anti money laundering and mortgage fraud training courses exclusively from itself. </w:t>
      </w:r>
    </w:p>
    <w:p w14:paraId="4D61A9C5" w14:textId="77777777" w:rsidR="00FA5246" w:rsidRDefault="00FA5246">
      <w:pPr>
        <w:rPr>
          <w:rFonts w:asciiTheme="minorHAnsi" w:hAnsiTheme="minorHAnsi"/>
        </w:rPr>
      </w:pPr>
    </w:p>
    <w:p w14:paraId="36BAD8A3" w14:textId="3308CE8D" w:rsidR="00FA5246" w:rsidRDefault="00FA5246">
      <w:pPr>
        <w:rPr>
          <w:rFonts w:asciiTheme="minorHAnsi" w:hAnsiTheme="minorHAnsi"/>
        </w:rPr>
      </w:pPr>
      <w:r>
        <w:rPr>
          <w:rFonts w:asciiTheme="minorHAnsi" w:hAnsiTheme="minorHAnsi"/>
        </w:rPr>
        <w:t xml:space="preserve">Socrates claimed that the Law Society’s actions </w:t>
      </w:r>
      <w:r w:rsidR="00216868">
        <w:rPr>
          <w:rFonts w:asciiTheme="minorHAnsi" w:hAnsiTheme="minorHAnsi"/>
        </w:rPr>
        <w:t xml:space="preserve">in requiring all CQS accredited law firms to obtain training on these two modules exclusively from the Law Society </w:t>
      </w:r>
      <w:r>
        <w:rPr>
          <w:rFonts w:asciiTheme="minorHAnsi" w:hAnsiTheme="minorHAnsi"/>
        </w:rPr>
        <w:t>were in breach of the Chapter I and II prohibitions of the Competition Act 1998. Socrates’ case focussed on the Chapter II prohibition.</w:t>
      </w:r>
    </w:p>
    <w:p w14:paraId="52978C00" w14:textId="77777777" w:rsidR="0054640D" w:rsidRDefault="0054640D">
      <w:pPr>
        <w:rPr>
          <w:rFonts w:asciiTheme="minorHAnsi" w:hAnsiTheme="minorHAnsi"/>
        </w:rPr>
      </w:pPr>
    </w:p>
    <w:p w14:paraId="7D870734" w14:textId="1938F42F" w:rsidR="00232969" w:rsidRDefault="00232969">
      <w:pPr>
        <w:rPr>
          <w:rFonts w:asciiTheme="minorHAnsi" w:hAnsiTheme="minorHAnsi"/>
        </w:rPr>
      </w:pPr>
      <w:r w:rsidRPr="00C55CBB">
        <w:rPr>
          <w:rFonts w:asciiTheme="minorHAnsi" w:hAnsiTheme="minorHAnsi"/>
        </w:rPr>
        <w:t xml:space="preserve">The </w:t>
      </w:r>
      <w:r w:rsidR="003C09EF" w:rsidRPr="00C55CBB">
        <w:rPr>
          <w:rFonts w:asciiTheme="minorHAnsi" w:hAnsiTheme="minorHAnsi"/>
        </w:rPr>
        <w:t xml:space="preserve">prohibition in </w:t>
      </w:r>
      <w:r w:rsidRPr="00C55CBB">
        <w:rPr>
          <w:rFonts w:asciiTheme="minorHAnsi" w:hAnsiTheme="minorHAnsi"/>
        </w:rPr>
        <w:t xml:space="preserve">Chapter II </w:t>
      </w:r>
      <w:r w:rsidR="003C09EF" w:rsidRPr="00C55CBB">
        <w:rPr>
          <w:rFonts w:asciiTheme="minorHAnsi" w:hAnsiTheme="minorHAnsi"/>
        </w:rPr>
        <w:t>of the Competition Act 1998</w:t>
      </w:r>
      <w:r w:rsidR="00693F54">
        <w:rPr>
          <w:rFonts w:asciiTheme="minorHAnsi" w:hAnsiTheme="minorHAnsi"/>
        </w:rPr>
        <w:t>, which was the main focus of this case,</w:t>
      </w:r>
      <w:r w:rsidRPr="00C55CBB">
        <w:rPr>
          <w:rFonts w:asciiTheme="minorHAnsi" w:hAnsiTheme="minorHAnsi"/>
        </w:rPr>
        <w:t xml:space="preserve"> prohibits businesses which hold a dominant market position</w:t>
      </w:r>
      <w:r w:rsidR="003C09EF" w:rsidRPr="00C55CBB">
        <w:rPr>
          <w:rFonts w:asciiTheme="minorHAnsi" w:hAnsiTheme="minorHAnsi"/>
        </w:rPr>
        <w:t xml:space="preserve"> (normally over 45-50% of the relevant market) from abusing that position. </w:t>
      </w:r>
      <w:r w:rsidR="00074954">
        <w:rPr>
          <w:rFonts w:asciiTheme="minorHAnsi" w:hAnsiTheme="minorHAnsi"/>
        </w:rPr>
        <w:t xml:space="preserve">As part of its judgement the Competition Appeals Tribunal held that the Law Society held a dominant market position in the relevant market from April 2015 onwards. The relevant market was defined in the case as being </w:t>
      </w:r>
      <w:r w:rsidR="00074954" w:rsidRPr="00C55CBB">
        <w:rPr>
          <w:rFonts w:asciiTheme="minorHAnsi" w:hAnsiTheme="minorHAnsi"/>
        </w:rPr>
        <w:t xml:space="preserve">the market for the supply of training courses in anti money laundering, mortgage fraud and financial crime to law firms. </w:t>
      </w:r>
      <w:r w:rsidR="00074954">
        <w:rPr>
          <w:rFonts w:asciiTheme="minorHAnsi" w:hAnsiTheme="minorHAnsi"/>
        </w:rPr>
        <w:t xml:space="preserve">The abusive behaviour that the Law Society was held to have carried out in this case was the </w:t>
      </w:r>
      <w:r w:rsidR="003C09EF" w:rsidRPr="00C55CBB">
        <w:rPr>
          <w:rFonts w:asciiTheme="minorHAnsi" w:hAnsiTheme="minorHAnsi"/>
        </w:rPr>
        <w:t xml:space="preserve">tying or bundling </w:t>
      </w:r>
      <w:r w:rsidR="00A33755">
        <w:rPr>
          <w:rFonts w:asciiTheme="minorHAnsi" w:hAnsiTheme="minorHAnsi"/>
        </w:rPr>
        <w:t xml:space="preserve">of </w:t>
      </w:r>
      <w:r w:rsidR="003C09EF" w:rsidRPr="00C55CBB">
        <w:rPr>
          <w:rFonts w:asciiTheme="minorHAnsi" w:hAnsiTheme="minorHAnsi"/>
        </w:rPr>
        <w:t xml:space="preserve">different products </w:t>
      </w:r>
      <w:r w:rsidR="00F552D5" w:rsidRPr="00C55CBB">
        <w:rPr>
          <w:rFonts w:asciiTheme="minorHAnsi" w:hAnsiTheme="minorHAnsi"/>
        </w:rPr>
        <w:t>together without good reason</w:t>
      </w:r>
      <w:r w:rsidR="00F552D5">
        <w:rPr>
          <w:rFonts w:asciiTheme="minorHAnsi" w:hAnsiTheme="minorHAnsi"/>
        </w:rPr>
        <w:t>. In this case the Law Society was found to have tied</w:t>
      </w:r>
      <w:r w:rsidR="00A33F1D">
        <w:rPr>
          <w:rFonts w:asciiTheme="minorHAnsi" w:hAnsiTheme="minorHAnsi"/>
        </w:rPr>
        <w:t>/bundled</w:t>
      </w:r>
      <w:r w:rsidR="00F552D5">
        <w:rPr>
          <w:rFonts w:asciiTheme="minorHAnsi" w:hAnsiTheme="minorHAnsi"/>
        </w:rPr>
        <w:t xml:space="preserve"> </w:t>
      </w:r>
      <w:r w:rsidR="004F6C21">
        <w:rPr>
          <w:rFonts w:asciiTheme="minorHAnsi" w:hAnsiTheme="minorHAnsi"/>
        </w:rPr>
        <w:t xml:space="preserve">the purchase of </w:t>
      </w:r>
      <w:r w:rsidR="00427972">
        <w:rPr>
          <w:rFonts w:asciiTheme="minorHAnsi" w:hAnsiTheme="minorHAnsi"/>
        </w:rPr>
        <w:t>the anti-money laundering and mortgage fraud</w:t>
      </w:r>
      <w:r w:rsidR="00074954">
        <w:rPr>
          <w:rFonts w:asciiTheme="minorHAnsi" w:hAnsiTheme="minorHAnsi"/>
        </w:rPr>
        <w:t xml:space="preserve"> training courses </w:t>
      </w:r>
      <w:r w:rsidR="004F6C21">
        <w:rPr>
          <w:rFonts w:asciiTheme="minorHAnsi" w:hAnsiTheme="minorHAnsi"/>
        </w:rPr>
        <w:t xml:space="preserve">from itself </w:t>
      </w:r>
      <w:r w:rsidR="00F629E2">
        <w:rPr>
          <w:rFonts w:asciiTheme="minorHAnsi" w:hAnsiTheme="minorHAnsi"/>
        </w:rPr>
        <w:t>to</w:t>
      </w:r>
      <w:r w:rsidR="00074954">
        <w:rPr>
          <w:rFonts w:asciiTheme="minorHAnsi" w:hAnsiTheme="minorHAnsi"/>
        </w:rPr>
        <w:t xml:space="preserve"> the CQS </w:t>
      </w:r>
      <w:r w:rsidR="007B7A2C">
        <w:rPr>
          <w:rFonts w:asciiTheme="minorHAnsi" w:hAnsiTheme="minorHAnsi"/>
        </w:rPr>
        <w:t>accreditation</w:t>
      </w:r>
      <w:r w:rsidR="003C09EF" w:rsidRPr="00C55CBB">
        <w:rPr>
          <w:rFonts w:asciiTheme="minorHAnsi" w:hAnsiTheme="minorHAnsi"/>
        </w:rPr>
        <w:t xml:space="preserve">. </w:t>
      </w:r>
    </w:p>
    <w:p w14:paraId="1A8CD6A3" w14:textId="77777777" w:rsidR="004B127E" w:rsidRDefault="004B127E">
      <w:pPr>
        <w:rPr>
          <w:rFonts w:asciiTheme="minorHAnsi" w:hAnsiTheme="minorHAnsi"/>
        </w:rPr>
      </w:pPr>
    </w:p>
    <w:p w14:paraId="2812FD90" w14:textId="77727DE5" w:rsidR="004B127E" w:rsidRPr="00C55CBB" w:rsidRDefault="004B127E">
      <w:pPr>
        <w:rPr>
          <w:rFonts w:asciiTheme="minorHAnsi" w:hAnsiTheme="minorHAnsi"/>
        </w:rPr>
      </w:pPr>
      <w:r>
        <w:rPr>
          <w:rFonts w:asciiTheme="minorHAnsi" w:hAnsiTheme="minorHAnsi"/>
        </w:rPr>
        <w:t>The Law Society’s defence that it was objectively justified in requiring</w:t>
      </w:r>
      <w:r w:rsidR="00427972">
        <w:rPr>
          <w:rFonts w:asciiTheme="minorHAnsi" w:hAnsiTheme="minorHAnsi"/>
        </w:rPr>
        <w:t xml:space="preserve"> that</w:t>
      </w:r>
      <w:r>
        <w:rPr>
          <w:rFonts w:asciiTheme="minorHAnsi" w:hAnsiTheme="minorHAnsi"/>
        </w:rPr>
        <w:t xml:space="preserve"> the relevant courses must be obtained exclusively from itself was rejected on the basis that (amongst other things) the Law Society’s training courses were prepared independent</w:t>
      </w:r>
      <w:r w:rsidR="00A33F1D">
        <w:rPr>
          <w:rFonts w:asciiTheme="minorHAnsi" w:hAnsiTheme="minorHAnsi"/>
        </w:rPr>
        <w:t>ly</w:t>
      </w:r>
      <w:r>
        <w:rPr>
          <w:rFonts w:asciiTheme="minorHAnsi" w:hAnsiTheme="minorHAnsi"/>
        </w:rPr>
        <w:t xml:space="preserve"> on behalf of the Law Society and/or commissioned from consultants</w:t>
      </w:r>
      <w:r w:rsidR="00A33F1D">
        <w:rPr>
          <w:rFonts w:asciiTheme="minorHAnsi" w:hAnsiTheme="minorHAnsi"/>
        </w:rPr>
        <w:t>,</w:t>
      </w:r>
      <w:r>
        <w:rPr>
          <w:rFonts w:asciiTheme="minorHAnsi" w:hAnsiTheme="minorHAnsi"/>
        </w:rPr>
        <w:t xml:space="preserve"> in the same way that Socrates might prepare its courses.</w:t>
      </w:r>
    </w:p>
    <w:p w14:paraId="3DD1E349" w14:textId="77777777" w:rsidR="0073748B" w:rsidRPr="00C55CBB" w:rsidRDefault="0073748B">
      <w:pPr>
        <w:rPr>
          <w:rFonts w:asciiTheme="minorHAnsi" w:hAnsiTheme="minorHAnsi"/>
        </w:rPr>
      </w:pPr>
    </w:p>
    <w:p w14:paraId="380935F8" w14:textId="7EAB88C2" w:rsidR="0073748B" w:rsidRPr="00C55CBB" w:rsidRDefault="0073748B">
      <w:pPr>
        <w:rPr>
          <w:rFonts w:asciiTheme="minorHAnsi" w:hAnsiTheme="minorHAnsi"/>
        </w:rPr>
      </w:pPr>
      <w:r w:rsidRPr="00C55CBB">
        <w:rPr>
          <w:rFonts w:asciiTheme="minorHAnsi" w:hAnsiTheme="minorHAnsi"/>
        </w:rPr>
        <w:t xml:space="preserve">Next steps: </w:t>
      </w:r>
      <w:r w:rsidR="004C0610" w:rsidRPr="00C55CBB">
        <w:rPr>
          <w:rFonts w:asciiTheme="minorHAnsi" w:hAnsiTheme="minorHAnsi"/>
        </w:rPr>
        <w:t xml:space="preserve">following its judgement as to liability, </w:t>
      </w:r>
      <w:r w:rsidRPr="00C55CBB">
        <w:rPr>
          <w:rFonts w:asciiTheme="minorHAnsi" w:hAnsiTheme="minorHAnsi"/>
        </w:rPr>
        <w:t xml:space="preserve">the Competition Appeals Tribunal will next assess damages. According to a </w:t>
      </w:r>
      <w:r w:rsidRPr="00C34F04">
        <w:rPr>
          <w:rFonts w:asciiTheme="minorHAnsi" w:hAnsiTheme="minorHAnsi"/>
        </w:rPr>
        <w:t>press release</w:t>
      </w:r>
      <w:r w:rsidRPr="00C55CBB">
        <w:rPr>
          <w:rFonts w:asciiTheme="minorHAnsi" w:hAnsiTheme="minorHAnsi"/>
        </w:rPr>
        <w:t xml:space="preserve"> from Socrates</w:t>
      </w:r>
      <w:r w:rsidR="00C34F04">
        <w:rPr>
          <w:rStyle w:val="FootnoteReference"/>
          <w:rFonts w:asciiTheme="minorHAnsi" w:hAnsiTheme="minorHAnsi"/>
        </w:rPr>
        <w:footnoteReference w:id="6"/>
      </w:r>
      <w:r w:rsidRPr="00C55CBB">
        <w:rPr>
          <w:rFonts w:asciiTheme="minorHAnsi" w:hAnsiTheme="minorHAnsi"/>
        </w:rPr>
        <w:t xml:space="preserve">, their legal costs alone are in excess of £300,000. </w:t>
      </w:r>
    </w:p>
    <w:p w14:paraId="37495551" w14:textId="77777777" w:rsidR="00D769EB" w:rsidRPr="00C55CBB" w:rsidRDefault="00D769EB">
      <w:pPr>
        <w:rPr>
          <w:rFonts w:asciiTheme="minorHAnsi" w:hAnsiTheme="minorHAnsi"/>
        </w:rPr>
      </w:pPr>
    </w:p>
    <w:p w14:paraId="135ADD85" w14:textId="353B0416" w:rsidR="00D769EB" w:rsidRPr="00C55CBB" w:rsidRDefault="00530F8B">
      <w:pPr>
        <w:rPr>
          <w:rFonts w:asciiTheme="minorHAnsi" w:hAnsiTheme="minorHAnsi"/>
          <w:b/>
        </w:rPr>
      </w:pPr>
      <w:r w:rsidRPr="00C55CBB">
        <w:rPr>
          <w:rFonts w:asciiTheme="minorHAnsi" w:hAnsiTheme="minorHAnsi"/>
          <w:b/>
        </w:rPr>
        <w:t>ANALYSIS</w:t>
      </w:r>
    </w:p>
    <w:p w14:paraId="1E215AF2" w14:textId="60F6686F" w:rsidR="005E150F" w:rsidRDefault="002260E4" w:rsidP="005E150F">
      <w:pPr>
        <w:rPr>
          <w:rFonts w:asciiTheme="minorHAnsi" w:eastAsia="Times New Roman" w:hAnsiTheme="minorHAnsi"/>
          <w:color w:val="1F1F1F"/>
          <w:shd w:val="clear" w:color="auto" w:fill="FFFFFF"/>
        </w:rPr>
      </w:pPr>
      <w:r w:rsidRPr="00C55CBB">
        <w:rPr>
          <w:rFonts w:asciiTheme="minorHAnsi" w:hAnsiTheme="minorHAnsi"/>
        </w:rPr>
        <w:t xml:space="preserve">This judgement against the Law Society is </w:t>
      </w:r>
      <w:r w:rsidR="00375FBA">
        <w:rPr>
          <w:rFonts w:asciiTheme="minorHAnsi" w:hAnsiTheme="minorHAnsi"/>
        </w:rPr>
        <w:t xml:space="preserve">significant </w:t>
      </w:r>
      <w:r w:rsidR="00F629E2">
        <w:rPr>
          <w:rFonts w:asciiTheme="minorHAnsi" w:hAnsiTheme="minorHAnsi"/>
        </w:rPr>
        <w:t xml:space="preserve">because it </w:t>
      </w:r>
      <w:r w:rsidR="00AF3A4C" w:rsidRPr="00A949FF">
        <w:rPr>
          <w:rFonts w:asciiTheme="minorHAnsi" w:hAnsiTheme="minorHAnsi"/>
        </w:rPr>
        <w:t>highlights the c</w:t>
      </w:r>
      <w:r w:rsidR="00942390" w:rsidRPr="00A949FF">
        <w:rPr>
          <w:rFonts w:asciiTheme="minorHAnsi" w:hAnsiTheme="minorHAnsi"/>
        </w:rPr>
        <w:t xml:space="preserve">onflict between the provision of </w:t>
      </w:r>
      <w:r w:rsidR="00AF3A4C" w:rsidRPr="00A949FF">
        <w:rPr>
          <w:rFonts w:asciiTheme="minorHAnsi" w:hAnsiTheme="minorHAnsi"/>
        </w:rPr>
        <w:t xml:space="preserve">a public interest service </w:t>
      </w:r>
      <w:r w:rsidR="00F05CAA" w:rsidRPr="00A949FF">
        <w:rPr>
          <w:rFonts w:asciiTheme="minorHAnsi" w:hAnsiTheme="minorHAnsi"/>
        </w:rPr>
        <w:t>and revenue making activities</w:t>
      </w:r>
      <w:r w:rsidR="008E1610">
        <w:rPr>
          <w:rFonts w:asciiTheme="minorHAnsi" w:hAnsiTheme="minorHAnsi"/>
        </w:rPr>
        <w:t xml:space="preserve"> carried out by the same organisation</w:t>
      </w:r>
      <w:r w:rsidR="00F05CAA" w:rsidRPr="00A949FF">
        <w:rPr>
          <w:rFonts w:asciiTheme="minorHAnsi" w:hAnsiTheme="minorHAnsi"/>
        </w:rPr>
        <w:t>. T</w:t>
      </w:r>
      <w:r w:rsidR="00AF3A4C" w:rsidRPr="00A949FF">
        <w:rPr>
          <w:rFonts w:asciiTheme="minorHAnsi" w:hAnsiTheme="minorHAnsi"/>
        </w:rPr>
        <w:t xml:space="preserve">he </w:t>
      </w:r>
      <w:r w:rsidR="00F05CAA" w:rsidRPr="00A949FF">
        <w:rPr>
          <w:rFonts w:asciiTheme="minorHAnsi" w:hAnsiTheme="minorHAnsi"/>
        </w:rPr>
        <w:t xml:space="preserve">Law Society’s </w:t>
      </w:r>
      <w:r w:rsidR="00AF3A4C" w:rsidRPr="00A949FF">
        <w:rPr>
          <w:rFonts w:asciiTheme="minorHAnsi" w:hAnsiTheme="minorHAnsi"/>
        </w:rPr>
        <w:t xml:space="preserve">CQS </w:t>
      </w:r>
      <w:r w:rsidR="00F83B23" w:rsidRPr="00A949FF">
        <w:rPr>
          <w:rFonts w:asciiTheme="minorHAnsi" w:hAnsiTheme="minorHAnsi"/>
        </w:rPr>
        <w:t xml:space="preserve">accreditation </w:t>
      </w:r>
      <w:r w:rsidR="00AF3A4C" w:rsidRPr="00A949FF">
        <w:rPr>
          <w:rFonts w:asciiTheme="minorHAnsi" w:hAnsiTheme="minorHAnsi"/>
        </w:rPr>
        <w:t>was put into place to ensure that mortgage lenders and clients could be sure that the law firm dealing with their matter</w:t>
      </w:r>
      <w:r w:rsidR="00FD5060" w:rsidRPr="00A949FF">
        <w:rPr>
          <w:rFonts w:asciiTheme="minorHAnsi" w:hAnsiTheme="minorHAnsi"/>
        </w:rPr>
        <w:t xml:space="preserve"> </w:t>
      </w:r>
      <w:r w:rsidR="00FD5060" w:rsidRPr="00A949FF">
        <w:rPr>
          <w:rFonts w:asciiTheme="minorHAnsi" w:eastAsia="Times New Roman" w:hAnsiTheme="minorHAnsi"/>
          <w:color w:val="1F1F1F"/>
          <w:shd w:val="clear" w:color="auto" w:fill="FFFFFF"/>
        </w:rPr>
        <w:t>follow</w:t>
      </w:r>
      <w:r w:rsidR="00CC6179" w:rsidRPr="00A949FF">
        <w:rPr>
          <w:rFonts w:asciiTheme="minorHAnsi" w:eastAsia="Times New Roman" w:hAnsiTheme="minorHAnsi"/>
          <w:color w:val="1F1F1F"/>
          <w:shd w:val="clear" w:color="auto" w:fill="FFFFFF"/>
        </w:rPr>
        <w:t>s</w:t>
      </w:r>
      <w:r w:rsidR="00FD5060" w:rsidRPr="00A949FF">
        <w:rPr>
          <w:rFonts w:asciiTheme="minorHAnsi" w:eastAsia="Times New Roman" w:hAnsiTheme="minorHAnsi"/>
          <w:color w:val="1F1F1F"/>
          <w:shd w:val="clear" w:color="auto" w:fill="FFFFFF"/>
        </w:rPr>
        <w:t xml:space="preserve"> best practice, meet</w:t>
      </w:r>
      <w:r w:rsidR="00CC6179" w:rsidRPr="00A949FF">
        <w:rPr>
          <w:rFonts w:asciiTheme="minorHAnsi" w:eastAsia="Times New Roman" w:hAnsiTheme="minorHAnsi"/>
          <w:color w:val="1F1F1F"/>
          <w:shd w:val="clear" w:color="auto" w:fill="FFFFFF"/>
        </w:rPr>
        <w:t>s</w:t>
      </w:r>
      <w:r w:rsidR="00FD5060" w:rsidRPr="00A949FF">
        <w:rPr>
          <w:rFonts w:asciiTheme="minorHAnsi" w:eastAsia="Times New Roman" w:hAnsiTheme="minorHAnsi"/>
          <w:color w:val="1F1F1F"/>
          <w:shd w:val="clear" w:color="auto" w:fill="FFFFFF"/>
        </w:rPr>
        <w:t xml:space="preserve"> the highest standards of technical expertise and client service and </w:t>
      </w:r>
      <w:r w:rsidR="00CC6179" w:rsidRPr="00A949FF">
        <w:rPr>
          <w:rFonts w:asciiTheme="minorHAnsi" w:eastAsia="Times New Roman" w:hAnsiTheme="minorHAnsi"/>
          <w:color w:val="1F1F1F"/>
          <w:shd w:val="clear" w:color="auto" w:fill="FFFFFF"/>
        </w:rPr>
        <w:t xml:space="preserve">is </w:t>
      </w:r>
      <w:r w:rsidR="00FD5060" w:rsidRPr="00A949FF">
        <w:rPr>
          <w:rFonts w:asciiTheme="minorHAnsi" w:eastAsia="Times New Roman" w:hAnsiTheme="minorHAnsi"/>
          <w:color w:val="1F1F1F"/>
          <w:shd w:val="clear" w:color="auto" w:fill="FFFFFF"/>
        </w:rPr>
        <w:t>able to satisfy regulators, lenders and insurers</w:t>
      </w:r>
      <w:r w:rsidR="00CC6179" w:rsidRPr="00A949FF">
        <w:rPr>
          <w:rFonts w:asciiTheme="minorHAnsi" w:eastAsia="Times New Roman" w:hAnsiTheme="minorHAnsi"/>
          <w:color w:val="1F1F1F"/>
          <w:shd w:val="clear" w:color="auto" w:fill="FFFFFF"/>
        </w:rPr>
        <w:t>.</w:t>
      </w:r>
      <w:r w:rsidR="00CC6179" w:rsidRPr="00A949FF">
        <w:rPr>
          <w:rStyle w:val="FootnoteReference"/>
          <w:rFonts w:asciiTheme="minorHAnsi" w:eastAsia="Times New Roman" w:hAnsiTheme="minorHAnsi"/>
          <w:color w:val="1F1F1F"/>
          <w:shd w:val="clear" w:color="auto" w:fill="FFFFFF"/>
        </w:rPr>
        <w:footnoteReference w:id="7"/>
      </w:r>
      <w:r w:rsidR="005E150F">
        <w:rPr>
          <w:rFonts w:asciiTheme="minorHAnsi" w:eastAsia="Times New Roman" w:hAnsiTheme="minorHAnsi"/>
          <w:color w:val="1F1F1F"/>
          <w:shd w:val="clear" w:color="auto" w:fill="FFFFFF"/>
        </w:rPr>
        <w:t xml:space="preserve"> </w:t>
      </w:r>
    </w:p>
    <w:p w14:paraId="326442A2" w14:textId="77777777" w:rsidR="005E150F" w:rsidRDefault="005E150F" w:rsidP="005E150F">
      <w:pPr>
        <w:rPr>
          <w:rFonts w:asciiTheme="minorHAnsi" w:eastAsia="Times New Roman" w:hAnsiTheme="minorHAnsi"/>
          <w:color w:val="1F1F1F"/>
          <w:shd w:val="clear" w:color="auto" w:fill="FFFFFF"/>
        </w:rPr>
      </w:pPr>
    </w:p>
    <w:p w14:paraId="7C5293F5" w14:textId="6811588B" w:rsidR="004D643C" w:rsidRDefault="005E150F" w:rsidP="004D643C">
      <w:pPr>
        <w:rPr>
          <w:rFonts w:asciiTheme="minorHAnsi" w:hAnsiTheme="minorHAnsi"/>
        </w:rPr>
      </w:pPr>
      <w:r>
        <w:rPr>
          <w:rFonts w:asciiTheme="minorHAnsi" w:hAnsiTheme="minorHAnsi"/>
        </w:rPr>
        <w:t>T</w:t>
      </w:r>
      <w:r>
        <w:rPr>
          <w:rFonts w:asciiTheme="minorHAnsi" w:hAnsiTheme="minorHAnsi"/>
        </w:rPr>
        <w:t xml:space="preserve">he CQS </w:t>
      </w:r>
      <w:r w:rsidR="00F629E2">
        <w:rPr>
          <w:rFonts w:asciiTheme="minorHAnsi" w:hAnsiTheme="minorHAnsi"/>
        </w:rPr>
        <w:t xml:space="preserve">accreditation </w:t>
      </w:r>
      <w:r w:rsidR="008E1610">
        <w:rPr>
          <w:rFonts w:asciiTheme="minorHAnsi" w:hAnsiTheme="minorHAnsi"/>
        </w:rPr>
        <w:t>wa</w:t>
      </w:r>
      <w:r>
        <w:rPr>
          <w:rFonts w:asciiTheme="minorHAnsi" w:hAnsiTheme="minorHAnsi"/>
        </w:rPr>
        <w:t xml:space="preserve">s designed to ensure that residential conveyancing </w:t>
      </w:r>
      <w:r w:rsidR="008E1610">
        <w:rPr>
          <w:rFonts w:asciiTheme="minorHAnsi" w:hAnsiTheme="minorHAnsi"/>
        </w:rPr>
        <w:t xml:space="preserve">law </w:t>
      </w:r>
      <w:r>
        <w:rPr>
          <w:rFonts w:asciiTheme="minorHAnsi" w:hAnsiTheme="minorHAnsi"/>
        </w:rPr>
        <w:t xml:space="preserve">firms operate within the law and have up to date training in relevant areas, including those required by law (such as the anti-money laundering training). Acting in the public interest </w:t>
      </w:r>
      <w:r w:rsidR="008E1610">
        <w:rPr>
          <w:rFonts w:asciiTheme="minorHAnsi" w:hAnsiTheme="minorHAnsi"/>
        </w:rPr>
        <w:t xml:space="preserve">is </w:t>
      </w:r>
      <w:r>
        <w:rPr>
          <w:rFonts w:asciiTheme="minorHAnsi" w:hAnsiTheme="minorHAnsi"/>
        </w:rPr>
        <w:t xml:space="preserve">part of the Law Society’s raison d’etre, as stated at the end of its press release for this case (see below). However, the Law Society’s commercial activities have been shown in this case to come into conflict with it acting in the public interest. </w:t>
      </w:r>
      <w:r w:rsidR="004D643C">
        <w:rPr>
          <w:rFonts w:asciiTheme="minorHAnsi" w:hAnsiTheme="minorHAnsi"/>
        </w:rPr>
        <w:t xml:space="preserve">In particular </w:t>
      </w:r>
      <w:r w:rsidR="004D643C">
        <w:rPr>
          <w:rFonts w:asciiTheme="minorHAnsi" w:hAnsiTheme="minorHAnsi"/>
        </w:rPr>
        <w:t xml:space="preserve">the requirement that the Law Society’s own training on anti money laundering and mortgage fraud be purchased by all CQS accredited members was what constituted the abuse of the Law Society’s market position. </w:t>
      </w:r>
    </w:p>
    <w:p w14:paraId="07031E5C" w14:textId="77777777" w:rsidR="004D643C" w:rsidRDefault="004D643C" w:rsidP="005E150F">
      <w:pPr>
        <w:rPr>
          <w:rFonts w:asciiTheme="minorHAnsi" w:hAnsiTheme="minorHAnsi"/>
        </w:rPr>
      </w:pPr>
    </w:p>
    <w:p w14:paraId="6E0303D1" w14:textId="19A699B5" w:rsidR="005E150F" w:rsidRPr="00C55CBB" w:rsidRDefault="005E150F" w:rsidP="005E150F">
      <w:pPr>
        <w:rPr>
          <w:rFonts w:asciiTheme="minorHAnsi" w:hAnsiTheme="minorHAnsi"/>
        </w:rPr>
      </w:pPr>
      <w:r>
        <w:rPr>
          <w:rFonts w:asciiTheme="minorHAnsi" w:hAnsiTheme="minorHAnsi"/>
        </w:rPr>
        <w:t xml:space="preserve">The Law Society will have to keep any such areas of possible conflict under careful review in future, to avoid breaching competition law again.  </w:t>
      </w:r>
    </w:p>
    <w:p w14:paraId="0A4862BC" w14:textId="77777777" w:rsidR="00993BC9" w:rsidRDefault="00993BC9">
      <w:pPr>
        <w:rPr>
          <w:rFonts w:asciiTheme="minorHAnsi" w:hAnsiTheme="minorHAnsi"/>
        </w:rPr>
      </w:pPr>
    </w:p>
    <w:p w14:paraId="1600895C" w14:textId="2DA257B4" w:rsidR="00993BC9" w:rsidRPr="00A949FF" w:rsidRDefault="00993BC9">
      <w:pPr>
        <w:rPr>
          <w:rFonts w:asciiTheme="minorHAnsi" w:hAnsiTheme="minorHAnsi"/>
        </w:rPr>
      </w:pPr>
      <w:r w:rsidRPr="00C55CBB">
        <w:rPr>
          <w:rFonts w:asciiTheme="minorHAnsi" w:hAnsiTheme="minorHAnsi"/>
        </w:rPr>
        <w:t xml:space="preserve">In a </w:t>
      </w:r>
      <w:hyperlink r:id="rId8" w:history="1">
        <w:r w:rsidRPr="00C55CBB">
          <w:rPr>
            <w:rStyle w:val="Hyperlink"/>
            <w:rFonts w:asciiTheme="minorHAnsi" w:hAnsiTheme="minorHAnsi"/>
          </w:rPr>
          <w:t>press rel</w:t>
        </w:r>
        <w:r w:rsidRPr="00C55CBB">
          <w:rPr>
            <w:rStyle w:val="Hyperlink"/>
            <w:rFonts w:asciiTheme="minorHAnsi" w:hAnsiTheme="minorHAnsi"/>
          </w:rPr>
          <w:t>e</w:t>
        </w:r>
        <w:r w:rsidRPr="00C55CBB">
          <w:rPr>
            <w:rStyle w:val="Hyperlink"/>
            <w:rFonts w:asciiTheme="minorHAnsi" w:hAnsiTheme="minorHAnsi"/>
          </w:rPr>
          <w:t>ase</w:t>
        </w:r>
      </w:hyperlink>
      <w:r w:rsidRPr="00C55CBB">
        <w:rPr>
          <w:rFonts w:asciiTheme="minorHAnsi" w:hAnsiTheme="minorHAnsi"/>
        </w:rPr>
        <w:t xml:space="preserve"> about the case on 26 May the Law Society said that it will “</w:t>
      </w:r>
      <w:r w:rsidRPr="00C55CBB">
        <w:rPr>
          <w:rFonts w:asciiTheme="minorHAnsi" w:eastAsia="Times New Roman" w:hAnsiTheme="minorHAnsi"/>
          <w:color w:val="1F1F1F"/>
          <w:shd w:val="clear" w:color="auto" w:fill="FFFFFF"/>
        </w:rPr>
        <w:t>look again at the training elements of its Conveyancing Quality Scheme (CQS) in response to a ruling by the Competition Appeal Tribunal.” Since the tribunal’s judgement each of the training modules for the Law Society’s CQS considered by the Competition Appeal Tribunal have been withdrawn by the Law Society. Law Society President Robert Bourns said “We are grateful to the tribunal for their guidance on changes to CQS that they make in their ruling and we will be looking at their comments as a matter of priority in the coming days.”</w:t>
      </w:r>
    </w:p>
    <w:p w14:paraId="5D6B20B4" w14:textId="77777777" w:rsidR="00942390" w:rsidRDefault="00942390">
      <w:pPr>
        <w:rPr>
          <w:rFonts w:asciiTheme="minorHAnsi" w:hAnsiTheme="minorHAnsi"/>
        </w:rPr>
      </w:pPr>
    </w:p>
    <w:p w14:paraId="354CB072" w14:textId="7960518A" w:rsidR="00530F8B" w:rsidRDefault="001B30AE">
      <w:pPr>
        <w:rPr>
          <w:rFonts w:asciiTheme="minorHAnsi" w:hAnsiTheme="minorHAnsi"/>
        </w:rPr>
      </w:pPr>
      <w:r>
        <w:rPr>
          <w:rFonts w:asciiTheme="minorHAnsi" w:hAnsiTheme="minorHAnsi"/>
        </w:rPr>
        <w:t>From the Law Society’s perspective, the CAT’s ruling in this case</w:t>
      </w:r>
      <w:r w:rsidR="00375FBA">
        <w:rPr>
          <w:rFonts w:asciiTheme="minorHAnsi" w:hAnsiTheme="minorHAnsi"/>
        </w:rPr>
        <w:t xml:space="preserve"> has established that the Law Society currently holds a dominant market position in the market for the </w:t>
      </w:r>
      <w:r w:rsidR="00375FBA" w:rsidRPr="00C55CBB">
        <w:rPr>
          <w:rFonts w:asciiTheme="minorHAnsi" w:hAnsiTheme="minorHAnsi"/>
        </w:rPr>
        <w:t>supply of training courses in anti money laundering, mortgage fraud and financial crime to law firms</w:t>
      </w:r>
      <w:r w:rsidR="00375FBA">
        <w:rPr>
          <w:rFonts w:asciiTheme="minorHAnsi" w:hAnsiTheme="minorHAnsi"/>
        </w:rPr>
        <w:t>. As a result the Law Society will have to be careful not to carry out any actions which could be considered to be an abuse (for the purposes of the Chapter II prohibition)</w:t>
      </w:r>
      <w:r w:rsidR="00427972">
        <w:rPr>
          <w:rFonts w:asciiTheme="minorHAnsi" w:hAnsiTheme="minorHAnsi"/>
        </w:rPr>
        <w:t xml:space="preserve"> in this market</w:t>
      </w:r>
      <w:r w:rsidR="00375FBA">
        <w:rPr>
          <w:rFonts w:asciiTheme="minorHAnsi" w:hAnsiTheme="minorHAnsi"/>
        </w:rPr>
        <w:t xml:space="preserve">, or it will risk being found in breach of the law again. </w:t>
      </w:r>
    </w:p>
    <w:p w14:paraId="28FB46AC" w14:textId="77777777" w:rsidR="00403C8A" w:rsidRPr="00C55CBB" w:rsidRDefault="00403C8A" w:rsidP="00496062">
      <w:pPr>
        <w:rPr>
          <w:rFonts w:asciiTheme="minorHAnsi" w:eastAsia="Times New Roman" w:hAnsiTheme="minorHAnsi"/>
          <w:color w:val="1F1F1F"/>
          <w:shd w:val="clear" w:color="auto" w:fill="FFFFFF"/>
        </w:rPr>
      </w:pPr>
    </w:p>
    <w:p w14:paraId="349E3A38" w14:textId="23EC2A7F" w:rsidR="00662F48" w:rsidRPr="00735784" w:rsidRDefault="00403C8A">
      <w:pPr>
        <w:rPr>
          <w:rFonts w:asciiTheme="minorHAnsi" w:eastAsia="Times New Roman" w:hAnsiTheme="minorHAnsi"/>
          <w:color w:val="000000" w:themeColor="text1"/>
        </w:rPr>
      </w:pPr>
      <w:r w:rsidRPr="00C55CBB">
        <w:rPr>
          <w:rFonts w:asciiTheme="minorHAnsi" w:eastAsia="Times New Roman" w:hAnsiTheme="minorHAnsi" w:cs="Arial"/>
          <w:color w:val="000000" w:themeColor="text1"/>
          <w:shd w:val="clear" w:color="auto" w:fill="FFFFFF"/>
        </w:rPr>
        <w:t xml:space="preserve">Bernard George, Director of Socrates said </w:t>
      </w:r>
      <w:r w:rsidRPr="00C55CBB">
        <w:rPr>
          <w:rFonts w:asciiTheme="minorHAnsi" w:eastAsia="Times New Roman" w:hAnsiTheme="minorHAnsi" w:cs="Arial"/>
          <w:color w:val="000000" w:themeColor="text1"/>
          <w:shd w:val="clear" w:color="auto" w:fill="FFFFFF"/>
        </w:rPr>
        <w:t xml:space="preserve">in a </w:t>
      </w:r>
      <w:hyperlink r:id="rId9" w:history="1">
        <w:r w:rsidRPr="00C55CBB">
          <w:rPr>
            <w:rStyle w:val="Hyperlink"/>
            <w:rFonts w:asciiTheme="minorHAnsi" w:eastAsia="Times New Roman" w:hAnsiTheme="minorHAnsi" w:cs="Arial"/>
            <w:color w:val="000000" w:themeColor="text1"/>
            <w:shd w:val="clear" w:color="auto" w:fill="FFFFFF"/>
          </w:rPr>
          <w:t>press release</w:t>
        </w:r>
      </w:hyperlink>
      <w:r w:rsidRPr="00C55CBB">
        <w:rPr>
          <w:rFonts w:asciiTheme="minorHAnsi" w:eastAsia="Times New Roman" w:hAnsiTheme="minorHAnsi" w:cs="Arial"/>
          <w:color w:val="000000" w:themeColor="text1"/>
          <w:shd w:val="clear" w:color="auto" w:fill="FFFFFF"/>
        </w:rPr>
        <w:t xml:space="preserve"> “I hope this case will prompt some reflection at the Law Society, including a reappraisal of the structure and objectives of the CQS, and of the Society’s governance.”</w:t>
      </w:r>
    </w:p>
    <w:p w14:paraId="2960A2C9" w14:textId="77777777" w:rsidR="00530F8B" w:rsidRPr="00C55CBB" w:rsidRDefault="00530F8B">
      <w:pPr>
        <w:rPr>
          <w:rFonts w:asciiTheme="minorHAnsi" w:hAnsiTheme="minorHAnsi"/>
        </w:rPr>
      </w:pPr>
    </w:p>
    <w:p w14:paraId="1FF0E9AC" w14:textId="77777777" w:rsidR="00D769EB" w:rsidRPr="00C55CBB" w:rsidRDefault="00D769EB">
      <w:pPr>
        <w:rPr>
          <w:rFonts w:asciiTheme="minorHAnsi" w:hAnsiTheme="minorHAnsi"/>
        </w:rPr>
      </w:pPr>
    </w:p>
    <w:sectPr w:rsidR="00D769EB" w:rsidRPr="00C55CBB" w:rsidSect="00CC757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08AEE" w14:textId="77777777" w:rsidR="00A2335A" w:rsidRDefault="00A2335A" w:rsidP="0049323A">
      <w:r>
        <w:separator/>
      </w:r>
    </w:p>
  </w:endnote>
  <w:endnote w:type="continuationSeparator" w:id="0">
    <w:p w14:paraId="4BF1E089" w14:textId="77777777" w:rsidR="00A2335A" w:rsidRDefault="00A2335A" w:rsidP="0049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03C0" w14:textId="77777777" w:rsidR="00A2335A" w:rsidRDefault="00A2335A" w:rsidP="0049323A">
      <w:r>
        <w:separator/>
      </w:r>
    </w:p>
  </w:footnote>
  <w:footnote w:type="continuationSeparator" w:id="0">
    <w:p w14:paraId="7203E385" w14:textId="77777777" w:rsidR="00A2335A" w:rsidRDefault="00A2335A" w:rsidP="0049323A">
      <w:r>
        <w:continuationSeparator/>
      </w:r>
    </w:p>
  </w:footnote>
  <w:footnote w:id="1">
    <w:p w14:paraId="767C34BC" w14:textId="3D36EB6B" w:rsidR="0049323A" w:rsidRPr="000E6CF3" w:rsidRDefault="0049323A">
      <w:pPr>
        <w:pStyle w:val="FootnoteText"/>
        <w:rPr>
          <w:rFonts w:asciiTheme="minorHAnsi" w:hAnsiTheme="minorHAnsi"/>
          <w:sz w:val="16"/>
          <w:szCs w:val="16"/>
        </w:rPr>
      </w:pPr>
      <w:r w:rsidRPr="000E6CF3">
        <w:rPr>
          <w:rStyle w:val="FootnoteReference"/>
          <w:rFonts w:asciiTheme="minorHAnsi" w:hAnsiTheme="minorHAnsi"/>
          <w:sz w:val="16"/>
          <w:szCs w:val="16"/>
        </w:rPr>
        <w:footnoteRef/>
      </w:r>
      <w:r w:rsidRPr="000E6CF3">
        <w:rPr>
          <w:rFonts w:asciiTheme="minorHAnsi" w:hAnsiTheme="minorHAnsi"/>
          <w:sz w:val="16"/>
          <w:szCs w:val="16"/>
        </w:rPr>
        <w:t xml:space="preserve"> </w:t>
      </w:r>
      <w:hyperlink r:id="rId1" w:history="1">
        <w:r w:rsidRPr="000E6CF3">
          <w:rPr>
            <w:rStyle w:val="Hyperlink"/>
            <w:rFonts w:asciiTheme="minorHAnsi" w:hAnsiTheme="minorHAnsi"/>
            <w:sz w:val="16"/>
            <w:szCs w:val="16"/>
          </w:rPr>
          <w:t>reg 21</w:t>
        </w:r>
      </w:hyperlink>
      <w:r w:rsidRPr="000E6CF3">
        <w:rPr>
          <w:rFonts w:asciiTheme="minorHAnsi" w:hAnsiTheme="minorHAnsi"/>
          <w:sz w:val="16"/>
          <w:szCs w:val="16"/>
        </w:rPr>
        <w:t xml:space="preserve"> </w:t>
      </w:r>
      <w:r w:rsidRPr="000E6CF3">
        <w:rPr>
          <w:rFonts w:asciiTheme="minorHAnsi" w:hAnsiTheme="minorHAnsi"/>
          <w:sz w:val="16"/>
          <w:szCs w:val="16"/>
        </w:rPr>
        <w:t xml:space="preserve">of the Money Laundering Regulations 2017 </w:t>
      </w:r>
      <w:r w:rsidRPr="000E6CF3">
        <w:rPr>
          <w:rFonts w:asciiTheme="minorHAnsi" w:hAnsiTheme="minorHAnsi"/>
          <w:sz w:val="16"/>
          <w:szCs w:val="16"/>
        </w:rPr>
        <w:t xml:space="preserve">and </w:t>
      </w:r>
      <w:hyperlink r:id="rId2" w:history="1">
        <w:r w:rsidRPr="000E6CF3">
          <w:rPr>
            <w:rStyle w:val="Hyperlink"/>
            <w:rFonts w:asciiTheme="minorHAnsi" w:hAnsiTheme="minorHAnsi"/>
            <w:sz w:val="16"/>
            <w:szCs w:val="16"/>
          </w:rPr>
          <w:t>reg 24</w:t>
        </w:r>
      </w:hyperlink>
      <w:r w:rsidRPr="000E6CF3">
        <w:rPr>
          <w:rFonts w:asciiTheme="minorHAnsi" w:hAnsiTheme="minorHAnsi"/>
          <w:sz w:val="16"/>
          <w:szCs w:val="16"/>
        </w:rPr>
        <w:t xml:space="preserve"> of the Money Laundering, Terrorist Financing and Transfer of Funds (Information on the Payer) Regulations 2017</w:t>
      </w:r>
    </w:p>
  </w:footnote>
  <w:footnote w:id="2">
    <w:p w14:paraId="054CEA23" w14:textId="1B00D956" w:rsidR="00CA2270" w:rsidRPr="000E6CF3" w:rsidRDefault="00CA2270">
      <w:pPr>
        <w:pStyle w:val="FootnoteText"/>
        <w:rPr>
          <w:rFonts w:asciiTheme="minorHAnsi" w:hAnsiTheme="minorHAnsi"/>
          <w:sz w:val="16"/>
          <w:szCs w:val="16"/>
        </w:rPr>
      </w:pPr>
      <w:r w:rsidRPr="000E6CF3">
        <w:rPr>
          <w:rStyle w:val="FootnoteReference"/>
          <w:rFonts w:asciiTheme="minorHAnsi" w:hAnsiTheme="minorHAnsi"/>
          <w:sz w:val="16"/>
          <w:szCs w:val="16"/>
        </w:rPr>
        <w:footnoteRef/>
      </w:r>
      <w:r w:rsidRPr="000E6CF3">
        <w:rPr>
          <w:rFonts w:asciiTheme="minorHAnsi" w:hAnsiTheme="minorHAnsi"/>
          <w:sz w:val="16"/>
          <w:szCs w:val="16"/>
        </w:rPr>
        <w:t xml:space="preserve"> </w:t>
      </w:r>
      <w:hyperlink r:id="rId3" w:history="1">
        <w:r w:rsidRPr="000E6CF3">
          <w:rPr>
            <w:rStyle w:val="Hyperlink"/>
            <w:rFonts w:asciiTheme="minorHAnsi" w:hAnsiTheme="minorHAnsi"/>
            <w:sz w:val="16"/>
            <w:szCs w:val="16"/>
          </w:rPr>
          <w:t>http://www.catribunal.org.uk/files/1249_Socrates_Judgment_CAT_10_160517.pdf</w:t>
        </w:r>
      </w:hyperlink>
      <w:r w:rsidRPr="000E6CF3">
        <w:rPr>
          <w:rFonts w:asciiTheme="minorHAnsi" w:hAnsiTheme="minorHAnsi"/>
          <w:sz w:val="16"/>
          <w:szCs w:val="16"/>
        </w:rPr>
        <w:t xml:space="preserve"> </w:t>
      </w:r>
    </w:p>
  </w:footnote>
  <w:footnote w:id="3">
    <w:p w14:paraId="7AAB6CDE" w14:textId="13AD6636" w:rsidR="001F1277" w:rsidRPr="000E6CF3" w:rsidRDefault="001F1277">
      <w:pPr>
        <w:pStyle w:val="FootnoteText"/>
        <w:rPr>
          <w:rFonts w:asciiTheme="minorHAnsi" w:hAnsiTheme="minorHAnsi"/>
          <w:sz w:val="16"/>
          <w:szCs w:val="16"/>
        </w:rPr>
      </w:pPr>
      <w:r w:rsidRPr="000E6CF3">
        <w:rPr>
          <w:rStyle w:val="FootnoteReference"/>
          <w:rFonts w:asciiTheme="minorHAnsi" w:hAnsiTheme="minorHAnsi"/>
          <w:sz w:val="16"/>
          <w:szCs w:val="16"/>
        </w:rPr>
        <w:footnoteRef/>
      </w:r>
      <w:r w:rsidRPr="000E6CF3">
        <w:rPr>
          <w:rFonts w:asciiTheme="minorHAnsi" w:hAnsiTheme="minorHAnsi"/>
          <w:sz w:val="16"/>
          <w:szCs w:val="16"/>
        </w:rPr>
        <w:t xml:space="preserve"> See website of Socrates Training Limited: </w:t>
      </w:r>
      <w:hyperlink r:id="rId4" w:history="1">
        <w:r w:rsidRPr="000E6CF3">
          <w:rPr>
            <w:rStyle w:val="Hyperlink"/>
            <w:rFonts w:asciiTheme="minorHAnsi" w:hAnsiTheme="minorHAnsi"/>
            <w:sz w:val="16"/>
            <w:szCs w:val="16"/>
          </w:rPr>
          <w:t>http://socrates-training.co.uk/for-law-firms/</w:t>
        </w:r>
      </w:hyperlink>
      <w:r w:rsidRPr="000E6CF3">
        <w:rPr>
          <w:rFonts w:asciiTheme="minorHAnsi" w:hAnsiTheme="minorHAnsi"/>
          <w:sz w:val="16"/>
          <w:szCs w:val="16"/>
        </w:rPr>
        <w:t xml:space="preserve"> </w:t>
      </w:r>
    </w:p>
  </w:footnote>
  <w:footnote w:id="4">
    <w:p w14:paraId="64E9A76C" w14:textId="23FD5EFA" w:rsidR="000E6CF3" w:rsidRPr="00E627F6" w:rsidRDefault="000E6CF3" w:rsidP="00E627F6">
      <w:pPr>
        <w:rPr>
          <w:rFonts w:asciiTheme="minorHAnsi" w:eastAsia="Times New Roman" w:hAnsiTheme="minorHAnsi"/>
          <w:b/>
          <w:i/>
          <w:sz w:val="16"/>
          <w:szCs w:val="16"/>
        </w:rPr>
      </w:pPr>
      <w:r w:rsidRPr="000E6CF3">
        <w:rPr>
          <w:rStyle w:val="FootnoteReference"/>
          <w:rFonts w:asciiTheme="minorHAnsi" w:hAnsiTheme="minorHAnsi"/>
          <w:sz w:val="16"/>
          <w:szCs w:val="16"/>
        </w:rPr>
        <w:footnoteRef/>
      </w:r>
      <w:r w:rsidRPr="000E6CF3">
        <w:rPr>
          <w:rFonts w:asciiTheme="minorHAnsi" w:hAnsiTheme="minorHAnsi"/>
          <w:sz w:val="16"/>
          <w:szCs w:val="16"/>
        </w:rPr>
        <w:t xml:space="preserve"> para 7 of the CAT Judgement </w:t>
      </w:r>
      <w:r w:rsidRPr="000E6CF3">
        <w:rPr>
          <w:rFonts w:asciiTheme="minorHAnsi" w:eastAsia="Times New Roman" w:hAnsiTheme="minorHAnsi"/>
          <w:sz w:val="16"/>
          <w:szCs w:val="16"/>
        </w:rPr>
        <w:t>Case</w:t>
      </w:r>
      <w:r w:rsidRPr="000E6CF3">
        <w:rPr>
          <w:rFonts w:asciiTheme="minorHAnsi" w:eastAsia="Times New Roman" w:hAnsiTheme="minorHAnsi"/>
          <w:i/>
          <w:sz w:val="16"/>
          <w:szCs w:val="16"/>
        </w:rPr>
        <w:t xml:space="preserve"> </w:t>
      </w:r>
      <w:hyperlink r:id="rId5" w:history="1">
        <w:r w:rsidRPr="000E6CF3">
          <w:rPr>
            <w:rFonts w:asciiTheme="minorHAnsi" w:eastAsia="Times New Roman" w:hAnsiTheme="minorHAnsi"/>
            <w:i/>
            <w:color w:val="000000"/>
            <w:sz w:val="16"/>
            <w:szCs w:val="16"/>
          </w:rPr>
          <w:t>1249/5/7/16 Socrates Training Limited v The Law Society of England and Wales</w:t>
        </w:r>
      </w:hyperlink>
      <w:r w:rsidRPr="000E6CF3">
        <w:rPr>
          <w:rFonts w:asciiTheme="minorHAnsi" w:eastAsia="Times New Roman" w:hAnsiTheme="minorHAnsi"/>
          <w:i/>
          <w:sz w:val="16"/>
          <w:szCs w:val="16"/>
        </w:rPr>
        <w:t xml:space="preserve"> </w:t>
      </w:r>
      <w:r w:rsidRPr="000E6CF3">
        <w:rPr>
          <w:rFonts w:asciiTheme="minorHAnsi" w:eastAsia="Times New Roman" w:hAnsiTheme="minorHAnsi"/>
          <w:sz w:val="16"/>
          <w:szCs w:val="16"/>
        </w:rPr>
        <w:t>Competition Appeals Tribunal 26 May 2017</w:t>
      </w:r>
    </w:p>
  </w:footnote>
  <w:footnote w:id="5">
    <w:p w14:paraId="16F44F83" w14:textId="1205C215" w:rsidR="00E627F6" w:rsidRDefault="00E627F6">
      <w:pPr>
        <w:pStyle w:val="FootnoteText"/>
      </w:pPr>
      <w:r w:rsidRPr="00E627F6">
        <w:rPr>
          <w:rStyle w:val="FootnoteReference"/>
          <w:rFonts w:asciiTheme="minorHAnsi" w:hAnsiTheme="minorHAnsi"/>
          <w:sz w:val="16"/>
          <w:szCs w:val="16"/>
        </w:rPr>
        <w:footnoteRef/>
      </w:r>
      <w:r w:rsidRPr="00E627F6">
        <w:rPr>
          <w:rFonts w:asciiTheme="minorHAnsi" w:hAnsiTheme="minorHAnsi"/>
          <w:sz w:val="16"/>
          <w:szCs w:val="16"/>
        </w:rPr>
        <w:t xml:space="preserve"> </w:t>
      </w:r>
      <w:r w:rsidR="00D1446B">
        <w:rPr>
          <w:rFonts w:asciiTheme="minorHAnsi" w:hAnsiTheme="minorHAnsi"/>
          <w:sz w:val="16"/>
          <w:szCs w:val="16"/>
        </w:rPr>
        <w:t xml:space="preserve">ibid., </w:t>
      </w:r>
      <w:r w:rsidR="00E4360F">
        <w:rPr>
          <w:rFonts w:asciiTheme="minorHAnsi" w:hAnsiTheme="minorHAnsi"/>
          <w:sz w:val="16"/>
          <w:szCs w:val="16"/>
        </w:rPr>
        <w:t>para 12</w:t>
      </w:r>
      <w:r w:rsidR="00C4273F">
        <w:rPr>
          <w:rFonts w:asciiTheme="minorHAnsi" w:hAnsiTheme="minorHAnsi"/>
          <w:sz w:val="16"/>
          <w:szCs w:val="16"/>
        </w:rPr>
        <w:t>6</w:t>
      </w:r>
      <w:bookmarkStart w:id="0" w:name="_GoBack"/>
      <w:bookmarkEnd w:id="0"/>
    </w:p>
  </w:footnote>
  <w:footnote w:id="6">
    <w:p w14:paraId="15AA718A" w14:textId="4F5E1762" w:rsidR="00C34F04" w:rsidRDefault="00C34F04">
      <w:pPr>
        <w:pStyle w:val="FootnoteText"/>
      </w:pPr>
      <w:r>
        <w:rPr>
          <w:rStyle w:val="FootnoteReference"/>
        </w:rPr>
        <w:footnoteRef/>
      </w:r>
      <w:r>
        <w:t xml:space="preserve"> </w:t>
      </w:r>
      <w:hyperlink r:id="rId6" w:history="1">
        <w:r w:rsidRPr="00C34F04">
          <w:rPr>
            <w:rStyle w:val="Hyperlink"/>
            <w:sz w:val="16"/>
            <w:szCs w:val="16"/>
          </w:rPr>
          <w:t>http://socrates-training.co.uk/freedom-for-cqs-firms/</w:t>
        </w:r>
      </w:hyperlink>
      <w:r>
        <w:t xml:space="preserve"> </w:t>
      </w:r>
    </w:p>
  </w:footnote>
  <w:footnote w:id="7">
    <w:p w14:paraId="70584174" w14:textId="01967793" w:rsidR="00CC6179" w:rsidRPr="00CC6179" w:rsidRDefault="00CC6179">
      <w:pPr>
        <w:pStyle w:val="FootnoteText"/>
        <w:rPr>
          <w:rFonts w:asciiTheme="minorHAnsi" w:hAnsiTheme="minorHAnsi"/>
          <w:sz w:val="16"/>
          <w:szCs w:val="16"/>
        </w:rPr>
      </w:pPr>
      <w:r w:rsidRPr="00CC6179">
        <w:rPr>
          <w:rStyle w:val="FootnoteReference"/>
          <w:rFonts w:asciiTheme="minorHAnsi" w:hAnsiTheme="minorHAnsi"/>
          <w:sz w:val="16"/>
          <w:szCs w:val="16"/>
        </w:rPr>
        <w:footnoteRef/>
      </w:r>
      <w:r w:rsidRPr="00CC6179">
        <w:rPr>
          <w:rFonts w:asciiTheme="minorHAnsi" w:hAnsiTheme="minorHAnsi"/>
          <w:sz w:val="16"/>
          <w:szCs w:val="16"/>
        </w:rPr>
        <w:t xml:space="preserve"> See the Law Society’s webpage for the CQS accreditation: </w:t>
      </w:r>
      <w:hyperlink r:id="rId7" w:history="1">
        <w:r w:rsidRPr="00CC6179">
          <w:rPr>
            <w:rStyle w:val="Hyperlink"/>
            <w:rFonts w:asciiTheme="minorHAnsi" w:hAnsiTheme="minorHAnsi"/>
            <w:sz w:val="16"/>
            <w:szCs w:val="16"/>
          </w:rPr>
          <w:t>http://www.lawsociety.org.uk/support-services/accreditation/conveyancing-quality-scheme/</w:t>
        </w:r>
      </w:hyperlink>
      <w:r w:rsidRPr="00CC6179">
        <w:rPr>
          <w:rFonts w:asciiTheme="minorHAnsi" w:hAnsiTheme="minorHAnsi"/>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D1822"/>
    <w:multiLevelType w:val="multilevel"/>
    <w:tmpl w:val="F70E5C8A"/>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3B"/>
    <w:rsid w:val="00021B67"/>
    <w:rsid w:val="00022FF4"/>
    <w:rsid w:val="00024CC1"/>
    <w:rsid w:val="00030C81"/>
    <w:rsid w:val="00074954"/>
    <w:rsid w:val="000A2B96"/>
    <w:rsid w:val="000A3C36"/>
    <w:rsid w:val="000D6D14"/>
    <w:rsid w:val="000E1D87"/>
    <w:rsid w:val="000E6CF3"/>
    <w:rsid w:val="00107DDC"/>
    <w:rsid w:val="00132EFB"/>
    <w:rsid w:val="00160536"/>
    <w:rsid w:val="00174E3B"/>
    <w:rsid w:val="001B30AE"/>
    <w:rsid w:val="001D1ED8"/>
    <w:rsid w:val="001D7A68"/>
    <w:rsid w:val="001F1277"/>
    <w:rsid w:val="00211BF5"/>
    <w:rsid w:val="00216868"/>
    <w:rsid w:val="002260E4"/>
    <w:rsid w:val="00232969"/>
    <w:rsid w:val="00234278"/>
    <w:rsid w:val="002845D1"/>
    <w:rsid w:val="0028577E"/>
    <w:rsid w:val="00293249"/>
    <w:rsid w:val="002A0B16"/>
    <w:rsid w:val="002E054B"/>
    <w:rsid w:val="003475A7"/>
    <w:rsid w:val="00375FBA"/>
    <w:rsid w:val="003803EF"/>
    <w:rsid w:val="003B23B9"/>
    <w:rsid w:val="003B774E"/>
    <w:rsid w:val="003C09EF"/>
    <w:rsid w:val="003E116F"/>
    <w:rsid w:val="003E5989"/>
    <w:rsid w:val="003E5ABD"/>
    <w:rsid w:val="00403C8A"/>
    <w:rsid w:val="00414471"/>
    <w:rsid w:val="00425DB5"/>
    <w:rsid w:val="00427972"/>
    <w:rsid w:val="00460AB8"/>
    <w:rsid w:val="0049323A"/>
    <w:rsid w:val="00496062"/>
    <w:rsid w:val="004A4E87"/>
    <w:rsid w:val="004A725A"/>
    <w:rsid w:val="004B127E"/>
    <w:rsid w:val="004B2D19"/>
    <w:rsid w:val="004B78A7"/>
    <w:rsid w:val="004C0610"/>
    <w:rsid w:val="004C5EFC"/>
    <w:rsid w:val="004D643C"/>
    <w:rsid w:val="004D764E"/>
    <w:rsid w:val="004F6C21"/>
    <w:rsid w:val="00530F8B"/>
    <w:rsid w:val="0053461D"/>
    <w:rsid w:val="00534DAF"/>
    <w:rsid w:val="0054640D"/>
    <w:rsid w:val="00546A3A"/>
    <w:rsid w:val="00564A43"/>
    <w:rsid w:val="00586A5F"/>
    <w:rsid w:val="005A24F2"/>
    <w:rsid w:val="005B32C9"/>
    <w:rsid w:val="005C0CB9"/>
    <w:rsid w:val="005C318E"/>
    <w:rsid w:val="005D30F1"/>
    <w:rsid w:val="005D404B"/>
    <w:rsid w:val="005E150F"/>
    <w:rsid w:val="005F7956"/>
    <w:rsid w:val="00603129"/>
    <w:rsid w:val="00616A58"/>
    <w:rsid w:val="00662F48"/>
    <w:rsid w:val="00670386"/>
    <w:rsid w:val="00692F0F"/>
    <w:rsid w:val="00693F54"/>
    <w:rsid w:val="006C36C9"/>
    <w:rsid w:val="00707D32"/>
    <w:rsid w:val="007102F3"/>
    <w:rsid w:val="007128DD"/>
    <w:rsid w:val="007145B3"/>
    <w:rsid w:val="007224C1"/>
    <w:rsid w:val="00735784"/>
    <w:rsid w:val="0073748B"/>
    <w:rsid w:val="00767000"/>
    <w:rsid w:val="00782251"/>
    <w:rsid w:val="007B7A2C"/>
    <w:rsid w:val="007E2CC8"/>
    <w:rsid w:val="00831297"/>
    <w:rsid w:val="008356C7"/>
    <w:rsid w:val="008732AC"/>
    <w:rsid w:val="008E1610"/>
    <w:rsid w:val="008E202A"/>
    <w:rsid w:val="008F22D6"/>
    <w:rsid w:val="008F6D70"/>
    <w:rsid w:val="009261DA"/>
    <w:rsid w:val="009342E2"/>
    <w:rsid w:val="00942390"/>
    <w:rsid w:val="0095226A"/>
    <w:rsid w:val="00977699"/>
    <w:rsid w:val="00993BC9"/>
    <w:rsid w:val="009A5988"/>
    <w:rsid w:val="009A5A4E"/>
    <w:rsid w:val="009B277D"/>
    <w:rsid w:val="009E23BB"/>
    <w:rsid w:val="009F5661"/>
    <w:rsid w:val="00A22C99"/>
    <w:rsid w:val="00A2335A"/>
    <w:rsid w:val="00A33755"/>
    <w:rsid w:val="00A33F1D"/>
    <w:rsid w:val="00A56BFA"/>
    <w:rsid w:val="00A67D3B"/>
    <w:rsid w:val="00A949FF"/>
    <w:rsid w:val="00AA6479"/>
    <w:rsid w:val="00AB6400"/>
    <w:rsid w:val="00AF3A4C"/>
    <w:rsid w:val="00B317A8"/>
    <w:rsid w:val="00B3588B"/>
    <w:rsid w:val="00B35C81"/>
    <w:rsid w:val="00BE78ED"/>
    <w:rsid w:val="00BF0BC1"/>
    <w:rsid w:val="00C1110B"/>
    <w:rsid w:val="00C167EF"/>
    <w:rsid w:val="00C17AE0"/>
    <w:rsid w:val="00C34F04"/>
    <w:rsid w:val="00C35CF5"/>
    <w:rsid w:val="00C40890"/>
    <w:rsid w:val="00C4273F"/>
    <w:rsid w:val="00C44ACB"/>
    <w:rsid w:val="00C55CBB"/>
    <w:rsid w:val="00C90149"/>
    <w:rsid w:val="00CA2270"/>
    <w:rsid w:val="00CC058E"/>
    <w:rsid w:val="00CC0EA3"/>
    <w:rsid w:val="00CC6179"/>
    <w:rsid w:val="00CC7570"/>
    <w:rsid w:val="00CF749F"/>
    <w:rsid w:val="00D1446B"/>
    <w:rsid w:val="00D61686"/>
    <w:rsid w:val="00D74B31"/>
    <w:rsid w:val="00D769EB"/>
    <w:rsid w:val="00D92140"/>
    <w:rsid w:val="00DC78B5"/>
    <w:rsid w:val="00DF3E36"/>
    <w:rsid w:val="00E41ADF"/>
    <w:rsid w:val="00E4360F"/>
    <w:rsid w:val="00E47EAE"/>
    <w:rsid w:val="00E54DB6"/>
    <w:rsid w:val="00E627F6"/>
    <w:rsid w:val="00E70BFC"/>
    <w:rsid w:val="00EC7E0F"/>
    <w:rsid w:val="00F05CAA"/>
    <w:rsid w:val="00F22CC3"/>
    <w:rsid w:val="00F35603"/>
    <w:rsid w:val="00F422BA"/>
    <w:rsid w:val="00F552D5"/>
    <w:rsid w:val="00F629E2"/>
    <w:rsid w:val="00F71B6B"/>
    <w:rsid w:val="00F82316"/>
    <w:rsid w:val="00F83B23"/>
    <w:rsid w:val="00FA26D7"/>
    <w:rsid w:val="00FA5246"/>
    <w:rsid w:val="00FB773B"/>
    <w:rsid w:val="00FC7B8B"/>
    <w:rsid w:val="00FD5060"/>
    <w:rsid w:val="00FE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7D2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C8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A3A"/>
  </w:style>
  <w:style w:type="character" w:styleId="Hyperlink">
    <w:name w:val="Hyperlink"/>
    <w:basedOn w:val="DefaultParagraphFont"/>
    <w:uiPriority w:val="99"/>
    <w:unhideWhenUsed/>
    <w:rsid w:val="00782251"/>
    <w:rPr>
      <w:color w:val="0000FF"/>
      <w:u w:val="single"/>
    </w:rPr>
  </w:style>
  <w:style w:type="paragraph" w:styleId="NormalWeb">
    <w:name w:val="Normal (Web)"/>
    <w:basedOn w:val="Normal"/>
    <w:uiPriority w:val="99"/>
    <w:semiHidden/>
    <w:unhideWhenUsed/>
    <w:rsid w:val="00D769EB"/>
    <w:pPr>
      <w:spacing w:before="100" w:beforeAutospacing="1" w:after="100" w:afterAutospacing="1"/>
    </w:pPr>
  </w:style>
  <w:style w:type="character" w:styleId="FollowedHyperlink">
    <w:name w:val="FollowedHyperlink"/>
    <w:basedOn w:val="DefaultParagraphFont"/>
    <w:uiPriority w:val="99"/>
    <w:semiHidden/>
    <w:unhideWhenUsed/>
    <w:rsid w:val="00662F48"/>
    <w:rPr>
      <w:color w:val="954F72" w:themeColor="followedHyperlink"/>
      <w:u w:val="single"/>
    </w:rPr>
  </w:style>
  <w:style w:type="paragraph" w:styleId="FootnoteText">
    <w:name w:val="footnote text"/>
    <w:basedOn w:val="Normal"/>
    <w:link w:val="FootnoteTextChar"/>
    <w:uiPriority w:val="99"/>
    <w:unhideWhenUsed/>
    <w:rsid w:val="0049323A"/>
  </w:style>
  <w:style w:type="character" w:customStyle="1" w:styleId="FootnoteTextChar">
    <w:name w:val="Footnote Text Char"/>
    <w:basedOn w:val="DefaultParagraphFont"/>
    <w:link w:val="FootnoteText"/>
    <w:uiPriority w:val="99"/>
    <w:rsid w:val="0049323A"/>
    <w:rPr>
      <w:rFonts w:ascii="Times New Roman" w:hAnsi="Times New Roman" w:cs="Times New Roman"/>
      <w:lang w:eastAsia="en-GB"/>
    </w:rPr>
  </w:style>
  <w:style w:type="character" w:styleId="FootnoteReference">
    <w:name w:val="footnote reference"/>
    <w:basedOn w:val="DefaultParagraphFont"/>
    <w:uiPriority w:val="99"/>
    <w:unhideWhenUsed/>
    <w:rsid w:val="00493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045">
      <w:bodyDiv w:val="1"/>
      <w:marLeft w:val="0"/>
      <w:marRight w:val="0"/>
      <w:marTop w:val="0"/>
      <w:marBottom w:val="0"/>
      <w:divBdr>
        <w:top w:val="none" w:sz="0" w:space="0" w:color="auto"/>
        <w:left w:val="none" w:sz="0" w:space="0" w:color="auto"/>
        <w:bottom w:val="none" w:sz="0" w:space="0" w:color="auto"/>
        <w:right w:val="none" w:sz="0" w:space="0" w:color="auto"/>
      </w:divBdr>
    </w:div>
    <w:div w:id="299921544">
      <w:bodyDiv w:val="1"/>
      <w:marLeft w:val="0"/>
      <w:marRight w:val="0"/>
      <w:marTop w:val="0"/>
      <w:marBottom w:val="0"/>
      <w:divBdr>
        <w:top w:val="none" w:sz="0" w:space="0" w:color="auto"/>
        <w:left w:val="none" w:sz="0" w:space="0" w:color="auto"/>
        <w:bottom w:val="none" w:sz="0" w:space="0" w:color="auto"/>
        <w:right w:val="none" w:sz="0" w:space="0" w:color="auto"/>
      </w:divBdr>
    </w:div>
    <w:div w:id="536813257">
      <w:bodyDiv w:val="1"/>
      <w:marLeft w:val="0"/>
      <w:marRight w:val="0"/>
      <w:marTop w:val="0"/>
      <w:marBottom w:val="0"/>
      <w:divBdr>
        <w:top w:val="none" w:sz="0" w:space="0" w:color="auto"/>
        <w:left w:val="none" w:sz="0" w:space="0" w:color="auto"/>
        <w:bottom w:val="none" w:sz="0" w:space="0" w:color="auto"/>
        <w:right w:val="none" w:sz="0" w:space="0" w:color="auto"/>
      </w:divBdr>
    </w:div>
    <w:div w:id="59664203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543322878">
      <w:bodyDiv w:val="1"/>
      <w:marLeft w:val="0"/>
      <w:marRight w:val="0"/>
      <w:marTop w:val="0"/>
      <w:marBottom w:val="0"/>
      <w:divBdr>
        <w:top w:val="none" w:sz="0" w:space="0" w:color="auto"/>
        <w:left w:val="none" w:sz="0" w:space="0" w:color="auto"/>
        <w:bottom w:val="none" w:sz="0" w:space="0" w:color="auto"/>
        <w:right w:val="none" w:sz="0" w:space="0" w:color="auto"/>
      </w:divBdr>
    </w:div>
    <w:div w:id="1903713017">
      <w:bodyDiv w:val="1"/>
      <w:marLeft w:val="0"/>
      <w:marRight w:val="0"/>
      <w:marTop w:val="0"/>
      <w:marBottom w:val="0"/>
      <w:divBdr>
        <w:top w:val="none" w:sz="0" w:space="0" w:color="auto"/>
        <w:left w:val="none" w:sz="0" w:space="0" w:color="auto"/>
        <w:bottom w:val="none" w:sz="0" w:space="0" w:color="auto"/>
        <w:right w:val="none" w:sz="0" w:space="0" w:color="auto"/>
      </w:divBdr>
      <w:divsChild>
        <w:div w:id="1058747011">
          <w:marLeft w:val="0"/>
          <w:marRight w:val="0"/>
          <w:marTop w:val="0"/>
          <w:marBottom w:val="0"/>
          <w:divBdr>
            <w:top w:val="none" w:sz="0" w:space="0" w:color="auto"/>
            <w:left w:val="none" w:sz="0" w:space="0" w:color="auto"/>
            <w:bottom w:val="none" w:sz="0" w:space="0" w:color="auto"/>
            <w:right w:val="none" w:sz="0" w:space="0" w:color="auto"/>
          </w:divBdr>
          <w:divsChild>
            <w:div w:id="559445632">
              <w:marLeft w:val="0"/>
              <w:marRight w:val="0"/>
              <w:marTop w:val="0"/>
              <w:marBottom w:val="0"/>
              <w:divBdr>
                <w:top w:val="none" w:sz="0" w:space="0" w:color="auto"/>
                <w:left w:val="none" w:sz="0" w:space="0" w:color="auto"/>
                <w:bottom w:val="none" w:sz="0" w:space="0" w:color="auto"/>
                <w:right w:val="none" w:sz="0" w:space="0" w:color="auto"/>
              </w:divBdr>
              <w:divsChild>
                <w:div w:id="13015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1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ribunal.org.uk/238-9150/1249-5-7-16-Socrates-Training-Limited.html" TargetMode="External"/><Relationship Id="rId8" Type="http://schemas.openxmlformats.org/officeDocument/2006/relationships/hyperlink" Target="http://www.lawsociety.org.uk/news/press-releases/conveyancing-training-revisited-after-competition-tribunal-ruling/" TargetMode="External"/><Relationship Id="rId9" Type="http://schemas.openxmlformats.org/officeDocument/2006/relationships/hyperlink" Target="http://socrates-training.co.uk/freedom-for-cqs-fir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atribunal.org.uk/files/1249_Socrates_Judgment_CAT_10_160517.pdf" TargetMode="External"/><Relationship Id="rId4" Type="http://schemas.openxmlformats.org/officeDocument/2006/relationships/hyperlink" Target="http://socrates-training.co.uk/for-law-firms/" TargetMode="External"/><Relationship Id="rId5" Type="http://schemas.openxmlformats.org/officeDocument/2006/relationships/hyperlink" Target="http://www.catribunal.org.uk/238-9150/1249-5-7-16-Socrates-Training-Limited.html" TargetMode="External"/><Relationship Id="rId6" Type="http://schemas.openxmlformats.org/officeDocument/2006/relationships/hyperlink" Target="http://socrates-training.co.uk/freedom-for-cqs-firms/" TargetMode="External"/><Relationship Id="rId7" Type="http://schemas.openxmlformats.org/officeDocument/2006/relationships/hyperlink" Target="http://www.lawsociety.org.uk/support-services/accreditation/conveyancing-quality-scheme/" TargetMode="External"/><Relationship Id="rId1" Type="http://schemas.openxmlformats.org/officeDocument/2006/relationships/hyperlink" Target="http://www.legislation.gov.uk/uksi/2007/2157/regulation/21/made" TargetMode="External"/><Relationship Id="rId2" Type="http://schemas.openxmlformats.org/officeDocument/2006/relationships/hyperlink" Target="https://www.gov.uk/government/uploads/system/uploads/attachment_data/file/599835/Money_Laundering_Regulations_2017_-_FINAL_CONSULTATION_DRAF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Johnson</dc:creator>
  <cp:keywords/>
  <dc:description/>
  <cp:lastModifiedBy>Diana Johnson</cp:lastModifiedBy>
  <cp:revision>53</cp:revision>
  <cp:lastPrinted>2017-06-01T14:52:00Z</cp:lastPrinted>
  <dcterms:created xsi:type="dcterms:W3CDTF">2017-06-01T11:48:00Z</dcterms:created>
  <dcterms:modified xsi:type="dcterms:W3CDTF">2017-06-01T15:17:00Z</dcterms:modified>
</cp:coreProperties>
</file>