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FD8EA" w14:textId="77777777" w:rsidR="00C34C70" w:rsidRPr="00C34C70" w:rsidRDefault="00C34C70" w:rsidP="00C34C70">
      <w:pPr>
        <w:shd w:val="clear" w:color="auto" w:fill="FFFFFF"/>
        <w:spacing w:after="150" w:line="435" w:lineRule="atLeast"/>
        <w:outlineLvl w:val="0"/>
        <w:rPr>
          <w:rFonts w:ascii="Trebuchet MS" w:eastAsia="Times New Roman" w:hAnsi="Trebuchet MS" w:cs="Times New Roman"/>
          <w:color w:val="0D4160"/>
          <w:kern w:val="36"/>
          <w:sz w:val="39"/>
          <w:szCs w:val="39"/>
          <w:lang w:eastAsia="en-GB"/>
        </w:rPr>
      </w:pPr>
      <w:r>
        <w:rPr>
          <w:rFonts w:ascii="Trebuchet MS" w:eastAsia="Times New Roman" w:hAnsi="Trebuchet MS" w:cs="Times New Roman"/>
          <w:color w:val="0D4160"/>
          <w:kern w:val="36"/>
          <w:sz w:val="39"/>
          <w:szCs w:val="39"/>
          <w:lang w:eastAsia="en-GB"/>
        </w:rPr>
        <w:t>T</w:t>
      </w:r>
      <w:bookmarkStart w:id="0" w:name="_GoBack"/>
      <w:bookmarkEnd w:id="0"/>
      <w:r w:rsidRPr="00C34C70">
        <w:rPr>
          <w:rFonts w:ascii="Trebuchet MS" w:eastAsia="Times New Roman" w:hAnsi="Trebuchet MS" w:cs="Times New Roman"/>
          <w:color w:val="0D4160"/>
          <w:kern w:val="36"/>
          <w:sz w:val="39"/>
          <w:szCs w:val="39"/>
          <w:lang w:eastAsia="en-GB"/>
        </w:rPr>
        <w:t>he truth about “soft densification”</w:t>
      </w:r>
    </w:p>
    <w:p w14:paraId="25514673" w14:textId="77777777" w:rsidR="00C34C70" w:rsidRPr="00C34C70" w:rsidRDefault="00C34C70" w:rsidP="00C34C70">
      <w:pPr>
        <w:shd w:val="clear" w:color="auto" w:fill="FFFFFF"/>
        <w:spacing w:after="0" w:line="240" w:lineRule="auto"/>
        <w:rPr>
          <w:rFonts w:ascii="Trebuchet MS" w:eastAsia="Times New Roman" w:hAnsi="Trebuchet MS" w:cs="Times New Roman"/>
          <w:color w:val="606060"/>
          <w:sz w:val="21"/>
          <w:szCs w:val="21"/>
          <w:lang w:eastAsia="en-GB"/>
        </w:rPr>
      </w:pPr>
      <w:r w:rsidRPr="00C34C70">
        <w:rPr>
          <w:rFonts w:ascii="Trebuchet MS" w:eastAsia="Times New Roman" w:hAnsi="Trebuchet MS" w:cs="Times New Roman"/>
          <w:b/>
          <w:bCs/>
          <w:color w:val="606060"/>
          <w:sz w:val="21"/>
          <w:szCs w:val="21"/>
          <w:bdr w:val="none" w:sz="0" w:space="0" w:color="auto" w:frame="1"/>
          <w:lang w:eastAsia="en-GB"/>
        </w:rPr>
        <w:t xml:space="preserve">20 October 2017 Author: Dr Richard Dunning, Hannah Hickman and Professor John </w:t>
      </w:r>
      <w:proofErr w:type="spellStart"/>
      <w:r w:rsidRPr="00C34C70">
        <w:rPr>
          <w:rFonts w:ascii="Trebuchet MS" w:eastAsia="Times New Roman" w:hAnsi="Trebuchet MS" w:cs="Times New Roman"/>
          <w:b/>
          <w:bCs/>
          <w:color w:val="606060"/>
          <w:sz w:val="21"/>
          <w:szCs w:val="21"/>
          <w:bdr w:val="none" w:sz="0" w:space="0" w:color="auto" w:frame="1"/>
          <w:lang w:eastAsia="en-GB"/>
        </w:rPr>
        <w:t>Henneberry</w:t>
      </w:r>
      <w:proofErr w:type="spellEnd"/>
    </w:p>
    <w:p w14:paraId="3A088185" w14:textId="77777777" w:rsidR="00C34C70" w:rsidRPr="00C34C70" w:rsidRDefault="00C34C70" w:rsidP="00C34C70">
      <w:pPr>
        <w:shd w:val="clear" w:color="auto" w:fill="FFFFFF"/>
        <w:spacing w:after="150" w:line="240" w:lineRule="auto"/>
        <w:rPr>
          <w:rFonts w:ascii="Trebuchet MS" w:eastAsia="Times New Roman" w:hAnsi="Trebuchet MS" w:cs="Times New Roman"/>
          <w:color w:val="606060"/>
          <w:sz w:val="21"/>
          <w:szCs w:val="21"/>
          <w:lang w:eastAsia="en-GB"/>
        </w:rPr>
      </w:pPr>
      <w:r w:rsidRPr="00C34C70">
        <w:rPr>
          <w:rFonts w:ascii="Trebuchet MS" w:eastAsia="Times New Roman" w:hAnsi="Trebuchet MS" w:cs="Times New Roman"/>
          <w:color w:val="606060"/>
          <w:sz w:val="21"/>
          <w:szCs w:val="21"/>
          <w:lang w:eastAsia="en-GB"/>
        </w:rPr>
        <w:t>Whilst cities compete for monumental developments, with the height of skyscrapers and the zeitgeist of project architects the key barometers of thriving urbanism, a quieter densification revolution is taking place. Within the gaps and shadows of our urban fabric, owners and small developers are cumulatively creating homes at a scale to rival the largest housebuilder and the most significant regeneration project.</w:t>
      </w:r>
    </w:p>
    <w:p w14:paraId="735D99B0" w14:textId="77777777" w:rsidR="00C34C70" w:rsidRPr="00C34C70" w:rsidRDefault="00C34C70" w:rsidP="00C34C70">
      <w:pPr>
        <w:shd w:val="clear" w:color="auto" w:fill="FFFFFF"/>
        <w:spacing w:after="150" w:line="240" w:lineRule="auto"/>
        <w:rPr>
          <w:rFonts w:ascii="Trebuchet MS" w:eastAsia="Times New Roman" w:hAnsi="Trebuchet MS" w:cs="Times New Roman"/>
          <w:color w:val="606060"/>
          <w:sz w:val="21"/>
          <w:szCs w:val="21"/>
          <w:lang w:eastAsia="en-GB"/>
        </w:rPr>
      </w:pPr>
      <w:r w:rsidRPr="00C34C70">
        <w:rPr>
          <w:rFonts w:ascii="Trebuchet MS" w:eastAsia="Times New Roman" w:hAnsi="Trebuchet MS" w:cs="Times New Roman"/>
          <w:color w:val="606060"/>
          <w:sz w:val="21"/>
          <w:szCs w:val="21"/>
          <w:lang w:eastAsia="en-GB"/>
        </w:rPr>
        <w:t>One third of new urban homes developed between 2001 and 2011 in England were small-scale developments – so called ‘soft densification’ - including in-fill plots, residential sub-division of large homes into multiple flats, changes of use, and the creation of new homes in back gardens.</w:t>
      </w:r>
    </w:p>
    <w:p w14:paraId="68DDF4FD" w14:textId="77777777" w:rsidR="00C34C70" w:rsidRPr="00C34C70" w:rsidRDefault="00C34C70" w:rsidP="00C34C70">
      <w:pPr>
        <w:shd w:val="clear" w:color="auto" w:fill="FFFFFF"/>
        <w:spacing w:after="150" w:line="300" w:lineRule="atLeast"/>
        <w:rPr>
          <w:rFonts w:ascii="Trebuchet MS" w:eastAsia="Times New Roman" w:hAnsi="Trebuchet MS" w:cs="Times New Roman"/>
          <w:color w:val="606060"/>
          <w:sz w:val="26"/>
          <w:szCs w:val="26"/>
          <w:lang w:eastAsia="en-GB"/>
        </w:rPr>
      </w:pPr>
      <w:r w:rsidRPr="00C34C70">
        <w:rPr>
          <w:rFonts w:ascii="Trebuchet MS" w:eastAsia="Times New Roman" w:hAnsi="Trebuchet MS" w:cs="Times New Roman"/>
          <w:color w:val="606060"/>
          <w:sz w:val="26"/>
          <w:szCs w:val="26"/>
          <w:lang w:eastAsia="en-GB"/>
        </w:rPr>
        <w:t>Soft densification is making a large contribution to urban housing supply, yet the cumulative impact it has upon our cities is not being fully scrutinised. </w:t>
      </w:r>
    </w:p>
    <w:p w14:paraId="260C7816" w14:textId="77777777" w:rsidR="00C34C70" w:rsidRPr="00C34C70" w:rsidRDefault="00C34C70" w:rsidP="00C34C70">
      <w:pPr>
        <w:shd w:val="clear" w:color="auto" w:fill="FFFFFF"/>
        <w:spacing w:after="150" w:line="240" w:lineRule="auto"/>
        <w:rPr>
          <w:rFonts w:ascii="Trebuchet MS" w:eastAsia="Times New Roman" w:hAnsi="Trebuchet MS" w:cs="Times New Roman"/>
          <w:color w:val="606060"/>
          <w:sz w:val="21"/>
          <w:szCs w:val="21"/>
          <w:lang w:eastAsia="en-GB"/>
        </w:rPr>
      </w:pPr>
      <w:r w:rsidRPr="00C34C70">
        <w:rPr>
          <w:rFonts w:ascii="Trebuchet MS" w:eastAsia="Times New Roman" w:hAnsi="Trebuchet MS" w:cs="Times New Roman"/>
          <w:color w:val="606060"/>
          <w:sz w:val="21"/>
          <w:szCs w:val="21"/>
          <w:lang w:eastAsia="en-GB"/>
        </w:rPr>
        <w:t xml:space="preserve">This level of small scale growth is equivalent to 31,000 new dwellings being built every year, or a city the size of Leeds every ten years. Surprised? This was the key finding of a study for Plan </w:t>
      </w:r>
      <w:proofErr w:type="spellStart"/>
      <w:r w:rsidRPr="00C34C70">
        <w:rPr>
          <w:rFonts w:ascii="Trebuchet MS" w:eastAsia="Times New Roman" w:hAnsi="Trebuchet MS" w:cs="Times New Roman"/>
          <w:color w:val="606060"/>
          <w:sz w:val="21"/>
          <w:szCs w:val="21"/>
          <w:lang w:eastAsia="en-GB"/>
        </w:rPr>
        <w:t>Urbanisme</w:t>
      </w:r>
      <w:proofErr w:type="spellEnd"/>
      <w:r w:rsidRPr="00C34C70">
        <w:rPr>
          <w:rFonts w:ascii="Trebuchet MS" w:eastAsia="Times New Roman" w:hAnsi="Trebuchet MS" w:cs="Times New Roman"/>
          <w:color w:val="606060"/>
          <w:sz w:val="21"/>
          <w:szCs w:val="21"/>
          <w:lang w:eastAsia="en-GB"/>
        </w:rPr>
        <w:t xml:space="preserve"> Construction Architecture, an agency of the French government, keen to learn from the English experience to support the growing densification of the wider Paris region.</w:t>
      </w:r>
    </w:p>
    <w:p w14:paraId="4767A63B" w14:textId="77777777" w:rsidR="00C34C70" w:rsidRPr="00C34C70" w:rsidRDefault="00C34C70" w:rsidP="00C34C70">
      <w:pPr>
        <w:shd w:val="clear" w:color="auto" w:fill="FFFFFF"/>
        <w:spacing w:after="150" w:line="240" w:lineRule="auto"/>
        <w:rPr>
          <w:rFonts w:ascii="Trebuchet MS" w:eastAsia="Times New Roman" w:hAnsi="Trebuchet MS" w:cs="Times New Roman"/>
          <w:color w:val="606060"/>
          <w:sz w:val="21"/>
          <w:szCs w:val="21"/>
          <w:lang w:eastAsia="en-GB"/>
        </w:rPr>
      </w:pPr>
      <w:r w:rsidRPr="00C34C70">
        <w:rPr>
          <w:rFonts w:ascii="Trebuchet MS" w:eastAsia="Times New Roman" w:hAnsi="Trebuchet MS" w:cs="Times New Roman"/>
          <w:color w:val="606060"/>
          <w:sz w:val="21"/>
          <w:szCs w:val="21"/>
          <w:lang w:eastAsia="en-GB"/>
        </w:rPr>
        <w:t xml:space="preserve">In some cities such as Bristol, the signs are visible right across the city, with new homes being seemingly squeezed into every vacant small plot. In other urban areas – such as </w:t>
      </w:r>
      <w:proofErr w:type="gramStart"/>
      <w:r w:rsidRPr="00C34C70">
        <w:rPr>
          <w:rFonts w:ascii="Trebuchet MS" w:eastAsia="Times New Roman" w:hAnsi="Trebuchet MS" w:cs="Times New Roman"/>
          <w:color w:val="606060"/>
          <w:sz w:val="21"/>
          <w:szCs w:val="21"/>
          <w:lang w:eastAsia="en-GB"/>
        </w:rPr>
        <w:t>Ealing  –</w:t>
      </w:r>
      <w:proofErr w:type="gramEnd"/>
      <w:r w:rsidRPr="00C34C70">
        <w:rPr>
          <w:rFonts w:ascii="Trebuchet MS" w:eastAsia="Times New Roman" w:hAnsi="Trebuchet MS" w:cs="Times New Roman"/>
          <w:color w:val="606060"/>
          <w:sz w:val="21"/>
          <w:szCs w:val="21"/>
          <w:lang w:eastAsia="en-GB"/>
        </w:rPr>
        <w:t xml:space="preserve"> the physical evidence may be less evident, with an unchanged street morphology hiding the substantial incidence of residential sub-division. </w:t>
      </w:r>
    </w:p>
    <w:p w14:paraId="6E60EEC9" w14:textId="77777777" w:rsidR="00C34C70" w:rsidRPr="00C34C70" w:rsidRDefault="00C34C70" w:rsidP="00C34C70">
      <w:pPr>
        <w:shd w:val="clear" w:color="auto" w:fill="FFFFFF"/>
        <w:spacing w:after="150" w:line="240" w:lineRule="auto"/>
        <w:rPr>
          <w:rFonts w:ascii="Trebuchet MS" w:eastAsia="Times New Roman" w:hAnsi="Trebuchet MS" w:cs="Times New Roman"/>
          <w:color w:val="606060"/>
          <w:sz w:val="21"/>
          <w:szCs w:val="21"/>
          <w:lang w:eastAsia="en-GB"/>
        </w:rPr>
      </w:pPr>
      <w:r w:rsidRPr="00C34C70">
        <w:rPr>
          <w:rFonts w:ascii="Trebuchet MS" w:eastAsia="Times New Roman" w:hAnsi="Trebuchet MS" w:cs="Times New Roman"/>
          <w:color w:val="606060"/>
          <w:sz w:val="21"/>
          <w:szCs w:val="21"/>
          <w:lang w:eastAsia="en-GB"/>
        </w:rPr>
        <w:t>Soft densification appears to have three principal drivers:</w:t>
      </w:r>
    </w:p>
    <w:p w14:paraId="17B58E8E" w14:textId="77777777" w:rsidR="00C34C70" w:rsidRPr="00C34C70" w:rsidRDefault="00C34C70" w:rsidP="00C34C70">
      <w:pPr>
        <w:numPr>
          <w:ilvl w:val="0"/>
          <w:numId w:val="1"/>
        </w:numPr>
        <w:shd w:val="clear" w:color="auto" w:fill="FFFFFF"/>
        <w:spacing w:after="30" w:line="240" w:lineRule="auto"/>
        <w:ind w:left="300" w:right="300"/>
        <w:rPr>
          <w:rFonts w:ascii="Trebuchet MS" w:eastAsia="Times New Roman" w:hAnsi="Trebuchet MS" w:cs="Times New Roman"/>
          <w:color w:val="606060"/>
          <w:sz w:val="21"/>
          <w:szCs w:val="21"/>
          <w:lang w:eastAsia="en-GB"/>
        </w:rPr>
      </w:pPr>
      <w:r w:rsidRPr="00C34C70">
        <w:rPr>
          <w:rFonts w:ascii="Trebuchet MS" w:eastAsia="Times New Roman" w:hAnsi="Trebuchet MS" w:cs="Times New Roman"/>
          <w:color w:val="606060"/>
          <w:sz w:val="21"/>
          <w:szCs w:val="21"/>
          <w:lang w:eastAsia="en-GB"/>
        </w:rPr>
        <w:t>It is partly a response to almost 75 years of planning policy that aims to prevent urban sprawl: a policy position that continues to prevail alongside a strong culture of opposition to development on greenfield sites at the urban periphery.</w:t>
      </w:r>
    </w:p>
    <w:p w14:paraId="2B2AA90A" w14:textId="77777777" w:rsidR="00C34C70" w:rsidRPr="00C34C70" w:rsidRDefault="00C34C70" w:rsidP="00C34C70">
      <w:pPr>
        <w:numPr>
          <w:ilvl w:val="0"/>
          <w:numId w:val="1"/>
        </w:numPr>
        <w:shd w:val="clear" w:color="auto" w:fill="FFFFFF"/>
        <w:spacing w:after="30" w:line="240" w:lineRule="auto"/>
        <w:ind w:left="300" w:right="300"/>
        <w:rPr>
          <w:rFonts w:ascii="Trebuchet MS" w:eastAsia="Times New Roman" w:hAnsi="Trebuchet MS" w:cs="Times New Roman"/>
          <w:color w:val="606060"/>
          <w:sz w:val="21"/>
          <w:szCs w:val="21"/>
          <w:lang w:eastAsia="en-GB"/>
        </w:rPr>
      </w:pPr>
      <w:r w:rsidRPr="00C34C70">
        <w:rPr>
          <w:rFonts w:ascii="Trebuchet MS" w:eastAsia="Times New Roman" w:hAnsi="Trebuchet MS" w:cs="Times New Roman"/>
          <w:color w:val="606060"/>
          <w:sz w:val="21"/>
          <w:szCs w:val="21"/>
          <w:lang w:eastAsia="en-GB"/>
        </w:rPr>
        <w:t>It is also a response to a broader acceptance that increasing urban densities has environmental and social advantages in terms of supporting service provision, particularly public transport.</w:t>
      </w:r>
    </w:p>
    <w:p w14:paraId="1EA3BB1A" w14:textId="77777777" w:rsidR="00C34C70" w:rsidRPr="00C34C70" w:rsidRDefault="00C34C70" w:rsidP="00C34C70">
      <w:pPr>
        <w:numPr>
          <w:ilvl w:val="0"/>
          <w:numId w:val="1"/>
        </w:numPr>
        <w:shd w:val="clear" w:color="auto" w:fill="FFFFFF"/>
        <w:spacing w:after="30" w:line="240" w:lineRule="auto"/>
        <w:ind w:left="300" w:right="300"/>
        <w:rPr>
          <w:rFonts w:ascii="Trebuchet MS" w:eastAsia="Times New Roman" w:hAnsi="Trebuchet MS" w:cs="Times New Roman"/>
          <w:color w:val="606060"/>
          <w:sz w:val="21"/>
          <w:szCs w:val="21"/>
          <w:lang w:eastAsia="en-GB"/>
        </w:rPr>
      </w:pPr>
      <w:r w:rsidRPr="00C34C70">
        <w:rPr>
          <w:rFonts w:ascii="Trebuchet MS" w:eastAsia="Times New Roman" w:hAnsi="Trebuchet MS" w:cs="Times New Roman"/>
          <w:color w:val="606060"/>
          <w:sz w:val="21"/>
          <w:szCs w:val="21"/>
          <w:lang w:eastAsia="en-GB"/>
        </w:rPr>
        <w:t xml:space="preserve">Yet it is also a story in many places of strong market performance. In locations like Ealing and Bristol, case studies for the PUCA analysis, there is a strong financial motivation behind small scale developments – there is money to be made - with even some evidence that developments in back gardens </w:t>
      </w:r>
      <w:proofErr w:type="gramStart"/>
      <w:r w:rsidRPr="00C34C70">
        <w:rPr>
          <w:rFonts w:ascii="Trebuchet MS" w:eastAsia="Times New Roman" w:hAnsi="Trebuchet MS" w:cs="Times New Roman"/>
          <w:color w:val="606060"/>
          <w:sz w:val="21"/>
          <w:szCs w:val="21"/>
          <w:lang w:eastAsia="en-GB"/>
        </w:rPr>
        <w:t>are seen as</w:t>
      </w:r>
      <w:proofErr w:type="gramEnd"/>
      <w:r w:rsidRPr="00C34C70">
        <w:rPr>
          <w:rFonts w:ascii="Trebuchet MS" w:eastAsia="Times New Roman" w:hAnsi="Trebuchet MS" w:cs="Times New Roman"/>
          <w:color w:val="606060"/>
          <w:sz w:val="21"/>
          <w:szCs w:val="21"/>
          <w:lang w:eastAsia="en-GB"/>
        </w:rPr>
        <w:t xml:space="preserve"> a new form of pension planning.</w:t>
      </w:r>
    </w:p>
    <w:p w14:paraId="0A4D9F74" w14:textId="77777777" w:rsidR="00C34C70" w:rsidRPr="00C34C70" w:rsidRDefault="00C34C70" w:rsidP="00C34C70">
      <w:pPr>
        <w:shd w:val="clear" w:color="auto" w:fill="FFFFFF"/>
        <w:spacing w:after="150" w:line="240" w:lineRule="auto"/>
        <w:rPr>
          <w:rFonts w:ascii="Trebuchet MS" w:eastAsia="Times New Roman" w:hAnsi="Trebuchet MS" w:cs="Times New Roman"/>
          <w:color w:val="606060"/>
          <w:sz w:val="21"/>
          <w:szCs w:val="21"/>
          <w:lang w:eastAsia="en-GB"/>
        </w:rPr>
      </w:pPr>
      <w:r w:rsidRPr="00C34C70">
        <w:rPr>
          <w:rFonts w:ascii="Trebuchet MS" w:eastAsia="Times New Roman" w:hAnsi="Trebuchet MS" w:cs="Times New Roman"/>
          <w:color w:val="606060"/>
          <w:sz w:val="21"/>
          <w:szCs w:val="21"/>
          <w:lang w:eastAsia="en-GB"/>
        </w:rPr>
        <w:t>Yet the current focus of development control is principally on large scale developments with the impacts of small scale densification largely unaccounted for. This is largely because the level of interrogation of a planning proposal is often proportional to the scale of development. </w:t>
      </w:r>
    </w:p>
    <w:p w14:paraId="5EEAD1CC" w14:textId="77777777" w:rsidR="00C34C70" w:rsidRPr="00C34C70" w:rsidRDefault="00C34C70" w:rsidP="00C34C70">
      <w:pPr>
        <w:shd w:val="clear" w:color="auto" w:fill="FFFFFF"/>
        <w:spacing w:after="150" w:line="300" w:lineRule="atLeast"/>
        <w:rPr>
          <w:rFonts w:ascii="Trebuchet MS" w:eastAsia="Times New Roman" w:hAnsi="Trebuchet MS" w:cs="Times New Roman"/>
          <w:color w:val="606060"/>
          <w:sz w:val="26"/>
          <w:szCs w:val="26"/>
          <w:lang w:eastAsia="en-GB"/>
        </w:rPr>
      </w:pPr>
      <w:r w:rsidRPr="00C34C70">
        <w:rPr>
          <w:rFonts w:ascii="Trebuchet MS" w:eastAsia="Times New Roman" w:hAnsi="Trebuchet MS" w:cs="Times New Roman"/>
          <w:color w:val="606060"/>
          <w:sz w:val="26"/>
          <w:szCs w:val="26"/>
          <w:lang w:eastAsia="en-GB"/>
        </w:rPr>
        <w:t xml:space="preserve">...whilst developments at a larger scale </w:t>
      </w:r>
      <w:proofErr w:type="gramStart"/>
      <w:r w:rsidRPr="00C34C70">
        <w:rPr>
          <w:rFonts w:ascii="Trebuchet MS" w:eastAsia="Times New Roman" w:hAnsi="Trebuchet MS" w:cs="Times New Roman"/>
          <w:color w:val="606060"/>
          <w:sz w:val="26"/>
          <w:szCs w:val="26"/>
          <w:lang w:eastAsia="en-GB"/>
        </w:rPr>
        <w:t>make a contribution</w:t>
      </w:r>
      <w:proofErr w:type="gramEnd"/>
      <w:r w:rsidRPr="00C34C70">
        <w:rPr>
          <w:rFonts w:ascii="Trebuchet MS" w:eastAsia="Times New Roman" w:hAnsi="Trebuchet MS" w:cs="Times New Roman"/>
          <w:color w:val="606060"/>
          <w:sz w:val="26"/>
          <w:szCs w:val="26"/>
          <w:lang w:eastAsia="en-GB"/>
        </w:rPr>
        <w:t xml:space="preserve"> to the associated costs of development in a local area through Section 106 payments or the Community Infrastructure Levy, local authorities have little way of recouping the cumulative costs of soft densification.</w:t>
      </w:r>
    </w:p>
    <w:p w14:paraId="717F62D6" w14:textId="77777777" w:rsidR="00C34C70" w:rsidRPr="00C34C70" w:rsidRDefault="00C34C70" w:rsidP="00C34C70">
      <w:pPr>
        <w:shd w:val="clear" w:color="auto" w:fill="FFFFFF"/>
        <w:spacing w:after="150" w:line="240" w:lineRule="auto"/>
        <w:rPr>
          <w:rFonts w:ascii="Trebuchet MS" w:eastAsia="Times New Roman" w:hAnsi="Trebuchet MS" w:cs="Times New Roman"/>
          <w:color w:val="606060"/>
          <w:sz w:val="21"/>
          <w:szCs w:val="21"/>
          <w:lang w:eastAsia="en-GB"/>
        </w:rPr>
      </w:pPr>
      <w:r w:rsidRPr="00C34C70">
        <w:rPr>
          <w:rFonts w:ascii="Trebuchet MS" w:eastAsia="Times New Roman" w:hAnsi="Trebuchet MS" w:cs="Times New Roman"/>
          <w:color w:val="606060"/>
          <w:sz w:val="21"/>
          <w:szCs w:val="21"/>
          <w:lang w:eastAsia="en-GB"/>
        </w:rPr>
        <w:t>Whilst this recognises the significant impact that large scale developments may have on a wide area, it may not recognise fully the cumulative impact of smaller developments.</w:t>
      </w:r>
    </w:p>
    <w:p w14:paraId="3EFFA2E1" w14:textId="77777777" w:rsidR="00C34C70" w:rsidRPr="00C34C70" w:rsidRDefault="00C34C70" w:rsidP="00C34C70">
      <w:pPr>
        <w:shd w:val="clear" w:color="auto" w:fill="FFFFFF"/>
        <w:spacing w:after="150" w:line="240" w:lineRule="auto"/>
        <w:rPr>
          <w:rFonts w:ascii="Trebuchet MS" w:eastAsia="Times New Roman" w:hAnsi="Trebuchet MS" w:cs="Times New Roman"/>
          <w:color w:val="606060"/>
          <w:sz w:val="21"/>
          <w:szCs w:val="21"/>
          <w:lang w:eastAsia="en-GB"/>
        </w:rPr>
      </w:pPr>
      <w:r w:rsidRPr="00C34C70">
        <w:rPr>
          <w:rFonts w:ascii="Trebuchet MS" w:eastAsia="Times New Roman" w:hAnsi="Trebuchet MS" w:cs="Times New Roman"/>
          <w:color w:val="606060"/>
          <w:sz w:val="21"/>
          <w:szCs w:val="21"/>
          <w:lang w:eastAsia="en-GB"/>
        </w:rPr>
        <w:t xml:space="preserve">This means that whilst developments at a larger scale </w:t>
      </w:r>
      <w:proofErr w:type="gramStart"/>
      <w:r w:rsidRPr="00C34C70">
        <w:rPr>
          <w:rFonts w:ascii="Trebuchet MS" w:eastAsia="Times New Roman" w:hAnsi="Trebuchet MS" w:cs="Times New Roman"/>
          <w:color w:val="606060"/>
          <w:sz w:val="21"/>
          <w:szCs w:val="21"/>
          <w:lang w:eastAsia="en-GB"/>
        </w:rPr>
        <w:t>make a contribution</w:t>
      </w:r>
      <w:proofErr w:type="gramEnd"/>
      <w:r w:rsidRPr="00C34C70">
        <w:rPr>
          <w:rFonts w:ascii="Trebuchet MS" w:eastAsia="Times New Roman" w:hAnsi="Trebuchet MS" w:cs="Times New Roman"/>
          <w:color w:val="606060"/>
          <w:sz w:val="21"/>
          <w:szCs w:val="21"/>
          <w:lang w:eastAsia="en-GB"/>
        </w:rPr>
        <w:t xml:space="preserve"> to the associated costs of development in a local area through Section 106 payments or the Community Infrastructure Levy, local authorities have little way of recouping the cumulative costs of soft densification. Infrastructure requirements resulting from increasing local population, whether </w:t>
      </w:r>
      <w:r w:rsidRPr="00C34C70">
        <w:rPr>
          <w:rFonts w:ascii="Trebuchet MS" w:eastAsia="Times New Roman" w:hAnsi="Trebuchet MS" w:cs="Times New Roman"/>
          <w:color w:val="606060"/>
          <w:sz w:val="21"/>
          <w:szCs w:val="21"/>
          <w:lang w:eastAsia="en-GB"/>
        </w:rPr>
        <w:lastRenderedPageBreak/>
        <w:t>public transport, school places, GP surgeries or local parks, therefore need to be met outside the development process.</w:t>
      </w:r>
    </w:p>
    <w:p w14:paraId="70186462" w14:textId="77777777" w:rsidR="00C34C70" w:rsidRPr="00C34C70" w:rsidRDefault="00C34C70" w:rsidP="00C34C70">
      <w:pPr>
        <w:shd w:val="clear" w:color="auto" w:fill="FFFFFF"/>
        <w:spacing w:after="150" w:line="240" w:lineRule="auto"/>
        <w:rPr>
          <w:rFonts w:ascii="Trebuchet MS" w:eastAsia="Times New Roman" w:hAnsi="Trebuchet MS" w:cs="Times New Roman"/>
          <w:color w:val="606060"/>
          <w:sz w:val="21"/>
          <w:szCs w:val="21"/>
          <w:lang w:eastAsia="en-GB"/>
        </w:rPr>
      </w:pPr>
      <w:r w:rsidRPr="00C34C70">
        <w:rPr>
          <w:rFonts w:ascii="Trebuchet MS" w:eastAsia="Times New Roman" w:hAnsi="Trebuchet MS" w:cs="Times New Roman"/>
          <w:color w:val="606060"/>
          <w:sz w:val="21"/>
          <w:szCs w:val="21"/>
          <w:lang w:eastAsia="en-GB"/>
        </w:rPr>
        <w:t xml:space="preserve">Cumulative impact also </w:t>
      </w:r>
      <w:proofErr w:type="gramStart"/>
      <w:r w:rsidRPr="00C34C70">
        <w:rPr>
          <w:rFonts w:ascii="Trebuchet MS" w:eastAsia="Times New Roman" w:hAnsi="Trebuchet MS" w:cs="Times New Roman"/>
          <w:color w:val="606060"/>
          <w:sz w:val="21"/>
          <w:szCs w:val="21"/>
          <w:lang w:eastAsia="en-GB"/>
        </w:rPr>
        <w:t>change</w:t>
      </w:r>
      <w:proofErr w:type="gramEnd"/>
      <w:r w:rsidRPr="00C34C70">
        <w:rPr>
          <w:rFonts w:ascii="Trebuchet MS" w:eastAsia="Times New Roman" w:hAnsi="Trebuchet MS" w:cs="Times New Roman"/>
          <w:color w:val="606060"/>
          <w:sz w:val="21"/>
          <w:szCs w:val="21"/>
          <w:lang w:eastAsia="en-GB"/>
        </w:rPr>
        <w:t xml:space="preserve"> the character of neighbourhoods over time. This is particularly true where extensive residential sub-division occurs as neighbourhoods once predominantly occupied by families become populated by more transient </w:t>
      </w:r>
      <w:proofErr w:type="gramStart"/>
      <w:r w:rsidRPr="00C34C70">
        <w:rPr>
          <w:rFonts w:ascii="Trebuchet MS" w:eastAsia="Times New Roman" w:hAnsi="Trebuchet MS" w:cs="Times New Roman"/>
          <w:color w:val="606060"/>
          <w:sz w:val="21"/>
          <w:szCs w:val="21"/>
          <w:lang w:eastAsia="en-GB"/>
        </w:rPr>
        <w:t>communities</w:t>
      </w:r>
      <w:proofErr w:type="gramEnd"/>
      <w:r w:rsidRPr="00C34C70">
        <w:rPr>
          <w:rFonts w:ascii="Trebuchet MS" w:eastAsia="Times New Roman" w:hAnsi="Trebuchet MS" w:cs="Times New Roman"/>
          <w:color w:val="606060"/>
          <w:sz w:val="21"/>
          <w:szCs w:val="21"/>
          <w:lang w:eastAsia="en-GB"/>
        </w:rPr>
        <w:t xml:space="preserve"> characteristic of smaller dwellings.</w:t>
      </w:r>
    </w:p>
    <w:p w14:paraId="72CFEADA" w14:textId="77777777" w:rsidR="00C34C70" w:rsidRPr="00C34C70" w:rsidRDefault="00C34C70" w:rsidP="00C34C70">
      <w:pPr>
        <w:shd w:val="clear" w:color="auto" w:fill="FFFFFF"/>
        <w:spacing w:after="150" w:line="240" w:lineRule="auto"/>
        <w:rPr>
          <w:rFonts w:ascii="Trebuchet MS" w:eastAsia="Times New Roman" w:hAnsi="Trebuchet MS" w:cs="Times New Roman"/>
          <w:color w:val="606060"/>
          <w:sz w:val="21"/>
          <w:szCs w:val="21"/>
          <w:lang w:eastAsia="en-GB"/>
        </w:rPr>
      </w:pPr>
      <w:r w:rsidRPr="00C34C70">
        <w:rPr>
          <w:rFonts w:ascii="Trebuchet MS" w:eastAsia="Times New Roman" w:hAnsi="Trebuchet MS" w:cs="Times New Roman"/>
          <w:color w:val="606060"/>
          <w:sz w:val="21"/>
          <w:szCs w:val="21"/>
          <w:lang w:eastAsia="en-GB"/>
        </w:rPr>
        <w:t>Not all impacts are negative, though. Small scale developments can have positive impacts upon the viability of local businesses, the vitality of local shopping streets, and transport links while increased density leads to higher council tax receipts.</w:t>
      </w:r>
    </w:p>
    <w:p w14:paraId="2D7192BA" w14:textId="77777777" w:rsidR="00C34C70" w:rsidRPr="00C34C70" w:rsidRDefault="00C34C70" w:rsidP="00C34C70">
      <w:pPr>
        <w:shd w:val="clear" w:color="auto" w:fill="FFFFFF"/>
        <w:spacing w:after="150" w:line="240" w:lineRule="auto"/>
        <w:rPr>
          <w:rFonts w:ascii="Trebuchet MS" w:eastAsia="Times New Roman" w:hAnsi="Trebuchet MS" w:cs="Times New Roman"/>
          <w:color w:val="606060"/>
          <w:sz w:val="21"/>
          <w:szCs w:val="21"/>
          <w:lang w:eastAsia="en-GB"/>
        </w:rPr>
      </w:pPr>
      <w:r w:rsidRPr="00C34C70">
        <w:rPr>
          <w:rFonts w:ascii="Trebuchet MS" w:eastAsia="Times New Roman" w:hAnsi="Trebuchet MS" w:cs="Times New Roman"/>
          <w:color w:val="606060"/>
          <w:sz w:val="21"/>
          <w:szCs w:val="21"/>
          <w:lang w:eastAsia="en-GB"/>
        </w:rPr>
        <w:t xml:space="preserve">In urban areas the soft densification debate is highly dependent on the local context. In Ealing, there is very little public or political contestation, reflecting both the historic dominance of redevelopment and contemporary concerns about housing supply, which trump worries about the viability of local services. In Bristol, however, the pressures to densify, which are supported through the City Council’s planning policies, are meeting sterner resistance. In many neighbourhoods, </w:t>
      </w:r>
      <w:proofErr w:type="gramStart"/>
      <w:r w:rsidRPr="00C34C70">
        <w:rPr>
          <w:rFonts w:ascii="Trebuchet MS" w:eastAsia="Times New Roman" w:hAnsi="Trebuchet MS" w:cs="Times New Roman"/>
          <w:color w:val="606060"/>
          <w:sz w:val="21"/>
          <w:szCs w:val="21"/>
          <w:lang w:eastAsia="en-GB"/>
        </w:rPr>
        <w:t>local residents</w:t>
      </w:r>
      <w:proofErr w:type="gramEnd"/>
      <w:r w:rsidRPr="00C34C70">
        <w:rPr>
          <w:rFonts w:ascii="Trebuchet MS" w:eastAsia="Times New Roman" w:hAnsi="Trebuchet MS" w:cs="Times New Roman"/>
          <w:color w:val="606060"/>
          <w:sz w:val="21"/>
          <w:szCs w:val="21"/>
          <w:lang w:eastAsia="en-GB"/>
        </w:rPr>
        <w:t xml:space="preserve"> are concerned about the cumulative impact of soft densification on car parking, health services and neighbourhood aesthetics.</w:t>
      </w:r>
    </w:p>
    <w:p w14:paraId="7916A1D7" w14:textId="77777777" w:rsidR="00C34C70" w:rsidRPr="00C34C70" w:rsidRDefault="00C34C70" w:rsidP="00C34C70">
      <w:pPr>
        <w:shd w:val="clear" w:color="auto" w:fill="FFFFFF"/>
        <w:spacing w:after="150" w:line="240" w:lineRule="auto"/>
        <w:rPr>
          <w:rFonts w:ascii="Trebuchet MS" w:eastAsia="Times New Roman" w:hAnsi="Trebuchet MS" w:cs="Times New Roman"/>
          <w:color w:val="606060"/>
          <w:sz w:val="21"/>
          <w:szCs w:val="21"/>
          <w:lang w:eastAsia="en-GB"/>
        </w:rPr>
      </w:pPr>
      <w:r w:rsidRPr="00C34C70">
        <w:rPr>
          <w:rFonts w:ascii="Trebuchet MS" w:eastAsia="Times New Roman" w:hAnsi="Trebuchet MS" w:cs="Times New Roman"/>
          <w:color w:val="606060"/>
          <w:sz w:val="21"/>
          <w:szCs w:val="21"/>
          <w:lang w:eastAsia="en-GB"/>
        </w:rPr>
        <w:t>Soft densification is making a large contribution to urban housing supply, yet the cumulative impact it has upon our cities is not being fully scrutinised. Local authorities have limited resources to plan housing, to monitor development and to provide the necessary infrastructure.</w:t>
      </w:r>
    </w:p>
    <w:p w14:paraId="744B9EC0" w14:textId="77777777" w:rsidR="00C34C70" w:rsidRPr="00C34C70" w:rsidRDefault="00C34C70" w:rsidP="00C34C70">
      <w:pPr>
        <w:shd w:val="clear" w:color="auto" w:fill="FFFFFF"/>
        <w:spacing w:after="150" w:line="240" w:lineRule="auto"/>
        <w:rPr>
          <w:rFonts w:ascii="Trebuchet MS" w:eastAsia="Times New Roman" w:hAnsi="Trebuchet MS" w:cs="Times New Roman"/>
          <w:color w:val="606060"/>
          <w:sz w:val="21"/>
          <w:szCs w:val="21"/>
          <w:lang w:eastAsia="en-GB"/>
        </w:rPr>
      </w:pPr>
      <w:r w:rsidRPr="00C34C70">
        <w:rPr>
          <w:rFonts w:ascii="Trebuchet MS" w:eastAsia="Times New Roman" w:hAnsi="Trebuchet MS" w:cs="Times New Roman"/>
          <w:color w:val="606060"/>
          <w:sz w:val="21"/>
          <w:szCs w:val="21"/>
          <w:lang w:eastAsia="en-GB"/>
        </w:rPr>
        <w:t>Society may be focused on the impact of high-rise developments and the political tortuous debate about the need for and efficacy of development on greenfield sites, but in the meanwhile the tide of soft densification continues to rise. </w:t>
      </w:r>
    </w:p>
    <w:p w14:paraId="14163073" w14:textId="77777777" w:rsidR="00C34C70" w:rsidRPr="00C34C70" w:rsidRDefault="00C34C70" w:rsidP="00C34C70">
      <w:pPr>
        <w:shd w:val="clear" w:color="auto" w:fill="FFFFFF"/>
        <w:spacing w:line="240" w:lineRule="auto"/>
        <w:rPr>
          <w:rFonts w:ascii="Trebuchet MS" w:eastAsia="Times New Roman" w:hAnsi="Trebuchet MS" w:cs="Times New Roman"/>
          <w:color w:val="606060"/>
          <w:sz w:val="21"/>
          <w:szCs w:val="21"/>
          <w:lang w:eastAsia="en-GB"/>
        </w:rPr>
      </w:pPr>
      <w:r w:rsidRPr="00C34C70">
        <w:rPr>
          <w:rFonts w:ascii="Trebuchet MS" w:eastAsia="Times New Roman" w:hAnsi="Trebuchet MS" w:cs="Times New Roman"/>
          <w:i/>
          <w:iCs/>
          <w:color w:val="606060"/>
          <w:sz w:val="21"/>
          <w:szCs w:val="21"/>
          <w:bdr w:val="none" w:sz="0" w:space="0" w:color="auto" w:frame="1"/>
          <w:lang w:eastAsia="en-GB"/>
        </w:rPr>
        <w:t>Guest blogs may not represent the views of the RTPI.</w:t>
      </w:r>
    </w:p>
    <w:p w14:paraId="324D79A1" w14:textId="77777777" w:rsidR="005E72F3" w:rsidRDefault="005E72F3"/>
    <w:sectPr w:rsidR="005E7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978CC"/>
    <w:multiLevelType w:val="multilevel"/>
    <w:tmpl w:val="E338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70"/>
    <w:rsid w:val="005E72F3"/>
    <w:rsid w:val="00C34C70"/>
    <w:rsid w:val="00F72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BDBE"/>
  <w15:chartTrackingRefBased/>
  <w15:docId w15:val="{872B91C3-9666-4013-9881-C76B1EAC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34C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C70"/>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C34C70"/>
    <w:rPr>
      <w:b/>
      <w:bCs/>
    </w:rPr>
  </w:style>
  <w:style w:type="paragraph" w:styleId="NormalWeb">
    <w:name w:val="Normal (Web)"/>
    <w:basedOn w:val="Normal"/>
    <w:uiPriority w:val="99"/>
    <w:semiHidden/>
    <w:unhideWhenUsed/>
    <w:rsid w:val="00C34C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34C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185895">
      <w:bodyDiv w:val="1"/>
      <w:marLeft w:val="0"/>
      <w:marRight w:val="0"/>
      <w:marTop w:val="0"/>
      <w:marBottom w:val="0"/>
      <w:divBdr>
        <w:top w:val="none" w:sz="0" w:space="0" w:color="auto"/>
        <w:left w:val="none" w:sz="0" w:space="0" w:color="auto"/>
        <w:bottom w:val="none" w:sz="0" w:space="0" w:color="auto"/>
        <w:right w:val="none" w:sz="0" w:space="0" w:color="auto"/>
      </w:divBdr>
      <w:divsChild>
        <w:div w:id="792595718">
          <w:marLeft w:val="0"/>
          <w:marRight w:val="0"/>
          <w:marTop w:val="0"/>
          <w:marBottom w:val="0"/>
          <w:divBdr>
            <w:top w:val="none" w:sz="0" w:space="0" w:color="auto"/>
            <w:left w:val="none" w:sz="0" w:space="0" w:color="auto"/>
            <w:bottom w:val="none" w:sz="0" w:space="0" w:color="auto"/>
            <w:right w:val="none" w:sz="0" w:space="0" w:color="auto"/>
          </w:divBdr>
        </w:div>
        <w:div w:id="1577788814">
          <w:marLeft w:val="0"/>
          <w:marRight w:val="0"/>
          <w:marTop w:val="0"/>
          <w:marBottom w:val="300"/>
          <w:divBdr>
            <w:top w:val="none" w:sz="0" w:space="0" w:color="auto"/>
            <w:left w:val="none" w:sz="0" w:space="0" w:color="auto"/>
            <w:bottom w:val="dotted" w:sz="6" w:space="15" w:color="EEEEEE"/>
            <w:right w:val="none" w:sz="0" w:space="0" w:color="auto"/>
          </w:divBdr>
          <w:divsChild>
            <w:div w:id="603148455">
              <w:blockQuote w:val="1"/>
              <w:marLeft w:val="225"/>
              <w:marRight w:val="0"/>
              <w:marTop w:val="225"/>
              <w:marBottom w:val="150"/>
              <w:divBdr>
                <w:top w:val="none" w:sz="0" w:space="0" w:color="auto"/>
                <w:left w:val="none" w:sz="0" w:space="0" w:color="auto"/>
                <w:bottom w:val="none" w:sz="0" w:space="0" w:color="auto"/>
                <w:right w:val="none" w:sz="0" w:space="0" w:color="auto"/>
              </w:divBdr>
            </w:div>
            <w:div w:id="792408687">
              <w:blockQuote w:val="1"/>
              <w:marLeft w:val="225"/>
              <w:marRight w:val="0"/>
              <w:marTop w:val="225"/>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939</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Hickman</dc:creator>
  <cp:keywords/>
  <dc:description/>
  <cp:lastModifiedBy>Hannah Hickman</cp:lastModifiedBy>
  <cp:revision>1</cp:revision>
  <dcterms:created xsi:type="dcterms:W3CDTF">2018-01-11T18:34:00Z</dcterms:created>
  <dcterms:modified xsi:type="dcterms:W3CDTF">2018-01-15T13:48:00Z</dcterms:modified>
</cp:coreProperties>
</file>