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6A90D" w14:textId="77777777" w:rsidR="009E5579" w:rsidRDefault="006A5E63" w:rsidP="00CE57EC">
      <w:pPr>
        <w:spacing w:line="360" w:lineRule="auto"/>
        <w:jc w:val="both"/>
        <w:rPr>
          <w:rFonts w:eastAsia="Calibri"/>
          <w:b/>
          <w:sz w:val="32"/>
        </w:rPr>
      </w:pPr>
      <w:r w:rsidRPr="001C663E">
        <w:rPr>
          <w:rFonts w:eastAsia="Calibri"/>
          <w:b/>
          <w:sz w:val="32"/>
        </w:rPr>
        <w:t>Planning education:</w:t>
      </w:r>
      <w:r w:rsidR="00F65B6F">
        <w:rPr>
          <w:rFonts w:eastAsia="Calibri"/>
          <w:b/>
          <w:sz w:val="32"/>
        </w:rPr>
        <w:t xml:space="preserve"> </w:t>
      </w:r>
      <w:r w:rsidR="00AB71C2">
        <w:rPr>
          <w:rFonts w:eastAsia="Calibri"/>
          <w:b/>
          <w:sz w:val="32"/>
        </w:rPr>
        <w:t>Exchanging approaches to teaching practice-based skills</w:t>
      </w:r>
    </w:p>
    <w:p w14:paraId="70601F20" w14:textId="77777777" w:rsidR="006A5E63" w:rsidRPr="001C663E" w:rsidRDefault="006A5E63" w:rsidP="00CE57EC">
      <w:pPr>
        <w:spacing w:line="360" w:lineRule="auto"/>
        <w:jc w:val="both"/>
        <w:rPr>
          <w:rFonts w:eastAsia="Calibri"/>
          <w:sz w:val="28"/>
          <w:vertAlign w:val="superscript"/>
        </w:rPr>
      </w:pPr>
      <w:r w:rsidRPr="001C663E">
        <w:rPr>
          <w:rFonts w:eastAsia="Calibri"/>
          <w:sz w:val="28"/>
        </w:rPr>
        <w:t>Heather Ritchie</w:t>
      </w:r>
      <w:r w:rsidRPr="001C663E">
        <w:rPr>
          <w:rFonts w:eastAsia="Calibri"/>
          <w:sz w:val="28"/>
          <w:vertAlign w:val="superscript"/>
        </w:rPr>
        <w:t>a</w:t>
      </w:r>
      <w:r w:rsidRPr="001C663E">
        <w:rPr>
          <w:rStyle w:val="FootnoteReference"/>
          <w:rFonts w:eastAsia="Calibri"/>
          <w:sz w:val="28"/>
        </w:rPr>
        <w:footnoteReference w:customMarkFollows="1" w:id="1"/>
        <w:sym w:font="Symbol" w:char="F02A"/>
      </w:r>
      <w:r w:rsidRPr="001C663E">
        <w:rPr>
          <w:rFonts w:eastAsia="Calibri"/>
          <w:sz w:val="28"/>
        </w:rPr>
        <w:t>, Adam Sheppard</w:t>
      </w:r>
      <w:r w:rsidRPr="001C663E">
        <w:rPr>
          <w:rFonts w:eastAsia="Calibri"/>
          <w:sz w:val="28"/>
          <w:vertAlign w:val="superscript"/>
        </w:rPr>
        <w:t>b</w:t>
      </w:r>
      <w:r w:rsidRPr="001C663E">
        <w:rPr>
          <w:rFonts w:eastAsia="Calibri"/>
          <w:sz w:val="28"/>
        </w:rPr>
        <w:t>, Nick Croft</w:t>
      </w:r>
      <w:r w:rsidRPr="001C663E">
        <w:rPr>
          <w:rFonts w:eastAsia="Calibri"/>
          <w:sz w:val="28"/>
          <w:vertAlign w:val="superscript"/>
        </w:rPr>
        <w:t>b</w:t>
      </w:r>
      <w:r w:rsidRPr="001C663E">
        <w:rPr>
          <w:rFonts w:eastAsia="Calibri"/>
          <w:sz w:val="28"/>
        </w:rPr>
        <w:t>, Deborah Peel</w:t>
      </w:r>
      <w:r w:rsidRPr="001C663E">
        <w:rPr>
          <w:rFonts w:eastAsia="Calibri"/>
          <w:sz w:val="28"/>
          <w:vertAlign w:val="superscript"/>
        </w:rPr>
        <w:t>c</w:t>
      </w:r>
    </w:p>
    <w:p w14:paraId="329712CD" w14:textId="77777777" w:rsidR="006A5E63" w:rsidRDefault="006A5E63" w:rsidP="00CE57EC">
      <w:pPr>
        <w:spacing w:line="360" w:lineRule="auto"/>
        <w:jc w:val="both"/>
        <w:rPr>
          <w:rFonts w:eastAsia="Calibri"/>
          <w:i/>
        </w:rPr>
      </w:pPr>
      <w:r w:rsidRPr="001C663E">
        <w:rPr>
          <w:rFonts w:eastAsia="Calibri"/>
          <w:i/>
          <w:vertAlign w:val="superscript"/>
        </w:rPr>
        <w:t>a</w:t>
      </w:r>
      <w:r w:rsidRPr="001C663E">
        <w:rPr>
          <w:rFonts w:eastAsia="Calibri"/>
          <w:i/>
        </w:rPr>
        <w:t xml:space="preserve">School of the Built Environment, </w:t>
      </w:r>
      <w:r w:rsidR="000B5D1A">
        <w:rPr>
          <w:rFonts w:eastAsia="Calibri"/>
          <w:i/>
        </w:rPr>
        <w:t xml:space="preserve">Ulster </w:t>
      </w:r>
      <w:r w:rsidRPr="001C663E">
        <w:rPr>
          <w:rFonts w:eastAsia="Calibri"/>
          <w:i/>
        </w:rPr>
        <w:t>University</w:t>
      </w:r>
      <w:r>
        <w:rPr>
          <w:rFonts w:eastAsia="Calibri"/>
          <w:i/>
        </w:rPr>
        <w:t>, Belfast, UK</w:t>
      </w:r>
      <w:r w:rsidRPr="001C663E">
        <w:rPr>
          <w:rFonts w:eastAsia="Calibri"/>
          <w:i/>
        </w:rPr>
        <w:t xml:space="preserve">; </w:t>
      </w:r>
      <w:r w:rsidRPr="001C663E">
        <w:rPr>
          <w:rFonts w:eastAsia="Calibri"/>
          <w:i/>
          <w:vertAlign w:val="superscript"/>
        </w:rPr>
        <w:t>b</w:t>
      </w:r>
      <w:r w:rsidRPr="001C663E">
        <w:rPr>
          <w:rFonts w:eastAsia="Calibri"/>
          <w:i/>
        </w:rPr>
        <w:t>Department of Geography and Environmental Management, University of the West of England, Bristol</w:t>
      </w:r>
      <w:r>
        <w:rPr>
          <w:rFonts w:eastAsia="Calibri"/>
          <w:i/>
        </w:rPr>
        <w:t>, UK</w:t>
      </w:r>
      <w:r w:rsidRPr="001C663E">
        <w:rPr>
          <w:rFonts w:eastAsia="Calibri"/>
          <w:i/>
        </w:rPr>
        <w:t xml:space="preserve">; </w:t>
      </w:r>
      <w:r w:rsidRPr="001C663E">
        <w:rPr>
          <w:rFonts w:eastAsia="Calibri"/>
          <w:i/>
          <w:vertAlign w:val="superscript"/>
        </w:rPr>
        <w:t>c</w:t>
      </w:r>
      <w:r w:rsidRPr="001C663E">
        <w:rPr>
          <w:rFonts w:eastAsia="Calibri"/>
          <w:i/>
        </w:rPr>
        <w:t xml:space="preserve">School of </w:t>
      </w:r>
      <w:r w:rsidR="00D16C39">
        <w:rPr>
          <w:rFonts w:eastAsia="Calibri"/>
          <w:i/>
        </w:rPr>
        <w:t>Social Sciences</w:t>
      </w:r>
      <w:r w:rsidRPr="001C663E">
        <w:rPr>
          <w:rFonts w:eastAsia="Calibri"/>
          <w:i/>
        </w:rPr>
        <w:t>, University of Dundee</w:t>
      </w:r>
      <w:r>
        <w:rPr>
          <w:rFonts w:eastAsia="Calibri"/>
          <w:i/>
        </w:rPr>
        <w:t>, Dundee, UK</w:t>
      </w:r>
    </w:p>
    <w:p w14:paraId="68B905D5" w14:textId="77777777" w:rsidR="006A5E63" w:rsidRDefault="006A5E63" w:rsidP="00CE57EC">
      <w:pPr>
        <w:spacing w:line="360" w:lineRule="auto"/>
        <w:jc w:val="both"/>
        <w:rPr>
          <w:rFonts w:eastAsia="Calibri"/>
          <w:i/>
        </w:rPr>
      </w:pPr>
    </w:p>
    <w:p w14:paraId="1D21A189" w14:textId="77777777" w:rsidR="006A5E63" w:rsidRDefault="006A5E63" w:rsidP="00CE57EC">
      <w:pPr>
        <w:spacing w:line="360" w:lineRule="auto"/>
        <w:jc w:val="both"/>
        <w:rPr>
          <w:rFonts w:eastAsia="Calibri"/>
          <w:i/>
        </w:rPr>
      </w:pPr>
      <w:r>
        <w:rPr>
          <w:rFonts w:eastAsia="Calibri"/>
          <w:i/>
        </w:rPr>
        <w:t>Postal address:</w:t>
      </w:r>
    </w:p>
    <w:p w14:paraId="2E3EC07D" w14:textId="77777777" w:rsidR="006A5E63" w:rsidRDefault="000B5D1A" w:rsidP="00CE57EC">
      <w:pPr>
        <w:spacing w:line="360" w:lineRule="auto"/>
        <w:jc w:val="both"/>
        <w:rPr>
          <w:rFonts w:eastAsia="Calibri"/>
          <w:i/>
        </w:rPr>
      </w:pPr>
      <w:r>
        <w:rPr>
          <w:rFonts w:eastAsia="Calibri"/>
          <w:i/>
        </w:rPr>
        <w:t xml:space="preserve">Ulster </w:t>
      </w:r>
      <w:r w:rsidR="006A5E63">
        <w:rPr>
          <w:rFonts w:eastAsia="Calibri"/>
          <w:i/>
        </w:rPr>
        <w:t>University, School of the Built Environment</w:t>
      </w:r>
    </w:p>
    <w:p w14:paraId="386B4C55" w14:textId="77777777" w:rsidR="006A5E63" w:rsidRDefault="006A5E63" w:rsidP="00CE57EC">
      <w:pPr>
        <w:spacing w:line="360" w:lineRule="auto"/>
        <w:jc w:val="both"/>
        <w:rPr>
          <w:rFonts w:eastAsia="Calibri"/>
          <w:i/>
        </w:rPr>
      </w:pPr>
      <w:r>
        <w:rPr>
          <w:rFonts w:eastAsia="Calibri"/>
          <w:i/>
        </w:rPr>
        <w:t>Shore Road, Newtownabbey, Co. Antrim,</w:t>
      </w:r>
    </w:p>
    <w:p w14:paraId="075C3951" w14:textId="77777777" w:rsidR="006A5E63" w:rsidRPr="001C663E" w:rsidRDefault="006A5E63" w:rsidP="00CE57EC">
      <w:pPr>
        <w:spacing w:line="360" w:lineRule="auto"/>
        <w:jc w:val="both"/>
        <w:rPr>
          <w:rFonts w:eastAsia="Calibri"/>
          <w:i/>
        </w:rPr>
      </w:pPr>
      <w:r>
        <w:rPr>
          <w:rFonts w:eastAsia="Calibri"/>
          <w:i/>
        </w:rPr>
        <w:t>Belfast, Antrim, BT37 0QB</w:t>
      </w:r>
    </w:p>
    <w:p w14:paraId="780F8322" w14:textId="77777777" w:rsidR="006A5E63" w:rsidRDefault="006A5E63" w:rsidP="006A5E63">
      <w:pPr>
        <w:pStyle w:val="Paragraph"/>
        <w:spacing w:line="360" w:lineRule="auto"/>
        <w:ind w:left="340" w:right="340"/>
        <w:contextualSpacing/>
        <w:jc w:val="both"/>
        <w:rPr>
          <w:rFonts w:eastAsia="Calibri"/>
          <w:sz w:val="22"/>
        </w:rPr>
      </w:pPr>
    </w:p>
    <w:p w14:paraId="06269DBA" w14:textId="77777777" w:rsidR="006A5E63" w:rsidRDefault="006A5E63" w:rsidP="006A5E63">
      <w:pPr>
        <w:pStyle w:val="Paragraph"/>
        <w:spacing w:line="360" w:lineRule="auto"/>
        <w:ind w:left="340" w:right="340"/>
        <w:contextualSpacing/>
        <w:jc w:val="both"/>
        <w:rPr>
          <w:rFonts w:eastAsia="Calibri"/>
          <w:sz w:val="22"/>
        </w:rPr>
      </w:pPr>
    </w:p>
    <w:p w14:paraId="127D8B1E" w14:textId="77777777" w:rsidR="006A5E63" w:rsidRDefault="006A5E63" w:rsidP="006A5E63">
      <w:pPr>
        <w:pStyle w:val="Paragraph"/>
        <w:spacing w:line="360" w:lineRule="auto"/>
        <w:ind w:left="340" w:right="340"/>
        <w:contextualSpacing/>
        <w:jc w:val="both"/>
        <w:rPr>
          <w:rFonts w:eastAsia="Calibri"/>
          <w:sz w:val="22"/>
        </w:rPr>
      </w:pPr>
    </w:p>
    <w:p w14:paraId="754EA742" w14:textId="77777777" w:rsidR="006A5E63" w:rsidRPr="006A5E63" w:rsidRDefault="00AB71C2" w:rsidP="001C663E">
      <w:pPr>
        <w:pStyle w:val="Paragraph"/>
        <w:spacing w:line="360" w:lineRule="auto"/>
        <w:ind w:left="340" w:right="340"/>
        <w:contextualSpacing/>
        <w:jc w:val="both"/>
      </w:pPr>
      <w:r>
        <w:rPr>
          <w:rFonts w:eastAsia="Calibri"/>
          <w:sz w:val="22"/>
        </w:rPr>
        <w:t>Planning curricula have continually evolved to meet changing societal needs</w:t>
      </w:r>
      <w:r w:rsidR="00697329">
        <w:rPr>
          <w:rFonts w:eastAsia="Calibri"/>
          <w:sz w:val="22"/>
        </w:rPr>
        <w:t>,</w:t>
      </w:r>
      <w:r>
        <w:rPr>
          <w:rFonts w:eastAsia="Calibri"/>
          <w:sz w:val="22"/>
        </w:rPr>
        <w:t xml:space="preserve"> technological change</w:t>
      </w:r>
      <w:r w:rsidR="00697329">
        <w:rPr>
          <w:rFonts w:eastAsia="Calibri"/>
          <w:sz w:val="22"/>
        </w:rPr>
        <w:t xml:space="preserve"> and employer expectations</w:t>
      </w:r>
      <w:r>
        <w:rPr>
          <w:rFonts w:eastAsia="Calibri"/>
          <w:sz w:val="22"/>
        </w:rPr>
        <w:t>.</w:t>
      </w:r>
      <w:r w:rsidR="006A2EFA">
        <w:rPr>
          <w:rFonts w:eastAsia="Calibri"/>
          <w:sz w:val="22"/>
        </w:rPr>
        <w:t xml:space="preserve"> The professional accrediting body</w:t>
      </w:r>
      <w:r w:rsidR="00532C73">
        <w:rPr>
          <w:rFonts w:eastAsia="Calibri"/>
          <w:sz w:val="22"/>
        </w:rPr>
        <w:t xml:space="preserve"> in the United Kingdom</w:t>
      </w:r>
      <w:r w:rsidR="006A2EFA">
        <w:rPr>
          <w:rFonts w:eastAsia="Calibri"/>
          <w:sz w:val="22"/>
        </w:rPr>
        <w:t>, the Royal Town Planning Institute, stipulates the core planning skills required</w:t>
      </w:r>
      <w:r w:rsidR="00697329">
        <w:rPr>
          <w:rFonts w:eastAsia="Calibri"/>
          <w:sz w:val="22"/>
        </w:rPr>
        <w:t>, differentiating between formal classroom-based learning and professional competencies, derived in practice.</w:t>
      </w:r>
      <w:r>
        <w:rPr>
          <w:rFonts w:eastAsia="Calibri"/>
          <w:sz w:val="22"/>
        </w:rPr>
        <w:t xml:space="preserve">  </w:t>
      </w:r>
      <w:r w:rsidR="005C09BE" w:rsidRPr="006A5E63">
        <w:rPr>
          <w:rFonts w:eastAsia="Calibri"/>
          <w:sz w:val="22"/>
        </w:rPr>
        <w:t>Previous r</w:t>
      </w:r>
      <w:r w:rsidR="00CE57EC" w:rsidRPr="006A5E63">
        <w:rPr>
          <w:rFonts w:eastAsia="Calibri"/>
          <w:sz w:val="22"/>
        </w:rPr>
        <w:t>esearch identified the need to address</w:t>
      </w:r>
      <w:r w:rsidR="006A2EFA">
        <w:rPr>
          <w:rFonts w:eastAsia="Calibri"/>
          <w:sz w:val="22"/>
        </w:rPr>
        <w:t xml:space="preserve"> </w:t>
      </w:r>
      <w:r w:rsidR="00697329">
        <w:rPr>
          <w:rFonts w:eastAsia="Calibri"/>
          <w:sz w:val="22"/>
        </w:rPr>
        <w:t>perceived</w:t>
      </w:r>
      <w:r w:rsidR="00CE57EC" w:rsidRPr="006A5E63">
        <w:rPr>
          <w:rFonts w:eastAsia="Calibri"/>
          <w:sz w:val="22"/>
        </w:rPr>
        <w:t xml:space="preserve"> inadequacies in </w:t>
      </w:r>
      <w:r w:rsidR="00DF471E" w:rsidRPr="006A5E63">
        <w:rPr>
          <w:rFonts w:eastAsia="Calibri"/>
          <w:sz w:val="22"/>
        </w:rPr>
        <w:t xml:space="preserve">graduate </w:t>
      </w:r>
      <w:r w:rsidR="00CE57EC" w:rsidRPr="006A5E63">
        <w:rPr>
          <w:rFonts w:eastAsia="Calibri"/>
          <w:sz w:val="22"/>
        </w:rPr>
        <w:t>planners’</w:t>
      </w:r>
      <w:r w:rsidR="005F5035">
        <w:rPr>
          <w:rFonts w:eastAsia="Calibri"/>
          <w:sz w:val="22"/>
        </w:rPr>
        <w:t xml:space="preserve"> </w:t>
      </w:r>
      <w:r w:rsidR="00697329">
        <w:rPr>
          <w:rFonts w:eastAsia="Calibri"/>
          <w:sz w:val="22"/>
        </w:rPr>
        <w:t xml:space="preserve">practical </w:t>
      </w:r>
      <w:r w:rsidR="00CE57EC" w:rsidRPr="006A5E63">
        <w:rPr>
          <w:rFonts w:eastAsia="Calibri"/>
          <w:sz w:val="22"/>
        </w:rPr>
        <w:t>skills</w:t>
      </w:r>
      <w:r w:rsidR="00697329">
        <w:rPr>
          <w:rFonts w:eastAsia="Calibri"/>
          <w:sz w:val="22"/>
        </w:rPr>
        <w:t>,</w:t>
      </w:r>
      <w:r w:rsidR="00382F94">
        <w:rPr>
          <w:rFonts w:eastAsia="Calibri"/>
          <w:sz w:val="22"/>
        </w:rPr>
        <w:t xml:space="preserve"> </w:t>
      </w:r>
      <w:r w:rsidR="00697329">
        <w:rPr>
          <w:rFonts w:eastAsia="Calibri"/>
          <w:sz w:val="22"/>
        </w:rPr>
        <w:t>such as</w:t>
      </w:r>
      <w:r w:rsidR="00CE57EC" w:rsidRPr="006A5E63">
        <w:rPr>
          <w:rFonts w:eastAsia="Calibri"/>
          <w:sz w:val="22"/>
        </w:rPr>
        <w:t xml:space="preserve"> decision</w:t>
      </w:r>
      <w:r w:rsidR="00D81F70" w:rsidRPr="006A5E63">
        <w:rPr>
          <w:rFonts w:eastAsia="Calibri"/>
          <w:sz w:val="22"/>
        </w:rPr>
        <w:t>-</w:t>
      </w:r>
      <w:r w:rsidR="00CE57EC" w:rsidRPr="006A5E63">
        <w:rPr>
          <w:rFonts w:eastAsia="Calibri"/>
          <w:sz w:val="22"/>
        </w:rPr>
        <w:t>making; leadership; and communication</w:t>
      </w:r>
      <w:r w:rsidR="00697329">
        <w:rPr>
          <w:rFonts w:eastAsia="Calibri"/>
          <w:sz w:val="22"/>
        </w:rPr>
        <w:t>,</w:t>
      </w:r>
      <w:r w:rsidR="00CE57EC" w:rsidRPr="006A5E63">
        <w:rPr>
          <w:rFonts w:eastAsia="Calibri"/>
          <w:sz w:val="22"/>
        </w:rPr>
        <w:t xml:space="preserve"> in</w:t>
      </w:r>
      <w:r w:rsidR="006A2EFA">
        <w:rPr>
          <w:rFonts w:eastAsia="Calibri"/>
          <w:sz w:val="22"/>
        </w:rPr>
        <w:t>clud</w:t>
      </w:r>
      <w:r w:rsidR="00697329">
        <w:rPr>
          <w:rFonts w:eastAsia="Calibri"/>
          <w:sz w:val="22"/>
        </w:rPr>
        <w:t>ing</w:t>
      </w:r>
      <w:r w:rsidR="00CE57EC" w:rsidRPr="006A5E63">
        <w:rPr>
          <w:sz w:val="22"/>
        </w:rPr>
        <w:t xml:space="preserve"> negotiating, influencing, and </w:t>
      </w:r>
      <w:r>
        <w:rPr>
          <w:sz w:val="22"/>
        </w:rPr>
        <w:t>using</w:t>
      </w:r>
      <w:r w:rsidR="00CE57EC" w:rsidRPr="006A5E63">
        <w:rPr>
          <w:sz w:val="22"/>
        </w:rPr>
        <w:t xml:space="preserve"> evidence</w:t>
      </w:r>
      <w:r w:rsidR="00D81723" w:rsidRPr="006A5E63">
        <w:rPr>
          <w:rFonts w:eastAsia="Calibri"/>
          <w:sz w:val="22"/>
        </w:rPr>
        <w:t>.</w:t>
      </w:r>
      <w:r w:rsidR="001C3441" w:rsidRPr="006A5E63">
        <w:rPr>
          <w:sz w:val="22"/>
        </w:rPr>
        <w:t xml:space="preserve"> </w:t>
      </w:r>
      <w:r w:rsidR="00382F94">
        <w:rPr>
          <w:sz w:val="22"/>
        </w:rPr>
        <w:t>Emphasis has also been placed on planning schools sharing innovative practice</w:t>
      </w:r>
      <w:r w:rsidR="005F5035">
        <w:rPr>
          <w:sz w:val="22"/>
        </w:rPr>
        <w:t xml:space="preserve"> to improve student learning</w:t>
      </w:r>
      <w:r w:rsidR="00382F94">
        <w:rPr>
          <w:sz w:val="22"/>
        </w:rPr>
        <w:t xml:space="preserve">. </w:t>
      </w:r>
      <w:r w:rsidR="00D81723" w:rsidRPr="006A5E63">
        <w:rPr>
          <w:sz w:val="22"/>
        </w:rPr>
        <w:t>This paper</w:t>
      </w:r>
      <w:r w:rsidR="00382F94">
        <w:rPr>
          <w:sz w:val="22"/>
        </w:rPr>
        <w:t xml:space="preserve"> critically reflects on the challenges of teaching diverse cohorts and</w:t>
      </w:r>
      <w:r w:rsidR="00796378" w:rsidRPr="006A5E63">
        <w:rPr>
          <w:sz w:val="22"/>
        </w:rPr>
        <w:t xml:space="preserve"> present</w:t>
      </w:r>
      <w:r w:rsidR="00D81723" w:rsidRPr="006A5E63">
        <w:rPr>
          <w:sz w:val="22"/>
        </w:rPr>
        <w:t>s</w:t>
      </w:r>
      <w:r w:rsidR="00CE57EC" w:rsidRPr="006A5E63">
        <w:rPr>
          <w:sz w:val="22"/>
        </w:rPr>
        <w:t xml:space="preserve"> </w:t>
      </w:r>
      <w:r w:rsidR="00382F94">
        <w:rPr>
          <w:sz w:val="22"/>
        </w:rPr>
        <w:t xml:space="preserve">the findings from </w:t>
      </w:r>
      <w:r w:rsidR="00CE57EC" w:rsidRPr="006A5E63">
        <w:rPr>
          <w:sz w:val="22"/>
        </w:rPr>
        <w:t>a sponsored teaching exchange research programme</w:t>
      </w:r>
      <w:r w:rsidR="00382F94">
        <w:rPr>
          <w:sz w:val="22"/>
        </w:rPr>
        <w:t>.</w:t>
      </w:r>
      <w:r w:rsidR="00CE57EC" w:rsidRPr="006A5E63">
        <w:rPr>
          <w:sz w:val="22"/>
        </w:rPr>
        <w:t xml:space="preserve"> </w:t>
      </w:r>
      <w:r w:rsidR="00382F94">
        <w:rPr>
          <w:rFonts w:eastAsia="Calibri"/>
          <w:sz w:val="22"/>
        </w:rPr>
        <w:t>C</w:t>
      </w:r>
      <w:r w:rsidR="00CE57EC" w:rsidRPr="006A5E63">
        <w:rPr>
          <w:rFonts w:eastAsia="Calibri"/>
          <w:sz w:val="22"/>
        </w:rPr>
        <w:t>ase studie</w:t>
      </w:r>
      <w:r w:rsidR="00796378" w:rsidRPr="006A5E63">
        <w:rPr>
          <w:rFonts w:eastAsia="Calibri"/>
          <w:sz w:val="22"/>
        </w:rPr>
        <w:t xml:space="preserve">s drawn from each institution </w:t>
      </w:r>
      <w:r w:rsidR="00382F94">
        <w:rPr>
          <w:rFonts w:eastAsia="Calibri"/>
          <w:sz w:val="22"/>
        </w:rPr>
        <w:t xml:space="preserve">are used to </w:t>
      </w:r>
      <w:r w:rsidR="00796378" w:rsidRPr="006A5E63">
        <w:rPr>
          <w:rFonts w:eastAsia="Calibri"/>
          <w:sz w:val="22"/>
        </w:rPr>
        <w:t>illustrat</w:t>
      </w:r>
      <w:r w:rsidR="00382F94">
        <w:rPr>
          <w:rFonts w:eastAsia="Calibri"/>
          <w:sz w:val="22"/>
        </w:rPr>
        <w:t>e</w:t>
      </w:r>
      <w:r w:rsidR="00CE57EC" w:rsidRPr="006A5E63">
        <w:rPr>
          <w:rFonts w:eastAsia="Calibri"/>
          <w:sz w:val="22"/>
        </w:rPr>
        <w:t xml:space="preserve"> practice</w:t>
      </w:r>
      <w:r w:rsidR="00EA05D3" w:rsidRPr="006A5E63">
        <w:rPr>
          <w:rFonts w:eastAsia="Calibri"/>
          <w:sz w:val="22"/>
        </w:rPr>
        <w:t>-</w:t>
      </w:r>
      <w:r w:rsidR="00CE57EC" w:rsidRPr="006A5E63">
        <w:rPr>
          <w:rFonts w:eastAsia="Calibri"/>
          <w:sz w:val="22"/>
        </w:rPr>
        <w:t>orientated planning education</w:t>
      </w:r>
      <w:r w:rsidR="00382F94">
        <w:rPr>
          <w:rFonts w:eastAsia="Calibri"/>
          <w:sz w:val="22"/>
        </w:rPr>
        <w:t xml:space="preserve"> approaches in the classroom</w:t>
      </w:r>
      <w:r w:rsidR="00733777">
        <w:rPr>
          <w:rFonts w:eastAsia="Calibri"/>
          <w:sz w:val="22"/>
        </w:rPr>
        <w:t xml:space="preserve"> to better equip students for the workplace</w:t>
      </w:r>
      <w:r w:rsidR="00CE57EC" w:rsidRPr="006A5E63">
        <w:rPr>
          <w:rFonts w:eastAsia="Calibri"/>
          <w:sz w:val="22"/>
        </w:rPr>
        <w:t xml:space="preserve">. </w:t>
      </w:r>
    </w:p>
    <w:p w14:paraId="65737301" w14:textId="77777777" w:rsidR="006A5E63" w:rsidRPr="006A5E63" w:rsidRDefault="006A5E63" w:rsidP="001C663E">
      <w:pPr>
        <w:pStyle w:val="Paragraph"/>
        <w:spacing w:line="360" w:lineRule="auto"/>
        <w:ind w:left="340" w:right="340"/>
        <w:contextualSpacing/>
        <w:jc w:val="both"/>
      </w:pPr>
    </w:p>
    <w:p w14:paraId="190FDA16" w14:textId="77777777" w:rsidR="006A5E63" w:rsidRPr="001C663E" w:rsidRDefault="006A5E63" w:rsidP="001C663E">
      <w:pPr>
        <w:pStyle w:val="Paragraph"/>
        <w:spacing w:line="360" w:lineRule="auto"/>
        <w:ind w:left="340" w:right="340"/>
        <w:contextualSpacing/>
        <w:jc w:val="both"/>
        <w:rPr>
          <w:b/>
        </w:rPr>
      </w:pPr>
      <w:r w:rsidRPr="001C663E">
        <w:rPr>
          <w:b/>
          <w:sz w:val="22"/>
        </w:rPr>
        <w:t xml:space="preserve">Keywords: </w:t>
      </w:r>
      <w:r w:rsidR="006C5B6D" w:rsidRPr="001C663E">
        <w:rPr>
          <w:sz w:val="22"/>
        </w:rPr>
        <w:t xml:space="preserve">Planning education, </w:t>
      </w:r>
      <w:r w:rsidR="00FD61B6" w:rsidRPr="001C663E">
        <w:rPr>
          <w:sz w:val="22"/>
        </w:rPr>
        <w:t>S</w:t>
      </w:r>
      <w:r w:rsidR="006C5B6D" w:rsidRPr="001C663E">
        <w:rPr>
          <w:sz w:val="22"/>
        </w:rPr>
        <w:t>kills,</w:t>
      </w:r>
      <w:r w:rsidR="00FD61B6" w:rsidRPr="001C663E">
        <w:rPr>
          <w:sz w:val="22"/>
        </w:rPr>
        <w:t xml:space="preserve"> Decision</w:t>
      </w:r>
      <w:r w:rsidR="00346548">
        <w:rPr>
          <w:sz w:val="22"/>
        </w:rPr>
        <w:t>-</w:t>
      </w:r>
      <w:r w:rsidR="00FD61B6" w:rsidRPr="001C663E">
        <w:rPr>
          <w:sz w:val="22"/>
        </w:rPr>
        <w:t>making, Employability, Competence</w:t>
      </w:r>
      <w:r w:rsidR="00FD61B6" w:rsidRPr="001C663E">
        <w:rPr>
          <w:b/>
          <w:sz w:val="22"/>
        </w:rPr>
        <w:t xml:space="preserve"> </w:t>
      </w:r>
      <w:r w:rsidR="006C5B6D" w:rsidRPr="001C663E">
        <w:rPr>
          <w:b/>
          <w:sz w:val="22"/>
        </w:rPr>
        <w:t xml:space="preserve"> </w:t>
      </w:r>
    </w:p>
    <w:p w14:paraId="102E46FA" w14:textId="77777777" w:rsidR="006A5E63" w:rsidRPr="006A5E63" w:rsidRDefault="006A5E63" w:rsidP="001C663E">
      <w:pPr>
        <w:pStyle w:val="Newparagraph"/>
        <w:spacing w:line="360" w:lineRule="auto"/>
        <w:ind w:left="340" w:right="340" w:firstLine="0"/>
        <w:contextualSpacing/>
        <w:jc w:val="both"/>
      </w:pPr>
    </w:p>
    <w:p w14:paraId="5A659526" w14:textId="77777777" w:rsidR="006A5E63" w:rsidRDefault="006A5E63" w:rsidP="001C663E">
      <w:pPr>
        <w:pStyle w:val="Newparagraph"/>
        <w:spacing w:line="360" w:lineRule="auto"/>
        <w:ind w:firstLine="0"/>
        <w:contextualSpacing/>
        <w:jc w:val="both"/>
      </w:pPr>
    </w:p>
    <w:p w14:paraId="0617B2B7" w14:textId="77777777" w:rsidR="006A5E63" w:rsidRDefault="006A5E63" w:rsidP="001C663E">
      <w:pPr>
        <w:pStyle w:val="Newparagraph"/>
        <w:spacing w:line="360" w:lineRule="auto"/>
        <w:ind w:firstLine="0"/>
        <w:contextualSpacing/>
        <w:jc w:val="both"/>
      </w:pPr>
    </w:p>
    <w:p w14:paraId="562FDD23" w14:textId="77777777" w:rsidR="006A5E63" w:rsidRDefault="00915120" w:rsidP="001C663E">
      <w:pPr>
        <w:spacing w:line="360" w:lineRule="auto"/>
        <w:contextualSpacing/>
        <w:jc w:val="both"/>
        <w:rPr>
          <w:b/>
        </w:rPr>
      </w:pPr>
      <w:r w:rsidRPr="00E70B3C">
        <w:rPr>
          <w:b/>
        </w:rPr>
        <w:lastRenderedPageBreak/>
        <w:t>Introduction</w:t>
      </w:r>
    </w:p>
    <w:p w14:paraId="05436C92" w14:textId="77777777" w:rsidR="006A5E63" w:rsidRDefault="006A5E63" w:rsidP="001C663E">
      <w:pPr>
        <w:spacing w:line="360" w:lineRule="auto"/>
        <w:contextualSpacing/>
        <w:jc w:val="both"/>
      </w:pPr>
    </w:p>
    <w:p w14:paraId="06A8E340" w14:textId="77777777" w:rsidR="006A5E63" w:rsidRDefault="00915120" w:rsidP="001C663E">
      <w:pPr>
        <w:spacing w:line="360" w:lineRule="auto"/>
        <w:contextualSpacing/>
        <w:jc w:val="both"/>
      </w:pPr>
      <w:r w:rsidRPr="00E70B3C">
        <w:t xml:space="preserve">Planners comprise one of a number of core occupations required in the delivery of </w:t>
      </w:r>
      <w:r w:rsidR="00263B32">
        <w:t xml:space="preserve">healthy </w:t>
      </w:r>
      <w:r w:rsidRPr="00E70B3C">
        <w:t>sustainable communities (</w:t>
      </w:r>
      <w:r w:rsidR="00DD3F68" w:rsidRPr="00E70B3C">
        <w:t>ASC</w:t>
      </w:r>
      <w:r w:rsidRPr="00E70B3C">
        <w:t>, 200</w:t>
      </w:r>
      <w:r w:rsidR="00F17287" w:rsidRPr="00E70B3C">
        <w:t>7</w:t>
      </w:r>
      <w:r w:rsidR="00532C73">
        <w:t>, p.</w:t>
      </w:r>
      <w:r w:rsidR="009823F3">
        <w:t>42</w:t>
      </w:r>
      <w:r w:rsidR="006A5E63">
        <w:t>;</w:t>
      </w:r>
      <w:r w:rsidRPr="00E70B3C">
        <w:t xml:space="preserve"> </w:t>
      </w:r>
      <w:r w:rsidR="00EA05D3" w:rsidRPr="00E70B3C">
        <w:t xml:space="preserve">Office of the Deputy </w:t>
      </w:r>
      <w:r w:rsidR="00532C73">
        <w:t>Prime</w:t>
      </w:r>
      <w:r w:rsidR="00532C73" w:rsidRPr="00E70B3C">
        <w:t xml:space="preserve"> </w:t>
      </w:r>
      <w:r w:rsidR="00EA05D3" w:rsidRPr="00E70B3C">
        <w:t>Minister</w:t>
      </w:r>
      <w:r w:rsidR="00B543DE">
        <w:t xml:space="preserve"> (ODPM)</w:t>
      </w:r>
      <w:r w:rsidRPr="00E70B3C">
        <w:t xml:space="preserve">, 2004). </w:t>
      </w:r>
      <w:r w:rsidR="00437B3D">
        <w:t>S</w:t>
      </w:r>
      <w:r w:rsidR="00CC4778" w:rsidRPr="00E70B3C">
        <w:t>kills of</w:t>
      </w:r>
      <w:r w:rsidRPr="00E70B3C">
        <w:t xml:space="preserve"> visioning;</w:t>
      </w:r>
      <w:r w:rsidR="00CC4778" w:rsidRPr="00E70B3C">
        <w:t xml:space="preserve"> </w:t>
      </w:r>
      <w:r w:rsidRPr="00E70B3C">
        <w:t xml:space="preserve"> project management; le</w:t>
      </w:r>
      <w:r w:rsidR="00CC4778" w:rsidRPr="00E70B3C">
        <w:t xml:space="preserve">adership; </w:t>
      </w:r>
      <w:r w:rsidRPr="00E70B3C">
        <w:t>team working;</w:t>
      </w:r>
      <w:r w:rsidR="00CC4778" w:rsidRPr="00E70B3C">
        <w:t xml:space="preserve"> </w:t>
      </w:r>
      <w:r w:rsidRPr="00E70B3C">
        <w:t>change managemen</w:t>
      </w:r>
      <w:r w:rsidR="00CC4778" w:rsidRPr="00E70B3C">
        <w:t>t; financial analysis</w:t>
      </w:r>
      <w:r w:rsidRPr="00E70B3C">
        <w:t xml:space="preserve">; stakeholder management and evaluation; communication; conflict resolution; and customer awareness, were </w:t>
      </w:r>
      <w:r w:rsidR="00C42EBC">
        <w:t xml:space="preserve">particularly </w:t>
      </w:r>
      <w:r w:rsidRPr="00E70B3C">
        <w:t xml:space="preserve">identified in the Egan Review </w:t>
      </w:r>
      <w:r w:rsidR="00CC4778" w:rsidRPr="00E70B3C">
        <w:t>(ODPM, 2004</w:t>
      </w:r>
      <w:r w:rsidR="006A5E63">
        <w:t>, p.</w:t>
      </w:r>
      <w:r w:rsidR="00CC4778" w:rsidRPr="00E70B3C">
        <w:t xml:space="preserve">103). The </w:t>
      </w:r>
      <w:r w:rsidR="00D16C39">
        <w:t>R</w:t>
      </w:r>
      <w:r w:rsidR="00D16C39" w:rsidRPr="00E70B3C">
        <w:t xml:space="preserve">eview </w:t>
      </w:r>
      <w:r w:rsidRPr="00E70B3C">
        <w:t>concluded that the</w:t>
      </w:r>
      <w:r w:rsidR="00EA05D3" w:rsidRPr="00E70B3C">
        <w:t>se</w:t>
      </w:r>
      <w:r w:rsidRPr="00E70B3C">
        <w:t xml:space="preserve"> skills were </w:t>
      </w:r>
      <w:r w:rsidR="00CC4778" w:rsidRPr="00E70B3C">
        <w:t>of importance</w:t>
      </w:r>
      <w:r w:rsidRPr="00E70B3C">
        <w:t xml:space="preserve"> across a range of professions </w:t>
      </w:r>
      <w:r w:rsidR="00C42EBC">
        <w:t xml:space="preserve">and </w:t>
      </w:r>
      <w:r w:rsidRPr="00E70B3C">
        <w:t xml:space="preserve">that a new body should drive the agenda forward (the National Centre for Sustainable Community Skills, which became </w:t>
      </w:r>
      <w:r w:rsidR="00532C73">
        <w:t>the Academy for Sustainable Communities [</w:t>
      </w:r>
      <w:r w:rsidRPr="00E70B3C">
        <w:t>ASC</w:t>
      </w:r>
      <w:r w:rsidR="00532C73">
        <w:t>]</w:t>
      </w:r>
      <w:r w:rsidR="00DD3F68" w:rsidRPr="00E70B3C">
        <w:t>)</w:t>
      </w:r>
      <w:r w:rsidRPr="00E70B3C">
        <w:t xml:space="preserve">. </w:t>
      </w:r>
      <w:r w:rsidR="00C92D0D" w:rsidRPr="00E70B3C">
        <w:t xml:space="preserve">ASC (2007) stated that the education and training of professionals must change to develop  place-making skills that transcend narrow disciplines and encourage team working. </w:t>
      </w:r>
      <w:r w:rsidR="008C1B2E" w:rsidRPr="00E70B3C">
        <w:t>McLoughlin (2012) identified in his research</w:t>
      </w:r>
      <w:r w:rsidR="006A66B8" w:rsidRPr="00E70B3C">
        <w:t xml:space="preserve"> for the Higher Education Academy (HEA)</w:t>
      </w:r>
      <w:r w:rsidR="008C1B2E" w:rsidRPr="00E70B3C">
        <w:t xml:space="preserve"> on employability skills for planners that graduates perform weakly in the areas </w:t>
      </w:r>
      <w:r w:rsidR="00D16C39">
        <w:t xml:space="preserve">of </w:t>
      </w:r>
      <w:r w:rsidR="008C1B2E" w:rsidRPr="00E70B3C">
        <w:t>commercial</w:t>
      </w:r>
      <w:r w:rsidR="006C5B6D" w:rsidRPr="001C663E">
        <w:t xml:space="preserve"> awareness, decision-making/judgment, negotiating/influencing and the use of evidence/argument. </w:t>
      </w:r>
      <w:r w:rsidR="002D5C11" w:rsidRPr="00E70B3C">
        <w:t>T</w:t>
      </w:r>
      <w:r w:rsidRPr="00E70B3C">
        <w:t xml:space="preserve">he importance of ensuring that </w:t>
      </w:r>
      <w:r w:rsidR="008162C5" w:rsidRPr="00E70B3C">
        <w:t xml:space="preserve">future </w:t>
      </w:r>
      <w:r w:rsidRPr="00E70B3C">
        <w:t>planning practitioners are prepared for the current challenges facing the profession is clear</w:t>
      </w:r>
      <w:r w:rsidR="005C09BE" w:rsidRPr="00E70B3C">
        <w:t xml:space="preserve"> (Farrell, </w:t>
      </w:r>
      <w:r w:rsidR="0051675A" w:rsidRPr="00E70B3C">
        <w:t>2013</w:t>
      </w:r>
      <w:r w:rsidR="006A5E63">
        <w:t xml:space="preserve">, p. </w:t>
      </w:r>
      <w:r w:rsidR="005C09BE" w:rsidRPr="00E70B3C">
        <w:t>127)</w:t>
      </w:r>
      <w:r w:rsidR="00214EE9">
        <w:t xml:space="preserve">. </w:t>
      </w:r>
    </w:p>
    <w:p w14:paraId="1822C94C" w14:textId="77777777" w:rsidR="006A5E63" w:rsidRDefault="006A5E63" w:rsidP="001C663E">
      <w:pPr>
        <w:spacing w:line="360" w:lineRule="auto"/>
        <w:contextualSpacing/>
        <w:jc w:val="both"/>
      </w:pPr>
      <w:r>
        <w:tab/>
      </w:r>
      <w:r w:rsidR="008162C5" w:rsidRPr="00E70B3C">
        <w:t>C</w:t>
      </w:r>
      <w:r w:rsidR="00385766" w:rsidRPr="00E70B3C">
        <w:t xml:space="preserve">onsideration </w:t>
      </w:r>
      <w:r w:rsidR="008162C5" w:rsidRPr="00E70B3C">
        <w:t xml:space="preserve">must therefore be </w:t>
      </w:r>
      <w:r w:rsidR="00385766" w:rsidRPr="00E70B3C">
        <w:t xml:space="preserve">given </w:t>
      </w:r>
      <w:r w:rsidR="00D00001" w:rsidRPr="00E70B3C">
        <w:t xml:space="preserve">to what is taught </w:t>
      </w:r>
      <w:r w:rsidR="008162C5" w:rsidRPr="00E70B3C">
        <w:t>and</w:t>
      </w:r>
      <w:r w:rsidR="00D00001" w:rsidRPr="00E70B3C">
        <w:t xml:space="preserve"> how it is taught</w:t>
      </w:r>
      <w:r w:rsidR="008162C5" w:rsidRPr="00E70B3C">
        <w:t>, together with</w:t>
      </w:r>
      <w:r w:rsidR="00D00001" w:rsidRPr="00E70B3C">
        <w:t xml:space="preserve"> how resources c</w:t>
      </w:r>
      <w:r w:rsidR="00F0303E" w:rsidRPr="00E70B3C">
        <w:t>an be used effectively (</w:t>
      </w:r>
      <w:r w:rsidR="007336F1">
        <w:t>Cole and Tibby</w:t>
      </w:r>
      <w:r w:rsidR="00D00001" w:rsidRPr="00E70B3C">
        <w:t xml:space="preserve">, 2013). </w:t>
      </w:r>
      <w:r w:rsidR="00385766" w:rsidRPr="00E70B3C">
        <w:t>Parallel to this is the challenge of embedding employability into the curriculum (</w:t>
      </w:r>
      <w:r w:rsidR="007336F1">
        <w:t>McLoughlin</w:t>
      </w:r>
      <w:r w:rsidR="00385766" w:rsidRPr="00E70B3C">
        <w:t xml:space="preserve">, 2012) and </w:t>
      </w:r>
      <w:r w:rsidR="008162C5" w:rsidRPr="00E70B3C">
        <w:t xml:space="preserve">considering </w:t>
      </w:r>
      <w:r w:rsidR="00385766" w:rsidRPr="00E70B3C">
        <w:t>what higher education should do to enhance the employment potential for the full spectrum of graduates. McCarthy and Bag</w:t>
      </w:r>
      <w:r w:rsidR="001778F5" w:rsidRPr="00E70B3C">
        <w:t>a</w:t>
      </w:r>
      <w:r w:rsidR="00385766" w:rsidRPr="00E70B3C">
        <w:t>een (2014</w:t>
      </w:r>
      <w:r>
        <w:t>, p.</w:t>
      </w:r>
      <w:r w:rsidR="00385766" w:rsidRPr="00E70B3C">
        <w:t xml:space="preserve">3) </w:t>
      </w:r>
      <w:r w:rsidR="008162C5" w:rsidRPr="00E70B3C">
        <w:t xml:space="preserve">recently </w:t>
      </w:r>
      <w:r w:rsidR="00385766" w:rsidRPr="00E70B3C">
        <w:t>detail</w:t>
      </w:r>
      <w:r w:rsidR="001778F5" w:rsidRPr="00E70B3C">
        <w:t>ed</w:t>
      </w:r>
      <w:r w:rsidR="00385766" w:rsidRPr="00E70B3C">
        <w:t xml:space="preserve"> the challenges affecting planning education, noting </w:t>
      </w:r>
      <w:r w:rsidR="008162C5" w:rsidRPr="00E70B3C">
        <w:t xml:space="preserve">the </w:t>
      </w:r>
      <w:r w:rsidR="00385766" w:rsidRPr="00E70B3C">
        <w:t>many external challenges from the erosion of the perceived capability of planning, the challenge of competing professions</w:t>
      </w:r>
      <w:r w:rsidR="008162C5" w:rsidRPr="00E70B3C">
        <w:t>,</w:t>
      </w:r>
      <w:r w:rsidR="00385766" w:rsidRPr="00E70B3C">
        <w:t xml:space="preserve"> and the</w:t>
      </w:r>
      <w:r w:rsidR="008162C5" w:rsidRPr="00E70B3C">
        <w:t xml:space="preserve"> </w:t>
      </w:r>
      <w:r w:rsidR="00385766" w:rsidRPr="00E70B3C">
        <w:t>pressures of internal restructuring.</w:t>
      </w:r>
      <w:r w:rsidR="008162C5" w:rsidRPr="00E70B3C">
        <w:t xml:space="preserve">  </w:t>
      </w:r>
      <w:r w:rsidR="00B01532">
        <w:t>T</w:t>
      </w:r>
      <w:r w:rsidR="001778F5" w:rsidRPr="00E70B3C">
        <w:t xml:space="preserve">hey recommend the wider sharing </w:t>
      </w:r>
      <w:r w:rsidR="00532C73">
        <w:t xml:space="preserve">of </w:t>
      </w:r>
      <w:r w:rsidR="001778F5" w:rsidRPr="00E70B3C">
        <w:t xml:space="preserve">good practice across planning schools </w:t>
      </w:r>
      <w:r w:rsidR="008162C5" w:rsidRPr="00E70B3C">
        <w:t xml:space="preserve">to </w:t>
      </w:r>
      <w:r w:rsidR="001778F5" w:rsidRPr="00E70B3C">
        <w:t>allow for educational innovation and enhanc</w:t>
      </w:r>
      <w:r w:rsidR="008162C5" w:rsidRPr="00E70B3C">
        <w:t>ement</w:t>
      </w:r>
      <w:r w:rsidR="001778F5" w:rsidRPr="00E70B3C">
        <w:t xml:space="preserve"> </w:t>
      </w:r>
      <w:r w:rsidR="00532C73">
        <w:t>in</w:t>
      </w:r>
      <w:r w:rsidR="008162C5" w:rsidRPr="00E70B3C">
        <w:t xml:space="preserve"> </w:t>
      </w:r>
      <w:r w:rsidR="001778F5" w:rsidRPr="00E70B3C">
        <w:t xml:space="preserve">the delivery of planning practice. </w:t>
      </w:r>
    </w:p>
    <w:p w14:paraId="0991212F" w14:textId="77777777" w:rsidR="007A5C5E" w:rsidRPr="00E70B3C" w:rsidRDefault="00915120" w:rsidP="001C663E">
      <w:pPr>
        <w:spacing w:line="360" w:lineRule="auto"/>
        <w:contextualSpacing/>
        <w:jc w:val="both"/>
      </w:pPr>
      <w:r w:rsidRPr="00E70B3C">
        <w:t xml:space="preserve"> </w:t>
      </w:r>
      <w:r w:rsidR="006A5E63">
        <w:tab/>
      </w:r>
      <w:r w:rsidR="00B7420A" w:rsidRPr="00E70B3C">
        <w:t xml:space="preserve">This paper considers the discourse </w:t>
      </w:r>
      <w:r w:rsidR="00E30322" w:rsidRPr="00E70B3C">
        <w:t xml:space="preserve">concerning the role </w:t>
      </w:r>
      <w:r w:rsidR="00B7420A" w:rsidRPr="00E70B3C">
        <w:t xml:space="preserve">and purpose </w:t>
      </w:r>
      <w:r w:rsidR="00E30322" w:rsidRPr="00E70B3C">
        <w:t xml:space="preserve">of </w:t>
      </w:r>
      <w:r w:rsidR="00B7420A" w:rsidRPr="00E70B3C">
        <w:t>planning</w:t>
      </w:r>
      <w:r w:rsidR="00E30322" w:rsidRPr="00E70B3C">
        <w:t xml:space="preserve"> education</w:t>
      </w:r>
      <w:r w:rsidR="00C231F2" w:rsidRPr="00E70B3C">
        <w:t xml:space="preserve"> in the context of </w:t>
      </w:r>
      <w:r w:rsidR="00B7420A" w:rsidRPr="00E70B3C">
        <w:t xml:space="preserve">the </w:t>
      </w:r>
      <w:r w:rsidR="00C231F2" w:rsidRPr="00E70B3C">
        <w:t xml:space="preserve">recognised </w:t>
      </w:r>
      <w:r w:rsidR="00B7420A" w:rsidRPr="00E70B3C">
        <w:t xml:space="preserve">need for universities to produce graduates </w:t>
      </w:r>
      <w:r w:rsidR="00532C73">
        <w:t>with the</w:t>
      </w:r>
      <w:r w:rsidR="00B7420A" w:rsidRPr="00E70B3C">
        <w:t xml:space="preserve"> skills to deliver sustainable communities.</w:t>
      </w:r>
      <w:r w:rsidRPr="00E70B3C">
        <w:t xml:space="preserve"> </w:t>
      </w:r>
    </w:p>
    <w:p w14:paraId="1FB2C0DF" w14:textId="77777777" w:rsidR="004D17BC" w:rsidRPr="00E70B3C" w:rsidRDefault="004D17BC" w:rsidP="00214EE9">
      <w:pPr>
        <w:tabs>
          <w:tab w:val="left" w:pos="2835"/>
          <w:tab w:val="left" w:pos="6379"/>
        </w:tabs>
        <w:spacing w:line="360" w:lineRule="auto"/>
        <w:contextualSpacing/>
        <w:jc w:val="both"/>
        <w:rPr>
          <w:b/>
        </w:rPr>
      </w:pPr>
    </w:p>
    <w:p w14:paraId="279DF8B7" w14:textId="77777777" w:rsidR="006A5E63" w:rsidRDefault="006A5E63" w:rsidP="00915120">
      <w:pPr>
        <w:tabs>
          <w:tab w:val="left" w:pos="2835"/>
          <w:tab w:val="left" w:pos="6379"/>
        </w:tabs>
        <w:spacing w:line="360" w:lineRule="auto"/>
        <w:contextualSpacing/>
        <w:jc w:val="both"/>
        <w:rPr>
          <w:b/>
        </w:rPr>
      </w:pPr>
    </w:p>
    <w:p w14:paraId="725B45D1" w14:textId="77777777" w:rsidR="00915120" w:rsidRPr="00E70B3C" w:rsidRDefault="00915120" w:rsidP="00915120">
      <w:pPr>
        <w:tabs>
          <w:tab w:val="left" w:pos="2835"/>
          <w:tab w:val="left" w:pos="6379"/>
        </w:tabs>
        <w:spacing w:line="360" w:lineRule="auto"/>
        <w:contextualSpacing/>
        <w:jc w:val="both"/>
        <w:rPr>
          <w:b/>
        </w:rPr>
      </w:pPr>
      <w:r w:rsidRPr="00E70B3C">
        <w:rPr>
          <w:b/>
        </w:rPr>
        <w:lastRenderedPageBreak/>
        <w:t xml:space="preserve">Research </w:t>
      </w:r>
      <w:r w:rsidR="006A5E63">
        <w:rPr>
          <w:b/>
        </w:rPr>
        <w:t>a</w:t>
      </w:r>
      <w:r w:rsidRPr="00E70B3C">
        <w:rPr>
          <w:b/>
        </w:rPr>
        <w:t>pproach</w:t>
      </w:r>
    </w:p>
    <w:p w14:paraId="32924BC0" w14:textId="77777777" w:rsidR="00FB5FD6" w:rsidRDefault="00580BEC" w:rsidP="00FB5FD6">
      <w:pPr>
        <w:spacing w:line="360" w:lineRule="auto"/>
        <w:contextualSpacing/>
        <w:jc w:val="both"/>
      </w:pPr>
      <w:r w:rsidRPr="00E70B3C">
        <w:t xml:space="preserve">This research </w:t>
      </w:r>
      <w:r w:rsidR="00915120" w:rsidRPr="00E70B3C">
        <w:t>a</w:t>
      </w:r>
      <w:r w:rsidRPr="00E70B3C">
        <w:t>nalys</w:t>
      </w:r>
      <w:r w:rsidR="000F7B33" w:rsidRPr="00E70B3C">
        <w:t>ed</w:t>
      </w:r>
      <w:r w:rsidRPr="00E70B3C">
        <w:t xml:space="preserve"> a</w:t>
      </w:r>
      <w:r w:rsidR="00915120" w:rsidRPr="00E70B3C">
        <w:t xml:space="preserve"> range of secondary evidence from a wide literature review</w:t>
      </w:r>
      <w:r w:rsidR="00E14DAC" w:rsidRPr="00E70B3C">
        <w:t xml:space="preserve">. </w:t>
      </w:r>
      <w:r w:rsidR="009C0A26" w:rsidRPr="00E70B3C">
        <w:t>Additionally</w:t>
      </w:r>
      <w:r w:rsidR="00784BCD" w:rsidRPr="00E70B3C">
        <w:t xml:space="preserve">, </w:t>
      </w:r>
      <w:r w:rsidR="00915120" w:rsidRPr="00E70B3C">
        <w:t>primary research i</w:t>
      </w:r>
      <w:r w:rsidR="00E14DAC" w:rsidRPr="00E70B3C">
        <w:t>nvolv</w:t>
      </w:r>
      <w:r w:rsidR="009C0A26" w:rsidRPr="00E70B3C">
        <w:t>ed</w:t>
      </w:r>
      <w:r w:rsidR="00E14DAC" w:rsidRPr="00E70B3C">
        <w:t xml:space="preserve"> </w:t>
      </w:r>
      <w:r w:rsidR="00915120" w:rsidRPr="00E70B3C">
        <w:t>observation into teaching methods employed by two accredited planning schools in the UK.</w:t>
      </w:r>
      <w:r w:rsidRPr="00E70B3C">
        <w:t xml:space="preserve"> </w:t>
      </w:r>
      <w:r w:rsidR="000F7B33" w:rsidRPr="00E70B3C">
        <w:t>T</w:t>
      </w:r>
      <w:r w:rsidR="004D17BC" w:rsidRPr="00E70B3C">
        <w:t>he</w:t>
      </w:r>
      <w:r w:rsidR="00E14DAC" w:rsidRPr="00E70B3C">
        <w:t xml:space="preserve"> universities undertook</w:t>
      </w:r>
      <w:r w:rsidR="00915120" w:rsidRPr="00E70B3C">
        <w:t xml:space="preserve"> teaching exchange visits to explor</w:t>
      </w:r>
      <w:r w:rsidRPr="00E70B3C">
        <w:t>e the rationale for the content and</w:t>
      </w:r>
      <w:r w:rsidR="00915120" w:rsidRPr="00E70B3C">
        <w:t xml:space="preserve"> the nature of </w:t>
      </w:r>
      <w:r w:rsidRPr="00E70B3C">
        <w:t xml:space="preserve">the </w:t>
      </w:r>
      <w:r w:rsidR="00915120" w:rsidRPr="00E70B3C">
        <w:t>learning</w:t>
      </w:r>
      <w:r w:rsidR="000F7B33" w:rsidRPr="00E70B3C">
        <w:t xml:space="preserve"> and teaching</w:t>
      </w:r>
      <w:r w:rsidR="00915120" w:rsidRPr="00E70B3C">
        <w:t xml:space="preserve"> framework</w:t>
      </w:r>
      <w:r w:rsidR="00E14DAC" w:rsidRPr="00E70B3C">
        <w:t>. I</w:t>
      </w:r>
      <w:r w:rsidRPr="00E70B3C">
        <w:t>t was</w:t>
      </w:r>
      <w:r w:rsidR="00E14DAC" w:rsidRPr="00E70B3C">
        <w:t xml:space="preserve"> important to understand how curricula</w:t>
      </w:r>
      <w:r w:rsidRPr="00E70B3C">
        <w:t xml:space="preserve"> are</w:t>
      </w:r>
      <w:r w:rsidR="00915120" w:rsidRPr="00E70B3C">
        <w:t xml:space="preserve"> designed to </w:t>
      </w:r>
      <w:r w:rsidR="00915120" w:rsidRPr="00E70B3C">
        <w:rPr>
          <w:rFonts w:eastAsia="Calibri"/>
        </w:rPr>
        <w:t xml:space="preserve">equip individuals to understand, critically discuss, and (potentially) to practise the </w:t>
      </w:r>
      <w:r w:rsidR="00E14DAC" w:rsidRPr="00E70B3C">
        <w:rPr>
          <w:rFonts w:eastAsia="Calibri"/>
        </w:rPr>
        <w:t xml:space="preserve">art and science of </w:t>
      </w:r>
      <w:r w:rsidR="00263B32">
        <w:rPr>
          <w:rFonts w:eastAsia="Calibri"/>
        </w:rPr>
        <w:t>urban and rural</w:t>
      </w:r>
      <w:r w:rsidR="00263B32" w:rsidRPr="00E70B3C">
        <w:rPr>
          <w:rFonts w:eastAsia="Calibri"/>
        </w:rPr>
        <w:t xml:space="preserve"> </w:t>
      </w:r>
      <w:r w:rsidR="00E14DAC" w:rsidRPr="00E70B3C">
        <w:rPr>
          <w:rFonts w:eastAsia="Calibri"/>
        </w:rPr>
        <w:t xml:space="preserve">planning. </w:t>
      </w:r>
      <w:r w:rsidR="000F7B33" w:rsidRPr="00E70B3C">
        <w:rPr>
          <w:rFonts w:eastAsia="Calibri"/>
        </w:rPr>
        <w:t>H</w:t>
      </w:r>
      <w:r w:rsidR="00915120" w:rsidRPr="00E70B3C">
        <w:rPr>
          <w:rFonts w:eastAsia="Calibri"/>
        </w:rPr>
        <w:t>aving regard to the balance between practice</w:t>
      </w:r>
      <w:r w:rsidR="000F7B33" w:rsidRPr="00E70B3C">
        <w:rPr>
          <w:rFonts w:eastAsia="Calibri"/>
        </w:rPr>
        <w:t>-</w:t>
      </w:r>
      <w:r w:rsidR="00915120" w:rsidRPr="00E70B3C">
        <w:rPr>
          <w:rFonts w:eastAsia="Calibri"/>
        </w:rPr>
        <w:t>orientated and skills focused content</w:t>
      </w:r>
      <w:r w:rsidR="000F7B33" w:rsidRPr="00E70B3C">
        <w:rPr>
          <w:rFonts w:eastAsia="Calibri"/>
        </w:rPr>
        <w:t>;</w:t>
      </w:r>
      <w:r w:rsidR="00915120" w:rsidRPr="00E70B3C">
        <w:rPr>
          <w:rFonts w:eastAsia="Calibri"/>
        </w:rPr>
        <w:t xml:space="preserve"> history, theory and philosophy also form core components of planning programmes.</w:t>
      </w:r>
      <w:r w:rsidR="00915120" w:rsidRPr="00E70B3C">
        <w:t xml:space="preserve">  </w:t>
      </w:r>
    </w:p>
    <w:p w14:paraId="3170E316" w14:textId="77777777" w:rsidR="00580BEC" w:rsidRPr="00E70B3C" w:rsidRDefault="00915120" w:rsidP="00FB5FD6">
      <w:pPr>
        <w:spacing w:line="360" w:lineRule="auto"/>
        <w:ind w:firstLine="720"/>
        <w:contextualSpacing/>
        <w:jc w:val="both"/>
      </w:pPr>
      <w:r w:rsidRPr="00E70B3C">
        <w:t>The University of Ulster</w:t>
      </w:r>
      <w:r w:rsidR="00580BEC" w:rsidRPr="00E70B3C">
        <w:t xml:space="preserve"> (Ulster</w:t>
      </w:r>
      <w:r w:rsidRPr="00E70B3C">
        <w:t>) and the University of the West of England</w:t>
      </w:r>
      <w:r w:rsidR="00C231F2" w:rsidRPr="00E70B3C">
        <w:t>, Bristol</w:t>
      </w:r>
      <w:r w:rsidRPr="00E70B3C">
        <w:t xml:space="preserve"> (UWE) each carried out three visits, observing and supporting the delivery of content (see table 1). Each visit </w:t>
      </w:r>
      <w:r w:rsidR="007A5C5E" w:rsidRPr="00E70B3C">
        <w:t>had different</w:t>
      </w:r>
      <w:r w:rsidRPr="00E70B3C">
        <w:t xml:space="preserve"> focus</w:t>
      </w:r>
      <w:r w:rsidR="000F7B33" w:rsidRPr="00E70B3C">
        <w:t>es</w:t>
      </w:r>
      <w:r w:rsidRPr="00E70B3C">
        <w:t>, but the core theme was the teaching of</w:t>
      </w:r>
      <w:r w:rsidR="001920B6">
        <w:t xml:space="preserve"> decision</w:t>
      </w:r>
      <w:r w:rsidR="00346548">
        <w:t>-</w:t>
      </w:r>
      <w:r w:rsidR="001920B6">
        <w:t>making within a planning context.</w:t>
      </w:r>
    </w:p>
    <w:p w14:paraId="52C490C4" w14:textId="77777777" w:rsidR="007C5625" w:rsidRPr="00E70B3C" w:rsidRDefault="007C5625" w:rsidP="00915120">
      <w:pPr>
        <w:spacing w:line="360" w:lineRule="auto"/>
        <w:contextualSpacing/>
        <w:jc w:val="both"/>
      </w:pPr>
    </w:p>
    <w:p w14:paraId="59F29DDF" w14:textId="77777777" w:rsidR="00082ABD" w:rsidRPr="00E70B3C" w:rsidRDefault="006A5E63" w:rsidP="00915120">
      <w:pPr>
        <w:spacing w:line="360" w:lineRule="auto"/>
        <w:contextualSpacing/>
        <w:jc w:val="both"/>
        <w:rPr>
          <w:i/>
        </w:rPr>
      </w:pPr>
      <w:r>
        <w:rPr>
          <w:i/>
        </w:rPr>
        <w:tab/>
      </w:r>
      <w:r>
        <w:rPr>
          <w:i/>
        </w:rPr>
        <w:tab/>
      </w:r>
      <w:r>
        <w:rPr>
          <w:i/>
        </w:rPr>
        <w:tab/>
      </w:r>
      <w:r>
        <w:rPr>
          <w:i/>
        </w:rPr>
        <w:tab/>
        <w:t xml:space="preserve">Insert </w:t>
      </w:r>
      <w:r w:rsidR="003125F4">
        <w:rPr>
          <w:i/>
        </w:rPr>
        <w:t>T</w:t>
      </w:r>
      <w:r w:rsidR="00082ABD" w:rsidRPr="00E70B3C">
        <w:rPr>
          <w:i/>
        </w:rPr>
        <w:t>able 1 here</w:t>
      </w:r>
    </w:p>
    <w:p w14:paraId="4B9F58B7" w14:textId="77777777" w:rsidR="00082ABD" w:rsidRPr="00E70B3C" w:rsidRDefault="00082ABD" w:rsidP="00915120">
      <w:pPr>
        <w:spacing w:line="360" w:lineRule="auto"/>
        <w:contextualSpacing/>
        <w:jc w:val="both"/>
      </w:pPr>
    </w:p>
    <w:p w14:paraId="3B1B431E" w14:textId="77777777" w:rsidR="00915120" w:rsidRPr="00E70B3C" w:rsidRDefault="006A5E63" w:rsidP="00915120">
      <w:pPr>
        <w:spacing w:line="360" w:lineRule="auto"/>
        <w:contextualSpacing/>
        <w:jc w:val="both"/>
      </w:pPr>
      <w:r>
        <w:tab/>
      </w:r>
      <w:r w:rsidR="00E14DAC" w:rsidRPr="00E70B3C">
        <w:t>Through these visits and</w:t>
      </w:r>
      <w:r w:rsidR="00915120" w:rsidRPr="00E70B3C">
        <w:t xml:space="preserve"> discussions each institution developed an understanding of the structural, philosophical and practical approach utilised</w:t>
      </w:r>
      <w:r w:rsidR="00E14DAC" w:rsidRPr="00E70B3C">
        <w:t xml:space="preserve"> by the other</w:t>
      </w:r>
      <w:r w:rsidR="00915120" w:rsidRPr="00E70B3C">
        <w:t>. Th</w:t>
      </w:r>
      <w:r w:rsidR="004D17BC" w:rsidRPr="00E70B3C">
        <w:t xml:space="preserve">is </w:t>
      </w:r>
      <w:r w:rsidR="00915120" w:rsidRPr="00E70B3C">
        <w:t>enabled the institutions to individually and collaboratively refle</w:t>
      </w:r>
      <w:r w:rsidR="00580BEC" w:rsidRPr="00E70B3C">
        <w:t>ct upon planning education</w:t>
      </w:r>
      <w:r w:rsidR="00915120" w:rsidRPr="00E70B3C">
        <w:t>;</w:t>
      </w:r>
      <w:r w:rsidR="00E14DAC" w:rsidRPr="00E70B3C">
        <w:t xml:space="preserve"> in</w:t>
      </w:r>
      <w:r w:rsidR="00915120" w:rsidRPr="00E70B3C">
        <w:t xml:space="preserve"> </w:t>
      </w:r>
      <w:r w:rsidR="00E14DAC" w:rsidRPr="00E70B3C">
        <w:t>understanding</w:t>
      </w:r>
      <w:r w:rsidR="00915120" w:rsidRPr="00E70B3C">
        <w:t xml:space="preserve"> chall</w:t>
      </w:r>
      <w:r w:rsidR="00E14DAC" w:rsidRPr="00E70B3C">
        <w:t xml:space="preserve">enges and </w:t>
      </w:r>
      <w:r w:rsidR="00580BEC" w:rsidRPr="00E70B3C">
        <w:t>opportunities</w:t>
      </w:r>
      <w:r w:rsidR="00E14DAC" w:rsidRPr="00E70B3C">
        <w:t xml:space="preserve">, </w:t>
      </w:r>
      <w:r w:rsidR="00580BEC" w:rsidRPr="00E70B3C">
        <w:t>the need to strike</w:t>
      </w:r>
      <w:r w:rsidR="00915120" w:rsidRPr="00E70B3C">
        <w:t xml:space="preserve"> the balance between the broader and theoretical content and the practice-orientated requirements necessary in a  career oriented qualification.</w:t>
      </w:r>
    </w:p>
    <w:p w14:paraId="1FEA9930" w14:textId="77777777" w:rsidR="00915120" w:rsidRDefault="00915120" w:rsidP="00915120">
      <w:pPr>
        <w:tabs>
          <w:tab w:val="left" w:pos="2835"/>
          <w:tab w:val="left" w:pos="6379"/>
        </w:tabs>
        <w:spacing w:line="360" w:lineRule="auto"/>
        <w:contextualSpacing/>
        <w:jc w:val="both"/>
        <w:rPr>
          <w:b/>
        </w:rPr>
      </w:pPr>
    </w:p>
    <w:p w14:paraId="06037E43" w14:textId="77777777" w:rsidR="006A5E63" w:rsidRPr="00E70B3C" w:rsidRDefault="006A5E63" w:rsidP="00915120">
      <w:pPr>
        <w:tabs>
          <w:tab w:val="left" w:pos="2835"/>
          <w:tab w:val="left" w:pos="6379"/>
        </w:tabs>
        <w:spacing w:line="360" w:lineRule="auto"/>
        <w:contextualSpacing/>
        <w:jc w:val="both"/>
        <w:rPr>
          <w:b/>
        </w:rPr>
      </w:pPr>
    </w:p>
    <w:p w14:paraId="4F0F902E" w14:textId="77777777" w:rsidR="00E70B3C" w:rsidRDefault="000A7F0F" w:rsidP="00915120">
      <w:pPr>
        <w:spacing w:line="360" w:lineRule="auto"/>
        <w:jc w:val="both"/>
      </w:pPr>
      <w:r w:rsidRPr="00E70B3C">
        <w:rPr>
          <w:b/>
        </w:rPr>
        <w:t xml:space="preserve">The nature of planning education: </w:t>
      </w:r>
      <w:r w:rsidR="003D6C42">
        <w:rPr>
          <w:b/>
        </w:rPr>
        <w:t>a</w:t>
      </w:r>
      <w:r w:rsidRPr="00E70B3C">
        <w:rPr>
          <w:b/>
        </w:rPr>
        <w:t xml:space="preserve">rt, vocation or process? </w:t>
      </w:r>
      <w:r w:rsidR="00915120" w:rsidRPr="00E70B3C">
        <w:t xml:space="preserve"> </w:t>
      </w:r>
    </w:p>
    <w:p w14:paraId="231B0543" w14:textId="77777777" w:rsidR="00915120" w:rsidRPr="00E70B3C" w:rsidRDefault="004D17BC" w:rsidP="00915120">
      <w:pPr>
        <w:spacing w:line="360" w:lineRule="auto"/>
        <w:jc w:val="both"/>
        <w:rPr>
          <w:b/>
        </w:rPr>
      </w:pPr>
      <w:r w:rsidRPr="00E70B3C">
        <w:t>P</w:t>
      </w:r>
      <w:r w:rsidR="00915120" w:rsidRPr="00E70B3C">
        <w:t xml:space="preserve">lanning </w:t>
      </w:r>
      <w:r w:rsidR="006C5B6D" w:rsidRPr="001C663E">
        <w:t xml:space="preserve">is an applied discipline with an interdisciplinary outlook </w:t>
      </w:r>
      <w:r w:rsidR="00E14DAC" w:rsidRPr="00E70B3C">
        <w:t xml:space="preserve">and </w:t>
      </w:r>
      <w:r w:rsidR="005803DC">
        <w:t xml:space="preserve">the </w:t>
      </w:r>
      <w:r w:rsidR="00915120" w:rsidRPr="00E70B3C">
        <w:t>diversity of roles and activities associated with planning</w:t>
      </w:r>
      <w:r w:rsidR="00E14DAC" w:rsidRPr="00E70B3C">
        <w:t xml:space="preserve"> is significant</w:t>
      </w:r>
      <w:r w:rsidR="005803DC">
        <w:t xml:space="preserve"> </w:t>
      </w:r>
      <w:r w:rsidR="005803DC" w:rsidRPr="00E70B3C">
        <w:t>(Frank, 2006</w:t>
      </w:r>
      <w:r w:rsidR="006A5E63">
        <w:t>, p.</w:t>
      </w:r>
      <w:r w:rsidR="005803DC" w:rsidRPr="00E70B3C">
        <w:t>16)</w:t>
      </w:r>
      <w:r w:rsidR="00E14DAC" w:rsidRPr="00E70B3C">
        <w:t xml:space="preserve">.  </w:t>
      </w:r>
      <w:r w:rsidR="005803DC">
        <w:t>A</w:t>
      </w:r>
      <w:r w:rsidR="005803DC" w:rsidRPr="00E70B3C">
        <w:t xml:space="preserve">ppropriate teaching of </w:t>
      </w:r>
      <w:r w:rsidR="005803DC">
        <w:t xml:space="preserve">current and required </w:t>
      </w:r>
      <w:r w:rsidR="005803DC" w:rsidRPr="00E70B3C">
        <w:t xml:space="preserve">technical skills as part of the academic, theoretical, </w:t>
      </w:r>
      <w:r w:rsidR="005803DC">
        <w:t xml:space="preserve">and intellectual grounding of this </w:t>
      </w:r>
      <w:r w:rsidR="005803DC" w:rsidRPr="00E70B3C">
        <w:t xml:space="preserve">discipline is therefore needed in addition to generic skills in the curriculum to enhance employability. </w:t>
      </w:r>
      <w:r w:rsidR="00EA4220" w:rsidRPr="00E70B3C">
        <w:t>W</w:t>
      </w:r>
      <w:r w:rsidR="00E14DAC" w:rsidRPr="00E70B3C">
        <w:t xml:space="preserve">ithin </w:t>
      </w:r>
      <w:r w:rsidR="0097014C" w:rsidRPr="00E70B3C">
        <w:t>planning</w:t>
      </w:r>
      <w:r w:rsidR="00915120" w:rsidRPr="00E70B3C">
        <w:t xml:space="preserve">, the multi-layered nature of </w:t>
      </w:r>
      <w:r w:rsidR="00784BCD" w:rsidRPr="00E70B3C">
        <w:t xml:space="preserve">activities </w:t>
      </w:r>
      <w:r w:rsidR="00915120" w:rsidRPr="00E70B3C">
        <w:t>challenge</w:t>
      </w:r>
      <w:r w:rsidR="00532C73">
        <w:t>s</w:t>
      </w:r>
      <w:r w:rsidR="00915120" w:rsidRPr="00E70B3C">
        <w:t xml:space="preserve"> planners to increase their knowledge bases (</w:t>
      </w:r>
      <w:r w:rsidR="00F17287" w:rsidRPr="00E70B3C">
        <w:t>ASC</w:t>
      </w:r>
      <w:r w:rsidR="00915120" w:rsidRPr="00E70B3C">
        <w:t>, 200</w:t>
      </w:r>
      <w:r w:rsidR="00F17287" w:rsidRPr="00E70B3C">
        <w:t>7</w:t>
      </w:r>
      <w:r w:rsidR="00915120" w:rsidRPr="00E70B3C">
        <w:t xml:space="preserve">). </w:t>
      </w:r>
      <w:r w:rsidR="00784BCD" w:rsidRPr="00E70B3C">
        <w:t xml:space="preserve">The way planning decisions are reached is also inherently political, with the determination of planning applications and the adoption of development plans all </w:t>
      </w:r>
      <w:r w:rsidR="00784BCD" w:rsidRPr="00E70B3C">
        <w:lastRenderedPageBreak/>
        <w:t xml:space="preserve">requiring political mandate. </w:t>
      </w:r>
      <w:r w:rsidR="00915120" w:rsidRPr="00E70B3C">
        <w:t>Unlike other professions in the built environment, planning has ‘its aims, goals and processes adjusted over time in response to socio-economic trends and ideas’ (Frank, 2006</w:t>
      </w:r>
      <w:r w:rsidR="006A5E63">
        <w:t>, p.</w:t>
      </w:r>
      <w:r w:rsidR="00915120" w:rsidRPr="00E70B3C">
        <w:t>17).</w:t>
      </w:r>
      <w:r w:rsidRPr="00E70B3C">
        <w:t xml:space="preserve"> The complex environs within which planners operate are intricate and multi-faceted. With the exponential growth in procedural requirements, some would suggest that the profession has been overwhelmed with process, legislation and regulation. Brown</w:t>
      </w:r>
      <w:r w:rsidR="009823F3">
        <w:rPr>
          <w:i/>
        </w:rPr>
        <w:t xml:space="preserve"> et al </w:t>
      </w:r>
      <w:r w:rsidRPr="00E70B3C">
        <w:t>(2003) consider that the profession has largely acquiesced to the management orientation of local government planning and</w:t>
      </w:r>
      <w:r w:rsidR="00532C73">
        <w:t xml:space="preserve"> planning as an activity has</w:t>
      </w:r>
      <w:r w:rsidRPr="00E70B3C">
        <w:t xml:space="preserve"> become little more than bureaucratic proceduralism. Sturzaker (2011</w:t>
      </w:r>
      <w:r w:rsidR="006A5E63">
        <w:t>, p.</w:t>
      </w:r>
      <w:r w:rsidRPr="00E70B3C">
        <w:t xml:space="preserve">321) considers this as ‘de-professionalisation of the planning discipline’. The </w:t>
      </w:r>
      <w:r w:rsidR="00CA4140" w:rsidRPr="00E70B3C">
        <w:t xml:space="preserve">discourse associated with the </w:t>
      </w:r>
      <w:r w:rsidR="0004057C">
        <w:t>‘</w:t>
      </w:r>
      <w:r w:rsidRPr="00E70B3C">
        <w:t>processisation</w:t>
      </w:r>
      <w:r w:rsidR="0004057C">
        <w:t>’</w:t>
      </w:r>
      <w:r w:rsidRPr="00E70B3C">
        <w:t xml:space="preserve"> of the profession has become intertwined with </w:t>
      </w:r>
      <w:r w:rsidR="00CA4140" w:rsidRPr="00E70B3C">
        <w:t xml:space="preserve">debates concerning the nature of planning education and particularly the view </w:t>
      </w:r>
      <w:r w:rsidR="009A4FC2">
        <w:t xml:space="preserve">that </w:t>
      </w:r>
      <w:r w:rsidR="00CA7074" w:rsidRPr="00E70B3C">
        <w:t>rather than embedding skills into academic programmes, planning</w:t>
      </w:r>
      <w:r w:rsidR="00CA4140" w:rsidRPr="00E70B3C">
        <w:t xml:space="preserve"> education should be </w:t>
      </w:r>
      <w:r w:rsidR="00CA7074" w:rsidRPr="00E70B3C">
        <w:t xml:space="preserve">delivered as </w:t>
      </w:r>
      <w:r w:rsidR="00CA4140" w:rsidRPr="00E70B3C">
        <w:t>vocational</w:t>
      </w:r>
      <w:r w:rsidR="00CA7074" w:rsidRPr="00E70B3C">
        <w:t xml:space="preserve"> training</w:t>
      </w:r>
      <w:r w:rsidR="00CA4140" w:rsidRPr="00E70B3C">
        <w:t xml:space="preserve"> without </w:t>
      </w:r>
      <w:r w:rsidRPr="00E70B3C">
        <w:t>a broader theoretical and pedagogical curriculum</w:t>
      </w:r>
      <w:r w:rsidR="00CA7074" w:rsidRPr="00E70B3C">
        <w:t>.</w:t>
      </w:r>
      <w:r w:rsidRPr="00E70B3C">
        <w:rPr>
          <w:rFonts w:eastAsia="Calibri"/>
        </w:rPr>
        <w:t xml:space="preserve"> </w:t>
      </w:r>
    </w:p>
    <w:p w14:paraId="5EA598EE" w14:textId="77777777" w:rsidR="00915120" w:rsidRPr="00E70B3C" w:rsidRDefault="00E064E4" w:rsidP="00532C73">
      <w:pPr>
        <w:spacing w:line="360" w:lineRule="auto"/>
        <w:jc w:val="both"/>
        <w:rPr>
          <w:rFonts w:eastAsia="Calibri"/>
        </w:rPr>
      </w:pPr>
      <w:r>
        <w:rPr>
          <w:rFonts w:eastAsia="Calibri"/>
        </w:rPr>
        <w:tab/>
      </w:r>
      <w:r w:rsidR="00532C73">
        <w:rPr>
          <w:rFonts w:eastAsia="Calibri"/>
        </w:rPr>
        <w:t>Opinions differ significantly in</w:t>
      </w:r>
      <w:r w:rsidR="00915120" w:rsidRPr="00E70B3C">
        <w:rPr>
          <w:rFonts w:eastAsia="Calibri"/>
        </w:rPr>
        <w:t xml:space="preserve"> </w:t>
      </w:r>
      <w:r w:rsidR="001920B6">
        <w:rPr>
          <w:rFonts w:eastAsia="Calibri"/>
        </w:rPr>
        <w:t xml:space="preserve">the discourse concerning </w:t>
      </w:r>
      <w:r w:rsidR="00915120" w:rsidRPr="00E70B3C">
        <w:rPr>
          <w:rFonts w:eastAsia="Calibri"/>
        </w:rPr>
        <w:t xml:space="preserve">the balance between education providers teaching planning as a field of study, and the degree to which learning </w:t>
      </w:r>
      <w:r w:rsidR="000F7B33" w:rsidRPr="00E70B3C">
        <w:rPr>
          <w:rFonts w:eastAsia="Calibri"/>
        </w:rPr>
        <w:t xml:space="preserve">and teaching </w:t>
      </w:r>
      <w:r w:rsidR="00915120" w:rsidRPr="00E70B3C">
        <w:rPr>
          <w:rFonts w:eastAsia="Calibri"/>
        </w:rPr>
        <w:t xml:space="preserve">should be focused upon the skills </w:t>
      </w:r>
      <w:r w:rsidR="00532C73">
        <w:rPr>
          <w:rFonts w:eastAsia="Calibri"/>
        </w:rPr>
        <w:t>that</w:t>
      </w:r>
      <w:r w:rsidR="00915120" w:rsidRPr="00E70B3C">
        <w:rPr>
          <w:rFonts w:eastAsia="Calibri"/>
        </w:rPr>
        <w:t xml:space="preserve"> a competent planning practitioner </w:t>
      </w:r>
      <w:r w:rsidR="00532C73">
        <w:rPr>
          <w:rFonts w:eastAsia="Calibri"/>
        </w:rPr>
        <w:t xml:space="preserve">needs to possess </w:t>
      </w:r>
      <w:r w:rsidR="00915120" w:rsidRPr="00E70B3C">
        <w:rPr>
          <w:rFonts w:eastAsia="Calibri"/>
        </w:rPr>
        <w:t>at th</w:t>
      </w:r>
      <w:r w:rsidR="00E548DC" w:rsidRPr="00E70B3C">
        <w:rPr>
          <w:rFonts w:eastAsia="Calibri"/>
        </w:rPr>
        <w:t>e end of the</w:t>
      </w:r>
      <w:r w:rsidR="006A22B1" w:rsidRPr="00E70B3C">
        <w:rPr>
          <w:rFonts w:eastAsia="Calibri"/>
        </w:rPr>
        <w:t>ir</w:t>
      </w:r>
      <w:r w:rsidR="00E548DC" w:rsidRPr="00E70B3C">
        <w:rPr>
          <w:rFonts w:eastAsia="Calibri"/>
        </w:rPr>
        <w:t xml:space="preserve"> degree</w:t>
      </w:r>
      <w:r w:rsidR="00915120" w:rsidRPr="00E70B3C">
        <w:rPr>
          <w:rFonts w:eastAsia="Calibri"/>
        </w:rPr>
        <w:t xml:space="preserve">. The two are </w:t>
      </w:r>
      <w:r w:rsidR="00B543DE">
        <w:rPr>
          <w:rFonts w:eastAsia="Calibri"/>
        </w:rPr>
        <w:t xml:space="preserve">not mutually </w:t>
      </w:r>
      <w:r w:rsidR="00915120" w:rsidRPr="00E70B3C">
        <w:rPr>
          <w:rFonts w:eastAsia="Calibri"/>
        </w:rPr>
        <w:t>exclusive, but the rationale for programme content, the learning framework, the methodological approach to equip individuals to understand, analys</w:t>
      </w:r>
      <w:r w:rsidR="00EA4220" w:rsidRPr="00E70B3C">
        <w:rPr>
          <w:rFonts w:eastAsia="Calibri"/>
        </w:rPr>
        <w:t>e</w:t>
      </w:r>
      <w:r w:rsidR="00915120" w:rsidRPr="00E70B3C">
        <w:rPr>
          <w:rFonts w:eastAsia="Calibri"/>
        </w:rPr>
        <w:t>, critically discuss, and practise the art and science of planning are areas where d</w:t>
      </w:r>
      <w:r w:rsidR="00EA4220" w:rsidRPr="00E70B3C">
        <w:rPr>
          <w:rFonts w:eastAsia="Calibri"/>
        </w:rPr>
        <w:t>ebate</w:t>
      </w:r>
      <w:r w:rsidR="00915120" w:rsidRPr="00E70B3C">
        <w:rPr>
          <w:rFonts w:eastAsia="Calibri"/>
        </w:rPr>
        <w:t xml:space="preserve"> is commonplace. </w:t>
      </w:r>
    </w:p>
    <w:p w14:paraId="11E8C824" w14:textId="77777777" w:rsidR="00915120" w:rsidRPr="00E70B3C" w:rsidRDefault="00E064E4" w:rsidP="00915120">
      <w:pPr>
        <w:spacing w:line="360" w:lineRule="auto"/>
        <w:jc w:val="both"/>
      </w:pPr>
      <w:r>
        <w:tab/>
      </w:r>
      <w:r w:rsidR="00915120" w:rsidRPr="00E70B3C">
        <w:t xml:space="preserve">As the planning system has evolved to meet the </w:t>
      </w:r>
      <w:r w:rsidR="00532C73">
        <w:t>changing</w:t>
      </w:r>
      <w:r w:rsidR="00532C73" w:rsidRPr="00E70B3C">
        <w:t xml:space="preserve"> </w:t>
      </w:r>
      <w:r w:rsidR="00915120" w:rsidRPr="00E70B3C">
        <w:t>needs of the 21</w:t>
      </w:r>
      <w:r w:rsidR="00915120" w:rsidRPr="00E70B3C">
        <w:rPr>
          <w:vertAlign w:val="superscript"/>
        </w:rPr>
        <w:t>st</w:t>
      </w:r>
      <w:r w:rsidR="00915120" w:rsidRPr="00E70B3C">
        <w:t xml:space="preserve"> century, </w:t>
      </w:r>
      <w:r w:rsidR="00B72610" w:rsidRPr="00E70B3C">
        <w:t xml:space="preserve">shifting away from traditional land use planning, </w:t>
      </w:r>
      <w:r w:rsidR="00915120" w:rsidRPr="00E70B3C">
        <w:t>so too has planning education</w:t>
      </w:r>
      <w:r w:rsidR="000F7B33" w:rsidRPr="00E70B3C">
        <w:t xml:space="preserve">. </w:t>
      </w:r>
      <w:r w:rsidR="00532C73">
        <w:t>Since 2010</w:t>
      </w:r>
      <w:r w:rsidR="00915120" w:rsidRPr="00E70B3C">
        <w:t xml:space="preserve"> </w:t>
      </w:r>
      <w:r w:rsidR="000A7F0F" w:rsidRPr="00E70B3C">
        <w:t xml:space="preserve">much </w:t>
      </w:r>
      <w:r w:rsidR="00915120" w:rsidRPr="00E70B3C">
        <w:t xml:space="preserve">planning </w:t>
      </w:r>
      <w:r w:rsidR="000A7F0F" w:rsidRPr="00E70B3C">
        <w:t xml:space="preserve">activity </w:t>
      </w:r>
      <w:r w:rsidR="00915120" w:rsidRPr="00E70B3C">
        <w:t xml:space="preserve">is located within a governance of ‘localism’. </w:t>
      </w:r>
      <w:r w:rsidR="002B2783">
        <w:t xml:space="preserve">The planning systems found in both England and Northern Ireland, though different structurally, are both seeking to enhance the application of the subsidiarity principle through further delegation of powers to the local/community scale. </w:t>
      </w:r>
      <w:r w:rsidR="00915120" w:rsidRPr="00E70B3C">
        <w:t>As Allmendinger and Haug</w:t>
      </w:r>
      <w:r>
        <w:t>h</w:t>
      </w:r>
      <w:r w:rsidR="00915120" w:rsidRPr="00E70B3C">
        <w:t xml:space="preserve">ton (2009) comment, these new forms of governance create fuzzy boundaries, which give rise </w:t>
      </w:r>
      <w:r w:rsidR="00E548DC" w:rsidRPr="00E70B3C">
        <w:t>to challenges for planners. T</w:t>
      </w:r>
      <w:r w:rsidR="00915120" w:rsidRPr="00E70B3C">
        <w:t>his impact</w:t>
      </w:r>
      <w:r w:rsidR="00F81F7A" w:rsidRPr="00E70B3C">
        <w:t>s</w:t>
      </w:r>
      <w:r w:rsidR="00915120" w:rsidRPr="00E70B3C">
        <w:t xml:space="preserve"> on how </w:t>
      </w:r>
      <w:r w:rsidR="000A7F0F" w:rsidRPr="00E70B3C">
        <w:t>universities</w:t>
      </w:r>
      <w:r w:rsidR="00915120" w:rsidRPr="00E70B3C">
        <w:t xml:space="preserve"> prepare planning students to enter professional practice </w:t>
      </w:r>
      <w:r w:rsidR="00FE0583">
        <w:t xml:space="preserve">operating </w:t>
      </w:r>
      <w:r w:rsidR="00915120" w:rsidRPr="00E70B3C">
        <w:t xml:space="preserve">within a </w:t>
      </w:r>
      <w:r w:rsidR="00FE0583">
        <w:t>context of</w:t>
      </w:r>
      <w:r w:rsidR="00915120" w:rsidRPr="00E70B3C">
        <w:t xml:space="preserve"> economic and social uncertainty. </w:t>
      </w:r>
    </w:p>
    <w:p w14:paraId="2A52D336" w14:textId="77777777" w:rsidR="00E064E4" w:rsidRPr="00E70B3C" w:rsidDel="00FD61B6" w:rsidRDefault="00E064E4" w:rsidP="00915120">
      <w:pPr>
        <w:spacing w:line="360" w:lineRule="auto"/>
        <w:jc w:val="both"/>
      </w:pPr>
    </w:p>
    <w:p w14:paraId="467D990E" w14:textId="77777777" w:rsidR="008F7CCA" w:rsidRPr="00E70B3C" w:rsidRDefault="008F7CCA" w:rsidP="00915120">
      <w:pPr>
        <w:tabs>
          <w:tab w:val="left" w:pos="1560"/>
        </w:tabs>
        <w:spacing w:line="360" w:lineRule="auto"/>
        <w:jc w:val="both"/>
      </w:pPr>
    </w:p>
    <w:p w14:paraId="5B659124" w14:textId="77777777" w:rsidR="008F7CCA" w:rsidRPr="001C663E" w:rsidRDefault="006C5B6D" w:rsidP="00915120">
      <w:pPr>
        <w:tabs>
          <w:tab w:val="left" w:pos="1560"/>
        </w:tabs>
        <w:spacing w:line="360" w:lineRule="auto"/>
        <w:jc w:val="both"/>
        <w:rPr>
          <w:b/>
        </w:rPr>
      </w:pPr>
      <w:r w:rsidRPr="001C663E">
        <w:rPr>
          <w:b/>
        </w:rPr>
        <w:t>Planning education in context</w:t>
      </w:r>
    </w:p>
    <w:p w14:paraId="627DF0DC" w14:textId="77777777" w:rsidR="00915120" w:rsidRPr="00E70B3C" w:rsidRDefault="00E548DC" w:rsidP="00915120">
      <w:pPr>
        <w:tabs>
          <w:tab w:val="left" w:pos="1560"/>
        </w:tabs>
        <w:spacing w:line="360" w:lineRule="auto"/>
        <w:jc w:val="both"/>
        <w:rPr>
          <w:rFonts w:eastAsia="Calibri"/>
        </w:rPr>
      </w:pPr>
      <w:r w:rsidRPr="00E70B3C">
        <w:lastRenderedPageBreak/>
        <w:t>Established from</w:t>
      </w:r>
      <w:r w:rsidR="00915120" w:rsidRPr="00E70B3C">
        <w:t xml:space="preserve"> a multidisciplinary and interdisciplinary legacy, planning </w:t>
      </w:r>
      <w:r w:rsidR="00FE0583">
        <w:t>has been</w:t>
      </w:r>
      <w:r w:rsidR="00915120" w:rsidRPr="00E70B3C">
        <w:t xml:space="preserve"> criticised for not having its own set of theories and tradition</w:t>
      </w:r>
      <w:r w:rsidRPr="00E70B3C">
        <w:t>s</w:t>
      </w:r>
      <w:r w:rsidR="00915120" w:rsidRPr="00E70B3C">
        <w:t xml:space="preserve"> (Frank, 2000). Davoudi (2000</w:t>
      </w:r>
      <w:r w:rsidR="006A5E63">
        <w:t>, p.</w:t>
      </w:r>
      <w:r w:rsidRPr="00E70B3C">
        <w:t>124</w:t>
      </w:r>
      <w:r w:rsidR="00915120" w:rsidRPr="00E70B3C">
        <w:t>)</w:t>
      </w:r>
      <w:r w:rsidR="00915120" w:rsidRPr="00E70B3C">
        <w:rPr>
          <w:rFonts w:eastAsia="Calibri"/>
        </w:rPr>
        <w:t xml:space="preserve"> illustrates tha</w:t>
      </w:r>
      <w:r w:rsidR="00915120" w:rsidRPr="00E70B3C">
        <w:t>t some believed that land use planning</w:t>
      </w:r>
      <w:r w:rsidR="00915120" w:rsidRPr="00E70B3C">
        <w:rPr>
          <w:rFonts w:eastAsia="Calibri"/>
        </w:rPr>
        <w:t xml:space="preserve"> emerged as: </w:t>
      </w:r>
    </w:p>
    <w:p w14:paraId="148E1F83" w14:textId="77777777" w:rsidR="00EA4220" w:rsidRPr="001C663E" w:rsidRDefault="00EA4220" w:rsidP="001C663E">
      <w:pPr>
        <w:tabs>
          <w:tab w:val="left" w:pos="1560"/>
        </w:tabs>
        <w:spacing w:line="360" w:lineRule="auto"/>
        <w:ind w:left="340" w:right="340"/>
        <w:jc w:val="both"/>
        <w:rPr>
          <w:sz w:val="22"/>
        </w:rPr>
      </w:pPr>
    </w:p>
    <w:p w14:paraId="2B5B942C" w14:textId="77777777" w:rsidR="00915120" w:rsidRPr="001C663E" w:rsidRDefault="00915120" w:rsidP="001C663E">
      <w:pPr>
        <w:tabs>
          <w:tab w:val="left" w:pos="1560"/>
        </w:tabs>
        <w:spacing w:line="360" w:lineRule="auto"/>
        <w:ind w:left="340" w:right="340"/>
        <w:jc w:val="both"/>
        <w:rPr>
          <w:rFonts w:eastAsia="Calibri"/>
          <w:i/>
          <w:sz w:val="22"/>
        </w:rPr>
      </w:pPr>
      <w:r w:rsidRPr="001C663E">
        <w:rPr>
          <w:rFonts w:eastAsia="Calibri"/>
          <w:i/>
          <w:sz w:val="22"/>
        </w:rPr>
        <w:t>(…) a series of radical, reformist ideas about changing and improving the city. Its impetus came out of concerns about the late nineteenth century industrialization and rapid urbanization</w:t>
      </w:r>
      <w:r w:rsidR="00A128D4">
        <w:rPr>
          <w:rFonts w:eastAsia="Calibri"/>
          <w:i/>
          <w:sz w:val="22"/>
        </w:rPr>
        <w:t>.</w:t>
      </w:r>
    </w:p>
    <w:p w14:paraId="73501C92" w14:textId="77777777" w:rsidR="00E064E4" w:rsidRDefault="00E064E4" w:rsidP="00915120">
      <w:pPr>
        <w:spacing w:line="360" w:lineRule="auto"/>
        <w:jc w:val="both"/>
        <w:rPr>
          <w:rFonts w:eastAsia="Calibri"/>
        </w:rPr>
      </w:pPr>
    </w:p>
    <w:p w14:paraId="6364FCE8" w14:textId="77777777" w:rsidR="006157EF" w:rsidRPr="00E70B3C" w:rsidRDefault="00E548DC" w:rsidP="00DB49CA">
      <w:pPr>
        <w:spacing w:line="360" w:lineRule="auto"/>
        <w:jc w:val="both"/>
      </w:pPr>
      <w:r w:rsidRPr="00E70B3C">
        <w:rPr>
          <w:rFonts w:eastAsia="Calibri"/>
        </w:rPr>
        <w:t>F</w:t>
      </w:r>
      <w:r w:rsidR="00915120" w:rsidRPr="00E70B3C">
        <w:rPr>
          <w:rFonts w:eastAsia="Calibri"/>
        </w:rPr>
        <w:t>or some</w:t>
      </w:r>
      <w:r w:rsidR="00F30B11">
        <w:rPr>
          <w:rFonts w:eastAsia="Calibri"/>
        </w:rPr>
        <w:t>,</w:t>
      </w:r>
      <w:r w:rsidR="00EA4220" w:rsidRPr="00E70B3C">
        <w:rPr>
          <w:rFonts w:eastAsia="Calibri"/>
        </w:rPr>
        <w:t xml:space="preserve"> this</w:t>
      </w:r>
      <w:r w:rsidR="00915120" w:rsidRPr="00E70B3C">
        <w:rPr>
          <w:rFonts w:eastAsia="Calibri"/>
        </w:rPr>
        <w:t xml:space="preserve"> may have meant</w:t>
      </w:r>
      <w:r w:rsidR="00B943A0" w:rsidRPr="00E70B3C">
        <w:rPr>
          <w:rFonts w:eastAsia="Calibri"/>
        </w:rPr>
        <w:t xml:space="preserve"> planning</w:t>
      </w:r>
      <w:r w:rsidR="00915120" w:rsidRPr="00E70B3C">
        <w:rPr>
          <w:rFonts w:eastAsia="Calibri"/>
        </w:rPr>
        <w:t xml:space="preserve"> was an inappropriate intervention into private property rights</w:t>
      </w:r>
      <w:r w:rsidR="00B72610" w:rsidRPr="00E70B3C">
        <w:rPr>
          <w:rFonts w:eastAsia="Calibri"/>
        </w:rPr>
        <w:t xml:space="preserve"> and the market</w:t>
      </w:r>
      <w:r w:rsidR="00915120" w:rsidRPr="00E70B3C">
        <w:rPr>
          <w:rFonts w:eastAsia="Calibri"/>
        </w:rPr>
        <w:t xml:space="preserve">, </w:t>
      </w:r>
      <w:r w:rsidR="00B72610" w:rsidRPr="00E70B3C">
        <w:rPr>
          <w:rFonts w:eastAsia="Calibri"/>
        </w:rPr>
        <w:t>for others it</w:t>
      </w:r>
      <w:r w:rsidR="00F81F7A" w:rsidRPr="00E70B3C">
        <w:rPr>
          <w:rFonts w:eastAsia="Calibri"/>
        </w:rPr>
        <w:t xml:space="preserve"> was</w:t>
      </w:r>
      <w:r w:rsidR="00B72610" w:rsidRPr="00E70B3C">
        <w:rPr>
          <w:rFonts w:eastAsia="Calibri"/>
        </w:rPr>
        <w:t xml:space="preserve"> </w:t>
      </w:r>
      <w:r w:rsidR="00915120" w:rsidRPr="00E70B3C">
        <w:rPr>
          <w:rFonts w:eastAsia="Calibri"/>
        </w:rPr>
        <w:t xml:space="preserve">welcomed </w:t>
      </w:r>
      <w:r w:rsidRPr="00E70B3C">
        <w:rPr>
          <w:rFonts w:eastAsia="Calibri"/>
        </w:rPr>
        <w:t>as a</w:t>
      </w:r>
      <w:r w:rsidR="00915120" w:rsidRPr="00E70B3C">
        <w:rPr>
          <w:rFonts w:eastAsia="Calibri"/>
        </w:rPr>
        <w:t xml:space="preserve"> solution to health problems, and </w:t>
      </w:r>
      <w:r w:rsidR="006157EF">
        <w:rPr>
          <w:rFonts w:eastAsia="Calibri"/>
        </w:rPr>
        <w:t>there were those that</w:t>
      </w:r>
      <w:r w:rsidR="00915120" w:rsidRPr="00E70B3C">
        <w:rPr>
          <w:rFonts w:eastAsia="Calibri"/>
        </w:rPr>
        <w:t xml:space="preserve"> viewed it as an economic kick</w:t>
      </w:r>
      <w:r w:rsidR="00B943A0" w:rsidRPr="00E70B3C">
        <w:rPr>
          <w:rFonts w:eastAsia="Calibri"/>
        </w:rPr>
        <w:t>-</w:t>
      </w:r>
      <w:r w:rsidR="00915120" w:rsidRPr="00E70B3C">
        <w:rPr>
          <w:rFonts w:eastAsia="Calibri"/>
        </w:rPr>
        <w:t>start to rebuilding after World War II.</w:t>
      </w:r>
      <w:r w:rsidR="000B2E65">
        <w:t xml:space="preserve"> </w:t>
      </w:r>
      <w:r w:rsidR="006157EF">
        <w:t>E</w:t>
      </w:r>
      <w:r w:rsidR="00915120" w:rsidRPr="00E70B3C">
        <w:t xml:space="preserve">fforts to define the domain of planning </w:t>
      </w:r>
      <w:r w:rsidR="000B2E65">
        <w:t>have been challenging</w:t>
      </w:r>
      <w:r w:rsidR="006157EF" w:rsidRPr="006157EF">
        <w:t xml:space="preserve"> </w:t>
      </w:r>
      <w:r w:rsidR="006157EF">
        <w:t xml:space="preserve">though (Frank, </w:t>
      </w:r>
      <w:r w:rsidR="006157EF" w:rsidRPr="00E70B3C">
        <w:t>2006)</w:t>
      </w:r>
      <w:r w:rsidR="006157EF">
        <w:t>.</w:t>
      </w:r>
      <w:r w:rsidR="000B2E65">
        <w:t xml:space="preserve"> </w:t>
      </w:r>
      <w:r w:rsidR="00915120" w:rsidRPr="00E70B3C">
        <w:t xml:space="preserve">McClendon </w:t>
      </w:r>
      <w:r w:rsidR="00915120" w:rsidRPr="00E70B3C">
        <w:rPr>
          <w:i/>
        </w:rPr>
        <w:t>et al</w:t>
      </w:r>
      <w:r w:rsidR="00915120" w:rsidRPr="00E70B3C">
        <w:t xml:space="preserve"> (2003)</w:t>
      </w:r>
      <w:r w:rsidR="006157EF">
        <w:t xml:space="preserve"> for example</w:t>
      </w:r>
      <w:r w:rsidR="00915120" w:rsidRPr="00E70B3C">
        <w:t xml:space="preserve"> suggest that planning </w:t>
      </w:r>
      <w:r w:rsidR="006157EF" w:rsidRPr="00E70B3C">
        <w:t>need</w:t>
      </w:r>
      <w:r w:rsidR="006157EF">
        <w:t>s</w:t>
      </w:r>
      <w:r w:rsidR="006157EF" w:rsidRPr="00E70B3C">
        <w:t xml:space="preserve"> </w:t>
      </w:r>
      <w:r w:rsidR="00915120" w:rsidRPr="00E70B3C">
        <w:t>a brand identity</w:t>
      </w:r>
      <w:r w:rsidR="00F81F7A" w:rsidRPr="00E70B3C">
        <w:t>.</w:t>
      </w:r>
      <w:r w:rsidR="006157EF">
        <w:t xml:space="preserve"> </w:t>
      </w:r>
      <w:r w:rsidR="004D6A86" w:rsidRPr="00E70B3C">
        <w:t>Emphasised</w:t>
      </w:r>
      <w:r w:rsidR="00915120" w:rsidRPr="00E70B3C">
        <w:t xml:space="preserve"> throughout the literature </w:t>
      </w:r>
      <w:r w:rsidR="006157EF">
        <w:t>however,</w:t>
      </w:r>
      <w:r w:rsidR="006157EF" w:rsidRPr="00E70B3C">
        <w:t xml:space="preserve"> </w:t>
      </w:r>
      <w:r w:rsidR="00915120" w:rsidRPr="00E70B3C">
        <w:t xml:space="preserve">is that planning educators need to take a much stronger and proactive role in shaping </w:t>
      </w:r>
      <w:r w:rsidR="006157EF">
        <w:t xml:space="preserve">both </w:t>
      </w:r>
      <w:r w:rsidR="00915120" w:rsidRPr="00E70B3C">
        <w:t>planning education and the profession (Poxton, 2001).</w:t>
      </w:r>
      <w:r w:rsidR="006A22B1" w:rsidRPr="00E70B3C">
        <w:t xml:space="preserve"> </w:t>
      </w:r>
      <w:r w:rsidR="00A6186C" w:rsidRPr="00E70B3C">
        <w:t>E</w:t>
      </w:r>
      <w:r w:rsidR="006A22B1" w:rsidRPr="00E70B3C">
        <w:t>ducators</w:t>
      </w:r>
      <w:r w:rsidR="00DB49CA" w:rsidRPr="00DB49CA">
        <w:t xml:space="preserve"> </w:t>
      </w:r>
      <w:r w:rsidR="00DB49CA">
        <w:t>therefore</w:t>
      </w:r>
      <w:r w:rsidR="006A22B1" w:rsidRPr="00E70B3C">
        <w:t xml:space="preserve">, rather than changing education to fit the contemporary task, must play a role in shaping </w:t>
      </w:r>
      <w:r w:rsidR="00FE0583">
        <w:t>the</w:t>
      </w:r>
      <w:r w:rsidR="006A22B1" w:rsidRPr="00E70B3C">
        <w:t xml:space="preserve"> task itself. </w:t>
      </w:r>
      <w:r w:rsidR="006157EF" w:rsidRPr="00E70B3C">
        <w:t xml:space="preserve">  </w:t>
      </w:r>
    </w:p>
    <w:p w14:paraId="34473177" w14:textId="77777777" w:rsidR="00915120" w:rsidRPr="00E70B3C" w:rsidRDefault="00915120" w:rsidP="00915120">
      <w:pPr>
        <w:spacing w:line="360" w:lineRule="auto"/>
        <w:jc w:val="both"/>
        <w:rPr>
          <w:rFonts w:eastAsia="Calibri"/>
        </w:rPr>
      </w:pPr>
    </w:p>
    <w:p w14:paraId="2A416C43" w14:textId="77777777" w:rsidR="004D6A86" w:rsidRDefault="004D6A86" w:rsidP="00915120">
      <w:pPr>
        <w:spacing w:line="360" w:lineRule="auto"/>
        <w:jc w:val="both"/>
      </w:pPr>
    </w:p>
    <w:p w14:paraId="2AE30B80" w14:textId="77777777" w:rsidR="00915120" w:rsidRPr="00E70B3C" w:rsidRDefault="006577B5" w:rsidP="00915120">
      <w:pPr>
        <w:tabs>
          <w:tab w:val="left" w:pos="2835"/>
          <w:tab w:val="left" w:pos="6379"/>
        </w:tabs>
        <w:spacing w:line="360" w:lineRule="auto"/>
        <w:contextualSpacing/>
        <w:jc w:val="both"/>
        <w:rPr>
          <w:rFonts w:eastAsia="Calibri"/>
          <w:b/>
        </w:rPr>
      </w:pPr>
      <w:r w:rsidRPr="00E70B3C">
        <w:rPr>
          <w:rFonts w:eastAsia="Calibri"/>
          <w:b/>
        </w:rPr>
        <w:t>The profession and education</w:t>
      </w:r>
    </w:p>
    <w:p w14:paraId="633CFA13" w14:textId="77777777" w:rsidR="007C5625" w:rsidRDefault="006577B5" w:rsidP="00915120">
      <w:pPr>
        <w:tabs>
          <w:tab w:val="left" w:pos="2835"/>
          <w:tab w:val="left" w:pos="6379"/>
        </w:tabs>
        <w:spacing w:line="360" w:lineRule="auto"/>
        <w:contextualSpacing/>
        <w:jc w:val="both"/>
      </w:pPr>
      <w:r w:rsidRPr="00E70B3C">
        <w:t xml:space="preserve">The </w:t>
      </w:r>
      <w:r w:rsidR="00FE0583" w:rsidRPr="00FE0583">
        <w:t>Royal Town Planning Institute</w:t>
      </w:r>
      <w:r w:rsidR="00FE0583">
        <w:t>’s</w:t>
      </w:r>
      <w:r w:rsidR="00FE0583" w:rsidRPr="00FE0583">
        <w:t xml:space="preserve"> </w:t>
      </w:r>
      <w:r w:rsidR="00FE0583">
        <w:t>(</w:t>
      </w:r>
      <w:r w:rsidRPr="00E70B3C">
        <w:t>RTPI</w:t>
      </w:r>
      <w:r w:rsidR="00FE0583">
        <w:t>)</w:t>
      </w:r>
      <w:r w:rsidRPr="00E70B3C">
        <w:t xml:space="preserve"> professional code of conduct requires that all members, ‘act with competence, honesty and integrity</w:t>
      </w:r>
      <w:r w:rsidR="0064704D">
        <w:t xml:space="preserve">… </w:t>
      </w:r>
      <w:r w:rsidRPr="00E70B3C">
        <w:t>and exercise</w:t>
      </w:r>
      <w:r w:rsidR="0064704D">
        <w:t xml:space="preserve"> their</w:t>
      </w:r>
      <w:r w:rsidRPr="00E70B3C">
        <w:t xml:space="preserve"> independent professional judgement </w:t>
      </w:r>
      <w:r w:rsidR="0064704D">
        <w:t>to the best of their understanding</w:t>
      </w:r>
      <w:r w:rsidRPr="00E70B3C">
        <w:t>’ (RTPI, 2012</w:t>
      </w:r>
      <w:r w:rsidR="0064704D">
        <w:t>, p.1</w:t>
      </w:r>
      <w:r w:rsidRPr="00E70B3C">
        <w:t>). In the context of this requirement, delivering the skill</w:t>
      </w:r>
      <w:r w:rsidR="00A6186C" w:rsidRPr="00E70B3C">
        <w:t>s</w:t>
      </w:r>
      <w:r w:rsidRPr="00E70B3C">
        <w:t xml:space="preserve"> associated with ensuring competence is an ongoing challenge.</w:t>
      </w:r>
      <w:r w:rsidR="00F81F7A" w:rsidRPr="00E70B3C">
        <w:rPr>
          <w:rFonts w:eastAsia="Calibri"/>
        </w:rPr>
        <w:t xml:space="preserve"> </w:t>
      </w:r>
      <w:r w:rsidR="0064704D">
        <w:rPr>
          <w:rFonts w:eastAsia="Calibri"/>
        </w:rPr>
        <w:t>Institutions offering a</w:t>
      </w:r>
      <w:r w:rsidR="0064704D" w:rsidRPr="00E70B3C">
        <w:rPr>
          <w:rFonts w:eastAsia="Calibri"/>
        </w:rPr>
        <w:t xml:space="preserve">ccredited </w:t>
      </w:r>
      <w:r w:rsidR="00F81F7A" w:rsidRPr="00E70B3C">
        <w:rPr>
          <w:rFonts w:eastAsia="Calibri"/>
        </w:rPr>
        <w:t xml:space="preserve">planning education in the UK </w:t>
      </w:r>
      <w:r w:rsidR="0064704D">
        <w:rPr>
          <w:rFonts w:eastAsia="Calibri"/>
        </w:rPr>
        <w:t>are</w:t>
      </w:r>
      <w:r w:rsidR="0064704D" w:rsidRPr="00E70B3C">
        <w:rPr>
          <w:rFonts w:eastAsia="Calibri"/>
        </w:rPr>
        <w:t xml:space="preserve"> </w:t>
      </w:r>
      <w:r w:rsidR="00F81F7A" w:rsidRPr="00E70B3C">
        <w:rPr>
          <w:rFonts w:eastAsia="Calibri"/>
        </w:rPr>
        <w:t xml:space="preserve">required to demonstrate that </w:t>
      </w:r>
      <w:r w:rsidR="0064704D">
        <w:rPr>
          <w:rFonts w:eastAsia="Calibri"/>
        </w:rPr>
        <w:t>they</w:t>
      </w:r>
      <w:r w:rsidR="0064704D" w:rsidRPr="00E70B3C">
        <w:rPr>
          <w:rFonts w:eastAsia="Calibri"/>
        </w:rPr>
        <w:t xml:space="preserve"> </w:t>
      </w:r>
      <w:r w:rsidR="00F81F7A" w:rsidRPr="00E70B3C">
        <w:rPr>
          <w:rFonts w:eastAsia="Calibri"/>
        </w:rPr>
        <w:t>can meet the criteria to be an ‘Effective Planni</w:t>
      </w:r>
      <w:r w:rsidR="00D95516">
        <w:rPr>
          <w:rFonts w:eastAsia="Calibri"/>
        </w:rPr>
        <w:t>ng School’</w:t>
      </w:r>
      <w:r w:rsidR="009823F3">
        <w:rPr>
          <w:rStyle w:val="EndnoteReference"/>
          <w:rFonts w:eastAsia="Calibri"/>
        </w:rPr>
        <w:endnoteReference w:id="1"/>
      </w:r>
      <w:r w:rsidR="00D95516">
        <w:rPr>
          <w:rFonts w:eastAsia="Calibri"/>
        </w:rPr>
        <w:t>. Cr</w:t>
      </w:r>
      <w:r w:rsidR="00F81F7A" w:rsidRPr="00E70B3C">
        <w:rPr>
          <w:rFonts w:eastAsia="Calibri"/>
        </w:rPr>
        <w:t>iteria relate to skills, knowledge, ethics</w:t>
      </w:r>
      <w:r w:rsidR="00740E31" w:rsidRPr="00E70B3C">
        <w:rPr>
          <w:rFonts w:eastAsia="Calibri"/>
        </w:rPr>
        <w:t>,</w:t>
      </w:r>
      <w:r w:rsidR="00F81F7A" w:rsidRPr="00E70B3C">
        <w:rPr>
          <w:rFonts w:eastAsia="Calibri"/>
        </w:rPr>
        <w:t xml:space="preserve"> practice-orientated content and embracing professional and field of study requirements.  </w:t>
      </w:r>
      <w:r w:rsidR="00740E31" w:rsidRPr="00E70B3C">
        <w:rPr>
          <w:rFonts w:eastAsia="Calibri"/>
        </w:rPr>
        <w:t>RTPI a</w:t>
      </w:r>
      <w:r w:rsidR="00F81F7A" w:rsidRPr="00E70B3C">
        <w:rPr>
          <w:rFonts w:eastAsia="Calibri"/>
        </w:rPr>
        <w:t>ccreditation allows for discretion on the part of the planning school with regards to the methodological approach to delivery, with the emphasis, focus and learning and teaching techniques varying between the universities</w:t>
      </w:r>
      <w:r w:rsidR="0064704D">
        <w:rPr>
          <w:rFonts w:eastAsia="Calibri"/>
        </w:rPr>
        <w:t xml:space="preserve">, and </w:t>
      </w:r>
      <w:r w:rsidR="00FE0583">
        <w:rPr>
          <w:rFonts w:eastAsia="Calibri"/>
        </w:rPr>
        <w:t xml:space="preserve">thus </w:t>
      </w:r>
      <w:r w:rsidR="0064704D">
        <w:rPr>
          <w:rFonts w:eastAsia="Calibri"/>
        </w:rPr>
        <w:t>offering distinctiveness</w:t>
      </w:r>
      <w:r w:rsidR="00F81F7A" w:rsidRPr="00E70B3C">
        <w:rPr>
          <w:rFonts w:eastAsia="Calibri"/>
        </w:rPr>
        <w:t>.</w:t>
      </w:r>
    </w:p>
    <w:p w14:paraId="35529D2B" w14:textId="77777777" w:rsidR="00915120" w:rsidRPr="00E70B3C" w:rsidRDefault="00FB5FD6" w:rsidP="00FB5FD6">
      <w:pPr>
        <w:tabs>
          <w:tab w:val="left" w:pos="709"/>
          <w:tab w:val="left" w:pos="6379"/>
        </w:tabs>
        <w:spacing w:line="360" w:lineRule="auto"/>
        <w:contextualSpacing/>
        <w:jc w:val="both"/>
        <w:rPr>
          <w:rFonts w:eastAsia="Calibri"/>
        </w:rPr>
      </w:pPr>
      <w:r>
        <w:tab/>
      </w:r>
      <w:r w:rsidR="00915120" w:rsidRPr="00E70B3C">
        <w:rPr>
          <w:rFonts w:eastAsia="Calibri"/>
        </w:rPr>
        <w:t>The ability to apply knowledge in practice emphasise</w:t>
      </w:r>
      <w:r w:rsidR="00740E31" w:rsidRPr="00E70B3C">
        <w:rPr>
          <w:rFonts w:eastAsia="Calibri"/>
        </w:rPr>
        <w:t>s</w:t>
      </w:r>
      <w:r w:rsidR="00915120" w:rsidRPr="00E70B3C">
        <w:rPr>
          <w:rFonts w:eastAsia="Calibri"/>
        </w:rPr>
        <w:t xml:space="preserve"> the understandable and necessary intention of the RTPI to ensure that graduates from accredited degree</w:t>
      </w:r>
      <w:r w:rsidR="00EA75E1" w:rsidRPr="00E70B3C">
        <w:rPr>
          <w:rFonts w:eastAsia="Calibri"/>
        </w:rPr>
        <w:t>s</w:t>
      </w:r>
      <w:r w:rsidR="00915120" w:rsidRPr="00E70B3C">
        <w:rPr>
          <w:rFonts w:eastAsia="Calibri"/>
        </w:rPr>
        <w:t xml:space="preserve"> enter the marketplace with a recognised standard of practical competence</w:t>
      </w:r>
      <w:r w:rsidR="00365C17" w:rsidRPr="00E70B3C">
        <w:rPr>
          <w:rFonts w:eastAsia="Calibri"/>
        </w:rPr>
        <w:t xml:space="preserve"> allowing students to </w:t>
      </w:r>
      <w:r w:rsidR="00365C17" w:rsidRPr="00E70B3C">
        <w:rPr>
          <w:rFonts w:eastAsia="Calibri"/>
        </w:rPr>
        <w:lastRenderedPageBreak/>
        <w:t xml:space="preserve">progress towards chartered membership through the Assessment of Professional Competence (APC) route. The APC combines a minimum of two years </w:t>
      </w:r>
      <w:r w:rsidR="00E712E0">
        <w:rPr>
          <w:rFonts w:eastAsia="Calibri"/>
        </w:rPr>
        <w:t xml:space="preserve">of </w:t>
      </w:r>
      <w:r w:rsidR="00365C17" w:rsidRPr="00E70B3C">
        <w:rPr>
          <w:rFonts w:eastAsia="Calibri"/>
        </w:rPr>
        <w:t xml:space="preserve">professional experience with an RTPI accredited degree and ensures graduate planners achieve, and can demonstrate, a professional level of learning and competency outcomes. </w:t>
      </w:r>
    </w:p>
    <w:p w14:paraId="3D645489" w14:textId="77777777" w:rsidR="00915120" w:rsidRDefault="00915120" w:rsidP="00915120">
      <w:pPr>
        <w:tabs>
          <w:tab w:val="left" w:pos="567"/>
          <w:tab w:val="left" w:pos="6379"/>
        </w:tabs>
        <w:spacing w:line="360" w:lineRule="auto"/>
        <w:contextualSpacing/>
        <w:jc w:val="both"/>
        <w:rPr>
          <w:rFonts w:eastAsia="Calibri"/>
        </w:rPr>
      </w:pPr>
    </w:p>
    <w:p w14:paraId="4D0BE469" w14:textId="77777777" w:rsidR="00E064E4" w:rsidRPr="00E70B3C" w:rsidRDefault="00E064E4" w:rsidP="00915120">
      <w:pPr>
        <w:tabs>
          <w:tab w:val="left" w:pos="567"/>
          <w:tab w:val="left" w:pos="6379"/>
        </w:tabs>
        <w:spacing w:line="360" w:lineRule="auto"/>
        <w:contextualSpacing/>
        <w:jc w:val="both"/>
        <w:rPr>
          <w:rFonts w:eastAsia="Calibri"/>
        </w:rPr>
      </w:pPr>
    </w:p>
    <w:p w14:paraId="5C466569" w14:textId="77777777" w:rsidR="00915120" w:rsidRPr="00E70B3C" w:rsidRDefault="00A652DB" w:rsidP="00915120">
      <w:pPr>
        <w:spacing w:line="360" w:lineRule="auto"/>
        <w:jc w:val="both"/>
        <w:rPr>
          <w:b/>
        </w:rPr>
      </w:pPr>
      <w:r w:rsidRPr="00E70B3C">
        <w:rPr>
          <w:b/>
        </w:rPr>
        <w:t>P</w:t>
      </w:r>
      <w:r w:rsidR="00915120" w:rsidRPr="00E70B3C">
        <w:rPr>
          <w:b/>
        </w:rPr>
        <w:t>lanning skills</w:t>
      </w:r>
    </w:p>
    <w:p w14:paraId="13AD621C" w14:textId="77777777" w:rsidR="00FB5FD6" w:rsidRDefault="00915120" w:rsidP="00FB5FD6">
      <w:pPr>
        <w:spacing w:line="360" w:lineRule="auto"/>
        <w:jc w:val="both"/>
      </w:pPr>
      <w:r w:rsidRPr="00E70B3C">
        <w:t xml:space="preserve">Frank (2006) notes that the skills and knowledge requirement for the planning profession </w:t>
      </w:r>
      <w:r w:rsidR="00A6186C" w:rsidRPr="00E70B3C">
        <w:t xml:space="preserve">has </w:t>
      </w:r>
      <w:r w:rsidRPr="00E70B3C">
        <w:t>always been the subject of much debate</w:t>
      </w:r>
      <w:r w:rsidR="00E712E0">
        <w:t>,</w:t>
      </w:r>
      <w:r w:rsidRPr="00E70B3C">
        <w:t xml:space="preserve"> </w:t>
      </w:r>
      <w:r w:rsidR="00E712E0" w:rsidRPr="00E70B3C">
        <w:t>evolv</w:t>
      </w:r>
      <w:r w:rsidR="00E712E0">
        <w:t>ing</w:t>
      </w:r>
      <w:r w:rsidR="00E712E0" w:rsidRPr="00E70B3C">
        <w:t xml:space="preserve"> </w:t>
      </w:r>
      <w:r w:rsidRPr="00E70B3C">
        <w:t xml:space="preserve">with changes in planning practices. Dalton (2001) describes that planning has three </w:t>
      </w:r>
      <w:r w:rsidR="00807C9D" w:rsidRPr="00E70B3C">
        <w:t xml:space="preserve">different phases </w:t>
      </w:r>
      <w:r w:rsidRPr="00E70B3C">
        <w:t xml:space="preserve">within planning education and practice. </w:t>
      </w:r>
      <w:r w:rsidR="00740E31" w:rsidRPr="00E70B3C">
        <w:t>A</w:t>
      </w:r>
      <w:r w:rsidRPr="00E70B3C">
        <w:t xml:space="preserve"> physical and design</w:t>
      </w:r>
      <w:r w:rsidR="00EA4220" w:rsidRPr="00E70B3C">
        <w:t>-</w:t>
      </w:r>
      <w:r w:rsidRPr="00E70B3C">
        <w:t xml:space="preserve">orientated planning approach </w:t>
      </w:r>
      <w:r w:rsidR="00740E31" w:rsidRPr="00E70B3C">
        <w:t xml:space="preserve">emerged from </w:t>
      </w:r>
      <w:r w:rsidRPr="00E70B3C">
        <w:t>the 1970s</w:t>
      </w:r>
      <w:r w:rsidR="0060461A">
        <w:t xml:space="preserve"> and</w:t>
      </w:r>
      <w:r w:rsidR="0060461A" w:rsidRPr="0060461A">
        <w:t xml:space="preserve"> </w:t>
      </w:r>
      <w:r w:rsidR="0060461A" w:rsidRPr="00E70B3C">
        <w:t xml:space="preserve">planning education </w:t>
      </w:r>
      <w:r w:rsidR="00E22516">
        <w:t xml:space="preserve">also </w:t>
      </w:r>
      <w:r w:rsidR="0060461A" w:rsidRPr="00E70B3C">
        <w:t>moved from studio teaching</w:t>
      </w:r>
      <w:r w:rsidR="00FE0583">
        <w:t>, which</w:t>
      </w:r>
      <w:r w:rsidR="0060461A" w:rsidRPr="00E70B3C">
        <w:t xml:space="preserve"> emphasis</w:t>
      </w:r>
      <w:r w:rsidR="00FE0583">
        <w:t>ed</w:t>
      </w:r>
      <w:r w:rsidR="0060461A" w:rsidRPr="00E70B3C">
        <w:t xml:space="preserve"> technical drawing</w:t>
      </w:r>
      <w:r w:rsidR="00E22516">
        <w:t>/</w:t>
      </w:r>
      <w:r w:rsidR="0060461A" w:rsidRPr="00E70B3C">
        <w:t xml:space="preserve">design skills, </w:t>
      </w:r>
      <w:r w:rsidR="00FE0583">
        <w:t>to</w:t>
      </w:r>
      <w:r w:rsidR="0060461A" w:rsidRPr="00E70B3C">
        <w:t xml:space="preserve"> a knowledge-based classroom approach.</w:t>
      </w:r>
      <w:r w:rsidRPr="00E70B3C">
        <w:t xml:space="preserve"> </w:t>
      </w:r>
      <w:r w:rsidR="00740E31" w:rsidRPr="00E70B3C">
        <w:t>K</w:t>
      </w:r>
      <w:r w:rsidRPr="00E70B3C">
        <w:t>nowledge</w:t>
      </w:r>
      <w:r w:rsidR="00EA4220" w:rsidRPr="00E70B3C">
        <w:t>-</w:t>
      </w:r>
      <w:r w:rsidRPr="00E70B3C">
        <w:t>based social science education support</w:t>
      </w:r>
      <w:r w:rsidR="00740E31" w:rsidRPr="00E70B3C">
        <w:t>ed</w:t>
      </w:r>
      <w:r w:rsidRPr="00E70B3C">
        <w:t xml:space="preserve"> the rational planning model of the 1980s</w:t>
      </w:r>
      <w:r w:rsidR="00740E31" w:rsidRPr="00E70B3C">
        <w:t>.</w:t>
      </w:r>
      <w:r w:rsidRPr="00E70B3C">
        <w:t xml:space="preserve"> </w:t>
      </w:r>
      <w:r w:rsidR="007A1A5F">
        <w:t>F</w:t>
      </w:r>
      <w:r w:rsidRPr="00E70B3C">
        <w:t>rom the 1990s onwards a more theoretical, research based, advocacy orientated education</w:t>
      </w:r>
      <w:r w:rsidR="00740E31" w:rsidRPr="00E70B3C">
        <w:t xml:space="preserve"> materialised. Studio style teaching has re-emerged in the curriculum through teaching GIS (Geographic Information Systems) and CAD (Computer Aided Design)</w:t>
      </w:r>
      <w:r w:rsidR="007A1A5F">
        <w:t xml:space="preserve"> to stress visualisation skills</w:t>
      </w:r>
      <w:r w:rsidR="0060461A">
        <w:t xml:space="preserve">. With such </w:t>
      </w:r>
      <w:r w:rsidR="00740E31" w:rsidRPr="00E70B3C">
        <w:t xml:space="preserve">technological   applications </w:t>
      </w:r>
      <w:r w:rsidR="00FE0583">
        <w:t xml:space="preserve">being </w:t>
      </w:r>
      <w:r w:rsidR="00740E31" w:rsidRPr="00E70B3C">
        <w:t>used within mainstream planning education</w:t>
      </w:r>
      <w:r w:rsidR="0060461A">
        <w:t>,</w:t>
      </w:r>
      <w:r w:rsidR="00740E31" w:rsidRPr="00E70B3C">
        <w:t xml:space="preserve"> Frank (2006) questions if this can be to the detriment of conveying knowledge and values, and the development of ‘soft skills’ as integral to the planning discipline. </w:t>
      </w:r>
    </w:p>
    <w:p w14:paraId="7D999466" w14:textId="77777777" w:rsidR="00915120" w:rsidRPr="00FB5FD6" w:rsidRDefault="00915120" w:rsidP="00FB5FD6">
      <w:pPr>
        <w:spacing w:line="360" w:lineRule="auto"/>
        <w:ind w:firstLine="720"/>
        <w:jc w:val="both"/>
      </w:pPr>
      <w:r w:rsidRPr="00E70B3C">
        <w:rPr>
          <w:rFonts w:eastAsia="Calibri"/>
        </w:rPr>
        <w:t xml:space="preserve">Although the RTPI </w:t>
      </w:r>
      <w:r w:rsidR="00FE0583">
        <w:rPr>
          <w:rFonts w:eastAsia="Calibri"/>
        </w:rPr>
        <w:t>seeks</w:t>
      </w:r>
      <w:r w:rsidR="00FE0583" w:rsidRPr="00E70B3C">
        <w:rPr>
          <w:rFonts w:eastAsia="Calibri"/>
        </w:rPr>
        <w:t xml:space="preserve"> </w:t>
      </w:r>
      <w:r w:rsidRPr="00E70B3C">
        <w:rPr>
          <w:rFonts w:eastAsia="Calibri"/>
        </w:rPr>
        <w:t>to ensure</w:t>
      </w:r>
      <w:r w:rsidR="00FE0583">
        <w:rPr>
          <w:rFonts w:eastAsia="Calibri"/>
        </w:rPr>
        <w:t xml:space="preserve"> minimum</w:t>
      </w:r>
      <w:r w:rsidRPr="00E70B3C">
        <w:rPr>
          <w:rFonts w:eastAsia="Calibri"/>
        </w:rPr>
        <w:t xml:space="preserve"> standards </w:t>
      </w:r>
      <w:r w:rsidR="00FE0583">
        <w:rPr>
          <w:rFonts w:eastAsia="Calibri"/>
        </w:rPr>
        <w:t xml:space="preserve">of competence are met </w:t>
      </w:r>
      <w:r w:rsidR="00FC6DCF" w:rsidRPr="00E70B3C">
        <w:rPr>
          <w:rFonts w:eastAsia="Calibri"/>
        </w:rPr>
        <w:t>within the profession</w:t>
      </w:r>
      <w:r w:rsidR="007C5625" w:rsidRPr="00E70B3C">
        <w:rPr>
          <w:rFonts w:eastAsia="Calibri"/>
        </w:rPr>
        <w:t>,</w:t>
      </w:r>
      <w:r w:rsidR="000B77AE" w:rsidRPr="00E70B3C">
        <w:rPr>
          <w:rFonts w:eastAsia="Calibri"/>
        </w:rPr>
        <w:t xml:space="preserve"> </w:t>
      </w:r>
      <w:r w:rsidR="00FC6DCF" w:rsidRPr="00E70B3C">
        <w:rPr>
          <w:rFonts w:eastAsia="Calibri"/>
        </w:rPr>
        <w:t xml:space="preserve">research </w:t>
      </w:r>
      <w:r w:rsidR="000B77AE" w:rsidRPr="00E70B3C">
        <w:rPr>
          <w:rFonts w:eastAsia="Calibri"/>
        </w:rPr>
        <w:t>in the mid-2000s</w:t>
      </w:r>
      <w:r w:rsidR="00FC6DCF" w:rsidRPr="00E70B3C">
        <w:rPr>
          <w:rFonts w:eastAsia="Calibri"/>
        </w:rPr>
        <w:t xml:space="preserve"> (ASC, 2007</w:t>
      </w:r>
      <w:r w:rsidR="00E064E4">
        <w:rPr>
          <w:rFonts w:eastAsia="Calibri"/>
        </w:rPr>
        <w:t>;</w:t>
      </w:r>
      <w:r w:rsidR="00FC6DCF" w:rsidRPr="00E70B3C">
        <w:rPr>
          <w:rFonts w:eastAsia="Calibri"/>
        </w:rPr>
        <w:t xml:space="preserve"> </w:t>
      </w:r>
      <w:r w:rsidR="00FC6DCF" w:rsidRPr="00E70B3C">
        <w:t>Bailey, 2005</w:t>
      </w:r>
      <w:r w:rsidR="00E064E4">
        <w:t>;</w:t>
      </w:r>
      <w:r w:rsidR="00FC6DCF" w:rsidRPr="00E70B3C">
        <w:t xml:space="preserve"> Durning &amp; Glasson, 200</w:t>
      </w:r>
      <w:r w:rsidR="00E064E4">
        <w:t>4;</w:t>
      </w:r>
      <w:r w:rsidR="00FC6DCF" w:rsidRPr="00E70B3C">
        <w:t xml:space="preserve"> Egan 2004) </w:t>
      </w:r>
      <w:r w:rsidRPr="00E70B3C">
        <w:rPr>
          <w:rFonts w:eastAsia="Calibri"/>
        </w:rPr>
        <w:t xml:space="preserve">identified a need to address inadequacies in </w:t>
      </w:r>
      <w:r w:rsidR="00263B32">
        <w:rPr>
          <w:rFonts w:eastAsia="Calibri"/>
        </w:rPr>
        <w:t>urban</w:t>
      </w:r>
      <w:r w:rsidR="00263B32" w:rsidRPr="00E70B3C">
        <w:rPr>
          <w:rFonts w:eastAsia="Calibri"/>
        </w:rPr>
        <w:t xml:space="preserve"> </w:t>
      </w:r>
      <w:r w:rsidRPr="00E70B3C">
        <w:rPr>
          <w:rFonts w:eastAsia="Calibri"/>
        </w:rPr>
        <w:t xml:space="preserve">planners’ </w:t>
      </w:r>
      <w:r w:rsidR="00FC6DCF" w:rsidRPr="00E70B3C">
        <w:rPr>
          <w:rFonts w:eastAsia="Calibri"/>
        </w:rPr>
        <w:t xml:space="preserve">technical </w:t>
      </w:r>
      <w:r w:rsidR="00AC2E5E" w:rsidRPr="00E70B3C">
        <w:rPr>
          <w:rFonts w:eastAsia="Calibri"/>
        </w:rPr>
        <w:t xml:space="preserve">and generic </w:t>
      </w:r>
      <w:r w:rsidR="00FC6DCF" w:rsidRPr="00E70B3C">
        <w:rPr>
          <w:rFonts w:eastAsia="Calibri"/>
        </w:rPr>
        <w:t>skills</w:t>
      </w:r>
      <w:r w:rsidR="00AC2E5E" w:rsidRPr="00E70B3C">
        <w:rPr>
          <w:rFonts w:eastAsia="Calibri"/>
        </w:rPr>
        <w:t>.</w:t>
      </w:r>
      <w:r w:rsidR="00456DC5" w:rsidRPr="00E70B3C">
        <w:rPr>
          <w:rFonts w:eastAsia="Calibri"/>
        </w:rPr>
        <w:t xml:space="preserve"> This include</w:t>
      </w:r>
      <w:r w:rsidR="000B77AE" w:rsidRPr="00E70B3C">
        <w:rPr>
          <w:rFonts w:eastAsia="Calibri"/>
        </w:rPr>
        <w:t>s</w:t>
      </w:r>
      <w:r w:rsidRPr="00E70B3C">
        <w:rPr>
          <w:rFonts w:eastAsia="Calibri"/>
        </w:rPr>
        <w:t xml:space="preserve"> the extent to which university students are, or should be, taught to be practitioners, as opposed to being supported to study a broader and theoretical planning curriculum, within which practice-orientated ski</w:t>
      </w:r>
      <w:r w:rsidR="00456DC5" w:rsidRPr="00E70B3C">
        <w:rPr>
          <w:rFonts w:eastAsia="Calibri"/>
        </w:rPr>
        <w:t xml:space="preserve">lls form an important element.  </w:t>
      </w:r>
      <w:r w:rsidRPr="00E70B3C">
        <w:rPr>
          <w:rFonts w:eastAsia="Calibri"/>
        </w:rPr>
        <w:t>Such assertions</w:t>
      </w:r>
      <w:r w:rsidRPr="00E70B3C" w:rsidDel="005B71F0">
        <w:rPr>
          <w:rFonts w:eastAsia="Calibri"/>
        </w:rPr>
        <w:t xml:space="preserve"> </w:t>
      </w:r>
      <w:r w:rsidRPr="00E70B3C">
        <w:rPr>
          <w:rFonts w:eastAsia="Calibri"/>
        </w:rPr>
        <w:t>feed the suggestion that planning education should emphasis</w:t>
      </w:r>
      <w:r w:rsidR="001E1F49" w:rsidRPr="00E70B3C">
        <w:rPr>
          <w:rFonts w:eastAsia="Calibri"/>
        </w:rPr>
        <w:t>e</w:t>
      </w:r>
      <w:r w:rsidRPr="00E70B3C">
        <w:rPr>
          <w:rFonts w:eastAsia="Calibri"/>
        </w:rPr>
        <w:t xml:space="preserve"> technical skills </w:t>
      </w:r>
      <w:r w:rsidR="00FE0583">
        <w:rPr>
          <w:rFonts w:eastAsia="Calibri"/>
        </w:rPr>
        <w:t>to</w:t>
      </w:r>
      <w:r w:rsidR="00FE0583" w:rsidRPr="00E70B3C">
        <w:rPr>
          <w:rFonts w:eastAsia="Calibri"/>
        </w:rPr>
        <w:t xml:space="preserve"> </w:t>
      </w:r>
      <w:r w:rsidRPr="00E70B3C">
        <w:rPr>
          <w:rFonts w:eastAsia="Calibri"/>
        </w:rPr>
        <w:t>creat</w:t>
      </w:r>
      <w:r w:rsidR="00FE0583">
        <w:rPr>
          <w:rFonts w:eastAsia="Calibri"/>
        </w:rPr>
        <w:t>e</w:t>
      </w:r>
      <w:r w:rsidRPr="00E70B3C">
        <w:rPr>
          <w:rFonts w:eastAsia="Calibri"/>
        </w:rPr>
        <w:t xml:space="preserve"> planners</w:t>
      </w:r>
      <w:r w:rsidR="00FE0583">
        <w:rPr>
          <w:rFonts w:eastAsia="Calibri"/>
        </w:rPr>
        <w:t xml:space="preserve"> capable of</w:t>
      </w:r>
      <w:r w:rsidRPr="00E70B3C">
        <w:rPr>
          <w:rFonts w:eastAsia="Calibri"/>
        </w:rPr>
        <w:t xml:space="preserve"> enter</w:t>
      </w:r>
      <w:r w:rsidR="00294328" w:rsidRPr="00E70B3C">
        <w:rPr>
          <w:rFonts w:eastAsia="Calibri"/>
        </w:rPr>
        <w:t>ing</w:t>
      </w:r>
      <w:r w:rsidRPr="00E70B3C">
        <w:rPr>
          <w:rFonts w:eastAsia="Calibri"/>
        </w:rPr>
        <w:t xml:space="preserve"> the market place as competent </w:t>
      </w:r>
      <w:r w:rsidR="001E1F49" w:rsidRPr="00E70B3C">
        <w:rPr>
          <w:rFonts w:eastAsia="Calibri"/>
        </w:rPr>
        <w:t xml:space="preserve">practitioners. </w:t>
      </w:r>
      <w:r w:rsidR="00FE0583">
        <w:rPr>
          <w:rFonts w:eastAsia="Calibri"/>
        </w:rPr>
        <w:t>However, t</w:t>
      </w:r>
      <w:r w:rsidR="001E1F49" w:rsidRPr="00E70B3C">
        <w:rPr>
          <w:rFonts w:eastAsia="Calibri"/>
        </w:rPr>
        <w:t>he</w:t>
      </w:r>
      <w:r w:rsidR="00456DC5" w:rsidRPr="00E70B3C">
        <w:rPr>
          <w:rFonts w:eastAsia="Calibri"/>
        </w:rPr>
        <w:t xml:space="preserve"> </w:t>
      </w:r>
      <w:r w:rsidRPr="00E70B3C">
        <w:rPr>
          <w:rFonts w:eastAsia="Calibri"/>
        </w:rPr>
        <w:t xml:space="preserve">contemporary value and purpose of a university education and the extent to which the objective should be to create a vocational course to produce </w:t>
      </w:r>
      <w:r w:rsidR="007C5625" w:rsidRPr="00E70B3C">
        <w:rPr>
          <w:rFonts w:eastAsia="Calibri"/>
        </w:rPr>
        <w:t>‘</w:t>
      </w:r>
      <w:r w:rsidR="00AC2E5E" w:rsidRPr="00E70B3C">
        <w:rPr>
          <w:rFonts w:eastAsia="Calibri"/>
        </w:rPr>
        <w:t>practice</w:t>
      </w:r>
      <w:r w:rsidRPr="00E70B3C">
        <w:rPr>
          <w:rFonts w:eastAsia="Calibri"/>
        </w:rPr>
        <w:t xml:space="preserve"> rea</w:t>
      </w:r>
      <w:r w:rsidR="00456DC5" w:rsidRPr="00E70B3C">
        <w:rPr>
          <w:rFonts w:eastAsia="Calibri"/>
        </w:rPr>
        <w:t>dy’ planner</w:t>
      </w:r>
      <w:r w:rsidR="00AC2E5E" w:rsidRPr="00E70B3C">
        <w:rPr>
          <w:rFonts w:eastAsia="Calibri"/>
        </w:rPr>
        <w:t>s</w:t>
      </w:r>
      <w:r w:rsidR="00456DC5" w:rsidRPr="00E70B3C">
        <w:rPr>
          <w:rFonts w:eastAsia="Calibri"/>
        </w:rPr>
        <w:t xml:space="preserve"> is questioned. </w:t>
      </w:r>
    </w:p>
    <w:p w14:paraId="07DF1128" w14:textId="77777777" w:rsidR="009A438B" w:rsidRPr="00E70B3C" w:rsidRDefault="00E064E4" w:rsidP="00915120">
      <w:pPr>
        <w:spacing w:line="360" w:lineRule="auto"/>
        <w:jc w:val="both"/>
      </w:pPr>
      <w:r>
        <w:tab/>
      </w:r>
      <w:r w:rsidR="00915120" w:rsidRPr="00E70B3C">
        <w:t xml:space="preserve">In terms of the pedagogical approach </w:t>
      </w:r>
      <w:r w:rsidR="00FE0583">
        <w:t>towards</w:t>
      </w:r>
      <w:r w:rsidR="00FE0583" w:rsidRPr="00E70B3C">
        <w:t xml:space="preserve"> </w:t>
      </w:r>
      <w:r w:rsidR="00915120" w:rsidRPr="00E70B3C">
        <w:t>planning education, there is a willingness to experiment with different approaches and media in or</w:t>
      </w:r>
      <w:r w:rsidR="00C16577" w:rsidRPr="00E70B3C">
        <w:t xml:space="preserve">der to enhance </w:t>
      </w:r>
      <w:r w:rsidR="00C16577" w:rsidRPr="00E70B3C">
        <w:lastRenderedPageBreak/>
        <w:t>student learning</w:t>
      </w:r>
      <w:r w:rsidR="00FE0583">
        <w:t>.</w:t>
      </w:r>
      <w:r w:rsidR="00A61386">
        <w:t xml:space="preserve"> </w:t>
      </w:r>
      <w:r w:rsidR="0078690A" w:rsidRPr="00E70B3C">
        <w:t>McCarthy and Bagaeen (2014</w:t>
      </w:r>
      <w:r w:rsidR="006A5E63">
        <w:t>, p.</w:t>
      </w:r>
      <w:r w:rsidR="0051675A" w:rsidRPr="00E70B3C">
        <w:t>6</w:t>
      </w:r>
      <w:r w:rsidR="0078690A" w:rsidRPr="00E70B3C">
        <w:t xml:space="preserve">) suggest that the most important area of good practice </w:t>
      </w:r>
      <w:r w:rsidR="001E1F49" w:rsidRPr="00E70B3C">
        <w:t xml:space="preserve">is </w:t>
      </w:r>
      <w:r w:rsidR="0051675A" w:rsidRPr="00E70B3C">
        <w:t xml:space="preserve">increasing </w:t>
      </w:r>
      <w:r w:rsidR="0078690A" w:rsidRPr="00E70B3C">
        <w:t>employability</w:t>
      </w:r>
      <w:r w:rsidR="0051675A" w:rsidRPr="00E70B3C">
        <w:t xml:space="preserve"> and providing links to practice</w:t>
      </w:r>
      <w:r w:rsidR="00FE0583">
        <w:t>,</w:t>
      </w:r>
      <w:r w:rsidR="0051675A" w:rsidRPr="00E70B3C">
        <w:t xml:space="preserve"> including inter</w:t>
      </w:r>
      <w:r w:rsidR="008E2C82">
        <w:t>-</w:t>
      </w:r>
      <w:r w:rsidR="0051675A" w:rsidRPr="00E70B3C">
        <w:t>professional project working.</w:t>
      </w:r>
      <w:r w:rsidR="0078690A" w:rsidRPr="00E70B3C">
        <w:t xml:space="preserve"> </w:t>
      </w:r>
      <w:r w:rsidR="0051675A" w:rsidRPr="00E70B3C">
        <w:t>Indeed</w:t>
      </w:r>
      <w:r w:rsidR="002E412F">
        <w:t>,</w:t>
      </w:r>
      <w:r w:rsidR="0051675A" w:rsidRPr="00E70B3C">
        <w:t xml:space="preserve"> the </w:t>
      </w:r>
      <w:r w:rsidR="00915120" w:rsidRPr="00E70B3C">
        <w:t>RTPI have advocated the acquisition of skills for planning through a variety of modes of teaching, project based learning, studios, study visits, simulat</w:t>
      </w:r>
      <w:r w:rsidR="00C16577" w:rsidRPr="00E70B3C">
        <w:t xml:space="preserve">ions of real world problems, </w:t>
      </w:r>
      <w:r w:rsidR="00915120" w:rsidRPr="00E70B3C">
        <w:t>role play and work experience through placements and internships (Bailey, 2005</w:t>
      </w:r>
      <w:r w:rsidR="00AC2E5E" w:rsidRPr="00E70B3C">
        <w:t>).</w:t>
      </w:r>
    </w:p>
    <w:p w14:paraId="13A1E800" w14:textId="77777777" w:rsidR="007C5625" w:rsidRDefault="007C5625" w:rsidP="00915120">
      <w:pPr>
        <w:spacing w:line="360" w:lineRule="auto"/>
        <w:jc w:val="both"/>
        <w:rPr>
          <w:b/>
        </w:rPr>
      </w:pPr>
    </w:p>
    <w:p w14:paraId="454E11E1" w14:textId="77777777" w:rsidR="00E064E4" w:rsidRPr="00E70B3C" w:rsidRDefault="00E064E4" w:rsidP="00915120">
      <w:pPr>
        <w:spacing w:line="360" w:lineRule="auto"/>
        <w:jc w:val="both"/>
        <w:rPr>
          <w:b/>
        </w:rPr>
      </w:pPr>
    </w:p>
    <w:p w14:paraId="5F10C252" w14:textId="77777777" w:rsidR="00915120" w:rsidRPr="00E70B3C" w:rsidRDefault="00A652DB" w:rsidP="00915120">
      <w:pPr>
        <w:spacing w:line="360" w:lineRule="auto"/>
        <w:jc w:val="both"/>
        <w:rPr>
          <w:b/>
        </w:rPr>
      </w:pPr>
      <w:r w:rsidRPr="00E70B3C">
        <w:rPr>
          <w:b/>
        </w:rPr>
        <w:t>U</w:t>
      </w:r>
      <w:r w:rsidR="00915120" w:rsidRPr="00E70B3C">
        <w:rPr>
          <w:b/>
        </w:rPr>
        <w:t xml:space="preserve">niversity planning education </w:t>
      </w:r>
    </w:p>
    <w:p w14:paraId="20FBBEF9" w14:textId="77777777" w:rsidR="009A438B" w:rsidRPr="00E70B3C" w:rsidRDefault="00915120" w:rsidP="00915120">
      <w:pPr>
        <w:spacing w:line="360" w:lineRule="auto"/>
        <w:jc w:val="both"/>
      </w:pPr>
      <w:r w:rsidRPr="00E70B3C">
        <w:t>Bailey (2005) notes that higher education has served a</w:t>
      </w:r>
      <w:r w:rsidR="00A652DB" w:rsidRPr="00E70B3C">
        <w:t>n important</w:t>
      </w:r>
      <w:r w:rsidRPr="00E70B3C">
        <w:t xml:space="preserve">  role in offering vocational undergraduate and postgraduate programmes designed to prepare potential practitioners for careers in </w:t>
      </w:r>
      <w:r w:rsidR="00810FE1">
        <w:t xml:space="preserve">the </w:t>
      </w:r>
      <w:r w:rsidR="009A438B" w:rsidRPr="00E70B3C">
        <w:t>built e</w:t>
      </w:r>
      <w:r w:rsidRPr="00E70B3C">
        <w:t>nvironment</w:t>
      </w:r>
      <w:r w:rsidR="009A438B" w:rsidRPr="00E70B3C">
        <w:t xml:space="preserve">. </w:t>
      </w:r>
      <w:r w:rsidR="00810FE1">
        <w:t xml:space="preserve">He emphasises the extent to which dedicated planning skills are increasingly taught alongside generic university-wide employability skills. This raises a number of pedagogical questions. </w:t>
      </w:r>
    </w:p>
    <w:p w14:paraId="74DA219B" w14:textId="77777777" w:rsidR="009A438B" w:rsidRPr="001C663E" w:rsidRDefault="00E064E4" w:rsidP="00915120">
      <w:pPr>
        <w:spacing w:line="360" w:lineRule="auto"/>
        <w:jc w:val="both"/>
        <w:rPr>
          <w:color w:val="000000" w:themeColor="text1"/>
        </w:rPr>
      </w:pPr>
      <w:r>
        <w:tab/>
      </w:r>
      <w:r w:rsidR="00915120" w:rsidRPr="00E70B3C">
        <w:t>Benne</w:t>
      </w:r>
      <w:r>
        <w:t>tt</w:t>
      </w:r>
      <w:r w:rsidR="00FE0583">
        <w:t xml:space="preserve"> </w:t>
      </w:r>
      <w:r w:rsidR="00FE0583" w:rsidRPr="00FE0583">
        <w:rPr>
          <w:i/>
        </w:rPr>
        <w:t>et  al</w:t>
      </w:r>
      <w:r w:rsidR="00FE0583">
        <w:t xml:space="preserve"> </w:t>
      </w:r>
      <w:r w:rsidR="00915120" w:rsidRPr="00E70B3C">
        <w:t xml:space="preserve">(2000) </w:t>
      </w:r>
      <w:r w:rsidR="00FE0583">
        <w:t xml:space="preserve">provide a </w:t>
      </w:r>
      <w:r w:rsidR="00915120" w:rsidRPr="00E70B3C">
        <w:t>critique of the ‘transfer’ and ‘situated learning’ models</w:t>
      </w:r>
      <w:r w:rsidR="00FE0583">
        <w:t xml:space="preserve">, which is </w:t>
      </w:r>
      <w:r w:rsidR="00915120" w:rsidRPr="00E70B3C">
        <w:t>useful to draw upon in reference to understanding the effectiveness of teaching vocational courses solely within a theoretical model of course provision through university planning degrees. Dominantly followed in higher education, the transfer model assumes that skills transfer easily to the context of the workplace, and</w:t>
      </w:r>
      <w:r w:rsidR="005F6E81">
        <w:t>,</w:t>
      </w:r>
      <w:r w:rsidR="00915120" w:rsidRPr="00E70B3C">
        <w:t xml:space="preserve"> whilst seemingly attractive, this is noted as </w:t>
      </w:r>
      <w:r w:rsidR="00810FE1">
        <w:t>not automatic</w:t>
      </w:r>
      <w:r w:rsidR="00FB5FD6">
        <w:t>.</w:t>
      </w:r>
      <w:r w:rsidR="00915120" w:rsidRPr="00E70B3C">
        <w:t xml:space="preserve"> The model of situated learning, </w:t>
      </w:r>
      <w:r w:rsidR="00007752">
        <w:t>as</w:t>
      </w:r>
      <w:r w:rsidR="00007752" w:rsidRPr="00E70B3C">
        <w:t xml:space="preserve"> </w:t>
      </w:r>
      <w:r w:rsidR="00915120" w:rsidRPr="00E70B3C">
        <w:t xml:space="preserve">explained by Bennett </w:t>
      </w:r>
      <w:r w:rsidR="00915120" w:rsidRPr="00E70B3C">
        <w:rPr>
          <w:i/>
        </w:rPr>
        <w:t>et al</w:t>
      </w:r>
      <w:r w:rsidR="009A438B" w:rsidRPr="00E70B3C">
        <w:t xml:space="preserve"> (2000</w:t>
      </w:r>
      <w:r w:rsidR="006A5E63">
        <w:t>, p.</w:t>
      </w:r>
      <w:r w:rsidR="00915120" w:rsidRPr="00E70B3C">
        <w:t>16), operates through the understanding that</w:t>
      </w:r>
      <w:r w:rsidR="001E1F49" w:rsidRPr="00E70B3C">
        <w:t>:</w:t>
      </w:r>
      <w:r w:rsidR="00915120" w:rsidRPr="00E70B3C">
        <w:t xml:space="preserve"> </w:t>
      </w:r>
    </w:p>
    <w:p w14:paraId="6F483EA0" w14:textId="77777777" w:rsidR="009A438B" w:rsidRPr="00E70B3C" w:rsidRDefault="009A438B" w:rsidP="00915120">
      <w:pPr>
        <w:spacing w:line="360" w:lineRule="auto"/>
        <w:jc w:val="both"/>
      </w:pPr>
    </w:p>
    <w:p w14:paraId="41978220" w14:textId="77777777" w:rsidR="009A438B" w:rsidRPr="00E70B3C" w:rsidRDefault="001E1F49" w:rsidP="001C663E">
      <w:pPr>
        <w:spacing w:line="360" w:lineRule="auto"/>
        <w:ind w:left="340" w:right="340"/>
        <w:jc w:val="both"/>
        <w:rPr>
          <w:i/>
        </w:rPr>
      </w:pPr>
      <w:r w:rsidRPr="001C663E">
        <w:rPr>
          <w:i/>
          <w:sz w:val="22"/>
        </w:rPr>
        <w:t xml:space="preserve">(…) </w:t>
      </w:r>
      <w:r w:rsidR="00915120" w:rsidRPr="001C663E">
        <w:rPr>
          <w:i/>
          <w:sz w:val="22"/>
        </w:rPr>
        <w:t>much of what is learned is specific to the nature of the situation in which it is learned and the circumstances in which knowledge is acquired is likely to influence the subsequent deployment of that knowledge in other situations</w:t>
      </w:r>
      <w:r w:rsidRPr="00E70B3C">
        <w:rPr>
          <w:i/>
        </w:rPr>
        <w:t>.</w:t>
      </w:r>
      <w:r w:rsidR="00915120" w:rsidRPr="00E70B3C">
        <w:rPr>
          <w:i/>
        </w:rPr>
        <w:t xml:space="preserve"> </w:t>
      </w:r>
    </w:p>
    <w:p w14:paraId="6C67E528" w14:textId="77777777" w:rsidR="00E70B3C" w:rsidRPr="00E70B3C" w:rsidRDefault="00E70B3C" w:rsidP="00915120">
      <w:pPr>
        <w:spacing w:line="360" w:lineRule="auto"/>
        <w:jc w:val="both"/>
      </w:pPr>
    </w:p>
    <w:p w14:paraId="68CF2012" w14:textId="77777777" w:rsidR="00915120" w:rsidRPr="00E70B3C" w:rsidRDefault="00915120" w:rsidP="00915120">
      <w:pPr>
        <w:spacing w:line="360" w:lineRule="auto"/>
        <w:jc w:val="both"/>
      </w:pPr>
      <w:r w:rsidRPr="00E70B3C">
        <w:t xml:space="preserve">Bailey (2005) highlights </w:t>
      </w:r>
      <w:r w:rsidR="001E1F49" w:rsidRPr="00E70B3C">
        <w:t>the dominant</w:t>
      </w:r>
      <w:r w:rsidRPr="00E70B3C">
        <w:t xml:space="preserve"> transfer model suggests </w:t>
      </w:r>
      <w:r w:rsidR="00007752">
        <w:t xml:space="preserve">the potential </w:t>
      </w:r>
      <w:r w:rsidRPr="00E70B3C">
        <w:t xml:space="preserve">difficulty </w:t>
      </w:r>
      <w:r w:rsidR="00810FE1">
        <w:t xml:space="preserve">undergraduate </w:t>
      </w:r>
      <w:r w:rsidRPr="00E70B3C">
        <w:t xml:space="preserve">students </w:t>
      </w:r>
      <w:r w:rsidR="00810FE1">
        <w:t xml:space="preserve">may </w:t>
      </w:r>
      <w:r w:rsidR="00007752">
        <w:t xml:space="preserve">have </w:t>
      </w:r>
      <w:r w:rsidRPr="00E70B3C">
        <w:t>to apply the skills learned in the classroom to t</w:t>
      </w:r>
      <w:r w:rsidR="009A438B" w:rsidRPr="00E70B3C">
        <w:t xml:space="preserve">he workplace. </w:t>
      </w:r>
      <w:r w:rsidR="00810FE1">
        <w:t>In contrast, t</w:t>
      </w:r>
      <w:r w:rsidR="00810FE1" w:rsidRPr="00E70B3C">
        <w:t xml:space="preserve">he </w:t>
      </w:r>
      <w:r w:rsidRPr="00E70B3C">
        <w:t xml:space="preserve">part-time postgraduate degree route, where study is </w:t>
      </w:r>
      <w:r w:rsidR="0004057C">
        <w:t xml:space="preserve">often </w:t>
      </w:r>
      <w:r w:rsidRPr="00E70B3C">
        <w:t>combined with practice</w:t>
      </w:r>
      <w:r w:rsidR="00810FE1">
        <w:t>,</w:t>
      </w:r>
      <w:r w:rsidRPr="00E70B3C">
        <w:t xml:space="preserve"> fits within the situated learning model</w:t>
      </w:r>
      <w:r w:rsidR="00A2011B">
        <w:t>, combining critical reflection with learning in the field</w:t>
      </w:r>
      <w:r w:rsidRPr="00E70B3C">
        <w:t xml:space="preserve">. </w:t>
      </w:r>
      <w:r w:rsidR="00A2011B">
        <w:t>Nevertheless,</w:t>
      </w:r>
      <w:r w:rsidR="00A2011B" w:rsidRPr="00E70B3C">
        <w:t xml:space="preserve"> </w:t>
      </w:r>
      <w:r w:rsidRPr="00E70B3C">
        <w:t xml:space="preserve">Bailey (2005) </w:t>
      </w:r>
      <w:r w:rsidR="00DB265C">
        <w:t xml:space="preserve">also </w:t>
      </w:r>
      <w:r w:rsidR="00A2011B">
        <w:t>questions whether</w:t>
      </w:r>
      <w:r w:rsidRPr="00E70B3C">
        <w:t xml:space="preserve"> employers </w:t>
      </w:r>
      <w:r w:rsidR="00A2011B">
        <w:t xml:space="preserve">continue to </w:t>
      </w:r>
      <w:r w:rsidRPr="00E70B3C">
        <w:t xml:space="preserve">consider it their role to develop the skills of </w:t>
      </w:r>
      <w:r w:rsidR="001A524E">
        <w:t>early career</w:t>
      </w:r>
      <w:r w:rsidR="001A524E" w:rsidRPr="00E70B3C">
        <w:t xml:space="preserve"> </w:t>
      </w:r>
      <w:r w:rsidRPr="00E70B3C">
        <w:t>staff,</w:t>
      </w:r>
      <w:r w:rsidR="00A2011B">
        <w:t xml:space="preserve"> or whether</w:t>
      </w:r>
      <w:r w:rsidRPr="00E70B3C">
        <w:t xml:space="preserve"> they see it as primarily the role of university to educate </w:t>
      </w:r>
      <w:r w:rsidR="001A524E">
        <w:t xml:space="preserve">employable </w:t>
      </w:r>
      <w:r w:rsidRPr="00E70B3C">
        <w:t xml:space="preserve">students. </w:t>
      </w:r>
    </w:p>
    <w:p w14:paraId="6D0E4C25" w14:textId="77777777" w:rsidR="009A438B" w:rsidRPr="00E70B3C" w:rsidRDefault="00205937" w:rsidP="00915120">
      <w:pPr>
        <w:spacing w:line="360" w:lineRule="auto"/>
        <w:jc w:val="both"/>
      </w:pPr>
      <w:r>
        <w:lastRenderedPageBreak/>
        <w:tab/>
      </w:r>
      <w:r w:rsidR="008F4F04">
        <w:t>At the National Planning Forum meeting in March 2014 ‘</w:t>
      </w:r>
      <w:r w:rsidR="008F4F04" w:rsidRPr="008F4F04">
        <w:t>Tomorrow’s Planners Today: Education and Training for the Future of the Planning Profession</w:t>
      </w:r>
      <w:r w:rsidR="008F4F04">
        <w:t>’</w:t>
      </w:r>
      <w:r w:rsidR="00E22516">
        <w:t>,</w:t>
      </w:r>
      <w:r w:rsidR="008F4F04">
        <w:t xml:space="preserve"> discussions took place concerning planning education, the requirements of the profession, and the potential for the future of planning education. </w:t>
      </w:r>
      <w:r w:rsidR="008E2C82">
        <w:t xml:space="preserve">Despite such discussions, </w:t>
      </w:r>
      <w:r w:rsidR="008F4F04">
        <w:t>little</w:t>
      </w:r>
      <w:r w:rsidR="009A438B" w:rsidRPr="00E70B3C">
        <w:t xml:space="preserve"> </w:t>
      </w:r>
      <w:r w:rsidR="008F4F04">
        <w:t>has traditionally been</w:t>
      </w:r>
      <w:r w:rsidR="008F4F04" w:rsidRPr="00E70B3C">
        <w:t xml:space="preserve"> </w:t>
      </w:r>
      <w:r w:rsidR="00915120" w:rsidRPr="00E70B3C">
        <w:t xml:space="preserve">said about </w:t>
      </w:r>
      <w:r w:rsidR="006C5B6D" w:rsidRPr="001C663E">
        <w:rPr>
          <w:i/>
        </w:rPr>
        <w:t>how</w:t>
      </w:r>
      <w:r w:rsidR="00915120" w:rsidRPr="00E70B3C">
        <w:t xml:space="preserve"> learning takes place, </w:t>
      </w:r>
      <w:r w:rsidR="00E22516">
        <w:t xml:space="preserve">and </w:t>
      </w:r>
      <w:r w:rsidR="00915120" w:rsidRPr="00E70B3C">
        <w:t xml:space="preserve">what contribution higher education and other providers can make </w:t>
      </w:r>
      <w:r w:rsidR="008F4F04">
        <w:t>to</w:t>
      </w:r>
      <w:r w:rsidR="008F4F04" w:rsidRPr="00E70B3C">
        <w:t xml:space="preserve"> </w:t>
      </w:r>
      <w:r w:rsidR="00915120" w:rsidRPr="00E70B3C">
        <w:t xml:space="preserve">the world of practice (Bailey, 2005). Peel (2005) </w:t>
      </w:r>
      <w:r w:rsidR="009A438B" w:rsidRPr="00E70B3C">
        <w:t xml:space="preserve">stresses the need for </w:t>
      </w:r>
      <w:r w:rsidR="00915120" w:rsidRPr="00E70B3C">
        <w:t>a learn</w:t>
      </w:r>
      <w:r w:rsidR="008B3D0B" w:rsidRPr="00E70B3C">
        <w:t>er</w:t>
      </w:r>
      <w:r w:rsidR="007C5625" w:rsidRPr="00E70B3C">
        <w:t>-</w:t>
      </w:r>
      <w:r w:rsidR="00915120" w:rsidRPr="00E70B3C">
        <w:t xml:space="preserve">centred approach to planning education and practice, where students should get to experience the full interplay of education, meaningful work and personal development in order to achieve </w:t>
      </w:r>
      <w:r w:rsidR="009A438B" w:rsidRPr="00E70B3C">
        <w:t>their potential</w:t>
      </w:r>
      <w:r w:rsidR="00915120" w:rsidRPr="00E70B3C">
        <w:t xml:space="preserve">. </w:t>
      </w:r>
      <w:r w:rsidR="00CC4C75" w:rsidRPr="00E70B3C">
        <w:t xml:space="preserve"> </w:t>
      </w:r>
    </w:p>
    <w:p w14:paraId="588C2013" w14:textId="77777777" w:rsidR="00F0303E" w:rsidRDefault="00F0303E" w:rsidP="00915120">
      <w:pPr>
        <w:spacing w:line="360" w:lineRule="auto"/>
        <w:jc w:val="both"/>
        <w:rPr>
          <w:b/>
        </w:rPr>
      </w:pPr>
    </w:p>
    <w:p w14:paraId="12B763D4" w14:textId="77777777" w:rsidR="00205937" w:rsidRPr="00E70B3C" w:rsidRDefault="00205937" w:rsidP="00915120">
      <w:pPr>
        <w:spacing w:line="360" w:lineRule="auto"/>
        <w:jc w:val="both"/>
        <w:rPr>
          <w:b/>
        </w:rPr>
      </w:pPr>
    </w:p>
    <w:p w14:paraId="207D7736" w14:textId="77777777" w:rsidR="00915120" w:rsidRPr="00E70B3C" w:rsidRDefault="00A652DB" w:rsidP="00915120">
      <w:pPr>
        <w:spacing w:line="360" w:lineRule="auto"/>
        <w:contextualSpacing/>
        <w:jc w:val="both"/>
        <w:rPr>
          <w:i/>
        </w:rPr>
      </w:pPr>
      <w:r w:rsidRPr="00E70B3C">
        <w:rPr>
          <w:b/>
        </w:rPr>
        <w:t>Planning education in practice</w:t>
      </w:r>
    </w:p>
    <w:p w14:paraId="08531921" w14:textId="77777777" w:rsidR="00E44945" w:rsidRPr="00E70B3C" w:rsidRDefault="00A37238" w:rsidP="00915120">
      <w:pPr>
        <w:spacing w:line="360" w:lineRule="auto"/>
        <w:contextualSpacing/>
        <w:jc w:val="both"/>
        <w:rPr>
          <w:lang w:val="en-US"/>
        </w:rPr>
      </w:pPr>
      <w:r w:rsidRPr="00E70B3C">
        <w:rPr>
          <w:lang w:val="en-US"/>
        </w:rPr>
        <w:t xml:space="preserve">The rationale for this </w:t>
      </w:r>
      <w:r w:rsidR="001E1F49" w:rsidRPr="00E70B3C">
        <w:rPr>
          <w:lang w:val="en-US"/>
        </w:rPr>
        <w:t>research</w:t>
      </w:r>
      <w:r w:rsidRPr="00E70B3C">
        <w:rPr>
          <w:lang w:val="en-US"/>
        </w:rPr>
        <w:t xml:space="preserve"> arose from </w:t>
      </w:r>
      <w:r w:rsidR="000E1503" w:rsidRPr="00E70B3C">
        <w:rPr>
          <w:lang w:val="en-US"/>
        </w:rPr>
        <w:t>the identification of the challenge</w:t>
      </w:r>
      <w:r w:rsidR="001A524E">
        <w:rPr>
          <w:lang w:val="en-US"/>
        </w:rPr>
        <w:t>s</w:t>
      </w:r>
      <w:r w:rsidR="000E1503" w:rsidRPr="00E70B3C">
        <w:rPr>
          <w:lang w:val="en-US"/>
        </w:rPr>
        <w:t xml:space="preserve"> associated with supporting the development of the</w:t>
      </w:r>
      <w:r w:rsidRPr="00E70B3C">
        <w:rPr>
          <w:lang w:val="en-US"/>
        </w:rPr>
        <w:t xml:space="preserve"> specific skills required for </w:t>
      </w:r>
      <w:r w:rsidR="000E1503" w:rsidRPr="00E70B3C">
        <w:rPr>
          <w:lang w:val="en-US"/>
        </w:rPr>
        <w:t>planning decision</w:t>
      </w:r>
      <w:r w:rsidR="00E830D1">
        <w:rPr>
          <w:lang w:val="en-US"/>
        </w:rPr>
        <w:t>-</w:t>
      </w:r>
      <w:r w:rsidR="000E1503" w:rsidRPr="00E70B3C">
        <w:rPr>
          <w:lang w:val="en-US"/>
        </w:rPr>
        <w:t>making</w:t>
      </w:r>
      <w:r w:rsidR="001A524E">
        <w:rPr>
          <w:lang w:val="en-US"/>
        </w:rPr>
        <w:t xml:space="preserve"> via the classroom</w:t>
      </w:r>
      <w:r w:rsidRPr="00E70B3C">
        <w:rPr>
          <w:lang w:val="en-US"/>
        </w:rPr>
        <w:t xml:space="preserve">. </w:t>
      </w:r>
      <w:r w:rsidR="000E1503" w:rsidRPr="00E70B3C">
        <w:rPr>
          <w:lang w:val="en-US"/>
        </w:rPr>
        <w:t>The research focus</w:t>
      </w:r>
      <w:r w:rsidR="00033079" w:rsidRPr="00E70B3C">
        <w:rPr>
          <w:lang w:val="en-US"/>
        </w:rPr>
        <w:t xml:space="preserve">ed upon developing </w:t>
      </w:r>
      <w:r w:rsidR="00F56D12">
        <w:rPr>
          <w:lang w:val="en-US"/>
        </w:rPr>
        <w:t>decision</w:t>
      </w:r>
      <w:r w:rsidR="00346548">
        <w:rPr>
          <w:lang w:val="en-US"/>
        </w:rPr>
        <w:t>-</w:t>
      </w:r>
      <w:r w:rsidR="00F56D12">
        <w:rPr>
          <w:lang w:val="en-US"/>
        </w:rPr>
        <w:t>making</w:t>
      </w:r>
      <w:r w:rsidR="00033079" w:rsidRPr="00E70B3C">
        <w:rPr>
          <w:lang w:val="en-US"/>
        </w:rPr>
        <w:t xml:space="preserve"> related planning skills and embedding these within a broader academic and intellectual grounding</w:t>
      </w:r>
      <w:r w:rsidR="00120239" w:rsidRPr="00E70B3C">
        <w:rPr>
          <w:lang w:val="en-US"/>
        </w:rPr>
        <w:t xml:space="preserve">. </w:t>
      </w:r>
      <w:r w:rsidRPr="00E70B3C">
        <w:rPr>
          <w:lang w:val="en-US"/>
        </w:rPr>
        <w:t xml:space="preserve"> </w:t>
      </w:r>
      <w:r w:rsidR="00E44945" w:rsidRPr="00E70B3C">
        <w:rPr>
          <w:lang w:val="en-US"/>
        </w:rPr>
        <w:t>UWE and Ulster</w:t>
      </w:r>
      <w:r w:rsidR="00915120" w:rsidRPr="00E70B3C">
        <w:rPr>
          <w:lang w:val="en-US"/>
        </w:rPr>
        <w:t xml:space="preserve"> are both accredited pl</w:t>
      </w:r>
      <w:r w:rsidR="00E44945" w:rsidRPr="00E70B3C">
        <w:rPr>
          <w:lang w:val="en-US"/>
        </w:rPr>
        <w:t>anning schools</w:t>
      </w:r>
      <w:r w:rsidR="008E2C82">
        <w:rPr>
          <w:lang w:val="en-US"/>
        </w:rPr>
        <w:t xml:space="preserve"> who</w:t>
      </w:r>
      <w:r w:rsidR="0027258C">
        <w:rPr>
          <w:lang w:val="en-US"/>
        </w:rPr>
        <w:t xml:space="preserve"> </w:t>
      </w:r>
      <w:r w:rsidR="00E22516">
        <w:rPr>
          <w:lang w:val="en-US"/>
        </w:rPr>
        <w:t xml:space="preserve">directly </w:t>
      </w:r>
      <w:r w:rsidR="008E2C82">
        <w:rPr>
          <w:lang w:val="en-US"/>
        </w:rPr>
        <w:t>face</w:t>
      </w:r>
      <w:r w:rsidR="00915120" w:rsidRPr="00E70B3C">
        <w:rPr>
          <w:lang w:val="en-US"/>
        </w:rPr>
        <w:t xml:space="preserve"> the challenges of delivering planning education </w:t>
      </w:r>
      <w:r w:rsidR="008E2C82">
        <w:rPr>
          <w:lang w:val="en-US"/>
        </w:rPr>
        <w:t>to both full and part-time students</w:t>
      </w:r>
      <w:r w:rsidR="001A524E">
        <w:rPr>
          <w:lang w:val="en-US"/>
        </w:rPr>
        <w:t xml:space="preserve"> (with</w:t>
      </w:r>
      <w:r w:rsidR="008E2C82">
        <w:rPr>
          <w:lang w:val="en-US"/>
        </w:rPr>
        <w:t xml:space="preserve"> the latter </w:t>
      </w:r>
      <w:r w:rsidR="001A524E">
        <w:rPr>
          <w:lang w:val="en-US"/>
        </w:rPr>
        <w:t>potentially</w:t>
      </w:r>
      <w:r w:rsidR="000B4883">
        <w:rPr>
          <w:lang w:val="en-US"/>
        </w:rPr>
        <w:t xml:space="preserve"> working</w:t>
      </w:r>
      <w:r w:rsidR="008E2C82">
        <w:rPr>
          <w:lang w:val="en-US"/>
        </w:rPr>
        <w:t xml:space="preserve"> in planning practice already</w:t>
      </w:r>
      <w:r w:rsidR="001A524E">
        <w:rPr>
          <w:lang w:val="en-US"/>
        </w:rPr>
        <w:t xml:space="preserve">). The aim </w:t>
      </w:r>
      <w:r w:rsidR="00915120" w:rsidRPr="00E70B3C">
        <w:rPr>
          <w:lang w:val="en-US"/>
        </w:rPr>
        <w:t xml:space="preserve">is </w:t>
      </w:r>
      <w:r w:rsidR="00FE0583">
        <w:rPr>
          <w:lang w:val="en-US"/>
        </w:rPr>
        <w:t xml:space="preserve">to provide </w:t>
      </w:r>
      <w:r w:rsidR="001A524E">
        <w:rPr>
          <w:lang w:val="en-US"/>
        </w:rPr>
        <w:t xml:space="preserve">an </w:t>
      </w:r>
      <w:r w:rsidR="00915120" w:rsidRPr="00E70B3C">
        <w:rPr>
          <w:lang w:val="en-US"/>
        </w:rPr>
        <w:t xml:space="preserve">academically robust </w:t>
      </w:r>
      <w:r w:rsidR="001A524E">
        <w:rPr>
          <w:lang w:val="en-US"/>
        </w:rPr>
        <w:t>learning experience</w:t>
      </w:r>
      <w:r w:rsidR="001A524E" w:rsidRPr="00E70B3C">
        <w:rPr>
          <w:lang w:val="en-US"/>
        </w:rPr>
        <w:t xml:space="preserve"> </w:t>
      </w:r>
      <w:r w:rsidR="00915120" w:rsidRPr="00E70B3C">
        <w:rPr>
          <w:lang w:val="en-US"/>
        </w:rPr>
        <w:t>that prepares students practically and intellectually for a career within a sp</w:t>
      </w:r>
      <w:r w:rsidR="00E44945" w:rsidRPr="00E70B3C">
        <w:rPr>
          <w:lang w:val="en-US"/>
        </w:rPr>
        <w:t xml:space="preserve">ecific range of </w:t>
      </w:r>
      <w:r w:rsidR="001A524E">
        <w:rPr>
          <w:lang w:val="en-US"/>
        </w:rPr>
        <w:t xml:space="preserve">built environment </w:t>
      </w:r>
      <w:r w:rsidR="00E44945" w:rsidRPr="00E70B3C">
        <w:rPr>
          <w:lang w:val="en-US"/>
        </w:rPr>
        <w:t xml:space="preserve">professions. </w:t>
      </w:r>
    </w:p>
    <w:p w14:paraId="76F7B78A" w14:textId="77777777" w:rsidR="007C5625" w:rsidRPr="00E70B3C" w:rsidRDefault="007C5625" w:rsidP="00915120">
      <w:pPr>
        <w:spacing w:line="360" w:lineRule="auto"/>
        <w:contextualSpacing/>
        <w:jc w:val="both"/>
        <w:rPr>
          <w:rFonts w:eastAsia="Calibri"/>
          <w:i/>
        </w:rPr>
      </w:pPr>
    </w:p>
    <w:p w14:paraId="18491DF3" w14:textId="77777777" w:rsidR="00915120" w:rsidRPr="00E70B3C" w:rsidRDefault="00915120" w:rsidP="00915120">
      <w:pPr>
        <w:spacing w:line="360" w:lineRule="auto"/>
        <w:contextualSpacing/>
        <w:jc w:val="both"/>
        <w:rPr>
          <w:rFonts w:eastAsia="Calibri"/>
          <w:i/>
        </w:rPr>
      </w:pPr>
      <w:r w:rsidRPr="00E70B3C">
        <w:rPr>
          <w:rFonts w:eastAsia="Calibri"/>
          <w:i/>
        </w:rPr>
        <w:t>Observed example 1: Mock Planning Inquiry</w:t>
      </w:r>
    </w:p>
    <w:p w14:paraId="480EADA5" w14:textId="77777777" w:rsidR="00915120" w:rsidRPr="00E70B3C" w:rsidRDefault="00915120" w:rsidP="00915120">
      <w:pPr>
        <w:spacing w:line="360" w:lineRule="auto"/>
        <w:contextualSpacing/>
        <w:jc w:val="both"/>
        <w:rPr>
          <w:rFonts w:eastAsia="Calibri"/>
        </w:rPr>
      </w:pPr>
    </w:p>
    <w:p w14:paraId="76287FE2" w14:textId="77777777" w:rsidR="00915120" w:rsidRPr="00E70B3C" w:rsidRDefault="00915120" w:rsidP="00915120">
      <w:pPr>
        <w:spacing w:line="360" w:lineRule="auto"/>
        <w:contextualSpacing/>
        <w:jc w:val="both"/>
        <w:rPr>
          <w:rFonts w:eastAsia="Calibri"/>
        </w:rPr>
      </w:pPr>
      <w:r w:rsidRPr="00E70B3C">
        <w:rPr>
          <w:rFonts w:eastAsia="Calibri"/>
        </w:rPr>
        <w:t xml:space="preserve">At UWE, a postgraduate </w:t>
      </w:r>
      <w:r w:rsidR="007C5625" w:rsidRPr="00E70B3C">
        <w:rPr>
          <w:rFonts w:eastAsia="Calibri"/>
        </w:rPr>
        <w:t xml:space="preserve">module </w:t>
      </w:r>
      <w:r w:rsidRPr="00E70B3C">
        <w:rPr>
          <w:rFonts w:eastAsia="Calibri"/>
        </w:rPr>
        <w:t>called ‘Implementation and Design Quality’ uses a role-play format to assess the students</w:t>
      </w:r>
      <w:r w:rsidR="00E44945" w:rsidRPr="00E70B3C">
        <w:rPr>
          <w:rFonts w:eastAsia="Calibri"/>
        </w:rPr>
        <w:t>’</w:t>
      </w:r>
      <w:r w:rsidRPr="00E70B3C">
        <w:rPr>
          <w:rFonts w:eastAsia="Calibri"/>
        </w:rPr>
        <w:t xml:space="preserve"> kn</w:t>
      </w:r>
      <w:r w:rsidR="00E44945" w:rsidRPr="00E70B3C">
        <w:rPr>
          <w:rFonts w:eastAsia="Calibri"/>
        </w:rPr>
        <w:t>owledge of</w:t>
      </w:r>
      <w:r w:rsidRPr="00E70B3C">
        <w:rPr>
          <w:rFonts w:eastAsia="Calibri"/>
        </w:rPr>
        <w:t xml:space="preserve"> </w:t>
      </w:r>
      <w:r w:rsidR="006C5B6D" w:rsidRPr="001C663E">
        <w:rPr>
          <w:rFonts w:eastAsia="Calibri"/>
        </w:rPr>
        <w:t>decision-making</w:t>
      </w:r>
      <w:r w:rsidRPr="00E70B3C">
        <w:rPr>
          <w:rFonts w:eastAsia="Calibri"/>
        </w:rPr>
        <w:t xml:space="preserve"> theory, practice and rational</w:t>
      </w:r>
      <w:r w:rsidR="00E44945" w:rsidRPr="00E70B3C">
        <w:rPr>
          <w:rFonts w:eastAsia="Calibri"/>
        </w:rPr>
        <w:t>e</w:t>
      </w:r>
      <w:r w:rsidR="003647A4" w:rsidRPr="00E70B3C">
        <w:rPr>
          <w:rFonts w:eastAsia="Calibri"/>
        </w:rPr>
        <w:t>.</w:t>
      </w:r>
      <w:r w:rsidR="00FB5FD6">
        <w:rPr>
          <w:rFonts w:eastAsia="Calibri"/>
        </w:rPr>
        <w:t xml:space="preserve"> </w:t>
      </w:r>
      <w:r w:rsidRPr="00E70B3C">
        <w:rPr>
          <w:rFonts w:eastAsia="Calibri"/>
        </w:rPr>
        <w:t>The modul</w:t>
      </w:r>
      <w:r w:rsidR="00E44945" w:rsidRPr="00E70B3C">
        <w:rPr>
          <w:rFonts w:eastAsia="Calibri"/>
        </w:rPr>
        <w:t xml:space="preserve">e is based around developing students’ </w:t>
      </w:r>
      <w:r w:rsidRPr="00E70B3C">
        <w:rPr>
          <w:rFonts w:eastAsia="Calibri"/>
        </w:rPr>
        <w:t>understanding of the framework that enables planning decisions to be made</w:t>
      </w:r>
      <w:r w:rsidR="00E44945" w:rsidRPr="00E70B3C">
        <w:rPr>
          <w:rFonts w:eastAsia="Calibri"/>
        </w:rPr>
        <w:t xml:space="preserve">. It </w:t>
      </w:r>
      <w:r w:rsidR="00231A2C">
        <w:rPr>
          <w:rFonts w:eastAsia="Calibri"/>
        </w:rPr>
        <w:t>test</w:t>
      </w:r>
      <w:r w:rsidR="00231A2C" w:rsidRPr="00E70B3C">
        <w:rPr>
          <w:rFonts w:eastAsia="Calibri"/>
        </w:rPr>
        <w:t xml:space="preserve">s </w:t>
      </w:r>
      <w:r w:rsidR="00E44945" w:rsidRPr="00E70B3C">
        <w:rPr>
          <w:rFonts w:eastAsia="Calibri"/>
        </w:rPr>
        <w:t xml:space="preserve">the skills </w:t>
      </w:r>
      <w:r w:rsidRPr="00E70B3C">
        <w:rPr>
          <w:rFonts w:eastAsia="Calibri"/>
        </w:rPr>
        <w:t>of effective design solutions within th</w:t>
      </w:r>
      <w:r w:rsidR="001E1F49" w:rsidRPr="00E70B3C">
        <w:rPr>
          <w:rFonts w:eastAsia="Calibri"/>
        </w:rPr>
        <w:t>e</w:t>
      </w:r>
      <w:r w:rsidR="00E44945" w:rsidRPr="00E70B3C">
        <w:rPr>
          <w:rFonts w:eastAsia="Calibri"/>
        </w:rPr>
        <w:t xml:space="preserve"> decision</w:t>
      </w:r>
      <w:r w:rsidR="006C5B6D" w:rsidRPr="001C663E">
        <w:rPr>
          <w:rFonts w:eastAsia="Calibri"/>
        </w:rPr>
        <w:t>-making process. B</w:t>
      </w:r>
      <w:r w:rsidRPr="00E70B3C">
        <w:rPr>
          <w:rFonts w:eastAsia="Calibri"/>
        </w:rPr>
        <w:t xml:space="preserve">oth aspects of the module are partly assessed through a simulated mock planning inquiry.  </w:t>
      </w:r>
    </w:p>
    <w:p w14:paraId="0ABF055B" w14:textId="77777777" w:rsidR="00FB5FD6" w:rsidRDefault="00205937" w:rsidP="00915120">
      <w:pPr>
        <w:spacing w:line="360" w:lineRule="auto"/>
        <w:contextualSpacing/>
        <w:jc w:val="both"/>
        <w:rPr>
          <w:rFonts w:eastAsia="Calibri"/>
        </w:rPr>
      </w:pPr>
      <w:r>
        <w:rPr>
          <w:rFonts w:eastAsia="Calibri"/>
        </w:rPr>
        <w:tab/>
      </w:r>
      <w:r w:rsidR="00231A2C">
        <w:rPr>
          <w:rFonts w:eastAsia="Calibri"/>
        </w:rPr>
        <w:t>S</w:t>
      </w:r>
      <w:r w:rsidR="00915120" w:rsidRPr="00E70B3C">
        <w:rPr>
          <w:rFonts w:eastAsia="Calibri"/>
        </w:rPr>
        <w:t>tudent</w:t>
      </w:r>
      <w:r w:rsidR="00CC47EE" w:rsidRPr="00E70B3C">
        <w:rPr>
          <w:rFonts w:eastAsia="Calibri"/>
        </w:rPr>
        <w:t xml:space="preserve"> teams</w:t>
      </w:r>
      <w:r w:rsidR="007C5625" w:rsidRPr="00E70B3C">
        <w:rPr>
          <w:rFonts w:eastAsia="Calibri"/>
        </w:rPr>
        <w:t xml:space="preserve"> </w:t>
      </w:r>
      <w:r w:rsidR="00915120" w:rsidRPr="00E70B3C">
        <w:rPr>
          <w:rFonts w:eastAsia="Calibri"/>
        </w:rPr>
        <w:t xml:space="preserve">study a real planning application which has been refused but not </w:t>
      </w:r>
      <w:r w:rsidR="00033079" w:rsidRPr="00E70B3C">
        <w:rPr>
          <w:rFonts w:eastAsia="Calibri"/>
        </w:rPr>
        <w:t>appealed. The</w:t>
      </w:r>
      <w:r w:rsidR="00915120" w:rsidRPr="00E70B3C">
        <w:rPr>
          <w:rFonts w:eastAsia="Calibri"/>
        </w:rPr>
        <w:t xml:space="preserve"> </w:t>
      </w:r>
      <w:r w:rsidR="00231A2C">
        <w:rPr>
          <w:rFonts w:eastAsia="Calibri"/>
        </w:rPr>
        <w:t xml:space="preserve">teaching </w:t>
      </w:r>
      <w:r w:rsidR="00915120" w:rsidRPr="00E70B3C">
        <w:rPr>
          <w:rFonts w:eastAsia="Calibri"/>
        </w:rPr>
        <w:t xml:space="preserve">schedule follows the real </w:t>
      </w:r>
      <w:r w:rsidR="00231A2C">
        <w:rPr>
          <w:rFonts w:eastAsia="Calibri"/>
        </w:rPr>
        <w:t xml:space="preserve">appeal </w:t>
      </w:r>
      <w:r w:rsidR="00915120" w:rsidRPr="00E70B3C">
        <w:rPr>
          <w:rFonts w:eastAsia="Calibri"/>
        </w:rPr>
        <w:t>process as far as possible. The module culminates in a live simulated mock planning inquiry, chaired by practi</w:t>
      </w:r>
      <w:r w:rsidR="00231A2C">
        <w:rPr>
          <w:rFonts w:eastAsia="Calibri"/>
        </w:rPr>
        <w:t>s</w:t>
      </w:r>
      <w:r w:rsidR="00915120" w:rsidRPr="00E70B3C">
        <w:rPr>
          <w:rFonts w:eastAsia="Calibri"/>
        </w:rPr>
        <w:t xml:space="preserve">ing </w:t>
      </w:r>
      <w:r w:rsidR="007F2229">
        <w:rPr>
          <w:rFonts w:eastAsia="Calibri"/>
        </w:rPr>
        <w:t>I</w:t>
      </w:r>
      <w:r w:rsidR="00915120" w:rsidRPr="00E70B3C">
        <w:rPr>
          <w:rFonts w:eastAsia="Calibri"/>
        </w:rPr>
        <w:t xml:space="preserve">nspectors </w:t>
      </w:r>
      <w:r w:rsidR="00FB5FD6">
        <w:rPr>
          <w:rFonts w:eastAsia="Calibri"/>
        </w:rPr>
        <w:t>from the Planning Inspectorate.</w:t>
      </w:r>
      <w:r w:rsidR="00915120" w:rsidRPr="00E70B3C">
        <w:rPr>
          <w:rFonts w:eastAsia="Calibri"/>
        </w:rPr>
        <w:t xml:space="preserve"> </w:t>
      </w:r>
      <w:r w:rsidR="001E1F49" w:rsidRPr="00E70B3C">
        <w:rPr>
          <w:rFonts w:eastAsia="Calibri"/>
        </w:rPr>
        <w:t>In parallel</w:t>
      </w:r>
      <w:r w:rsidR="00231A2C">
        <w:rPr>
          <w:rFonts w:eastAsia="Calibri"/>
        </w:rPr>
        <w:t>,</w:t>
      </w:r>
      <w:r w:rsidR="001E1F49" w:rsidRPr="00E70B3C">
        <w:rPr>
          <w:rFonts w:eastAsia="Calibri"/>
        </w:rPr>
        <w:t xml:space="preserve"> students receive </w:t>
      </w:r>
      <w:r w:rsidR="00033079" w:rsidRPr="00E70B3C">
        <w:rPr>
          <w:rFonts w:eastAsia="Calibri"/>
        </w:rPr>
        <w:t xml:space="preserve">academic </w:t>
      </w:r>
      <w:r w:rsidR="001E1F49" w:rsidRPr="00E70B3C">
        <w:rPr>
          <w:rFonts w:eastAsia="Calibri"/>
        </w:rPr>
        <w:lastRenderedPageBreak/>
        <w:t>lectur</w:t>
      </w:r>
      <w:r w:rsidR="00FB5FD6">
        <w:rPr>
          <w:rFonts w:eastAsia="Calibri"/>
        </w:rPr>
        <w:t>es and participate in workshops</w:t>
      </w:r>
      <w:r w:rsidR="001E1F49" w:rsidRPr="00E70B3C">
        <w:rPr>
          <w:rFonts w:eastAsia="Calibri"/>
        </w:rPr>
        <w:t xml:space="preserve"> supporting their skills development, practice</w:t>
      </w:r>
      <w:r w:rsidR="000B4883">
        <w:rPr>
          <w:rFonts w:eastAsia="Calibri"/>
        </w:rPr>
        <w:t>-</w:t>
      </w:r>
      <w:r w:rsidR="001E1F49" w:rsidRPr="00E70B3C">
        <w:rPr>
          <w:rFonts w:eastAsia="Calibri"/>
        </w:rPr>
        <w:t xml:space="preserve">based knowledge and understanding, and the theoretical underpinning. </w:t>
      </w:r>
    </w:p>
    <w:p w14:paraId="5D3D1819" w14:textId="77777777" w:rsidR="00FB5FD6" w:rsidRDefault="00FB5FD6" w:rsidP="00915120">
      <w:pPr>
        <w:spacing w:line="360" w:lineRule="auto"/>
        <w:contextualSpacing/>
        <w:jc w:val="both"/>
        <w:rPr>
          <w:rFonts w:eastAsia="Calibri"/>
        </w:rPr>
      </w:pPr>
    </w:p>
    <w:p w14:paraId="0BD25F16" w14:textId="77777777" w:rsidR="00FB5FD6" w:rsidRPr="00FB5FD6" w:rsidRDefault="00FB5FD6" w:rsidP="00FB5FD6">
      <w:pPr>
        <w:spacing w:line="360" w:lineRule="auto"/>
        <w:contextualSpacing/>
        <w:jc w:val="both"/>
        <w:rPr>
          <w:rFonts w:eastAsia="Calibri"/>
        </w:rPr>
      </w:pPr>
    </w:p>
    <w:p w14:paraId="209686F7" w14:textId="77777777" w:rsidR="00FB5FD6" w:rsidRPr="00FB5FD6" w:rsidRDefault="00FB5FD6" w:rsidP="00FB5FD6">
      <w:pPr>
        <w:spacing w:line="360" w:lineRule="auto"/>
        <w:contextualSpacing/>
        <w:jc w:val="both"/>
        <w:rPr>
          <w:rFonts w:eastAsia="Calibri"/>
          <w:i/>
        </w:rPr>
      </w:pPr>
      <w:r w:rsidRPr="00FB5FD6">
        <w:rPr>
          <w:rFonts w:eastAsia="Calibri"/>
        </w:rPr>
        <w:tab/>
      </w:r>
      <w:r w:rsidRPr="00FB5FD6">
        <w:rPr>
          <w:rFonts w:eastAsia="Calibri"/>
        </w:rPr>
        <w:tab/>
      </w:r>
      <w:r w:rsidRPr="00FB5FD6">
        <w:rPr>
          <w:rFonts w:eastAsia="Calibri"/>
        </w:rPr>
        <w:tab/>
      </w:r>
      <w:r w:rsidRPr="00FB5FD6">
        <w:rPr>
          <w:rFonts w:eastAsia="Calibri"/>
        </w:rPr>
        <w:tab/>
      </w:r>
      <w:r w:rsidRPr="00FB5FD6">
        <w:rPr>
          <w:rFonts w:eastAsia="Calibri"/>
          <w:i/>
        </w:rPr>
        <w:t>Insert Table 2 here</w:t>
      </w:r>
    </w:p>
    <w:p w14:paraId="49C47F81" w14:textId="77777777" w:rsidR="00FB5FD6" w:rsidRDefault="00FB5FD6" w:rsidP="00915120">
      <w:pPr>
        <w:spacing w:line="360" w:lineRule="auto"/>
        <w:contextualSpacing/>
        <w:jc w:val="both"/>
        <w:rPr>
          <w:rFonts w:eastAsia="Calibri"/>
        </w:rPr>
      </w:pPr>
    </w:p>
    <w:p w14:paraId="125C6689" w14:textId="77777777" w:rsidR="00915120" w:rsidRPr="00E70B3C" w:rsidRDefault="000B4883" w:rsidP="00915120">
      <w:pPr>
        <w:spacing w:line="360" w:lineRule="auto"/>
        <w:contextualSpacing/>
        <w:jc w:val="both"/>
        <w:rPr>
          <w:rFonts w:eastAsia="Calibri"/>
        </w:rPr>
      </w:pPr>
      <w:r>
        <w:rPr>
          <w:rFonts w:eastAsia="Calibri"/>
        </w:rPr>
        <w:t>It is intended that</w:t>
      </w:r>
      <w:r w:rsidR="001E1F49" w:rsidRPr="00E70B3C">
        <w:rPr>
          <w:rFonts w:eastAsia="Calibri"/>
        </w:rPr>
        <w:t xml:space="preserve"> students have a factual, ‘learnt’, understanding of the planning decision-making process, and </w:t>
      </w:r>
      <w:r>
        <w:rPr>
          <w:rFonts w:eastAsia="Calibri"/>
        </w:rPr>
        <w:t>an experiential grounding</w:t>
      </w:r>
      <w:r w:rsidR="00FB5FD6">
        <w:rPr>
          <w:rFonts w:eastAsia="Calibri"/>
        </w:rPr>
        <w:t xml:space="preserve"> of a ‘good’ planning decision.</w:t>
      </w:r>
      <w:r w:rsidR="001E1F49" w:rsidRPr="00E70B3C">
        <w:rPr>
          <w:rFonts w:eastAsia="Calibri"/>
        </w:rPr>
        <w:t xml:space="preserve"> </w:t>
      </w:r>
      <w:r w:rsidR="0004057C" w:rsidRPr="00E70B3C">
        <w:rPr>
          <w:rFonts w:eastAsia="Calibri"/>
        </w:rPr>
        <w:t xml:space="preserve">They put this into practice through a realistic simulation of a scenario that the students </w:t>
      </w:r>
      <w:r w:rsidR="0004057C">
        <w:rPr>
          <w:rFonts w:eastAsia="Calibri"/>
        </w:rPr>
        <w:t>could</w:t>
      </w:r>
      <w:r w:rsidR="0004057C" w:rsidRPr="00E70B3C">
        <w:rPr>
          <w:rFonts w:eastAsia="Calibri"/>
        </w:rPr>
        <w:t xml:space="preserve"> experience in reality once they enter practice. </w:t>
      </w:r>
      <w:r w:rsidR="007F2229">
        <w:rPr>
          <w:rFonts w:eastAsia="Calibri"/>
        </w:rPr>
        <w:t xml:space="preserve">For the post-graduate group, which typically includes a number of </w:t>
      </w:r>
      <w:r w:rsidR="0004057C">
        <w:rPr>
          <w:rFonts w:eastAsia="Calibri"/>
        </w:rPr>
        <w:t>practi</w:t>
      </w:r>
      <w:r w:rsidR="00792AE8">
        <w:rPr>
          <w:rFonts w:eastAsia="Calibri"/>
        </w:rPr>
        <w:t>ti</w:t>
      </w:r>
      <w:r w:rsidR="0004057C">
        <w:rPr>
          <w:rFonts w:eastAsia="Calibri"/>
        </w:rPr>
        <w:t>oners</w:t>
      </w:r>
      <w:r w:rsidR="007F2229">
        <w:rPr>
          <w:rFonts w:eastAsia="Calibri"/>
        </w:rPr>
        <w:t xml:space="preserve"> and practice</w:t>
      </w:r>
      <w:r>
        <w:rPr>
          <w:rFonts w:eastAsia="Calibri"/>
        </w:rPr>
        <w:t>-</w:t>
      </w:r>
      <w:r w:rsidR="007F2229">
        <w:rPr>
          <w:rFonts w:eastAsia="Calibri"/>
        </w:rPr>
        <w:t>focused students</w:t>
      </w:r>
      <w:r w:rsidR="00CA73ED">
        <w:rPr>
          <w:rFonts w:eastAsia="Calibri"/>
        </w:rPr>
        <w:t>,</w:t>
      </w:r>
      <w:r w:rsidR="007F2229">
        <w:rPr>
          <w:rFonts w:eastAsia="Calibri"/>
        </w:rPr>
        <w:t xml:space="preserve"> the creation of a real-world scenario is helpful and receives very positive feedback annually</w:t>
      </w:r>
      <w:r>
        <w:rPr>
          <w:rFonts w:eastAsia="Calibri"/>
        </w:rPr>
        <w:t>. I</w:t>
      </w:r>
      <w:r w:rsidR="007F2229">
        <w:rPr>
          <w:rFonts w:eastAsia="Calibri"/>
        </w:rPr>
        <w:t>n parallel with theoretical and contextual taught content</w:t>
      </w:r>
      <w:r>
        <w:rPr>
          <w:rFonts w:eastAsia="Calibri"/>
        </w:rPr>
        <w:t>,</w:t>
      </w:r>
      <w:r w:rsidR="007F2229">
        <w:rPr>
          <w:rFonts w:eastAsia="Calibri"/>
        </w:rPr>
        <w:t xml:space="preserve"> an effective balance is struck between vocational and </w:t>
      </w:r>
      <w:r w:rsidR="00CA73ED">
        <w:rPr>
          <w:rFonts w:eastAsia="Calibri"/>
        </w:rPr>
        <w:t>academic</w:t>
      </w:r>
      <w:r>
        <w:rPr>
          <w:rFonts w:eastAsia="Calibri"/>
        </w:rPr>
        <w:t>, critically reflective</w:t>
      </w:r>
      <w:r w:rsidR="00CA73ED">
        <w:rPr>
          <w:rFonts w:eastAsia="Calibri"/>
        </w:rPr>
        <w:t xml:space="preserve"> study.</w:t>
      </w:r>
      <w:r w:rsidR="007F2229">
        <w:rPr>
          <w:rFonts w:eastAsia="Calibri"/>
        </w:rPr>
        <w:t xml:space="preserve"> </w:t>
      </w:r>
    </w:p>
    <w:p w14:paraId="7DD6541B" w14:textId="77777777" w:rsidR="001E1F49" w:rsidRDefault="001E1F49" w:rsidP="00915120">
      <w:pPr>
        <w:spacing w:line="360" w:lineRule="auto"/>
        <w:contextualSpacing/>
        <w:jc w:val="both"/>
        <w:rPr>
          <w:rFonts w:eastAsia="Calibri"/>
        </w:rPr>
      </w:pPr>
    </w:p>
    <w:p w14:paraId="226594CF" w14:textId="77777777" w:rsidR="00205937" w:rsidRPr="00E70B3C" w:rsidRDefault="00205937" w:rsidP="00915120">
      <w:pPr>
        <w:spacing w:line="360" w:lineRule="auto"/>
        <w:contextualSpacing/>
        <w:jc w:val="both"/>
        <w:rPr>
          <w:rFonts w:eastAsia="Calibri"/>
        </w:rPr>
      </w:pPr>
    </w:p>
    <w:p w14:paraId="2E0A8C90" w14:textId="77777777" w:rsidR="00915120" w:rsidRPr="00E70B3C" w:rsidRDefault="00915120" w:rsidP="00915120">
      <w:pPr>
        <w:spacing w:line="360" w:lineRule="auto"/>
        <w:jc w:val="both"/>
        <w:rPr>
          <w:i/>
          <w:color w:val="000000" w:themeColor="text1"/>
        </w:rPr>
      </w:pPr>
      <w:r w:rsidRPr="00E70B3C">
        <w:rPr>
          <w:i/>
          <w:color w:val="000000" w:themeColor="text1"/>
        </w:rPr>
        <w:t>Observed example 2: The X and Y game</w:t>
      </w:r>
    </w:p>
    <w:p w14:paraId="65BF2F1A" w14:textId="77777777" w:rsidR="003647A4" w:rsidRPr="00E70B3C" w:rsidRDefault="00B53DD2" w:rsidP="00915120">
      <w:pPr>
        <w:spacing w:line="360" w:lineRule="auto"/>
        <w:jc w:val="both"/>
        <w:rPr>
          <w:color w:val="000000" w:themeColor="text1"/>
        </w:rPr>
      </w:pPr>
      <w:r w:rsidRPr="00E70B3C">
        <w:rPr>
          <w:color w:val="000000" w:themeColor="text1"/>
        </w:rPr>
        <w:t xml:space="preserve">At </w:t>
      </w:r>
      <w:r w:rsidR="00915120" w:rsidRPr="00E70B3C">
        <w:rPr>
          <w:color w:val="000000" w:themeColor="text1"/>
        </w:rPr>
        <w:t>Ulster, a scenario</w:t>
      </w:r>
      <w:r w:rsidR="00CC47EE" w:rsidRPr="00E70B3C">
        <w:rPr>
          <w:color w:val="000000" w:themeColor="text1"/>
        </w:rPr>
        <w:t>-</w:t>
      </w:r>
      <w:r w:rsidR="00915120" w:rsidRPr="00E70B3C">
        <w:rPr>
          <w:color w:val="000000" w:themeColor="text1"/>
        </w:rPr>
        <w:t>based game was o</w:t>
      </w:r>
      <w:r w:rsidRPr="00E70B3C">
        <w:rPr>
          <w:color w:val="000000" w:themeColor="text1"/>
        </w:rPr>
        <w:t>bserved</w:t>
      </w:r>
      <w:r w:rsidR="00FE0583">
        <w:rPr>
          <w:color w:val="000000" w:themeColor="text1"/>
        </w:rPr>
        <w:t xml:space="preserve"> based on the ‘prisoners’ dilemma’ scenario where</w:t>
      </w:r>
      <w:r w:rsidR="00915120" w:rsidRPr="00E70B3C">
        <w:rPr>
          <w:color w:val="000000" w:themeColor="text1"/>
        </w:rPr>
        <w:t xml:space="preserve"> two criminals are arrested and imprisoned awaiting trial. Each prisoner is placed in solitary confinement and has no way of communicating with the other. </w:t>
      </w:r>
      <w:r w:rsidR="008628AE">
        <w:rPr>
          <w:color w:val="000000" w:themeColor="text1"/>
        </w:rPr>
        <w:t xml:space="preserve">The consequences of whether they ‘talk’ or remain silent influence the nature of their potential punishment. </w:t>
      </w:r>
      <w:r w:rsidR="00915120" w:rsidRPr="00E70B3C">
        <w:rPr>
          <w:color w:val="000000" w:themeColor="text1"/>
        </w:rPr>
        <w:t>Decis</w:t>
      </w:r>
      <w:r w:rsidRPr="00E70B3C">
        <w:rPr>
          <w:color w:val="000000" w:themeColor="text1"/>
        </w:rPr>
        <w:t>ions are made simultaneously,</w:t>
      </w:r>
      <w:r w:rsidR="00915120" w:rsidRPr="00E70B3C">
        <w:rPr>
          <w:color w:val="000000" w:themeColor="text1"/>
        </w:rPr>
        <w:t xml:space="preserve"> without knowledge of their partner’s choice.</w:t>
      </w:r>
      <w:r w:rsidR="007C5625" w:rsidRPr="00E70B3C">
        <w:rPr>
          <w:color w:val="000000" w:themeColor="text1"/>
        </w:rPr>
        <w:t xml:space="preserve"> </w:t>
      </w:r>
      <w:r w:rsidR="001E1F49" w:rsidRPr="00E70B3C">
        <w:rPr>
          <w:color w:val="000000" w:themeColor="text1"/>
        </w:rPr>
        <w:t>T</w:t>
      </w:r>
      <w:r w:rsidR="00915120" w:rsidRPr="00E70B3C">
        <w:rPr>
          <w:color w:val="000000" w:themeColor="text1"/>
        </w:rPr>
        <w:t xml:space="preserve">he game involved students undertaking </w:t>
      </w:r>
      <w:r w:rsidR="001E1F49" w:rsidRPr="00E70B3C">
        <w:rPr>
          <w:color w:val="000000" w:themeColor="text1"/>
        </w:rPr>
        <w:t xml:space="preserve">decisions </w:t>
      </w:r>
      <w:r w:rsidR="00915120" w:rsidRPr="00E70B3C">
        <w:rPr>
          <w:color w:val="000000" w:themeColor="text1"/>
        </w:rPr>
        <w:t>in five groups of four over ten rounds</w:t>
      </w:r>
      <w:r w:rsidR="006C5B6D" w:rsidRPr="001C663E">
        <w:rPr>
          <w:color w:val="000000" w:themeColor="text1"/>
        </w:rPr>
        <w:t>.</w:t>
      </w:r>
      <w:r w:rsidR="00915120" w:rsidRPr="00E70B3C">
        <w:rPr>
          <w:color w:val="000000" w:themeColor="text1"/>
        </w:rPr>
        <w:t xml:space="preserve"> Points were attributed for each round to each student dependent on outcome and the scoring was kept cumulatively as shown in table 3</w:t>
      </w:r>
      <w:r w:rsidR="00146DDC" w:rsidRPr="00E70B3C">
        <w:rPr>
          <w:color w:val="000000" w:themeColor="text1"/>
        </w:rPr>
        <w:t>.</w:t>
      </w:r>
    </w:p>
    <w:p w14:paraId="727EDA86" w14:textId="77777777" w:rsidR="003647A4" w:rsidRPr="00E70B3C" w:rsidRDefault="003647A4" w:rsidP="00915120">
      <w:pPr>
        <w:spacing w:line="360" w:lineRule="auto"/>
        <w:jc w:val="both"/>
        <w:rPr>
          <w:color w:val="000000" w:themeColor="text1"/>
        </w:rPr>
      </w:pPr>
    </w:p>
    <w:p w14:paraId="07923DF8" w14:textId="77777777" w:rsidR="003647A4" w:rsidRPr="00E70B3C" w:rsidRDefault="00205937" w:rsidP="00915120">
      <w:pPr>
        <w:spacing w:line="360" w:lineRule="auto"/>
        <w:jc w:val="both"/>
        <w:rPr>
          <w:i/>
          <w:color w:val="000000" w:themeColor="text1"/>
        </w:rPr>
      </w:pPr>
      <w:r>
        <w:rPr>
          <w:i/>
          <w:color w:val="000000" w:themeColor="text1"/>
        </w:rPr>
        <w:tab/>
      </w:r>
      <w:r>
        <w:rPr>
          <w:i/>
          <w:color w:val="000000" w:themeColor="text1"/>
        </w:rPr>
        <w:tab/>
      </w:r>
      <w:r>
        <w:rPr>
          <w:i/>
          <w:color w:val="000000" w:themeColor="text1"/>
        </w:rPr>
        <w:tab/>
      </w:r>
      <w:r>
        <w:rPr>
          <w:i/>
          <w:color w:val="000000" w:themeColor="text1"/>
        </w:rPr>
        <w:tab/>
        <w:t xml:space="preserve">Insert </w:t>
      </w:r>
      <w:r w:rsidR="003125F4">
        <w:rPr>
          <w:i/>
          <w:color w:val="000000" w:themeColor="text1"/>
        </w:rPr>
        <w:t>T</w:t>
      </w:r>
      <w:r w:rsidR="003647A4" w:rsidRPr="00E70B3C">
        <w:rPr>
          <w:i/>
          <w:color w:val="000000" w:themeColor="text1"/>
        </w:rPr>
        <w:t>able 3</w:t>
      </w:r>
      <w:r>
        <w:rPr>
          <w:i/>
          <w:color w:val="000000" w:themeColor="text1"/>
        </w:rPr>
        <w:t xml:space="preserve"> </w:t>
      </w:r>
      <w:r w:rsidR="003647A4" w:rsidRPr="00E70B3C">
        <w:rPr>
          <w:i/>
          <w:color w:val="000000" w:themeColor="text1"/>
        </w:rPr>
        <w:t>here</w:t>
      </w:r>
    </w:p>
    <w:p w14:paraId="10600D2B" w14:textId="77777777" w:rsidR="003647A4" w:rsidRPr="00E70B3C" w:rsidRDefault="003647A4" w:rsidP="00915120">
      <w:pPr>
        <w:spacing w:line="360" w:lineRule="auto"/>
        <w:jc w:val="both"/>
        <w:rPr>
          <w:color w:val="000000" w:themeColor="text1"/>
        </w:rPr>
      </w:pPr>
    </w:p>
    <w:p w14:paraId="4FE5D554" w14:textId="77777777" w:rsidR="00915120" w:rsidRPr="00E70B3C" w:rsidRDefault="00CC47EE" w:rsidP="00915120">
      <w:pPr>
        <w:spacing w:line="360" w:lineRule="auto"/>
        <w:jc w:val="both"/>
        <w:rPr>
          <w:color w:val="000000" w:themeColor="text1"/>
        </w:rPr>
      </w:pPr>
      <w:r w:rsidRPr="00E70B3C">
        <w:rPr>
          <w:color w:val="000000" w:themeColor="text1"/>
        </w:rPr>
        <w:t>T</w:t>
      </w:r>
      <w:r w:rsidR="00915120" w:rsidRPr="00E70B3C">
        <w:rPr>
          <w:color w:val="000000" w:themeColor="text1"/>
        </w:rPr>
        <w:t xml:space="preserve">here were a number of possible outcomes for the individual students and collectively for the five groups. </w:t>
      </w:r>
      <w:r w:rsidR="008628AE">
        <w:rPr>
          <w:color w:val="000000" w:themeColor="text1"/>
        </w:rPr>
        <w:t>To incentivise participants a</w:t>
      </w:r>
      <w:r w:rsidR="00915120" w:rsidRPr="00E70B3C">
        <w:rPr>
          <w:color w:val="000000" w:themeColor="text1"/>
        </w:rPr>
        <w:t>t the end of the game the group with the highest score cumulatively was awarded a large bar of chocolate. The person with the individual highest score across all groups was awarded an even bigger bar of chocolate. Students were aware of the prizes before the game was played.</w:t>
      </w:r>
    </w:p>
    <w:p w14:paraId="3F35E5E3" w14:textId="77777777" w:rsidR="00915120" w:rsidRPr="00E70B3C" w:rsidRDefault="00205937" w:rsidP="00915120">
      <w:pPr>
        <w:spacing w:line="360" w:lineRule="auto"/>
        <w:jc w:val="both"/>
        <w:rPr>
          <w:color w:val="000000" w:themeColor="text1"/>
        </w:rPr>
      </w:pPr>
      <w:r>
        <w:rPr>
          <w:color w:val="000000" w:themeColor="text1"/>
        </w:rPr>
        <w:lastRenderedPageBreak/>
        <w:tab/>
      </w:r>
      <w:r w:rsidR="001E1F49" w:rsidRPr="00E70B3C">
        <w:rPr>
          <w:color w:val="000000" w:themeColor="text1"/>
        </w:rPr>
        <w:t>T</w:t>
      </w:r>
      <w:r w:rsidR="00915120" w:rsidRPr="00E70B3C">
        <w:rPr>
          <w:color w:val="000000" w:themeColor="text1"/>
        </w:rPr>
        <w:t>he game is played iteratively</w:t>
      </w:r>
      <w:r w:rsidR="002B2783">
        <w:rPr>
          <w:color w:val="000000" w:themeColor="text1"/>
        </w:rPr>
        <w:t>,</w:t>
      </w:r>
      <w:r w:rsidR="00915120" w:rsidRPr="00E70B3C">
        <w:rPr>
          <w:color w:val="000000" w:themeColor="text1"/>
        </w:rPr>
        <w:t xml:space="preserve"> </w:t>
      </w:r>
      <w:r w:rsidR="001E1F49" w:rsidRPr="00E70B3C">
        <w:rPr>
          <w:color w:val="000000" w:themeColor="text1"/>
        </w:rPr>
        <w:t xml:space="preserve">to </w:t>
      </w:r>
      <w:r w:rsidR="00915120" w:rsidRPr="00E70B3C">
        <w:rPr>
          <w:color w:val="000000" w:themeColor="text1"/>
        </w:rPr>
        <w:t>allow participants to experience their</w:t>
      </w:r>
      <w:r w:rsidR="00B53DD2" w:rsidRPr="00E70B3C">
        <w:rPr>
          <w:color w:val="000000" w:themeColor="text1"/>
        </w:rPr>
        <w:t xml:space="preserve"> colleagues’ approaches and</w:t>
      </w:r>
      <w:r w:rsidR="00915120" w:rsidRPr="00E70B3C">
        <w:rPr>
          <w:color w:val="000000" w:themeColor="text1"/>
        </w:rPr>
        <w:t xml:space="preserve"> to ‘learn’ from occurrences in previous rounds. If the iterations are finite and the players know the number of turns each will have then this affect</w:t>
      </w:r>
      <w:r w:rsidR="005575BB" w:rsidRPr="00E70B3C">
        <w:rPr>
          <w:color w:val="000000" w:themeColor="text1"/>
        </w:rPr>
        <w:t>s</w:t>
      </w:r>
      <w:r w:rsidR="00915120" w:rsidRPr="00E70B3C">
        <w:rPr>
          <w:color w:val="000000" w:themeColor="text1"/>
        </w:rPr>
        <w:t xml:space="preserve"> the strategy they choose to adopt. It allows for the study of the emergence of cooperation and defection among selfish and unrelated individuals (Axelrod, 1984 in </w:t>
      </w:r>
      <w:r w:rsidR="00915120" w:rsidRPr="00205937">
        <w:rPr>
          <w:color w:val="000000" w:themeColor="text1"/>
        </w:rPr>
        <w:t>Li</w:t>
      </w:r>
      <w:r w:rsidRPr="001C663E">
        <w:rPr>
          <w:color w:val="000000" w:themeColor="text1"/>
        </w:rPr>
        <w:t>u, Chen, Zhang, Wang &amp; Perc</w:t>
      </w:r>
      <w:r w:rsidR="00915120" w:rsidRPr="00E70B3C">
        <w:rPr>
          <w:i/>
          <w:color w:val="000000" w:themeColor="text1"/>
        </w:rPr>
        <w:t>,</w:t>
      </w:r>
      <w:r w:rsidR="00915120" w:rsidRPr="00E70B3C">
        <w:rPr>
          <w:color w:val="000000" w:themeColor="text1"/>
        </w:rPr>
        <w:t xml:space="preserve"> 2012). For the purpose of our exercise</w:t>
      </w:r>
      <w:r w:rsidR="002B2783">
        <w:rPr>
          <w:color w:val="000000" w:themeColor="text1"/>
        </w:rPr>
        <w:t>,</w:t>
      </w:r>
      <w:r w:rsidR="00915120" w:rsidRPr="00E70B3C">
        <w:rPr>
          <w:color w:val="000000" w:themeColor="text1"/>
        </w:rPr>
        <w:t xml:space="preserve"> it allowed </w:t>
      </w:r>
      <w:r w:rsidR="00CA73ED">
        <w:rPr>
          <w:color w:val="000000" w:themeColor="text1"/>
        </w:rPr>
        <w:t xml:space="preserve">undergraduate </w:t>
      </w:r>
      <w:r w:rsidR="00915120" w:rsidRPr="00E70B3C">
        <w:rPr>
          <w:color w:val="000000" w:themeColor="text1"/>
        </w:rPr>
        <w:t>students to understand first hand why people might not cooperate, even if it seems that it is in their best interests</w:t>
      </w:r>
      <w:r w:rsidR="005575BB" w:rsidRPr="00E70B3C">
        <w:rPr>
          <w:color w:val="000000" w:themeColor="text1"/>
        </w:rPr>
        <w:t>.</w:t>
      </w:r>
      <w:r w:rsidR="00CA73ED">
        <w:rPr>
          <w:color w:val="000000" w:themeColor="text1"/>
        </w:rPr>
        <w:t xml:space="preserve"> Although the scenario is removed from the direct planning decision</w:t>
      </w:r>
      <w:r w:rsidR="00346548">
        <w:rPr>
          <w:color w:val="000000" w:themeColor="text1"/>
        </w:rPr>
        <w:t>-</w:t>
      </w:r>
      <w:r w:rsidR="00CA73ED">
        <w:rPr>
          <w:color w:val="000000" w:themeColor="text1"/>
        </w:rPr>
        <w:t>making process, the underpinning learning is transferable and highly relevant. As a precursor to knowledge and understanding in a planning context, this exercise is an effective foundation that can be embraced regardless of prior learning and subject awareness.</w:t>
      </w:r>
    </w:p>
    <w:p w14:paraId="11C0FE4C" w14:textId="77777777" w:rsidR="00B53DD2" w:rsidRPr="00E70B3C" w:rsidRDefault="00205937" w:rsidP="00915120">
      <w:pPr>
        <w:spacing w:line="360" w:lineRule="auto"/>
        <w:jc w:val="both"/>
        <w:rPr>
          <w:i/>
        </w:rPr>
      </w:pPr>
      <w:r>
        <w:tab/>
      </w:r>
      <w:r w:rsidR="00915120" w:rsidRPr="00E70B3C">
        <w:t>Following the exercise</w:t>
      </w:r>
      <w:r w:rsidR="002B2783">
        <w:t>,</w:t>
      </w:r>
      <w:r w:rsidR="00915120" w:rsidRPr="00E70B3C">
        <w:t xml:space="preserve"> students were asked to reflect on</w:t>
      </w:r>
      <w:r w:rsidR="005575BB" w:rsidRPr="00E70B3C">
        <w:t xml:space="preserve"> their</w:t>
      </w:r>
      <w:r w:rsidR="00915120" w:rsidRPr="00E70B3C">
        <w:t xml:space="preserve"> approach</w:t>
      </w:r>
      <w:r w:rsidR="005575BB" w:rsidRPr="00E70B3C">
        <w:t xml:space="preserve"> </w:t>
      </w:r>
      <w:r w:rsidR="008E2C82" w:rsidRPr="00E70B3C">
        <w:t>to the</w:t>
      </w:r>
      <w:r w:rsidR="00915120" w:rsidRPr="00E70B3C">
        <w:t xml:space="preserve"> </w:t>
      </w:r>
      <w:r w:rsidR="00146DDC" w:rsidRPr="00E70B3C">
        <w:t>game in</w:t>
      </w:r>
      <w:r w:rsidR="003647A4" w:rsidRPr="00E70B3C">
        <w:t xml:space="preserve"> </w:t>
      </w:r>
      <w:r w:rsidR="00915120" w:rsidRPr="00E70B3C">
        <w:t>consider</w:t>
      </w:r>
      <w:r w:rsidR="003647A4" w:rsidRPr="00E70B3C">
        <w:t>ing</w:t>
      </w:r>
      <w:r w:rsidR="00915120" w:rsidRPr="00E70B3C">
        <w:t xml:space="preserve"> their choices with regard to the bigger picture: win-win being the ideal situation (both sides need to feel comfortable </w:t>
      </w:r>
      <w:r w:rsidR="00346548" w:rsidRPr="00E70B3C">
        <w:t>with</w:t>
      </w:r>
      <w:r w:rsidR="00346548">
        <w:t xml:space="preserve"> the </w:t>
      </w:r>
      <w:r w:rsidR="00915120" w:rsidRPr="00E70B3C">
        <w:t>ou</w:t>
      </w:r>
      <w:r w:rsidR="00B53DD2" w:rsidRPr="00E70B3C">
        <w:t>t</w:t>
      </w:r>
      <w:r w:rsidR="00FB5FD6">
        <w:t>come to be considered win-win).</w:t>
      </w:r>
      <w:r w:rsidR="00B53DD2" w:rsidRPr="00E70B3C">
        <w:t xml:space="preserve"> McClymont (2011) </w:t>
      </w:r>
      <w:r w:rsidR="005575BB" w:rsidRPr="00E70B3C">
        <w:t>notes a w</w:t>
      </w:r>
      <w:r w:rsidR="00915120" w:rsidRPr="00E70B3C">
        <w:t>in-win in a market sense is when one party wants what another is prepared to trade and in this sense a win-lose scenario should only be considered where an on-going relatio</w:t>
      </w:r>
      <w:r w:rsidR="00B53DD2" w:rsidRPr="00E70B3C">
        <w:t xml:space="preserve">nship is not required, </w:t>
      </w:r>
      <w:r w:rsidR="00915120" w:rsidRPr="00E70B3C">
        <w:t>for example one-off transactions</w:t>
      </w:r>
      <w:r w:rsidR="00346548">
        <w:t>,</w:t>
      </w:r>
      <w:r w:rsidR="00915120" w:rsidRPr="00E70B3C">
        <w:t xml:space="preserve"> such as buying a house. </w:t>
      </w:r>
    </w:p>
    <w:p w14:paraId="33E8725E" w14:textId="77777777" w:rsidR="007C5625" w:rsidRDefault="007C5625" w:rsidP="00915120">
      <w:pPr>
        <w:spacing w:line="360" w:lineRule="auto"/>
        <w:jc w:val="both"/>
        <w:rPr>
          <w:i/>
        </w:rPr>
      </w:pPr>
    </w:p>
    <w:p w14:paraId="777841EF" w14:textId="77777777" w:rsidR="00205937" w:rsidRPr="00E70B3C" w:rsidRDefault="00205937" w:rsidP="00915120">
      <w:pPr>
        <w:spacing w:line="360" w:lineRule="auto"/>
        <w:jc w:val="both"/>
        <w:rPr>
          <w:i/>
        </w:rPr>
      </w:pPr>
    </w:p>
    <w:p w14:paraId="5B865A18" w14:textId="77777777" w:rsidR="00915120" w:rsidRPr="00E70B3C" w:rsidRDefault="00B53DD2" w:rsidP="00915120">
      <w:pPr>
        <w:spacing w:line="360" w:lineRule="auto"/>
        <w:jc w:val="both"/>
        <w:rPr>
          <w:i/>
        </w:rPr>
      </w:pPr>
      <w:r w:rsidRPr="00E70B3C">
        <w:rPr>
          <w:i/>
        </w:rPr>
        <w:t>Observed example 3</w:t>
      </w:r>
      <w:r w:rsidR="00915120" w:rsidRPr="00E70B3C">
        <w:rPr>
          <w:i/>
        </w:rPr>
        <w:t>: Participatory budgeting</w:t>
      </w:r>
    </w:p>
    <w:p w14:paraId="4C3B36B1" w14:textId="77777777" w:rsidR="00FB5FD6" w:rsidRDefault="00B53DD2" w:rsidP="00FB5FD6">
      <w:pPr>
        <w:spacing w:line="360" w:lineRule="auto"/>
        <w:jc w:val="both"/>
      </w:pPr>
      <w:r w:rsidRPr="00E70B3C">
        <w:t>‘Sharrow D</w:t>
      </w:r>
      <w:r w:rsidR="00915120" w:rsidRPr="00E70B3C">
        <w:t>ecides’ inv</w:t>
      </w:r>
      <w:r w:rsidRPr="00E70B3C">
        <w:t>olved UWE</w:t>
      </w:r>
      <w:r w:rsidR="00915120" w:rsidRPr="00E70B3C">
        <w:t xml:space="preserve"> </w:t>
      </w:r>
      <w:r w:rsidR="00CA73ED">
        <w:t xml:space="preserve">undergraduate </w:t>
      </w:r>
      <w:r w:rsidR="00915120" w:rsidRPr="00E70B3C">
        <w:t>students taking on specif</w:t>
      </w:r>
      <w:r w:rsidRPr="00E70B3C">
        <w:t xml:space="preserve">ied individual characters </w:t>
      </w:r>
      <w:r w:rsidR="00915120" w:rsidRPr="00E70B3C">
        <w:t>(drawn randomly) to argue their case for a slice of the availabl</w:t>
      </w:r>
      <w:r w:rsidRPr="00E70B3C">
        <w:t xml:space="preserve">e budget to carry out work </w:t>
      </w:r>
      <w:r w:rsidR="00915120" w:rsidRPr="00E70B3C">
        <w:t xml:space="preserve">for a specific site in the Sharrow area of Sheffield. </w:t>
      </w:r>
      <w:r w:rsidR="005575BB" w:rsidRPr="00E70B3C">
        <w:t>U</w:t>
      </w:r>
      <w:r w:rsidR="00915120" w:rsidRPr="00E70B3C">
        <w:t>s</w:t>
      </w:r>
      <w:r w:rsidR="005575BB" w:rsidRPr="00E70B3C">
        <w:t>ing</w:t>
      </w:r>
      <w:r w:rsidR="00915120" w:rsidRPr="00E70B3C">
        <w:t xml:space="preserve"> a real location with hypothetical objectives students investigate</w:t>
      </w:r>
      <w:r w:rsidR="005575BB" w:rsidRPr="00E70B3C">
        <w:t>d</w:t>
      </w:r>
      <w:r w:rsidR="00915120" w:rsidRPr="00E70B3C">
        <w:t xml:space="preserve"> the area using internet search tools to gain additional background information on the locality. The role p</w:t>
      </w:r>
      <w:r w:rsidRPr="00E70B3C">
        <w:t>lay was prepared</w:t>
      </w:r>
      <w:r w:rsidR="00915120" w:rsidRPr="00E70B3C">
        <w:t xml:space="preserve"> by the students over two lecture sessions. Each role was different and came w</w:t>
      </w:r>
      <w:r w:rsidRPr="00E70B3C">
        <w:t>ith a set of objectives for that</w:t>
      </w:r>
      <w:r w:rsidR="00915120" w:rsidRPr="00E70B3C">
        <w:t xml:space="preserve"> person to achieve. The overall budget was not sufficient to allow each role to achieve all of their desired objectives. Students were  required to prioritise their ‘shopping list’ and to seek alliances with other chara</w:t>
      </w:r>
      <w:r w:rsidRPr="00E70B3C">
        <w:t xml:space="preserve">cters to share </w:t>
      </w:r>
      <w:r w:rsidR="00915120" w:rsidRPr="00E70B3C">
        <w:t>services to achieve win-win scenarios.</w:t>
      </w:r>
      <w:r w:rsidR="00CA73ED">
        <w:t xml:space="preserve"> The real context, complexity and </w:t>
      </w:r>
      <w:r w:rsidR="007E4441">
        <w:t xml:space="preserve">research requirements </w:t>
      </w:r>
      <w:r w:rsidR="00CA73ED">
        <w:t>associated with this scenario represent an opportunity for progression in learning and understanding from exercises such as the X and Y game</w:t>
      </w:r>
      <w:r w:rsidR="007E4441">
        <w:t xml:space="preserve">, as well as the </w:t>
      </w:r>
      <w:r w:rsidR="007E4441">
        <w:lastRenderedPageBreak/>
        <w:t>development of skills</w:t>
      </w:r>
      <w:r w:rsidR="00CA73ED">
        <w:t xml:space="preserve">. </w:t>
      </w:r>
      <w:r w:rsidR="007E4441">
        <w:t>In parallel with enhanced academic understanding, vocational skills and abilities can also be developed in a progressive manner to support student learning journeys.</w:t>
      </w:r>
    </w:p>
    <w:p w14:paraId="16ADF454" w14:textId="77777777" w:rsidR="00915120" w:rsidRPr="00E70B3C" w:rsidRDefault="00915120" w:rsidP="00FB5FD6">
      <w:pPr>
        <w:spacing w:line="360" w:lineRule="auto"/>
        <w:ind w:firstLine="720"/>
        <w:jc w:val="both"/>
      </w:pPr>
      <w:r w:rsidRPr="00E70B3C">
        <w:t xml:space="preserve">The exercise comprised a summative </w:t>
      </w:r>
      <w:r w:rsidR="00C13067" w:rsidRPr="00E70B3C">
        <w:t>assessment and i</w:t>
      </w:r>
      <w:r w:rsidRPr="00E70B3C">
        <w:t>ncentivised students to play their roles seriously and to the best of their ability. Two distinct approaches were seen during the exercise</w:t>
      </w:r>
      <w:r w:rsidR="005575BB" w:rsidRPr="00E70B3C">
        <w:t>,</w:t>
      </w:r>
      <w:r w:rsidRPr="00E70B3C">
        <w:t xml:space="preserve"> reflecting Claydon’s (1998) notion of positional bargaining versus principled negotiations. The forme</w:t>
      </w:r>
      <w:r w:rsidR="00C13067" w:rsidRPr="00E70B3C">
        <w:t>r adopts a competitive stance, not</w:t>
      </w:r>
      <w:r w:rsidR="005575BB" w:rsidRPr="00E70B3C">
        <w:t>ing</w:t>
      </w:r>
      <w:r w:rsidRPr="00E70B3C">
        <w:t xml:space="preserve"> the size of the cake</w:t>
      </w:r>
      <w:r w:rsidR="005575BB" w:rsidRPr="00E70B3C">
        <w:t>,</w:t>
      </w:r>
      <w:r w:rsidRPr="00E70B3C">
        <w:t xml:space="preserve"> try</w:t>
      </w:r>
      <w:r w:rsidR="005575BB" w:rsidRPr="00E70B3C">
        <w:t>ing</w:t>
      </w:r>
      <w:r w:rsidRPr="00E70B3C">
        <w:t xml:space="preserve"> to grab as much as </w:t>
      </w:r>
      <w:r w:rsidR="00C13067" w:rsidRPr="00E70B3C">
        <w:t>possible</w:t>
      </w:r>
      <w:r w:rsidR="005575BB" w:rsidRPr="00E70B3C">
        <w:t>,</w:t>
      </w:r>
      <w:r w:rsidR="00C13067" w:rsidRPr="00E70B3C">
        <w:t xml:space="preserve"> adopting a </w:t>
      </w:r>
      <w:r w:rsidRPr="00E70B3C">
        <w:t xml:space="preserve">tactic based on </w:t>
      </w:r>
      <w:r w:rsidR="005575BB" w:rsidRPr="00E70B3C">
        <w:t>the</w:t>
      </w:r>
      <w:r w:rsidRPr="00E70B3C">
        <w:t xml:space="preserve"> </w:t>
      </w:r>
      <w:r w:rsidR="00C13067" w:rsidRPr="00E70B3C">
        <w:t>desired outcome. T</w:t>
      </w:r>
      <w:r w:rsidRPr="00E70B3C">
        <w:t xml:space="preserve">rade-offs </w:t>
      </w:r>
      <w:r w:rsidR="00C13067" w:rsidRPr="00E70B3C">
        <w:t xml:space="preserve">occur </w:t>
      </w:r>
      <w:r w:rsidRPr="00E70B3C">
        <w:t xml:space="preserve">between parties until a </w:t>
      </w:r>
      <w:r w:rsidR="00C13067" w:rsidRPr="00E70B3C">
        <w:t>mid-point consensus is achieved. This</w:t>
      </w:r>
      <w:r w:rsidRPr="00E70B3C">
        <w:t xml:space="preserve"> may be a sub-</w:t>
      </w:r>
      <w:r w:rsidR="00C13067" w:rsidRPr="00E70B3C">
        <w:t>optimal solution only derived</w:t>
      </w:r>
      <w:r w:rsidRPr="00E70B3C">
        <w:t xml:space="preserve"> as a way of appeasing other parties, providing for relatively arbitrary results </w:t>
      </w:r>
      <w:r w:rsidR="00346548" w:rsidRPr="00E70B3C">
        <w:t>depend</w:t>
      </w:r>
      <w:r w:rsidR="00346548">
        <w:t>e</w:t>
      </w:r>
      <w:r w:rsidR="00346548" w:rsidRPr="00E70B3C">
        <w:t xml:space="preserve">nt </w:t>
      </w:r>
      <w:r w:rsidRPr="00E70B3C">
        <w:t>on time constraints and the skills of the participants. It is an approach which can result in entrenched positions and make matters worse (Claydon &amp; Chick 2005</w:t>
      </w:r>
      <w:r w:rsidR="006A5E63">
        <w:t>, p.</w:t>
      </w:r>
      <w:r w:rsidRPr="00E70B3C">
        <w:t>223)</w:t>
      </w:r>
      <w:r w:rsidR="00C13067" w:rsidRPr="00E70B3C">
        <w:t xml:space="preserve">. </w:t>
      </w:r>
    </w:p>
    <w:p w14:paraId="2A82EDB1" w14:textId="77777777" w:rsidR="00082ABD" w:rsidRPr="00E70B3C" w:rsidRDefault="00205937" w:rsidP="00915120">
      <w:pPr>
        <w:spacing w:line="360" w:lineRule="auto"/>
        <w:jc w:val="both"/>
      </w:pPr>
      <w:r>
        <w:tab/>
      </w:r>
      <w:r w:rsidR="00915120" w:rsidRPr="00E70B3C">
        <w:t>Following the session some students felt that their performance was poor as they had not achieved all of their objectives. Others, who had secured their aims early in the debate, were inclined to sit back and watch others fight it out for the limited pot</w:t>
      </w:r>
      <w:r w:rsidR="007336F1">
        <w:t xml:space="preserve"> of money</w:t>
      </w:r>
      <w:r w:rsidR="00915120" w:rsidRPr="00E70B3C">
        <w:t>. Th</w:t>
      </w:r>
      <w:r w:rsidR="002F6983">
        <w:t xml:space="preserve">ose </w:t>
      </w:r>
      <w:r w:rsidR="00915120" w:rsidRPr="00E70B3C">
        <w:t xml:space="preserve">students </w:t>
      </w:r>
      <w:r w:rsidR="002F6983">
        <w:t>who</w:t>
      </w:r>
      <w:r w:rsidR="00915120" w:rsidRPr="00E70B3C">
        <w:t xml:space="preserve"> were able to take a step back from the immediacy of their own objectives to cooperate with others and broker deals between parties</w:t>
      </w:r>
      <w:r w:rsidR="002F6983">
        <w:t xml:space="preserve"> demonstrated a</w:t>
      </w:r>
      <w:r w:rsidR="00915120" w:rsidRPr="00E70B3C">
        <w:t xml:space="preserve"> principled negotiations</w:t>
      </w:r>
      <w:r w:rsidR="002F6983">
        <w:t xml:space="preserve"> stance</w:t>
      </w:r>
      <w:r w:rsidR="00915120" w:rsidRPr="00E70B3C">
        <w:t xml:space="preserve">. </w:t>
      </w:r>
    </w:p>
    <w:p w14:paraId="7BE57B76" w14:textId="77777777" w:rsidR="002163EE" w:rsidRDefault="002163EE" w:rsidP="00915120">
      <w:pPr>
        <w:spacing w:line="360" w:lineRule="auto"/>
        <w:jc w:val="both"/>
      </w:pPr>
    </w:p>
    <w:p w14:paraId="2DBE47BE" w14:textId="77777777" w:rsidR="00205937" w:rsidRPr="00E70B3C" w:rsidRDefault="00205937" w:rsidP="00915120">
      <w:pPr>
        <w:spacing w:line="360" w:lineRule="auto"/>
        <w:jc w:val="both"/>
      </w:pPr>
    </w:p>
    <w:p w14:paraId="77D310D2" w14:textId="77777777" w:rsidR="00C13067" w:rsidRPr="00E70B3C" w:rsidRDefault="00082ABD" w:rsidP="00915120">
      <w:pPr>
        <w:spacing w:line="360" w:lineRule="auto"/>
        <w:jc w:val="both"/>
        <w:rPr>
          <w:b/>
        </w:rPr>
      </w:pPr>
      <w:r w:rsidRPr="00E70B3C">
        <w:rPr>
          <w:b/>
        </w:rPr>
        <w:t>Reflections</w:t>
      </w:r>
    </w:p>
    <w:p w14:paraId="77394F75" w14:textId="77777777" w:rsidR="009A6DC6" w:rsidRPr="00E70B3C" w:rsidRDefault="005575BB" w:rsidP="00915120">
      <w:pPr>
        <w:spacing w:line="360" w:lineRule="auto"/>
        <w:contextualSpacing/>
        <w:jc w:val="both"/>
        <w:rPr>
          <w:rFonts w:eastAsia="Calibri"/>
        </w:rPr>
      </w:pPr>
      <w:r w:rsidRPr="00E70B3C">
        <w:rPr>
          <w:rFonts w:eastAsia="Calibri"/>
        </w:rPr>
        <w:t>A</w:t>
      </w:r>
      <w:r w:rsidR="002F6983">
        <w:rPr>
          <w:rFonts w:eastAsia="Calibri"/>
        </w:rPr>
        <w:t xml:space="preserve">s a result of the inter-institutional learning exchange, </w:t>
      </w:r>
      <w:r w:rsidR="00915120" w:rsidRPr="00E70B3C">
        <w:rPr>
          <w:rFonts w:eastAsia="Calibri"/>
        </w:rPr>
        <w:t xml:space="preserve">a number of alterations, some strategic </w:t>
      </w:r>
      <w:r w:rsidR="002F6983">
        <w:rPr>
          <w:rFonts w:eastAsia="Calibri"/>
        </w:rPr>
        <w:t xml:space="preserve">and </w:t>
      </w:r>
      <w:r w:rsidR="00915120" w:rsidRPr="00E70B3C">
        <w:rPr>
          <w:rFonts w:eastAsia="Calibri"/>
        </w:rPr>
        <w:t>some module related, are being considered</w:t>
      </w:r>
      <w:r w:rsidRPr="00E70B3C">
        <w:rPr>
          <w:rFonts w:eastAsia="Calibri"/>
        </w:rPr>
        <w:t xml:space="preserve"> at both </w:t>
      </w:r>
      <w:r w:rsidR="002F6983">
        <w:rPr>
          <w:rFonts w:eastAsia="Calibri"/>
        </w:rPr>
        <w:t>universitie</w:t>
      </w:r>
      <w:r w:rsidRPr="00E70B3C">
        <w:rPr>
          <w:rFonts w:eastAsia="Calibri"/>
        </w:rPr>
        <w:t>s</w:t>
      </w:r>
      <w:r w:rsidR="00FB5FD6">
        <w:rPr>
          <w:rFonts w:eastAsia="Calibri"/>
        </w:rPr>
        <w:t>.</w:t>
      </w:r>
      <w:r w:rsidR="00915120" w:rsidRPr="00E70B3C">
        <w:rPr>
          <w:rFonts w:eastAsia="Calibri"/>
        </w:rPr>
        <w:t xml:space="preserve"> Ulster is looking at ways of following the Mock Inquiry for final year students</w:t>
      </w:r>
      <w:r w:rsidR="0027258C">
        <w:rPr>
          <w:rFonts w:eastAsia="Calibri"/>
        </w:rPr>
        <w:t xml:space="preserve"> and</w:t>
      </w:r>
      <w:r w:rsidR="00915120" w:rsidRPr="00E70B3C">
        <w:rPr>
          <w:rFonts w:eastAsia="Calibri"/>
        </w:rPr>
        <w:t xml:space="preserve"> UWE </w:t>
      </w:r>
      <w:r w:rsidR="007336F1">
        <w:rPr>
          <w:rFonts w:eastAsia="Calibri"/>
        </w:rPr>
        <w:t>has incorporated</w:t>
      </w:r>
      <w:r w:rsidR="00915120" w:rsidRPr="00E70B3C">
        <w:rPr>
          <w:rFonts w:eastAsia="Calibri"/>
        </w:rPr>
        <w:t xml:space="preserve"> the X and Y activity</w:t>
      </w:r>
      <w:r w:rsidR="007336F1">
        <w:rPr>
          <w:rFonts w:eastAsia="Calibri"/>
        </w:rPr>
        <w:t xml:space="preserve"> into a number of modules both for planning students and those studying for a Real Estate qualification</w:t>
      </w:r>
      <w:r w:rsidR="00915120" w:rsidRPr="00E70B3C">
        <w:rPr>
          <w:rFonts w:eastAsia="Calibri"/>
        </w:rPr>
        <w:t xml:space="preserve">.  </w:t>
      </w:r>
      <w:r w:rsidR="009A6DC6" w:rsidRPr="00E70B3C">
        <w:rPr>
          <w:rFonts w:eastAsia="Calibri"/>
        </w:rPr>
        <w:t>T</w:t>
      </w:r>
      <w:r w:rsidR="00915120" w:rsidRPr="00E70B3C">
        <w:rPr>
          <w:rFonts w:eastAsia="Calibri"/>
        </w:rPr>
        <w:t xml:space="preserve">he potential for greater recognition of programme content to enhance inter-disciplinary learning has been noted for Ulster to </w:t>
      </w:r>
      <w:r w:rsidR="0027258C">
        <w:rPr>
          <w:rFonts w:eastAsia="Calibri"/>
        </w:rPr>
        <w:t>develop</w:t>
      </w:r>
      <w:r w:rsidR="00915120" w:rsidRPr="00E70B3C">
        <w:rPr>
          <w:rFonts w:eastAsia="Calibri"/>
        </w:rPr>
        <w:t xml:space="preserve">. </w:t>
      </w:r>
      <w:r w:rsidR="0027258C">
        <w:rPr>
          <w:rFonts w:eastAsia="Calibri"/>
        </w:rPr>
        <w:t>In addition, b</w:t>
      </w:r>
      <w:r w:rsidR="00915120" w:rsidRPr="00E70B3C">
        <w:rPr>
          <w:rFonts w:eastAsia="Calibri"/>
        </w:rPr>
        <w:t xml:space="preserve">oth institutions are </w:t>
      </w:r>
      <w:r w:rsidR="002F6983">
        <w:rPr>
          <w:rFonts w:eastAsia="Calibri"/>
        </w:rPr>
        <w:t>actively</w:t>
      </w:r>
      <w:r w:rsidR="0027258C">
        <w:rPr>
          <w:rFonts w:eastAsia="Calibri"/>
        </w:rPr>
        <w:t xml:space="preserve"> </w:t>
      </w:r>
      <w:r w:rsidR="00915120" w:rsidRPr="00E70B3C">
        <w:rPr>
          <w:rFonts w:eastAsia="Calibri"/>
        </w:rPr>
        <w:t xml:space="preserve">reviewing the potential </w:t>
      </w:r>
      <w:r w:rsidR="00054A65">
        <w:rPr>
          <w:rFonts w:eastAsia="Calibri"/>
        </w:rPr>
        <w:t>of</w:t>
      </w:r>
      <w:r w:rsidR="00915120" w:rsidRPr="00E70B3C">
        <w:rPr>
          <w:rFonts w:eastAsia="Calibri"/>
        </w:rPr>
        <w:t xml:space="preserve"> on-line material to reinforce particular topics</w:t>
      </w:r>
      <w:r w:rsidR="001474DA" w:rsidRPr="00E70B3C">
        <w:rPr>
          <w:rFonts w:eastAsia="Calibri"/>
        </w:rPr>
        <w:t xml:space="preserve">. </w:t>
      </w:r>
      <w:r w:rsidR="0027258C">
        <w:rPr>
          <w:rFonts w:eastAsia="Calibri"/>
        </w:rPr>
        <w:t>This</w:t>
      </w:r>
      <w:r w:rsidR="0027258C" w:rsidRPr="00E70B3C">
        <w:rPr>
          <w:rFonts w:eastAsia="Calibri"/>
        </w:rPr>
        <w:t xml:space="preserve"> </w:t>
      </w:r>
      <w:r w:rsidR="001474DA" w:rsidRPr="00E70B3C">
        <w:rPr>
          <w:rFonts w:eastAsia="Calibri"/>
        </w:rPr>
        <w:t>interlinks</w:t>
      </w:r>
      <w:r w:rsidR="00915120" w:rsidRPr="00E70B3C">
        <w:rPr>
          <w:rFonts w:eastAsia="Calibri"/>
        </w:rPr>
        <w:t xml:space="preserve"> with graduate development programmes </w:t>
      </w:r>
      <w:r w:rsidR="001474DA" w:rsidRPr="00E70B3C">
        <w:rPr>
          <w:rFonts w:eastAsia="Calibri"/>
        </w:rPr>
        <w:t>provid</w:t>
      </w:r>
      <w:r w:rsidRPr="00E70B3C">
        <w:rPr>
          <w:rFonts w:eastAsia="Calibri"/>
        </w:rPr>
        <w:t>ing</w:t>
      </w:r>
      <w:r w:rsidR="001474DA" w:rsidRPr="00E70B3C">
        <w:rPr>
          <w:rFonts w:eastAsia="Calibri"/>
        </w:rPr>
        <w:t xml:space="preserve"> </w:t>
      </w:r>
      <w:r w:rsidR="00915120" w:rsidRPr="00E70B3C">
        <w:rPr>
          <w:rFonts w:eastAsia="Calibri"/>
        </w:rPr>
        <w:t>greater reflection upon comparative elements across the devolved UK to enhance practice knowledge, conceptual debate and graduate</w:t>
      </w:r>
      <w:r w:rsidR="001474DA" w:rsidRPr="00E70B3C">
        <w:rPr>
          <w:rFonts w:eastAsia="Calibri"/>
        </w:rPr>
        <w:t xml:space="preserve"> mobility. </w:t>
      </w:r>
    </w:p>
    <w:p w14:paraId="6CAA2F6A" w14:textId="77777777" w:rsidR="004B1211" w:rsidRPr="00E70B3C" w:rsidRDefault="00205937" w:rsidP="00DD6DA1">
      <w:pPr>
        <w:spacing w:line="360" w:lineRule="auto"/>
        <w:contextualSpacing/>
        <w:jc w:val="both"/>
      </w:pPr>
      <w:r>
        <w:rPr>
          <w:rFonts w:eastAsia="Calibri"/>
        </w:rPr>
        <w:tab/>
      </w:r>
      <w:r w:rsidR="002F6983">
        <w:t>There are clear</w:t>
      </w:r>
      <w:r w:rsidR="00DD6DA1" w:rsidRPr="00E70B3C">
        <w:t xml:space="preserve"> challenge</w:t>
      </w:r>
      <w:r w:rsidR="003D6C42">
        <w:t>s</w:t>
      </w:r>
      <w:r w:rsidR="00DD6DA1" w:rsidRPr="00E70B3C">
        <w:t>, and opportunit</w:t>
      </w:r>
      <w:r w:rsidR="002F6983">
        <w:t>ies</w:t>
      </w:r>
      <w:r w:rsidR="00DD6DA1" w:rsidRPr="00E70B3C">
        <w:t xml:space="preserve">, in </w:t>
      </w:r>
      <w:r w:rsidR="002F6983">
        <w:t>facilitating learning</w:t>
      </w:r>
      <w:r w:rsidR="002903CC">
        <w:t xml:space="preserve"> to a diverse cohort, potentially combining </w:t>
      </w:r>
      <w:r w:rsidR="00DD6DA1" w:rsidRPr="00E70B3C">
        <w:t xml:space="preserve">part-time and full-time students, </w:t>
      </w:r>
      <w:r w:rsidR="002903CC">
        <w:t xml:space="preserve">together with students </w:t>
      </w:r>
      <w:r w:rsidR="002903CC">
        <w:lastRenderedPageBreak/>
        <w:t xml:space="preserve">from </w:t>
      </w:r>
      <w:r w:rsidR="00DD6DA1" w:rsidRPr="00E70B3C">
        <w:t xml:space="preserve">a non-planning </w:t>
      </w:r>
      <w:r w:rsidR="002903CC">
        <w:t xml:space="preserve">or non-cognate discipline </w:t>
      </w:r>
      <w:r w:rsidR="00DD6DA1" w:rsidRPr="00E70B3C">
        <w:t>background. Full-time and part-time students can have different expectations as to what programmes can provide. Full-time students can be more academic</w:t>
      </w:r>
      <w:r w:rsidR="00E8649E">
        <w:t>ally orient</w:t>
      </w:r>
      <w:r w:rsidR="003D6C42">
        <w:t>at</w:t>
      </w:r>
      <w:r w:rsidR="00E8649E">
        <w:t>ed</w:t>
      </w:r>
      <w:r w:rsidR="00DD6DA1" w:rsidRPr="00E70B3C">
        <w:t xml:space="preserve"> in their approach </w:t>
      </w:r>
      <w:r w:rsidR="00E8649E">
        <w:t>whilst</w:t>
      </w:r>
      <w:r w:rsidR="00DD6DA1" w:rsidRPr="00E70B3C">
        <w:t xml:space="preserve"> part-time students can bring practical application into the classroom and into assessment. Styles of teaching need to acknowledge, and celebrate these differences in </w:t>
      </w:r>
      <w:r w:rsidR="00E8649E">
        <w:t>contribution and exploit the potential of peer learning</w:t>
      </w:r>
      <w:r w:rsidR="00DD6DA1" w:rsidRPr="00E70B3C">
        <w:t xml:space="preserve">. This research </w:t>
      </w:r>
      <w:r w:rsidR="00BB7014">
        <w:t>offers a positive example of inter-institutional sharing of pedagogical practice</w:t>
      </w:r>
      <w:r w:rsidR="00DD6DA1" w:rsidRPr="00E70B3C">
        <w:t xml:space="preserve"> to </w:t>
      </w:r>
      <w:r w:rsidR="00BB7014">
        <w:t>enhance experiential student learning</w:t>
      </w:r>
      <w:r w:rsidR="00DD6DA1" w:rsidRPr="00E70B3C">
        <w:t xml:space="preserve"> appropriate </w:t>
      </w:r>
      <w:r w:rsidR="00BB7014">
        <w:t xml:space="preserve">to a </w:t>
      </w:r>
      <w:r w:rsidR="00DD6DA1" w:rsidRPr="00E70B3C">
        <w:t>skill</w:t>
      </w:r>
      <w:r w:rsidR="00E8649E">
        <w:t>s-</w:t>
      </w:r>
      <w:r w:rsidR="00DD6DA1" w:rsidRPr="00E70B3C">
        <w:t xml:space="preserve">orientated </w:t>
      </w:r>
      <w:r w:rsidR="00BB7014">
        <w:t>programme such as planning.</w:t>
      </w:r>
      <w:r w:rsidR="00DD6DA1" w:rsidRPr="00E70B3C">
        <w:t xml:space="preserve"> </w:t>
      </w:r>
    </w:p>
    <w:p w14:paraId="57E9F5B6" w14:textId="77777777" w:rsidR="00E22516" w:rsidRDefault="00205937" w:rsidP="00915120">
      <w:pPr>
        <w:spacing w:line="360" w:lineRule="auto"/>
        <w:contextualSpacing/>
        <w:jc w:val="both"/>
      </w:pPr>
      <w:r>
        <w:tab/>
      </w:r>
      <w:r w:rsidR="00E830D1">
        <w:t>S</w:t>
      </w:r>
      <w:r w:rsidR="00DD6DA1" w:rsidRPr="00E70B3C">
        <w:t>tudent, employer and external examiner feedback has been overwhelmingly positive</w:t>
      </w:r>
      <w:r w:rsidR="00E830D1">
        <w:t xml:space="preserve"> to</w:t>
      </w:r>
      <w:r w:rsidR="00BB7014">
        <w:t>wards</w:t>
      </w:r>
      <w:r w:rsidR="00E830D1">
        <w:t xml:space="preserve"> th</w:t>
      </w:r>
      <w:r w:rsidR="00BB7014">
        <w:t>is research</w:t>
      </w:r>
      <w:r w:rsidR="00E830D1">
        <w:t xml:space="preserve"> project</w:t>
      </w:r>
      <w:r w:rsidR="00DD6DA1" w:rsidRPr="00E70B3C">
        <w:t xml:space="preserve">. </w:t>
      </w:r>
      <w:r w:rsidR="009B1F02">
        <w:t>As expectations for practice-ready graduates increase, i</w:t>
      </w:r>
      <w:r w:rsidR="00BB7014">
        <w:t>t is suggested that f</w:t>
      </w:r>
      <w:r w:rsidR="00E830D1">
        <w:t xml:space="preserve">uture research should </w:t>
      </w:r>
      <w:r w:rsidR="009B1F02">
        <w:t>explore</w:t>
      </w:r>
      <w:r w:rsidR="00E830D1">
        <w:t xml:space="preserve"> the teaching of specific practice-orientated skills for planners in relation to RTPI requirements and meeting the needs of employers in areas such as decision-making, negotiating and influencing, as suggested by McLouglin (2012). The position of development management teaching</w:t>
      </w:r>
      <w:r w:rsidR="009B1F02">
        <w:t>, for example,</w:t>
      </w:r>
      <w:r w:rsidR="00E830D1">
        <w:t xml:space="preserve"> will need further consideration to ensure effective delivery of practice-orientated skills. This needs to be balanced with the need for academic theory and conceptual understanding. One key opportunity in this regard is to engage students and employers further as partners. As highlighted in the </w:t>
      </w:r>
      <w:r w:rsidR="00E830D1" w:rsidRPr="00E830D1">
        <w:t>HEA report ‘Engagement through partnership: students as partners in learning and teaching in higher education’</w:t>
      </w:r>
      <w:r w:rsidR="00E830D1">
        <w:t xml:space="preserve"> (</w:t>
      </w:r>
      <w:r w:rsidR="00E830D1" w:rsidRPr="00E830D1">
        <w:t>Healy,</w:t>
      </w:r>
      <w:r>
        <w:t xml:space="preserve"> </w:t>
      </w:r>
      <w:r w:rsidR="00E830D1" w:rsidRPr="00E830D1">
        <w:t>Flint</w:t>
      </w:r>
      <w:r>
        <w:t xml:space="preserve"> &amp;</w:t>
      </w:r>
      <w:r w:rsidR="00E830D1" w:rsidRPr="00E830D1">
        <w:t xml:space="preserve"> </w:t>
      </w:r>
      <w:r w:rsidR="00E830D1">
        <w:t>H</w:t>
      </w:r>
      <w:r w:rsidR="00E830D1" w:rsidRPr="00E830D1">
        <w:t>arrington</w:t>
      </w:r>
      <w:r>
        <w:t>,</w:t>
      </w:r>
      <w:r w:rsidR="00E830D1">
        <w:t xml:space="preserve"> 2014), the concept of </w:t>
      </w:r>
      <w:r w:rsidR="00E830D1" w:rsidRPr="00E830D1">
        <w:t xml:space="preserve">'collegiality' amongst all concerned </w:t>
      </w:r>
      <w:r w:rsidR="00E830D1">
        <w:t>is</w:t>
      </w:r>
      <w:r w:rsidR="00E830D1" w:rsidRPr="00E830D1">
        <w:t xml:space="preserve"> </w:t>
      </w:r>
      <w:r w:rsidR="00E830D1">
        <w:t xml:space="preserve">an </w:t>
      </w:r>
      <w:r w:rsidR="00E830D1" w:rsidRPr="00E830D1">
        <w:t>important and current phenomenon that is crucially relevant to the field of learning and teaching in H</w:t>
      </w:r>
      <w:r w:rsidR="00E22516">
        <w:t xml:space="preserve">igher </w:t>
      </w:r>
      <w:r w:rsidR="00E830D1" w:rsidRPr="00E830D1">
        <w:t>E</w:t>
      </w:r>
      <w:r w:rsidR="00E22516">
        <w:t>ducation</w:t>
      </w:r>
      <w:r w:rsidR="00E830D1">
        <w:t>.</w:t>
      </w:r>
      <w:r w:rsidR="00915120" w:rsidRPr="00E70B3C">
        <w:t xml:space="preserve"> </w:t>
      </w:r>
      <w:r w:rsidR="006701C6">
        <w:t>This raises important questions around the teaching, learning and assessment strategies adopted.</w:t>
      </w:r>
    </w:p>
    <w:p w14:paraId="458418DD" w14:textId="77777777" w:rsidR="00DD6DA1" w:rsidRPr="00E70B3C" w:rsidRDefault="00205937" w:rsidP="00915120">
      <w:pPr>
        <w:spacing w:line="360" w:lineRule="auto"/>
        <w:contextualSpacing/>
        <w:jc w:val="both"/>
      </w:pPr>
      <w:r>
        <w:tab/>
      </w:r>
    </w:p>
    <w:p w14:paraId="77BAB6A4" w14:textId="77777777" w:rsidR="00FD61B6" w:rsidRDefault="00FD61B6" w:rsidP="00915120">
      <w:pPr>
        <w:spacing w:line="360" w:lineRule="auto"/>
        <w:contextualSpacing/>
        <w:jc w:val="both"/>
      </w:pPr>
    </w:p>
    <w:p w14:paraId="50FDA20B" w14:textId="77777777" w:rsidR="00FC107C" w:rsidRDefault="00FC107C" w:rsidP="00915120">
      <w:pPr>
        <w:spacing w:line="360" w:lineRule="auto"/>
        <w:contextualSpacing/>
        <w:jc w:val="both"/>
      </w:pPr>
    </w:p>
    <w:p w14:paraId="2D3E7290" w14:textId="77777777" w:rsidR="00FC107C" w:rsidRDefault="00FC107C" w:rsidP="00915120">
      <w:pPr>
        <w:spacing w:line="360" w:lineRule="auto"/>
        <w:contextualSpacing/>
        <w:jc w:val="both"/>
      </w:pPr>
    </w:p>
    <w:p w14:paraId="4FBDCDBC" w14:textId="77777777" w:rsidR="00FC107C" w:rsidRDefault="00FC107C" w:rsidP="00915120">
      <w:pPr>
        <w:spacing w:line="360" w:lineRule="auto"/>
        <w:contextualSpacing/>
        <w:jc w:val="both"/>
      </w:pPr>
    </w:p>
    <w:p w14:paraId="3F8A93D1" w14:textId="77777777" w:rsidR="00FC107C" w:rsidRDefault="00FC107C" w:rsidP="00915120">
      <w:pPr>
        <w:spacing w:line="360" w:lineRule="auto"/>
        <w:contextualSpacing/>
        <w:jc w:val="both"/>
      </w:pPr>
    </w:p>
    <w:p w14:paraId="42558FB1" w14:textId="77777777" w:rsidR="00FC107C" w:rsidRDefault="00FC107C" w:rsidP="00915120">
      <w:pPr>
        <w:spacing w:line="360" w:lineRule="auto"/>
        <w:contextualSpacing/>
        <w:jc w:val="both"/>
      </w:pPr>
    </w:p>
    <w:p w14:paraId="6776602D" w14:textId="77777777" w:rsidR="00FC107C" w:rsidRDefault="00FC107C" w:rsidP="00915120">
      <w:pPr>
        <w:spacing w:line="360" w:lineRule="auto"/>
        <w:contextualSpacing/>
        <w:jc w:val="both"/>
      </w:pPr>
    </w:p>
    <w:p w14:paraId="4354873F" w14:textId="77777777" w:rsidR="00FC107C" w:rsidRDefault="00FC107C" w:rsidP="00915120">
      <w:pPr>
        <w:spacing w:line="360" w:lineRule="auto"/>
        <w:contextualSpacing/>
        <w:jc w:val="both"/>
      </w:pPr>
    </w:p>
    <w:p w14:paraId="1CD5611E" w14:textId="77777777" w:rsidR="00FC107C" w:rsidRDefault="00FC107C" w:rsidP="00915120">
      <w:pPr>
        <w:spacing w:line="360" w:lineRule="auto"/>
        <w:contextualSpacing/>
        <w:jc w:val="both"/>
      </w:pPr>
    </w:p>
    <w:p w14:paraId="40FB7E96" w14:textId="77777777" w:rsidR="00FC107C" w:rsidRDefault="00FC107C" w:rsidP="00915120">
      <w:pPr>
        <w:spacing w:line="360" w:lineRule="auto"/>
        <w:contextualSpacing/>
        <w:jc w:val="both"/>
      </w:pPr>
    </w:p>
    <w:p w14:paraId="0B340D4C" w14:textId="77777777" w:rsidR="00915120" w:rsidRPr="00E70B3C" w:rsidRDefault="00915120" w:rsidP="00915120">
      <w:pPr>
        <w:spacing w:line="360" w:lineRule="auto"/>
        <w:contextualSpacing/>
        <w:jc w:val="both"/>
        <w:rPr>
          <w:b/>
        </w:rPr>
      </w:pPr>
      <w:r w:rsidRPr="00E70B3C">
        <w:rPr>
          <w:b/>
        </w:rPr>
        <w:lastRenderedPageBreak/>
        <w:t>Table 1. Examples of the activities carried out on each visit</w:t>
      </w:r>
    </w:p>
    <w:p w14:paraId="66EED70D" w14:textId="77777777" w:rsidR="00915120" w:rsidRPr="00E70B3C" w:rsidRDefault="00915120" w:rsidP="00915120">
      <w:pPr>
        <w:spacing w:line="360" w:lineRule="auto"/>
        <w:contextualSpacing/>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402"/>
        <w:gridCol w:w="992"/>
        <w:gridCol w:w="3827"/>
      </w:tblGrid>
      <w:tr w:rsidR="00915120" w:rsidRPr="00E70B3C" w14:paraId="28439F0A" w14:textId="77777777" w:rsidTr="00915FC9">
        <w:trPr>
          <w:trHeight w:val="341"/>
        </w:trPr>
        <w:tc>
          <w:tcPr>
            <w:tcW w:w="4361" w:type="dxa"/>
            <w:gridSpan w:val="2"/>
          </w:tcPr>
          <w:p w14:paraId="73BD01A2" w14:textId="77777777" w:rsidR="00915120" w:rsidRPr="00E70B3C" w:rsidRDefault="00915120" w:rsidP="005C2A6E">
            <w:pPr>
              <w:spacing w:line="360" w:lineRule="auto"/>
              <w:contextualSpacing/>
              <w:jc w:val="center"/>
              <w:rPr>
                <w:rFonts w:eastAsia="Calibri"/>
                <w:b/>
              </w:rPr>
            </w:pPr>
            <w:r w:rsidRPr="00E70B3C">
              <w:rPr>
                <w:b/>
              </w:rPr>
              <w:t xml:space="preserve">University of Ulster activities </w:t>
            </w:r>
            <w:r w:rsidR="00915FC9">
              <w:rPr>
                <w:b/>
              </w:rPr>
              <w:t>observed during</w:t>
            </w:r>
            <w:r w:rsidR="00915FC9" w:rsidRPr="00E70B3C">
              <w:rPr>
                <w:b/>
              </w:rPr>
              <w:t xml:space="preserve"> </w:t>
            </w:r>
            <w:r w:rsidRPr="00E70B3C">
              <w:rPr>
                <w:b/>
              </w:rPr>
              <w:t xml:space="preserve">visit to </w:t>
            </w:r>
            <w:r w:rsidR="00915FC9">
              <w:rPr>
                <w:b/>
              </w:rPr>
              <w:t xml:space="preserve">UWE </w:t>
            </w:r>
          </w:p>
        </w:tc>
        <w:tc>
          <w:tcPr>
            <w:tcW w:w="4819" w:type="dxa"/>
            <w:gridSpan w:val="2"/>
          </w:tcPr>
          <w:p w14:paraId="34F4A3FB" w14:textId="77777777" w:rsidR="00915120" w:rsidRPr="00E70B3C" w:rsidRDefault="00915FC9" w:rsidP="005C2A6E">
            <w:pPr>
              <w:spacing w:line="360" w:lineRule="auto"/>
              <w:contextualSpacing/>
              <w:jc w:val="center"/>
              <w:rPr>
                <w:rFonts w:eastAsia="Calibri"/>
                <w:b/>
              </w:rPr>
            </w:pPr>
            <w:r>
              <w:rPr>
                <w:b/>
              </w:rPr>
              <w:t xml:space="preserve">UWE </w:t>
            </w:r>
            <w:r w:rsidR="00915120" w:rsidRPr="00E70B3C">
              <w:rPr>
                <w:b/>
              </w:rPr>
              <w:t xml:space="preserve">activities </w:t>
            </w:r>
            <w:r w:rsidRPr="00915FC9">
              <w:rPr>
                <w:b/>
              </w:rPr>
              <w:t xml:space="preserve">observed during visit </w:t>
            </w:r>
            <w:r>
              <w:rPr>
                <w:b/>
              </w:rPr>
              <w:t xml:space="preserve">to </w:t>
            </w:r>
            <w:r w:rsidRPr="00915FC9">
              <w:rPr>
                <w:b/>
              </w:rPr>
              <w:t>University of Ulster</w:t>
            </w:r>
          </w:p>
        </w:tc>
      </w:tr>
      <w:tr w:rsidR="00915120" w:rsidRPr="00E70B3C" w14:paraId="1C07D412" w14:textId="77777777">
        <w:trPr>
          <w:trHeight w:val="308"/>
        </w:trPr>
        <w:tc>
          <w:tcPr>
            <w:tcW w:w="959" w:type="dxa"/>
            <w:vAlign w:val="center"/>
          </w:tcPr>
          <w:p w14:paraId="453907B7" w14:textId="77777777" w:rsidR="00915120" w:rsidRPr="00E70B3C" w:rsidRDefault="00915120" w:rsidP="00915FC9">
            <w:pPr>
              <w:spacing w:line="360" w:lineRule="auto"/>
              <w:contextualSpacing/>
              <w:rPr>
                <w:rFonts w:eastAsia="Calibri"/>
              </w:rPr>
            </w:pPr>
            <w:r w:rsidRPr="00E70B3C">
              <w:rPr>
                <w:rFonts w:eastAsia="Calibri"/>
              </w:rPr>
              <w:t>Visit 1:</w:t>
            </w:r>
          </w:p>
        </w:tc>
        <w:tc>
          <w:tcPr>
            <w:tcW w:w="3402" w:type="dxa"/>
          </w:tcPr>
          <w:p w14:paraId="37E9E374" w14:textId="77777777" w:rsidR="00915120" w:rsidRPr="00E70B3C" w:rsidRDefault="00915120" w:rsidP="00915FC9">
            <w:pPr>
              <w:spacing w:line="360" w:lineRule="auto"/>
              <w:contextualSpacing/>
            </w:pPr>
            <w:r w:rsidRPr="00E70B3C">
              <w:t xml:space="preserve">Observation of a mock </w:t>
            </w:r>
            <w:r w:rsidRPr="00E70B3C">
              <w:rPr>
                <w:rFonts w:eastAsia="Calibri"/>
              </w:rPr>
              <w:t>Planning Inquiry</w:t>
            </w:r>
            <w:r w:rsidRPr="00E70B3C">
              <w:t xml:space="preserve"> used to support the teaching of planning law and the decision process to Masters students.</w:t>
            </w:r>
          </w:p>
          <w:p w14:paraId="22C7A92B" w14:textId="77777777" w:rsidR="00915120" w:rsidRPr="00E70B3C" w:rsidRDefault="00915120" w:rsidP="00915FC9">
            <w:pPr>
              <w:spacing w:line="360" w:lineRule="auto"/>
              <w:contextualSpacing/>
            </w:pPr>
            <w:r w:rsidRPr="00E70B3C">
              <w:t>Observation of negotiation exercises.</w:t>
            </w:r>
          </w:p>
          <w:p w14:paraId="60B189CC" w14:textId="77777777" w:rsidR="00915120" w:rsidRPr="00E70B3C" w:rsidRDefault="00915120" w:rsidP="00915FC9">
            <w:pPr>
              <w:spacing w:line="360" w:lineRule="auto"/>
              <w:contextualSpacing/>
            </w:pPr>
            <w:r w:rsidRPr="00E70B3C">
              <w:t>M</w:t>
            </w:r>
            <w:r w:rsidRPr="00E70B3C">
              <w:rPr>
                <w:rFonts w:eastAsia="Calibri"/>
              </w:rPr>
              <w:t xml:space="preserve">eeting with </w:t>
            </w:r>
            <w:r w:rsidRPr="00E70B3C">
              <w:t>planning i</w:t>
            </w:r>
            <w:r w:rsidRPr="00E70B3C">
              <w:rPr>
                <w:rFonts w:eastAsia="Calibri"/>
              </w:rPr>
              <w:t>nspectors</w:t>
            </w:r>
            <w:r w:rsidRPr="00E70B3C">
              <w:t xml:space="preserve"> involved in the mock planning inquiry assessment.</w:t>
            </w:r>
            <w:r w:rsidRPr="00E70B3C">
              <w:rPr>
                <w:rFonts w:eastAsia="Calibri"/>
              </w:rPr>
              <w:t xml:space="preserve"> </w:t>
            </w:r>
          </w:p>
          <w:p w14:paraId="16003346" w14:textId="77777777" w:rsidR="00915120" w:rsidRPr="00E70B3C" w:rsidRDefault="00915120" w:rsidP="00915FC9">
            <w:pPr>
              <w:spacing w:line="360" w:lineRule="auto"/>
              <w:contextualSpacing/>
              <w:rPr>
                <w:rFonts w:eastAsia="Calibri"/>
              </w:rPr>
            </w:pPr>
            <w:r w:rsidRPr="00E70B3C">
              <w:rPr>
                <w:rFonts w:eastAsia="Calibri"/>
              </w:rPr>
              <w:t>Head</w:t>
            </w:r>
            <w:r w:rsidRPr="00E70B3C">
              <w:t>s</w:t>
            </w:r>
            <w:r w:rsidRPr="00E70B3C">
              <w:rPr>
                <w:rFonts w:eastAsia="Calibri"/>
              </w:rPr>
              <w:t xml:space="preserve"> of School</w:t>
            </w:r>
            <w:r w:rsidRPr="00E70B3C">
              <w:t xml:space="preserve"> discussions</w:t>
            </w:r>
            <w:r w:rsidR="005C2A6E">
              <w:t>.</w:t>
            </w:r>
          </w:p>
        </w:tc>
        <w:tc>
          <w:tcPr>
            <w:tcW w:w="992" w:type="dxa"/>
            <w:vAlign w:val="center"/>
          </w:tcPr>
          <w:p w14:paraId="20BBC7F1" w14:textId="77777777" w:rsidR="00915120" w:rsidRPr="00E70B3C" w:rsidRDefault="00915120" w:rsidP="00915FC9">
            <w:pPr>
              <w:spacing w:line="360" w:lineRule="auto"/>
              <w:contextualSpacing/>
              <w:rPr>
                <w:rFonts w:eastAsia="Calibri"/>
              </w:rPr>
            </w:pPr>
            <w:r w:rsidRPr="00E70B3C">
              <w:rPr>
                <w:rFonts w:eastAsia="Calibri"/>
              </w:rPr>
              <w:t>Visit 1:</w:t>
            </w:r>
          </w:p>
        </w:tc>
        <w:tc>
          <w:tcPr>
            <w:tcW w:w="3827" w:type="dxa"/>
          </w:tcPr>
          <w:p w14:paraId="5EF23547" w14:textId="77777777" w:rsidR="00915120" w:rsidRPr="005C2A6E" w:rsidRDefault="00915120" w:rsidP="00915FC9">
            <w:pPr>
              <w:spacing w:line="360" w:lineRule="auto"/>
              <w:contextualSpacing/>
              <w:rPr>
                <w:rFonts w:eastAsia="Calibri"/>
              </w:rPr>
            </w:pPr>
            <w:r w:rsidRPr="00E70B3C">
              <w:t>Participation in a session exploring e</w:t>
            </w:r>
            <w:r w:rsidRPr="00E70B3C">
              <w:rPr>
                <w:rFonts w:eastAsia="Calibri"/>
              </w:rPr>
              <w:t xml:space="preserve">thics and </w:t>
            </w:r>
            <w:r w:rsidRPr="00E70B3C">
              <w:t>p</w:t>
            </w:r>
            <w:r w:rsidRPr="00E70B3C">
              <w:rPr>
                <w:rFonts w:eastAsia="Calibri"/>
              </w:rPr>
              <w:t xml:space="preserve">rofessional </w:t>
            </w:r>
            <w:r w:rsidRPr="00E70B3C">
              <w:t>p</w:t>
            </w:r>
            <w:r w:rsidRPr="00E70B3C">
              <w:rPr>
                <w:rFonts w:eastAsia="Calibri"/>
              </w:rPr>
              <w:t>ractice to year three undergraduates.</w:t>
            </w:r>
          </w:p>
          <w:p w14:paraId="0CF2BEA3" w14:textId="77777777" w:rsidR="00915120" w:rsidRPr="005C2A6E" w:rsidRDefault="00915120" w:rsidP="00915FC9">
            <w:pPr>
              <w:spacing w:line="360" w:lineRule="auto"/>
              <w:contextualSpacing/>
            </w:pPr>
            <w:r w:rsidRPr="00E70B3C">
              <w:rPr>
                <w:rFonts w:eastAsia="Calibri"/>
              </w:rPr>
              <w:t xml:space="preserve">Meeting to discuss module content and strategies for teaching planning law. </w:t>
            </w:r>
          </w:p>
          <w:p w14:paraId="57881E86" w14:textId="77777777" w:rsidR="00915120" w:rsidRPr="00E70B3C" w:rsidRDefault="00915120" w:rsidP="00915FC9">
            <w:pPr>
              <w:spacing w:line="360" w:lineRule="auto"/>
              <w:contextualSpacing/>
              <w:rPr>
                <w:rFonts w:eastAsia="Calibri"/>
              </w:rPr>
            </w:pPr>
            <w:r w:rsidRPr="00E70B3C">
              <w:rPr>
                <w:rFonts w:eastAsia="Calibri"/>
              </w:rPr>
              <w:t>Meeting with Visiting Professor to observe the teaching of negotiation skills.</w:t>
            </w:r>
          </w:p>
        </w:tc>
      </w:tr>
      <w:tr w:rsidR="00915120" w:rsidRPr="00E70B3C" w14:paraId="64EC7125" w14:textId="77777777">
        <w:trPr>
          <w:trHeight w:val="309"/>
        </w:trPr>
        <w:tc>
          <w:tcPr>
            <w:tcW w:w="959" w:type="dxa"/>
            <w:vAlign w:val="center"/>
          </w:tcPr>
          <w:p w14:paraId="735F84C3" w14:textId="77777777" w:rsidR="00915120" w:rsidRPr="00E70B3C" w:rsidRDefault="00915120" w:rsidP="00915FC9">
            <w:pPr>
              <w:spacing w:line="360" w:lineRule="auto"/>
              <w:contextualSpacing/>
              <w:rPr>
                <w:rFonts w:eastAsia="Calibri"/>
              </w:rPr>
            </w:pPr>
            <w:r w:rsidRPr="00E70B3C">
              <w:rPr>
                <w:rFonts w:eastAsia="Calibri"/>
              </w:rPr>
              <w:t>Visit 2:</w:t>
            </w:r>
          </w:p>
        </w:tc>
        <w:tc>
          <w:tcPr>
            <w:tcW w:w="3402" w:type="dxa"/>
          </w:tcPr>
          <w:p w14:paraId="32751EF5" w14:textId="77777777" w:rsidR="00915120" w:rsidRPr="00E70B3C" w:rsidRDefault="00915120" w:rsidP="00915FC9">
            <w:pPr>
              <w:spacing w:line="360" w:lineRule="auto"/>
              <w:contextualSpacing/>
              <w:rPr>
                <w:rFonts w:eastAsia="Calibri"/>
              </w:rPr>
            </w:pPr>
            <w:r w:rsidRPr="00E70B3C">
              <w:rPr>
                <w:rFonts w:eastAsia="Calibri"/>
              </w:rPr>
              <w:t xml:space="preserve">Localism </w:t>
            </w:r>
            <w:r w:rsidR="009173A0" w:rsidRPr="00E70B3C">
              <w:rPr>
                <w:rFonts w:eastAsia="Calibri"/>
              </w:rPr>
              <w:t>S</w:t>
            </w:r>
            <w:r w:rsidRPr="00E70B3C">
              <w:rPr>
                <w:rFonts w:eastAsia="Calibri"/>
              </w:rPr>
              <w:t>eminar (</w:t>
            </w:r>
            <w:r w:rsidRPr="00E70B3C">
              <w:t xml:space="preserve">exploring the </w:t>
            </w:r>
            <w:r w:rsidRPr="00E70B3C">
              <w:rPr>
                <w:rFonts w:eastAsia="Calibri"/>
              </w:rPr>
              <w:t>development management perspective).</w:t>
            </w:r>
          </w:p>
          <w:p w14:paraId="5231690E" w14:textId="77777777" w:rsidR="00915120" w:rsidRPr="00E70B3C" w:rsidRDefault="00915120" w:rsidP="00915FC9">
            <w:pPr>
              <w:spacing w:line="360" w:lineRule="auto"/>
              <w:contextualSpacing/>
              <w:rPr>
                <w:rFonts w:eastAsia="Calibri"/>
              </w:rPr>
            </w:pPr>
          </w:p>
        </w:tc>
        <w:tc>
          <w:tcPr>
            <w:tcW w:w="992" w:type="dxa"/>
            <w:vAlign w:val="center"/>
          </w:tcPr>
          <w:p w14:paraId="4C9825F0" w14:textId="77777777" w:rsidR="00915120" w:rsidRPr="00E70B3C" w:rsidRDefault="00915120" w:rsidP="00915FC9">
            <w:pPr>
              <w:spacing w:line="360" w:lineRule="auto"/>
              <w:contextualSpacing/>
              <w:rPr>
                <w:rFonts w:eastAsia="Calibri"/>
              </w:rPr>
            </w:pPr>
            <w:r w:rsidRPr="00E70B3C">
              <w:rPr>
                <w:rFonts w:eastAsia="Calibri"/>
              </w:rPr>
              <w:t>Visit 2:</w:t>
            </w:r>
          </w:p>
        </w:tc>
        <w:tc>
          <w:tcPr>
            <w:tcW w:w="3827" w:type="dxa"/>
          </w:tcPr>
          <w:p w14:paraId="03F43897" w14:textId="77777777" w:rsidR="009173A0" w:rsidRPr="005C2A6E" w:rsidRDefault="00915120" w:rsidP="00915FC9">
            <w:pPr>
              <w:spacing w:line="360" w:lineRule="auto"/>
              <w:contextualSpacing/>
            </w:pPr>
            <w:r w:rsidRPr="00E70B3C">
              <w:rPr>
                <w:rFonts w:eastAsia="Calibri"/>
              </w:rPr>
              <w:t xml:space="preserve">Interview with Planning Appeals Commissioner on graduate </w:t>
            </w:r>
            <w:r w:rsidR="009173A0" w:rsidRPr="00E70B3C">
              <w:rPr>
                <w:rFonts w:eastAsia="Calibri"/>
              </w:rPr>
              <w:t>planning skills</w:t>
            </w:r>
            <w:r w:rsidRPr="00E70B3C">
              <w:rPr>
                <w:rFonts w:eastAsia="Calibri"/>
              </w:rPr>
              <w:t xml:space="preserve"> and competencies.</w:t>
            </w:r>
          </w:p>
          <w:p w14:paraId="4B2BA882" w14:textId="77777777" w:rsidR="00915120" w:rsidRPr="00E70B3C" w:rsidRDefault="00915120" w:rsidP="00FC107C">
            <w:pPr>
              <w:spacing w:line="360" w:lineRule="auto"/>
              <w:contextualSpacing/>
              <w:rPr>
                <w:rFonts w:eastAsia="Calibri"/>
              </w:rPr>
            </w:pPr>
            <w:r w:rsidRPr="00E70B3C">
              <w:rPr>
                <w:rFonts w:eastAsia="Calibri"/>
              </w:rPr>
              <w:t xml:space="preserve">Teaching </w:t>
            </w:r>
            <w:r w:rsidR="005C2A6E">
              <w:rPr>
                <w:rFonts w:eastAsia="Calibri"/>
              </w:rPr>
              <w:t>e</w:t>
            </w:r>
            <w:r w:rsidR="00FC107C">
              <w:rPr>
                <w:rFonts w:eastAsia="Calibri"/>
              </w:rPr>
              <w:t>xchange discussions at Belfast.</w:t>
            </w:r>
          </w:p>
        </w:tc>
      </w:tr>
      <w:tr w:rsidR="00915120" w:rsidRPr="00E70B3C" w14:paraId="5216F82C" w14:textId="77777777">
        <w:trPr>
          <w:trHeight w:val="309"/>
        </w:trPr>
        <w:tc>
          <w:tcPr>
            <w:tcW w:w="959" w:type="dxa"/>
            <w:vAlign w:val="center"/>
          </w:tcPr>
          <w:p w14:paraId="5DBD8430" w14:textId="77777777" w:rsidR="00915120" w:rsidRPr="00E70B3C" w:rsidRDefault="00915120" w:rsidP="00915FC9">
            <w:pPr>
              <w:spacing w:line="360" w:lineRule="auto"/>
              <w:contextualSpacing/>
              <w:rPr>
                <w:rFonts w:eastAsia="Calibri"/>
              </w:rPr>
            </w:pPr>
            <w:r w:rsidRPr="00E70B3C">
              <w:rPr>
                <w:rFonts w:eastAsia="Calibri"/>
              </w:rPr>
              <w:t>Visit 3:</w:t>
            </w:r>
          </w:p>
        </w:tc>
        <w:tc>
          <w:tcPr>
            <w:tcW w:w="3402" w:type="dxa"/>
          </w:tcPr>
          <w:p w14:paraId="4A8506EB" w14:textId="77777777" w:rsidR="00915120" w:rsidRPr="00E70B3C" w:rsidRDefault="00915120" w:rsidP="00915FC9">
            <w:pPr>
              <w:spacing w:line="360" w:lineRule="auto"/>
              <w:contextualSpacing/>
              <w:rPr>
                <w:rFonts w:eastAsia="Calibri"/>
              </w:rPr>
            </w:pPr>
            <w:r w:rsidRPr="00E70B3C">
              <w:t>R</w:t>
            </w:r>
            <w:r w:rsidRPr="00E70B3C">
              <w:rPr>
                <w:rFonts w:eastAsia="Calibri"/>
              </w:rPr>
              <w:t>eview</w:t>
            </w:r>
            <w:r w:rsidRPr="00E70B3C">
              <w:t>, reflection, analysis</w:t>
            </w:r>
            <w:r w:rsidRPr="00E70B3C">
              <w:rPr>
                <w:rFonts w:eastAsia="Calibri"/>
              </w:rPr>
              <w:t xml:space="preserve"> and planning meeting for future collaboration and knowledge exchange.</w:t>
            </w:r>
          </w:p>
        </w:tc>
        <w:tc>
          <w:tcPr>
            <w:tcW w:w="992" w:type="dxa"/>
            <w:vAlign w:val="center"/>
          </w:tcPr>
          <w:p w14:paraId="6C674B45" w14:textId="77777777" w:rsidR="00915120" w:rsidRPr="00E70B3C" w:rsidRDefault="00915120" w:rsidP="00915FC9">
            <w:pPr>
              <w:spacing w:line="360" w:lineRule="auto"/>
              <w:contextualSpacing/>
              <w:rPr>
                <w:rFonts w:eastAsia="Calibri"/>
              </w:rPr>
            </w:pPr>
            <w:r w:rsidRPr="00E70B3C">
              <w:rPr>
                <w:rFonts w:eastAsia="Calibri"/>
              </w:rPr>
              <w:t>Visit 3:</w:t>
            </w:r>
          </w:p>
        </w:tc>
        <w:tc>
          <w:tcPr>
            <w:tcW w:w="3827" w:type="dxa"/>
          </w:tcPr>
          <w:p w14:paraId="51BF9778" w14:textId="77777777" w:rsidR="009173A0" w:rsidRPr="00E70B3C" w:rsidRDefault="00915120" w:rsidP="00915FC9">
            <w:pPr>
              <w:spacing w:line="360" w:lineRule="auto"/>
              <w:contextualSpacing/>
            </w:pPr>
            <w:r w:rsidRPr="00E70B3C">
              <w:rPr>
                <w:rFonts w:eastAsia="Calibri"/>
              </w:rPr>
              <w:t>Attendance and participation in the International Planning Law and Property Conference</w:t>
            </w:r>
            <w:r w:rsidRPr="00E70B3C">
              <w:t xml:space="preserve"> in Belfast.  </w:t>
            </w:r>
          </w:p>
          <w:p w14:paraId="3E22A4BF" w14:textId="77777777" w:rsidR="00915120" w:rsidRPr="00E70B3C" w:rsidRDefault="00915120" w:rsidP="00915FC9">
            <w:pPr>
              <w:spacing w:line="360" w:lineRule="auto"/>
              <w:contextualSpacing/>
              <w:rPr>
                <w:rFonts w:eastAsia="Calibri"/>
              </w:rPr>
            </w:pPr>
            <w:r w:rsidRPr="00E70B3C">
              <w:t>Presentation of working materials.</w:t>
            </w:r>
          </w:p>
        </w:tc>
      </w:tr>
    </w:tbl>
    <w:p w14:paraId="563B8015" w14:textId="77777777" w:rsidR="00915120" w:rsidRPr="00E70B3C" w:rsidRDefault="00915120" w:rsidP="00915FC9">
      <w:pPr>
        <w:spacing w:line="360" w:lineRule="auto"/>
        <w:contextualSpacing/>
      </w:pPr>
    </w:p>
    <w:p w14:paraId="43AD8623" w14:textId="77777777" w:rsidR="00915120" w:rsidRDefault="00915120" w:rsidP="00915FC9">
      <w:pPr>
        <w:spacing w:line="360" w:lineRule="auto"/>
        <w:contextualSpacing/>
      </w:pPr>
    </w:p>
    <w:p w14:paraId="72FFC4C1" w14:textId="77777777" w:rsidR="00915120" w:rsidRDefault="00915120" w:rsidP="00915FC9">
      <w:pPr>
        <w:spacing w:line="360" w:lineRule="auto"/>
        <w:contextualSpacing/>
        <w:rPr>
          <w:rFonts w:eastAsia="Calibri"/>
        </w:rPr>
      </w:pPr>
    </w:p>
    <w:p w14:paraId="592C0A5C" w14:textId="77777777" w:rsidR="009173A0" w:rsidRPr="00E70B3C" w:rsidRDefault="009173A0" w:rsidP="00915FC9">
      <w:pPr>
        <w:spacing w:line="360" w:lineRule="auto"/>
        <w:contextualSpacing/>
        <w:rPr>
          <w:rFonts w:eastAsia="Calibri"/>
        </w:rPr>
      </w:pPr>
    </w:p>
    <w:p w14:paraId="09965B25" w14:textId="77777777" w:rsidR="00146DDC" w:rsidRPr="00E70B3C" w:rsidRDefault="00146DDC" w:rsidP="00915FC9">
      <w:pPr>
        <w:spacing w:line="360" w:lineRule="auto"/>
        <w:contextualSpacing/>
        <w:rPr>
          <w:rFonts w:eastAsia="Calibri"/>
        </w:rPr>
      </w:pPr>
    </w:p>
    <w:p w14:paraId="6833473F" w14:textId="77777777" w:rsidR="00146DDC" w:rsidRPr="00E70B3C" w:rsidRDefault="00146DDC" w:rsidP="00915FC9">
      <w:pPr>
        <w:spacing w:line="360" w:lineRule="auto"/>
        <w:contextualSpacing/>
        <w:rPr>
          <w:rFonts w:eastAsia="Calibri"/>
        </w:rPr>
      </w:pPr>
    </w:p>
    <w:p w14:paraId="12412D8E" w14:textId="77777777" w:rsidR="009173A0" w:rsidRDefault="009173A0" w:rsidP="00915FC9">
      <w:pPr>
        <w:spacing w:line="360" w:lineRule="auto"/>
        <w:contextualSpacing/>
        <w:rPr>
          <w:rFonts w:eastAsia="Calibri"/>
        </w:rPr>
      </w:pPr>
    </w:p>
    <w:p w14:paraId="697D691D" w14:textId="77777777" w:rsidR="00FC107C" w:rsidRDefault="00FC107C" w:rsidP="00915FC9">
      <w:pPr>
        <w:spacing w:line="360" w:lineRule="auto"/>
        <w:contextualSpacing/>
        <w:rPr>
          <w:rFonts w:eastAsia="Calibri"/>
        </w:rPr>
      </w:pPr>
    </w:p>
    <w:p w14:paraId="0B367726" w14:textId="77777777" w:rsidR="00FC107C" w:rsidRDefault="00FC107C" w:rsidP="00915FC9">
      <w:pPr>
        <w:spacing w:line="360" w:lineRule="auto"/>
        <w:contextualSpacing/>
        <w:rPr>
          <w:rFonts w:eastAsia="Calibri"/>
        </w:rPr>
      </w:pPr>
    </w:p>
    <w:p w14:paraId="438598B6" w14:textId="77777777" w:rsidR="00FC107C" w:rsidRPr="00E70B3C" w:rsidRDefault="00FC107C" w:rsidP="00915FC9">
      <w:pPr>
        <w:spacing w:line="360" w:lineRule="auto"/>
        <w:contextualSpacing/>
        <w:rPr>
          <w:rFonts w:eastAsia="Calibri"/>
        </w:rPr>
      </w:pPr>
    </w:p>
    <w:p w14:paraId="774068E3" w14:textId="77777777" w:rsidR="00E70B3C" w:rsidRPr="00915FC9" w:rsidRDefault="00915120" w:rsidP="00915FC9">
      <w:pPr>
        <w:spacing w:line="360" w:lineRule="auto"/>
        <w:contextualSpacing/>
        <w:rPr>
          <w:rFonts w:eastAsia="Calibri"/>
          <w:b/>
        </w:rPr>
      </w:pPr>
      <w:r w:rsidRPr="00915FC9">
        <w:rPr>
          <w:rFonts w:eastAsia="Calibri"/>
          <w:b/>
        </w:rPr>
        <w:lastRenderedPageBreak/>
        <w:t>Table 2.  UWE</w:t>
      </w:r>
      <w:r w:rsidR="00915FC9" w:rsidRPr="00915FC9">
        <w:rPr>
          <w:rFonts w:eastAsia="Calibri"/>
          <w:b/>
        </w:rPr>
        <w:t xml:space="preserve"> </w:t>
      </w:r>
      <w:r w:rsidRPr="00915FC9">
        <w:rPr>
          <w:rFonts w:eastAsia="Calibri"/>
          <w:b/>
        </w:rPr>
        <w:t xml:space="preserve">Mock Inquiry Exercise </w:t>
      </w:r>
    </w:p>
    <w:tbl>
      <w:tblPr>
        <w:tblStyle w:val="TableGrid"/>
        <w:tblW w:w="0" w:type="auto"/>
        <w:tblLook w:val="04A0" w:firstRow="1" w:lastRow="0" w:firstColumn="1" w:lastColumn="0" w:noHBand="0" w:noVBand="1"/>
      </w:tblPr>
      <w:tblGrid>
        <w:gridCol w:w="2777"/>
        <w:gridCol w:w="3049"/>
        <w:gridCol w:w="2889"/>
      </w:tblGrid>
      <w:tr w:rsidR="00915120" w:rsidRPr="00915FC9" w14:paraId="2A60B1FC" w14:textId="77777777">
        <w:tc>
          <w:tcPr>
            <w:tcW w:w="3080" w:type="dxa"/>
          </w:tcPr>
          <w:p w14:paraId="7D04C672" w14:textId="77777777" w:rsidR="00915120" w:rsidRPr="00915FC9" w:rsidRDefault="00915120" w:rsidP="00915FC9">
            <w:pPr>
              <w:spacing w:line="360" w:lineRule="auto"/>
              <w:contextualSpacing/>
              <w:rPr>
                <w:rFonts w:ascii="Times New Roman" w:eastAsia="Calibri" w:hAnsi="Times New Roman" w:cs="Times New Roman"/>
                <w:b/>
              </w:rPr>
            </w:pPr>
            <w:r w:rsidRPr="00915FC9">
              <w:rPr>
                <w:rFonts w:ascii="Times New Roman" w:eastAsia="Calibri" w:hAnsi="Times New Roman" w:cs="Times New Roman"/>
                <w:b/>
              </w:rPr>
              <w:t>Element of exercise</w:t>
            </w:r>
          </w:p>
        </w:tc>
        <w:tc>
          <w:tcPr>
            <w:tcW w:w="3081" w:type="dxa"/>
          </w:tcPr>
          <w:p w14:paraId="3B3DF887" w14:textId="77777777" w:rsidR="00915120" w:rsidRPr="00915FC9" w:rsidRDefault="00915120" w:rsidP="00915FC9">
            <w:pPr>
              <w:spacing w:line="360" w:lineRule="auto"/>
              <w:contextualSpacing/>
              <w:rPr>
                <w:rFonts w:ascii="Times New Roman" w:eastAsia="Calibri" w:hAnsi="Times New Roman" w:cs="Times New Roman"/>
                <w:b/>
              </w:rPr>
            </w:pPr>
            <w:r w:rsidRPr="00915FC9">
              <w:rPr>
                <w:rFonts w:ascii="Times New Roman" w:eastAsia="Calibri" w:hAnsi="Times New Roman" w:cs="Times New Roman"/>
                <w:b/>
              </w:rPr>
              <w:t>Understanding/knowledge</w:t>
            </w:r>
          </w:p>
        </w:tc>
        <w:tc>
          <w:tcPr>
            <w:tcW w:w="3081" w:type="dxa"/>
          </w:tcPr>
          <w:p w14:paraId="53742949" w14:textId="77777777" w:rsidR="00915120" w:rsidRPr="00915FC9" w:rsidRDefault="00915120" w:rsidP="00915FC9">
            <w:pPr>
              <w:spacing w:line="360" w:lineRule="auto"/>
              <w:contextualSpacing/>
              <w:rPr>
                <w:rFonts w:ascii="Times New Roman" w:eastAsia="Calibri" w:hAnsi="Times New Roman" w:cs="Times New Roman"/>
                <w:b/>
              </w:rPr>
            </w:pPr>
            <w:r w:rsidRPr="00915FC9">
              <w:rPr>
                <w:rFonts w:ascii="Times New Roman" w:eastAsia="Calibri" w:hAnsi="Times New Roman" w:cs="Times New Roman"/>
                <w:b/>
              </w:rPr>
              <w:t>Embedded skills</w:t>
            </w:r>
          </w:p>
        </w:tc>
      </w:tr>
      <w:tr w:rsidR="00915120" w:rsidRPr="00915FC9" w14:paraId="414EEEB9" w14:textId="77777777">
        <w:tc>
          <w:tcPr>
            <w:tcW w:w="3080" w:type="dxa"/>
          </w:tcPr>
          <w:p w14:paraId="5A98C991" w14:textId="77777777" w:rsidR="00915120" w:rsidRPr="00915FC9" w:rsidRDefault="00915120" w:rsidP="00915FC9">
            <w:pPr>
              <w:spacing w:line="360" w:lineRule="auto"/>
              <w:contextualSpacing/>
              <w:rPr>
                <w:rFonts w:ascii="Times New Roman" w:eastAsia="Calibri" w:hAnsi="Times New Roman" w:cs="Times New Roman"/>
              </w:rPr>
            </w:pPr>
            <w:r w:rsidRPr="00915FC9">
              <w:rPr>
                <w:rFonts w:ascii="Times New Roman" w:eastAsia="Calibri" w:hAnsi="Times New Roman" w:cs="Times New Roman"/>
              </w:rPr>
              <w:t>Acting as expert witness</w:t>
            </w:r>
            <w:r w:rsidR="00FC107C">
              <w:rPr>
                <w:rFonts w:ascii="Times New Roman" w:eastAsia="Calibri" w:hAnsi="Times New Roman" w:cs="Times New Roman"/>
              </w:rPr>
              <w:t>.</w:t>
            </w:r>
          </w:p>
        </w:tc>
        <w:tc>
          <w:tcPr>
            <w:tcW w:w="3081" w:type="dxa"/>
          </w:tcPr>
          <w:p w14:paraId="3279A248" w14:textId="77777777" w:rsidR="00915120" w:rsidRPr="00915FC9" w:rsidRDefault="00915120" w:rsidP="00915FC9">
            <w:pPr>
              <w:spacing w:line="360" w:lineRule="auto"/>
              <w:contextualSpacing/>
              <w:rPr>
                <w:rFonts w:ascii="Times New Roman" w:eastAsia="Calibri" w:hAnsi="Times New Roman" w:cs="Times New Roman"/>
              </w:rPr>
            </w:pPr>
            <w:r w:rsidRPr="00915FC9">
              <w:rPr>
                <w:rFonts w:ascii="Times New Roman" w:eastAsia="Calibri" w:hAnsi="Times New Roman" w:cs="Times New Roman"/>
              </w:rPr>
              <w:t>Process and procedures undertaken – who does what, when, why and how</w:t>
            </w:r>
            <w:r w:rsidR="00FC107C">
              <w:rPr>
                <w:rFonts w:ascii="Times New Roman" w:eastAsia="Calibri" w:hAnsi="Times New Roman" w:cs="Times New Roman"/>
              </w:rPr>
              <w:t>.</w:t>
            </w:r>
          </w:p>
        </w:tc>
        <w:tc>
          <w:tcPr>
            <w:tcW w:w="3081" w:type="dxa"/>
          </w:tcPr>
          <w:p w14:paraId="7F537F7E" w14:textId="77777777" w:rsidR="00915120" w:rsidRPr="00915FC9" w:rsidRDefault="009A6DC6" w:rsidP="00915FC9">
            <w:pPr>
              <w:spacing w:line="360" w:lineRule="auto"/>
              <w:contextualSpacing/>
              <w:rPr>
                <w:rFonts w:ascii="Times New Roman" w:eastAsia="Calibri" w:hAnsi="Times New Roman" w:cs="Times New Roman"/>
              </w:rPr>
            </w:pPr>
            <w:r w:rsidRPr="00915FC9">
              <w:rPr>
                <w:rFonts w:ascii="Times New Roman" w:eastAsia="Calibri" w:hAnsi="Times New Roman" w:cs="Times New Roman"/>
              </w:rPr>
              <w:t>C</w:t>
            </w:r>
            <w:r w:rsidR="00915120" w:rsidRPr="00915FC9">
              <w:rPr>
                <w:rFonts w:ascii="Times New Roman" w:eastAsia="Calibri" w:hAnsi="Times New Roman" w:cs="Times New Roman"/>
              </w:rPr>
              <w:t>onfidence</w:t>
            </w:r>
            <w:r w:rsidRPr="00915FC9">
              <w:rPr>
                <w:rFonts w:ascii="Times New Roman" w:eastAsia="Calibri" w:hAnsi="Times New Roman" w:cs="Times New Roman"/>
              </w:rPr>
              <w:t xml:space="preserve"> </w:t>
            </w:r>
            <w:r w:rsidR="00915120" w:rsidRPr="00915FC9">
              <w:rPr>
                <w:rFonts w:ascii="Times New Roman" w:eastAsia="Calibri" w:hAnsi="Times New Roman" w:cs="Times New Roman"/>
              </w:rPr>
              <w:t>in presentation/public speaking skills</w:t>
            </w:r>
            <w:r w:rsidR="00FC107C">
              <w:rPr>
                <w:rFonts w:ascii="Times New Roman" w:eastAsia="Calibri" w:hAnsi="Times New Roman" w:cs="Times New Roman"/>
              </w:rPr>
              <w:t>.</w:t>
            </w:r>
          </w:p>
        </w:tc>
      </w:tr>
      <w:tr w:rsidR="00915120" w:rsidRPr="00915FC9" w14:paraId="1F16B89E" w14:textId="77777777">
        <w:tc>
          <w:tcPr>
            <w:tcW w:w="3080" w:type="dxa"/>
          </w:tcPr>
          <w:p w14:paraId="0C29030E" w14:textId="77777777" w:rsidR="00915120" w:rsidRPr="00915FC9" w:rsidRDefault="00915120" w:rsidP="00915FC9">
            <w:pPr>
              <w:spacing w:line="360" w:lineRule="auto"/>
              <w:contextualSpacing/>
              <w:rPr>
                <w:rFonts w:ascii="Times New Roman" w:eastAsia="Calibri" w:hAnsi="Times New Roman" w:cs="Times New Roman"/>
              </w:rPr>
            </w:pPr>
            <w:r w:rsidRPr="00915FC9">
              <w:rPr>
                <w:rFonts w:ascii="Times New Roman" w:eastAsia="Calibri" w:hAnsi="Times New Roman" w:cs="Times New Roman"/>
              </w:rPr>
              <w:t>Evidence gathering</w:t>
            </w:r>
            <w:r w:rsidR="00FC107C">
              <w:rPr>
                <w:rFonts w:ascii="Times New Roman" w:eastAsia="Calibri" w:hAnsi="Times New Roman" w:cs="Times New Roman"/>
              </w:rPr>
              <w:t>.</w:t>
            </w:r>
          </w:p>
        </w:tc>
        <w:tc>
          <w:tcPr>
            <w:tcW w:w="3081" w:type="dxa"/>
          </w:tcPr>
          <w:p w14:paraId="1C66ED61" w14:textId="77777777" w:rsidR="00915120" w:rsidRPr="00915FC9" w:rsidRDefault="00915120" w:rsidP="00915FC9">
            <w:pPr>
              <w:spacing w:line="360" w:lineRule="auto"/>
              <w:contextualSpacing/>
              <w:rPr>
                <w:rFonts w:ascii="Times New Roman" w:eastAsia="Calibri" w:hAnsi="Times New Roman" w:cs="Times New Roman"/>
              </w:rPr>
            </w:pPr>
            <w:r w:rsidRPr="00915FC9">
              <w:rPr>
                <w:rFonts w:ascii="Times New Roman" w:eastAsia="Calibri" w:hAnsi="Times New Roman" w:cs="Times New Roman"/>
              </w:rPr>
              <w:t>Understanding importance of policy and its interaction</w:t>
            </w:r>
            <w:r w:rsidR="00FC107C">
              <w:rPr>
                <w:rFonts w:ascii="Times New Roman" w:eastAsia="Calibri" w:hAnsi="Times New Roman" w:cs="Times New Roman"/>
              </w:rPr>
              <w:t>.</w:t>
            </w:r>
          </w:p>
        </w:tc>
        <w:tc>
          <w:tcPr>
            <w:tcW w:w="3081" w:type="dxa"/>
          </w:tcPr>
          <w:p w14:paraId="33AD6C0B" w14:textId="77777777" w:rsidR="00915120" w:rsidRPr="00915FC9" w:rsidRDefault="009A6DC6" w:rsidP="00915FC9">
            <w:pPr>
              <w:spacing w:line="360" w:lineRule="auto"/>
              <w:contextualSpacing/>
              <w:rPr>
                <w:rFonts w:ascii="Times New Roman" w:eastAsia="Calibri" w:hAnsi="Times New Roman" w:cs="Times New Roman"/>
              </w:rPr>
            </w:pPr>
            <w:r w:rsidRPr="00915FC9">
              <w:rPr>
                <w:rFonts w:ascii="Times New Roman" w:eastAsia="Calibri" w:hAnsi="Times New Roman" w:cs="Times New Roman"/>
              </w:rPr>
              <w:t>R</w:t>
            </w:r>
            <w:r w:rsidR="00915120" w:rsidRPr="00915FC9">
              <w:rPr>
                <w:rFonts w:ascii="Times New Roman" w:eastAsia="Calibri" w:hAnsi="Times New Roman" w:cs="Times New Roman"/>
              </w:rPr>
              <w:t>esearching skills (linking policy and evidence to practical situations)</w:t>
            </w:r>
            <w:r w:rsidR="00FC107C">
              <w:rPr>
                <w:rFonts w:ascii="Times New Roman" w:eastAsia="Calibri" w:hAnsi="Times New Roman" w:cs="Times New Roman"/>
              </w:rPr>
              <w:t>.</w:t>
            </w:r>
          </w:p>
        </w:tc>
      </w:tr>
      <w:tr w:rsidR="00915120" w:rsidRPr="00915FC9" w14:paraId="0032958C" w14:textId="77777777">
        <w:tc>
          <w:tcPr>
            <w:tcW w:w="3080" w:type="dxa"/>
          </w:tcPr>
          <w:p w14:paraId="45B537FA" w14:textId="77777777" w:rsidR="00915120" w:rsidRPr="00915FC9" w:rsidRDefault="00915120" w:rsidP="00915FC9">
            <w:pPr>
              <w:spacing w:line="360" w:lineRule="auto"/>
              <w:contextualSpacing/>
              <w:rPr>
                <w:rFonts w:ascii="Times New Roman" w:eastAsia="Calibri" w:hAnsi="Times New Roman" w:cs="Times New Roman"/>
              </w:rPr>
            </w:pPr>
            <w:r w:rsidRPr="00915FC9">
              <w:rPr>
                <w:rFonts w:ascii="Times New Roman" w:eastAsia="Calibri" w:hAnsi="Times New Roman" w:cs="Times New Roman"/>
              </w:rPr>
              <w:t>Preparing the case and forming the best argument</w:t>
            </w:r>
            <w:r w:rsidR="00FC107C">
              <w:rPr>
                <w:rFonts w:ascii="Times New Roman" w:eastAsia="Calibri" w:hAnsi="Times New Roman" w:cs="Times New Roman"/>
              </w:rPr>
              <w:t>.</w:t>
            </w:r>
          </w:p>
        </w:tc>
        <w:tc>
          <w:tcPr>
            <w:tcW w:w="3081" w:type="dxa"/>
          </w:tcPr>
          <w:p w14:paraId="54313C99" w14:textId="77777777" w:rsidR="00915120" w:rsidRPr="00915FC9" w:rsidRDefault="00915120" w:rsidP="00915FC9">
            <w:pPr>
              <w:spacing w:line="360" w:lineRule="auto"/>
              <w:contextualSpacing/>
              <w:rPr>
                <w:rFonts w:ascii="Times New Roman" w:eastAsia="Calibri" w:hAnsi="Times New Roman" w:cs="Times New Roman"/>
              </w:rPr>
            </w:pPr>
            <w:r w:rsidRPr="00915FC9">
              <w:rPr>
                <w:rFonts w:ascii="Times New Roman" w:eastAsia="Calibri" w:hAnsi="Times New Roman" w:cs="Times New Roman"/>
              </w:rPr>
              <w:t>Understanding how a case representing the best argument can be developed from an inter-disciplinary team</w:t>
            </w:r>
            <w:r w:rsidR="00FC107C">
              <w:rPr>
                <w:rFonts w:ascii="Times New Roman" w:eastAsia="Calibri" w:hAnsi="Times New Roman" w:cs="Times New Roman"/>
              </w:rPr>
              <w:t>.</w:t>
            </w:r>
          </w:p>
        </w:tc>
        <w:tc>
          <w:tcPr>
            <w:tcW w:w="3081" w:type="dxa"/>
          </w:tcPr>
          <w:p w14:paraId="7FEE9E0F" w14:textId="77777777" w:rsidR="00915120" w:rsidRPr="00915FC9" w:rsidRDefault="009A6DC6" w:rsidP="00915FC9">
            <w:pPr>
              <w:spacing w:line="360" w:lineRule="auto"/>
              <w:contextualSpacing/>
              <w:rPr>
                <w:rFonts w:ascii="Times New Roman" w:eastAsia="Calibri" w:hAnsi="Times New Roman" w:cs="Times New Roman"/>
              </w:rPr>
            </w:pPr>
            <w:r w:rsidRPr="00915FC9">
              <w:rPr>
                <w:rFonts w:ascii="Times New Roman" w:eastAsia="Calibri" w:hAnsi="Times New Roman" w:cs="Times New Roman"/>
              </w:rPr>
              <w:t>N</w:t>
            </w:r>
            <w:r w:rsidR="00915120" w:rsidRPr="00915FC9">
              <w:rPr>
                <w:rFonts w:ascii="Times New Roman" w:eastAsia="Calibri" w:hAnsi="Times New Roman" w:cs="Times New Roman"/>
              </w:rPr>
              <w:t>egotiation skills, argumentation</w:t>
            </w:r>
            <w:r w:rsidR="00FC107C">
              <w:rPr>
                <w:rFonts w:ascii="Times New Roman" w:eastAsia="Calibri" w:hAnsi="Times New Roman" w:cs="Times New Roman"/>
              </w:rPr>
              <w:t>.</w:t>
            </w:r>
          </w:p>
        </w:tc>
      </w:tr>
      <w:tr w:rsidR="00915120" w:rsidRPr="00915FC9" w14:paraId="4BC6C3DF" w14:textId="77777777">
        <w:tc>
          <w:tcPr>
            <w:tcW w:w="3080" w:type="dxa"/>
          </w:tcPr>
          <w:p w14:paraId="2F9FC525" w14:textId="77777777" w:rsidR="00915120" w:rsidRPr="00915FC9" w:rsidRDefault="00915120" w:rsidP="00915FC9">
            <w:pPr>
              <w:spacing w:line="360" w:lineRule="auto"/>
              <w:contextualSpacing/>
              <w:rPr>
                <w:rFonts w:ascii="Times New Roman" w:eastAsia="Calibri" w:hAnsi="Times New Roman" w:cs="Times New Roman"/>
              </w:rPr>
            </w:pPr>
            <w:r w:rsidRPr="00915FC9">
              <w:rPr>
                <w:rFonts w:ascii="Times New Roman" w:eastAsia="Calibri" w:hAnsi="Times New Roman" w:cs="Times New Roman"/>
              </w:rPr>
              <w:t>Preparing proof of evidence for the Inquiry</w:t>
            </w:r>
            <w:r w:rsidR="00FC107C">
              <w:rPr>
                <w:rFonts w:ascii="Times New Roman" w:eastAsia="Calibri" w:hAnsi="Times New Roman" w:cs="Times New Roman"/>
              </w:rPr>
              <w:t>.</w:t>
            </w:r>
          </w:p>
        </w:tc>
        <w:tc>
          <w:tcPr>
            <w:tcW w:w="3081" w:type="dxa"/>
          </w:tcPr>
          <w:p w14:paraId="1F5AF982" w14:textId="77777777" w:rsidR="00915120" w:rsidRPr="00915FC9" w:rsidRDefault="00915120" w:rsidP="00915FC9">
            <w:pPr>
              <w:spacing w:line="360" w:lineRule="auto"/>
              <w:contextualSpacing/>
              <w:rPr>
                <w:rFonts w:ascii="Times New Roman" w:eastAsia="Calibri" w:hAnsi="Times New Roman" w:cs="Times New Roman"/>
              </w:rPr>
            </w:pPr>
            <w:r w:rsidRPr="00915FC9">
              <w:rPr>
                <w:rFonts w:ascii="Times New Roman" w:eastAsia="Calibri" w:hAnsi="Times New Roman" w:cs="Times New Roman"/>
              </w:rPr>
              <w:t>The use, content and purpose of proofs of evidence</w:t>
            </w:r>
            <w:r w:rsidR="00FC107C">
              <w:rPr>
                <w:rFonts w:ascii="Times New Roman" w:eastAsia="Calibri" w:hAnsi="Times New Roman" w:cs="Times New Roman"/>
              </w:rPr>
              <w:t>.</w:t>
            </w:r>
          </w:p>
        </w:tc>
        <w:tc>
          <w:tcPr>
            <w:tcW w:w="3081" w:type="dxa"/>
          </w:tcPr>
          <w:p w14:paraId="0022A2A8" w14:textId="77777777" w:rsidR="00915120" w:rsidRPr="00915FC9" w:rsidRDefault="009A6DC6" w:rsidP="00915FC9">
            <w:pPr>
              <w:spacing w:line="360" w:lineRule="auto"/>
              <w:contextualSpacing/>
              <w:rPr>
                <w:rFonts w:ascii="Times New Roman" w:eastAsia="Calibri" w:hAnsi="Times New Roman" w:cs="Times New Roman"/>
              </w:rPr>
            </w:pPr>
            <w:r w:rsidRPr="00915FC9">
              <w:rPr>
                <w:rFonts w:ascii="Times New Roman" w:eastAsia="Calibri" w:hAnsi="Times New Roman" w:cs="Times New Roman"/>
              </w:rPr>
              <w:t>R</w:t>
            </w:r>
            <w:r w:rsidR="00915120" w:rsidRPr="00915FC9">
              <w:rPr>
                <w:rFonts w:ascii="Times New Roman" w:eastAsia="Calibri" w:hAnsi="Times New Roman" w:cs="Times New Roman"/>
              </w:rPr>
              <w:t>eport/proof writing skills</w:t>
            </w:r>
            <w:r w:rsidR="00FC107C">
              <w:rPr>
                <w:rFonts w:ascii="Times New Roman" w:eastAsia="Calibri" w:hAnsi="Times New Roman" w:cs="Times New Roman"/>
              </w:rPr>
              <w:t>.</w:t>
            </w:r>
          </w:p>
        </w:tc>
      </w:tr>
      <w:tr w:rsidR="00915120" w:rsidRPr="00915FC9" w14:paraId="253574F7" w14:textId="77777777">
        <w:tc>
          <w:tcPr>
            <w:tcW w:w="3080" w:type="dxa"/>
          </w:tcPr>
          <w:p w14:paraId="23552EBC" w14:textId="77777777" w:rsidR="00915120" w:rsidRPr="00915FC9" w:rsidRDefault="00915120" w:rsidP="00915FC9">
            <w:pPr>
              <w:spacing w:line="360" w:lineRule="auto"/>
              <w:contextualSpacing/>
              <w:rPr>
                <w:rFonts w:ascii="Times New Roman" w:eastAsia="Calibri" w:hAnsi="Times New Roman" w:cs="Times New Roman"/>
              </w:rPr>
            </w:pPr>
            <w:r w:rsidRPr="00915FC9">
              <w:rPr>
                <w:rFonts w:ascii="Times New Roman" w:eastAsia="Calibri" w:hAnsi="Times New Roman" w:cs="Times New Roman"/>
              </w:rPr>
              <w:t>Responding to cross examination</w:t>
            </w:r>
            <w:r w:rsidR="00FC107C">
              <w:rPr>
                <w:rFonts w:ascii="Times New Roman" w:eastAsia="Calibri" w:hAnsi="Times New Roman" w:cs="Times New Roman"/>
              </w:rPr>
              <w:t>.</w:t>
            </w:r>
          </w:p>
        </w:tc>
        <w:tc>
          <w:tcPr>
            <w:tcW w:w="3081" w:type="dxa"/>
          </w:tcPr>
          <w:p w14:paraId="15EEB9AB" w14:textId="77777777" w:rsidR="00915120" w:rsidRPr="00915FC9" w:rsidRDefault="00915120" w:rsidP="00915FC9">
            <w:pPr>
              <w:spacing w:line="360" w:lineRule="auto"/>
              <w:contextualSpacing/>
              <w:rPr>
                <w:rFonts w:ascii="Times New Roman" w:eastAsia="Calibri" w:hAnsi="Times New Roman" w:cs="Times New Roman"/>
              </w:rPr>
            </w:pPr>
            <w:r w:rsidRPr="00915FC9">
              <w:rPr>
                <w:rFonts w:ascii="Times New Roman" w:eastAsia="Calibri" w:hAnsi="Times New Roman" w:cs="Times New Roman"/>
              </w:rPr>
              <w:t>How to use evidence to support a case</w:t>
            </w:r>
            <w:r w:rsidR="00FC107C">
              <w:rPr>
                <w:rFonts w:ascii="Times New Roman" w:eastAsia="Calibri" w:hAnsi="Times New Roman" w:cs="Times New Roman"/>
              </w:rPr>
              <w:t>.</w:t>
            </w:r>
          </w:p>
        </w:tc>
        <w:tc>
          <w:tcPr>
            <w:tcW w:w="3081" w:type="dxa"/>
          </w:tcPr>
          <w:p w14:paraId="025580A9" w14:textId="77777777" w:rsidR="00915120" w:rsidRPr="00915FC9" w:rsidRDefault="009A6DC6" w:rsidP="00915FC9">
            <w:pPr>
              <w:spacing w:line="360" w:lineRule="auto"/>
              <w:contextualSpacing/>
              <w:rPr>
                <w:rFonts w:ascii="Times New Roman" w:eastAsia="Calibri" w:hAnsi="Times New Roman" w:cs="Times New Roman"/>
              </w:rPr>
            </w:pPr>
            <w:r w:rsidRPr="00915FC9">
              <w:rPr>
                <w:rFonts w:ascii="Times New Roman" w:eastAsia="Calibri" w:hAnsi="Times New Roman" w:cs="Times New Roman"/>
              </w:rPr>
              <w:t>L</w:t>
            </w:r>
            <w:r w:rsidR="00915120" w:rsidRPr="00915FC9">
              <w:rPr>
                <w:rFonts w:ascii="Times New Roman" w:eastAsia="Calibri" w:hAnsi="Times New Roman" w:cs="Times New Roman"/>
              </w:rPr>
              <w:t>istening and analysing skills</w:t>
            </w:r>
            <w:r w:rsidR="00FC107C">
              <w:rPr>
                <w:rFonts w:ascii="Times New Roman" w:eastAsia="Calibri" w:hAnsi="Times New Roman" w:cs="Times New Roman"/>
              </w:rPr>
              <w:t>.</w:t>
            </w:r>
          </w:p>
        </w:tc>
      </w:tr>
      <w:tr w:rsidR="00915120" w:rsidRPr="00915FC9" w14:paraId="4BF30F00" w14:textId="77777777">
        <w:tc>
          <w:tcPr>
            <w:tcW w:w="3080" w:type="dxa"/>
          </w:tcPr>
          <w:p w14:paraId="0ED4E999" w14:textId="77777777" w:rsidR="00915120" w:rsidRPr="00915FC9" w:rsidRDefault="00FC107C" w:rsidP="00915FC9">
            <w:pPr>
              <w:spacing w:line="360" w:lineRule="auto"/>
              <w:contextualSpacing/>
              <w:rPr>
                <w:rFonts w:ascii="Times New Roman" w:eastAsia="Calibri" w:hAnsi="Times New Roman" w:cs="Times New Roman"/>
              </w:rPr>
            </w:pPr>
            <w:r>
              <w:rPr>
                <w:rFonts w:ascii="Times New Roman" w:eastAsia="Calibri" w:hAnsi="Times New Roman" w:cs="Times New Roman"/>
              </w:rPr>
              <w:t>Role playing.</w:t>
            </w:r>
          </w:p>
        </w:tc>
        <w:tc>
          <w:tcPr>
            <w:tcW w:w="3081" w:type="dxa"/>
          </w:tcPr>
          <w:p w14:paraId="1912501A" w14:textId="77777777" w:rsidR="00915120" w:rsidRPr="00915FC9" w:rsidRDefault="00915120" w:rsidP="00915FC9">
            <w:pPr>
              <w:spacing w:line="360" w:lineRule="auto"/>
              <w:contextualSpacing/>
              <w:rPr>
                <w:rFonts w:ascii="Times New Roman" w:eastAsia="Calibri" w:hAnsi="Times New Roman" w:cs="Times New Roman"/>
              </w:rPr>
            </w:pPr>
            <w:r w:rsidRPr="00915FC9">
              <w:rPr>
                <w:rFonts w:ascii="Times New Roman" w:eastAsia="Calibri" w:hAnsi="Times New Roman" w:cs="Times New Roman"/>
              </w:rPr>
              <w:t>Insight into the role in practice</w:t>
            </w:r>
            <w:r w:rsidR="00FC107C">
              <w:rPr>
                <w:rFonts w:ascii="Times New Roman" w:eastAsia="Calibri" w:hAnsi="Times New Roman" w:cs="Times New Roman"/>
              </w:rPr>
              <w:t>.</w:t>
            </w:r>
          </w:p>
        </w:tc>
        <w:tc>
          <w:tcPr>
            <w:tcW w:w="3081" w:type="dxa"/>
          </w:tcPr>
          <w:p w14:paraId="6E97ADCA" w14:textId="77777777" w:rsidR="00915120" w:rsidRPr="00915FC9" w:rsidRDefault="009A6DC6" w:rsidP="00915FC9">
            <w:pPr>
              <w:spacing w:line="360" w:lineRule="auto"/>
              <w:contextualSpacing/>
              <w:rPr>
                <w:rFonts w:ascii="Times New Roman" w:eastAsia="Calibri" w:hAnsi="Times New Roman" w:cs="Times New Roman"/>
              </w:rPr>
            </w:pPr>
            <w:r w:rsidRPr="00915FC9">
              <w:rPr>
                <w:rFonts w:ascii="Times New Roman" w:eastAsia="Calibri" w:hAnsi="Times New Roman" w:cs="Times New Roman"/>
              </w:rPr>
              <w:t>V</w:t>
            </w:r>
            <w:r w:rsidR="00915120" w:rsidRPr="00915FC9">
              <w:rPr>
                <w:rFonts w:ascii="Times New Roman" w:eastAsia="Calibri" w:hAnsi="Times New Roman" w:cs="Times New Roman"/>
              </w:rPr>
              <w:t>iewing situations from others’ standpoints</w:t>
            </w:r>
            <w:r w:rsidR="00FC107C">
              <w:rPr>
                <w:rFonts w:ascii="Times New Roman" w:eastAsia="Calibri" w:hAnsi="Times New Roman" w:cs="Times New Roman"/>
              </w:rPr>
              <w:t>.</w:t>
            </w:r>
          </w:p>
        </w:tc>
      </w:tr>
      <w:tr w:rsidR="00915120" w:rsidRPr="00915FC9" w14:paraId="417BF49C" w14:textId="77777777">
        <w:tc>
          <w:tcPr>
            <w:tcW w:w="3080" w:type="dxa"/>
          </w:tcPr>
          <w:p w14:paraId="46934D23" w14:textId="77777777" w:rsidR="00915120" w:rsidRPr="00915FC9" w:rsidRDefault="00915120" w:rsidP="00915FC9">
            <w:pPr>
              <w:spacing w:line="360" w:lineRule="auto"/>
              <w:contextualSpacing/>
              <w:rPr>
                <w:rFonts w:ascii="Times New Roman" w:eastAsia="Calibri" w:hAnsi="Times New Roman" w:cs="Times New Roman"/>
              </w:rPr>
            </w:pPr>
            <w:r w:rsidRPr="00915FC9">
              <w:rPr>
                <w:rFonts w:ascii="Times New Roman" w:eastAsia="Calibri" w:hAnsi="Times New Roman" w:cs="Times New Roman"/>
              </w:rPr>
              <w:t>Submitting a final Proof of Evidence</w:t>
            </w:r>
            <w:r w:rsidR="00FC107C">
              <w:rPr>
                <w:rFonts w:ascii="Times New Roman" w:eastAsia="Calibri" w:hAnsi="Times New Roman" w:cs="Times New Roman"/>
              </w:rPr>
              <w:t>.</w:t>
            </w:r>
          </w:p>
        </w:tc>
        <w:tc>
          <w:tcPr>
            <w:tcW w:w="3081" w:type="dxa"/>
          </w:tcPr>
          <w:p w14:paraId="1C032543" w14:textId="77777777" w:rsidR="00915120" w:rsidRPr="00915FC9" w:rsidRDefault="00915120" w:rsidP="00915FC9">
            <w:pPr>
              <w:spacing w:line="360" w:lineRule="auto"/>
              <w:contextualSpacing/>
              <w:rPr>
                <w:rFonts w:ascii="Times New Roman" w:eastAsia="Calibri" w:hAnsi="Times New Roman" w:cs="Times New Roman"/>
              </w:rPr>
            </w:pPr>
            <w:r w:rsidRPr="00915FC9">
              <w:rPr>
                <w:rFonts w:ascii="Times New Roman" w:eastAsia="Calibri" w:hAnsi="Times New Roman" w:cs="Times New Roman"/>
              </w:rPr>
              <w:t>The use, content and purpose of proofs of evidence</w:t>
            </w:r>
            <w:r w:rsidR="00FC107C">
              <w:rPr>
                <w:rFonts w:ascii="Times New Roman" w:eastAsia="Calibri" w:hAnsi="Times New Roman" w:cs="Times New Roman"/>
              </w:rPr>
              <w:t>.</w:t>
            </w:r>
          </w:p>
        </w:tc>
        <w:tc>
          <w:tcPr>
            <w:tcW w:w="3081" w:type="dxa"/>
          </w:tcPr>
          <w:p w14:paraId="3FB9443F" w14:textId="77777777" w:rsidR="00915120" w:rsidRPr="00915FC9" w:rsidRDefault="009A6DC6" w:rsidP="00915FC9">
            <w:pPr>
              <w:spacing w:line="360" w:lineRule="auto"/>
              <w:contextualSpacing/>
              <w:rPr>
                <w:rFonts w:ascii="Times New Roman" w:eastAsia="Calibri" w:hAnsi="Times New Roman" w:cs="Times New Roman"/>
              </w:rPr>
            </w:pPr>
            <w:r w:rsidRPr="00915FC9">
              <w:rPr>
                <w:rFonts w:ascii="Times New Roman" w:eastAsia="Calibri" w:hAnsi="Times New Roman" w:cs="Times New Roman"/>
              </w:rPr>
              <w:t>R</w:t>
            </w:r>
            <w:r w:rsidR="00915120" w:rsidRPr="00915FC9">
              <w:rPr>
                <w:rFonts w:ascii="Times New Roman" w:eastAsia="Calibri" w:hAnsi="Times New Roman" w:cs="Times New Roman"/>
              </w:rPr>
              <w:t>eport/proof writing skills, responding to challenges</w:t>
            </w:r>
            <w:r w:rsidR="00FC107C">
              <w:rPr>
                <w:rFonts w:ascii="Times New Roman" w:eastAsia="Calibri" w:hAnsi="Times New Roman" w:cs="Times New Roman"/>
              </w:rPr>
              <w:t>.</w:t>
            </w:r>
          </w:p>
        </w:tc>
      </w:tr>
    </w:tbl>
    <w:p w14:paraId="4B63E8B3" w14:textId="77777777" w:rsidR="00915120" w:rsidRPr="00915FC9" w:rsidRDefault="00915120" w:rsidP="00915FC9">
      <w:pPr>
        <w:spacing w:line="360" w:lineRule="auto"/>
        <w:contextualSpacing/>
      </w:pPr>
    </w:p>
    <w:p w14:paraId="52E307AC" w14:textId="77777777" w:rsidR="00915120" w:rsidRPr="00915FC9" w:rsidRDefault="00915120" w:rsidP="00915FC9">
      <w:pPr>
        <w:spacing w:line="360" w:lineRule="auto"/>
        <w:contextualSpacing/>
      </w:pPr>
    </w:p>
    <w:p w14:paraId="6AAA39DB" w14:textId="77777777" w:rsidR="00D80663" w:rsidRDefault="00D80663" w:rsidP="00915FC9">
      <w:pPr>
        <w:spacing w:line="360" w:lineRule="auto"/>
      </w:pPr>
    </w:p>
    <w:p w14:paraId="1F7A87BD" w14:textId="77777777" w:rsidR="00915FC9" w:rsidRDefault="00915FC9" w:rsidP="00915FC9">
      <w:pPr>
        <w:spacing w:line="360" w:lineRule="auto"/>
      </w:pPr>
    </w:p>
    <w:p w14:paraId="3AB616D5" w14:textId="77777777" w:rsidR="00915FC9" w:rsidRDefault="00915FC9" w:rsidP="00915FC9">
      <w:pPr>
        <w:spacing w:line="360" w:lineRule="auto"/>
      </w:pPr>
    </w:p>
    <w:p w14:paraId="7696B38E" w14:textId="77777777" w:rsidR="00915FC9" w:rsidRDefault="00915FC9" w:rsidP="00915FC9">
      <w:pPr>
        <w:spacing w:line="360" w:lineRule="auto"/>
      </w:pPr>
    </w:p>
    <w:p w14:paraId="0E73480C" w14:textId="77777777" w:rsidR="00915FC9" w:rsidRDefault="00915FC9" w:rsidP="00915FC9">
      <w:pPr>
        <w:spacing w:line="360" w:lineRule="auto"/>
      </w:pPr>
    </w:p>
    <w:p w14:paraId="779FB8C4" w14:textId="77777777" w:rsidR="00915FC9" w:rsidRDefault="00915FC9" w:rsidP="00915FC9">
      <w:pPr>
        <w:spacing w:line="360" w:lineRule="auto"/>
      </w:pPr>
    </w:p>
    <w:p w14:paraId="45803130" w14:textId="77777777" w:rsidR="00915FC9" w:rsidRDefault="00915FC9" w:rsidP="00915FC9">
      <w:pPr>
        <w:spacing w:line="360" w:lineRule="auto"/>
      </w:pPr>
    </w:p>
    <w:p w14:paraId="61EBCD2F" w14:textId="77777777" w:rsidR="00FC107C" w:rsidRDefault="00FC107C" w:rsidP="00915FC9">
      <w:pPr>
        <w:spacing w:line="360" w:lineRule="auto"/>
      </w:pPr>
    </w:p>
    <w:p w14:paraId="2E2B809B" w14:textId="77777777" w:rsidR="00FC107C" w:rsidRPr="00915FC9" w:rsidRDefault="00FC107C" w:rsidP="00915FC9">
      <w:pPr>
        <w:spacing w:line="360" w:lineRule="auto"/>
      </w:pPr>
    </w:p>
    <w:p w14:paraId="55F18FCD" w14:textId="77777777" w:rsidR="00D80663" w:rsidRPr="00915FC9" w:rsidRDefault="00D80663" w:rsidP="00915FC9">
      <w:pPr>
        <w:spacing w:line="360" w:lineRule="auto"/>
      </w:pPr>
    </w:p>
    <w:p w14:paraId="2F268EFB" w14:textId="77777777" w:rsidR="00E22516" w:rsidRPr="00915FC9" w:rsidRDefault="00915120" w:rsidP="00915FC9">
      <w:pPr>
        <w:spacing w:line="360" w:lineRule="auto"/>
        <w:rPr>
          <w:b/>
          <w:color w:val="000000" w:themeColor="text1"/>
        </w:rPr>
      </w:pPr>
      <w:r w:rsidRPr="00915FC9">
        <w:rPr>
          <w:b/>
          <w:color w:val="000000" w:themeColor="text1"/>
        </w:rPr>
        <w:lastRenderedPageBreak/>
        <w:t xml:space="preserve">Table 3: Scoring for the X and Y game </w:t>
      </w:r>
    </w:p>
    <w:p w14:paraId="7547EF0C" w14:textId="77777777" w:rsidR="002163EE" w:rsidRPr="00915FC9" w:rsidRDefault="002163EE" w:rsidP="00915FC9">
      <w:pPr>
        <w:spacing w:line="360" w:lineRule="auto"/>
        <w:rPr>
          <w:b/>
          <w:color w:val="000000" w:themeColor="text1"/>
        </w:rPr>
      </w:pPr>
    </w:p>
    <w:tbl>
      <w:tblPr>
        <w:tblStyle w:val="TableGrid"/>
        <w:tblW w:w="0" w:type="auto"/>
        <w:tblInd w:w="1526" w:type="dxa"/>
        <w:tblLook w:val="04A0" w:firstRow="1" w:lastRow="0" w:firstColumn="1" w:lastColumn="0" w:noHBand="0" w:noVBand="1"/>
      </w:tblPr>
      <w:tblGrid>
        <w:gridCol w:w="1666"/>
        <w:gridCol w:w="1311"/>
        <w:gridCol w:w="1559"/>
      </w:tblGrid>
      <w:tr w:rsidR="00915120" w:rsidRPr="00915FC9" w14:paraId="1260AAC8" w14:textId="77777777" w:rsidTr="00FC107C">
        <w:tc>
          <w:tcPr>
            <w:tcW w:w="1666" w:type="dxa"/>
          </w:tcPr>
          <w:p w14:paraId="63AAA494" w14:textId="77777777" w:rsidR="00915120" w:rsidRPr="00915FC9" w:rsidRDefault="00915120" w:rsidP="00FC107C">
            <w:pPr>
              <w:spacing w:line="360" w:lineRule="auto"/>
              <w:jc w:val="center"/>
              <w:rPr>
                <w:rFonts w:ascii="Times New Roman" w:hAnsi="Times New Roman" w:cs="Times New Roman"/>
                <w:b/>
                <w:color w:val="000000" w:themeColor="text1"/>
              </w:rPr>
            </w:pPr>
            <w:r w:rsidRPr="00915FC9">
              <w:rPr>
                <w:rFonts w:ascii="Times New Roman" w:hAnsi="Times New Roman" w:cs="Times New Roman"/>
                <w:b/>
                <w:color w:val="000000" w:themeColor="text1"/>
              </w:rPr>
              <w:t>Cards played</w:t>
            </w:r>
          </w:p>
        </w:tc>
        <w:tc>
          <w:tcPr>
            <w:tcW w:w="1311" w:type="dxa"/>
          </w:tcPr>
          <w:p w14:paraId="2478C079" w14:textId="77777777" w:rsidR="00915120" w:rsidRPr="00915FC9" w:rsidRDefault="00915120" w:rsidP="00FC107C">
            <w:pPr>
              <w:spacing w:line="360" w:lineRule="auto"/>
              <w:jc w:val="center"/>
              <w:rPr>
                <w:rFonts w:ascii="Times New Roman" w:hAnsi="Times New Roman" w:cs="Times New Roman"/>
                <w:b/>
                <w:color w:val="000000" w:themeColor="text1"/>
              </w:rPr>
            </w:pPr>
            <w:r w:rsidRPr="00915FC9">
              <w:rPr>
                <w:rFonts w:ascii="Times New Roman" w:hAnsi="Times New Roman" w:cs="Times New Roman"/>
                <w:b/>
                <w:color w:val="000000" w:themeColor="text1"/>
              </w:rPr>
              <w:t>Outcome</w:t>
            </w:r>
          </w:p>
        </w:tc>
        <w:tc>
          <w:tcPr>
            <w:tcW w:w="1559" w:type="dxa"/>
          </w:tcPr>
          <w:p w14:paraId="477C9B5A" w14:textId="77777777" w:rsidR="00915120" w:rsidRPr="00915FC9" w:rsidRDefault="00915120" w:rsidP="00FC107C">
            <w:pPr>
              <w:spacing w:line="360" w:lineRule="auto"/>
              <w:jc w:val="center"/>
              <w:rPr>
                <w:rFonts w:ascii="Times New Roman" w:hAnsi="Times New Roman" w:cs="Times New Roman"/>
                <w:b/>
                <w:color w:val="000000" w:themeColor="text1"/>
              </w:rPr>
            </w:pPr>
            <w:r w:rsidRPr="00915FC9">
              <w:rPr>
                <w:rFonts w:ascii="Times New Roman" w:hAnsi="Times New Roman" w:cs="Times New Roman"/>
                <w:b/>
                <w:color w:val="000000" w:themeColor="text1"/>
              </w:rPr>
              <w:t>Scoring</w:t>
            </w:r>
          </w:p>
        </w:tc>
      </w:tr>
      <w:tr w:rsidR="00915120" w:rsidRPr="00915FC9" w14:paraId="21707687" w14:textId="77777777" w:rsidTr="00FC107C">
        <w:tc>
          <w:tcPr>
            <w:tcW w:w="1666" w:type="dxa"/>
          </w:tcPr>
          <w:p w14:paraId="21848164"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Four Xs</w:t>
            </w:r>
          </w:p>
        </w:tc>
        <w:tc>
          <w:tcPr>
            <w:tcW w:w="1311" w:type="dxa"/>
          </w:tcPr>
          <w:p w14:paraId="73649EC9"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Lose</w:t>
            </w:r>
          </w:p>
        </w:tc>
        <w:tc>
          <w:tcPr>
            <w:tcW w:w="1559" w:type="dxa"/>
          </w:tcPr>
          <w:p w14:paraId="762C6D77"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-1 point each</w:t>
            </w:r>
          </w:p>
        </w:tc>
      </w:tr>
      <w:tr w:rsidR="00915120" w:rsidRPr="00915FC9" w14:paraId="7BB0E018" w14:textId="77777777" w:rsidTr="00FC107C">
        <w:tc>
          <w:tcPr>
            <w:tcW w:w="1666" w:type="dxa"/>
          </w:tcPr>
          <w:p w14:paraId="727FDC1A"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Three Xs</w:t>
            </w:r>
          </w:p>
          <w:p w14:paraId="2E2BC117"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One Y</w:t>
            </w:r>
          </w:p>
        </w:tc>
        <w:tc>
          <w:tcPr>
            <w:tcW w:w="1311" w:type="dxa"/>
          </w:tcPr>
          <w:p w14:paraId="5F9B5BB5"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Win</w:t>
            </w:r>
          </w:p>
          <w:p w14:paraId="661A0C1D"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Lose</w:t>
            </w:r>
          </w:p>
        </w:tc>
        <w:tc>
          <w:tcPr>
            <w:tcW w:w="1559" w:type="dxa"/>
          </w:tcPr>
          <w:p w14:paraId="104F9AD1"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+1 each</w:t>
            </w:r>
          </w:p>
          <w:p w14:paraId="58F2F514"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-3</w:t>
            </w:r>
          </w:p>
        </w:tc>
      </w:tr>
      <w:tr w:rsidR="00915120" w:rsidRPr="00915FC9" w14:paraId="6739602C" w14:textId="77777777" w:rsidTr="00FC107C">
        <w:tc>
          <w:tcPr>
            <w:tcW w:w="1666" w:type="dxa"/>
          </w:tcPr>
          <w:p w14:paraId="4B920522"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Two Xs</w:t>
            </w:r>
          </w:p>
          <w:p w14:paraId="3BDBD27A"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Two Ys</w:t>
            </w:r>
          </w:p>
        </w:tc>
        <w:tc>
          <w:tcPr>
            <w:tcW w:w="1311" w:type="dxa"/>
          </w:tcPr>
          <w:p w14:paraId="7B266616"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Win</w:t>
            </w:r>
          </w:p>
          <w:p w14:paraId="0B275D0C"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Lose</w:t>
            </w:r>
          </w:p>
        </w:tc>
        <w:tc>
          <w:tcPr>
            <w:tcW w:w="1559" w:type="dxa"/>
          </w:tcPr>
          <w:p w14:paraId="00293D00"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+2 each</w:t>
            </w:r>
          </w:p>
          <w:p w14:paraId="4915DFD9"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-2 each</w:t>
            </w:r>
          </w:p>
        </w:tc>
      </w:tr>
      <w:tr w:rsidR="00915120" w:rsidRPr="00915FC9" w14:paraId="5B1FDFC8" w14:textId="77777777" w:rsidTr="00FC107C">
        <w:tc>
          <w:tcPr>
            <w:tcW w:w="1666" w:type="dxa"/>
          </w:tcPr>
          <w:p w14:paraId="1F2B6622"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One X</w:t>
            </w:r>
          </w:p>
          <w:p w14:paraId="5EF9DA46"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Three Ys</w:t>
            </w:r>
          </w:p>
        </w:tc>
        <w:tc>
          <w:tcPr>
            <w:tcW w:w="1311" w:type="dxa"/>
          </w:tcPr>
          <w:p w14:paraId="3237AAEA"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Win</w:t>
            </w:r>
          </w:p>
          <w:p w14:paraId="1CA493AC"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Lose</w:t>
            </w:r>
          </w:p>
        </w:tc>
        <w:tc>
          <w:tcPr>
            <w:tcW w:w="1559" w:type="dxa"/>
          </w:tcPr>
          <w:p w14:paraId="70C1FDF4"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+3</w:t>
            </w:r>
          </w:p>
          <w:p w14:paraId="5D387CFD"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-1 each</w:t>
            </w:r>
          </w:p>
        </w:tc>
      </w:tr>
      <w:tr w:rsidR="00915120" w:rsidRPr="00915FC9" w14:paraId="345A1349" w14:textId="77777777" w:rsidTr="00FC107C">
        <w:tc>
          <w:tcPr>
            <w:tcW w:w="1666" w:type="dxa"/>
          </w:tcPr>
          <w:p w14:paraId="70D8EEBE"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Four Ys</w:t>
            </w:r>
          </w:p>
        </w:tc>
        <w:tc>
          <w:tcPr>
            <w:tcW w:w="1311" w:type="dxa"/>
          </w:tcPr>
          <w:p w14:paraId="4D4BEF3A"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Win</w:t>
            </w:r>
          </w:p>
        </w:tc>
        <w:tc>
          <w:tcPr>
            <w:tcW w:w="1559" w:type="dxa"/>
          </w:tcPr>
          <w:p w14:paraId="752555D0" w14:textId="77777777" w:rsidR="00915120" w:rsidRPr="00915FC9" w:rsidRDefault="00915120" w:rsidP="00FC107C">
            <w:pPr>
              <w:spacing w:line="360" w:lineRule="auto"/>
              <w:jc w:val="center"/>
              <w:rPr>
                <w:rFonts w:ascii="Times New Roman" w:hAnsi="Times New Roman" w:cs="Times New Roman"/>
                <w:color w:val="000000" w:themeColor="text1"/>
              </w:rPr>
            </w:pPr>
            <w:r w:rsidRPr="00915FC9">
              <w:rPr>
                <w:rFonts w:ascii="Times New Roman" w:hAnsi="Times New Roman" w:cs="Times New Roman"/>
                <w:color w:val="000000" w:themeColor="text1"/>
              </w:rPr>
              <w:t>+1 each</w:t>
            </w:r>
          </w:p>
        </w:tc>
      </w:tr>
    </w:tbl>
    <w:p w14:paraId="7EA2A1C5" w14:textId="77777777" w:rsidR="00E70B3C" w:rsidRPr="00915FC9" w:rsidRDefault="00E70B3C" w:rsidP="00915FC9">
      <w:pPr>
        <w:spacing w:line="360" w:lineRule="auto"/>
        <w:contextualSpacing/>
        <w:rPr>
          <w:rFonts w:eastAsia="Calibri"/>
          <w:b/>
        </w:rPr>
      </w:pPr>
    </w:p>
    <w:p w14:paraId="402502FE" w14:textId="77777777" w:rsidR="00E22516" w:rsidRPr="00915FC9" w:rsidRDefault="00E22516" w:rsidP="00915120">
      <w:pPr>
        <w:spacing w:line="360" w:lineRule="auto"/>
        <w:contextualSpacing/>
        <w:jc w:val="both"/>
        <w:rPr>
          <w:rFonts w:eastAsia="Calibri"/>
          <w:b/>
        </w:rPr>
      </w:pPr>
    </w:p>
    <w:p w14:paraId="66F0B100" w14:textId="77777777" w:rsidR="00E064E4" w:rsidRPr="00915FC9" w:rsidRDefault="00E064E4" w:rsidP="00915120">
      <w:pPr>
        <w:spacing w:line="360" w:lineRule="auto"/>
        <w:contextualSpacing/>
        <w:jc w:val="both"/>
        <w:rPr>
          <w:rFonts w:eastAsia="Calibri"/>
          <w:b/>
        </w:rPr>
      </w:pPr>
    </w:p>
    <w:p w14:paraId="3AC327F7" w14:textId="77777777" w:rsidR="00E064E4" w:rsidRDefault="00E064E4" w:rsidP="00915120">
      <w:pPr>
        <w:spacing w:line="360" w:lineRule="auto"/>
        <w:contextualSpacing/>
        <w:jc w:val="both"/>
        <w:rPr>
          <w:rFonts w:eastAsia="Calibri"/>
          <w:b/>
        </w:rPr>
      </w:pPr>
    </w:p>
    <w:p w14:paraId="6BE0F5D6" w14:textId="77777777" w:rsidR="00205937" w:rsidRDefault="00205937" w:rsidP="00915120">
      <w:pPr>
        <w:spacing w:line="360" w:lineRule="auto"/>
        <w:contextualSpacing/>
        <w:jc w:val="both"/>
        <w:rPr>
          <w:rFonts w:eastAsia="Calibri"/>
          <w:b/>
        </w:rPr>
      </w:pPr>
    </w:p>
    <w:p w14:paraId="3043FB0B" w14:textId="77777777" w:rsidR="00642614" w:rsidRPr="00E70B3C" w:rsidRDefault="00642614" w:rsidP="00915120">
      <w:pPr>
        <w:spacing w:line="360" w:lineRule="auto"/>
        <w:contextualSpacing/>
        <w:jc w:val="both"/>
        <w:rPr>
          <w:rFonts w:eastAsia="Calibri"/>
          <w:b/>
        </w:rPr>
      </w:pPr>
      <w:r w:rsidRPr="00E70B3C">
        <w:rPr>
          <w:rFonts w:eastAsia="Calibri"/>
          <w:b/>
        </w:rPr>
        <w:t>Notes</w:t>
      </w:r>
    </w:p>
    <w:p w14:paraId="3B02A8D7" w14:textId="77777777" w:rsidR="00E064E4" w:rsidRPr="00205937" w:rsidRDefault="00205937" w:rsidP="00D16C39">
      <w:pPr>
        <w:pStyle w:val="FootnoteText"/>
      </w:pPr>
      <w:r w:rsidRPr="00205937">
        <w:t>1.</w:t>
      </w:r>
      <w:r w:rsidRPr="00205937">
        <w:tab/>
      </w:r>
      <w:r w:rsidR="00CC0E82" w:rsidRPr="00CC0E82">
        <w:t xml:space="preserve">    </w:t>
      </w:r>
      <w:hyperlink r:id="rId8" w:history="1">
        <w:r w:rsidR="00CC0E82" w:rsidRPr="00CC0E82">
          <w:rPr>
            <w:rStyle w:val="Hyperlink"/>
          </w:rPr>
          <w:t>RTPI (2004) Policy Statement on Initial Planning Education</w:t>
        </w:r>
      </w:hyperlink>
    </w:p>
    <w:p w14:paraId="701423C2" w14:textId="77777777" w:rsidR="00205937" w:rsidRDefault="00205937" w:rsidP="00915120">
      <w:pPr>
        <w:spacing w:line="360" w:lineRule="auto"/>
        <w:contextualSpacing/>
        <w:jc w:val="both"/>
        <w:rPr>
          <w:rFonts w:eastAsia="Calibri"/>
        </w:rPr>
      </w:pPr>
    </w:p>
    <w:p w14:paraId="4FACB9A5" w14:textId="77777777" w:rsidR="00D508D1" w:rsidRPr="001C663E" w:rsidRDefault="00D508D1" w:rsidP="00915120">
      <w:pPr>
        <w:spacing w:line="360" w:lineRule="auto"/>
        <w:contextualSpacing/>
        <w:jc w:val="both"/>
        <w:rPr>
          <w:rFonts w:eastAsia="Calibri"/>
          <w:b/>
        </w:rPr>
      </w:pPr>
      <w:r w:rsidRPr="001C663E">
        <w:rPr>
          <w:rFonts w:eastAsia="Calibri"/>
          <w:b/>
        </w:rPr>
        <w:t>Acknowledgement</w:t>
      </w:r>
    </w:p>
    <w:p w14:paraId="305AC5A2" w14:textId="77777777" w:rsidR="00D508D1" w:rsidRDefault="00D508D1" w:rsidP="00915120">
      <w:pPr>
        <w:spacing w:line="360" w:lineRule="auto"/>
        <w:contextualSpacing/>
        <w:jc w:val="both"/>
        <w:rPr>
          <w:rFonts w:eastAsia="Calibri"/>
        </w:rPr>
      </w:pPr>
    </w:p>
    <w:p w14:paraId="255CB7C3" w14:textId="77777777" w:rsidR="00642614" w:rsidRPr="001C663E" w:rsidRDefault="00642614" w:rsidP="00915120">
      <w:pPr>
        <w:spacing w:line="360" w:lineRule="auto"/>
        <w:contextualSpacing/>
        <w:jc w:val="both"/>
        <w:rPr>
          <w:rFonts w:eastAsia="Calibri"/>
          <w:sz w:val="22"/>
        </w:rPr>
      </w:pPr>
      <w:r w:rsidRPr="001C663E">
        <w:rPr>
          <w:rFonts w:eastAsia="Calibri"/>
          <w:sz w:val="22"/>
        </w:rPr>
        <w:t xml:space="preserve">This work was supported by </w:t>
      </w:r>
      <w:r w:rsidRPr="001C663E">
        <w:rPr>
          <w:sz w:val="22"/>
        </w:rPr>
        <w:t>funding from the Higher Education Academy</w:t>
      </w:r>
      <w:r w:rsidR="00B56071" w:rsidRPr="001C663E">
        <w:rPr>
          <w:sz w:val="22"/>
        </w:rPr>
        <w:t>’s</w:t>
      </w:r>
      <w:r w:rsidRPr="001C663E">
        <w:rPr>
          <w:sz w:val="22"/>
        </w:rPr>
        <w:t xml:space="preserve"> (HEA) Centre for Education in the Built Environment (CEBE). </w:t>
      </w:r>
    </w:p>
    <w:p w14:paraId="71027A7F" w14:textId="77777777" w:rsidR="009A6DC6" w:rsidRPr="00E70B3C" w:rsidRDefault="009A6DC6" w:rsidP="00915120">
      <w:pPr>
        <w:spacing w:line="360" w:lineRule="auto"/>
        <w:contextualSpacing/>
        <w:jc w:val="both"/>
        <w:rPr>
          <w:rFonts w:eastAsia="Calibri"/>
          <w:b/>
        </w:rPr>
      </w:pPr>
    </w:p>
    <w:p w14:paraId="07223EFE" w14:textId="77777777" w:rsidR="00B01532" w:rsidRDefault="00205937" w:rsidP="00915120">
      <w:pPr>
        <w:spacing w:line="360" w:lineRule="auto"/>
        <w:contextualSpacing/>
        <w:jc w:val="both"/>
        <w:rPr>
          <w:rFonts w:eastAsia="Calibri"/>
          <w:b/>
        </w:rPr>
      </w:pPr>
      <w:r>
        <w:rPr>
          <w:rFonts w:eastAsia="Calibri"/>
          <w:b/>
        </w:rPr>
        <w:t>Notes on contributors</w:t>
      </w:r>
    </w:p>
    <w:p w14:paraId="47D75CA2" w14:textId="77777777" w:rsidR="003D6C42" w:rsidRDefault="003D6C42" w:rsidP="003D6C42"/>
    <w:p w14:paraId="2C097BD5" w14:textId="77777777" w:rsidR="003D6C42" w:rsidRDefault="003D6C42" w:rsidP="001C663E">
      <w:r>
        <w:t>Heather Ritchie is a lecturer on the MSc Planning and Property Development in the School of the Built Environment at Ulster University. She is a Licentiate member of the RTPI and is a Fellow of the Higher Education Academy. </w:t>
      </w:r>
    </w:p>
    <w:p w14:paraId="02E07113" w14:textId="77777777" w:rsidR="003D6C42" w:rsidRDefault="003D6C42" w:rsidP="001C663E"/>
    <w:p w14:paraId="775E9F72" w14:textId="77777777" w:rsidR="003D6C42" w:rsidRDefault="003D6C42" w:rsidP="001C663E">
      <w:r>
        <w:lastRenderedPageBreak/>
        <w:t xml:space="preserve">Adam Sheppard is a Senior Lecturer in Planning within the Department of Geography and Environmental Management at UWE Bristol.  He is Director of the Joint Distance Learning Consortium, a Member of the RTPI and a Fellow of the Higher Education Academy. </w:t>
      </w:r>
    </w:p>
    <w:p w14:paraId="0417C571" w14:textId="77777777" w:rsidR="003D6C42" w:rsidRDefault="003D6C42" w:rsidP="001C663E"/>
    <w:p w14:paraId="1EFE2F2F" w14:textId="77777777" w:rsidR="003D6C42" w:rsidRDefault="003D6C42" w:rsidP="001C663E">
      <w:r>
        <w:t>Nick Croft is Senior Lecturer in Planning within the Department of Geography and Environmental Management at UWE Bristol. He is also a practicing planner within local government and is a Member of the RTPI.</w:t>
      </w:r>
    </w:p>
    <w:p w14:paraId="1864DB38" w14:textId="77777777" w:rsidR="003D6C42" w:rsidRDefault="003D6C42" w:rsidP="001C663E"/>
    <w:p w14:paraId="703AAF35" w14:textId="77777777" w:rsidR="003D6C42" w:rsidRPr="001C663E" w:rsidRDefault="003D6C42" w:rsidP="001C663E">
      <w:r>
        <w:t xml:space="preserve">Deborah Peel holds the Chair of Architecture and Planning at the University of Dundee and is SEDA-accredited. She is a Member of the Royal Town Planning Institute, and formerly </w:t>
      </w:r>
      <w:r w:rsidRPr="001C663E">
        <w:rPr>
          <w:i/>
        </w:rPr>
        <w:t>Editor of the Journal for Education in the Built Environment</w:t>
      </w:r>
      <w:r>
        <w:t>. She was previously Professor of Planning Research and Scholarship at Ulster University.</w:t>
      </w:r>
    </w:p>
    <w:p w14:paraId="1660897B" w14:textId="77777777" w:rsidR="00205937" w:rsidRDefault="00205937" w:rsidP="00915120">
      <w:pPr>
        <w:spacing w:line="360" w:lineRule="auto"/>
        <w:contextualSpacing/>
        <w:jc w:val="both"/>
        <w:rPr>
          <w:rFonts w:eastAsia="Calibri"/>
          <w:b/>
        </w:rPr>
      </w:pPr>
    </w:p>
    <w:p w14:paraId="1086E5AA" w14:textId="77777777" w:rsidR="00205937" w:rsidRDefault="00205937" w:rsidP="00915120">
      <w:pPr>
        <w:spacing w:line="360" w:lineRule="auto"/>
        <w:contextualSpacing/>
        <w:jc w:val="both"/>
        <w:rPr>
          <w:rFonts w:eastAsia="Calibri"/>
          <w:b/>
        </w:rPr>
      </w:pPr>
    </w:p>
    <w:p w14:paraId="22256428" w14:textId="77777777" w:rsidR="00915120" w:rsidRPr="00E70B3C" w:rsidRDefault="00915120" w:rsidP="00915120">
      <w:pPr>
        <w:spacing w:line="360" w:lineRule="auto"/>
        <w:contextualSpacing/>
        <w:jc w:val="both"/>
        <w:rPr>
          <w:rFonts w:eastAsia="Calibri"/>
          <w:b/>
        </w:rPr>
      </w:pPr>
      <w:r w:rsidRPr="00E70B3C">
        <w:rPr>
          <w:rFonts w:eastAsia="Calibri"/>
          <w:b/>
        </w:rPr>
        <w:t>References</w:t>
      </w:r>
    </w:p>
    <w:p w14:paraId="0F800B41" w14:textId="77777777" w:rsidR="00915120" w:rsidRPr="00E70B3C" w:rsidRDefault="00915120" w:rsidP="001C663E">
      <w:pPr>
        <w:spacing w:line="240" w:lineRule="auto"/>
        <w:ind w:left="720" w:hanging="720"/>
        <w:contextualSpacing/>
        <w:jc w:val="both"/>
        <w:rPr>
          <w:rFonts w:eastAsia="Calibri"/>
        </w:rPr>
      </w:pPr>
      <w:r w:rsidRPr="00E70B3C">
        <w:rPr>
          <w:rFonts w:eastAsia="Calibri"/>
        </w:rPr>
        <w:t>Academy for Sustainable Communities</w:t>
      </w:r>
      <w:r w:rsidR="00E65CC7">
        <w:rPr>
          <w:rFonts w:eastAsia="Calibri"/>
        </w:rPr>
        <w:t xml:space="preserve"> (ASC)</w:t>
      </w:r>
      <w:r w:rsidRPr="00E70B3C">
        <w:rPr>
          <w:rFonts w:eastAsia="Calibri"/>
        </w:rPr>
        <w:t xml:space="preserve"> (2007)</w:t>
      </w:r>
      <w:r w:rsidR="00E65CC7">
        <w:rPr>
          <w:rFonts w:eastAsia="Calibri"/>
        </w:rPr>
        <w:t>.</w:t>
      </w:r>
      <w:r w:rsidRPr="00E70B3C">
        <w:rPr>
          <w:rFonts w:eastAsia="Calibri"/>
        </w:rPr>
        <w:t xml:space="preserve"> </w:t>
      </w:r>
      <w:r w:rsidRPr="00E70B3C">
        <w:rPr>
          <w:rFonts w:eastAsia="Calibri"/>
          <w:i/>
        </w:rPr>
        <w:t xml:space="preserve">Mind the </w:t>
      </w:r>
      <w:r w:rsidR="00E65CC7">
        <w:rPr>
          <w:rFonts w:eastAsia="Calibri"/>
          <w:i/>
        </w:rPr>
        <w:t>s</w:t>
      </w:r>
      <w:r w:rsidRPr="00E70B3C">
        <w:rPr>
          <w:rFonts w:eastAsia="Calibri"/>
          <w:i/>
        </w:rPr>
        <w:t xml:space="preserve">kills </w:t>
      </w:r>
      <w:r w:rsidR="00E65CC7">
        <w:rPr>
          <w:rFonts w:eastAsia="Calibri"/>
          <w:i/>
        </w:rPr>
        <w:t>g</w:t>
      </w:r>
      <w:r w:rsidRPr="00E70B3C">
        <w:rPr>
          <w:rFonts w:eastAsia="Calibri"/>
          <w:i/>
        </w:rPr>
        <w:t>ap: The skills we need for sustainable communities</w:t>
      </w:r>
      <w:r w:rsidR="00E65CC7">
        <w:rPr>
          <w:rFonts w:eastAsia="Calibri"/>
          <w:i/>
        </w:rPr>
        <w:t>.</w:t>
      </w:r>
      <w:r w:rsidRPr="00E70B3C">
        <w:rPr>
          <w:rFonts w:eastAsia="Calibri"/>
          <w:i/>
        </w:rPr>
        <w:t xml:space="preserve"> </w:t>
      </w:r>
      <w:r w:rsidRPr="00E70B3C">
        <w:rPr>
          <w:rFonts w:eastAsia="Calibri"/>
        </w:rPr>
        <w:t>Leeds: ASC</w:t>
      </w:r>
      <w:r w:rsidR="00E65CC7">
        <w:rPr>
          <w:rFonts w:eastAsia="Calibri"/>
        </w:rPr>
        <w:t>.</w:t>
      </w:r>
    </w:p>
    <w:p w14:paraId="3E3C8359" w14:textId="77777777" w:rsidR="00915120" w:rsidRPr="00E70B3C" w:rsidRDefault="00915120" w:rsidP="001C663E">
      <w:pPr>
        <w:spacing w:line="240" w:lineRule="auto"/>
        <w:ind w:left="720" w:hanging="720"/>
        <w:contextualSpacing/>
        <w:jc w:val="both"/>
      </w:pPr>
    </w:p>
    <w:p w14:paraId="3287B2CB" w14:textId="77777777" w:rsidR="00915120" w:rsidRPr="00E70B3C" w:rsidRDefault="006C5B6D" w:rsidP="001C663E">
      <w:pPr>
        <w:spacing w:line="240" w:lineRule="auto"/>
        <w:ind w:left="720" w:hanging="720"/>
        <w:contextualSpacing/>
        <w:jc w:val="both"/>
        <w:rPr>
          <w:rFonts w:eastAsia="Calibri"/>
        </w:rPr>
      </w:pPr>
      <w:hyperlink r:id="rId9" w:history="1">
        <w:r w:rsidR="00915120" w:rsidRPr="00E70B3C">
          <w:rPr>
            <w:lang w:val="en-US" w:eastAsia="en-US"/>
          </w:rPr>
          <w:t>Allmendinger, P.</w:t>
        </w:r>
        <w:r w:rsidR="00E65CC7">
          <w:rPr>
            <w:lang w:val="en-US" w:eastAsia="en-US"/>
          </w:rPr>
          <w:t>, &amp;</w:t>
        </w:r>
        <w:r w:rsidR="00915120" w:rsidRPr="00E70B3C">
          <w:rPr>
            <w:lang w:val="en-US" w:eastAsia="en-US"/>
          </w:rPr>
          <w:t xml:space="preserve"> Haughton, G. (2009)</w:t>
        </w:r>
        <w:r w:rsidR="00E65CC7">
          <w:rPr>
            <w:lang w:val="en-US" w:eastAsia="en-US"/>
          </w:rPr>
          <w:t>.</w:t>
        </w:r>
        <w:r w:rsidR="00915120" w:rsidRPr="00E70B3C">
          <w:rPr>
            <w:lang w:val="en-US" w:eastAsia="en-US"/>
          </w:rPr>
          <w:t xml:space="preserve"> Soft spaces, fuzzy boundaries and metagovernance: </w:t>
        </w:r>
        <w:r w:rsidR="00D508D1">
          <w:rPr>
            <w:lang w:val="en-US" w:eastAsia="en-US"/>
          </w:rPr>
          <w:t>T</w:t>
        </w:r>
        <w:r w:rsidR="00915120" w:rsidRPr="00E70B3C">
          <w:rPr>
            <w:lang w:val="en-US" w:eastAsia="en-US"/>
          </w:rPr>
          <w:t>he new spatial planning in the Thames Gateway</w:t>
        </w:r>
        <w:r w:rsidR="00E65CC7">
          <w:rPr>
            <w:lang w:val="en-US" w:eastAsia="en-US"/>
          </w:rPr>
          <w:t>.</w:t>
        </w:r>
        <w:r w:rsidR="00915120" w:rsidRPr="00E70B3C">
          <w:rPr>
            <w:lang w:val="en-US" w:eastAsia="en-US"/>
          </w:rPr>
          <w:t xml:space="preserve"> </w:t>
        </w:r>
        <w:r w:rsidR="00915120" w:rsidRPr="00E70B3C">
          <w:rPr>
            <w:i/>
            <w:lang w:val="en-US" w:eastAsia="en-US"/>
          </w:rPr>
          <w:t>Environment and Planning A,</w:t>
        </w:r>
        <w:r w:rsidR="00D32432" w:rsidRPr="00E70B3C">
          <w:rPr>
            <w:lang w:val="en-US" w:eastAsia="en-US"/>
          </w:rPr>
          <w:t xml:space="preserve"> 41,</w:t>
        </w:r>
        <w:r w:rsidR="00915120" w:rsidRPr="00E70B3C">
          <w:rPr>
            <w:lang w:val="en-US" w:eastAsia="en-US"/>
          </w:rPr>
          <w:t xml:space="preserve"> 617 - 633</w:t>
        </w:r>
      </w:hyperlink>
      <w:r w:rsidR="00E65CC7">
        <w:rPr>
          <w:lang w:val="en-US" w:eastAsia="en-US"/>
        </w:rPr>
        <w:t>.</w:t>
      </w:r>
      <w:r w:rsidR="00915120" w:rsidRPr="00E70B3C">
        <w:rPr>
          <w:lang w:val="en-US" w:eastAsia="en-US"/>
        </w:rPr>
        <w:t> </w:t>
      </w:r>
    </w:p>
    <w:p w14:paraId="1AE2D7D6" w14:textId="77777777" w:rsidR="00915120" w:rsidRPr="00E70B3C" w:rsidRDefault="00915120" w:rsidP="001C663E">
      <w:pPr>
        <w:spacing w:line="240" w:lineRule="auto"/>
        <w:ind w:left="720" w:hanging="720"/>
        <w:contextualSpacing/>
        <w:jc w:val="both"/>
        <w:rPr>
          <w:rFonts w:eastAsia="Calibri"/>
        </w:rPr>
      </w:pPr>
    </w:p>
    <w:p w14:paraId="0B7EE82A" w14:textId="77777777" w:rsidR="00D32432" w:rsidRPr="00E70B3C" w:rsidRDefault="00915120" w:rsidP="001C663E">
      <w:pPr>
        <w:spacing w:line="240" w:lineRule="auto"/>
        <w:ind w:left="720" w:hanging="720"/>
        <w:jc w:val="both"/>
        <w:rPr>
          <w:color w:val="000000" w:themeColor="text1"/>
        </w:rPr>
      </w:pPr>
      <w:r w:rsidRPr="00E70B3C">
        <w:rPr>
          <w:color w:val="000000" w:themeColor="text1"/>
        </w:rPr>
        <w:t>Axelrod</w:t>
      </w:r>
      <w:r w:rsidR="00D32432" w:rsidRPr="00E70B3C">
        <w:rPr>
          <w:color w:val="000000" w:themeColor="text1"/>
        </w:rPr>
        <w:t>,</w:t>
      </w:r>
      <w:r w:rsidRPr="00E70B3C">
        <w:rPr>
          <w:color w:val="000000" w:themeColor="text1"/>
        </w:rPr>
        <w:t xml:space="preserve"> R</w:t>
      </w:r>
      <w:r w:rsidR="00D32432" w:rsidRPr="00E70B3C">
        <w:rPr>
          <w:color w:val="000000" w:themeColor="text1"/>
        </w:rPr>
        <w:t>.</w:t>
      </w:r>
      <w:r w:rsidRPr="00E70B3C">
        <w:rPr>
          <w:color w:val="000000" w:themeColor="text1"/>
        </w:rPr>
        <w:t xml:space="preserve"> (1984)</w:t>
      </w:r>
      <w:r w:rsidR="00E65CC7">
        <w:rPr>
          <w:color w:val="000000" w:themeColor="text1"/>
        </w:rPr>
        <w:t>.</w:t>
      </w:r>
      <w:r w:rsidRPr="001C663E">
        <w:rPr>
          <w:i/>
          <w:color w:val="000000" w:themeColor="text1"/>
        </w:rPr>
        <w:t xml:space="preserve">The </w:t>
      </w:r>
      <w:r w:rsidR="00E65CC7" w:rsidRPr="001C663E">
        <w:rPr>
          <w:i/>
          <w:color w:val="000000" w:themeColor="text1"/>
        </w:rPr>
        <w:t>e</w:t>
      </w:r>
      <w:r w:rsidRPr="001C663E">
        <w:rPr>
          <w:i/>
          <w:color w:val="000000" w:themeColor="text1"/>
        </w:rPr>
        <w:t xml:space="preserve">volution of </w:t>
      </w:r>
      <w:r w:rsidR="00E65CC7" w:rsidRPr="001C663E">
        <w:rPr>
          <w:i/>
          <w:color w:val="000000" w:themeColor="text1"/>
        </w:rPr>
        <w:t>c</w:t>
      </w:r>
      <w:r w:rsidRPr="001C663E">
        <w:rPr>
          <w:i/>
          <w:color w:val="000000" w:themeColor="text1"/>
        </w:rPr>
        <w:t>ooperation</w:t>
      </w:r>
      <w:r w:rsidRPr="00E70B3C">
        <w:rPr>
          <w:color w:val="000000" w:themeColor="text1"/>
        </w:rPr>
        <w:t>. New York: Basic Books</w:t>
      </w:r>
      <w:bookmarkStart w:id="0" w:name="pone.0030689-Hardin1"/>
      <w:bookmarkEnd w:id="0"/>
      <w:r w:rsidR="00E65CC7">
        <w:rPr>
          <w:color w:val="000000" w:themeColor="text1"/>
        </w:rPr>
        <w:t>.</w:t>
      </w:r>
    </w:p>
    <w:p w14:paraId="1E9D484F" w14:textId="77777777" w:rsidR="00205937" w:rsidRDefault="00205937" w:rsidP="001C663E">
      <w:pPr>
        <w:spacing w:line="240" w:lineRule="auto"/>
        <w:ind w:left="720" w:hanging="720"/>
        <w:jc w:val="both"/>
        <w:rPr>
          <w:color w:val="000000" w:themeColor="text1"/>
        </w:rPr>
      </w:pPr>
    </w:p>
    <w:p w14:paraId="12EBC942" w14:textId="77777777" w:rsidR="00915120" w:rsidRPr="00E70B3C" w:rsidRDefault="00915120" w:rsidP="001C663E">
      <w:pPr>
        <w:spacing w:line="240" w:lineRule="auto"/>
        <w:ind w:left="720" w:hanging="720"/>
        <w:jc w:val="both"/>
        <w:rPr>
          <w:color w:val="000000" w:themeColor="text1"/>
        </w:rPr>
      </w:pPr>
      <w:r w:rsidRPr="00E70B3C">
        <w:rPr>
          <w:color w:val="000000" w:themeColor="text1"/>
        </w:rPr>
        <w:t>Bailey, N.  (2005)</w:t>
      </w:r>
      <w:r w:rsidR="00E65CC7">
        <w:rPr>
          <w:color w:val="000000" w:themeColor="text1"/>
        </w:rPr>
        <w:t>.</w:t>
      </w:r>
      <w:r w:rsidRPr="00E70B3C">
        <w:rPr>
          <w:color w:val="000000" w:themeColor="text1"/>
        </w:rPr>
        <w:t xml:space="preserve"> </w:t>
      </w:r>
      <w:r w:rsidRPr="00E70B3C">
        <w:rPr>
          <w:bCs/>
          <w:lang w:val="en-US"/>
        </w:rPr>
        <w:t>The great skills debate: defining and delivering the skills required for community regeneration in England</w:t>
      </w:r>
      <w:r w:rsidR="00E65CC7">
        <w:rPr>
          <w:b/>
          <w:bCs/>
          <w:lang w:val="en-US"/>
        </w:rPr>
        <w:t>.</w:t>
      </w:r>
      <w:r w:rsidRPr="00E70B3C">
        <w:rPr>
          <w:b/>
          <w:bCs/>
          <w:lang w:val="en-US"/>
        </w:rPr>
        <w:t xml:space="preserve"> </w:t>
      </w:r>
      <w:r w:rsidRPr="00E70B3C">
        <w:rPr>
          <w:i/>
          <w:lang w:val="en-US"/>
        </w:rPr>
        <w:t>Planning Practice and</w:t>
      </w:r>
      <w:r w:rsidRPr="00E70B3C">
        <w:rPr>
          <w:b/>
          <w:bCs/>
          <w:i/>
          <w:lang w:val="en-US"/>
        </w:rPr>
        <w:t xml:space="preserve"> </w:t>
      </w:r>
      <w:r w:rsidRPr="00E70B3C">
        <w:rPr>
          <w:i/>
          <w:lang w:val="en-US"/>
        </w:rPr>
        <w:t>Research</w:t>
      </w:r>
      <w:r w:rsidRPr="00E70B3C">
        <w:rPr>
          <w:lang w:val="en-US"/>
        </w:rPr>
        <w:t xml:space="preserve">, </w:t>
      </w:r>
      <w:r w:rsidR="00D32432" w:rsidRPr="00E70B3C">
        <w:rPr>
          <w:lang w:val="en-US"/>
        </w:rPr>
        <w:t>20,</w:t>
      </w:r>
      <w:r w:rsidRPr="00E70B3C">
        <w:rPr>
          <w:lang w:val="en-US"/>
        </w:rPr>
        <w:t xml:space="preserve"> 341-352</w:t>
      </w:r>
      <w:r w:rsidR="00E65CC7">
        <w:rPr>
          <w:lang w:val="en-US"/>
        </w:rPr>
        <w:t>.</w:t>
      </w:r>
    </w:p>
    <w:p w14:paraId="7A94922F" w14:textId="77777777" w:rsidR="00D32432" w:rsidRPr="00E70B3C" w:rsidRDefault="00D32432" w:rsidP="001C663E">
      <w:pPr>
        <w:spacing w:line="240" w:lineRule="auto"/>
        <w:ind w:left="720" w:hanging="720"/>
        <w:jc w:val="both"/>
        <w:rPr>
          <w:color w:val="000000" w:themeColor="text1"/>
        </w:rPr>
      </w:pPr>
    </w:p>
    <w:p w14:paraId="30B91188" w14:textId="77777777" w:rsidR="00915120" w:rsidRPr="00E70B3C" w:rsidRDefault="00915120" w:rsidP="001C663E">
      <w:pPr>
        <w:spacing w:line="240" w:lineRule="auto"/>
        <w:ind w:left="720" w:hanging="720"/>
        <w:jc w:val="both"/>
        <w:rPr>
          <w:color w:val="000000" w:themeColor="text1"/>
        </w:rPr>
      </w:pPr>
      <w:r w:rsidRPr="00E70B3C">
        <w:rPr>
          <w:color w:val="000000" w:themeColor="text1"/>
        </w:rPr>
        <w:t xml:space="preserve">Bennett, N., Dunne, F., </w:t>
      </w:r>
      <w:r w:rsidR="00E65CC7">
        <w:rPr>
          <w:color w:val="000000" w:themeColor="text1"/>
        </w:rPr>
        <w:t>&amp;</w:t>
      </w:r>
      <w:r w:rsidRPr="00E70B3C">
        <w:rPr>
          <w:color w:val="000000" w:themeColor="text1"/>
        </w:rPr>
        <w:t xml:space="preserve"> Carré, C. (2000)</w:t>
      </w:r>
      <w:r w:rsidR="00E65CC7">
        <w:rPr>
          <w:color w:val="000000" w:themeColor="text1"/>
        </w:rPr>
        <w:t>.</w:t>
      </w:r>
      <w:r w:rsidRPr="00E70B3C">
        <w:rPr>
          <w:color w:val="000000" w:themeColor="text1"/>
        </w:rPr>
        <w:t xml:space="preserve"> </w:t>
      </w:r>
      <w:r w:rsidRPr="00E70B3C">
        <w:rPr>
          <w:i/>
          <w:color w:val="000000" w:themeColor="text1"/>
        </w:rPr>
        <w:t xml:space="preserve">Skills </w:t>
      </w:r>
      <w:r w:rsidR="00E65CC7">
        <w:rPr>
          <w:i/>
          <w:color w:val="000000" w:themeColor="text1"/>
        </w:rPr>
        <w:t>d</w:t>
      </w:r>
      <w:r w:rsidRPr="00E70B3C">
        <w:rPr>
          <w:i/>
          <w:color w:val="000000" w:themeColor="text1"/>
        </w:rPr>
        <w:t xml:space="preserve">evelopment in </w:t>
      </w:r>
      <w:r w:rsidR="00E65CC7">
        <w:rPr>
          <w:i/>
          <w:color w:val="000000" w:themeColor="text1"/>
        </w:rPr>
        <w:t>h</w:t>
      </w:r>
      <w:r w:rsidRPr="00E70B3C">
        <w:rPr>
          <w:i/>
          <w:color w:val="000000" w:themeColor="text1"/>
        </w:rPr>
        <w:t xml:space="preserve">igher </w:t>
      </w:r>
      <w:r w:rsidR="00E65CC7">
        <w:rPr>
          <w:i/>
          <w:color w:val="000000" w:themeColor="text1"/>
        </w:rPr>
        <w:t>e</w:t>
      </w:r>
      <w:r w:rsidRPr="00E70B3C">
        <w:rPr>
          <w:i/>
          <w:color w:val="000000" w:themeColor="text1"/>
        </w:rPr>
        <w:t xml:space="preserve">ducation in and </w:t>
      </w:r>
      <w:r w:rsidR="00E65CC7">
        <w:rPr>
          <w:i/>
          <w:color w:val="000000" w:themeColor="text1"/>
        </w:rPr>
        <w:t>e</w:t>
      </w:r>
      <w:r w:rsidRPr="00E70B3C">
        <w:rPr>
          <w:i/>
          <w:color w:val="000000" w:themeColor="text1"/>
        </w:rPr>
        <w:t>mployment</w:t>
      </w:r>
      <w:r w:rsidR="00E65CC7">
        <w:rPr>
          <w:i/>
          <w:color w:val="000000" w:themeColor="text1"/>
        </w:rPr>
        <w:t>.</w:t>
      </w:r>
      <w:r w:rsidRPr="00E70B3C">
        <w:rPr>
          <w:color w:val="000000" w:themeColor="text1"/>
        </w:rPr>
        <w:t xml:space="preserve"> </w:t>
      </w:r>
      <w:r w:rsidR="00D508D1">
        <w:rPr>
          <w:color w:val="000000" w:themeColor="text1"/>
        </w:rPr>
        <w:t xml:space="preserve">Buckingham: </w:t>
      </w:r>
      <w:r w:rsidRPr="00E70B3C">
        <w:rPr>
          <w:color w:val="000000" w:themeColor="text1"/>
        </w:rPr>
        <w:t>SRHE and Open University Press.</w:t>
      </w:r>
    </w:p>
    <w:p w14:paraId="46E25D02" w14:textId="77777777" w:rsidR="00D32432" w:rsidRPr="00E70B3C" w:rsidRDefault="00D32432" w:rsidP="001C663E">
      <w:pPr>
        <w:spacing w:line="240" w:lineRule="auto"/>
        <w:ind w:left="720" w:hanging="720"/>
        <w:jc w:val="both"/>
        <w:rPr>
          <w:color w:val="000000" w:themeColor="text1"/>
        </w:rPr>
      </w:pPr>
    </w:p>
    <w:p w14:paraId="7516DDF4" w14:textId="77777777" w:rsidR="00915120" w:rsidRPr="00E70B3C" w:rsidRDefault="00915120" w:rsidP="001C663E">
      <w:pPr>
        <w:spacing w:line="240" w:lineRule="auto"/>
        <w:ind w:left="720" w:hanging="720"/>
        <w:jc w:val="both"/>
        <w:rPr>
          <w:color w:val="000000" w:themeColor="text1"/>
        </w:rPr>
      </w:pPr>
      <w:r w:rsidRPr="00E70B3C">
        <w:rPr>
          <w:color w:val="000000" w:themeColor="text1"/>
        </w:rPr>
        <w:t>Brown, C., Claydon, J.</w:t>
      </w:r>
      <w:r w:rsidR="00235C5E">
        <w:rPr>
          <w:color w:val="000000" w:themeColor="text1"/>
        </w:rPr>
        <w:t>, &amp;</w:t>
      </w:r>
      <w:r w:rsidRPr="00E70B3C">
        <w:rPr>
          <w:color w:val="000000" w:themeColor="text1"/>
        </w:rPr>
        <w:t xml:space="preserve"> Nadin, V. (2003)</w:t>
      </w:r>
      <w:r w:rsidR="00235C5E">
        <w:rPr>
          <w:color w:val="000000" w:themeColor="text1"/>
        </w:rPr>
        <w:t>.</w:t>
      </w:r>
      <w:r w:rsidRPr="00E70B3C">
        <w:rPr>
          <w:color w:val="000000" w:themeColor="text1"/>
        </w:rPr>
        <w:t xml:space="preserve"> The RTPI’s </w:t>
      </w:r>
      <w:r w:rsidR="00235C5E">
        <w:rPr>
          <w:color w:val="000000" w:themeColor="text1"/>
        </w:rPr>
        <w:t>e</w:t>
      </w:r>
      <w:r w:rsidRPr="00E70B3C">
        <w:rPr>
          <w:color w:val="000000" w:themeColor="text1"/>
        </w:rPr>
        <w:t xml:space="preserve">ducation </w:t>
      </w:r>
      <w:r w:rsidR="00235C5E">
        <w:rPr>
          <w:color w:val="000000" w:themeColor="text1"/>
        </w:rPr>
        <w:t>c</w:t>
      </w:r>
      <w:r w:rsidRPr="00E70B3C">
        <w:rPr>
          <w:color w:val="000000" w:themeColor="text1"/>
        </w:rPr>
        <w:t xml:space="preserve">ommission: Context and </w:t>
      </w:r>
      <w:r w:rsidR="00235C5E">
        <w:rPr>
          <w:color w:val="000000" w:themeColor="text1"/>
        </w:rPr>
        <w:t>c</w:t>
      </w:r>
      <w:r w:rsidRPr="00E70B3C">
        <w:rPr>
          <w:color w:val="000000" w:themeColor="text1"/>
        </w:rPr>
        <w:t>hallenges</w:t>
      </w:r>
      <w:r w:rsidR="00235C5E">
        <w:rPr>
          <w:color w:val="000000" w:themeColor="text1"/>
        </w:rPr>
        <w:t>.</w:t>
      </w:r>
      <w:r w:rsidRPr="00E70B3C">
        <w:rPr>
          <w:color w:val="000000" w:themeColor="text1"/>
        </w:rPr>
        <w:t xml:space="preserve"> </w:t>
      </w:r>
      <w:r w:rsidRPr="00E70B3C">
        <w:rPr>
          <w:i/>
          <w:color w:val="000000" w:themeColor="text1"/>
        </w:rPr>
        <w:t>The Town Planning Review</w:t>
      </w:r>
      <w:r w:rsidRPr="00E70B3C">
        <w:rPr>
          <w:color w:val="000000" w:themeColor="text1"/>
        </w:rPr>
        <w:t>, 74, 3, 333-345</w:t>
      </w:r>
      <w:r w:rsidR="00235C5E">
        <w:rPr>
          <w:color w:val="000000" w:themeColor="text1"/>
        </w:rPr>
        <w:t>.</w:t>
      </w:r>
    </w:p>
    <w:p w14:paraId="094DDDBE" w14:textId="77777777" w:rsidR="00D32432" w:rsidRPr="00E70B3C" w:rsidRDefault="00D32432" w:rsidP="001C663E">
      <w:pPr>
        <w:spacing w:line="240" w:lineRule="auto"/>
        <w:ind w:left="720" w:hanging="720"/>
        <w:jc w:val="both"/>
        <w:rPr>
          <w:color w:val="000000" w:themeColor="text1"/>
        </w:rPr>
      </w:pPr>
    </w:p>
    <w:p w14:paraId="0B407E7E" w14:textId="77777777" w:rsidR="00915120" w:rsidRPr="00E70B3C" w:rsidRDefault="006C5B6D" w:rsidP="001C663E">
      <w:pPr>
        <w:spacing w:line="240" w:lineRule="auto"/>
        <w:ind w:left="720" w:hanging="720"/>
        <w:jc w:val="both"/>
      </w:pPr>
      <w:hyperlink r:id="rId10" w:history="1">
        <w:r w:rsidR="00915120" w:rsidRPr="00E70B3C">
          <w:rPr>
            <w:rStyle w:val="singlehighlightclass"/>
          </w:rPr>
          <w:t>Claydon</w:t>
        </w:r>
        <w:r w:rsidR="00915120" w:rsidRPr="00E70B3C">
          <w:rPr>
            <w:rStyle w:val="Hyperlink"/>
            <w:color w:val="auto"/>
            <w:u w:val="none"/>
          </w:rPr>
          <w:t>, J.</w:t>
        </w:r>
      </w:hyperlink>
      <w:r w:rsidR="00915120" w:rsidRPr="00E70B3C">
        <w:t xml:space="preserve"> (</w:t>
      </w:r>
      <w:r w:rsidR="00915120" w:rsidRPr="00E70B3C">
        <w:rPr>
          <w:rStyle w:val="nlmyear"/>
        </w:rPr>
        <w:t>1998</w:t>
      </w:r>
      <w:r w:rsidR="00915120" w:rsidRPr="00E70B3C">
        <w:t>)</w:t>
      </w:r>
      <w:r w:rsidR="00235C5E">
        <w:t>.</w:t>
      </w:r>
      <w:r w:rsidR="00915120" w:rsidRPr="00E70B3C">
        <w:t xml:space="preserve"> Discretion in development control. </w:t>
      </w:r>
      <w:r w:rsidR="00915120" w:rsidRPr="00E70B3C">
        <w:rPr>
          <w:i/>
          <w:iCs/>
        </w:rPr>
        <w:t>Planning Practice &amp; Research</w:t>
      </w:r>
      <w:r w:rsidR="00915120" w:rsidRPr="00E70B3C">
        <w:t xml:space="preserve">, </w:t>
      </w:r>
      <w:r w:rsidR="00D32432" w:rsidRPr="00E70B3C">
        <w:t xml:space="preserve">13, </w:t>
      </w:r>
      <w:r w:rsidR="00915120" w:rsidRPr="00E70B3C">
        <w:t>53–62.</w:t>
      </w:r>
    </w:p>
    <w:p w14:paraId="444171A7" w14:textId="77777777" w:rsidR="00D32432" w:rsidRPr="00E70B3C" w:rsidRDefault="00D32432" w:rsidP="001C663E">
      <w:pPr>
        <w:spacing w:line="240" w:lineRule="auto"/>
        <w:ind w:left="720" w:hanging="720"/>
        <w:jc w:val="both"/>
      </w:pPr>
    </w:p>
    <w:p w14:paraId="1DB1F141" w14:textId="77777777" w:rsidR="00915120" w:rsidRPr="00E70B3C" w:rsidRDefault="00D32432" w:rsidP="001C663E">
      <w:pPr>
        <w:spacing w:line="240" w:lineRule="auto"/>
        <w:ind w:left="720" w:hanging="720"/>
        <w:jc w:val="both"/>
        <w:rPr>
          <w:color w:val="000000" w:themeColor="text1"/>
        </w:rPr>
      </w:pPr>
      <w:r w:rsidRPr="00E70B3C">
        <w:rPr>
          <w:color w:val="000000" w:themeColor="text1"/>
        </w:rPr>
        <w:t xml:space="preserve">Claydon, </w:t>
      </w:r>
      <w:r w:rsidR="00915120" w:rsidRPr="00E70B3C">
        <w:rPr>
          <w:color w:val="000000" w:themeColor="text1"/>
        </w:rPr>
        <w:t>J</w:t>
      </w:r>
      <w:r w:rsidRPr="00E70B3C">
        <w:rPr>
          <w:color w:val="000000" w:themeColor="text1"/>
        </w:rPr>
        <w:t>.</w:t>
      </w:r>
      <w:r w:rsidR="00235C5E">
        <w:rPr>
          <w:color w:val="000000" w:themeColor="text1"/>
        </w:rPr>
        <w:t>, &amp;</w:t>
      </w:r>
      <w:r w:rsidR="00915120" w:rsidRPr="00E70B3C">
        <w:rPr>
          <w:color w:val="000000" w:themeColor="text1"/>
        </w:rPr>
        <w:t xml:space="preserve"> Chick</w:t>
      </w:r>
      <w:r w:rsidRPr="00E70B3C">
        <w:rPr>
          <w:color w:val="000000" w:themeColor="text1"/>
        </w:rPr>
        <w:t xml:space="preserve">, </w:t>
      </w:r>
      <w:r w:rsidR="00915120" w:rsidRPr="00E70B3C">
        <w:rPr>
          <w:color w:val="000000" w:themeColor="text1"/>
        </w:rPr>
        <w:t>M</w:t>
      </w:r>
      <w:r w:rsidRPr="00E70B3C">
        <w:rPr>
          <w:color w:val="000000" w:themeColor="text1"/>
        </w:rPr>
        <w:t>.</w:t>
      </w:r>
      <w:r w:rsidR="00915120" w:rsidRPr="00E70B3C">
        <w:rPr>
          <w:color w:val="000000" w:themeColor="text1"/>
        </w:rPr>
        <w:t xml:space="preserve"> (2005)</w:t>
      </w:r>
      <w:r w:rsidR="00235C5E">
        <w:rPr>
          <w:color w:val="000000" w:themeColor="text1"/>
        </w:rPr>
        <w:t>.</w:t>
      </w:r>
      <w:r w:rsidR="00915120" w:rsidRPr="00E70B3C">
        <w:rPr>
          <w:color w:val="000000" w:themeColor="text1"/>
        </w:rPr>
        <w:t xml:space="preserve"> Teaching </w:t>
      </w:r>
      <w:r w:rsidR="00235C5E">
        <w:rPr>
          <w:color w:val="000000" w:themeColor="text1"/>
        </w:rPr>
        <w:t>n</w:t>
      </w:r>
      <w:r w:rsidR="00915120" w:rsidRPr="00E70B3C">
        <w:rPr>
          <w:color w:val="000000" w:themeColor="text1"/>
        </w:rPr>
        <w:t>egotiations</w:t>
      </w:r>
      <w:r w:rsidR="00235C5E">
        <w:rPr>
          <w:color w:val="000000" w:themeColor="text1"/>
        </w:rPr>
        <w:t>.</w:t>
      </w:r>
      <w:r w:rsidR="00915120" w:rsidRPr="00E70B3C">
        <w:rPr>
          <w:color w:val="000000" w:themeColor="text1"/>
        </w:rPr>
        <w:t xml:space="preserve"> </w:t>
      </w:r>
      <w:r w:rsidR="00915120" w:rsidRPr="00E70B3C">
        <w:rPr>
          <w:i/>
          <w:color w:val="000000" w:themeColor="text1"/>
        </w:rPr>
        <w:t>Planning, Practice &amp; Research</w:t>
      </w:r>
      <w:r w:rsidR="00915120" w:rsidRPr="00E70B3C">
        <w:rPr>
          <w:color w:val="000000" w:themeColor="text1"/>
        </w:rPr>
        <w:t xml:space="preserve">, 20, </w:t>
      </w:r>
      <w:r w:rsidRPr="00E70B3C">
        <w:rPr>
          <w:color w:val="000000" w:themeColor="text1"/>
        </w:rPr>
        <w:t xml:space="preserve"> </w:t>
      </w:r>
      <w:r w:rsidR="00915120" w:rsidRPr="00E70B3C">
        <w:rPr>
          <w:color w:val="000000" w:themeColor="text1"/>
        </w:rPr>
        <w:t>221 – 234</w:t>
      </w:r>
    </w:p>
    <w:p w14:paraId="4E811F6E" w14:textId="77777777" w:rsidR="00D00001" w:rsidRPr="00E70B3C" w:rsidRDefault="00D00001" w:rsidP="001C663E">
      <w:pPr>
        <w:spacing w:line="240" w:lineRule="auto"/>
        <w:ind w:left="720" w:hanging="720"/>
        <w:jc w:val="both"/>
        <w:rPr>
          <w:color w:val="000000" w:themeColor="text1"/>
        </w:rPr>
      </w:pPr>
    </w:p>
    <w:p w14:paraId="4A9FB07A" w14:textId="77777777" w:rsidR="00D00001" w:rsidRPr="00E70B3C" w:rsidRDefault="00D00001" w:rsidP="001C663E">
      <w:pPr>
        <w:spacing w:line="240" w:lineRule="auto"/>
        <w:ind w:left="720" w:hanging="720"/>
        <w:jc w:val="both"/>
        <w:rPr>
          <w:color w:val="000000" w:themeColor="text1"/>
        </w:rPr>
      </w:pPr>
      <w:r w:rsidRPr="00E70B3C">
        <w:rPr>
          <w:color w:val="000000" w:themeColor="text1"/>
        </w:rPr>
        <w:t>Cole, D.</w:t>
      </w:r>
      <w:r w:rsidR="00235C5E">
        <w:rPr>
          <w:color w:val="000000" w:themeColor="text1"/>
        </w:rPr>
        <w:t>, &amp;</w:t>
      </w:r>
      <w:r w:rsidR="00205937">
        <w:rPr>
          <w:rStyle w:val="CommentReference"/>
          <w:vanish/>
        </w:rPr>
        <w:commentReference w:id="1"/>
      </w:r>
      <w:r w:rsidRPr="00E70B3C">
        <w:rPr>
          <w:color w:val="000000" w:themeColor="text1"/>
        </w:rPr>
        <w:t xml:space="preserve"> Tibby, M. (2013)</w:t>
      </w:r>
      <w:r w:rsidR="00235C5E">
        <w:rPr>
          <w:color w:val="000000" w:themeColor="text1"/>
        </w:rPr>
        <w:t>.</w:t>
      </w:r>
      <w:r w:rsidRPr="00E70B3C">
        <w:rPr>
          <w:color w:val="000000" w:themeColor="text1"/>
        </w:rPr>
        <w:t xml:space="preserve"> </w:t>
      </w:r>
      <w:r w:rsidRPr="001C663E">
        <w:rPr>
          <w:i/>
          <w:color w:val="000000" w:themeColor="text1"/>
        </w:rPr>
        <w:t>Defining and developing your approach to employability, A framework for higher education institutions</w:t>
      </w:r>
      <w:r w:rsidR="00235C5E">
        <w:rPr>
          <w:color w:val="000000" w:themeColor="text1"/>
        </w:rPr>
        <w:t>.</w:t>
      </w:r>
      <w:r w:rsidRPr="00E70B3C">
        <w:rPr>
          <w:color w:val="000000" w:themeColor="text1"/>
        </w:rPr>
        <w:t xml:space="preserve"> </w:t>
      </w:r>
      <w:r w:rsidR="00235C5E">
        <w:rPr>
          <w:color w:val="000000" w:themeColor="text1"/>
        </w:rPr>
        <w:t xml:space="preserve">Retrieved from </w:t>
      </w:r>
      <w:r w:rsidRPr="00E70B3C">
        <w:rPr>
          <w:color w:val="000000" w:themeColor="text1"/>
        </w:rPr>
        <w:t>HEA</w:t>
      </w:r>
      <w:r w:rsidR="00AF6382">
        <w:rPr>
          <w:color w:val="000000" w:themeColor="text1"/>
        </w:rPr>
        <w:t xml:space="preserve"> at: </w:t>
      </w:r>
      <w:hyperlink r:id="rId13" w:history="1">
        <w:r w:rsidRPr="00E70B3C">
          <w:rPr>
            <w:rStyle w:val="Hyperlink"/>
          </w:rPr>
          <w:t>http://www.heacademy.ac.uk/assets/documents/employability/Employability_framework.pdf</w:t>
        </w:r>
      </w:hyperlink>
      <w:r w:rsidRPr="00E70B3C">
        <w:rPr>
          <w:color w:val="000000" w:themeColor="text1"/>
        </w:rPr>
        <w:t xml:space="preserve"> </w:t>
      </w:r>
    </w:p>
    <w:p w14:paraId="6B421946" w14:textId="77777777" w:rsidR="00D32432" w:rsidRPr="00E70B3C" w:rsidRDefault="00D32432" w:rsidP="001C663E">
      <w:pPr>
        <w:spacing w:line="240" w:lineRule="auto"/>
        <w:ind w:left="720" w:hanging="720"/>
        <w:jc w:val="both"/>
        <w:rPr>
          <w:color w:val="000000" w:themeColor="text1"/>
        </w:rPr>
      </w:pPr>
    </w:p>
    <w:p w14:paraId="61D09447" w14:textId="77777777" w:rsidR="00915120" w:rsidRPr="00E70B3C" w:rsidRDefault="00915120" w:rsidP="001C663E">
      <w:pPr>
        <w:autoSpaceDE w:val="0"/>
        <w:autoSpaceDN w:val="0"/>
        <w:adjustRightInd w:val="0"/>
        <w:spacing w:line="240" w:lineRule="auto"/>
        <w:ind w:left="720" w:hanging="720"/>
        <w:jc w:val="both"/>
        <w:rPr>
          <w:i/>
          <w:iCs/>
          <w:lang w:val="en-US"/>
        </w:rPr>
      </w:pPr>
      <w:r w:rsidRPr="00E70B3C">
        <w:rPr>
          <w:lang w:val="en-US"/>
        </w:rPr>
        <w:t>Dalton, L. (2001)</w:t>
      </w:r>
      <w:r w:rsidR="00235C5E">
        <w:rPr>
          <w:lang w:val="en-US"/>
        </w:rPr>
        <w:t>.</w:t>
      </w:r>
      <w:r w:rsidRPr="00E70B3C">
        <w:rPr>
          <w:lang w:val="en-US"/>
        </w:rPr>
        <w:t xml:space="preserve">Weaving the </w:t>
      </w:r>
      <w:r w:rsidR="00235C5E">
        <w:rPr>
          <w:lang w:val="en-US"/>
        </w:rPr>
        <w:t>f</w:t>
      </w:r>
      <w:r w:rsidRPr="00E70B3C">
        <w:rPr>
          <w:lang w:val="en-US"/>
        </w:rPr>
        <w:t xml:space="preserve">abric of </w:t>
      </w:r>
      <w:r w:rsidR="00235C5E">
        <w:rPr>
          <w:lang w:val="en-US"/>
        </w:rPr>
        <w:t>p</w:t>
      </w:r>
      <w:r w:rsidRPr="00E70B3C">
        <w:rPr>
          <w:lang w:val="en-US"/>
        </w:rPr>
        <w:t xml:space="preserve">lanning as </w:t>
      </w:r>
      <w:r w:rsidR="00235C5E">
        <w:rPr>
          <w:lang w:val="en-US"/>
        </w:rPr>
        <w:t>e</w:t>
      </w:r>
      <w:r w:rsidRPr="00E70B3C">
        <w:rPr>
          <w:lang w:val="en-US"/>
        </w:rPr>
        <w:t>ducation</w:t>
      </w:r>
      <w:r w:rsidR="00235C5E">
        <w:rPr>
          <w:lang w:val="en-US"/>
        </w:rPr>
        <w:t>.</w:t>
      </w:r>
      <w:r w:rsidRPr="00E70B3C">
        <w:rPr>
          <w:lang w:val="en-US"/>
        </w:rPr>
        <w:t xml:space="preserve"> </w:t>
      </w:r>
      <w:r w:rsidRPr="00E70B3C">
        <w:rPr>
          <w:i/>
          <w:iCs/>
          <w:lang w:val="en-US"/>
        </w:rPr>
        <w:t xml:space="preserve">Journal of </w:t>
      </w:r>
      <w:r w:rsidR="00D32432" w:rsidRPr="00E70B3C">
        <w:rPr>
          <w:i/>
          <w:iCs/>
          <w:lang w:val="en-US"/>
        </w:rPr>
        <w:t>Planning Education and Research,</w:t>
      </w:r>
      <w:r w:rsidR="00D32432" w:rsidRPr="00E70B3C">
        <w:rPr>
          <w:iCs/>
          <w:lang w:val="en-US"/>
        </w:rPr>
        <w:t xml:space="preserve"> </w:t>
      </w:r>
      <w:r w:rsidRPr="00E70B3C">
        <w:rPr>
          <w:lang w:val="en-US"/>
        </w:rPr>
        <w:t>20</w:t>
      </w:r>
      <w:r w:rsidR="00235C5E">
        <w:rPr>
          <w:lang w:val="en-US"/>
        </w:rPr>
        <w:t>,</w:t>
      </w:r>
      <w:r w:rsidRPr="00E70B3C">
        <w:rPr>
          <w:lang w:val="en-US"/>
        </w:rPr>
        <w:t xml:space="preserve"> 423–36.</w:t>
      </w:r>
    </w:p>
    <w:p w14:paraId="19D55FC1" w14:textId="77777777" w:rsidR="00915120" w:rsidRPr="00E70B3C" w:rsidRDefault="00915120" w:rsidP="001C663E">
      <w:pPr>
        <w:spacing w:line="240" w:lineRule="auto"/>
        <w:ind w:left="720" w:hanging="720"/>
        <w:contextualSpacing/>
        <w:jc w:val="both"/>
        <w:rPr>
          <w:iCs/>
        </w:rPr>
      </w:pPr>
    </w:p>
    <w:p w14:paraId="29C74189" w14:textId="77777777" w:rsidR="00915120" w:rsidRPr="00E70B3C" w:rsidRDefault="00915120" w:rsidP="001C663E">
      <w:pPr>
        <w:autoSpaceDE w:val="0"/>
        <w:autoSpaceDN w:val="0"/>
        <w:adjustRightInd w:val="0"/>
        <w:spacing w:line="240" w:lineRule="auto"/>
        <w:ind w:left="720" w:hanging="720"/>
        <w:jc w:val="both"/>
        <w:rPr>
          <w:lang w:val="en-US"/>
        </w:rPr>
      </w:pPr>
      <w:r w:rsidRPr="00E70B3C">
        <w:rPr>
          <w:lang w:val="en-US"/>
        </w:rPr>
        <w:t>Davoudi, S. (2000)</w:t>
      </w:r>
      <w:r w:rsidR="00235C5E">
        <w:rPr>
          <w:lang w:val="en-US"/>
        </w:rPr>
        <w:t xml:space="preserve">. </w:t>
      </w:r>
      <w:r w:rsidRPr="00E70B3C">
        <w:rPr>
          <w:lang w:val="en-US"/>
        </w:rPr>
        <w:t xml:space="preserve">Sustainability: A </w:t>
      </w:r>
      <w:r w:rsidR="00235C5E">
        <w:rPr>
          <w:lang w:val="en-US"/>
        </w:rPr>
        <w:t>n</w:t>
      </w:r>
      <w:r w:rsidRPr="00E70B3C">
        <w:rPr>
          <w:lang w:val="en-US"/>
        </w:rPr>
        <w:t>ew ‘</w:t>
      </w:r>
      <w:r w:rsidR="00235C5E">
        <w:rPr>
          <w:lang w:val="en-US"/>
        </w:rPr>
        <w:t>v</w:t>
      </w:r>
      <w:r w:rsidRPr="00E70B3C">
        <w:rPr>
          <w:lang w:val="en-US"/>
        </w:rPr>
        <w:t xml:space="preserve">ision’ </w:t>
      </w:r>
      <w:r w:rsidR="00235C5E">
        <w:rPr>
          <w:lang w:val="en-US"/>
        </w:rPr>
        <w:t>f</w:t>
      </w:r>
      <w:r w:rsidRPr="00E70B3C">
        <w:rPr>
          <w:lang w:val="en-US"/>
        </w:rPr>
        <w:t xml:space="preserve">or the </w:t>
      </w:r>
      <w:r w:rsidR="00235C5E">
        <w:rPr>
          <w:lang w:val="en-US"/>
        </w:rPr>
        <w:t>B</w:t>
      </w:r>
      <w:r w:rsidRPr="00E70B3C">
        <w:rPr>
          <w:lang w:val="en-US"/>
        </w:rPr>
        <w:t xml:space="preserve">ritish </w:t>
      </w:r>
      <w:r w:rsidR="00235C5E">
        <w:rPr>
          <w:lang w:val="en-US"/>
        </w:rPr>
        <w:t>p</w:t>
      </w:r>
      <w:r w:rsidRPr="00E70B3C">
        <w:rPr>
          <w:lang w:val="en-US"/>
        </w:rPr>
        <w:t xml:space="preserve">lanning </w:t>
      </w:r>
      <w:r w:rsidR="00235C5E">
        <w:rPr>
          <w:lang w:val="en-US"/>
        </w:rPr>
        <w:t>s</w:t>
      </w:r>
      <w:r w:rsidRPr="00E70B3C">
        <w:rPr>
          <w:lang w:val="en-US"/>
        </w:rPr>
        <w:t>ystem</w:t>
      </w:r>
      <w:r w:rsidR="00235C5E">
        <w:rPr>
          <w:lang w:val="en-US"/>
        </w:rPr>
        <w:t>.</w:t>
      </w:r>
      <w:r w:rsidRPr="00E70B3C">
        <w:rPr>
          <w:lang w:val="en-US"/>
        </w:rPr>
        <w:t xml:space="preserve"> </w:t>
      </w:r>
      <w:r w:rsidRPr="00E70B3C">
        <w:rPr>
          <w:i/>
          <w:iCs/>
          <w:lang w:val="en-US"/>
        </w:rPr>
        <w:t>Planning Perspectives</w:t>
      </w:r>
      <w:r w:rsidR="00D32432" w:rsidRPr="00E70B3C">
        <w:rPr>
          <w:lang w:val="en-US"/>
        </w:rPr>
        <w:t xml:space="preserve">, 15, </w:t>
      </w:r>
      <w:r w:rsidRPr="00E70B3C">
        <w:rPr>
          <w:lang w:val="en-US"/>
        </w:rPr>
        <w:t>123-137</w:t>
      </w:r>
      <w:r w:rsidR="00235C5E">
        <w:rPr>
          <w:lang w:val="en-US"/>
        </w:rPr>
        <w:t>.</w:t>
      </w:r>
    </w:p>
    <w:p w14:paraId="5C29F71D" w14:textId="77777777" w:rsidR="00915120" w:rsidRPr="00E70B3C" w:rsidRDefault="00915120" w:rsidP="001C663E">
      <w:pPr>
        <w:autoSpaceDE w:val="0"/>
        <w:autoSpaceDN w:val="0"/>
        <w:adjustRightInd w:val="0"/>
        <w:spacing w:line="240" w:lineRule="auto"/>
        <w:ind w:left="720" w:hanging="720"/>
        <w:jc w:val="both"/>
        <w:rPr>
          <w:lang w:val="en-US"/>
        </w:rPr>
      </w:pPr>
    </w:p>
    <w:p w14:paraId="50FA0547" w14:textId="77777777" w:rsidR="00915120" w:rsidRPr="00E70B3C" w:rsidRDefault="00D32432" w:rsidP="001C663E">
      <w:pPr>
        <w:autoSpaceDE w:val="0"/>
        <w:autoSpaceDN w:val="0"/>
        <w:adjustRightInd w:val="0"/>
        <w:spacing w:line="240" w:lineRule="auto"/>
        <w:ind w:left="720" w:hanging="720"/>
        <w:jc w:val="both"/>
        <w:rPr>
          <w:lang w:val="en-US"/>
        </w:rPr>
      </w:pPr>
      <w:r w:rsidRPr="00E70B3C">
        <w:rPr>
          <w:lang w:val="en-US"/>
        </w:rPr>
        <w:t>Durning, B.</w:t>
      </w:r>
      <w:r w:rsidR="00235C5E">
        <w:rPr>
          <w:lang w:val="en-US"/>
        </w:rPr>
        <w:t>, &amp;</w:t>
      </w:r>
      <w:r w:rsidRPr="00E70B3C">
        <w:rPr>
          <w:lang w:val="en-US"/>
        </w:rPr>
        <w:t xml:space="preserve"> </w:t>
      </w:r>
      <w:r w:rsidR="00915120" w:rsidRPr="00E70B3C">
        <w:rPr>
          <w:lang w:val="en-US"/>
        </w:rPr>
        <w:t>Glasson</w:t>
      </w:r>
      <w:r w:rsidR="00235C5E">
        <w:rPr>
          <w:lang w:val="en-US"/>
        </w:rPr>
        <w:t xml:space="preserve"> </w:t>
      </w:r>
      <w:r w:rsidR="00915120" w:rsidRPr="00E70B3C">
        <w:rPr>
          <w:lang w:val="en-US"/>
        </w:rPr>
        <w:t>J. (2004)</w:t>
      </w:r>
      <w:r w:rsidR="00235C5E">
        <w:rPr>
          <w:lang w:val="en-US"/>
        </w:rPr>
        <w:t>.</w:t>
      </w:r>
      <w:r w:rsidR="00915120" w:rsidRPr="00E70B3C">
        <w:rPr>
          <w:lang w:val="en-US"/>
        </w:rPr>
        <w:t xml:space="preserve"> </w:t>
      </w:r>
      <w:r w:rsidR="00915120" w:rsidRPr="00E70B3C">
        <w:rPr>
          <w:i/>
          <w:iCs/>
          <w:lang w:val="en-US"/>
        </w:rPr>
        <w:t xml:space="preserve">Skills </w:t>
      </w:r>
      <w:r w:rsidR="00235C5E">
        <w:rPr>
          <w:i/>
          <w:iCs/>
          <w:lang w:val="en-US"/>
        </w:rPr>
        <w:t>b</w:t>
      </w:r>
      <w:r w:rsidR="00915120" w:rsidRPr="00E70B3C">
        <w:rPr>
          <w:i/>
          <w:iCs/>
          <w:lang w:val="en-US"/>
        </w:rPr>
        <w:t xml:space="preserve">ase in the </w:t>
      </w:r>
      <w:r w:rsidR="00235C5E">
        <w:rPr>
          <w:i/>
          <w:iCs/>
          <w:lang w:val="en-US"/>
        </w:rPr>
        <w:t>p</w:t>
      </w:r>
      <w:r w:rsidR="00915120" w:rsidRPr="00E70B3C">
        <w:rPr>
          <w:i/>
          <w:iCs/>
          <w:lang w:val="en-US"/>
        </w:rPr>
        <w:t xml:space="preserve">lanning </w:t>
      </w:r>
      <w:r w:rsidR="00235C5E">
        <w:rPr>
          <w:i/>
          <w:iCs/>
          <w:lang w:val="en-US"/>
        </w:rPr>
        <w:t>s</w:t>
      </w:r>
      <w:r w:rsidR="00915120" w:rsidRPr="00E70B3C">
        <w:rPr>
          <w:i/>
          <w:iCs/>
          <w:lang w:val="en-US"/>
        </w:rPr>
        <w:t>ystem</w:t>
      </w:r>
      <w:r w:rsidR="00AF6382">
        <w:rPr>
          <w:i/>
          <w:iCs/>
          <w:lang w:val="en-US"/>
        </w:rPr>
        <w:t>.</w:t>
      </w:r>
      <w:r w:rsidR="00915120" w:rsidRPr="00E70B3C">
        <w:rPr>
          <w:i/>
          <w:iCs/>
          <w:lang w:val="en-US"/>
        </w:rPr>
        <w:t xml:space="preserve"> </w:t>
      </w:r>
      <w:r w:rsidR="00915120" w:rsidRPr="00E70B3C">
        <w:rPr>
          <w:lang w:val="en-US"/>
        </w:rPr>
        <w:t>LGA Research Report 21/04. London</w:t>
      </w:r>
      <w:r w:rsidR="00AF6382">
        <w:rPr>
          <w:lang w:val="en-US"/>
        </w:rPr>
        <w:t>:</w:t>
      </w:r>
      <w:r w:rsidR="00915120" w:rsidRPr="00E70B3C">
        <w:rPr>
          <w:lang w:val="en-US"/>
        </w:rPr>
        <w:t xml:space="preserve"> Local Government Association.</w:t>
      </w:r>
    </w:p>
    <w:p w14:paraId="22A9444B" w14:textId="77777777" w:rsidR="00915120" w:rsidRPr="00E70B3C" w:rsidRDefault="00915120" w:rsidP="001C663E">
      <w:pPr>
        <w:spacing w:line="240" w:lineRule="auto"/>
        <w:ind w:left="720" w:hanging="720"/>
        <w:contextualSpacing/>
        <w:jc w:val="both"/>
        <w:rPr>
          <w:i/>
          <w:iCs/>
        </w:rPr>
      </w:pPr>
    </w:p>
    <w:p w14:paraId="52ADC05F" w14:textId="77777777" w:rsidR="00915120" w:rsidRPr="00E70B3C" w:rsidRDefault="00915120" w:rsidP="001C663E">
      <w:pPr>
        <w:autoSpaceDE w:val="0"/>
        <w:autoSpaceDN w:val="0"/>
        <w:adjustRightInd w:val="0"/>
        <w:spacing w:line="240" w:lineRule="auto"/>
        <w:ind w:left="720" w:hanging="720"/>
        <w:jc w:val="both"/>
        <w:rPr>
          <w:lang w:val="en-US"/>
        </w:rPr>
      </w:pPr>
      <w:r w:rsidRPr="00E70B3C">
        <w:rPr>
          <w:lang w:val="en-US"/>
        </w:rPr>
        <w:t xml:space="preserve">Egan, J. (2004) </w:t>
      </w:r>
      <w:r w:rsidRPr="00E70B3C">
        <w:rPr>
          <w:i/>
          <w:iCs/>
          <w:lang w:val="en-US"/>
        </w:rPr>
        <w:t xml:space="preserve">Skills for sustainable communities, </w:t>
      </w:r>
      <w:r w:rsidRPr="00E70B3C">
        <w:rPr>
          <w:lang w:val="en-US"/>
        </w:rPr>
        <w:t>London</w:t>
      </w:r>
      <w:r w:rsidR="00AF6382">
        <w:rPr>
          <w:lang w:val="en-US"/>
        </w:rPr>
        <w:t>:</w:t>
      </w:r>
      <w:r w:rsidRPr="00E70B3C">
        <w:rPr>
          <w:lang w:val="en-US"/>
        </w:rPr>
        <w:t xml:space="preserve"> RIBA Enterprises Ltd.</w:t>
      </w:r>
    </w:p>
    <w:p w14:paraId="6EB9CF28" w14:textId="77777777" w:rsidR="00D32432" w:rsidRPr="00E70B3C" w:rsidRDefault="00D32432" w:rsidP="001C663E">
      <w:pPr>
        <w:autoSpaceDE w:val="0"/>
        <w:autoSpaceDN w:val="0"/>
        <w:adjustRightInd w:val="0"/>
        <w:spacing w:line="240" w:lineRule="auto"/>
        <w:ind w:left="720" w:hanging="720"/>
        <w:jc w:val="both"/>
        <w:rPr>
          <w:lang w:val="en-US"/>
        </w:rPr>
      </w:pPr>
    </w:p>
    <w:p w14:paraId="694D18C8" w14:textId="77777777" w:rsidR="00E70B3C" w:rsidRPr="00D508D1" w:rsidRDefault="006C5B6D" w:rsidP="001C663E">
      <w:pPr>
        <w:pStyle w:val="Default"/>
        <w:ind w:left="720" w:hanging="720"/>
        <w:rPr>
          <w:rFonts w:ascii="Times New Roman" w:hAnsi="Times New Roman" w:cs="Times New Roman"/>
          <w:color w:val="auto"/>
        </w:rPr>
      </w:pPr>
      <w:r w:rsidRPr="001C663E">
        <w:rPr>
          <w:color w:val="auto"/>
        </w:rPr>
        <w:t>Farrell, T. (2013)</w:t>
      </w:r>
      <w:r w:rsidR="00235C5E" w:rsidRPr="001C663E">
        <w:rPr>
          <w:szCs w:val="16"/>
        </w:rPr>
        <w:t>.</w:t>
      </w:r>
      <w:r w:rsidRPr="001C663E">
        <w:rPr>
          <w:color w:val="auto"/>
        </w:rPr>
        <w:t xml:space="preserve"> T</w:t>
      </w:r>
      <w:r w:rsidRPr="001C663E">
        <w:rPr>
          <w:i/>
          <w:color w:val="auto"/>
        </w:rPr>
        <w:t xml:space="preserve">he Farrell </w:t>
      </w:r>
      <w:r w:rsidR="00235C5E" w:rsidRPr="001C663E">
        <w:rPr>
          <w:i/>
          <w:szCs w:val="16"/>
        </w:rPr>
        <w:t>r</w:t>
      </w:r>
      <w:r w:rsidRPr="001C663E">
        <w:rPr>
          <w:i/>
          <w:color w:val="auto"/>
        </w:rPr>
        <w:t xml:space="preserve">eview of </w:t>
      </w:r>
      <w:r w:rsidR="00235C5E" w:rsidRPr="001C663E">
        <w:rPr>
          <w:i/>
          <w:szCs w:val="16"/>
        </w:rPr>
        <w:t>a</w:t>
      </w:r>
      <w:r w:rsidRPr="001C663E">
        <w:rPr>
          <w:i/>
          <w:color w:val="auto"/>
        </w:rPr>
        <w:t>rchitecture and the</w:t>
      </w:r>
      <w:r w:rsidR="00235C5E" w:rsidRPr="001C663E">
        <w:rPr>
          <w:i/>
          <w:szCs w:val="16"/>
        </w:rPr>
        <w:t xml:space="preserve"> b</w:t>
      </w:r>
      <w:r w:rsidRPr="001C663E">
        <w:rPr>
          <w:i/>
          <w:color w:val="auto"/>
        </w:rPr>
        <w:t xml:space="preserve">uilt </w:t>
      </w:r>
      <w:r w:rsidR="00235C5E" w:rsidRPr="001C663E">
        <w:rPr>
          <w:i/>
          <w:szCs w:val="16"/>
        </w:rPr>
        <w:t>e</w:t>
      </w:r>
      <w:r w:rsidRPr="001C663E">
        <w:rPr>
          <w:i/>
          <w:color w:val="auto"/>
        </w:rPr>
        <w:t>nvironment</w:t>
      </w:r>
      <w:r w:rsidR="00AF6382" w:rsidRPr="001C663E">
        <w:rPr>
          <w:i/>
          <w:sz w:val="20"/>
          <w:szCs w:val="16"/>
        </w:rPr>
        <w:t>.</w:t>
      </w:r>
      <w:r w:rsidR="00D508D1">
        <w:rPr>
          <w:i/>
        </w:rPr>
        <w:t xml:space="preserve"> </w:t>
      </w:r>
      <w:r w:rsidR="00235C5E" w:rsidRPr="001C663E">
        <w:rPr>
          <w:szCs w:val="16"/>
        </w:rPr>
        <w:t>Retrieved from D</w:t>
      </w:r>
      <w:r w:rsidRPr="001C663E">
        <w:rPr>
          <w:color w:val="auto"/>
        </w:rPr>
        <w:t xml:space="preserve">epartment for </w:t>
      </w:r>
      <w:r w:rsidR="00235C5E" w:rsidRPr="001C663E">
        <w:rPr>
          <w:szCs w:val="16"/>
        </w:rPr>
        <w:t>C</w:t>
      </w:r>
      <w:r w:rsidRPr="001C663E">
        <w:rPr>
          <w:color w:val="auto"/>
        </w:rPr>
        <w:t xml:space="preserve">ulture, </w:t>
      </w:r>
      <w:r w:rsidR="00235C5E" w:rsidRPr="001C663E">
        <w:rPr>
          <w:szCs w:val="16"/>
        </w:rPr>
        <w:t>M</w:t>
      </w:r>
      <w:r w:rsidRPr="001C663E">
        <w:rPr>
          <w:color w:val="auto"/>
        </w:rPr>
        <w:t>edia and Sport</w:t>
      </w:r>
      <w:r w:rsidR="00AF6382" w:rsidRPr="00D508D1">
        <w:t xml:space="preserve"> at: </w:t>
      </w:r>
      <w:hyperlink r:id="rId14" w:history="1">
        <w:r w:rsidRPr="001C663E">
          <w:rPr>
            <w:rStyle w:val="Hyperlink"/>
          </w:rPr>
          <w:t>http://www.farrellreview.co.uk/</w:t>
        </w:r>
      </w:hyperlink>
      <w:r w:rsidRPr="001C663E">
        <w:rPr>
          <w:color w:val="auto"/>
        </w:rPr>
        <w:t xml:space="preserve">  </w:t>
      </w:r>
    </w:p>
    <w:p w14:paraId="4DBC962F" w14:textId="77777777" w:rsidR="00E70B3C" w:rsidRPr="001C663E" w:rsidRDefault="00E70B3C" w:rsidP="001C663E">
      <w:pPr>
        <w:pStyle w:val="Default"/>
        <w:ind w:left="720" w:hanging="720"/>
        <w:rPr>
          <w:rFonts w:ascii="Times New Roman" w:hAnsi="Times New Roman" w:cs="Times New Roman"/>
        </w:rPr>
      </w:pPr>
    </w:p>
    <w:p w14:paraId="56DA67A2" w14:textId="77777777" w:rsidR="00915120" w:rsidRPr="001C663E" w:rsidRDefault="006C5B6D" w:rsidP="001C663E">
      <w:pPr>
        <w:pStyle w:val="FootnoteText"/>
        <w:ind w:left="720" w:hanging="720"/>
        <w:rPr>
          <w:sz w:val="24"/>
        </w:rPr>
      </w:pPr>
      <w:r w:rsidRPr="001C663E">
        <w:rPr>
          <w:sz w:val="24"/>
        </w:rPr>
        <w:t>Frank, A. (2006)</w:t>
      </w:r>
      <w:r w:rsidR="00AF6382">
        <w:rPr>
          <w:sz w:val="24"/>
        </w:rPr>
        <w:t>.</w:t>
      </w:r>
      <w:r w:rsidRPr="001C663E">
        <w:rPr>
          <w:sz w:val="24"/>
        </w:rPr>
        <w:t xml:space="preserve"> Three decades of thought on planning education</w:t>
      </w:r>
      <w:r w:rsidR="00AF6382">
        <w:rPr>
          <w:sz w:val="24"/>
        </w:rPr>
        <w:t>.</w:t>
      </w:r>
      <w:r w:rsidRPr="001C663E">
        <w:rPr>
          <w:sz w:val="24"/>
        </w:rPr>
        <w:t xml:space="preserve"> </w:t>
      </w:r>
      <w:r w:rsidRPr="001C663E">
        <w:rPr>
          <w:i/>
          <w:sz w:val="24"/>
        </w:rPr>
        <w:t>Journal of Planning Literature</w:t>
      </w:r>
      <w:r w:rsidRPr="001C663E">
        <w:rPr>
          <w:sz w:val="24"/>
        </w:rPr>
        <w:t>, 21, 1-54</w:t>
      </w:r>
      <w:r w:rsidR="00AF6382">
        <w:rPr>
          <w:sz w:val="24"/>
        </w:rPr>
        <w:t>.</w:t>
      </w:r>
      <w:r w:rsidRPr="001C663E">
        <w:rPr>
          <w:sz w:val="24"/>
        </w:rPr>
        <w:t xml:space="preserve"> </w:t>
      </w:r>
    </w:p>
    <w:p w14:paraId="13C69489" w14:textId="77777777" w:rsidR="00D32432" w:rsidRPr="00E70B3C" w:rsidRDefault="00D32432" w:rsidP="001C663E">
      <w:pPr>
        <w:autoSpaceDE w:val="0"/>
        <w:autoSpaceDN w:val="0"/>
        <w:adjustRightInd w:val="0"/>
        <w:spacing w:line="240" w:lineRule="auto"/>
        <w:ind w:left="720" w:hanging="720"/>
        <w:jc w:val="both"/>
        <w:rPr>
          <w:lang w:val="en-US"/>
        </w:rPr>
      </w:pPr>
    </w:p>
    <w:p w14:paraId="443D07B6" w14:textId="77777777" w:rsidR="00595E62" w:rsidRDefault="00595E62" w:rsidP="001C663E">
      <w:pPr>
        <w:spacing w:line="240" w:lineRule="auto"/>
        <w:ind w:left="720" w:hanging="720"/>
        <w:jc w:val="both"/>
        <w:rPr>
          <w:color w:val="000000" w:themeColor="text1"/>
        </w:rPr>
      </w:pPr>
      <w:r w:rsidRPr="00595E62">
        <w:rPr>
          <w:color w:val="000000" w:themeColor="text1"/>
        </w:rPr>
        <w:t>Hague</w:t>
      </w:r>
      <w:r>
        <w:rPr>
          <w:color w:val="000000" w:themeColor="text1"/>
        </w:rPr>
        <w:t>, C.</w:t>
      </w:r>
      <w:r w:rsidRPr="00595E62">
        <w:rPr>
          <w:color w:val="000000" w:themeColor="text1"/>
        </w:rPr>
        <w:t xml:space="preserve"> (2001) Planni</w:t>
      </w:r>
      <w:r>
        <w:rPr>
          <w:color w:val="000000" w:themeColor="text1"/>
        </w:rPr>
        <w:t xml:space="preserve">ng and Planning Education under </w:t>
      </w:r>
      <w:r w:rsidRPr="00595E62">
        <w:rPr>
          <w:color w:val="000000" w:themeColor="text1"/>
        </w:rPr>
        <w:t xml:space="preserve">Conditions of Globalization, </w:t>
      </w:r>
      <w:r w:rsidRPr="00595E62">
        <w:rPr>
          <w:i/>
          <w:color w:val="000000" w:themeColor="text1"/>
        </w:rPr>
        <w:t>Planning Theory &amp; Practice</w:t>
      </w:r>
      <w:r w:rsidRPr="00595E62">
        <w:rPr>
          <w:color w:val="000000" w:themeColor="text1"/>
        </w:rPr>
        <w:t>, 2:3, 375-376</w:t>
      </w:r>
      <w:r>
        <w:rPr>
          <w:color w:val="000000" w:themeColor="text1"/>
        </w:rPr>
        <w:t>.</w:t>
      </w:r>
    </w:p>
    <w:p w14:paraId="745DB6F1" w14:textId="77777777" w:rsidR="00595E62" w:rsidRDefault="00595E62" w:rsidP="001C663E">
      <w:pPr>
        <w:spacing w:line="240" w:lineRule="auto"/>
        <w:ind w:left="720" w:hanging="720"/>
        <w:jc w:val="both"/>
        <w:rPr>
          <w:color w:val="000000" w:themeColor="text1"/>
        </w:rPr>
      </w:pPr>
    </w:p>
    <w:p w14:paraId="4A4035FC" w14:textId="77777777" w:rsidR="00D508D1" w:rsidRDefault="004B3B96" w:rsidP="00D508D1">
      <w:pPr>
        <w:spacing w:line="240" w:lineRule="auto"/>
        <w:ind w:left="720" w:hanging="720"/>
        <w:jc w:val="both"/>
      </w:pPr>
      <w:r w:rsidRPr="00E830D1">
        <w:t xml:space="preserve">Healy, </w:t>
      </w:r>
      <w:r>
        <w:t>M.</w:t>
      </w:r>
      <w:r w:rsidR="00AF6382">
        <w:t>,</w:t>
      </w:r>
      <w:r>
        <w:t xml:space="preserve"> </w:t>
      </w:r>
      <w:r w:rsidRPr="00E830D1">
        <w:t>Flint</w:t>
      </w:r>
      <w:r>
        <w:t>, A</w:t>
      </w:r>
      <w:r w:rsidR="00AF6382">
        <w:t>., &amp;</w:t>
      </w:r>
      <w:r w:rsidRPr="00E830D1">
        <w:t xml:space="preserve"> </w:t>
      </w:r>
      <w:r>
        <w:t>H</w:t>
      </w:r>
      <w:r w:rsidRPr="00E830D1">
        <w:t>arrington,</w:t>
      </w:r>
      <w:r>
        <w:t xml:space="preserve"> F</w:t>
      </w:r>
      <w:r w:rsidR="00AF6382">
        <w:t>.</w:t>
      </w:r>
      <w:r w:rsidRPr="00E830D1">
        <w:t xml:space="preserve"> </w:t>
      </w:r>
      <w:r>
        <w:t>(2014)</w:t>
      </w:r>
      <w:r w:rsidR="00AF6382">
        <w:t>.</w:t>
      </w:r>
      <w:r>
        <w:t xml:space="preserve"> </w:t>
      </w:r>
      <w:r w:rsidRPr="001C663E">
        <w:rPr>
          <w:i/>
        </w:rPr>
        <w:t xml:space="preserve">Engagement through partnership: </w:t>
      </w:r>
      <w:r w:rsidR="00AF6382" w:rsidRPr="001C663E">
        <w:rPr>
          <w:i/>
        </w:rPr>
        <w:t>S</w:t>
      </w:r>
      <w:r w:rsidRPr="001C663E">
        <w:rPr>
          <w:i/>
        </w:rPr>
        <w:t>tudents as partners in learning and teaching in higher education</w:t>
      </w:r>
      <w:r w:rsidR="00AF6382">
        <w:t>.</w:t>
      </w:r>
      <w:r>
        <w:t xml:space="preserve"> </w:t>
      </w:r>
      <w:r w:rsidR="00AF6382">
        <w:t xml:space="preserve">Retrieved from </w:t>
      </w:r>
      <w:r>
        <w:t>HEA</w:t>
      </w:r>
      <w:r w:rsidR="00AF6382">
        <w:t xml:space="preserve"> at: </w:t>
      </w:r>
    </w:p>
    <w:p w14:paraId="1C63D6E5" w14:textId="77777777" w:rsidR="004B3B96" w:rsidRPr="00E70B3C" w:rsidRDefault="00D508D1" w:rsidP="001C663E">
      <w:pPr>
        <w:spacing w:line="240" w:lineRule="auto"/>
        <w:ind w:left="720" w:hanging="720"/>
        <w:jc w:val="both"/>
        <w:rPr>
          <w:color w:val="000000" w:themeColor="text1"/>
        </w:rPr>
      </w:pPr>
      <w:r>
        <w:tab/>
      </w:r>
      <w:hyperlink r:id="rId15" w:history="1">
        <w:r w:rsidR="004B3B96" w:rsidRPr="00DD7DFA">
          <w:rPr>
            <w:rStyle w:val="Hyperlink"/>
          </w:rPr>
          <w:t>https://www.heacademy.ac.uk/sites/default/files/resources/Engagement_through_partnership.pdf</w:t>
        </w:r>
      </w:hyperlink>
      <w:r w:rsidR="004B3B96">
        <w:t xml:space="preserve"> </w:t>
      </w:r>
    </w:p>
    <w:p w14:paraId="3D37DA92" w14:textId="77777777" w:rsidR="00D32432" w:rsidRPr="001C663E" w:rsidRDefault="00D32432" w:rsidP="001C663E">
      <w:pPr>
        <w:spacing w:line="240" w:lineRule="auto"/>
        <w:ind w:left="720" w:hanging="720"/>
        <w:jc w:val="both"/>
        <w:rPr>
          <w:color w:val="000000" w:themeColor="text1"/>
        </w:rPr>
      </w:pPr>
    </w:p>
    <w:p w14:paraId="22C8E28A" w14:textId="77777777" w:rsidR="00915120" w:rsidRPr="00E70B3C" w:rsidRDefault="00915120" w:rsidP="001C663E">
      <w:pPr>
        <w:spacing w:line="240" w:lineRule="auto"/>
        <w:ind w:left="720" w:hanging="720"/>
        <w:jc w:val="both"/>
        <w:rPr>
          <w:color w:val="000000" w:themeColor="text1"/>
        </w:rPr>
      </w:pPr>
      <w:r w:rsidRPr="00E70B3C">
        <w:rPr>
          <w:color w:val="000000" w:themeColor="text1"/>
        </w:rPr>
        <w:t>Liu</w:t>
      </w:r>
      <w:r w:rsidR="00AF6382">
        <w:rPr>
          <w:color w:val="000000" w:themeColor="text1"/>
        </w:rPr>
        <w:t>,</w:t>
      </w:r>
      <w:r w:rsidRPr="00E70B3C">
        <w:rPr>
          <w:color w:val="000000" w:themeColor="text1"/>
        </w:rPr>
        <w:t xml:space="preserve"> Y</w:t>
      </w:r>
      <w:r w:rsidR="00AF6382">
        <w:rPr>
          <w:color w:val="000000" w:themeColor="text1"/>
        </w:rPr>
        <w:t>.</w:t>
      </w:r>
      <w:r w:rsidRPr="00E70B3C">
        <w:rPr>
          <w:color w:val="000000" w:themeColor="text1"/>
        </w:rPr>
        <w:t>, Chen</w:t>
      </w:r>
      <w:r w:rsidR="00AF6382">
        <w:rPr>
          <w:color w:val="000000" w:themeColor="text1"/>
        </w:rPr>
        <w:t>,</w:t>
      </w:r>
      <w:r w:rsidRPr="00E70B3C">
        <w:rPr>
          <w:color w:val="000000" w:themeColor="text1"/>
        </w:rPr>
        <w:t xml:space="preserve"> X</w:t>
      </w:r>
      <w:r w:rsidR="00AF6382">
        <w:rPr>
          <w:color w:val="000000" w:themeColor="text1"/>
        </w:rPr>
        <w:t>.</w:t>
      </w:r>
      <w:r w:rsidRPr="00E70B3C">
        <w:rPr>
          <w:color w:val="000000" w:themeColor="text1"/>
        </w:rPr>
        <w:t>, Zhang</w:t>
      </w:r>
      <w:r w:rsidR="00AF6382">
        <w:rPr>
          <w:color w:val="000000" w:themeColor="text1"/>
        </w:rPr>
        <w:t>.</w:t>
      </w:r>
      <w:r w:rsidRPr="00E70B3C">
        <w:rPr>
          <w:color w:val="000000" w:themeColor="text1"/>
        </w:rPr>
        <w:t xml:space="preserve"> L</w:t>
      </w:r>
      <w:r w:rsidR="00AF6382">
        <w:rPr>
          <w:color w:val="000000" w:themeColor="text1"/>
        </w:rPr>
        <w:t>.</w:t>
      </w:r>
      <w:r w:rsidRPr="00E70B3C">
        <w:rPr>
          <w:color w:val="000000" w:themeColor="text1"/>
        </w:rPr>
        <w:t>, Wang</w:t>
      </w:r>
      <w:r w:rsidR="00AF6382">
        <w:rPr>
          <w:color w:val="000000" w:themeColor="text1"/>
        </w:rPr>
        <w:t>,</w:t>
      </w:r>
      <w:r w:rsidRPr="00E70B3C">
        <w:rPr>
          <w:color w:val="000000" w:themeColor="text1"/>
        </w:rPr>
        <w:t xml:space="preserve"> L</w:t>
      </w:r>
      <w:r w:rsidR="00AF6382">
        <w:rPr>
          <w:color w:val="000000" w:themeColor="text1"/>
        </w:rPr>
        <w:t>.</w:t>
      </w:r>
      <w:r w:rsidRPr="00E70B3C">
        <w:rPr>
          <w:color w:val="000000" w:themeColor="text1"/>
        </w:rPr>
        <w:t>,</w:t>
      </w:r>
      <w:r w:rsidR="00AF6382">
        <w:rPr>
          <w:color w:val="000000" w:themeColor="text1"/>
        </w:rPr>
        <w:t xml:space="preserve"> &amp;</w:t>
      </w:r>
      <w:r w:rsidRPr="00E70B3C">
        <w:rPr>
          <w:color w:val="000000" w:themeColor="text1"/>
        </w:rPr>
        <w:t xml:space="preserve"> Perc</w:t>
      </w:r>
      <w:r w:rsidR="00AF6382">
        <w:rPr>
          <w:color w:val="000000" w:themeColor="text1"/>
        </w:rPr>
        <w:t xml:space="preserve">, </w:t>
      </w:r>
      <w:r w:rsidRPr="00E70B3C">
        <w:rPr>
          <w:color w:val="000000" w:themeColor="text1"/>
        </w:rPr>
        <w:t>M</w:t>
      </w:r>
      <w:r w:rsidR="00AF6382">
        <w:rPr>
          <w:color w:val="000000" w:themeColor="text1"/>
        </w:rPr>
        <w:t>.</w:t>
      </w:r>
      <w:r w:rsidRPr="00E70B3C">
        <w:rPr>
          <w:color w:val="000000" w:themeColor="text1"/>
        </w:rPr>
        <w:t xml:space="preserve"> (2012)</w:t>
      </w:r>
      <w:r w:rsidR="00AF6382">
        <w:rPr>
          <w:color w:val="000000" w:themeColor="text1"/>
        </w:rPr>
        <w:t>.</w:t>
      </w:r>
      <w:r w:rsidRPr="00E70B3C">
        <w:rPr>
          <w:color w:val="000000" w:themeColor="text1"/>
        </w:rPr>
        <w:t xml:space="preserve"> Win-</w:t>
      </w:r>
      <w:r w:rsidR="00AF6382">
        <w:rPr>
          <w:color w:val="000000" w:themeColor="text1"/>
        </w:rPr>
        <w:t>s</w:t>
      </w:r>
      <w:r w:rsidRPr="00E70B3C">
        <w:rPr>
          <w:color w:val="000000" w:themeColor="text1"/>
        </w:rPr>
        <w:t>tay-</w:t>
      </w:r>
      <w:r w:rsidR="00AF6382">
        <w:rPr>
          <w:color w:val="000000" w:themeColor="text1"/>
        </w:rPr>
        <w:t>l</w:t>
      </w:r>
      <w:r w:rsidRPr="00E70B3C">
        <w:rPr>
          <w:color w:val="000000" w:themeColor="text1"/>
        </w:rPr>
        <w:t>ose-</w:t>
      </w:r>
      <w:r w:rsidR="00AF6382">
        <w:rPr>
          <w:color w:val="000000" w:themeColor="text1"/>
        </w:rPr>
        <w:t>l</w:t>
      </w:r>
      <w:r w:rsidRPr="00E70B3C">
        <w:rPr>
          <w:color w:val="000000" w:themeColor="text1"/>
        </w:rPr>
        <w:t xml:space="preserve">earn </w:t>
      </w:r>
      <w:r w:rsidR="00AF6382">
        <w:rPr>
          <w:color w:val="000000" w:themeColor="text1"/>
        </w:rPr>
        <w:t>p</w:t>
      </w:r>
      <w:r w:rsidRPr="00E70B3C">
        <w:rPr>
          <w:color w:val="000000" w:themeColor="text1"/>
        </w:rPr>
        <w:t xml:space="preserve">romotes </w:t>
      </w:r>
      <w:r w:rsidR="00AF6382">
        <w:rPr>
          <w:color w:val="000000" w:themeColor="text1"/>
        </w:rPr>
        <w:t>c</w:t>
      </w:r>
      <w:r w:rsidRPr="00E70B3C">
        <w:rPr>
          <w:color w:val="000000" w:themeColor="text1"/>
        </w:rPr>
        <w:t xml:space="preserve">ooperation in the </w:t>
      </w:r>
      <w:r w:rsidR="00AF6382">
        <w:rPr>
          <w:color w:val="000000" w:themeColor="text1"/>
        </w:rPr>
        <w:t>s</w:t>
      </w:r>
      <w:r w:rsidRPr="00E70B3C">
        <w:rPr>
          <w:color w:val="000000" w:themeColor="text1"/>
        </w:rPr>
        <w:t xml:space="preserve">patial </w:t>
      </w:r>
      <w:r w:rsidR="00AF6382">
        <w:rPr>
          <w:color w:val="000000" w:themeColor="text1"/>
        </w:rPr>
        <w:t>p</w:t>
      </w:r>
      <w:r w:rsidRPr="00E70B3C">
        <w:rPr>
          <w:color w:val="000000" w:themeColor="text1"/>
        </w:rPr>
        <w:t xml:space="preserve">risoner's </w:t>
      </w:r>
      <w:r w:rsidR="00AF6382">
        <w:rPr>
          <w:color w:val="000000" w:themeColor="text1"/>
        </w:rPr>
        <w:t>d</w:t>
      </w:r>
      <w:r w:rsidRPr="00E70B3C">
        <w:rPr>
          <w:color w:val="000000" w:themeColor="text1"/>
        </w:rPr>
        <w:t xml:space="preserve">ilemma </w:t>
      </w:r>
      <w:r w:rsidR="00AF6382">
        <w:rPr>
          <w:color w:val="000000" w:themeColor="text1"/>
        </w:rPr>
        <w:t>g</w:t>
      </w:r>
      <w:r w:rsidRPr="00E70B3C">
        <w:rPr>
          <w:color w:val="000000" w:themeColor="text1"/>
        </w:rPr>
        <w:t>ame</w:t>
      </w:r>
      <w:r w:rsidRPr="00E70B3C">
        <w:rPr>
          <w:i/>
          <w:color w:val="000000" w:themeColor="text1"/>
        </w:rPr>
        <w:t xml:space="preserve">. PLoS </w:t>
      </w:r>
      <w:r w:rsidR="00D32432" w:rsidRPr="00E70B3C">
        <w:rPr>
          <w:i/>
          <w:color w:val="000000" w:themeColor="text1"/>
        </w:rPr>
        <w:t>ONE</w:t>
      </w:r>
      <w:r w:rsidR="00D32432" w:rsidRPr="00E70B3C">
        <w:rPr>
          <w:color w:val="000000" w:themeColor="text1"/>
        </w:rPr>
        <w:t>, 7,</w:t>
      </w:r>
      <w:r w:rsidR="00617EF1" w:rsidRPr="00E70B3C">
        <w:rPr>
          <w:color w:val="000000" w:themeColor="text1"/>
        </w:rPr>
        <w:t xml:space="preserve"> 1-8</w:t>
      </w:r>
      <w:r w:rsidR="00AF6382">
        <w:rPr>
          <w:color w:val="000000" w:themeColor="text1"/>
        </w:rPr>
        <w:t>.</w:t>
      </w:r>
    </w:p>
    <w:p w14:paraId="0FA79743" w14:textId="77777777" w:rsidR="00A0399C" w:rsidRPr="00E70B3C" w:rsidRDefault="00A0399C" w:rsidP="001C663E">
      <w:pPr>
        <w:spacing w:line="240" w:lineRule="auto"/>
        <w:ind w:left="720" w:hanging="720"/>
        <w:jc w:val="both"/>
        <w:rPr>
          <w:color w:val="000000" w:themeColor="text1"/>
        </w:rPr>
      </w:pPr>
    </w:p>
    <w:p w14:paraId="2B6291A0" w14:textId="77777777" w:rsidR="00915120" w:rsidRPr="00E70B3C" w:rsidRDefault="00D00001" w:rsidP="001C663E">
      <w:pPr>
        <w:autoSpaceDE w:val="0"/>
        <w:autoSpaceDN w:val="0"/>
        <w:adjustRightInd w:val="0"/>
        <w:spacing w:line="240" w:lineRule="auto"/>
        <w:ind w:left="720" w:hanging="720"/>
        <w:rPr>
          <w:lang w:val="en-US"/>
        </w:rPr>
      </w:pPr>
      <w:r w:rsidRPr="00E70B3C">
        <w:rPr>
          <w:lang w:val="en-US"/>
        </w:rPr>
        <w:t>McCarthy, J.</w:t>
      </w:r>
      <w:r w:rsidR="00AF6382">
        <w:rPr>
          <w:lang w:val="en-US"/>
        </w:rPr>
        <w:t>, &amp;</w:t>
      </w:r>
      <w:r w:rsidRPr="00E70B3C">
        <w:rPr>
          <w:lang w:val="en-US"/>
        </w:rPr>
        <w:t xml:space="preserve"> Bagaeen, S. (2014)</w:t>
      </w:r>
      <w:r w:rsidR="00AF6382">
        <w:rPr>
          <w:lang w:val="en-US"/>
        </w:rPr>
        <w:t>.</w:t>
      </w:r>
      <w:r w:rsidRPr="00E70B3C">
        <w:rPr>
          <w:lang w:val="en-US"/>
        </w:rPr>
        <w:t xml:space="preserve"> </w:t>
      </w:r>
      <w:r w:rsidRPr="001C663E">
        <w:rPr>
          <w:i/>
          <w:lang w:val="en-US"/>
        </w:rPr>
        <w:t xml:space="preserve">Sharing good practice in planning </w:t>
      </w:r>
      <w:r w:rsidR="00AF6382" w:rsidRPr="001C663E">
        <w:rPr>
          <w:i/>
          <w:lang w:val="en-US"/>
        </w:rPr>
        <w:t>education.</w:t>
      </w:r>
      <w:r w:rsidR="00AF6382">
        <w:rPr>
          <w:lang w:val="en-US"/>
        </w:rPr>
        <w:t xml:space="preserve"> Retrieved from</w:t>
      </w:r>
      <w:r w:rsidRPr="00E70B3C">
        <w:rPr>
          <w:lang w:val="en-US"/>
        </w:rPr>
        <w:t xml:space="preserve"> HEA</w:t>
      </w:r>
      <w:r w:rsidR="00AF6382">
        <w:rPr>
          <w:lang w:val="en-US"/>
        </w:rPr>
        <w:t xml:space="preserve"> at:</w:t>
      </w:r>
      <w:r w:rsidRPr="00E70B3C">
        <w:rPr>
          <w:lang w:val="en-US"/>
        </w:rPr>
        <w:t xml:space="preserve"> </w:t>
      </w:r>
      <w:r w:rsidR="004B3B96">
        <w:rPr>
          <w:lang w:val="en-US"/>
        </w:rPr>
        <w:t xml:space="preserve"> </w:t>
      </w:r>
      <w:hyperlink w:history="1"/>
      <w:hyperlink r:id="rId16" w:history="1">
        <w:r w:rsidR="004B3B96" w:rsidRPr="004B3B96">
          <w:rPr>
            <w:rStyle w:val="Hyperlink"/>
            <w:lang w:val="en-US"/>
          </w:rPr>
          <w:t>http://www.heacademy.ac.uk/assets/documents/resources/publications/STEM-pdfs/sharing-good-practice-in-planning-education1.pdf</w:t>
        </w:r>
      </w:hyperlink>
      <w:r w:rsidR="004B3B96">
        <w:rPr>
          <w:lang w:val="en-US"/>
        </w:rPr>
        <w:t xml:space="preserve"> </w:t>
      </w:r>
    </w:p>
    <w:p w14:paraId="7F796802" w14:textId="77777777" w:rsidR="00D00001" w:rsidRPr="00E70B3C" w:rsidRDefault="00D00001" w:rsidP="001C663E">
      <w:pPr>
        <w:autoSpaceDE w:val="0"/>
        <w:autoSpaceDN w:val="0"/>
        <w:adjustRightInd w:val="0"/>
        <w:spacing w:line="240" w:lineRule="auto"/>
        <w:ind w:left="720" w:hanging="720"/>
        <w:jc w:val="both"/>
        <w:rPr>
          <w:lang w:val="en-US"/>
        </w:rPr>
      </w:pPr>
    </w:p>
    <w:p w14:paraId="6F982077" w14:textId="77777777" w:rsidR="003D1413" w:rsidRDefault="003D1413" w:rsidP="001C663E">
      <w:pPr>
        <w:autoSpaceDE w:val="0"/>
        <w:autoSpaceDN w:val="0"/>
        <w:adjustRightInd w:val="0"/>
        <w:spacing w:line="240" w:lineRule="auto"/>
        <w:ind w:left="720" w:hanging="720"/>
        <w:jc w:val="both"/>
        <w:rPr>
          <w:lang w:val="en-US"/>
        </w:rPr>
      </w:pPr>
      <w:r w:rsidRPr="003D1413">
        <w:rPr>
          <w:lang w:val="en-US"/>
        </w:rPr>
        <w:t>McClendon</w:t>
      </w:r>
      <w:r>
        <w:rPr>
          <w:lang w:val="en-US"/>
        </w:rPr>
        <w:t>, B. W.</w:t>
      </w:r>
      <w:r w:rsidRPr="003D1413">
        <w:rPr>
          <w:lang w:val="en-US"/>
        </w:rPr>
        <w:t>, Erber,</w:t>
      </w:r>
      <w:r>
        <w:rPr>
          <w:lang w:val="en-US"/>
        </w:rPr>
        <w:t xml:space="preserve"> E.,</w:t>
      </w:r>
      <w:r w:rsidRPr="003D1413">
        <w:rPr>
          <w:lang w:val="en-US"/>
        </w:rPr>
        <w:t xml:space="preserve"> McCoy</w:t>
      </w:r>
      <w:r>
        <w:rPr>
          <w:lang w:val="en-US"/>
        </w:rPr>
        <w:t>,</w:t>
      </w:r>
      <w:r w:rsidRPr="003D1413">
        <w:rPr>
          <w:lang w:val="en-US"/>
        </w:rPr>
        <w:t xml:space="preserve"> </w:t>
      </w:r>
      <w:r>
        <w:rPr>
          <w:lang w:val="en-US"/>
        </w:rPr>
        <w:t>M. and</w:t>
      </w:r>
      <w:r w:rsidRPr="003D1413">
        <w:rPr>
          <w:lang w:val="en-US"/>
        </w:rPr>
        <w:t xml:space="preserve"> Stollman</w:t>
      </w:r>
      <w:r>
        <w:rPr>
          <w:lang w:val="en-US"/>
        </w:rPr>
        <w:t xml:space="preserve">, I., (2003) </w:t>
      </w:r>
      <w:r w:rsidRPr="003D1413">
        <w:rPr>
          <w:lang w:val="en-US"/>
        </w:rPr>
        <w:t>A Bold Vision and a Brand Identity for the Planning Profession</w:t>
      </w:r>
      <w:r>
        <w:rPr>
          <w:lang w:val="en-US"/>
        </w:rPr>
        <w:t xml:space="preserve">. </w:t>
      </w:r>
      <w:r w:rsidRPr="003D1413">
        <w:rPr>
          <w:i/>
          <w:lang w:val="en-US"/>
        </w:rPr>
        <w:t>Journal of the American Planning Association</w:t>
      </w:r>
      <w:r>
        <w:rPr>
          <w:lang w:val="en-US"/>
        </w:rPr>
        <w:t>, 69:3</w:t>
      </w:r>
    </w:p>
    <w:p w14:paraId="3A226C4B" w14:textId="77777777" w:rsidR="00915120" w:rsidRPr="00E70B3C" w:rsidRDefault="00915120" w:rsidP="001C663E">
      <w:pPr>
        <w:spacing w:line="240" w:lineRule="auto"/>
        <w:ind w:left="720" w:hanging="720"/>
        <w:jc w:val="both"/>
        <w:rPr>
          <w:color w:val="000000" w:themeColor="text1"/>
        </w:rPr>
      </w:pPr>
    </w:p>
    <w:p w14:paraId="55A144D9" w14:textId="77777777" w:rsidR="00915120" w:rsidRPr="00E70B3C" w:rsidRDefault="00915120" w:rsidP="001C663E">
      <w:pPr>
        <w:autoSpaceDE w:val="0"/>
        <w:autoSpaceDN w:val="0"/>
        <w:adjustRightInd w:val="0"/>
        <w:spacing w:line="240" w:lineRule="auto"/>
        <w:ind w:left="720" w:hanging="720"/>
        <w:jc w:val="both"/>
        <w:rPr>
          <w:lang w:val="en-US"/>
        </w:rPr>
      </w:pPr>
      <w:r w:rsidRPr="00E70B3C">
        <w:rPr>
          <w:lang w:val="en-US"/>
        </w:rPr>
        <w:lastRenderedPageBreak/>
        <w:t>McClymont, K. (2011)</w:t>
      </w:r>
      <w:r w:rsidR="00AF6382">
        <w:rPr>
          <w:lang w:val="en-US"/>
        </w:rPr>
        <w:t>.</w:t>
      </w:r>
      <w:r w:rsidRPr="00E70B3C">
        <w:rPr>
          <w:lang w:val="en-US"/>
        </w:rPr>
        <w:t xml:space="preserve"> Revitalising the political: Development </w:t>
      </w:r>
      <w:r w:rsidR="00AF6382">
        <w:rPr>
          <w:lang w:val="en-US"/>
        </w:rPr>
        <w:t>c</w:t>
      </w:r>
      <w:r w:rsidRPr="00E70B3C">
        <w:rPr>
          <w:lang w:val="en-US"/>
        </w:rPr>
        <w:t xml:space="preserve">ontrol and agonism in planning practice. </w:t>
      </w:r>
      <w:r w:rsidRPr="00E70B3C">
        <w:rPr>
          <w:i/>
          <w:lang w:val="en-US"/>
        </w:rPr>
        <w:t>Planning Theory</w:t>
      </w:r>
      <w:r w:rsidRPr="00E70B3C">
        <w:rPr>
          <w:lang w:val="en-US"/>
        </w:rPr>
        <w:t xml:space="preserve">, </w:t>
      </w:r>
      <w:r w:rsidR="00617EF1" w:rsidRPr="00E70B3C">
        <w:rPr>
          <w:lang w:val="en-US"/>
        </w:rPr>
        <w:t>10</w:t>
      </w:r>
      <w:r w:rsidR="00AF6382">
        <w:rPr>
          <w:lang w:val="en-US"/>
        </w:rPr>
        <w:t>,</w:t>
      </w:r>
      <w:r w:rsidR="00617EF1" w:rsidRPr="00E70B3C">
        <w:rPr>
          <w:lang w:val="en-US"/>
        </w:rPr>
        <w:t xml:space="preserve"> </w:t>
      </w:r>
      <w:r w:rsidRPr="00E70B3C">
        <w:rPr>
          <w:lang w:val="en-US"/>
        </w:rPr>
        <w:t xml:space="preserve">239-256 </w:t>
      </w:r>
    </w:p>
    <w:p w14:paraId="26DB1D3D" w14:textId="77777777" w:rsidR="007C3A97" w:rsidRPr="00E70B3C" w:rsidRDefault="007C3A97" w:rsidP="001C663E">
      <w:pPr>
        <w:autoSpaceDE w:val="0"/>
        <w:autoSpaceDN w:val="0"/>
        <w:adjustRightInd w:val="0"/>
        <w:spacing w:line="240" w:lineRule="auto"/>
        <w:ind w:left="720" w:hanging="720"/>
        <w:jc w:val="both"/>
        <w:rPr>
          <w:lang w:val="en-US"/>
        </w:rPr>
      </w:pPr>
    </w:p>
    <w:p w14:paraId="3EFD6FEC" w14:textId="77777777" w:rsidR="00AF6382" w:rsidRDefault="007C3A97" w:rsidP="001C663E">
      <w:pPr>
        <w:autoSpaceDE w:val="0"/>
        <w:autoSpaceDN w:val="0"/>
        <w:adjustRightInd w:val="0"/>
        <w:spacing w:line="240" w:lineRule="auto"/>
        <w:ind w:left="720" w:hanging="720"/>
        <w:jc w:val="both"/>
        <w:rPr>
          <w:lang w:val="en-US"/>
        </w:rPr>
      </w:pPr>
      <w:r w:rsidRPr="00E70B3C">
        <w:rPr>
          <w:lang w:val="en-US"/>
        </w:rPr>
        <w:t>McLouglin, M. (2012)</w:t>
      </w:r>
      <w:r w:rsidR="00AF6382">
        <w:rPr>
          <w:lang w:val="en-US"/>
        </w:rPr>
        <w:t>.</w:t>
      </w:r>
      <w:r w:rsidRPr="00E70B3C">
        <w:rPr>
          <w:lang w:val="en-US"/>
        </w:rPr>
        <w:t xml:space="preserve"> </w:t>
      </w:r>
      <w:r w:rsidRPr="001C663E">
        <w:rPr>
          <w:i/>
          <w:lang w:val="en-US"/>
        </w:rPr>
        <w:t xml:space="preserve">Employability </w:t>
      </w:r>
      <w:r w:rsidR="00AF6382" w:rsidRPr="001C663E">
        <w:rPr>
          <w:i/>
          <w:lang w:val="en-US"/>
        </w:rPr>
        <w:t>s</w:t>
      </w:r>
      <w:r w:rsidRPr="001C663E">
        <w:rPr>
          <w:i/>
          <w:lang w:val="en-US"/>
        </w:rPr>
        <w:t xml:space="preserve">kills for </w:t>
      </w:r>
      <w:r w:rsidR="00AF6382" w:rsidRPr="001C663E">
        <w:rPr>
          <w:i/>
          <w:lang w:val="en-US"/>
        </w:rPr>
        <w:t>p</w:t>
      </w:r>
      <w:r w:rsidRPr="001C663E">
        <w:rPr>
          <w:i/>
          <w:lang w:val="en-US"/>
        </w:rPr>
        <w:t>lanners: A scoping report into the changing requirements of planning employer</w:t>
      </w:r>
      <w:r w:rsidR="00AF6382">
        <w:rPr>
          <w:lang w:val="en-US"/>
        </w:rPr>
        <w:t>. Retrieved from</w:t>
      </w:r>
      <w:r w:rsidRPr="00E70B3C">
        <w:rPr>
          <w:lang w:val="en-US"/>
        </w:rPr>
        <w:t xml:space="preserve"> Higher Education Academy</w:t>
      </w:r>
      <w:r w:rsidR="00AF6382">
        <w:rPr>
          <w:lang w:val="en-US"/>
        </w:rPr>
        <w:t xml:space="preserve"> at:</w:t>
      </w:r>
    </w:p>
    <w:p w14:paraId="1BBB8482" w14:textId="77777777" w:rsidR="007C3A97" w:rsidRPr="00E70B3C" w:rsidRDefault="00D508D1" w:rsidP="001C663E">
      <w:pPr>
        <w:autoSpaceDE w:val="0"/>
        <w:autoSpaceDN w:val="0"/>
        <w:adjustRightInd w:val="0"/>
        <w:spacing w:line="240" w:lineRule="auto"/>
        <w:ind w:left="720" w:hanging="720"/>
        <w:jc w:val="both"/>
        <w:rPr>
          <w:lang w:val="en-US"/>
        </w:rPr>
      </w:pPr>
      <w:r>
        <w:rPr>
          <w:lang w:val="en-US"/>
        </w:rPr>
        <w:tab/>
      </w:r>
      <w:hyperlink r:id="rId17" w:history="1">
        <w:r w:rsidR="004B1211" w:rsidRPr="00E70B3C">
          <w:rPr>
            <w:rStyle w:val="Hyperlink"/>
            <w:lang w:val="en-US"/>
          </w:rPr>
          <w:t>http://www.heacademy.ac.uk/assets/documents/disciplines/built_environment/Employability_Skills_for_Planners.pdf</w:t>
        </w:r>
      </w:hyperlink>
      <w:r w:rsidR="004B1211" w:rsidRPr="00E70B3C">
        <w:rPr>
          <w:lang w:val="en-US"/>
        </w:rPr>
        <w:t xml:space="preserve"> </w:t>
      </w:r>
    </w:p>
    <w:p w14:paraId="03D7258E" w14:textId="77777777" w:rsidR="00915120" w:rsidRPr="00E70B3C" w:rsidRDefault="00915120" w:rsidP="001C663E">
      <w:pPr>
        <w:spacing w:line="240" w:lineRule="auto"/>
        <w:ind w:left="720" w:hanging="720"/>
        <w:contextualSpacing/>
        <w:jc w:val="both"/>
      </w:pPr>
    </w:p>
    <w:p w14:paraId="6FC86025" w14:textId="77777777" w:rsidR="00915120" w:rsidRPr="00E70B3C" w:rsidRDefault="00915120" w:rsidP="001C663E">
      <w:pPr>
        <w:spacing w:line="240" w:lineRule="auto"/>
        <w:ind w:left="720" w:hanging="720"/>
        <w:contextualSpacing/>
        <w:jc w:val="both"/>
      </w:pPr>
      <w:r w:rsidRPr="00E70B3C">
        <w:t xml:space="preserve">Office of the Deputy Prime Minister (2004) </w:t>
      </w:r>
      <w:r w:rsidRPr="00E70B3C">
        <w:rPr>
          <w:i/>
          <w:iCs/>
        </w:rPr>
        <w:t xml:space="preserve">The Egan </w:t>
      </w:r>
      <w:r w:rsidR="00AF6382">
        <w:rPr>
          <w:i/>
          <w:iCs/>
        </w:rPr>
        <w:t>r</w:t>
      </w:r>
      <w:r w:rsidRPr="00E70B3C">
        <w:rPr>
          <w:i/>
          <w:iCs/>
        </w:rPr>
        <w:t xml:space="preserve">eview: Skills for </w:t>
      </w:r>
      <w:r w:rsidR="00D508D1">
        <w:rPr>
          <w:i/>
          <w:iCs/>
        </w:rPr>
        <w:t>s</w:t>
      </w:r>
      <w:r w:rsidRPr="00E70B3C">
        <w:rPr>
          <w:i/>
          <w:iCs/>
        </w:rPr>
        <w:t xml:space="preserve">ustainable </w:t>
      </w:r>
      <w:r w:rsidR="00D508D1">
        <w:rPr>
          <w:i/>
          <w:iCs/>
        </w:rPr>
        <w:t>c</w:t>
      </w:r>
      <w:r w:rsidRPr="00E70B3C">
        <w:rPr>
          <w:i/>
          <w:iCs/>
        </w:rPr>
        <w:t>ommunities</w:t>
      </w:r>
      <w:r w:rsidR="00D508D1">
        <w:t>. London: ODPM.</w:t>
      </w:r>
      <w:r w:rsidRPr="00E70B3C">
        <w:t xml:space="preserve"> </w:t>
      </w:r>
    </w:p>
    <w:p w14:paraId="751D680B" w14:textId="77777777" w:rsidR="00915120" w:rsidRPr="00E70B3C" w:rsidRDefault="00915120" w:rsidP="001C663E">
      <w:pPr>
        <w:autoSpaceDE w:val="0"/>
        <w:autoSpaceDN w:val="0"/>
        <w:adjustRightInd w:val="0"/>
        <w:spacing w:line="240" w:lineRule="auto"/>
        <w:ind w:left="720" w:hanging="720"/>
        <w:jc w:val="both"/>
        <w:rPr>
          <w:lang w:val="en-US"/>
        </w:rPr>
      </w:pPr>
    </w:p>
    <w:p w14:paraId="042D70E6" w14:textId="77777777" w:rsidR="00915120" w:rsidRPr="00E70B3C" w:rsidRDefault="00915120" w:rsidP="001C663E">
      <w:pPr>
        <w:autoSpaceDE w:val="0"/>
        <w:autoSpaceDN w:val="0"/>
        <w:adjustRightInd w:val="0"/>
        <w:spacing w:line="240" w:lineRule="auto"/>
        <w:ind w:left="720" w:hanging="720"/>
        <w:jc w:val="both"/>
        <w:rPr>
          <w:lang w:val="en-US"/>
        </w:rPr>
      </w:pPr>
      <w:r w:rsidRPr="00E70B3C">
        <w:rPr>
          <w:lang w:val="en-US"/>
        </w:rPr>
        <w:t>Peel, D. (2005)</w:t>
      </w:r>
      <w:r w:rsidR="00D508D1">
        <w:rPr>
          <w:lang w:val="en-US"/>
        </w:rPr>
        <w:t>.</w:t>
      </w:r>
      <w:r w:rsidRPr="00E70B3C">
        <w:rPr>
          <w:lang w:val="en-US"/>
        </w:rPr>
        <w:t xml:space="preserve"> Training </w:t>
      </w:r>
      <w:r w:rsidR="00D508D1">
        <w:rPr>
          <w:lang w:val="en-US"/>
        </w:rPr>
        <w:t>c</w:t>
      </w:r>
      <w:r w:rsidRPr="00E70B3C">
        <w:rPr>
          <w:lang w:val="en-US"/>
        </w:rPr>
        <w:t xml:space="preserve">itizens for a </w:t>
      </w:r>
      <w:r w:rsidR="00D508D1">
        <w:rPr>
          <w:lang w:val="en-US"/>
        </w:rPr>
        <w:t>m</w:t>
      </w:r>
      <w:r w:rsidRPr="00E70B3C">
        <w:rPr>
          <w:lang w:val="en-US"/>
        </w:rPr>
        <w:t xml:space="preserve">anagement </w:t>
      </w:r>
      <w:r w:rsidR="00D508D1">
        <w:rPr>
          <w:lang w:val="en-US"/>
        </w:rPr>
        <w:t>r</w:t>
      </w:r>
      <w:r w:rsidRPr="00E70B3C">
        <w:rPr>
          <w:lang w:val="en-US"/>
        </w:rPr>
        <w:t xml:space="preserve">ole in </w:t>
      </w:r>
      <w:r w:rsidR="00D508D1">
        <w:rPr>
          <w:lang w:val="en-US"/>
        </w:rPr>
        <w:t>r</w:t>
      </w:r>
      <w:r w:rsidRPr="00E70B3C">
        <w:rPr>
          <w:lang w:val="en-US"/>
        </w:rPr>
        <w:t>egeneration</w:t>
      </w:r>
      <w:r w:rsidR="00D508D1">
        <w:rPr>
          <w:lang w:val="en-US"/>
        </w:rPr>
        <w:t>.</w:t>
      </w:r>
      <w:r w:rsidRPr="00E70B3C">
        <w:rPr>
          <w:lang w:val="en-US"/>
        </w:rPr>
        <w:t xml:space="preserve"> </w:t>
      </w:r>
      <w:r w:rsidRPr="00E70B3C">
        <w:rPr>
          <w:i/>
          <w:iCs/>
          <w:lang w:val="en-US"/>
        </w:rPr>
        <w:t>Planning Practice and Research</w:t>
      </w:r>
      <w:r w:rsidRPr="00E70B3C">
        <w:rPr>
          <w:lang w:val="en-US"/>
        </w:rPr>
        <w:t>, 20</w:t>
      </w:r>
      <w:r w:rsidR="00D508D1">
        <w:rPr>
          <w:lang w:val="en-US"/>
        </w:rPr>
        <w:t>,</w:t>
      </w:r>
      <w:r w:rsidRPr="00E70B3C">
        <w:rPr>
          <w:lang w:val="en-US"/>
        </w:rPr>
        <w:t xml:space="preserve"> 443-457.</w:t>
      </w:r>
    </w:p>
    <w:p w14:paraId="5E50E79E" w14:textId="77777777" w:rsidR="001701FC" w:rsidRPr="00E70B3C" w:rsidRDefault="001701FC" w:rsidP="001C663E">
      <w:pPr>
        <w:autoSpaceDE w:val="0"/>
        <w:autoSpaceDN w:val="0"/>
        <w:adjustRightInd w:val="0"/>
        <w:spacing w:line="240" w:lineRule="auto"/>
        <w:ind w:left="720" w:hanging="720"/>
        <w:jc w:val="both"/>
        <w:rPr>
          <w:lang w:val="en-US"/>
        </w:rPr>
      </w:pPr>
    </w:p>
    <w:p w14:paraId="60D27DDA" w14:textId="77777777" w:rsidR="00915120" w:rsidRPr="00E70B3C" w:rsidRDefault="00915120" w:rsidP="001C663E">
      <w:pPr>
        <w:autoSpaceDE w:val="0"/>
        <w:autoSpaceDN w:val="0"/>
        <w:adjustRightInd w:val="0"/>
        <w:spacing w:line="240" w:lineRule="auto"/>
        <w:ind w:left="720" w:hanging="720"/>
        <w:jc w:val="both"/>
        <w:rPr>
          <w:lang w:val="en-US"/>
        </w:rPr>
      </w:pPr>
      <w:bookmarkStart w:id="2" w:name="_GoBack"/>
      <w:bookmarkEnd w:id="2"/>
      <w:r w:rsidRPr="00E70B3C">
        <w:t>Poxton, J. (2001)</w:t>
      </w:r>
      <w:r w:rsidR="00D508D1">
        <w:t>.</w:t>
      </w:r>
      <w:r w:rsidRPr="00E70B3C">
        <w:t xml:space="preserve"> </w:t>
      </w:r>
      <w:r w:rsidRPr="00E70B3C">
        <w:rPr>
          <w:lang w:val="en-US"/>
        </w:rPr>
        <w:t xml:space="preserve">Shaping the planning profession of the future: </w:t>
      </w:r>
      <w:r w:rsidR="00D508D1">
        <w:rPr>
          <w:lang w:val="en-US"/>
        </w:rPr>
        <w:t>T</w:t>
      </w:r>
      <w:r w:rsidRPr="00E70B3C">
        <w:rPr>
          <w:lang w:val="en-US"/>
        </w:rPr>
        <w:t>he role of planning education</w:t>
      </w:r>
      <w:r w:rsidR="00D508D1">
        <w:rPr>
          <w:lang w:val="en-US"/>
        </w:rPr>
        <w:t>.</w:t>
      </w:r>
      <w:r w:rsidRPr="00E70B3C">
        <w:rPr>
          <w:lang w:val="en-US"/>
        </w:rPr>
        <w:t xml:space="preserve"> </w:t>
      </w:r>
      <w:r w:rsidRPr="00E70B3C">
        <w:rPr>
          <w:i/>
          <w:lang w:val="en-US"/>
        </w:rPr>
        <w:t>Environment and Planning B: Planning and Design</w:t>
      </w:r>
      <w:r w:rsidRPr="00E70B3C">
        <w:rPr>
          <w:lang w:val="en-US"/>
        </w:rPr>
        <w:t>,</w:t>
      </w:r>
      <w:r w:rsidR="00D508D1">
        <w:rPr>
          <w:lang w:val="en-US"/>
        </w:rPr>
        <w:t xml:space="preserve"> </w:t>
      </w:r>
      <w:r w:rsidRPr="00E70B3C">
        <w:rPr>
          <w:lang w:val="en-US"/>
        </w:rPr>
        <w:t>28, 563-580</w:t>
      </w:r>
    </w:p>
    <w:p w14:paraId="0632EBCA" w14:textId="77777777" w:rsidR="00915120" w:rsidRPr="00E70B3C" w:rsidRDefault="00915120" w:rsidP="001C663E">
      <w:pPr>
        <w:autoSpaceDE w:val="0"/>
        <w:autoSpaceDN w:val="0"/>
        <w:adjustRightInd w:val="0"/>
        <w:spacing w:line="240" w:lineRule="auto"/>
        <w:ind w:left="720" w:hanging="720"/>
        <w:jc w:val="both"/>
        <w:rPr>
          <w:lang w:val="en-US"/>
        </w:rPr>
      </w:pPr>
    </w:p>
    <w:p w14:paraId="6A8C64D2" w14:textId="77777777" w:rsidR="00D32432" w:rsidRDefault="00EA05D3" w:rsidP="001C663E">
      <w:pPr>
        <w:autoSpaceDE w:val="0"/>
        <w:autoSpaceDN w:val="0"/>
        <w:adjustRightInd w:val="0"/>
        <w:spacing w:line="240" w:lineRule="auto"/>
        <w:ind w:left="720" w:hanging="720"/>
        <w:jc w:val="both"/>
      </w:pPr>
      <w:r w:rsidRPr="00E70B3C">
        <w:rPr>
          <w:lang w:val="en-US"/>
        </w:rPr>
        <w:t>Royal Town Planning Institute (2012)</w:t>
      </w:r>
      <w:r w:rsidR="00D508D1">
        <w:rPr>
          <w:lang w:val="en-US"/>
        </w:rPr>
        <w:t>.</w:t>
      </w:r>
      <w:r w:rsidRPr="00E70B3C">
        <w:rPr>
          <w:lang w:val="en-US"/>
        </w:rPr>
        <w:t xml:space="preserve"> </w:t>
      </w:r>
      <w:r w:rsidRPr="001C663E">
        <w:rPr>
          <w:i/>
          <w:lang w:val="en-US"/>
        </w:rPr>
        <w:t xml:space="preserve">Code of </w:t>
      </w:r>
      <w:r w:rsidR="00D508D1" w:rsidRPr="001C663E">
        <w:rPr>
          <w:i/>
          <w:lang w:val="en-US"/>
        </w:rPr>
        <w:t>p</w:t>
      </w:r>
      <w:r w:rsidRPr="001C663E">
        <w:rPr>
          <w:i/>
          <w:lang w:val="en-US"/>
        </w:rPr>
        <w:t xml:space="preserve">rofessional </w:t>
      </w:r>
      <w:r w:rsidR="00D508D1" w:rsidRPr="001C663E">
        <w:rPr>
          <w:i/>
          <w:lang w:val="en-US"/>
        </w:rPr>
        <w:t>c</w:t>
      </w:r>
      <w:r w:rsidRPr="001C663E">
        <w:rPr>
          <w:i/>
          <w:lang w:val="en-US"/>
        </w:rPr>
        <w:t>onduct</w:t>
      </w:r>
      <w:r w:rsidR="00D508D1">
        <w:rPr>
          <w:lang w:val="en-US"/>
        </w:rPr>
        <w:t>. Retrieved from:</w:t>
      </w:r>
      <w:r w:rsidRPr="00E70B3C">
        <w:rPr>
          <w:lang w:val="en-US"/>
        </w:rPr>
        <w:t xml:space="preserve">  </w:t>
      </w:r>
      <w:hyperlink r:id="rId18" w:history="1">
        <w:r w:rsidRPr="00E70B3C">
          <w:rPr>
            <w:rStyle w:val="Hyperlink"/>
            <w:lang w:val="en-US"/>
          </w:rPr>
          <w:t>http://www.rtpi.org.uk/media/831098/code_of_professional_conduct_2012.pdf</w:t>
        </w:r>
      </w:hyperlink>
      <w:r w:rsidR="004B3B96">
        <w:rPr>
          <w:lang w:val="en-US"/>
        </w:rPr>
        <w:t xml:space="preserve"> </w:t>
      </w:r>
    </w:p>
    <w:p w14:paraId="2704AE39" w14:textId="77777777" w:rsidR="00D508D1" w:rsidRPr="00D16C39" w:rsidRDefault="00D508D1" w:rsidP="001C663E">
      <w:pPr>
        <w:autoSpaceDE w:val="0"/>
        <w:autoSpaceDN w:val="0"/>
        <w:adjustRightInd w:val="0"/>
        <w:spacing w:line="240" w:lineRule="auto"/>
        <w:ind w:left="720" w:hanging="720"/>
        <w:jc w:val="both"/>
      </w:pPr>
    </w:p>
    <w:p w14:paraId="799C83B1" w14:textId="77777777" w:rsidR="00915120" w:rsidRPr="001C663E" w:rsidRDefault="00915120" w:rsidP="001C663E">
      <w:pPr>
        <w:spacing w:line="240" w:lineRule="auto"/>
        <w:ind w:left="720" w:hanging="720"/>
        <w:contextualSpacing/>
        <w:jc w:val="both"/>
        <w:rPr>
          <w:color w:val="006600"/>
        </w:rPr>
      </w:pPr>
      <w:r w:rsidRPr="00E70B3C">
        <w:t>Sturzaker, J.</w:t>
      </w:r>
      <w:r w:rsidR="00D32432" w:rsidRPr="00E70B3C">
        <w:t xml:space="preserve"> (2011)</w:t>
      </w:r>
      <w:r w:rsidR="00D508D1">
        <w:t>.</w:t>
      </w:r>
      <w:r w:rsidR="00D32432" w:rsidRPr="00E70B3C">
        <w:t xml:space="preserve"> </w:t>
      </w:r>
      <w:r w:rsidRPr="00E70B3C">
        <w:t xml:space="preserve">Resistance to reform – </w:t>
      </w:r>
      <w:r w:rsidR="00D508D1">
        <w:t>F</w:t>
      </w:r>
      <w:r w:rsidRPr="00E70B3C">
        <w:t>ro</w:t>
      </w:r>
      <w:r w:rsidR="00D32432" w:rsidRPr="00E70B3C">
        <w:t>m spatial planning to localism</w:t>
      </w:r>
      <w:r w:rsidR="00D508D1">
        <w:t>.</w:t>
      </w:r>
      <w:r w:rsidR="00D32432" w:rsidRPr="00E70B3C">
        <w:t xml:space="preserve"> </w:t>
      </w:r>
      <w:r w:rsidRPr="00E70B3C">
        <w:rPr>
          <w:i/>
        </w:rPr>
        <w:t>T</w:t>
      </w:r>
      <w:r w:rsidR="00D32432" w:rsidRPr="00E70B3C">
        <w:rPr>
          <w:i/>
        </w:rPr>
        <w:t xml:space="preserve">own and </w:t>
      </w:r>
      <w:r w:rsidRPr="00E70B3C">
        <w:rPr>
          <w:i/>
        </w:rPr>
        <w:t>C</w:t>
      </w:r>
      <w:r w:rsidR="00D32432" w:rsidRPr="00E70B3C">
        <w:rPr>
          <w:i/>
        </w:rPr>
        <w:t xml:space="preserve">ountry </w:t>
      </w:r>
      <w:r w:rsidRPr="00E70B3C">
        <w:rPr>
          <w:i/>
        </w:rPr>
        <w:t>P</w:t>
      </w:r>
      <w:r w:rsidR="00D32432" w:rsidRPr="00E70B3C">
        <w:rPr>
          <w:i/>
        </w:rPr>
        <w:t xml:space="preserve">lanning </w:t>
      </w:r>
      <w:r w:rsidRPr="00E70B3C">
        <w:rPr>
          <w:i/>
        </w:rPr>
        <w:t>A</w:t>
      </w:r>
      <w:r w:rsidR="00D32432" w:rsidRPr="00E70B3C">
        <w:rPr>
          <w:i/>
        </w:rPr>
        <w:t>ssociation</w:t>
      </w:r>
      <w:r w:rsidR="00D32432" w:rsidRPr="00E70B3C">
        <w:t xml:space="preserve">, 80, </w:t>
      </w:r>
      <w:r w:rsidRPr="00E70B3C">
        <w:t>318 – 321</w:t>
      </w:r>
      <w:r w:rsidR="00D508D1">
        <w:t>.</w:t>
      </w:r>
    </w:p>
    <w:p w14:paraId="047505FB" w14:textId="77777777" w:rsidR="00FA6372" w:rsidRPr="003D6C42" w:rsidRDefault="00FA6372" w:rsidP="001C663E">
      <w:pPr>
        <w:spacing w:line="240" w:lineRule="auto"/>
        <w:rPr>
          <w:rFonts w:ascii="Arial" w:hAnsi="Arial" w:cs="Arial"/>
        </w:rPr>
      </w:pPr>
    </w:p>
    <w:sectPr w:rsidR="00FA6372" w:rsidRPr="003D6C42" w:rsidSect="00074B81">
      <w:footerReference w:type="even" r:id="rId19"/>
      <w:footerReference w:type="default" r:id="rId20"/>
      <w:pgSz w:w="11901" w:h="16840"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eil Thomson" w:date="2015-08-25T15:22:00Z" w:initials="NT">
    <w:p w14:paraId="1BCD32A5" w14:textId="77777777" w:rsidR="000B2E65" w:rsidRDefault="000B2E65">
      <w:pPr>
        <w:pStyle w:val="CommentText"/>
      </w:pPr>
      <w:r>
        <w:rPr>
          <w:rStyle w:val="CommentReference"/>
        </w:rPr>
        <w:annotationRef/>
      </w:r>
      <w:r>
        <w:t xml:space="preserve">This is not in the text. Remove? </w:t>
      </w:r>
      <w:r w:rsidR="007336F1">
        <w:t>No, citation amended on pg.2, so leave in.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CD32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B2CA3" w14:textId="77777777" w:rsidR="008D396E" w:rsidRDefault="008D396E" w:rsidP="00AF2C92">
      <w:r>
        <w:separator/>
      </w:r>
    </w:p>
  </w:endnote>
  <w:endnote w:type="continuationSeparator" w:id="0">
    <w:p w14:paraId="74604B03" w14:textId="77777777" w:rsidR="008D396E" w:rsidRDefault="008D396E" w:rsidP="00AF2C92">
      <w:r>
        <w:continuationSeparator/>
      </w:r>
    </w:p>
  </w:endnote>
  <w:endnote w:id="1">
    <w:p w14:paraId="593AAF94" w14:textId="77777777" w:rsidR="009823F3" w:rsidRDefault="009823F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emphis Medium">
    <w:altName w:val="Cambria"/>
    <w:panose1 w:val="00000000000000000000"/>
    <w:charset w:val="00"/>
    <w:family w:val="roman"/>
    <w:notTrueType/>
    <w:pitch w:val="default"/>
    <w:sig w:usb0="00000003" w:usb1="00000000" w:usb2="00000000" w:usb3="00000000" w:csb0="00000001" w:csb1="00000000"/>
  </w:font>
  <w:font w:name="Memphis Light">
    <w:altName w:val="Memphis Ligh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3CFFA" w14:textId="77777777" w:rsidR="000B2E65" w:rsidRDefault="000B2E65" w:rsidP="006A5E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9E8E73" w14:textId="77777777" w:rsidR="000B2E65" w:rsidRDefault="000B2E65" w:rsidP="001C66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041D2" w14:textId="77777777" w:rsidR="000B2E65" w:rsidRDefault="000B2E65" w:rsidP="006A5E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663E">
      <w:rPr>
        <w:rStyle w:val="PageNumber"/>
        <w:noProof/>
      </w:rPr>
      <w:t>18</w:t>
    </w:r>
    <w:r>
      <w:rPr>
        <w:rStyle w:val="PageNumber"/>
      </w:rPr>
      <w:fldChar w:fldCharType="end"/>
    </w:r>
  </w:p>
  <w:p w14:paraId="6659F32C" w14:textId="77777777" w:rsidR="000B2E65" w:rsidRDefault="000B2E65" w:rsidP="001C66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48176" w14:textId="77777777" w:rsidR="008D396E" w:rsidRDefault="008D396E" w:rsidP="00AF2C92">
      <w:r>
        <w:separator/>
      </w:r>
    </w:p>
  </w:footnote>
  <w:footnote w:type="continuationSeparator" w:id="0">
    <w:p w14:paraId="01311BC3" w14:textId="77777777" w:rsidR="008D396E" w:rsidRDefault="008D396E" w:rsidP="00AF2C92">
      <w:r>
        <w:continuationSeparator/>
      </w:r>
    </w:p>
  </w:footnote>
  <w:footnote w:id="1">
    <w:p w14:paraId="6F0C9A31" w14:textId="77777777" w:rsidR="000B2E65" w:rsidRDefault="000B2E65" w:rsidP="00205937">
      <w:pPr>
        <w:pStyle w:val="FootnoteText"/>
      </w:pPr>
      <w:r w:rsidRPr="006A5E63">
        <w:rPr>
          <w:rStyle w:val="FootnoteReference"/>
        </w:rPr>
        <w:sym w:font="Symbol" w:char="F02A"/>
      </w:r>
      <w:r>
        <w:t xml:space="preserve"> Corresponding author. Email: </w:t>
      </w:r>
      <w:r w:rsidRPr="00D508D1">
        <w:t>h.ritchie@ulster.ac.uk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2523D6C"/>
    <w:multiLevelType w:val="multilevel"/>
    <w:tmpl w:val="24E6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7F7526"/>
    <w:multiLevelType w:val="hybridMultilevel"/>
    <w:tmpl w:val="90BC1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F673FF"/>
    <w:multiLevelType w:val="hybridMultilevel"/>
    <w:tmpl w:val="FD44C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1"/>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3"/>
  </w:num>
  <w:num w:numId="15">
    <w:abstractNumId w:val="14"/>
  </w:num>
  <w:num w:numId="16">
    <w:abstractNumId w:val="18"/>
  </w:num>
  <w:num w:numId="17">
    <w:abstractNumId w:val="11"/>
  </w:num>
  <w:num w:numId="18">
    <w:abstractNumId w:val="0"/>
  </w:num>
  <w:num w:numId="19">
    <w:abstractNumId w:val="12"/>
  </w:num>
  <w:num w:numId="20">
    <w:abstractNumId w:val="23"/>
  </w:num>
  <w:num w:numId="21">
    <w:abstractNumId w:val="23"/>
  </w:num>
  <w:num w:numId="22">
    <w:abstractNumId w:val="23"/>
  </w:num>
  <w:num w:numId="23">
    <w:abstractNumId w:val="23"/>
  </w:num>
  <w:num w:numId="24">
    <w:abstractNumId w:val="19"/>
  </w:num>
  <w:num w:numId="25">
    <w:abstractNumId w:val="20"/>
  </w:num>
  <w:num w:numId="26">
    <w:abstractNumId w:val="24"/>
  </w:num>
  <w:num w:numId="27">
    <w:abstractNumId w:val="25"/>
  </w:num>
  <w:num w:numId="28">
    <w:abstractNumId w:val="23"/>
  </w:num>
  <w:num w:numId="29">
    <w:abstractNumId w:val="13"/>
  </w:num>
  <w:num w:numId="30">
    <w:abstractNumId w:val="26"/>
  </w:num>
  <w:num w:numId="31">
    <w:abstractNumId w:val="17"/>
  </w:num>
  <w:num w:numId="32">
    <w:abstractNumId w:val="2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45"/>
    <w:rsid w:val="00001899"/>
    <w:rsid w:val="000049AD"/>
    <w:rsid w:val="0000681B"/>
    <w:rsid w:val="00007752"/>
    <w:rsid w:val="000133C0"/>
    <w:rsid w:val="00014C4E"/>
    <w:rsid w:val="00017107"/>
    <w:rsid w:val="000202E2"/>
    <w:rsid w:val="00022441"/>
    <w:rsid w:val="0002261E"/>
    <w:rsid w:val="00022712"/>
    <w:rsid w:val="00024839"/>
    <w:rsid w:val="00026871"/>
    <w:rsid w:val="00033079"/>
    <w:rsid w:val="00037201"/>
    <w:rsid w:val="00037A98"/>
    <w:rsid w:val="0004057C"/>
    <w:rsid w:val="000427FB"/>
    <w:rsid w:val="0004455E"/>
    <w:rsid w:val="00047445"/>
    <w:rsid w:val="00047CB5"/>
    <w:rsid w:val="00051FAA"/>
    <w:rsid w:val="00054A65"/>
    <w:rsid w:val="000572A9"/>
    <w:rsid w:val="00061325"/>
    <w:rsid w:val="0007112D"/>
    <w:rsid w:val="000733AC"/>
    <w:rsid w:val="00074B81"/>
    <w:rsid w:val="00074D22"/>
    <w:rsid w:val="00075081"/>
    <w:rsid w:val="0007528A"/>
    <w:rsid w:val="000811AB"/>
    <w:rsid w:val="00082ABD"/>
    <w:rsid w:val="00083220"/>
    <w:rsid w:val="00083C5F"/>
    <w:rsid w:val="00085109"/>
    <w:rsid w:val="0009172C"/>
    <w:rsid w:val="000930EC"/>
    <w:rsid w:val="00095E61"/>
    <w:rsid w:val="000966C1"/>
    <w:rsid w:val="000970AC"/>
    <w:rsid w:val="000A1167"/>
    <w:rsid w:val="000A4428"/>
    <w:rsid w:val="000A6D40"/>
    <w:rsid w:val="000A7BC3"/>
    <w:rsid w:val="000A7F0F"/>
    <w:rsid w:val="000B1661"/>
    <w:rsid w:val="000B1F0B"/>
    <w:rsid w:val="000B2E65"/>
    <w:rsid w:val="000B2E88"/>
    <w:rsid w:val="000B4603"/>
    <w:rsid w:val="000B4883"/>
    <w:rsid w:val="000B5764"/>
    <w:rsid w:val="000B5D1A"/>
    <w:rsid w:val="000B77AE"/>
    <w:rsid w:val="000C09BE"/>
    <w:rsid w:val="000C1380"/>
    <w:rsid w:val="000C554F"/>
    <w:rsid w:val="000D0DC5"/>
    <w:rsid w:val="000D15FF"/>
    <w:rsid w:val="000D28DF"/>
    <w:rsid w:val="000D488B"/>
    <w:rsid w:val="000D68DF"/>
    <w:rsid w:val="000E138D"/>
    <w:rsid w:val="000E1503"/>
    <w:rsid w:val="000E187A"/>
    <w:rsid w:val="000E2D61"/>
    <w:rsid w:val="000E450E"/>
    <w:rsid w:val="000E6259"/>
    <w:rsid w:val="000F4677"/>
    <w:rsid w:val="000F5BE0"/>
    <w:rsid w:val="000F7B33"/>
    <w:rsid w:val="00100587"/>
    <w:rsid w:val="0010284E"/>
    <w:rsid w:val="00102E50"/>
    <w:rsid w:val="00103122"/>
    <w:rsid w:val="0010336A"/>
    <w:rsid w:val="001050F1"/>
    <w:rsid w:val="00105865"/>
    <w:rsid w:val="00105AEA"/>
    <w:rsid w:val="00106DAF"/>
    <w:rsid w:val="00114ABE"/>
    <w:rsid w:val="00115910"/>
    <w:rsid w:val="00116023"/>
    <w:rsid w:val="00120239"/>
    <w:rsid w:val="00134A51"/>
    <w:rsid w:val="00140727"/>
    <w:rsid w:val="00146DDC"/>
    <w:rsid w:val="001474DA"/>
    <w:rsid w:val="00156B88"/>
    <w:rsid w:val="00160628"/>
    <w:rsid w:val="00161344"/>
    <w:rsid w:val="00162195"/>
    <w:rsid w:val="0016322A"/>
    <w:rsid w:val="00165A21"/>
    <w:rsid w:val="001701FC"/>
    <w:rsid w:val="001705CE"/>
    <w:rsid w:val="0017714B"/>
    <w:rsid w:val="001778F5"/>
    <w:rsid w:val="001804DF"/>
    <w:rsid w:val="00181BDC"/>
    <w:rsid w:val="00181DB0"/>
    <w:rsid w:val="001829E3"/>
    <w:rsid w:val="00185F40"/>
    <w:rsid w:val="001920B6"/>
    <w:rsid w:val="001924C0"/>
    <w:rsid w:val="0019731E"/>
    <w:rsid w:val="001A09FE"/>
    <w:rsid w:val="001A524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3441"/>
    <w:rsid w:val="001C5736"/>
    <w:rsid w:val="001C663E"/>
    <w:rsid w:val="001D647F"/>
    <w:rsid w:val="001D6857"/>
    <w:rsid w:val="001E0572"/>
    <w:rsid w:val="001E0A67"/>
    <w:rsid w:val="001E1028"/>
    <w:rsid w:val="001E1134"/>
    <w:rsid w:val="001E14E2"/>
    <w:rsid w:val="001E1F49"/>
    <w:rsid w:val="001E618D"/>
    <w:rsid w:val="001E6302"/>
    <w:rsid w:val="001E74DD"/>
    <w:rsid w:val="001E7DCB"/>
    <w:rsid w:val="001F1A5E"/>
    <w:rsid w:val="001F3411"/>
    <w:rsid w:val="001F4287"/>
    <w:rsid w:val="001F4DBA"/>
    <w:rsid w:val="001F516B"/>
    <w:rsid w:val="0020415E"/>
    <w:rsid w:val="00204FF4"/>
    <w:rsid w:val="00205937"/>
    <w:rsid w:val="0021056E"/>
    <w:rsid w:val="0021075D"/>
    <w:rsid w:val="0021165A"/>
    <w:rsid w:val="00211BC9"/>
    <w:rsid w:val="00214EE9"/>
    <w:rsid w:val="0021620C"/>
    <w:rsid w:val="002163EE"/>
    <w:rsid w:val="00216E78"/>
    <w:rsid w:val="00217275"/>
    <w:rsid w:val="00230F76"/>
    <w:rsid w:val="00231A2C"/>
    <w:rsid w:val="00235C5E"/>
    <w:rsid w:val="00236F4B"/>
    <w:rsid w:val="00242B0D"/>
    <w:rsid w:val="002467C6"/>
    <w:rsid w:val="0024692A"/>
    <w:rsid w:val="00252BBA"/>
    <w:rsid w:val="00253123"/>
    <w:rsid w:val="00263B32"/>
    <w:rsid w:val="00264001"/>
    <w:rsid w:val="00266354"/>
    <w:rsid w:val="00267A18"/>
    <w:rsid w:val="0027258C"/>
    <w:rsid w:val="00273462"/>
    <w:rsid w:val="0027356E"/>
    <w:rsid w:val="0027395B"/>
    <w:rsid w:val="00275854"/>
    <w:rsid w:val="00283B41"/>
    <w:rsid w:val="002848D6"/>
    <w:rsid w:val="00285F28"/>
    <w:rsid w:val="00286398"/>
    <w:rsid w:val="002903CC"/>
    <w:rsid w:val="002908D3"/>
    <w:rsid w:val="00294328"/>
    <w:rsid w:val="002A3C42"/>
    <w:rsid w:val="002A5D75"/>
    <w:rsid w:val="002B1B1A"/>
    <w:rsid w:val="002B2783"/>
    <w:rsid w:val="002B7228"/>
    <w:rsid w:val="002C0F70"/>
    <w:rsid w:val="002C53EE"/>
    <w:rsid w:val="002D0791"/>
    <w:rsid w:val="002D24F7"/>
    <w:rsid w:val="002D2799"/>
    <w:rsid w:val="002D2CD7"/>
    <w:rsid w:val="002D4DDC"/>
    <w:rsid w:val="002D4F75"/>
    <w:rsid w:val="002D5C11"/>
    <w:rsid w:val="002D6493"/>
    <w:rsid w:val="002D7AB6"/>
    <w:rsid w:val="002E06D0"/>
    <w:rsid w:val="002E3C27"/>
    <w:rsid w:val="002E403A"/>
    <w:rsid w:val="002E412F"/>
    <w:rsid w:val="002E5BD7"/>
    <w:rsid w:val="002E7F3A"/>
    <w:rsid w:val="002F4EDB"/>
    <w:rsid w:val="002F6054"/>
    <w:rsid w:val="002F606D"/>
    <w:rsid w:val="002F6983"/>
    <w:rsid w:val="00310E13"/>
    <w:rsid w:val="003125F4"/>
    <w:rsid w:val="00315713"/>
    <w:rsid w:val="0031686C"/>
    <w:rsid w:val="00316FE0"/>
    <w:rsid w:val="003204D2"/>
    <w:rsid w:val="0032605E"/>
    <w:rsid w:val="003275D1"/>
    <w:rsid w:val="00330B2A"/>
    <w:rsid w:val="00331AD4"/>
    <w:rsid w:val="00331E17"/>
    <w:rsid w:val="00333063"/>
    <w:rsid w:val="003349F0"/>
    <w:rsid w:val="003408E3"/>
    <w:rsid w:val="00343480"/>
    <w:rsid w:val="00344D0E"/>
    <w:rsid w:val="00345E89"/>
    <w:rsid w:val="00346548"/>
    <w:rsid w:val="0035086D"/>
    <w:rsid w:val="003522A1"/>
    <w:rsid w:val="0035254B"/>
    <w:rsid w:val="00353555"/>
    <w:rsid w:val="003565D4"/>
    <w:rsid w:val="003607FB"/>
    <w:rsid w:val="00360FD5"/>
    <w:rsid w:val="0036340D"/>
    <w:rsid w:val="003634A5"/>
    <w:rsid w:val="003647A4"/>
    <w:rsid w:val="00365C17"/>
    <w:rsid w:val="00366868"/>
    <w:rsid w:val="00367506"/>
    <w:rsid w:val="00370085"/>
    <w:rsid w:val="003744A7"/>
    <w:rsid w:val="00376235"/>
    <w:rsid w:val="003819F5"/>
    <w:rsid w:val="00381FB6"/>
    <w:rsid w:val="00382F94"/>
    <w:rsid w:val="003836D3"/>
    <w:rsid w:val="00383A52"/>
    <w:rsid w:val="00385766"/>
    <w:rsid w:val="00391652"/>
    <w:rsid w:val="0039507F"/>
    <w:rsid w:val="003A1260"/>
    <w:rsid w:val="003A295F"/>
    <w:rsid w:val="003A41DD"/>
    <w:rsid w:val="003A7033"/>
    <w:rsid w:val="003B47FE"/>
    <w:rsid w:val="003B5673"/>
    <w:rsid w:val="003B6287"/>
    <w:rsid w:val="003B62C9"/>
    <w:rsid w:val="003B7E59"/>
    <w:rsid w:val="003C7176"/>
    <w:rsid w:val="003D0929"/>
    <w:rsid w:val="003D1413"/>
    <w:rsid w:val="003D21D2"/>
    <w:rsid w:val="003D4729"/>
    <w:rsid w:val="003D6C42"/>
    <w:rsid w:val="003D7DD6"/>
    <w:rsid w:val="003E2C74"/>
    <w:rsid w:val="003E5AAF"/>
    <w:rsid w:val="003E600D"/>
    <w:rsid w:val="003E64DF"/>
    <w:rsid w:val="003E6A5D"/>
    <w:rsid w:val="003F193A"/>
    <w:rsid w:val="003F4207"/>
    <w:rsid w:val="003F48E0"/>
    <w:rsid w:val="003F5C46"/>
    <w:rsid w:val="003F7CBB"/>
    <w:rsid w:val="003F7D34"/>
    <w:rsid w:val="004039E1"/>
    <w:rsid w:val="00404058"/>
    <w:rsid w:val="00412C8E"/>
    <w:rsid w:val="0041518D"/>
    <w:rsid w:val="0042221D"/>
    <w:rsid w:val="0042444C"/>
    <w:rsid w:val="00424DD3"/>
    <w:rsid w:val="004269C5"/>
    <w:rsid w:val="00435939"/>
    <w:rsid w:val="00437B3D"/>
    <w:rsid w:val="00437CC7"/>
    <w:rsid w:val="00442B9C"/>
    <w:rsid w:val="0044433E"/>
    <w:rsid w:val="00445EFA"/>
    <w:rsid w:val="0044738A"/>
    <w:rsid w:val="004473D3"/>
    <w:rsid w:val="00452231"/>
    <w:rsid w:val="0045379C"/>
    <w:rsid w:val="00456DC5"/>
    <w:rsid w:val="00460C13"/>
    <w:rsid w:val="00463228"/>
    <w:rsid w:val="00463782"/>
    <w:rsid w:val="004667E0"/>
    <w:rsid w:val="0046760E"/>
    <w:rsid w:val="00470695"/>
    <w:rsid w:val="00470E10"/>
    <w:rsid w:val="00470E38"/>
    <w:rsid w:val="00474649"/>
    <w:rsid w:val="00476BDA"/>
    <w:rsid w:val="00477A97"/>
    <w:rsid w:val="00481343"/>
    <w:rsid w:val="0048549E"/>
    <w:rsid w:val="00493347"/>
    <w:rsid w:val="00496092"/>
    <w:rsid w:val="004A08DB"/>
    <w:rsid w:val="004A25D0"/>
    <w:rsid w:val="004A37E8"/>
    <w:rsid w:val="004A5513"/>
    <w:rsid w:val="004A7549"/>
    <w:rsid w:val="004B09D4"/>
    <w:rsid w:val="004B1211"/>
    <w:rsid w:val="004B309D"/>
    <w:rsid w:val="004B330A"/>
    <w:rsid w:val="004B3B96"/>
    <w:rsid w:val="004B7C8E"/>
    <w:rsid w:val="004C3D3C"/>
    <w:rsid w:val="004D0EDC"/>
    <w:rsid w:val="004D1220"/>
    <w:rsid w:val="004D14B3"/>
    <w:rsid w:val="004D1529"/>
    <w:rsid w:val="004D17BC"/>
    <w:rsid w:val="004D2253"/>
    <w:rsid w:val="004D5169"/>
    <w:rsid w:val="004D5514"/>
    <w:rsid w:val="004D56C3"/>
    <w:rsid w:val="004D6A86"/>
    <w:rsid w:val="004E0338"/>
    <w:rsid w:val="004E1A56"/>
    <w:rsid w:val="004E4FF3"/>
    <w:rsid w:val="004E56A8"/>
    <w:rsid w:val="004F3B55"/>
    <w:rsid w:val="004F4E46"/>
    <w:rsid w:val="004F6B7D"/>
    <w:rsid w:val="005015F6"/>
    <w:rsid w:val="005030C4"/>
    <w:rsid w:val="005031C5"/>
    <w:rsid w:val="00504FDC"/>
    <w:rsid w:val="005120CC"/>
    <w:rsid w:val="00512B7B"/>
    <w:rsid w:val="00514EA1"/>
    <w:rsid w:val="0051675A"/>
    <w:rsid w:val="0051798B"/>
    <w:rsid w:val="00521F5A"/>
    <w:rsid w:val="00525E06"/>
    <w:rsid w:val="00526454"/>
    <w:rsid w:val="00531823"/>
    <w:rsid w:val="00531DC8"/>
    <w:rsid w:val="00532C73"/>
    <w:rsid w:val="00534ECC"/>
    <w:rsid w:val="0053720D"/>
    <w:rsid w:val="00540EF5"/>
    <w:rsid w:val="00541576"/>
    <w:rsid w:val="00541BF3"/>
    <w:rsid w:val="00541CD3"/>
    <w:rsid w:val="005476FA"/>
    <w:rsid w:val="0055595E"/>
    <w:rsid w:val="005575BB"/>
    <w:rsid w:val="00557988"/>
    <w:rsid w:val="00562C49"/>
    <w:rsid w:val="00562DEF"/>
    <w:rsid w:val="0056321A"/>
    <w:rsid w:val="00563A35"/>
    <w:rsid w:val="00566596"/>
    <w:rsid w:val="00567A9D"/>
    <w:rsid w:val="005741E9"/>
    <w:rsid w:val="005748CF"/>
    <w:rsid w:val="005803DC"/>
    <w:rsid w:val="00580BEC"/>
    <w:rsid w:val="00584270"/>
    <w:rsid w:val="00584738"/>
    <w:rsid w:val="005920B0"/>
    <w:rsid w:val="0059380D"/>
    <w:rsid w:val="00595A8F"/>
    <w:rsid w:val="00595E62"/>
    <w:rsid w:val="005977C2"/>
    <w:rsid w:val="00597BF2"/>
    <w:rsid w:val="005B134E"/>
    <w:rsid w:val="005B2039"/>
    <w:rsid w:val="005B344F"/>
    <w:rsid w:val="005B3FBA"/>
    <w:rsid w:val="005B4A1D"/>
    <w:rsid w:val="005B674D"/>
    <w:rsid w:val="005C09BE"/>
    <w:rsid w:val="005C0CBE"/>
    <w:rsid w:val="005C1FCF"/>
    <w:rsid w:val="005C2A6E"/>
    <w:rsid w:val="005D1885"/>
    <w:rsid w:val="005D4A38"/>
    <w:rsid w:val="005E2EEA"/>
    <w:rsid w:val="005E3708"/>
    <w:rsid w:val="005E3CCD"/>
    <w:rsid w:val="005E3D6B"/>
    <w:rsid w:val="005E5B55"/>
    <w:rsid w:val="005E5E4A"/>
    <w:rsid w:val="005E693D"/>
    <w:rsid w:val="005E6FA0"/>
    <w:rsid w:val="005E75BF"/>
    <w:rsid w:val="005F0478"/>
    <w:rsid w:val="005F5035"/>
    <w:rsid w:val="005F57BA"/>
    <w:rsid w:val="005F61E6"/>
    <w:rsid w:val="005F6C45"/>
    <w:rsid w:val="005F6E81"/>
    <w:rsid w:val="0060389A"/>
    <w:rsid w:val="0060461A"/>
    <w:rsid w:val="00605A69"/>
    <w:rsid w:val="00606C54"/>
    <w:rsid w:val="00614375"/>
    <w:rsid w:val="006157EF"/>
    <w:rsid w:val="00615B0A"/>
    <w:rsid w:val="006168CF"/>
    <w:rsid w:val="00617EF1"/>
    <w:rsid w:val="0062011B"/>
    <w:rsid w:val="00626DE0"/>
    <w:rsid w:val="00630901"/>
    <w:rsid w:val="00631F8E"/>
    <w:rsid w:val="00636EE9"/>
    <w:rsid w:val="00640950"/>
    <w:rsid w:val="00641AE7"/>
    <w:rsid w:val="00642614"/>
    <w:rsid w:val="00642629"/>
    <w:rsid w:val="0064704D"/>
    <w:rsid w:val="006516F4"/>
    <w:rsid w:val="0065293D"/>
    <w:rsid w:val="00653EFC"/>
    <w:rsid w:val="00654021"/>
    <w:rsid w:val="006577B5"/>
    <w:rsid w:val="00661045"/>
    <w:rsid w:val="00666DA8"/>
    <w:rsid w:val="006701C6"/>
    <w:rsid w:val="00671057"/>
    <w:rsid w:val="00675419"/>
    <w:rsid w:val="00675AAF"/>
    <w:rsid w:val="0068031A"/>
    <w:rsid w:val="00681B2F"/>
    <w:rsid w:val="0068335F"/>
    <w:rsid w:val="00687217"/>
    <w:rsid w:val="00693302"/>
    <w:rsid w:val="0069640B"/>
    <w:rsid w:val="00697329"/>
    <w:rsid w:val="006A1B83"/>
    <w:rsid w:val="006A21CD"/>
    <w:rsid w:val="006A22B1"/>
    <w:rsid w:val="006A2EFA"/>
    <w:rsid w:val="006A5918"/>
    <w:rsid w:val="006A5E63"/>
    <w:rsid w:val="006A66B8"/>
    <w:rsid w:val="006A71AF"/>
    <w:rsid w:val="006B21B2"/>
    <w:rsid w:val="006B4A4A"/>
    <w:rsid w:val="006B70DC"/>
    <w:rsid w:val="006C19B2"/>
    <w:rsid w:val="006C5B6D"/>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AD7"/>
    <w:rsid w:val="00712B78"/>
    <w:rsid w:val="0071393B"/>
    <w:rsid w:val="00713EE2"/>
    <w:rsid w:val="007177FC"/>
    <w:rsid w:val="00720C5E"/>
    <w:rsid w:val="00721701"/>
    <w:rsid w:val="0072304D"/>
    <w:rsid w:val="007277EF"/>
    <w:rsid w:val="00731835"/>
    <w:rsid w:val="007336F1"/>
    <w:rsid w:val="00733777"/>
    <w:rsid w:val="007341F8"/>
    <w:rsid w:val="00734372"/>
    <w:rsid w:val="007343CD"/>
    <w:rsid w:val="00734EB8"/>
    <w:rsid w:val="00735F8B"/>
    <w:rsid w:val="00740E31"/>
    <w:rsid w:val="00742D1F"/>
    <w:rsid w:val="00743EBA"/>
    <w:rsid w:val="00744C8E"/>
    <w:rsid w:val="0074707E"/>
    <w:rsid w:val="007516DC"/>
    <w:rsid w:val="00754B80"/>
    <w:rsid w:val="00761918"/>
    <w:rsid w:val="00762F03"/>
    <w:rsid w:val="0076413B"/>
    <w:rsid w:val="007648AE"/>
    <w:rsid w:val="00764BF8"/>
    <w:rsid w:val="0076514D"/>
    <w:rsid w:val="00773D59"/>
    <w:rsid w:val="00781003"/>
    <w:rsid w:val="00782E7F"/>
    <w:rsid w:val="00784BCD"/>
    <w:rsid w:val="0078690A"/>
    <w:rsid w:val="007911FD"/>
    <w:rsid w:val="00792AE8"/>
    <w:rsid w:val="00793930"/>
    <w:rsid w:val="00793DD1"/>
    <w:rsid w:val="00794FEC"/>
    <w:rsid w:val="00796378"/>
    <w:rsid w:val="007A003E"/>
    <w:rsid w:val="007A1965"/>
    <w:rsid w:val="007A1A5F"/>
    <w:rsid w:val="007A2ED1"/>
    <w:rsid w:val="007A4BE6"/>
    <w:rsid w:val="007A5C5E"/>
    <w:rsid w:val="007B0DC6"/>
    <w:rsid w:val="007B1094"/>
    <w:rsid w:val="007B1762"/>
    <w:rsid w:val="007B29BF"/>
    <w:rsid w:val="007B3320"/>
    <w:rsid w:val="007C301F"/>
    <w:rsid w:val="007C3715"/>
    <w:rsid w:val="007C3A97"/>
    <w:rsid w:val="007C4540"/>
    <w:rsid w:val="007C5625"/>
    <w:rsid w:val="007C65AF"/>
    <w:rsid w:val="007D135D"/>
    <w:rsid w:val="007D730F"/>
    <w:rsid w:val="007D7CD8"/>
    <w:rsid w:val="007E03FC"/>
    <w:rsid w:val="007E10C4"/>
    <w:rsid w:val="007E3AA7"/>
    <w:rsid w:val="007E3EE0"/>
    <w:rsid w:val="007E4441"/>
    <w:rsid w:val="007E4853"/>
    <w:rsid w:val="007F200B"/>
    <w:rsid w:val="007F2229"/>
    <w:rsid w:val="007F737D"/>
    <w:rsid w:val="0080308E"/>
    <w:rsid w:val="00805303"/>
    <w:rsid w:val="00806705"/>
    <w:rsid w:val="00806738"/>
    <w:rsid w:val="00807C9D"/>
    <w:rsid w:val="00810FE1"/>
    <w:rsid w:val="008162C5"/>
    <w:rsid w:val="008216D5"/>
    <w:rsid w:val="008229D9"/>
    <w:rsid w:val="008249CE"/>
    <w:rsid w:val="00831A50"/>
    <w:rsid w:val="00831B3C"/>
    <w:rsid w:val="00831C89"/>
    <w:rsid w:val="00832114"/>
    <w:rsid w:val="00834C46"/>
    <w:rsid w:val="0084093E"/>
    <w:rsid w:val="00841CE1"/>
    <w:rsid w:val="00842904"/>
    <w:rsid w:val="00843E89"/>
    <w:rsid w:val="008473D8"/>
    <w:rsid w:val="008528DC"/>
    <w:rsid w:val="00852B8C"/>
    <w:rsid w:val="00854981"/>
    <w:rsid w:val="008617CF"/>
    <w:rsid w:val="008628AE"/>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3708"/>
    <w:rsid w:val="008A4909"/>
    <w:rsid w:val="008A4D72"/>
    <w:rsid w:val="008A6285"/>
    <w:rsid w:val="008A63B2"/>
    <w:rsid w:val="008B345D"/>
    <w:rsid w:val="008B3D0B"/>
    <w:rsid w:val="008B52BA"/>
    <w:rsid w:val="008C1B2E"/>
    <w:rsid w:val="008C1FC2"/>
    <w:rsid w:val="008C209D"/>
    <w:rsid w:val="008C2980"/>
    <w:rsid w:val="008C4DD6"/>
    <w:rsid w:val="008C5AFB"/>
    <w:rsid w:val="008D07FB"/>
    <w:rsid w:val="008D0C02"/>
    <w:rsid w:val="008D357D"/>
    <w:rsid w:val="008D396E"/>
    <w:rsid w:val="008D435A"/>
    <w:rsid w:val="008E2C82"/>
    <w:rsid w:val="008E387B"/>
    <w:rsid w:val="008E6087"/>
    <w:rsid w:val="008E758D"/>
    <w:rsid w:val="008F10A7"/>
    <w:rsid w:val="008F4F04"/>
    <w:rsid w:val="008F755D"/>
    <w:rsid w:val="008F7A39"/>
    <w:rsid w:val="008F7CCA"/>
    <w:rsid w:val="009021E8"/>
    <w:rsid w:val="00904677"/>
    <w:rsid w:val="00905EE2"/>
    <w:rsid w:val="00907281"/>
    <w:rsid w:val="00911440"/>
    <w:rsid w:val="00911712"/>
    <w:rsid w:val="00911B27"/>
    <w:rsid w:val="00915120"/>
    <w:rsid w:val="00915FC9"/>
    <w:rsid w:val="009170BE"/>
    <w:rsid w:val="009173A0"/>
    <w:rsid w:val="00920B55"/>
    <w:rsid w:val="009262C9"/>
    <w:rsid w:val="00930EB9"/>
    <w:rsid w:val="00931AF0"/>
    <w:rsid w:val="00933DC7"/>
    <w:rsid w:val="0093576E"/>
    <w:rsid w:val="009418F4"/>
    <w:rsid w:val="00942BBC"/>
    <w:rsid w:val="00944180"/>
    <w:rsid w:val="00944AA0"/>
    <w:rsid w:val="00947DA2"/>
    <w:rsid w:val="00951177"/>
    <w:rsid w:val="009673E8"/>
    <w:rsid w:val="0097014C"/>
    <w:rsid w:val="00974DB8"/>
    <w:rsid w:val="00980661"/>
    <w:rsid w:val="0098093B"/>
    <w:rsid w:val="009823F3"/>
    <w:rsid w:val="009876D4"/>
    <w:rsid w:val="009914A5"/>
    <w:rsid w:val="00994132"/>
    <w:rsid w:val="00994B48"/>
    <w:rsid w:val="0099548E"/>
    <w:rsid w:val="00996456"/>
    <w:rsid w:val="00996A12"/>
    <w:rsid w:val="00997B0F"/>
    <w:rsid w:val="009A1CAD"/>
    <w:rsid w:val="009A3440"/>
    <w:rsid w:val="009A438B"/>
    <w:rsid w:val="009A4FC2"/>
    <w:rsid w:val="009A5832"/>
    <w:rsid w:val="009A6838"/>
    <w:rsid w:val="009A6DC6"/>
    <w:rsid w:val="009B1F02"/>
    <w:rsid w:val="009B24B5"/>
    <w:rsid w:val="009B4BEB"/>
    <w:rsid w:val="009B4EBC"/>
    <w:rsid w:val="009B5ABB"/>
    <w:rsid w:val="009B71EA"/>
    <w:rsid w:val="009B73CE"/>
    <w:rsid w:val="009C0A26"/>
    <w:rsid w:val="009C2461"/>
    <w:rsid w:val="009C6FE2"/>
    <w:rsid w:val="009C7674"/>
    <w:rsid w:val="009D004A"/>
    <w:rsid w:val="009D25FE"/>
    <w:rsid w:val="009D5880"/>
    <w:rsid w:val="009E1FD4"/>
    <w:rsid w:val="009E3B07"/>
    <w:rsid w:val="009E3E15"/>
    <w:rsid w:val="009E51D1"/>
    <w:rsid w:val="009E5531"/>
    <w:rsid w:val="009E5579"/>
    <w:rsid w:val="009F171E"/>
    <w:rsid w:val="009F3D2F"/>
    <w:rsid w:val="009F7052"/>
    <w:rsid w:val="00A02668"/>
    <w:rsid w:val="00A02801"/>
    <w:rsid w:val="00A0399C"/>
    <w:rsid w:val="00A06A39"/>
    <w:rsid w:val="00A07F58"/>
    <w:rsid w:val="00A128D4"/>
    <w:rsid w:val="00A131CB"/>
    <w:rsid w:val="00A14847"/>
    <w:rsid w:val="00A16D6D"/>
    <w:rsid w:val="00A2011B"/>
    <w:rsid w:val="00A21383"/>
    <w:rsid w:val="00A2199F"/>
    <w:rsid w:val="00A21B31"/>
    <w:rsid w:val="00A2360E"/>
    <w:rsid w:val="00A26E0C"/>
    <w:rsid w:val="00A304BC"/>
    <w:rsid w:val="00A32FCB"/>
    <w:rsid w:val="00A33B58"/>
    <w:rsid w:val="00A34C25"/>
    <w:rsid w:val="00A3507D"/>
    <w:rsid w:val="00A3717A"/>
    <w:rsid w:val="00A37238"/>
    <w:rsid w:val="00A4088C"/>
    <w:rsid w:val="00A4456B"/>
    <w:rsid w:val="00A448D4"/>
    <w:rsid w:val="00A452E0"/>
    <w:rsid w:val="00A51EA5"/>
    <w:rsid w:val="00A53742"/>
    <w:rsid w:val="00A557A1"/>
    <w:rsid w:val="00A61386"/>
    <w:rsid w:val="00A6186C"/>
    <w:rsid w:val="00A63059"/>
    <w:rsid w:val="00A63AE3"/>
    <w:rsid w:val="00A651A4"/>
    <w:rsid w:val="00A652DB"/>
    <w:rsid w:val="00A658D2"/>
    <w:rsid w:val="00A71361"/>
    <w:rsid w:val="00A746E2"/>
    <w:rsid w:val="00A81FF2"/>
    <w:rsid w:val="00A83904"/>
    <w:rsid w:val="00A90A79"/>
    <w:rsid w:val="00A96B30"/>
    <w:rsid w:val="00AA4FEA"/>
    <w:rsid w:val="00AA59B5"/>
    <w:rsid w:val="00AA7777"/>
    <w:rsid w:val="00AA7B84"/>
    <w:rsid w:val="00AB71C2"/>
    <w:rsid w:val="00AC0B4C"/>
    <w:rsid w:val="00AC1164"/>
    <w:rsid w:val="00AC2296"/>
    <w:rsid w:val="00AC2754"/>
    <w:rsid w:val="00AC2E5E"/>
    <w:rsid w:val="00AC48B0"/>
    <w:rsid w:val="00AC4ACD"/>
    <w:rsid w:val="00AC5DFB"/>
    <w:rsid w:val="00AD13DC"/>
    <w:rsid w:val="00AD6DE2"/>
    <w:rsid w:val="00AE0A40"/>
    <w:rsid w:val="00AE0DDE"/>
    <w:rsid w:val="00AE1ED4"/>
    <w:rsid w:val="00AE21E1"/>
    <w:rsid w:val="00AE2585"/>
    <w:rsid w:val="00AE2F8D"/>
    <w:rsid w:val="00AE3BAE"/>
    <w:rsid w:val="00AE6A21"/>
    <w:rsid w:val="00AF1C8F"/>
    <w:rsid w:val="00AF2B68"/>
    <w:rsid w:val="00AF2C92"/>
    <w:rsid w:val="00AF3EC1"/>
    <w:rsid w:val="00AF5025"/>
    <w:rsid w:val="00AF519F"/>
    <w:rsid w:val="00AF5387"/>
    <w:rsid w:val="00AF55F5"/>
    <w:rsid w:val="00AF6382"/>
    <w:rsid w:val="00AF7E86"/>
    <w:rsid w:val="00B01532"/>
    <w:rsid w:val="00B024B9"/>
    <w:rsid w:val="00B077FA"/>
    <w:rsid w:val="00B127D7"/>
    <w:rsid w:val="00B13B0C"/>
    <w:rsid w:val="00B1453A"/>
    <w:rsid w:val="00B20F82"/>
    <w:rsid w:val="00B25BD5"/>
    <w:rsid w:val="00B34079"/>
    <w:rsid w:val="00B3793A"/>
    <w:rsid w:val="00B401BA"/>
    <w:rsid w:val="00B407E4"/>
    <w:rsid w:val="00B425B6"/>
    <w:rsid w:val="00B42A72"/>
    <w:rsid w:val="00B441AE"/>
    <w:rsid w:val="00B45A65"/>
    <w:rsid w:val="00B45F33"/>
    <w:rsid w:val="00B46D50"/>
    <w:rsid w:val="00B508CA"/>
    <w:rsid w:val="00B53170"/>
    <w:rsid w:val="00B53DD2"/>
    <w:rsid w:val="00B543DE"/>
    <w:rsid w:val="00B548B9"/>
    <w:rsid w:val="00B56071"/>
    <w:rsid w:val="00B56DBE"/>
    <w:rsid w:val="00B62999"/>
    <w:rsid w:val="00B63BE3"/>
    <w:rsid w:val="00B64863"/>
    <w:rsid w:val="00B64885"/>
    <w:rsid w:val="00B66810"/>
    <w:rsid w:val="00B72610"/>
    <w:rsid w:val="00B72A90"/>
    <w:rsid w:val="00B72BE3"/>
    <w:rsid w:val="00B73B80"/>
    <w:rsid w:val="00B7420A"/>
    <w:rsid w:val="00B770C7"/>
    <w:rsid w:val="00B80F26"/>
    <w:rsid w:val="00B822BD"/>
    <w:rsid w:val="00B842F4"/>
    <w:rsid w:val="00B91A7B"/>
    <w:rsid w:val="00B929DD"/>
    <w:rsid w:val="00B93AF6"/>
    <w:rsid w:val="00B943A0"/>
    <w:rsid w:val="00B95405"/>
    <w:rsid w:val="00B963F1"/>
    <w:rsid w:val="00BA020A"/>
    <w:rsid w:val="00BB02A4"/>
    <w:rsid w:val="00BB1270"/>
    <w:rsid w:val="00BB1E44"/>
    <w:rsid w:val="00BB45DC"/>
    <w:rsid w:val="00BB5267"/>
    <w:rsid w:val="00BB52B8"/>
    <w:rsid w:val="00BB59D8"/>
    <w:rsid w:val="00BB7014"/>
    <w:rsid w:val="00BB7E69"/>
    <w:rsid w:val="00BC0A7F"/>
    <w:rsid w:val="00BC0E51"/>
    <w:rsid w:val="00BC3C1F"/>
    <w:rsid w:val="00BC7CE7"/>
    <w:rsid w:val="00BD295E"/>
    <w:rsid w:val="00BD4664"/>
    <w:rsid w:val="00BE1193"/>
    <w:rsid w:val="00BF4849"/>
    <w:rsid w:val="00BF4EA7"/>
    <w:rsid w:val="00BF6128"/>
    <w:rsid w:val="00C00EDB"/>
    <w:rsid w:val="00C02863"/>
    <w:rsid w:val="00C0383A"/>
    <w:rsid w:val="00C067FF"/>
    <w:rsid w:val="00C12862"/>
    <w:rsid w:val="00C13067"/>
    <w:rsid w:val="00C13D28"/>
    <w:rsid w:val="00C14585"/>
    <w:rsid w:val="00C16577"/>
    <w:rsid w:val="00C165A0"/>
    <w:rsid w:val="00C216CE"/>
    <w:rsid w:val="00C2184F"/>
    <w:rsid w:val="00C22A78"/>
    <w:rsid w:val="00C231F2"/>
    <w:rsid w:val="00C23C7E"/>
    <w:rsid w:val="00C246C5"/>
    <w:rsid w:val="00C25A82"/>
    <w:rsid w:val="00C30A2A"/>
    <w:rsid w:val="00C33993"/>
    <w:rsid w:val="00C4069E"/>
    <w:rsid w:val="00C41ADC"/>
    <w:rsid w:val="00C42EBC"/>
    <w:rsid w:val="00C44149"/>
    <w:rsid w:val="00C44410"/>
    <w:rsid w:val="00C44A15"/>
    <w:rsid w:val="00C4630A"/>
    <w:rsid w:val="00C523F0"/>
    <w:rsid w:val="00C526D2"/>
    <w:rsid w:val="00C53A91"/>
    <w:rsid w:val="00C5794E"/>
    <w:rsid w:val="00C60968"/>
    <w:rsid w:val="00C63D39"/>
    <w:rsid w:val="00C63EDD"/>
    <w:rsid w:val="00C64E34"/>
    <w:rsid w:val="00C65B36"/>
    <w:rsid w:val="00C7292E"/>
    <w:rsid w:val="00C74E88"/>
    <w:rsid w:val="00C80924"/>
    <w:rsid w:val="00C8286B"/>
    <w:rsid w:val="00C855A1"/>
    <w:rsid w:val="00C92D0D"/>
    <w:rsid w:val="00C947F8"/>
    <w:rsid w:val="00C9515F"/>
    <w:rsid w:val="00C963C5"/>
    <w:rsid w:val="00CA030C"/>
    <w:rsid w:val="00CA1F41"/>
    <w:rsid w:val="00CA32EE"/>
    <w:rsid w:val="00CA4140"/>
    <w:rsid w:val="00CA5771"/>
    <w:rsid w:val="00CA6A1A"/>
    <w:rsid w:val="00CA7074"/>
    <w:rsid w:val="00CA73ED"/>
    <w:rsid w:val="00CC0E82"/>
    <w:rsid w:val="00CC1E75"/>
    <w:rsid w:val="00CC2E0E"/>
    <w:rsid w:val="00CC361C"/>
    <w:rsid w:val="00CC474B"/>
    <w:rsid w:val="00CC4778"/>
    <w:rsid w:val="00CC47EE"/>
    <w:rsid w:val="00CC4C75"/>
    <w:rsid w:val="00CC5BF5"/>
    <w:rsid w:val="00CC658C"/>
    <w:rsid w:val="00CC67BF"/>
    <w:rsid w:val="00CD0843"/>
    <w:rsid w:val="00CD5A78"/>
    <w:rsid w:val="00CD7345"/>
    <w:rsid w:val="00CE372E"/>
    <w:rsid w:val="00CE57EC"/>
    <w:rsid w:val="00CE6142"/>
    <w:rsid w:val="00CE651C"/>
    <w:rsid w:val="00CF0A1B"/>
    <w:rsid w:val="00CF19F6"/>
    <w:rsid w:val="00CF2F4F"/>
    <w:rsid w:val="00CF536D"/>
    <w:rsid w:val="00D00001"/>
    <w:rsid w:val="00D02E9D"/>
    <w:rsid w:val="00D07896"/>
    <w:rsid w:val="00D10CB8"/>
    <w:rsid w:val="00D12806"/>
    <w:rsid w:val="00D12D44"/>
    <w:rsid w:val="00D15018"/>
    <w:rsid w:val="00D158AC"/>
    <w:rsid w:val="00D1694C"/>
    <w:rsid w:val="00D16C39"/>
    <w:rsid w:val="00D20F5E"/>
    <w:rsid w:val="00D23B76"/>
    <w:rsid w:val="00D24B4A"/>
    <w:rsid w:val="00D32432"/>
    <w:rsid w:val="00D32885"/>
    <w:rsid w:val="00D35194"/>
    <w:rsid w:val="00D37525"/>
    <w:rsid w:val="00D379A3"/>
    <w:rsid w:val="00D45FF3"/>
    <w:rsid w:val="00D508D1"/>
    <w:rsid w:val="00D512CF"/>
    <w:rsid w:val="00D528B9"/>
    <w:rsid w:val="00D53186"/>
    <w:rsid w:val="00D5487D"/>
    <w:rsid w:val="00D60140"/>
    <w:rsid w:val="00D6024A"/>
    <w:rsid w:val="00D608B5"/>
    <w:rsid w:val="00D64739"/>
    <w:rsid w:val="00D67039"/>
    <w:rsid w:val="00D71F99"/>
    <w:rsid w:val="00D73CA4"/>
    <w:rsid w:val="00D73D71"/>
    <w:rsid w:val="00D74396"/>
    <w:rsid w:val="00D77C5F"/>
    <w:rsid w:val="00D80284"/>
    <w:rsid w:val="00D80663"/>
    <w:rsid w:val="00D81723"/>
    <w:rsid w:val="00D81F70"/>
    <w:rsid w:val="00D81F71"/>
    <w:rsid w:val="00D8642D"/>
    <w:rsid w:val="00D90A5E"/>
    <w:rsid w:val="00D91A68"/>
    <w:rsid w:val="00D91E49"/>
    <w:rsid w:val="00D95516"/>
    <w:rsid w:val="00D95A68"/>
    <w:rsid w:val="00DA17C7"/>
    <w:rsid w:val="00DA2E3D"/>
    <w:rsid w:val="00DA6A9A"/>
    <w:rsid w:val="00DB1EFD"/>
    <w:rsid w:val="00DB265C"/>
    <w:rsid w:val="00DB3EAF"/>
    <w:rsid w:val="00DB46C6"/>
    <w:rsid w:val="00DB49CA"/>
    <w:rsid w:val="00DB78F3"/>
    <w:rsid w:val="00DC0DEA"/>
    <w:rsid w:val="00DC3203"/>
    <w:rsid w:val="00DC3C99"/>
    <w:rsid w:val="00DC52F5"/>
    <w:rsid w:val="00DC5FD0"/>
    <w:rsid w:val="00DD0354"/>
    <w:rsid w:val="00DD27D7"/>
    <w:rsid w:val="00DD3412"/>
    <w:rsid w:val="00DD3F68"/>
    <w:rsid w:val="00DD458C"/>
    <w:rsid w:val="00DD6DA1"/>
    <w:rsid w:val="00DD72E9"/>
    <w:rsid w:val="00DD7605"/>
    <w:rsid w:val="00DE2020"/>
    <w:rsid w:val="00DE3476"/>
    <w:rsid w:val="00DE7935"/>
    <w:rsid w:val="00DE7BEA"/>
    <w:rsid w:val="00DF471E"/>
    <w:rsid w:val="00DF5B84"/>
    <w:rsid w:val="00DF6D5B"/>
    <w:rsid w:val="00DF771B"/>
    <w:rsid w:val="00DF7EE2"/>
    <w:rsid w:val="00E01BAA"/>
    <w:rsid w:val="00E0282A"/>
    <w:rsid w:val="00E02F9B"/>
    <w:rsid w:val="00E05FEE"/>
    <w:rsid w:val="00E064E4"/>
    <w:rsid w:val="00E07E14"/>
    <w:rsid w:val="00E14DAC"/>
    <w:rsid w:val="00E14F94"/>
    <w:rsid w:val="00E17336"/>
    <w:rsid w:val="00E17D15"/>
    <w:rsid w:val="00E22516"/>
    <w:rsid w:val="00E22B95"/>
    <w:rsid w:val="00E30322"/>
    <w:rsid w:val="00E30331"/>
    <w:rsid w:val="00E30BB8"/>
    <w:rsid w:val="00E31F9C"/>
    <w:rsid w:val="00E40488"/>
    <w:rsid w:val="00E44945"/>
    <w:rsid w:val="00E50367"/>
    <w:rsid w:val="00E51ABA"/>
    <w:rsid w:val="00E51EE7"/>
    <w:rsid w:val="00E524CB"/>
    <w:rsid w:val="00E548DC"/>
    <w:rsid w:val="00E54E68"/>
    <w:rsid w:val="00E65456"/>
    <w:rsid w:val="00E65A91"/>
    <w:rsid w:val="00E65CC7"/>
    <w:rsid w:val="00E66188"/>
    <w:rsid w:val="00E664FB"/>
    <w:rsid w:val="00E672F0"/>
    <w:rsid w:val="00E70373"/>
    <w:rsid w:val="00E7065C"/>
    <w:rsid w:val="00E70B3C"/>
    <w:rsid w:val="00E712E0"/>
    <w:rsid w:val="00E72E40"/>
    <w:rsid w:val="00E73665"/>
    <w:rsid w:val="00E73999"/>
    <w:rsid w:val="00E73BDC"/>
    <w:rsid w:val="00E73E9E"/>
    <w:rsid w:val="00E81660"/>
    <w:rsid w:val="00E830D1"/>
    <w:rsid w:val="00E854FE"/>
    <w:rsid w:val="00E8649E"/>
    <w:rsid w:val="00E906CC"/>
    <w:rsid w:val="00E939A0"/>
    <w:rsid w:val="00E93A87"/>
    <w:rsid w:val="00E97E4E"/>
    <w:rsid w:val="00EA05D3"/>
    <w:rsid w:val="00EA1CC2"/>
    <w:rsid w:val="00EA2D76"/>
    <w:rsid w:val="00EA4220"/>
    <w:rsid w:val="00EA4644"/>
    <w:rsid w:val="00EA758A"/>
    <w:rsid w:val="00EA75E1"/>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303E"/>
    <w:rsid w:val="00F04900"/>
    <w:rsid w:val="00F05047"/>
    <w:rsid w:val="00F05B3D"/>
    <w:rsid w:val="00F065A4"/>
    <w:rsid w:val="00F126B9"/>
    <w:rsid w:val="00F12715"/>
    <w:rsid w:val="00F144D5"/>
    <w:rsid w:val="00F146F0"/>
    <w:rsid w:val="00F15039"/>
    <w:rsid w:val="00F17287"/>
    <w:rsid w:val="00F20FF3"/>
    <w:rsid w:val="00F2190B"/>
    <w:rsid w:val="00F228B5"/>
    <w:rsid w:val="00F2389C"/>
    <w:rsid w:val="00F25C67"/>
    <w:rsid w:val="00F268AB"/>
    <w:rsid w:val="00F30B11"/>
    <w:rsid w:val="00F30DFF"/>
    <w:rsid w:val="00F32B80"/>
    <w:rsid w:val="00F340EB"/>
    <w:rsid w:val="00F35285"/>
    <w:rsid w:val="00F40107"/>
    <w:rsid w:val="00F43B9D"/>
    <w:rsid w:val="00F44D5E"/>
    <w:rsid w:val="00F53A35"/>
    <w:rsid w:val="00F55A3D"/>
    <w:rsid w:val="00F56D12"/>
    <w:rsid w:val="00F5744B"/>
    <w:rsid w:val="00F61209"/>
    <w:rsid w:val="00F6259E"/>
    <w:rsid w:val="00F65B6F"/>
    <w:rsid w:val="00F65DD4"/>
    <w:rsid w:val="00F672B2"/>
    <w:rsid w:val="00F75BBE"/>
    <w:rsid w:val="00F81F7A"/>
    <w:rsid w:val="00F83973"/>
    <w:rsid w:val="00F87FA3"/>
    <w:rsid w:val="00F93D8C"/>
    <w:rsid w:val="00FA3102"/>
    <w:rsid w:val="00FA48D4"/>
    <w:rsid w:val="00FA54FA"/>
    <w:rsid w:val="00FA6372"/>
    <w:rsid w:val="00FA6D39"/>
    <w:rsid w:val="00FB227E"/>
    <w:rsid w:val="00FB3D61"/>
    <w:rsid w:val="00FB3E48"/>
    <w:rsid w:val="00FB44CE"/>
    <w:rsid w:val="00FB47A5"/>
    <w:rsid w:val="00FB5009"/>
    <w:rsid w:val="00FB5FD6"/>
    <w:rsid w:val="00FB76AB"/>
    <w:rsid w:val="00FC107C"/>
    <w:rsid w:val="00FC6DCF"/>
    <w:rsid w:val="00FD03FE"/>
    <w:rsid w:val="00FD126E"/>
    <w:rsid w:val="00FD3C36"/>
    <w:rsid w:val="00FD4D81"/>
    <w:rsid w:val="00FD61B6"/>
    <w:rsid w:val="00FD7498"/>
    <w:rsid w:val="00FD7FB3"/>
    <w:rsid w:val="00FE0583"/>
    <w:rsid w:val="00FE1791"/>
    <w:rsid w:val="00FE4713"/>
    <w:rsid w:val="00FF1F44"/>
    <w:rsid w:val="00FF225E"/>
    <w:rsid w:val="00FF5BC9"/>
    <w:rsid w:val="00FF672C"/>
    <w:rsid w:val="00FF6B8B"/>
    <w:rsid w:val="00FF6C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618CD"/>
  <w15:docId w15:val="{A0F93861-80F7-4F57-BA2C-F323B5A1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D32885"/>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322DE1"/>
    <w:rPr>
      <w:rFonts w:ascii="Lucida Grande" w:hAnsi="Lucida Grande"/>
      <w:sz w:val="18"/>
      <w:szCs w:val="18"/>
    </w:rPr>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205937"/>
    <w:pPr>
      <w:spacing w:line="240" w:lineRule="auto"/>
      <w:jc w:val="both"/>
    </w:pPr>
    <w:rPr>
      <w:sz w:val="20"/>
      <w:szCs w:val="16"/>
    </w:rPr>
  </w:style>
  <w:style w:type="character" w:customStyle="1" w:styleId="FootnoteTextChar">
    <w:name w:val="Footnote Text Char"/>
    <w:basedOn w:val="DefaultParagraphFont"/>
    <w:link w:val="FootnoteText"/>
    <w:uiPriority w:val="99"/>
    <w:rsid w:val="00205937"/>
    <w:rPr>
      <w:szCs w:val="16"/>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7B29BF"/>
    <w:rPr>
      <w:color w:val="0000FF" w:themeColor="hyperlink"/>
      <w:u w:val="single"/>
    </w:rPr>
  </w:style>
  <w:style w:type="table" w:styleId="TableGrid">
    <w:name w:val="Table Grid"/>
    <w:basedOn w:val="TableNormal"/>
    <w:uiPriority w:val="59"/>
    <w:rsid w:val="00915120"/>
    <w:pPr>
      <w:spacing w:beforeAutospacing="1" w:afterAutospacing="1"/>
    </w:pPr>
    <w:rPr>
      <w:rFonts w:ascii="Segoe UI" w:eastAsiaTheme="minorEastAsia" w:hAnsi="Segoe U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5120"/>
    <w:rPr>
      <w:b/>
      <w:bCs/>
      <w:color w:val="0D00A6"/>
    </w:rPr>
  </w:style>
  <w:style w:type="character" w:customStyle="1" w:styleId="singlehighlightclass">
    <w:name w:val="single_highlight_class"/>
    <w:basedOn w:val="DefaultParagraphFont"/>
    <w:rsid w:val="00915120"/>
  </w:style>
  <w:style w:type="character" w:customStyle="1" w:styleId="nlmyear">
    <w:name w:val="nlm_year"/>
    <w:basedOn w:val="DefaultParagraphFont"/>
    <w:rsid w:val="00915120"/>
  </w:style>
  <w:style w:type="character" w:styleId="FollowedHyperlink">
    <w:name w:val="FollowedHyperlink"/>
    <w:basedOn w:val="DefaultParagraphFont"/>
    <w:rsid w:val="00915120"/>
    <w:rPr>
      <w:color w:val="800080" w:themeColor="followedHyperlink"/>
      <w:u w:val="single"/>
    </w:rPr>
  </w:style>
  <w:style w:type="paragraph" w:styleId="ListParagraph">
    <w:name w:val="List Paragraph"/>
    <w:basedOn w:val="Normal"/>
    <w:rsid w:val="00915120"/>
    <w:pPr>
      <w:ind w:left="720"/>
      <w:contextualSpacing/>
    </w:pPr>
  </w:style>
  <w:style w:type="character" w:customStyle="1" w:styleId="skypepnhcontainer">
    <w:name w:val="skype_pnh_container"/>
    <w:basedOn w:val="DefaultParagraphFont"/>
    <w:rsid w:val="002D5C11"/>
    <w:rPr>
      <w:rtl w:val="0"/>
    </w:rPr>
  </w:style>
  <w:style w:type="character" w:customStyle="1" w:styleId="skypepnhmark1">
    <w:name w:val="skype_pnh_mark1"/>
    <w:basedOn w:val="DefaultParagraphFont"/>
    <w:rsid w:val="002D5C11"/>
    <w:rPr>
      <w:vanish/>
      <w:webHidden w:val="0"/>
      <w:specVanish w:val="0"/>
    </w:rPr>
  </w:style>
  <w:style w:type="character" w:customStyle="1" w:styleId="skypepnhprintcontainer1393592495">
    <w:name w:val="skype_pnh_print_container_1393592495"/>
    <w:basedOn w:val="DefaultParagraphFont"/>
    <w:rsid w:val="002D5C11"/>
  </w:style>
  <w:style w:type="character" w:customStyle="1" w:styleId="skypepnhtextspan">
    <w:name w:val="skype_pnh_text_span"/>
    <w:basedOn w:val="DefaultParagraphFont"/>
    <w:rsid w:val="002D5C11"/>
  </w:style>
  <w:style w:type="character" w:customStyle="1" w:styleId="skypepnhfreetextspan">
    <w:name w:val="skype_pnh_free_text_span"/>
    <w:basedOn w:val="DefaultParagraphFont"/>
    <w:rsid w:val="002D5C11"/>
  </w:style>
  <w:style w:type="paragraph" w:styleId="HTMLAddress">
    <w:name w:val="HTML Address"/>
    <w:basedOn w:val="Normal"/>
    <w:link w:val="HTMLAddressChar"/>
    <w:uiPriority w:val="99"/>
    <w:unhideWhenUsed/>
    <w:rsid w:val="002D5C11"/>
    <w:pPr>
      <w:spacing w:line="240" w:lineRule="auto"/>
    </w:pPr>
    <w:rPr>
      <w:i/>
      <w:iCs/>
      <w:lang w:val="en-US" w:eastAsia="en-US"/>
    </w:rPr>
  </w:style>
  <w:style w:type="character" w:customStyle="1" w:styleId="HTMLAddressChar">
    <w:name w:val="HTML Address Char"/>
    <w:basedOn w:val="DefaultParagraphFont"/>
    <w:link w:val="HTMLAddress"/>
    <w:uiPriority w:val="99"/>
    <w:rsid w:val="002D5C11"/>
    <w:rPr>
      <w:i/>
      <w:iCs/>
      <w:sz w:val="24"/>
      <w:szCs w:val="24"/>
      <w:lang w:val="en-US" w:eastAsia="en-US"/>
    </w:rPr>
  </w:style>
  <w:style w:type="character" w:styleId="CommentReference">
    <w:name w:val="annotation reference"/>
    <w:basedOn w:val="DefaultParagraphFont"/>
    <w:rsid w:val="00D32885"/>
    <w:rPr>
      <w:sz w:val="16"/>
      <w:szCs w:val="16"/>
    </w:rPr>
  </w:style>
  <w:style w:type="paragraph" w:styleId="CommentText">
    <w:name w:val="annotation text"/>
    <w:basedOn w:val="Normal"/>
    <w:link w:val="CommentTextChar"/>
    <w:rsid w:val="00D32885"/>
    <w:pPr>
      <w:spacing w:line="240" w:lineRule="auto"/>
    </w:pPr>
    <w:rPr>
      <w:sz w:val="20"/>
      <w:szCs w:val="20"/>
    </w:rPr>
  </w:style>
  <w:style w:type="character" w:customStyle="1" w:styleId="CommentTextChar">
    <w:name w:val="Comment Text Char"/>
    <w:basedOn w:val="DefaultParagraphFont"/>
    <w:link w:val="CommentText"/>
    <w:rsid w:val="00D32885"/>
  </w:style>
  <w:style w:type="paragraph" w:styleId="CommentSubject">
    <w:name w:val="annotation subject"/>
    <w:basedOn w:val="CommentText"/>
    <w:next w:val="CommentText"/>
    <w:link w:val="CommentSubjectChar"/>
    <w:rsid w:val="00D32885"/>
    <w:rPr>
      <w:b/>
      <w:bCs/>
    </w:rPr>
  </w:style>
  <w:style w:type="character" w:customStyle="1" w:styleId="CommentSubjectChar">
    <w:name w:val="Comment Subject Char"/>
    <w:basedOn w:val="CommentTextChar"/>
    <w:link w:val="CommentSubject"/>
    <w:rsid w:val="00D32885"/>
    <w:rPr>
      <w:b/>
      <w:bCs/>
    </w:rPr>
  </w:style>
  <w:style w:type="character" w:customStyle="1" w:styleId="BalloonTextChar1">
    <w:name w:val="Balloon Text Char1"/>
    <w:basedOn w:val="DefaultParagraphFont"/>
    <w:link w:val="BalloonText"/>
    <w:rsid w:val="00D32885"/>
    <w:rPr>
      <w:rFonts w:ascii="Tahoma" w:hAnsi="Tahoma" w:cs="Tahoma"/>
      <w:sz w:val="16"/>
      <w:szCs w:val="16"/>
    </w:rPr>
  </w:style>
  <w:style w:type="paragraph" w:customStyle="1" w:styleId="Default">
    <w:name w:val="Default"/>
    <w:rsid w:val="005C09BE"/>
    <w:pPr>
      <w:autoSpaceDE w:val="0"/>
      <w:autoSpaceDN w:val="0"/>
      <w:adjustRightInd w:val="0"/>
    </w:pPr>
    <w:rPr>
      <w:rFonts w:ascii="Memphis Medium" w:hAnsi="Memphis Medium" w:cs="Memphis Medium"/>
      <w:color w:val="000000"/>
      <w:sz w:val="24"/>
      <w:szCs w:val="24"/>
    </w:rPr>
  </w:style>
  <w:style w:type="paragraph" w:customStyle="1" w:styleId="Pa0">
    <w:name w:val="Pa0"/>
    <w:basedOn w:val="Default"/>
    <w:next w:val="Default"/>
    <w:uiPriority w:val="99"/>
    <w:rsid w:val="005C09BE"/>
    <w:pPr>
      <w:spacing w:line="241" w:lineRule="atLeast"/>
    </w:pPr>
    <w:rPr>
      <w:rFonts w:cs="Times New Roman"/>
      <w:color w:val="auto"/>
    </w:rPr>
  </w:style>
  <w:style w:type="character" w:customStyle="1" w:styleId="A0">
    <w:name w:val="A0"/>
    <w:uiPriority w:val="99"/>
    <w:rsid w:val="005C09BE"/>
    <w:rPr>
      <w:rFonts w:cs="Memphis Medium"/>
      <w:color w:val="000000"/>
      <w:sz w:val="57"/>
      <w:szCs w:val="57"/>
    </w:rPr>
  </w:style>
  <w:style w:type="character" w:customStyle="1" w:styleId="A2">
    <w:name w:val="A2"/>
    <w:uiPriority w:val="99"/>
    <w:rsid w:val="005C09BE"/>
    <w:rPr>
      <w:rFonts w:ascii="Memphis Light" w:hAnsi="Memphis Light" w:cs="Memphis Light"/>
      <w:i/>
      <w:iCs/>
      <w:color w:val="000000"/>
      <w:sz w:val="33"/>
      <w:szCs w:val="33"/>
    </w:rPr>
  </w:style>
  <w:style w:type="paragraph" w:styleId="Revision">
    <w:name w:val="Revision"/>
    <w:hidden/>
    <w:semiHidden/>
    <w:rsid w:val="00214EE9"/>
    <w:rPr>
      <w:sz w:val="24"/>
      <w:szCs w:val="24"/>
    </w:rPr>
  </w:style>
  <w:style w:type="character" w:styleId="PageNumber">
    <w:name w:val="page number"/>
    <w:basedOn w:val="DefaultParagraphFont"/>
    <w:semiHidden/>
    <w:unhideWhenUsed/>
    <w:rsid w:val="006A5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526284906">
      <w:bodyDiv w:val="1"/>
      <w:marLeft w:val="0"/>
      <w:marRight w:val="0"/>
      <w:marTop w:val="0"/>
      <w:marBottom w:val="0"/>
      <w:divBdr>
        <w:top w:val="none" w:sz="0" w:space="0" w:color="auto"/>
        <w:left w:val="none" w:sz="0" w:space="0" w:color="auto"/>
        <w:bottom w:val="none" w:sz="0" w:space="0" w:color="auto"/>
        <w:right w:val="none" w:sz="0" w:space="0" w:color="auto"/>
      </w:divBdr>
      <w:divsChild>
        <w:div w:id="1639996882">
          <w:marLeft w:val="0"/>
          <w:marRight w:val="0"/>
          <w:marTop w:val="0"/>
          <w:marBottom w:val="0"/>
          <w:divBdr>
            <w:top w:val="none" w:sz="0" w:space="0" w:color="auto"/>
            <w:left w:val="none" w:sz="0" w:space="0" w:color="auto"/>
            <w:bottom w:val="none" w:sz="0" w:space="0" w:color="auto"/>
            <w:right w:val="none" w:sz="0" w:space="0" w:color="auto"/>
          </w:divBdr>
          <w:divsChild>
            <w:div w:id="1903179592">
              <w:marLeft w:val="0"/>
              <w:marRight w:val="0"/>
              <w:marTop w:val="0"/>
              <w:marBottom w:val="0"/>
              <w:divBdr>
                <w:top w:val="single" w:sz="2" w:space="0" w:color="637727"/>
                <w:left w:val="none" w:sz="0" w:space="0" w:color="auto"/>
                <w:bottom w:val="none" w:sz="0" w:space="0" w:color="auto"/>
                <w:right w:val="none" w:sz="0" w:space="0" w:color="auto"/>
              </w:divBdr>
              <w:divsChild>
                <w:div w:id="2000883356">
                  <w:marLeft w:val="0"/>
                  <w:marRight w:val="0"/>
                  <w:marTop w:val="0"/>
                  <w:marBottom w:val="0"/>
                  <w:divBdr>
                    <w:top w:val="none" w:sz="0" w:space="0" w:color="auto"/>
                    <w:left w:val="none" w:sz="0" w:space="0" w:color="auto"/>
                    <w:bottom w:val="none" w:sz="0" w:space="0" w:color="auto"/>
                    <w:right w:val="none" w:sz="0" w:space="0" w:color="auto"/>
                  </w:divBdr>
                  <w:divsChild>
                    <w:div w:id="219563883">
                      <w:marLeft w:val="0"/>
                      <w:marRight w:val="0"/>
                      <w:marTop w:val="0"/>
                      <w:marBottom w:val="0"/>
                      <w:divBdr>
                        <w:top w:val="none" w:sz="0" w:space="0" w:color="auto"/>
                        <w:left w:val="none" w:sz="0" w:space="0" w:color="auto"/>
                        <w:bottom w:val="single" w:sz="24" w:space="0" w:color="637727"/>
                        <w:right w:val="none" w:sz="0" w:space="0" w:color="auto"/>
                      </w:divBdr>
                    </w:div>
                  </w:divsChild>
                </w:div>
              </w:divsChild>
            </w:div>
          </w:divsChild>
        </w:div>
      </w:divsChild>
    </w:div>
    <w:div w:id="1724908680">
      <w:bodyDiv w:val="1"/>
      <w:marLeft w:val="0"/>
      <w:marRight w:val="0"/>
      <w:marTop w:val="0"/>
      <w:marBottom w:val="0"/>
      <w:divBdr>
        <w:top w:val="none" w:sz="0" w:space="0" w:color="auto"/>
        <w:left w:val="none" w:sz="0" w:space="0" w:color="auto"/>
        <w:bottom w:val="none" w:sz="0" w:space="0" w:color="auto"/>
        <w:right w:val="none" w:sz="0" w:space="0" w:color="auto"/>
      </w:divBdr>
      <w:divsChild>
        <w:div w:id="1366829522">
          <w:marLeft w:val="0"/>
          <w:marRight w:val="0"/>
          <w:marTop w:val="0"/>
          <w:marBottom w:val="0"/>
          <w:divBdr>
            <w:top w:val="none" w:sz="0" w:space="0" w:color="auto"/>
            <w:left w:val="none" w:sz="0" w:space="0" w:color="auto"/>
            <w:bottom w:val="none" w:sz="0" w:space="0" w:color="auto"/>
            <w:right w:val="none" w:sz="0" w:space="0" w:color="auto"/>
          </w:divBdr>
          <w:divsChild>
            <w:div w:id="190460143">
              <w:marLeft w:val="0"/>
              <w:marRight w:val="0"/>
              <w:marTop w:val="0"/>
              <w:marBottom w:val="0"/>
              <w:divBdr>
                <w:top w:val="none" w:sz="0" w:space="0" w:color="auto"/>
                <w:left w:val="none" w:sz="0" w:space="0" w:color="auto"/>
                <w:bottom w:val="none" w:sz="0" w:space="0" w:color="auto"/>
                <w:right w:val="none" w:sz="0" w:space="0" w:color="auto"/>
              </w:divBdr>
            </w:div>
            <w:div w:id="17609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9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pi.org.uk/media/8479/microsoft_word_-_policy_statement_on_initial_planning_education_2012.pdf" TargetMode="External"/><Relationship Id="rId13" Type="http://schemas.openxmlformats.org/officeDocument/2006/relationships/hyperlink" Target="http://www.heacademy.ac.uk/assets/documents/employability/Employability_framework.pdf" TargetMode="External"/><Relationship Id="rId18" Type="http://schemas.openxmlformats.org/officeDocument/2006/relationships/hyperlink" Target="http://www.rtpi.org.uk/media/831098/code_of_professional_conduct_2012.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www.heacademy.ac.uk/assets/documents/disciplines/built_environment/Employability_Skills_for_Planners.pdf" TargetMode="External"/><Relationship Id="rId2" Type="http://schemas.openxmlformats.org/officeDocument/2006/relationships/numbering" Target="numbering.xml"/><Relationship Id="rId16" Type="http://schemas.openxmlformats.org/officeDocument/2006/relationships/hyperlink" Target="http://www.heacademy.ac.uk/assets/documents/resources/publications/STEM-pdfs/sharing-good-practice-in-planning-education1.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heacademy.ac.uk/sites/default/files/resources/Engagement_through_partnership.pdf" TargetMode="External"/><Relationship Id="rId10" Type="http://schemas.openxmlformats.org/officeDocument/2006/relationships/hyperlink" Target="http://www.tandfonline.com/action/doSearch?action=runSearch&amp;type=advanced&amp;searchType=journal&amp;result=true&amp;prevSearch=%2Bauthorsfield%3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viewer?a=v&amp;pid=explorer&amp;chrome=true&amp;srcid=0B8O1FRAjejyMZDA1NGE2ZjgtZjVmZi00MTFkLWFjYmUtNWNjNTg5NjUwM2Y4&amp;authkey=CJ6DzZ4P&amp;hl=en" TargetMode="External"/><Relationship Id="rId14" Type="http://schemas.openxmlformats.org/officeDocument/2006/relationships/hyperlink" Target="http://www.farrellreview.co.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E10415~1\LOCALS~1\Temp\Temporary%20Directory%201%20for%20TF_Template_Word_Windows_2007.zip\TF_Template_Word_Windows_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3948C-1A61-4646-A397-AEB53A95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TF_Template_Word_Windows_2007</Template>
  <TotalTime>1</TotalTime>
  <Pages>18</Pages>
  <Words>5456</Words>
  <Characters>31103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TF_Template_Word_Windows_2007</vt:lpstr>
    </vt:vector>
  </TitlesOfParts>
  <Company>Informa Plc</Company>
  <LinksUpToDate>false</LinksUpToDate>
  <CharactersWithSpaces>36487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TF_Template_Word_Windows_2007</dc:title>
  <dc:creator>Adam Sheppard</dc:creator>
  <cp:lastModifiedBy>Adam Sheppard</cp:lastModifiedBy>
  <cp:revision>2</cp:revision>
  <cp:lastPrinted>2015-08-25T11:40:00Z</cp:lastPrinted>
  <dcterms:created xsi:type="dcterms:W3CDTF">2016-12-02T15:30:00Z</dcterms:created>
  <dcterms:modified xsi:type="dcterms:W3CDTF">2016-12-02T15:30:00Z</dcterms:modified>
</cp:coreProperties>
</file>