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B1" w:rsidRPr="0017668D" w:rsidRDefault="00F00F8A" w:rsidP="004A5637">
      <w:pPr>
        <w:spacing w:after="0" w:line="480" w:lineRule="auto"/>
        <w:contextualSpacing/>
        <w:jc w:val="both"/>
        <w:rPr>
          <w:rFonts w:ascii="Times New Roman" w:hAnsi="Times New Roman" w:cs="Times New Roman"/>
          <w:b/>
          <w:sz w:val="24"/>
          <w:szCs w:val="24"/>
        </w:rPr>
      </w:pPr>
      <w:r w:rsidRPr="0017668D">
        <w:rPr>
          <w:rFonts w:ascii="Times New Roman" w:hAnsi="Times New Roman" w:cs="Times New Roman"/>
          <w:b/>
          <w:sz w:val="24"/>
          <w:szCs w:val="24"/>
        </w:rPr>
        <w:t>‘</w:t>
      </w:r>
      <w:r w:rsidR="00AB2CB1" w:rsidRPr="0017668D">
        <w:rPr>
          <w:rFonts w:ascii="Times New Roman" w:hAnsi="Times New Roman" w:cs="Times New Roman"/>
          <w:b/>
          <w:sz w:val="24"/>
          <w:szCs w:val="24"/>
        </w:rPr>
        <w:t>The Financial Crisis and Financial Crime in the United Kingdom</w:t>
      </w:r>
      <w:r w:rsidR="00F8401F" w:rsidRPr="0017668D">
        <w:rPr>
          <w:rFonts w:ascii="Times New Roman" w:hAnsi="Times New Roman" w:cs="Times New Roman"/>
          <w:b/>
          <w:sz w:val="24"/>
          <w:szCs w:val="24"/>
        </w:rPr>
        <w:t>: a</w:t>
      </w:r>
      <w:r w:rsidR="00AB2CB1" w:rsidRPr="0017668D">
        <w:rPr>
          <w:rFonts w:ascii="Times New Roman" w:hAnsi="Times New Roman" w:cs="Times New Roman"/>
          <w:b/>
          <w:sz w:val="24"/>
          <w:szCs w:val="24"/>
        </w:rPr>
        <w:t xml:space="preserve"> critical analysis of the response by Financial</w:t>
      </w:r>
      <w:r w:rsidR="00AC491C" w:rsidRPr="0017668D">
        <w:rPr>
          <w:rFonts w:ascii="Times New Roman" w:hAnsi="Times New Roman" w:cs="Times New Roman"/>
          <w:b/>
          <w:sz w:val="24"/>
          <w:szCs w:val="24"/>
        </w:rPr>
        <w:t xml:space="preserve"> Regulatory Agencies’.</w:t>
      </w:r>
    </w:p>
    <w:p w:rsidR="00AB2CB1" w:rsidRPr="0017668D" w:rsidRDefault="00AB2CB1" w:rsidP="004A5637">
      <w:pPr>
        <w:spacing w:after="0" w:line="480" w:lineRule="auto"/>
        <w:contextualSpacing/>
        <w:jc w:val="both"/>
        <w:rPr>
          <w:rFonts w:ascii="Times New Roman" w:hAnsi="Times New Roman" w:cs="Times New Roman"/>
          <w:b/>
          <w:sz w:val="24"/>
          <w:szCs w:val="24"/>
        </w:rPr>
      </w:pPr>
    </w:p>
    <w:p w:rsidR="00AB2CB1" w:rsidRPr="0017668D" w:rsidRDefault="00C5662D" w:rsidP="004A5637">
      <w:pPr>
        <w:spacing w:after="0" w:line="480" w:lineRule="auto"/>
        <w:contextualSpacing/>
        <w:jc w:val="both"/>
        <w:rPr>
          <w:rFonts w:ascii="Times New Roman" w:hAnsi="Times New Roman" w:cs="Times New Roman"/>
          <w:sz w:val="24"/>
          <w:szCs w:val="24"/>
        </w:rPr>
      </w:pPr>
      <w:r w:rsidRPr="0017668D">
        <w:rPr>
          <w:rFonts w:ascii="Times New Roman" w:hAnsi="Times New Roman" w:cs="Times New Roman"/>
          <w:sz w:val="24"/>
          <w:szCs w:val="24"/>
        </w:rPr>
        <w:t xml:space="preserve">Dr. </w:t>
      </w:r>
      <w:r w:rsidR="00AB2CB1" w:rsidRPr="0017668D">
        <w:rPr>
          <w:rFonts w:ascii="Times New Roman" w:hAnsi="Times New Roman" w:cs="Times New Roman"/>
          <w:sz w:val="24"/>
          <w:szCs w:val="24"/>
        </w:rPr>
        <w:t>Nicholas Ryder</w:t>
      </w:r>
      <w:r w:rsidRPr="0017668D">
        <w:rPr>
          <w:rFonts w:ascii="Times New Roman" w:hAnsi="Times New Roman" w:cs="Times New Roman"/>
          <w:sz w:val="24"/>
          <w:szCs w:val="24"/>
        </w:rPr>
        <w:t>,</w:t>
      </w:r>
    </w:p>
    <w:p w:rsidR="00C5662D" w:rsidRPr="0017668D" w:rsidRDefault="00C5662D" w:rsidP="004A5637">
      <w:pPr>
        <w:spacing w:after="0" w:line="480" w:lineRule="auto"/>
        <w:contextualSpacing/>
        <w:jc w:val="both"/>
        <w:rPr>
          <w:rFonts w:ascii="Times New Roman" w:hAnsi="Times New Roman" w:cs="Times New Roman"/>
          <w:sz w:val="24"/>
          <w:szCs w:val="24"/>
        </w:rPr>
      </w:pPr>
      <w:r w:rsidRPr="0017668D">
        <w:rPr>
          <w:rFonts w:ascii="Times New Roman" w:hAnsi="Times New Roman" w:cs="Times New Roman"/>
          <w:sz w:val="24"/>
          <w:szCs w:val="24"/>
        </w:rPr>
        <w:t>Professor in Financial Crime,</w:t>
      </w:r>
    </w:p>
    <w:p w:rsidR="00AB2CB1" w:rsidRPr="0017668D" w:rsidRDefault="00AB2CB1" w:rsidP="004A5637">
      <w:pPr>
        <w:spacing w:after="0" w:line="480" w:lineRule="auto"/>
        <w:contextualSpacing/>
        <w:jc w:val="both"/>
        <w:rPr>
          <w:rFonts w:ascii="Times New Roman" w:hAnsi="Times New Roman" w:cs="Times New Roman"/>
          <w:sz w:val="24"/>
          <w:szCs w:val="24"/>
        </w:rPr>
      </w:pPr>
      <w:r w:rsidRPr="0017668D">
        <w:rPr>
          <w:rFonts w:ascii="Times New Roman" w:hAnsi="Times New Roman" w:cs="Times New Roman"/>
          <w:sz w:val="24"/>
          <w:szCs w:val="24"/>
        </w:rPr>
        <w:t>Department of Law</w:t>
      </w:r>
      <w:r w:rsidR="00C5662D" w:rsidRPr="0017668D">
        <w:rPr>
          <w:rFonts w:ascii="Times New Roman" w:hAnsi="Times New Roman" w:cs="Times New Roman"/>
          <w:sz w:val="24"/>
          <w:szCs w:val="24"/>
        </w:rPr>
        <w:t>,</w:t>
      </w:r>
    </w:p>
    <w:p w:rsidR="00AB2CB1" w:rsidRPr="0017668D" w:rsidRDefault="00AB2CB1" w:rsidP="004A5637">
      <w:pPr>
        <w:spacing w:after="0" w:line="480" w:lineRule="auto"/>
        <w:contextualSpacing/>
        <w:jc w:val="both"/>
        <w:rPr>
          <w:rFonts w:ascii="Times New Roman" w:hAnsi="Times New Roman" w:cs="Times New Roman"/>
          <w:sz w:val="24"/>
          <w:szCs w:val="24"/>
        </w:rPr>
      </w:pPr>
      <w:r w:rsidRPr="0017668D">
        <w:rPr>
          <w:rFonts w:ascii="Times New Roman" w:hAnsi="Times New Roman" w:cs="Times New Roman"/>
          <w:sz w:val="24"/>
          <w:szCs w:val="24"/>
        </w:rPr>
        <w:t>University of the West of England</w:t>
      </w:r>
      <w:r w:rsidR="00C5662D" w:rsidRPr="0017668D">
        <w:rPr>
          <w:rFonts w:ascii="Times New Roman" w:hAnsi="Times New Roman" w:cs="Times New Roman"/>
          <w:sz w:val="24"/>
          <w:szCs w:val="24"/>
        </w:rPr>
        <w:t>,</w:t>
      </w:r>
    </w:p>
    <w:p w:rsidR="00AB2CB1" w:rsidRPr="0017668D" w:rsidRDefault="004D6919" w:rsidP="004A5637">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Bristol.</w:t>
      </w:r>
    </w:p>
    <w:p w:rsidR="00AB2CB1" w:rsidRPr="0017668D" w:rsidRDefault="00AB2CB1" w:rsidP="004A5637">
      <w:pPr>
        <w:spacing w:after="0" w:line="480" w:lineRule="auto"/>
        <w:ind w:left="720" w:hanging="720"/>
        <w:contextualSpacing/>
        <w:jc w:val="both"/>
        <w:rPr>
          <w:rFonts w:ascii="Times New Roman" w:eastAsia="Times New Roman" w:hAnsi="Times New Roman" w:cs="Times New Roman"/>
          <w:b/>
          <w:bCs/>
          <w:sz w:val="24"/>
          <w:szCs w:val="24"/>
          <w:lang w:eastAsia="en-GB"/>
        </w:rPr>
      </w:pPr>
    </w:p>
    <w:p w:rsidR="00AB2CB1" w:rsidRPr="0017668D" w:rsidRDefault="00AB2CB1" w:rsidP="004A5637">
      <w:pPr>
        <w:spacing w:line="480" w:lineRule="auto"/>
        <w:jc w:val="both"/>
        <w:rPr>
          <w:rFonts w:ascii="Times New Roman" w:eastAsia="Times New Roman" w:hAnsi="Times New Roman" w:cs="Times New Roman"/>
          <w:b/>
          <w:bCs/>
          <w:sz w:val="24"/>
          <w:szCs w:val="24"/>
          <w:lang w:eastAsia="en-GB"/>
        </w:rPr>
      </w:pPr>
      <w:r w:rsidRPr="0017668D">
        <w:rPr>
          <w:rFonts w:ascii="Times New Roman" w:eastAsia="Times New Roman" w:hAnsi="Times New Roman" w:cs="Times New Roman"/>
          <w:b/>
          <w:bCs/>
          <w:sz w:val="24"/>
          <w:szCs w:val="24"/>
          <w:lang w:eastAsia="en-GB"/>
        </w:rPr>
        <w:br w:type="page"/>
      </w:r>
    </w:p>
    <w:p w:rsidR="00F00F8A" w:rsidRPr="0017668D" w:rsidRDefault="00F00F8A" w:rsidP="004A5637">
      <w:pPr>
        <w:spacing w:line="480" w:lineRule="auto"/>
        <w:rPr>
          <w:rFonts w:ascii="Times New Roman" w:eastAsia="Times New Roman" w:hAnsi="Times New Roman" w:cs="Times New Roman"/>
          <w:b/>
          <w:bCs/>
          <w:sz w:val="24"/>
          <w:szCs w:val="24"/>
          <w:lang w:eastAsia="en-GB"/>
        </w:rPr>
      </w:pPr>
      <w:r w:rsidRPr="0017668D">
        <w:rPr>
          <w:rFonts w:ascii="Times New Roman" w:eastAsia="Times New Roman" w:hAnsi="Times New Roman" w:cs="Times New Roman"/>
          <w:b/>
          <w:bCs/>
          <w:sz w:val="24"/>
          <w:szCs w:val="24"/>
          <w:lang w:eastAsia="en-GB"/>
        </w:rPr>
        <w:lastRenderedPageBreak/>
        <w:t>The Financial Crisis and Financial crime</w:t>
      </w:r>
      <w:r w:rsidR="00C5662D" w:rsidRPr="0017668D">
        <w:rPr>
          <w:rFonts w:ascii="Times New Roman" w:eastAsia="Times New Roman" w:hAnsi="Times New Roman" w:cs="Times New Roman"/>
          <w:b/>
          <w:bCs/>
          <w:sz w:val="24"/>
          <w:szCs w:val="24"/>
          <w:lang w:eastAsia="en-GB"/>
        </w:rPr>
        <w:t>: An Introduction</w:t>
      </w:r>
    </w:p>
    <w:p w:rsidR="00F00F8A" w:rsidRPr="0017668D" w:rsidRDefault="00F00F8A" w:rsidP="004A5637">
      <w:pPr>
        <w:spacing w:after="0" w:line="480" w:lineRule="auto"/>
        <w:jc w:val="both"/>
        <w:rPr>
          <w:rFonts w:ascii="Times New Roman" w:eastAsia="Times New Roman" w:hAnsi="Times New Roman" w:cs="Times New Roman"/>
          <w:b/>
          <w:bCs/>
          <w:sz w:val="24"/>
          <w:szCs w:val="24"/>
          <w:lang w:eastAsia="en-GB"/>
        </w:rPr>
      </w:pPr>
    </w:p>
    <w:p w:rsidR="00C5662D" w:rsidRPr="0017668D" w:rsidRDefault="00F00F8A" w:rsidP="004A5637">
      <w:pPr>
        <w:spacing w:after="0" w:line="480" w:lineRule="auto"/>
        <w:jc w:val="both"/>
        <w:rPr>
          <w:rFonts w:ascii="Times New Roman" w:eastAsia="Times New Roman" w:hAnsi="Times New Roman" w:cs="Times New Roman"/>
          <w:bCs/>
          <w:sz w:val="24"/>
          <w:szCs w:val="24"/>
          <w:lang w:eastAsia="en-GB"/>
        </w:rPr>
      </w:pPr>
      <w:r w:rsidRPr="0017668D">
        <w:rPr>
          <w:rFonts w:ascii="Times New Roman" w:eastAsia="Times New Roman" w:hAnsi="Times New Roman" w:cs="Times New Roman"/>
          <w:bCs/>
          <w:sz w:val="24"/>
          <w:szCs w:val="24"/>
          <w:lang w:eastAsia="en-GB"/>
        </w:rPr>
        <w:t>A previously unattributed factor that contributed to</w:t>
      </w:r>
      <w:r w:rsidR="00C5662D" w:rsidRPr="0017668D">
        <w:rPr>
          <w:rFonts w:ascii="Times New Roman" w:eastAsia="Times New Roman" w:hAnsi="Times New Roman" w:cs="Times New Roman"/>
          <w:bCs/>
          <w:sz w:val="24"/>
          <w:szCs w:val="24"/>
          <w:lang w:eastAsia="en-GB"/>
        </w:rPr>
        <w:t xml:space="preserve">wards </w:t>
      </w:r>
      <w:r w:rsidRPr="0017668D">
        <w:rPr>
          <w:rFonts w:ascii="Times New Roman" w:eastAsia="Times New Roman" w:hAnsi="Times New Roman" w:cs="Times New Roman"/>
          <w:bCs/>
          <w:sz w:val="24"/>
          <w:szCs w:val="24"/>
          <w:lang w:eastAsia="en-GB"/>
        </w:rPr>
        <w:t xml:space="preserve">the </w:t>
      </w:r>
      <w:r w:rsidR="0046282A" w:rsidRPr="0017668D">
        <w:rPr>
          <w:rFonts w:ascii="Times New Roman" w:eastAsia="Times New Roman" w:hAnsi="Times New Roman" w:cs="Times New Roman"/>
          <w:bCs/>
          <w:sz w:val="24"/>
          <w:szCs w:val="24"/>
          <w:lang w:eastAsia="en-GB"/>
        </w:rPr>
        <w:t xml:space="preserve">most recent </w:t>
      </w:r>
      <w:r w:rsidRPr="0017668D">
        <w:rPr>
          <w:rFonts w:ascii="Times New Roman" w:eastAsia="Times New Roman" w:hAnsi="Times New Roman" w:cs="Times New Roman"/>
          <w:bCs/>
          <w:sz w:val="24"/>
          <w:szCs w:val="24"/>
          <w:lang w:eastAsia="en-GB"/>
        </w:rPr>
        <w:t xml:space="preserve">financial crisis is </w:t>
      </w:r>
      <w:r w:rsidR="00C5662D" w:rsidRPr="0017668D">
        <w:rPr>
          <w:rFonts w:ascii="Times New Roman" w:eastAsia="Times New Roman" w:hAnsi="Times New Roman" w:cs="Times New Roman"/>
          <w:bCs/>
          <w:sz w:val="24"/>
          <w:szCs w:val="24"/>
          <w:lang w:eastAsia="en-GB"/>
        </w:rPr>
        <w:t>financial crime.</w:t>
      </w:r>
      <w:r w:rsidR="00AA0FC7">
        <w:rPr>
          <w:rStyle w:val="FootnoteReference"/>
          <w:rFonts w:ascii="Times New Roman" w:eastAsia="Times New Roman" w:hAnsi="Times New Roman" w:cs="Times New Roman"/>
          <w:bCs/>
          <w:sz w:val="24"/>
          <w:szCs w:val="24"/>
          <w:lang w:eastAsia="en-GB"/>
        </w:rPr>
        <w:footnoteReference w:id="1"/>
      </w:r>
      <w:r w:rsidRPr="0017668D">
        <w:rPr>
          <w:rFonts w:ascii="Times New Roman" w:eastAsia="Times New Roman" w:hAnsi="Times New Roman" w:cs="Times New Roman"/>
          <w:bCs/>
          <w:sz w:val="24"/>
          <w:szCs w:val="24"/>
          <w:lang w:eastAsia="en-GB"/>
        </w:rPr>
        <w:t xml:space="preserve">  However, it is important to note and accept that financial crime was </w:t>
      </w:r>
      <w:r w:rsidRPr="0017668D">
        <w:rPr>
          <w:rFonts w:ascii="Times New Roman" w:eastAsia="Times New Roman" w:hAnsi="Times New Roman" w:cs="Times New Roman"/>
          <w:bCs/>
          <w:i/>
          <w:sz w:val="24"/>
          <w:szCs w:val="24"/>
          <w:lang w:eastAsia="en-GB"/>
        </w:rPr>
        <w:t>not</w:t>
      </w:r>
      <w:r w:rsidRPr="0017668D">
        <w:rPr>
          <w:rFonts w:ascii="Times New Roman" w:eastAsia="Times New Roman" w:hAnsi="Times New Roman" w:cs="Times New Roman"/>
          <w:bCs/>
          <w:sz w:val="24"/>
          <w:szCs w:val="24"/>
          <w:lang w:eastAsia="en-GB"/>
        </w:rPr>
        <w:t xml:space="preserve"> the sole and </w:t>
      </w:r>
      <w:r w:rsidRPr="0017668D">
        <w:rPr>
          <w:rFonts w:ascii="Times New Roman" w:eastAsia="Times New Roman" w:hAnsi="Times New Roman" w:cs="Times New Roman"/>
          <w:bCs/>
          <w:i/>
          <w:sz w:val="24"/>
          <w:szCs w:val="24"/>
          <w:lang w:eastAsia="en-GB"/>
        </w:rPr>
        <w:t>only</w:t>
      </w:r>
      <w:r w:rsidRPr="0017668D">
        <w:rPr>
          <w:rFonts w:ascii="Times New Roman" w:eastAsia="Times New Roman" w:hAnsi="Times New Roman" w:cs="Times New Roman"/>
          <w:bCs/>
          <w:sz w:val="24"/>
          <w:szCs w:val="24"/>
          <w:lang w:eastAsia="en-GB"/>
        </w:rPr>
        <w:t xml:space="preserve"> cause of the financial crisis.  For example, it has been asserted by economists,</w:t>
      </w:r>
      <w:r w:rsidRPr="0017668D">
        <w:rPr>
          <w:rFonts w:ascii="Times New Roman" w:eastAsia="Times New Roman" w:hAnsi="Times New Roman" w:cs="Times New Roman"/>
          <w:bCs/>
          <w:sz w:val="24"/>
          <w:szCs w:val="24"/>
          <w:vertAlign w:val="superscript"/>
          <w:lang w:eastAsia="en-GB"/>
        </w:rPr>
        <w:footnoteReference w:id="2"/>
      </w:r>
      <w:r w:rsidRPr="0017668D">
        <w:rPr>
          <w:rFonts w:ascii="Times New Roman" w:eastAsia="Times New Roman" w:hAnsi="Times New Roman" w:cs="Times New Roman"/>
          <w:bCs/>
          <w:sz w:val="24"/>
          <w:szCs w:val="24"/>
          <w:lang w:eastAsia="en-GB"/>
        </w:rPr>
        <w:t xml:space="preserve"> the International Monetary Fund,</w:t>
      </w:r>
      <w:r w:rsidRPr="0017668D">
        <w:rPr>
          <w:rFonts w:ascii="Times New Roman" w:eastAsia="Times New Roman" w:hAnsi="Times New Roman" w:cs="Times New Roman"/>
          <w:bCs/>
          <w:sz w:val="24"/>
          <w:szCs w:val="24"/>
          <w:vertAlign w:val="superscript"/>
          <w:lang w:eastAsia="en-GB"/>
        </w:rPr>
        <w:footnoteReference w:id="3"/>
      </w:r>
      <w:r w:rsidRPr="0017668D">
        <w:rPr>
          <w:rFonts w:ascii="Times New Roman" w:eastAsia="Times New Roman" w:hAnsi="Times New Roman" w:cs="Times New Roman"/>
          <w:bCs/>
          <w:sz w:val="24"/>
          <w:szCs w:val="24"/>
          <w:lang w:eastAsia="en-GB"/>
        </w:rPr>
        <w:t xml:space="preserve"> the </w:t>
      </w:r>
      <w:r w:rsidR="0046282A" w:rsidRPr="0017668D">
        <w:rPr>
          <w:rFonts w:ascii="Times New Roman" w:eastAsia="Times New Roman" w:hAnsi="Times New Roman" w:cs="Times New Roman"/>
          <w:bCs/>
          <w:sz w:val="24"/>
          <w:szCs w:val="24"/>
          <w:lang w:eastAsia="en-GB"/>
        </w:rPr>
        <w:t xml:space="preserve">United States </w:t>
      </w:r>
      <w:r w:rsidRPr="0017668D">
        <w:rPr>
          <w:rFonts w:ascii="Times New Roman" w:eastAsia="Times New Roman" w:hAnsi="Times New Roman" w:cs="Times New Roman"/>
          <w:bCs/>
          <w:sz w:val="24"/>
          <w:szCs w:val="24"/>
          <w:lang w:eastAsia="en-GB"/>
        </w:rPr>
        <w:t>Department of Treasury,</w:t>
      </w:r>
      <w:r w:rsidRPr="0017668D">
        <w:rPr>
          <w:rFonts w:ascii="Times New Roman" w:eastAsia="Times New Roman" w:hAnsi="Times New Roman" w:cs="Times New Roman"/>
          <w:bCs/>
          <w:sz w:val="24"/>
          <w:szCs w:val="24"/>
          <w:vertAlign w:val="superscript"/>
          <w:lang w:eastAsia="en-GB"/>
        </w:rPr>
        <w:footnoteReference w:id="4"/>
      </w:r>
      <w:r w:rsidRPr="0017668D">
        <w:rPr>
          <w:rFonts w:ascii="Times New Roman" w:eastAsia="Times New Roman" w:hAnsi="Times New Roman" w:cs="Times New Roman"/>
          <w:bCs/>
          <w:sz w:val="24"/>
          <w:szCs w:val="24"/>
          <w:lang w:eastAsia="en-GB"/>
        </w:rPr>
        <w:t xml:space="preserve"> HM Treasury,</w:t>
      </w:r>
      <w:r w:rsidRPr="0017668D">
        <w:rPr>
          <w:rFonts w:ascii="Times New Roman" w:eastAsia="Times New Roman" w:hAnsi="Times New Roman" w:cs="Times New Roman"/>
          <w:bCs/>
          <w:sz w:val="24"/>
          <w:szCs w:val="24"/>
          <w:vertAlign w:val="superscript"/>
          <w:lang w:eastAsia="en-GB"/>
        </w:rPr>
        <w:footnoteReference w:id="5"/>
      </w:r>
      <w:r w:rsidRPr="0017668D">
        <w:rPr>
          <w:rFonts w:ascii="Times New Roman" w:eastAsia="Times New Roman" w:hAnsi="Times New Roman" w:cs="Times New Roman"/>
          <w:bCs/>
          <w:sz w:val="24"/>
          <w:szCs w:val="24"/>
          <w:lang w:eastAsia="en-GB"/>
        </w:rPr>
        <w:t xml:space="preserve"> official enquiries </w:t>
      </w:r>
      <w:r w:rsidRPr="0017668D">
        <w:rPr>
          <w:rFonts w:ascii="Times New Roman" w:eastAsia="Times New Roman" w:hAnsi="Times New Roman" w:cs="Times New Roman"/>
          <w:bCs/>
          <w:sz w:val="24"/>
          <w:szCs w:val="24"/>
          <w:vertAlign w:val="superscript"/>
          <w:lang w:eastAsia="en-GB"/>
        </w:rPr>
        <w:footnoteReference w:id="6"/>
      </w:r>
      <w:r w:rsidRPr="0017668D">
        <w:rPr>
          <w:rFonts w:ascii="Times New Roman" w:eastAsia="Times New Roman" w:hAnsi="Times New Roman" w:cs="Times New Roman"/>
          <w:bCs/>
          <w:sz w:val="24"/>
          <w:szCs w:val="24"/>
          <w:lang w:eastAsia="en-GB"/>
        </w:rPr>
        <w:t xml:space="preserve"> and academic commentators </w:t>
      </w:r>
      <w:r w:rsidRPr="0017668D">
        <w:rPr>
          <w:rFonts w:ascii="Times New Roman" w:eastAsia="Times New Roman" w:hAnsi="Times New Roman" w:cs="Times New Roman"/>
          <w:bCs/>
          <w:sz w:val="24"/>
          <w:szCs w:val="24"/>
          <w:vertAlign w:val="superscript"/>
          <w:lang w:eastAsia="en-GB"/>
        </w:rPr>
        <w:footnoteReference w:id="7"/>
      </w:r>
      <w:r w:rsidRPr="0017668D">
        <w:rPr>
          <w:rFonts w:ascii="Times New Roman" w:eastAsia="Times New Roman" w:hAnsi="Times New Roman" w:cs="Times New Roman"/>
          <w:bCs/>
          <w:sz w:val="24"/>
          <w:szCs w:val="24"/>
          <w:lang w:eastAsia="en-GB"/>
        </w:rPr>
        <w:t xml:space="preserve"> that the foundations of the financial crisis were laid as a result of the collapse of the U</w:t>
      </w:r>
      <w:r w:rsidR="00C5662D" w:rsidRPr="0017668D">
        <w:rPr>
          <w:rFonts w:ascii="Times New Roman" w:eastAsia="Times New Roman" w:hAnsi="Times New Roman" w:cs="Times New Roman"/>
          <w:bCs/>
          <w:sz w:val="24"/>
          <w:szCs w:val="24"/>
          <w:lang w:eastAsia="en-GB"/>
        </w:rPr>
        <w:t xml:space="preserve">nited States </w:t>
      </w:r>
      <w:r w:rsidRPr="0017668D">
        <w:rPr>
          <w:rFonts w:ascii="Times New Roman" w:eastAsia="Times New Roman" w:hAnsi="Times New Roman" w:cs="Times New Roman"/>
          <w:bCs/>
          <w:sz w:val="24"/>
          <w:szCs w:val="24"/>
          <w:lang w:eastAsia="en-GB"/>
        </w:rPr>
        <w:t>subprime mortgage market.</w:t>
      </w:r>
      <w:r w:rsidR="00AA0FC7">
        <w:rPr>
          <w:rStyle w:val="FootnoteReference"/>
          <w:rFonts w:ascii="Times New Roman" w:eastAsia="Times New Roman" w:hAnsi="Times New Roman" w:cs="Times New Roman"/>
          <w:bCs/>
          <w:sz w:val="24"/>
          <w:szCs w:val="24"/>
          <w:lang w:eastAsia="en-GB"/>
        </w:rPr>
        <w:footnoteReference w:id="8"/>
      </w:r>
      <w:r w:rsidRPr="0017668D">
        <w:rPr>
          <w:rFonts w:ascii="Times New Roman" w:eastAsia="Times New Roman" w:hAnsi="Times New Roman" w:cs="Times New Roman"/>
          <w:bCs/>
          <w:sz w:val="24"/>
          <w:szCs w:val="24"/>
          <w:lang w:eastAsia="en-GB"/>
        </w:rPr>
        <w:t xml:space="preserve">  Others have argued that the </w:t>
      </w:r>
      <w:r w:rsidR="00AA0FC7" w:rsidRPr="0017668D">
        <w:rPr>
          <w:rFonts w:ascii="Times New Roman" w:eastAsia="Times New Roman" w:hAnsi="Times New Roman" w:cs="Times New Roman"/>
          <w:bCs/>
          <w:sz w:val="24"/>
          <w:szCs w:val="24"/>
          <w:lang w:eastAsia="en-GB"/>
        </w:rPr>
        <w:t>foundations of the financial crisis were</w:t>
      </w:r>
      <w:r w:rsidRPr="0017668D">
        <w:rPr>
          <w:rFonts w:ascii="Times New Roman" w:eastAsia="Times New Roman" w:hAnsi="Times New Roman" w:cs="Times New Roman"/>
          <w:bCs/>
          <w:sz w:val="24"/>
          <w:szCs w:val="24"/>
          <w:lang w:eastAsia="en-GB"/>
        </w:rPr>
        <w:t xml:space="preserve"> placed by the continued </w:t>
      </w:r>
      <w:r w:rsidR="00AA0FC7">
        <w:rPr>
          <w:rFonts w:ascii="Times New Roman" w:eastAsia="Times New Roman" w:hAnsi="Times New Roman" w:cs="Times New Roman"/>
          <w:bCs/>
          <w:sz w:val="24"/>
          <w:szCs w:val="24"/>
          <w:lang w:eastAsia="en-GB"/>
        </w:rPr>
        <w:t xml:space="preserve">use of </w:t>
      </w:r>
      <w:r w:rsidRPr="0017668D">
        <w:rPr>
          <w:rFonts w:ascii="Times New Roman" w:eastAsia="Times New Roman" w:hAnsi="Times New Roman" w:cs="Times New Roman"/>
          <w:bCs/>
          <w:sz w:val="24"/>
          <w:szCs w:val="24"/>
          <w:lang w:eastAsia="en-GB"/>
        </w:rPr>
        <w:t>low intere</w:t>
      </w:r>
      <w:r w:rsidR="00AA0FC7">
        <w:rPr>
          <w:rFonts w:ascii="Times New Roman" w:eastAsia="Times New Roman" w:hAnsi="Times New Roman" w:cs="Times New Roman"/>
          <w:bCs/>
          <w:sz w:val="24"/>
          <w:szCs w:val="24"/>
          <w:lang w:eastAsia="en-GB"/>
        </w:rPr>
        <w:t>st rates by the Federal Reserve.</w:t>
      </w:r>
      <w:r w:rsidRPr="0017668D">
        <w:rPr>
          <w:rFonts w:ascii="Times New Roman" w:eastAsia="Times New Roman" w:hAnsi="Times New Roman" w:cs="Times New Roman"/>
          <w:bCs/>
          <w:sz w:val="24"/>
          <w:szCs w:val="24"/>
          <w:vertAlign w:val="superscript"/>
          <w:lang w:eastAsia="en-GB"/>
        </w:rPr>
        <w:footnoteReference w:id="9"/>
      </w:r>
      <w:r w:rsidRPr="0017668D">
        <w:rPr>
          <w:rFonts w:ascii="Times New Roman" w:eastAsia="Times New Roman" w:hAnsi="Times New Roman" w:cs="Times New Roman"/>
          <w:bCs/>
          <w:sz w:val="24"/>
          <w:szCs w:val="24"/>
          <w:lang w:eastAsia="en-GB"/>
        </w:rPr>
        <w:t xml:space="preserve"> </w:t>
      </w:r>
      <w:r w:rsidR="00165D6D">
        <w:rPr>
          <w:rFonts w:ascii="Times New Roman" w:eastAsia="Times New Roman" w:hAnsi="Times New Roman" w:cs="Times New Roman"/>
          <w:bCs/>
          <w:sz w:val="24"/>
          <w:szCs w:val="24"/>
          <w:lang w:eastAsia="en-GB"/>
        </w:rPr>
        <w:t xml:space="preserve">Additional </w:t>
      </w:r>
      <w:r w:rsidR="00AA0FC7">
        <w:rPr>
          <w:rFonts w:ascii="Times New Roman" w:eastAsia="Times New Roman" w:hAnsi="Times New Roman" w:cs="Times New Roman"/>
          <w:bCs/>
          <w:sz w:val="24"/>
          <w:szCs w:val="24"/>
          <w:lang w:eastAsia="en-GB"/>
        </w:rPr>
        <w:t xml:space="preserve">factors, which are </w:t>
      </w:r>
      <w:r w:rsidRPr="0017668D">
        <w:rPr>
          <w:rFonts w:ascii="Times New Roman" w:eastAsia="Times New Roman" w:hAnsi="Times New Roman" w:cs="Times New Roman"/>
          <w:bCs/>
          <w:sz w:val="24"/>
          <w:szCs w:val="24"/>
          <w:lang w:eastAsia="en-GB"/>
        </w:rPr>
        <w:t xml:space="preserve">beyond the scope of the article, include </w:t>
      </w:r>
      <w:r w:rsidRPr="0017668D">
        <w:rPr>
          <w:rFonts w:ascii="Times New Roman" w:eastAsia="Calibri" w:hAnsi="Times New Roman" w:cs="Times New Roman"/>
          <w:sz w:val="24"/>
          <w:szCs w:val="24"/>
        </w:rPr>
        <w:t>high levels of consumer debt,</w:t>
      </w:r>
      <w:r w:rsidRPr="0017668D">
        <w:rPr>
          <w:rFonts w:ascii="Times New Roman" w:eastAsia="Calibri" w:hAnsi="Times New Roman" w:cs="Times New Roman"/>
          <w:sz w:val="24"/>
          <w:szCs w:val="24"/>
          <w:vertAlign w:val="superscript"/>
        </w:rPr>
        <w:footnoteReference w:id="10"/>
      </w:r>
      <w:r w:rsidRPr="0017668D">
        <w:rPr>
          <w:rFonts w:ascii="Times New Roman" w:eastAsia="Calibri" w:hAnsi="Times New Roman" w:cs="Times New Roman"/>
          <w:sz w:val="24"/>
          <w:szCs w:val="24"/>
        </w:rPr>
        <w:t xml:space="preserve"> toxic debts,</w:t>
      </w:r>
      <w:r w:rsidRPr="0017668D">
        <w:rPr>
          <w:rFonts w:ascii="Times New Roman" w:eastAsia="Calibri" w:hAnsi="Times New Roman" w:cs="Times New Roman"/>
          <w:sz w:val="24"/>
          <w:szCs w:val="24"/>
          <w:vertAlign w:val="superscript"/>
        </w:rPr>
        <w:footnoteReference w:id="11"/>
      </w:r>
      <w:r w:rsidRPr="0017668D">
        <w:rPr>
          <w:rFonts w:ascii="Times New Roman" w:eastAsia="Calibri" w:hAnsi="Times New Roman" w:cs="Times New Roman"/>
          <w:sz w:val="24"/>
          <w:szCs w:val="24"/>
        </w:rPr>
        <w:t xml:space="preserve"> securitisation,</w:t>
      </w:r>
      <w:r w:rsidRPr="0017668D">
        <w:rPr>
          <w:rFonts w:ascii="Times New Roman" w:eastAsia="Calibri" w:hAnsi="Times New Roman" w:cs="Times New Roman"/>
          <w:sz w:val="24"/>
          <w:szCs w:val="24"/>
          <w:vertAlign w:val="superscript"/>
        </w:rPr>
        <w:footnoteReference w:id="12"/>
      </w:r>
      <w:r w:rsidRPr="0017668D">
        <w:rPr>
          <w:rFonts w:ascii="Times New Roman" w:eastAsia="Calibri" w:hAnsi="Times New Roman" w:cs="Times New Roman"/>
          <w:sz w:val="24"/>
          <w:szCs w:val="24"/>
        </w:rPr>
        <w:t xml:space="preserve"> deregulation </w:t>
      </w:r>
      <w:r w:rsidRPr="0017668D">
        <w:rPr>
          <w:rFonts w:ascii="Times New Roman" w:eastAsia="Calibri" w:hAnsi="Times New Roman" w:cs="Times New Roman"/>
          <w:sz w:val="24"/>
          <w:szCs w:val="24"/>
        </w:rPr>
        <w:lastRenderedPageBreak/>
        <w:t>of banking legislation,</w:t>
      </w:r>
      <w:r w:rsidRPr="0017668D">
        <w:rPr>
          <w:rFonts w:ascii="Times New Roman" w:eastAsia="Calibri" w:hAnsi="Times New Roman" w:cs="Times New Roman"/>
          <w:sz w:val="24"/>
          <w:szCs w:val="24"/>
          <w:vertAlign w:val="superscript"/>
        </w:rPr>
        <w:footnoteReference w:id="13"/>
      </w:r>
      <w:r w:rsidRPr="0017668D">
        <w:rPr>
          <w:rFonts w:ascii="Times New Roman" w:eastAsia="Calibri" w:hAnsi="Times New Roman" w:cs="Times New Roman"/>
          <w:sz w:val="24"/>
          <w:szCs w:val="24"/>
        </w:rPr>
        <w:t xml:space="preserve"> ineffective macroeconomic policies,</w:t>
      </w:r>
      <w:r w:rsidRPr="0017668D">
        <w:rPr>
          <w:rFonts w:ascii="Times New Roman" w:eastAsia="Calibri" w:hAnsi="Times New Roman" w:cs="Times New Roman"/>
          <w:sz w:val="24"/>
          <w:szCs w:val="24"/>
          <w:vertAlign w:val="superscript"/>
        </w:rPr>
        <w:footnoteReference w:id="14"/>
      </w:r>
      <w:r w:rsidRPr="0017668D">
        <w:rPr>
          <w:rFonts w:ascii="Times New Roman" w:eastAsia="Calibri" w:hAnsi="Times New Roman" w:cs="Times New Roman"/>
          <w:sz w:val="24"/>
          <w:szCs w:val="24"/>
        </w:rPr>
        <w:t xml:space="preserve"> weak credit regulation,</w:t>
      </w:r>
      <w:r w:rsidRPr="0017668D">
        <w:rPr>
          <w:rFonts w:ascii="Times New Roman" w:eastAsia="Calibri" w:hAnsi="Times New Roman" w:cs="Times New Roman"/>
          <w:sz w:val="24"/>
          <w:szCs w:val="24"/>
          <w:vertAlign w:val="superscript"/>
        </w:rPr>
        <w:footnoteReference w:id="15"/>
      </w:r>
      <w:r w:rsidRPr="0017668D">
        <w:rPr>
          <w:rFonts w:ascii="Times New Roman" w:eastAsia="Calibri" w:hAnsi="Times New Roman" w:cs="Times New Roman"/>
          <w:sz w:val="24"/>
          <w:szCs w:val="24"/>
        </w:rPr>
        <w:t xml:space="preserve"> deregulation of consumer credit legislation,</w:t>
      </w:r>
      <w:r w:rsidRPr="0017668D">
        <w:rPr>
          <w:rFonts w:ascii="Times New Roman" w:eastAsia="Calibri" w:hAnsi="Times New Roman" w:cs="Times New Roman"/>
          <w:sz w:val="24"/>
          <w:szCs w:val="24"/>
          <w:vertAlign w:val="superscript"/>
        </w:rPr>
        <w:footnoteReference w:id="16"/>
      </w:r>
      <w:r w:rsidRPr="0017668D">
        <w:rPr>
          <w:rFonts w:ascii="Times New Roman" w:eastAsia="Calibri" w:hAnsi="Times New Roman" w:cs="Times New Roman"/>
          <w:sz w:val="24"/>
          <w:szCs w:val="24"/>
        </w:rPr>
        <w:t xml:space="preserve"> </w:t>
      </w:r>
      <w:r w:rsidR="0046282A" w:rsidRPr="0017668D">
        <w:rPr>
          <w:rFonts w:ascii="Times New Roman" w:eastAsia="Calibri" w:hAnsi="Times New Roman" w:cs="Times New Roman"/>
          <w:sz w:val="24"/>
          <w:szCs w:val="24"/>
        </w:rPr>
        <w:t xml:space="preserve">the </w:t>
      </w:r>
      <w:r w:rsidRPr="0017668D">
        <w:rPr>
          <w:rFonts w:ascii="Times New Roman" w:eastAsia="Calibri" w:hAnsi="Times New Roman" w:cs="Times New Roman"/>
          <w:sz w:val="24"/>
          <w:szCs w:val="24"/>
        </w:rPr>
        <w:t xml:space="preserve">self-regulation </w:t>
      </w:r>
      <w:r w:rsidR="0046282A" w:rsidRPr="0017668D">
        <w:rPr>
          <w:rFonts w:ascii="Times New Roman" w:eastAsia="Calibri" w:hAnsi="Times New Roman" w:cs="Times New Roman"/>
          <w:sz w:val="24"/>
          <w:szCs w:val="24"/>
        </w:rPr>
        <w:t xml:space="preserve">of </w:t>
      </w:r>
      <w:r w:rsidR="00C5662D" w:rsidRPr="0017668D">
        <w:rPr>
          <w:rFonts w:ascii="Times New Roman" w:eastAsia="Calibri" w:hAnsi="Times New Roman" w:cs="Times New Roman"/>
          <w:sz w:val="24"/>
          <w:szCs w:val="24"/>
        </w:rPr>
        <w:t>credit rating agencies,</w:t>
      </w:r>
      <w:r w:rsidRPr="0017668D">
        <w:rPr>
          <w:rFonts w:ascii="Times New Roman" w:eastAsia="Calibri" w:hAnsi="Times New Roman" w:cs="Times New Roman"/>
          <w:sz w:val="24"/>
          <w:szCs w:val="24"/>
          <w:vertAlign w:val="superscript"/>
        </w:rPr>
        <w:footnoteReference w:id="17"/>
      </w:r>
      <w:r w:rsidRPr="0017668D">
        <w:rPr>
          <w:rFonts w:ascii="Times New Roman" w:eastAsia="Calibri" w:hAnsi="Times New Roman" w:cs="Times New Roman"/>
          <w:sz w:val="24"/>
          <w:szCs w:val="24"/>
        </w:rPr>
        <w:t xml:space="preserve"> the cu</w:t>
      </w:r>
      <w:r w:rsidR="00C5662D" w:rsidRPr="0017668D">
        <w:rPr>
          <w:rFonts w:ascii="Times New Roman" w:eastAsia="Calibri" w:hAnsi="Times New Roman" w:cs="Times New Roman"/>
          <w:sz w:val="24"/>
          <w:szCs w:val="24"/>
        </w:rPr>
        <w:t xml:space="preserve">lture of some banking practices </w:t>
      </w:r>
      <w:r w:rsidRPr="0017668D">
        <w:rPr>
          <w:rFonts w:ascii="Times New Roman" w:eastAsia="Calibri" w:hAnsi="Times New Roman" w:cs="Times New Roman"/>
          <w:sz w:val="24"/>
          <w:szCs w:val="24"/>
          <w:vertAlign w:val="superscript"/>
        </w:rPr>
        <w:footnoteReference w:id="18"/>
      </w:r>
      <w:r w:rsidR="00C5662D" w:rsidRPr="0017668D">
        <w:rPr>
          <w:rFonts w:ascii="Times New Roman" w:eastAsia="Calibri" w:hAnsi="Times New Roman" w:cs="Times New Roman"/>
          <w:sz w:val="24"/>
          <w:szCs w:val="24"/>
        </w:rPr>
        <w:t xml:space="preserve"> and weak banking regulation.</w:t>
      </w:r>
      <w:r w:rsidR="00B60762" w:rsidRPr="0017668D">
        <w:rPr>
          <w:rStyle w:val="FootnoteReference"/>
          <w:rFonts w:ascii="Times New Roman" w:eastAsia="Calibri" w:hAnsi="Times New Roman" w:cs="Times New Roman"/>
          <w:sz w:val="24"/>
          <w:szCs w:val="24"/>
        </w:rPr>
        <w:footnoteReference w:id="19"/>
      </w:r>
      <w:r w:rsidR="00C5662D" w:rsidRPr="0017668D">
        <w:rPr>
          <w:rFonts w:ascii="Times New Roman" w:eastAsia="Calibri" w:hAnsi="Times New Roman" w:cs="Times New Roman"/>
          <w:sz w:val="24"/>
          <w:szCs w:val="24"/>
        </w:rPr>
        <w:t xml:space="preserve">  </w:t>
      </w:r>
      <w:r w:rsidRPr="0017668D">
        <w:rPr>
          <w:rFonts w:ascii="Times New Roman" w:eastAsia="Calibri" w:hAnsi="Times New Roman" w:cs="Times New Roman"/>
          <w:sz w:val="24"/>
          <w:szCs w:val="24"/>
        </w:rPr>
        <w:t xml:space="preserve">Initially, the link between the financial crisis and financial crime was difficult to quantify.  There is no ‘super villain’ that has become the face of financial crime during the financial crisis.  However, research has concluded that several different types of financial crime have interacted with the traditional variables, as outlined above, that contributed towards the financial crisis.  </w:t>
      </w:r>
      <w:r w:rsidRPr="0017668D">
        <w:rPr>
          <w:rFonts w:ascii="Times New Roman" w:eastAsia="Calibri" w:hAnsi="Times New Roman" w:cs="Times New Roman"/>
          <w:sz w:val="24"/>
          <w:szCs w:val="24"/>
          <w:lang w:eastAsia="en-GB"/>
        </w:rPr>
        <w:t>It is my contention that t</w:t>
      </w:r>
      <w:r w:rsidRPr="0017668D">
        <w:rPr>
          <w:rFonts w:ascii="Times New Roman" w:eastAsia="Calibri" w:hAnsi="Times New Roman" w:cs="Times New Roman"/>
          <w:sz w:val="24"/>
          <w:szCs w:val="24"/>
        </w:rPr>
        <w:t xml:space="preserve">his includes </w:t>
      </w:r>
      <w:r w:rsidRPr="0017668D">
        <w:rPr>
          <w:rFonts w:ascii="Times New Roman" w:eastAsia="Times New Roman" w:hAnsi="Times New Roman" w:cs="Times New Roman"/>
          <w:sz w:val="24"/>
          <w:szCs w:val="24"/>
          <w:lang w:eastAsia="en-GB"/>
        </w:rPr>
        <w:t xml:space="preserve">the relationship between subprime mortgages and mortgage fraud, </w:t>
      </w:r>
      <w:r w:rsidRPr="0017668D">
        <w:rPr>
          <w:rFonts w:ascii="Times New Roman" w:eastAsia="Times New Roman" w:hAnsi="Times New Roman" w:cs="Times New Roman"/>
          <w:bCs/>
          <w:sz w:val="24"/>
          <w:szCs w:val="24"/>
          <w:lang w:eastAsia="en-GB"/>
        </w:rPr>
        <w:t>predatory lending, Ponzi fraud schemes, market misconduct and market manipulation.</w:t>
      </w:r>
      <w:r w:rsidRPr="0017668D">
        <w:rPr>
          <w:rFonts w:ascii="Times New Roman" w:eastAsia="Times New Roman" w:hAnsi="Times New Roman" w:cs="Times New Roman"/>
          <w:bCs/>
          <w:sz w:val="24"/>
          <w:szCs w:val="24"/>
          <w:vertAlign w:val="superscript"/>
          <w:lang w:eastAsia="en-GB"/>
        </w:rPr>
        <w:footnoteReference w:id="20"/>
      </w:r>
      <w:r w:rsidRPr="0017668D">
        <w:rPr>
          <w:rFonts w:ascii="Times New Roman" w:eastAsia="Times New Roman" w:hAnsi="Times New Roman" w:cs="Times New Roman"/>
          <w:bCs/>
          <w:sz w:val="24"/>
          <w:szCs w:val="24"/>
          <w:lang w:eastAsia="en-GB"/>
        </w:rPr>
        <w:t xml:space="preserve"> </w:t>
      </w:r>
      <w:r w:rsidR="00C5662D" w:rsidRPr="0017668D">
        <w:rPr>
          <w:rFonts w:ascii="Times New Roman" w:eastAsia="Times New Roman" w:hAnsi="Times New Roman" w:cs="Times New Roman"/>
          <w:bCs/>
          <w:sz w:val="24"/>
          <w:szCs w:val="24"/>
          <w:lang w:eastAsia="en-GB"/>
        </w:rPr>
        <w:t xml:space="preserve">It is not the purpose of this article to review each of these in detail, but to critically consider the response </w:t>
      </w:r>
      <w:r w:rsidR="00043976">
        <w:rPr>
          <w:rFonts w:ascii="Times New Roman" w:eastAsia="Times New Roman" w:hAnsi="Times New Roman" w:cs="Times New Roman"/>
          <w:bCs/>
          <w:sz w:val="24"/>
          <w:szCs w:val="24"/>
          <w:lang w:eastAsia="en-GB"/>
        </w:rPr>
        <w:t>in the U</w:t>
      </w:r>
      <w:r w:rsidR="004D6919">
        <w:rPr>
          <w:rFonts w:ascii="Times New Roman" w:eastAsia="Times New Roman" w:hAnsi="Times New Roman" w:cs="Times New Roman"/>
          <w:bCs/>
          <w:sz w:val="24"/>
          <w:szCs w:val="24"/>
          <w:lang w:eastAsia="en-GB"/>
        </w:rPr>
        <w:t xml:space="preserve">nited </w:t>
      </w:r>
      <w:r w:rsidR="00043976">
        <w:rPr>
          <w:rFonts w:ascii="Times New Roman" w:eastAsia="Times New Roman" w:hAnsi="Times New Roman" w:cs="Times New Roman"/>
          <w:bCs/>
          <w:sz w:val="24"/>
          <w:szCs w:val="24"/>
          <w:lang w:eastAsia="en-GB"/>
        </w:rPr>
        <w:t>K</w:t>
      </w:r>
      <w:r w:rsidR="004D6919">
        <w:rPr>
          <w:rFonts w:ascii="Times New Roman" w:eastAsia="Times New Roman" w:hAnsi="Times New Roman" w:cs="Times New Roman"/>
          <w:bCs/>
          <w:sz w:val="24"/>
          <w:szCs w:val="24"/>
          <w:lang w:eastAsia="en-GB"/>
        </w:rPr>
        <w:t>ingdom</w:t>
      </w:r>
      <w:r w:rsidR="00043976">
        <w:rPr>
          <w:rFonts w:ascii="Times New Roman" w:eastAsia="Times New Roman" w:hAnsi="Times New Roman" w:cs="Times New Roman"/>
          <w:bCs/>
          <w:sz w:val="24"/>
          <w:szCs w:val="24"/>
          <w:lang w:eastAsia="en-GB"/>
        </w:rPr>
        <w:t xml:space="preserve"> </w:t>
      </w:r>
      <w:r w:rsidR="00C5662D" w:rsidRPr="0017668D">
        <w:rPr>
          <w:rFonts w:ascii="Times New Roman" w:eastAsia="Times New Roman" w:hAnsi="Times New Roman" w:cs="Times New Roman"/>
          <w:bCs/>
          <w:sz w:val="24"/>
          <w:szCs w:val="24"/>
          <w:lang w:eastAsia="en-GB"/>
        </w:rPr>
        <w:t xml:space="preserve">by the </w:t>
      </w:r>
      <w:r w:rsidR="00043976">
        <w:rPr>
          <w:rFonts w:ascii="Times New Roman" w:eastAsia="Times New Roman" w:hAnsi="Times New Roman" w:cs="Times New Roman"/>
          <w:bCs/>
          <w:sz w:val="24"/>
          <w:szCs w:val="24"/>
          <w:lang w:eastAsia="en-GB"/>
        </w:rPr>
        <w:t xml:space="preserve">financial regulator </w:t>
      </w:r>
      <w:r w:rsidR="00165D6D">
        <w:rPr>
          <w:rFonts w:ascii="Times New Roman" w:eastAsia="Times New Roman" w:hAnsi="Times New Roman" w:cs="Times New Roman"/>
          <w:bCs/>
          <w:sz w:val="24"/>
          <w:szCs w:val="24"/>
          <w:lang w:eastAsia="en-GB"/>
        </w:rPr>
        <w:t>towards financial crime during and after the financial crisis</w:t>
      </w:r>
      <w:r w:rsidR="00B60762" w:rsidRPr="0017668D">
        <w:rPr>
          <w:rFonts w:ascii="Times New Roman" w:eastAsia="Times New Roman" w:hAnsi="Times New Roman" w:cs="Times New Roman"/>
          <w:bCs/>
          <w:sz w:val="24"/>
          <w:szCs w:val="24"/>
          <w:lang w:eastAsia="en-GB"/>
        </w:rPr>
        <w:t>.</w:t>
      </w:r>
      <w:r w:rsidR="00C5662D" w:rsidRPr="0017668D">
        <w:rPr>
          <w:rStyle w:val="FootnoteReference"/>
          <w:rFonts w:ascii="Times New Roman" w:eastAsia="Times New Roman" w:hAnsi="Times New Roman" w:cs="Times New Roman"/>
          <w:bCs/>
          <w:sz w:val="24"/>
          <w:szCs w:val="24"/>
          <w:lang w:eastAsia="en-GB"/>
        </w:rPr>
        <w:footnoteReference w:id="21"/>
      </w:r>
    </w:p>
    <w:p w:rsidR="00AB2CB1" w:rsidRDefault="00AB2CB1" w:rsidP="004A5637">
      <w:pPr>
        <w:spacing w:after="0" w:line="480" w:lineRule="auto"/>
        <w:contextualSpacing/>
        <w:jc w:val="both"/>
        <w:rPr>
          <w:rFonts w:ascii="Times New Roman" w:eastAsia="Times New Roman" w:hAnsi="Times New Roman" w:cs="Times New Roman"/>
          <w:bCs/>
          <w:sz w:val="24"/>
          <w:szCs w:val="24"/>
          <w:lang w:eastAsia="en-GB"/>
        </w:rPr>
      </w:pPr>
    </w:p>
    <w:p w:rsidR="00503207" w:rsidRPr="0017668D" w:rsidRDefault="00503207" w:rsidP="004A5637">
      <w:pPr>
        <w:spacing w:after="0" w:line="480" w:lineRule="auto"/>
        <w:contextualSpacing/>
        <w:jc w:val="both"/>
        <w:rPr>
          <w:rFonts w:ascii="Times New Roman" w:eastAsia="Times New Roman" w:hAnsi="Times New Roman" w:cs="Times New Roman"/>
          <w:bCs/>
          <w:sz w:val="24"/>
          <w:szCs w:val="24"/>
          <w:lang w:eastAsia="en-GB"/>
        </w:rPr>
      </w:pPr>
    </w:p>
    <w:p w:rsidR="00AB2CB1" w:rsidRPr="0017668D" w:rsidRDefault="00752D14" w:rsidP="004A5637">
      <w:pPr>
        <w:spacing w:after="0" w:line="480" w:lineRule="auto"/>
        <w:contextualSpacing/>
        <w:jc w:val="both"/>
        <w:rPr>
          <w:rFonts w:ascii="Times New Roman" w:eastAsia="Times New Roman" w:hAnsi="Times New Roman" w:cs="Times New Roman"/>
          <w:b/>
          <w:bCs/>
          <w:sz w:val="24"/>
          <w:szCs w:val="24"/>
          <w:lang w:eastAsia="en-GB"/>
        </w:rPr>
      </w:pPr>
      <w:r w:rsidRPr="0017668D">
        <w:rPr>
          <w:rFonts w:ascii="Times New Roman" w:eastAsia="Times New Roman" w:hAnsi="Times New Roman" w:cs="Times New Roman"/>
          <w:b/>
          <w:bCs/>
          <w:sz w:val="24"/>
          <w:szCs w:val="24"/>
          <w:lang w:eastAsia="en-GB"/>
        </w:rPr>
        <w:lastRenderedPageBreak/>
        <w:t xml:space="preserve">Financial </w:t>
      </w:r>
      <w:r w:rsidR="00082873" w:rsidRPr="0017668D">
        <w:rPr>
          <w:rFonts w:ascii="Times New Roman" w:eastAsia="Times New Roman" w:hAnsi="Times New Roman" w:cs="Times New Roman"/>
          <w:b/>
          <w:bCs/>
          <w:sz w:val="24"/>
          <w:szCs w:val="24"/>
          <w:lang w:eastAsia="en-GB"/>
        </w:rPr>
        <w:t xml:space="preserve">Regulatory Agencies </w:t>
      </w:r>
      <w:r w:rsidR="00AC491C" w:rsidRPr="0017668D">
        <w:rPr>
          <w:rFonts w:ascii="Times New Roman" w:eastAsia="Times New Roman" w:hAnsi="Times New Roman" w:cs="Times New Roman"/>
          <w:b/>
          <w:bCs/>
          <w:sz w:val="24"/>
          <w:szCs w:val="24"/>
          <w:lang w:eastAsia="en-GB"/>
        </w:rPr>
        <w:t>and Financial Crime</w:t>
      </w:r>
    </w:p>
    <w:p w:rsidR="0097369E" w:rsidRPr="0017668D" w:rsidRDefault="0097369E" w:rsidP="004A5637">
      <w:pPr>
        <w:spacing w:after="0" w:line="480" w:lineRule="auto"/>
        <w:contextualSpacing/>
        <w:jc w:val="both"/>
        <w:rPr>
          <w:rFonts w:ascii="Times New Roman" w:eastAsia="Times New Roman" w:hAnsi="Times New Roman" w:cs="Times New Roman"/>
          <w:b/>
          <w:bCs/>
          <w:sz w:val="24"/>
          <w:szCs w:val="24"/>
          <w:lang w:eastAsia="en-GB"/>
        </w:rPr>
      </w:pPr>
    </w:p>
    <w:p w:rsidR="00DE54AF" w:rsidRDefault="007372A2" w:rsidP="004A5637">
      <w:pPr>
        <w:spacing w:after="0" w:line="480" w:lineRule="auto"/>
        <w:contextualSpacing/>
        <w:jc w:val="both"/>
        <w:rPr>
          <w:rFonts w:ascii="Times New Roman" w:eastAsia="SimSun" w:hAnsi="Times New Roman" w:cs="Times New Roman"/>
          <w:sz w:val="24"/>
          <w:szCs w:val="24"/>
          <w:lang w:eastAsia="zh-CN"/>
        </w:rPr>
      </w:pPr>
      <w:r>
        <w:rPr>
          <w:rFonts w:ascii="Times New Roman" w:eastAsia="Times New Roman" w:hAnsi="Times New Roman" w:cs="Times New Roman"/>
          <w:bCs/>
          <w:sz w:val="24"/>
          <w:szCs w:val="24"/>
          <w:lang w:eastAsia="en-GB"/>
        </w:rPr>
        <w:t>T</w:t>
      </w:r>
      <w:r w:rsidR="00082873" w:rsidRPr="0017668D">
        <w:rPr>
          <w:rFonts w:ascii="Times New Roman" w:eastAsia="Times New Roman" w:hAnsi="Times New Roman" w:cs="Times New Roman"/>
          <w:bCs/>
          <w:sz w:val="24"/>
          <w:szCs w:val="24"/>
          <w:lang w:eastAsia="en-GB"/>
        </w:rPr>
        <w:t xml:space="preserve">he Financial Services Act 1986 was heralded by the then Conservative government as providing the Securities and Investment Board with new prosecutorial </w:t>
      </w:r>
      <w:r w:rsidR="00A316C3" w:rsidRPr="0017668D">
        <w:rPr>
          <w:rFonts w:ascii="Times New Roman" w:eastAsia="Times New Roman" w:hAnsi="Times New Roman" w:cs="Times New Roman"/>
          <w:bCs/>
          <w:sz w:val="24"/>
          <w:szCs w:val="24"/>
          <w:lang w:eastAsia="en-GB"/>
        </w:rPr>
        <w:t xml:space="preserve">and enforcement </w:t>
      </w:r>
      <w:r w:rsidR="00082873" w:rsidRPr="0017668D">
        <w:rPr>
          <w:rFonts w:ascii="Times New Roman" w:eastAsia="Times New Roman" w:hAnsi="Times New Roman" w:cs="Times New Roman"/>
          <w:bCs/>
          <w:sz w:val="24"/>
          <w:szCs w:val="24"/>
          <w:lang w:eastAsia="en-GB"/>
        </w:rPr>
        <w:t>powers</w:t>
      </w:r>
      <w:r w:rsidR="004D6919">
        <w:rPr>
          <w:rFonts w:ascii="Times New Roman" w:eastAsia="Times New Roman" w:hAnsi="Times New Roman" w:cs="Times New Roman"/>
          <w:bCs/>
          <w:sz w:val="24"/>
          <w:szCs w:val="24"/>
          <w:lang w:eastAsia="en-GB"/>
        </w:rPr>
        <w:t xml:space="preserve"> to tackle some aspects of financial crime</w:t>
      </w:r>
      <w:r w:rsidR="00E97C13" w:rsidRPr="0017668D">
        <w:rPr>
          <w:rFonts w:ascii="Times New Roman" w:eastAsia="Times New Roman" w:hAnsi="Times New Roman" w:cs="Times New Roman"/>
          <w:bCs/>
          <w:sz w:val="24"/>
          <w:szCs w:val="24"/>
          <w:lang w:eastAsia="en-GB"/>
        </w:rPr>
        <w:t>.</w:t>
      </w:r>
      <w:r w:rsidR="00E97C13" w:rsidRPr="0017668D">
        <w:rPr>
          <w:rStyle w:val="FootnoteReference"/>
          <w:rFonts w:ascii="Times New Roman" w:eastAsia="Times New Roman" w:hAnsi="Times New Roman" w:cs="Times New Roman"/>
          <w:bCs/>
          <w:sz w:val="24"/>
          <w:szCs w:val="24"/>
          <w:lang w:eastAsia="en-GB"/>
        </w:rPr>
        <w:footnoteReference w:id="22"/>
      </w:r>
      <w:r w:rsidR="00A316C3" w:rsidRPr="0017668D">
        <w:rPr>
          <w:rFonts w:ascii="Times New Roman" w:eastAsia="Times New Roman" w:hAnsi="Times New Roman" w:cs="Times New Roman"/>
          <w:bCs/>
          <w:sz w:val="24"/>
          <w:szCs w:val="24"/>
          <w:lang w:eastAsia="en-GB"/>
        </w:rPr>
        <w:t xml:space="preserve">  </w:t>
      </w:r>
      <w:r w:rsidR="00A316C3" w:rsidRPr="0017668D">
        <w:rPr>
          <w:rFonts w:ascii="Times New Roman" w:eastAsia="SimSun" w:hAnsi="Times New Roman" w:cs="Times New Roman"/>
          <w:sz w:val="24"/>
          <w:szCs w:val="24"/>
          <w:lang w:eastAsia="zh-CN"/>
        </w:rPr>
        <w:t>This is a view supported by Grey who took the view that “in order to ensure efficacio</w:t>
      </w:r>
      <w:r w:rsidR="00165D6D">
        <w:rPr>
          <w:rFonts w:ascii="Times New Roman" w:eastAsia="SimSun" w:hAnsi="Times New Roman" w:cs="Times New Roman"/>
          <w:sz w:val="24"/>
          <w:szCs w:val="24"/>
          <w:lang w:eastAsia="zh-CN"/>
        </w:rPr>
        <w:t>us enforcement of the FSA</w:t>
      </w:r>
      <w:r>
        <w:rPr>
          <w:rFonts w:ascii="Times New Roman" w:eastAsia="SimSun" w:hAnsi="Times New Roman" w:cs="Times New Roman"/>
          <w:sz w:val="24"/>
          <w:szCs w:val="24"/>
          <w:lang w:eastAsia="zh-CN"/>
        </w:rPr>
        <w:t xml:space="preserve"> [1986]</w:t>
      </w:r>
      <w:r w:rsidR="00A316C3" w:rsidRPr="0017668D">
        <w:rPr>
          <w:rFonts w:ascii="Times New Roman" w:eastAsia="SimSun" w:hAnsi="Times New Roman" w:cs="Times New Roman"/>
          <w:sz w:val="24"/>
          <w:szCs w:val="24"/>
          <w:lang w:eastAsia="zh-CN"/>
        </w:rPr>
        <w:t xml:space="preserve">, the SIB has an impressive range of </w:t>
      </w:r>
      <w:r w:rsidR="004D6919">
        <w:rPr>
          <w:rFonts w:ascii="Times New Roman" w:eastAsia="SimSun" w:hAnsi="Times New Roman" w:cs="Times New Roman"/>
          <w:sz w:val="24"/>
          <w:szCs w:val="24"/>
          <w:lang w:eastAsia="zh-CN"/>
        </w:rPr>
        <w:t xml:space="preserve">… </w:t>
      </w:r>
      <w:r w:rsidR="00A316C3" w:rsidRPr="0017668D">
        <w:rPr>
          <w:rFonts w:ascii="Times New Roman" w:eastAsia="SimSun" w:hAnsi="Times New Roman" w:cs="Times New Roman"/>
          <w:sz w:val="24"/>
          <w:szCs w:val="24"/>
          <w:lang w:eastAsia="zh-CN"/>
        </w:rPr>
        <w:t>powers”.</w:t>
      </w:r>
      <w:r w:rsidR="00A316C3" w:rsidRPr="0017668D">
        <w:rPr>
          <w:rFonts w:ascii="Times New Roman" w:eastAsia="SimSun" w:hAnsi="Times New Roman" w:cs="Times New Roman"/>
          <w:sz w:val="24"/>
          <w:szCs w:val="24"/>
          <w:vertAlign w:val="superscript"/>
          <w:lang w:eastAsia="zh-CN"/>
        </w:rPr>
        <w:footnoteReference w:id="23"/>
      </w:r>
      <w:r w:rsidR="00A316C3" w:rsidRPr="0017668D">
        <w:rPr>
          <w:rFonts w:ascii="Times New Roman" w:eastAsia="SimSun" w:hAnsi="Times New Roman" w:cs="Times New Roman"/>
          <w:sz w:val="24"/>
          <w:szCs w:val="24"/>
          <w:lang w:eastAsia="zh-CN"/>
        </w:rPr>
        <w:t xml:space="preserve">  </w:t>
      </w:r>
      <w:r w:rsidR="00AA0FC7">
        <w:rPr>
          <w:rFonts w:ascii="Times New Roman" w:eastAsia="SimSun" w:hAnsi="Times New Roman" w:cs="Times New Roman"/>
          <w:sz w:val="24"/>
          <w:szCs w:val="24"/>
          <w:lang w:eastAsia="zh-CN"/>
        </w:rPr>
        <w:t xml:space="preserve">For example, under the </w:t>
      </w:r>
      <w:r>
        <w:rPr>
          <w:rFonts w:ascii="Times New Roman" w:eastAsia="SimSun" w:hAnsi="Times New Roman" w:cs="Times New Roman"/>
          <w:sz w:val="24"/>
          <w:szCs w:val="24"/>
          <w:lang w:eastAsia="zh-CN"/>
        </w:rPr>
        <w:t xml:space="preserve">Financial Services Act </w:t>
      </w:r>
      <w:r w:rsidR="00AA0FC7">
        <w:rPr>
          <w:rFonts w:ascii="Times New Roman" w:eastAsia="SimSun" w:hAnsi="Times New Roman" w:cs="Times New Roman"/>
          <w:sz w:val="24"/>
          <w:szCs w:val="24"/>
          <w:lang w:eastAsia="zh-CN"/>
        </w:rPr>
        <w:t>1986 t</w:t>
      </w:r>
      <w:r w:rsidR="00A316C3" w:rsidRPr="0017668D">
        <w:rPr>
          <w:rFonts w:ascii="Times New Roman" w:eastAsia="SimSun" w:hAnsi="Times New Roman" w:cs="Times New Roman"/>
          <w:sz w:val="24"/>
          <w:szCs w:val="24"/>
          <w:lang w:eastAsia="zh-CN"/>
        </w:rPr>
        <w:t>he SIB could apply for either an injunction or a restitution order against una</w:t>
      </w:r>
      <w:r w:rsidR="00AA0FC7">
        <w:rPr>
          <w:rFonts w:ascii="Times New Roman" w:eastAsia="SimSun" w:hAnsi="Times New Roman" w:cs="Times New Roman"/>
          <w:sz w:val="24"/>
          <w:szCs w:val="24"/>
          <w:lang w:eastAsia="zh-CN"/>
        </w:rPr>
        <w:t>uthorised investment businesses,</w:t>
      </w:r>
      <w:r w:rsidR="00A316C3" w:rsidRPr="0017668D">
        <w:rPr>
          <w:rFonts w:ascii="Times New Roman" w:eastAsia="SimSun" w:hAnsi="Times New Roman" w:cs="Times New Roman"/>
          <w:sz w:val="24"/>
          <w:szCs w:val="24"/>
          <w:vertAlign w:val="superscript"/>
          <w:lang w:eastAsia="zh-CN"/>
        </w:rPr>
        <w:footnoteReference w:id="24"/>
      </w:r>
      <w:r w:rsidR="00AA0FC7">
        <w:rPr>
          <w:rFonts w:ascii="Times New Roman" w:eastAsia="SimSun" w:hAnsi="Times New Roman" w:cs="Times New Roman"/>
          <w:sz w:val="24"/>
          <w:szCs w:val="24"/>
          <w:lang w:eastAsia="zh-CN"/>
        </w:rPr>
        <w:t xml:space="preserve"> it could </w:t>
      </w:r>
      <w:r w:rsidR="00A316C3" w:rsidRPr="0017668D">
        <w:rPr>
          <w:rFonts w:ascii="Times New Roman" w:eastAsia="SimSun" w:hAnsi="Times New Roman" w:cs="Times New Roman"/>
          <w:sz w:val="24"/>
          <w:szCs w:val="24"/>
          <w:lang w:eastAsia="zh-CN"/>
        </w:rPr>
        <w:t xml:space="preserve">bar financial practitioners from operating in </w:t>
      </w:r>
      <w:r w:rsidR="00AA0FC7">
        <w:rPr>
          <w:rFonts w:ascii="Times New Roman" w:eastAsia="SimSun" w:hAnsi="Times New Roman" w:cs="Times New Roman"/>
          <w:sz w:val="24"/>
          <w:szCs w:val="24"/>
          <w:lang w:eastAsia="zh-CN"/>
        </w:rPr>
        <w:t xml:space="preserve">the financial services industry </w:t>
      </w:r>
      <w:r w:rsidR="00A316C3" w:rsidRPr="0017668D">
        <w:rPr>
          <w:rFonts w:ascii="Times New Roman" w:eastAsia="SimSun" w:hAnsi="Times New Roman" w:cs="Times New Roman"/>
          <w:sz w:val="24"/>
          <w:szCs w:val="24"/>
          <w:vertAlign w:val="superscript"/>
          <w:lang w:eastAsia="zh-CN"/>
        </w:rPr>
        <w:footnoteReference w:id="25"/>
      </w:r>
      <w:r w:rsidR="00AA0FC7">
        <w:rPr>
          <w:rFonts w:ascii="Times New Roman" w:eastAsia="SimSun" w:hAnsi="Times New Roman" w:cs="Times New Roman"/>
          <w:sz w:val="24"/>
          <w:szCs w:val="24"/>
          <w:lang w:eastAsia="zh-CN"/>
        </w:rPr>
        <w:t xml:space="preserve"> and </w:t>
      </w:r>
      <w:r>
        <w:rPr>
          <w:rFonts w:ascii="Times New Roman" w:eastAsia="SimSun" w:hAnsi="Times New Roman" w:cs="Times New Roman"/>
          <w:sz w:val="24"/>
          <w:szCs w:val="24"/>
          <w:lang w:eastAsia="zh-CN"/>
        </w:rPr>
        <w:t>it c</w:t>
      </w:r>
      <w:r w:rsidR="00A316C3" w:rsidRPr="0017668D">
        <w:rPr>
          <w:rFonts w:ascii="Times New Roman" w:eastAsia="SimSun" w:hAnsi="Times New Roman" w:cs="Times New Roman"/>
          <w:sz w:val="24"/>
          <w:szCs w:val="24"/>
          <w:lang w:eastAsia="zh-CN"/>
        </w:rPr>
        <w:t>ould apply to the court to wind up either an authorised person or an appointed representative.</w:t>
      </w:r>
      <w:r w:rsidR="00A316C3" w:rsidRPr="0017668D">
        <w:rPr>
          <w:rFonts w:ascii="Times New Roman" w:eastAsia="SimSun" w:hAnsi="Times New Roman" w:cs="Times New Roman"/>
          <w:sz w:val="24"/>
          <w:szCs w:val="24"/>
          <w:vertAlign w:val="superscript"/>
          <w:lang w:eastAsia="zh-CN"/>
        </w:rPr>
        <w:footnoteReference w:id="26"/>
      </w:r>
      <w:r w:rsidR="00A316C3" w:rsidRPr="0017668D">
        <w:rPr>
          <w:rFonts w:ascii="Times New Roman" w:eastAsia="SimSun" w:hAnsi="Times New Roman" w:cs="Times New Roman"/>
          <w:sz w:val="24"/>
          <w:szCs w:val="24"/>
          <w:lang w:eastAsia="zh-CN"/>
        </w:rPr>
        <w:t xml:space="preserve">  </w:t>
      </w:r>
      <w:r w:rsidR="00AA0FC7">
        <w:rPr>
          <w:rFonts w:ascii="Times New Roman" w:eastAsia="SimSun" w:hAnsi="Times New Roman" w:cs="Times New Roman"/>
          <w:sz w:val="24"/>
          <w:szCs w:val="24"/>
          <w:lang w:eastAsia="zh-CN"/>
        </w:rPr>
        <w:t>However, t</w:t>
      </w:r>
      <w:r w:rsidR="00A316C3" w:rsidRPr="0017668D">
        <w:rPr>
          <w:rFonts w:ascii="Times New Roman" w:eastAsia="SimSun" w:hAnsi="Times New Roman" w:cs="Times New Roman"/>
          <w:sz w:val="24"/>
          <w:szCs w:val="24"/>
          <w:lang w:eastAsia="zh-CN"/>
        </w:rPr>
        <w:t xml:space="preserve">he prosecutorial role of the SIB was </w:t>
      </w:r>
      <w:r w:rsidR="00A316C3" w:rsidRPr="007372A2">
        <w:rPr>
          <w:rFonts w:ascii="Times New Roman" w:eastAsia="SimSun" w:hAnsi="Times New Roman" w:cs="Times New Roman"/>
          <w:i/>
          <w:sz w:val="24"/>
          <w:szCs w:val="24"/>
          <w:lang w:eastAsia="zh-CN"/>
        </w:rPr>
        <w:t>limited</w:t>
      </w:r>
      <w:r w:rsidR="00A316C3" w:rsidRPr="0017668D">
        <w:rPr>
          <w:rFonts w:ascii="Times New Roman" w:eastAsia="SimSun" w:hAnsi="Times New Roman" w:cs="Times New Roman"/>
          <w:sz w:val="24"/>
          <w:szCs w:val="24"/>
          <w:lang w:eastAsia="zh-CN"/>
        </w:rPr>
        <w:t xml:space="preserve"> to the breaches relating to the authorisation to conduct investment business and insider dealing.</w:t>
      </w:r>
      <w:r w:rsidR="00A316C3" w:rsidRPr="0017668D">
        <w:rPr>
          <w:rFonts w:ascii="Times New Roman" w:eastAsia="SimSun" w:hAnsi="Times New Roman" w:cs="Times New Roman"/>
          <w:sz w:val="24"/>
          <w:szCs w:val="24"/>
          <w:vertAlign w:val="superscript"/>
          <w:lang w:eastAsia="zh-CN"/>
        </w:rPr>
        <w:footnoteReference w:id="27"/>
      </w:r>
      <w:r w:rsidR="00A316C3" w:rsidRPr="0017668D">
        <w:rPr>
          <w:rFonts w:ascii="Times New Roman" w:eastAsia="SimSun" w:hAnsi="Times New Roman" w:cs="Times New Roman"/>
          <w:sz w:val="24"/>
          <w:szCs w:val="24"/>
          <w:lang w:eastAsia="zh-CN"/>
        </w:rPr>
        <w:t xml:space="preserve">  The enforcement performance </w:t>
      </w:r>
      <w:r w:rsidR="00B60762" w:rsidRPr="0017668D">
        <w:rPr>
          <w:rFonts w:ascii="Times New Roman" w:eastAsia="SimSun" w:hAnsi="Times New Roman" w:cs="Times New Roman"/>
          <w:sz w:val="24"/>
          <w:szCs w:val="24"/>
          <w:lang w:eastAsia="zh-CN"/>
        </w:rPr>
        <w:t xml:space="preserve">of the SIB </w:t>
      </w:r>
      <w:r w:rsidR="00A316C3" w:rsidRPr="0017668D">
        <w:rPr>
          <w:rFonts w:ascii="Times New Roman" w:eastAsia="SimSun" w:hAnsi="Times New Roman" w:cs="Times New Roman"/>
          <w:sz w:val="24"/>
          <w:szCs w:val="24"/>
          <w:lang w:eastAsia="zh-CN"/>
        </w:rPr>
        <w:t xml:space="preserve">was hampered by their </w:t>
      </w:r>
      <w:r w:rsidR="00A316C3" w:rsidRPr="007372A2">
        <w:rPr>
          <w:rFonts w:ascii="Times New Roman" w:eastAsia="SimSun" w:hAnsi="Times New Roman" w:cs="Times New Roman"/>
          <w:i/>
          <w:sz w:val="24"/>
          <w:szCs w:val="24"/>
          <w:lang w:eastAsia="zh-CN"/>
        </w:rPr>
        <w:t>unwillingness</w:t>
      </w:r>
      <w:r w:rsidR="00A316C3" w:rsidRPr="0017668D">
        <w:rPr>
          <w:rFonts w:ascii="Times New Roman" w:eastAsia="SimSun" w:hAnsi="Times New Roman" w:cs="Times New Roman"/>
          <w:sz w:val="24"/>
          <w:szCs w:val="24"/>
          <w:lang w:eastAsia="zh-CN"/>
        </w:rPr>
        <w:t xml:space="preserve"> to h</w:t>
      </w:r>
      <w:r w:rsidR="00B60762" w:rsidRPr="0017668D">
        <w:rPr>
          <w:rFonts w:ascii="Times New Roman" w:eastAsia="SimSun" w:hAnsi="Times New Roman" w:cs="Times New Roman"/>
          <w:sz w:val="24"/>
          <w:szCs w:val="24"/>
          <w:lang w:eastAsia="zh-CN"/>
        </w:rPr>
        <w:t xml:space="preserve">ave a larger prosecutorial role </w:t>
      </w:r>
      <w:r w:rsidR="00A316C3" w:rsidRPr="0017668D">
        <w:rPr>
          <w:rFonts w:ascii="Times New Roman" w:eastAsia="SimSun" w:hAnsi="Times New Roman" w:cs="Times New Roman"/>
          <w:sz w:val="24"/>
          <w:szCs w:val="24"/>
          <w:vertAlign w:val="superscript"/>
          <w:lang w:eastAsia="zh-CN"/>
        </w:rPr>
        <w:footnoteReference w:id="28"/>
      </w:r>
      <w:r w:rsidR="00B60762" w:rsidRPr="0017668D">
        <w:rPr>
          <w:rFonts w:ascii="Times New Roman" w:eastAsia="SimSun" w:hAnsi="Times New Roman" w:cs="Times New Roman"/>
          <w:sz w:val="24"/>
          <w:szCs w:val="24"/>
          <w:lang w:eastAsia="zh-CN"/>
        </w:rPr>
        <w:t xml:space="preserve"> and the agency did </w:t>
      </w:r>
      <w:r w:rsidR="00A316C3" w:rsidRPr="0017668D">
        <w:rPr>
          <w:rFonts w:ascii="Times New Roman" w:eastAsia="SimSun" w:hAnsi="Times New Roman" w:cs="Times New Roman"/>
          <w:sz w:val="24"/>
          <w:szCs w:val="24"/>
          <w:lang w:eastAsia="zh-CN"/>
        </w:rPr>
        <w:t>little to tackle or even prevent commercial fraud.</w:t>
      </w:r>
      <w:r w:rsidR="00A316C3" w:rsidRPr="0017668D">
        <w:rPr>
          <w:rFonts w:ascii="Times New Roman" w:eastAsia="SimSun" w:hAnsi="Times New Roman" w:cs="Times New Roman"/>
          <w:sz w:val="24"/>
          <w:szCs w:val="24"/>
          <w:vertAlign w:val="superscript"/>
          <w:lang w:eastAsia="zh-CN"/>
        </w:rPr>
        <w:footnoteReference w:id="29"/>
      </w:r>
      <w:r w:rsidR="00A316C3" w:rsidRPr="0017668D">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In addition, the Conservative government created the Serious Fraud Office </w:t>
      </w:r>
      <w:r>
        <w:rPr>
          <w:rStyle w:val="FootnoteReference"/>
          <w:rFonts w:ascii="Times New Roman" w:eastAsia="SimSun" w:hAnsi="Times New Roman" w:cs="Times New Roman"/>
          <w:sz w:val="24"/>
          <w:szCs w:val="24"/>
          <w:lang w:eastAsia="zh-CN"/>
        </w:rPr>
        <w:footnoteReference w:id="30"/>
      </w:r>
      <w:r w:rsidR="00DE54AF">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by virtue of the Criminal Justice Act 1987 </w:t>
      </w:r>
      <w:r w:rsidR="004D6919">
        <w:rPr>
          <w:rStyle w:val="FootnoteReference"/>
          <w:rFonts w:ascii="Times New Roman" w:eastAsia="SimSun" w:hAnsi="Times New Roman" w:cs="Times New Roman"/>
          <w:sz w:val="24"/>
          <w:szCs w:val="24"/>
          <w:lang w:eastAsia="zh-CN"/>
        </w:rPr>
        <w:footnoteReference w:id="31"/>
      </w:r>
      <w:r w:rsidR="004D6919">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following the recommendations of the Roskill </w:t>
      </w:r>
      <w:r>
        <w:rPr>
          <w:rFonts w:ascii="Times New Roman" w:eastAsia="SimSun" w:hAnsi="Times New Roman" w:cs="Times New Roman"/>
          <w:sz w:val="24"/>
          <w:szCs w:val="24"/>
          <w:lang w:eastAsia="zh-CN"/>
        </w:rPr>
        <w:lastRenderedPageBreak/>
        <w:t>Committee.</w:t>
      </w:r>
      <w:r>
        <w:rPr>
          <w:rStyle w:val="FootnoteReference"/>
          <w:rFonts w:ascii="Times New Roman" w:eastAsia="SimSun" w:hAnsi="Times New Roman" w:cs="Times New Roman"/>
          <w:sz w:val="24"/>
          <w:szCs w:val="24"/>
          <w:lang w:eastAsia="zh-CN"/>
        </w:rPr>
        <w:footnoteReference w:id="32"/>
      </w:r>
      <w:r>
        <w:rPr>
          <w:rFonts w:ascii="Times New Roman" w:eastAsia="SimSun" w:hAnsi="Times New Roman" w:cs="Times New Roman"/>
          <w:sz w:val="24"/>
          <w:szCs w:val="24"/>
          <w:lang w:eastAsia="zh-CN"/>
        </w:rPr>
        <w:t xml:space="preserve">  The initial remit of the SFO was to tackle serious and complex fraud, yet this has been extended to include bribery and corruption following the enactment of the Bribery Act 2010.</w:t>
      </w:r>
      <w:r w:rsidR="00DE54AF">
        <w:rPr>
          <w:rStyle w:val="FootnoteReference"/>
          <w:rFonts w:ascii="Times New Roman" w:eastAsia="SimSun" w:hAnsi="Times New Roman" w:cs="Times New Roman"/>
          <w:sz w:val="24"/>
          <w:szCs w:val="24"/>
          <w:lang w:eastAsia="zh-CN"/>
        </w:rPr>
        <w:footnoteReference w:id="33"/>
      </w:r>
      <w:r w:rsidR="00DE54AF">
        <w:rPr>
          <w:rFonts w:ascii="Times New Roman" w:eastAsia="SimSun" w:hAnsi="Times New Roman" w:cs="Times New Roman"/>
          <w:sz w:val="24"/>
          <w:szCs w:val="24"/>
          <w:lang w:eastAsia="zh-CN"/>
        </w:rPr>
        <w:t xml:space="preserve">  </w:t>
      </w:r>
      <w:r w:rsidR="00DE54AF" w:rsidRPr="00DE54AF">
        <w:rPr>
          <w:rFonts w:ascii="Times New Roman" w:eastAsia="SimSun" w:hAnsi="Times New Roman" w:cs="Times New Roman"/>
          <w:sz w:val="24"/>
          <w:szCs w:val="24"/>
          <w:lang w:eastAsia="zh-CN"/>
        </w:rPr>
        <w:t xml:space="preserve">The SFO was </w:t>
      </w:r>
      <w:r w:rsidR="00DE54AF" w:rsidRPr="00DE54AF">
        <w:rPr>
          <w:rFonts w:ascii="Times New Roman" w:eastAsia="SimSun" w:hAnsi="Times New Roman" w:cs="Times New Roman"/>
          <w:bCs/>
          <w:sz w:val="24"/>
          <w:szCs w:val="24"/>
          <w:lang w:val="x-none" w:eastAsia="zh-CN"/>
        </w:rPr>
        <w:t xml:space="preserve">established following </w:t>
      </w:r>
      <w:r w:rsidR="00DE54AF" w:rsidRPr="00DE54AF">
        <w:rPr>
          <w:rFonts w:ascii="Times New Roman" w:eastAsia="SimSun" w:hAnsi="Times New Roman" w:cs="Times New Roman"/>
          <w:bCs/>
          <w:sz w:val="24"/>
          <w:szCs w:val="24"/>
          <w:lang w:eastAsia="zh-CN"/>
        </w:rPr>
        <w:t>the</w:t>
      </w:r>
      <w:r w:rsidR="00DE54AF" w:rsidRPr="00DE54AF">
        <w:rPr>
          <w:rFonts w:ascii="Times New Roman" w:eastAsia="SimSun" w:hAnsi="Times New Roman" w:cs="Times New Roman"/>
          <w:bCs/>
          <w:sz w:val="24"/>
          <w:szCs w:val="24"/>
          <w:lang w:val="x-none" w:eastAsia="zh-CN"/>
        </w:rPr>
        <w:t xml:space="preserve"> era of financial deregulation in the 1980s</w:t>
      </w:r>
      <w:r w:rsidR="00DE54AF" w:rsidRPr="00DE54AF">
        <w:rPr>
          <w:rFonts w:ascii="Times New Roman" w:eastAsia="SimSun" w:hAnsi="Times New Roman" w:cs="Times New Roman"/>
          <w:bCs/>
          <w:sz w:val="24"/>
          <w:szCs w:val="24"/>
          <w:lang w:eastAsia="zh-CN"/>
        </w:rPr>
        <w:t xml:space="preserve">, which resulted in the city of </w:t>
      </w:r>
      <w:r w:rsidR="00DE54AF" w:rsidRPr="00DE54AF">
        <w:rPr>
          <w:rFonts w:ascii="Times New Roman" w:eastAsia="SimSun" w:hAnsi="Times New Roman" w:cs="Times New Roman"/>
          <w:bCs/>
          <w:sz w:val="24"/>
          <w:szCs w:val="24"/>
          <w:lang w:val="x-none" w:eastAsia="zh-CN"/>
        </w:rPr>
        <w:t xml:space="preserve">London </w:t>
      </w:r>
      <w:r w:rsidR="00DE54AF" w:rsidRPr="00DE54AF">
        <w:rPr>
          <w:rFonts w:ascii="Times New Roman" w:eastAsia="SimSun" w:hAnsi="Times New Roman" w:cs="Times New Roman"/>
          <w:bCs/>
          <w:sz w:val="24"/>
          <w:szCs w:val="24"/>
          <w:lang w:eastAsia="zh-CN"/>
        </w:rPr>
        <w:t>being perceived as an epicentre for financial criminals</w:t>
      </w:r>
      <w:r w:rsidR="00DE54AF" w:rsidRPr="00DE54AF">
        <w:rPr>
          <w:rFonts w:ascii="Times New Roman" w:eastAsia="SimSun" w:hAnsi="Times New Roman" w:cs="Times New Roman"/>
          <w:bCs/>
          <w:sz w:val="24"/>
          <w:szCs w:val="24"/>
          <w:lang w:val="x-none" w:eastAsia="zh-CN"/>
        </w:rPr>
        <w:t>.</w:t>
      </w:r>
      <w:r w:rsidR="00DE54AF" w:rsidRPr="00DE54AF">
        <w:rPr>
          <w:rFonts w:ascii="Times New Roman" w:eastAsia="SimSun" w:hAnsi="Times New Roman" w:cs="Times New Roman"/>
          <w:bCs/>
          <w:sz w:val="24"/>
          <w:szCs w:val="24"/>
          <w:vertAlign w:val="superscript"/>
          <w:lang w:val="x-none" w:eastAsia="zh-CN"/>
        </w:rPr>
        <w:footnoteReference w:id="34"/>
      </w:r>
      <w:r w:rsidR="00DE54AF" w:rsidRPr="00DE54AF">
        <w:rPr>
          <w:rFonts w:ascii="Times New Roman" w:eastAsia="SimSun" w:hAnsi="Times New Roman" w:cs="Times New Roman"/>
          <w:bCs/>
          <w:sz w:val="24"/>
          <w:szCs w:val="24"/>
          <w:lang w:val="x-none" w:eastAsia="zh-CN"/>
        </w:rPr>
        <w:t xml:space="preserve">  </w:t>
      </w:r>
      <w:r w:rsidR="00DE54AF">
        <w:rPr>
          <w:rFonts w:ascii="Times New Roman" w:eastAsia="SimSun" w:hAnsi="Times New Roman" w:cs="Times New Roman"/>
          <w:bCs/>
          <w:sz w:val="24"/>
          <w:szCs w:val="24"/>
          <w:lang w:eastAsia="zh-CN"/>
        </w:rPr>
        <w:t xml:space="preserve">However, the </w:t>
      </w:r>
      <w:r w:rsidR="00DE54AF" w:rsidRPr="00DE54AF">
        <w:rPr>
          <w:rFonts w:ascii="Times New Roman" w:eastAsia="SimSun" w:hAnsi="Times New Roman" w:cs="Times New Roman"/>
          <w:sz w:val="24"/>
          <w:szCs w:val="24"/>
          <w:lang w:eastAsia="zh-CN"/>
        </w:rPr>
        <w:t xml:space="preserve">effectiveness of the SFO </w:t>
      </w:r>
      <w:r w:rsidR="00DE54AF">
        <w:rPr>
          <w:rFonts w:ascii="Times New Roman" w:eastAsia="SimSun" w:hAnsi="Times New Roman" w:cs="Times New Roman"/>
          <w:sz w:val="24"/>
          <w:szCs w:val="24"/>
          <w:lang w:eastAsia="zh-CN"/>
        </w:rPr>
        <w:t>has been questioned on many occasions</w:t>
      </w:r>
      <w:r w:rsidR="00DE54AF" w:rsidRPr="00DE54AF">
        <w:rPr>
          <w:rFonts w:ascii="Times New Roman" w:eastAsia="SimSun" w:hAnsi="Times New Roman" w:cs="Times New Roman"/>
          <w:sz w:val="24"/>
          <w:szCs w:val="24"/>
          <w:lang w:eastAsia="zh-CN"/>
        </w:rPr>
        <w:t>.</w:t>
      </w:r>
      <w:r w:rsidR="00DE54AF" w:rsidRPr="00DE54AF">
        <w:rPr>
          <w:rFonts w:ascii="Times New Roman" w:eastAsia="SimSun" w:hAnsi="Times New Roman" w:cs="Times New Roman"/>
          <w:sz w:val="24"/>
          <w:szCs w:val="24"/>
          <w:vertAlign w:val="superscript"/>
          <w:lang w:eastAsia="zh-CN"/>
        </w:rPr>
        <w:footnoteReference w:id="35"/>
      </w:r>
      <w:r w:rsidR="00DE54AF" w:rsidRPr="00DE54AF">
        <w:rPr>
          <w:rFonts w:ascii="Times New Roman" w:eastAsia="SimSun" w:hAnsi="Times New Roman" w:cs="Times New Roman"/>
          <w:sz w:val="24"/>
          <w:szCs w:val="24"/>
          <w:lang w:eastAsia="zh-CN"/>
        </w:rPr>
        <w:t xml:space="preserve">  For example, its </w:t>
      </w:r>
      <w:r w:rsidR="00DE54AF" w:rsidRPr="00DE54AF">
        <w:rPr>
          <w:rFonts w:ascii="Times New Roman" w:eastAsia="Times New Roman" w:hAnsi="Times New Roman" w:cs="Times New Roman"/>
          <w:sz w:val="24"/>
          <w:szCs w:val="24"/>
          <w:lang w:val="en" w:eastAsia="en-GB"/>
        </w:rPr>
        <w:t>reputation was tarnished by a several notorious prosecutorial failures including Guinness,</w:t>
      </w:r>
      <w:r w:rsidR="00DE54AF" w:rsidRPr="00DE54AF">
        <w:rPr>
          <w:rFonts w:ascii="Calibri" w:eastAsia="Times New Roman" w:hAnsi="Calibri" w:cs="Times New Roman"/>
          <w:sz w:val="24"/>
          <w:szCs w:val="24"/>
          <w:vertAlign w:val="superscript"/>
          <w:lang w:val="en" w:eastAsia="en-GB"/>
        </w:rPr>
        <w:footnoteReference w:id="36"/>
      </w:r>
      <w:r w:rsidR="00DE54AF" w:rsidRPr="00DE54AF">
        <w:rPr>
          <w:rFonts w:ascii="Times New Roman" w:eastAsia="Times New Roman" w:hAnsi="Times New Roman" w:cs="Times New Roman"/>
          <w:sz w:val="24"/>
          <w:szCs w:val="24"/>
          <w:lang w:val="en" w:eastAsia="en-GB"/>
        </w:rPr>
        <w:t xml:space="preserve"> Blue Arrow,</w:t>
      </w:r>
      <w:r w:rsidR="00DE54AF" w:rsidRPr="00DE54AF">
        <w:rPr>
          <w:rFonts w:ascii="Calibri" w:eastAsia="Times New Roman" w:hAnsi="Calibri" w:cs="Times New Roman"/>
          <w:sz w:val="24"/>
          <w:szCs w:val="24"/>
          <w:vertAlign w:val="superscript"/>
          <w:lang w:val="en" w:eastAsia="en-GB"/>
        </w:rPr>
        <w:footnoteReference w:id="37"/>
      </w:r>
      <w:r w:rsidR="00DE54AF" w:rsidRPr="00DE54AF">
        <w:rPr>
          <w:rFonts w:ascii="Times New Roman" w:eastAsia="Times New Roman" w:hAnsi="Times New Roman" w:cs="Times New Roman"/>
          <w:sz w:val="24"/>
          <w:szCs w:val="24"/>
          <w:lang w:val="en" w:eastAsia="en-GB"/>
        </w:rPr>
        <w:t xml:space="preserve"> Maxwell </w:t>
      </w:r>
      <w:r w:rsidR="00DE54AF" w:rsidRPr="00DE54AF">
        <w:rPr>
          <w:rFonts w:ascii="Calibri" w:eastAsia="Times New Roman" w:hAnsi="Calibri" w:cs="Times New Roman"/>
          <w:sz w:val="24"/>
          <w:szCs w:val="24"/>
          <w:vertAlign w:val="superscript"/>
          <w:lang w:val="en" w:eastAsia="en-GB"/>
        </w:rPr>
        <w:footnoteReference w:id="38"/>
      </w:r>
      <w:r w:rsidR="00DE54AF" w:rsidRPr="00DE54AF">
        <w:rPr>
          <w:rFonts w:ascii="Times New Roman" w:eastAsia="Times New Roman" w:hAnsi="Times New Roman" w:cs="Times New Roman"/>
          <w:sz w:val="24"/>
          <w:szCs w:val="24"/>
          <w:lang w:val="en" w:eastAsia="en-GB"/>
        </w:rPr>
        <w:t xml:space="preserve"> and Levitt.</w:t>
      </w:r>
      <w:r w:rsidR="00DE54AF" w:rsidRPr="00DE54AF">
        <w:rPr>
          <w:rFonts w:ascii="Calibri" w:eastAsia="Times New Roman" w:hAnsi="Calibri" w:cs="Times New Roman"/>
          <w:sz w:val="24"/>
          <w:szCs w:val="24"/>
          <w:vertAlign w:val="superscript"/>
          <w:lang w:val="en" w:eastAsia="en-GB"/>
        </w:rPr>
        <w:footnoteReference w:id="39"/>
      </w:r>
      <w:r w:rsidR="00DE54AF" w:rsidRPr="00DE54AF">
        <w:rPr>
          <w:rFonts w:ascii="Times New Roman" w:eastAsia="Times New Roman" w:hAnsi="Times New Roman" w:cs="Times New Roman"/>
          <w:sz w:val="24"/>
          <w:szCs w:val="24"/>
          <w:lang w:val="en" w:eastAsia="en-GB"/>
        </w:rPr>
        <w:t xml:space="preserve">  Furthermore, the SFO has been in the headlines for its handling of the bribery allegations against BAE Systems and its abandonment of the investigation into arms sales in Saudi Arabia.</w:t>
      </w:r>
      <w:r w:rsidR="00DE54AF" w:rsidRPr="00DE54AF">
        <w:rPr>
          <w:rFonts w:ascii="Calibri" w:eastAsia="Times New Roman" w:hAnsi="Calibri" w:cs="Times New Roman"/>
          <w:sz w:val="24"/>
          <w:szCs w:val="24"/>
          <w:vertAlign w:val="superscript"/>
          <w:lang w:val="en" w:eastAsia="en-GB"/>
        </w:rPr>
        <w:footnoteReference w:id="40"/>
      </w:r>
      <w:r w:rsidR="00DE54AF" w:rsidRPr="00DE54AF">
        <w:rPr>
          <w:rFonts w:ascii="Times New Roman" w:eastAsia="Times New Roman" w:hAnsi="Times New Roman" w:cs="Times New Roman"/>
          <w:sz w:val="24"/>
          <w:szCs w:val="24"/>
          <w:lang w:val="en" w:eastAsia="en-GB"/>
        </w:rPr>
        <w:t xml:space="preserve">  </w:t>
      </w:r>
      <w:r w:rsidR="004D6919">
        <w:rPr>
          <w:rFonts w:ascii="Times New Roman" w:eastAsia="Times New Roman" w:hAnsi="Times New Roman" w:cs="Times New Roman"/>
          <w:sz w:val="24"/>
          <w:szCs w:val="24"/>
          <w:lang w:val="en" w:eastAsia="en-GB"/>
        </w:rPr>
        <w:t>In 2012, the SFO was</w:t>
      </w:r>
      <w:r w:rsidR="00DE54AF" w:rsidRPr="00DE54AF">
        <w:rPr>
          <w:rFonts w:ascii="Times New Roman" w:eastAsia="Times New Roman" w:hAnsi="Times New Roman" w:cs="Times New Roman"/>
          <w:sz w:val="24"/>
          <w:szCs w:val="24"/>
          <w:lang w:val="en" w:eastAsia="en-GB"/>
        </w:rPr>
        <w:t xml:space="preserve"> </w:t>
      </w:r>
      <w:r w:rsidR="00DE54AF" w:rsidRPr="00DE54AF">
        <w:rPr>
          <w:rFonts w:ascii="Times New Roman" w:eastAsia="Times New Roman" w:hAnsi="Times New Roman" w:cs="Times New Roman"/>
          <w:sz w:val="24"/>
          <w:szCs w:val="24"/>
          <w:lang w:val="en" w:eastAsia="en-GB"/>
        </w:rPr>
        <w:lastRenderedPageBreak/>
        <w:t>severely criticized over its poor handling of the Tchenguiz brother’s investigation.</w:t>
      </w:r>
      <w:r w:rsidR="00DE54AF" w:rsidRPr="00DE54AF">
        <w:rPr>
          <w:rFonts w:ascii="Calibri" w:eastAsia="Times New Roman" w:hAnsi="Calibri" w:cs="Times New Roman"/>
          <w:sz w:val="24"/>
          <w:szCs w:val="24"/>
          <w:vertAlign w:val="superscript"/>
          <w:lang w:val="en" w:eastAsia="en-GB"/>
        </w:rPr>
        <w:footnoteReference w:id="41"/>
      </w:r>
      <w:r w:rsidR="00DE54AF" w:rsidRPr="00DE54AF">
        <w:rPr>
          <w:rFonts w:ascii="Times New Roman" w:eastAsia="Times New Roman" w:hAnsi="Times New Roman" w:cs="Times New Roman"/>
          <w:sz w:val="24"/>
          <w:szCs w:val="24"/>
          <w:lang w:val="en" w:eastAsia="en-GB"/>
        </w:rPr>
        <w:t xml:space="preserve">  However, it is important to emphasize that the SFO </w:t>
      </w:r>
      <w:r w:rsidR="00DE54AF" w:rsidRPr="00DE54AF">
        <w:rPr>
          <w:rFonts w:ascii="Times New Roman" w:eastAsia="Times New Roman" w:hAnsi="Times New Roman" w:cs="Times New Roman"/>
          <w:i/>
          <w:sz w:val="24"/>
          <w:szCs w:val="24"/>
          <w:lang w:val="en" w:eastAsia="en-GB"/>
        </w:rPr>
        <w:t>has</w:t>
      </w:r>
      <w:r w:rsidR="00DE54AF" w:rsidRPr="00DE54AF">
        <w:rPr>
          <w:rFonts w:ascii="Times New Roman" w:eastAsia="Times New Roman" w:hAnsi="Times New Roman" w:cs="Times New Roman"/>
          <w:sz w:val="24"/>
          <w:szCs w:val="24"/>
          <w:lang w:val="en" w:eastAsia="en-GB"/>
        </w:rPr>
        <w:t xml:space="preserve"> increased the frequency of its investigations and prosecutions</w:t>
      </w:r>
      <w:r w:rsidR="004D6919">
        <w:rPr>
          <w:rFonts w:ascii="Times New Roman" w:eastAsia="Times New Roman" w:hAnsi="Times New Roman" w:cs="Times New Roman"/>
          <w:sz w:val="24"/>
          <w:szCs w:val="24"/>
          <w:lang w:val="en" w:eastAsia="en-GB"/>
        </w:rPr>
        <w:t>, against a political background of severe financial restrictions imposed by the Coalition government</w:t>
      </w:r>
      <w:r w:rsidR="00DE54AF" w:rsidRPr="00DE54AF">
        <w:rPr>
          <w:rFonts w:ascii="Times New Roman" w:eastAsia="Times New Roman" w:hAnsi="Times New Roman" w:cs="Times New Roman"/>
          <w:sz w:val="24"/>
          <w:szCs w:val="24"/>
          <w:lang w:val="en" w:eastAsia="en-GB"/>
        </w:rPr>
        <w:t>.</w:t>
      </w:r>
      <w:r w:rsidR="004D6919">
        <w:rPr>
          <w:rStyle w:val="FootnoteReference"/>
          <w:rFonts w:ascii="Times New Roman" w:eastAsia="Times New Roman" w:hAnsi="Times New Roman" w:cs="Times New Roman"/>
          <w:sz w:val="24"/>
          <w:szCs w:val="24"/>
          <w:lang w:val="en" w:eastAsia="en-GB"/>
        </w:rPr>
        <w:footnoteReference w:id="42"/>
      </w:r>
      <w:r w:rsidR="00DE54AF" w:rsidRPr="00DE54AF">
        <w:rPr>
          <w:rFonts w:ascii="Times New Roman" w:eastAsia="Times New Roman" w:hAnsi="Times New Roman" w:cs="Times New Roman"/>
          <w:sz w:val="24"/>
          <w:szCs w:val="24"/>
          <w:lang w:val="en" w:eastAsia="en-GB"/>
        </w:rPr>
        <w:t xml:space="preserve">  For example, between 2001 and 2006, the SFO reported a conviction rate of 61%.</w:t>
      </w:r>
      <w:r w:rsidR="00DE54AF" w:rsidRPr="00DE54AF">
        <w:rPr>
          <w:rFonts w:ascii="Calibri" w:eastAsia="Times New Roman" w:hAnsi="Calibri" w:cs="Times New Roman"/>
          <w:sz w:val="24"/>
          <w:szCs w:val="24"/>
          <w:vertAlign w:val="superscript"/>
          <w:lang w:val="en" w:eastAsia="en-GB"/>
        </w:rPr>
        <w:footnoteReference w:id="43"/>
      </w:r>
      <w:r w:rsidR="00DE54AF" w:rsidRPr="00DE54AF">
        <w:rPr>
          <w:rFonts w:ascii="Times New Roman" w:eastAsia="Times New Roman" w:hAnsi="Times New Roman" w:cs="Times New Roman"/>
          <w:sz w:val="24"/>
          <w:szCs w:val="24"/>
          <w:lang w:val="en" w:eastAsia="en-GB"/>
        </w:rPr>
        <w:t xml:space="preserve">  This increased to 71% in 2007.</w:t>
      </w:r>
      <w:r w:rsidR="00DE54AF" w:rsidRPr="00DE54AF">
        <w:rPr>
          <w:rFonts w:ascii="Calibri" w:eastAsia="Times New Roman" w:hAnsi="Calibri" w:cs="Times New Roman"/>
          <w:sz w:val="24"/>
          <w:szCs w:val="24"/>
          <w:vertAlign w:val="superscript"/>
          <w:lang w:val="en" w:eastAsia="en-GB"/>
        </w:rPr>
        <w:footnoteReference w:id="44"/>
      </w:r>
      <w:r w:rsidR="00DE54AF" w:rsidRPr="00DE54AF">
        <w:rPr>
          <w:rFonts w:ascii="Times New Roman" w:eastAsia="Times New Roman" w:hAnsi="Times New Roman" w:cs="Times New Roman"/>
          <w:sz w:val="24"/>
          <w:szCs w:val="24"/>
          <w:lang w:val="en" w:eastAsia="en-GB"/>
        </w:rPr>
        <w:t xml:space="preserve">  By 2008, the conviction rate had fallen slightly to 68%.</w:t>
      </w:r>
      <w:r w:rsidR="00DE54AF" w:rsidRPr="00DE54AF">
        <w:rPr>
          <w:rFonts w:ascii="Calibri" w:eastAsia="Times New Roman" w:hAnsi="Calibri" w:cs="Times New Roman"/>
          <w:sz w:val="24"/>
          <w:szCs w:val="24"/>
          <w:vertAlign w:val="superscript"/>
          <w:lang w:val="en" w:eastAsia="en-GB"/>
        </w:rPr>
        <w:footnoteReference w:id="45"/>
      </w:r>
      <w:r w:rsidR="00DE54AF" w:rsidRPr="00DE54AF">
        <w:rPr>
          <w:rFonts w:ascii="Times New Roman" w:eastAsia="Times New Roman" w:hAnsi="Times New Roman" w:cs="Times New Roman"/>
          <w:sz w:val="24"/>
          <w:szCs w:val="24"/>
          <w:lang w:val="en" w:eastAsia="en-GB"/>
        </w:rPr>
        <w:t xml:space="preserve">  In 2009, the SFO ac</w:t>
      </w:r>
      <w:r w:rsidR="00CC6AD6">
        <w:rPr>
          <w:rFonts w:ascii="Times New Roman" w:eastAsia="Times New Roman" w:hAnsi="Times New Roman" w:cs="Times New Roman"/>
          <w:sz w:val="24"/>
          <w:szCs w:val="24"/>
          <w:lang w:val="en" w:eastAsia="en-GB"/>
        </w:rPr>
        <w:t>hieved a conviction rate of 91%,</w:t>
      </w:r>
      <w:r w:rsidR="00DE54AF" w:rsidRPr="00DE54AF">
        <w:rPr>
          <w:rFonts w:ascii="Calibri" w:eastAsia="Times New Roman" w:hAnsi="Calibri" w:cs="Times New Roman"/>
          <w:sz w:val="24"/>
          <w:szCs w:val="24"/>
          <w:vertAlign w:val="superscript"/>
          <w:lang w:val="en" w:eastAsia="en-GB"/>
        </w:rPr>
        <w:footnoteReference w:id="46"/>
      </w:r>
      <w:r w:rsidR="00DE54AF" w:rsidRPr="00DE54AF">
        <w:rPr>
          <w:rFonts w:ascii="Times New Roman" w:eastAsia="Times New Roman" w:hAnsi="Times New Roman" w:cs="Times New Roman"/>
          <w:sz w:val="24"/>
          <w:szCs w:val="24"/>
          <w:lang w:val="en" w:eastAsia="en-GB"/>
        </w:rPr>
        <w:t xml:space="preserve"> </w:t>
      </w:r>
      <w:r w:rsidR="00DE54AF">
        <w:rPr>
          <w:rFonts w:ascii="Times New Roman" w:eastAsia="Times New Roman" w:hAnsi="Times New Roman" w:cs="Times New Roman"/>
          <w:sz w:val="24"/>
          <w:szCs w:val="24"/>
          <w:lang w:val="en" w:eastAsia="en-GB"/>
        </w:rPr>
        <w:t>84% in 201, 73% in 2011,</w:t>
      </w:r>
      <w:r w:rsidR="00DE54AF" w:rsidRPr="00DE54AF">
        <w:rPr>
          <w:rFonts w:ascii="Calibri" w:eastAsia="Times New Roman" w:hAnsi="Calibri" w:cs="Times New Roman"/>
          <w:sz w:val="24"/>
          <w:szCs w:val="24"/>
          <w:vertAlign w:val="superscript"/>
          <w:lang w:val="en" w:eastAsia="en-GB"/>
        </w:rPr>
        <w:footnoteReference w:id="47"/>
      </w:r>
      <w:r w:rsidR="00DE54AF" w:rsidRPr="00DE54AF">
        <w:rPr>
          <w:rFonts w:ascii="Times New Roman" w:eastAsia="Times New Roman" w:hAnsi="Times New Roman" w:cs="Times New Roman"/>
          <w:sz w:val="24"/>
          <w:szCs w:val="24"/>
          <w:lang w:val="en" w:eastAsia="en-GB"/>
        </w:rPr>
        <w:t xml:space="preserve">  </w:t>
      </w:r>
      <w:r w:rsidR="00DE54AF">
        <w:rPr>
          <w:rFonts w:ascii="Times New Roman" w:eastAsia="Times New Roman" w:hAnsi="Times New Roman" w:cs="Times New Roman"/>
          <w:sz w:val="24"/>
          <w:szCs w:val="24"/>
          <w:lang w:val="en" w:eastAsia="en-GB"/>
        </w:rPr>
        <w:t>70% in 2012,</w:t>
      </w:r>
      <w:r w:rsidR="00DE54AF">
        <w:rPr>
          <w:rStyle w:val="FootnoteReference"/>
          <w:rFonts w:ascii="Times New Roman" w:eastAsia="Times New Roman" w:hAnsi="Times New Roman" w:cs="Times New Roman"/>
          <w:sz w:val="24"/>
          <w:szCs w:val="24"/>
          <w:lang w:val="en" w:eastAsia="en-GB"/>
        </w:rPr>
        <w:footnoteReference w:id="48"/>
      </w:r>
      <w:r w:rsidR="00DE54AF">
        <w:rPr>
          <w:rFonts w:ascii="Times New Roman" w:eastAsia="Times New Roman" w:hAnsi="Times New Roman" w:cs="Times New Roman"/>
          <w:sz w:val="24"/>
          <w:szCs w:val="24"/>
          <w:lang w:val="en" w:eastAsia="en-GB"/>
        </w:rPr>
        <w:t xml:space="preserve"> 85% in 2013 </w:t>
      </w:r>
      <w:r w:rsidR="00DE54AF">
        <w:rPr>
          <w:rStyle w:val="FootnoteReference"/>
          <w:rFonts w:ascii="Times New Roman" w:eastAsia="Times New Roman" w:hAnsi="Times New Roman" w:cs="Times New Roman"/>
          <w:sz w:val="24"/>
          <w:szCs w:val="24"/>
          <w:lang w:val="en" w:eastAsia="en-GB"/>
        </w:rPr>
        <w:footnoteReference w:id="49"/>
      </w:r>
      <w:r w:rsidR="00DE54AF">
        <w:rPr>
          <w:rFonts w:ascii="Times New Roman" w:eastAsia="Times New Roman" w:hAnsi="Times New Roman" w:cs="Times New Roman"/>
          <w:sz w:val="24"/>
          <w:szCs w:val="24"/>
          <w:lang w:val="en" w:eastAsia="en-GB"/>
        </w:rPr>
        <w:t xml:space="preserve"> and 78% in 2014.</w:t>
      </w:r>
      <w:r w:rsidR="00DE54AF">
        <w:rPr>
          <w:rStyle w:val="FootnoteReference"/>
          <w:rFonts w:ascii="Times New Roman" w:eastAsia="Times New Roman" w:hAnsi="Times New Roman" w:cs="Times New Roman"/>
          <w:sz w:val="24"/>
          <w:szCs w:val="24"/>
          <w:lang w:val="en" w:eastAsia="en-GB"/>
        </w:rPr>
        <w:footnoteReference w:id="50"/>
      </w:r>
    </w:p>
    <w:p w:rsidR="00A316C3" w:rsidRPr="0017668D" w:rsidRDefault="00A316C3" w:rsidP="004A5637">
      <w:pPr>
        <w:spacing w:after="0" w:line="480" w:lineRule="auto"/>
        <w:contextualSpacing/>
        <w:jc w:val="both"/>
        <w:rPr>
          <w:rFonts w:ascii="Times New Roman" w:eastAsia="SimSun" w:hAnsi="Times New Roman" w:cs="Times New Roman"/>
          <w:sz w:val="24"/>
          <w:szCs w:val="24"/>
          <w:lang w:eastAsia="zh-CN"/>
        </w:rPr>
      </w:pPr>
    </w:p>
    <w:p w:rsidR="0097369E" w:rsidRPr="002D029F" w:rsidRDefault="00DE54AF" w:rsidP="004A5637">
      <w:pPr>
        <w:spacing w:after="0" w:line="48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The need to review and reform the relationship between financial regulation and financial crime legislation was hastened following the catastrophic collapse of </w:t>
      </w:r>
      <w:r w:rsidR="00A316C3" w:rsidRPr="0017668D">
        <w:rPr>
          <w:rFonts w:ascii="Times New Roman" w:eastAsia="SimSun" w:hAnsi="Times New Roman" w:cs="Times New Roman"/>
          <w:sz w:val="24"/>
          <w:szCs w:val="24"/>
          <w:lang w:eastAsia="zh-CN"/>
        </w:rPr>
        <w:t xml:space="preserve">Bank of Credit Commerce International </w:t>
      </w:r>
      <w:r w:rsidR="00E97C13" w:rsidRPr="0017668D">
        <w:rPr>
          <w:rStyle w:val="FootnoteReference"/>
          <w:rFonts w:ascii="Times New Roman" w:eastAsia="SimSun" w:hAnsi="Times New Roman" w:cs="Times New Roman"/>
          <w:sz w:val="24"/>
          <w:szCs w:val="24"/>
          <w:lang w:eastAsia="zh-CN"/>
        </w:rPr>
        <w:footnoteReference w:id="51"/>
      </w:r>
      <w:r w:rsidR="00A316C3" w:rsidRPr="0017668D">
        <w:rPr>
          <w:rFonts w:ascii="Times New Roman" w:eastAsia="SimSun" w:hAnsi="Times New Roman" w:cs="Times New Roman"/>
          <w:sz w:val="24"/>
          <w:szCs w:val="24"/>
          <w:lang w:eastAsia="zh-CN"/>
        </w:rPr>
        <w:t xml:space="preserve"> and the </w:t>
      </w:r>
      <w:r w:rsidR="00B60762" w:rsidRPr="0017668D">
        <w:rPr>
          <w:rFonts w:ascii="Times New Roman" w:eastAsia="SimSun" w:hAnsi="Times New Roman" w:cs="Times New Roman"/>
          <w:sz w:val="24"/>
          <w:szCs w:val="24"/>
          <w:lang w:eastAsia="zh-CN"/>
        </w:rPr>
        <w:t>failure of Barings Bank</w:t>
      </w:r>
      <w:r>
        <w:rPr>
          <w:rFonts w:ascii="Times New Roman" w:eastAsia="SimSun" w:hAnsi="Times New Roman" w:cs="Times New Roman"/>
          <w:sz w:val="24"/>
          <w:szCs w:val="24"/>
          <w:lang w:eastAsia="zh-CN"/>
        </w:rPr>
        <w:t>.</w:t>
      </w:r>
      <w:r w:rsidR="00E97C13" w:rsidRPr="0017668D">
        <w:rPr>
          <w:rStyle w:val="FootnoteReference"/>
          <w:rFonts w:ascii="Times New Roman" w:eastAsia="SimSun" w:hAnsi="Times New Roman" w:cs="Times New Roman"/>
          <w:sz w:val="24"/>
          <w:szCs w:val="24"/>
          <w:lang w:eastAsia="zh-CN"/>
        </w:rPr>
        <w:footnoteReference w:id="52"/>
      </w:r>
      <w:r w:rsidR="00A316C3" w:rsidRPr="0017668D">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As a result, </w:t>
      </w:r>
      <w:r w:rsidR="00A316C3" w:rsidRPr="0017668D">
        <w:rPr>
          <w:rFonts w:ascii="Times New Roman" w:eastAsia="SimSun" w:hAnsi="Times New Roman" w:cs="Times New Roman"/>
          <w:sz w:val="24"/>
          <w:szCs w:val="24"/>
          <w:lang w:eastAsia="zh-CN"/>
        </w:rPr>
        <w:t>the then</w:t>
      </w:r>
      <w:r w:rsidR="00165D6D">
        <w:rPr>
          <w:rFonts w:ascii="Times New Roman" w:eastAsia="SimSun" w:hAnsi="Times New Roman" w:cs="Times New Roman"/>
          <w:sz w:val="24"/>
          <w:szCs w:val="24"/>
          <w:lang w:eastAsia="zh-CN"/>
        </w:rPr>
        <w:t xml:space="preserve"> newly elected</w:t>
      </w:r>
      <w:r w:rsidR="00A316C3" w:rsidRPr="0017668D">
        <w:rPr>
          <w:rFonts w:ascii="Times New Roman" w:eastAsia="SimSun" w:hAnsi="Times New Roman" w:cs="Times New Roman"/>
          <w:sz w:val="24"/>
          <w:szCs w:val="24"/>
          <w:lang w:eastAsia="zh-CN"/>
        </w:rPr>
        <w:t xml:space="preserve"> Labour Government announced in May 1997</w:t>
      </w:r>
      <w:r w:rsidR="00AC491C" w:rsidRPr="0017668D">
        <w:rPr>
          <w:rFonts w:ascii="Times New Roman" w:eastAsia="SimSun" w:hAnsi="Times New Roman" w:cs="Times New Roman"/>
          <w:sz w:val="24"/>
          <w:szCs w:val="24"/>
          <w:lang w:eastAsia="zh-CN"/>
        </w:rPr>
        <w:t xml:space="preserve"> that it intended to create a single super regulator for the UKs financial services sector, the F</w:t>
      </w:r>
      <w:r w:rsidR="00CC6AD6">
        <w:rPr>
          <w:rFonts w:ascii="Times New Roman" w:eastAsia="SimSun" w:hAnsi="Times New Roman" w:cs="Times New Roman"/>
          <w:sz w:val="24"/>
          <w:szCs w:val="24"/>
          <w:lang w:eastAsia="zh-CN"/>
        </w:rPr>
        <w:t>inancial Services Authority.</w:t>
      </w:r>
      <w:r w:rsidR="00E97C13" w:rsidRPr="0017668D">
        <w:rPr>
          <w:rStyle w:val="FootnoteReference"/>
          <w:rFonts w:ascii="Times New Roman" w:eastAsia="SimSun" w:hAnsi="Times New Roman" w:cs="Times New Roman"/>
          <w:sz w:val="24"/>
          <w:szCs w:val="24"/>
          <w:lang w:eastAsia="zh-CN"/>
        </w:rPr>
        <w:footnoteReference w:id="53"/>
      </w:r>
      <w:r w:rsidR="00AC491C" w:rsidRPr="0017668D">
        <w:rPr>
          <w:rFonts w:ascii="Times New Roman" w:eastAsia="SimSun" w:hAnsi="Times New Roman" w:cs="Times New Roman"/>
          <w:sz w:val="24"/>
          <w:szCs w:val="24"/>
          <w:lang w:eastAsia="zh-CN"/>
        </w:rPr>
        <w:t xml:space="preserve">  The reduction of financial crime became one of the </w:t>
      </w:r>
      <w:r w:rsidR="004E1AB7">
        <w:rPr>
          <w:rFonts w:ascii="Times New Roman" w:eastAsia="SimSun" w:hAnsi="Times New Roman" w:cs="Times New Roman"/>
          <w:sz w:val="24"/>
          <w:szCs w:val="24"/>
          <w:lang w:eastAsia="zh-CN"/>
        </w:rPr>
        <w:t xml:space="preserve">Regulator’s then </w:t>
      </w:r>
      <w:r w:rsidR="00AC491C" w:rsidRPr="0017668D">
        <w:rPr>
          <w:rFonts w:ascii="Times New Roman" w:eastAsia="SimSun" w:hAnsi="Times New Roman" w:cs="Times New Roman"/>
          <w:sz w:val="24"/>
          <w:szCs w:val="24"/>
          <w:lang w:eastAsia="zh-CN"/>
        </w:rPr>
        <w:t xml:space="preserve">four statutory objectives, and </w:t>
      </w:r>
      <w:r w:rsidR="00AC491C" w:rsidRPr="0017668D">
        <w:rPr>
          <w:rFonts w:ascii="Times New Roman" w:eastAsia="SimSun" w:hAnsi="Times New Roman" w:cs="Times New Roman"/>
          <w:sz w:val="24"/>
          <w:szCs w:val="24"/>
          <w:lang w:eastAsia="zh-CN"/>
        </w:rPr>
        <w:lastRenderedPageBreak/>
        <w:t xml:space="preserve">it </w:t>
      </w:r>
      <w:r w:rsidR="004E1AB7">
        <w:rPr>
          <w:rFonts w:ascii="Times New Roman" w:eastAsia="SimSun" w:hAnsi="Times New Roman" w:cs="Times New Roman"/>
          <w:sz w:val="24"/>
          <w:szCs w:val="24"/>
          <w:lang w:eastAsia="zh-CN"/>
        </w:rPr>
        <w:t>has been regarded by this author a</w:t>
      </w:r>
      <w:r w:rsidR="00AC491C" w:rsidRPr="0017668D">
        <w:rPr>
          <w:rFonts w:ascii="Times New Roman" w:eastAsia="SimSun" w:hAnsi="Times New Roman" w:cs="Times New Roman"/>
          <w:sz w:val="24"/>
          <w:szCs w:val="24"/>
          <w:lang w:eastAsia="zh-CN"/>
        </w:rPr>
        <w:t xml:space="preserve">s one of the </w:t>
      </w:r>
      <w:r w:rsidR="00AB2CB1" w:rsidRPr="0017668D">
        <w:rPr>
          <w:rFonts w:ascii="Times New Roman" w:eastAsia="Times New Roman" w:hAnsi="Times New Roman" w:cs="Times New Roman"/>
          <w:bCs/>
          <w:sz w:val="24"/>
          <w:szCs w:val="24"/>
          <w:lang w:eastAsia="en-GB"/>
        </w:rPr>
        <w:t>most innovative aspects of F</w:t>
      </w:r>
      <w:r w:rsidR="00AC491C" w:rsidRPr="0017668D">
        <w:rPr>
          <w:rFonts w:ascii="Times New Roman" w:eastAsia="Times New Roman" w:hAnsi="Times New Roman" w:cs="Times New Roman"/>
          <w:bCs/>
          <w:sz w:val="24"/>
          <w:szCs w:val="24"/>
          <w:lang w:eastAsia="en-GB"/>
        </w:rPr>
        <w:t>SMA 2000</w:t>
      </w:r>
      <w:r w:rsidR="00AB2CB1" w:rsidRPr="0017668D">
        <w:rPr>
          <w:rFonts w:ascii="Times New Roman" w:eastAsia="Times New Roman" w:hAnsi="Times New Roman" w:cs="Times New Roman"/>
          <w:bCs/>
          <w:sz w:val="24"/>
          <w:szCs w:val="24"/>
          <w:lang w:eastAsia="en-GB"/>
        </w:rPr>
        <w:t>.</w:t>
      </w:r>
      <w:r w:rsidR="00AB2CB1" w:rsidRPr="0017668D">
        <w:rPr>
          <w:rFonts w:ascii="Times New Roman" w:eastAsia="Times New Roman" w:hAnsi="Times New Roman" w:cs="Times New Roman"/>
          <w:bCs/>
          <w:sz w:val="24"/>
          <w:szCs w:val="24"/>
          <w:vertAlign w:val="superscript"/>
          <w:lang w:eastAsia="en-GB"/>
        </w:rPr>
        <w:footnoteReference w:id="54"/>
      </w:r>
      <w:r w:rsidR="00AB2CB1" w:rsidRPr="0017668D">
        <w:rPr>
          <w:rFonts w:ascii="Times New Roman" w:eastAsia="Times New Roman" w:hAnsi="Times New Roman" w:cs="Times New Roman"/>
          <w:bCs/>
          <w:sz w:val="24"/>
          <w:szCs w:val="24"/>
          <w:lang w:eastAsia="en-GB"/>
        </w:rPr>
        <w:t xml:space="preserve">  In order to achieve this statutory objective the </w:t>
      </w:r>
      <w:r w:rsidR="00165D6D">
        <w:rPr>
          <w:rFonts w:ascii="Times New Roman" w:eastAsia="Times New Roman" w:hAnsi="Times New Roman" w:cs="Times New Roman"/>
          <w:bCs/>
          <w:sz w:val="24"/>
          <w:szCs w:val="24"/>
          <w:lang w:eastAsia="en-GB"/>
        </w:rPr>
        <w:t>regulator wa</w:t>
      </w:r>
      <w:r w:rsidR="00AB2CB1" w:rsidRPr="0017668D">
        <w:rPr>
          <w:rFonts w:ascii="Times New Roman" w:eastAsia="Times New Roman" w:hAnsi="Times New Roman" w:cs="Times New Roman"/>
          <w:bCs/>
          <w:sz w:val="24"/>
          <w:szCs w:val="24"/>
          <w:lang w:eastAsia="en-GB"/>
        </w:rPr>
        <w:t>s given a plethora of investigative</w:t>
      </w:r>
      <w:r w:rsidR="002D029F">
        <w:rPr>
          <w:rFonts w:ascii="Times New Roman" w:eastAsia="Times New Roman" w:hAnsi="Times New Roman" w:cs="Times New Roman"/>
          <w:bCs/>
          <w:sz w:val="24"/>
          <w:szCs w:val="24"/>
          <w:lang w:eastAsia="en-GB"/>
        </w:rPr>
        <w:t xml:space="preserve"> and </w:t>
      </w:r>
      <w:r w:rsidR="00AB2CB1" w:rsidRPr="0017668D">
        <w:rPr>
          <w:rFonts w:ascii="Times New Roman" w:eastAsia="Times New Roman" w:hAnsi="Times New Roman" w:cs="Times New Roman"/>
          <w:bCs/>
          <w:sz w:val="24"/>
          <w:szCs w:val="24"/>
          <w:lang w:eastAsia="en-GB"/>
        </w:rPr>
        <w:t xml:space="preserve">enforcement powers.  For example, the </w:t>
      </w:r>
      <w:r w:rsidR="004E1AB7">
        <w:rPr>
          <w:rFonts w:ascii="Times New Roman" w:eastAsia="Times New Roman" w:hAnsi="Times New Roman" w:cs="Times New Roman"/>
          <w:bCs/>
          <w:sz w:val="24"/>
          <w:szCs w:val="24"/>
          <w:lang w:eastAsia="en-GB"/>
        </w:rPr>
        <w:t>regulator has become a p</w:t>
      </w:r>
      <w:r w:rsidR="00AB2CB1" w:rsidRPr="0017668D">
        <w:rPr>
          <w:rFonts w:ascii="Times New Roman" w:eastAsia="SimSun" w:hAnsi="Times New Roman" w:cs="Times New Roman"/>
          <w:sz w:val="24"/>
          <w:szCs w:val="24"/>
          <w:lang w:eastAsia="zh-CN"/>
        </w:rPr>
        <w:t>rosecuting authority for money laundering</w:t>
      </w:r>
      <w:r w:rsidR="0053369B">
        <w:rPr>
          <w:rFonts w:ascii="Times New Roman" w:eastAsia="SimSun" w:hAnsi="Times New Roman" w:cs="Times New Roman"/>
          <w:sz w:val="24"/>
          <w:szCs w:val="24"/>
          <w:lang w:eastAsia="zh-CN"/>
        </w:rPr>
        <w:t xml:space="preserve">, </w:t>
      </w:r>
      <w:r w:rsidR="00AB2CB1" w:rsidRPr="0017668D">
        <w:rPr>
          <w:rFonts w:ascii="Times New Roman" w:eastAsia="SimSun" w:hAnsi="Times New Roman" w:cs="Times New Roman"/>
          <w:sz w:val="24"/>
          <w:szCs w:val="24"/>
          <w:lang w:eastAsia="zh-CN"/>
        </w:rPr>
        <w:t>a limited number of fraud related offences</w:t>
      </w:r>
      <w:r w:rsidR="0053369B">
        <w:rPr>
          <w:rFonts w:ascii="Times New Roman" w:eastAsia="SimSun" w:hAnsi="Times New Roman" w:cs="Times New Roman"/>
          <w:sz w:val="24"/>
          <w:szCs w:val="24"/>
          <w:lang w:eastAsia="zh-CN"/>
        </w:rPr>
        <w:t xml:space="preserve"> and insider dealing.</w:t>
      </w:r>
      <w:r w:rsidR="00AB2CB1" w:rsidRPr="0017668D">
        <w:rPr>
          <w:rFonts w:ascii="Times New Roman" w:eastAsia="SimSun" w:hAnsi="Times New Roman" w:cs="Times New Roman"/>
          <w:sz w:val="24"/>
          <w:szCs w:val="24"/>
          <w:lang w:eastAsia="zh-CN"/>
        </w:rPr>
        <w:t xml:space="preserve">  It also has the power to impose financial sanctions where it establishes that there has been a contravention by an authorised person of any of its requirements.</w:t>
      </w:r>
      <w:r w:rsidR="00AB2CB1" w:rsidRPr="0017668D">
        <w:rPr>
          <w:rFonts w:ascii="Times New Roman" w:eastAsia="SimSun" w:hAnsi="Times New Roman" w:cs="Times New Roman"/>
          <w:sz w:val="24"/>
          <w:szCs w:val="24"/>
          <w:vertAlign w:val="superscript"/>
          <w:lang w:eastAsia="zh-CN"/>
        </w:rPr>
        <w:footnoteReference w:id="55"/>
      </w:r>
      <w:r w:rsidR="00AB2CB1" w:rsidRPr="0017668D">
        <w:rPr>
          <w:rFonts w:ascii="Times New Roman" w:eastAsia="SimSun" w:hAnsi="Times New Roman" w:cs="Times New Roman"/>
          <w:sz w:val="24"/>
          <w:szCs w:val="24"/>
          <w:lang w:eastAsia="zh-CN"/>
        </w:rPr>
        <w:t xml:space="preserve">  Furthermore, </w:t>
      </w:r>
      <w:r w:rsidR="004E1AB7">
        <w:rPr>
          <w:rFonts w:ascii="Times New Roman" w:eastAsia="SimSun" w:hAnsi="Times New Roman" w:cs="Times New Roman"/>
          <w:sz w:val="24"/>
          <w:szCs w:val="24"/>
          <w:lang w:eastAsia="zh-CN"/>
        </w:rPr>
        <w:t xml:space="preserve">the </w:t>
      </w:r>
      <w:r w:rsidR="00AB2CB1" w:rsidRPr="0017668D">
        <w:rPr>
          <w:rFonts w:ascii="Times New Roman" w:eastAsia="SimSun" w:hAnsi="Times New Roman" w:cs="Times New Roman"/>
          <w:sz w:val="24"/>
          <w:szCs w:val="24"/>
          <w:lang w:val="en" w:eastAsia="zh-CN"/>
        </w:rPr>
        <w:t>FSA had the power to ban authorized persons and firms from undertaking any regulated activity.</w:t>
      </w:r>
      <w:r w:rsidR="00AB2CB1" w:rsidRPr="0017668D">
        <w:rPr>
          <w:rFonts w:ascii="Times New Roman" w:eastAsia="SimSun" w:hAnsi="Times New Roman" w:cs="Times New Roman"/>
          <w:sz w:val="24"/>
          <w:szCs w:val="24"/>
          <w:vertAlign w:val="superscript"/>
          <w:lang w:val="en" w:eastAsia="zh-CN"/>
        </w:rPr>
        <w:footnoteReference w:id="56"/>
      </w:r>
      <w:r w:rsidR="00AB2CB1" w:rsidRPr="0017668D">
        <w:rPr>
          <w:rFonts w:ascii="Times New Roman" w:eastAsia="SimSun" w:hAnsi="Times New Roman" w:cs="Times New Roman"/>
          <w:sz w:val="24"/>
          <w:szCs w:val="24"/>
          <w:lang w:val="en" w:eastAsia="zh-CN"/>
        </w:rPr>
        <w:t xml:space="preserve">   </w:t>
      </w:r>
      <w:r w:rsidR="00B60762" w:rsidRPr="0017668D">
        <w:rPr>
          <w:rFonts w:ascii="Times New Roman" w:eastAsia="SimSun" w:hAnsi="Times New Roman" w:cs="Times New Roman"/>
          <w:sz w:val="24"/>
          <w:szCs w:val="24"/>
          <w:lang w:eastAsia="zh-CN"/>
        </w:rPr>
        <w:t xml:space="preserve">By virtue of the Financial Services Act 2012, the FSA </w:t>
      </w:r>
      <w:r w:rsidR="002D029F">
        <w:rPr>
          <w:rFonts w:ascii="Times New Roman" w:eastAsia="SimSun" w:hAnsi="Times New Roman" w:cs="Times New Roman"/>
          <w:sz w:val="24"/>
          <w:szCs w:val="24"/>
          <w:lang w:eastAsia="zh-CN"/>
        </w:rPr>
        <w:t xml:space="preserve">was replaced by the Financial Conduct Authority and the </w:t>
      </w:r>
      <w:r w:rsidR="00A26E01">
        <w:rPr>
          <w:rFonts w:ascii="Times New Roman" w:eastAsia="SimSun" w:hAnsi="Times New Roman" w:cs="Times New Roman"/>
          <w:sz w:val="24"/>
          <w:szCs w:val="24"/>
          <w:lang w:eastAsia="zh-CN"/>
        </w:rPr>
        <w:t>financial crime</w:t>
      </w:r>
      <w:r w:rsidR="00B60762" w:rsidRPr="0017668D">
        <w:rPr>
          <w:rFonts w:ascii="Times New Roman" w:eastAsia="SimSun" w:hAnsi="Times New Roman" w:cs="Times New Roman"/>
          <w:sz w:val="24"/>
          <w:szCs w:val="24"/>
          <w:lang w:eastAsia="zh-CN"/>
        </w:rPr>
        <w:t xml:space="preserve"> statutory objective </w:t>
      </w:r>
      <w:r w:rsidR="002D029F">
        <w:rPr>
          <w:rFonts w:ascii="Times New Roman" w:eastAsia="SimSun" w:hAnsi="Times New Roman" w:cs="Times New Roman"/>
          <w:sz w:val="24"/>
          <w:szCs w:val="24"/>
          <w:lang w:eastAsia="zh-CN"/>
        </w:rPr>
        <w:t xml:space="preserve">was </w:t>
      </w:r>
      <w:r w:rsidR="00B60762" w:rsidRPr="0017668D">
        <w:rPr>
          <w:rFonts w:ascii="Times New Roman" w:eastAsia="SimSun" w:hAnsi="Times New Roman" w:cs="Times New Roman"/>
          <w:sz w:val="24"/>
          <w:szCs w:val="24"/>
          <w:lang w:eastAsia="zh-CN"/>
        </w:rPr>
        <w:t xml:space="preserve">removed and it is now associated with the FCAs </w:t>
      </w:r>
      <w:r w:rsidR="00B60762" w:rsidRPr="0017668D">
        <w:rPr>
          <w:rFonts w:ascii="Times New Roman" w:eastAsia="Times New Roman" w:hAnsi="Times New Roman" w:cs="Times New Roman"/>
          <w:sz w:val="24"/>
          <w:szCs w:val="24"/>
          <w:lang w:val="en" w:eastAsia="en-GB"/>
        </w:rPr>
        <w:t xml:space="preserve">consumer protection </w:t>
      </w:r>
      <w:r w:rsidR="002D029F">
        <w:rPr>
          <w:rFonts w:ascii="Times New Roman" w:eastAsia="Times New Roman" w:hAnsi="Times New Roman" w:cs="Times New Roman"/>
          <w:sz w:val="24"/>
          <w:szCs w:val="24"/>
          <w:lang w:val="en" w:eastAsia="en-GB"/>
        </w:rPr>
        <w:t>and market integrity objectives.</w:t>
      </w:r>
      <w:r w:rsidR="00B60762" w:rsidRPr="0017668D">
        <w:rPr>
          <w:rFonts w:ascii="Times New Roman" w:eastAsia="Times New Roman" w:hAnsi="Times New Roman" w:cs="Times New Roman"/>
          <w:sz w:val="24"/>
          <w:szCs w:val="24"/>
          <w:vertAlign w:val="superscript"/>
          <w:lang w:val="en" w:eastAsia="en-GB"/>
        </w:rPr>
        <w:footnoteReference w:id="57"/>
      </w:r>
      <w:r w:rsidR="00B60762" w:rsidRPr="0017668D">
        <w:rPr>
          <w:rFonts w:ascii="Times New Roman" w:eastAsia="Times New Roman" w:hAnsi="Times New Roman" w:cs="Times New Roman"/>
          <w:sz w:val="24"/>
          <w:szCs w:val="24"/>
          <w:lang w:val="en" w:eastAsia="en-GB"/>
        </w:rPr>
        <w:t xml:space="preserve">  </w:t>
      </w:r>
      <w:r w:rsidR="0053369B">
        <w:rPr>
          <w:rFonts w:ascii="Times New Roman" w:eastAsia="Times New Roman" w:hAnsi="Times New Roman" w:cs="Times New Roman"/>
          <w:sz w:val="24"/>
          <w:szCs w:val="24"/>
          <w:lang w:val="en" w:eastAsia="en-GB"/>
        </w:rPr>
        <w:t xml:space="preserve">The FCA </w:t>
      </w:r>
      <w:r w:rsidR="00B60762" w:rsidRPr="0017668D">
        <w:rPr>
          <w:rFonts w:ascii="Times New Roman" w:eastAsia="Times New Roman" w:hAnsi="Times New Roman" w:cs="Times New Roman"/>
          <w:sz w:val="24"/>
          <w:szCs w:val="24"/>
          <w:lang w:val="en" w:eastAsia="en-GB"/>
        </w:rPr>
        <w:t>stated that “one of our objectives is to ensure the integrity of the markets … a key part of that is ensuring that our markets operate honestly and that the firms we regulate understand, and manage, the financial crime risks that they face”.</w:t>
      </w:r>
      <w:r w:rsidR="00B60762" w:rsidRPr="0017668D">
        <w:rPr>
          <w:rFonts w:ascii="Times New Roman" w:eastAsia="Times New Roman" w:hAnsi="Times New Roman" w:cs="Times New Roman"/>
          <w:sz w:val="24"/>
          <w:szCs w:val="24"/>
          <w:vertAlign w:val="superscript"/>
          <w:lang w:val="en" w:eastAsia="en-GB"/>
        </w:rPr>
        <w:footnoteReference w:id="58"/>
      </w:r>
      <w:r w:rsidR="00B60762" w:rsidRPr="0017668D">
        <w:rPr>
          <w:rFonts w:ascii="Times New Roman" w:eastAsia="Times New Roman" w:hAnsi="Times New Roman" w:cs="Times New Roman"/>
          <w:sz w:val="24"/>
          <w:szCs w:val="24"/>
          <w:lang w:val="en" w:eastAsia="en-GB"/>
        </w:rPr>
        <w:t xml:space="preserve">  </w:t>
      </w:r>
      <w:r w:rsidR="008C78FD" w:rsidRPr="0017668D">
        <w:rPr>
          <w:rFonts w:ascii="Times New Roman" w:eastAsia="Times New Roman" w:hAnsi="Times New Roman" w:cs="Times New Roman"/>
          <w:sz w:val="24"/>
          <w:szCs w:val="24"/>
          <w:lang w:val="en" w:eastAsia="en-GB"/>
        </w:rPr>
        <w:t>Hill stated that “</w:t>
      </w:r>
      <w:r w:rsidR="008C78FD" w:rsidRPr="0017668D">
        <w:rPr>
          <w:rFonts w:ascii="Times New Roman" w:eastAsia="Calibri" w:hAnsi="Times New Roman" w:cs="Times New Roman"/>
          <w:sz w:val="24"/>
          <w:szCs w:val="24"/>
          <w:lang w:eastAsia="en-GB"/>
        </w:rPr>
        <w:t>the FCA must also have regard to taking action in relation to financial crime. This will be a freestanding duty to take action in relation to any fraud, dishonesty, misconduct and handling the proceeds of crime”.</w:t>
      </w:r>
      <w:r w:rsidR="008C78FD" w:rsidRPr="0017668D">
        <w:rPr>
          <w:rFonts w:ascii="Times New Roman" w:eastAsia="Calibri" w:hAnsi="Times New Roman" w:cs="Times New Roman"/>
          <w:sz w:val="24"/>
          <w:szCs w:val="24"/>
          <w:vertAlign w:val="superscript"/>
          <w:lang w:eastAsia="en-GB"/>
        </w:rPr>
        <w:footnoteReference w:id="59"/>
      </w:r>
      <w:r w:rsidR="008C78FD">
        <w:rPr>
          <w:rFonts w:ascii="Times New Roman" w:eastAsia="Calibri" w:hAnsi="Times New Roman" w:cs="Times New Roman"/>
          <w:sz w:val="24"/>
          <w:szCs w:val="24"/>
          <w:lang w:eastAsia="en-GB"/>
        </w:rPr>
        <w:t xml:space="preserve">  </w:t>
      </w:r>
      <w:r w:rsidR="00B60762" w:rsidRPr="0017668D">
        <w:rPr>
          <w:rFonts w:ascii="Times New Roman" w:eastAsia="SimSun" w:hAnsi="Times New Roman" w:cs="Times New Roman"/>
          <w:sz w:val="24"/>
          <w:szCs w:val="24"/>
          <w:lang w:eastAsia="zh-CN"/>
        </w:rPr>
        <w:t xml:space="preserve">The </w:t>
      </w:r>
      <w:r w:rsidR="008C78FD">
        <w:rPr>
          <w:rFonts w:ascii="Times New Roman" w:eastAsia="SimSun" w:hAnsi="Times New Roman" w:cs="Times New Roman"/>
          <w:sz w:val="24"/>
          <w:szCs w:val="24"/>
          <w:lang w:eastAsia="zh-CN"/>
        </w:rPr>
        <w:t xml:space="preserve">regulator </w:t>
      </w:r>
      <w:r w:rsidR="00B60762" w:rsidRPr="0017668D">
        <w:rPr>
          <w:rFonts w:ascii="Times New Roman" w:eastAsia="SimSun" w:hAnsi="Times New Roman" w:cs="Times New Roman"/>
          <w:sz w:val="24"/>
          <w:szCs w:val="24"/>
          <w:lang w:eastAsia="zh-CN"/>
        </w:rPr>
        <w:t>will</w:t>
      </w:r>
      <w:r w:rsidR="008C78FD">
        <w:rPr>
          <w:rFonts w:ascii="Times New Roman" w:eastAsia="SimSun" w:hAnsi="Times New Roman" w:cs="Times New Roman"/>
          <w:sz w:val="24"/>
          <w:szCs w:val="24"/>
          <w:lang w:eastAsia="zh-CN"/>
        </w:rPr>
        <w:t xml:space="preserve"> continue to co</w:t>
      </w:r>
      <w:r w:rsidR="00B60762" w:rsidRPr="0017668D">
        <w:rPr>
          <w:rFonts w:ascii="Times New Roman" w:eastAsia="SimSun" w:hAnsi="Times New Roman" w:cs="Times New Roman"/>
          <w:sz w:val="24"/>
          <w:szCs w:val="24"/>
          <w:lang w:eastAsia="zh-CN"/>
        </w:rPr>
        <w:t>ncentrate its resources towards maintaining “</w:t>
      </w:r>
      <w:r w:rsidR="00B60762" w:rsidRPr="0017668D">
        <w:rPr>
          <w:rFonts w:ascii="Times New Roman" w:eastAsia="Calibri" w:hAnsi="Times New Roman" w:cs="Times New Roman"/>
          <w:sz w:val="24"/>
          <w:szCs w:val="24"/>
          <w:lang w:eastAsia="en-GB"/>
        </w:rPr>
        <w:t>standards of conduct in the financial services industry”.</w:t>
      </w:r>
      <w:r w:rsidR="00B60762" w:rsidRPr="0017668D">
        <w:rPr>
          <w:rFonts w:ascii="Times New Roman" w:eastAsia="Calibri" w:hAnsi="Times New Roman" w:cs="Times New Roman"/>
          <w:sz w:val="24"/>
          <w:szCs w:val="24"/>
          <w:vertAlign w:val="superscript"/>
          <w:lang w:eastAsia="en-GB"/>
        </w:rPr>
        <w:footnoteReference w:id="60"/>
      </w:r>
      <w:r w:rsidR="00B60762" w:rsidRPr="0017668D">
        <w:rPr>
          <w:rFonts w:ascii="Times New Roman" w:eastAsia="Calibri" w:hAnsi="Times New Roman" w:cs="Times New Roman"/>
          <w:sz w:val="24"/>
          <w:szCs w:val="24"/>
          <w:lang w:eastAsia="en-GB"/>
        </w:rPr>
        <w:t xml:space="preserve"> This means that the FCA will adopt a very similar approach towards the reduction of financial crime as that adopted by the FSA, namely that regulated firms must have appropriate systems and controls.  Another legacy left by the </w:t>
      </w:r>
      <w:r w:rsidR="00B60762" w:rsidRPr="0017668D">
        <w:rPr>
          <w:rFonts w:ascii="Times New Roman" w:eastAsia="Calibri" w:hAnsi="Times New Roman" w:cs="Times New Roman"/>
          <w:sz w:val="24"/>
          <w:szCs w:val="24"/>
          <w:lang w:eastAsia="en-GB"/>
        </w:rPr>
        <w:lastRenderedPageBreak/>
        <w:t>FSA are the “the tools that are currently available to the FSA. It will be able to impose penalties for market abuse, instigate criminal proceedings for insider dealing and market manipulation and it will act as a ‘competent authority’ in relation to money laundering”.</w:t>
      </w:r>
      <w:r w:rsidR="00B60762" w:rsidRPr="0017668D">
        <w:rPr>
          <w:rFonts w:ascii="Times New Roman" w:eastAsia="Calibri" w:hAnsi="Times New Roman" w:cs="Times New Roman"/>
          <w:sz w:val="24"/>
          <w:szCs w:val="24"/>
          <w:vertAlign w:val="superscript"/>
          <w:lang w:eastAsia="en-GB"/>
        </w:rPr>
        <w:footnoteReference w:id="61"/>
      </w:r>
      <w:r w:rsidR="00B60762" w:rsidRPr="0017668D">
        <w:rPr>
          <w:rFonts w:ascii="Times New Roman" w:eastAsia="Calibri" w:hAnsi="Times New Roman" w:cs="Times New Roman"/>
          <w:sz w:val="24"/>
          <w:szCs w:val="24"/>
          <w:lang w:eastAsia="en-GB"/>
        </w:rPr>
        <w:t xml:space="preserve">  Furthermore, the FCA will be expected to follow and further develop the FSA’s credible deterrence strategy.</w:t>
      </w:r>
      <w:r w:rsidR="00B60762" w:rsidRPr="0017668D">
        <w:rPr>
          <w:rFonts w:ascii="Times New Roman" w:eastAsia="Calibri" w:hAnsi="Times New Roman" w:cs="Times New Roman"/>
          <w:sz w:val="24"/>
          <w:szCs w:val="24"/>
          <w:vertAlign w:val="superscript"/>
          <w:lang w:eastAsia="en-GB"/>
        </w:rPr>
        <w:footnoteReference w:id="62"/>
      </w:r>
      <w:r w:rsidR="00B60762" w:rsidRPr="0017668D">
        <w:rPr>
          <w:rFonts w:ascii="Times New Roman" w:eastAsia="Calibri" w:hAnsi="Times New Roman" w:cs="Times New Roman"/>
          <w:sz w:val="24"/>
          <w:szCs w:val="24"/>
          <w:lang w:eastAsia="en-GB"/>
        </w:rPr>
        <w:t xml:space="preserve">  This would involve the FCA continuing to “taking tough, targeted, effective and public action against misconduct perpetrated by firms and individuals”.</w:t>
      </w:r>
      <w:r w:rsidR="00B60762" w:rsidRPr="0017668D">
        <w:rPr>
          <w:rFonts w:ascii="Times New Roman" w:eastAsia="Calibri" w:hAnsi="Times New Roman" w:cs="Times New Roman"/>
          <w:sz w:val="24"/>
          <w:szCs w:val="24"/>
          <w:vertAlign w:val="superscript"/>
          <w:lang w:eastAsia="en-GB"/>
        </w:rPr>
        <w:footnoteReference w:id="63"/>
      </w:r>
      <w:r w:rsidR="00B60762" w:rsidRPr="0017668D">
        <w:rPr>
          <w:rFonts w:ascii="Times New Roman" w:eastAsia="Calibri" w:hAnsi="Times New Roman" w:cs="Times New Roman"/>
          <w:sz w:val="24"/>
          <w:szCs w:val="24"/>
          <w:lang w:eastAsia="en-GB"/>
        </w:rPr>
        <w:t xml:space="preserve">  However, it is important to note that there is an expectation that the FCA will be more </w:t>
      </w:r>
      <w:r w:rsidR="00B60762" w:rsidRPr="008C78FD">
        <w:rPr>
          <w:rFonts w:ascii="Times New Roman" w:eastAsia="Calibri" w:hAnsi="Times New Roman" w:cs="Times New Roman"/>
          <w:i/>
          <w:sz w:val="24"/>
          <w:szCs w:val="24"/>
          <w:lang w:eastAsia="en-GB"/>
        </w:rPr>
        <w:t>proactive</w:t>
      </w:r>
      <w:r w:rsidR="008C78FD">
        <w:rPr>
          <w:rFonts w:ascii="Times New Roman" w:eastAsia="Calibri" w:hAnsi="Times New Roman" w:cs="Times New Roman"/>
          <w:sz w:val="24"/>
          <w:szCs w:val="24"/>
          <w:lang w:eastAsia="en-GB"/>
        </w:rPr>
        <w:t xml:space="preserve"> than</w:t>
      </w:r>
      <w:r w:rsidR="00B60762" w:rsidRPr="0017668D">
        <w:rPr>
          <w:rFonts w:ascii="Times New Roman" w:eastAsia="Calibri" w:hAnsi="Times New Roman" w:cs="Times New Roman"/>
          <w:sz w:val="24"/>
          <w:szCs w:val="24"/>
          <w:lang w:eastAsia="en-GB"/>
        </w:rPr>
        <w:t xml:space="preserve"> </w:t>
      </w:r>
      <w:r w:rsidR="008C78FD">
        <w:rPr>
          <w:rFonts w:ascii="Times New Roman" w:eastAsia="Calibri" w:hAnsi="Times New Roman" w:cs="Times New Roman"/>
          <w:sz w:val="24"/>
          <w:szCs w:val="24"/>
          <w:lang w:eastAsia="en-GB"/>
        </w:rPr>
        <w:t xml:space="preserve">its predecessor </w:t>
      </w:r>
      <w:r w:rsidR="00C468E1">
        <w:rPr>
          <w:rFonts w:ascii="Times New Roman" w:eastAsia="Calibri" w:hAnsi="Times New Roman" w:cs="Times New Roman"/>
          <w:sz w:val="24"/>
          <w:szCs w:val="24"/>
          <w:lang w:eastAsia="en-GB"/>
        </w:rPr>
        <w:t>by initiating</w:t>
      </w:r>
      <w:r w:rsidR="00B60762" w:rsidRPr="0017668D">
        <w:rPr>
          <w:rFonts w:ascii="Times New Roman" w:eastAsia="Calibri" w:hAnsi="Times New Roman" w:cs="Times New Roman"/>
          <w:sz w:val="24"/>
          <w:szCs w:val="24"/>
          <w:lang w:eastAsia="en-GB"/>
        </w:rPr>
        <w:t xml:space="preserve"> more cases </w:t>
      </w:r>
      <w:r w:rsidR="00C468E1">
        <w:rPr>
          <w:rFonts w:ascii="Times New Roman" w:eastAsia="Calibri" w:hAnsi="Times New Roman" w:cs="Times New Roman"/>
          <w:sz w:val="24"/>
          <w:szCs w:val="24"/>
          <w:lang w:eastAsia="en-GB"/>
        </w:rPr>
        <w:t xml:space="preserve">and imposing </w:t>
      </w:r>
      <w:r w:rsidR="00B60762" w:rsidRPr="0017668D">
        <w:rPr>
          <w:rFonts w:ascii="Times New Roman" w:eastAsia="Calibri" w:hAnsi="Times New Roman" w:cs="Times New Roman"/>
          <w:sz w:val="24"/>
          <w:szCs w:val="24"/>
          <w:lang w:eastAsia="en-GB"/>
        </w:rPr>
        <w:t>stronger penalties.</w:t>
      </w:r>
      <w:r w:rsidR="00B60762" w:rsidRPr="0017668D">
        <w:rPr>
          <w:rFonts w:ascii="Times New Roman" w:eastAsia="Calibri" w:hAnsi="Times New Roman" w:cs="Times New Roman"/>
          <w:sz w:val="24"/>
          <w:szCs w:val="24"/>
          <w:vertAlign w:val="superscript"/>
          <w:lang w:eastAsia="en-GB"/>
        </w:rPr>
        <w:footnoteReference w:id="64"/>
      </w:r>
      <w:r w:rsidR="00B60762" w:rsidRPr="0017668D">
        <w:rPr>
          <w:rFonts w:ascii="Times New Roman" w:eastAsia="Calibri" w:hAnsi="Times New Roman" w:cs="Times New Roman"/>
          <w:sz w:val="24"/>
          <w:szCs w:val="24"/>
          <w:lang w:eastAsia="en-GB"/>
        </w:rPr>
        <w:t xml:space="preserve">  Therefore, in light of this </w:t>
      </w:r>
      <w:r w:rsidR="002D029F">
        <w:rPr>
          <w:rFonts w:ascii="Times New Roman" w:eastAsia="Calibri" w:hAnsi="Times New Roman" w:cs="Times New Roman"/>
          <w:sz w:val="24"/>
          <w:szCs w:val="24"/>
          <w:lang w:eastAsia="en-GB"/>
        </w:rPr>
        <w:t xml:space="preserve">the </w:t>
      </w:r>
      <w:r w:rsidR="00B60762" w:rsidRPr="0017668D">
        <w:rPr>
          <w:rFonts w:ascii="Times New Roman" w:eastAsia="SimSun" w:hAnsi="Times New Roman" w:cs="Times New Roman"/>
          <w:sz w:val="24"/>
          <w:szCs w:val="24"/>
          <w:lang w:val="en" w:eastAsia="zh-CN"/>
        </w:rPr>
        <w:t xml:space="preserve">article now turns to critically </w:t>
      </w:r>
      <w:r w:rsidR="002647BB">
        <w:rPr>
          <w:rFonts w:ascii="Times New Roman" w:eastAsia="SimSun" w:hAnsi="Times New Roman" w:cs="Times New Roman"/>
          <w:sz w:val="24"/>
          <w:szCs w:val="24"/>
          <w:lang w:val="en" w:eastAsia="zh-CN"/>
        </w:rPr>
        <w:t xml:space="preserve">review the use of civil and criminal mechanisms </w:t>
      </w:r>
      <w:r w:rsidR="00B60762" w:rsidRPr="0017668D">
        <w:rPr>
          <w:rFonts w:ascii="Times New Roman" w:eastAsia="SimSun" w:hAnsi="Times New Roman" w:cs="Times New Roman"/>
          <w:sz w:val="24"/>
          <w:szCs w:val="24"/>
          <w:lang w:val="en" w:eastAsia="zh-CN"/>
        </w:rPr>
        <w:t>since the onset of the most recent financial crisis.</w:t>
      </w:r>
      <w:r w:rsidR="00AB2CB1" w:rsidRPr="0017668D">
        <w:rPr>
          <w:rFonts w:ascii="Times New Roman" w:eastAsia="SimSun" w:hAnsi="Times New Roman" w:cs="Times New Roman"/>
          <w:sz w:val="24"/>
          <w:szCs w:val="24"/>
          <w:lang w:val="en" w:eastAsia="zh-CN"/>
        </w:rPr>
        <w:t xml:space="preserve"> </w:t>
      </w:r>
    </w:p>
    <w:p w:rsidR="0097369E" w:rsidRPr="0017668D" w:rsidRDefault="0097369E" w:rsidP="004A5637">
      <w:pPr>
        <w:spacing w:after="0" w:line="480" w:lineRule="auto"/>
        <w:contextualSpacing/>
        <w:jc w:val="both"/>
        <w:rPr>
          <w:rFonts w:ascii="Times New Roman" w:eastAsia="SimSun" w:hAnsi="Times New Roman" w:cs="Times New Roman"/>
          <w:sz w:val="24"/>
          <w:szCs w:val="24"/>
          <w:lang w:val="en" w:eastAsia="zh-CN"/>
        </w:rPr>
      </w:pPr>
    </w:p>
    <w:p w:rsidR="00B60762" w:rsidRPr="0017668D" w:rsidRDefault="00B60762" w:rsidP="004A5637">
      <w:pPr>
        <w:spacing w:after="0" w:line="480" w:lineRule="auto"/>
        <w:contextualSpacing/>
        <w:jc w:val="both"/>
        <w:rPr>
          <w:rFonts w:ascii="Times New Roman" w:eastAsia="Times New Roman" w:hAnsi="Times New Roman" w:cs="Times New Roman"/>
          <w:b/>
          <w:bCs/>
          <w:sz w:val="24"/>
          <w:szCs w:val="24"/>
          <w:lang w:eastAsia="en-GB"/>
        </w:rPr>
      </w:pPr>
      <w:r w:rsidRPr="0017668D">
        <w:rPr>
          <w:rFonts w:ascii="Times New Roman" w:eastAsia="Times New Roman" w:hAnsi="Times New Roman" w:cs="Times New Roman"/>
          <w:b/>
          <w:bCs/>
          <w:sz w:val="24"/>
          <w:szCs w:val="24"/>
          <w:lang w:eastAsia="en-GB"/>
        </w:rPr>
        <w:t>Civil sanctions</w:t>
      </w:r>
      <w:r w:rsidR="00591887" w:rsidRPr="0017668D">
        <w:rPr>
          <w:rFonts w:ascii="Times New Roman" w:eastAsia="Times New Roman" w:hAnsi="Times New Roman" w:cs="Times New Roman"/>
          <w:b/>
          <w:bCs/>
          <w:sz w:val="24"/>
          <w:szCs w:val="24"/>
          <w:lang w:eastAsia="en-GB"/>
        </w:rPr>
        <w:t xml:space="preserve"> and credible deterrence</w:t>
      </w:r>
    </w:p>
    <w:p w:rsidR="00591887" w:rsidRPr="0017668D" w:rsidRDefault="00591887" w:rsidP="004A5637">
      <w:pPr>
        <w:spacing w:after="0" w:line="480" w:lineRule="auto"/>
        <w:contextualSpacing/>
        <w:jc w:val="both"/>
        <w:rPr>
          <w:rFonts w:ascii="Times New Roman" w:eastAsia="Times New Roman" w:hAnsi="Times New Roman" w:cs="Times New Roman"/>
          <w:bCs/>
          <w:sz w:val="24"/>
          <w:szCs w:val="24"/>
        </w:rPr>
      </w:pPr>
    </w:p>
    <w:p w:rsidR="00B60762" w:rsidRPr="0017668D" w:rsidRDefault="00765DD0" w:rsidP="004A5637">
      <w:pPr>
        <w:spacing w:after="0" w:line="48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rPr>
        <w:t xml:space="preserve">One of the most commonly utilised powers by the regulator has been </w:t>
      </w:r>
      <w:r w:rsidR="00A913AB">
        <w:rPr>
          <w:rFonts w:ascii="Times New Roman" w:eastAsia="Times New Roman" w:hAnsi="Times New Roman" w:cs="Times New Roman"/>
          <w:sz w:val="24"/>
          <w:szCs w:val="24"/>
        </w:rPr>
        <w:t xml:space="preserve">its ability </w:t>
      </w:r>
      <w:r w:rsidR="00B60762" w:rsidRPr="0017668D">
        <w:rPr>
          <w:rFonts w:ascii="Times New Roman" w:eastAsia="Times New Roman" w:hAnsi="Times New Roman" w:cs="Times New Roman"/>
          <w:sz w:val="24"/>
          <w:szCs w:val="24"/>
        </w:rPr>
        <w:t>to impose financial sanctions where it establishes that there has been a contravention by an authorised person of any requirement under F</w:t>
      </w:r>
      <w:r w:rsidR="00591887" w:rsidRPr="0017668D">
        <w:rPr>
          <w:rFonts w:ascii="Times New Roman" w:eastAsia="Times New Roman" w:hAnsi="Times New Roman" w:cs="Times New Roman"/>
          <w:sz w:val="24"/>
          <w:szCs w:val="24"/>
        </w:rPr>
        <w:t>SMA 2000</w:t>
      </w:r>
      <w:r w:rsidR="00B60762" w:rsidRPr="0017668D">
        <w:rPr>
          <w:rFonts w:ascii="Times New Roman" w:eastAsia="Times New Roman" w:hAnsi="Times New Roman" w:cs="Times New Roman"/>
          <w:sz w:val="24"/>
          <w:szCs w:val="24"/>
        </w:rPr>
        <w:t>.</w:t>
      </w:r>
      <w:r w:rsidR="00B60762" w:rsidRPr="0017668D">
        <w:rPr>
          <w:rFonts w:ascii="Times New Roman" w:eastAsia="Times New Roman" w:hAnsi="Times New Roman" w:cs="Times New Roman"/>
          <w:sz w:val="24"/>
          <w:szCs w:val="24"/>
          <w:vertAlign w:val="superscript"/>
        </w:rPr>
        <w:footnoteReference w:id="65"/>
      </w:r>
      <w:r w:rsidR="00B60762" w:rsidRPr="0017668D">
        <w:rPr>
          <w:rFonts w:ascii="Times New Roman" w:eastAsia="Times New Roman" w:hAnsi="Times New Roman" w:cs="Times New Roman"/>
          <w:sz w:val="24"/>
          <w:szCs w:val="24"/>
        </w:rPr>
        <w:t xml:space="preserve">  </w:t>
      </w:r>
      <w:r w:rsidR="00B60762" w:rsidRPr="0017668D">
        <w:rPr>
          <w:rFonts w:ascii="Times New Roman" w:eastAsia="Times New Roman" w:hAnsi="Times New Roman" w:cs="Times New Roman"/>
          <w:sz w:val="24"/>
          <w:szCs w:val="24"/>
          <w:lang w:eastAsia="en-GB"/>
        </w:rPr>
        <w:t xml:space="preserve">The highest profile financial sanctions </w:t>
      </w:r>
      <w:r w:rsidR="00263986">
        <w:rPr>
          <w:rFonts w:ascii="Times New Roman" w:eastAsia="Times New Roman" w:hAnsi="Times New Roman" w:cs="Times New Roman"/>
          <w:sz w:val="24"/>
          <w:szCs w:val="24"/>
          <w:lang w:eastAsia="en-GB"/>
        </w:rPr>
        <w:t>i</w:t>
      </w:r>
      <w:r w:rsidR="00B60762" w:rsidRPr="0017668D">
        <w:rPr>
          <w:rFonts w:ascii="Times New Roman" w:eastAsia="Times New Roman" w:hAnsi="Times New Roman" w:cs="Times New Roman"/>
          <w:sz w:val="24"/>
          <w:szCs w:val="24"/>
          <w:lang w:eastAsia="en-GB"/>
        </w:rPr>
        <w:t xml:space="preserve">mposed </w:t>
      </w:r>
      <w:r w:rsidR="00A913AB">
        <w:rPr>
          <w:rFonts w:ascii="Times New Roman" w:eastAsia="Times New Roman" w:hAnsi="Times New Roman" w:cs="Times New Roman"/>
          <w:sz w:val="24"/>
          <w:szCs w:val="24"/>
          <w:lang w:eastAsia="en-GB"/>
        </w:rPr>
        <w:t xml:space="preserve">since the financial crisis </w:t>
      </w:r>
      <w:r w:rsidR="00B60762" w:rsidRPr="0017668D">
        <w:rPr>
          <w:rFonts w:ascii="Times New Roman" w:eastAsia="Times New Roman" w:hAnsi="Times New Roman" w:cs="Times New Roman"/>
          <w:sz w:val="24"/>
          <w:szCs w:val="24"/>
          <w:lang w:eastAsia="en-GB"/>
        </w:rPr>
        <w:t xml:space="preserve">has been over the </w:t>
      </w:r>
      <w:r w:rsidR="0053369B">
        <w:rPr>
          <w:rFonts w:ascii="Times New Roman" w:eastAsia="Times New Roman" w:hAnsi="Times New Roman" w:cs="Times New Roman"/>
          <w:sz w:val="24"/>
          <w:szCs w:val="24"/>
          <w:lang w:eastAsia="en-GB"/>
        </w:rPr>
        <w:t>manipulation of the London Interbank Borrowed Rate and the Foreign Exchange Currency Market.</w:t>
      </w:r>
      <w:r w:rsidR="0053369B">
        <w:rPr>
          <w:rStyle w:val="FootnoteReference"/>
          <w:rFonts w:ascii="Times New Roman" w:eastAsia="Times New Roman" w:hAnsi="Times New Roman" w:cs="Times New Roman"/>
          <w:sz w:val="24"/>
          <w:szCs w:val="24"/>
          <w:lang w:eastAsia="en-GB"/>
        </w:rPr>
        <w:footnoteReference w:id="66"/>
      </w:r>
      <w:r w:rsidR="00B60762" w:rsidRPr="0017668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For example, </w:t>
      </w:r>
      <w:r w:rsidR="002F7138">
        <w:rPr>
          <w:rFonts w:ascii="Times New Roman" w:eastAsia="Times New Roman" w:hAnsi="Times New Roman" w:cs="Times New Roman"/>
          <w:sz w:val="24"/>
          <w:szCs w:val="24"/>
          <w:lang w:eastAsia="en-GB"/>
        </w:rPr>
        <w:t xml:space="preserve">in 2012 </w:t>
      </w:r>
      <w:r>
        <w:rPr>
          <w:rFonts w:ascii="Times New Roman" w:eastAsia="Times New Roman" w:hAnsi="Times New Roman" w:cs="Times New Roman"/>
          <w:sz w:val="24"/>
          <w:szCs w:val="24"/>
          <w:lang w:eastAsia="en-GB"/>
        </w:rPr>
        <w:t>t</w:t>
      </w:r>
      <w:r w:rsidR="00B60762" w:rsidRPr="0017668D">
        <w:rPr>
          <w:rFonts w:ascii="Times New Roman" w:eastAsia="Times New Roman" w:hAnsi="Times New Roman" w:cs="Times New Roman"/>
          <w:sz w:val="24"/>
          <w:szCs w:val="24"/>
          <w:lang w:eastAsia="en-GB"/>
        </w:rPr>
        <w:t xml:space="preserve">he </w:t>
      </w:r>
      <w:r w:rsidR="0053369B">
        <w:rPr>
          <w:rFonts w:ascii="Times New Roman" w:eastAsia="Times New Roman" w:hAnsi="Times New Roman" w:cs="Times New Roman"/>
          <w:sz w:val="24"/>
          <w:szCs w:val="24"/>
          <w:lang w:eastAsia="en-GB"/>
        </w:rPr>
        <w:t>regulator concluded</w:t>
      </w:r>
      <w:r w:rsidR="00A913AB">
        <w:rPr>
          <w:rFonts w:ascii="Times New Roman" w:eastAsia="Times New Roman" w:hAnsi="Times New Roman" w:cs="Times New Roman"/>
          <w:sz w:val="24"/>
          <w:szCs w:val="24"/>
          <w:lang w:eastAsia="en-GB"/>
        </w:rPr>
        <w:t xml:space="preserve"> </w:t>
      </w:r>
      <w:r w:rsidR="0053369B">
        <w:rPr>
          <w:rFonts w:ascii="Times New Roman" w:eastAsia="Times New Roman" w:hAnsi="Times New Roman" w:cs="Times New Roman"/>
          <w:sz w:val="24"/>
          <w:szCs w:val="24"/>
          <w:lang w:eastAsia="en-GB"/>
        </w:rPr>
        <w:t xml:space="preserve">that </w:t>
      </w:r>
      <w:r w:rsidR="0053369B" w:rsidRPr="0017668D">
        <w:rPr>
          <w:rFonts w:ascii="Times New Roman" w:eastAsia="Times New Roman" w:hAnsi="Times New Roman" w:cs="Times New Roman"/>
          <w:sz w:val="24"/>
          <w:szCs w:val="24"/>
          <w:lang w:eastAsia="en-GB"/>
        </w:rPr>
        <w:t>Barclays</w:t>
      </w:r>
      <w:r w:rsidR="00B60762" w:rsidRPr="0017668D">
        <w:rPr>
          <w:rFonts w:ascii="Times New Roman" w:eastAsia="Times New Roman" w:hAnsi="Times New Roman" w:cs="Times New Roman"/>
          <w:sz w:val="24"/>
          <w:szCs w:val="24"/>
          <w:lang w:eastAsia="en-GB"/>
        </w:rPr>
        <w:t xml:space="preserve"> Bank </w:t>
      </w:r>
      <w:r w:rsidR="0053369B">
        <w:rPr>
          <w:rFonts w:ascii="Times New Roman" w:eastAsia="Times New Roman" w:hAnsi="Times New Roman" w:cs="Times New Roman"/>
          <w:sz w:val="24"/>
          <w:szCs w:val="24"/>
          <w:lang w:eastAsia="en-GB"/>
        </w:rPr>
        <w:t xml:space="preserve">had </w:t>
      </w:r>
      <w:r w:rsidR="00B60762" w:rsidRPr="0017668D">
        <w:rPr>
          <w:rFonts w:ascii="Times New Roman" w:eastAsia="Times New Roman" w:hAnsi="Times New Roman" w:cs="Times New Roman"/>
          <w:sz w:val="24"/>
          <w:szCs w:val="24"/>
          <w:lang w:eastAsia="en-GB"/>
        </w:rPr>
        <w:t>manipulate</w:t>
      </w:r>
      <w:r w:rsidR="0053369B">
        <w:rPr>
          <w:rFonts w:ascii="Times New Roman" w:eastAsia="Times New Roman" w:hAnsi="Times New Roman" w:cs="Times New Roman"/>
          <w:sz w:val="24"/>
          <w:szCs w:val="24"/>
          <w:lang w:eastAsia="en-GB"/>
        </w:rPr>
        <w:t>d</w:t>
      </w:r>
      <w:r w:rsidR="00B60762" w:rsidRPr="0017668D">
        <w:rPr>
          <w:rFonts w:ascii="Times New Roman" w:eastAsia="Times New Roman" w:hAnsi="Times New Roman" w:cs="Times New Roman"/>
          <w:sz w:val="24"/>
          <w:szCs w:val="24"/>
          <w:lang w:eastAsia="en-GB"/>
        </w:rPr>
        <w:t xml:space="preserve"> the </w:t>
      </w:r>
      <w:r w:rsidR="0053369B">
        <w:rPr>
          <w:rFonts w:ascii="Times New Roman" w:eastAsia="Times New Roman" w:hAnsi="Times New Roman" w:cs="Times New Roman"/>
          <w:sz w:val="24"/>
          <w:szCs w:val="24"/>
          <w:lang w:eastAsia="en-GB"/>
        </w:rPr>
        <w:t xml:space="preserve">both </w:t>
      </w:r>
      <w:r w:rsidR="00A913AB">
        <w:rPr>
          <w:rFonts w:ascii="Times New Roman" w:eastAsia="Times New Roman" w:hAnsi="Times New Roman" w:cs="Times New Roman"/>
          <w:sz w:val="24"/>
          <w:szCs w:val="24"/>
          <w:lang w:eastAsia="en-GB"/>
        </w:rPr>
        <w:t xml:space="preserve">the </w:t>
      </w:r>
      <w:r w:rsidR="00B60762" w:rsidRPr="0017668D">
        <w:rPr>
          <w:rFonts w:ascii="Times New Roman" w:eastAsia="Times New Roman" w:hAnsi="Times New Roman" w:cs="Times New Roman"/>
          <w:sz w:val="24"/>
          <w:szCs w:val="24"/>
          <w:lang w:eastAsia="en-GB"/>
        </w:rPr>
        <w:t xml:space="preserve">dollar LIBOR and the EURIBOR rates of interest after being asked by derivative traders and other banking </w:t>
      </w:r>
      <w:r w:rsidR="00B60762" w:rsidRPr="0017668D">
        <w:rPr>
          <w:rFonts w:ascii="Times New Roman" w:eastAsia="Times New Roman" w:hAnsi="Times New Roman" w:cs="Times New Roman"/>
          <w:sz w:val="24"/>
          <w:szCs w:val="24"/>
          <w:lang w:eastAsia="en-GB"/>
        </w:rPr>
        <w:lastRenderedPageBreak/>
        <w:t>institutions.</w:t>
      </w:r>
      <w:r w:rsidR="00A913AB">
        <w:rPr>
          <w:rStyle w:val="FootnoteReference"/>
          <w:rFonts w:ascii="Times New Roman" w:eastAsia="Times New Roman" w:hAnsi="Times New Roman" w:cs="Times New Roman"/>
          <w:sz w:val="24"/>
          <w:szCs w:val="24"/>
          <w:lang w:eastAsia="en-GB"/>
        </w:rPr>
        <w:footnoteReference w:id="67"/>
      </w:r>
      <w:r w:rsidR="00B60762" w:rsidRPr="0017668D">
        <w:rPr>
          <w:rFonts w:ascii="Times New Roman" w:eastAsia="Times New Roman" w:hAnsi="Times New Roman" w:cs="Times New Roman"/>
          <w:sz w:val="24"/>
          <w:szCs w:val="24"/>
          <w:lang w:eastAsia="en-GB"/>
        </w:rPr>
        <w:t xml:space="preserve"> </w:t>
      </w:r>
      <w:r w:rsidR="00957912">
        <w:rPr>
          <w:rFonts w:ascii="Times New Roman" w:eastAsia="Times New Roman" w:hAnsi="Times New Roman" w:cs="Times New Roman"/>
          <w:sz w:val="24"/>
          <w:szCs w:val="24"/>
          <w:lang w:eastAsia="en-GB"/>
        </w:rPr>
        <w:t>T</w:t>
      </w:r>
      <w:r w:rsidR="00B60762" w:rsidRPr="0017668D">
        <w:rPr>
          <w:rFonts w:ascii="Times New Roman" w:eastAsia="Times New Roman" w:hAnsi="Times New Roman" w:cs="Times New Roman"/>
          <w:sz w:val="24"/>
          <w:szCs w:val="24"/>
          <w:lang w:eastAsia="en-GB"/>
        </w:rPr>
        <w:t xml:space="preserve">he </w:t>
      </w:r>
      <w:r w:rsidR="00957912">
        <w:rPr>
          <w:rFonts w:ascii="Times New Roman" w:eastAsia="Times New Roman" w:hAnsi="Times New Roman" w:cs="Times New Roman"/>
          <w:sz w:val="24"/>
          <w:szCs w:val="24"/>
          <w:lang w:eastAsia="en-GB"/>
        </w:rPr>
        <w:t xml:space="preserve">regulator </w:t>
      </w:r>
      <w:r w:rsidR="002F7138">
        <w:rPr>
          <w:rFonts w:ascii="Times New Roman" w:eastAsia="Times New Roman" w:hAnsi="Times New Roman" w:cs="Times New Roman"/>
          <w:sz w:val="24"/>
          <w:szCs w:val="24"/>
          <w:lang w:eastAsia="en-GB"/>
        </w:rPr>
        <w:t xml:space="preserve">noted </w:t>
      </w:r>
      <w:r w:rsidR="00B60762" w:rsidRPr="0017668D">
        <w:rPr>
          <w:rFonts w:ascii="Times New Roman" w:eastAsia="Times New Roman" w:hAnsi="Times New Roman" w:cs="Times New Roman"/>
          <w:sz w:val="24"/>
          <w:szCs w:val="24"/>
          <w:lang w:eastAsia="en-GB"/>
        </w:rPr>
        <w:t xml:space="preserve">that Barclays </w:t>
      </w:r>
      <w:r w:rsidR="00957912">
        <w:rPr>
          <w:rFonts w:ascii="Times New Roman" w:eastAsia="Times New Roman" w:hAnsi="Times New Roman" w:cs="Times New Roman"/>
          <w:sz w:val="24"/>
          <w:szCs w:val="24"/>
          <w:lang w:eastAsia="en-GB"/>
        </w:rPr>
        <w:t xml:space="preserve">had </w:t>
      </w:r>
      <w:r w:rsidR="00B60762" w:rsidRPr="0017668D">
        <w:rPr>
          <w:rFonts w:ascii="Times New Roman" w:eastAsia="Times New Roman" w:hAnsi="Times New Roman" w:cs="Times New Roman"/>
          <w:sz w:val="24"/>
          <w:szCs w:val="24"/>
          <w:lang w:eastAsia="en-GB"/>
        </w:rPr>
        <w:t>acted inappropriately by “making LIBOR submissions which took into account concerns over the negative media perception of Barclays’ LIBOR submissions”.</w:t>
      </w:r>
      <w:r w:rsidR="00B60762" w:rsidRPr="0017668D">
        <w:rPr>
          <w:rFonts w:ascii="Times New Roman" w:eastAsia="Times New Roman" w:hAnsi="Times New Roman" w:cs="Times New Roman"/>
          <w:sz w:val="24"/>
          <w:szCs w:val="24"/>
          <w:vertAlign w:val="superscript"/>
          <w:lang w:eastAsia="en-GB"/>
        </w:rPr>
        <w:footnoteReference w:id="68"/>
      </w:r>
      <w:r w:rsidR="00B60762" w:rsidRPr="0017668D">
        <w:rPr>
          <w:rFonts w:ascii="Times New Roman" w:eastAsia="Times New Roman" w:hAnsi="Times New Roman" w:cs="Times New Roman"/>
          <w:sz w:val="24"/>
          <w:szCs w:val="24"/>
          <w:lang w:eastAsia="en-GB"/>
        </w:rPr>
        <w:t xml:space="preserve">  This is of particular relevance to link between the financial crisis and the illegal activities of Barclays.  This was a point raised by the </w:t>
      </w:r>
      <w:r w:rsidR="00957912">
        <w:rPr>
          <w:rFonts w:ascii="Times New Roman" w:eastAsia="Times New Roman" w:hAnsi="Times New Roman" w:cs="Times New Roman"/>
          <w:sz w:val="24"/>
          <w:szCs w:val="24"/>
          <w:lang w:eastAsia="en-GB"/>
        </w:rPr>
        <w:t xml:space="preserve">regulator </w:t>
      </w:r>
      <w:r w:rsidR="00B60762" w:rsidRPr="0017668D">
        <w:rPr>
          <w:rFonts w:ascii="Times New Roman" w:eastAsia="Times New Roman" w:hAnsi="Times New Roman" w:cs="Times New Roman"/>
          <w:sz w:val="24"/>
          <w:szCs w:val="24"/>
          <w:lang w:eastAsia="en-GB"/>
        </w:rPr>
        <w:t>who reported:</w:t>
      </w:r>
    </w:p>
    <w:p w:rsidR="00B60762" w:rsidRPr="0017668D" w:rsidRDefault="00B60762" w:rsidP="004A5637">
      <w:pPr>
        <w:spacing w:after="0" w:line="480" w:lineRule="auto"/>
        <w:jc w:val="both"/>
        <w:rPr>
          <w:rFonts w:ascii="Times New Roman" w:eastAsia="Times New Roman" w:hAnsi="Times New Roman" w:cs="Times New Roman"/>
          <w:sz w:val="24"/>
          <w:szCs w:val="24"/>
          <w:lang w:eastAsia="en-GB"/>
        </w:rPr>
      </w:pPr>
    </w:p>
    <w:p w:rsidR="00B60762" w:rsidRPr="0017668D" w:rsidRDefault="00B60762" w:rsidP="004A5637">
      <w:pPr>
        <w:autoSpaceDE w:val="0"/>
        <w:autoSpaceDN w:val="0"/>
        <w:adjustRightInd w:val="0"/>
        <w:spacing w:after="0" w:line="480" w:lineRule="auto"/>
        <w:ind w:left="284" w:right="284"/>
        <w:jc w:val="both"/>
        <w:rPr>
          <w:rFonts w:ascii="Times New Roman" w:eastAsia="Calibri" w:hAnsi="Times New Roman" w:cs="Times New Roman"/>
          <w:sz w:val="24"/>
          <w:szCs w:val="24"/>
        </w:rPr>
      </w:pPr>
      <w:r w:rsidRPr="0017668D">
        <w:rPr>
          <w:rFonts w:ascii="Times New Roman" w:eastAsia="Calibri" w:hAnsi="Times New Roman" w:cs="Times New Roman"/>
          <w:sz w:val="24"/>
          <w:szCs w:val="24"/>
        </w:rPr>
        <w:t>“Liquidity issues were a particular focus for Barclays and other banks during the financial crisis and banks’ LIBOR submissions were seen by some commentators as a measure of their ability to raise funds. Barclays was identified in the media as having higher LIBOR submissions than other contributing banks at the outset of the financial crisis. Barclays believed that other banks were making LIBOR submissions that were too low and did not reflect market conditions. The media questioned whether Barclays’ submissions indicated that it had a liquidity problem. Senior management at high levels within Barclays expressed concerns over this negative publicity”.</w:t>
      </w:r>
      <w:r w:rsidRPr="0017668D">
        <w:rPr>
          <w:rFonts w:ascii="Times New Roman" w:eastAsia="Calibri" w:hAnsi="Times New Roman" w:cs="Times New Roman"/>
          <w:sz w:val="24"/>
          <w:szCs w:val="24"/>
          <w:vertAlign w:val="superscript"/>
        </w:rPr>
        <w:footnoteReference w:id="69"/>
      </w:r>
    </w:p>
    <w:p w:rsidR="00B60762" w:rsidRPr="0017668D" w:rsidRDefault="00B60762" w:rsidP="004A5637">
      <w:pPr>
        <w:autoSpaceDE w:val="0"/>
        <w:autoSpaceDN w:val="0"/>
        <w:adjustRightInd w:val="0"/>
        <w:spacing w:after="0" w:line="480" w:lineRule="auto"/>
        <w:jc w:val="both"/>
        <w:rPr>
          <w:rFonts w:ascii="Times New Roman" w:eastAsia="Calibri" w:hAnsi="Times New Roman" w:cs="Times New Roman"/>
          <w:sz w:val="24"/>
          <w:szCs w:val="24"/>
        </w:rPr>
      </w:pPr>
    </w:p>
    <w:p w:rsidR="00504D80" w:rsidRDefault="00B60762" w:rsidP="004A5637">
      <w:pPr>
        <w:autoSpaceDE w:val="0"/>
        <w:autoSpaceDN w:val="0"/>
        <w:adjustRightInd w:val="0"/>
        <w:spacing w:after="0" w:line="480" w:lineRule="auto"/>
        <w:jc w:val="both"/>
        <w:rPr>
          <w:rFonts w:ascii="Times New Roman" w:eastAsia="Times New Roman" w:hAnsi="Times New Roman" w:cs="Times New Roman"/>
          <w:sz w:val="24"/>
          <w:szCs w:val="24"/>
          <w:lang w:val="en" w:eastAsia="en-GB"/>
        </w:rPr>
      </w:pPr>
      <w:r w:rsidRPr="0017668D">
        <w:rPr>
          <w:rFonts w:ascii="Times New Roman" w:eastAsia="Calibri" w:hAnsi="Times New Roman" w:cs="Times New Roman"/>
          <w:sz w:val="24"/>
          <w:szCs w:val="24"/>
        </w:rPr>
        <w:t xml:space="preserve">The </w:t>
      </w:r>
      <w:r w:rsidR="00957912">
        <w:rPr>
          <w:rFonts w:ascii="Times New Roman" w:eastAsia="Calibri" w:hAnsi="Times New Roman" w:cs="Times New Roman"/>
          <w:sz w:val="24"/>
          <w:szCs w:val="24"/>
        </w:rPr>
        <w:t>regulator a</w:t>
      </w:r>
      <w:r w:rsidRPr="0017668D">
        <w:rPr>
          <w:rFonts w:ascii="Times New Roman" w:eastAsia="Calibri" w:hAnsi="Times New Roman" w:cs="Times New Roman"/>
          <w:sz w:val="24"/>
          <w:szCs w:val="24"/>
        </w:rPr>
        <w:t>dded that the concerns raised by members of senior management of Barclays resulted in “instructions being given by less senior managers at Barclays to reduce LIBOR submissions in order to avoid negative media comment”.</w:t>
      </w:r>
      <w:r w:rsidRPr="0017668D">
        <w:rPr>
          <w:rFonts w:ascii="Times New Roman" w:eastAsia="Calibri" w:hAnsi="Times New Roman" w:cs="Times New Roman"/>
          <w:sz w:val="24"/>
          <w:szCs w:val="24"/>
          <w:vertAlign w:val="superscript"/>
        </w:rPr>
        <w:footnoteReference w:id="70"/>
      </w:r>
      <w:r w:rsidRPr="0017668D">
        <w:rPr>
          <w:rFonts w:ascii="Times New Roman" w:eastAsia="Calibri" w:hAnsi="Times New Roman" w:cs="Times New Roman"/>
          <w:sz w:val="24"/>
          <w:szCs w:val="24"/>
        </w:rPr>
        <w:t xml:space="preserve">  The </w:t>
      </w:r>
      <w:r w:rsidR="00957912">
        <w:rPr>
          <w:rFonts w:ascii="Times New Roman" w:eastAsia="Calibri" w:hAnsi="Times New Roman" w:cs="Times New Roman"/>
          <w:sz w:val="24"/>
          <w:szCs w:val="24"/>
        </w:rPr>
        <w:t xml:space="preserve">regulator </w:t>
      </w:r>
      <w:r w:rsidRPr="0017668D">
        <w:rPr>
          <w:rFonts w:ascii="Times New Roman" w:eastAsia="Calibri" w:hAnsi="Times New Roman" w:cs="Times New Roman"/>
          <w:sz w:val="24"/>
          <w:szCs w:val="24"/>
        </w:rPr>
        <w:t>concluded</w:t>
      </w:r>
      <w:r w:rsidR="00957912">
        <w:rPr>
          <w:rFonts w:ascii="Times New Roman" w:eastAsia="Calibri" w:hAnsi="Times New Roman" w:cs="Times New Roman"/>
          <w:sz w:val="24"/>
          <w:szCs w:val="24"/>
        </w:rPr>
        <w:t xml:space="preserve"> that this conduct breached several of its </w:t>
      </w:r>
      <w:r w:rsidRPr="0017668D">
        <w:rPr>
          <w:rFonts w:ascii="Times New Roman" w:eastAsia="Calibri" w:hAnsi="Times New Roman" w:cs="Times New Roman"/>
          <w:sz w:val="24"/>
          <w:szCs w:val="24"/>
        </w:rPr>
        <w:t>Principles of Business</w:t>
      </w:r>
      <w:r w:rsidR="00957912">
        <w:rPr>
          <w:rFonts w:ascii="Times New Roman" w:eastAsia="Calibri" w:hAnsi="Times New Roman" w:cs="Times New Roman"/>
          <w:sz w:val="24"/>
          <w:szCs w:val="24"/>
        </w:rPr>
        <w:t xml:space="preserve"> and stated that </w:t>
      </w:r>
      <w:r w:rsidR="00263986">
        <w:rPr>
          <w:rFonts w:ascii="Times New Roman" w:eastAsia="Calibri" w:hAnsi="Times New Roman" w:cs="Times New Roman"/>
          <w:sz w:val="24"/>
          <w:szCs w:val="24"/>
        </w:rPr>
        <w:t>Barclays had “fail[ed]</w:t>
      </w:r>
      <w:r w:rsidRPr="0017668D">
        <w:rPr>
          <w:rFonts w:ascii="Times New Roman" w:eastAsia="Calibri" w:hAnsi="Times New Roman" w:cs="Times New Roman"/>
          <w:sz w:val="24"/>
          <w:szCs w:val="24"/>
        </w:rPr>
        <w:t xml:space="preserve"> to conduct its business with due skill, care and diligence when considering issues rose internally in relation to its LIBOR submissions”.</w:t>
      </w:r>
      <w:r w:rsidRPr="0017668D">
        <w:rPr>
          <w:rFonts w:ascii="Times New Roman" w:eastAsia="Calibri" w:hAnsi="Times New Roman" w:cs="Times New Roman"/>
          <w:sz w:val="24"/>
          <w:szCs w:val="24"/>
          <w:vertAlign w:val="superscript"/>
        </w:rPr>
        <w:footnoteReference w:id="71"/>
      </w:r>
      <w:r w:rsidRPr="0017668D">
        <w:rPr>
          <w:rFonts w:ascii="Times New Roman" w:eastAsia="Calibri" w:hAnsi="Times New Roman" w:cs="Times New Roman"/>
          <w:sz w:val="24"/>
          <w:szCs w:val="24"/>
        </w:rPr>
        <w:t xml:space="preserve"> Barclays </w:t>
      </w:r>
      <w:r w:rsidR="00A913AB">
        <w:rPr>
          <w:rFonts w:ascii="Times New Roman" w:eastAsia="Calibri" w:hAnsi="Times New Roman" w:cs="Times New Roman"/>
          <w:sz w:val="24"/>
          <w:szCs w:val="24"/>
        </w:rPr>
        <w:t xml:space="preserve">Bank Plc was fined </w:t>
      </w:r>
      <w:r w:rsidRPr="0017668D">
        <w:rPr>
          <w:rFonts w:ascii="Times New Roman" w:eastAsia="Calibri" w:hAnsi="Times New Roman" w:cs="Times New Roman"/>
          <w:sz w:val="24"/>
          <w:szCs w:val="24"/>
        </w:rPr>
        <w:t>£59.5m</w:t>
      </w:r>
      <w:r w:rsidR="00A913AB">
        <w:rPr>
          <w:rFonts w:ascii="Times New Roman" w:eastAsia="Times New Roman" w:hAnsi="Times New Roman" w:cs="Times New Roman"/>
          <w:sz w:val="24"/>
          <w:szCs w:val="24"/>
          <w:lang w:val="en" w:eastAsia="en-GB"/>
        </w:rPr>
        <w:t xml:space="preserve"> </w:t>
      </w:r>
      <w:r w:rsidR="002F7138">
        <w:rPr>
          <w:rFonts w:ascii="Times New Roman" w:eastAsia="Times New Roman" w:hAnsi="Times New Roman" w:cs="Times New Roman"/>
          <w:sz w:val="24"/>
          <w:szCs w:val="24"/>
          <w:lang w:val="en" w:eastAsia="en-GB"/>
        </w:rPr>
        <w:t xml:space="preserve">by </w:t>
      </w:r>
      <w:r w:rsidR="002F7138">
        <w:rPr>
          <w:rFonts w:ascii="Times New Roman" w:eastAsia="Times New Roman" w:hAnsi="Times New Roman" w:cs="Times New Roman"/>
          <w:sz w:val="24"/>
          <w:szCs w:val="24"/>
          <w:lang w:val="en" w:eastAsia="en-GB"/>
        </w:rPr>
        <w:lastRenderedPageBreak/>
        <w:t xml:space="preserve">the regulator </w:t>
      </w:r>
      <w:r w:rsidR="00A913AB">
        <w:rPr>
          <w:rFonts w:ascii="Times New Roman" w:eastAsia="Times New Roman" w:hAnsi="Times New Roman" w:cs="Times New Roman"/>
          <w:sz w:val="24"/>
          <w:szCs w:val="24"/>
          <w:lang w:val="en" w:eastAsia="en-GB"/>
        </w:rPr>
        <w:t xml:space="preserve">and their conduct was </w:t>
      </w:r>
      <w:r w:rsidR="00263986">
        <w:rPr>
          <w:rFonts w:ascii="Times New Roman" w:eastAsia="Times New Roman" w:hAnsi="Times New Roman" w:cs="Times New Roman"/>
          <w:sz w:val="24"/>
          <w:szCs w:val="24"/>
          <w:lang w:val="en" w:eastAsia="en-GB"/>
        </w:rPr>
        <w:t xml:space="preserve">strongly </w:t>
      </w:r>
      <w:r w:rsidR="00A913AB">
        <w:rPr>
          <w:rFonts w:ascii="Times New Roman" w:eastAsia="Times New Roman" w:hAnsi="Times New Roman" w:cs="Times New Roman"/>
          <w:sz w:val="24"/>
          <w:szCs w:val="24"/>
          <w:lang w:val="en" w:eastAsia="en-GB"/>
        </w:rPr>
        <w:t xml:space="preserve">condemned by the </w:t>
      </w:r>
      <w:r w:rsidRPr="0017668D">
        <w:rPr>
          <w:rFonts w:ascii="Times New Roman" w:eastAsia="Calibri" w:hAnsi="Times New Roman" w:cs="Times New Roman"/>
          <w:sz w:val="24"/>
          <w:szCs w:val="24"/>
        </w:rPr>
        <w:t>HM Treasury Select Committee</w:t>
      </w:r>
      <w:r w:rsidRPr="0017668D">
        <w:rPr>
          <w:rFonts w:ascii="Times New Roman" w:eastAsia="Calibri" w:hAnsi="Times New Roman" w:cs="Times New Roman"/>
          <w:sz w:val="24"/>
          <w:szCs w:val="24"/>
          <w:lang w:eastAsia="en-GB"/>
        </w:rPr>
        <w:t>.</w:t>
      </w:r>
      <w:r w:rsidRPr="0017668D">
        <w:rPr>
          <w:rFonts w:ascii="Times New Roman" w:eastAsia="Calibri" w:hAnsi="Times New Roman" w:cs="Times New Roman"/>
          <w:sz w:val="24"/>
          <w:szCs w:val="24"/>
          <w:vertAlign w:val="superscript"/>
          <w:lang w:eastAsia="en-GB"/>
        </w:rPr>
        <w:footnoteReference w:id="72"/>
      </w:r>
      <w:r w:rsidRPr="0017668D">
        <w:rPr>
          <w:rFonts w:ascii="Times New Roman" w:eastAsia="Calibri" w:hAnsi="Times New Roman" w:cs="Times New Roman"/>
          <w:sz w:val="24"/>
          <w:szCs w:val="24"/>
          <w:lang w:eastAsia="en-GB"/>
        </w:rPr>
        <w:t xml:space="preserve">  </w:t>
      </w:r>
      <w:r w:rsidRPr="0017668D">
        <w:rPr>
          <w:rFonts w:ascii="Times New Roman" w:eastAsia="Calibri" w:hAnsi="Times New Roman" w:cs="Times New Roman"/>
          <w:sz w:val="24"/>
          <w:szCs w:val="24"/>
        </w:rPr>
        <w:t xml:space="preserve">The second bank to be fined </w:t>
      </w:r>
      <w:r w:rsidR="002765D1">
        <w:rPr>
          <w:rFonts w:ascii="Times New Roman" w:eastAsia="Calibri" w:hAnsi="Times New Roman" w:cs="Times New Roman"/>
          <w:sz w:val="24"/>
          <w:szCs w:val="24"/>
        </w:rPr>
        <w:t xml:space="preserve">(£160m) </w:t>
      </w:r>
      <w:r w:rsidRPr="0017668D">
        <w:rPr>
          <w:rFonts w:ascii="Times New Roman" w:eastAsia="Calibri" w:hAnsi="Times New Roman" w:cs="Times New Roman"/>
          <w:sz w:val="24"/>
          <w:szCs w:val="24"/>
        </w:rPr>
        <w:t>due to</w:t>
      </w:r>
      <w:r w:rsidR="002765D1">
        <w:rPr>
          <w:rFonts w:ascii="Times New Roman" w:eastAsia="Calibri" w:hAnsi="Times New Roman" w:cs="Times New Roman"/>
          <w:sz w:val="24"/>
          <w:szCs w:val="24"/>
        </w:rPr>
        <w:t xml:space="preserve"> its manipulation of LIBOR was U</w:t>
      </w:r>
      <w:r w:rsidRPr="0017668D">
        <w:rPr>
          <w:rFonts w:ascii="Times New Roman" w:eastAsia="Calibri" w:hAnsi="Times New Roman" w:cs="Times New Roman"/>
          <w:sz w:val="24"/>
          <w:szCs w:val="24"/>
        </w:rPr>
        <w:t xml:space="preserve">BS </w:t>
      </w:r>
      <w:r w:rsidR="002765D1">
        <w:rPr>
          <w:rFonts w:ascii="Times New Roman" w:eastAsia="Calibri" w:hAnsi="Times New Roman" w:cs="Times New Roman"/>
          <w:sz w:val="24"/>
          <w:szCs w:val="24"/>
        </w:rPr>
        <w:t>i</w:t>
      </w:r>
      <w:r w:rsidRPr="0017668D">
        <w:rPr>
          <w:rFonts w:ascii="Times New Roman" w:eastAsia="Calibri" w:hAnsi="Times New Roman" w:cs="Times New Roman"/>
          <w:sz w:val="24"/>
          <w:szCs w:val="24"/>
        </w:rPr>
        <w:t>n December 2012.</w:t>
      </w:r>
      <w:r w:rsidRPr="0017668D">
        <w:rPr>
          <w:rFonts w:ascii="Times New Roman" w:eastAsia="Calibri" w:hAnsi="Times New Roman" w:cs="Times New Roman"/>
          <w:sz w:val="24"/>
          <w:szCs w:val="24"/>
          <w:vertAlign w:val="superscript"/>
        </w:rPr>
        <w:footnoteReference w:id="73"/>
      </w:r>
      <w:r w:rsidRPr="0017668D">
        <w:rPr>
          <w:rFonts w:ascii="Times New Roman" w:eastAsia="Calibri" w:hAnsi="Times New Roman" w:cs="Times New Roman"/>
          <w:sz w:val="24"/>
          <w:szCs w:val="24"/>
        </w:rPr>
        <w:t xml:space="preserve">  The </w:t>
      </w:r>
      <w:r w:rsidR="002765D1">
        <w:rPr>
          <w:rFonts w:ascii="Times New Roman" w:eastAsia="Calibri" w:hAnsi="Times New Roman" w:cs="Times New Roman"/>
          <w:sz w:val="24"/>
          <w:szCs w:val="24"/>
        </w:rPr>
        <w:t xml:space="preserve">regulator concluded that </w:t>
      </w:r>
      <w:r w:rsidRPr="0017668D">
        <w:rPr>
          <w:rFonts w:ascii="Times New Roman" w:eastAsia="Calibri" w:hAnsi="Times New Roman" w:cs="Times New Roman"/>
          <w:sz w:val="24"/>
          <w:szCs w:val="24"/>
        </w:rPr>
        <w:t>between Jan</w:t>
      </w:r>
      <w:r w:rsidR="00F83962">
        <w:rPr>
          <w:rFonts w:ascii="Times New Roman" w:eastAsia="Calibri" w:hAnsi="Times New Roman" w:cs="Times New Roman"/>
          <w:sz w:val="24"/>
          <w:szCs w:val="24"/>
        </w:rPr>
        <w:t>uary 2005 and December 2010, UBS</w:t>
      </w:r>
      <w:r w:rsidRPr="0017668D">
        <w:rPr>
          <w:rFonts w:ascii="Times New Roman" w:eastAsia="Calibri" w:hAnsi="Times New Roman" w:cs="Times New Roman"/>
          <w:sz w:val="24"/>
          <w:szCs w:val="24"/>
        </w:rPr>
        <w:t xml:space="preserve"> breached Regulations 3 and 5 of the </w:t>
      </w:r>
      <w:r w:rsidR="002765D1">
        <w:rPr>
          <w:rFonts w:ascii="Times New Roman" w:eastAsia="Calibri" w:hAnsi="Times New Roman" w:cs="Times New Roman"/>
          <w:sz w:val="24"/>
          <w:szCs w:val="24"/>
        </w:rPr>
        <w:t>Principles of B</w:t>
      </w:r>
      <w:r w:rsidRPr="0017668D">
        <w:rPr>
          <w:rFonts w:ascii="Times New Roman" w:eastAsia="Calibri" w:hAnsi="Times New Roman" w:cs="Times New Roman"/>
          <w:sz w:val="24"/>
          <w:szCs w:val="24"/>
        </w:rPr>
        <w:t>usiness when the bank engaged in illegal behaviour regarding the calculation of LIBOR and EURIBOR.</w:t>
      </w:r>
      <w:r w:rsidRPr="0017668D">
        <w:rPr>
          <w:rFonts w:ascii="Times New Roman" w:eastAsia="Times New Roman" w:hAnsi="Times New Roman" w:cs="Times New Roman"/>
          <w:sz w:val="24"/>
          <w:szCs w:val="24"/>
          <w:vertAlign w:val="superscript"/>
          <w:lang w:val="en" w:eastAsia="en-GB"/>
        </w:rPr>
        <w:footnoteReference w:id="74"/>
      </w:r>
      <w:r w:rsidR="002765D1">
        <w:rPr>
          <w:rFonts w:ascii="Times New Roman" w:eastAsia="Calibri" w:hAnsi="Times New Roman" w:cs="Times New Roman"/>
          <w:sz w:val="24"/>
          <w:szCs w:val="24"/>
        </w:rPr>
        <w:t xml:space="preserve">  </w:t>
      </w:r>
      <w:r w:rsidRPr="0017668D">
        <w:rPr>
          <w:rFonts w:ascii="Times New Roman" w:eastAsia="Times New Roman" w:hAnsi="Times New Roman" w:cs="Times New Roman"/>
          <w:sz w:val="24"/>
          <w:szCs w:val="24"/>
          <w:lang w:val="en" w:eastAsia="en-GB"/>
        </w:rPr>
        <w:t xml:space="preserve">The Royal Bank of Scotland (RBS) became the third bank to be fined in February 2013 following the revelations of LIBOR rigging.  The </w:t>
      </w:r>
      <w:r w:rsidR="002765D1">
        <w:rPr>
          <w:rFonts w:ascii="Times New Roman" w:eastAsia="Times New Roman" w:hAnsi="Times New Roman" w:cs="Times New Roman"/>
          <w:sz w:val="24"/>
          <w:szCs w:val="24"/>
          <w:lang w:val="en" w:eastAsia="en-GB"/>
        </w:rPr>
        <w:t>regulator f</w:t>
      </w:r>
      <w:r w:rsidRPr="0017668D">
        <w:rPr>
          <w:rFonts w:ascii="Times New Roman" w:eastAsia="Times New Roman" w:hAnsi="Times New Roman" w:cs="Times New Roman"/>
          <w:sz w:val="24"/>
          <w:szCs w:val="24"/>
          <w:lang w:val="en" w:eastAsia="en-GB"/>
        </w:rPr>
        <w:t>ined RBS £87.5m for its conduct between January 2006 and November 2010.</w:t>
      </w:r>
      <w:r w:rsidRPr="0017668D">
        <w:rPr>
          <w:rFonts w:ascii="Times New Roman" w:eastAsia="Times New Roman" w:hAnsi="Times New Roman" w:cs="Times New Roman"/>
          <w:sz w:val="24"/>
          <w:szCs w:val="24"/>
          <w:vertAlign w:val="superscript"/>
          <w:lang w:val="en" w:eastAsia="en-GB"/>
        </w:rPr>
        <w:footnoteReference w:id="75"/>
      </w:r>
      <w:r w:rsidRPr="0017668D">
        <w:rPr>
          <w:rFonts w:ascii="Times New Roman" w:eastAsia="Times New Roman" w:hAnsi="Times New Roman" w:cs="Times New Roman"/>
          <w:sz w:val="24"/>
          <w:szCs w:val="24"/>
          <w:lang w:val="en" w:eastAsia="en-GB"/>
        </w:rPr>
        <w:t xml:space="preserve">  The overall fine would have been £125m had it not been for a</w:t>
      </w:r>
      <w:r w:rsidR="00F83962">
        <w:rPr>
          <w:rFonts w:ascii="Times New Roman" w:eastAsia="Times New Roman" w:hAnsi="Times New Roman" w:cs="Times New Roman"/>
          <w:sz w:val="24"/>
          <w:szCs w:val="24"/>
          <w:lang w:val="en" w:eastAsia="en-GB"/>
        </w:rPr>
        <w:t xml:space="preserve"> 30% discount granted by the regulator</w:t>
      </w:r>
      <w:r w:rsidRPr="0017668D">
        <w:rPr>
          <w:rFonts w:ascii="Times New Roman" w:eastAsia="Times New Roman" w:hAnsi="Times New Roman" w:cs="Times New Roman"/>
          <w:sz w:val="24"/>
          <w:szCs w:val="24"/>
          <w:lang w:val="en" w:eastAsia="en-GB"/>
        </w:rPr>
        <w:t>.  The conduct of the banks employees was not limited to the UK, it occurred in Japan, Singapore a</w:t>
      </w:r>
      <w:r w:rsidR="00806DA6">
        <w:rPr>
          <w:rFonts w:ascii="Times New Roman" w:eastAsia="Times New Roman" w:hAnsi="Times New Roman" w:cs="Times New Roman"/>
          <w:sz w:val="24"/>
          <w:szCs w:val="24"/>
          <w:lang w:val="en" w:eastAsia="en-GB"/>
        </w:rPr>
        <w:t>nd the US.  According to the regulator</w:t>
      </w:r>
      <w:r w:rsidRPr="0017668D">
        <w:rPr>
          <w:rFonts w:ascii="Times New Roman" w:eastAsia="Times New Roman" w:hAnsi="Times New Roman" w:cs="Times New Roman"/>
          <w:sz w:val="24"/>
          <w:szCs w:val="24"/>
          <w:lang w:val="en" w:eastAsia="en-GB"/>
        </w:rPr>
        <w:t>, the illegal conduct was extensive and “219 requests for inappropriate submissions were documented – an unquantifiable number of oral requests, which by their nature would not be documented, were also made. At least 21 individuals including derivatives and money market traders and at least one manager were involved in the inappropriate conduct”.</w:t>
      </w:r>
      <w:r w:rsidRPr="0017668D">
        <w:rPr>
          <w:rFonts w:ascii="Times New Roman" w:eastAsia="Times New Roman" w:hAnsi="Times New Roman" w:cs="Times New Roman"/>
          <w:sz w:val="24"/>
          <w:szCs w:val="24"/>
          <w:vertAlign w:val="superscript"/>
          <w:lang w:val="en" w:eastAsia="en-GB"/>
        </w:rPr>
        <w:footnoteReference w:id="76"/>
      </w:r>
      <w:r w:rsidRPr="0017668D">
        <w:rPr>
          <w:rFonts w:ascii="Times New Roman" w:eastAsia="Times New Roman" w:hAnsi="Times New Roman" w:cs="Times New Roman"/>
          <w:sz w:val="24"/>
          <w:szCs w:val="24"/>
          <w:lang w:val="en" w:eastAsia="en-GB"/>
        </w:rPr>
        <w:t xml:space="preserve">  </w:t>
      </w:r>
      <w:r w:rsidR="00F83962">
        <w:rPr>
          <w:rFonts w:ascii="Times New Roman" w:eastAsia="Times New Roman" w:hAnsi="Times New Roman" w:cs="Times New Roman"/>
          <w:sz w:val="24"/>
          <w:szCs w:val="24"/>
          <w:lang w:val="en" w:eastAsia="en-GB"/>
        </w:rPr>
        <w:t>The regulator</w:t>
      </w:r>
      <w:r w:rsidR="00806DA6">
        <w:rPr>
          <w:rFonts w:ascii="Times New Roman" w:eastAsia="Times New Roman" w:hAnsi="Times New Roman" w:cs="Times New Roman"/>
          <w:sz w:val="24"/>
          <w:szCs w:val="24"/>
          <w:lang w:val="en" w:eastAsia="en-GB"/>
        </w:rPr>
        <w:t xml:space="preserve"> </w:t>
      </w:r>
      <w:r w:rsidR="002F7138">
        <w:rPr>
          <w:rFonts w:ascii="Times New Roman" w:eastAsia="Times New Roman" w:hAnsi="Times New Roman" w:cs="Times New Roman"/>
          <w:sz w:val="24"/>
          <w:szCs w:val="24"/>
          <w:lang w:val="en" w:eastAsia="en-GB"/>
        </w:rPr>
        <w:t xml:space="preserve">added </w:t>
      </w:r>
      <w:r w:rsidR="00806DA6">
        <w:rPr>
          <w:rFonts w:ascii="Times New Roman" w:eastAsia="Times New Roman" w:hAnsi="Times New Roman" w:cs="Times New Roman"/>
          <w:sz w:val="24"/>
          <w:szCs w:val="24"/>
          <w:lang w:val="en" w:eastAsia="en-GB"/>
        </w:rPr>
        <w:t xml:space="preserve">that </w:t>
      </w:r>
      <w:r w:rsidRPr="0017668D">
        <w:rPr>
          <w:rFonts w:ascii="Times New Roman" w:eastAsia="Times New Roman" w:hAnsi="Times New Roman" w:cs="Times New Roman"/>
          <w:sz w:val="24"/>
          <w:szCs w:val="24"/>
          <w:lang w:val="en" w:eastAsia="en-GB"/>
        </w:rPr>
        <w:t>“</w:t>
      </w:r>
      <w:r w:rsidR="00806DA6">
        <w:rPr>
          <w:rFonts w:ascii="Times New Roman" w:eastAsia="Times New Roman" w:hAnsi="Times New Roman" w:cs="Times New Roman"/>
          <w:sz w:val="24"/>
          <w:szCs w:val="24"/>
          <w:lang w:val="en" w:eastAsia="en-GB"/>
        </w:rPr>
        <w:t>t</w:t>
      </w:r>
      <w:r w:rsidRPr="0017668D">
        <w:rPr>
          <w:rFonts w:ascii="Times New Roman" w:eastAsia="Times New Roman" w:hAnsi="Times New Roman" w:cs="Times New Roman"/>
          <w:sz w:val="24"/>
          <w:szCs w:val="24"/>
          <w:lang w:val="en" w:eastAsia="en-GB"/>
        </w:rPr>
        <w:t>he failures at RBS were all the more serious because of the attempts not only to influence the submissions of RBS but also of other panel banks and the use of interdealer brokers to do this</w:t>
      </w:r>
      <w:r w:rsidR="00806DA6">
        <w:rPr>
          <w:rFonts w:ascii="Times New Roman" w:eastAsia="Times New Roman" w:hAnsi="Times New Roman" w:cs="Times New Roman"/>
          <w:sz w:val="24"/>
          <w:szCs w:val="24"/>
          <w:lang w:val="en" w:eastAsia="en-GB"/>
        </w:rPr>
        <w:t xml:space="preserve"> … t</w:t>
      </w:r>
      <w:r w:rsidRPr="0017668D">
        <w:rPr>
          <w:rFonts w:ascii="Times New Roman" w:eastAsia="Times New Roman" w:hAnsi="Times New Roman" w:cs="Times New Roman"/>
          <w:sz w:val="24"/>
          <w:szCs w:val="24"/>
          <w:lang w:val="en" w:eastAsia="en-GB"/>
        </w:rPr>
        <w:t>he extent and nature of the misconduct relating to LIBOR has cast a shadow on the reputation of this industry and we expect firms to take steps to ensure that this can never happen again”.</w:t>
      </w:r>
      <w:r w:rsidRPr="0017668D">
        <w:rPr>
          <w:rFonts w:ascii="Times New Roman" w:eastAsia="Times New Roman" w:hAnsi="Times New Roman" w:cs="Times New Roman"/>
          <w:sz w:val="24"/>
          <w:szCs w:val="24"/>
          <w:vertAlign w:val="superscript"/>
          <w:lang w:val="en" w:eastAsia="en-GB"/>
        </w:rPr>
        <w:footnoteReference w:id="77"/>
      </w:r>
      <w:r w:rsidR="00EE1F22">
        <w:rPr>
          <w:rFonts w:ascii="Times New Roman" w:eastAsia="Times New Roman" w:hAnsi="Times New Roman" w:cs="Times New Roman"/>
          <w:sz w:val="24"/>
          <w:szCs w:val="24"/>
          <w:lang w:val="en" w:eastAsia="en-GB"/>
        </w:rPr>
        <w:t xml:space="preserve">  </w:t>
      </w:r>
      <w:r w:rsidR="00806DA6" w:rsidRPr="001E43CF">
        <w:rPr>
          <w:rFonts w:ascii="Times New Roman" w:eastAsia="Times New Roman" w:hAnsi="Times New Roman" w:cs="Times New Roman"/>
          <w:sz w:val="24"/>
          <w:szCs w:val="24"/>
          <w:lang w:val="en" w:eastAsia="en-GB"/>
        </w:rPr>
        <w:t xml:space="preserve">The regulator imposed another financial penalty of £14m on ICAP European Limited in September 2013 for </w:t>
      </w:r>
      <w:r w:rsidR="001E43CF" w:rsidRPr="001E43CF">
        <w:rPr>
          <w:rFonts w:ascii="Times New Roman" w:eastAsia="Times New Roman" w:hAnsi="Times New Roman" w:cs="Times New Roman"/>
          <w:sz w:val="24"/>
          <w:szCs w:val="24"/>
          <w:lang w:val="en" w:eastAsia="en-GB"/>
        </w:rPr>
        <w:t xml:space="preserve">an embarrassing amount of </w:t>
      </w:r>
      <w:r w:rsidR="001E43CF" w:rsidRPr="001E43CF">
        <w:rPr>
          <w:rFonts w:ascii="Times New Roman" w:eastAsia="Times New Roman" w:hAnsi="Times New Roman" w:cs="Times New Roman"/>
          <w:sz w:val="24"/>
          <w:szCs w:val="24"/>
          <w:lang w:val="en" w:eastAsia="en-GB"/>
        </w:rPr>
        <w:lastRenderedPageBreak/>
        <w:t xml:space="preserve">misconduct that involved the </w:t>
      </w:r>
      <w:r w:rsidR="00430273" w:rsidRPr="001E43CF">
        <w:rPr>
          <w:rFonts w:ascii="Times New Roman" w:eastAsia="Times New Roman" w:hAnsi="Times New Roman" w:cs="Times New Roman"/>
          <w:sz w:val="24"/>
          <w:szCs w:val="24"/>
          <w:lang w:val="en" w:eastAsia="en-GB"/>
        </w:rPr>
        <w:t>firm’s</w:t>
      </w:r>
      <w:r w:rsidR="001E43CF" w:rsidRPr="001E43CF">
        <w:rPr>
          <w:rFonts w:ascii="Times New Roman" w:eastAsia="Times New Roman" w:hAnsi="Times New Roman" w:cs="Times New Roman"/>
          <w:sz w:val="24"/>
          <w:szCs w:val="24"/>
          <w:lang w:val="en" w:eastAsia="en-GB"/>
        </w:rPr>
        <w:t xml:space="preserve"> traders colluding the UBS traders to </w:t>
      </w:r>
      <w:r w:rsidR="00806DA6" w:rsidRPr="00806DA6">
        <w:rPr>
          <w:rFonts w:ascii="Times New Roman" w:eastAsia="Times New Roman" w:hAnsi="Times New Roman" w:cs="Times New Roman"/>
          <w:sz w:val="24"/>
          <w:szCs w:val="24"/>
          <w:lang w:eastAsia="en-GB"/>
        </w:rPr>
        <w:t>manipulate the (Japanese Yen) JPY LIBOR rates</w:t>
      </w:r>
      <w:r w:rsidR="001E43CF" w:rsidRPr="001E43CF">
        <w:rPr>
          <w:rFonts w:ascii="Times New Roman" w:eastAsia="Times New Roman" w:hAnsi="Times New Roman" w:cs="Times New Roman"/>
          <w:sz w:val="24"/>
          <w:szCs w:val="24"/>
          <w:lang w:eastAsia="en-GB"/>
        </w:rPr>
        <w:t xml:space="preserve"> and one trader receiving bonus or corrupt payments for assisting in the manipulation.</w:t>
      </w:r>
      <w:r w:rsidR="001E43CF">
        <w:rPr>
          <w:rStyle w:val="FootnoteReference"/>
          <w:rFonts w:ascii="Times New Roman" w:eastAsia="Times New Roman" w:hAnsi="Times New Roman" w:cs="Times New Roman"/>
          <w:sz w:val="24"/>
          <w:szCs w:val="24"/>
          <w:lang w:eastAsia="en-GB"/>
        </w:rPr>
        <w:footnoteReference w:id="78"/>
      </w:r>
      <w:r w:rsidR="001E43CF">
        <w:rPr>
          <w:rFonts w:ascii="Times New Roman" w:eastAsia="Times New Roman" w:hAnsi="Times New Roman" w:cs="Times New Roman"/>
          <w:sz w:val="24"/>
          <w:szCs w:val="24"/>
          <w:lang w:eastAsia="en-GB"/>
        </w:rPr>
        <w:t xml:space="preserve">  </w:t>
      </w:r>
      <w:r w:rsidR="00806DA6" w:rsidRPr="001E43CF">
        <w:rPr>
          <w:rFonts w:ascii="Times New Roman" w:eastAsia="Times New Roman" w:hAnsi="Times New Roman" w:cs="Times New Roman"/>
          <w:sz w:val="24"/>
          <w:szCs w:val="24"/>
          <w:lang w:val="en" w:eastAsia="en-GB"/>
        </w:rPr>
        <w:t>In October 2013, Rabobank was fined by the regulator £105m for “</w:t>
      </w:r>
      <w:r w:rsidR="00806DA6" w:rsidRPr="001E43CF">
        <w:rPr>
          <w:rFonts w:ascii="Times New Roman" w:hAnsi="Times New Roman" w:cs="Times New Roman"/>
          <w:sz w:val="24"/>
          <w:szCs w:val="24"/>
          <w:shd w:val="clear" w:color="auto" w:fill="FFFFFF"/>
        </w:rPr>
        <w:t>poor internal controls encouraged collusion between traders and LIBOR submitters and allowed systematic attempts at benchmark manipulation”.</w:t>
      </w:r>
      <w:r w:rsidR="00806DA6" w:rsidRPr="001E43CF">
        <w:rPr>
          <w:rStyle w:val="FootnoteReference"/>
          <w:rFonts w:ascii="Times New Roman" w:hAnsi="Times New Roman" w:cs="Times New Roman"/>
          <w:sz w:val="24"/>
          <w:szCs w:val="24"/>
          <w:shd w:val="clear" w:color="auto" w:fill="FFFFFF"/>
        </w:rPr>
        <w:footnoteReference w:id="79"/>
      </w:r>
      <w:r w:rsidR="00806DA6" w:rsidRPr="001E43CF">
        <w:rPr>
          <w:rFonts w:ascii="Times New Roman" w:hAnsi="Times New Roman" w:cs="Times New Roman"/>
          <w:sz w:val="24"/>
          <w:szCs w:val="24"/>
          <w:shd w:val="clear" w:color="auto" w:fill="FFFFFF"/>
        </w:rPr>
        <w:t xml:space="preserve">  The regulator added that “The FCA found over 500 instances of attempted LIBOR manipulation, directly or indirectly involving at least 9 managers and 19 other individuals based across the world.  At least one manager was actively involved in attempted manipulation and facilitated a culture where this practice appeared to be accepted, or even endorsed by the bank”.</w:t>
      </w:r>
      <w:r w:rsidR="00806DA6" w:rsidRPr="001E43CF">
        <w:rPr>
          <w:rStyle w:val="FootnoteReference"/>
          <w:rFonts w:ascii="Times New Roman" w:hAnsi="Times New Roman" w:cs="Times New Roman"/>
          <w:sz w:val="24"/>
          <w:szCs w:val="24"/>
          <w:shd w:val="clear" w:color="auto" w:fill="FFFFFF"/>
        </w:rPr>
        <w:footnoteReference w:id="80"/>
      </w:r>
      <w:r w:rsidR="00124F98" w:rsidRPr="00124F98">
        <w:rPr>
          <w:rFonts w:ascii="Times New Roman" w:eastAsia="Times New Roman" w:hAnsi="Times New Roman" w:cs="Times New Roman"/>
          <w:sz w:val="24"/>
          <w:szCs w:val="24"/>
          <w:lang w:val="en" w:eastAsia="en-GB"/>
        </w:rPr>
        <w:t xml:space="preserve"> </w:t>
      </w:r>
      <w:r w:rsidR="00124F98">
        <w:rPr>
          <w:rFonts w:ascii="Times New Roman" w:eastAsia="Times New Roman" w:hAnsi="Times New Roman" w:cs="Times New Roman"/>
          <w:sz w:val="24"/>
          <w:szCs w:val="24"/>
          <w:lang w:val="en" w:eastAsia="en-GB"/>
        </w:rPr>
        <w:t>In July 2014, Lloyds TSB was fined £104m by the regulator for breaches of the LIBOR and other benchmarks.</w:t>
      </w:r>
      <w:r w:rsidR="00124F98">
        <w:rPr>
          <w:rStyle w:val="FootnoteReference"/>
          <w:rFonts w:ascii="Times New Roman" w:eastAsia="Times New Roman" w:hAnsi="Times New Roman" w:cs="Times New Roman"/>
          <w:sz w:val="24"/>
          <w:szCs w:val="24"/>
          <w:lang w:val="en" w:eastAsia="en-GB"/>
        </w:rPr>
        <w:footnoteReference w:id="81"/>
      </w:r>
      <w:r w:rsidR="00124F98">
        <w:rPr>
          <w:rFonts w:ascii="Times New Roman" w:eastAsia="Times New Roman" w:hAnsi="Times New Roman" w:cs="Times New Roman"/>
          <w:sz w:val="24"/>
          <w:szCs w:val="24"/>
          <w:lang w:val="en" w:eastAsia="en-GB"/>
        </w:rPr>
        <w:t xml:space="preserve">  Additionally, Martin Brokers (UK) Limited was fined £630,000 for significant failings in relation to LIBOR.</w:t>
      </w:r>
      <w:r w:rsidR="00124F98">
        <w:rPr>
          <w:rStyle w:val="FootnoteReference"/>
          <w:rFonts w:ascii="Times New Roman" w:eastAsia="Times New Roman" w:hAnsi="Times New Roman" w:cs="Times New Roman"/>
          <w:sz w:val="24"/>
          <w:szCs w:val="24"/>
          <w:lang w:val="en" w:eastAsia="en-GB"/>
        </w:rPr>
        <w:footnoteReference w:id="82"/>
      </w:r>
      <w:r w:rsidR="00124F98">
        <w:rPr>
          <w:rFonts w:ascii="Times New Roman" w:eastAsia="Times New Roman" w:hAnsi="Times New Roman" w:cs="Times New Roman"/>
          <w:sz w:val="24"/>
          <w:szCs w:val="24"/>
          <w:lang w:val="en" w:eastAsia="en-GB"/>
        </w:rPr>
        <w:t xml:space="preserve">  </w:t>
      </w:r>
      <w:r w:rsidR="00BD0366">
        <w:rPr>
          <w:rFonts w:ascii="Times New Roman" w:eastAsia="Times New Roman" w:hAnsi="Times New Roman" w:cs="Times New Roman"/>
          <w:sz w:val="24"/>
          <w:szCs w:val="24"/>
          <w:lang w:val="en" w:eastAsia="en-GB"/>
        </w:rPr>
        <w:t>The key question that must be addressed here is whether the financial penalties will deter future misconduct in the financial services sector?  Evidence suggests that the impact of these fines on the financial services sector is extremely limited and that the financial services sector continues to be troubled by misconduct.  This was soon illustrated the i</w:t>
      </w:r>
      <w:r w:rsidR="00A00BFE">
        <w:rPr>
          <w:rFonts w:ascii="Times New Roman" w:eastAsia="Times New Roman" w:hAnsi="Times New Roman" w:cs="Times New Roman"/>
          <w:sz w:val="24"/>
          <w:szCs w:val="24"/>
          <w:lang w:val="en" w:eastAsia="en-GB"/>
        </w:rPr>
        <w:t xml:space="preserve">mposition of these record breaking financial penalties </w:t>
      </w:r>
      <w:r w:rsidR="00BB20E6">
        <w:rPr>
          <w:rFonts w:ascii="Times New Roman" w:eastAsia="Times New Roman" w:hAnsi="Times New Roman" w:cs="Times New Roman"/>
          <w:sz w:val="24"/>
          <w:szCs w:val="24"/>
          <w:lang w:val="en" w:eastAsia="en-GB"/>
        </w:rPr>
        <w:t xml:space="preserve">following the manipulation </w:t>
      </w:r>
      <w:r w:rsidR="001E43CF">
        <w:rPr>
          <w:rFonts w:ascii="Times New Roman" w:eastAsia="Times New Roman" w:hAnsi="Times New Roman" w:cs="Times New Roman"/>
          <w:sz w:val="24"/>
          <w:szCs w:val="24"/>
          <w:lang w:val="en" w:eastAsia="en-GB"/>
        </w:rPr>
        <w:t xml:space="preserve">of </w:t>
      </w:r>
      <w:r w:rsidR="00BD0366">
        <w:rPr>
          <w:rFonts w:ascii="Times New Roman" w:eastAsia="Times New Roman" w:hAnsi="Times New Roman" w:cs="Times New Roman"/>
          <w:sz w:val="24"/>
          <w:szCs w:val="24"/>
          <w:lang w:val="en" w:eastAsia="en-GB"/>
        </w:rPr>
        <w:t>FOREX</w:t>
      </w:r>
      <w:r w:rsidR="00430273">
        <w:rPr>
          <w:rFonts w:ascii="Times New Roman" w:eastAsia="Times New Roman" w:hAnsi="Times New Roman" w:cs="Times New Roman"/>
          <w:sz w:val="24"/>
          <w:szCs w:val="24"/>
          <w:lang w:val="en" w:eastAsia="en-GB"/>
        </w:rPr>
        <w:t>.  For example, i</w:t>
      </w:r>
      <w:r w:rsidR="00504D80">
        <w:rPr>
          <w:rFonts w:ascii="Times New Roman" w:eastAsia="Times New Roman" w:hAnsi="Times New Roman" w:cs="Times New Roman"/>
          <w:sz w:val="24"/>
          <w:szCs w:val="24"/>
          <w:lang w:val="en" w:eastAsia="en-GB"/>
        </w:rPr>
        <w:t xml:space="preserve">n November 2014 the regulator fined five banks </w:t>
      </w:r>
      <w:r w:rsidR="00BD0366">
        <w:rPr>
          <w:rFonts w:ascii="Times New Roman" w:eastAsia="Times New Roman" w:hAnsi="Times New Roman" w:cs="Times New Roman"/>
          <w:sz w:val="24"/>
          <w:szCs w:val="24"/>
          <w:lang w:val="en" w:eastAsia="en-GB"/>
        </w:rPr>
        <w:t xml:space="preserve">a total of </w:t>
      </w:r>
      <w:r w:rsidR="00504D80">
        <w:rPr>
          <w:rFonts w:ascii="Times New Roman" w:eastAsia="Times New Roman" w:hAnsi="Times New Roman" w:cs="Times New Roman"/>
          <w:sz w:val="24"/>
          <w:szCs w:val="24"/>
          <w:lang w:val="en" w:eastAsia="en-GB"/>
        </w:rPr>
        <w:t xml:space="preserve">£1.1bn for “failing to control business practices … in their foreign exchange trading </w:t>
      </w:r>
      <w:r w:rsidR="00504D80">
        <w:rPr>
          <w:rFonts w:ascii="Times New Roman" w:eastAsia="Times New Roman" w:hAnsi="Times New Roman" w:cs="Times New Roman"/>
          <w:sz w:val="24"/>
          <w:szCs w:val="24"/>
          <w:lang w:val="en" w:eastAsia="en-GB"/>
        </w:rPr>
        <w:lastRenderedPageBreak/>
        <w:t>operations”.</w:t>
      </w:r>
      <w:r w:rsidR="00504D80">
        <w:rPr>
          <w:rStyle w:val="FootnoteReference"/>
          <w:rFonts w:ascii="Times New Roman" w:eastAsia="Times New Roman" w:hAnsi="Times New Roman" w:cs="Times New Roman"/>
          <w:sz w:val="24"/>
          <w:szCs w:val="24"/>
          <w:lang w:val="en" w:eastAsia="en-GB"/>
        </w:rPr>
        <w:footnoteReference w:id="83"/>
      </w:r>
      <w:r w:rsidR="00EE1F22">
        <w:rPr>
          <w:rFonts w:ascii="Times New Roman" w:eastAsia="Times New Roman" w:hAnsi="Times New Roman" w:cs="Times New Roman"/>
          <w:sz w:val="24"/>
          <w:szCs w:val="24"/>
          <w:lang w:val="en" w:eastAsia="en-GB"/>
        </w:rPr>
        <w:t xml:space="preserve">  In this instance, the </w:t>
      </w:r>
      <w:r w:rsidR="00B0530F">
        <w:rPr>
          <w:rFonts w:ascii="Times New Roman" w:eastAsia="Times New Roman" w:hAnsi="Times New Roman" w:cs="Times New Roman"/>
          <w:sz w:val="24"/>
          <w:szCs w:val="24"/>
          <w:lang w:val="en" w:eastAsia="en-GB"/>
        </w:rPr>
        <w:t>regulator</w:t>
      </w:r>
      <w:r w:rsidR="00EE1F22">
        <w:rPr>
          <w:rFonts w:ascii="Times New Roman" w:eastAsia="Times New Roman" w:hAnsi="Times New Roman" w:cs="Times New Roman"/>
          <w:sz w:val="24"/>
          <w:szCs w:val="24"/>
          <w:lang w:val="en" w:eastAsia="en-GB"/>
        </w:rPr>
        <w:t xml:space="preserve"> fined Citibank £225m, HSBC Bank Plc £216.3m, JP Morgan Chase Bank £222.1m, RBS £217m and UBS AG £233m.  Martin Wheatley, the then had of the regulator </w:t>
      </w:r>
      <w:r w:rsidR="00EE1F22" w:rsidRPr="00430273">
        <w:rPr>
          <w:rFonts w:ascii="Times New Roman" w:eastAsia="Times New Roman" w:hAnsi="Times New Roman" w:cs="Times New Roman"/>
          <w:i/>
          <w:sz w:val="24"/>
          <w:szCs w:val="24"/>
          <w:lang w:val="en" w:eastAsia="en-GB"/>
        </w:rPr>
        <w:t>boldly</w:t>
      </w:r>
      <w:r w:rsidR="00EE1F22">
        <w:rPr>
          <w:rFonts w:ascii="Times New Roman" w:eastAsia="Times New Roman" w:hAnsi="Times New Roman" w:cs="Times New Roman"/>
          <w:sz w:val="24"/>
          <w:szCs w:val="24"/>
          <w:lang w:val="en" w:eastAsia="en-GB"/>
        </w:rPr>
        <w:t xml:space="preserve"> claimed: </w:t>
      </w:r>
    </w:p>
    <w:p w:rsidR="00EE1F22" w:rsidRDefault="00EE1F22" w:rsidP="004A5637">
      <w:pPr>
        <w:spacing w:after="0" w:line="480" w:lineRule="auto"/>
        <w:contextualSpacing/>
        <w:jc w:val="center"/>
        <w:rPr>
          <w:rFonts w:ascii="Times New Roman" w:eastAsia="Times New Roman" w:hAnsi="Times New Roman" w:cs="Times New Roman"/>
          <w:sz w:val="24"/>
          <w:szCs w:val="24"/>
          <w:lang w:val="en" w:eastAsia="en-GB"/>
        </w:rPr>
      </w:pPr>
    </w:p>
    <w:p w:rsidR="00EE1F22" w:rsidRDefault="00EE1F22" w:rsidP="004A5637">
      <w:pPr>
        <w:spacing w:after="0" w:line="480" w:lineRule="auto"/>
        <w:ind w:left="284" w:right="284"/>
        <w:contextualSpacing/>
        <w:jc w:val="both"/>
        <w:rPr>
          <w:rFonts w:ascii="Times New Roman" w:hAnsi="Times New Roman" w:cs="Times New Roman"/>
          <w:sz w:val="24"/>
          <w:szCs w:val="24"/>
          <w:shd w:val="clear" w:color="auto" w:fill="FFFFFF"/>
        </w:rPr>
      </w:pPr>
      <w:r w:rsidRPr="00B0530F">
        <w:rPr>
          <w:rFonts w:ascii="Times New Roman" w:hAnsi="Times New Roman" w:cs="Times New Roman"/>
          <w:sz w:val="24"/>
          <w:szCs w:val="24"/>
          <w:shd w:val="clear" w:color="auto" w:fill="FFFFFF"/>
        </w:rPr>
        <w:t>“The FCA does not tolerate conduct which imperils market integrity or the wider UK financial system. Today’s record fines mark the gravity of the failings we found and firms need to take responsibility for putting it right. They must make sure their traders do not game the system to boost profits or leave the ethics of their conduct to compliance to worry about. Senior management commitments to change need to become a reality in every area of their business”.</w:t>
      </w:r>
      <w:r w:rsidRPr="00B0530F">
        <w:rPr>
          <w:rStyle w:val="FootnoteReference"/>
          <w:rFonts w:ascii="Times New Roman" w:hAnsi="Times New Roman" w:cs="Times New Roman"/>
          <w:sz w:val="24"/>
          <w:szCs w:val="24"/>
          <w:shd w:val="clear" w:color="auto" w:fill="FFFFFF"/>
        </w:rPr>
        <w:footnoteReference w:id="84"/>
      </w:r>
    </w:p>
    <w:p w:rsidR="00430273" w:rsidRPr="00B0530F" w:rsidRDefault="00430273" w:rsidP="004A5637">
      <w:pPr>
        <w:spacing w:after="0" w:line="480" w:lineRule="auto"/>
        <w:ind w:left="284" w:right="284"/>
        <w:contextualSpacing/>
        <w:jc w:val="both"/>
        <w:rPr>
          <w:rFonts w:ascii="Times New Roman" w:eastAsia="Times New Roman" w:hAnsi="Times New Roman" w:cs="Times New Roman"/>
          <w:sz w:val="24"/>
          <w:szCs w:val="24"/>
          <w:lang w:val="en" w:eastAsia="en-GB"/>
        </w:rPr>
      </w:pPr>
    </w:p>
    <w:p w:rsidR="00D8254B" w:rsidRPr="00D8254B" w:rsidRDefault="00BB20E6" w:rsidP="004A5637">
      <w:pPr>
        <w:spacing w:after="0" w:line="480" w:lineRule="auto"/>
        <w:contextualSpacing/>
        <w:jc w:val="both"/>
        <w:rPr>
          <w:rFonts w:ascii="Book Antiqua" w:eastAsia="Times New Roman" w:hAnsi="Book Antiqua" w:cs="Times New Roman"/>
          <w:color w:val="333333"/>
          <w:kern w:val="36"/>
          <w:sz w:val="60"/>
          <w:szCs w:val="60"/>
          <w:lang w:eastAsia="en-GB"/>
        </w:rPr>
      </w:pPr>
      <w:r w:rsidRPr="00430273">
        <w:rPr>
          <w:rFonts w:ascii="Times New Roman" w:eastAsia="Times New Roman" w:hAnsi="Times New Roman" w:cs="Times New Roman"/>
          <w:sz w:val="24"/>
          <w:szCs w:val="24"/>
          <w:lang w:val="en" w:eastAsia="en-GB"/>
        </w:rPr>
        <w:t>In May 2015, Barclays was fined by the regulator £284.4m for</w:t>
      </w:r>
      <w:r w:rsidR="00504D80" w:rsidRPr="00430273">
        <w:rPr>
          <w:rFonts w:ascii="Times New Roman" w:eastAsia="Times New Roman" w:hAnsi="Times New Roman" w:cs="Times New Roman"/>
          <w:sz w:val="24"/>
          <w:szCs w:val="24"/>
          <w:lang w:val="en" w:eastAsia="en-GB"/>
        </w:rPr>
        <w:t xml:space="preserve"> “failing to control business practices in its foreign exchange business in London”.</w:t>
      </w:r>
      <w:r w:rsidR="00430273" w:rsidRPr="00430273">
        <w:rPr>
          <w:rStyle w:val="FootnoteReference"/>
          <w:rFonts w:ascii="Times New Roman" w:eastAsia="Times New Roman" w:hAnsi="Times New Roman" w:cs="Times New Roman"/>
          <w:sz w:val="24"/>
          <w:szCs w:val="24"/>
          <w:lang w:val="en" w:eastAsia="en-GB"/>
        </w:rPr>
        <w:footnoteReference w:id="85"/>
      </w:r>
      <w:r w:rsidR="00430273" w:rsidRPr="00430273">
        <w:rPr>
          <w:rFonts w:ascii="Times New Roman" w:eastAsia="Times New Roman" w:hAnsi="Times New Roman" w:cs="Times New Roman"/>
          <w:sz w:val="24"/>
          <w:szCs w:val="24"/>
          <w:lang w:val="en" w:eastAsia="en-GB"/>
        </w:rPr>
        <w:t xml:space="preserve">  The regulator</w:t>
      </w:r>
      <w:r w:rsidR="00504D80" w:rsidRPr="00430273">
        <w:rPr>
          <w:rFonts w:ascii="Times New Roman" w:eastAsia="Times New Roman" w:hAnsi="Times New Roman" w:cs="Times New Roman"/>
          <w:sz w:val="24"/>
          <w:szCs w:val="24"/>
          <w:lang w:val="en" w:eastAsia="en-GB"/>
        </w:rPr>
        <w:t xml:space="preserve"> condemned the actions of Barclays and stated that “</w:t>
      </w:r>
      <w:r w:rsidR="00504D80" w:rsidRPr="00430273">
        <w:rPr>
          <w:rFonts w:ascii="Times New Roman" w:hAnsi="Times New Roman" w:cs="Times New Roman"/>
          <w:sz w:val="24"/>
          <w:szCs w:val="24"/>
          <w:shd w:val="clear" w:color="auto" w:fill="FFFFFF"/>
        </w:rPr>
        <w:t xml:space="preserve">this is </w:t>
      </w:r>
      <w:r w:rsidR="00504D80" w:rsidRPr="00BD0366">
        <w:rPr>
          <w:rFonts w:ascii="Times New Roman" w:hAnsi="Times New Roman" w:cs="Times New Roman"/>
          <w:i/>
          <w:sz w:val="24"/>
          <w:szCs w:val="24"/>
          <w:shd w:val="clear" w:color="auto" w:fill="FFFFFF"/>
        </w:rPr>
        <w:t>another</w:t>
      </w:r>
      <w:r w:rsidR="00504D80" w:rsidRPr="00430273">
        <w:rPr>
          <w:rFonts w:ascii="Times New Roman" w:hAnsi="Times New Roman" w:cs="Times New Roman"/>
          <w:sz w:val="24"/>
          <w:szCs w:val="24"/>
          <w:shd w:val="clear" w:color="auto" w:fill="FFFFFF"/>
        </w:rPr>
        <w:t xml:space="preserve"> </w:t>
      </w:r>
      <w:r w:rsidR="00BD0366">
        <w:rPr>
          <w:rFonts w:ascii="Times New Roman" w:hAnsi="Times New Roman" w:cs="Times New Roman"/>
          <w:sz w:val="24"/>
          <w:szCs w:val="24"/>
          <w:shd w:val="clear" w:color="auto" w:fill="FFFFFF"/>
        </w:rPr>
        <w:t xml:space="preserve">[author’s emphasis] </w:t>
      </w:r>
      <w:r w:rsidR="00504D80" w:rsidRPr="00430273">
        <w:rPr>
          <w:rFonts w:ascii="Times New Roman" w:hAnsi="Times New Roman" w:cs="Times New Roman"/>
          <w:sz w:val="24"/>
          <w:szCs w:val="24"/>
          <w:shd w:val="clear" w:color="auto" w:fill="FFFFFF"/>
        </w:rPr>
        <w:t>example of a firm allowing unacceptable practices to flourish on the trading floor”.</w:t>
      </w:r>
      <w:r w:rsidR="00504D80" w:rsidRPr="00430273">
        <w:rPr>
          <w:rStyle w:val="FootnoteReference"/>
          <w:rFonts w:ascii="Times New Roman" w:hAnsi="Times New Roman" w:cs="Times New Roman"/>
          <w:sz w:val="24"/>
          <w:szCs w:val="24"/>
          <w:shd w:val="clear" w:color="auto" w:fill="FFFFFF"/>
        </w:rPr>
        <w:footnoteReference w:id="86"/>
      </w:r>
      <w:r w:rsidR="00430273">
        <w:rPr>
          <w:rFonts w:ascii="Times New Roman" w:hAnsi="Times New Roman" w:cs="Times New Roman"/>
          <w:sz w:val="24"/>
          <w:szCs w:val="24"/>
          <w:shd w:val="clear" w:color="auto" w:fill="FFFFFF"/>
        </w:rPr>
        <w:t xml:space="preserve">  </w:t>
      </w:r>
      <w:r w:rsidR="00B0530F">
        <w:rPr>
          <w:rFonts w:ascii="Times New Roman" w:eastAsia="Times New Roman" w:hAnsi="Times New Roman" w:cs="Times New Roman"/>
          <w:sz w:val="24"/>
          <w:szCs w:val="24"/>
          <w:lang w:val="en" w:eastAsia="en-GB"/>
        </w:rPr>
        <w:t xml:space="preserve">The regulator also imposed a financial penalty on Mark Stevenson in 2014 for </w:t>
      </w:r>
      <w:r w:rsidR="00D8254B">
        <w:rPr>
          <w:rFonts w:ascii="Times New Roman" w:eastAsia="Times New Roman" w:hAnsi="Times New Roman" w:cs="Times New Roman"/>
          <w:sz w:val="24"/>
          <w:szCs w:val="24"/>
          <w:lang w:val="en" w:eastAsia="en-GB"/>
        </w:rPr>
        <w:t>manipulating gilt prices during quantitative easing.</w:t>
      </w:r>
      <w:r w:rsidR="00D8254B">
        <w:rPr>
          <w:rStyle w:val="FootnoteReference"/>
          <w:rFonts w:ascii="Times New Roman" w:eastAsia="Times New Roman" w:hAnsi="Times New Roman" w:cs="Times New Roman"/>
          <w:sz w:val="24"/>
          <w:szCs w:val="24"/>
          <w:lang w:val="en" w:eastAsia="en-GB"/>
        </w:rPr>
        <w:footnoteReference w:id="87"/>
      </w:r>
    </w:p>
    <w:p w:rsidR="00B0530F" w:rsidRPr="0017668D" w:rsidRDefault="00B0530F" w:rsidP="004A5637">
      <w:pPr>
        <w:spacing w:after="0" w:line="480" w:lineRule="auto"/>
        <w:contextualSpacing/>
        <w:jc w:val="both"/>
        <w:rPr>
          <w:rFonts w:ascii="Times New Roman" w:eastAsia="Times New Roman" w:hAnsi="Times New Roman" w:cs="Times New Roman"/>
          <w:sz w:val="24"/>
          <w:szCs w:val="24"/>
          <w:lang w:val="en" w:eastAsia="en-GB"/>
        </w:rPr>
      </w:pPr>
    </w:p>
    <w:p w:rsidR="00B60762" w:rsidRPr="0017668D" w:rsidRDefault="00844C3F" w:rsidP="004A5637">
      <w:pPr>
        <w:spacing w:after="0" w:line="480" w:lineRule="auto"/>
        <w:jc w:val="both"/>
        <w:rPr>
          <w:rFonts w:ascii="Times New Roman" w:eastAsia="Times New Roman" w:hAnsi="Times New Roman" w:cs="Times New Roman"/>
          <w:sz w:val="24"/>
          <w:szCs w:val="24"/>
          <w:lang w:val="en" w:eastAsia="en-GB"/>
        </w:rPr>
      </w:pPr>
      <w:r>
        <w:rPr>
          <w:rFonts w:ascii="Times New Roman" w:eastAsia="SimSun" w:hAnsi="Times New Roman" w:cs="Times New Roman"/>
          <w:sz w:val="24"/>
          <w:szCs w:val="24"/>
          <w:lang w:val="en" w:eastAsia="zh-CN"/>
        </w:rPr>
        <w:lastRenderedPageBreak/>
        <w:t>Another civil sanction available to the</w:t>
      </w:r>
      <w:r w:rsidR="00FE0B7D">
        <w:rPr>
          <w:rFonts w:ascii="Times New Roman" w:eastAsia="SimSun" w:hAnsi="Times New Roman" w:cs="Times New Roman"/>
          <w:sz w:val="24"/>
          <w:szCs w:val="24"/>
          <w:lang w:val="en" w:eastAsia="zh-CN"/>
        </w:rPr>
        <w:t xml:space="preserve"> regulator is</w:t>
      </w:r>
      <w:r>
        <w:rPr>
          <w:rFonts w:ascii="Times New Roman" w:eastAsia="SimSun" w:hAnsi="Times New Roman" w:cs="Times New Roman"/>
          <w:sz w:val="24"/>
          <w:szCs w:val="24"/>
          <w:lang w:val="en" w:eastAsia="zh-CN"/>
        </w:rPr>
        <w:t xml:space="preserve"> </w:t>
      </w:r>
      <w:r w:rsidR="00FE0B7D">
        <w:rPr>
          <w:rFonts w:ascii="Times New Roman" w:eastAsia="SimSun" w:hAnsi="Times New Roman" w:cs="Times New Roman"/>
          <w:sz w:val="24"/>
          <w:szCs w:val="24"/>
          <w:lang w:val="en" w:eastAsia="zh-CN"/>
        </w:rPr>
        <w:t xml:space="preserve">a </w:t>
      </w:r>
      <w:r w:rsidR="00B60762" w:rsidRPr="0017668D">
        <w:rPr>
          <w:rFonts w:ascii="Times New Roman" w:eastAsia="SimSun" w:hAnsi="Times New Roman" w:cs="Times New Roman"/>
          <w:sz w:val="24"/>
          <w:szCs w:val="24"/>
          <w:lang w:val="en" w:eastAsia="zh-CN"/>
        </w:rPr>
        <w:t>prohibition.</w:t>
      </w:r>
      <w:r w:rsidR="00B60762" w:rsidRPr="0017668D">
        <w:rPr>
          <w:rFonts w:ascii="Times New Roman" w:eastAsia="SimSun" w:hAnsi="Times New Roman" w:cs="Times New Roman"/>
          <w:sz w:val="24"/>
          <w:szCs w:val="24"/>
          <w:vertAlign w:val="superscript"/>
          <w:lang w:val="en" w:eastAsia="zh-CN"/>
        </w:rPr>
        <w:footnoteReference w:id="88"/>
      </w:r>
      <w:r w:rsidR="00B60762" w:rsidRPr="0017668D">
        <w:rPr>
          <w:rFonts w:ascii="Times New Roman" w:eastAsia="SimSun" w:hAnsi="Times New Roman" w:cs="Times New Roman"/>
          <w:sz w:val="24"/>
          <w:szCs w:val="24"/>
          <w:lang w:val="en" w:eastAsia="zh-CN"/>
        </w:rPr>
        <w:t xml:space="preserve">  </w:t>
      </w:r>
      <w:r w:rsidR="00591887" w:rsidRPr="0017668D">
        <w:rPr>
          <w:rFonts w:ascii="Times New Roman" w:eastAsia="Times New Roman" w:hAnsi="Times New Roman" w:cs="Times New Roman"/>
          <w:sz w:val="24"/>
          <w:szCs w:val="24"/>
          <w:lang w:val="en"/>
        </w:rPr>
        <w:t>One area in which the</w:t>
      </w:r>
      <w:r w:rsidR="00BD0366">
        <w:rPr>
          <w:rFonts w:ascii="Times New Roman" w:eastAsia="Times New Roman" w:hAnsi="Times New Roman" w:cs="Times New Roman"/>
          <w:sz w:val="24"/>
          <w:szCs w:val="24"/>
          <w:lang w:val="en"/>
        </w:rPr>
        <w:t xml:space="preserve">se have been </w:t>
      </w:r>
      <w:r w:rsidR="00591887" w:rsidRPr="0017668D">
        <w:rPr>
          <w:rFonts w:ascii="Times New Roman" w:eastAsia="Times New Roman" w:hAnsi="Times New Roman" w:cs="Times New Roman"/>
          <w:sz w:val="24"/>
          <w:szCs w:val="24"/>
          <w:lang w:val="en"/>
        </w:rPr>
        <w:t xml:space="preserve">extensively used </w:t>
      </w:r>
      <w:r w:rsidR="00BD0366">
        <w:rPr>
          <w:rFonts w:ascii="Times New Roman" w:eastAsia="Times New Roman" w:hAnsi="Times New Roman" w:cs="Times New Roman"/>
          <w:sz w:val="24"/>
          <w:szCs w:val="24"/>
          <w:lang w:val="en"/>
        </w:rPr>
        <w:t xml:space="preserve">is </w:t>
      </w:r>
      <w:r w:rsidR="00591887" w:rsidRPr="0017668D">
        <w:rPr>
          <w:rFonts w:ascii="Times New Roman" w:eastAsia="Times New Roman" w:hAnsi="Times New Roman" w:cs="Times New Roman"/>
          <w:sz w:val="24"/>
          <w:szCs w:val="24"/>
          <w:lang w:val="en"/>
        </w:rPr>
        <w:t>mortgage fraud, which has “been identified as a contributor to the financial crisis”.</w:t>
      </w:r>
      <w:r w:rsidR="00591887" w:rsidRPr="0017668D">
        <w:rPr>
          <w:rFonts w:ascii="Times New Roman" w:eastAsia="Times New Roman" w:hAnsi="Times New Roman" w:cs="Times New Roman"/>
          <w:sz w:val="24"/>
          <w:szCs w:val="24"/>
          <w:vertAlign w:val="superscript"/>
          <w:lang w:val="en"/>
        </w:rPr>
        <w:footnoteReference w:id="89"/>
      </w:r>
      <w:r w:rsidR="00591887" w:rsidRPr="0017668D">
        <w:rPr>
          <w:rFonts w:ascii="Times New Roman" w:eastAsia="Calibri" w:hAnsi="Times New Roman" w:cs="Times New Roman"/>
          <w:sz w:val="24"/>
          <w:szCs w:val="24"/>
          <w:lang w:eastAsia="en-GB"/>
        </w:rPr>
        <w:t xml:space="preserve"> Srivastava </w:t>
      </w:r>
      <w:r w:rsidR="00591887" w:rsidRPr="0017668D">
        <w:rPr>
          <w:rFonts w:ascii="Times New Roman" w:eastAsia="Calibri" w:hAnsi="Times New Roman" w:cs="Times New Roman"/>
          <w:i/>
          <w:sz w:val="24"/>
          <w:szCs w:val="24"/>
          <w:lang w:eastAsia="en-GB"/>
        </w:rPr>
        <w:t>et al</w:t>
      </w:r>
      <w:r w:rsidR="00591887" w:rsidRPr="0017668D">
        <w:rPr>
          <w:rFonts w:ascii="Times New Roman" w:eastAsia="Calibri" w:hAnsi="Times New Roman" w:cs="Times New Roman"/>
          <w:sz w:val="24"/>
          <w:szCs w:val="24"/>
          <w:lang w:eastAsia="en-GB"/>
        </w:rPr>
        <w:t xml:space="preserve"> stated that “the FSA has banned 92 mortgage brokers and imposed fines of around £1.5m”.</w:t>
      </w:r>
      <w:r w:rsidR="00591887" w:rsidRPr="0017668D">
        <w:rPr>
          <w:rFonts w:ascii="Times New Roman" w:eastAsia="Calibri" w:hAnsi="Times New Roman" w:cs="Times New Roman"/>
          <w:sz w:val="24"/>
          <w:szCs w:val="24"/>
          <w:vertAlign w:val="superscript"/>
          <w:lang w:eastAsia="en-GB"/>
        </w:rPr>
        <w:footnoteReference w:id="90"/>
      </w:r>
      <w:r w:rsidR="00591887" w:rsidRPr="0017668D">
        <w:rPr>
          <w:rFonts w:ascii="Times New Roman" w:eastAsia="Calibri" w:hAnsi="Times New Roman" w:cs="Times New Roman"/>
          <w:sz w:val="24"/>
          <w:szCs w:val="24"/>
          <w:lang w:eastAsia="en-GB"/>
        </w:rPr>
        <w:t xml:space="preserve">  </w:t>
      </w:r>
      <w:r w:rsidR="00591887" w:rsidRPr="0017668D">
        <w:rPr>
          <w:rFonts w:ascii="Times New Roman" w:eastAsia="Times New Roman" w:hAnsi="Times New Roman" w:cs="Times New Roman"/>
          <w:sz w:val="24"/>
          <w:szCs w:val="24"/>
          <w:lang w:val="en"/>
        </w:rPr>
        <w:t>In 2008/2009, the FSA imposed prohibition orders on 58 individuals,</w:t>
      </w:r>
      <w:r w:rsidR="00591887" w:rsidRPr="0017668D">
        <w:rPr>
          <w:rFonts w:ascii="Times New Roman" w:eastAsia="Times New Roman" w:hAnsi="Times New Roman" w:cs="Times New Roman"/>
          <w:sz w:val="24"/>
          <w:szCs w:val="24"/>
          <w:vertAlign w:val="superscript"/>
          <w:lang w:val="en"/>
        </w:rPr>
        <w:footnoteReference w:id="91"/>
      </w:r>
      <w:r w:rsidR="00591887" w:rsidRPr="0017668D">
        <w:rPr>
          <w:rFonts w:ascii="Times New Roman" w:eastAsia="Times New Roman" w:hAnsi="Times New Roman" w:cs="Times New Roman"/>
          <w:sz w:val="24"/>
          <w:szCs w:val="24"/>
          <w:lang w:val="en"/>
        </w:rPr>
        <w:t xml:space="preserve"> and it is very interesting to note that out of the 58 prohibition orders, 23 of them were mortgage fraud related.</w:t>
      </w:r>
      <w:r w:rsidR="00591887" w:rsidRPr="0017668D">
        <w:rPr>
          <w:rFonts w:ascii="Times New Roman" w:eastAsia="Times New Roman" w:hAnsi="Times New Roman" w:cs="Times New Roman"/>
          <w:sz w:val="24"/>
          <w:szCs w:val="24"/>
          <w:vertAlign w:val="superscript"/>
          <w:lang w:val="en"/>
        </w:rPr>
        <w:footnoteReference w:id="92"/>
      </w:r>
      <w:r w:rsidR="00591887" w:rsidRPr="0017668D">
        <w:rPr>
          <w:rFonts w:ascii="Times New Roman" w:eastAsia="Times New Roman" w:hAnsi="Times New Roman" w:cs="Times New Roman"/>
          <w:sz w:val="24"/>
          <w:szCs w:val="24"/>
          <w:lang w:val="en"/>
        </w:rPr>
        <w:t xml:space="preserve">  The number of prohibition orders slightly decreased in 2009/2010 to 56,</w:t>
      </w:r>
      <w:r w:rsidR="00591887" w:rsidRPr="0017668D">
        <w:rPr>
          <w:rFonts w:ascii="Times New Roman" w:eastAsia="Times New Roman" w:hAnsi="Times New Roman" w:cs="Times New Roman"/>
          <w:sz w:val="24"/>
          <w:szCs w:val="24"/>
          <w:vertAlign w:val="superscript"/>
          <w:lang w:val="en"/>
        </w:rPr>
        <w:footnoteReference w:id="93"/>
      </w:r>
      <w:r w:rsidR="00591887" w:rsidRPr="0017668D">
        <w:rPr>
          <w:rFonts w:ascii="Times New Roman" w:eastAsia="Times New Roman" w:hAnsi="Times New Roman" w:cs="Times New Roman"/>
          <w:sz w:val="24"/>
          <w:szCs w:val="24"/>
          <w:lang w:val="en"/>
        </w:rPr>
        <w:t xml:space="preserve"> but increased to 71 in 2010/2011.</w:t>
      </w:r>
      <w:r w:rsidR="00591887" w:rsidRPr="0017668D">
        <w:rPr>
          <w:rFonts w:ascii="Times New Roman" w:eastAsia="Times New Roman" w:hAnsi="Times New Roman" w:cs="Times New Roman"/>
          <w:sz w:val="24"/>
          <w:szCs w:val="24"/>
          <w:vertAlign w:val="superscript"/>
          <w:lang w:val="en"/>
        </w:rPr>
        <w:footnoteReference w:id="94"/>
      </w:r>
      <w:r w:rsidR="00591887" w:rsidRPr="0017668D">
        <w:rPr>
          <w:rFonts w:ascii="Times New Roman" w:eastAsia="Times New Roman" w:hAnsi="Times New Roman" w:cs="Times New Roman"/>
          <w:sz w:val="24"/>
          <w:szCs w:val="24"/>
          <w:lang w:val="en"/>
        </w:rPr>
        <w:t xml:space="preserve">  However, th</w:t>
      </w:r>
      <w:r w:rsidR="00021AB1">
        <w:rPr>
          <w:rFonts w:ascii="Times New Roman" w:eastAsia="Times New Roman" w:hAnsi="Times New Roman" w:cs="Times New Roman"/>
          <w:sz w:val="24"/>
          <w:szCs w:val="24"/>
          <w:lang w:val="en"/>
        </w:rPr>
        <w:t>e numbers dropped to 47 in 2011,</w:t>
      </w:r>
      <w:r w:rsidR="00591887" w:rsidRPr="0017668D">
        <w:rPr>
          <w:rFonts w:ascii="Times New Roman" w:eastAsia="Times New Roman" w:hAnsi="Times New Roman" w:cs="Times New Roman"/>
          <w:sz w:val="24"/>
          <w:szCs w:val="24"/>
          <w:vertAlign w:val="superscript"/>
          <w:lang w:val="en"/>
        </w:rPr>
        <w:footnoteReference w:id="95"/>
      </w:r>
      <w:r w:rsidR="00591887" w:rsidRPr="0017668D">
        <w:rPr>
          <w:rFonts w:ascii="Times New Roman" w:eastAsia="Times New Roman" w:hAnsi="Times New Roman" w:cs="Times New Roman"/>
          <w:sz w:val="24"/>
          <w:szCs w:val="24"/>
          <w:lang w:val="en"/>
        </w:rPr>
        <w:t xml:space="preserve"> 45 in 2012</w:t>
      </w:r>
      <w:r w:rsidR="00021AB1">
        <w:rPr>
          <w:rFonts w:ascii="Times New Roman" w:eastAsia="Times New Roman" w:hAnsi="Times New Roman" w:cs="Times New Roman"/>
          <w:sz w:val="24"/>
          <w:szCs w:val="24"/>
          <w:lang w:val="en"/>
        </w:rPr>
        <w:t>,</w:t>
      </w:r>
      <w:r w:rsidR="00591887" w:rsidRPr="0017668D">
        <w:rPr>
          <w:rFonts w:ascii="Times New Roman" w:eastAsia="Times New Roman" w:hAnsi="Times New Roman" w:cs="Times New Roman"/>
          <w:sz w:val="24"/>
          <w:szCs w:val="24"/>
          <w:vertAlign w:val="superscript"/>
          <w:lang w:val="en" w:eastAsia="en-GB"/>
        </w:rPr>
        <w:footnoteReference w:id="96"/>
      </w:r>
      <w:r w:rsidR="00591887" w:rsidRPr="0017668D">
        <w:rPr>
          <w:rFonts w:ascii="Times New Roman" w:eastAsia="Times New Roman" w:hAnsi="Times New Roman" w:cs="Times New Roman"/>
          <w:sz w:val="24"/>
          <w:szCs w:val="24"/>
          <w:lang w:val="en" w:eastAsia="en-GB"/>
        </w:rPr>
        <w:t xml:space="preserve"> </w:t>
      </w:r>
      <w:r w:rsidR="00021AB1">
        <w:rPr>
          <w:rFonts w:ascii="Times New Roman" w:eastAsia="Times New Roman" w:hAnsi="Times New Roman" w:cs="Times New Roman"/>
          <w:sz w:val="24"/>
          <w:szCs w:val="24"/>
          <w:lang w:val="en" w:eastAsia="en-GB"/>
        </w:rPr>
        <w:t xml:space="preserve">26 in 2013 </w:t>
      </w:r>
      <w:r w:rsidR="00021AB1">
        <w:rPr>
          <w:rStyle w:val="FootnoteReference"/>
          <w:rFonts w:ascii="Times New Roman" w:eastAsia="Times New Roman" w:hAnsi="Times New Roman" w:cs="Times New Roman"/>
          <w:sz w:val="24"/>
          <w:szCs w:val="24"/>
          <w:lang w:val="en" w:eastAsia="en-GB"/>
        </w:rPr>
        <w:footnoteReference w:id="97"/>
      </w:r>
      <w:r w:rsidR="00021AB1">
        <w:rPr>
          <w:rFonts w:ascii="Times New Roman" w:eastAsia="Times New Roman" w:hAnsi="Times New Roman" w:cs="Times New Roman"/>
          <w:sz w:val="24"/>
          <w:szCs w:val="24"/>
          <w:lang w:val="en" w:eastAsia="en-GB"/>
        </w:rPr>
        <w:t xml:space="preserve"> and 26 in 2014.</w:t>
      </w:r>
      <w:r w:rsidR="00AE684C">
        <w:rPr>
          <w:rStyle w:val="FootnoteReference"/>
          <w:rFonts w:ascii="Times New Roman" w:eastAsia="Times New Roman" w:hAnsi="Times New Roman" w:cs="Times New Roman"/>
          <w:sz w:val="24"/>
          <w:szCs w:val="24"/>
          <w:lang w:val="en" w:eastAsia="en-GB"/>
        </w:rPr>
        <w:footnoteReference w:id="98"/>
      </w:r>
      <w:r w:rsidR="00AE684C">
        <w:rPr>
          <w:rFonts w:ascii="Times New Roman" w:eastAsia="Times New Roman" w:hAnsi="Times New Roman" w:cs="Times New Roman"/>
          <w:sz w:val="24"/>
          <w:szCs w:val="24"/>
          <w:lang w:val="en" w:eastAsia="en-GB"/>
        </w:rPr>
        <w:t xml:space="preserve">  </w:t>
      </w:r>
      <w:r w:rsidR="00B60762" w:rsidRPr="0017668D">
        <w:rPr>
          <w:rFonts w:ascii="Times New Roman" w:eastAsia="SimSun" w:hAnsi="Times New Roman" w:cs="Times New Roman"/>
          <w:sz w:val="24"/>
          <w:szCs w:val="24"/>
          <w:lang w:val="en" w:eastAsia="zh-CN"/>
        </w:rPr>
        <w:t xml:space="preserve">An illustration of FSA issuing a prohibition order was </w:t>
      </w:r>
      <w:r w:rsidR="00BD0366">
        <w:rPr>
          <w:rFonts w:ascii="Times New Roman" w:eastAsia="SimSun" w:hAnsi="Times New Roman" w:cs="Times New Roman"/>
          <w:sz w:val="24"/>
          <w:szCs w:val="24"/>
          <w:lang w:val="en" w:eastAsia="zh-CN"/>
        </w:rPr>
        <w:t xml:space="preserve">against </w:t>
      </w:r>
      <w:r w:rsidR="00B60762" w:rsidRPr="0017668D">
        <w:rPr>
          <w:rFonts w:ascii="Times New Roman" w:eastAsia="SimSun" w:hAnsi="Times New Roman" w:cs="Times New Roman"/>
          <w:sz w:val="24"/>
          <w:szCs w:val="24"/>
          <w:lang w:val="en" w:eastAsia="zh-CN"/>
        </w:rPr>
        <w:t xml:space="preserve">Peter Cummins, </w:t>
      </w:r>
      <w:r w:rsidR="00BD0366">
        <w:rPr>
          <w:rFonts w:ascii="Times New Roman" w:eastAsia="SimSun" w:hAnsi="Times New Roman" w:cs="Times New Roman"/>
          <w:sz w:val="24"/>
          <w:szCs w:val="24"/>
          <w:lang w:val="en" w:eastAsia="zh-CN"/>
        </w:rPr>
        <w:t xml:space="preserve">the </w:t>
      </w:r>
      <w:r w:rsidR="00B60762" w:rsidRPr="0017668D">
        <w:rPr>
          <w:rFonts w:ascii="Times New Roman" w:eastAsia="SimSun" w:hAnsi="Times New Roman" w:cs="Times New Roman"/>
          <w:sz w:val="24"/>
          <w:szCs w:val="24"/>
          <w:lang w:val="en" w:eastAsia="zh-CN"/>
        </w:rPr>
        <w:t>former CEO of HBOS.</w:t>
      </w:r>
      <w:r w:rsidR="00B60762" w:rsidRPr="0017668D">
        <w:rPr>
          <w:rFonts w:ascii="Times New Roman" w:eastAsia="SimSun" w:hAnsi="Times New Roman" w:cs="Times New Roman"/>
          <w:sz w:val="24"/>
          <w:szCs w:val="24"/>
          <w:vertAlign w:val="superscript"/>
          <w:lang w:val="en" w:eastAsia="zh-CN"/>
        </w:rPr>
        <w:footnoteReference w:id="99"/>
      </w:r>
      <w:r w:rsidR="00B60762" w:rsidRPr="0017668D">
        <w:rPr>
          <w:rFonts w:ascii="Times New Roman" w:eastAsia="SimSun" w:hAnsi="Times New Roman" w:cs="Times New Roman"/>
          <w:sz w:val="24"/>
          <w:szCs w:val="24"/>
          <w:lang w:val="en" w:eastAsia="zh-CN"/>
        </w:rPr>
        <w:t xml:space="preserve">  Additionally, he was fined £500,000 for his “</w:t>
      </w:r>
      <w:r w:rsidR="00B60762" w:rsidRPr="0017668D">
        <w:rPr>
          <w:rFonts w:ascii="Times New Roman" w:eastAsia="Times New Roman" w:hAnsi="Times New Roman" w:cs="Times New Roman"/>
          <w:sz w:val="24"/>
          <w:szCs w:val="24"/>
          <w:lang w:val="en" w:eastAsia="en-GB"/>
        </w:rPr>
        <w:t xml:space="preserve">breaching Statement of Principle 6 of the FSA’s Code of Practice </w:t>
      </w:r>
      <w:r w:rsidR="00B60762" w:rsidRPr="0017668D">
        <w:rPr>
          <w:rFonts w:ascii="Times New Roman" w:eastAsia="Times New Roman" w:hAnsi="Times New Roman" w:cs="Times New Roman"/>
          <w:sz w:val="24"/>
          <w:szCs w:val="24"/>
          <w:lang w:val="en" w:eastAsia="en-GB"/>
        </w:rPr>
        <w:lastRenderedPageBreak/>
        <w:t>for Approved Persons, by failing to exercise due skill, care and diligence in managing HBOS’s Corporate Division”.</w:t>
      </w:r>
      <w:r w:rsidR="00B60762" w:rsidRPr="0017668D">
        <w:rPr>
          <w:rFonts w:ascii="Times New Roman" w:eastAsia="Times New Roman" w:hAnsi="Times New Roman" w:cs="Times New Roman"/>
          <w:sz w:val="24"/>
          <w:szCs w:val="24"/>
          <w:vertAlign w:val="superscript"/>
          <w:lang w:val="en" w:eastAsia="en-GB"/>
        </w:rPr>
        <w:footnoteReference w:id="100"/>
      </w:r>
      <w:r w:rsidR="00B60762" w:rsidRPr="0017668D">
        <w:rPr>
          <w:rFonts w:ascii="Times New Roman" w:eastAsia="Times New Roman" w:hAnsi="Times New Roman" w:cs="Times New Roman"/>
          <w:sz w:val="24"/>
          <w:szCs w:val="24"/>
          <w:lang w:val="en" w:eastAsia="en-GB"/>
        </w:rPr>
        <w:t xml:space="preserve">  The </w:t>
      </w:r>
      <w:r w:rsidR="00BD0366">
        <w:rPr>
          <w:rFonts w:ascii="Times New Roman" w:eastAsia="Times New Roman" w:hAnsi="Times New Roman" w:cs="Times New Roman"/>
          <w:sz w:val="24"/>
          <w:szCs w:val="24"/>
          <w:lang w:val="en" w:eastAsia="en-GB"/>
        </w:rPr>
        <w:t xml:space="preserve">regulator </w:t>
      </w:r>
      <w:r w:rsidR="00B60762" w:rsidRPr="0017668D">
        <w:rPr>
          <w:rFonts w:ascii="Times New Roman" w:eastAsia="Times New Roman" w:hAnsi="Times New Roman" w:cs="Times New Roman"/>
          <w:sz w:val="24"/>
          <w:szCs w:val="24"/>
          <w:lang w:val="en" w:eastAsia="en-GB"/>
        </w:rPr>
        <w:t>stated that:</w:t>
      </w:r>
    </w:p>
    <w:p w:rsidR="00B60762" w:rsidRPr="0017668D" w:rsidRDefault="00B60762" w:rsidP="004A5637">
      <w:pPr>
        <w:spacing w:after="0" w:line="480" w:lineRule="auto"/>
        <w:jc w:val="both"/>
        <w:rPr>
          <w:rFonts w:ascii="Times New Roman" w:eastAsia="Times New Roman" w:hAnsi="Times New Roman" w:cs="Times New Roman"/>
          <w:sz w:val="24"/>
          <w:szCs w:val="24"/>
          <w:lang w:val="en" w:eastAsia="en-GB"/>
        </w:rPr>
      </w:pPr>
    </w:p>
    <w:p w:rsidR="00B60762" w:rsidRPr="0017668D" w:rsidRDefault="00B60762" w:rsidP="004A5637">
      <w:pPr>
        <w:shd w:val="clear" w:color="auto" w:fill="FFFFFF"/>
        <w:spacing w:after="0" w:line="480" w:lineRule="auto"/>
        <w:ind w:left="284" w:right="284"/>
        <w:jc w:val="both"/>
        <w:rPr>
          <w:rFonts w:ascii="Times New Roman" w:eastAsia="Times New Roman" w:hAnsi="Times New Roman" w:cs="Times New Roman"/>
          <w:sz w:val="24"/>
          <w:szCs w:val="24"/>
          <w:lang w:val="en" w:eastAsia="en-GB"/>
        </w:rPr>
      </w:pPr>
      <w:r w:rsidRPr="0017668D">
        <w:rPr>
          <w:rFonts w:ascii="Times New Roman" w:eastAsia="Times New Roman" w:hAnsi="Times New Roman" w:cs="Times New Roman"/>
          <w:sz w:val="24"/>
          <w:szCs w:val="24"/>
          <w:lang w:val="en" w:eastAsia="en-GB"/>
        </w:rPr>
        <w:t xml:space="preserve">“Despite being aware of the weaknesses in his division and growing problems in the economy, Cummings presided over a culture of aggressive growth without the controls in place to manage the risks associated with that strategy. Instead of reacting to the worsening environment, he raised his targets as other banks pulled out of the same markets.  It is essential that senior executives understand that </w:t>
      </w:r>
      <w:r w:rsidR="00BD0366" w:rsidRPr="0017668D">
        <w:rPr>
          <w:rFonts w:ascii="Times New Roman" w:eastAsia="Times New Roman" w:hAnsi="Times New Roman" w:cs="Times New Roman"/>
          <w:sz w:val="24"/>
          <w:szCs w:val="24"/>
          <w:lang w:val="en" w:eastAsia="en-GB"/>
        </w:rPr>
        <w:t>incentivizing</w:t>
      </w:r>
      <w:r w:rsidRPr="0017668D">
        <w:rPr>
          <w:rFonts w:ascii="Times New Roman" w:eastAsia="Times New Roman" w:hAnsi="Times New Roman" w:cs="Times New Roman"/>
          <w:sz w:val="24"/>
          <w:szCs w:val="24"/>
          <w:lang w:val="en" w:eastAsia="en-GB"/>
        </w:rPr>
        <w:t xml:space="preserve"> revenue over risk is a dangerous folly. Growth is a sound ambition for any business but risk must be properly managed and robust controls are imperative to ensure growth is achieved in a way that is both stable and sustainable”.</w:t>
      </w:r>
      <w:r w:rsidRPr="0017668D">
        <w:rPr>
          <w:rFonts w:ascii="Times New Roman" w:eastAsia="Times New Roman" w:hAnsi="Times New Roman" w:cs="Times New Roman"/>
          <w:sz w:val="24"/>
          <w:szCs w:val="24"/>
          <w:vertAlign w:val="superscript"/>
          <w:lang w:val="en" w:eastAsia="en-GB"/>
        </w:rPr>
        <w:footnoteReference w:id="101"/>
      </w:r>
    </w:p>
    <w:p w:rsidR="00B60762" w:rsidRPr="0017668D" w:rsidRDefault="00B60762" w:rsidP="004A5637">
      <w:pPr>
        <w:spacing w:after="0" w:line="480" w:lineRule="auto"/>
        <w:jc w:val="both"/>
        <w:rPr>
          <w:rFonts w:ascii="Times New Roman" w:eastAsia="Times New Roman" w:hAnsi="Times New Roman" w:cs="Times New Roman"/>
          <w:sz w:val="24"/>
          <w:szCs w:val="24"/>
          <w:lang w:val="en" w:eastAsia="en-GB"/>
        </w:rPr>
      </w:pPr>
    </w:p>
    <w:p w:rsidR="00844C3F" w:rsidRDefault="00B60762" w:rsidP="004A5637">
      <w:pPr>
        <w:spacing w:after="0" w:line="480" w:lineRule="auto"/>
        <w:jc w:val="both"/>
        <w:rPr>
          <w:rFonts w:ascii="Times New Roman" w:eastAsia="Times New Roman" w:hAnsi="Times New Roman" w:cs="Times New Roman"/>
          <w:sz w:val="24"/>
          <w:szCs w:val="24"/>
          <w:lang w:val="en" w:eastAsia="en-GB"/>
        </w:rPr>
      </w:pPr>
      <w:r w:rsidRPr="0017668D">
        <w:rPr>
          <w:rFonts w:ascii="Times New Roman" w:eastAsia="Times New Roman" w:hAnsi="Times New Roman" w:cs="Times New Roman"/>
          <w:sz w:val="24"/>
          <w:szCs w:val="24"/>
          <w:lang w:val="en" w:eastAsia="en-GB"/>
        </w:rPr>
        <w:t>The financial predicament that HBOS faced just after the start of the financial crisis was succinctly summarized by Tomasic and Akinbani who stated “t</w:t>
      </w:r>
      <w:r w:rsidRPr="0017668D">
        <w:rPr>
          <w:rFonts w:ascii="Times New Roman" w:eastAsia="Times New Roman" w:hAnsi="Times New Roman" w:cs="Times New Roman"/>
          <w:sz w:val="24"/>
          <w:szCs w:val="24"/>
          <w:lang w:eastAsia="en-GB"/>
        </w:rPr>
        <w:t>he deterioration in the financial position of HBOS was largely attributable to heavy lending to its corporate customers involved in property development; while its retail arm was scheduled to make a profit of £1.2bn … its corporate lending arm was scheduled to make a loss of almost £6.8bn”.</w:t>
      </w:r>
      <w:r w:rsidRPr="0017668D">
        <w:rPr>
          <w:rFonts w:ascii="Times New Roman" w:eastAsia="Times New Roman" w:hAnsi="Times New Roman" w:cs="Times New Roman"/>
          <w:sz w:val="24"/>
          <w:szCs w:val="24"/>
          <w:vertAlign w:val="superscript"/>
          <w:lang w:eastAsia="en-GB"/>
        </w:rPr>
        <w:footnoteReference w:id="102"/>
      </w:r>
      <w:r w:rsidRPr="0017668D">
        <w:rPr>
          <w:rFonts w:ascii="Times New Roman" w:eastAsia="Times New Roman" w:hAnsi="Times New Roman" w:cs="Times New Roman"/>
          <w:sz w:val="24"/>
          <w:szCs w:val="24"/>
          <w:lang w:eastAsia="en-GB"/>
        </w:rPr>
        <w:t xml:space="preserve">  </w:t>
      </w:r>
      <w:r w:rsidR="006014B5">
        <w:rPr>
          <w:rFonts w:ascii="Times New Roman" w:eastAsia="Times New Roman" w:hAnsi="Times New Roman" w:cs="Times New Roman"/>
          <w:bCs/>
          <w:sz w:val="24"/>
          <w:szCs w:val="24"/>
          <w:lang w:eastAsia="en-GB"/>
        </w:rPr>
        <w:t>Willmot and James described the</w:t>
      </w:r>
      <w:r w:rsidRPr="0017668D">
        <w:rPr>
          <w:rFonts w:ascii="Times New Roman" w:eastAsia="Times New Roman" w:hAnsi="Times New Roman" w:cs="Times New Roman"/>
          <w:bCs/>
          <w:sz w:val="24"/>
          <w:szCs w:val="24"/>
          <w:lang w:eastAsia="en-GB"/>
        </w:rPr>
        <w:t xml:space="preserve"> issue of a prohibition order against </w:t>
      </w:r>
      <w:r w:rsidRPr="0017668D">
        <w:rPr>
          <w:rFonts w:ascii="Times New Roman" w:eastAsia="SimSun" w:hAnsi="Times New Roman" w:cs="Times New Roman"/>
          <w:sz w:val="24"/>
          <w:szCs w:val="24"/>
          <w:lang w:val="en" w:eastAsia="zh-CN"/>
        </w:rPr>
        <w:t xml:space="preserve">Peter Cummins </w:t>
      </w:r>
      <w:r w:rsidR="006014B5">
        <w:rPr>
          <w:rFonts w:ascii="Times New Roman" w:eastAsia="SimSun" w:hAnsi="Times New Roman" w:cs="Times New Roman"/>
          <w:sz w:val="24"/>
          <w:szCs w:val="24"/>
          <w:lang w:val="en" w:eastAsia="zh-CN"/>
        </w:rPr>
        <w:t xml:space="preserve">as </w:t>
      </w:r>
      <w:r w:rsidRPr="0017668D">
        <w:rPr>
          <w:rFonts w:ascii="Times New Roman" w:eastAsia="SimSun" w:hAnsi="Times New Roman" w:cs="Times New Roman"/>
          <w:sz w:val="24"/>
          <w:szCs w:val="24"/>
          <w:lang w:val="en" w:eastAsia="zh-CN"/>
        </w:rPr>
        <w:t>“</w:t>
      </w:r>
      <w:r w:rsidRPr="0017668D">
        <w:rPr>
          <w:rFonts w:ascii="Times New Roman" w:eastAsia="Times New Roman" w:hAnsi="Times New Roman" w:cs="Times New Roman"/>
          <w:sz w:val="24"/>
          <w:szCs w:val="24"/>
          <w:lang w:eastAsia="en-GB"/>
        </w:rPr>
        <w:t xml:space="preserve">the first case that the FSA has pursued in which disciplinary action is taken in relation to the core business risks taken by the firm … in this case, the bank’s decision as to whether or not to lend its own money to customers … This is unprecedented in the 11 years of the FSA’s existence and marks a very important shift in the FSA’s own view of its </w:t>
      </w:r>
      <w:r w:rsidRPr="0017668D">
        <w:rPr>
          <w:rFonts w:ascii="Times New Roman" w:eastAsia="Times New Roman" w:hAnsi="Times New Roman" w:cs="Times New Roman"/>
          <w:sz w:val="24"/>
          <w:szCs w:val="24"/>
          <w:lang w:eastAsia="en-GB"/>
        </w:rPr>
        <w:lastRenderedPageBreak/>
        <w:t>regulatory remit”.</w:t>
      </w:r>
      <w:r w:rsidRPr="0017668D">
        <w:rPr>
          <w:rFonts w:ascii="Times New Roman" w:eastAsia="Times New Roman" w:hAnsi="Times New Roman" w:cs="Times New Roman"/>
          <w:sz w:val="24"/>
          <w:szCs w:val="24"/>
          <w:vertAlign w:val="superscript"/>
          <w:lang w:eastAsia="en-GB"/>
        </w:rPr>
        <w:footnoteReference w:id="103"/>
      </w:r>
      <w:r w:rsidR="00844C3F">
        <w:rPr>
          <w:rFonts w:ascii="Times New Roman" w:eastAsia="Times New Roman" w:hAnsi="Times New Roman" w:cs="Times New Roman"/>
          <w:sz w:val="24"/>
          <w:szCs w:val="24"/>
          <w:lang w:eastAsia="en-GB"/>
        </w:rPr>
        <w:t xml:space="preserve">  </w:t>
      </w:r>
      <w:r w:rsidRPr="0017668D">
        <w:rPr>
          <w:rFonts w:ascii="Times New Roman" w:eastAsia="Times New Roman" w:hAnsi="Times New Roman" w:cs="Times New Roman"/>
          <w:bCs/>
          <w:sz w:val="24"/>
          <w:szCs w:val="24"/>
          <w:lang w:eastAsia="en-GB"/>
        </w:rPr>
        <w:t xml:space="preserve">Another </w:t>
      </w:r>
      <w:r w:rsidR="006014B5">
        <w:rPr>
          <w:rFonts w:ascii="Times New Roman" w:eastAsia="Times New Roman" w:hAnsi="Times New Roman" w:cs="Times New Roman"/>
          <w:bCs/>
          <w:sz w:val="24"/>
          <w:szCs w:val="24"/>
          <w:lang w:eastAsia="en-GB"/>
        </w:rPr>
        <w:t xml:space="preserve">example of the regulator using </w:t>
      </w:r>
      <w:r w:rsidRPr="0017668D">
        <w:rPr>
          <w:rFonts w:ascii="Times New Roman" w:eastAsia="Times New Roman" w:hAnsi="Times New Roman" w:cs="Times New Roman"/>
          <w:bCs/>
          <w:sz w:val="24"/>
          <w:szCs w:val="24"/>
          <w:lang w:eastAsia="en-GB"/>
        </w:rPr>
        <w:t>prohibition orders was illustrated in July 2010, when it banned and fined the former finance director of Northern Rock, David Jones, for misrepresenting mortgage arrears figures.</w:t>
      </w:r>
      <w:r w:rsidRPr="0017668D">
        <w:rPr>
          <w:rFonts w:ascii="Times New Roman" w:eastAsia="Times New Roman" w:hAnsi="Times New Roman" w:cs="Times New Roman"/>
          <w:bCs/>
          <w:sz w:val="24"/>
          <w:szCs w:val="24"/>
          <w:vertAlign w:val="superscript"/>
          <w:lang w:eastAsia="en-GB"/>
        </w:rPr>
        <w:footnoteReference w:id="104"/>
      </w:r>
      <w:r w:rsidRPr="0017668D">
        <w:rPr>
          <w:rFonts w:ascii="Times New Roman" w:eastAsia="Times New Roman" w:hAnsi="Times New Roman" w:cs="Times New Roman"/>
          <w:bCs/>
          <w:sz w:val="24"/>
          <w:szCs w:val="24"/>
          <w:lang w:eastAsia="en-GB"/>
        </w:rPr>
        <w:t xml:space="preserve">  Furthe</w:t>
      </w:r>
      <w:r w:rsidR="006014B5">
        <w:rPr>
          <w:rFonts w:ascii="Times New Roman" w:eastAsia="Times New Roman" w:hAnsi="Times New Roman" w:cs="Times New Roman"/>
          <w:bCs/>
          <w:sz w:val="24"/>
          <w:szCs w:val="24"/>
          <w:lang w:eastAsia="en-GB"/>
        </w:rPr>
        <w:t>rmore</w:t>
      </w:r>
      <w:r w:rsidRPr="0017668D">
        <w:rPr>
          <w:rFonts w:ascii="Times New Roman" w:eastAsia="Times New Roman" w:hAnsi="Times New Roman" w:cs="Times New Roman"/>
          <w:bCs/>
          <w:sz w:val="24"/>
          <w:szCs w:val="24"/>
          <w:lang w:eastAsia="en-GB"/>
        </w:rPr>
        <w:t xml:space="preserve">, the </w:t>
      </w:r>
      <w:r w:rsidR="006014B5">
        <w:rPr>
          <w:rFonts w:ascii="Times New Roman" w:eastAsia="Times New Roman" w:hAnsi="Times New Roman" w:cs="Times New Roman"/>
          <w:bCs/>
          <w:sz w:val="24"/>
          <w:szCs w:val="24"/>
          <w:lang w:eastAsia="en-GB"/>
        </w:rPr>
        <w:t xml:space="preserve">regulator </w:t>
      </w:r>
      <w:r w:rsidRPr="0017668D">
        <w:rPr>
          <w:rFonts w:ascii="Times New Roman" w:eastAsia="Times New Roman" w:hAnsi="Times New Roman" w:cs="Times New Roman"/>
          <w:bCs/>
          <w:sz w:val="24"/>
          <w:szCs w:val="24"/>
          <w:lang w:eastAsia="en-GB"/>
        </w:rPr>
        <w:t>fined and banned the former deputy chief executive and credit director of Northern Rock for also misreporting mortgage arrears figures.</w:t>
      </w:r>
      <w:r w:rsidRPr="0017668D">
        <w:rPr>
          <w:rFonts w:ascii="Times New Roman" w:eastAsia="Times New Roman" w:hAnsi="Times New Roman" w:cs="Times New Roman"/>
          <w:bCs/>
          <w:sz w:val="24"/>
          <w:szCs w:val="24"/>
          <w:vertAlign w:val="superscript"/>
          <w:lang w:eastAsia="en-GB"/>
        </w:rPr>
        <w:footnoteReference w:id="105"/>
      </w:r>
      <w:r w:rsidRPr="0017668D">
        <w:rPr>
          <w:rFonts w:ascii="Times New Roman" w:eastAsia="Times New Roman" w:hAnsi="Times New Roman" w:cs="Times New Roman"/>
          <w:bCs/>
          <w:sz w:val="24"/>
          <w:szCs w:val="24"/>
          <w:lang w:eastAsia="en-GB"/>
        </w:rPr>
        <w:t xml:space="preserve">  However, the implementation of a prohibition order against Peter Cummins can be contrasted with the lack of enforcement action against two other bankers, Fred Goodwin and Johnny Cameron.  Johnny Cameron, the former Executive Director of RBS, was under investigation by the</w:t>
      </w:r>
      <w:r w:rsidR="006014B5">
        <w:rPr>
          <w:rFonts w:ascii="Times New Roman" w:eastAsia="Times New Roman" w:hAnsi="Times New Roman" w:cs="Times New Roman"/>
          <w:bCs/>
          <w:sz w:val="24"/>
          <w:szCs w:val="24"/>
          <w:lang w:eastAsia="en-GB"/>
        </w:rPr>
        <w:t xml:space="preserve"> regulator</w:t>
      </w:r>
      <w:r w:rsidRPr="0017668D">
        <w:rPr>
          <w:rFonts w:ascii="Times New Roman" w:eastAsia="Times New Roman" w:hAnsi="Times New Roman" w:cs="Times New Roman"/>
          <w:bCs/>
          <w:sz w:val="24"/>
          <w:szCs w:val="24"/>
          <w:lang w:eastAsia="en-GB"/>
        </w:rPr>
        <w:t xml:space="preserve">.  However, unlike Peter Cummins, the </w:t>
      </w:r>
      <w:r w:rsidR="006014B5">
        <w:rPr>
          <w:rFonts w:ascii="Times New Roman" w:eastAsia="Times New Roman" w:hAnsi="Times New Roman" w:cs="Times New Roman"/>
          <w:bCs/>
          <w:sz w:val="24"/>
          <w:szCs w:val="24"/>
          <w:lang w:eastAsia="en-GB"/>
        </w:rPr>
        <w:t>regulator r</w:t>
      </w:r>
      <w:r w:rsidRPr="0017668D">
        <w:rPr>
          <w:rFonts w:ascii="Times New Roman" w:eastAsia="Times New Roman" w:hAnsi="Times New Roman" w:cs="Times New Roman"/>
          <w:bCs/>
          <w:sz w:val="24"/>
          <w:szCs w:val="24"/>
          <w:lang w:eastAsia="en-GB"/>
        </w:rPr>
        <w:t>eached a settlement with Jonny Cameron, who agreed that he will not “</w:t>
      </w:r>
      <w:r w:rsidRPr="0017668D">
        <w:rPr>
          <w:rFonts w:ascii="Times New Roman" w:eastAsia="Times New Roman" w:hAnsi="Times New Roman" w:cs="Times New Roman"/>
          <w:sz w:val="24"/>
          <w:szCs w:val="24"/>
          <w:lang w:val="en" w:eastAsia="en-GB"/>
        </w:rPr>
        <w:t xml:space="preserve">perform any significant influence function in relation to any regulated activity carried on by any </w:t>
      </w:r>
      <w:r w:rsidR="00503207" w:rsidRPr="0017668D">
        <w:rPr>
          <w:rFonts w:ascii="Times New Roman" w:eastAsia="Times New Roman" w:hAnsi="Times New Roman" w:cs="Times New Roman"/>
          <w:sz w:val="24"/>
          <w:szCs w:val="24"/>
          <w:lang w:val="en" w:eastAsia="en-GB"/>
        </w:rPr>
        <w:t>authorized</w:t>
      </w:r>
      <w:r w:rsidRPr="0017668D">
        <w:rPr>
          <w:rFonts w:ascii="Times New Roman" w:eastAsia="Times New Roman" w:hAnsi="Times New Roman" w:cs="Times New Roman"/>
          <w:sz w:val="24"/>
          <w:szCs w:val="24"/>
          <w:lang w:val="en" w:eastAsia="en-GB"/>
        </w:rPr>
        <w:t xml:space="preserve"> person, exempt person or exempt professional firm” or “undertake any further full time employment in the financial services industry”.</w:t>
      </w:r>
      <w:r w:rsidRPr="0017668D">
        <w:rPr>
          <w:rFonts w:ascii="Times New Roman" w:eastAsia="Times New Roman" w:hAnsi="Times New Roman" w:cs="Times New Roman"/>
          <w:sz w:val="24"/>
          <w:szCs w:val="24"/>
          <w:vertAlign w:val="superscript"/>
          <w:lang w:val="en" w:eastAsia="en-GB"/>
        </w:rPr>
        <w:footnoteReference w:id="106"/>
      </w:r>
      <w:r w:rsidRPr="0017668D">
        <w:rPr>
          <w:rFonts w:ascii="Times New Roman" w:eastAsia="Times New Roman" w:hAnsi="Times New Roman" w:cs="Times New Roman"/>
          <w:sz w:val="24"/>
          <w:szCs w:val="24"/>
          <w:lang w:val="en" w:eastAsia="en-GB"/>
        </w:rPr>
        <w:t xml:space="preserve">  It is important to stress that that James Cameron made no admission of guilt and in response to the decision by the </w:t>
      </w:r>
      <w:r w:rsidR="006014B5">
        <w:rPr>
          <w:rFonts w:ascii="Times New Roman" w:eastAsia="Times New Roman" w:hAnsi="Times New Roman" w:cs="Times New Roman"/>
          <w:sz w:val="24"/>
          <w:szCs w:val="24"/>
          <w:lang w:val="en" w:eastAsia="en-GB"/>
        </w:rPr>
        <w:t xml:space="preserve">regulator and he </w:t>
      </w:r>
      <w:r w:rsidRPr="0017668D">
        <w:rPr>
          <w:rFonts w:ascii="Times New Roman" w:eastAsia="Times New Roman" w:hAnsi="Times New Roman" w:cs="Times New Roman"/>
          <w:sz w:val="24"/>
          <w:szCs w:val="24"/>
          <w:lang w:val="en" w:eastAsia="en-GB"/>
        </w:rPr>
        <w:t>stated “given the losses sustained by RBS in 2008, as a director of the RBS, I recognise that it is appropriate that I take my share of responsibility, and I will not be seeking another managerial role in the financial services industry”.</w:t>
      </w:r>
      <w:r w:rsidRPr="0017668D">
        <w:rPr>
          <w:rFonts w:ascii="Times New Roman" w:eastAsia="Times New Roman" w:hAnsi="Times New Roman" w:cs="Times New Roman"/>
          <w:sz w:val="24"/>
          <w:szCs w:val="24"/>
          <w:vertAlign w:val="superscript"/>
          <w:lang w:val="en" w:eastAsia="en-GB"/>
        </w:rPr>
        <w:footnoteReference w:id="107"/>
      </w:r>
      <w:r w:rsidRPr="0017668D">
        <w:rPr>
          <w:rFonts w:ascii="Times New Roman" w:eastAsia="Times New Roman" w:hAnsi="Times New Roman" w:cs="Times New Roman"/>
          <w:sz w:val="24"/>
          <w:szCs w:val="24"/>
          <w:lang w:val="en" w:eastAsia="en-GB"/>
        </w:rPr>
        <w:t xml:space="preserve">  </w:t>
      </w:r>
    </w:p>
    <w:p w:rsidR="00844C3F" w:rsidRDefault="00844C3F" w:rsidP="004A5637">
      <w:pPr>
        <w:spacing w:after="0" w:line="480" w:lineRule="auto"/>
        <w:jc w:val="both"/>
        <w:rPr>
          <w:rFonts w:ascii="Times New Roman" w:eastAsia="Times New Roman" w:hAnsi="Times New Roman" w:cs="Times New Roman"/>
          <w:sz w:val="24"/>
          <w:szCs w:val="24"/>
          <w:lang w:val="en" w:eastAsia="en-GB"/>
        </w:rPr>
      </w:pPr>
    </w:p>
    <w:p w:rsidR="00B60762" w:rsidRPr="0017668D" w:rsidRDefault="00B60762" w:rsidP="004A5637">
      <w:pPr>
        <w:spacing w:after="0" w:line="480" w:lineRule="auto"/>
        <w:jc w:val="both"/>
        <w:rPr>
          <w:rFonts w:ascii="Times New Roman" w:eastAsia="Times New Roman" w:hAnsi="Times New Roman" w:cs="Times New Roman"/>
          <w:bCs/>
          <w:color w:val="000000"/>
          <w:sz w:val="24"/>
          <w:szCs w:val="24"/>
          <w:lang w:eastAsia="en-GB"/>
        </w:rPr>
      </w:pPr>
      <w:r w:rsidRPr="0017668D">
        <w:rPr>
          <w:rFonts w:ascii="Times New Roman" w:eastAsia="Times New Roman" w:hAnsi="Times New Roman" w:cs="Times New Roman"/>
          <w:bCs/>
          <w:sz w:val="24"/>
          <w:szCs w:val="24"/>
          <w:lang w:eastAsia="en-GB"/>
        </w:rPr>
        <w:t xml:space="preserve">The highest profile former banker who the </w:t>
      </w:r>
      <w:r w:rsidR="006014B5">
        <w:rPr>
          <w:rFonts w:ascii="Times New Roman" w:eastAsia="Times New Roman" w:hAnsi="Times New Roman" w:cs="Times New Roman"/>
          <w:bCs/>
          <w:sz w:val="24"/>
          <w:szCs w:val="24"/>
          <w:lang w:eastAsia="en-GB"/>
        </w:rPr>
        <w:t xml:space="preserve">regulator </w:t>
      </w:r>
      <w:r w:rsidRPr="0017668D">
        <w:rPr>
          <w:rFonts w:ascii="Times New Roman" w:eastAsia="Times New Roman" w:hAnsi="Times New Roman" w:cs="Times New Roman"/>
          <w:bCs/>
          <w:sz w:val="24"/>
          <w:szCs w:val="24"/>
          <w:lang w:eastAsia="en-GB"/>
        </w:rPr>
        <w:t xml:space="preserve">decided not to take action against was Fred Goodwin, who was the CEO of RBS between 2001 and 2009.  During his tenure, Fred </w:t>
      </w:r>
      <w:r w:rsidRPr="0017668D">
        <w:rPr>
          <w:rFonts w:ascii="Times New Roman" w:eastAsia="Times New Roman" w:hAnsi="Times New Roman" w:cs="Times New Roman"/>
          <w:bCs/>
          <w:sz w:val="24"/>
          <w:szCs w:val="24"/>
          <w:lang w:eastAsia="en-GB"/>
        </w:rPr>
        <w:lastRenderedPageBreak/>
        <w:t xml:space="preserve">Goodwin oversaw what can be classified as a </w:t>
      </w:r>
      <w:r w:rsidR="006014B5">
        <w:rPr>
          <w:rFonts w:ascii="Times New Roman" w:eastAsia="Times New Roman" w:hAnsi="Times New Roman" w:cs="Times New Roman"/>
          <w:bCs/>
          <w:sz w:val="24"/>
          <w:szCs w:val="24"/>
          <w:lang w:eastAsia="en-GB"/>
        </w:rPr>
        <w:t>‘</w:t>
      </w:r>
      <w:r w:rsidRPr="0017668D">
        <w:rPr>
          <w:rFonts w:ascii="Times New Roman" w:eastAsia="Times New Roman" w:hAnsi="Times New Roman" w:cs="Times New Roman"/>
          <w:bCs/>
          <w:sz w:val="24"/>
          <w:szCs w:val="24"/>
          <w:lang w:eastAsia="en-GB"/>
        </w:rPr>
        <w:t>boom</w:t>
      </w:r>
      <w:r w:rsidR="006014B5">
        <w:rPr>
          <w:rFonts w:ascii="Times New Roman" w:eastAsia="Times New Roman" w:hAnsi="Times New Roman" w:cs="Times New Roman"/>
          <w:bCs/>
          <w:sz w:val="24"/>
          <w:szCs w:val="24"/>
          <w:lang w:eastAsia="en-GB"/>
        </w:rPr>
        <w:t>’</w:t>
      </w:r>
      <w:r w:rsidRPr="0017668D">
        <w:rPr>
          <w:rFonts w:ascii="Times New Roman" w:eastAsia="Times New Roman" w:hAnsi="Times New Roman" w:cs="Times New Roman"/>
          <w:bCs/>
          <w:sz w:val="24"/>
          <w:szCs w:val="24"/>
          <w:lang w:eastAsia="en-GB"/>
        </w:rPr>
        <w:t xml:space="preserve"> time for RBS.  By 2008, the bank had demonstrated rapid growth and its assets totalled £1.9tn and it was the fifth largest bank on the stock exchange.  Fred Goodwin was “</w:t>
      </w:r>
      <w:r w:rsidRPr="0017668D">
        <w:rPr>
          <w:rFonts w:ascii="Times New Roman" w:eastAsia="Calibri" w:hAnsi="Times New Roman" w:cs="Times New Roman"/>
          <w:sz w:val="24"/>
          <w:szCs w:val="24"/>
          <w:lang w:eastAsia="en-GB"/>
        </w:rPr>
        <w:t>deemed by the banking world and by the government to have a Midas touch. He advised the government on banking matters and was knighted for his services. He could do no wrong”.</w:t>
      </w:r>
      <w:r w:rsidRPr="0017668D">
        <w:rPr>
          <w:rFonts w:ascii="Times New Roman" w:eastAsia="Calibri" w:hAnsi="Times New Roman" w:cs="Times New Roman"/>
          <w:sz w:val="24"/>
          <w:szCs w:val="24"/>
          <w:vertAlign w:val="superscript"/>
          <w:lang w:eastAsia="en-GB"/>
        </w:rPr>
        <w:footnoteReference w:id="108"/>
      </w:r>
      <w:r w:rsidRPr="0017668D">
        <w:rPr>
          <w:rFonts w:ascii="Times New Roman" w:eastAsia="Calibri" w:hAnsi="Times New Roman" w:cs="Times New Roman"/>
          <w:sz w:val="24"/>
          <w:szCs w:val="24"/>
          <w:lang w:eastAsia="en-GB"/>
        </w:rPr>
        <w:t xml:space="preserve">  However, this persona changed after RSB’s ill-advised purchase in 2007 of </w:t>
      </w:r>
      <w:r w:rsidRPr="0017668D">
        <w:rPr>
          <w:rFonts w:ascii="Times New Roman" w:eastAsia="Times New Roman" w:hAnsi="Times New Roman" w:cs="Times New Roman"/>
          <w:bCs/>
          <w:color w:val="000000"/>
          <w:sz w:val="24"/>
          <w:szCs w:val="24"/>
          <w:lang w:eastAsia="en-GB"/>
        </w:rPr>
        <w:t>ABN Amro for £48bn,</w:t>
      </w:r>
      <w:r w:rsidRPr="0017668D">
        <w:rPr>
          <w:rFonts w:ascii="Times New Roman" w:eastAsia="Times New Roman" w:hAnsi="Times New Roman" w:cs="Times New Roman"/>
          <w:bCs/>
          <w:color w:val="000000"/>
          <w:sz w:val="24"/>
          <w:szCs w:val="24"/>
          <w:vertAlign w:val="superscript"/>
          <w:lang w:eastAsia="en-GB"/>
        </w:rPr>
        <w:footnoteReference w:id="109"/>
      </w:r>
      <w:r w:rsidRPr="0017668D">
        <w:rPr>
          <w:rFonts w:ascii="Times New Roman" w:eastAsia="Times New Roman" w:hAnsi="Times New Roman" w:cs="Times New Roman"/>
          <w:bCs/>
          <w:color w:val="000000"/>
          <w:sz w:val="24"/>
          <w:szCs w:val="24"/>
          <w:lang w:eastAsia="en-GB"/>
        </w:rPr>
        <w:t xml:space="preserve"> which was unsurprising given his eagerness to expand the size of RBS via acquiring other banks.</w:t>
      </w:r>
      <w:r w:rsidRPr="0017668D">
        <w:rPr>
          <w:rFonts w:ascii="Times New Roman" w:eastAsia="Times New Roman" w:hAnsi="Times New Roman" w:cs="Times New Roman"/>
          <w:bCs/>
          <w:color w:val="000000"/>
          <w:sz w:val="24"/>
          <w:szCs w:val="24"/>
          <w:vertAlign w:val="superscript"/>
          <w:lang w:eastAsia="en-GB"/>
        </w:rPr>
        <w:footnoteReference w:id="110"/>
      </w:r>
      <w:r w:rsidRPr="0017668D">
        <w:rPr>
          <w:rFonts w:ascii="Times New Roman" w:eastAsia="Times New Roman" w:hAnsi="Times New Roman" w:cs="Times New Roman"/>
          <w:bCs/>
          <w:color w:val="000000"/>
          <w:sz w:val="24"/>
          <w:szCs w:val="24"/>
          <w:lang w:eastAsia="en-GB"/>
        </w:rPr>
        <w:t xml:space="preserve"> Huisman stated that “Fred Goodwin … is the embodiment of all that is apparently wrong in the financial sectors and which caused the financial crisis.  He is seen as responsible for the disastrous acquisition of … ABN Amro Bank and the resulting rescue operation of the government”.</w:t>
      </w:r>
      <w:r w:rsidRPr="0017668D">
        <w:rPr>
          <w:rFonts w:ascii="Times New Roman" w:eastAsia="Times New Roman" w:hAnsi="Times New Roman" w:cs="Times New Roman"/>
          <w:bCs/>
          <w:color w:val="000000"/>
          <w:sz w:val="24"/>
          <w:szCs w:val="24"/>
          <w:vertAlign w:val="superscript"/>
          <w:lang w:eastAsia="en-GB"/>
        </w:rPr>
        <w:footnoteReference w:id="111"/>
      </w:r>
      <w:r w:rsidRPr="0017668D">
        <w:rPr>
          <w:rFonts w:ascii="Times New Roman" w:eastAsia="Times New Roman" w:hAnsi="Times New Roman" w:cs="Times New Roman"/>
          <w:bCs/>
          <w:color w:val="000000"/>
          <w:sz w:val="24"/>
          <w:szCs w:val="24"/>
          <w:lang w:eastAsia="en-GB"/>
        </w:rPr>
        <w:t xml:space="preserve">  This approach was flawed and extremely risky because Fred Goodwin was “</w:t>
      </w:r>
      <w:r w:rsidRPr="0017668D">
        <w:rPr>
          <w:rFonts w:ascii="Times New Roman" w:eastAsia="Calibri" w:hAnsi="Times New Roman" w:cs="Times New Roman"/>
          <w:sz w:val="24"/>
          <w:szCs w:val="24"/>
          <w:lang w:eastAsia="en-GB"/>
        </w:rPr>
        <w:t>known for the way in which he aggressively cut costs within the bank”.</w:t>
      </w:r>
      <w:r w:rsidRPr="0017668D">
        <w:rPr>
          <w:rFonts w:ascii="Times New Roman" w:eastAsia="Calibri" w:hAnsi="Times New Roman" w:cs="Times New Roman"/>
          <w:sz w:val="24"/>
          <w:szCs w:val="24"/>
          <w:vertAlign w:val="superscript"/>
          <w:lang w:eastAsia="en-GB"/>
        </w:rPr>
        <w:footnoteReference w:id="112"/>
      </w:r>
      <w:r w:rsidRPr="0017668D">
        <w:rPr>
          <w:rFonts w:ascii="Times New Roman" w:eastAsia="Calibri" w:hAnsi="Times New Roman" w:cs="Times New Roman"/>
          <w:sz w:val="24"/>
          <w:szCs w:val="24"/>
          <w:lang w:eastAsia="en-GB"/>
        </w:rPr>
        <w:t xml:space="preserve">  This created the perfect cocktail of events that </w:t>
      </w:r>
      <w:r w:rsidRPr="0017668D">
        <w:rPr>
          <w:rFonts w:ascii="Times New Roman" w:eastAsia="Times New Roman" w:hAnsi="Times New Roman" w:cs="Times New Roman"/>
          <w:bCs/>
          <w:color w:val="000000"/>
          <w:sz w:val="24"/>
          <w:szCs w:val="24"/>
          <w:lang w:eastAsia="en-GB"/>
        </w:rPr>
        <w:t>contributed to the bank suffering the largest annual corporate loss in UK history,</w:t>
      </w:r>
      <w:r w:rsidRPr="0017668D">
        <w:rPr>
          <w:rFonts w:ascii="Times New Roman" w:eastAsia="Times New Roman" w:hAnsi="Times New Roman" w:cs="Times New Roman"/>
          <w:bCs/>
          <w:color w:val="000000"/>
          <w:sz w:val="24"/>
          <w:szCs w:val="24"/>
          <w:vertAlign w:val="superscript"/>
          <w:lang w:eastAsia="en-GB"/>
        </w:rPr>
        <w:footnoteReference w:id="113"/>
      </w:r>
      <w:r w:rsidRPr="0017668D">
        <w:rPr>
          <w:rFonts w:ascii="Times New Roman" w:eastAsia="Times New Roman" w:hAnsi="Times New Roman" w:cs="Times New Roman"/>
          <w:bCs/>
          <w:color w:val="000000"/>
          <w:sz w:val="24"/>
          <w:szCs w:val="24"/>
          <w:lang w:eastAsia="en-GB"/>
        </w:rPr>
        <w:t xml:space="preserve"> and the part nationalisation </w:t>
      </w:r>
      <w:r w:rsidR="006014B5">
        <w:rPr>
          <w:rFonts w:ascii="Times New Roman" w:eastAsia="Times New Roman" w:hAnsi="Times New Roman" w:cs="Times New Roman"/>
          <w:bCs/>
          <w:color w:val="000000"/>
          <w:sz w:val="24"/>
          <w:szCs w:val="24"/>
          <w:lang w:eastAsia="en-GB"/>
        </w:rPr>
        <w:t>of RBS</w:t>
      </w:r>
      <w:r w:rsidRPr="0017668D">
        <w:rPr>
          <w:rFonts w:ascii="Times New Roman" w:eastAsia="Times New Roman" w:hAnsi="Times New Roman" w:cs="Times New Roman"/>
          <w:bCs/>
          <w:color w:val="000000"/>
          <w:sz w:val="24"/>
          <w:szCs w:val="24"/>
          <w:lang w:eastAsia="en-GB"/>
        </w:rPr>
        <w:t xml:space="preserve">.  The </w:t>
      </w:r>
      <w:r w:rsidR="006014B5">
        <w:rPr>
          <w:rFonts w:ascii="Times New Roman" w:eastAsia="Times New Roman" w:hAnsi="Times New Roman" w:cs="Times New Roman"/>
          <w:bCs/>
          <w:color w:val="000000"/>
          <w:sz w:val="24"/>
          <w:szCs w:val="24"/>
          <w:lang w:eastAsia="en-GB"/>
        </w:rPr>
        <w:t xml:space="preserve">regulator </w:t>
      </w:r>
      <w:r w:rsidRPr="0017668D">
        <w:rPr>
          <w:rFonts w:ascii="Times New Roman" w:eastAsia="Times New Roman" w:hAnsi="Times New Roman" w:cs="Times New Roman"/>
          <w:bCs/>
          <w:color w:val="000000"/>
          <w:sz w:val="24"/>
          <w:szCs w:val="24"/>
          <w:lang w:eastAsia="en-GB"/>
        </w:rPr>
        <w:t>decided against pursuing any action against Fred Goodwin.</w:t>
      </w:r>
      <w:r w:rsidRPr="0017668D">
        <w:rPr>
          <w:rFonts w:ascii="Times New Roman" w:eastAsia="Times New Roman" w:hAnsi="Times New Roman" w:cs="Times New Roman"/>
          <w:bCs/>
          <w:color w:val="000000"/>
          <w:sz w:val="24"/>
          <w:szCs w:val="24"/>
          <w:vertAlign w:val="superscript"/>
          <w:lang w:eastAsia="en-GB"/>
        </w:rPr>
        <w:footnoteReference w:id="114"/>
      </w:r>
      <w:r w:rsidRPr="0017668D">
        <w:rPr>
          <w:rFonts w:ascii="Times New Roman" w:eastAsia="Times New Roman" w:hAnsi="Times New Roman" w:cs="Times New Roman"/>
          <w:bCs/>
          <w:color w:val="000000"/>
          <w:sz w:val="24"/>
          <w:szCs w:val="24"/>
          <w:lang w:eastAsia="en-GB"/>
        </w:rPr>
        <w:t xml:space="preserve">  D</w:t>
      </w:r>
      <w:r w:rsidRPr="0017668D">
        <w:rPr>
          <w:rFonts w:ascii="Times New Roman" w:eastAsia="Calibri" w:hAnsi="Times New Roman" w:cs="Times New Roman"/>
          <w:sz w:val="24"/>
          <w:szCs w:val="24"/>
          <w:lang w:eastAsia="en-GB"/>
        </w:rPr>
        <w:t>espite no action being taken against Fred Goodwin he has offered a “profound and unqualified apology for all of the distress that has been caused”.</w:t>
      </w:r>
      <w:r w:rsidRPr="0017668D">
        <w:rPr>
          <w:rFonts w:ascii="Times New Roman" w:eastAsia="Calibri" w:hAnsi="Times New Roman" w:cs="Times New Roman"/>
          <w:sz w:val="24"/>
          <w:szCs w:val="24"/>
          <w:vertAlign w:val="superscript"/>
          <w:lang w:eastAsia="en-GB"/>
        </w:rPr>
        <w:footnoteReference w:id="115"/>
      </w:r>
      <w:r w:rsidRPr="0017668D">
        <w:rPr>
          <w:rFonts w:ascii="Times New Roman" w:eastAsia="Calibri" w:hAnsi="Times New Roman" w:cs="Times New Roman"/>
          <w:sz w:val="24"/>
          <w:szCs w:val="24"/>
          <w:lang w:eastAsia="en-GB"/>
        </w:rPr>
        <w:t xml:space="preserve"> </w:t>
      </w:r>
    </w:p>
    <w:p w:rsidR="00AB2CB1" w:rsidRPr="0017668D" w:rsidRDefault="0097369E" w:rsidP="004A5637">
      <w:pPr>
        <w:spacing w:after="0" w:line="480" w:lineRule="auto"/>
        <w:contextualSpacing/>
        <w:jc w:val="both"/>
        <w:rPr>
          <w:rFonts w:ascii="Times New Roman" w:eastAsia="Calibri" w:hAnsi="Times New Roman" w:cs="Times New Roman"/>
          <w:sz w:val="24"/>
          <w:szCs w:val="24"/>
        </w:rPr>
      </w:pPr>
      <w:r w:rsidRPr="0017668D">
        <w:rPr>
          <w:rFonts w:ascii="Times New Roman" w:eastAsia="Times New Roman" w:hAnsi="Times New Roman" w:cs="Times New Roman"/>
          <w:bCs/>
          <w:sz w:val="24"/>
          <w:szCs w:val="24"/>
          <w:lang w:eastAsia="en-GB"/>
        </w:rPr>
        <w:lastRenderedPageBreak/>
        <w:t>W</w:t>
      </w:r>
      <w:r w:rsidR="00AB2CB1" w:rsidRPr="0017668D">
        <w:rPr>
          <w:rFonts w:ascii="Times New Roman" w:eastAsia="Times New Roman" w:hAnsi="Times New Roman" w:cs="Times New Roman"/>
          <w:bCs/>
          <w:sz w:val="24"/>
          <w:szCs w:val="24"/>
          <w:lang w:eastAsia="en-GB"/>
        </w:rPr>
        <w:t xml:space="preserve">hat has transpired since </w:t>
      </w:r>
      <w:r w:rsidR="006014B5">
        <w:rPr>
          <w:rFonts w:ascii="Times New Roman" w:eastAsia="Times New Roman" w:hAnsi="Times New Roman" w:cs="Times New Roman"/>
          <w:bCs/>
          <w:sz w:val="24"/>
          <w:szCs w:val="24"/>
          <w:lang w:eastAsia="en-GB"/>
        </w:rPr>
        <w:t xml:space="preserve">the financial crisis </w:t>
      </w:r>
      <w:r w:rsidR="00AB2CB1" w:rsidRPr="0017668D">
        <w:rPr>
          <w:rFonts w:ascii="Times New Roman" w:eastAsia="Times New Roman" w:hAnsi="Times New Roman" w:cs="Times New Roman"/>
          <w:bCs/>
          <w:sz w:val="24"/>
          <w:szCs w:val="24"/>
          <w:lang w:eastAsia="en-GB"/>
        </w:rPr>
        <w:t xml:space="preserve">can be described as a </w:t>
      </w:r>
      <w:r w:rsidR="00AB2CB1" w:rsidRPr="0017668D">
        <w:rPr>
          <w:rFonts w:ascii="Times New Roman" w:eastAsia="Times New Roman" w:hAnsi="Times New Roman" w:cs="Times New Roman"/>
          <w:bCs/>
          <w:i/>
          <w:sz w:val="24"/>
          <w:szCs w:val="24"/>
          <w:lang w:eastAsia="en-GB"/>
        </w:rPr>
        <w:t>tepid</w:t>
      </w:r>
      <w:r w:rsidR="00AB2CB1" w:rsidRPr="0017668D">
        <w:rPr>
          <w:rFonts w:ascii="Times New Roman" w:eastAsia="Times New Roman" w:hAnsi="Times New Roman" w:cs="Times New Roman"/>
          <w:bCs/>
          <w:sz w:val="24"/>
          <w:szCs w:val="24"/>
          <w:lang w:eastAsia="en-GB"/>
        </w:rPr>
        <w:t xml:space="preserve"> approach towards enforcing the </w:t>
      </w:r>
      <w:r w:rsidR="00F00F8A" w:rsidRPr="0017668D">
        <w:rPr>
          <w:rFonts w:ascii="Times New Roman" w:eastAsia="Times New Roman" w:hAnsi="Times New Roman" w:cs="Times New Roman"/>
          <w:bCs/>
          <w:sz w:val="24"/>
          <w:szCs w:val="24"/>
          <w:lang w:eastAsia="en-GB"/>
        </w:rPr>
        <w:t>financial crime</w:t>
      </w:r>
      <w:r w:rsidR="00AB2CB1" w:rsidRPr="0017668D">
        <w:rPr>
          <w:rFonts w:ascii="Times New Roman" w:eastAsia="Times New Roman" w:hAnsi="Times New Roman" w:cs="Times New Roman"/>
          <w:bCs/>
          <w:sz w:val="24"/>
          <w:szCs w:val="24"/>
          <w:lang w:eastAsia="en-GB"/>
        </w:rPr>
        <w:t xml:space="preserve"> provisions of </w:t>
      </w:r>
      <w:r w:rsidR="00E97C13" w:rsidRPr="0017668D">
        <w:rPr>
          <w:rFonts w:ascii="Times New Roman" w:eastAsia="Times New Roman" w:hAnsi="Times New Roman" w:cs="Times New Roman"/>
          <w:bCs/>
          <w:sz w:val="24"/>
          <w:szCs w:val="24"/>
          <w:lang w:eastAsia="en-GB"/>
        </w:rPr>
        <w:t>FSMA 2000</w:t>
      </w:r>
      <w:r w:rsidR="00AB2CB1" w:rsidRPr="0017668D">
        <w:rPr>
          <w:rFonts w:ascii="Times New Roman" w:eastAsia="Times New Roman" w:hAnsi="Times New Roman" w:cs="Times New Roman"/>
          <w:bCs/>
          <w:sz w:val="24"/>
          <w:szCs w:val="24"/>
          <w:lang w:eastAsia="en-GB"/>
        </w:rPr>
        <w:t xml:space="preserve">.  The </w:t>
      </w:r>
      <w:r w:rsidR="006014B5">
        <w:rPr>
          <w:rFonts w:ascii="Times New Roman" w:eastAsia="Times New Roman" w:hAnsi="Times New Roman" w:cs="Times New Roman"/>
          <w:bCs/>
          <w:sz w:val="24"/>
          <w:szCs w:val="24"/>
          <w:lang w:eastAsia="en-GB"/>
        </w:rPr>
        <w:t xml:space="preserve">regulator has clearly </w:t>
      </w:r>
      <w:r w:rsidR="00AB2CB1" w:rsidRPr="0017668D">
        <w:rPr>
          <w:rFonts w:ascii="Times New Roman" w:eastAsia="Times New Roman" w:hAnsi="Times New Roman" w:cs="Times New Roman"/>
          <w:bCs/>
          <w:sz w:val="24"/>
          <w:szCs w:val="24"/>
          <w:lang w:eastAsia="en-GB"/>
        </w:rPr>
        <w:t xml:space="preserve">favoured imposing financial sanctions on firms and individuals as opposed to instigating criminal proceedings, </w:t>
      </w:r>
      <w:r w:rsidR="006014B5">
        <w:rPr>
          <w:rFonts w:ascii="Times New Roman" w:eastAsia="Times New Roman" w:hAnsi="Times New Roman" w:cs="Times New Roman"/>
          <w:bCs/>
          <w:sz w:val="24"/>
          <w:szCs w:val="24"/>
          <w:lang w:eastAsia="en-GB"/>
        </w:rPr>
        <w:t xml:space="preserve">as part of its </w:t>
      </w:r>
      <w:r w:rsidR="006014B5">
        <w:rPr>
          <w:rFonts w:ascii="Times New Roman" w:eastAsia="Calibri" w:hAnsi="Times New Roman" w:cs="Times New Roman"/>
          <w:sz w:val="24"/>
          <w:szCs w:val="24"/>
        </w:rPr>
        <w:t>credible deterrence</w:t>
      </w:r>
      <w:r w:rsidR="00AB2CB1" w:rsidRPr="0017668D">
        <w:rPr>
          <w:rFonts w:ascii="Times New Roman" w:eastAsia="Calibri" w:hAnsi="Times New Roman" w:cs="Times New Roman"/>
          <w:sz w:val="24"/>
          <w:szCs w:val="24"/>
        </w:rPr>
        <w:t xml:space="preserve"> policy.</w:t>
      </w:r>
      <w:r w:rsidR="00AB2CB1" w:rsidRPr="0017668D">
        <w:rPr>
          <w:rFonts w:ascii="Times New Roman" w:eastAsia="Calibri" w:hAnsi="Times New Roman" w:cs="Times New Roman"/>
          <w:sz w:val="24"/>
          <w:szCs w:val="24"/>
          <w:vertAlign w:val="superscript"/>
        </w:rPr>
        <w:footnoteReference w:id="116"/>
      </w:r>
      <w:r w:rsidR="00AB2CB1" w:rsidRPr="0017668D">
        <w:rPr>
          <w:rFonts w:ascii="Times New Roman" w:eastAsia="Calibri" w:hAnsi="Times New Roman" w:cs="Times New Roman"/>
          <w:sz w:val="24"/>
          <w:szCs w:val="24"/>
        </w:rPr>
        <w:t xml:space="preserve"> However, the credible deterrence policy has resulted in the FSA adopting a different approach towards imposing financial sanctions by imposing them on </w:t>
      </w:r>
      <w:r w:rsidR="00AB2CB1" w:rsidRPr="0017668D">
        <w:rPr>
          <w:rFonts w:ascii="Times New Roman" w:eastAsia="Calibri" w:hAnsi="Times New Roman" w:cs="Times New Roman"/>
          <w:i/>
          <w:sz w:val="24"/>
          <w:szCs w:val="24"/>
        </w:rPr>
        <w:t>individuals</w:t>
      </w:r>
      <w:r w:rsidR="00AB2CB1" w:rsidRPr="0017668D">
        <w:rPr>
          <w:rFonts w:ascii="Times New Roman" w:eastAsia="Calibri" w:hAnsi="Times New Roman" w:cs="Times New Roman"/>
          <w:sz w:val="24"/>
          <w:szCs w:val="24"/>
        </w:rPr>
        <w:t xml:space="preserve"> and not just firms.  This was summarised by Peat and Mason who stated:</w:t>
      </w:r>
    </w:p>
    <w:p w:rsidR="00AB2CB1" w:rsidRPr="0017668D" w:rsidRDefault="00AB2CB1" w:rsidP="004A5637">
      <w:pPr>
        <w:spacing w:after="0" w:line="480" w:lineRule="auto"/>
        <w:jc w:val="both"/>
        <w:rPr>
          <w:rFonts w:ascii="Times New Roman" w:eastAsia="Calibri" w:hAnsi="Times New Roman" w:cs="Times New Roman"/>
          <w:sz w:val="24"/>
          <w:szCs w:val="24"/>
        </w:rPr>
      </w:pPr>
    </w:p>
    <w:p w:rsidR="00AB2CB1" w:rsidRPr="0017668D" w:rsidRDefault="00AB2CB1" w:rsidP="004A5637">
      <w:pPr>
        <w:spacing w:after="0" w:line="480" w:lineRule="auto"/>
        <w:ind w:left="284" w:right="284"/>
        <w:jc w:val="both"/>
        <w:rPr>
          <w:rFonts w:ascii="Times New Roman" w:eastAsia="Calibri" w:hAnsi="Times New Roman" w:cs="Times New Roman"/>
          <w:sz w:val="24"/>
          <w:szCs w:val="24"/>
        </w:rPr>
      </w:pPr>
      <w:r w:rsidRPr="0017668D">
        <w:rPr>
          <w:rFonts w:ascii="Times New Roman" w:eastAsia="Times New Roman" w:hAnsi="Times New Roman" w:cs="Times New Roman"/>
          <w:sz w:val="24"/>
          <w:szCs w:val="24"/>
          <w:lang w:eastAsia="en-GB"/>
        </w:rPr>
        <w:t>“The FSA’s policy of credible deterrence in enforcement cases involves bringing action not just against firms, but also against individuals. The normal sanction imposed on a firm is a financial penalty; the firm pays the fine and then carries on with its normal business. In contrast a sanction imposed on an individual may have longer-lasting consequences, for example a prohibition order may prevent an individual from working in the financial services industry for a period of years, and this has a greater deterrent effect”.</w:t>
      </w:r>
      <w:r w:rsidRPr="0017668D">
        <w:rPr>
          <w:rFonts w:ascii="Times New Roman" w:eastAsia="Times New Roman" w:hAnsi="Times New Roman" w:cs="Times New Roman"/>
          <w:sz w:val="24"/>
          <w:szCs w:val="24"/>
          <w:vertAlign w:val="superscript"/>
          <w:lang w:eastAsia="en-GB"/>
        </w:rPr>
        <w:footnoteReference w:id="117"/>
      </w:r>
    </w:p>
    <w:p w:rsidR="00AB2CB1" w:rsidRPr="0017668D" w:rsidRDefault="00AB2CB1" w:rsidP="004A5637">
      <w:pPr>
        <w:spacing w:after="0" w:line="480" w:lineRule="auto"/>
        <w:jc w:val="both"/>
        <w:rPr>
          <w:rFonts w:ascii="Times New Roman" w:eastAsia="Calibri" w:hAnsi="Times New Roman" w:cs="Times New Roman"/>
          <w:sz w:val="24"/>
          <w:szCs w:val="24"/>
        </w:rPr>
      </w:pPr>
    </w:p>
    <w:p w:rsidR="00AB2CB1" w:rsidRPr="0017668D" w:rsidRDefault="00AB2CB1" w:rsidP="004A5637">
      <w:pPr>
        <w:spacing w:after="0" w:line="480" w:lineRule="auto"/>
        <w:jc w:val="both"/>
        <w:rPr>
          <w:rFonts w:ascii="Times New Roman" w:eastAsia="Calibri" w:hAnsi="Times New Roman" w:cs="Times New Roman"/>
          <w:color w:val="000000"/>
          <w:sz w:val="24"/>
          <w:szCs w:val="24"/>
          <w:lang w:eastAsia="en-GB"/>
        </w:rPr>
      </w:pPr>
      <w:r w:rsidRPr="0017668D">
        <w:rPr>
          <w:rFonts w:ascii="Times New Roman" w:eastAsia="Calibri" w:hAnsi="Times New Roman" w:cs="Times New Roman"/>
          <w:sz w:val="24"/>
          <w:szCs w:val="24"/>
        </w:rPr>
        <w:t>It has been argued that the objective of the credible deterrence policy is to “deliver a message that breaches of law and/or regulation will result in offenders suffering ‘meaningful consequences’ including imprisonment”.</w:t>
      </w:r>
      <w:r w:rsidRPr="0017668D">
        <w:rPr>
          <w:rFonts w:ascii="Times New Roman" w:eastAsia="Calibri" w:hAnsi="Times New Roman" w:cs="Times New Roman"/>
          <w:sz w:val="24"/>
          <w:szCs w:val="24"/>
          <w:vertAlign w:val="superscript"/>
        </w:rPr>
        <w:footnoteReference w:id="118"/>
      </w:r>
      <w:r w:rsidRPr="0017668D">
        <w:rPr>
          <w:rFonts w:ascii="Times New Roman" w:eastAsia="Calibri" w:hAnsi="Times New Roman" w:cs="Times New Roman"/>
          <w:sz w:val="24"/>
          <w:szCs w:val="24"/>
        </w:rPr>
        <w:t xml:space="preserve">  Teasdale stated that the “</w:t>
      </w:r>
      <w:r w:rsidRPr="0017668D">
        <w:rPr>
          <w:rFonts w:ascii="Times New Roman" w:eastAsia="Calibri" w:hAnsi="Times New Roman" w:cs="Times New Roman"/>
          <w:sz w:val="24"/>
          <w:szCs w:val="24"/>
          <w:lang w:eastAsia="en-GB"/>
        </w:rPr>
        <w:t xml:space="preserve">credible deterrence agenda has relied upon not only securing meaningful convictions, judgments and regulatory decisions, but also upon clearly advertising them; to the regulated community to dissuade </w:t>
      </w:r>
      <w:r w:rsidRPr="0017668D">
        <w:rPr>
          <w:rFonts w:ascii="Times New Roman" w:eastAsia="Calibri" w:hAnsi="Times New Roman" w:cs="Times New Roman"/>
          <w:sz w:val="24"/>
          <w:szCs w:val="24"/>
          <w:lang w:eastAsia="en-GB"/>
        </w:rPr>
        <w:lastRenderedPageBreak/>
        <w:t>similar behaviour, and to the wider world to engender consumer and market confidence”.</w:t>
      </w:r>
      <w:r w:rsidRPr="0017668D">
        <w:rPr>
          <w:rFonts w:ascii="Times New Roman" w:eastAsia="Calibri" w:hAnsi="Times New Roman" w:cs="Times New Roman"/>
          <w:sz w:val="24"/>
          <w:szCs w:val="24"/>
          <w:vertAlign w:val="superscript"/>
          <w:lang w:eastAsia="en-GB"/>
        </w:rPr>
        <w:footnoteReference w:id="119"/>
      </w:r>
      <w:r w:rsidRPr="0017668D">
        <w:rPr>
          <w:rFonts w:ascii="Times New Roman" w:eastAsia="Calibri" w:hAnsi="Times New Roman" w:cs="Times New Roman"/>
          <w:sz w:val="24"/>
          <w:szCs w:val="24"/>
          <w:lang w:eastAsia="en-GB"/>
        </w:rPr>
        <w:t xml:space="preserve"> Lewis </w:t>
      </w:r>
      <w:r w:rsidRPr="0017668D">
        <w:rPr>
          <w:rFonts w:ascii="Times New Roman" w:eastAsia="Calibri" w:hAnsi="Times New Roman" w:cs="Times New Roman"/>
          <w:i/>
          <w:sz w:val="24"/>
          <w:szCs w:val="24"/>
          <w:lang w:eastAsia="en-GB"/>
        </w:rPr>
        <w:t>et al</w:t>
      </w:r>
      <w:r w:rsidRPr="0017668D">
        <w:rPr>
          <w:rFonts w:ascii="Times New Roman" w:eastAsia="Calibri" w:hAnsi="Times New Roman" w:cs="Times New Roman"/>
          <w:sz w:val="24"/>
          <w:szCs w:val="24"/>
          <w:lang w:eastAsia="en-GB"/>
        </w:rPr>
        <w:t xml:space="preserve"> stated that the </w:t>
      </w:r>
      <w:r w:rsidR="006014B5">
        <w:rPr>
          <w:rFonts w:ascii="Times New Roman" w:eastAsia="Calibri" w:hAnsi="Times New Roman" w:cs="Times New Roman"/>
          <w:sz w:val="24"/>
          <w:szCs w:val="24"/>
          <w:lang w:eastAsia="en-GB"/>
        </w:rPr>
        <w:t xml:space="preserve">regulator has </w:t>
      </w:r>
      <w:r w:rsidRPr="0017668D">
        <w:rPr>
          <w:rFonts w:ascii="Times New Roman" w:eastAsia="Calibri" w:hAnsi="Times New Roman" w:cs="Times New Roman"/>
          <w:sz w:val="24"/>
          <w:szCs w:val="24"/>
          <w:lang w:eastAsia="en-GB"/>
        </w:rPr>
        <w:t>“</w:t>
      </w:r>
      <w:r w:rsidRPr="0017668D">
        <w:rPr>
          <w:rFonts w:ascii="Times New Roman" w:eastAsia="Times New Roman" w:hAnsi="Times New Roman" w:cs="Times New Roman"/>
          <w:sz w:val="24"/>
          <w:szCs w:val="24"/>
          <w:lang w:eastAsia="en-GB"/>
        </w:rPr>
        <w:t>levied large fines and, at worst, bans, on firms and relevant approved individuals who breached its rules – sometimes regardless of whether the breach has resulted in actual harm to customers”.</w:t>
      </w:r>
      <w:r w:rsidRPr="0017668D">
        <w:rPr>
          <w:rFonts w:ascii="Times New Roman" w:eastAsia="Times New Roman" w:hAnsi="Times New Roman" w:cs="Times New Roman"/>
          <w:sz w:val="24"/>
          <w:szCs w:val="24"/>
          <w:vertAlign w:val="superscript"/>
          <w:lang w:eastAsia="en-GB"/>
        </w:rPr>
        <w:footnoteReference w:id="120"/>
      </w:r>
      <w:r w:rsidRPr="0017668D">
        <w:rPr>
          <w:rFonts w:ascii="Times New Roman" w:eastAsia="Times New Roman" w:hAnsi="Times New Roman" w:cs="Times New Roman"/>
          <w:sz w:val="24"/>
          <w:szCs w:val="24"/>
          <w:lang w:eastAsia="en-GB"/>
        </w:rPr>
        <w:t xml:space="preserve">  </w:t>
      </w:r>
      <w:r w:rsidRPr="0017668D">
        <w:rPr>
          <w:rFonts w:ascii="Times New Roman" w:eastAsia="Calibri" w:hAnsi="Times New Roman" w:cs="Times New Roman"/>
          <w:sz w:val="24"/>
          <w:szCs w:val="24"/>
        </w:rPr>
        <w:t xml:space="preserve">This point is clearly illustrated by the significant increase in the use of financial sanctions since the start of the financial crisis by the </w:t>
      </w:r>
      <w:r w:rsidR="006014B5">
        <w:rPr>
          <w:rFonts w:ascii="Times New Roman" w:eastAsia="Calibri" w:hAnsi="Times New Roman" w:cs="Times New Roman"/>
          <w:sz w:val="24"/>
          <w:szCs w:val="24"/>
        </w:rPr>
        <w:t>regulator</w:t>
      </w:r>
      <w:r w:rsidRPr="0017668D">
        <w:rPr>
          <w:rFonts w:ascii="Times New Roman" w:eastAsia="Calibri" w:hAnsi="Times New Roman" w:cs="Times New Roman"/>
          <w:sz w:val="24"/>
          <w:szCs w:val="24"/>
        </w:rPr>
        <w:t>.</w:t>
      </w:r>
      <w:r w:rsidRPr="0017668D">
        <w:rPr>
          <w:rFonts w:ascii="Times New Roman" w:eastAsia="Calibri" w:hAnsi="Times New Roman" w:cs="Times New Roman"/>
          <w:sz w:val="24"/>
          <w:szCs w:val="24"/>
          <w:vertAlign w:val="superscript"/>
        </w:rPr>
        <w:footnoteReference w:id="121"/>
      </w:r>
      <w:r w:rsidRPr="0017668D">
        <w:rPr>
          <w:rFonts w:ascii="Times New Roman" w:eastAsia="Calibri" w:hAnsi="Times New Roman" w:cs="Times New Roman"/>
          <w:sz w:val="24"/>
          <w:szCs w:val="24"/>
        </w:rPr>
        <w:t xml:space="preserve"> </w:t>
      </w:r>
      <w:r w:rsidRPr="0017668D">
        <w:rPr>
          <w:rFonts w:ascii="Times New Roman" w:eastAsia="Calibri" w:hAnsi="Times New Roman" w:cs="Times New Roman"/>
          <w:sz w:val="24"/>
          <w:szCs w:val="24"/>
          <w:lang w:eastAsia="en-GB"/>
        </w:rPr>
        <w:t xml:space="preserve">Srivastava </w:t>
      </w:r>
      <w:r w:rsidRPr="0017668D">
        <w:rPr>
          <w:rFonts w:ascii="Times New Roman" w:eastAsia="Calibri" w:hAnsi="Times New Roman" w:cs="Times New Roman"/>
          <w:i/>
          <w:sz w:val="24"/>
          <w:szCs w:val="24"/>
          <w:lang w:eastAsia="en-GB"/>
        </w:rPr>
        <w:t>et al</w:t>
      </w:r>
      <w:r w:rsidRPr="0017668D">
        <w:rPr>
          <w:rFonts w:ascii="Times New Roman" w:eastAsia="Calibri" w:hAnsi="Times New Roman" w:cs="Times New Roman"/>
          <w:sz w:val="24"/>
          <w:szCs w:val="24"/>
          <w:lang w:eastAsia="en-GB"/>
        </w:rPr>
        <w:t xml:space="preserve"> stated “financial sanctions have assumed greater political importance in recent years and as a result there has been increased focus on the part of the FSA in ensuring that firms understand their obligations under the various financial sanctions regimes”.</w:t>
      </w:r>
      <w:r w:rsidRPr="0017668D">
        <w:rPr>
          <w:rFonts w:ascii="Times New Roman" w:eastAsia="Calibri" w:hAnsi="Times New Roman" w:cs="Times New Roman"/>
          <w:sz w:val="24"/>
          <w:szCs w:val="24"/>
          <w:vertAlign w:val="superscript"/>
        </w:rPr>
        <w:footnoteReference w:id="122"/>
      </w:r>
      <w:r w:rsidRPr="0017668D">
        <w:rPr>
          <w:rFonts w:ascii="Times New Roman" w:eastAsia="Calibri" w:hAnsi="Times New Roman" w:cs="Times New Roman"/>
          <w:sz w:val="24"/>
          <w:szCs w:val="24"/>
          <w:lang w:eastAsia="en-GB"/>
        </w:rPr>
        <w:t xml:space="preserve">  </w:t>
      </w:r>
      <w:r w:rsidRPr="0017668D">
        <w:rPr>
          <w:rFonts w:ascii="Times New Roman" w:eastAsia="Calibri" w:hAnsi="Times New Roman" w:cs="Times New Roman"/>
          <w:sz w:val="24"/>
          <w:szCs w:val="24"/>
        </w:rPr>
        <w:t>Fo</w:t>
      </w:r>
      <w:r w:rsidR="006014B5">
        <w:rPr>
          <w:rFonts w:ascii="Times New Roman" w:eastAsia="Calibri" w:hAnsi="Times New Roman" w:cs="Times New Roman"/>
          <w:sz w:val="24"/>
          <w:szCs w:val="24"/>
        </w:rPr>
        <w:t>r example, in 2007 the regulator</w:t>
      </w:r>
      <w:r w:rsidRPr="0017668D">
        <w:rPr>
          <w:rFonts w:ascii="Times New Roman" w:eastAsia="Calibri" w:hAnsi="Times New Roman" w:cs="Times New Roman"/>
          <w:sz w:val="24"/>
          <w:szCs w:val="24"/>
        </w:rPr>
        <w:t xml:space="preserve"> imp</w:t>
      </w:r>
      <w:r w:rsidR="006014B5">
        <w:rPr>
          <w:rFonts w:ascii="Times New Roman" w:eastAsia="Calibri" w:hAnsi="Times New Roman" w:cs="Times New Roman"/>
          <w:sz w:val="24"/>
          <w:szCs w:val="24"/>
        </w:rPr>
        <w:t>osed a total of £5.3m financial</w:t>
      </w:r>
      <w:r w:rsidRPr="0017668D">
        <w:rPr>
          <w:rFonts w:ascii="Times New Roman" w:eastAsia="Calibri" w:hAnsi="Times New Roman" w:cs="Times New Roman"/>
          <w:sz w:val="24"/>
          <w:szCs w:val="24"/>
        </w:rPr>
        <w:t xml:space="preserve"> sanctions.</w:t>
      </w:r>
      <w:r w:rsidRPr="0017668D">
        <w:rPr>
          <w:rFonts w:ascii="Times New Roman" w:eastAsia="Calibri" w:hAnsi="Times New Roman" w:cs="Times New Roman"/>
          <w:sz w:val="24"/>
          <w:szCs w:val="24"/>
          <w:vertAlign w:val="superscript"/>
        </w:rPr>
        <w:footnoteReference w:id="123"/>
      </w:r>
      <w:r w:rsidRPr="0017668D">
        <w:rPr>
          <w:rFonts w:ascii="Times New Roman" w:eastAsia="Calibri" w:hAnsi="Times New Roman" w:cs="Times New Roman"/>
          <w:sz w:val="24"/>
          <w:szCs w:val="24"/>
        </w:rPr>
        <w:t xml:space="preserve">  A year later, </w:t>
      </w:r>
      <w:r w:rsidR="006014B5">
        <w:rPr>
          <w:rFonts w:ascii="Times New Roman" w:eastAsia="Calibri" w:hAnsi="Times New Roman" w:cs="Times New Roman"/>
          <w:sz w:val="24"/>
          <w:szCs w:val="24"/>
        </w:rPr>
        <w:t xml:space="preserve">it </w:t>
      </w:r>
      <w:r w:rsidRPr="0017668D">
        <w:rPr>
          <w:rFonts w:ascii="Times New Roman" w:eastAsia="Calibri" w:hAnsi="Times New Roman" w:cs="Times New Roman"/>
          <w:sz w:val="24"/>
          <w:szCs w:val="24"/>
        </w:rPr>
        <w:t>reported that the figure had increased to £22.7m.</w:t>
      </w:r>
      <w:r w:rsidRPr="0017668D">
        <w:rPr>
          <w:rFonts w:ascii="Times New Roman" w:eastAsia="Calibri" w:hAnsi="Times New Roman" w:cs="Times New Roman"/>
          <w:sz w:val="24"/>
          <w:szCs w:val="24"/>
          <w:vertAlign w:val="superscript"/>
        </w:rPr>
        <w:footnoteReference w:id="124"/>
      </w:r>
      <w:r w:rsidRPr="0017668D">
        <w:rPr>
          <w:rFonts w:ascii="Times New Roman" w:eastAsia="Calibri" w:hAnsi="Times New Roman" w:cs="Times New Roman"/>
          <w:sz w:val="24"/>
          <w:szCs w:val="24"/>
        </w:rPr>
        <w:t xml:space="preserve">  In 2009 the amount of financial sanctions increased to £35m.</w:t>
      </w:r>
      <w:r w:rsidRPr="0017668D">
        <w:rPr>
          <w:rFonts w:ascii="Times New Roman" w:eastAsia="Calibri" w:hAnsi="Times New Roman" w:cs="Times New Roman"/>
          <w:sz w:val="24"/>
          <w:szCs w:val="24"/>
          <w:vertAlign w:val="superscript"/>
        </w:rPr>
        <w:footnoteReference w:id="125"/>
      </w:r>
      <w:r w:rsidRPr="0017668D">
        <w:rPr>
          <w:rFonts w:ascii="Times New Roman" w:eastAsia="Calibri" w:hAnsi="Times New Roman" w:cs="Times New Roman"/>
          <w:sz w:val="24"/>
          <w:szCs w:val="24"/>
        </w:rPr>
        <w:t xml:space="preserve">  The figures for 2010 and 2011 illustrated an increase to £89.1m </w:t>
      </w:r>
      <w:r w:rsidRPr="0017668D">
        <w:rPr>
          <w:rFonts w:ascii="Times New Roman" w:eastAsia="Calibri" w:hAnsi="Times New Roman" w:cs="Times New Roman"/>
          <w:sz w:val="24"/>
          <w:szCs w:val="24"/>
          <w:vertAlign w:val="superscript"/>
        </w:rPr>
        <w:footnoteReference w:id="126"/>
      </w:r>
      <w:r w:rsidRPr="0017668D">
        <w:rPr>
          <w:rFonts w:ascii="Times New Roman" w:eastAsia="Calibri" w:hAnsi="Times New Roman" w:cs="Times New Roman"/>
          <w:sz w:val="24"/>
          <w:szCs w:val="24"/>
        </w:rPr>
        <w:t xml:space="preserve"> and a decrease to £66.1m.</w:t>
      </w:r>
      <w:r w:rsidRPr="0017668D">
        <w:rPr>
          <w:rFonts w:ascii="Times New Roman" w:eastAsia="Calibri" w:hAnsi="Times New Roman" w:cs="Times New Roman"/>
          <w:sz w:val="24"/>
          <w:szCs w:val="24"/>
          <w:vertAlign w:val="superscript"/>
        </w:rPr>
        <w:footnoteReference w:id="127"/>
      </w:r>
      <w:r w:rsidRPr="0017668D">
        <w:rPr>
          <w:rFonts w:ascii="Times New Roman" w:eastAsia="Calibri" w:hAnsi="Times New Roman" w:cs="Times New Roman"/>
          <w:sz w:val="24"/>
          <w:szCs w:val="24"/>
        </w:rPr>
        <w:t xml:space="preserve">  However, in 2012 the </w:t>
      </w:r>
      <w:r w:rsidR="006014B5">
        <w:rPr>
          <w:rFonts w:ascii="Times New Roman" w:eastAsia="Calibri" w:hAnsi="Times New Roman" w:cs="Times New Roman"/>
          <w:sz w:val="24"/>
          <w:szCs w:val="24"/>
        </w:rPr>
        <w:t xml:space="preserve">regulator </w:t>
      </w:r>
      <w:r w:rsidRPr="0017668D">
        <w:rPr>
          <w:rFonts w:ascii="Times New Roman" w:eastAsia="Calibri" w:hAnsi="Times New Roman" w:cs="Times New Roman"/>
          <w:sz w:val="24"/>
          <w:szCs w:val="24"/>
        </w:rPr>
        <w:t>imposed financial sanctions that amounted to £311.5m,</w:t>
      </w:r>
      <w:r w:rsidRPr="0017668D">
        <w:rPr>
          <w:rFonts w:ascii="Times New Roman" w:eastAsia="Calibri" w:hAnsi="Times New Roman" w:cs="Times New Roman"/>
          <w:sz w:val="24"/>
          <w:szCs w:val="24"/>
          <w:vertAlign w:val="superscript"/>
        </w:rPr>
        <w:footnoteReference w:id="128"/>
      </w:r>
      <w:r w:rsidRPr="0017668D">
        <w:rPr>
          <w:rFonts w:ascii="Times New Roman" w:eastAsia="Calibri" w:hAnsi="Times New Roman" w:cs="Times New Roman"/>
          <w:sz w:val="24"/>
          <w:szCs w:val="24"/>
        </w:rPr>
        <w:t xml:space="preserve"> a majority of which are associated with the LIBOR scandal.   </w:t>
      </w:r>
      <w:r w:rsidR="00AC491C" w:rsidRPr="0017668D">
        <w:rPr>
          <w:rFonts w:ascii="Times New Roman" w:eastAsia="Calibri" w:hAnsi="Times New Roman" w:cs="Times New Roman"/>
          <w:sz w:val="24"/>
          <w:szCs w:val="24"/>
        </w:rPr>
        <w:t xml:space="preserve">In </w:t>
      </w:r>
      <w:r w:rsidRPr="0017668D">
        <w:rPr>
          <w:rFonts w:ascii="Times New Roman" w:eastAsia="Calibri" w:hAnsi="Times New Roman" w:cs="Times New Roman"/>
          <w:sz w:val="24"/>
          <w:szCs w:val="24"/>
        </w:rPr>
        <w:t xml:space="preserve">2013, the </w:t>
      </w:r>
      <w:r w:rsidR="006014B5">
        <w:rPr>
          <w:rFonts w:ascii="Times New Roman" w:eastAsia="Calibri" w:hAnsi="Times New Roman" w:cs="Times New Roman"/>
          <w:sz w:val="24"/>
          <w:szCs w:val="24"/>
        </w:rPr>
        <w:t xml:space="preserve">regulator </w:t>
      </w:r>
      <w:r w:rsidR="00AC491C" w:rsidRPr="0017668D">
        <w:rPr>
          <w:rFonts w:ascii="Times New Roman" w:eastAsia="Calibri" w:hAnsi="Times New Roman" w:cs="Times New Roman"/>
          <w:sz w:val="24"/>
          <w:szCs w:val="24"/>
        </w:rPr>
        <w:t xml:space="preserve">had </w:t>
      </w:r>
      <w:r w:rsidRPr="0017668D">
        <w:rPr>
          <w:rFonts w:ascii="Times New Roman" w:eastAsia="Calibri" w:hAnsi="Times New Roman" w:cs="Times New Roman"/>
          <w:sz w:val="24"/>
          <w:szCs w:val="24"/>
        </w:rPr>
        <w:t>imposed financial sanctions totalling £</w:t>
      </w:r>
      <w:r w:rsidR="00AC491C" w:rsidRPr="0017668D">
        <w:rPr>
          <w:rFonts w:ascii="Times New Roman" w:eastAsia="Calibri" w:hAnsi="Times New Roman" w:cs="Times New Roman"/>
          <w:sz w:val="24"/>
          <w:szCs w:val="24"/>
        </w:rPr>
        <w:t>474.2m,</w:t>
      </w:r>
      <w:r w:rsidRPr="0017668D">
        <w:rPr>
          <w:rFonts w:ascii="Times New Roman" w:eastAsia="Calibri" w:hAnsi="Times New Roman" w:cs="Times New Roman"/>
          <w:sz w:val="24"/>
          <w:szCs w:val="24"/>
          <w:vertAlign w:val="superscript"/>
        </w:rPr>
        <w:footnoteReference w:id="129"/>
      </w:r>
      <w:r w:rsidR="00AC491C" w:rsidRPr="0017668D">
        <w:rPr>
          <w:rFonts w:ascii="Times New Roman" w:eastAsia="Calibri" w:hAnsi="Times New Roman" w:cs="Times New Roman"/>
          <w:sz w:val="24"/>
          <w:szCs w:val="24"/>
        </w:rPr>
        <w:t xml:space="preserve"> whilst in 2014 the total amount of fines imposed totalled £1.4bn.</w:t>
      </w:r>
      <w:r w:rsidR="00AC491C" w:rsidRPr="0017668D">
        <w:rPr>
          <w:rStyle w:val="FootnoteReference"/>
          <w:rFonts w:ascii="Times New Roman" w:eastAsia="Calibri" w:hAnsi="Times New Roman" w:cs="Times New Roman"/>
          <w:sz w:val="24"/>
          <w:szCs w:val="24"/>
        </w:rPr>
        <w:footnoteReference w:id="130"/>
      </w:r>
      <w:r w:rsidR="00AC491C" w:rsidRPr="0017668D">
        <w:rPr>
          <w:rFonts w:ascii="Times New Roman" w:eastAsia="Calibri" w:hAnsi="Times New Roman" w:cs="Times New Roman"/>
          <w:sz w:val="24"/>
          <w:szCs w:val="24"/>
        </w:rPr>
        <w:t xml:space="preserve">  </w:t>
      </w:r>
      <w:r w:rsidR="0097369E" w:rsidRPr="0017668D">
        <w:rPr>
          <w:rFonts w:ascii="Times New Roman" w:eastAsia="Calibri" w:hAnsi="Times New Roman" w:cs="Times New Roman"/>
          <w:sz w:val="24"/>
          <w:szCs w:val="24"/>
        </w:rPr>
        <w:t xml:space="preserve">In 2015, the </w:t>
      </w:r>
      <w:r w:rsidR="00AC491C" w:rsidRPr="0017668D">
        <w:rPr>
          <w:rFonts w:ascii="Times New Roman" w:eastAsia="Calibri" w:hAnsi="Times New Roman" w:cs="Times New Roman"/>
          <w:sz w:val="24"/>
          <w:szCs w:val="24"/>
        </w:rPr>
        <w:lastRenderedPageBreak/>
        <w:t>regulator levied fines totalling £</w:t>
      </w:r>
      <w:r w:rsidR="0097369E" w:rsidRPr="0017668D">
        <w:rPr>
          <w:rFonts w:ascii="Times New Roman" w:eastAsia="Calibri" w:hAnsi="Times New Roman" w:cs="Times New Roman"/>
          <w:sz w:val="24"/>
          <w:szCs w:val="24"/>
        </w:rPr>
        <w:t>905m.</w:t>
      </w:r>
      <w:r w:rsidR="00AC491C" w:rsidRPr="0017668D">
        <w:rPr>
          <w:rStyle w:val="FootnoteReference"/>
          <w:rFonts w:ascii="Times New Roman" w:eastAsia="Calibri" w:hAnsi="Times New Roman" w:cs="Times New Roman"/>
          <w:sz w:val="24"/>
          <w:szCs w:val="24"/>
        </w:rPr>
        <w:footnoteReference w:id="131"/>
      </w:r>
      <w:r w:rsidR="00FE3CB8" w:rsidRPr="0017668D">
        <w:rPr>
          <w:rFonts w:ascii="Times New Roman" w:eastAsia="Calibri" w:hAnsi="Times New Roman" w:cs="Times New Roman"/>
          <w:sz w:val="24"/>
          <w:szCs w:val="24"/>
        </w:rPr>
        <w:t xml:space="preserve">  </w:t>
      </w:r>
      <w:r w:rsidR="00844C3F">
        <w:rPr>
          <w:rFonts w:ascii="Times New Roman" w:eastAsia="Calibri" w:hAnsi="Times New Roman" w:cs="Times New Roman"/>
          <w:sz w:val="24"/>
          <w:szCs w:val="24"/>
        </w:rPr>
        <w:t>At the time of writing this article the regulator has imposed fined totalling £15.5m.</w:t>
      </w:r>
      <w:r w:rsidR="00844C3F">
        <w:rPr>
          <w:rStyle w:val="FootnoteReference"/>
          <w:rFonts w:ascii="Times New Roman" w:eastAsia="Calibri" w:hAnsi="Times New Roman" w:cs="Times New Roman"/>
          <w:sz w:val="24"/>
          <w:szCs w:val="24"/>
        </w:rPr>
        <w:footnoteReference w:id="132"/>
      </w:r>
      <w:r w:rsidR="006014B5">
        <w:rPr>
          <w:rFonts w:ascii="Times New Roman" w:eastAsia="Calibri" w:hAnsi="Times New Roman" w:cs="Times New Roman"/>
          <w:sz w:val="24"/>
          <w:szCs w:val="24"/>
        </w:rPr>
        <w:t xml:space="preserve">  </w:t>
      </w:r>
      <w:r w:rsidR="003D6820" w:rsidRPr="0017668D">
        <w:rPr>
          <w:rFonts w:ascii="Times New Roman" w:eastAsia="Calibri" w:hAnsi="Times New Roman" w:cs="Times New Roman"/>
          <w:sz w:val="24"/>
          <w:szCs w:val="24"/>
        </w:rPr>
        <w:t xml:space="preserve">At first glance, these financial penalties demonstrate </w:t>
      </w:r>
      <w:r w:rsidR="006014B5">
        <w:rPr>
          <w:rFonts w:ascii="Times New Roman" w:eastAsia="Calibri" w:hAnsi="Times New Roman" w:cs="Times New Roman"/>
          <w:sz w:val="24"/>
          <w:szCs w:val="24"/>
        </w:rPr>
        <w:t xml:space="preserve">the imposition of record breaking </w:t>
      </w:r>
      <w:r w:rsidR="003D6820" w:rsidRPr="0017668D">
        <w:rPr>
          <w:rFonts w:ascii="Times New Roman" w:eastAsia="Calibri" w:hAnsi="Times New Roman" w:cs="Times New Roman"/>
          <w:sz w:val="24"/>
          <w:szCs w:val="24"/>
        </w:rPr>
        <w:t xml:space="preserve">financial penalties.  However, these financial penalties can be criticised because they only represent a very small percentage of the profits generated by the financial institutions who have been subjected to enforcement action.  The imposition of ‘media friendly’ financial penalties represents a worrying trend towards large financial institutions who have been involved in illegal activities.  For example, the </w:t>
      </w:r>
      <w:r w:rsidR="006014B5">
        <w:rPr>
          <w:rFonts w:ascii="Times New Roman" w:eastAsia="Calibri" w:hAnsi="Times New Roman" w:cs="Times New Roman"/>
          <w:sz w:val="24"/>
          <w:szCs w:val="24"/>
        </w:rPr>
        <w:t>regulator h</w:t>
      </w:r>
      <w:r w:rsidR="003D6820" w:rsidRPr="0017668D">
        <w:rPr>
          <w:rFonts w:ascii="Times New Roman" w:eastAsia="Calibri" w:hAnsi="Times New Roman" w:cs="Times New Roman"/>
          <w:sz w:val="24"/>
          <w:szCs w:val="24"/>
        </w:rPr>
        <w:t xml:space="preserve">as imposed record penalties on financial institutions who manipulated the LIBOR and FOREX markets yet they were reluctant to initiate criminal proceedings.  This situation is extremely undesirable and somewhat surprising given the ability of the </w:t>
      </w:r>
      <w:r w:rsidR="006014B5">
        <w:rPr>
          <w:rFonts w:ascii="Times New Roman" w:eastAsia="Calibri" w:hAnsi="Times New Roman" w:cs="Times New Roman"/>
          <w:sz w:val="24"/>
          <w:szCs w:val="24"/>
        </w:rPr>
        <w:t xml:space="preserve">regulator </w:t>
      </w:r>
      <w:r w:rsidR="003D6820" w:rsidRPr="0017668D">
        <w:rPr>
          <w:rFonts w:ascii="Times New Roman" w:eastAsia="Calibri" w:hAnsi="Times New Roman" w:cs="Times New Roman"/>
          <w:sz w:val="24"/>
          <w:szCs w:val="24"/>
        </w:rPr>
        <w:t>to act as prosecutorial agency.  For example, the FCA is able to prosecute a firm or individual who falsely claims to be authorised, where a firm undertakes a regulated activity without authorisation, where the firm makes a misleading statement that leads to an investment and where a firm or individual fails to co-operate with an FCA investigation.  Additionally, the FCA is able to prosecute insider dealing offences,</w:t>
      </w:r>
      <w:r w:rsidR="003D6820" w:rsidRPr="0017668D">
        <w:rPr>
          <w:rStyle w:val="FootnoteReference"/>
          <w:rFonts w:ascii="Times New Roman" w:eastAsia="Calibri" w:hAnsi="Times New Roman" w:cs="Times New Roman"/>
          <w:sz w:val="24"/>
          <w:szCs w:val="24"/>
        </w:rPr>
        <w:footnoteReference w:id="133"/>
      </w:r>
      <w:r w:rsidR="007626CD" w:rsidRPr="0017668D">
        <w:rPr>
          <w:rFonts w:ascii="Times New Roman" w:eastAsia="Calibri" w:hAnsi="Times New Roman" w:cs="Times New Roman"/>
          <w:sz w:val="24"/>
          <w:szCs w:val="24"/>
        </w:rPr>
        <w:t xml:space="preserve"> misleading statements,</w:t>
      </w:r>
      <w:r w:rsidR="007626CD" w:rsidRPr="0017668D">
        <w:rPr>
          <w:rStyle w:val="FootnoteReference"/>
          <w:rFonts w:ascii="Times New Roman" w:eastAsia="Calibri" w:hAnsi="Times New Roman" w:cs="Times New Roman"/>
          <w:sz w:val="24"/>
          <w:szCs w:val="24"/>
        </w:rPr>
        <w:footnoteReference w:id="134"/>
      </w:r>
      <w:r w:rsidR="007626CD" w:rsidRPr="0017668D">
        <w:rPr>
          <w:rFonts w:ascii="Times New Roman" w:eastAsia="Calibri" w:hAnsi="Times New Roman" w:cs="Times New Roman"/>
          <w:sz w:val="24"/>
          <w:szCs w:val="24"/>
        </w:rPr>
        <w:t xml:space="preserve"> misleading statement relating to benchmarks,</w:t>
      </w:r>
      <w:r w:rsidR="007626CD" w:rsidRPr="0017668D">
        <w:rPr>
          <w:rStyle w:val="FootnoteReference"/>
          <w:rFonts w:ascii="Times New Roman" w:eastAsia="Calibri" w:hAnsi="Times New Roman" w:cs="Times New Roman"/>
          <w:sz w:val="24"/>
          <w:szCs w:val="24"/>
        </w:rPr>
        <w:footnoteReference w:id="135"/>
      </w:r>
      <w:r w:rsidR="007626CD" w:rsidRPr="0017668D">
        <w:rPr>
          <w:rFonts w:ascii="Times New Roman" w:eastAsia="Calibri" w:hAnsi="Times New Roman" w:cs="Times New Roman"/>
          <w:sz w:val="24"/>
          <w:szCs w:val="24"/>
        </w:rPr>
        <w:t xml:space="preserve"> breaches of the Money Laundering Regulations and terrorist financing.</w:t>
      </w:r>
      <w:r w:rsidR="007626CD" w:rsidRPr="0017668D">
        <w:rPr>
          <w:rStyle w:val="FootnoteReference"/>
          <w:rFonts w:ascii="Times New Roman" w:eastAsia="Calibri" w:hAnsi="Times New Roman" w:cs="Times New Roman"/>
          <w:sz w:val="24"/>
          <w:szCs w:val="24"/>
        </w:rPr>
        <w:footnoteReference w:id="136"/>
      </w:r>
      <w:r w:rsidR="007626CD" w:rsidRPr="0017668D">
        <w:rPr>
          <w:rFonts w:ascii="Times New Roman" w:eastAsia="Calibri" w:hAnsi="Times New Roman" w:cs="Times New Roman"/>
          <w:sz w:val="24"/>
          <w:szCs w:val="24"/>
        </w:rPr>
        <w:t xml:space="preserve">  The origins of these powers are to be found in </w:t>
      </w:r>
      <w:r w:rsidR="00E60A97" w:rsidRPr="0017668D">
        <w:rPr>
          <w:rFonts w:ascii="Times New Roman" w:eastAsia="Calibri" w:hAnsi="Times New Roman" w:cs="Times New Roman"/>
          <w:sz w:val="24"/>
          <w:szCs w:val="24"/>
        </w:rPr>
        <w:t>s 401 and 40</w:t>
      </w:r>
      <w:r w:rsidR="006014B5">
        <w:rPr>
          <w:rFonts w:ascii="Times New Roman" w:eastAsia="Calibri" w:hAnsi="Times New Roman" w:cs="Times New Roman"/>
          <w:sz w:val="24"/>
          <w:szCs w:val="24"/>
        </w:rPr>
        <w:t>2</w:t>
      </w:r>
      <w:r w:rsidR="00E60A97" w:rsidRPr="0017668D">
        <w:rPr>
          <w:rFonts w:ascii="Times New Roman" w:eastAsia="Calibri" w:hAnsi="Times New Roman" w:cs="Times New Roman"/>
          <w:sz w:val="24"/>
          <w:szCs w:val="24"/>
        </w:rPr>
        <w:t xml:space="preserve"> </w:t>
      </w:r>
      <w:r w:rsidR="007626CD" w:rsidRPr="0017668D">
        <w:rPr>
          <w:rFonts w:ascii="Times New Roman" w:eastAsia="Calibri" w:hAnsi="Times New Roman" w:cs="Times New Roman"/>
          <w:sz w:val="24"/>
          <w:szCs w:val="24"/>
        </w:rPr>
        <w:t xml:space="preserve">FSMA 2000 and were interpreted by the Supreme Court in </w:t>
      </w:r>
      <w:r w:rsidR="007626CD" w:rsidRPr="0017668D">
        <w:rPr>
          <w:rFonts w:ascii="Times New Roman" w:eastAsia="Calibri" w:hAnsi="Times New Roman" w:cs="Times New Roman"/>
          <w:i/>
          <w:sz w:val="24"/>
          <w:szCs w:val="24"/>
        </w:rPr>
        <w:t>R v Rollins</w:t>
      </w:r>
      <w:r w:rsidR="007626CD" w:rsidRPr="0017668D">
        <w:rPr>
          <w:rFonts w:ascii="Times New Roman" w:eastAsia="Calibri" w:hAnsi="Times New Roman" w:cs="Times New Roman"/>
          <w:sz w:val="24"/>
          <w:szCs w:val="24"/>
        </w:rPr>
        <w:t>,</w:t>
      </w:r>
      <w:r w:rsidR="00E60A97" w:rsidRPr="0017668D">
        <w:rPr>
          <w:rStyle w:val="FootnoteReference"/>
          <w:rFonts w:ascii="Times New Roman" w:eastAsia="Calibri" w:hAnsi="Times New Roman" w:cs="Times New Roman"/>
          <w:sz w:val="24"/>
          <w:szCs w:val="24"/>
        </w:rPr>
        <w:footnoteReference w:id="137"/>
      </w:r>
      <w:r w:rsidR="007626CD" w:rsidRPr="0017668D">
        <w:rPr>
          <w:rFonts w:ascii="Times New Roman" w:eastAsia="Calibri" w:hAnsi="Times New Roman" w:cs="Times New Roman"/>
          <w:sz w:val="24"/>
          <w:szCs w:val="24"/>
        </w:rPr>
        <w:t xml:space="preserve"> where the court held that </w:t>
      </w:r>
      <w:r w:rsidR="00E60A97" w:rsidRPr="0017668D">
        <w:rPr>
          <w:rFonts w:ascii="Times New Roman" w:eastAsia="Calibri" w:hAnsi="Times New Roman" w:cs="Times New Roman"/>
          <w:sz w:val="24"/>
          <w:szCs w:val="24"/>
        </w:rPr>
        <w:t xml:space="preserve">the </w:t>
      </w:r>
      <w:r w:rsidR="006014B5">
        <w:rPr>
          <w:rFonts w:ascii="Times New Roman" w:eastAsia="Calibri" w:hAnsi="Times New Roman" w:cs="Times New Roman"/>
          <w:sz w:val="24"/>
          <w:szCs w:val="24"/>
        </w:rPr>
        <w:t xml:space="preserve">regulator </w:t>
      </w:r>
      <w:r w:rsidR="00E60A97" w:rsidRPr="0017668D">
        <w:rPr>
          <w:rFonts w:ascii="Times New Roman" w:eastAsia="Calibri" w:hAnsi="Times New Roman" w:cs="Times New Roman"/>
          <w:sz w:val="24"/>
          <w:szCs w:val="24"/>
        </w:rPr>
        <w:t>were able to prosecute offences that were not limited to FSMA 2000.</w:t>
      </w:r>
      <w:r w:rsidR="0097369E" w:rsidRPr="0017668D">
        <w:rPr>
          <w:rFonts w:ascii="Times New Roman" w:eastAsia="Calibri" w:hAnsi="Times New Roman" w:cs="Times New Roman"/>
          <w:sz w:val="24"/>
          <w:szCs w:val="24"/>
        </w:rPr>
        <w:t xml:space="preserve">  </w:t>
      </w:r>
      <w:r w:rsidR="00FE3CB8" w:rsidRPr="0017668D">
        <w:rPr>
          <w:rFonts w:ascii="Times New Roman" w:eastAsia="Calibri" w:hAnsi="Times New Roman" w:cs="Times New Roman"/>
          <w:sz w:val="24"/>
          <w:szCs w:val="24"/>
        </w:rPr>
        <w:t xml:space="preserve">However, it is important to note that these financial penalties are belittled when compared to those imposed </w:t>
      </w:r>
      <w:r w:rsidR="00FE3CB8" w:rsidRPr="0017668D">
        <w:rPr>
          <w:rFonts w:ascii="Times New Roman" w:eastAsia="Calibri" w:hAnsi="Times New Roman" w:cs="Times New Roman"/>
          <w:sz w:val="24"/>
          <w:szCs w:val="24"/>
        </w:rPr>
        <w:lastRenderedPageBreak/>
        <w:t>in the US.  For example, in August 2014 Bank of America greed to settle charges and paid $16.65bn brought by the Department of Justice that it had sold defective mortgage securities before the start of the financial crisis.</w:t>
      </w:r>
      <w:r w:rsidR="00FE3CB8" w:rsidRPr="0017668D">
        <w:rPr>
          <w:rStyle w:val="FootnoteReference"/>
          <w:rFonts w:ascii="Times New Roman" w:eastAsia="Calibri" w:hAnsi="Times New Roman" w:cs="Times New Roman"/>
          <w:sz w:val="24"/>
          <w:szCs w:val="24"/>
        </w:rPr>
        <w:footnoteReference w:id="138"/>
      </w:r>
      <w:r w:rsidR="00FE3CB8" w:rsidRPr="0017668D">
        <w:rPr>
          <w:rFonts w:ascii="Times New Roman" w:eastAsia="Calibri" w:hAnsi="Times New Roman" w:cs="Times New Roman"/>
          <w:sz w:val="24"/>
          <w:szCs w:val="24"/>
        </w:rPr>
        <w:t xml:space="preserve">  Furthermore, in December 2012 HSBC agreed to pay the Department of Justice $1.2bn for having inadequate anti-money laundering controls.</w:t>
      </w:r>
      <w:r w:rsidR="00FE3CB8" w:rsidRPr="0017668D">
        <w:rPr>
          <w:rStyle w:val="FootnoteReference"/>
          <w:rFonts w:ascii="Times New Roman" w:eastAsia="Calibri" w:hAnsi="Times New Roman" w:cs="Times New Roman"/>
          <w:sz w:val="24"/>
          <w:szCs w:val="24"/>
        </w:rPr>
        <w:footnoteReference w:id="139"/>
      </w:r>
      <w:r w:rsidR="00FE3CB8" w:rsidRPr="0017668D">
        <w:rPr>
          <w:rFonts w:ascii="Times New Roman" w:eastAsia="Calibri" w:hAnsi="Times New Roman" w:cs="Times New Roman"/>
          <w:sz w:val="24"/>
          <w:szCs w:val="24"/>
        </w:rPr>
        <w:t xml:space="preserve">  </w:t>
      </w:r>
    </w:p>
    <w:p w:rsidR="00E60A97" w:rsidRDefault="00E60A97" w:rsidP="004A5637">
      <w:pPr>
        <w:spacing w:after="0" w:line="480" w:lineRule="auto"/>
        <w:jc w:val="both"/>
        <w:rPr>
          <w:rFonts w:ascii="Times New Roman" w:eastAsia="Calibri" w:hAnsi="Times New Roman" w:cs="Times New Roman"/>
          <w:color w:val="000000"/>
          <w:sz w:val="24"/>
          <w:szCs w:val="24"/>
          <w:lang w:eastAsia="en-GB"/>
        </w:rPr>
      </w:pPr>
    </w:p>
    <w:p w:rsidR="00AB2CB1" w:rsidRPr="0017668D" w:rsidRDefault="006B6084" w:rsidP="004A5637">
      <w:pPr>
        <w:spacing w:after="0" w:line="480" w:lineRule="auto"/>
        <w:jc w:val="both"/>
        <w:rPr>
          <w:rFonts w:ascii="Times New Roman" w:eastAsia="Times New Roman" w:hAnsi="Times New Roman" w:cs="Times New Roman"/>
          <w:sz w:val="24"/>
          <w:szCs w:val="24"/>
          <w:lang w:val="en" w:eastAsia="en-GB"/>
        </w:rPr>
      </w:pPr>
      <w:r>
        <w:rPr>
          <w:rFonts w:ascii="Times New Roman" w:eastAsia="Calibri" w:hAnsi="Times New Roman" w:cs="Times New Roman"/>
          <w:color w:val="000000"/>
          <w:sz w:val="24"/>
          <w:szCs w:val="24"/>
          <w:lang w:eastAsia="en-GB"/>
        </w:rPr>
        <w:t xml:space="preserve">In addition to the financial sanctions and prohibition orders imposed by the regulator, they are able to use a series of </w:t>
      </w:r>
      <w:r w:rsidR="00AB2CB1" w:rsidRPr="000768D4">
        <w:rPr>
          <w:rFonts w:ascii="Times New Roman" w:eastAsia="Times New Roman" w:hAnsi="Times New Roman" w:cs="Times New Roman"/>
          <w:sz w:val="24"/>
          <w:szCs w:val="24"/>
          <w:lang w:val="en-US"/>
        </w:rPr>
        <w:t>preventive measures via its Senior Management Arrangements, Systems and Controls, or SYSC part of the Handbook.</w:t>
      </w:r>
      <w:r w:rsidR="003A0CF6">
        <w:rPr>
          <w:rFonts w:ascii="Times New Roman" w:eastAsia="Times New Roman" w:hAnsi="Times New Roman" w:cs="Times New Roman"/>
          <w:sz w:val="24"/>
          <w:szCs w:val="24"/>
          <w:lang w:val="en-US"/>
        </w:rPr>
        <w:t xml:space="preserve"> </w:t>
      </w:r>
      <w:r w:rsidR="00AB2CB1" w:rsidRPr="000768D4">
        <w:rPr>
          <w:rFonts w:ascii="Times New Roman" w:eastAsia="Times New Roman" w:hAnsi="Times New Roman" w:cs="Times New Roman"/>
          <w:sz w:val="24"/>
          <w:szCs w:val="24"/>
          <w:lang w:val="en-US"/>
        </w:rPr>
        <w:t xml:space="preserve"> Part 3 provides that firms must have in place systems and controls which are appropriate for the firm to conduct its business.</w:t>
      </w:r>
      <w:r w:rsidR="00AB2CB1" w:rsidRPr="000768D4">
        <w:rPr>
          <w:rFonts w:ascii="Times New Roman" w:eastAsia="Times New Roman" w:hAnsi="Times New Roman" w:cs="Times New Roman"/>
          <w:sz w:val="24"/>
          <w:szCs w:val="24"/>
          <w:vertAlign w:val="superscript"/>
          <w:lang w:val="en-US"/>
        </w:rPr>
        <w:footnoteReference w:id="140"/>
      </w:r>
      <w:r w:rsidR="00AB2CB1" w:rsidRPr="000768D4">
        <w:rPr>
          <w:rFonts w:ascii="Times New Roman" w:eastAsia="Times New Roman" w:hAnsi="Times New Roman" w:cs="Times New Roman"/>
          <w:sz w:val="24"/>
          <w:szCs w:val="24"/>
          <w:lang w:val="en-US"/>
        </w:rPr>
        <w:t xml:space="preserve"> In particular, a firm is required to “take reasonable care to establish and maintain effective systems and controls for compliance with applicable requirements and standards under the regulatory system and for countering the risk that the firm might be used to further financial crime”.</w:t>
      </w:r>
      <w:r w:rsidR="00AB2CB1" w:rsidRPr="000768D4">
        <w:rPr>
          <w:rFonts w:ascii="Times New Roman" w:eastAsia="Times New Roman" w:hAnsi="Times New Roman" w:cs="Times New Roman"/>
          <w:sz w:val="24"/>
          <w:szCs w:val="24"/>
          <w:vertAlign w:val="superscript"/>
          <w:lang w:val="en-US"/>
        </w:rPr>
        <w:footnoteReference w:id="141"/>
      </w:r>
      <w:r w:rsidR="00AB2CB1" w:rsidRPr="000768D4">
        <w:rPr>
          <w:rFonts w:ascii="Times New Roman" w:eastAsia="Times New Roman" w:hAnsi="Times New Roman" w:cs="Times New Roman"/>
          <w:sz w:val="24"/>
          <w:szCs w:val="24"/>
          <w:lang w:val="en-US"/>
        </w:rPr>
        <w:t xml:space="preserve"> Therefore, authorized firms are required to undertake consistent assessments of the adequacy of their systems to prevent themselves from being used to facilitate financial crime,</w:t>
      </w:r>
      <w:r w:rsidR="00AB2CB1" w:rsidRPr="000768D4">
        <w:rPr>
          <w:rFonts w:ascii="Times New Roman" w:eastAsia="Times New Roman" w:hAnsi="Times New Roman" w:cs="Times New Roman"/>
          <w:sz w:val="24"/>
          <w:szCs w:val="24"/>
          <w:vertAlign w:val="superscript"/>
          <w:lang w:val="en-US"/>
        </w:rPr>
        <w:footnoteReference w:id="142"/>
      </w:r>
      <w:r w:rsidR="00AB2CB1" w:rsidRPr="000768D4">
        <w:rPr>
          <w:rFonts w:ascii="Times New Roman" w:eastAsia="Times New Roman" w:hAnsi="Times New Roman" w:cs="Times New Roman"/>
          <w:sz w:val="24"/>
          <w:szCs w:val="24"/>
          <w:lang w:val="en-US"/>
        </w:rPr>
        <w:t xml:space="preserve"> allocate a director/senior manager with overall responsibility for establishing and the maintaining of the financial crime.</w:t>
      </w:r>
      <w:r w:rsidR="00AB2CB1" w:rsidRPr="000768D4">
        <w:rPr>
          <w:rFonts w:ascii="Times New Roman" w:eastAsia="Times New Roman" w:hAnsi="Times New Roman" w:cs="Times New Roman"/>
          <w:sz w:val="24"/>
          <w:szCs w:val="24"/>
          <w:vertAlign w:val="superscript"/>
          <w:lang w:val="en-US"/>
        </w:rPr>
        <w:footnoteReference w:id="143"/>
      </w:r>
      <w:r w:rsidR="00AB2CB1" w:rsidRPr="000768D4">
        <w:rPr>
          <w:rFonts w:ascii="Times New Roman" w:eastAsia="Times New Roman" w:hAnsi="Times New Roman" w:cs="Times New Roman"/>
          <w:sz w:val="24"/>
          <w:szCs w:val="24"/>
          <w:lang w:val="en-US"/>
        </w:rPr>
        <w:t xml:space="preserve"> </w:t>
      </w:r>
      <w:r w:rsidR="00AB2CB1" w:rsidRPr="000768D4">
        <w:rPr>
          <w:rFonts w:ascii="Times New Roman" w:eastAsia="Times New Roman" w:hAnsi="Times New Roman" w:cs="Times New Roman"/>
          <w:sz w:val="24"/>
          <w:szCs w:val="24"/>
          <w:lang w:val="en"/>
        </w:rPr>
        <w:t>The regime is intended to provide the regulated sector with an even higher degree of flexibility</w:t>
      </w:r>
      <w:r w:rsidR="00AB2CB1" w:rsidRPr="000768D4">
        <w:rPr>
          <w:rFonts w:ascii="Times New Roman" w:eastAsia="Times New Roman" w:hAnsi="Times New Roman" w:cs="Times New Roman"/>
          <w:sz w:val="24"/>
          <w:szCs w:val="24"/>
          <w:lang w:val="en-US"/>
        </w:rPr>
        <w:t xml:space="preserve">. This means that firms are able to identify the risks and determine how they can best allocate their resources in areas which are most </w:t>
      </w:r>
      <w:r w:rsidR="00AB2CB1" w:rsidRPr="000768D4">
        <w:rPr>
          <w:rFonts w:ascii="Times New Roman" w:eastAsia="Times New Roman" w:hAnsi="Times New Roman" w:cs="Times New Roman"/>
          <w:sz w:val="24"/>
          <w:szCs w:val="24"/>
          <w:lang w:val="en-US"/>
        </w:rPr>
        <w:lastRenderedPageBreak/>
        <w:t>vulnerable</w:t>
      </w:r>
      <w:r w:rsidR="00AB2CB1" w:rsidRPr="000768D4">
        <w:rPr>
          <w:rFonts w:ascii="Times New Roman" w:eastAsia="Times New Roman" w:hAnsi="Times New Roman" w:cs="Times New Roman"/>
          <w:sz w:val="24"/>
          <w:szCs w:val="24"/>
          <w:lang w:val="en"/>
        </w:rPr>
        <w:t>.</w:t>
      </w:r>
      <w:r w:rsidR="00AB2CB1" w:rsidRPr="000768D4">
        <w:rPr>
          <w:rFonts w:ascii="Times New Roman" w:eastAsia="Times New Roman" w:hAnsi="Times New Roman" w:cs="Times New Roman"/>
          <w:sz w:val="24"/>
          <w:szCs w:val="24"/>
          <w:vertAlign w:val="superscript"/>
          <w:lang w:val="en"/>
        </w:rPr>
        <w:footnoteReference w:id="144"/>
      </w:r>
      <w:r w:rsidR="00AB2CB1" w:rsidRPr="000768D4">
        <w:rPr>
          <w:rFonts w:ascii="Times New Roman" w:eastAsia="Times New Roman" w:hAnsi="Times New Roman" w:cs="Times New Roman"/>
          <w:sz w:val="24"/>
          <w:szCs w:val="24"/>
          <w:lang w:val="en"/>
        </w:rPr>
        <w:t xml:space="preserve">  Failure to comply with these measures triggered significant</w:t>
      </w:r>
      <w:r w:rsidR="004D3D0B" w:rsidRPr="000768D4">
        <w:rPr>
          <w:rFonts w:ascii="Times New Roman" w:eastAsia="Times New Roman" w:hAnsi="Times New Roman" w:cs="Times New Roman"/>
          <w:sz w:val="24"/>
          <w:szCs w:val="24"/>
          <w:lang w:val="en"/>
        </w:rPr>
        <w:t xml:space="preserve"> enforcement activity by the regulator</w:t>
      </w:r>
      <w:r w:rsidR="00AB2CB1" w:rsidRPr="000768D4">
        <w:rPr>
          <w:rFonts w:ascii="Times New Roman" w:eastAsia="Times New Roman" w:hAnsi="Times New Roman" w:cs="Times New Roman"/>
          <w:sz w:val="24"/>
          <w:szCs w:val="24"/>
          <w:lang w:val="en"/>
        </w:rPr>
        <w:t xml:space="preserve">.  </w:t>
      </w:r>
      <w:r w:rsidR="004D3D0B" w:rsidRPr="000768D4">
        <w:rPr>
          <w:rFonts w:ascii="Times New Roman" w:eastAsia="Times New Roman" w:hAnsi="Times New Roman" w:cs="Times New Roman"/>
          <w:sz w:val="24"/>
          <w:szCs w:val="24"/>
          <w:lang w:val="en"/>
        </w:rPr>
        <w:t xml:space="preserve">For example, in May 2013 JP Morgan was fined £3m by the regulator for </w:t>
      </w:r>
      <w:r w:rsidR="004D3D0B" w:rsidRPr="000768D4">
        <w:rPr>
          <w:rFonts w:ascii="Times New Roman" w:hAnsi="Times New Roman" w:cs="Times New Roman"/>
          <w:sz w:val="24"/>
          <w:szCs w:val="24"/>
          <w:lang w:val="en"/>
        </w:rPr>
        <w:t>systems and controls failings in its wealth management business.</w:t>
      </w:r>
      <w:r w:rsidR="004D3D0B" w:rsidRPr="000768D4">
        <w:rPr>
          <w:rStyle w:val="FootnoteReference"/>
          <w:rFonts w:ascii="Times New Roman" w:hAnsi="Times New Roman" w:cs="Times New Roman"/>
          <w:sz w:val="24"/>
          <w:szCs w:val="24"/>
          <w:lang w:val="en"/>
        </w:rPr>
        <w:footnoteReference w:id="145"/>
      </w:r>
      <w:r w:rsidR="000768D4" w:rsidRPr="000768D4">
        <w:rPr>
          <w:rFonts w:ascii="Times New Roman" w:hAnsi="Times New Roman" w:cs="Times New Roman"/>
          <w:sz w:val="24"/>
          <w:szCs w:val="24"/>
          <w:lang w:val="en"/>
        </w:rPr>
        <w:t xml:space="preserve">  This was soon followed by a £28m fine on Lloyds TSB for </w:t>
      </w:r>
      <w:r w:rsidR="000768D4" w:rsidRPr="000768D4">
        <w:rPr>
          <w:rFonts w:ascii="Times New Roman" w:hAnsi="Times New Roman" w:cs="Times New Roman"/>
          <w:sz w:val="24"/>
          <w:szCs w:val="24"/>
        </w:rPr>
        <w:t>failings in the systems and controls governing financial incentives to sales staff”.</w:t>
      </w:r>
      <w:r w:rsidR="000768D4" w:rsidRPr="000768D4">
        <w:rPr>
          <w:rStyle w:val="FootnoteReference"/>
          <w:rFonts w:ascii="Times New Roman" w:hAnsi="Times New Roman" w:cs="Times New Roman"/>
          <w:sz w:val="24"/>
          <w:szCs w:val="24"/>
        </w:rPr>
        <w:footnoteReference w:id="146"/>
      </w:r>
      <w:r w:rsidR="000768D4" w:rsidRPr="000768D4">
        <w:rPr>
          <w:rFonts w:ascii="Times New Roman" w:hAnsi="Times New Roman" w:cs="Times New Roman"/>
          <w:sz w:val="24"/>
          <w:szCs w:val="24"/>
        </w:rPr>
        <w:t xml:space="preserve">  In 2014, Ba</w:t>
      </w:r>
      <w:r>
        <w:rPr>
          <w:rFonts w:ascii="Times New Roman" w:hAnsi="Times New Roman" w:cs="Times New Roman"/>
          <w:sz w:val="24"/>
          <w:szCs w:val="24"/>
        </w:rPr>
        <w:t xml:space="preserve">rclays was once again sanctioned </w:t>
      </w:r>
      <w:r w:rsidR="000768D4" w:rsidRPr="000768D4">
        <w:rPr>
          <w:rFonts w:ascii="Times New Roman" w:hAnsi="Times New Roman" w:cs="Times New Roman"/>
          <w:sz w:val="24"/>
          <w:szCs w:val="24"/>
        </w:rPr>
        <w:t>by the regulator and fined £26m for “failing to adequately manage conflicts of interest between itself and its customers as well as systems and controls failings, in relation to the Gold Fixing”.</w:t>
      </w:r>
      <w:r w:rsidR="000768D4" w:rsidRPr="000768D4">
        <w:rPr>
          <w:rStyle w:val="FootnoteReference"/>
          <w:rFonts w:ascii="Times New Roman" w:hAnsi="Times New Roman" w:cs="Times New Roman"/>
          <w:sz w:val="24"/>
          <w:szCs w:val="24"/>
        </w:rPr>
        <w:footnoteReference w:id="147"/>
      </w:r>
      <w:r w:rsidR="000768D4">
        <w:rPr>
          <w:rFonts w:ascii="Times New Roman" w:hAnsi="Times New Roman" w:cs="Times New Roman"/>
          <w:sz w:val="24"/>
          <w:szCs w:val="24"/>
        </w:rPr>
        <w:t xml:space="preserve">  </w:t>
      </w:r>
      <w:r w:rsidR="004D3D0B">
        <w:rPr>
          <w:rFonts w:ascii="Times New Roman" w:eastAsia="Times New Roman" w:hAnsi="Times New Roman" w:cs="Times New Roman"/>
          <w:sz w:val="24"/>
          <w:szCs w:val="24"/>
          <w:lang w:val="en"/>
        </w:rPr>
        <w:t xml:space="preserve">Furthermore, </w:t>
      </w:r>
      <w:r w:rsidR="00AB2CB1" w:rsidRPr="0017668D">
        <w:rPr>
          <w:rFonts w:ascii="Times New Roman" w:eastAsia="Times New Roman" w:hAnsi="Times New Roman" w:cs="Times New Roman"/>
          <w:sz w:val="24"/>
          <w:szCs w:val="24"/>
          <w:lang w:val="en"/>
        </w:rPr>
        <w:t xml:space="preserve">September 2013 JP Morgan Chase Bank was fined over £137m by the FCA for serious failing relating to the </w:t>
      </w:r>
      <w:r>
        <w:rPr>
          <w:rFonts w:ascii="Times New Roman" w:eastAsia="Times New Roman" w:hAnsi="Times New Roman" w:cs="Times New Roman"/>
          <w:sz w:val="24"/>
          <w:szCs w:val="24"/>
          <w:lang w:val="en"/>
        </w:rPr>
        <w:t>‘London Whale’</w:t>
      </w:r>
      <w:r w:rsidR="00AB2CB1" w:rsidRPr="0017668D">
        <w:rPr>
          <w:rFonts w:ascii="Times New Roman" w:eastAsia="Times New Roman" w:hAnsi="Times New Roman" w:cs="Times New Roman"/>
          <w:sz w:val="24"/>
          <w:szCs w:val="24"/>
          <w:lang w:val="en"/>
        </w:rPr>
        <w:t xml:space="preserve"> trades.</w:t>
      </w:r>
      <w:r w:rsidR="00AB2CB1" w:rsidRPr="0017668D">
        <w:rPr>
          <w:rFonts w:ascii="Times New Roman" w:eastAsia="Times New Roman" w:hAnsi="Times New Roman" w:cs="Times New Roman"/>
          <w:sz w:val="24"/>
          <w:szCs w:val="24"/>
          <w:vertAlign w:val="superscript"/>
          <w:lang w:val="en"/>
        </w:rPr>
        <w:footnoteReference w:id="148"/>
      </w:r>
      <w:r w:rsidR="00AB2CB1" w:rsidRPr="0017668D">
        <w:rPr>
          <w:rFonts w:ascii="Times New Roman" w:eastAsia="Times New Roman" w:hAnsi="Times New Roman" w:cs="Times New Roman"/>
          <w:sz w:val="24"/>
          <w:szCs w:val="24"/>
          <w:lang w:val="en"/>
        </w:rPr>
        <w:t xml:space="preserve">  </w:t>
      </w:r>
      <w:r w:rsidR="00AB2CB1" w:rsidRPr="0017668D">
        <w:rPr>
          <w:rFonts w:ascii="Times New Roman" w:eastAsia="Times New Roman" w:hAnsi="Times New Roman" w:cs="Times New Roman"/>
          <w:sz w:val="24"/>
          <w:szCs w:val="24"/>
          <w:lang w:val="en" w:eastAsia="en-GB"/>
        </w:rPr>
        <w:t>Tracey McDermott, the FCA’s director of enforcement and financial crime stated:</w:t>
      </w:r>
    </w:p>
    <w:p w:rsidR="00AB2CB1" w:rsidRPr="0017668D" w:rsidRDefault="00AB2CB1" w:rsidP="004A5637">
      <w:pPr>
        <w:spacing w:after="0" w:line="480" w:lineRule="auto"/>
        <w:jc w:val="both"/>
        <w:rPr>
          <w:rFonts w:ascii="Times New Roman" w:eastAsia="Times New Roman" w:hAnsi="Times New Roman" w:cs="Times New Roman"/>
          <w:sz w:val="24"/>
          <w:szCs w:val="24"/>
          <w:lang w:val="en" w:eastAsia="en-GB"/>
        </w:rPr>
      </w:pPr>
    </w:p>
    <w:p w:rsidR="00AB2CB1" w:rsidRPr="0017668D" w:rsidRDefault="00AB2CB1" w:rsidP="004A5637">
      <w:pPr>
        <w:spacing w:after="0" w:line="480" w:lineRule="auto"/>
        <w:ind w:left="284" w:right="284"/>
        <w:jc w:val="both"/>
        <w:rPr>
          <w:rFonts w:ascii="Times New Roman" w:eastAsia="Times New Roman" w:hAnsi="Times New Roman" w:cs="Times New Roman"/>
          <w:sz w:val="24"/>
          <w:szCs w:val="24"/>
          <w:lang w:val="en" w:eastAsia="en-GB"/>
        </w:rPr>
      </w:pPr>
      <w:r w:rsidRPr="0017668D">
        <w:rPr>
          <w:rFonts w:ascii="Times New Roman" w:eastAsia="Times New Roman" w:hAnsi="Times New Roman" w:cs="Times New Roman"/>
          <w:sz w:val="24"/>
          <w:szCs w:val="24"/>
          <w:lang w:val="en" w:eastAsia="en-GB"/>
        </w:rPr>
        <w:t xml:space="preserve">“When the scale of the problems at JPMorgan became apparent, it sent a shock-wave through the markets. Maintaining the integrity of markets is a key part of our wholesale conduct agenda. We consider JPMorgan’s failings to be extremely serious such as to undermine the trust and confidence in UK financial markets.  This is yet another example of a firm failing to get a proper grip on the risks its business poses to the market. There were basic failings in the operation of fundamental controls over a high risk part of the business. Senior management failed to respond properly to warning </w:t>
      </w:r>
      <w:r w:rsidRPr="0017668D">
        <w:rPr>
          <w:rFonts w:ascii="Times New Roman" w:eastAsia="Times New Roman" w:hAnsi="Times New Roman" w:cs="Times New Roman"/>
          <w:sz w:val="24"/>
          <w:szCs w:val="24"/>
          <w:lang w:val="en" w:eastAsia="en-GB"/>
        </w:rPr>
        <w:lastRenderedPageBreak/>
        <w:t>signals that there were problems in the CIO. As things began to go wrong, the firm didn’t wake up quickly enough to the size and the scale of the problems. What is worse, they compounded this by failing to be open and co-operative with us as their regulator”.</w:t>
      </w:r>
      <w:r w:rsidRPr="0017668D">
        <w:rPr>
          <w:rFonts w:ascii="Times New Roman" w:eastAsia="Times New Roman" w:hAnsi="Times New Roman" w:cs="Times New Roman"/>
          <w:sz w:val="24"/>
          <w:szCs w:val="24"/>
          <w:vertAlign w:val="superscript"/>
          <w:lang w:val="en" w:eastAsia="en-GB"/>
        </w:rPr>
        <w:footnoteReference w:id="149"/>
      </w:r>
    </w:p>
    <w:p w:rsidR="00E60A97" w:rsidRPr="0017668D" w:rsidRDefault="006B6084" w:rsidP="004A5637">
      <w:pPr>
        <w:spacing w:after="0" w:line="48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rPr>
        <w:t>It is also important to note that in relation to this penalty, the regulator fined Achilles Macris £792,900 for failing to co-operate with the regulator during the ‘London Whale’ trades.</w:t>
      </w:r>
      <w:r>
        <w:rPr>
          <w:rStyle w:val="FootnoteReference"/>
          <w:rFonts w:ascii="Times New Roman" w:eastAsia="Times New Roman" w:hAnsi="Times New Roman" w:cs="Times New Roman"/>
          <w:sz w:val="24"/>
          <w:szCs w:val="24"/>
          <w:lang w:val="en"/>
        </w:rPr>
        <w:footnoteReference w:id="150"/>
      </w:r>
      <w:r>
        <w:rPr>
          <w:rFonts w:ascii="Times New Roman" w:eastAsia="Times New Roman" w:hAnsi="Times New Roman" w:cs="Times New Roman"/>
          <w:sz w:val="24"/>
          <w:szCs w:val="24"/>
          <w:lang w:val="en"/>
        </w:rPr>
        <w:t xml:space="preserve">  </w:t>
      </w:r>
      <w:r w:rsidR="00AB2CB1" w:rsidRPr="0017668D">
        <w:rPr>
          <w:rFonts w:ascii="Times New Roman" w:eastAsia="Times New Roman" w:hAnsi="Times New Roman" w:cs="Times New Roman"/>
          <w:sz w:val="24"/>
          <w:szCs w:val="24"/>
          <w:lang w:val="en" w:eastAsia="en-GB"/>
        </w:rPr>
        <w:t xml:space="preserve">However, the imposition of these financial sanctions can only result in one conclusion, that they measures are ineffective and have failed to prevent breaches of relevant rules by authorized firms.  </w:t>
      </w:r>
    </w:p>
    <w:p w:rsidR="00AB2CB1" w:rsidRPr="0017668D" w:rsidRDefault="00AB2CB1" w:rsidP="004A5637">
      <w:pPr>
        <w:autoSpaceDE w:val="0"/>
        <w:autoSpaceDN w:val="0"/>
        <w:adjustRightInd w:val="0"/>
        <w:spacing w:after="0" w:line="480" w:lineRule="auto"/>
        <w:jc w:val="both"/>
        <w:rPr>
          <w:rFonts w:ascii="Times New Roman" w:eastAsia="SimSun" w:hAnsi="Times New Roman" w:cs="Times New Roman"/>
          <w:sz w:val="24"/>
          <w:szCs w:val="24"/>
          <w:lang w:eastAsia="zh-CN"/>
        </w:rPr>
      </w:pPr>
    </w:p>
    <w:p w:rsidR="004A4558" w:rsidRPr="0017668D" w:rsidRDefault="00591887" w:rsidP="004A5637">
      <w:pPr>
        <w:spacing w:after="0" w:line="480" w:lineRule="auto"/>
        <w:contextualSpacing/>
        <w:jc w:val="both"/>
        <w:rPr>
          <w:rFonts w:ascii="Times New Roman" w:eastAsia="Times New Roman" w:hAnsi="Times New Roman" w:cs="Times New Roman"/>
          <w:b/>
          <w:bCs/>
          <w:sz w:val="24"/>
          <w:szCs w:val="24"/>
          <w:lang w:eastAsia="en-GB"/>
        </w:rPr>
      </w:pPr>
      <w:r w:rsidRPr="0017668D">
        <w:rPr>
          <w:rFonts w:ascii="Times New Roman" w:eastAsia="Times New Roman" w:hAnsi="Times New Roman" w:cs="Times New Roman"/>
          <w:b/>
          <w:bCs/>
          <w:sz w:val="24"/>
          <w:szCs w:val="24"/>
          <w:lang w:eastAsia="en-GB"/>
        </w:rPr>
        <w:t>The instigation of criminal proceedings</w:t>
      </w:r>
    </w:p>
    <w:p w:rsidR="00591887" w:rsidRPr="0017668D" w:rsidRDefault="00591887" w:rsidP="004A5637">
      <w:pPr>
        <w:spacing w:after="0" w:line="480" w:lineRule="auto"/>
        <w:contextualSpacing/>
        <w:jc w:val="both"/>
        <w:rPr>
          <w:rFonts w:ascii="Times New Roman" w:eastAsia="Times New Roman" w:hAnsi="Times New Roman" w:cs="Times New Roman"/>
          <w:sz w:val="24"/>
          <w:szCs w:val="24"/>
          <w:lang w:val="en" w:eastAsia="en-GB"/>
        </w:rPr>
      </w:pPr>
    </w:p>
    <w:p w:rsidR="00A22E88" w:rsidRDefault="00A96A67" w:rsidP="004A5637">
      <w:pPr>
        <w:spacing w:after="0" w:line="48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 w:eastAsia="en-GB"/>
        </w:rPr>
        <w:t xml:space="preserve">One of the most contentious issues surrounding the enforcement activities of the regulator is its ability to commence criminal proceedings.  </w:t>
      </w:r>
      <w:r w:rsidR="00591887" w:rsidRPr="0017668D">
        <w:rPr>
          <w:rFonts w:ascii="Times New Roman" w:eastAsia="Times New Roman" w:hAnsi="Times New Roman" w:cs="Times New Roman"/>
          <w:sz w:val="24"/>
          <w:szCs w:val="24"/>
          <w:lang w:eastAsia="en-GB"/>
        </w:rPr>
        <w:t>T</w:t>
      </w:r>
      <w:r w:rsidR="00AB2CB1" w:rsidRPr="0017668D">
        <w:rPr>
          <w:rFonts w:ascii="Times New Roman" w:eastAsia="Times New Roman" w:hAnsi="Times New Roman" w:cs="Times New Roman"/>
          <w:sz w:val="24"/>
          <w:szCs w:val="24"/>
          <w:lang w:eastAsia="en-GB"/>
        </w:rPr>
        <w:t xml:space="preserve">he </w:t>
      </w:r>
      <w:r>
        <w:rPr>
          <w:rFonts w:ascii="Times New Roman" w:eastAsia="Times New Roman" w:hAnsi="Times New Roman" w:cs="Times New Roman"/>
          <w:sz w:val="24"/>
          <w:szCs w:val="24"/>
          <w:lang w:eastAsia="en-GB"/>
        </w:rPr>
        <w:t xml:space="preserve">regulator </w:t>
      </w:r>
      <w:r w:rsidR="00AB2CB1" w:rsidRPr="0017668D">
        <w:rPr>
          <w:rFonts w:ascii="Times New Roman" w:eastAsia="Times New Roman" w:hAnsi="Times New Roman" w:cs="Times New Roman"/>
          <w:sz w:val="24"/>
          <w:szCs w:val="24"/>
          <w:lang w:eastAsia="en-GB"/>
        </w:rPr>
        <w:t>has the ability to prosecute for a wide range of criminal activities.</w:t>
      </w:r>
      <w:r w:rsidR="00AB2CB1" w:rsidRPr="0017668D">
        <w:rPr>
          <w:rFonts w:ascii="Times New Roman" w:eastAsia="Times New Roman" w:hAnsi="Times New Roman" w:cs="Times New Roman"/>
          <w:sz w:val="24"/>
          <w:szCs w:val="24"/>
          <w:vertAlign w:val="superscript"/>
          <w:lang w:eastAsia="en-GB"/>
        </w:rPr>
        <w:footnoteReference w:id="151"/>
      </w:r>
      <w:r w:rsidR="00AB2CB1" w:rsidRPr="0017668D">
        <w:rPr>
          <w:rFonts w:ascii="Times New Roman" w:eastAsia="Times New Roman" w:hAnsi="Times New Roman" w:cs="Times New Roman"/>
          <w:sz w:val="24"/>
          <w:szCs w:val="24"/>
          <w:lang w:eastAsia="en-GB"/>
        </w:rPr>
        <w:t xml:space="preserve">  For example</w:t>
      </w:r>
      <w:r>
        <w:rPr>
          <w:rFonts w:ascii="Times New Roman" w:eastAsia="Times New Roman" w:hAnsi="Times New Roman" w:cs="Times New Roman"/>
          <w:sz w:val="24"/>
          <w:szCs w:val="24"/>
          <w:lang w:eastAsia="en-GB"/>
        </w:rPr>
        <w:t>,</w:t>
      </w:r>
      <w:r w:rsidR="00AB2CB1" w:rsidRPr="0017668D">
        <w:rPr>
          <w:rFonts w:ascii="Times New Roman" w:eastAsia="Times New Roman" w:hAnsi="Times New Roman" w:cs="Times New Roman"/>
          <w:sz w:val="24"/>
          <w:szCs w:val="24"/>
          <w:lang w:eastAsia="en-GB"/>
        </w:rPr>
        <w:t xml:space="preserve"> the </w:t>
      </w:r>
      <w:r>
        <w:rPr>
          <w:rFonts w:ascii="Times New Roman" w:eastAsia="Times New Roman" w:hAnsi="Times New Roman" w:cs="Times New Roman"/>
          <w:sz w:val="24"/>
          <w:szCs w:val="24"/>
          <w:lang w:eastAsia="en-GB"/>
        </w:rPr>
        <w:t xml:space="preserve">regulator </w:t>
      </w:r>
      <w:r w:rsidR="00AB2CB1" w:rsidRPr="0017668D">
        <w:rPr>
          <w:rFonts w:ascii="Times New Roman" w:eastAsia="Times New Roman" w:hAnsi="Times New Roman" w:cs="Times New Roman"/>
          <w:sz w:val="24"/>
          <w:szCs w:val="24"/>
          <w:lang w:eastAsia="en-GB"/>
        </w:rPr>
        <w:t>can prosecute</w:t>
      </w:r>
      <w:r>
        <w:rPr>
          <w:rFonts w:ascii="Times New Roman" w:eastAsia="Times New Roman" w:hAnsi="Times New Roman" w:cs="Times New Roman"/>
          <w:sz w:val="24"/>
          <w:szCs w:val="24"/>
          <w:lang w:eastAsia="en-GB"/>
        </w:rPr>
        <w:t xml:space="preserve">, </w:t>
      </w:r>
      <w:r w:rsidRPr="00A96A67">
        <w:rPr>
          <w:rFonts w:ascii="Times New Roman" w:eastAsia="Times New Roman" w:hAnsi="Times New Roman" w:cs="Times New Roman"/>
          <w:i/>
          <w:sz w:val="24"/>
          <w:szCs w:val="24"/>
          <w:lang w:eastAsia="en-GB"/>
        </w:rPr>
        <w:t>inter alia</w:t>
      </w:r>
      <w:r>
        <w:rPr>
          <w:rFonts w:ascii="Times New Roman" w:eastAsia="Times New Roman" w:hAnsi="Times New Roman" w:cs="Times New Roman"/>
          <w:sz w:val="24"/>
          <w:szCs w:val="24"/>
          <w:lang w:eastAsia="en-GB"/>
        </w:rPr>
        <w:t xml:space="preserve">, </w:t>
      </w:r>
      <w:r w:rsidR="00AB2CB1" w:rsidRPr="0017668D">
        <w:rPr>
          <w:rFonts w:ascii="Times New Roman" w:eastAsia="Times New Roman" w:hAnsi="Times New Roman" w:cs="Times New Roman"/>
          <w:sz w:val="24"/>
          <w:szCs w:val="24"/>
          <w:lang w:eastAsia="en-GB"/>
        </w:rPr>
        <w:t>carrying on or purporting to carry on a regulated activity wit</w:t>
      </w:r>
      <w:r>
        <w:rPr>
          <w:rFonts w:ascii="Times New Roman" w:eastAsia="Times New Roman" w:hAnsi="Times New Roman" w:cs="Times New Roman"/>
          <w:sz w:val="24"/>
          <w:szCs w:val="24"/>
          <w:lang w:eastAsia="en-GB"/>
        </w:rPr>
        <w:t xml:space="preserve">hout authorisation or exemption, </w:t>
      </w:r>
      <w:r w:rsidR="00AB2CB1" w:rsidRPr="0017668D">
        <w:rPr>
          <w:rFonts w:ascii="Times New Roman" w:eastAsia="Times New Roman" w:hAnsi="Times New Roman" w:cs="Times New Roman"/>
          <w:sz w:val="24"/>
          <w:szCs w:val="24"/>
          <w:vertAlign w:val="superscript"/>
          <w:lang w:eastAsia="en-GB"/>
        </w:rPr>
        <w:footnoteReference w:id="152"/>
      </w:r>
      <w:r w:rsidR="00AB2CB1" w:rsidRPr="0017668D">
        <w:rPr>
          <w:rFonts w:ascii="Times New Roman" w:eastAsia="Times New Roman" w:hAnsi="Times New Roman" w:cs="Times New Roman"/>
          <w:sz w:val="24"/>
          <w:szCs w:val="24"/>
          <w:lang w:eastAsia="en-GB"/>
        </w:rPr>
        <w:t xml:space="preserve"> making false claims to be authorised or exempt</w:t>
      </w:r>
      <w:r w:rsidR="00FE7F44">
        <w:rPr>
          <w:rFonts w:ascii="Times New Roman" w:eastAsia="Times New Roman" w:hAnsi="Times New Roman" w:cs="Times New Roman"/>
          <w:sz w:val="24"/>
          <w:szCs w:val="24"/>
          <w:lang w:eastAsia="en-GB"/>
        </w:rPr>
        <w:t xml:space="preserve"> </w:t>
      </w:r>
      <w:r w:rsidR="00AB2CB1" w:rsidRPr="0017668D">
        <w:rPr>
          <w:rFonts w:ascii="Times New Roman" w:eastAsia="Times New Roman" w:hAnsi="Times New Roman" w:cs="Times New Roman"/>
          <w:sz w:val="24"/>
          <w:szCs w:val="24"/>
          <w:vertAlign w:val="superscript"/>
          <w:lang w:eastAsia="en-GB"/>
        </w:rPr>
        <w:footnoteReference w:id="153"/>
      </w:r>
      <w:r w:rsidR="00AB2CB1" w:rsidRPr="0017668D">
        <w:rPr>
          <w:rFonts w:ascii="Times New Roman" w:eastAsia="Times New Roman" w:hAnsi="Times New Roman" w:cs="Times New Roman"/>
          <w:sz w:val="24"/>
          <w:szCs w:val="24"/>
          <w:lang w:eastAsia="en-GB"/>
        </w:rPr>
        <w:t xml:space="preserve"> </w:t>
      </w:r>
      <w:r w:rsidR="00FE7F44">
        <w:rPr>
          <w:rFonts w:ascii="Times New Roman" w:eastAsia="Times New Roman" w:hAnsi="Times New Roman" w:cs="Times New Roman"/>
          <w:sz w:val="24"/>
          <w:szCs w:val="24"/>
          <w:lang w:eastAsia="en-GB"/>
        </w:rPr>
        <w:t xml:space="preserve">and </w:t>
      </w:r>
      <w:r w:rsidR="00AB2CB1" w:rsidRPr="0017668D">
        <w:rPr>
          <w:rFonts w:ascii="Times New Roman" w:eastAsia="Times New Roman" w:hAnsi="Times New Roman" w:cs="Times New Roman"/>
          <w:sz w:val="24"/>
          <w:szCs w:val="24"/>
          <w:lang w:eastAsia="en-GB"/>
        </w:rPr>
        <w:t>performing or agreeing to perform functions i</w:t>
      </w:r>
      <w:r w:rsidR="00FE7F44">
        <w:rPr>
          <w:rFonts w:ascii="Times New Roman" w:eastAsia="Times New Roman" w:hAnsi="Times New Roman" w:cs="Times New Roman"/>
          <w:sz w:val="24"/>
          <w:szCs w:val="24"/>
          <w:lang w:eastAsia="en-GB"/>
        </w:rPr>
        <w:t>n breach of a prohibition order.</w:t>
      </w:r>
      <w:r w:rsidR="00AB2CB1" w:rsidRPr="0017668D">
        <w:rPr>
          <w:rFonts w:ascii="Times New Roman" w:eastAsia="Times New Roman" w:hAnsi="Times New Roman" w:cs="Times New Roman"/>
          <w:sz w:val="24"/>
          <w:szCs w:val="24"/>
          <w:vertAlign w:val="superscript"/>
          <w:lang w:eastAsia="en-GB"/>
        </w:rPr>
        <w:footnoteReference w:id="154"/>
      </w:r>
      <w:r w:rsidR="00AB2CB1" w:rsidRPr="0017668D">
        <w:rPr>
          <w:rFonts w:ascii="Times New Roman" w:eastAsia="Times New Roman" w:hAnsi="Times New Roman" w:cs="Times New Roman"/>
          <w:sz w:val="24"/>
          <w:szCs w:val="24"/>
          <w:lang w:eastAsia="en-GB"/>
        </w:rPr>
        <w:t xml:space="preserve"> Furthermore, the </w:t>
      </w:r>
      <w:r w:rsidR="00117A51">
        <w:rPr>
          <w:rFonts w:ascii="Times New Roman" w:eastAsia="Times New Roman" w:hAnsi="Times New Roman" w:cs="Times New Roman"/>
          <w:sz w:val="24"/>
          <w:szCs w:val="24"/>
          <w:lang w:eastAsia="en-GB"/>
        </w:rPr>
        <w:t xml:space="preserve">regulator </w:t>
      </w:r>
      <w:r w:rsidR="00AB2CB1" w:rsidRPr="0017668D">
        <w:rPr>
          <w:rFonts w:ascii="Times New Roman" w:eastAsia="Times New Roman" w:hAnsi="Times New Roman" w:cs="Times New Roman"/>
          <w:sz w:val="24"/>
          <w:szCs w:val="24"/>
          <w:lang w:eastAsia="en-GB"/>
        </w:rPr>
        <w:t>is able to pursue criminal proceedings for where someone offers securities to the public before publishing a prospectus required by listing rules,</w:t>
      </w:r>
      <w:r w:rsidR="00AB2CB1" w:rsidRPr="0017668D">
        <w:rPr>
          <w:rFonts w:ascii="Times New Roman" w:eastAsia="Times New Roman" w:hAnsi="Times New Roman" w:cs="Times New Roman"/>
          <w:sz w:val="24"/>
          <w:szCs w:val="24"/>
          <w:vertAlign w:val="superscript"/>
          <w:lang w:eastAsia="en-GB"/>
        </w:rPr>
        <w:footnoteReference w:id="155"/>
      </w:r>
      <w:r w:rsidR="00AB2CB1" w:rsidRPr="0017668D">
        <w:rPr>
          <w:rFonts w:ascii="Times New Roman" w:eastAsia="Times New Roman" w:hAnsi="Times New Roman" w:cs="Times New Roman"/>
          <w:sz w:val="24"/>
          <w:szCs w:val="24"/>
          <w:lang w:eastAsia="en-GB"/>
        </w:rPr>
        <w:t xml:space="preserve"> failing to cooperate with, or giving false information </w:t>
      </w:r>
      <w:r w:rsidR="00AB2CB1" w:rsidRPr="0017668D">
        <w:rPr>
          <w:rFonts w:ascii="Times New Roman" w:eastAsia="Times New Roman" w:hAnsi="Times New Roman" w:cs="Times New Roman"/>
          <w:sz w:val="24"/>
          <w:szCs w:val="24"/>
          <w:lang w:eastAsia="en-GB"/>
        </w:rPr>
        <w:lastRenderedPageBreak/>
        <w:t>to</w:t>
      </w:r>
      <w:r w:rsidR="00FE7F44">
        <w:rPr>
          <w:rFonts w:ascii="Times New Roman" w:eastAsia="Times New Roman" w:hAnsi="Times New Roman" w:cs="Times New Roman"/>
          <w:sz w:val="24"/>
          <w:szCs w:val="24"/>
          <w:lang w:eastAsia="en-GB"/>
        </w:rPr>
        <w:t xml:space="preserve"> </w:t>
      </w:r>
      <w:r w:rsidR="00AB2CB1" w:rsidRPr="0017668D">
        <w:rPr>
          <w:rFonts w:ascii="Times New Roman" w:eastAsia="Times New Roman" w:hAnsi="Times New Roman" w:cs="Times New Roman"/>
          <w:sz w:val="24"/>
          <w:szCs w:val="24"/>
          <w:lang w:eastAsia="en-GB"/>
        </w:rPr>
        <w:t>appointed investigators,</w:t>
      </w:r>
      <w:r w:rsidR="00AB2CB1" w:rsidRPr="0017668D">
        <w:rPr>
          <w:rFonts w:ascii="Times New Roman" w:eastAsia="Times New Roman" w:hAnsi="Times New Roman" w:cs="Times New Roman"/>
          <w:sz w:val="24"/>
          <w:szCs w:val="24"/>
          <w:vertAlign w:val="superscript"/>
          <w:lang w:eastAsia="en-GB"/>
        </w:rPr>
        <w:footnoteReference w:id="156"/>
      </w:r>
      <w:r w:rsidR="00AB2CB1" w:rsidRPr="0017668D">
        <w:rPr>
          <w:rFonts w:ascii="Times New Roman" w:eastAsia="Times New Roman" w:hAnsi="Times New Roman" w:cs="Times New Roman"/>
          <w:sz w:val="24"/>
          <w:szCs w:val="24"/>
          <w:lang w:eastAsia="en-GB"/>
        </w:rPr>
        <w:t xml:space="preserve"> failing to comply with provisions about control over authorised persons,</w:t>
      </w:r>
      <w:r w:rsidR="00AB2CB1" w:rsidRPr="0017668D">
        <w:rPr>
          <w:rFonts w:ascii="Times New Roman" w:eastAsia="Times New Roman" w:hAnsi="Times New Roman" w:cs="Times New Roman"/>
          <w:sz w:val="24"/>
          <w:szCs w:val="24"/>
          <w:vertAlign w:val="superscript"/>
          <w:lang w:eastAsia="en-GB"/>
        </w:rPr>
        <w:footnoteReference w:id="157"/>
      </w:r>
      <w:r w:rsidR="00AB2CB1" w:rsidRPr="0017668D">
        <w:rPr>
          <w:rFonts w:ascii="Times New Roman" w:eastAsia="Times New Roman" w:hAnsi="Times New Roman" w:cs="Times New Roman"/>
          <w:sz w:val="24"/>
          <w:szCs w:val="24"/>
          <w:lang w:eastAsia="en-GB"/>
        </w:rPr>
        <w:t xml:space="preserve"> making false claims to be a person to whom the general prohibition does not apply,</w:t>
      </w:r>
      <w:r w:rsidR="00AB2CB1" w:rsidRPr="0017668D">
        <w:rPr>
          <w:rFonts w:ascii="Times New Roman" w:eastAsia="Times New Roman" w:hAnsi="Times New Roman" w:cs="Times New Roman"/>
          <w:sz w:val="24"/>
          <w:szCs w:val="24"/>
          <w:vertAlign w:val="superscript"/>
          <w:lang w:eastAsia="en-GB"/>
        </w:rPr>
        <w:footnoteReference w:id="158"/>
      </w:r>
      <w:r w:rsidR="00AB2CB1" w:rsidRPr="0017668D">
        <w:rPr>
          <w:rFonts w:ascii="Times New Roman" w:eastAsia="Times New Roman" w:hAnsi="Times New Roman" w:cs="Times New Roman"/>
          <w:sz w:val="24"/>
          <w:szCs w:val="24"/>
          <w:lang w:eastAsia="en-GB"/>
        </w:rPr>
        <w:t xml:space="preserve"> providing false or misleading information to an auditor,</w:t>
      </w:r>
      <w:r w:rsidR="00AB2CB1" w:rsidRPr="0017668D">
        <w:rPr>
          <w:rFonts w:ascii="Times New Roman" w:eastAsia="Times New Roman" w:hAnsi="Times New Roman" w:cs="Times New Roman"/>
          <w:sz w:val="24"/>
          <w:szCs w:val="24"/>
          <w:vertAlign w:val="superscript"/>
          <w:lang w:eastAsia="en-GB"/>
        </w:rPr>
        <w:footnoteReference w:id="159"/>
      </w:r>
      <w:r w:rsidR="00AB2CB1" w:rsidRPr="0017668D">
        <w:rPr>
          <w:rFonts w:ascii="Times New Roman" w:eastAsia="Times New Roman" w:hAnsi="Times New Roman" w:cs="Times New Roman"/>
          <w:sz w:val="24"/>
          <w:szCs w:val="24"/>
          <w:lang w:eastAsia="en-GB"/>
        </w:rPr>
        <w:t xml:space="preserve"> disclosing confidential information,</w:t>
      </w:r>
      <w:r w:rsidR="00AB2CB1" w:rsidRPr="0017668D">
        <w:rPr>
          <w:rFonts w:ascii="Times New Roman" w:eastAsia="Times New Roman" w:hAnsi="Times New Roman" w:cs="Times New Roman"/>
          <w:sz w:val="24"/>
          <w:szCs w:val="24"/>
          <w:vertAlign w:val="superscript"/>
          <w:lang w:eastAsia="en-GB"/>
        </w:rPr>
        <w:footnoteReference w:id="160"/>
      </w:r>
      <w:r w:rsidR="00AB2CB1" w:rsidRPr="0017668D">
        <w:rPr>
          <w:rFonts w:ascii="Times New Roman" w:eastAsia="Times New Roman" w:hAnsi="Times New Roman" w:cs="Times New Roman"/>
          <w:sz w:val="24"/>
          <w:szCs w:val="24"/>
          <w:lang w:eastAsia="en-GB"/>
        </w:rPr>
        <w:t xml:space="preserve"> failure by a director of an insurer carrying on long−term insurance business to notify the </w:t>
      </w:r>
      <w:r w:rsidR="00FE7F44">
        <w:rPr>
          <w:rFonts w:ascii="Times New Roman" w:eastAsia="Times New Roman" w:hAnsi="Times New Roman" w:cs="Times New Roman"/>
          <w:sz w:val="24"/>
          <w:szCs w:val="24"/>
          <w:lang w:eastAsia="en-GB"/>
        </w:rPr>
        <w:t xml:space="preserve">regulator </w:t>
      </w:r>
      <w:r w:rsidR="00AB2CB1" w:rsidRPr="0017668D">
        <w:rPr>
          <w:rFonts w:ascii="Times New Roman" w:eastAsia="Times New Roman" w:hAnsi="Times New Roman" w:cs="Times New Roman"/>
          <w:sz w:val="24"/>
          <w:szCs w:val="24"/>
          <w:lang w:eastAsia="en-GB"/>
        </w:rPr>
        <w:t>of a general meeting to propose a reso</w:t>
      </w:r>
      <w:r w:rsidR="00FE7F44">
        <w:rPr>
          <w:rFonts w:ascii="Times New Roman" w:eastAsia="Times New Roman" w:hAnsi="Times New Roman" w:cs="Times New Roman"/>
          <w:sz w:val="24"/>
          <w:szCs w:val="24"/>
          <w:lang w:eastAsia="en-GB"/>
        </w:rPr>
        <w:t xml:space="preserve">lution for voluntary winding up </w:t>
      </w:r>
      <w:r w:rsidR="00AB2CB1" w:rsidRPr="0017668D">
        <w:rPr>
          <w:rFonts w:ascii="Times New Roman" w:eastAsia="Times New Roman" w:hAnsi="Times New Roman" w:cs="Times New Roman"/>
          <w:sz w:val="24"/>
          <w:szCs w:val="24"/>
          <w:vertAlign w:val="superscript"/>
          <w:lang w:eastAsia="en-GB"/>
        </w:rPr>
        <w:footnoteReference w:id="161"/>
      </w:r>
      <w:r w:rsidR="00AB2CB1" w:rsidRPr="0017668D">
        <w:rPr>
          <w:rFonts w:ascii="Times New Roman" w:eastAsia="Times New Roman" w:hAnsi="Times New Roman" w:cs="Times New Roman"/>
          <w:sz w:val="24"/>
          <w:szCs w:val="24"/>
          <w:lang w:eastAsia="en-GB"/>
        </w:rPr>
        <w:t xml:space="preserve"> and misleading the </w:t>
      </w:r>
      <w:r w:rsidR="00FE7F44">
        <w:rPr>
          <w:rFonts w:ascii="Times New Roman" w:eastAsia="Times New Roman" w:hAnsi="Times New Roman" w:cs="Times New Roman"/>
          <w:sz w:val="24"/>
          <w:szCs w:val="24"/>
          <w:lang w:eastAsia="en-GB"/>
        </w:rPr>
        <w:t>regulator</w:t>
      </w:r>
      <w:r w:rsidR="00AB2CB1" w:rsidRPr="0017668D">
        <w:rPr>
          <w:rFonts w:ascii="Times New Roman" w:eastAsia="Times New Roman" w:hAnsi="Times New Roman" w:cs="Times New Roman"/>
          <w:sz w:val="24"/>
          <w:szCs w:val="24"/>
          <w:lang w:eastAsia="en-GB"/>
        </w:rPr>
        <w:t>.</w:t>
      </w:r>
      <w:r w:rsidR="00AB2CB1" w:rsidRPr="0017668D">
        <w:rPr>
          <w:rFonts w:ascii="Times New Roman" w:eastAsia="Times New Roman" w:hAnsi="Times New Roman" w:cs="Times New Roman"/>
          <w:sz w:val="24"/>
          <w:szCs w:val="24"/>
          <w:vertAlign w:val="superscript"/>
          <w:lang w:eastAsia="en-GB"/>
        </w:rPr>
        <w:footnoteReference w:id="162"/>
      </w:r>
      <w:r w:rsidR="00AB2CB1" w:rsidRPr="0017668D">
        <w:rPr>
          <w:rFonts w:ascii="Times New Roman" w:eastAsia="Times New Roman" w:hAnsi="Times New Roman" w:cs="Times New Roman"/>
          <w:sz w:val="24"/>
          <w:szCs w:val="24"/>
          <w:lang w:eastAsia="en-GB"/>
        </w:rPr>
        <w:t xml:space="preserve">  </w:t>
      </w:r>
      <w:r w:rsidR="00FE7F44">
        <w:rPr>
          <w:rFonts w:ascii="Times New Roman" w:eastAsia="Times New Roman" w:hAnsi="Times New Roman" w:cs="Times New Roman"/>
          <w:sz w:val="24"/>
          <w:szCs w:val="24"/>
          <w:lang w:eastAsia="en-GB"/>
        </w:rPr>
        <w:t>The Financial Services Act 2012 created three new criminal offences following the LIBOR scandal which included making misleading statements,</w:t>
      </w:r>
      <w:r w:rsidR="00FE7F44">
        <w:rPr>
          <w:rStyle w:val="FootnoteReference"/>
          <w:rFonts w:ascii="Times New Roman" w:eastAsia="Times New Roman" w:hAnsi="Times New Roman" w:cs="Times New Roman"/>
          <w:sz w:val="24"/>
          <w:szCs w:val="24"/>
          <w:lang w:eastAsia="en-GB"/>
        </w:rPr>
        <w:footnoteReference w:id="163"/>
      </w:r>
      <w:r w:rsidR="00FE7F44">
        <w:rPr>
          <w:rFonts w:ascii="Times New Roman" w:eastAsia="Times New Roman" w:hAnsi="Times New Roman" w:cs="Times New Roman"/>
          <w:sz w:val="24"/>
          <w:szCs w:val="24"/>
          <w:lang w:eastAsia="en-GB"/>
        </w:rPr>
        <w:t xml:space="preserve"> misleading impressions </w:t>
      </w:r>
      <w:r w:rsidR="00FE7F44">
        <w:rPr>
          <w:rStyle w:val="FootnoteReference"/>
          <w:rFonts w:ascii="Times New Roman" w:eastAsia="Times New Roman" w:hAnsi="Times New Roman" w:cs="Times New Roman"/>
          <w:sz w:val="24"/>
          <w:szCs w:val="24"/>
          <w:lang w:eastAsia="en-GB"/>
        </w:rPr>
        <w:footnoteReference w:id="164"/>
      </w:r>
      <w:r w:rsidR="00FE7F44">
        <w:rPr>
          <w:rFonts w:ascii="Times New Roman" w:eastAsia="Times New Roman" w:hAnsi="Times New Roman" w:cs="Times New Roman"/>
          <w:sz w:val="24"/>
          <w:szCs w:val="24"/>
          <w:lang w:eastAsia="en-GB"/>
        </w:rPr>
        <w:t xml:space="preserve"> and misleading statements etc in relation to benchmarks.</w:t>
      </w:r>
      <w:r w:rsidR="00FE7F44">
        <w:rPr>
          <w:rStyle w:val="FootnoteReference"/>
          <w:rFonts w:ascii="Times New Roman" w:eastAsia="Times New Roman" w:hAnsi="Times New Roman" w:cs="Times New Roman"/>
          <w:sz w:val="24"/>
          <w:szCs w:val="24"/>
          <w:lang w:eastAsia="en-GB"/>
        </w:rPr>
        <w:footnoteReference w:id="165"/>
      </w:r>
      <w:r w:rsidR="00FE7F44">
        <w:rPr>
          <w:rFonts w:ascii="Times New Roman" w:eastAsia="Times New Roman" w:hAnsi="Times New Roman" w:cs="Times New Roman"/>
          <w:sz w:val="24"/>
          <w:szCs w:val="24"/>
          <w:lang w:eastAsia="en-GB"/>
        </w:rPr>
        <w:t xml:space="preserve">  </w:t>
      </w:r>
      <w:r w:rsidR="00AB2CB1" w:rsidRPr="0017668D">
        <w:rPr>
          <w:rFonts w:ascii="Times New Roman" w:eastAsia="Times New Roman" w:hAnsi="Times New Roman" w:cs="Times New Roman"/>
          <w:sz w:val="24"/>
          <w:szCs w:val="24"/>
          <w:lang w:eastAsia="en-GB"/>
        </w:rPr>
        <w:t>Additionall</w:t>
      </w:r>
      <w:r w:rsidR="00FE7F44">
        <w:rPr>
          <w:rFonts w:ascii="Times New Roman" w:eastAsia="Times New Roman" w:hAnsi="Times New Roman" w:cs="Times New Roman"/>
          <w:sz w:val="24"/>
          <w:szCs w:val="24"/>
          <w:lang w:eastAsia="en-GB"/>
        </w:rPr>
        <w:t>y, the regulator</w:t>
      </w:r>
      <w:r w:rsidR="00AB2CB1" w:rsidRPr="0017668D">
        <w:rPr>
          <w:rFonts w:ascii="Times New Roman" w:eastAsia="Times New Roman" w:hAnsi="Times New Roman" w:cs="Times New Roman"/>
          <w:sz w:val="24"/>
          <w:szCs w:val="24"/>
          <w:lang w:eastAsia="en-GB"/>
        </w:rPr>
        <w:t xml:space="preserve"> is able to commence prosecutions for insider dealing,</w:t>
      </w:r>
      <w:r w:rsidR="00AB2CB1" w:rsidRPr="0017668D">
        <w:rPr>
          <w:rFonts w:ascii="Times New Roman" w:eastAsia="Times New Roman" w:hAnsi="Times New Roman" w:cs="Times New Roman"/>
          <w:sz w:val="24"/>
          <w:szCs w:val="24"/>
          <w:vertAlign w:val="superscript"/>
          <w:lang w:eastAsia="en-GB"/>
        </w:rPr>
        <w:footnoteReference w:id="166"/>
      </w:r>
      <w:r w:rsidR="00AB2CB1" w:rsidRPr="0017668D">
        <w:rPr>
          <w:rFonts w:ascii="Times New Roman" w:eastAsia="Times New Roman" w:hAnsi="Times New Roman" w:cs="Times New Roman"/>
          <w:sz w:val="24"/>
          <w:szCs w:val="24"/>
          <w:lang w:eastAsia="en-GB"/>
        </w:rPr>
        <w:t xml:space="preserve"> money laundering </w:t>
      </w:r>
      <w:r w:rsidR="00AB2CB1" w:rsidRPr="0017668D">
        <w:rPr>
          <w:rFonts w:ascii="Times New Roman" w:eastAsia="Times New Roman" w:hAnsi="Times New Roman" w:cs="Times New Roman"/>
          <w:sz w:val="24"/>
          <w:szCs w:val="24"/>
          <w:vertAlign w:val="superscript"/>
          <w:lang w:eastAsia="en-GB"/>
        </w:rPr>
        <w:footnoteReference w:id="167"/>
      </w:r>
      <w:r w:rsidR="00AB2CB1" w:rsidRPr="0017668D">
        <w:rPr>
          <w:rFonts w:ascii="Times New Roman" w:eastAsia="Times New Roman" w:hAnsi="Times New Roman" w:cs="Times New Roman"/>
          <w:sz w:val="24"/>
          <w:szCs w:val="24"/>
          <w:lang w:eastAsia="en-GB"/>
        </w:rPr>
        <w:t xml:space="preserve"> and terrorist financing.</w:t>
      </w:r>
      <w:r w:rsidR="00AB2CB1" w:rsidRPr="0017668D">
        <w:rPr>
          <w:rFonts w:ascii="Times New Roman" w:eastAsia="Times New Roman" w:hAnsi="Times New Roman" w:cs="Times New Roman"/>
          <w:sz w:val="24"/>
          <w:szCs w:val="24"/>
          <w:vertAlign w:val="superscript"/>
          <w:lang w:eastAsia="en-GB"/>
        </w:rPr>
        <w:footnoteReference w:id="168"/>
      </w:r>
      <w:r w:rsidR="002C7C01">
        <w:rPr>
          <w:rFonts w:ascii="Times New Roman" w:eastAsia="Times New Roman" w:hAnsi="Times New Roman" w:cs="Times New Roman"/>
          <w:sz w:val="24"/>
          <w:szCs w:val="24"/>
          <w:lang w:eastAsia="en-GB"/>
        </w:rPr>
        <w:t xml:space="preserve">  The criminalisation of insider dealing has attracted a great deal of discussion amongst interested academics and is beyond the scope of this article,</w:t>
      </w:r>
      <w:r w:rsidR="002C7C01">
        <w:rPr>
          <w:rStyle w:val="FootnoteReference"/>
          <w:rFonts w:ascii="Times New Roman" w:eastAsia="Times New Roman" w:hAnsi="Times New Roman" w:cs="Times New Roman"/>
          <w:sz w:val="24"/>
          <w:szCs w:val="24"/>
          <w:lang w:eastAsia="en-GB"/>
        </w:rPr>
        <w:footnoteReference w:id="169"/>
      </w:r>
      <w:r w:rsidR="002C7C01">
        <w:rPr>
          <w:rFonts w:ascii="Times New Roman" w:eastAsia="Times New Roman" w:hAnsi="Times New Roman" w:cs="Times New Roman"/>
          <w:sz w:val="24"/>
          <w:szCs w:val="24"/>
          <w:lang w:eastAsia="en-GB"/>
        </w:rPr>
        <w:t xml:space="preserve"> yet it is interest to note that the regulator appears to taking a more robust stance towards this illegal activity.</w:t>
      </w:r>
      <w:r w:rsidR="00A22E88">
        <w:rPr>
          <w:rFonts w:ascii="Times New Roman" w:eastAsia="Times New Roman" w:hAnsi="Times New Roman" w:cs="Times New Roman"/>
          <w:sz w:val="24"/>
          <w:szCs w:val="24"/>
          <w:lang w:eastAsia="en-GB"/>
        </w:rPr>
        <w:t xml:space="preserve">  </w:t>
      </w:r>
      <w:r w:rsidR="00A22E88" w:rsidRPr="00A22E88">
        <w:rPr>
          <w:rFonts w:ascii="TimesNRMTPro" w:eastAsia="Calibri" w:hAnsi="TimesNRMTPro" w:cs="TimesNRMTPro"/>
          <w:sz w:val="24"/>
          <w:szCs w:val="24"/>
          <w:lang w:eastAsia="en-GB"/>
        </w:rPr>
        <w:t xml:space="preserve">Alexander notes the increasing </w:t>
      </w:r>
      <w:r w:rsidR="00A22E88">
        <w:rPr>
          <w:rFonts w:ascii="TimesNRMTPro" w:eastAsia="Calibri" w:hAnsi="TimesNRMTPro" w:cs="TimesNRMTPro"/>
          <w:sz w:val="24"/>
          <w:szCs w:val="24"/>
          <w:lang w:eastAsia="en-GB"/>
        </w:rPr>
        <w:t xml:space="preserve">regulatory </w:t>
      </w:r>
      <w:r w:rsidR="00A22E88" w:rsidRPr="00A22E88">
        <w:rPr>
          <w:rFonts w:ascii="TimesNRMTPro" w:eastAsia="Calibri" w:hAnsi="TimesNRMTPro" w:cs="TimesNRMTPro"/>
          <w:sz w:val="24"/>
          <w:szCs w:val="24"/>
          <w:lang w:eastAsia="en-GB"/>
        </w:rPr>
        <w:t xml:space="preserve">intensity in referring to a speech by Margaret Cole, </w:t>
      </w:r>
      <w:r w:rsidR="00A22E88">
        <w:rPr>
          <w:rFonts w:ascii="TimesNRMTPro" w:eastAsia="Calibri" w:hAnsi="TimesNRMTPro" w:cs="TimesNRMTPro"/>
          <w:sz w:val="24"/>
          <w:szCs w:val="24"/>
          <w:lang w:eastAsia="en-GB"/>
        </w:rPr>
        <w:t xml:space="preserve">then then </w:t>
      </w:r>
      <w:r w:rsidR="00A22E88" w:rsidRPr="00A22E88">
        <w:rPr>
          <w:rFonts w:ascii="TimesNRMTPro" w:eastAsia="Calibri" w:hAnsi="TimesNRMTPro" w:cs="TimesNRMTPro"/>
          <w:sz w:val="24"/>
          <w:szCs w:val="24"/>
          <w:lang w:eastAsia="en-GB"/>
        </w:rPr>
        <w:t>Director of the FSA’s Enforcement Division where she emphasized that the FSA would be seeking to increase the number of criminal prosecutions it brings,</w:t>
      </w:r>
      <w:r w:rsidR="00A22E88" w:rsidRPr="00A22E88">
        <w:rPr>
          <w:rFonts w:ascii="TimesNRMTPro" w:eastAsia="Calibri" w:hAnsi="TimesNRMTPro" w:cs="TimesNRMTPro"/>
          <w:sz w:val="24"/>
          <w:szCs w:val="24"/>
          <w:vertAlign w:val="superscript"/>
          <w:lang w:eastAsia="en-GB"/>
        </w:rPr>
        <w:footnoteReference w:id="170"/>
      </w:r>
      <w:r w:rsidR="00A22E88" w:rsidRPr="00A22E88">
        <w:rPr>
          <w:rFonts w:ascii="TimesNRMTPro" w:eastAsia="Calibri" w:hAnsi="TimesNRMTPro" w:cs="TimesNRMTPro"/>
          <w:sz w:val="24"/>
          <w:szCs w:val="24"/>
          <w:lang w:eastAsia="en-GB"/>
        </w:rPr>
        <w:t xml:space="preserve"> with ot</w:t>
      </w:r>
      <w:r w:rsidR="00A22E88">
        <w:rPr>
          <w:rFonts w:ascii="TimesNRMTPro" w:eastAsia="Calibri" w:hAnsi="TimesNRMTPro" w:cs="TimesNRMTPro"/>
          <w:sz w:val="24"/>
          <w:szCs w:val="24"/>
          <w:lang w:eastAsia="en-GB"/>
        </w:rPr>
        <w:t>hers within the FSA calling it “</w:t>
      </w:r>
      <w:r w:rsidR="00A22E88" w:rsidRPr="00A22E88">
        <w:rPr>
          <w:rFonts w:ascii="TimesNRMTPro" w:eastAsia="Calibri" w:hAnsi="TimesNRMTPro" w:cs="TimesNRMTPro"/>
          <w:sz w:val="24"/>
          <w:szCs w:val="24"/>
          <w:lang w:eastAsia="en-GB"/>
        </w:rPr>
        <w:t>one of the most significant changes in our approach</w:t>
      </w:r>
      <w:r w:rsidR="00A22E88">
        <w:rPr>
          <w:rFonts w:ascii="TimesNRMTPro" w:eastAsia="Calibri" w:hAnsi="TimesNRMTPro" w:cs="TimesNRMTPro"/>
          <w:sz w:val="24"/>
          <w:szCs w:val="24"/>
          <w:lang w:eastAsia="en-GB"/>
        </w:rPr>
        <w:t>”</w:t>
      </w:r>
      <w:r w:rsidR="00A22E88" w:rsidRPr="00A22E88">
        <w:rPr>
          <w:rFonts w:ascii="TimesNRMTPro" w:eastAsia="Calibri" w:hAnsi="TimesNRMTPro" w:cs="TimesNRMTPro"/>
          <w:sz w:val="24"/>
          <w:szCs w:val="24"/>
          <w:lang w:eastAsia="en-GB"/>
        </w:rPr>
        <w:t xml:space="preserve"> and that shortly after this speech the </w:t>
      </w:r>
      <w:r w:rsidR="00117A51">
        <w:rPr>
          <w:rFonts w:ascii="TimesNRMTPro" w:eastAsia="Calibri" w:hAnsi="TimesNRMTPro" w:cs="TimesNRMTPro"/>
          <w:sz w:val="24"/>
          <w:szCs w:val="24"/>
          <w:lang w:eastAsia="en-GB"/>
        </w:rPr>
        <w:t xml:space="preserve">regulator </w:t>
      </w:r>
      <w:r w:rsidR="00A22E88" w:rsidRPr="00A22E88">
        <w:rPr>
          <w:rFonts w:ascii="TimesNRMTPro" w:eastAsia="Calibri" w:hAnsi="TimesNRMTPro" w:cs="TimesNRMTPro"/>
          <w:sz w:val="24"/>
          <w:szCs w:val="24"/>
          <w:lang w:eastAsia="en-GB"/>
        </w:rPr>
        <w:t xml:space="preserve">obtained its first </w:t>
      </w:r>
      <w:r w:rsidR="00A22E88" w:rsidRPr="00A22E88">
        <w:rPr>
          <w:rFonts w:ascii="TimesNRMTPro" w:eastAsia="Calibri" w:hAnsi="TimesNRMTPro" w:cs="TimesNRMTPro"/>
          <w:sz w:val="24"/>
          <w:szCs w:val="24"/>
          <w:lang w:eastAsia="en-GB"/>
        </w:rPr>
        <w:lastRenderedPageBreak/>
        <w:t>conviction for insider dealing.</w:t>
      </w:r>
      <w:r w:rsidR="00A22E88" w:rsidRPr="00A22E88">
        <w:rPr>
          <w:rFonts w:ascii="TimesNRMTPro" w:eastAsia="Calibri" w:hAnsi="TimesNRMTPro" w:cs="TimesNRMTPro"/>
          <w:sz w:val="24"/>
          <w:szCs w:val="24"/>
          <w:vertAlign w:val="superscript"/>
          <w:lang w:eastAsia="en-GB"/>
        </w:rPr>
        <w:footnoteReference w:id="171"/>
      </w:r>
      <w:r w:rsidR="00A22E88" w:rsidRPr="00A22E88">
        <w:rPr>
          <w:rFonts w:ascii="TimesNRMTPro" w:eastAsia="Calibri" w:hAnsi="TimesNRMTPro" w:cs="TimesNRMTPro"/>
          <w:sz w:val="24"/>
          <w:szCs w:val="24"/>
          <w:lang w:eastAsia="en-GB"/>
        </w:rPr>
        <w:t xml:space="preserve"> This increase in intensity and focus toward criminal prosecutions has borne fruit with the first criminal conviction for insider dealing brought by the FSA in which a solicitor was sentenced to eight months for passing on information to his father-in- law about an impending takeover.</w:t>
      </w:r>
      <w:r w:rsidR="00A22E88">
        <w:rPr>
          <w:rStyle w:val="FootnoteReference"/>
          <w:rFonts w:ascii="TimesNRMTPro" w:eastAsia="Calibri" w:hAnsi="TimesNRMTPro" w:cs="TimesNRMTPro"/>
          <w:sz w:val="24"/>
          <w:szCs w:val="24"/>
          <w:lang w:eastAsia="en-GB"/>
        </w:rPr>
        <w:footnoteReference w:id="172"/>
      </w:r>
      <w:r w:rsidR="00A22E88" w:rsidRPr="00A22E88">
        <w:rPr>
          <w:rFonts w:ascii="TimesNRMTPro" w:eastAsia="Calibri" w:hAnsi="TimesNRMTPro" w:cs="TimesNRMTPro"/>
          <w:sz w:val="24"/>
          <w:szCs w:val="24"/>
          <w:lang w:eastAsia="en-GB"/>
        </w:rPr>
        <w:t xml:space="preserve"> </w:t>
      </w:r>
      <w:r w:rsidR="00A22E88" w:rsidRPr="00A22E88">
        <w:rPr>
          <w:rFonts w:ascii="Times New Roman" w:eastAsia="Calibri" w:hAnsi="Times New Roman" w:cs="Times New Roman"/>
          <w:sz w:val="24"/>
          <w:szCs w:val="24"/>
        </w:rPr>
        <w:t xml:space="preserve">Despite this optimism though, a freedom of information request in 2014 illustrates that the </w:t>
      </w:r>
      <w:r w:rsidR="00117A51">
        <w:rPr>
          <w:rFonts w:ascii="Times New Roman" w:eastAsia="Calibri" w:hAnsi="Times New Roman" w:cs="Times New Roman"/>
          <w:sz w:val="24"/>
          <w:szCs w:val="24"/>
        </w:rPr>
        <w:t>regula</w:t>
      </w:r>
      <w:r w:rsidR="00D6148F">
        <w:rPr>
          <w:rFonts w:ascii="Times New Roman" w:eastAsia="Calibri" w:hAnsi="Times New Roman" w:cs="Times New Roman"/>
          <w:sz w:val="24"/>
          <w:szCs w:val="24"/>
        </w:rPr>
        <w:t>t</w:t>
      </w:r>
      <w:r w:rsidR="00117A51">
        <w:rPr>
          <w:rFonts w:ascii="Times New Roman" w:eastAsia="Calibri" w:hAnsi="Times New Roman" w:cs="Times New Roman"/>
          <w:sz w:val="24"/>
          <w:szCs w:val="24"/>
        </w:rPr>
        <w:t xml:space="preserve">or </w:t>
      </w:r>
      <w:r w:rsidR="00A22E88" w:rsidRPr="00A22E88">
        <w:rPr>
          <w:rFonts w:ascii="Times New Roman" w:eastAsia="Calibri" w:hAnsi="Times New Roman" w:cs="Times New Roman"/>
          <w:sz w:val="24"/>
          <w:szCs w:val="24"/>
        </w:rPr>
        <w:t>only made four arrests in 2012, one in 2011, 17 in 2010, 16 in 2009 and 11 in 2008.</w:t>
      </w:r>
      <w:r w:rsidR="00A22E88" w:rsidRPr="00A22E88">
        <w:rPr>
          <w:rFonts w:ascii="Times New Roman" w:eastAsia="Calibri" w:hAnsi="Times New Roman" w:cs="Times New Roman"/>
          <w:sz w:val="24"/>
          <w:szCs w:val="24"/>
          <w:vertAlign w:val="superscript"/>
        </w:rPr>
        <w:footnoteReference w:id="173"/>
      </w:r>
      <w:r w:rsidR="00A22E88" w:rsidRPr="00A22E88">
        <w:rPr>
          <w:rFonts w:ascii="Times New Roman" w:eastAsia="Calibri" w:hAnsi="Times New Roman" w:cs="Times New Roman"/>
          <w:sz w:val="24"/>
          <w:szCs w:val="24"/>
        </w:rPr>
        <w:t xml:space="preserve"> Following the realignment of financial regulation system, the spotlight has now turned onto the FCA and it is to them that we now look for better regulation and an increase in prosecution and conviction rates.  </w:t>
      </w:r>
    </w:p>
    <w:p w:rsidR="00A22E88" w:rsidRDefault="00A22E88" w:rsidP="004A5637">
      <w:pPr>
        <w:spacing w:after="0" w:line="480" w:lineRule="auto"/>
        <w:contextualSpacing/>
        <w:jc w:val="both"/>
        <w:rPr>
          <w:rFonts w:ascii="Times New Roman" w:eastAsia="Times New Roman" w:hAnsi="Times New Roman" w:cs="Times New Roman"/>
          <w:sz w:val="24"/>
          <w:szCs w:val="24"/>
          <w:lang w:eastAsia="en-GB"/>
        </w:rPr>
      </w:pPr>
    </w:p>
    <w:p w:rsidR="00AB2CB1" w:rsidRPr="0017668D" w:rsidRDefault="00AB2CB1" w:rsidP="004A5637">
      <w:pPr>
        <w:spacing w:after="0" w:line="480" w:lineRule="auto"/>
        <w:contextualSpacing/>
        <w:jc w:val="both"/>
        <w:rPr>
          <w:rFonts w:ascii="Times New Roman" w:eastAsia="Times New Roman" w:hAnsi="Times New Roman" w:cs="Times New Roman"/>
          <w:sz w:val="24"/>
          <w:szCs w:val="24"/>
          <w:lang w:eastAsia="en-GB"/>
        </w:rPr>
      </w:pPr>
      <w:r w:rsidRPr="0017668D">
        <w:rPr>
          <w:rFonts w:ascii="Times New Roman" w:eastAsia="Times New Roman" w:hAnsi="Times New Roman" w:cs="Times New Roman"/>
          <w:sz w:val="24"/>
          <w:szCs w:val="24"/>
          <w:lang w:eastAsia="en-GB"/>
        </w:rPr>
        <w:t xml:space="preserve">However, there is some </w:t>
      </w:r>
      <w:r w:rsidRPr="0017668D">
        <w:rPr>
          <w:rFonts w:ascii="Times New Roman" w:eastAsia="Times New Roman" w:hAnsi="Times New Roman" w:cs="Times New Roman"/>
          <w:i/>
          <w:sz w:val="24"/>
          <w:szCs w:val="24"/>
          <w:lang w:eastAsia="en-GB"/>
        </w:rPr>
        <w:t>uncertainty</w:t>
      </w:r>
      <w:r w:rsidRPr="0017668D">
        <w:rPr>
          <w:rFonts w:ascii="Times New Roman" w:eastAsia="Times New Roman" w:hAnsi="Times New Roman" w:cs="Times New Roman"/>
          <w:sz w:val="24"/>
          <w:szCs w:val="24"/>
          <w:lang w:eastAsia="en-GB"/>
        </w:rPr>
        <w:t xml:space="preserve"> if the </w:t>
      </w:r>
      <w:r w:rsidR="00353A6B">
        <w:rPr>
          <w:rFonts w:ascii="Times New Roman" w:eastAsia="Times New Roman" w:hAnsi="Times New Roman" w:cs="Times New Roman"/>
          <w:sz w:val="24"/>
          <w:szCs w:val="24"/>
          <w:lang w:eastAsia="en-GB"/>
        </w:rPr>
        <w:t>regulator i</w:t>
      </w:r>
      <w:r w:rsidRPr="0017668D">
        <w:rPr>
          <w:rFonts w:ascii="Times New Roman" w:eastAsia="Times New Roman" w:hAnsi="Times New Roman" w:cs="Times New Roman"/>
          <w:sz w:val="24"/>
          <w:szCs w:val="24"/>
          <w:lang w:eastAsia="en-GB"/>
        </w:rPr>
        <w:t xml:space="preserve">s able to enforce its </w:t>
      </w:r>
      <w:r w:rsidRPr="0017668D">
        <w:rPr>
          <w:rFonts w:ascii="Times New Roman" w:eastAsia="Times New Roman" w:hAnsi="Times New Roman" w:cs="Times New Roman"/>
          <w:i/>
          <w:sz w:val="24"/>
          <w:szCs w:val="24"/>
          <w:lang w:eastAsia="en-GB"/>
        </w:rPr>
        <w:t>own</w:t>
      </w:r>
      <w:r w:rsidRPr="0017668D">
        <w:rPr>
          <w:rFonts w:ascii="Times New Roman" w:eastAsia="Times New Roman" w:hAnsi="Times New Roman" w:cs="Times New Roman"/>
          <w:sz w:val="24"/>
          <w:szCs w:val="24"/>
          <w:lang w:eastAsia="en-GB"/>
        </w:rPr>
        <w:t xml:space="preserve"> fraud policy and instigate criminal proceedings.</w:t>
      </w:r>
      <w:r w:rsidRPr="0017668D">
        <w:rPr>
          <w:rFonts w:ascii="Times New Roman" w:eastAsia="Times New Roman" w:hAnsi="Times New Roman" w:cs="Times New Roman"/>
          <w:sz w:val="24"/>
          <w:szCs w:val="24"/>
          <w:vertAlign w:val="superscript"/>
          <w:lang w:eastAsia="en-GB"/>
        </w:rPr>
        <w:footnoteReference w:id="174"/>
      </w:r>
      <w:r w:rsidRPr="0017668D">
        <w:rPr>
          <w:rFonts w:ascii="Times New Roman" w:eastAsia="Times New Roman" w:hAnsi="Times New Roman" w:cs="Times New Roman"/>
          <w:sz w:val="24"/>
          <w:szCs w:val="24"/>
          <w:lang w:eastAsia="en-GB"/>
        </w:rPr>
        <w:t xml:space="preserve">  For example, the </w:t>
      </w:r>
      <w:r w:rsidR="00117A51">
        <w:rPr>
          <w:rFonts w:ascii="Times New Roman" w:eastAsia="Times New Roman" w:hAnsi="Times New Roman" w:cs="Times New Roman"/>
          <w:sz w:val="24"/>
          <w:szCs w:val="24"/>
          <w:lang w:eastAsia="en-GB"/>
        </w:rPr>
        <w:t xml:space="preserve">regulator </w:t>
      </w:r>
      <w:r w:rsidRPr="0017668D">
        <w:rPr>
          <w:rFonts w:ascii="Times New Roman" w:eastAsia="Times New Roman" w:hAnsi="Times New Roman" w:cs="Times New Roman"/>
          <w:sz w:val="24"/>
          <w:szCs w:val="24"/>
          <w:lang w:eastAsia="en-GB"/>
        </w:rPr>
        <w:t>stated that “we cannot prosecute most types of fraud and dishonesty … in contrast with money laundering; we have no direct powers to prosecute fraud or dishonesty offences. Prosecution is the responsibility of other law enforcement agencies”.</w:t>
      </w:r>
      <w:r w:rsidRPr="0017668D">
        <w:rPr>
          <w:rFonts w:ascii="Times New Roman" w:eastAsia="Times New Roman" w:hAnsi="Times New Roman" w:cs="Times New Roman"/>
          <w:sz w:val="24"/>
          <w:szCs w:val="24"/>
          <w:vertAlign w:val="superscript"/>
          <w:lang w:eastAsia="en-GB"/>
        </w:rPr>
        <w:footnoteReference w:id="175"/>
      </w:r>
      <w:r w:rsidRPr="0017668D">
        <w:rPr>
          <w:rFonts w:ascii="Times New Roman" w:eastAsia="Times New Roman" w:hAnsi="Times New Roman" w:cs="Times New Roman"/>
          <w:sz w:val="24"/>
          <w:szCs w:val="24"/>
          <w:lang w:eastAsia="en-GB"/>
        </w:rPr>
        <w:t xml:space="preserve">  This explanation was reiterated by Lord Turner, the former Chairman of the </w:t>
      </w:r>
      <w:r w:rsidR="00117A51">
        <w:rPr>
          <w:rFonts w:ascii="Times New Roman" w:eastAsia="Times New Roman" w:hAnsi="Times New Roman" w:cs="Times New Roman"/>
          <w:sz w:val="24"/>
          <w:szCs w:val="24"/>
          <w:lang w:eastAsia="en-GB"/>
        </w:rPr>
        <w:t>regulator</w:t>
      </w:r>
      <w:r w:rsidRPr="0017668D">
        <w:rPr>
          <w:rFonts w:ascii="Times New Roman" w:eastAsia="Times New Roman" w:hAnsi="Times New Roman" w:cs="Times New Roman"/>
          <w:sz w:val="24"/>
          <w:szCs w:val="24"/>
          <w:lang w:eastAsia="en-GB"/>
        </w:rPr>
        <w:t>, who said:</w:t>
      </w:r>
    </w:p>
    <w:p w:rsidR="00AB2CB1" w:rsidRPr="0017668D" w:rsidRDefault="00AB2CB1" w:rsidP="004A5637">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rsidR="00AB2CB1" w:rsidRPr="0017668D" w:rsidRDefault="00AB2CB1" w:rsidP="004A5637">
      <w:pPr>
        <w:autoSpaceDE w:val="0"/>
        <w:autoSpaceDN w:val="0"/>
        <w:adjustRightInd w:val="0"/>
        <w:spacing w:after="0" w:line="480" w:lineRule="auto"/>
        <w:ind w:left="284" w:right="284"/>
        <w:jc w:val="both"/>
        <w:rPr>
          <w:rFonts w:ascii="Times New Roman" w:eastAsia="Times New Roman" w:hAnsi="Times New Roman" w:cs="Times New Roman"/>
          <w:sz w:val="24"/>
          <w:szCs w:val="24"/>
          <w:lang w:eastAsia="en-GB"/>
        </w:rPr>
      </w:pPr>
      <w:r w:rsidRPr="0017668D">
        <w:rPr>
          <w:rFonts w:ascii="Times New Roman" w:eastAsia="Times New Roman" w:hAnsi="Times New Roman" w:cs="Times New Roman"/>
          <w:sz w:val="24"/>
          <w:szCs w:val="24"/>
          <w:lang w:eastAsia="en-GB"/>
        </w:rPr>
        <w:t xml:space="preserve">“My understanding is that the FSA is </w:t>
      </w:r>
      <w:r w:rsidRPr="0017668D">
        <w:rPr>
          <w:rFonts w:ascii="Times New Roman" w:eastAsia="Times New Roman" w:hAnsi="Times New Roman" w:cs="Times New Roman"/>
          <w:i/>
          <w:sz w:val="24"/>
          <w:szCs w:val="24"/>
          <w:lang w:eastAsia="en-GB"/>
        </w:rPr>
        <w:t>not</w:t>
      </w:r>
      <w:r w:rsidRPr="0017668D">
        <w:rPr>
          <w:rFonts w:ascii="Times New Roman" w:eastAsia="Times New Roman" w:hAnsi="Times New Roman" w:cs="Times New Roman"/>
          <w:sz w:val="24"/>
          <w:szCs w:val="24"/>
          <w:lang w:eastAsia="en-GB"/>
        </w:rPr>
        <w:t xml:space="preserve"> [authors emphasis] able to bring a criminal case in the UK. If it falls within the category of fraud, which is a general category of malfeasance quite separate from financial regulation, the Serious Fraud Office has a right to look at it, and we have been in contact with the SFO throughout this. I think </w:t>
      </w:r>
      <w:r w:rsidRPr="0017668D">
        <w:rPr>
          <w:rFonts w:ascii="Times New Roman" w:eastAsia="Times New Roman" w:hAnsi="Times New Roman" w:cs="Times New Roman"/>
          <w:sz w:val="24"/>
          <w:szCs w:val="24"/>
          <w:lang w:eastAsia="en-GB"/>
        </w:rPr>
        <w:lastRenderedPageBreak/>
        <w:t xml:space="preserve">that it announced a week or so ago that it would increase its focus on this issue. In the UK, this issue— as I understand it, but I would defer to my legal expert here—is </w:t>
      </w:r>
      <w:r w:rsidRPr="0017668D">
        <w:rPr>
          <w:rFonts w:ascii="Times New Roman" w:eastAsia="Times New Roman" w:hAnsi="Times New Roman" w:cs="Times New Roman"/>
          <w:i/>
          <w:sz w:val="24"/>
          <w:szCs w:val="24"/>
          <w:lang w:eastAsia="en-GB"/>
        </w:rPr>
        <w:t>not</w:t>
      </w:r>
      <w:r w:rsidRPr="0017668D">
        <w:rPr>
          <w:rFonts w:ascii="Times New Roman" w:eastAsia="Times New Roman" w:hAnsi="Times New Roman" w:cs="Times New Roman"/>
          <w:sz w:val="24"/>
          <w:szCs w:val="24"/>
          <w:lang w:eastAsia="en-GB"/>
        </w:rPr>
        <w:t xml:space="preserve"> one where we, the FSA, have an ability to bring a criminal case”.</w:t>
      </w:r>
      <w:r w:rsidRPr="0017668D">
        <w:rPr>
          <w:rFonts w:ascii="Times New Roman" w:eastAsia="Times New Roman" w:hAnsi="Times New Roman" w:cs="Times New Roman"/>
          <w:sz w:val="24"/>
          <w:szCs w:val="24"/>
          <w:vertAlign w:val="superscript"/>
          <w:lang w:eastAsia="en-GB"/>
        </w:rPr>
        <w:footnoteReference w:id="176"/>
      </w:r>
    </w:p>
    <w:p w:rsidR="00AB2CB1" w:rsidRPr="0017668D" w:rsidRDefault="00AB2CB1" w:rsidP="004A5637">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rsidR="00AB2CB1" w:rsidRPr="0017668D" w:rsidRDefault="00AB2CB1" w:rsidP="004A5637">
      <w:pPr>
        <w:autoSpaceDE w:val="0"/>
        <w:autoSpaceDN w:val="0"/>
        <w:adjustRightInd w:val="0"/>
        <w:spacing w:after="0" w:line="480" w:lineRule="auto"/>
        <w:jc w:val="both"/>
        <w:rPr>
          <w:rFonts w:ascii="Times New Roman" w:eastAsia="Times New Roman" w:hAnsi="Times New Roman" w:cs="Times New Roman"/>
          <w:sz w:val="24"/>
          <w:szCs w:val="24"/>
          <w:lang w:eastAsia="en-GB"/>
        </w:rPr>
      </w:pPr>
      <w:r w:rsidRPr="0017668D">
        <w:rPr>
          <w:rFonts w:ascii="Times New Roman" w:eastAsia="Times New Roman" w:hAnsi="Times New Roman" w:cs="Times New Roman"/>
          <w:sz w:val="24"/>
          <w:szCs w:val="24"/>
          <w:lang w:eastAsia="en-GB"/>
        </w:rPr>
        <w:t xml:space="preserve">Further uncertainty was also expressed by Tracey McDermott who added “we are </w:t>
      </w:r>
      <w:r w:rsidRPr="0017668D">
        <w:rPr>
          <w:rFonts w:ascii="Times New Roman" w:eastAsia="Times New Roman" w:hAnsi="Times New Roman" w:cs="Times New Roman"/>
          <w:i/>
          <w:sz w:val="24"/>
          <w:szCs w:val="24"/>
          <w:lang w:eastAsia="en-GB"/>
        </w:rPr>
        <w:t>not</w:t>
      </w:r>
      <w:r w:rsidRPr="0017668D">
        <w:rPr>
          <w:rFonts w:ascii="Times New Roman" w:eastAsia="Times New Roman" w:hAnsi="Times New Roman" w:cs="Times New Roman"/>
          <w:sz w:val="24"/>
          <w:szCs w:val="24"/>
          <w:lang w:eastAsia="en-GB"/>
        </w:rPr>
        <w:t xml:space="preserve"> a general fraud prosecutor … we have spent quite a lot of time and energy on prosecuting both section 397 offences and indeed insider dealing offences … we do </w:t>
      </w:r>
      <w:r w:rsidRPr="0017668D">
        <w:rPr>
          <w:rFonts w:ascii="Times New Roman" w:eastAsia="Times New Roman" w:hAnsi="Times New Roman" w:cs="Times New Roman"/>
          <w:i/>
          <w:sz w:val="24"/>
          <w:szCs w:val="24"/>
          <w:lang w:eastAsia="en-GB"/>
        </w:rPr>
        <w:t>not</w:t>
      </w:r>
      <w:r w:rsidRPr="0017668D">
        <w:rPr>
          <w:rFonts w:ascii="Times New Roman" w:eastAsia="Times New Roman" w:hAnsi="Times New Roman" w:cs="Times New Roman"/>
          <w:sz w:val="24"/>
          <w:szCs w:val="24"/>
          <w:lang w:eastAsia="en-GB"/>
        </w:rPr>
        <w:t xml:space="preserve"> have is a remit to prosecute false accounting, conspiracy”.</w:t>
      </w:r>
      <w:r w:rsidRPr="0017668D">
        <w:rPr>
          <w:rFonts w:ascii="Times New Roman" w:eastAsia="Times New Roman" w:hAnsi="Times New Roman" w:cs="Times New Roman"/>
          <w:sz w:val="24"/>
          <w:szCs w:val="24"/>
          <w:vertAlign w:val="superscript"/>
          <w:lang w:eastAsia="en-GB"/>
        </w:rPr>
        <w:footnoteReference w:id="177"/>
      </w:r>
      <w:r w:rsidRPr="0017668D">
        <w:rPr>
          <w:rFonts w:ascii="Times New Roman" w:eastAsia="Times New Roman" w:hAnsi="Times New Roman" w:cs="Times New Roman"/>
          <w:sz w:val="24"/>
          <w:szCs w:val="24"/>
          <w:lang w:eastAsia="en-GB"/>
        </w:rPr>
        <w:t xml:space="preserve">  However, it is strongly suggested that the FSA </w:t>
      </w:r>
      <w:r w:rsidRPr="0017668D">
        <w:rPr>
          <w:rFonts w:ascii="Times New Roman" w:eastAsia="Times New Roman" w:hAnsi="Times New Roman" w:cs="Times New Roman"/>
          <w:i/>
          <w:sz w:val="24"/>
          <w:szCs w:val="24"/>
          <w:lang w:eastAsia="en-GB"/>
        </w:rPr>
        <w:t>does</w:t>
      </w:r>
      <w:r w:rsidRPr="0017668D">
        <w:rPr>
          <w:rFonts w:ascii="Times New Roman" w:eastAsia="Times New Roman" w:hAnsi="Times New Roman" w:cs="Times New Roman"/>
          <w:sz w:val="24"/>
          <w:szCs w:val="24"/>
          <w:lang w:eastAsia="en-GB"/>
        </w:rPr>
        <w:t xml:space="preserve"> have the regulatory remit to prosecute certain fraudulent activity based on the following cases.  For example, in March 2000 the</w:t>
      </w:r>
      <w:r w:rsidR="00117A51">
        <w:rPr>
          <w:rFonts w:ascii="Times New Roman" w:eastAsia="Times New Roman" w:hAnsi="Times New Roman" w:cs="Times New Roman"/>
          <w:sz w:val="24"/>
          <w:szCs w:val="24"/>
          <w:lang w:eastAsia="en-GB"/>
        </w:rPr>
        <w:t xml:space="preserve"> </w:t>
      </w:r>
      <w:r w:rsidR="00503207">
        <w:rPr>
          <w:rFonts w:ascii="Times New Roman" w:eastAsia="Times New Roman" w:hAnsi="Times New Roman" w:cs="Times New Roman"/>
          <w:sz w:val="24"/>
          <w:szCs w:val="24"/>
          <w:lang w:eastAsia="en-GB"/>
        </w:rPr>
        <w:t xml:space="preserve">regulator </w:t>
      </w:r>
      <w:r w:rsidR="00503207" w:rsidRPr="0017668D">
        <w:rPr>
          <w:rFonts w:ascii="Times New Roman" w:eastAsia="Times New Roman" w:hAnsi="Times New Roman" w:cs="Times New Roman"/>
          <w:sz w:val="24"/>
          <w:szCs w:val="24"/>
          <w:lang w:eastAsia="en-GB"/>
        </w:rPr>
        <w:t>successfully</w:t>
      </w:r>
      <w:r w:rsidRPr="0017668D">
        <w:rPr>
          <w:rFonts w:ascii="Times New Roman" w:eastAsia="Times New Roman" w:hAnsi="Times New Roman" w:cs="Times New Roman"/>
          <w:sz w:val="24"/>
          <w:szCs w:val="24"/>
          <w:lang w:eastAsia="en-GB"/>
        </w:rPr>
        <w:t xml:space="preserve"> prosecuted Paul Haslam, for breaches of the Banking Act 1987.</w:t>
      </w:r>
      <w:r w:rsidRPr="0017668D">
        <w:rPr>
          <w:rFonts w:ascii="Times New Roman" w:eastAsia="Times New Roman" w:hAnsi="Times New Roman" w:cs="Times New Roman"/>
          <w:sz w:val="24"/>
          <w:szCs w:val="24"/>
          <w:vertAlign w:val="superscript"/>
          <w:lang w:eastAsia="en-GB"/>
        </w:rPr>
        <w:footnoteReference w:id="178"/>
      </w:r>
      <w:r w:rsidRPr="0017668D">
        <w:rPr>
          <w:rFonts w:ascii="Times New Roman" w:eastAsia="Times New Roman" w:hAnsi="Times New Roman" w:cs="Times New Roman"/>
          <w:sz w:val="24"/>
          <w:szCs w:val="24"/>
          <w:lang w:eastAsia="en-GB"/>
        </w:rPr>
        <w:t xml:space="preserve">  Furthermore, in February 2008, the William Anthony ‘Robin’ Radclyffe</w:t>
      </w:r>
      <w:r w:rsidR="00117A51">
        <w:rPr>
          <w:rFonts w:ascii="Times New Roman" w:eastAsia="Times New Roman" w:hAnsi="Times New Roman" w:cs="Times New Roman"/>
          <w:sz w:val="24"/>
          <w:szCs w:val="24"/>
          <w:lang w:eastAsia="en-GB"/>
        </w:rPr>
        <w:t xml:space="preserve"> was successfully prosecuted and c</w:t>
      </w:r>
      <w:r w:rsidRPr="0017668D">
        <w:rPr>
          <w:rFonts w:ascii="Times New Roman" w:eastAsia="Times New Roman" w:hAnsi="Times New Roman" w:cs="Times New Roman"/>
          <w:sz w:val="24"/>
          <w:szCs w:val="24"/>
          <w:lang w:eastAsia="en-GB"/>
        </w:rPr>
        <w:t xml:space="preserve">onvicted </w:t>
      </w:r>
      <w:r w:rsidR="00117A51">
        <w:rPr>
          <w:rFonts w:ascii="Times New Roman" w:eastAsia="Times New Roman" w:hAnsi="Times New Roman" w:cs="Times New Roman"/>
          <w:sz w:val="24"/>
          <w:szCs w:val="24"/>
          <w:lang w:eastAsia="en-GB"/>
        </w:rPr>
        <w:t xml:space="preserve">of </w:t>
      </w:r>
      <w:r w:rsidRPr="0017668D">
        <w:rPr>
          <w:rFonts w:ascii="Times New Roman" w:eastAsia="Times New Roman" w:hAnsi="Times New Roman" w:cs="Times New Roman"/>
          <w:sz w:val="24"/>
          <w:szCs w:val="24"/>
          <w:lang w:eastAsia="en-GB"/>
        </w:rPr>
        <w:t>a series of offences under the Theft Acts, the Financial Services Act 1986 and F</w:t>
      </w:r>
      <w:r w:rsidR="00117A51">
        <w:rPr>
          <w:rFonts w:ascii="Times New Roman" w:eastAsia="Times New Roman" w:hAnsi="Times New Roman" w:cs="Times New Roman"/>
          <w:sz w:val="24"/>
          <w:szCs w:val="24"/>
          <w:lang w:eastAsia="en-GB"/>
        </w:rPr>
        <w:t xml:space="preserve">SMA </w:t>
      </w:r>
      <w:r w:rsidRPr="0017668D">
        <w:rPr>
          <w:rFonts w:ascii="Times New Roman" w:eastAsia="Times New Roman" w:hAnsi="Times New Roman" w:cs="Times New Roman"/>
          <w:sz w:val="24"/>
          <w:szCs w:val="24"/>
          <w:lang w:eastAsia="en-GB"/>
        </w:rPr>
        <w:t xml:space="preserve">2000.  The defendant, who was not authorised by the </w:t>
      </w:r>
      <w:r w:rsidR="00117A51">
        <w:rPr>
          <w:rFonts w:ascii="Times New Roman" w:eastAsia="Times New Roman" w:hAnsi="Times New Roman" w:cs="Times New Roman"/>
          <w:sz w:val="24"/>
          <w:szCs w:val="24"/>
          <w:lang w:eastAsia="en-GB"/>
        </w:rPr>
        <w:t>regulator</w:t>
      </w:r>
      <w:r w:rsidRPr="0017668D">
        <w:rPr>
          <w:rFonts w:ascii="Times New Roman" w:eastAsia="Times New Roman" w:hAnsi="Times New Roman" w:cs="Times New Roman"/>
          <w:sz w:val="24"/>
          <w:szCs w:val="24"/>
          <w:lang w:eastAsia="en-GB"/>
        </w:rPr>
        <w:t>, made a series of false and misleading statements to his clients.</w:t>
      </w:r>
      <w:r w:rsidRPr="0017668D">
        <w:rPr>
          <w:rFonts w:ascii="Times New Roman" w:eastAsia="Times New Roman" w:hAnsi="Times New Roman" w:cs="Times New Roman"/>
          <w:sz w:val="24"/>
          <w:szCs w:val="24"/>
          <w:vertAlign w:val="superscript"/>
          <w:lang w:val="en" w:eastAsia="en-GB"/>
        </w:rPr>
        <w:footnoteReference w:id="179"/>
      </w:r>
      <w:r w:rsidRPr="0017668D">
        <w:rPr>
          <w:rFonts w:ascii="Times New Roman" w:eastAsia="Times New Roman" w:hAnsi="Times New Roman" w:cs="Times New Roman"/>
          <w:sz w:val="24"/>
          <w:szCs w:val="24"/>
          <w:lang w:val="en" w:eastAsia="en-GB"/>
        </w:rPr>
        <w:t xml:space="preserve">  </w:t>
      </w:r>
      <w:r w:rsidR="00117A51">
        <w:rPr>
          <w:rFonts w:ascii="Times New Roman" w:eastAsia="Times New Roman" w:hAnsi="Times New Roman" w:cs="Times New Roman"/>
          <w:sz w:val="24"/>
          <w:szCs w:val="24"/>
          <w:lang w:val="en" w:eastAsia="en-GB"/>
        </w:rPr>
        <w:t xml:space="preserve">The regulator stated </w:t>
      </w:r>
      <w:r w:rsidRPr="0017668D">
        <w:rPr>
          <w:rFonts w:ascii="Times New Roman" w:eastAsia="Times New Roman" w:hAnsi="Times New Roman" w:cs="Times New Roman"/>
          <w:sz w:val="24"/>
          <w:szCs w:val="24"/>
          <w:lang w:val="en" w:eastAsia="en-GB"/>
        </w:rPr>
        <w:t>“our prosecution of this case is indicative of the FSAs determination to deter wrongdoing of this sort”.</w:t>
      </w:r>
      <w:r w:rsidRPr="0017668D">
        <w:rPr>
          <w:rFonts w:ascii="Times New Roman" w:eastAsia="Times New Roman" w:hAnsi="Times New Roman" w:cs="Times New Roman"/>
          <w:sz w:val="24"/>
          <w:szCs w:val="24"/>
          <w:vertAlign w:val="superscript"/>
          <w:lang w:val="en" w:eastAsia="en-GB"/>
        </w:rPr>
        <w:footnoteReference w:id="180"/>
      </w:r>
      <w:r w:rsidRPr="0017668D">
        <w:rPr>
          <w:rFonts w:ascii="Times New Roman" w:eastAsia="Times New Roman" w:hAnsi="Times New Roman" w:cs="Times New Roman"/>
          <w:sz w:val="24"/>
          <w:szCs w:val="24"/>
          <w:lang w:val="en" w:eastAsia="en-GB"/>
        </w:rPr>
        <w:t xml:space="preserve">  Therefore, it is unsurprising that </w:t>
      </w:r>
      <w:r w:rsidRPr="0017668D">
        <w:rPr>
          <w:rFonts w:ascii="Times New Roman" w:eastAsia="Times New Roman" w:hAnsi="Times New Roman" w:cs="Times New Roman"/>
          <w:sz w:val="24"/>
          <w:szCs w:val="24"/>
          <w:lang w:eastAsia="en-GB"/>
        </w:rPr>
        <w:t>The HM Treasury Select Committee criticised t</w:t>
      </w:r>
      <w:r w:rsidRPr="0017668D">
        <w:rPr>
          <w:rFonts w:ascii="Times New Roman" w:eastAsia="Times New Roman" w:hAnsi="Times New Roman" w:cs="Times New Roman"/>
          <w:bCs/>
          <w:sz w:val="24"/>
          <w:szCs w:val="24"/>
          <w:lang w:eastAsia="en-GB"/>
        </w:rPr>
        <w:t xml:space="preserve">he decision of the </w:t>
      </w:r>
      <w:r w:rsidR="00117A51">
        <w:rPr>
          <w:rFonts w:ascii="Times New Roman" w:eastAsia="Times New Roman" w:hAnsi="Times New Roman" w:cs="Times New Roman"/>
          <w:bCs/>
          <w:sz w:val="24"/>
          <w:szCs w:val="24"/>
          <w:lang w:eastAsia="en-GB"/>
        </w:rPr>
        <w:t xml:space="preserve">regulator </w:t>
      </w:r>
      <w:r w:rsidRPr="0017668D">
        <w:rPr>
          <w:rFonts w:ascii="Times New Roman" w:eastAsia="Times New Roman" w:hAnsi="Times New Roman" w:cs="Times New Roman"/>
          <w:bCs/>
          <w:sz w:val="24"/>
          <w:szCs w:val="24"/>
          <w:lang w:eastAsia="en-GB"/>
        </w:rPr>
        <w:t>not to initiate criminal proceedings in relation to LIBOR:</w:t>
      </w:r>
    </w:p>
    <w:p w:rsidR="00AB2CB1" w:rsidRPr="0017668D" w:rsidRDefault="00AB2CB1" w:rsidP="004A5637">
      <w:pPr>
        <w:autoSpaceDE w:val="0"/>
        <w:autoSpaceDN w:val="0"/>
        <w:adjustRightInd w:val="0"/>
        <w:spacing w:after="0" w:line="480" w:lineRule="auto"/>
        <w:jc w:val="both"/>
        <w:rPr>
          <w:rFonts w:ascii="Times New Roman" w:eastAsia="Times New Roman" w:hAnsi="Times New Roman" w:cs="Times New Roman"/>
          <w:b/>
          <w:sz w:val="24"/>
          <w:szCs w:val="24"/>
          <w:lang w:eastAsia="en-GB"/>
        </w:rPr>
      </w:pPr>
    </w:p>
    <w:p w:rsidR="00AB2CB1" w:rsidRPr="0017668D" w:rsidRDefault="00AB2CB1" w:rsidP="004A5637">
      <w:pPr>
        <w:autoSpaceDE w:val="0"/>
        <w:autoSpaceDN w:val="0"/>
        <w:adjustRightInd w:val="0"/>
        <w:spacing w:after="0" w:line="480" w:lineRule="auto"/>
        <w:ind w:left="284" w:right="284"/>
        <w:jc w:val="both"/>
        <w:rPr>
          <w:rFonts w:ascii="Times New Roman" w:eastAsia="Times New Roman" w:hAnsi="Times New Roman" w:cs="Times New Roman"/>
          <w:sz w:val="24"/>
          <w:szCs w:val="24"/>
          <w:lang w:eastAsia="en-GB"/>
        </w:rPr>
      </w:pPr>
      <w:r w:rsidRPr="0017668D">
        <w:rPr>
          <w:rFonts w:ascii="Times New Roman" w:eastAsia="Times New Roman" w:hAnsi="Times New Roman" w:cs="Times New Roman"/>
          <w:bCs/>
          <w:sz w:val="24"/>
          <w:szCs w:val="24"/>
          <w:lang w:eastAsia="en-GB"/>
        </w:rPr>
        <w:lastRenderedPageBreak/>
        <w:t>“The FSA’s decision whether to initiate a criminal prosecution should not be influenced by the fact that its income is derived from firms which it regulates. The FSA has an obligation under section 2(1)(b) of FSMA to discharge its functions in the way in which it considers most appropriate for the purpose of meeting its regulatory objectives. Under section 2(2)(d) the reduction of financial crime is one of these objectives. Financial crime is defined in section 6(3) as including not only misconduct in relation to a financial market but also any criminal offence of fraud or dishonesty. The FSA took a narrow view of its power to initiate criminal proceedings for fraudulent conduct in this case”.</w:t>
      </w:r>
      <w:r w:rsidRPr="0017668D">
        <w:rPr>
          <w:rFonts w:ascii="Times New Roman" w:eastAsia="Times New Roman" w:hAnsi="Times New Roman" w:cs="Times New Roman"/>
          <w:bCs/>
          <w:sz w:val="24"/>
          <w:szCs w:val="24"/>
          <w:vertAlign w:val="superscript"/>
          <w:lang w:eastAsia="en-GB"/>
        </w:rPr>
        <w:footnoteReference w:id="181"/>
      </w:r>
    </w:p>
    <w:p w:rsidR="00AB2CB1" w:rsidRPr="0017668D" w:rsidRDefault="00AB2CB1" w:rsidP="004A5637">
      <w:pPr>
        <w:autoSpaceDE w:val="0"/>
        <w:autoSpaceDN w:val="0"/>
        <w:adjustRightInd w:val="0"/>
        <w:spacing w:after="0" w:line="480" w:lineRule="auto"/>
        <w:jc w:val="both"/>
        <w:rPr>
          <w:rFonts w:ascii="Times New Roman" w:eastAsia="Times New Roman" w:hAnsi="Times New Roman" w:cs="Times New Roman"/>
          <w:b/>
          <w:sz w:val="24"/>
          <w:szCs w:val="24"/>
          <w:lang w:eastAsia="en-GB"/>
        </w:rPr>
      </w:pPr>
    </w:p>
    <w:p w:rsidR="00AB2CB1" w:rsidRPr="0017668D" w:rsidRDefault="00AB2CB1" w:rsidP="004A5637">
      <w:pPr>
        <w:autoSpaceDE w:val="0"/>
        <w:autoSpaceDN w:val="0"/>
        <w:adjustRightInd w:val="0"/>
        <w:spacing w:after="0" w:line="480" w:lineRule="auto"/>
        <w:jc w:val="both"/>
        <w:rPr>
          <w:rFonts w:ascii="Times New Roman" w:eastAsia="Times New Roman" w:hAnsi="Times New Roman" w:cs="Times New Roman"/>
          <w:sz w:val="24"/>
          <w:szCs w:val="24"/>
          <w:lang w:eastAsia="en-GB"/>
        </w:rPr>
      </w:pPr>
      <w:r w:rsidRPr="0017668D">
        <w:rPr>
          <w:rFonts w:ascii="Times New Roman" w:eastAsia="Times New Roman" w:hAnsi="Times New Roman" w:cs="Times New Roman"/>
          <w:sz w:val="24"/>
          <w:szCs w:val="24"/>
          <w:lang w:eastAsia="en-GB"/>
        </w:rPr>
        <w:t>This was also supported by George Osborne who stated that the then legislation contained “gaping holes” and that amendments would be made to the Financial Services Act 2012.</w:t>
      </w:r>
      <w:r w:rsidRPr="0017668D">
        <w:rPr>
          <w:rFonts w:ascii="Times New Roman" w:eastAsia="Times New Roman" w:hAnsi="Times New Roman" w:cs="Times New Roman"/>
          <w:sz w:val="24"/>
          <w:szCs w:val="24"/>
          <w:vertAlign w:val="superscript"/>
          <w:lang w:eastAsia="en-GB"/>
        </w:rPr>
        <w:footnoteReference w:id="182"/>
      </w:r>
      <w:r w:rsidRPr="0017668D">
        <w:rPr>
          <w:rFonts w:ascii="Times New Roman" w:eastAsia="Times New Roman" w:hAnsi="Times New Roman" w:cs="Times New Roman"/>
          <w:sz w:val="24"/>
          <w:szCs w:val="24"/>
          <w:lang w:eastAsia="en-GB"/>
        </w:rPr>
        <w:t xml:space="preserve">  Therefore, the inability of the </w:t>
      </w:r>
      <w:r w:rsidR="00117A51">
        <w:rPr>
          <w:rFonts w:ascii="Times New Roman" w:eastAsia="Times New Roman" w:hAnsi="Times New Roman" w:cs="Times New Roman"/>
          <w:sz w:val="24"/>
          <w:szCs w:val="24"/>
          <w:lang w:eastAsia="en-GB"/>
        </w:rPr>
        <w:t xml:space="preserve">regulator </w:t>
      </w:r>
      <w:r w:rsidRPr="0017668D">
        <w:rPr>
          <w:rFonts w:ascii="Times New Roman" w:eastAsia="Times New Roman" w:hAnsi="Times New Roman" w:cs="Times New Roman"/>
          <w:sz w:val="24"/>
          <w:szCs w:val="24"/>
          <w:lang w:eastAsia="en-GB"/>
        </w:rPr>
        <w:t xml:space="preserve">to prosecute those involved in </w:t>
      </w:r>
      <w:r w:rsidR="00F00F8A" w:rsidRPr="0017668D">
        <w:rPr>
          <w:rFonts w:ascii="Times New Roman" w:eastAsia="Times New Roman" w:hAnsi="Times New Roman" w:cs="Times New Roman"/>
          <w:sz w:val="24"/>
          <w:szCs w:val="24"/>
          <w:lang w:eastAsia="en-GB"/>
        </w:rPr>
        <w:t>financial crime</w:t>
      </w:r>
      <w:r w:rsidRPr="0017668D">
        <w:rPr>
          <w:rFonts w:ascii="Times New Roman" w:eastAsia="Times New Roman" w:hAnsi="Times New Roman" w:cs="Times New Roman"/>
          <w:sz w:val="24"/>
          <w:szCs w:val="24"/>
          <w:lang w:eastAsia="en-GB"/>
        </w:rPr>
        <w:t xml:space="preserve"> during the financial crisis must be criticised.  </w:t>
      </w:r>
    </w:p>
    <w:p w:rsidR="00A96A67" w:rsidRPr="0017668D" w:rsidRDefault="00A96A67" w:rsidP="004A5637">
      <w:pPr>
        <w:spacing w:after="0" w:line="480" w:lineRule="auto"/>
        <w:contextualSpacing/>
        <w:jc w:val="both"/>
        <w:rPr>
          <w:rFonts w:ascii="Times New Roman" w:eastAsia="Times New Roman" w:hAnsi="Times New Roman" w:cs="Times New Roman"/>
          <w:bCs/>
          <w:sz w:val="24"/>
          <w:szCs w:val="24"/>
          <w:lang w:eastAsia="en-GB"/>
        </w:rPr>
      </w:pPr>
    </w:p>
    <w:p w:rsidR="00AB2CB1" w:rsidRPr="0017668D" w:rsidRDefault="00AB2CB1" w:rsidP="004A5637">
      <w:pPr>
        <w:spacing w:after="0" w:line="480" w:lineRule="auto"/>
        <w:contextualSpacing/>
        <w:jc w:val="both"/>
        <w:rPr>
          <w:rFonts w:ascii="Times New Roman" w:eastAsia="Times New Roman" w:hAnsi="Times New Roman" w:cs="Times New Roman"/>
          <w:b/>
          <w:bCs/>
          <w:sz w:val="24"/>
          <w:szCs w:val="24"/>
          <w:lang w:eastAsia="en-GB"/>
        </w:rPr>
      </w:pPr>
      <w:r w:rsidRPr="0017668D">
        <w:rPr>
          <w:rFonts w:ascii="Times New Roman" w:eastAsia="Times New Roman" w:hAnsi="Times New Roman" w:cs="Times New Roman"/>
          <w:b/>
          <w:bCs/>
          <w:sz w:val="24"/>
          <w:szCs w:val="24"/>
          <w:lang w:eastAsia="en-GB"/>
        </w:rPr>
        <w:t>Conclusion</w:t>
      </w:r>
    </w:p>
    <w:p w:rsidR="00AB2CB1" w:rsidRPr="0017668D" w:rsidRDefault="00AB2CB1" w:rsidP="004A5637">
      <w:pPr>
        <w:spacing w:after="0" w:line="480" w:lineRule="auto"/>
        <w:contextualSpacing/>
        <w:jc w:val="both"/>
        <w:rPr>
          <w:rFonts w:ascii="Times New Roman" w:eastAsia="Times New Roman" w:hAnsi="Times New Roman" w:cs="Times New Roman"/>
          <w:sz w:val="24"/>
          <w:szCs w:val="24"/>
          <w:lang w:eastAsia="en-GB"/>
        </w:rPr>
      </w:pPr>
      <w:r w:rsidRPr="0017668D">
        <w:rPr>
          <w:rFonts w:ascii="Times New Roman" w:eastAsia="Times New Roman" w:hAnsi="Times New Roman" w:cs="Times New Roman"/>
          <w:sz w:val="24"/>
          <w:szCs w:val="24"/>
          <w:lang w:eastAsia="en-GB"/>
        </w:rPr>
        <w:t xml:space="preserve"> </w:t>
      </w:r>
    </w:p>
    <w:p w:rsidR="00AB2CB1" w:rsidRPr="004B2B65" w:rsidRDefault="00AB2CB1" w:rsidP="004A5637">
      <w:pPr>
        <w:spacing w:after="0" w:line="480" w:lineRule="auto"/>
        <w:contextualSpacing/>
        <w:jc w:val="both"/>
        <w:rPr>
          <w:rFonts w:ascii="Times New Roman" w:eastAsia="Times New Roman" w:hAnsi="Times New Roman" w:cs="Times New Roman"/>
          <w:sz w:val="24"/>
          <w:szCs w:val="24"/>
          <w:lang w:eastAsia="en-GB"/>
        </w:rPr>
      </w:pPr>
      <w:r w:rsidRPr="0017668D">
        <w:rPr>
          <w:rFonts w:ascii="Times New Roman" w:eastAsia="Times New Roman" w:hAnsi="Times New Roman" w:cs="Times New Roman"/>
          <w:sz w:val="24"/>
          <w:szCs w:val="24"/>
          <w:lang w:eastAsia="en-GB"/>
        </w:rPr>
        <w:t xml:space="preserve">The regulatory response to the financial crisis in the UK </w:t>
      </w:r>
      <w:r w:rsidR="00353A6B">
        <w:rPr>
          <w:rFonts w:ascii="Times New Roman" w:eastAsia="Times New Roman" w:hAnsi="Times New Roman" w:cs="Times New Roman"/>
          <w:sz w:val="24"/>
          <w:szCs w:val="24"/>
          <w:lang w:eastAsia="en-GB"/>
        </w:rPr>
        <w:t xml:space="preserve">resulted in the </w:t>
      </w:r>
      <w:r w:rsidRPr="0017668D">
        <w:rPr>
          <w:rFonts w:ascii="Times New Roman" w:eastAsia="Times New Roman" w:hAnsi="Times New Roman" w:cs="Times New Roman"/>
          <w:sz w:val="24"/>
          <w:szCs w:val="24"/>
          <w:lang w:eastAsia="en-GB"/>
        </w:rPr>
        <w:t xml:space="preserve">publication of numerous reports, consultation papers, the creation of new regulatory agencies, the introduction of new legislation and </w:t>
      </w:r>
      <w:r w:rsidR="004B2B65">
        <w:rPr>
          <w:rFonts w:ascii="Times New Roman" w:eastAsia="Times New Roman" w:hAnsi="Times New Roman" w:cs="Times New Roman"/>
          <w:sz w:val="24"/>
          <w:szCs w:val="24"/>
          <w:lang w:eastAsia="en-GB"/>
        </w:rPr>
        <w:t xml:space="preserve">new misconduct related </w:t>
      </w:r>
      <w:r w:rsidRPr="0017668D">
        <w:rPr>
          <w:rFonts w:ascii="Times New Roman" w:eastAsia="Times New Roman" w:hAnsi="Times New Roman" w:cs="Times New Roman"/>
          <w:sz w:val="24"/>
          <w:szCs w:val="24"/>
          <w:lang w:eastAsia="en-GB"/>
        </w:rPr>
        <w:t>cri</w:t>
      </w:r>
      <w:r w:rsidR="004B2B65">
        <w:rPr>
          <w:rFonts w:ascii="Times New Roman" w:eastAsia="Times New Roman" w:hAnsi="Times New Roman" w:cs="Times New Roman"/>
          <w:sz w:val="24"/>
          <w:szCs w:val="24"/>
          <w:lang w:eastAsia="en-GB"/>
        </w:rPr>
        <w:t>minal offences</w:t>
      </w:r>
      <w:r w:rsidRPr="0017668D">
        <w:rPr>
          <w:rFonts w:ascii="Times New Roman" w:eastAsia="Times New Roman" w:hAnsi="Times New Roman" w:cs="Times New Roman"/>
          <w:sz w:val="24"/>
          <w:szCs w:val="24"/>
          <w:lang w:eastAsia="en-GB"/>
        </w:rPr>
        <w:t xml:space="preserve">.  The former Labour government must be credited with actually attempting to tackle </w:t>
      </w:r>
      <w:r w:rsidR="00F00F8A" w:rsidRPr="0017668D">
        <w:rPr>
          <w:rFonts w:ascii="Times New Roman" w:eastAsia="Times New Roman" w:hAnsi="Times New Roman" w:cs="Times New Roman"/>
          <w:sz w:val="24"/>
          <w:szCs w:val="24"/>
          <w:lang w:eastAsia="en-GB"/>
        </w:rPr>
        <w:t>financial crime</w:t>
      </w:r>
      <w:r w:rsidR="004B2B65">
        <w:rPr>
          <w:rFonts w:ascii="Times New Roman" w:eastAsia="Times New Roman" w:hAnsi="Times New Roman" w:cs="Times New Roman"/>
          <w:sz w:val="24"/>
          <w:szCs w:val="24"/>
          <w:lang w:eastAsia="en-GB"/>
        </w:rPr>
        <w:t xml:space="preserve"> attempting to forge a response that combined financial regulation with a series of financial crime measure, including the financial crime statutory objective.  </w:t>
      </w:r>
      <w:r w:rsidRPr="0017668D">
        <w:rPr>
          <w:rFonts w:ascii="Times New Roman" w:eastAsia="Times New Roman" w:hAnsi="Times New Roman" w:cs="Times New Roman"/>
          <w:bCs/>
          <w:sz w:val="24"/>
          <w:szCs w:val="24"/>
          <w:lang w:eastAsia="en-GB"/>
        </w:rPr>
        <w:t xml:space="preserve">The </w:t>
      </w:r>
      <w:r w:rsidR="00353A6B">
        <w:rPr>
          <w:rFonts w:ascii="Times New Roman" w:eastAsia="Times New Roman" w:hAnsi="Times New Roman" w:cs="Times New Roman"/>
          <w:bCs/>
          <w:sz w:val="24"/>
          <w:szCs w:val="24"/>
          <w:lang w:eastAsia="en-GB"/>
        </w:rPr>
        <w:t xml:space="preserve">regulator </w:t>
      </w:r>
      <w:r w:rsidRPr="0017668D">
        <w:rPr>
          <w:rFonts w:ascii="Times New Roman" w:eastAsia="Times New Roman" w:hAnsi="Times New Roman" w:cs="Times New Roman"/>
          <w:bCs/>
          <w:sz w:val="24"/>
          <w:szCs w:val="24"/>
          <w:lang w:eastAsia="en-GB"/>
        </w:rPr>
        <w:t xml:space="preserve">has continued </w:t>
      </w:r>
      <w:r w:rsidRPr="0017668D">
        <w:rPr>
          <w:rFonts w:ascii="Times New Roman" w:eastAsia="Times New Roman" w:hAnsi="Times New Roman" w:cs="Times New Roman"/>
          <w:bCs/>
          <w:sz w:val="24"/>
          <w:szCs w:val="24"/>
          <w:lang w:eastAsia="en-GB"/>
        </w:rPr>
        <w:lastRenderedPageBreak/>
        <w:t xml:space="preserve">to adopt its credible deterrence strategy which has resulted in the continued imposition of financial sanctions on both firms and individuals who have breached its regulations.  </w:t>
      </w:r>
      <w:r w:rsidR="00353A6B">
        <w:rPr>
          <w:rFonts w:ascii="Times New Roman" w:eastAsia="Times New Roman" w:hAnsi="Times New Roman" w:cs="Times New Roman"/>
          <w:bCs/>
          <w:sz w:val="24"/>
          <w:szCs w:val="24"/>
          <w:lang w:eastAsia="en-GB"/>
        </w:rPr>
        <w:t xml:space="preserve">The regulator has </w:t>
      </w:r>
      <w:r w:rsidRPr="0017668D">
        <w:rPr>
          <w:rFonts w:ascii="Times New Roman" w:eastAsia="Times New Roman" w:hAnsi="Times New Roman" w:cs="Times New Roman"/>
          <w:bCs/>
          <w:sz w:val="24"/>
          <w:szCs w:val="24"/>
          <w:lang w:eastAsia="en-GB"/>
        </w:rPr>
        <w:t xml:space="preserve">imposed </w:t>
      </w:r>
      <w:r w:rsidR="00353A6B">
        <w:rPr>
          <w:rFonts w:ascii="Times New Roman" w:eastAsia="Times New Roman" w:hAnsi="Times New Roman" w:cs="Times New Roman"/>
          <w:bCs/>
          <w:sz w:val="24"/>
          <w:szCs w:val="24"/>
          <w:lang w:eastAsia="en-GB"/>
        </w:rPr>
        <w:t>r</w:t>
      </w:r>
      <w:r w:rsidRPr="0017668D">
        <w:rPr>
          <w:rFonts w:ascii="Times New Roman" w:eastAsia="Times New Roman" w:hAnsi="Times New Roman" w:cs="Times New Roman"/>
          <w:bCs/>
          <w:sz w:val="24"/>
          <w:szCs w:val="24"/>
          <w:lang w:eastAsia="en-GB"/>
        </w:rPr>
        <w:t>ecord levels of financial penalties on those firms who have manipulated LIBOR</w:t>
      </w:r>
      <w:r w:rsidR="00353A6B">
        <w:rPr>
          <w:rFonts w:ascii="Times New Roman" w:eastAsia="Times New Roman" w:hAnsi="Times New Roman" w:cs="Times New Roman"/>
          <w:bCs/>
          <w:sz w:val="24"/>
          <w:szCs w:val="24"/>
          <w:lang w:eastAsia="en-GB"/>
        </w:rPr>
        <w:t xml:space="preserve"> and FOREX</w:t>
      </w:r>
      <w:r w:rsidRPr="0017668D">
        <w:rPr>
          <w:rFonts w:ascii="Times New Roman" w:eastAsia="Times New Roman" w:hAnsi="Times New Roman" w:cs="Times New Roman"/>
          <w:bCs/>
          <w:sz w:val="24"/>
          <w:szCs w:val="24"/>
          <w:lang w:eastAsia="en-GB"/>
        </w:rPr>
        <w:t>, yet they decided against instigating criminal proceeding</w:t>
      </w:r>
      <w:r w:rsidR="004B2B65">
        <w:rPr>
          <w:rFonts w:ascii="Times New Roman" w:eastAsia="Times New Roman" w:hAnsi="Times New Roman" w:cs="Times New Roman"/>
          <w:bCs/>
          <w:sz w:val="24"/>
          <w:szCs w:val="24"/>
          <w:lang w:eastAsia="en-GB"/>
        </w:rPr>
        <w:t>s</w:t>
      </w:r>
      <w:r w:rsidRPr="0017668D">
        <w:rPr>
          <w:rFonts w:ascii="Times New Roman" w:eastAsia="Times New Roman" w:hAnsi="Times New Roman" w:cs="Times New Roman"/>
          <w:bCs/>
          <w:sz w:val="24"/>
          <w:szCs w:val="24"/>
          <w:lang w:eastAsia="en-GB"/>
        </w:rPr>
        <w:t xml:space="preserve"> and left that with the SFO.  The decision over whether or not they were able to bring criminal proceedings in relation to LIBOR remains unclear as the evidence provided above suggests that the </w:t>
      </w:r>
      <w:r w:rsidR="00353A6B">
        <w:rPr>
          <w:rFonts w:ascii="Times New Roman" w:eastAsia="Times New Roman" w:hAnsi="Times New Roman" w:cs="Times New Roman"/>
          <w:bCs/>
          <w:sz w:val="24"/>
          <w:szCs w:val="24"/>
          <w:lang w:eastAsia="en-GB"/>
        </w:rPr>
        <w:t xml:space="preserve">regulator </w:t>
      </w:r>
      <w:r w:rsidRPr="0017668D">
        <w:rPr>
          <w:rFonts w:ascii="Times New Roman" w:eastAsia="Times New Roman" w:hAnsi="Times New Roman" w:cs="Times New Roman"/>
          <w:bCs/>
          <w:sz w:val="24"/>
          <w:szCs w:val="24"/>
          <w:lang w:eastAsia="en-GB"/>
        </w:rPr>
        <w:t xml:space="preserve">did have the ability to initiate criminal proceedings for fraud despite </w:t>
      </w:r>
      <w:r w:rsidR="00353A6B">
        <w:rPr>
          <w:rFonts w:ascii="Times New Roman" w:eastAsia="Times New Roman" w:hAnsi="Times New Roman" w:cs="Times New Roman"/>
          <w:bCs/>
          <w:sz w:val="24"/>
          <w:szCs w:val="24"/>
          <w:lang w:eastAsia="en-GB"/>
        </w:rPr>
        <w:t xml:space="preserve">its </w:t>
      </w:r>
      <w:r w:rsidRPr="0017668D">
        <w:rPr>
          <w:rFonts w:ascii="Times New Roman" w:eastAsia="Times New Roman" w:hAnsi="Times New Roman" w:cs="Times New Roman"/>
          <w:bCs/>
          <w:sz w:val="24"/>
          <w:szCs w:val="24"/>
          <w:lang w:eastAsia="en-GB"/>
        </w:rPr>
        <w:t xml:space="preserve">contradictory statements.  Nonetheless, the </w:t>
      </w:r>
      <w:r w:rsidR="004B2B65">
        <w:rPr>
          <w:rFonts w:ascii="Times New Roman" w:eastAsia="Times New Roman" w:hAnsi="Times New Roman" w:cs="Times New Roman"/>
          <w:bCs/>
          <w:sz w:val="24"/>
          <w:szCs w:val="24"/>
          <w:lang w:eastAsia="en-GB"/>
        </w:rPr>
        <w:t xml:space="preserve">regulator </w:t>
      </w:r>
      <w:r w:rsidRPr="0017668D">
        <w:rPr>
          <w:rFonts w:ascii="Times New Roman" w:eastAsia="Times New Roman" w:hAnsi="Times New Roman" w:cs="Times New Roman"/>
          <w:bCs/>
          <w:sz w:val="24"/>
          <w:szCs w:val="24"/>
          <w:lang w:eastAsia="en-GB"/>
        </w:rPr>
        <w:t xml:space="preserve">must be credited for increasing the number of insider dealing convictions and how it has vigorously enforced the market abuse regime.  However, the </w:t>
      </w:r>
      <w:r w:rsidR="00353A6B">
        <w:rPr>
          <w:rFonts w:ascii="Times New Roman" w:eastAsia="Times New Roman" w:hAnsi="Times New Roman" w:cs="Times New Roman"/>
          <w:bCs/>
          <w:sz w:val="24"/>
          <w:szCs w:val="24"/>
          <w:lang w:eastAsia="en-GB"/>
        </w:rPr>
        <w:t xml:space="preserve">regulator </w:t>
      </w:r>
      <w:r w:rsidRPr="0017668D">
        <w:rPr>
          <w:rFonts w:ascii="Times New Roman" w:eastAsia="Times New Roman" w:hAnsi="Times New Roman" w:cs="Times New Roman"/>
          <w:bCs/>
          <w:sz w:val="24"/>
          <w:szCs w:val="24"/>
          <w:lang w:eastAsia="en-GB"/>
        </w:rPr>
        <w:t xml:space="preserve">must be criticised for its initial response to LIBOR, which amounted to nothing more than playing regulatory tennis </w:t>
      </w:r>
      <w:r w:rsidR="00353A6B">
        <w:rPr>
          <w:rFonts w:ascii="Times New Roman" w:eastAsia="Times New Roman" w:hAnsi="Times New Roman" w:cs="Times New Roman"/>
          <w:bCs/>
          <w:sz w:val="24"/>
          <w:szCs w:val="24"/>
          <w:lang w:eastAsia="en-GB"/>
        </w:rPr>
        <w:t xml:space="preserve">with the SFO </w:t>
      </w:r>
      <w:r w:rsidRPr="0017668D">
        <w:rPr>
          <w:rFonts w:ascii="Times New Roman" w:eastAsia="Times New Roman" w:hAnsi="Times New Roman" w:cs="Times New Roman"/>
          <w:bCs/>
          <w:sz w:val="24"/>
          <w:szCs w:val="24"/>
          <w:lang w:eastAsia="en-GB"/>
        </w:rPr>
        <w:t xml:space="preserve">with the most serious financial scandal in the UK since the collapse of Barings Bank.  The Coalition government have not continued to follow the </w:t>
      </w:r>
      <w:r w:rsidR="00F00F8A" w:rsidRPr="0017668D">
        <w:rPr>
          <w:rFonts w:ascii="Times New Roman" w:eastAsia="Times New Roman" w:hAnsi="Times New Roman" w:cs="Times New Roman"/>
          <w:bCs/>
          <w:sz w:val="24"/>
          <w:szCs w:val="24"/>
          <w:lang w:eastAsia="en-GB"/>
        </w:rPr>
        <w:t>financial crime</w:t>
      </w:r>
      <w:r w:rsidRPr="0017668D">
        <w:rPr>
          <w:rFonts w:ascii="Times New Roman" w:eastAsia="Times New Roman" w:hAnsi="Times New Roman" w:cs="Times New Roman"/>
          <w:bCs/>
          <w:sz w:val="24"/>
          <w:szCs w:val="24"/>
          <w:lang w:eastAsia="en-GB"/>
        </w:rPr>
        <w:t xml:space="preserve"> strategies introduced by the former Labour government.  One of the major criticisms of the response to </w:t>
      </w:r>
      <w:r w:rsidR="00F00F8A" w:rsidRPr="0017668D">
        <w:rPr>
          <w:rFonts w:ascii="Times New Roman" w:eastAsia="Times New Roman" w:hAnsi="Times New Roman" w:cs="Times New Roman"/>
          <w:bCs/>
          <w:sz w:val="24"/>
          <w:szCs w:val="24"/>
          <w:lang w:eastAsia="en-GB"/>
        </w:rPr>
        <w:t>financial crime</w:t>
      </w:r>
      <w:r w:rsidRPr="0017668D">
        <w:rPr>
          <w:rFonts w:ascii="Times New Roman" w:eastAsia="Times New Roman" w:hAnsi="Times New Roman" w:cs="Times New Roman"/>
          <w:bCs/>
          <w:sz w:val="24"/>
          <w:szCs w:val="24"/>
          <w:lang w:eastAsia="en-GB"/>
        </w:rPr>
        <w:t xml:space="preserve"> emanating from the financial crisis has been the lack of criminal prosecutions.  During the height of the financial crisis, and whilst leader of the Conservative party, David Cameron boldly proclaimed that the City of London faced a “Day of Reckoning” and that severe penalties would be imposed for those bankers whose reckless activities causes the financial crisis.</w:t>
      </w:r>
      <w:r w:rsidRPr="0017668D">
        <w:rPr>
          <w:rFonts w:ascii="Times New Roman" w:eastAsia="Times New Roman" w:hAnsi="Times New Roman" w:cs="Times New Roman"/>
          <w:bCs/>
          <w:sz w:val="24"/>
          <w:szCs w:val="24"/>
          <w:vertAlign w:val="superscript"/>
          <w:lang w:eastAsia="en-GB"/>
        </w:rPr>
        <w:footnoteReference w:id="183"/>
      </w:r>
      <w:r w:rsidRPr="0017668D">
        <w:rPr>
          <w:rFonts w:ascii="Times New Roman" w:eastAsia="Times New Roman" w:hAnsi="Times New Roman" w:cs="Times New Roman"/>
          <w:bCs/>
          <w:sz w:val="24"/>
          <w:szCs w:val="24"/>
          <w:lang w:eastAsia="en-GB"/>
        </w:rPr>
        <w:t xml:space="preserve"> During his ‘Day of Reckoning’ speech, David Cameron stressed the importance of punishment and deterrence and stated:</w:t>
      </w:r>
    </w:p>
    <w:p w:rsidR="00AB2CB1" w:rsidRPr="0017668D" w:rsidRDefault="00AB2CB1" w:rsidP="004A5637">
      <w:pPr>
        <w:spacing w:after="0" w:line="480" w:lineRule="auto"/>
        <w:contextualSpacing/>
        <w:jc w:val="both"/>
        <w:rPr>
          <w:rFonts w:ascii="Times New Roman" w:eastAsia="Times New Roman" w:hAnsi="Times New Roman" w:cs="Times New Roman"/>
          <w:bCs/>
          <w:sz w:val="24"/>
          <w:szCs w:val="24"/>
          <w:lang w:eastAsia="en-GB"/>
        </w:rPr>
      </w:pPr>
    </w:p>
    <w:p w:rsidR="00AB2CB1" w:rsidRPr="0017668D" w:rsidRDefault="00AB2CB1" w:rsidP="004A5637">
      <w:pPr>
        <w:spacing w:after="0" w:line="480" w:lineRule="auto"/>
        <w:ind w:left="284" w:right="284"/>
        <w:jc w:val="both"/>
        <w:textAlignment w:val="top"/>
        <w:rPr>
          <w:rFonts w:ascii="Times New Roman" w:eastAsia="Times New Roman" w:hAnsi="Times New Roman" w:cs="Times New Roman"/>
          <w:sz w:val="24"/>
          <w:szCs w:val="24"/>
          <w:lang w:val="en" w:eastAsia="en-GB"/>
        </w:rPr>
      </w:pPr>
      <w:r w:rsidRPr="0017668D">
        <w:rPr>
          <w:rFonts w:ascii="Times New Roman" w:eastAsia="Times New Roman" w:hAnsi="Times New Roman" w:cs="Times New Roman"/>
          <w:sz w:val="24"/>
          <w:szCs w:val="24"/>
          <w:lang w:val="en" w:eastAsia="en-GB"/>
        </w:rPr>
        <w:t xml:space="preserve">“[the] most important step we must take in enforcing responsibility in the City is to make sure that when rules are broken, and culprits are found, they are properly punished. That’s only fair - because those responsible must be held to account … </w:t>
      </w:r>
      <w:r w:rsidRPr="0017668D">
        <w:rPr>
          <w:rFonts w:ascii="Times New Roman" w:eastAsia="Times New Roman" w:hAnsi="Times New Roman" w:cs="Times New Roman"/>
          <w:sz w:val="24"/>
          <w:szCs w:val="24"/>
          <w:lang w:val="en" w:eastAsia="en-GB"/>
        </w:rPr>
        <w:lastRenderedPageBreak/>
        <w:t>around the world, bankers sat up and took notice not when global finance ministers issued some new communiqué on unauthorized speculative trading - it was when Nick Leeso</w:t>
      </w:r>
      <w:r w:rsidR="004B2B65">
        <w:rPr>
          <w:rFonts w:ascii="Times New Roman" w:eastAsia="Times New Roman" w:hAnsi="Times New Roman" w:cs="Times New Roman"/>
          <w:sz w:val="24"/>
          <w:szCs w:val="24"/>
          <w:lang w:val="en" w:eastAsia="en-GB"/>
        </w:rPr>
        <w:t>n was caught and put behind bar … t</w:t>
      </w:r>
      <w:r w:rsidRPr="0017668D">
        <w:rPr>
          <w:rFonts w:ascii="Times New Roman" w:eastAsia="Times New Roman" w:hAnsi="Times New Roman" w:cs="Times New Roman"/>
          <w:sz w:val="24"/>
          <w:szCs w:val="24"/>
          <w:lang w:val="en" w:eastAsia="en-GB"/>
        </w:rPr>
        <w:t>he problem in Britain … is that there just doesn’t seem to be the will to see appropriate justice done at the highest level. Not from the Government. And not much</w:t>
      </w:r>
      <w:r w:rsidR="00503207">
        <w:rPr>
          <w:rFonts w:ascii="Times New Roman" w:eastAsia="Times New Roman" w:hAnsi="Times New Roman" w:cs="Times New Roman"/>
          <w:sz w:val="24"/>
          <w:szCs w:val="24"/>
          <w:lang w:val="en" w:eastAsia="en-GB"/>
        </w:rPr>
        <w:t xml:space="preserve"> will evident in the FSA either</w:t>
      </w:r>
      <w:r w:rsidRPr="0017668D">
        <w:rPr>
          <w:rFonts w:ascii="Times New Roman" w:eastAsia="Times New Roman" w:hAnsi="Times New Roman" w:cs="Times New Roman"/>
          <w:sz w:val="24"/>
          <w:szCs w:val="24"/>
          <w:lang w:val="en" w:eastAsia="en-GB"/>
        </w:rPr>
        <w:t>”.</w:t>
      </w:r>
      <w:r w:rsidRPr="0017668D">
        <w:rPr>
          <w:rFonts w:ascii="Times New Roman" w:eastAsia="Times New Roman" w:hAnsi="Times New Roman" w:cs="Times New Roman"/>
          <w:sz w:val="24"/>
          <w:szCs w:val="24"/>
          <w:vertAlign w:val="superscript"/>
          <w:lang w:val="en" w:eastAsia="en-GB"/>
        </w:rPr>
        <w:footnoteReference w:id="184"/>
      </w:r>
    </w:p>
    <w:p w:rsidR="00AB2CB1" w:rsidRPr="0017668D" w:rsidRDefault="00AB2CB1" w:rsidP="004A5637">
      <w:pPr>
        <w:spacing w:after="0" w:line="480" w:lineRule="auto"/>
        <w:ind w:left="284" w:right="284"/>
        <w:jc w:val="both"/>
        <w:textAlignment w:val="top"/>
        <w:rPr>
          <w:rFonts w:ascii="Times New Roman" w:eastAsia="Times New Roman" w:hAnsi="Times New Roman" w:cs="Times New Roman"/>
          <w:sz w:val="24"/>
          <w:szCs w:val="24"/>
          <w:lang w:val="en" w:eastAsia="en-GB"/>
        </w:rPr>
      </w:pPr>
    </w:p>
    <w:p w:rsidR="004B2B65" w:rsidRDefault="00AB2CB1" w:rsidP="004A5637">
      <w:pPr>
        <w:spacing w:after="0" w:line="480" w:lineRule="auto"/>
        <w:jc w:val="both"/>
        <w:textAlignment w:val="top"/>
        <w:rPr>
          <w:rFonts w:ascii="Times New Roman" w:eastAsia="Times New Roman" w:hAnsi="Times New Roman" w:cs="Times New Roman"/>
          <w:sz w:val="24"/>
          <w:szCs w:val="24"/>
          <w:lang w:val="en" w:eastAsia="en-GB"/>
        </w:rPr>
      </w:pPr>
      <w:r w:rsidRPr="0017668D">
        <w:rPr>
          <w:rFonts w:ascii="Times New Roman" w:eastAsia="Times New Roman" w:hAnsi="Times New Roman" w:cs="Times New Roman"/>
          <w:sz w:val="24"/>
          <w:szCs w:val="24"/>
          <w:lang w:val="en" w:eastAsia="en-GB"/>
        </w:rPr>
        <w:t>A number of interesting points can be raised from this section of the speech.  For example, David Cameron stated that when “rules are broken, and culprits are found, they are properly punished”.  This raises a very important question, how many of those who are responsible for the financial crisis or contributed to it have been held accountable</w:t>
      </w:r>
      <w:r w:rsidR="004B2B65">
        <w:rPr>
          <w:rFonts w:ascii="Times New Roman" w:eastAsia="Times New Roman" w:hAnsi="Times New Roman" w:cs="Times New Roman"/>
          <w:sz w:val="24"/>
          <w:szCs w:val="24"/>
          <w:lang w:val="en" w:eastAsia="en-GB"/>
        </w:rPr>
        <w:t xml:space="preserve">? </w:t>
      </w:r>
      <w:r w:rsidR="00086D0C">
        <w:rPr>
          <w:rFonts w:ascii="Times New Roman" w:eastAsia="Times New Roman" w:hAnsi="Times New Roman" w:cs="Times New Roman"/>
          <w:sz w:val="24"/>
          <w:szCs w:val="24"/>
          <w:lang w:val="en" w:eastAsia="en-GB"/>
        </w:rPr>
        <w:t xml:space="preserve">The </w:t>
      </w:r>
      <w:r w:rsidRPr="0017668D">
        <w:rPr>
          <w:rFonts w:ascii="Times New Roman" w:eastAsia="Times New Roman" w:hAnsi="Times New Roman" w:cs="Times New Roman"/>
          <w:sz w:val="24"/>
          <w:szCs w:val="24"/>
          <w:lang w:val="en" w:eastAsia="en-GB"/>
        </w:rPr>
        <w:t xml:space="preserve">answer at the time of writing is </w:t>
      </w:r>
      <w:r w:rsidR="004B2B65">
        <w:rPr>
          <w:rFonts w:ascii="Times New Roman" w:eastAsia="Times New Roman" w:hAnsi="Times New Roman" w:cs="Times New Roman"/>
          <w:sz w:val="24"/>
          <w:szCs w:val="24"/>
          <w:lang w:val="en" w:eastAsia="en-GB"/>
        </w:rPr>
        <w:t xml:space="preserve">very few, only one trader has been convicted for the manipulation of LIBOR and many more have been acquitted.  Furthermore, </w:t>
      </w:r>
      <w:r w:rsidRPr="0017668D">
        <w:rPr>
          <w:rFonts w:ascii="Times New Roman" w:eastAsia="Times New Roman" w:hAnsi="Times New Roman" w:cs="Times New Roman"/>
          <w:sz w:val="24"/>
          <w:szCs w:val="24"/>
          <w:lang w:val="en" w:eastAsia="en-GB"/>
        </w:rPr>
        <w:t xml:space="preserve">not one director of a bank has been disqualified under the Company Director Disqualification Act 1986.  </w:t>
      </w:r>
      <w:r w:rsidR="004B2B65">
        <w:rPr>
          <w:rFonts w:ascii="Times New Roman" w:eastAsia="Times New Roman" w:hAnsi="Times New Roman" w:cs="Times New Roman"/>
          <w:sz w:val="24"/>
          <w:szCs w:val="24"/>
          <w:lang w:val="en" w:eastAsia="en-GB"/>
        </w:rPr>
        <w:t xml:space="preserve">Therefore, the response towards financial crime </w:t>
      </w:r>
      <w:r w:rsidR="00086D0C">
        <w:rPr>
          <w:rFonts w:ascii="Times New Roman" w:eastAsia="Times New Roman" w:hAnsi="Times New Roman" w:cs="Times New Roman"/>
          <w:sz w:val="24"/>
          <w:szCs w:val="24"/>
          <w:lang w:val="en" w:eastAsia="en-GB"/>
        </w:rPr>
        <w:t xml:space="preserve">during and after the financial crisis hasn’t dramatically altered and it is likely that the regulator will continue to impose ‘media friendly’ financial penalties and err on the side of caution when attempting to instigate criminal proceedings.  It seems that the culprits of the financial crisis will continue to avoid any meaningful consequences for their actions.  </w:t>
      </w:r>
    </w:p>
    <w:p w:rsidR="004B2B65" w:rsidRDefault="004B2B65" w:rsidP="004A5637">
      <w:pPr>
        <w:spacing w:after="0" w:line="480" w:lineRule="auto"/>
        <w:jc w:val="both"/>
        <w:textAlignment w:val="top"/>
        <w:rPr>
          <w:rFonts w:ascii="Times New Roman" w:eastAsia="Times New Roman" w:hAnsi="Times New Roman" w:cs="Times New Roman"/>
          <w:sz w:val="24"/>
          <w:szCs w:val="24"/>
          <w:lang w:val="en" w:eastAsia="en-GB"/>
        </w:rPr>
      </w:pPr>
      <w:bookmarkStart w:id="0" w:name="_GoBack"/>
      <w:bookmarkEnd w:id="0"/>
    </w:p>
    <w:p w:rsidR="000768D4" w:rsidRDefault="000768D4" w:rsidP="004A5637">
      <w:pPr>
        <w:spacing w:after="0" w:line="480" w:lineRule="auto"/>
        <w:jc w:val="both"/>
        <w:textAlignment w:val="top"/>
        <w:rPr>
          <w:rFonts w:ascii="Times New Roman" w:eastAsia="Times New Roman" w:hAnsi="Times New Roman" w:cs="Times New Roman"/>
          <w:sz w:val="24"/>
          <w:szCs w:val="24"/>
          <w:lang w:val="en" w:eastAsia="en-GB"/>
        </w:rPr>
      </w:pPr>
    </w:p>
    <w:p w:rsidR="00AB2CB1" w:rsidRPr="0017668D" w:rsidRDefault="00AB2CB1" w:rsidP="004A5637">
      <w:pPr>
        <w:spacing w:after="0" w:line="480" w:lineRule="auto"/>
        <w:jc w:val="both"/>
        <w:textAlignment w:val="top"/>
        <w:rPr>
          <w:rFonts w:ascii="Times New Roman" w:eastAsia="Times New Roman" w:hAnsi="Times New Roman" w:cs="Times New Roman"/>
          <w:sz w:val="24"/>
          <w:szCs w:val="24"/>
          <w:lang w:val="en" w:eastAsia="en-GB"/>
        </w:rPr>
      </w:pPr>
    </w:p>
    <w:p w:rsidR="00EA4301" w:rsidRPr="00353A6B" w:rsidRDefault="00EA4301" w:rsidP="004A5637">
      <w:pPr>
        <w:spacing w:after="0" w:line="480" w:lineRule="auto"/>
        <w:contextualSpacing/>
        <w:jc w:val="both"/>
        <w:rPr>
          <w:rFonts w:ascii="Times New Roman" w:eastAsia="Times New Roman" w:hAnsi="Times New Roman" w:cs="Times New Roman"/>
          <w:bCs/>
          <w:sz w:val="24"/>
          <w:szCs w:val="24"/>
          <w:lang w:eastAsia="en-GB"/>
        </w:rPr>
      </w:pPr>
    </w:p>
    <w:sectPr w:rsidR="00EA4301" w:rsidRPr="00353A6B" w:rsidSect="00AB2CB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366" w:rsidRDefault="00BD0366" w:rsidP="00AB2CB1">
      <w:pPr>
        <w:spacing w:after="0" w:line="240" w:lineRule="auto"/>
      </w:pPr>
      <w:r>
        <w:separator/>
      </w:r>
    </w:p>
  </w:endnote>
  <w:endnote w:type="continuationSeparator" w:id="0">
    <w:p w:rsidR="00BD0366" w:rsidRDefault="00BD0366" w:rsidP="00AB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Omnes">
    <w:altName w:val="Omnes"/>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RMT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66" w:rsidRDefault="00BD0366">
    <w:pPr>
      <w:pStyle w:val="Footer"/>
      <w:jc w:val="right"/>
    </w:pPr>
    <w:r>
      <w:fldChar w:fldCharType="begin"/>
    </w:r>
    <w:r>
      <w:instrText xml:space="preserve"> PAGE   \* MERGEFORMAT </w:instrText>
    </w:r>
    <w:r>
      <w:fldChar w:fldCharType="separate"/>
    </w:r>
    <w:r w:rsidR="00503207">
      <w:rPr>
        <w:noProof/>
      </w:rPr>
      <w:t>1</w:t>
    </w:r>
    <w:r>
      <w:rPr>
        <w:noProof/>
      </w:rPr>
      <w:fldChar w:fldCharType="end"/>
    </w:r>
  </w:p>
  <w:p w:rsidR="00BD0366" w:rsidRDefault="00BD0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366" w:rsidRDefault="00BD0366" w:rsidP="00AB2CB1">
      <w:pPr>
        <w:spacing w:after="0" w:line="240" w:lineRule="auto"/>
      </w:pPr>
      <w:r>
        <w:separator/>
      </w:r>
    </w:p>
  </w:footnote>
  <w:footnote w:type="continuationSeparator" w:id="0">
    <w:p w:rsidR="00BD0366" w:rsidRDefault="00BD0366" w:rsidP="00AB2CB1">
      <w:pPr>
        <w:spacing w:after="0" w:line="240" w:lineRule="auto"/>
      </w:pPr>
      <w:r>
        <w:continuationSeparator/>
      </w:r>
    </w:p>
  </w:footnote>
  <w:footnote w:id="1">
    <w:p w:rsidR="00BD0366" w:rsidRPr="000768D4" w:rsidRDefault="00BD0366" w:rsidP="000768D4">
      <w:pPr>
        <w:pStyle w:val="FootnoteText"/>
        <w:jc w:val="both"/>
        <w:rPr>
          <w:rFonts w:ascii="Times New Roman" w:eastAsia="SimSun" w:hAnsi="Times New Roman"/>
          <w:kern w:val="28"/>
          <w:sz w:val="20"/>
          <w:szCs w:val="20"/>
          <w:lang w:eastAsia="zh-CN"/>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 xml:space="preserve">An increasing amount of literature has suggested that financial crime was an important factor that contributed towards the most recent financial crisis. </w:t>
      </w:r>
      <w:r w:rsidRPr="000768D4">
        <w:rPr>
          <w:rFonts w:ascii="Times New Roman" w:eastAsia="SimSun" w:hAnsi="Times New Roman"/>
          <w:kern w:val="28"/>
          <w:sz w:val="20"/>
          <w:szCs w:val="20"/>
          <w:lang w:eastAsia="zh-CN"/>
        </w:rPr>
        <w:t xml:space="preserve">See for example </w:t>
      </w:r>
      <w:proofErr w:type="spellStart"/>
      <w:r w:rsidRPr="000768D4">
        <w:rPr>
          <w:rFonts w:ascii="Times New Roman" w:eastAsia="SimSun" w:hAnsi="Times New Roman"/>
          <w:kern w:val="28"/>
          <w:sz w:val="20"/>
          <w:szCs w:val="20"/>
          <w:lang w:eastAsia="zh-CN"/>
        </w:rPr>
        <w:t>Ryder</w:t>
      </w:r>
      <w:r w:rsidR="004A5637">
        <w:rPr>
          <w:rFonts w:ascii="Times New Roman" w:eastAsia="SimSun" w:hAnsi="Times New Roman"/>
          <w:kern w:val="28"/>
          <w:sz w:val="20"/>
          <w:szCs w:val="20"/>
          <w:lang w:eastAsia="zh-CN"/>
        </w:rPr>
        <w:t>n</w:t>
      </w:r>
      <w:proofErr w:type="spellEnd"/>
      <w:r w:rsidR="004A5637">
        <w:rPr>
          <w:rFonts w:ascii="Times New Roman" w:eastAsia="SimSun" w:hAnsi="Times New Roman"/>
          <w:kern w:val="28"/>
          <w:sz w:val="20"/>
          <w:szCs w:val="20"/>
          <w:lang w:eastAsia="zh-CN"/>
        </w:rPr>
        <w:t xml:space="preserve"> N.</w:t>
      </w:r>
      <w:r w:rsidRPr="000768D4">
        <w:rPr>
          <w:rFonts w:ascii="Times New Roman" w:eastAsia="SimSun" w:hAnsi="Times New Roman"/>
          <w:kern w:val="28"/>
          <w:sz w:val="20"/>
          <w:szCs w:val="20"/>
          <w:lang w:eastAsia="zh-CN"/>
        </w:rPr>
        <w:t xml:space="preserve"> </w:t>
      </w:r>
      <w:r w:rsidRPr="000768D4">
        <w:rPr>
          <w:rFonts w:ascii="Times New Roman" w:eastAsia="SimSun" w:hAnsi="Times New Roman"/>
          <w:i/>
          <w:kern w:val="28"/>
          <w:sz w:val="20"/>
          <w:szCs w:val="20"/>
          <w:lang w:eastAsia="zh-CN"/>
        </w:rPr>
        <w:t>The Financial Crisis and White Collar Crime: The Perfect Storm?</w:t>
      </w:r>
      <w:r w:rsidRPr="000768D4">
        <w:rPr>
          <w:rFonts w:ascii="Times New Roman" w:eastAsia="SimSun" w:hAnsi="Times New Roman"/>
          <w:kern w:val="28"/>
          <w:sz w:val="20"/>
          <w:szCs w:val="20"/>
          <w:lang w:eastAsia="zh-CN"/>
        </w:rPr>
        <w:t xml:space="preserve"> (</w:t>
      </w:r>
      <w:r w:rsidR="004A5637">
        <w:rPr>
          <w:rFonts w:ascii="Times New Roman" w:eastAsia="SimSun" w:hAnsi="Times New Roman"/>
          <w:kern w:val="28"/>
          <w:sz w:val="20"/>
          <w:szCs w:val="20"/>
          <w:lang w:eastAsia="zh-CN"/>
        </w:rPr>
        <w:t>Edward Elgar, 2</w:t>
      </w:r>
      <w:r w:rsidRPr="000768D4">
        <w:rPr>
          <w:rFonts w:ascii="Times New Roman" w:eastAsia="SimSun" w:hAnsi="Times New Roman"/>
          <w:kern w:val="28"/>
          <w:sz w:val="20"/>
          <w:szCs w:val="20"/>
          <w:lang w:eastAsia="zh-CN"/>
        </w:rPr>
        <w:t xml:space="preserve">014), Ryder, </w:t>
      </w:r>
      <w:r w:rsidR="004A5637">
        <w:rPr>
          <w:rFonts w:ascii="Times New Roman" w:eastAsia="SimSun" w:hAnsi="Times New Roman"/>
          <w:kern w:val="28"/>
          <w:sz w:val="20"/>
          <w:szCs w:val="20"/>
          <w:lang w:eastAsia="zh-CN"/>
        </w:rPr>
        <w:t xml:space="preserve">N., </w:t>
      </w:r>
      <w:r w:rsidRPr="000768D4">
        <w:rPr>
          <w:rFonts w:ascii="Times New Roman" w:eastAsia="SimSun" w:hAnsi="Times New Roman"/>
          <w:kern w:val="28"/>
          <w:sz w:val="20"/>
          <w:szCs w:val="20"/>
          <w:lang w:eastAsia="zh-CN"/>
        </w:rPr>
        <w:t>Turksen</w:t>
      </w:r>
      <w:r w:rsidR="004A5637">
        <w:rPr>
          <w:rFonts w:ascii="Times New Roman" w:eastAsia="SimSun" w:hAnsi="Times New Roman"/>
          <w:kern w:val="28"/>
          <w:sz w:val="20"/>
          <w:szCs w:val="20"/>
          <w:lang w:eastAsia="zh-CN"/>
        </w:rPr>
        <w:t>, U.</w:t>
      </w:r>
      <w:r w:rsidRPr="000768D4">
        <w:rPr>
          <w:rFonts w:ascii="Times New Roman" w:eastAsia="SimSun" w:hAnsi="Times New Roman"/>
          <w:kern w:val="28"/>
          <w:sz w:val="20"/>
          <w:szCs w:val="20"/>
          <w:lang w:eastAsia="zh-CN"/>
        </w:rPr>
        <w:t xml:space="preserve"> and Hassler</w:t>
      </w:r>
      <w:r w:rsidR="004A5637">
        <w:rPr>
          <w:rFonts w:ascii="Times New Roman" w:eastAsia="SimSun" w:hAnsi="Times New Roman"/>
          <w:kern w:val="28"/>
          <w:sz w:val="20"/>
          <w:szCs w:val="20"/>
          <w:lang w:eastAsia="zh-CN"/>
        </w:rPr>
        <w:t>, S.</w:t>
      </w:r>
      <w:r w:rsidRPr="000768D4">
        <w:rPr>
          <w:rFonts w:ascii="Times New Roman" w:eastAsia="SimSun" w:hAnsi="Times New Roman"/>
          <w:kern w:val="28"/>
          <w:sz w:val="20"/>
          <w:szCs w:val="20"/>
          <w:lang w:eastAsia="zh-CN"/>
        </w:rPr>
        <w:t xml:space="preserve"> (</w:t>
      </w:r>
      <w:proofErr w:type="spellStart"/>
      <w:r w:rsidRPr="000768D4">
        <w:rPr>
          <w:rFonts w:ascii="Times New Roman" w:eastAsia="SimSun" w:hAnsi="Times New Roman"/>
          <w:kern w:val="28"/>
          <w:sz w:val="20"/>
          <w:szCs w:val="20"/>
          <w:lang w:eastAsia="zh-CN"/>
        </w:rPr>
        <w:t>eds</w:t>
      </w:r>
      <w:proofErr w:type="spellEnd"/>
      <w:r w:rsidRPr="000768D4">
        <w:rPr>
          <w:rFonts w:ascii="Times New Roman" w:eastAsia="SimSun" w:hAnsi="Times New Roman"/>
          <w:kern w:val="28"/>
          <w:sz w:val="20"/>
          <w:szCs w:val="20"/>
          <w:lang w:eastAsia="zh-CN"/>
        </w:rPr>
        <w:t xml:space="preserve">), </w:t>
      </w:r>
      <w:r w:rsidRPr="000768D4">
        <w:rPr>
          <w:rFonts w:ascii="Times New Roman" w:eastAsia="SimSun" w:hAnsi="Times New Roman"/>
          <w:i/>
          <w:iCs/>
          <w:kern w:val="28"/>
          <w:sz w:val="20"/>
          <w:szCs w:val="20"/>
          <w:lang w:eastAsia="zh-CN"/>
        </w:rPr>
        <w:t>Fighting Financial Crime in the Global Economic Crisis</w:t>
      </w:r>
      <w:r w:rsidR="004A5637">
        <w:rPr>
          <w:rFonts w:ascii="Times New Roman" w:eastAsia="SimSun" w:hAnsi="Times New Roman"/>
          <w:i/>
          <w:iCs/>
          <w:kern w:val="28"/>
          <w:sz w:val="20"/>
          <w:szCs w:val="20"/>
          <w:lang w:eastAsia="zh-CN"/>
        </w:rPr>
        <w:t xml:space="preserve">: Policy, Trends and Sanctions </w:t>
      </w:r>
      <w:r w:rsidR="004A5637">
        <w:rPr>
          <w:rFonts w:ascii="Times New Roman" w:eastAsia="SimSun" w:hAnsi="Times New Roman"/>
          <w:iCs/>
          <w:kern w:val="28"/>
          <w:sz w:val="20"/>
          <w:szCs w:val="20"/>
          <w:lang w:eastAsia="zh-CN"/>
        </w:rPr>
        <w:t xml:space="preserve">(Routledge, </w:t>
      </w:r>
      <w:r w:rsidRPr="000768D4">
        <w:rPr>
          <w:rFonts w:ascii="Times New Roman" w:eastAsia="SimSun" w:hAnsi="Times New Roman"/>
          <w:kern w:val="28"/>
          <w:sz w:val="20"/>
          <w:szCs w:val="20"/>
          <w:lang w:eastAsia="zh-CN"/>
        </w:rPr>
        <w:t xml:space="preserve">2014), Huisman, </w:t>
      </w:r>
      <w:r w:rsidR="004A5637">
        <w:rPr>
          <w:rFonts w:ascii="Times New Roman" w:eastAsia="SimSun" w:hAnsi="Times New Roman"/>
          <w:kern w:val="28"/>
          <w:sz w:val="20"/>
          <w:szCs w:val="20"/>
          <w:lang w:eastAsia="zh-CN"/>
        </w:rPr>
        <w:t>W. ‘</w:t>
      </w:r>
      <w:r w:rsidRPr="000768D4">
        <w:rPr>
          <w:rFonts w:ascii="Times New Roman" w:eastAsia="SimSun" w:hAnsi="Times New Roman"/>
          <w:kern w:val="28"/>
          <w:sz w:val="20"/>
          <w:szCs w:val="20"/>
          <w:lang w:eastAsia="zh-CN"/>
        </w:rPr>
        <w:t>White-collar crime and the economic crisis</w:t>
      </w:r>
      <w:r w:rsidR="004A5637">
        <w:rPr>
          <w:rFonts w:ascii="Times New Roman" w:eastAsia="SimSun" w:hAnsi="Times New Roman"/>
          <w:kern w:val="28"/>
          <w:sz w:val="20"/>
          <w:szCs w:val="20"/>
          <w:lang w:eastAsia="zh-CN"/>
        </w:rPr>
        <w:t>’</w:t>
      </w:r>
      <w:r w:rsidRPr="000768D4">
        <w:rPr>
          <w:rFonts w:ascii="Times New Roman" w:eastAsia="SimSun" w:hAnsi="Times New Roman"/>
          <w:kern w:val="28"/>
          <w:sz w:val="20"/>
          <w:szCs w:val="20"/>
          <w:lang w:eastAsia="zh-CN"/>
        </w:rPr>
        <w:t xml:space="preserve"> (2012/2013) Newsletter of the European Society on Criminology 11, </w:t>
      </w:r>
      <w:proofErr w:type="spellStart"/>
      <w:r w:rsidRPr="000768D4">
        <w:rPr>
          <w:rFonts w:ascii="Times New Roman" w:eastAsia="SimSun" w:hAnsi="Times New Roman"/>
          <w:kern w:val="28"/>
          <w:sz w:val="20"/>
          <w:szCs w:val="20"/>
          <w:lang w:eastAsia="zh-CN"/>
        </w:rPr>
        <w:t>Deflem</w:t>
      </w:r>
      <w:proofErr w:type="spellEnd"/>
      <w:r w:rsidR="004A5637">
        <w:rPr>
          <w:rFonts w:ascii="Times New Roman" w:eastAsia="SimSun" w:hAnsi="Times New Roman"/>
          <w:kern w:val="28"/>
          <w:sz w:val="20"/>
          <w:szCs w:val="20"/>
          <w:lang w:eastAsia="zh-CN"/>
        </w:rPr>
        <w:t>, M.</w:t>
      </w:r>
      <w:r w:rsidRPr="000768D4">
        <w:rPr>
          <w:rFonts w:ascii="Times New Roman" w:eastAsia="SimSun" w:hAnsi="Times New Roman"/>
          <w:kern w:val="28"/>
          <w:sz w:val="20"/>
          <w:szCs w:val="20"/>
          <w:lang w:eastAsia="zh-CN"/>
        </w:rPr>
        <w:t xml:space="preserve"> (</w:t>
      </w:r>
      <w:proofErr w:type="spellStart"/>
      <w:r w:rsidRPr="000768D4">
        <w:rPr>
          <w:rFonts w:ascii="Times New Roman" w:eastAsia="SimSun" w:hAnsi="Times New Roman"/>
          <w:kern w:val="28"/>
          <w:sz w:val="20"/>
          <w:szCs w:val="20"/>
          <w:lang w:eastAsia="zh-CN"/>
        </w:rPr>
        <w:t>ed</w:t>
      </w:r>
      <w:proofErr w:type="spellEnd"/>
      <w:r w:rsidRPr="000768D4">
        <w:rPr>
          <w:rFonts w:ascii="Times New Roman" w:eastAsia="SimSun" w:hAnsi="Times New Roman"/>
          <w:kern w:val="28"/>
          <w:sz w:val="20"/>
          <w:szCs w:val="20"/>
          <w:lang w:eastAsia="zh-CN"/>
        </w:rPr>
        <w:t xml:space="preserve">), </w:t>
      </w:r>
      <w:r w:rsidRPr="000768D4">
        <w:rPr>
          <w:rFonts w:ascii="Times New Roman" w:eastAsia="SimSun" w:hAnsi="Times New Roman"/>
          <w:i/>
          <w:kern w:val="28"/>
          <w:sz w:val="20"/>
          <w:szCs w:val="20"/>
          <w:lang w:eastAsia="zh-CN"/>
        </w:rPr>
        <w:t xml:space="preserve">Economic crisis and crime </w:t>
      </w:r>
      <w:r w:rsidRPr="000768D4">
        <w:rPr>
          <w:rFonts w:ascii="Times New Roman" w:eastAsia="SimSun" w:hAnsi="Times New Roman"/>
          <w:kern w:val="28"/>
          <w:sz w:val="20"/>
          <w:szCs w:val="20"/>
          <w:lang w:eastAsia="zh-CN"/>
        </w:rPr>
        <w:t xml:space="preserve">(Bingley, 2011), </w:t>
      </w:r>
      <w:proofErr w:type="spellStart"/>
      <w:r w:rsidRPr="000768D4">
        <w:rPr>
          <w:rFonts w:ascii="Times New Roman" w:eastAsia="Times New Roman" w:hAnsi="Times New Roman"/>
          <w:kern w:val="28"/>
          <w:sz w:val="20"/>
          <w:szCs w:val="20"/>
          <w:lang w:eastAsia="en-GB"/>
        </w:rPr>
        <w:t>Osoka</w:t>
      </w:r>
      <w:proofErr w:type="spellEnd"/>
      <w:r w:rsidRPr="000768D4">
        <w:rPr>
          <w:rFonts w:ascii="Times New Roman" w:eastAsia="Times New Roman" w:hAnsi="Times New Roman"/>
          <w:kern w:val="28"/>
          <w:sz w:val="20"/>
          <w:szCs w:val="20"/>
          <w:lang w:eastAsia="en-GB"/>
        </w:rPr>
        <w:t xml:space="preserve">, </w:t>
      </w:r>
      <w:r w:rsidR="004A5637">
        <w:rPr>
          <w:rFonts w:ascii="Times New Roman" w:eastAsia="Times New Roman" w:hAnsi="Times New Roman"/>
          <w:kern w:val="28"/>
          <w:sz w:val="20"/>
          <w:szCs w:val="20"/>
          <w:lang w:eastAsia="en-GB"/>
        </w:rPr>
        <w:t xml:space="preserve">O., </w:t>
      </w:r>
      <w:proofErr w:type="spellStart"/>
      <w:r w:rsidRPr="000768D4">
        <w:rPr>
          <w:rFonts w:ascii="Times New Roman" w:eastAsia="Times New Roman" w:hAnsi="Times New Roman"/>
          <w:kern w:val="28"/>
          <w:sz w:val="20"/>
          <w:szCs w:val="20"/>
          <w:lang w:eastAsia="en-GB"/>
        </w:rPr>
        <w:t>Trakkidi</w:t>
      </w:r>
      <w:proofErr w:type="spellEnd"/>
      <w:r w:rsidRPr="000768D4">
        <w:rPr>
          <w:rFonts w:ascii="Times New Roman" w:eastAsia="Times New Roman" w:hAnsi="Times New Roman"/>
          <w:kern w:val="28"/>
          <w:sz w:val="20"/>
          <w:szCs w:val="20"/>
          <w:lang w:eastAsia="en-GB"/>
        </w:rPr>
        <w:t xml:space="preserve">, </w:t>
      </w:r>
      <w:r w:rsidR="004A5637">
        <w:rPr>
          <w:rFonts w:ascii="Times New Roman" w:eastAsia="Times New Roman" w:hAnsi="Times New Roman"/>
          <w:kern w:val="28"/>
          <w:sz w:val="20"/>
          <w:szCs w:val="20"/>
          <w:lang w:eastAsia="en-GB"/>
        </w:rPr>
        <w:t xml:space="preserve">A., </w:t>
      </w:r>
      <w:r w:rsidRPr="000768D4">
        <w:rPr>
          <w:rFonts w:ascii="Times New Roman" w:eastAsia="Times New Roman" w:hAnsi="Times New Roman"/>
          <w:kern w:val="28"/>
          <w:sz w:val="20"/>
          <w:szCs w:val="20"/>
          <w:lang w:eastAsia="en-GB"/>
        </w:rPr>
        <w:t xml:space="preserve">Fisher, </w:t>
      </w:r>
      <w:r w:rsidR="004A5637">
        <w:rPr>
          <w:rFonts w:ascii="Times New Roman" w:eastAsia="Times New Roman" w:hAnsi="Times New Roman"/>
          <w:kern w:val="28"/>
          <w:sz w:val="20"/>
          <w:szCs w:val="20"/>
          <w:lang w:eastAsia="en-GB"/>
        </w:rPr>
        <w:t xml:space="preserve">J., </w:t>
      </w:r>
      <w:proofErr w:type="spellStart"/>
      <w:r w:rsidRPr="000768D4">
        <w:rPr>
          <w:rFonts w:ascii="Times New Roman" w:eastAsia="Times New Roman" w:hAnsi="Times New Roman"/>
          <w:kern w:val="28"/>
          <w:sz w:val="20"/>
          <w:szCs w:val="20"/>
          <w:lang w:eastAsia="en-GB"/>
        </w:rPr>
        <w:t>Blottiaux</w:t>
      </w:r>
      <w:proofErr w:type="spellEnd"/>
      <w:r w:rsidRPr="000768D4">
        <w:rPr>
          <w:rFonts w:ascii="Times New Roman" w:eastAsia="Times New Roman" w:hAnsi="Times New Roman"/>
          <w:kern w:val="28"/>
          <w:sz w:val="20"/>
          <w:szCs w:val="20"/>
          <w:lang w:eastAsia="en-GB"/>
        </w:rPr>
        <w:t>,</w:t>
      </w:r>
      <w:r w:rsidR="004A5637">
        <w:rPr>
          <w:rFonts w:ascii="Times New Roman" w:eastAsia="Times New Roman" w:hAnsi="Times New Roman"/>
          <w:kern w:val="28"/>
          <w:sz w:val="20"/>
          <w:szCs w:val="20"/>
          <w:lang w:eastAsia="en-GB"/>
        </w:rPr>
        <w:t xml:space="preserve"> M., </w:t>
      </w:r>
      <w:r w:rsidRPr="000768D4">
        <w:rPr>
          <w:rFonts w:ascii="Times New Roman" w:eastAsia="Times New Roman" w:hAnsi="Times New Roman"/>
          <w:kern w:val="28"/>
          <w:sz w:val="20"/>
          <w:szCs w:val="20"/>
          <w:lang w:eastAsia="en-GB"/>
        </w:rPr>
        <w:t xml:space="preserve">Daniel, </w:t>
      </w:r>
      <w:r w:rsidR="004A5637">
        <w:rPr>
          <w:rFonts w:ascii="Times New Roman" w:eastAsia="Times New Roman" w:hAnsi="Times New Roman"/>
          <w:kern w:val="28"/>
          <w:sz w:val="20"/>
          <w:szCs w:val="20"/>
          <w:lang w:eastAsia="en-GB"/>
        </w:rPr>
        <w:t>D., O</w:t>
      </w:r>
      <w:r w:rsidRPr="000768D4">
        <w:rPr>
          <w:rFonts w:ascii="Times New Roman" w:eastAsia="Times New Roman" w:hAnsi="Times New Roman"/>
          <w:kern w:val="28"/>
          <w:sz w:val="20"/>
          <w:szCs w:val="20"/>
          <w:lang w:eastAsia="en-GB"/>
        </w:rPr>
        <w:t>liveira</w:t>
      </w:r>
      <w:r w:rsidR="004A5637">
        <w:rPr>
          <w:rFonts w:ascii="Times New Roman" w:eastAsia="Times New Roman" w:hAnsi="Times New Roman"/>
          <w:kern w:val="28"/>
          <w:sz w:val="20"/>
          <w:szCs w:val="20"/>
          <w:lang w:eastAsia="en-GB"/>
        </w:rPr>
        <w:t xml:space="preserve">, H. </w:t>
      </w:r>
      <w:r w:rsidRPr="000768D4">
        <w:rPr>
          <w:rFonts w:ascii="Times New Roman" w:eastAsia="Times New Roman" w:hAnsi="Times New Roman"/>
          <w:kern w:val="28"/>
          <w:sz w:val="20"/>
          <w:szCs w:val="20"/>
          <w:lang w:eastAsia="en-GB"/>
        </w:rPr>
        <w:t>and Green</w:t>
      </w:r>
      <w:r w:rsidR="004A5637">
        <w:rPr>
          <w:rFonts w:ascii="Times New Roman" w:eastAsia="Times New Roman" w:hAnsi="Times New Roman"/>
          <w:kern w:val="28"/>
          <w:sz w:val="20"/>
          <w:szCs w:val="20"/>
          <w:lang w:eastAsia="en-GB"/>
        </w:rPr>
        <w:t>, D. ‘</w:t>
      </w:r>
      <w:r w:rsidRPr="000768D4">
        <w:rPr>
          <w:rFonts w:ascii="Times New Roman" w:eastAsia="Times New Roman" w:hAnsi="Times New Roman"/>
          <w:bCs/>
          <w:kern w:val="28"/>
          <w:sz w:val="20"/>
          <w:szCs w:val="20"/>
          <w:lang w:eastAsia="en-GB"/>
        </w:rPr>
        <w:t>The global financial crisis: the case for a stronger criminal response</w:t>
      </w:r>
      <w:r w:rsidR="004A5637">
        <w:rPr>
          <w:rFonts w:ascii="Times New Roman" w:eastAsia="Times New Roman" w:hAnsi="Times New Roman"/>
          <w:bCs/>
          <w:kern w:val="28"/>
          <w:sz w:val="20"/>
          <w:szCs w:val="20"/>
          <w:lang w:eastAsia="en-GB"/>
        </w:rPr>
        <w:t xml:space="preserve">’ </w:t>
      </w:r>
      <w:r w:rsidRPr="000768D4">
        <w:rPr>
          <w:rFonts w:ascii="Times New Roman" w:eastAsia="Times New Roman" w:hAnsi="Times New Roman"/>
          <w:bCs/>
          <w:kern w:val="28"/>
          <w:sz w:val="20"/>
          <w:szCs w:val="20"/>
          <w:lang w:eastAsia="en-GB"/>
        </w:rPr>
        <w:t xml:space="preserve">(2013) 7(3) Law &amp; Financial Markets Review 159, </w:t>
      </w:r>
      <w:proofErr w:type="spellStart"/>
      <w:r w:rsidRPr="000768D4">
        <w:rPr>
          <w:rFonts w:ascii="Times New Roman" w:eastAsia="Times New Roman" w:hAnsi="Times New Roman"/>
          <w:bCs/>
          <w:kern w:val="28"/>
          <w:sz w:val="20"/>
          <w:szCs w:val="20"/>
          <w:lang w:eastAsia="en-GB"/>
        </w:rPr>
        <w:t>Herlin-Karnell</w:t>
      </w:r>
      <w:proofErr w:type="spellEnd"/>
      <w:r w:rsidRPr="000768D4">
        <w:rPr>
          <w:rFonts w:ascii="Times New Roman" w:eastAsia="Times New Roman" w:hAnsi="Times New Roman"/>
          <w:bCs/>
          <w:kern w:val="28"/>
          <w:sz w:val="20"/>
          <w:szCs w:val="20"/>
          <w:lang w:eastAsia="en-GB"/>
        </w:rPr>
        <w:t xml:space="preserve">, </w:t>
      </w:r>
      <w:r w:rsidR="004A5637">
        <w:rPr>
          <w:rFonts w:ascii="Times New Roman" w:eastAsia="Times New Roman" w:hAnsi="Times New Roman"/>
          <w:bCs/>
          <w:kern w:val="28"/>
          <w:sz w:val="20"/>
          <w:szCs w:val="20"/>
          <w:lang w:eastAsia="en-GB"/>
        </w:rPr>
        <w:t>E. ‘</w:t>
      </w:r>
      <w:r w:rsidRPr="000768D4">
        <w:rPr>
          <w:rFonts w:ascii="Times New Roman" w:eastAsia="Times New Roman" w:hAnsi="Times New Roman"/>
          <w:bCs/>
          <w:kern w:val="28"/>
          <w:sz w:val="20"/>
          <w:szCs w:val="20"/>
          <w:lang w:eastAsia="en-GB"/>
        </w:rPr>
        <w:t>White-collar crime and European financial crises: getting tough on EU market abuse</w:t>
      </w:r>
      <w:r w:rsidR="004A5637">
        <w:rPr>
          <w:rFonts w:ascii="Times New Roman" w:eastAsia="Times New Roman" w:hAnsi="Times New Roman"/>
          <w:bCs/>
          <w:kern w:val="28"/>
          <w:sz w:val="20"/>
          <w:szCs w:val="20"/>
          <w:lang w:eastAsia="en-GB"/>
        </w:rPr>
        <w:t xml:space="preserve">’ </w:t>
      </w:r>
      <w:r w:rsidRPr="000768D4">
        <w:rPr>
          <w:rFonts w:ascii="Times New Roman" w:eastAsia="Times New Roman" w:hAnsi="Times New Roman"/>
          <w:bCs/>
          <w:kern w:val="28"/>
          <w:sz w:val="20"/>
          <w:szCs w:val="20"/>
          <w:lang w:eastAsia="en-GB"/>
        </w:rPr>
        <w:t xml:space="preserve">(2012) 37(4) European Law Review 481, </w:t>
      </w:r>
      <w:proofErr w:type="spellStart"/>
      <w:r w:rsidRPr="000768D4">
        <w:rPr>
          <w:rFonts w:ascii="Times New Roman" w:eastAsia="Times New Roman" w:hAnsi="Times New Roman"/>
          <w:bCs/>
          <w:kern w:val="28"/>
          <w:sz w:val="20"/>
          <w:szCs w:val="20"/>
          <w:lang w:eastAsia="en-GB"/>
        </w:rPr>
        <w:t>Hardouin</w:t>
      </w:r>
      <w:proofErr w:type="spellEnd"/>
      <w:r w:rsidR="004A5637">
        <w:rPr>
          <w:rFonts w:ascii="Times New Roman" w:eastAsia="Times New Roman" w:hAnsi="Times New Roman"/>
          <w:bCs/>
          <w:kern w:val="28"/>
          <w:sz w:val="20"/>
          <w:szCs w:val="20"/>
          <w:lang w:eastAsia="en-GB"/>
        </w:rPr>
        <w:t>, P. ‘</w:t>
      </w:r>
      <w:r w:rsidRPr="000768D4">
        <w:rPr>
          <w:rFonts w:ascii="Times New Roman" w:eastAsia="Times New Roman" w:hAnsi="Times New Roman"/>
          <w:bCs/>
          <w:kern w:val="28"/>
          <w:sz w:val="20"/>
          <w:szCs w:val="20"/>
          <w:lang w:eastAsia="en-GB"/>
        </w:rPr>
        <w:t>The aftermath of the financial crisis</w:t>
      </w:r>
      <w:r w:rsidR="004A5637">
        <w:rPr>
          <w:rFonts w:ascii="Times New Roman" w:eastAsia="Times New Roman" w:hAnsi="Times New Roman"/>
          <w:bCs/>
          <w:kern w:val="28"/>
          <w:sz w:val="20"/>
          <w:szCs w:val="20"/>
          <w:lang w:eastAsia="en-GB"/>
        </w:rPr>
        <w:t>’</w:t>
      </w:r>
      <w:r w:rsidRPr="000768D4">
        <w:rPr>
          <w:rFonts w:ascii="Times New Roman" w:eastAsia="Times New Roman" w:hAnsi="Times New Roman"/>
          <w:bCs/>
          <w:kern w:val="28"/>
          <w:sz w:val="20"/>
          <w:szCs w:val="20"/>
          <w:lang w:eastAsia="en-GB"/>
        </w:rPr>
        <w:t xml:space="preserve"> (2011) 18(2) Journal of Financial Crime 148, </w:t>
      </w:r>
      <w:r w:rsidR="004A5637">
        <w:rPr>
          <w:rFonts w:ascii="Times New Roman" w:eastAsia="Times New Roman" w:hAnsi="Times New Roman"/>
          <w:bCs/>
          <w:kern w:val="28"/>
          <w:sz w:val="20"/>
          <w:szCs w:val="20"/>
          <w:lang w:eastAsia="en-GB"/>
        </w:rPr>
        <w:t>C</w:t>
      </w:r>
      <w:r w:rsidRPr="000768D4">
        <w:rPr>
          <w:rFonts w:ascii="Times New Roman" w:eastAsia="Times New Roman" w:hAnsi="Times New Roman"/>
          <w:bCs/>
          <w:kern w:val="28"/>
          <w:sz w:val="20"/>
          <w:szCs w:val="20"/>
          <w:lang w:eastAsia="en-GB"/>
        </w:rPr>
        <w:t xml:space="preserve">reseney, </w:t>
      </w:r>
      <w:r w:rsidR="004A5637">
        <w:rPr>
          <w:rFonts w:ascii="Times New Roman" w:eastAsia="Times New Roman" w:hAnsi="Times New Roman"/>
          <w:bCs/>
          <w:kern w:val="28"/>
          <w:sz w:val="20"/>
          <w:szCs w:val="20"/>
          <w:lang w:eastAsia="en-GB"/>
        </w:rPr>
        <w:t xml:space="preserve">A., </w:t>
      </w:r>
      <w:proofErr w:type="spellStart"/>
      <w:r w:rsidRPr="000768D4">
        <w:rPr>
          <w:rFonts w:ascii="Times New Roman" w:eastAsia="Times New Roman" w:hAnsi="Times New Roman"/>
          <w:bCs/>
          <w:kern w:val="28"/>
          <w:sz w:val="20"/>
          <w:szCs w:val="20"/>
          <w:lang w:eastAsia="en-GB"/>
        </w:rPr>
        <w:t>Eng</w:t>
      </w:r>
      <w:proofErr w:type="spellEnd"/>
      <w:r w:rsidR="004A5637">
        <w:rPr>
          <w:rFonts w:ascii="Times New Roman" w:eastAsia="Times New Roman" w:hAnsi="Times New Roman"/>
          <w:bCs/>
          <w:kern w:val="28"/>
          <w:sz w:val="20"/>
          <w:szCs w:val="20"/>
          <w:lang w:eastAsia="en-GB"/>
        </w:rPr>
        <w:t xml:space="preserve">, G. </w:t>
      </w:r>
      <w:r w:rsidRPr="000768D4">
        <w:rPr>
          <w:rFonts w:ascii="Times New Roman" w:eastAsia="Times New Roman" w:hAnsi="Times New Roman"/>
          <w:bCs/>
          <w:kern w:val="28"/>
          <w:sz w:val="20"/>
          <w:szCs w:val="20"/>
          <w:lang w:eastAsia="en-GB"/>
        </w:rPr>
        <w:t xml:space="preserve">and </w:t>
      </w:r>
      <w:proofErr w:type="spellStart"/>
      <w:r w:rsidRPr="000768D4">
        <w:rPr>
          <w:rFonts w:ascii="Times New Roman" w:eastAsia="Times New Roman" w:hAnsi="Times New Roman"/>
          <w:bCs/>
          <w:kern w:val="28"/>
          <w:sz w:val="20"/>
          <w:szCs w:val="20"/>
          <w:lang w:eastAsia="en-GB"/>
        </w:rPr>
        <w:t>Nuttal</w:t>
      </w:r>
      <w:proofErr w:type="spellEnd"/>
      <w:r w:rsidRPr="000768D4">
        <w:rPr>
          <w:rFonts w:ascii="Times New Roman" w:eastAsia="Times New Roman" w:hAnsi="Times New Roman"/>
          <w:bCs/>
          <w:kern w:val="28"/>
          <w:sz w:val="20"/>
          <w:szCs w:val="20"/>
          <w:lang w:eastAsia="en-GB"/>
        </w:rPr>
        <w:t>,</w:t>
      </w:r>
      <w:r w:rsidR="004A5637">
        <w:rPr>
          <w:rFonts w:ascii="Times New Roman" w:eastAsia="Times New Roman" w:hAnsi="Times New Roman"/>
          <w:bCs/>
          <w:kern w:val="28"/>
          <w:sz w:val="20"/>
          <w:szCs w:val="20"/>
          <w:lang w:eastAsia="en-GB"/>
        </w:rPr>
        <w:t xml:space="preserve"> S. ‘</w:t>
      </w:r>
      <w:r w:rsidRPr="000768D4">
        <w:rPr>
          <w:rFonts w:ascii="Times New Roman" w:eastAsia="Times New Roman" w:hAnsi="Times New Roman"/>
          <w:bCs/>
          <w:kern w:val="28"/>
          <w:sz w:val="20"/>
          <w:szCs w:val="20"/>
          <w:lang w:eastAsia="en-GB"/>
        </w:rPr>
        <w:t>Regulatory investigations and the credit crisis: the search for villains</w:t>
      </w:r>
      <w:r w:rsidR="004A5637">
        <w:rPr>
          <w:rFonts w:ascii="Times New Roman" w:eastAsia="Times New Roman" w:hAnsi="Times New Roman"/>
          <w:bCs/>
          <w:kern w:val="28"/>
          <w:sz w:val="20"/>
          <w:szCs w:val="20"/>
          <w:lang w:eastAsia="en-GB"/>
        </w:rPr>
        <w:t>’</w:t>
      </w:r>
      <w:r w:rsidRPr="000768D4">
        <w:rPr>
          <w:rFonts w:ascii="Times New Roman" w:eastAsia="Times New Roman" w:hAnsi="Times New Roman"/>
          <w:bCs/>
          <w:kern w:val="28"/>
          <w:sz w:val="20"/>
          <w:szCs w:val="20"/>
          <w:lang w:eastAsia="en-GB"/>
        </w:rPr>
        <w:t>” (2009) 46 American Criminal Law Review 225, and Posner</w:t>
      </w:r>
      <w:r w:rsidR="004A5637">
        <w:rPr>
          <w:rFonts w:ascii="Times New Roman" w:eastAsia="Times New Roman" w:hAnsi="Times New Roman"/>
          <w:bCs/>
          <w:kern w:val="28"/>
          <w:sz w:val="20"/>
          <w:szCs w:val="20"/>
          <w:lang w:eastAsia="en-GB"/>
        </w:rPr>
        <w:t>, E.</w:t>
      </w:r>
      <w:r w:rsidRPr="000768D4">
        <w:rPr>
          <w:rFonts w:ascii="Times New Roman" w:eastAsia="Times New Roman" w:hAnsi="Times New Roman"/>
          <w:bCs/>
          <w:kern w:val="28"/>
          <w:sz w:val="20"/>
          <w:szCs w:val="20"/>
          <w:lang w:eastAsia="en-GB"/>
        </w:rPr>
        <w:t xml:space="preserve"> and </w:t>
      </w:r>
      <w:proofErr w:type="spellStart"/>
      <w:r w:rsidRPr="000768D4">
        <w:rPr>
          <w:rFonts w:ascii="Times New Roman" w:eastAsia="Times New Roman" w:hAnsi="Times New Roman"/>
          <w:bCs/>
          <w:kern w:val="28"/>
          <w:sz w:val="20"/>
          <w:szCs w:val="20"/>
          <w:lang w:eastAsia="en-GB"/>
        </w:rPr>
        <w:t>Vermeule</w:t>
      </w:r>
      <w:proofErr w:type="spellEnd"/>
      <w:r w:rsidRPr="000768D4">
        <w:rPr>
          <w:rFonts w:ascii="Times New Roman" w:eastAsia="Times New Roman" w:hAnsi="Times New Roman"/>
          <w:bCs/>
          <w:kern w:val="28"/>
          <w:sz w:val="20"/>
          <w:szCs w:val="20"/>
          <w:lang w:eastAsia="en-GB"/>
        </w:rPr>
        <w:t xml:space="preserve">, </w:t>
      </w:r>
      <w:r w:rsidR="004A5637">
        <w:rPr>
          <w:rFonts w:ascii="Times New Roman" w:eastAsia="Times New Roman" w:hAnsi="Times New Roman"/>
          <w:bCs/>
          <w:kern w:val="28"/>
          <w:sz w:val="20"/>
          <w:szCs w:val="20"/>
          <w:lang w:eastAsia="en-GB"/>
        </w:rPr>
        <w:t>A. ‘</w:t>
      </w:r>
      <w:r w:rsidRPr="000768D4">
        <w:rPr>
          <w:rFonts w:ascii="Times New Roman" w:eastAsia="Times New Roman" w:hAnsi="Times New Roman"/>
          <w:bCs/>
          <w:kern w:val="28"/>
          <w:sz w:val="20"/>
          <w:szCs w:val="20"/>
          <w:lang w:eastAsia="en-GB"/>
        </w:rPr>
        <w:t>Crisis governance in the administrative state: 9/11 and the financial meltdown of 2008</w:t>
      </w:r>
      <w:r w:rsidR="004A5637">
        <w:rPr>
          <w:rFonts w:ascii="Times New Roman" w:eastAsia="Times New Roman" w:hAnsi="Times New Roman"/>
          <w:bCs/>
          <w:kern w:val="28"/>
          <w:sz w:val="20"/>
          <w:szCs w:val="20"/>
          <w:lang w:eastAsia="en-GB"/>
        </w:rPr>
        <w:t>’</w:t>
      </w:r>
      <w:r w:rsidRPr="000768D4">
        <w:rPr>
          <w:rFonts w:ascii="Times New Roman" w:eastAsia="Times New Roman" w:hAnsi="Times New Roman"/>
          <w:bCs/>
          <w:kern w:val="28"/>
          <w:sz w:val="20"/>
          <w:szCs w:val="20"/>
          <w:lang w:eastAsia="en-GB"/>
        </w:rPr>
        <w:t xml:space="preserve"> (2009) 76 University of Chicago Law Review 1613.</w:t>
      </w:r>
    </w:p>
  </w:footnote>
  <w:footnote w:id="2">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Reinhart, C. and Rogoff, K. </w:t>
      </w:r>
      <w:r w:rsidRPr="000768D4">
        <w:rPr>
          <w:rFonts w:ascii="Times New Roman" w:hAnsi="Times New Roman"/>
          <w:i/>
          <w:sz w:val="20"/>
          <w:szCs w:val="20"/>
        </w:rPr>
        <w:t>This time is different – eight centuries of financial folly</w:t>
      </w:r>
      <w:r w:rsidRPr="000768D4">
        <w:rPr>
          <w:rFonts w:ascii="Times New Roman" w:hAnsi="Times New Roman"/>
          <w:sz w:val="20"/>
          <w:szCs w:val="20"/>
        </w:rPr>
        <w:t xml:space="preserve"> (Princeton University Press: New Jersey, 2009).</w:t>
      </w:r>
    </w:p>
  </w:footnote>
  <w:footnote w:id="3">
    <w:p w:rsidR="00BD0366" w:rsidRPr="000768D4" w:rsidRDefault="00BD0366" w:rsidP="000768D4">
      <w:pPr>
        <w:widowControl w:val="0"/>
        <w:overflowPunct w:val="0"/>
        <w:autoSpaceDE w:val="0"/>
        <w:autoSpaceDN w:val="0"/>
        <w:adjustRightInd w:val="0"/>
        <w:spacing w:after="0" w:line="240" w:lineRule="auto"/>
        <w:jc w:val="both"/>
        <w:rPr>
          <w:rFonts w:ascii="Times New Roman" w:eastAsia="SimSun" w:hAnsi="Times New Roman" w:cs="Times New Roman"/>
          <w:kern w:val="28"/>
          <w:sz w:val="20"/>
          <w:szCs w:val="20"/>
          <w:lang w:val="en-US" w:eastAsia="zh-CN"/>
        </w:rPr>
      </w:pPr>
      <w:r w:rsidRPr="000768D4">
        <w:rPr>
          <w:rStyle w:val="FootnoteReference"/>
          <w:rFonts w:ascii="Times New Roman" w:hAnsi="Times New Roman" w:cs="Times New Roman"/>
          <w:sz w:val="20"/>
          <w:szCs w:val="20"/>
        </w:rPr>
        <w:footnoteRef/>
      </w:r>
      <w:r w:rsidRPr="000768D4">
        <w:rPr>
          <w:rFonts w:ascii="Times New Roman" w:hAnsi="Times New Roman" w:cs="Times New Roman"/>
          <w:sz w:val="20"/>
          <w:szCs w:val="20"/>
        </w:rPr>
        <w:t xml:space="preserve"> See </w:t>
      </w:r>
      <w:r w:rsidRPr="000768D4">
        <w:rPr>
          <w:rFonts w:ascii="Times New Roman" w:eastAsia="SimSun" w:hAnsi="Times New Roman" w:cs="Times New Roman"/>
          <w:kern w:val="28"/>
          <w:sz w:val="20"/>
          <w:szCs w:val="20"/>
          <w:lang w:val="en-US" w:eastAsia="zh-CN"/>
        </w:rPr>
        <w:t xml:space="preserve">International Monetary Fund </w:t>
      </w:r>
      <w:r w:rsidRPr="000768D4">
        <w:rPr>
          <w:rFonts w:ascii="Times New Roman" w:eastAsia="SimSun" w:hAnsi="Times New Roman" w:cs="Times New Roman"/>
          <w:i/>
          <w:iCs/>
          <w:kern w:val="28"/>
          <w:sz w:val="20"/>
          <w:szCs w:val="20"/>
          <w:lang w:val="en-US" w:eastAsia="zh-CN"/>
        </w:rPr>
        <w:t xml:space="preserve">Global Financial Stability Report: Containing Systemic Risks and Restoring Financial Soundness </w:t>
      </w:r>
      <w:r w:rsidRPr="000768D4">
        <w:rPr>
          <w:rFonts w:ascii="Times New Roman" w:eastAsia="SimSun" w:hAnsi="Times New Roman" w:cs="Times New Roman"/>
          <w:iCs/>
          <w:kern w:val="28"/>
          <w:sz w:val="20"/>
          <w:szCs w:val="20"/>
          <w:lang w:val="en-US" w:eastAsia="zh-CN"/>
        </w:rPr>
        <w:t xml:space="preserve">(International Monetary Fund, </w:t>
      </w:r>
      <w:r w:rsidRPr="000768D4">
        <w:rPr>
          <w:rFonts w:ascii="Times New Roman" w:eastAsia="SimSun" w:hAnsi="Times New Roman" w:cs="Times New Roman"/>
          <w:kern w:val="28"/>
          <w:sz w:val="20"/>
          <w:szCs w:val="20"/>
          <w:lang w:val="en-US" w:eastAsia="zh-CN"/>
        </w:rPr>
        <w:t>2008).</w:t>
      </w:r>
    </w:p>
  </w:footnote>
  <w:footnote w:id="4">
    <w:p w:rsidR="00BD0366" w:rsidRPr="000768D4" w:rsidRDefault="00BD0366" w:rsidP="000768D4">
      <w:pPr>
        <w:autoSpaceDE w:val="0"/>
        <w:autoSpaceDN w:val="0"/>
        <w:adjustRightInd w:val="0"/>
        <w:spacing w:after="0" w:line="240" w:lineRule="auto"/>
        <w:jc w:val="both"/>
        <w:rPr>
          <w:rFonts w:ascii="Times New Roman" w:eastAsia="Times New Roman" w:hAnsi="Times New Roman" w:cs="Times New Roman"/>
          <w:noProof/>
          <w:sz w:val="20"/>
          <w:szCs w:val="20"/>
        </w:rPr>
      </w:pPr>
      <w:r w:rsidRPr="000768D4">
        <w:rPr>
          <w:rStyle w:val="FootnoteReference"/>
          <w:rFonts w:ascii="Times New Roman" w:hAnsi="Times New Roman" w:cs="Times New Roman"/>
          <w:sz w:val="20"/>
          <w:szCs w:val="20"/>
        </w:rPr>
        <w:footnoteRef/>
      </w:r>
      <w:r w:rsidRPr="000768D4">
        <w:rPr>
          <w:rFonts w:ascii="Times New Roman" w:hAnsi="Times New Roman" w:cs="Times New Roman"/>
          <w:sz w:val="20"/>
          <w:szCs w:val="20"/>
        </w:rPr>
        <w:t xml:space="preserve"> </w:t>
      </w:r>
      <w:r w:rsidRPr="000768D4">
        <w:rPr>
          <w:rFonts w:ascii="Times New Roman" w:eastAsia="Times New Roman" w:hAnsi="Times New Roman" w:cs="Times New Roman"/>
          <w:noProof/>
          <w:sz w:val="20"/>
          <w:szCs w:val="20"/>
        </w:rPr>
        <w:t xml:space="preserve">Department of Treasury </w:t>
      </w:r>
      <w:r w:rsidRPr="000768D4">
        <w:rPr>
          <w:rFonts w:ascii="Times New Roman" w:eastAsia="Times New Roman" w:hAnsi="Times New Roman" w:cs="Times New Roman"/>
          <w:i/>
          <w:sz w:val="20"/>
          <w:szCs w:val="20"/>
          <w:lang w:eastAsia="en-GB"/>
        </w:rPr>
        <w:t>Financial regulatory reform – A new foundation: Rebuilding financial supervision and regulation</w:t>
      </w:r>
      <w:r w:rsidRPr="000768D4">
        <w:rPr>
          <w:rFonts w:ascii="Times New Roman" w:eastAsia="Times New Roman" w:hAnsi="Times New Roman" w:cs="Times New Roman"/>
          <w:sz w:val="20"/>
          <w:szCs w:val="20"/>
          <w:lang w:eastAsia="en-GB"/>
        </w:rPr>
        <w:t xml:space="preserve"> (Department of Treasury: London, 2009).</w:t>
      </w:r>
    </w:p>
  </w:footnote>
  <w:footnote w:id="5">
    <w:p w:rsidR="00BD0366" w:rsidRPr="000768D4" w:rsidRDefault="00BD0366" w:rsidP="000768D4">
      <w:pPr>
        <w:pStyle w:val="FootnoteText"/>
        <w:jc w:val="both"/>
        <w:rPr>
          <w:rFonts w:ascii="Times New Roman" w:hAnsi="Times New Roman"/>
          <w:i/>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For an interesting commentary on the UK response to the financial crisis see Arora, A. </w:t>
      </w:r>
      <w:r w:rsidRPr="000768D4">
        <w:rPr>
          <w:rFonts w:ascii="Times New Roman" w:hAnsi="Times New Roman"/>
          <w:i/>
          <w:sz w:val="20"/>
          <w:szCs w:val="20"/>
        </w:rPr>
        <w:t>Banking Law</w:t>
      </w:r>
      <w:r w:rsidRPr="000768D4">
        <w:rPr>
          <w:rFonts w:ascii="Times New Roman" w:hAnsi="Times New Roman"/>
          <w:sz w:val="20"/>
          <w:szCs w:val="20"/>
        </w:rPr>
        <w:t xml:space="preserve"> (Pearson: Harlow: 2014) at 123-167 and HM Government </w:t>
      </w:r>
      <w:r w:rsidRPr="007D68E8">
        <w:rPr>
          <w:rFonts w:ascii="Times New Roman" w:hAnsi="Times New Roman"/>
          <w:bCs/>
          <w:i/>
          <w:sz w:val="20"/>
          <w:szCs w:val="20"/>
        </w:rPr>
        <w:t>Review of HM Treasury’s management response to the financial crisis</w:t>
      </w:r>
      <w:r w:rsidRPr="000768D4">
        <w:rPr>
          <w:rFonts w:ascii="Times New Roman" w:hAnsi="Times New Roman"/>
          <w:bCs/>
          <w:sz w:val="20"/>
          <w:szCs w:val="20"/>
        </w:rPr>
        <w:t xml:space="preserve"> (HM Government: London, 2012).</w:t>
      </w:r>
    </w:p>
  </w:footnote>
  <w:footnote w:id="6">
    <w:p w:rsidR="00BD0366" w:rsidRPr="000768D4" w:rsidRDefault="00BD0366" w:rsidP="000768D4">
      <w:pPr>
        <w:spacing w:after="0" w:line="240" w:lineRule="auto"/>
        <w:jc w:val="both"/>
        <w:rPr>
          <w:rFonts w:ascii="Times New Roman" w:eastAsia="SimSun" w:hAnsi="Times New Roman" w:cs="Times New Roman"/>
          <w:sz w:val="20"/>
          <w:szCs w:val="20"/>
          <w:lang w:eastAsia="zh-CN"/>
        </w:rPr>
      </w:pPr>
      <w:r w:rsidRPr="000768D4">
        <w:rPr>
          <w:rStyle w:val="FootnoteReference"/>
          <w:rFonts w:ascii="Times New Roman" w:hAnsi="Times New Roman" w:cs="Times New Roman"/>
          <w:sz w:val="20"/>
          <w:szCs w:val="20"/>
        </w:rPr>
        <w:footnoteRef/>
      </w:r>
      <w:r w:rsidRPr="000768D4">
        <w:rPr>
          <w:rFonts w:ascii="Times New Roman" w:hAnsi="Times New Roman" w:cs="Times New Roman"/>
          <w:sz w:val="20"/>
          <w:szCs w:val="20"/>
        </w:rPr>
        <w:t xml:space="preserve"> </w:t>
      </w:r>
      <w:r w:rsidRPr="000768D4">
        <w:rPr>
          <w:rFonts w:ascii="Times New Roman" w:eastAsia="SimSun" w:hAnsi="Times New Roman" w:cs="Times New Roman"/>
          <w:sz w:val="20"/>
          <w:szCs w:val="20"/>
          <w:lang w:eastAsia="zh-CN"/>
        </w:rPr>
        <w:t xml:space="preserve">Financial Crisis Inquiry Commission </w:t>
      </w:r>
      <w:r w:rsidRPr="000768D4">
        <w:rPr>
          <w:rFonts w:ascii="Times New Roman" w:eastAsia="SimSun" w:hAnsi="Times New Roman" w:cs="Times New Roman"/>
          <w:i/>
          <w:sz w:val="20"/>
          <w:szCs w:val="20"/>
          <w:lang w:eastAsia="zh-CN"/>
        </w:rPr>
        <w:t>Final Report of the National Commission on the Causes of the Financial and Economic Crisis in the United States</w:t>
      </w:r>
      <w:r w:rsidRPr="000768D4">
        <w:rPr>
          <w:rFonts w:ascii="Times New Roman" w:eastAsia="SimSun" w:hAnsi="Times New Roman" w:cs="Times New Roman"/>
          <w:sz w:val="20"/>
          <w:szCs w:val="20"/>
          <w:lang w:eastAsia="zh-CN"/>
        </w:rPr>
        <w:t xml:space="preserve"> (Financial Crisis Inquiry Commission: Washington DC, 2011).  </w:t>
      </w:r>
    </w:p>
  </w:footnote>
  <w:footnote w:id="7">
    <w:p w:rsidR="00BD0366" w:rsidRPr="000768D4" w:rsidRDefault="00BD0366" w:rsidP="000768D4">
      <w:pPr>
        <w:autoSpaceDE w:val="0"/>
        <w:autoSpaceDN w:val="0"/>
        <w:adjustRightInd w:val="0"/>
        <w:spacing w:after="0" w:line="240" w:lineRule="auto"/>
        <w:jc w:val="both"/>
        <w:rPr>
          <w:rFonts w:ascii="Times New Roman" w:hAnsi="Times New Roman" w:cs="Times New Roman"/>
          <w:sz w:val="20"/>
          <w:szCs w:val="20"/>
        </w:rPr>
      </w:pPr>
      <w:r w:rsidRPr="000768D4">
        <w:rPr>
          <w:rStyle w:val="FootnoteReference"/>
          <w:rFonts w:ascii="Times New Roman" w:hAnsi="Times New Roman" w:cs="Times New Roman"/>
          <w:sz w:val="20"/>
          <w:szCs w:val="20"/>
        </w:rPr>
        <w:footnoteRef/>
      </w:r>
      <w:r w:rsidRPr="000768D4">
        <w:rPr>
          <w:rFonts w:ascii="Times New Roman" w:hAnsi="Times New Roman" w:cs="Times New Roman"/>
          <w:sz w:val="20"/>
          <w:szCs w:val="20"/>
        </w:rPr>
        <w:t xml:space="preserve"> For an interesting discussion of the subprime model see McDonald, O. ‘The American mortgage market’ (2012) Company Lawyer, 33(6), 183–184 and </w:t>
      </w:r>
      <w:proofErr w:type="spellStart"/>
      <w:r w:rsidRPr="000768D4">
        <w:rPr>
          <w:rFonts w:ascii="Times New Roman" w:hAnsi="Times New Roman" w:cs="Times New Roman"/>
          <w:sz w:val="20"/>
          <w:szCs w:val="20"/>
        </w:rPr>
        <w:t>Yeoh</w:t>
      </w:r>
      <w:proofErr w:type="spellEnd"/>
      <w:r w:rsidRPr="000768D4">
        <w:rPr>
          <w:rFonts w:ascii="Times New Roman" w:hAnsi="Times New Roman" w:cs="Times New Roman"/>
          <w:sz w:val="20"/>
          <w:szCs w:val="20"/>
        </w:rPr>
        <w:t xml:space="preserve">, P. ‘Hedge funds: from privileged child to locust and now bogeyman?’ (2012) Company Lawyer, 33(2), 42–49.  </w:t>
      </w:r>
    </w:p>
  </w:footnote>
  <w:footnote w:id="8">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hAnsi="Times New Roman"/>
          <w:sz w:val="20"/>
          <w:szCs w:val="20"/>
          <w:lang w:val="en-GB"/>
        </w:rPr>
        <w:t>Hereinafter ‘US’.</w:t>
      </w:r>
      <w:proofErr w:type="gramEnd"/>
    </w:p>
  </w:footnote>
  <w:footnote w:id="9">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Taylor, J. </w:t>
      </w:r>
      <w:r w:rsidRPr="000768D4">
        <w:rPr>
          <w:rFonts w:ascii="Times New Roman" w:hAnsi="Times New Roman"/>
          <w:i/>
          <w:sz w:val="20"/>
          <w:szCs w:val="20"/>
        </w:rPr>
        <w:t>The financial crisis and the policy responses: an empirical analysis of what went wrong</w:t>
      </w:r>
      <w:r w:rsidRPr="000768D4">
        <w:rPr>
          <w:rFonts w:ascii="Times New Roman" w:hAnsi="Times New Roman"/>
          <w:sz w:val="20"/>
          <w:szCs w:val="20"/>
        </w:rPr>
        <w:t xml:space="preserve"> (National Bureau of Economic Research: Cambridge, 2009)</w:t>
      </w:r>
      <w:r w:rsidR="004A5637">
        <w:rPr>
          <w:rFonts w:ascii="Times New Roman" w:hAnsi="Times New Roman"/>
          <w:sz w:val="20"/>
          <w:szCs w:val="20"/>
        </w:rPr>
        <w:t>.</w:t>
      </w:r>
    </w:p>
  </w:footnote>
  <w:footnote w:id="10">
    <w:p w:rsidR="00BD0366" w:rsidRPr="007D68E8" w:rsidRDefault="00BD0366" w:rsidP="007D68E8">
      <w:pPr>
        <w:spacing w:after="0" w:line="240" w:lineRule="auto"/>
        <w:jc w:val="both"/>
        <w:rPr>
          <w:rFonts w:ascii="Times New Roman" w:eastAsia="Times New Roman" w:hAnsi="Times New Roman" w:cs="Times New Roman"/>
          <w:sz w:val="20"/>
          <w:szCs w:val="20"/>
          <w:lang w:eastAsia="en-GB"/>
        </w:rPr>
      </w:pPr>
      <w:r w:rsidRPr="007D68E8">
        <w:rPr>
          <w:rStyle w:val="FootnoteReference"/>
          <w:rFonts w:ascii="Times New Roman" w:hAnsi="Times New Roman"/>
          <w:sz w:val="20"/>
          <w:szCs w:val="20"/>
        </w:rPr>
        <w:footnoteRef/>
      </w:r>
      <w:r w:rsidRPr="007D68E8">
        <w:rPr>
          <w:rFonts w:ascii="Times New Roman" w:hAnsi="Times New Roman"/>
          <w:sz w:val="20"/>
          <w:szCs w:val="20"/>
        </w:rPr>
        <w:t xml:space="preserve"> See generally </w:t>
      </w:r>
      <w:r w:rsidR="007D68E8" w:rsidRPr="007D68E8">
        <w:rPr>
          <w:rFonts w:ascii="Times New Roman" w:eastAsia="Times New Roman" w:hAnsi="Times New Roman" w:cs="Times New Roman"/>
          <w:sz w:val="20"/>
          <w:szCs w:val="20"/>
          <w:lang w:eastAsia="en-GB"/>
        </w:rPr>
        <w:t xml:space="preserve">Dickerson, M. ‘Over-indebtedness, the subprime mortgage crisis, and the effect on US cities’ (2009) Fordham Urban Law </w:t>
      </w:r>
      <w:r w:rsidR="007D68E8" w:rsidRPr="007D68E8">
        <w:rPr>
          <w:rFonts w:ascii="Times New Roman" w:eastAsia="Times New Roman" w:hAnsi="Times New Roman" w:cs="Times New Roman"/>
          <w:sz w:val="20"/>
          <w:szCs w:val="20"/>
          <w:lang w:eastAsia="en-GB"/>
        </w:rPr>
        <w:t>Journal, 36, 395-425.</w:t>
      </w:r>
    </w:p>
  </w:footnote>
  <w:footnote w:id="11">
    <w:p w:rsidR="00BD0366" w:rsidRPr="000768D4" w:rsidRDefault="00BD0366" w:rsidP="000768D4">
      <w:pPr>
        <w:spacing w:after="0" w:line="240" w:lineRule="auto"/>
        <w:jc w:val="both"/>
        <w:outlineLvl w:val="2"/>
        <w:rPr>
          <w:rFonts w:ascii="Times New Roman" w:eastAsia="Times New Roman" w:hAnsi="Times New Roman" w:cs="Times New Roman"/>
          <w:sz w:val="20"/>
          <w:szCs w:val="20"/>
          <w:lang w:eastAsia="en-GB"/>
        </w:rPr>
      </w:pPr>
      <w:r w:rsidRPr="000768D4">
        <w:rPr>
          <w:rStyle w:val="FootnoteReference"/>
          <w:rFonts w:ascii="Times New Roman" w:hAnsi="Times New Roman" w:cs="Times New Roman"/>
          <w:sz w:val="20"/>
          <w:szCs w:val="20"/>
        </w:rPr>
        <w:footnoteRef/>
      </w:r>
      <w:r w:rsidRPr="000768D4">
        <w:rPr>
          <w:rFonts w:ascii="Times New Roman" w:hAnsi="Times New Roman" w:cs="Times New Roman"/>
          <w:sz w:val="20"/>
          <w:szCs w:val="20"/>
        </w:rPr>
        <w:t xml:space="preserve"> </w:t>
      </w:r>
      <w:proofErr w:type="spellStart"/>
      <w:r w:rsidRPr="000768D4">
        <w:rPr>
          <w:rFonts w:ascii="Times New Roman" w:eastAsia="Times New Roman" w:hAnsi="Times New Roman" w:cs="Times New Roman"/>
          <w:sz w:val="20"/>
          <w:szCs w:val="20"/>
          <w:lang w:eastAsia="en-GB"/>
        </w:rPr>
        <w:t>Arsalidou</w:t>
      </w:r>
      <w:proofErr w:type="spellEnd"/>
      <w:r w:rsidRPr="000768D4">
        <w:rPr>
          <w:rFonts w:ascii="Times New Roman" w:eastAsia="Times New Roman" w:hAnsi="Times New Roman" w:cs="Times New Roman"/>
          <w:sz w:val="20"/>
          <w:szCs w:val="20"/>
          <w:lang w:eastAsia="en-GB"/>
        </w:rPr>
        <w:t>, D. ‘</w:t>
      </w:r>
      <w:proofErr w:type="gramStart"/>
      <w:r w:rsidRPr="000768D4">
        <w:rPr>
          <w:rFonts w:ascii="Times New Roman" w:eastAsia="Times New Roman" w:hAnsi="Times New Roman" w:cs="Times New Roman"/>
          <w:bCs/>
          <w:sz w:val="20"/>
          <w:szCs w:val="20"/>
          <w:lang w:eastAsia="en-GB"/>
        </w:rPr>
        <w:t>The</w:t>
      </w:r>
      <w:proofErr w:type="gramEnd"/>
      <w:r w:rsidRPr="000768D4">
        <w:rPr>
          <w:rFonts w:ascii="Times New Roman" w:eastAsia="Times New Roman" w:hAnsi="Times New Roman" w:cs="Times New Roman"/>
          <w:bCs/>
          <w:sz w:val="20"/>
          <w:szCs w:val="20"/>
          <w:lang w:eastAsia="en-GB"/>
        </w:rPr>
        <w:t xml:space="preserve"> banking crisis: rethinking and refining the accountability of bank directors’ (2010) Journal of Business Law, </w:t>
      </w:r>
      <w:r w:rsidRPr="000768D4">
        <w:rPr>
          <w:rFonts w:ascii="Times New Roman" w:hAnsi="Times New Roman" w:cs="Times New Roman"/>
          <w:sz w:val="20"/>
          <w:szCs w:val="20"/>
        </w:rPr>
        <w:t>4, 284-310 at 292.</w:t>
      </w:r>
    </w:p>
  </w:footnote>
  <w:footnote w:id="12">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For a critical discussion of </w:t>
      </w:r>
      <w:proofErr w:type="spellStart"/>
      <w:r w:rsidRPr="000768D4">
        <w:rPr>
          <w:rFonts w:ascii="Times New Roman" w:hAnsi="Times New Roman"/>
          <w:sz w:val="20"/>
          <w:szCs w:val="20"/>
        </w:rPr>
        <w:t>securitisation</w:t>
      </w:r>
      <w:proofErr w:type="spellEnd"/>
      <w:r w:rsidRPr="000768D4">
        <w:rPr>
          <w:rFonts w:ascii="Times New Roman" w:hAnsi="Times New Roman"/>
          <w:sz w:val="20"/>
          <w:szCs w:val="20"/>
        </w:rPr>
        <w:t xml:space="preserve"> see </w:t>
      </w:r>
      <w:proofErr w:type="spellStart"/>
      <w:r w:rsidRPr="000768D4">
        <w:rPr>
          <w:rFonts w:ascii="Times New Roman" w:hAnsi="Times New Roman"/>
          <w:sz w:val="20"/>
          <w:szCs w:val="20"/>
        </w:rPr>
        <w:t>Nwogugu</w:t>
      </w:r>
      <w:proofErr w:type="spellEnd"/>
      <w:r w:rsidRPr="000768D4">
        <w:rPr>
          <w:rFonts w:ascii="Times New Roman" w:hAnsi="Times New Roman"/>
          <w:sz w:val="20"/>
          <w:szCs w:val="20"/>
        </w:rPr>
        <w:t>, M. ‘</w:t>
      </w:r>
      <w:proofErr w:type="spellStart"/>
      <w:r w:rsidRPr="000768D4">
        <w:rPr>
          <w:rFonts w:ascii="Times New Roman" w:hAnsi="Times New Roman"/>
          <w:sz w:val="20"/>
          <w:szCs w:val="20"/>
        </w:rPr>
        <w:t>Securitisation</w:t>
      </w:r>
      <w:proofErr w:type="spellEnd"/>
      <w:r w:rsidRPr="000768D4">
        <w:rPr>
          <w:rFonts w:ascii="Times New Roman" w:hAnsi="Times New Roman"/>
          <w:sz w:val="20"/>
          <w:szCs w:val="20"/>
        </w:rPr>
        <w:t xml:space="preserve"> is illegal: racketeer influenced and corrupt </w:t>
      </w:r>
      <w:proofErr w:type="spellStart"/>
      <w:r w:rsidRPr="000768D4">
        <w:rPr>
          <w:rFonts w:ascii="Times New Roman" w:hAnsi="Times New Roman"/>
          <w:sz w:val="20"/>
          <w:szCs w:val="20"/>
        </w:rPr>
        <w:t>organisations</w:t>
      </w:r>
      <w:proofErr w:type="spellEnd"/>
      <w:r w:rsidRPr="000768D4">
        <w:rPr>
          <w:rFonts w:ascii="Times New Roman" w:hAnsi="Times New Roman"/>
          <w:sz w:val="20"/>
          <w:szCs w:val="20"/>
        </w:rPr>
        <w:t>, usury, antitrust and tax issues’ (2008) Journal of International Banking Law and Regulation, 23(6), 316-332.</w:t>
      </w:r>
    </w:p>
  </w:footnote>
  <w:footnote w:id="13">
    <w:p w:rsidR="00BD0366" w:rsidRPr="007D68E8" w:rsidRDefault="00BD0366" w:rsidP="007D68E8">
      <w:pPr>
        <w:spacing w:after="0" w:line="240" w:lineRule="auto"/>
        <w:jc w:val="both"/>
        <w:rPr>
          <w:rFonts w:ascii="Times New Roman" w:eastAsia="SimSun" w:hAnsi="Times New Roman" w:cs="Times New Roman"/>
          <w:sz w:val="20"/>
          <w:szCs w:val="20"/>
          <w:lang w:eastAsia="zh-CN"/>
        </w:rPr>
      </w:pPr>
      <w:r w:rsidRPr="007D68E8">
        <w:rPr>
          <w:rStyle w:val="FootnoteReference"/>
          <w:rFonts w:ascii="Times New Roman" w:hAnsi="Times New Roman"/>
          <w:sz w:val="20"/>
          <w:szCs w:val="20"/>
        </w:rPr>
        <w:footnoteRef/>
      </w:r>
      <w:r w:rsidR="007D68E8" w:rsidRPr="007D68E8">
        <w:rPr>
          <w:rFonts w:ascii="Times New Roman" w:hAnsi="Times New Roman"/>
          <w:sz w:val="20"/>
          <w:szCs w:val="20"/>
        </w:rPr>
        <w:t xml:space="preserve"> See </w:t>
      </w:r>
      <w:r w:rsidR="007D68E8" w:rsidRPr="007D68E8">
        <w:rPr>
          <w:rFonts w:ascii="Times New Roman" w:eastAsia="SimSun" w:hAnsi="Times New Roman" w:cs="Times New Roman"/>
          <w:sz w:val="20"/>
          <w:szCs w:val="20"/>
          <w:lang w:eastAsia="zh-CN"/>
        </w:rPr>
        <w:t>Levitin, A. ‘</w:t>
      </w:r>
      <w:proofErr w:type="gramStart"/>
      <w:r w:rsidR="007D68E8" w:rsidRPr="007D68E8">
        <w:rPr>
          <w:rFonts w:ascii="Times New Roman" w:eastAsia="SimSun" w:hAnsi="Times New Roman" w:cs="Times New Roman"/>
          <w:sz w:val="20"/>
          <w:szCs w:val="20"/>
          <w:lang w:eastAsia="zh-CN"/>
        </w:rPr>
        <w:t>The</w:t>
      </w:r>
      <w:proofErr w:type="gramEnd"/>
      <w:r w:rsidR="007D68E8" w:rsidRPr="007D68E8">
        <w:rPr>
          <w:rFonts w:ascii="Times New Roman" w:eastAsia="SimSun" w:hAnsi="Times New Roman" w:cs="Times New Roman"/>
          <w:sz w:val="20"/>
          <w:szCs w:val="20"/>
          <w:lang w:eastAsia="zh-CN"/>
        </w:rPr>
        <w:t xml:space="preserve"> crisis without a face: emerging narratives of the financial crisis’ (2009) University of Miami Law Review, 63, 999-1010.</w:t>
      </w:r>
    </w:p>
  </w:footnote>
  <w:footnote w:id="14">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spellStart"/>
      <w:r w:rsidRPr="000768D4">
        <w:rPr>
          <w:rFonts w:ascii="Times New Roman" w:hAnsi="Times New Roman"/>
          <w:sz w:val="20"/>
          <w:szCs w:val="20"/>
        </w:rPr>
        <w:t>Gevurtz</w:t>
      </w:r>
      <w:proofErr w:type="spellEnd"/>
      <w:r w:rsidRPr="000768D4">
        <w:rPr>
          <w:rFonts w:ascii="Times New Roman" w:hAnsi="Times New Roman"/>
          <w:sz w:val="20"/>
          <w:szCs w:val="20"/>
        </w:rPr>
        <w:t>, G. ‘</w:t>
      </w:r>
      <w:proofErr w:type="gramStart"/>
      <w:r w:rsidRPr="000768D4">
        <w:rPr>
          <w:rFonts w:ascii="Times New Roman" w:hAnsi="Times New Roman"/>
          <w:sz w:val="20"/>
          <w:szCs w:val="20"/>
        </w:rPr>
        <w:t>The</w:t>
      </w:r>
      <w:proofErr w:type="gramEnd"/>
      <w:r w:rsidRPr="000768D4">
        <w:rPr>
          <w:rFonts w:ascii="Times New Roman" w:hAnsi="Times New Roman"/>
          <w:sz w:val="20"/>
          <w:szCs w:val="20"/>
        </w:rPr>
        <w:t xml:space="preserve"> role of corporate law in preventing a financial crisis: reflections on in re Citigroup </w:t>
      </w:r>
      <w:proofErr w:type="spellStart"/>
      <w:r w:rsidRPr="000768D4">
        <w:rPr>
          <w:rFonts w:ascii="Times New Roman" w:hAnsi="Times New Roman"/>
          <w:sz w:val="20"/>
          <w:szCs w:val="20"/>
        </w:rPr>
        <w:t>Inc</w:t>
      </w:r>
      <w:proofErr w:type="spellEnd"/>
      <w:r w:rsidRPr="000768D4">
        <w:rPr>
          <w:rFonts w:ascii="Times New Roman" w:hAnsi="Times New Roman"/>
          <w:sz w:val="20"/>
          <w:szCs w:val="20"/>
        </w:rPr>
        <w:t xml:space="preserve"> shareholder derivative litigation’ (2010) Pacific </w:t>
      </w:r>
      <w:proofErr w:type="spellStart"/>
      <w:r w:rsidRPr="000768D4">
        <w:rPr>
          <w:rFonts w:ascii="Times New Roman" w:hAnsi="Times New Roman"/>
          <w:sz w:val="20"/>
          <w:szCs w:val="20"/>
        </w:rPr>
        <w:t>McGeorge</w:t>
      </w:r>
      <w:proofErr w:type="spellEnd"/>
      <w:r w:rsidRPr="000768D4">
        <w:rPr>
          <w:rFonts w:ascii="Times New Roman" w:hAnsi="Times New Roman"/>
          <w:sz w:val="20"/>
          <w:szCs w:val="20"/>
        </w:rPr>
        <w:t xml:space="preserve"> Global Business &amp; Development Law Journal, 23, 113, at 3.</w:t>
      </w:r>
    </w:p>
  </w:footnote>
  <w:footnote w:id="15">
    <w:p w:rsidR="00BD0366" w:rsidRPr="000768D4" w:rsidRDefault="00BD0366" w:rsidP="000768D4">
      <w:pPr>
        <w:pStyle w:val="FootnoteText"/>
        <w:tabs>
          <w:tab w:val="left" w:pos="2488"/>
        </w:tabs>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Choi, J. and </w:t>
      </w:r>
      <w:proofErr w:type="spellStart"/>
      <w:r w:rsidRPr="000768D4">
        <w:rPr>
          <w:rFonts w:ascii="Times New Roman" w:hAnsi="Times New Roman"/>
          <w:sz w:val="20"/>
          <w:szCs w:val="20"/>
        </w:rPr>
        <w:t>Papaioannou</w:t>
      </w:r>
      <w:proofErr w:type="spellEnd"/>
      <w:r w:rsidRPr="000768D4">
        <w:rPr>
          <w:rFonts w:ascii="Times New Roman" w:hAnsi="Times New Roman"/>
          <w:sz w:val="20"/>
          <w:szCs w:val="20"/>
        </w:rPr>
        <w:t>, M. ‘Financial crisis and risk management: reassessing the Asian financial crisis in light of the American financial crisis’ (2010) East Asia Law Review, Summer, 5, 442–466, at 443</w:t>
      </w:r>
    </w:p>
  </w:footnote>
  <w:footnote w:id="16">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See for example the impact of the decision in </w:t>
      </w:r>
      <w:r w:rsidRPr="000768D4">
        <w:rPr>
          <w:rFonts w:ascii="Times New Roman" w:hAnsi="Times New Roman"/>
          <w:i/>
          <w:iCs/>
          <w:sz w:val="20"/>
          <w:szCs w:val="20"/>
        </w:rPr>
        <w:t xml:space="preserve">Marquette National Bank of Minneapolis v. </w:t>
      </w:r>
      <w:proofErr w:type="gramStart"/>
      <w:r w:rsidRPr="000768D4">
        <w:rPr>
          <w:rFonts w:ascii="Times New Roman" w:hAnsi="Times New Roman"/>
          <w:i/>
          <w:iCs/>
          <w:sz w:val="20"/>
          <w:szCs w:val="20"/>
        </w:rPr>
        <w:t>First Omaha Service Corp</w:t>
      </w:r>
      <w:r w:rsidRPr="000768D4">
        <w:rPr>
          <w:rFonts w:ascii="Times New Roman" w:hAnsi="Times New Roman"/>
          <w:iCs/>
          <w:sz w:val="20"/>
          <w:szCs w:val="20"/>
        </w:rPr>
        <w:t xml:space="preserve"> </w:t>
      </w:r>
      <w:hyperlink r:id="rId1" w:tgtFrame="_top" w:history="1">
        <w:r w:rsidRPr="007D68E8">
          <w:rPr>
            <w:rStyle w:val="Hyperlink"/>
            <w:rFonts w:ascii="Times New Roman" w:hAnsi="Times New Roman"/>
            <w:color w:val="auto"/>
            <w:sz w:val="20"/>
            <w:szCs w:val="20"/>
            <w:u w:val="none"/>
          </w:rPr>
          <w:t>439 U.S. at 299</w:t>
        </w:r>
      </w:hyperlink>
      <w:r w:rsidRPr="000768D4">
        <w:rPr>
          <w:rStyle w:val="documentbody"/>
          <w:rFonts w:ascii="Times New Roman" w:hAnsi="Times New Roman"/>
          <w:sz w:val="20"/>
          <w:szCs w:val="20"/>
        </w:rPr>
        <w:t>.</w:t>
      </w:r>
      <w:proofErr w:type="gramEnd"/>
      <w:r w:rsidRPr="000768D4">
        <w:rPr>
          <w:rStyle w:val="documentbody"/>
          <w:rFonts w:ascii="Times New Roman" w:hAnsi="Times New Roman"/>
          <w:sz w:val="20"/>
          <w:szCs w:val="20"/>
        </w:rPr>
        <w:t xml:space="preserve">  For a more detailed discussion of the impact of this case on the deregulation of the consumer credit market in the US see </w:t>
      </w:r>
      <w:r w:rsidRPr="000768D4">
        <w:rPr>
          <w:rFonts w:ascii="Times New Roman" w:hAnsi="Times New Roman"/>
          <w:sz w:val="20"/>
          <w:szCs w:val="20"/>
        </w:rPr>
        <w:t>Schaefer, E. ‘The Credit Card Act of 2009 was not enough: a national usury rate would provide consumers with the protection they need’ (2012) University of Baltimore Law Review, Summer, 41, 741-767.</w:t>
      </w:r>
    </w:p>
  </w:footnote>
  <w:footnote w:id="17">
    <w:p w:rsidR="00BD0366" w:rsidRPr="007D68E8" w:rsidRDefault="00BD0366" w:rsidP="007D68E8">
      <w:pPr>
        <w:spacing w:after="0" w:line="240" w:lineRule="auto"/>
        <w:jc w:val="both"/>
        <w:rPr>
          <w:rFonts w:ascii="Times New Roman" w:eastAsia="SimSun" w:hAnsi="Times New Roman" w:cs="Times New Roman"/>
          <w:sz w:val="20"/>
          <w:szCs w:val="20"/>
          <w:lang w:eastAsia="zh-CN"/>
        </w:rPr>
      </w:pPr>
      <w:r w:rsidRPr="007D68E8">
        <w:rPr>
          <w:rStyle w:val="FootnoteReference"/>
          <w:rFonts w:ascii="Times New Roman" w:hAnsi="Times New Roman"/>
          <w:sz w:val="20"/>
          <w:szCs w:val="20"/>
        </w:rPr>
        <w:footnoteRef/>
      </w:r>
      <w:r w:rsidR="007D68E8" w:rsidRPr="007D68E8">
        <w:rPr>
          <w:rFonts w:ascii="Times New Roman" w:hAnsi="Times New Roman"/>
          <w:sz w:val="20"/>
          <w:szCs w:val="20"/>
        </w:rPr>
        <w:t xml:space="preserve"> </w:t>
      </w:r>
      <w:r w:rsidR="007D68E8" w:rsidRPr="007D68E8">
        <w:rPr>
          <w:rFonts w:ascii="Times New Roman" w:eastAsia="SimSun" w:hAnsi="Times New Roman" w:cs="Times New Roman"/>
          <w:sz w:val="20"/>
          <w:szCs w:val="20"/>
          <w:lang w:eastAsia="zh-CN"/>
        </w:rPr>
        <w:t xml:space="preserve">European Commission </w:t>
      </w:r>
      <w:r w:rsidR="007D68E8" w:rsidRPr="007D68E8">
        <w:rPr>
          <w:rFonts w:ascii="Times New Roman" w:eastAsia="SimSun" w:hAnsi="Times New Roman" w:cs="Times New Roman"/>
          <w:i/>
          <w:sz w:val="20"/>
          <w:szCs w:val="20"/>
          <w:lang w:eastAsia="zh-CN"/>
        </w:rPr>
        <w:t>Report of the High-Level Group on Financial Supervision in the EU</w:t>
      </w:r>
      <w:r w:rsidR="007D68E8" w:rsidRPr="007D68E8">
        <w:rPr>
          <w:rFonts w:ascii="Times New Roman" w:eastAsia="SimSun" w:hAnsi="Times New Roman" w:cs="Times New Roman"/>
          <w:sz w:val="20"/>
          <w:szCs w:val="20"/>
          <w:lang w:eastAsia="zh-CN"/>
        </w:rPr>
        <w:t xml:space="preserve"> (European Commission: Brussels, 2009).</w:t>
      </w:r>
    </w:p>
  </w:footnote>
  <w:footnote w:id="18">
    <w:p w:rsidR="00BD0366" w:rsidRPr="000768D4" w:rsidRDefault="00BD0366" w:rsidP="000768D4">
      <w:pPr>
        <w:autoSpaceDE w:val="0"/>
        <w:autoSpaceDN w:val="0"/>
        <w:adjustRightInd w:val="0"/>
        <w:spacing w:after="0" w:line="240" w:lineRule="auto"/>
        <w:jc w:val="both"/>
        <w:rPr>
          <w:rFonts w:ascii="Times New Roman" w:hAnsi="Times New Roman" w:cs="Times New Roman"/>
          <w:sz w:val="20"/>
          <w:szCs w:val="20"/>
        </w:rPr>
      </w:pPr>
      <w:r w:rsidRPr="000768D4">
        <w:rPr>
          <w:rStyle w:val="FootnoteReference"/>
          <w:rFonts w:ascii="Times New Roman" w:hAnsi="Times New Roman" w:cs="Times New Roman"/>
          <w:sz w:val="20"/>
          <w:szCs w:val="20"/>
        </w:rPr>
        <w:footnoteRef/>
      </w:r>
      <w:r w:rsidRPr="000768D4">
        <w:rPr>
          <w:rFonts w:ascii="Times New Roman" w:hAnsi="Times New Roman" w:cs="Times New Roman"/>
          <w:sz w:val="20"/>
          <w:szCs w:val="20"/>
        </w:rPr>
        <w:t xml:space="preserve"> See generally Tomasic, R. ‘The financial crisis and the haphazard pursuit of financial crime’ (2011) Journal of Financial Crime, 18(1), 7–31.</w:t>
      </w:r>
    </w:p>
  </w:footnote>
  <w:footnote w:id="19">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Hutchins, A. ‘Flip That Prosecution Strategy: An Argument for Using RICO to Prosecute Large-Scale Mortgage Fraud’ (2011) Buffalo Law Review 59(1), 293 at 306.</w:t>
      </w:r>
    </w:p>
  </w:footnote>
  <w:footnote w:id="20">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007D68E8">
        <w:rPr>
          <w:rFonts w:ascii="Times New Roman" w:hAnsi="Times New Roman"/>
          <w:sz w:val="20"/>
          <w:szCs w:val="20"/>
        </w:rPr>
        <w:t xml:space="preserve"> See Ryder above, n 1</w:t>
      </w:r>
      <w:r w:rsidRPr="000768D4">
        <w:rPr>
          <w:rFonts w:ascii="Times New Roman" w:hAnsi="Times New Roman"/>
          <w:sz w:val="20"/>
          <w:szCs w:val="20"/>
        </w:rPr>
        <w:t>.</w:t>
      </w:r>
    </w:p>
  </w:footnote>
  <w:footnote w:id="21">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For the purpose of this article the FSA and FCA will be referred to as the ‘regulator’.</w:t>
      </w:r>
      <w:r>
        <w:rPr>
          <w:rFonts w:ascii="Times New Roman" w:hAnsi="Times New Roman"/>
          <w:sz w:val="20"/>
          <w:szCs w:val="20"/>
          <w:lang w:val="en-GB"/>
        </w:rPr>
        <w:t xml:space="preserve">  </w:t>
      </w:r>
      <w:proofErr w:type="gramStart"/>
      <w:r>
        <w:rPr>
          <w:rFonts w:ascii="Times New Roman" w:hAnsi="Times New Roman"/>
          <w:sz w:val="20"/>
          <w:szCs w:val="20"/>
          <w:lang w:val="en-GB"/>
        </w:rPr>
        <w:t>Hereinafter ‘UK’.</w:t>
      </w:r>
      <w:proofErr w:type="gramEnd"/>
    </w:p>
  </w:footnote>
  <w:footnote w:id="22">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hAnsi="Times New Roman"/>
          <w:sz w:val="20"/>
          <w:szCs w:val="20"/>
          <w:lang w:val="en-GB"/>
        </w:rPr>
        <w:t>Hereinafter ‘SIB’.</w:t>
      </w:r>
      <w:proofErr w:type="gramEnd"/>
      <w:r w:rsidRPr="000768D4">
        <w:rPr>
          <w:rFonts w:ascii="Times New Roman" w:hAnsi="Times New Roman"/>
          <w:sz w:val="20"/>
          <w:szCs w:val="20"/>
          <w:lang w:val="en-GB"/>
        </w:rPr>
        <w:t xml:space="preserve">  See </w:t>
      </w:r>
      <w:r w:rsidRPr="000768D4">
        <w:rPr>
          <w:rFonts w:ascii="Times New Roman" w:hAnsi="Times New Roman"/>
          <w:sz w:val="20"/>
          <w:szCs w:val="20"/>
        </w:rPr>
        <w:t>Fishman, J. ‘A comparison of enforcement of securities law violations in the UK and US’ (1993) Company Lawyer 14(9) 163-172, at 163.</w:t>
      </w:r>
    </w:p>
  </w:footnote>
  <w:footnote w:id="23">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For a more detailed commentary on these provisions of the FSA 1986 see Grey, J. ‘Financial Services Act 1986 Reforms: Part 2’ (1991) International Banking Law 9(9) 412-416, at 415.</w:t>
      </w:r>
    </w:p>
  </w:footnote>
  <w:footnote w:id="24">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Act 1986, s. 6.</w:t>
      </w:r>
    </w:p>
  </w:footnote>
  <w:footnote w:id="25">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Act 1986, s. 59.  </w:t>
      </w:r>
    </w:p>
  </w:footnote>
  <w:footnote w:id="26">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Act 1986, s. 71 and 72.  </w:t>
      </w:r>
    </w:p>
  </w:footnote>
  <w:footnote w:id="27">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For a more detailed discussion of the enforcement of the insider dealing provisions of the FSA 1986 see Lomnicka, E. ‘Curtailing section 62 accountability’ (1991) Journal of Business Law July 353-360 and </w:t>
      </w:r>
      <w:proofErr w:type="spellStart"/>
      <w:r w:rsidRPr="000768D4">
        <w:rPr>
          <w:rFonts w:ascii="Times New Roman" w:hAnsi="Times New Roman"/>
          <w:sz w:val="20"/>
          <w:szCs w:val="20"/>
        </w:rPr>
        <w:t>Alcock</w:t>
      </w:r>
      <w:proofErr w:type="spellEnd"/>
      <w:r w:rsidRPr="000768D4">
        <w:rPr>
          <w:rFonts w:ascii="Times New Roman" w:hAnsi="Times New Roman"/>
          <w:sz w:val="20"/>
          <w:szCs w:val="20"/>
        </w:rPr>
        <w:t xml:space="preserve">, A. ‘Insider dealing – how </w:t>
      </w:r>
      <w:proofErr w:type="spellStart"/>
      <w:r w:rsidRPr="000768D4">
        <w:rPr>
          <w:rFonts w:ascii="Times New Roman" w:hAnsi="Times New Roman"/>
          <w:sz w:val="20"/>
          <w:szCs w:val="20"/>
        </w:rPr>
        <w:t>die</w:t>
      </w:r>
      <w:proofErr w:type="spellEnd"/>
      <w:r w:rsidRPr="000768D4">
        <w:rPr>
          <w:rFonts w:ascii="Times New Roman" w:hAnsi="Times New Roman"/>
          <w:sz w:val="20"/>
          <w:szCs w:val="20"/>
        </w:rPr>
        <w:t xml:space="preserve"> we get here’ (1994) Company Lawyer 15(3) 67-72.</w:t>
      </w:r>
    </w:p>
  </w:footnote>
  <w:footnote w:id="28">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It must be noted that the FSA 1986 did provide the SIB with fraud enforcement powers under section 47.  For a more detailed analysis see Barnett, W. ‘Fraud enforcement in the Financial Services Act 1986: an analysis and discussion of section 47’ (1996) The Company Lawyer 17(7) 203.</w:t>
      </w:r>
    </w:p>
  </w:footnote>
  <w:footnote w:id="29">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See Rider, B. ‘Policing the city – combating fraud and other abuses in the corporate securities industry’ (1988) Current Legal Problems 41 47-68 and Long, J. ‘Policing the markets – SIB’s role’ (1994) 15(3) 83-85.</w:t>
      </w:r>
    </w:p>
  </w:footnote>
  <w:footnote w:id="30">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hAnsi="Times New Roman"/>
          <w:sz w:val="20"/>
          <w:szCs w:val="20"/>
          <w:lang w:val="en-GB"/>
        </w:rPr>
        <w:t>Hereinafter ‘SFO’.</w:t>
      </w:r>
      <w:proofErr w:type="gramEnd"/>
      <w:r w:rsidRPr="000768D4">
        <w:rPr>
          <w:rFonts w:ascii="Times New Roman" w:hAnsi="Times New Roman"/>
          <w:sz w:val="20"/>
          <w:szCs w:val="20"/>
          <w:lang w:val="en-GB"/>
        </w:rPr>
        <w:t xml:space="preserve">  </w:t>
      </w:r>
      <w:r w:rsidRPr="000768D4">
        <w:rPr>
          <w:rFonts w:ascii="Times New Roman" w:hAnsi="Times New Roman"/>
          <w:sz w:val="20"/>
          <w:szCs w:val="20"/>
        </w:rPr>
        <w:t>See generally Wright, R. ‘Fraud after Roskill: A view from the Serious Fraud Office’, (2003) Journal of Financial Crime, 11(1), 10-16.</w:t>
      </w:r>
    </w:p>
  </w:footnote>
  <w:footnote w:id="31">
    <w:p w:rsidR="00BD0366" w:rsidRPr="007D68E8" w:rsidRDefault="00BD0366">
      <w:pPr>
        <w:pStyle w:val="FootnoteText"/>
        <w:rPr>
          <w:rFonts w:ascii="Times New Roman" w:hAnsi="Times New Roman"/>
          <w:sz w:val="20"/>
          <w:szCs w:val="20"/>
          <w:lang w:val="en-GB"/>
        </w:rPr>
      </w:pPr>
      <w:r w:rsidRPr="007D68E8">
        <w:rPr>
          <w:rStyle w:val="FootnoteReference"/>
          <w:rFonts w:ascii="Times New Roman" w:hAnsi="Times New Roman"/>
          <w:sz w:val="20"/>
          <w:szCs w:val="20"/>
        </w:rPr>
        <w:footnoteRef/>
      </w:r>
      <w:r w:rsidRPr="007D68E8">
        <w:rPr>
          <w:rFonts w:ascii="Times New Roman" w:hAnsi="Times New Roman"/>
          <w:sz w:val="20"/>
          <w:szCs w:val="20"/>
        </w:rPr>
        <w:t xml:space="preserve"> </w:t>
      </w:r>
      <w:r w:rsidRPr="007D68E8">
        <w:rPr>
          <w:rFonts w:ascii="Times New Roman" w:hAnsi="Times New Roman"/>
          <w:sz w:val="20"/>
          <w:szCs w:val="20"/>
          <w:lang w:val="en-GB"/>
        </w:rPr>
        <w:t>Criminal Justice Act 1987, s. 1.</w:t>
      </w:r>
    </w:p>
  </w:footnote>
  <w:footnote w:id="32">
    <w:p w:rsidR="00BD0366" w:rsidRPr="000768D4" w:rsidRDefault="00BD0366" w:rsidP="000768D4">
      <w:pPr>
        <w:autoSpaceDE w:val="0"/>
        <w:autoSpaceDN w:val="0"/>
        <w:adjustRightInd w:val="0"/>
        <w:spacing w:after="0" w:line="240" w:lineRule="auto"/>
        <w:jc w:val="both"/>
        <w:rPr>
          <w:rFonts w:ascii="Times New Roman" w:hAnsi="Times New Roman" w:cs="Times New Roman"/>
          <w:sz w:val="20"/>
          <w:szCs w:val="20"/>
        </w:rPr>
      </w:pPr>
      <w:r w:rsidRPr="000768D4">
        <w:rPr>
          <w:rStyle w:val="FootnoteReference"/>
          <w:rFonts w:ascii="Times New Roman" w:hAnsi="Times New Roman" w:cs="Times New Roman"/>
          <w:sz w:val="20"/>
          <w:szCs w:val="20"/>
        </w:rPr>
        <w:footnoteRef/>
      </w:r>
      <w:r w:rsidRPr="000768D4">
        <w:rPr>
          <w:rFonts w:ascii="Times New Roman" w:hAnsi="Times New Roman" w:cs="Times New Roman"/>
          <w:sz w:val="20"/>
          <w:szCs w:val="20"/>
        </w:rPr>
        <w:t xml:space="preserve"> The Committee was asked to ‘consider in what ways the conduct of criminal proceedings in England and Wales arising from fraud can be improved and to consider what changes in existing law and procedure would be desirable to secure the just, expeditious and economical disposal of such proceedings’. See Fraud Trials Committee Report (1986) HMSO.</w:t>
      </w:r>
    </w:p>
  </w:footnote>
  <w:footnote w:id="33">
    <w:p w:rsidR="00BD0366" w:rsidRPr="000768D4" w:rsidRDefault="00BD0366" w:rsidP="000768D4">
      <w:pPr>
        <w:pStyle w:val="FootnoteText"/>
        <w:jc w:val="both"/>
        <w:rPr>
          <w:rFonts w:ascii="Times New Roman" w:eastAsia="Calibri"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 xml:space="preserve">For a more detailed discussion see Ryder, N. </w:t>
      </w:r>
      <w:r w:rsidRPr="00DE54AF">
        <w:rPr>
          <w:rFonts w:ascii="Times New Roman" w:eastAsia="Calibri" w:hAnsi="Times New Roman"/>
          <w:sz w:val="20"/>
          <w:szCs w:val="20"/>
        </w:rPr>
        <w:t xml:space="preserve">‘The Legal Mechanisms to control Bribery and Corruption’. </w:t>
      </w:r>
      <w:r w:rsidRPr="00DE54AF">
        <w:rPr>
          <w:rFonts w:ascii="Times New Roman" w:eastAsia="Calibri" w:hAnsi="Times New Roman"/>
          <w:i/>
          <w:sz w:val="20"/>
          <w:szCs w:val="20"/>
        </w:rPr>
        <w:t>In</w:t>
      </w:r>
      <w:r w:rsidRPr="00DE54AF">
        <w:rPr>
          <w:rFonts w:ascii="Times New Roman" w:eastAsia="Calibri" w:hAnsi="Times New Roman"/>
          <w:sz w:val="20"/>
          <w:szCs w:val="20"/>
        </w:rPr>
        <w:t>: Rider, B. (</w:t>
      </w:r>
      <w:proofErr w:type="spellStart"/>
      <w:proofErr w:type="gramStart"/>
      <w:r w:rsidRPr="00DE54AF">
        <w:rPr>
          <w:rFonts w:ascii="Times New Roman" w:eastAsia="Calibri" w:hAnsi="Times New Roman"/>
          <w:sz w:val="20"/>
          <w:szCs w:val="20"/>
        </w:rPr>
        <w:t>eds</w:t>
      </w:r>
      <w:proofErr w:type="spellEnd"/>
      <w:proofErr w:type="gramEnd"/>
      <w:r w:rsidRPr="00DE54AF">
        <w:rPr>
          <w:rFonts w:ascii="Times New Roman" w:eastAsia="Calibri" w:hAnsi="Times New Roman"/>
          <w:sz w:val="20"/>
          <w:szCs w:val="20"/>
        </w:rPr>
        <w:t xml:space="preserve">) </w:t>
      </w:r>
      <w:r w:rsidRPr="00DE54AF">
        <w:rPr>
          <w:rFonts w:ascii="Times New Roman" w:eastAsia="Calibri" w:hAnsi="Times New Roman"/>
          <w:i/>
          <w:sz w:val="20"/>
          <w:szCs w:val="20"/>
        </w:rPr>
        <w:t>Research Handbook on International Financial Crimes</w:t>
      </w:r>
      <w:r w:rsidRPr="00DE54AF">
        <w:rPr>
          <w:rFonts w:ascii="Times New Roman" w:eastAsia="Calibri" w:hAnsi="Times New Roman"/>
          <w:sz w:val="20"/>
          <w:szCs w:val="20"/>
        </w:rPr>
        <w:t>, Edward Elgar: Cheltenham, 2015, 381-393.</w:t>
      </w:r>
    </w:p>
  </w:footnote>
  <w:footnote w:id="34">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Bosworth-Davies, R. ‘Investigating financial crime: the continuing evolution of the public fraud investigation role – a personal perspective’, (2009)</w:t>
      </w:r>
      <w:r w:rsidRPr="000768D4">
        <w:rPr>
          <w:rFonts w:ascii="Times New Roman" w:hAnsi="Times New Roman"/>
          <w:sz w:val="20"/>
          <w:szCs w:val="20"/>
          <w:lang w:val="en-GB"/>
        </w:rPr>
        <w:t xml:space="preserve"> </w:t>
      </w:r>
      <w:r w:rsidRPr="000768D4">
        <w:rPr>
          <w:rFonts w:ascii="Times New Roman" w:hAnsi="Times New Roman"/>
          <w:sz w:val="20"/>
          <w:szCs w:val="20"/>
        </w:rPr>
        <w:t>Company Lawyer, 30(7), 195-199, at 196.</w:t>
      </w:r>
    </w:p>
  </w:footnote>
  <w:footnote w:id="35">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 xml:space="preserve">See for example </w:t>
      </w:r>
      <w:r w:rsidRPr="000768D4">
        <w:rPr>
          <w:rFonts w:ascii="Times New Roman" w:hAnsi="Times New Roman"/>
          <w:sz w:val="20"/>
          <w:szCs w:val="20"/>
        </w:rPr>
        <w:t>de Grazia</w:t>
      </w:r>
      <w:r w:rsidRPr="000768D4">
        <w:rPr>
          <w:rFonts w:ascii="Times New Roman" w:hAnsi="Times New Roman"/>
          <w:sz w:val="20"/>
          <w:szCs w:val="20"/>
          <w:lang w:val="en-GB"/>
        </w:rPr>
        <w:t>,</w:t>
      </w:r>
      <w:r w:rsidRPr="000768D4">
        <w:rPr>
          <w:rFonts w:ascii="Times New Roman" w:hAnsi="Times New Roman"/>
          <w:sz w:val="20"/>
          <w:szCs w:val="20"/>
        </w:rPr>
        <w:t xml:space="preserve"> J. </w:t>
      </w:r>
      <w:r w:rsidRPr="000768D4">
        <w:rPr>
          <w:rFonts w:ascii="Times New Roman" w:hAnsi="Times New Roman"/>
          <w:i/>
          <w:sz w:val="20"/>
          <w:szCs w:val="20"/>
        </w:rPr>
        <w:t>Review of the Serious Fraud Office – Final Report</w:t>
      </w:r>
      <w:r w:rsidRPr="000768D4">
        <w:rPr>
          <w:rFonts w:ascii="Times New Roman" w:hAnsi="Times New Roman"/>
          <w:sz w:val="20"/>
          <w:szCs w:val="20"/>
        </w:rPr>
        <w:t xml:space="preserve"> (Serious Fraud Office</w:t>
      </w:r>
      <w:r w:rsidRPr="000768D4">
        <w:rPr>
          <w:rFonts w:ascii="Times New Roman" w:hAnsi="Times New Roman"/>
          <w:sz w:val="20"/>
          <w:szCs w:val="20"/>
          <w:lang w:val="en-GB"/>
        </w:rPr>
        <w:t xml:space="preserve"> </w:t>
      </w:r>
      <w:r w:rsidRPr="000768D4">
        <w:rPr>
          <w:rFonts w:ascii="Times New Roman" w:hAnsi="Times New Roman"/>
          <w:sz w:val="20"/>
          <w:szCs w:val="20"/>
        </w:rPr>
        <w:t>2008)</w:t>
      </w:r>
      <w:proofErr w:type="gramStart"/>
      <w:r w:rsidRPr="000768D4">
        <w:rPr>
          <w:rFonts w:ascii="Times New Roman" w:hAnsi="Times New Roman"/>
          <w:sz w:val="20"/>
          <w:szCs w:val="20"/>
        </w:rPr>
        <w:t>,  HM</w:t>
      </w:r>
      <w:proofErr w:type="gramEnd"/>
      <w:r w:rsidRPr="000768D4">
        <w:rPr>
          <w:rFonts w:ascii="Times New Roman" w:hAnsi="Times New Roman"/>
          <w:sz w:val="20"/>
          <w:szCs w:val="20"/>
        </w:rPr>
        <w:t xml:space="preserve"> Crown Prosecution Service</w:t>
      </w:r>
      <w:r w:rsidRPr="000768D4">
        <w:rPr>
          <w:rFonts w:ascii="Times New Roman" w:hAnsi="Times New Roman"/>
          <w:sz w:val="20"/>
          <w:szCs w:val="20"/>
          <w:lang w:val="en-GB"/>
        </w:rPr>
        <w:t>,</w:t>
      </w:r>
      <w:r w:rsidRPr="000768D4">
        <w:rPr>
          <w:rFonts w:ascii="Times New Roman" w:hAnsi="Times New Roman"/>
          <w:sz w:val="20"/>
          <w:szCs w:val="20"/>
        </w:rPr>
        <w:t xml:space="preserve"> Inspectorate </w:t>
      </w:r>
      <w:r w:rsidRPr="000768D4">
        <w:rPr>
          <w:rFonts w:ascii="Times New Roman" w:hAnsi="Times New Roman"/>
          <w:i/>
          <w:sz w:val="20"/>
          <w:szCs w:val="20"/>
        </w:rPr>
        <w:t>Review of the Fraud Prosecution Service</w:t>
      </w:r>
      <w:r w:rsidRPr="000768D4">
        <w:rPr>
          <w:rFonts w:ascii="Times New Roman" w:hAnsi="Times New Roman"/>
          <w:sz w:val="20"/>
          <w:szCs w:val="20"/>
        </w:rPr>
        <w:t xml:space="preserve"> (HM Crown Prosecution Service Inspectorate</w:t>
      </w:r>
      <w:r w:rsidRPr="000768D4">
        <w:rPr>
          <w:rFonts w:ascii="Times New Roman" w:hAnsi="Times New Roman"/>
          <w:sz w:val="20"/>
          <w:szCs w:val="20"/>
          <w:lang w:val="en-GB"/>
        </w:rPr>
        <w:t>: London, 2008)</w:t>
      </w:r>
      <w:r w:rsidRPr="000768D4">
        <w:rPr>
          <w:rFonts w:ascii="Times New Roman" w:hAnsi="Times New Roman"/>
          <w:sz w:val="20"/>
          <w:szCs w:val="20"/>
        </w:rPr>
        <w:t xml:space="preserve">, and HM Crown Prosecution Service Inspectorate </w:t>
      </w:r>
      <w:r w:rsidRPr="000768D4">
        <w:rPr>
          <w:rFonts w:ascii="Times New Roman" w:hAnsi="Times New Roman"/>
          <w:i/>
          <w:sz w:val="20"/>
          <w:szCs w:val="20"/>
        </w:rPr>
        <w:t xml:space="preserve">Report of the Attorney General on the inspection of the Serious Fraud Office </w:t>
      </w:r>
      <w:r w:rsidRPr="000768D4">
        <w:rPr>
          <w:rFonts w:ascii="Times New Roman" w:hAnsi="Times New Roman"/>
          <w:sz w:val="20"/>
          <w:szCs w:val="20"/>
        </w:rPr>
        <w:t>(HM Crown Prosecution Service Inspectorate: London, 2012).</w:t>
      </w:r>
    </w:p>
  </w:footnote>
  <w:footnote w:id="36">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For a more detailed discussion see </w:t>
      </w:r>
      <w:proofErr w:type="spellStart"/>
      <w:r w:rsidRPr="000768D4">
        <w:rPr>
          <w:rFonts w:ascii="Times New Roman" w:hAnsi="Times New Roman"/>
          <w:sz w:val="20"/>
          <w:szCs w:val="20"/>
        </w:rPr>
        <w:t>Sarker</w:t>
      </w:r>
      <w:proofErr w:type="spellEnd"/>
      <w:r w:rsidRPr="000768D4">
        <w:rPr>
          <w:rFonts w:ascii="Times New Roman" w:hAnsi="Times New Roman"/>
          <w:sz w:val="20"/>
          <w:szCs w:val="20"/>
        </w:rPr>
        <w:t>, R. ‘The trials and errors of the Guinness four’ (1995) Journal of Financial Crime, 3(1), 86-.</w:t>
      </w:r>
    </w:p>
  </w:footnote>
  <w:footnote w:id="37">
    <w:p w:rsidR="00BD0366" w:rsidRPr="000768D4" w:rsidRDefault="00BD0366" w:rsidP="000768D4">
      <w:pPr>
        <w:spacing w:after="0" w:line="240" w:lineRule="auto"/>
        <w:jc w:val="both"/>
        <w:outlineLvl w:val="1"/>
        <w:rPr>
          <w:rFonts w:ascii="Times New Roman" w:hAnsi="Times New Roman" w:cs="Times New Roman"/>
          <w:sz w:val="20"/>
          <w:szCs w:val="20"/>
        </w:rPr>
      </w:pPr>
      <w:r w:rsidRPr="000768D4">
        <w:rPr>
          <w:rStyle w:val="FootnoteReference"/>
          <w:rFonts w:ascii="Times New Roman" w:hAnsi="Times New Roman" w:cs="Times New Roman"/>
          <w:sz w:val="20"/>
          <w:szCs w:val="20"/>
        </w:rPr>
        <w:footnoteRef/>
      </w:r>
      <w:r w:rsidRPr="000768D4">
        <w:rPr>
          <w:rFonts w:ascii="Times New Roman" w:hAnsi="Times New Roman" w:cs="Times New Roman"/>
          <w:sz w:val="20"/>
          <w:szCs w:val="20"/>
        </w:rPr>
        <w:t xml:space="preserve"> For a more detailed discussion of this case see Cohen, H. ‘What place does the criminal law have in the regulation of securities markets after the Blue Arrow trials?’ </w:t>
      </w:r>
      <w:proofErr w:type="gramStart"/>
      <w:r w:rsidRPr="000768D4">
        <w:rPr>
          <w:rFonts w:ascii="Times New Roman" w:hAnsi="Times New Roman" w:cs="Times New Roman"/>
          <w:sz w:val="20"/>
          <w:szCs w:val="20"/>
        </w:rPr>
        <w:t>(1992) Journal of International Banking Law, 7(10), 420-.</w:t>
      </w:r>
      <w:proofErr w:type="gramEnd"/>
    </w:p>
  </w:footnote>
  <w:footnote w:id="38">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For a more detailed discussion see </w:t>
      </w:r>
      <w:proofErr w:type="spellStart"/>
      <w:r w:rsidRPr="000768D4">
        <w:rPr>
          <w:rFonts w:ascii="Times New Roman" w:hAnsi="Times New Roman"/>
          <w:sz w:val="20"/>
          <w:szCs w:val="20"/>
        </w:rPr>
        <w:t>Sarker</w:t>
      </w:r>
      <w:proofErr w:type="spellEnd"/>
      <w:r w:rsidRPr="000768D4">
        <w:rPr>
          <w:rFonts w:ascii="Times New Roman" w:hAnsi="Times New Roman"/>
          <w:sz w:val="20"/>
          <w:szCs w:val="20"/>
        </w:rPr>
        <w:t xml:space="preserve">, R. ‘Maxwell: fraud trial of the century </w:t>
      </w:r>
      <w:r w:rsidRPr="000768D4">
        <w:rPr>
          <w:rStyle w:val="normal1"/>
          <w:rFonts w:ascii="Times New Roman" w:hAnsi="Times New Roman"/>
          <w:bCs/>
          <w:sz w:val="20"/>
          <w:szCs w:val="20"/>
        </w:rPr>
        <w:t xml:space="preserve">(Case Comment)’ (1996) Company Lawyer, 17(4), </w:t>
      </w:r>
      <w:r w:rsidRPr="000768D4">
        <w:rPr>
          <w:rFonts w:ascii="Times New Roman" w:hAnsi="Times New Roman"/>
          <w:sz w:val="20"/>
          <w:szCs w:val="20"/>
        </w:rPr>
        <w:t xml:space="preserve">116-117 and </w:t>
      </w:r>
      <w:proofErr w:type="spellStart"/>
      <w:r w:rsidRPr="000768D4">
        <w:rPr>
          <w:rFonts w:ascii="Times New Roman" w:hAnsi="Times New Roman"/>
          <w:sz w:val="20"/>
          <w:szCs w:val="20"/>
        </w:rPr>
        <w:t>Honess</w:t>
      </w:r>
      <w:proofErr w:type="spellEnd"/>
      <w:r w:rsidRPr="000768D4">
        <w:rPr>
          <w:rFonts w:ascii="Times New Roman" w:hAnsi="Times New Roman"/>
          <w:sz w:val="20"/>
          <w:szCs w:val="20"/>
        </w:rPr>
        <w:t>, T. ‘Juror competence in processing complex information: implications from a simulation of the Maxwell trial’ (1998) Criminal Law Review, November 763-773.</w:t>
      </w:r>
    </w:p>
  </w:footnote>
  <w:footnote w:id="39">
    <w:p w:rsidR="00BD0366" w:rsidRPr="000768D4" w:rsidRDefault="00BD0366" w:rsidP="000768D4">
      <w:pPr>
        <w:spacing w:after="0"/>
        <w:jc w:val="both"/>
        <w:outlineLvl w:val="2"/>
        <w:rPr>
          <w:rFonts w:ascii="Times New Roman" w:hAnsi="Times New Roman" w:cs="Times New Roman"/>
          <w:sz w:val="20"/>
          <w:szCs w:val="20"/>
        </w:rPr>
      </w:pPr>
      <w:r w:rsidRPr="000768D4">
        <w:rPr>
          <w:rStyle w:val="FootnoteReference"/>
          <w:rFonts w:ascii="Times New Roman" w:hAnsi="Times New Roman" w:cs="Times New Roman"/>
          <w:sz w:val="20"/>
          <w:szCs w:val="20"/>
        </w:rPr>
        <w:footnoteRef/>
      </w:r>
      <w:r w:rsidRPr="000768D4">
        <w:rPr>
          <w:rFonts w:ascii="Times New Roman" w:hAnsi="Times New Roman" w:cs="Times New Roman"/>
          <w:sz w:val="20"/>
          <w:szCs w:val="20"/>
        </w:rPr>
        <w:t xml:space="preserve"> For a more detailed discussion see </w:t>
      </w:r>
      <w:proofErr w:type="spellStart"/>
      <w:r w:rsidRPr="000768D4">
        <w:rPr>
          <w:rFonts w:ascii="Times New Roman" w:hAnsi="Times New Roman" w:cs="Times New Roman"/>
          <w:sz w:val="20"/>
          <w:szCs w:val="20"/>
        </w:rPr>
        <w:t>Sarker</w:t>
      </w:r>
      <w:proofErr w:type="spellEnd"/>
      <w:r w:rsidRPr="000768D4">
        <w:rPr>
          <w:rFonts w:ascii="Times New Roman" w:hAnsi="Times New Roman" w:cs="Times New Roman"/>
          <w:sz w:val="20"/>
          <w:szCs w:val="20"/>
        </w:rPr>
        <w:t>, R. ‘</w:t>
      </w:r>
      <w:r w:rsidRPr="000768D4">
        <w:rPr>
          <w:rFonts w:ascii="Times New Roman" w:hAnsi="Times New Roman" w:cs="Times New Roman"/>
          <w:bCs/>
          <w:sz w:val="20"/>
          <w:szCs w:val="20"/>
        </w:rPr>
        <w:t xml:space="preserve">The Serious Fraud Office - quo </w:t>
      </w:r>
      <w:proofErr w:type="spellStart"/>
      <w:r w:rsidRPr="000768D4">
        <w:rPr>
          <w:rFonts w:ascii="Times New Roman" w:hAnsi="Times New Roman" w:cs="Times New Roman"/>
          <w:bCs/>
          <w:sz w:val="20"/>
          <w:szCs w:val="20"/>
        </w:rPr>
        <w:t>vadis</w:t>
      </w:r>
      <w:proofErr w:type="spellEnd"/>
      <w:r w:rsidRPr="000768D4">
        <w:rPr>
          <w:rFonts w:ascii="Times New Roman" w:hAnsi="Times New Roman" w:cs="Times New Roman"/>
          <w:bCs/>
          <w:sz w:val="20"/>
          <w:szCs w:val="20"/>
        </w:rPr>
        <w:t xml:space="preserve">?’ (1995) </w:t>
      </w:r>
      <w:r w:rsidRPr="000768D4">
        <w:rPr>
          <w:rFonts w:ascii="Times New Roman" w:hAnsi="Times New Roman" w:cs="Times New Roman"/>
          <w:bCs/>
          <w:kern w:val="36"/>
          <w:sz w:val="20"/>
          <w:szCs w:val="20"/>
        </w:rPr>
        <w:t xml:space="preserve">Company Lawyer, </w:t>
      </w:r>
      <w:r w:rsidRPr="000768D4">
        <w:rPr>
          <w:rFonts w:ascii="Times New Roman" w:hAnsi="Times New Roman" w:cs="Times New Roman"/>
          <w:sz w:val="20"/>
          <w:szCs w:val="20"/>
        </w:rPr>
        <w:t>16(2), 56-61.</w:t>
      </w:r>
    </w:p>
  </w:footnote>
  <w:footnote w:id="40">
    <w:p w:rsidR="00BD0366" w:rsidRPr="000768D4" w:rsidRDefault="00BD0366" w:rsidP="004D6919">
      <w:pPr>
        <w:spacing w:after="0" w:line="240" w:lineRule="auto"/>
        <w:jc w:val="both"/>
        <w:rPr>
          <w:rFonts w:ascii="Times New Roman" w:hAnsi="Times New Roman" w:cs="Times New Roman"/>
          <w:bCs/>
          <w:sz w:val="20"/>
          <w:szCs w:val="20"/>
        </w:rPr>
      </w:pPr>
      <w:r w:rsidRPr="000768D4">
        <w:rPr>
          <w:rStyle w:val="FootnoteReference"/>
          <w:rFonts w:ascii="Times New Roman" w:hAnsi="Times New Roman" w:cs="Times New Roman"/>
          <w:sz w:val="20"/>
          <w:szCs w:val="20"/>
        </w:rPr>
        <w:footnoteRef/>
      </w:r>
      <w:r w:rsidRPr="000768D4">
        <w:rPr>
          <w:rFonts w:ascii="Times New Roman" w:hAnsi="Times New Roman" w:cs="Times New Roman"/>
          <w:sz w:val="20"/>
          <w:szCs w:val="20"/>
        </w:rPr>
        <w:t xml:space="preserve"> For a more detailed discussion see Williams, S. ‘</w:t>
      </w:r>
      <w:r w:rsidRPr="000768D4">
        <w:rPr>
          <w:rFonts w:ascii="Times New Roman" w:hAnsi="Times New Roman" w:cs="Times New Roman"/>
          <w:bCs/>
          <w:sz w:val="20"/>
          <w:szCs w:val="20"/>
        </w:rPr>
        <w:t>The BAE/Saudi Al-</w:t>
      </w:r>
      <w:proofErr w:type="spellStart"/>
      <w:r w:rsidRPr="000768D4">
        <w:rPr>
          <w:rFonts w:ascii="Times New Roman" w:hAnsi="Times New Roman" w:cs="Times New Roman"/>
          <w:bCs/>
          <w:sz w:val="20"/>
          <w:szCs w:val="20"/>
        </w:rPr>
        <w:t>Yamamah</w:t>
      </w:r>
      <w:proofErr w:type="spellEnd"/>
      <w:r w:rsidRPr="000768D4">
        <w:rPr>
          <w:rFonts w:ascii="Times New Roman" w:hAnsi="Times New Roman" w:cs="Times New Roman"/>
          <w:bCs/>
          <w:sz w:val="20"/>
          <w:szCs w:val="20"/>
        </w:rPr>
        <w:t xml:space="preserve"> contracts: implications in law and public procurement’ (2008) </w:t>
      </w:r>
      <w:r w:rsidRPr="000768D4">
        <w:rPr>
          <w:rFonts w:ascii="Times New Roman" w:hAnsi="Times New Roman" w:cs="Times New Roman"/>
          <w:bCs/>
          <w:kern w:val="36"/>
          <w:sz w:val="20"/>
          <w:szCs w:val="20"/>
        </w:rPr>
        <w:t xml:space="preserve">International &amp; Comparative Law Quarterly, </w:t>
      </w:r>
      <w:r w:rsidRPr="000768D4">
        <w:rPr>
          <w:rFonts w:ascii="Times New Roman" w:hAnsi="Times New Roman" w:cs="Times New Roman"/>
          <w:sz w:val="20"/>
          <w:szCs w:val="20"/>
        </w:rPr>
        <w:t>57(1), 200-209 and Rose, C. ‘</w:t>
      </w:r>
      <w:r w:rsidRPr="000768D4">
        <w:rPr>
          <w:rFonts w:ascii="Times New Roman" w:hAnsi="Times New Roman" w:cs="Times New Roman"/>
          <w:bCs/>
          <w:kern w:val="36"/>
          <w:sz w:val="20"/>
          <w:szCs w:val="20"/>
        </w:rPr>
        <w:t xml:space="preserve">Legislative Comment </w:t>
      </w:r>
      <w:proofErr w:type="gramStart"/>
      <w:r w:rsidRPr="000768D4">
        <w:rPr>
          <w:rFonts w:ascii="Times New Roman" w:hAnsi="Times New Roman" w:cs="Times New Roman"/>
          <w:bCs/>
          <w:sz w:val="20"/>
          <w:szCs w:val="20"/>
        </w:rPr>
        <w:t>The</w:t>
      </w:r>
      <w:proofErr w:type="gramEnd"/>
      <w:r w:rsidRPr="000768D4">
        <w:rPr>
          <w:rFonts w:ascii="Times New Roman" w:hAnsi="Times New Roman" w:cs="Times New Roman"/>
          <w:bCs/>
          <w:sz w:val="20"/>
          <w:szCs w:val="20"/>
        </w:rPr>
        <w:t xml:space="preserve"> UK Bribery Act 2010 and accompanying guidance: belated implementation of the OECD Anti- Bribery Convention’ (2012) </w:t>
      </w:r>
      <w:r w:rsidRPr="000768D4">
        <w:rPr>
          <w:rFonts w:ascii="Times New Roman" w:hAnsi="Times New Roman" w:cs="Times New Roman"/>
          <w:bCs/>
          <w:kern w:val="36"/>
          <w:sz w:val="20"/>
          <w:szCs w:val="20"/>
        </w:rPr>
        <w:t xml:space="preserve">International &amp; Comparative Law Quarterly, </w:t>
      </w:r>
      <w:r w:rsidRPr="000768D4">
        <w:rPr>
          <w:rFonts w:ascii="Times New Roman" w:hAnsi="Times New Roman" w:cs="Times New Roman"/>
          <w:sz w:val="20"/>
          <w:szCs w:val="20"/>
        </w:rPr>
        <w:t xml:space="preserve">2012, 61(2), 484-499.  </w:t>
      </w:r>
      <w:r w:rsidRPr="000768D4">
        <w:rPr>
          <w:rFonts w:ascii="Times New Roman" w:hAnsi="Times New Roman" w:cs="Times New Roman"/>
          <w:sz w:val="20"/>
          <w:szCs w:val="20"/>
          <w:lang w:val="en"/>
        </w:rPr>
        <w:t xml:space="preserve">The decision by the SFO to terminate its investigation into sale of arms in Saudi Arabia was subject to a judicial review and the Queen’s Bench Divisional Court determined that the decision was unlawful.  See </w:t>
      </w:r>
      <w:r w:rsidRPr="000768D4">
        <w:rPr>
          <w:rStyle w:val="Emphasis"/>
          <w:rFonts w:ascii="Times New Roman" w:hAnsi="Times New Roman" w:cs="Times New Roman"/>
          <w:sz w:val="20"/>
          <w:szCs w:val="20"/>
        </w:rPr>
        <w:t xml:space="preserve">The Queen on the application of (1) Corner House Research (2) Campaign </w:t>
      </w:r>
      <w:proofErr w:type="gramStart"/>
      <w:r w:rsidRPr="000768D4">
        <w:rPr>
          <w:rStyle w:val="Emphasis"/>
          <w:rFonts w:ascii="Times New Roman" w:hAnsi="Times New Roman" w:cs="Times New Roman"/>
          <w:sz w:val="20"/>
          <w:szCs w:val="20"/>
        </w:rPr>
        <w:t>Against</w:t>
      </w:r>
      <w:proofErr w:type="gramEnd"/>
      <w:r w:rsidRPr="000768D4">
        <w:rPr>
          <w:rStyle w:val="Emphasis"/>
          <w:rFonts w:ascii="Times New Roman" w:hAnsi="Times New Roman" w:cs="Times New Roman"/>
          <w:sz w:val="20"/>
          <w:szCs w:val="20"/>
        </w:rPr>
        <w:t xml:space="preserve"> Arms Trade v The Director of the Serious Fraud Office (Defendant) and BAE Systems Plc (Interested Party),</w:t>
      </w:r>
      <w:r w:rsidRPr="000768D4">
        <w:rPr>
          <w:rFonts w:ascii="Times New Roman" w:hAnsi="Times New Roman" w:cs="Times New Roman"/>
          <w:sz w:val="20"/>
          <w:szCs w:val="20"/>
        </w:rPr>
        <w:t xml:space="preserve"> Claim No CO/1567/2007, High Court of Justice, Queen's Bench Division, Administrative Court, 18 April 2007.  However, this decision was overturned on appeal by House of Lords.  See </w:t>
      </w:r>
      <w:r w:rsidRPr="000768D4">
        <w:rPr>
          <w:rStyle w:val="Emphasis"/>
          <w:rFonts w:ascii="Times New Roman" w:hAnsi="Times New Roman" w:cs="Times New Roman"/>
          <w:sz w:val="20"/>
          <w:szCs w:val="20"/>
        </w:rPr>
        <w:t>R (on the application of Corner House Research and others) v Director of the Serious Fraud Office</w:t>
      </w:r>
      <w:r w:rsidRPr="000768D4">
        <w:rPr>
          <w:rFonts w:ascii="Times New Roman" w:hAnsi="Times New Roman" w:cs="Times New Roman"/>
          <w:sz w:val="20"/>
          <w:szCs w:val="20"/>
        </w:rPr>
        <w:t xml:space="preserve"> [2008] UKHL 60, 30 July 2008, para 11.  For a more detailed discussion of this case and the related legal issues see </w:t>
      </w:r>
      <w:proofErr w:type="spellStart"/>
      <w:r w:rsidRPr="000768D4">
        <w:rPr>
          <w:rFonts w:ascii="Times New Roman" w:hAnsi="Times New Roman" w:cs="Times New Roman"/>
          <w:sz w:val="20"/>
          <w:szCs w:val="20"/>
        </w:rPr>
        <w:t>Yihdego</w:t>
      </w:r>
      <w:proofErr w:type="spellEnd"/>
      <w:r w:rsidRPr="000768D4">
        <w:rPr>
          <w:rFonts w:ascii="Times New Roman" w:hAnsi="Times New Roman" w:cs="Times New Roman"/>
          <w:sz w:val="20"/>
          <w:szCs w:val="20"/>
        </w:rPr>
        <w:t>, Z. ‘</w:t>
      </w:r>
      <w:r w:rsidRPr="000768D4">
        <w:rPr>
          <w:rFonts w:ascii="Times New Roman" w:hAnsi="Times New Roman" w:cs="Times New Roman"/>
          <w:bCs/>
          <w:sz w:val="20"/>
          <w:szCs w:val="20"/>
        </w:rPr>
        <w:t xml:space="preserve">Arms trade and public controls: the right to information perspective’ (2008) Northern Ireland Legal Quarterly, </w:t>
      </w:r>
      <w:r w:rsidRPr="000768D4">
        <w:rPr>
          <w:rFonts w:ascii="Times New Roman" w:hAnsi="Times New Roman" w:cs="Times New Roman"/>
          <w:sz w:val="20"/>
          <w:szCs w:val="20"/>
        </w:rPr>
        <w:t>59(4), 379-394; Spencer, J. ‘</w:t>
      </w:r>
      <w:r w:rsidRPr="000768D4">
        <w:rPr>
          <w:rFonts w:ascii="Times New Roman" w:hAnsi="Times New Roman" w:cs="Times New Roman"/>
          <w:bCs/>
          <w:sz w:val="20"/>
          <w:szCs w:val="20"/>
        </w:rPr>
        <w:t xml:space="preserve">Fiat </w:t>
      </w:r>
      <w:proofErr w:type="spellStart"/>
      <w:r w:rsidRPr="000768D4">
        <w:rPr>
          <w:rFonts w:ascii="Times New Roman" w:hAnsi="Times New Roman" w:cs="Times New Roman"/>
          <w:bCs/>
          <w:sz w:val="20"/>
          <w:szCs w:val="20"/>
        </w:rPr>
        <w:t>justicia</w:t>
      </w:r>
      <w:proofErr w:type="spellEnd"/>
      <w:r w:rsidRPr="000768D4">
        <w:rPr>
          <w:rFonts w:ascii="Times New Roman" w:hAnsi="Times New Roman" w:cs="Times New Roman"/>
          <w:bCs/>
          <w:sz w:val="20"/>
          <w:szCs w:val="20"/>
        </w:rPr>
        <w:t xml:space="preserve">, </w:t>
      </w:r>
      <w:proofErr w:type="spellStart"/>
      <w:r w:rsidRPr="000768D4">
        <w:rPr>
          <w:rFonts w:ascii="Times New Roman" w:hAnsi="Times New Roman" w:cs="Times New Roman"/>
          <w:bCs/>
          <w:sz w:val="20"/>
          <w:szCs w:val="20"/>
        </w:rPr>
        <w:t>ruatque</w:t>
      </w:r>
      <w:proofErr w:type="spellEnd"/>
      <w:r w:rsidRPr="000768D4">
        <w:rPr>
          <w:rFonts w:ascii="Times New Roman" w:hAnsi="Times New Roman" w:cs="Times New Roman"/>
          <w:bCs/>
          <w:sz w:val="20"/>
          <w:szCs w:val="20"/>
        </w:rPr>
        <w:t xml:space="preserve"> </w:t>
      </w:r>
      <w:proofErr w:type="spellStart"/>
      <w:r w:rsidRPr="000768D4">
        <w:rPr>
          <w:rFonts w:ascii="Times New Roman" w:hAnsi="Times New Roman" w:cs="Times New Roman"/>
          <w:bCs/>
          <w:sz w:val="20"/>
          <w:szCs w:val="20"/>
        </w:rPr>
        <w:t>concordia</w:t>
      </w:r>
      <w:proofErr w:type="spellEnd"/>
      <w:r w:rsidRPr="000768D4">
        <w:rPr>
          <w:rFonts w:ascii="Times New Roman" w:hAnsi="Times New Roman" w:cs="Times New Roman"/>
          <w:bCs/>
          <w:sz w:val="20"/>
          <w:szCs w:val="20"/>
        </w:rPr>
        <w:t xml:space="preserve"> cum </w:t>
      </w:r>
      <w:proofErr w:type="spellStart"/>
      <w:r w:rsidRPr="000768D4">
        <w:rPr>
          <w:rFonts w:ascii="Times New Roman" w:hAnsi="Times New Roman" w:cs="Times New Roman"/>
          <w:bCs/>
          <w:sz w:val="20"/>
          <w:szCs w:val="20"/>
        </w:rPr>
        <w:t>Arabe</w:t>
      </w:r>
      <w:proofErr w:type="spellEnd"/>
      <w:r w:rsidRPr="000768D4">
        <w:rPr>
          <w:rFonts w:ascii="Times New Roman" w:hAnsi="Times New Roman" w:cs="Times New Roman"/>
          <w:bCs/>
          <w:sz w:val="20"/>
          <w:szCs w:val="20"/>
        </w:rPr>
        <w:t>?’ (2008) Cambridge Law Journal, 67(3), 456-458 and Roberts, A. ‘Prosecution: Director of SFO - lawfulness of decision to discontinue prosecution’ (2009) Criminal Law Review, 1, 46-49.</w:t>
      </w:r>
    </w:p>
  </w:footnote>
  <w:footnote w:id="41">
    <w:p w:rsidR="00BD0366" w:rsidRPr="000768D4" w:rsidRDefault="00BD0366" w:rsidP="000768D4">
      <w:pPr>
        <w:pStyle w:val="Heading1"/>
        <w:spacing w:before="0" w:after="0"/>
        <w:jc w:val="both"/>
        <w:rPr>
          <w:rFonts w:ascii="Times New Roman" w:hAnsi="Times New Roman"/>
          <w:b w:val="0"/>
          <w:sz w:val="20"/>
          <w:szCs w:val="20"/>
          <w:lang w:val="en"/>
        </w:rPr>
      </w:pPr>
      <w:r w:rsidRPr="000768D4">
        <w:rPr>
          <w:rStyle w:val="FootnoteReference"/>
          <w:rFonts w:ascii="Times New Roman" w:hAnsi="Times New Roman"/>
          <w:b w:val="0"/>
          <w:sz w:val="20"/>
          <w:szCs w:val="20"/>
        </w:rPr>
        <w:footnoteRef/>
      </w:r>
      <w:r w:rsidRPr="000768D4">
        <w:rPr>
          <w:rFonts w:ascii="Times New Roman" w:hAnsi="Times New Roman"/>
          <w:b w:val="0"/>
          <w:sz w:val="20"/>
          <w:szCs w:val="20"/>
        </w:rPr>
        <w:t xml:space="preserve"> See for example </w:t>
      </w:r>
      <w:proofErr w:type="spellStart"/>
      <w:r w:rsidRPr="000768D4">
        <w:rPr>
          <w:rFonts w:ascii="Times New Roman" w:hAnsi="Times New Roman"/>
          <w:b w:val="0"/>
          <w:sz w:val="20"/>
          <w:szCs w:val="20"/>
        </w:rPr>
        <w:t>Neate</w:t>
      </w:r>
      <w:proofErr w:type="spellEnd"/>
      <w:r w:rsidRPr="000768D4">
        <w:rPr>
          <w:rFonts w:ascii="Times New Roman" w:hAnsi="Times New Roman"/>
          <w:b w:val="0"/>
          <w:sz w:val="20"/>
          <w:szCs w:val="20"/>
        </w:rPr>
        <w:t xml:space="preserve">, R. </w:t>
      </w:r>
      <w:r w:rsidRPr="000768D4">
        <w:rPr>
          <w:rFonts w:ascii="Times New Roman" w:hAnsi="Times New Roman"/>
          <w:b w:val="0"/>
          <w:sz w:val="20"/>
          <w:szCs w:val="20"/>
        </w:rPr>
        <w:t>‘</w:t>
      </w:r>
      <w:r w:rsidRPr="000768D4">
        <w:rPr>
          <w:rFonts w:ascii="Times New Roman" w:hAnsi="Times New Roman"/>
          <w:b w:val="0"/>
          <w:bCs w:val="0"/>
          <w:sz w:val="20"/>
          <w:szCs w:val="20"/>
        </w:rPr>
        <w:t xml:space="preserve">Tchenguiz brothers seek millions from Serious Fraud Office’, December 3 2012, available from </w:t>
      </w:r>
      <w:hyperlink r:id="rId2" w:history="1">
        <w:r w:rsidRPr="000768D4">
          <w:rPr>
            <w:rStyle w:val="Hyperlink"/>
            <w:rFonts w:ascii="Times New Roman" w:hAnsi="Times New Roman"/>
            <w:b w:val="0"/>
            <w:bCs w:val="0"/>
            <w:sz w:val="20"/>
            <w:szCs w:val="20"/>
          </w:rPr>
          <w:t>http://m.guardian.co.uk/business/2012/dec/03/tchenguiz-brothers-millions-damages-sfo</w:t>
        </w:r>
      </w:hyperlink>
      <w:r w:rsidR="00437369">
        <w:rPr>
          <w:rFonts w:ascii="Times New Roman" w:hAnsi="Times New Roman"/>
          <w:b w:val="0"/>
          <w:bCs w:val="0"/>
          <w:sz w:val="20"/>
          <w:szCs w:val="20"/>
        </w:rPr>
        <w:t>, accessed 18 March 201</w:t>
      </w:r>
      <w:r w:rsidR="00437369">
        <w:rPr>
          <w:rFonts w:ascii="Times New Roman" w:hAnsi="Times New Roman"/>
          <w:b w:val="0"/>
          <w:bCs w:val="0"/>
          <w:sz w:val="20"/>
          <w:szCs w:val="20"/>
          <w:lang w:val="en-GB"/>
        </w:rPr>
        <w:t>5</w:t>
      </w:r>
      <w:r w:rsidRPr="000768D4">
        <w:rPr>
          <w:rFonts w:ascii="Times New Roman" w:hAnsi="Times New Roman"/>
          <w:b w:val="0"/>
          <w:bCs w:val="0"/>
          <w:sz w:val="20"/>
          <w:szCs w:val="20"/>
        </w:rPr>
        <w:t>, Russel, J. ‘</w:t>
      </w:r>
      <w:r w:rsidRPr="000768D4">
        <w:rPr>
          <w:rFonts w:ascii="Times New Roman" w:hAnsi="Times New Roman"/>
          <w:b w:val="0"/>
          <w:sz w:val="20"/>
          <w:szCs w:val="20"/>
          <w:lang w:val="en"/>
        </w:rPr>
        <w:t xml:space="preserve">Tchenguiz brothers launch damages case against SFO’, 2 December 2012, available from </w:t>
      </w:r>
      <w:hyperlink r:id="rId3" w:history="1">
        <w:r w:rsidRPr="000768D4">
          <w:rPr>
            <w:rStyle w:val="Hyperlink"/>
            <w:rFonts w:ascii="Times New Roman" w:hAnsi="Times New Roman"/>
            <w:b w:val="0"/>
            <w:sz w:val="20"/>
            <w:szCs w:val="20"/>
            <w:lang w:val="en"/>
          </w:rPr>
          <w:t>http://www.telegraph.co.uk/finance/financial-crime/9717240/Tchenguiz-brothers-launch-damages-case-against-SFO.html</w:t>
        </w:r>
      </w:hyperlink>
      <w:r w:rsidR="00437369">
        <w:rPr>
          <w:rFonts w:ascii="Times New Roman" w:hAnsi="Times New Roman"/>
          <w:b w:val="0"/>
          <w:sz w:val="20"/>
          <w:szCs w:val="20"/>
          <w:lang w:val="en"/>
        </w:rPr>
        <w:t>, accessed 18 March 2015</w:t>
      </w:r>
      <w:r w:rsidRPr="000768D4">
        <w:rPr>
          <w:rFonts w:ascii="Times New Roman" w:hAnsi="Times New Roman"/>
          <w:b w:val="0"/>
          <w:sz w:val="20"/>
          <w:szCs w:val="20"/>
          <w:lang w:val="en"/>
        </w:rPr>
        <w:t xml:space="preserve">, </w:t>
      </w:r>
    </w:p>
  </w:footnote>
  <w:footnote w:id="42">
    <w:p w:rsidR="00BD0366" w:rsidRPr="00CC6AD6" w:rsidRDefault="00BD0366" w:rsidP="00CC6AD6">
      <w:pPr>
        <w:autoSpaceDE w:val="0"/>
        <w:autoSpaceDN w:val="0"/>
        <w:adjustRightInd w:val="0"/>
        <w:spacing w:after="0" w:line="240" w:lineRule="auto"/>
        <w:jc w:val="both"/>
        <w:rPr>
          <w:rFonts w:ascii="Times New Roman" w:eastAsia="Times New Roman" w:hAnsi="Times New Roman" w:cs="Times New Roman"/>
          <w:sz w:val="20"/>
          <w:szCs w:val="20"/>
        </w:rPr>
      </w:pPr>
      <w:r w:rsidRPr="00CC6AD6">
        <w:rPr>
          <w:rStyle w:val="FootnoteReference"/>
          <w:rFonts w:ascii="Times New Roman" w:hAnsi="Times New Roman" w:cs="Times New Roman"/>
          <w:sz w:val="20"/>
          <w:szCs w:val="20"/>
        </w:rPr>
        <w:footnoteRef/>
      </w:r>
      <w:r w:rsidRPr="00CC6AD6">
        <w:rPr>
          <w:rFonts w:ascii="Times New Roman" w:hAnsi="Times New Roman" w:cs="Times New Roman"/>
          <w:sz w:val="20"/>
          <w:szCs w:val="20"/>
        </w:rPr>
        <w:t xml:space="preserve"> See generally Ryder, N. </w:t>
      </w:r>
      <w:r w:rsidRPr="00CC6AD6">
        <w:rPr>
          <w:rFonts w:ascii="Times New Roman" w:eastAsia="Times New Roman" w:hAnsi="Times New Roman" w:cs="Times New Roman"/>
          <w:sz w:val="20"/>
          <w:szCs w:val="20"/>
        </w:rPr>
        <w:t xml:space="preserve">‘White collar crime and the global financial crisis; how long will we have to wait for the day of reckoning?’ (2013) </w:t>
      </w:r>
      <w:proofErr w:type="gramStart"/>
      <w:r w:rsidRPr="00CC6AD6">
        <w:rPr>
          <w:rFonts w:ascii="Times New Roman" w:eastAsia="Times New Roman" w:hAnsi="Times New Roman" w:cs="Times New Roman"/>
          <w:sz w:val="20"/>
          <w:szCs w:val="20"/>
        </w:rPr>
        <w:t>The</w:t>
      </w:r>
      <w:proofErr w:type="gramEnd"/>
      <w:r w:rsidRPr="00CC6AD6">
        <w:rPr>
          <w:rFonts w:ascii="Times New Roman" w:eastAsia="Times New Roman" w:hAnsi="Times New Roman" w:cs="Times New Roman"/>
          <w:sz w:val="20"/>
          <w:szCs w:val="20"/>
        </w:rPr>
        <w:t xml:space="preserve"> Criminal Lawyer, 57(Jul), 5-14.</w:t>
      </w:r>
    </w:p>
  </w:footnote>
  <w:footnote w:id="43">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Serious Fraud Office </w:t>
      </w:r>
      <w:r w:rsidRPr="000768D4">
        <w:rPr>
          <w:rFonts w:ascii="Times New Roman" w:hAnsi="Times New Roman"/>
          <w:i/>
          <w:sz w:val="20"/>
          <w:szCs w:val="20"/>
        </w:rPr>
        <w:t>Annual Report 2006/2007</w:t>
      </w:r>
      <w:r w:rsidRPr="000768D4">
        <w:rPr>
          <w:rFonts w:ascii="Times New Roman" w:hAnsi="Times New Roman"/>
          <w:sz w:val="20"/>
          <w:szCs w:val="20"/>
        </w:rPr>
        <w:t xml:space="preserve"> (Serious Fraud Office: London, 2007) at 4.</w:t>
      </w:r>
    </w:p>
  </w:footnote>
  <w:footnote w:id="44">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i/>
          <w:sz w:val="20"/>
          <w:szCs w:val="20"/>
        </w:rPr>
        <w:t>Ibid</w:t>
      </w:r>
      <w:r w:rsidRPr="000768D4">
        <w:rPr>
          <w:rFonts w:ascii="Times New Roman" w:hAnsi="Times New Roman"/>
          <w:sz w:val="20"/>
          <w:szCs w:val="20"/>
        </w:rPr>
        <w:t>.</w:t>
      </w:r>
    </w:p>
  </w:footnote>
  <w:footnote w:id="45">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Serious Fraud Office </w:t>
      </w:r>
      <w:r w:rsidRPr="000768D4">
        <w:rPr>
          <w:rFonts w:ascii="Times New Roman" w:hAnsi="Times New Roman"/>
          <w:i/>
          <w:sz w:val="20"/>
          <w:szCs w:val="20"/>
        </w:rPr>
        <w:t>Annual Report 2007/2008</w:t>
      </w:r>
      <w:r w:rsidRPr="000768D4">
        <w:rPr>
          <w:rFonts w:ascii="Times New Roman" w:hAnsi="Times New Roman"/>
          <w:sz w:val="20"/>
          <w:szCs w:val="20"/>
        </w:rPr>
        <w:t xml:space="preserve"> (Serious Fraud Office: London, 2008) at 5.</w:t>
      </w:r>
    </w:p>
  </w:footnote>
  <w:footnote w:id="46">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Serious Fraud Office </w:t>
      </w:r>
      <w:r w:rsidRPr="000768D4">
        <w:rPr>
          <w:rFonts w:ascii="Times New Roman" w:hAnsi="Times New Roman"/>
          <w:i/>
          <w:sz w:val="20"/>
          <w:szCs w:val="20"/>
        </w:rPr>
        <w:t>Annual Report 2009/2010</w:t>
      </w:r>
      <w:r w:rsidRPr="000768D4">
        <w:rPr>
          <w:rFonts w:ascii="Times New Roman" w:hAnsi="Times New Roman"/>
          <w:sz w:val="20"/>
          <w:szCs w:val="20"/>
        </w:rPr>
        <w:t xml:space="preserve"> (Serious Fraud Office: London, 2010) at 2.</w:t>
      </w:r>
    </w:p>
  </w:footnote>
  <w:footnote w:id="47">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Serious Fraud Office </w:t>
      </w:r>
      <w:r w:rsidRPr="000768D4">
        <w:rPr>
          <w:rFonts w:ascii="Times New Roman" w:hAnsi="Times New Roman"/>
          <w:i/>
          <w:sz w:val="20"/>
          <w:szCs w:val="20"/>
        </w:rPr>
        <w:t>Annual Report and Accounts 2011/2012</w:t>
      </w:r>
      <w:r w:rsidRPr="000768D4">
        <w:rPr>
          <w:rFonts w:ascii="Times New Roman" w:hAnsi="Times New Roman"/>
          <w:sz w:val="20"/>
          <w:szCs w:val="20"/>
        </w:rPr>
        <w:t xml:space="preserve"> (Serious Fraud Office: London, 2012) at 6.</w:t>
      </w:r>
    </w:p>
  </w:footnote>
  <w:footnote w:id="48">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Serious Fraud Office </w:t>
      </w:r>
      <w:r w:rsidRPr="000768D4">
        <w:rPr>
          <w:rFonts w:ascii="Times New Roman" w:hAnsi="Times New Roman"/>
          <w:i/>
          <w:sz w:val="20"/>
          <w:szCs w:val="20"/>
        </w:rPr>
        <w:t>Annual Report and Accounts 2012/2013</w:t>
      </w:r>
      <w:r w:rsidRPr="000768D4">
        <w:rPr>
          <w:rFonts w:ascii="Times New Roman" w:hAnsi="Times New Roman"/>
          <w:sz w:val="20"/>
          <w:szCs w:val="20"/>
        </w:rPr>
        <w:t xml:space="preserve"> (Serious Fraud Office: London, 2013) at 4.</w:t>
      </w:r>
    </w:p>
  </w:footnote>
  <w:footnote w:id="49">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Serious Fraud Office </w:t>
      </w:r>
      <w:r w:rsidRPr="000768D4">
        <w:rPr>
          <w:rFonts w:ascii="Times New Roman" w:hAnsi="Times New Roman"/>
          <w:i/>
          <w:sz w:val="20"/>
          <w:szCs w:val="20"/>
        </w:rPr>
        <w:t>Annual Report and Accounts 2013/2014</w:t>
      </w:r>
      <w:r w:rsidRPr="000768D4">
        <w:rPr>
          <w:rFonts w:ascii="Times New Roman" w:hAnsi="Times New Roman"/>
          <w:sz w:val="20"/>
          <w:szCs w:val="20"/>
        </w:rPr>
        <w:t xml:space="preserve"> (Serious Fraud Office: London, 2014) at 1.</w:t>
      </w:r>
    </w:p>
  </w:footnote>
  <w:footnote w:id="50">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Serious Fraud Office </w:t>
      </w:r>
      <w:r w:rsidRPr="000768D4">
        <w:rPr>
          <w:rFonts w:ascii="Times New Roman" w:hAnsi="Times New Roman"/>
          <w:i/>
          <w:sz w:val="20"/>
          <w:szCs w:val="20"/>
        </w:rPr>
        <w:t>Annual Report and Accounts 2014/2015</w:t>
      </w:r>
      <w:r w:rsidRPr="000768D4">
        <w:rPr>
          <w:rFonts w:ascii="Times New Roman" w:hAnsi="Times New Roman"/>
          <w:sz w:val="20"/>
          <w:szCs w:val="20"/>
        </w:rPr>
        <w:t xml:space="preserve"> (Serious Fraud Office: London, 2015) at 1.</w:t>
      </w:r>
    </w:p>
  </w:footnote>
  <w:footnote w:id="51">
    <w:p w:rsidR="00BD0366" w:rsidRPr="000768D4" w:rsidRDefault="00BD0366" w:rsidP="000768D4">
      <w:pPr>
        <w:pStyle w:val="FootnoteText"/>
        <w:jc w:val="both"/>
        <w:rPr>
          <w:rFonts w:ascii="Times New Roman" w:eastAsia="Times New Roman" w:hAnsi="Times New Roman"/>
          <w:bCs/>
          <w:sz w:val="20"/>
          <w:szCs w:val="20"/>
          <w:lang w:eastAsia="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For an excellent discussion of the collapse of BCCI see Arora, A. ‘</w:t>
      </w:r>
      <w:r w:rsidRPr="00DE54AF">
        <w:rPr>
          <w:rFonts w:ascii="Times New Roman" w:eastAsia="Times New Roman" w:hAnsi="Times New Roman"/>
          <w:bCs/>
          <w:sz w:val="20"/>
          <w:szCs w:val="20"/>
          <w:lang w:eastAsia="en-GB"/>
        </w:rPr>
        <w:t>The statutory system of the bank supervision and the failure of BCCI</w:t>
      </w:r>
      <w:r w:rsidRPr="000768D4">
        <w:rPr>
          <w:rFonts w:ascii="Times New Roman" w:eastAsia="Times New Roman" w:hAnsi="Times New Roman"/>
          <w:bCs/>
          <w:sz w:val="20"/>
          <w:szCs w:val="20"/>
          <w:lang w:eastAsia="en-GB"/>
        </w:rPr>
        <w:t>’ (2006) Journal of Business Law, August, 487-510.</w:t>
      </w:r>
    </w:p>
  </w:footnote>
  <w:footnote w:id="52">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For a more detailed and analytical account of the collapse of Barings see Proctor, L. ‘The Barings collapse: a regulatory failure, or a failure of supervision’ (1997) Brooklyn Journal of International Law, 22, 735</w:t>
      </w:r>
    </w:p>
  </w:footnote>
  <w:footnote w:id="53">
    <w:p w:rsidR="00BD0366" w:rsidRPr="000768D4" w:rsidRDefault="00BD0366" w:rsidP="000768D4">
      <w:pPr>
        <w:pStyle w:val="FootnoteText"/>
        <w:jc w:val="both"/>
        <w:rPr>
          <w:rFonts w:ascii="Times New Roman" w:eastAsia="Times New Roman" w:hAnsi="Times New Roman"/>
          <w:bCs/>
          <w:sz w:val="20"/>
          <w:szCs w:val="20"/>
          <w:lang w:eastAsia="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Lomnicka, E. ‘</w:t>
      </w:r>
      <w:r w:rsidRPr="00A658C6">
        <w:rPr>
          <w:rFonts w:ascii="Times New Roman" w:eastAsia="Times New Roman" w:hAnsi="Times New Roman"/>
          <w:bCs/>
          <w:sz w:val="20"/>
          <w:szCs w:val="20"/>
          <w:lang w:eastAsia="en-GB"/>
        </w:rPr>
        <w:t>Reforming U.K. financial services regulation: the</w:t>
      </w:r>
      <w:r w:rsidRPr="000768D4">
        <w:rPr>
          <w:rFonts w:ascii="Times New Roman" w:eastAsia="Times New Roman" w:hAnsi="Times New Roman"/>
          <w:bCs/>
          <w:sz w:val="20"/>
          <w:szCs w:val="20"/>
          <w:lang w:eastAsia="en-GB"/>
        </w:rPr>
        <w:t xml:space="preserve"> creation of a single regulator’ (1999) Journal of Business Law, September, 480-489, at 482</w:t>
      </w:r>
      <w:r>
        <w:rPr>
          <w:rFonts w:ascii="Times New Roman" w:eastAsia="Times New Roman" w:hAnsi="Times New Roman"/>
          <w:bCs/>
          <w:sz w:val="20"/>
          <w:szCs w:val="20"/>
          <w:lang w:eastAsia="en-GB"/>
        </w:rPr>
        <w:t xml:space="preserve">.  </w:t>
      </w:r>
      <w:proofErr w:type="gramStart"/>
      <w:r>
        <w:rPr>
          <w:rFonts w:ascii="Times New Roman" w:eastAsia="Times New Roman" w:hAnsi="Times New Roman"/>
          <w:bCs/>
          <w:sz w:val="20"/>
          <w:szCs w:val="20"/>
          <w:lang w:eastAsia="en-GB"/>
        </w:rPr>
        <w:t>Hereinafter ‘FSA’.</w:t>
      </w:r>
      <w:proofErr w:type="gramEnd"/>
    </w:p>
  </w:footnote>
  <w:footnote w:id="54">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Financial Services and Markets Act 2000, s. 6.  See generally Ryder, N. ‘</w:t>
      </w:r>
      <w:r w:rsidRPr="000768D4">
        <w:rPr>
          <w:rFonts w:ascii="Times New Roman" w:hAnsi="Times New Roman"/>
          <w:sz w:val="20"/>
          <w:szCs w:val="20"/>
        </w:rPr>
        <w:t>The Financial Services Authority, the Reduction of Financial Crime and the Money Launderer – A Game of Cat and Mouse’, (2008) Cambridge Law Journal, 67(3), 635-653</w:t>
      </w:r>
      <w:r w:rsidRPr="000768D4">
        <w:rPr>
          <w:rFonts w:ascii="Times New Roman" w:hAnsi="Times New Roman"/>
          <w:sz w:val="20"/>
          <w:szCs w:val="20"/>
          <w:lang w:val="en-GB"/>
        </w:rPr>
        <w:t>.</w:t>
      </w:r>
    </w:p>
  </w:footnote>
  <w:footnote w:id="55">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and Markets Act 2000, s. 206 (1).  For a general discussion see Travers Smith Regulatory Investigations Group ‘FSA enforcement action: themes and trends’ (2011) Compliance Officer Bulletin, 87, June, 1-35.</w:t>
      </w:r>
    </w:p>
  </w:footnote>
  <w:footnote w:id="56">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and Markets Act 2000, s. 56.</w:t>
      </w:r>
      <w:r w:rsidRPr="000768D4">
        <w:rPr>
          <w:rFonts w:ascii="Times New Roman" w:hAnsi="Times New Roman"/>
          <w:sz w:val="20"/>
          <w:szCs w:val="20"/>
          <w:lang w:val="en"/>
        </w:rPr>
        <w:t xml:space="preserve"> </w:t>
      </w:r>
    </w:p>
  </w:footnote>
  <w:footnote w:id="57">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 xml:space="preserve">Financial Conduct Authority ‘Fighting financial crime’, March 31 2013, available from </w:t>
      </w:r>
      <w:hyperlink r:id="rId4" w:history="1">
        <w:r w:rsidRPr="00DC7A21">
          <w:rPr>
            <w:rStyle w:val="Hyperlink"/>
            <w:rFonts w:ascii="Times New Roman" w:hAnsi="Times New Roman"/>
            <w:sz w:val="20"/>
            <w:szCs w:val="20"/>
            <w:lang w:val="en-GB"/>
          </w:rPr>
          <w:t>http://www.fca.org.uk/about/what/protecting/financial-crimem accessed July 8 2013</w:t>
        </w:r>
      </w:hyperlink>
      <w:r w:rsidRPr="000768D4">
        <w:rPr>
          <w:rFonts w:ascii="Times New Roman" w:hAnsi="Times New Roman"/>
          <w:sz w:val="20"/>
          <w:szCs w:val="20"/>
          <w:lang w:val="en-GB"/>
        </w:rPr>
        <w:t>.</w:t>
      </w:r>
      <w:r>
        <w:rPr>
          <w:rFonts w:ascii="Times New Roman" w:hAnsi="Times New Roman"/>
          <w:sz w:val="20"/>
          <w:szCs w:val="20"/>
          <w:lang w:val="en-GB"/>
        </w:rPr>
        <w:t xml:space="preserve">  </w:t>
      </w:r>
      <w:proofErr w:type="gramStart"/>
      <w:r>
        <w:rPr>
          <w:rFonts w:ascii="Times New Roman" w:hAnsi="Times New Roman"/>
          <w:sz w:val="20"/>
          <w:szCs w:val="20"/>
          <w:lang w:val="en-GB"/>
        </w:rPr>
        <w:t>Hereinafter ‘FCA’.</w:t>
      </w:r>
      <w:proofErr w:type="gramEnd"/>
    </w:p>
  </w:footnote>
  <w:footnote w:id="58">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hAnsi="Times New Roman"/>
          <w:i/>
          <w:sz w:val="20"/>
          <w:szCs w:val="20"/>
        </w:rPr>
        <w:t>Ibid</w:t>
      </w:r>
      <w:r w:rsidRPr="000768D4">
        <w:rPr>
          <w:rFonts w:ascii="Times New Roman" w:hAnsi="Times New Roman"/>
          <w:sz w:val="20"/>
          <w:szCs w:val="20"/>
        </w:rPr>
        <w:t>.</w:t>
      </w:r>
      <w:proofErr w:type="gramEnd"/>
      <w:r w:rsidRPr="000768D4">
        <w:rPr>
          <w:rFonts w:ascii="Times New Roman" w:hAnsi="Times New Roman"/>
          <w:sz w:val="20"/>
          <w:szCs w:val="20"/>
        </w:rPr>
        <w:t xml:space="preserve">  </w:t>
      </w:r>
    </w:p>
  </w:footnote>
  <w:footnote w:id="59">
    <w:p w:rsidR="00BD0366" w:rsidRPr="000768D4" w:rsidRDefault="00BD0366" w:rsidP="000768D4">
      <w:pPr>
        <w:autoSpaceDE w:val="0"/>
        <w:autoSpaceDN w:val="0"/>
        <w:adjustRightInd w:val="0"/>
        <w:spacing w:after="0" w:line="240" w:lineRule="auto"/>
        <w:jc w:val="both"/>
        <w:rPr>
          <w:rFonts w:ascii="Times New Roman" w:eastAsia="Calibri" w:hAnsi="Times New Roman" w:cs="Times New Roman"/>
          <w:bCs/>
          <w:sz w:val="20"/>
          <w:szCs w:val="20"/>
        </w:rPr>
      </w:pPr>
      <w:r w:rsidRPr="000768D4">
        <w:rPr>
          <w:rStyle w:val="FootnoteReference"/>
          <w:rFonts w:ascii="Times New Roman" w:hAnsi="Times New Roman" w:cs="Times New Roman"/>
          <w:sz w:val="20"/>
          <w:szCs w:val="20"/>
        </w:rPr>
        <w:footnoteRef/>
      </w:r>
      <w:r w:rsidRPr="000768D4">
        <w:rPr>
          <w:rFonts w:ascii="Times New Roman" w:hAnsi="Times New Roman" w:cs="Times New Roman"/>
          <w:sz w:val="20"/>
          <w:szCs w:val="20"/>
        </w:rPr>
        <w:t xml:space="preserve"> </w:t>
      </w:r>
      <w:proofErr w:type="gramStart"/>
      <w:r w:rsidRPr="000768D4">
        <w:rPr>
          <w:rFonts w:ascii="Times New Roman" w:hAnsi="Times New Roman" w:cs="Times New Roman"/>
          <w:sz w:val="20"/>
          <w:szCs w:val="20"/>
        </w:rPr>
        <w:t xml:space="preserve">Hill, C. ‘Fund management update’ (2013) </w:t>
      </w:r>
      <w:r w:rsidRPr="000768D4">
        <w:rPr>
          <w:rFonts w:ascii="Times New Roman" w:eastAsia="Calibri" w:hAnsi="Times New Roman" w:cs="Times New Roman"/>
          <w:bCs/>
          <w:sz w:val="20"/>
          <w:szCs w:val="20"/>
        </w:rPr>
        <w:t xml:space="preserve">Compliance Officer Bulletin, </w:t>
      </w:r>
      <w:r w:rsidRPr="000768D4">
        <w:rPr>
          <w:rFonts w:ascii="Times New Roman" w:eastAsia="Calibri" w:hAnsi="Times New Roman" w:cs="Times New Roman"/>
          <w:sz w:val="20"/>
          <w:szCs w:val="20"/>
        </w:rPr>
        <w:t>104(Mar), 1-36, at 30.</w:t>
      </w:r>
      <w:proofErr w:type="gramEnd"/>
    </w:p>
  </w:footnote>
  <w:footnote w:id="60">
    <w:p w:rsidR="00437369" w:rsidRPr="00437369" w:rsidRDefault="00BD0366" w:rsidP="00437369">
      <w:pPr>
        <w:spacing w:after="0" w:line="240" w:lineRule="auto"/>
        <w:jc w:val="both"/>
        <w:rPr>
          <w:rFonts w:ascii="Times New Roman" w:eastAsia="Calibri" w:hAnsi="Times New Roman" w:cs="Times New Roman"/>
          <w:sz w:val="20"/>
          <w:szCs w:val="20"/>
        </w:rPr>
      </w:pPr>
      <w:r w:rsidRPr="00437369">
        <w:rPr>
          <w:rStyle w:val="FootnoteReference"/>
          <w:rFonts w:ascii="Times New Roman" w:hAnsi="Times New Roman" w:cs="Times New Roman"/>
          <w:sz w:val="20"/>
          <w:szCs w:val="20"/>
        </w:rPr>
        <w:footnoteRef/>
      </w:r>
      <w:r w:rsidRPr="00437369">
        <w:rPr>
          <w:rFonts w:ascii="Times New Roman" w:hAnsi="Times New Roman" w:cs="Times New Roman"/>
          <w:sz w:val="20"/>
          <w:szCs w:val="20"/>
        </w:rPr>
        <w:t xml:space="preserve"> </w:t>
      </w:r>
      <w:r w:rsidR="00437369" w:rsidRPr="00437369">
        <w:rPr>
          <w:rFonts w:ascii="Times New Roman" w:eastAsia="Calibri" w:hAnsi="Times New Roman" w:cs="Times New Roman"/>
          <w:sz w:val="20"/>
          <w:szCs w:val="20"/>
          <w:lang w:val="en-US"/>
        </w:rPr>
        <w:t xml:space="preserve">Srivastava, A., Mason, I., Simpson, M. and </w:t>
      </w:r>
      <w:proofErr w:type="spellStart"/>
      <w:r w:rsidR="00437369" w:rsidRPr="00437369">
        <w:rPr>
          <w:rFonts w:ascii="Times New Roman" w:eastAsia="Calibri" w:hAnsi="Times New Roman" w:cs="Times New Roman"/>
          <w:sz w:val="20"/>
          <w:szCs w:val="20"/>
          <w:lang w:val="en-US"/>
        </w:rPr>
        <w:t>Litt</w:t>
      </w:r>
      <w:proofErr w:type="spellEnd"/>
      <w:r w:rsidR="00437369" w:rsidRPr="00437369">
        <w:rPr>
          <w:rFonts w:ascii="Times New Roman" w:eastAsia="Calibri" w:hAnsi="Times New Roman" w:cs="Times New Roman"/>
          <w:sz w:val="20"/>
          <w:szCs w:val="20"/>
          <w:lang w:val="en-US"/>
        </w:rPr>
        <w:t>, M. ‘Financial Crime’ (2011) C</w:t>
      </w:r>
      <w:r w:rsidR="00437369" w:rsidRPr="00437369">
        <w:rPr>
          <w:rFonts w:ascii="Times New Roman" w:eastAsia="Calibri" w:hAnsi="Times New Roman" w:cs="Times New Roman"/>
          <w:bCs/>
          <w:sz w:val="20"/>
          <w:szCs w:val="20"/>
          <w:lang w:val="en-US"/>
        </w:rPr>
        <w:t xml:space="preserve">ompliance Officer Bulletin, </w:t>
      </w:r>
      <w:r w:rsidR="00437369" w:rsidRPr="00437369">
        <w:rPr>
          <w:rFonts w:ascii="Times New Roman" w:eastAsia="Calibri" w:hAnsi="Times New Roman" w:cs="Times New Roman"/>
          <w:sz w:val="20"/>
          <w:szCs w:val="20"/>
          <w:lang w:val="en-US"/>
        </w:rPr>
        <w:t>86(May), 1-23, at 9.</w:t>
      </w:r>
    </w:p>
  </w:footnote>
  <w:footnote w:id="61">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hAnsi="Times New Roman"/>
          <w:sz w:val="20"/>
          <w:szCs w:val="20"/>
        </w:rPr>
        <w:t xml:space="preserve">Hill above, n </w:t>
      </w:r>
      <w:r w:rsidR="00437369">
        <w:rPr>
          <w:rFonts w:ascii="Times New Roman" w:hAnsi="Times New Roman"/>
          <w:sz w:val="20"/>
          <w:szCs w:val="20"/>
        </w:rPr>
        <w:t xml:space="preserve">59 </w:t>
      </w:r>
      <w:r w:rsidRPr="000768D4">
        <w:rPr>
          <w:rFonts w:ascii="Times New Roman" w:hAnsi="Times New Roman"/>
          <w:sz w:val="20"/>
          <w:szCs w:val="20"/>
        </w:rPr>
        <w:t>at 30</w:t>
      </w:r>
      <w:r w:rsidRPr="000768D4">
        <w:rPr>
          <w:rFonts w:ascii="Times New Roman" w:eastAsia="Calibri" w:hAnsi="Times New Roman"/>
          <w:sz w:val="20"/>
          <w:szCs w:val="20"/>
        </w:rPr>
        <w:t>.</w:t>
      </w:r>
      <w:proofErr w:type="gramEnd"/>
    </w:p>
  </w:footnote>
  <w:footnote w:id="62">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eastAsia="Calibri" w:hAnsi="Times New Roman"/>
          <w:sz w:val="20"/>
          <w:szCs w:val="20"/>
        </w:rPr>
        <w:t xml:space="preserve">Srivastava </w:t>
      </w:r>
      <w:r w:rsidRPr="000768D4">
        <w:rPr>
          <w:rFonts w:ascii="Times New Roman" w:eastAsia="Calibri" w:hAnsi="Times New Roman"/>
          <w:i/>
          <w:sz w:val="20"/>
          <w:szCs w:val="20"/>
        </w:rPr>
        <w:t>et al</w:t>
      </w:r>
      <w:r w:rsidRPr="000768D4">
        <w:rPr>
          <w:rFonts w:ascii="Times New Roman" w:eastAsia="Calibri" w:hAnsi="Times New Roman"/>
          <w:sz w:val="20"/>
          <w:szCs w:val="20"/>
        </w:rPr>
        <w:t xml:space="preserve"> above, n </w:t>
      </w:r>
      <w:r w:rsidR="00437369">
        <w:rPr>
          <w:rFonts w:ascii="Times New Roman" w:eastAsia="Calibri" w:hAnsi="Times New Roman"/>
          <w:sz w:val="20"/>
          <w:szCs w:val="20"/>
        </w:rPr>
        <w:t>62</w:t>
      </w:r>
      <w:r w:rsidRPr="000768D4">
        <w:rPr>
          <w:rFonts w:ascii="Times New Roman" w:eastAsia="Calibri" w:hAnsi="Times New Roman"/>
          <w:sz w:val="20"/>
          <w:szCs w:val="20"/>
        </w:rPr>
        <w:t xml:space="preserve"> at 10.</w:t>
      </w:r>
    </w:p>
  </w:footnote>
  <w:footnote w:id="63">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hAnsi="Times New Roman"/>
          <w:sz w:val="20"/>
          <w:szCs w:val="20"/>
        </w:rPr>
        <w:t xml:space="preserve">Hill above, n </w:t>
      </w:r>
      <w:r w:rsidR="00437369">
        <w:rPr>
          <w:rFonts w:ascii="Times New Roman" w:hAnsi="Times New Roman"/>
          <w:sz w:val="20"/>
          <w:szCs w:val="20"/>
        </w:rPr>
        <w:t>59</w:t>
      </w:r>
      <w:r w:rsidRPr="000768D4">
        <w:rPr>
          <w:rFonts w:ascii="Times New Roman" w:hAnsi="Times New Roman"/>
          <w:sz w:val="20"/>
          <w:szCs w:val="20"/>
        </w:rPr>
        <w:t xml:space="preserve"> at 30</w:t>
      </w:r>
      <w:r w:rsidRPr="000768D4">
        <w:rPr>
          <w:rFonts w:ascii="Times New Roman" w:eastAsia="Calibri" w:hAnsi="Times New Roman"/>
          <w:sz w:val="20"/>
          <w:szCs w:val="20"/>
        </w:rPr>
        <w:t>.</w:t>
      </w:r>
      <w:proofErr w:type="gramEnd"/>
    </w:p>
  </w:footnote>
  <w:footnote w:id="64">
    <w:p w:rsidR="00437369" w:rsidRPr="00437369" w:rsidRDefault="00BD0366" w:rsidP="00437369">
      <w:pPr>
        <w:autoSpaceDE w:val="0"/>
        <w:autoSpaceDN w:val="0"/>
        <w:adjustRightInd w:val="0"/>
        <w:spacing w:after="0" w:line="240" w:lineRule="auto"/>
        <w:jc w:val="both"/>
        <w:rPr>
          <w:rFonts w:ascii="Times New Roman" w:eastAsia="Times New Roman" w:hAnsi="Times New Roman" w:cs="Times New Roman"/>
          <w:bCs/>
          <w:sz w:val="20"/>
          <w:szCs w:val="20"/>
          <w:lang w:eastAsia="en-GB"/>
        </w:rPr>
      </w:pPr>
      <w:r w:rsidRPr="00437369">
        <w:rPr>
          <w:rStyle w:val="FootnoteReference"/>
          <w:rFonts w:ascii="Times New Roman" w:hAnsi="Times New Roman" w:cs="Times New Roman"/>
          <w:sz w:val="20"/>
          <w:szCs w:val="20"/>
        </w:rPr>
        <w:footnoteRef/>
      </w:r>
      <w:r w:rsidRPr="00437369">
        <w:rPr>
          <w:rFonts w:ascii="Times New Roman" w:hAnsi="Times New Roman" w:cs="Times New Roman"/>
          <w:sz w:val="20"/>
          <w:szCs w:val="20"/>
        </w:rPr>
        <w:t xml:space="preserve"> </w:t>
      </w:r>
      <w:proofErr w:type="gramStart"/>
      <w:r w:rsidR="00437369" w:rsidRPr="00437369">
        <w:rPr>
          <w:rFonts w:ascii="Times New Roman" w:eastAsia="Times New Roman" w:hAnsi="Times New Roman" w:cs="Times New Roman"/>
          <w:sz w:val="20"/>
          <w:szCs w:val="20"/>
          <w:lang w:eastAsia="en-GB"/>
        </w:rPr>
        <w:t xml:space="preserve">Marshall, H., Leonard, C. and </w:t>
      </w:r>
      <w:proofErr w:type="spellStart"/>
      <w:r w:rsidR="00437369" w:rsidRPr="00437369">
        <w:rPr>
          <w:rFonts w:ascii="Times New Roman" w:eastAsia="Times New Roman" w:hAnsi="Times New Roman" w:cs="Times New Roman"/>
          <w:sz w:val="20"/>
          <w:szCs w:val="20"/>
          <w:lang w:eastAsia="en-GB"/>
        </w:rPr>
        <w:t>Siriwardhane</w:t>
      </w:r>
      <w:proofErr w:type="spellEnd"/>
      <w:r w:rsidR="00437369" w:rsidRPr="00437369">
        <w:rPr>
          <w:rFonts w:ascii="Times New Roman" w:eastAsia="Times New Roman" w:hAnsi="Times New Roman" w:cs="Times New Roman"/>
          <w:sz w:val="20"/>
          <w:szCs w:val="20"/>
          <w:lang w:eastAsia="en-GB"/>
        </w:rPr>
        <w:t>, A. ‘T</w:t>
      </w:r>
      <w:r w:rsidR="00437369" w:rsidRPr="00437369">
        <w:rPr>
          <w:rFonts w:ascii="Times New Roman" w:eastAsia="Times New Roman" w:hAnsi="Times New Roman" w:cs="Times New Roman"/>
          <w:bCs/>
          <w:sz w:val="20"/>
          <w:szCs w:val="20"/>
          <w:lang w:eastAsia="en-GB"/>
        </w:rPr>
        <w:t>he regulation of short selling in the UK’ (2009) Compliance Of</w:t>
      </w:r>
      <w:r w:rsidR="00437369">
        <w:rPr>
          <w:rFonts w:ascii="Times New Roman" w:eastAsia="Times New Roman" w:hAnsi="Times New Roman" w:cs="Times New Roman"/>
          <w:bCs/>
          <w:sz w:val="20"/>
          <w:szCs w:val="20"/>
          <w:lang w:eastAsia="en-GB"/>
        </w:rPr>
        <w:t>ficer Bulletin, 63(Feb), 1-29, at 9.</w:t>
      </w:r>
      <w:proofErr w:type="gramEnd"/>
    </w:p>
  </w:footnote>
  <w:footnote w:id="65">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and Markets Act 2000, s. 206 (1).  </w:t>
      </w:r>
    </w:p>
  </w:footnote>
  <w:footnote w:id="66">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hAnsi="Times New Roman"/>
          <w:sz w:val="20"/>
          <w:szCs w:val="20"/>
          <w:lang w:val="en-GB"/>
        </w:rPr>
        <w:t>Hereinafter ‘LIBOR’ and ‘FORX’.</w:t>
      </w:r>
      <w:proofErr w:type="gramEnd"/>
      <w:r w:rsidRPr="000768D4">
        <w:rPr>
          <w:rFonts w:ascii="Times New Roman" w:hAnsi="Times New Roman"/>
          <w:sz w:val="20"/>
          <w:szCs w:val="20"/>
          <w:lang w:val="en-GB"/>
        </w:rPr>
        <w:t xml:space="preserve">  It is important to also state that the regulator has also imposed financial penalties for other types of financial crime including money laundering, fraud and bribery.  </w:t>
      </w:r>
    </w:p>
  </w:footnote>
  <w:footnote w:id="67">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Financial Services Authority ‘</w:t>
      </w:r>
      <w:r w:rsidRPr="000768D4">
        <w:rPr>
          <w:rFonts w:ascii="Times New Roman" w:hAnsi="Times New Roman"/>
          <w:sz w:val="20"/>
          <w:szCs w:val="20"/>
          <w:lang w:val="en"/>
        </w:rPr>
        <w:t xml:space="preserve">Barclays fined £59.5 million for significant failings in relation to LIBOR and EURIBOR’, June 27 2012, available from </w:t>
      </w:r>
      <w:hyperlink r:id="rId5" w:history="1">
        <w:r w:rsidRPr="000768D4">
          <w:rPr>
            <w:rStyle w:val="Hyperlink"/>
            <w:rFonts w:ascii="Times New Roman" w:hAnsi="Times New Roman"/>
            <w:sz w:val="20"/>
            <w:szCs w:val="20"/>
            <w:lang w:val="en"/>
          </w:rPr>
          <w:t>http://www.fca.org.uk/news/press-releases/barclays-fined-595-million-libor-euribor</w:t>
        </w:r>
      </w:hyperlink>
      <w:r w:rsidRPr="000768D4">
        <w:rPr>
          <w:rFonts w:ascii="Times New Roman" w:hAnsi="Times New Roman"/>
          <w:sz w:val="20"/>
          <w:szCs w:val="20"/>
          <w:lang w:val="en"/>
        </w:rPr>
        <w:t>, accessed February 8 2016.</w:t>
      </w:r>
    </w:p>
  </w:footnote>
  <w:footnote w:id="68">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Authority </w:t>
      </w:r>
      <w:r w:rsidRPr="000768D4">
        <w:rPr>
          <w:rFonts w:ascii="Times New Roman" w:hAnsi="Times New Roman"/>
          <w:i/>
          <w:sz w:val="20"/>
          <w:szCs w:val="20"/>
        </w:rPr>
        <w:t>Final notice to Barclays Bank Plc</w:t>
      </w:r>
      <w:r w:rsidRPr="000768D4">
        <w:rPr>
          <w:rFonts w:ascii="Times New Roman" w:hAnsi="Times New Roman"/>
          <w:sz w:val="20"/>
          <w:szCs w:val="20"/>
        </w:rPr>
        <w:t xml:space="preserve"> (Financial Services Authority: London, 2012) at 3.</w:t>
      </w:r>
    </w:p>
  </w:footnote>
  <w:footnote w:id="69">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i/>
          <w:sz w:val="20"/>
          <w:szCs w:val="20"/>
        </w:rPr>
        <w:t>Ibid</w:t>
      </w:r>
      <w:r w:rsidRPr="000768D4">
        <w:rPr>
          <w:rFonts w:ascii="Times New Roman" w:hAnsi="Times New Roman"/>
          <w:sz w:val="20"/>
          <w:szCs w:val="20"/>
        </w:rPr>
        <w:t>.</w:t>
      </w:r>
    </w:p>
  </w:footnote>
  <w:footnote w:id="70">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hAnsi="Times New Roman"/>
          <w:sz w:val="20"/>
          <w:szCs w:val="20"/>
        </w:rPr>
        <w:t xml:space="preserve">Financial Services Authority above, n </w:t>
      </w:r>
      <w:r w:rsidR="00437369">
        <w:rPr>
          <w:rFonts w:ascii="Times New Roman" w:hAnsi="Times New Roman"/>
          <w:sz w:val="20"/>
          <w:szCs w:val="20"/>
        </w:rPr>
        <w:t xml:space="preserve">68 </w:t>
      </w:r>
      <w:r w:rsidRPr="000768D4">
        <w:rPr>
          <w:rFonts w:ascii="Times New Roman" w:hAnsi="Times New Roman"/>
          <w:sz w:val="20"/>
          <w:szCs w:val="20"/>
        </w:rPr>
        <w:t>at 3.</w:t>
      </w:r>
      <w:proofErr w:type="gramEnd"/>
    </w:p>
  </w:footnote>
  <w:footnote w:id="71">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00437369" w:rsidRPr="00437369">
        <w:rPr>
          <w:rFonts w:ascii="Times New Roman" w:hAnsi="Times New Roman"/>
          <w:i/>
          <w:sz w:val="20"/>
          <w:szCs w:val="20"/>
        </w:rPr>
        <w:t>Ibid</w:t>
      </w:r>
      <w:r w:rsidRPr="000768D4">
        <w:rPr>
          <w:rFonts w:ascii="Times New Roman" w:hAnsi="Times New Roman"/>
          <w:sz w:val="20"/>
          <w:szCs w:val="20"/>
        </w:rPr>
        <w:t>.</w:t>
      </w:r>
    </w:p>
  </w:footnote>
  <w:footnote w:id="72">
    <w:p w:rsidR="00437369" w:rsidRPr="00437369" w:rsidRDefault="00BD0366" w:rsidP="000768D4">
      <w:pPr>
        <w:pStyle w:val="FootnoteText"/>
        <w:jc w:val="both"/>
        <w:rPr>
          <w:rFonts w:ascii="Times New Roman" w:eastAsia="Calibri" w:hAnsi="Times New Roman"/>
          <w:sz w:val="20"/>
          <w:szCs w:val="20"/>
        </w:rPr>
      </w:pPr>
      <w:r w:rsidRPr="00437369">
        <w:rPr>
          <w:rStyle w:val="FootnoteReference"/>
          <w:rFonts w:ascii="Times New Roman" w:hAnsi="Times New Roman"/>
          <w:sz w:val="20"/>
          <w:szCs w:val="20"/>
        </w:rPr>
        <w:footnoteRef/>
      </w:r>
      <w:r w:rsidRPr="00437369">
        <w:rPr>
          <w:rFonts w:ascii="Times New Roman" w:hAnsi="Times New Roman"/>
          <w:sz w:val="20"/>
          <w:szCs w:val="20"/>
        </w:rPr>
        <w:t xml:space="preserve"> </w:t>
      </w:r>
      <w:r w:rsidR="00437369" w:rsidRPr="00437369">
        <w:rPr>
          <w:rFonts w:ascii="Times New Roman" w:eastAsia="Calibri" w:hAnsi="Times New Roman"/>
          <w:sz w:val="20"/>
          <w:szCs w:val="20"/>
        </w:rPr>
        <w:t xml:space="preserve">HM Treasury Select Committee </w:t>
      </w:r>
      <w:r w:rsidR="00437369" w:rsidRPr="00437369">
        <w:rPr>
          <w:rFonts w:ascii="Times New Roman" w:eastAsia="Calibri" w:hAnsi="Times New Roman"/>
          <w:i/>
          <w:sz w:val="20"/>
          <w:szCs w:val="20"/>
        </w:rPr>
        <w:t>Fixing LIBOR: some preliminary findings</w:t>
      </w:r>
      <w:r w:rsidR="00437369" w:rsidRPr="00437369">
        <w:rPr>
          <w:rFonts w:ascii="Times New Roman" w:eastAsia="Calibri" w:hAnsi="Times New Roman"/>
          <w:sz w:val="20"/>
          <w:szCs w:val="20"/>
        </w:rPr>
        <w:t xml:space="preserve"> (HM Treasury: London, 2012</w:t>
      </w:r>
      <w:r w:rsidR="00437369" w:rsidRPr="00437369">
        <w:rPr>
          <w:rFonts w:ascii="Times New Roman" w:eastAsia="Calibri" w:hAnsi="Times New Roman"/>
          <w:sz w:val="20"/>
          <w:szCs w:val="20"/>
        </w:rPr>
        <w:t>) at 21.</w:t>
      </w:r>
    </w:p>
  </w:footnote>
  <w:footnote w:id="73">
    <w:p w:rsidR="00BD0366" w:rsidRPr="000768D4" w:rsidRDefault="00BD0366" w:rsidP="000768D4">
      <w:pPr>
        <w:pStyle w:val="Heading1"/>
        <w:spacing w:before="0" w:after="0"/>
        <w:jc w:val="both"/>
        <w:textAlignment w:val="baseline"/>
        <w:rPr>
          <w:rFonts w:ascii="Times New Roman" w:hAnsi="Times New Roman"/>
          <w:b w:val="0"/>
          <w:sz w:val="20"/>
          <w:szCs w:val="20"/>
          <w:lang w:val="en-GB"/>
        </w:rPr>
      </w:pPr>
      <w:r w:rsidRPr="000768D4">
        <w:rPr>
          <w:rStyle w:val="FootnoteReference"/>
          <w:rFonts w:ascii="Times New Roman" w:hAnsi="Times New Roman"/>
          <w:b w:val="0"/>
          <w:sz w:val="20"/>
          <w:szCs w:val="20"/>
        </w:rPr>
        <w:footnoteRef/>
      </w:r>
      <w:r w:rsidRPr="000768D4">
        <w:rPr>
          <w:rFonts w:ascii="Times New Roman" w:hAnsi="Times New Roman"/>
          <w:b w:val="0"/>
          <w:sz w:val="20"/>
          <w:szCs w:val="20"/>
        </w:rPr>
        <w:t xml:space="preserve"> </w:t>
      </w:r>
      <w:r w:rsidRPr="000768D4">
        <w:rPr>
          <w:rFonts w:ascii="Times New Roman" w:hAnsi="Times New Roman"/>
          <w:b w:val="0"/>
          <w:sz w:val="20"/>
          <w:szCs w:val="20"/>
          <w:lang w:val="en-GB"/>
        </w:rPr>
        <w:t>Financial Services Authority ‘</w:t>
      </w:r>
      <w:r w:rsidRPr="000768D4">
        <w:rPr>
          <w:rFonts w:ascii="Times New Roman" w:hAnsi="Times New Roman"/>
          <w:b w:val="0"/>
          <w:kern w:val="36"/>
          <w:sz w:val="20"/>
          <w:szCs w:val="20"/>
          <w:lang w:val="en-GB" w:eastAsia="en-GB"/>
        </w:rPr>
        <w:t xml:space="preserve">UBS fined £160 million for significant failings in relation to LIBOR and EURIBOR’, </w:t>
      </w:r>
      <w:r w:rsidRPr="000768D4">
        <w:rPr>
          <w:rFonts w:ascii="Times New Roman" w:hAnsi="Times New Roman"/>
          <w:b w:val="0"/>
          <w:sz w:val="20"/>
          <w:szCs w:val="20"/>
          <w:lang w:val="en-GB"/>
        </w:rPr>
        <w:t xml:space="preserve">December 19 2012, available from </w:t>
      </w:r>
      <w:hyperlink r:id="rId6" w:history="1">
        <w:r w:rsidRPr="000768D4">
          <w:rPr>
            <w:rStyle w:val="Hyperlink"/>
            <w:rFonts w:ascii="Times New Roman" w:hAnsi="Times New Roman"/>
            <w:b w:val="0"/>
            <w:sz w:val="20"/>
            <w:szCs w:val="20"/>
            <w:lang w:val="en-GB"/>
          </w:rPr>
          <w:t>http://www.fsa.gov.uk/library/communication/pr/2012/116.shtml</w:t>
        </w:r>
      </w:hyperlink>
      <w:r w:rsidRPr="000768D4">
        <w:rPr>
          <w:rFonts w:ascii="Times New Roman" w:hAnsi="Times New Roman"/>
          <w:b w:val="0"/>
          <w:sz w:val="20"/>
          <w:szCs w:val="20"/>
          <w:lang w:val="en-GB"/>
        </w:rPr>
        <w:t>, accessed February 5 2016.</w:t>
      </w:r>
    </w:p>
  </w:footnote>
  <w:footnote w:id="74">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00437369" w:rsidRPr="00437369">
        <w:rPr>
          <w:rFonts w:ascii="Times New Roman" w:hAnsi="Times New Roman"/>
          <w:i/>
          <w:sz w:val="20"/>
          <w:szCs w:val="20"/>
        </w:rPr>
        <w:t>Ibid</w:t>
      </w:r>
      <w:r w:rsidR="00437369">
        <w:rPr>
          <w:rFonts w:ascii="Times New Roman" w:hAnsi="Times New Roman"/>
          <w:sz w:val="20"/>
          <w:szCs w:val="20"/>
        </w:rPr>
        <w:t>.</w:t>
      </w:r>
    </w:p>
  </w:footnote>
  <w:footnote w:id="75">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Authority ‘RBS fined £87.5m for significant failings in relation to LIBOR’ 6 February 2013, available from </w:t>
      </w:r>
      <w:hyperlink r:id="rId7" w:history="1">
        <w:r w:rsidRPr="000768D4">
          <w:rPr>
            <w:rStyle w:val="Hyperlink"/>
            <w:rFonts w:ascii="Times New Roman" w:hAnsi="Times New Roman"/>
            <w:sz w:val="20"/>
            <w:szCs w:val="20"/>
          </w:rPr>
          <w:t>http://www.fsa.gov.uk/library/communication/pr/2013/011.shtml</w:t>
        </w:r>
      </w:hyperlink>
      <w:r w:rsidRPr="000768D4">
        <w:rPr>
          <w:rFonts w:ascii="Times New Roman" w:hAnsi="Times New Roman"/>
          <w:sz w:val="20"/>
          <w:szCs w:val="20"/>
        </w:rPr>
        <w:t>, accessed 8</w:t>
      </w:r>
      <w:r w:rsidRPr="000768D4">
        <w:rPr>
          <w:rFonts w:ascii="Times New Roman" w:hAnsi="Times New Roman"/>
          <w:sz w:val="20"/>
          <w:szCs w:val="20"/>
          <w:vertAlign w:val="superscript"/>
        </w:rPr>
        <w:t>th</w:t>
      </w:r>
      <w:r w:rsidRPr="000768D4">
        <w:rPr>
          <w:rFonts w:ascii="Times New Roman" w:hAnsi="Times New Roman"/>
          <w:sz w:val="20"/>
          <w:szCs w:val="20"/>
        </w:rPr>
        <w:t xml:space="preserve"> February 2013.</w:t>
      </w:r>
    </w:p>
  </w:footnote>
  <w:footnote w:id="76">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i/>
          <w:sz w:val="20"/>
          <w:szCs w:val="20"/>
        </w:rPr>
        <w:t>Ibid</w:t>
      </w:r>
      <w:r w:rsidRPr="000768D4">
        <w:rPr>
          <w:rFonts w:ascii="Times New Roman" w:hAnsi="Times New Roman"/>
          <w:sz w:val="20"/>
          <w:szCs w:val="20"/>
        </w:rPr>
        <w:t>.</w:t>
      </w:r>
    </w:p>
  </w:footnote>
  <w:footnote w:id="77">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hAnsi="Times New Roman"/>
          <w:sz w:val="20"/>
          <w:szCs w:val="20"/>
        </w:rPr>
        <w:t>Financial</w:t>
      </w:r>
      <w:r w:rsidR="00437369">
        <w:rPr>
          <w:rFonts w:ascii="Times New Roman" w:hAnsi="Times New Roman"/>
          <w:sz w:val="20"/>
          <w:szCs w:val="20"/>
        </w:rPr>
        <w:t xml:space="preserve"> Services Authority above, n 75</w:t>
      </w:r>
      <w:r w:rsidRPr="000768D4">
        <w:rPr>
          <w:rFonts w:ascii="Times New Roman" w:hAnsi="Times New Roman"/>
          <w:sz w:val="20"/>
          <w:szCs w:val="20"/>
        </w:rPr>
        <w:t>.</w:t>
      </w:r>
      <w:proofErr w:type="gramEnd"/>
    </w:p>
  </w:footnote>
  <w:footnote w:id="78">
    <w:p w:rsidR="00BD0366" w:rsidRPr="000768D4" w:rsidRDefault="00BD0366" w:rsidP="000768D4">
      <w:pPr>
        <w:pStyle w:val="Heading1"/>
        <w:shd w:val="clear" w:color="auto" w:fill="FFFFFF"/>
        <w:spacing w:before="0" w:after="0"/>
        <w:jc w:val="both"/>
        <w:rPr>
          <w:rFonts w:ascii="Times New Roman" w:hAnsi="Times New Roman"/>
          <w:b w:val="0"/>
          <w:bCs w:val="0"/>
          <w:color w:val="333333"/>
          <w:kern w:val="36"/>
          <w:sz w:val="20"/>
          <w:szCs w:val="20"/>
          <w:lang w:val="en-GB" w:eastAsia="en-GB"/>
        </w:rPr>
      </w:pPr>
      <w:r w:rsidRPr="000768D4">
        <w:rPr>
          <w:rStyle w:val="FootnoteReference"/>
          <w:rFonts w:ascii="Times New Roman" w:hAnsi="Times New Roman"/>
          <w:b w:val="0"/>
          <w:sz w:val="20"/>
          <w:szCs w:val="20"/>
        </w:rPr>
        <w:footnoteRef/>
      </w:r>
      <w:r w:rsidRPr="000768D4">
        <w:rPr>
          <w:rFonts w:ascii="Times New Roman" w:hAnsi="Times New Roman"/>
          <w:b w:val="0"/>
          <w:sz w:val="20"/>
          <w:szCs w:val="20"/>
        </w:rPr>
        <w:t xml:space="preserve"> </w:t>
      </w:r>
      <w:r w:rsidRPr="000768D4">
        <w:rPr>
          <w:rFonts w:ascii="Times New Roman" w:hAnsi="Times New Roman"/>
          <w:b w:val="0"/>
          <w:sz w:val="20"/>
          <w:szCs w:val="20"/>
          <w:lang w:val="en-GB"/>
        </w:rPr>
        <w:t>Financial Conduct Authority ‘</w:t>
      </w:r>
      <w:r w:rsidR="00A75A0A">
        <w:rPr>
          <w:rFonts w:ascii="Times New Roman" w:hAnsi="Times New Roman"/>
          <w:b w:val="0"/>
          <w:sz w:val="20"/>
          <w:szCs w:val="20"/>
          <w:lang w:val="en-GB"/>
        </w:rPr>
        <w:t>I</w:t>
      </w:r>
      <w:r w:rsidRPr="000768D4">
        <w:rPr>
          <w:rFonts w:ascii="Times New Roman" w:hAnsi="Times New Roman"/>
          <w:b w:val="0"/>
          <w:bCs w:val="0"/>
          <w:kern w:val="36"/>
          <w:sz w:val="20"/>
          <w:szCs w:val="20"/>
          <w:lang w:val="en-GB" w:eastAsia="en-GB"/>
        </w:rPr>
        <w:t xml:space="preserve">CAP Europe Limited fined £14 million for significant failings in relation to LIBOR’, September 25 2013, available from </w:t>
      </w:r>
      <w:hyperlink r:id="rId8" w:history="1">
        <w:r w:rsidRPr="000768D4">
          <w:rPr>
            <w:rStyle w:val="Hyperlink"/>
            <w:rFonts w:ascii="Times New Roman" w:hAnsi="Times New Roman"/>
            <w:b w:val="0"/>
            <w:bCs w:val="0"/>
            <w:kern w:val="36"/>
            <w:sz w:val="20"/>
            <w:szCs w:val="20"/>
            <w:lang w:val="en-GB" w:eastAsia="en-GB"/>
          </w:rPr>
          <w:t>http://www.fca.org.uk/news/icap-europe-limited-fined</w:t>
        </w:r>
      </w:hyperlink>
      <w:r w:rsidRPr="000768D4">
        <w:rPr>
          <w:rFonts w:ascii="Times New Roman" w:hAnsi="Times New Roman"/>
          <w:b w:val="0"/>
          <w:bCs w:val="0"/>
          <w:kern w:val="36"/>
          <w:sz w:val="20"/>
          <w:szCs w:val="20"/>
          <w:lang w:val="en-GB" w:eastAsia="en-GB"/>
        </w:rPr>
        <w:t>, accessed February 6 2016.</w:t>
      </w:r>
    </w:p>
  </w:footnote>
  <w:footnote w:id="79">
    <w:p w:rsidR="00BD0366" w:rsidRPr="000768D4" w:rsidRDefault="00BD0366" w:rsidP="000768D4">
      <w:pPr>
        <w:pStyle w:val="Heading1"/>
        <w:shd w:val="clear" w:color="auto" w:fill="FFFFFF"/>
        <w:spacing w:before="0" w:after="0"/>
        <w:jc w:val="both"/>
        <w:rPr>
          <w:rFonts w:ascii="Times New Roman" w:hAnsi="Times New Roman"/>
          <w:b w:val="0"/>
          <w:bCs w:val="0"/>
          <w:color w:val="333333"/>
          <w:kern w:val="36"/>
          <w:sz w:val="20"/>
          <w:szCs w:val="20"/>
          <w:lang w:val="en-GB" w:eastAsia="en-GB"/>
        </w:rPr>
      </w:pPr>
      <w:r w:rsidRPr="00A75A0A">
        <w:rPr>
          <w:rStyle w:val="FootnoteReference"/>
          <w:rFonts w:ascii="Times New Roman" w:hAnsi="Times New Roman"/>
          <w:b w:val="0"/>
          <w:sz w:val="20"/>
          <w:szCs w:val="20"/>
        </w:rPr>
        <w:footnoteRef/>
      </w:r>
      <w:r w:rsidRPr="00A75A0A">
        <w:rPr>
          <w:rFonts w:ascii="Times New Roman" w:hAnsi="Times New Roman"/>
          <w:b w:val="0"/>
          <w:sz w:val="20"/>
          <w:szCs w:val="20"/>
        </w:rPr>
        <w:t xml:space="preserve"> </w:t>
      </w:r>
      <w:r w:rsidRPr="00A75A0A">
        <w:rPr>
          <w:rFonts w:ascii="Times New Roman" w:hAnsi="Times New Roman"/>
          <w:b w:val="0"/>
          <w:sz w:val="20"/>
          <w:szCs w:val="20"/>
          <w:lang w:val="en-GB"/>
        </w:rPr>
        <w:t>Financial Conduct Authority ‘</w:t>
      </w:r>
      <w:r w:rsidRPr="00A75A0A">
        <w:rPr>
          <w:rFonts w:ascii="Times New Roman" w:hAnsi="Times New Roman"/>
          <w:b w:val="0"/>
          <w:bCs w:val="0"/>
          <w:kern w:val="36"/>
          <w:sz w:val="20"/>
          <w:szCs w:val="20"/>
          <w:lang w:val="en-GB" w:eastAsia="en-GB"/>
        </w:rPr>
        <w:t xml:space="preserve">The FCA fines Rabobank £105 million for serious LIBOR-related misconduct’, October 29 2013, available from </w:t>
      </w:r>
      <w:hyperlink r:id="rId9" w:history="1">
        <w:r w:rsidRPr="000768D4">
          <w:rPr>
            <w:rStyle w:val="Hyperlink"/>
            <w:rFonts w:ascii="Times New Roman" w:hAnsi="Times New Roman"/>
            <w:b w:val="0"/>
            <w:bCs w:val="0"/>
            <w:kern w:val="36"/>
            <w:sz w:val="20"/>
            <w:szCs w:val="20"/>
            <w:lang w:val="en-GB" w:eastAsia="en-GB"/>
          </w:rPr>
          <w:t>http://www.fca.org.uk/news/the-fca-fines-rabobank-105-million-for-serious-libor-related-misconduct</w:t>
        </w:r>
      </w:hyperlink>
      <w:r w:rsidRPr="00A75A0A">
        <w:rPr>
          <w:rFonts w:ascii="Times New Roman" w:hAnsi="Times New Roman"/>
          <w:b w:val="0"/>
          <w:bCs w:val="0"/>
          <w:kern w:val="36"/>
          <w:sz w:val="20"/>
          <w:szCs w:val="20"/>
          <w:lang w:val="en-GB" w:eastAsia="en-GB"/>
        </w:rPr>
        <w:t>, accessed February 6 2016.</w:t>
      </w:r>
    </w:p>
  </w:footnote>
  <w:footnote w:id="80">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00437369" w:rsidRPr="00437369">
        <w:rPr>
          <w:rFonts w:ascii="Times New Roman" w:hAnsi="Times New Roman"/>
          <w:i/>
          <w:sz w:val="20"/>
          <w:szCs w:val="20"/>
        </w:rPr>
        <w:t>Ibid</w:t>
      </w:r>
      <w:r w:rsidR="00437369">
        <w:rPr>
          <w:rFonts w:ascii="Times New Roman" w:hAnsi="Times New Roman"/>
          <w:sz w:val="20"/>
          <w:szCs w:val="20"/>
        </w:rPr>
        <w:t>.</w:t>
      </w:r>
    </w:p>
  </w:footnote>
  <w:footnote w:id="81">
    <w:p w:rsidR="00BD0366" w:rsidRPr="000768D4" w:rsidRDefault="00BD0366" w:rsidP="000768D4">
      <w:pPr>
        <w:pStyle w:val="FootnoteText"/>
        <w:jc w:val="both"/>
        <w:rPr>
          <w:rFonts w:ascii="Times New Roman" w:eastAsia="Times New Roman" w:hAnsi="Times New Roman"/>
          <w:color w:val="333333"/>
          <w:kern w:val="36"/>
          <w:sz w:val="20"/>
          <w:szCs w:val="20"/>
          <w:lang w:eastAsia="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 xml:space="preserve">Financial Conduct Authority  ‘Lloyds </w:t>
      </w:r>
      <w:r w:rsidRPr="000768D4">
        <w:rPr>
          <w:rFonts w:ascii="Times New Roman" w:eastAsia="Times New Roman" w:hAnsi="Times New Roman"/>
          <w:kern w:val="36"/>
          <w:sz w:val="20"/>
          <w:szCs w:val="20"/>
          <w:lang w:eastAsia="en-GB"/>
        </w:rPr>
        <w:t xml:space="preserve">Banking Group fined £105m for serious LIBOR and other benchmark failings’, 28 September 2015, available from </w:t>
      </w:r>
      <w:hyperlink r:id="rId10" w:history="1">
        <w:r w:rsidRPr="000768D4">
          <w:rPr>
            <w:rStyle w:val="Hyperlink"/>
            <w:rFonts w:ascii="Times New Roman" w:eastAsia="Times New Roman" w:hAnsi="Times New Roman"/>
            <w:kern w:val="36"/>
            <w:sz w:val="20"/>
            <w:szCs w:val="20"/>
            <w:lang w:eastAsia="en-GB"/>
          </w:rPr>
          <w:t>https://www.fca.org.uk/news/lloyds-banking-group-fined-105m-libor-benchmark-failings</w:t>
        </w:r>
      </w:hyperlink>
      <w:r w:rsidRPr="000768D4">
        <w:rPr>
          <w:rFonts w:ascii="Times New Roman" w:eastAsia="Times New Roman" w:hAnsi="Times New Roman"/>
          <w:kern w:val="36"/>
          <w:sz w:val="20"/>
          <w:szCs w:val="20"/>
          <w:lang w:eastAsia="en-GB"/>
        </w:rPr>
        <w:t>, accessed February 2 2016.</w:t>
      </w:r>
    </w:p>
  </w:footnote>
  <w:footnote w:id="82">
    <w:p w:rsidR="00BD0366" w:rsidRPr="000768D4" w:rsidRDefault="00BD0366" w:rsidP="000768D4">
      <w:pPr>
        <w:pStyle w:val="Heading1"/>
        <w:shd w:val="clear" w:color="auto" w:fill="FFFFFF"/>
        <w:spacing w:before="0" w:after="0"/>
        <w:jc w:val="both"/>
        <w:rPr>
          <w:rFonts w:ascii="Times New Roman" w:hAnsi="Times New Roman"/>
          <w:b w:val="0"/>
          <w:bCs w:val="0"/>
          <w:color w:val="333333"/>
          <w:kern w:val="36"/>
          <w:sz w:val="20"/>
          <w:szCs w:val="20"/>
          <w:lang w:val="en-GB" w:eastAsia="en-GB"/>
        </w:rPr>
      </w:pPr>
      <w:r w:rsidRPr="000768D4">
        <w:rPr>
          <w:rStyle w:val="FootnoteReference"/>
          <w:rFonts w:ascii="Times New Roman" w:hAnsi="Times New Roman"/>
          <w:b w:val="0"/>
          <w:sz w:val="20"/>
          <w:szCs w:val="20"/>
        </w:rPr>
        <w:footnoteRef/>
      </w:r>
      <w:r w:rsidRPr="000768D4">
        <w:rPr>
          <w:rFonts w:ascii="Times New Roman" w:hAnsi="Times New Roman"/>
          <w:b w:val="0"/>
          <w:sz w:val="20"/>
          <w:szCs w:val="20"/>
        </w:rPr>
        <w:t xml:space="preserve"> </w:t>
      </w:r>
      <w:r w:rsidRPr="000768D4">
        <w:rPr>
          <w:rFonts w:ascii="Times New Roman" w:hAnsi="Times New Roman"/>
          <w:b w:val="0"/>
          <w:sz w:val="20"/>
          <w:szCs w:val="20"/>
          <w:lang w:val="en-GB"/>
        </w:rPr>
        <w:t>Financial Conduct Authority</w:t>
      </w:r>
      <w:r w:rsidRPr="000768D4">
        <w:rPr>
          <w:rFonts w:ascii="Times New Roman" w:hAnsi="Times New Roman"/>
          <w:sz w:val="20"/>
          <w:szCs w:val="20"/>
          <w:lang w:val="en-GB"/>
        </w:rPr>
        <w:t xml:space="preserve"> ‘</w:t>
      </w:r>
      <w:r w:rsidRPr="000768D4">
        <w:rPr>
          <w:rFonts w:ascii="Times New Roman" w:hAnsi="Times New Roman"/>
          <w:b w:val="0"/>
          <w:bCs w:val="0"/>
          <w:kern w:val="36"/>
          <w:sz w:val="20"/>
          <w:szCs w:val="20"/>
          <w:lang w:val="en-GB" w:eastAsia="en-GB"/>
        </w:rPr>
        <w:t xml:space="preserve">Martin Brokers (UK) Limited fined £630,000 for significant failings in relation to LIBOR’, May 15 2014, available from </w:t>
      </w:r>
      <w:hyperlink r:id="rId11" w:history="1">
        <w:r w:rsidRPr="000768D4">
          <w:rPr>
            <w:rStyle w:val="Hyperlink"/>
            <w:rFonts w:ascii="Times New Roman" w:hAnsi="Times New Roman"/>
            <w:b w:val="0"/>
            <w:bCs w:val="0"/>
            <w:kern w:val="36"/>
            <w:sz w:val="20"/>
            <w:szCs w:val="20"/>
            <w:lang w:val="en-GB" w:eastAsia="en-GB"/>
          </w:rPr>
          <w:t>http://www.fca.org.uk/news/press-releases/martin-brokers-uk-limited-fined-630000-for-significant-failings-in-relation-to-libor</w:t>
        </w:r>
      </w:hyperlink>
      <w:r w:rsidRPr="000768D4">
        <w:rPr>
          <w:rFonts w:ascii="Times New Roman" w:hAnsi="Times New Roman"/>
          <w:b w:val="0"/>
          <w:bCs w:val="0"/>
          <w:kern w:val="36"/>
          <w:sz w:val="20"/>
          <w:szCs w:val="20"/>
          <w:lang w:val="en-GB" w:eastAsia="en-GB"/>
        </w:rPr>
        <w:t>, accessed February 6 2016.</w:t>
      </w:r>
    </w:p>
  </w:footnote>
  <w:footnote w:id="83">
    <w:p w:rsidR="00BD0366" w:rsidRPr="000768D4" w:rsidRDefault="00BD0366" w:rsidP="000768D4">
      <w:pPr>
        <w:pStyle w:val="Heading1"/>
        <w:shd w:val="clear" w:color="auto" w:fill="FFFFFF"/>
        <w:spacing w:before="0" w:after="0"/>
        <w:jc w:val="both"/>
        <w:rPr>
          <w:rFonts w:ascii="Times New Roman" w:hAnsi="Times New Roman"/>
          <w:b w:val="0"/>
          <w:bCs w:val="0"/>
          <w:color w:val="333333"/>
          <w:kern w:val="36"/>
          <w:sz w:val="20"/>
          <w:szCs w:val="20"/>
          <w:lang w:val="en-GB" w:eastAsia="en-GB"/>
        </w:rPr>
      </w:pPr>
      <w:r w:rsidRPr="00437369">
        <w:rPr>
          <w:rStyle w:val="FootnoteReference"/>
          <w:rFonts w:ascii="Times New Roman" w:hAnsi="Times New Roman"/>
          <w:b w:val="0"/>
          <w:sz w:val="20"/>
          <w:szCs w:val="20"/>
        </w:rPr>
        <w:footnoteRef/>
      </w:r>
      <w:r w:rsidRPr="00437369">
        <w:rPr>
          <w:rFonts w:ascii="Times New Roman" w:hAnsi="Times New Roman"/>
          <w:b w:val="0"/>
          <w:sz w:val="20"/>
          <w:szCs w:val="20"/>
        </w:rPr>
        <w:t xml:space="preserve"> </w:t>
      </w:r>
      <w:proofErr w:type="gramStart"/>
      <w:r w:rsidRPr="00437369">
        <w:rPr>
          <w:rFonts w:ascii="Times New Roman" w:hAnsi="Times New Roman"/>
          <w:b w:val="0"/>
          <w:sz w:val="20"/>
          <w:szCs w:val="20"/>
          <w:lang w:val="en-GB"/>
        </w:rPr>
        <w:t>Financial Conduct Authority ‘</w:t>
      </w:r>
      <w:r w:rsidRPr="00437369">
        <w:rPr>
          <w:rFonts w:ascii="Times New Roman" w:hAnsi="Times New Roman"/>
          <w:b w:val="0"/>
          <w:bCs w:val="0"/>
          <w:kern w:val="36"/>
          <w:sz w:val="20"/>
          <w:szCs w:val="20"/>
          <w:lang w:val="en-GB" w:eastAsia="en-GB"/>
        </w:rPr>
        <w:t xml:space="preserve">FCA fines five banks £1.1 billion for FX failings and announces industry-wide remediation programme’, November 12 2014, available from </w:t>
      </w:r>
      <w:hyperlink r:id="rId12" w:history="1">
        <w:r w:rsidRPr="000768D4">
          <w:rPr>
            <w:rStyle w:val="Hyperlink"/>
            <w:rFonts w:ascii="Times New Roman" w:hAnsi="Times New Roman"/>
            <w:b w:val="0"/>
            <w:bCs w:val="0"/>
            <w:kern w:val="36"/>
            <w:sz w:val="20"/>
            <w:szCs w:val="20"/>
            <w:lang w:val="en-GB" w:eastAsia="en-GB"/>
          </w:rPr>
          <w:t>https://www.fca.org.uk/news/fca-fines-five-banks-for-fx-failings</w:t>
        </w:r>
      </w:hyperlink>
      <w:r w:rsidRPr="000768D4">
        <w:rPr>
          <w:rFonts w:ascii="Times New Roman" w:hAnsi="Times New Roman"/>
          <w:b w:val="0"/>
          <w:bCs w:val="0"/>
          <w:kern w:val="36"/>
          <w:sz w:val="20"/>
          <w:szCs w:val="20"/>
          <w:lang w:val="en-GB" w:eastAsia="en-GB"/>
        </w:rPr>
        <w:t xml:space="preserve">, accessed February </w:t>
      </w:r>
      <w:r w:rsidR="00437369">
        <w:rPr>
          <w:rFonts w:ascii="Times New Roman" w:hAnsi="Times New Roman"/>
          <w:b w:val="0"/>
          <w:bCs w:val="0"/>
          <w:kern w:val="36"/>
          <w:sz w:val="20"/>
          <w:szCs w:val="20"/>
          <w:lang w:val="en-GB" w:eastAsia="en-GB"/>
        </w:rPr>
        <w:t xml:space="preserve">7 </w:t>
      </w:r>
      <w:r w:rsidRPr="000768D4">
        <w:rPr>
          <w:rFonts w:ascii="Times New Roman" w:hAnsi="Times New Roman"/>
          <w:b w:val="0"/>
          <w:bCs w:val="0"/>
          <w:kern w:val="36"/>
          <w:sz w:val="20"/>
          <w:szCs w:val="20"/>
          <w:lang w:val="en-GB" w:eastAsia="en-GB"/>
        </w:rPr>
        <w:t>2016.</w:t>
      </w:r>
      <w:proofErr w:type="gramEnd"/>
    </w:p>
  </w:footnote>
  <w:footnote w:id="84">
    <w:p w:rsidR="00BD0366" w:rsidRPr="000768D4" w:rsidRDefault="00BD0366" w:rsidP="000768D4">
      <w:pPr>
        <w:pStyle w:val="Heading1"/>
        <w:shd w:val="clear" w:color="auto" w:fill="FFFFFF"/>
        <w:spacing w:before="0" w:after="0"/>
        <w:jc w:val="both"/>
        <w:rPr>
          <w:rFonts w:ascii="Times New Roman" w:hAnsi="Times New Roman"/>
          <w:b w:val="0"/>
          <w:bCs w:val="0"/>
          <w:color w:val="333333"/>
          <w:kern w:val="36"/>
          <w:sz w:val="20"/>
          <w:szCs w:val="20"/>
          <w:lang w:val="en-GB" w:eastAsia="en-GB"/>
        </w:rPr>
      </w:pPr>
      <w:r w:rsidRPr="000768D4">
        <w:rPr>
          <w:rStyle w:val="FootnoteReference"/>
          <w:rFonts w:ascii="Times New Roman" w:hAnsi="Times New Roman"/>
          <w:b w:val="0"/>
          <w:sz w:val="20"/>
          <w:szCs w:val="20"/>
        </w:rPr>
        <w:footnoteRef/>
      </w:r>
      <w:r w:rsidRPr="000768D4">
        <w:rPr>
          <w:rFonts w:ascii="Times New Roman" w:hAnsi="Times New Roman"/>
          <w:b w:val="0"/>
          <w:sz w:val="20"/>
          <w:szCs w:val="20"/>
        </w:rPr>
        <w:t xml:space="preserve"> </w:t>
      </w:r>
      <w:proofErr w:type="gramStart"/>
      <w:r w:rsidR="00437369" w:rsidRPr="00437369">
        <w:rPr>
          <w:rFonts w:ascii="Times New Roman" w:hAnsi="Times New Roman"/>
          <w:b w:val="0"/>
          <w:i/>
          <w:sz w:val="20"/>
          <w:szCs w:val="20"/>
          <w:lang w:val="en-GB"/>
        </w:rPr>
        <w:t>Ibid</w:t>
      </w:r>
      <w:r w:rsidR="00437369">
        <w:rPr>
          <w:rFonts w:ascii="Times New Roman" w:hAnsi="Times New Roman"/>
          <w:b w:val="0"/>
          <w:sz w:val="20"/>
          <w:szCs w:val="20"/>
          <w:lang w:val="en-GB"/>
        </w:rPr>
        <w:t>.</w:t>
      </w:r>
      <w:proofErr w:type="gramEnd"/>
    </w:p>
  </w:footnote>
  <w:footnote w:id="85">
    <w:p w:rsidR="00BD0366" w:rsidRPr="000768D4" w:rsidRDefault="00BD0366" w:rsidP="000768D4">
      <w:pPr>
        <w:pStyle w:val="Heading1"/>
        <w:shd w:val="clear" w:color="auto" w:fill="FFFFFF"/>
        <w:spacing w:before="0" w:after="0"/>
        <w:jc w:val="both"/>
        <w:rPr>
          <w:rFonts w:ascii="Times New Roman" w:hAnsi="Times New Roman"/>
          <w:b w:val="0"/>
          <w:bCs w:val="0"/>
          <w:color w:val="333333"/>
          <w:kern w:val="36"/>
          <w:sz w:val="20"/>
          <w:szCs w:val="20"/>
          <w:lang w:val="en-GB" w:eastAsia="en-GB"/>
        </w:rPr>
      </w:pPr>
      <w:r w:rsidRPr="000768D4">
        <w:rPr>
          <w:rStyle w:val="FootnoteReference"/>
          <w:rFonts w:ascii="Times New Roman" w:hAnsi="Times New Roman"/>
          <w:b w:val="0"/>
          <w:sz w:val="20"/>
          <w:szCs w:val="20"/>
        </w:rPr>
        <w:footnoteRef/>
      </w:r>
      <w:r w:rsidRPr="000768D4">
        <w:rPr>
          <w:rFonts w:ascii="Times New Roman" w:hAnsi="Times New Roman"/>
          <w:b w:val="0"/>
          <w:sz w:val="20"/>
          <w:szCs w:val="20"/>
        </w:rPr>
        <w:t xml:space="preserve"> </w:t>
      </w:r>
      <w:r w:rsidRPr="00437369">
        <w:rPr>
          <w:rFonts w:ascii="Times New Roman" w:hAnsi="Times New Roman"/>
          <w:b w:val="0"/>
          <w:sz w:val="20"/>
          <w:szCs w:val="20"/>
          <w:lang w:val="en-GB"/>
        </w:rPr>
        <w:t>Financial Conduct Authority ‘</w:t>
      </w:r>
      <w:r w:rsidRPr="00437369">
        <w:rPr>
          <w:rFonts w:ascii="Times New Roman" w:hAnsi="Times New Roman"/>
          <w:b w:val="0"/>
          <w:bCs w:val="0"/>
          <w:kern w:val="36"/>
          <w:sz w:val="20"/>
          <w:szCs w:val="20"/>
          <w:lang w:val="en-GB" w:eastAsia="en-GB"/>
        </w:rPr>
        <w:t xml:space="preserve">FCA fines Barclays £284,432,000 for forex failings’, May 20 2015, available from </w:t>
      </w:r>
      <w:hyperlink r:id="rId13" w:history="1">
        <w:r w:rsidRPr="000768D4">
          <w:rPr>
            <w:rStyle w:val="Hyperlink"/>
            <w:rFonts w:ascii="Times New Roman" w:hAnsi="Times New Roman"/>
            <w:b w:val="0"/>
            <w:bCs w:val="0"/>
            <w:kern w:val="36"/>
            <w:sz w:val="20"/>
            <w:szCs w:val="20"/>
            <w:lang w:val="en-GB" w:eastAsia="en-GB"/>
          </w:rPr>
          <w:t>https://www.fca.org.uk/news/fca-fines-barclays-for-forex-failings</w:t>
        </w:r>
      </w:hyperlink>
      <w:r w:rsidRPr="00437369">
        <w:rPr>
          <w:rFonts w:ascii="Times New Roman" w:hAnsi="Times New Roman"/>
          <w:b w:val="0"/>
          <w:bCs w:val="0"/>
          <w:kern w:val="36"/>
          <w:sz w:val="20"/>
          <w:szCs w:val="20"/>
          <w:lang w:val="en-GB" w:eastAsia="en-GB"/>
        </w:rPr>
        <w:t>, accessed February 2 2015.</w:t>
      </w:r>
    </w:p>
  </w:footnote>
  <w:footnote w:id="86">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00437369" w:rsidRPr="00437369">
        <w:rPr>
          <w:rFonts w:ascii="Times New Roman" w:hAnsi="Times New Roman"/>
          <w:i/>
          <w:sz w:val="20"/>
          <w:szCs w:val="20"/>
        </w:rPr>
        <w:t>Ibid</w:t>
      </w:r>
      <w:r w:rsidR="00437369">
        <w:rPr>
          <w:rFonts w:ascii="Times New Roman" w:hAnsi="Times New Roman"/>
          <w:sz w:val="20"/>
          <w:szCs w:val="20"/>
        </w:rPr>
        <w:t>.</w:t>
      </w:r>
      <w:proofErr w:type="gramEnd"/>
      <w:r w:rsidR="00437369">
        <w:rPr>
          <w:rFonts w:ascii="Times New Roman" w:hAnsi="Times New Roman"/>
          <w:sz w:val="20"/>
          <w:szCs w:val="20"/>
        </w:rPr>
        <w:t xml:space="preserve">  </w:t>
      </w:r>
    </w:p>
  </w:footnote>
  <w:footnote w:id="87">
    <w:p w:rsidR="00BD0366" w:rsidRPr="000768D4" w:rsidRDefault="00BD0366" w:rsidP="000768D4">
      <w:pPr>
        <w:pStyle w:val="Heading1"/>
        <w:shd w:val="clear" w:color="auto" w:fill="FFFFFF"/>
        <w:spacing w:before="0" w:after="0"/>
        <w:jc w:val="both"/>
        <w:rPr>
          <w:rFonts w:ascii="Times New Roman" w:hAnsi="Times New Roman"/>
          <w:b w:val="0"/>
          <w:bCs w:val="0"/>
          <w:color w:val="333333"/>
          <w:kern w:val="36"/>
          <w:sz w:val="20"/>
          <w:szCs w:val="20"/>
          <w:lang w:val="en-GB" w:eastAsia="en-GB"/>
        </w:rPr>
      </w:pPr>
      <w:r w:rsidRPr="000768D4">
        <w:rPr>
          <w:rStyle w:val="FootnoteReference"/>
          <w:rFonts w:ascii="Times New Roman" w:hAnsi="Times New Roman"/>
          <w:b w:val="0"/>
          <w:sz w:val="20"/>
          <w:szCs w:val="20"/>
        </w:rPr>
        <w:footnoteRef/>
      </w:r>
      <w:r w:rsidRPr="000768D4">
        <w:rPr>
          <w:rFonts w:ascii="Times New Roman" w:hAnsi="Times New Roman"/>
          <w:b w:val="0"/>
          <w:sz w:val="20"/>
          <w:szCs w:val="20"/>
        </w:rPr>
        <w:t xml:space="preserve"> </w:t>
      </w:r>
      <w:proofErr w:type="gramStart"/>
      <w:r w:rsidRPr="000768D4">
        <w:rPr>
          <w:rFonts w:ascii="Times New Roman" w:hAnsi="Times New Roman"/>
          <w:b w:val="0"/>
          <w:sz w:val="20"/>
          <w:szCs w:val="20"/>
          <w:lang w:val="en-GB"/>
        </w:rPr>
        <w:t>Financial Conduct Authority ‘</w:t>
      </w:r>
      <w:r w:rsidRPr="000768D4">
        <w:rPr>
          <w:rFonts w:ascii="Times New Roman" w:hAnsi="Times New Roman"/>
          <w:b w:val="0"/>
          <w:bCs w:val="0"/>
          <w:kern w:val="36"/>
          <w:sz w:val="20"/>
          <w:szCs w:val="20"/>
          <w:lang w:val="en-GB" w:eastAsia="en-GB"/>
        </w:rPr>
        <w:t xml:space="preserve">FCA bans and fines trader £662,700 for manipulating gilt price during QE’, March 20 2014, available from </w:t>
      </w:r>
      <w:hyperlink r:id="rId14" w:history="1">
        <w:r w:rsidRPr="000768D4">
          <w:rPr>
            <w:rStyle w:val="Hyperlink"/>
            <w:rFonts w:ascii="Times New Roman" w:hAnsi="Times New Roman"/>
            <w:b w:val="0"/>
            <w:bCs w:val="0"/>
            <w:kern w:val="36"/>
            <w:sz w:val="20"/>
            <w:szCs w:val="20"/>
            <w:lang w:val="en-GB" w:eastAsia="en-GB"/>
          </w:rPr>
          <w:t>https://www.fca.org.uk/news/fca-bans-and-fines-trader-660k-for-manipulating-gilt-price-during-qe</w:t>
        </w:r>
      </w:hyperlink>
      <w:r w:rsidRPr="000768D4">
        <w:rPr>
          <w:rFonts w:ascii="Times New Roman" w:hAnsi="Times New Roman"/>
          <w:b w:val="0"/>
          <w:bCs w:val="0"/>
          <w:kern w:val="36"/>
          <w:sz w:val="20"/>
          <w:szCs w:val="20"/>
          <w:lang w:val="en-GB" w:eastAsia="en-GB"/>
        </w:rPr>
        <w:t>, accessed February 2 2016.</w:t>
      </w:r>
      <w:proofErr w:type="gramEnd"/>
    </w:p>
  </w:footnote>
  <w:footnote w:id="88">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For example, </w:t>
      </w:r>
      <w:r w:rsidRPr="000768D4">
        <w:rPr>
          <w:rFonts w:ascii="Times New Roman" w:eastAsia="SimSun" w:hAnsi="Times New Roman"/>
          <w:sz w:val="20"/>
          <w:szCs w:val="20"/>
          <w:lang w:val="en" w:eastAsia="zh-CN"/>
        </w:rPr>
        <w:t xml:space="preserve">in April 2008 the FSA banned </w:t>
      </w:r>
      <w:r w:rsidRPr="000768D4">
        <w:rPr>
          <w:rFonts w:ascii="Times New Roman" w:hAnsi="Times New Roman"/>
          <w:sz w:val="20"/>
          <w:szCs w:val="20"/>
          <w:lang w:val="en"/>
        </w:rPr>
        <w:t xml:space="preserve">John Paul </w:t>
      </w:r>
      <w:proofErr w:type="spellStart"/>
      <w:r w:rsidRPr="000768D4">
        <w:rPr>
          <w:rFonts w:ascii="Times New Roman" w:hAnsi="Times New Roman"/>
          <w:sz w:val="20"/>
          <w:szCs w:val="20"/>
          <w:lang w:val="en"/>
        </w:rPr>
        <w:t>Keay</w:t>
      </w:r>
      <w:proofErr w:type="spellEnd"/>
      <w:r w:rsidRPr="000768D4">
        <w:rPr>
          <w:rFonts w:ascii="Times New Roman" w:hAnsi="Times New Roman"/>
          <w:sz w:val="20"/>
          <w:szCs w:val="20"/>
          <w:lang w:val="en"/>
        </w:rPr>
        <w:t xml:space="preserve">, who operated as Jack </w:t>
      </w:r>
      <w:proofErr w:type="spellStart"/>
      <w:r w:rsidRPr="000768D4">
        <w:rPr>
          <w:rFonts w:ascii="Times New Roman" w:hAnsi="Times New Roman"/>
          <w:sz w:val="20"/>
          <w:szCs w:val="20"/>
          <w:lang w:val="en"/>
        </w:rPr>
        <w:t>Keay</w:t>
      </w:r>
      <w:proofErr w:type="spellEnd"/>
      <w:r w:rsidRPr="000768D4">
        <w:rPr>
          <w:rFonts w:ascii="Times New Roman" w:hAnsi="Times New Roman"/>
          <w:sz w:val="20"/>
          <w:szCs w:val="20"/>
          <w:lang w:val="en"/>
        </w:rPr>
        <w:t xml:space="preserve"> Mortgage Services “for not being competent or capable to perform any functions related to regulated activities, including giving advice”.  See </w:t>
      </w:r>
      <w:r w:rsidRPr="000768D4">
        <w:rPr>
          <w:rFonts w:ascii="Times New Roman" w:hAnsi="Times New Roman"/>
          <w:sz w:val="20"/>
          <w:szCs w:val="20"/>
        </w:rPr>
        <w:t xml:space="preserve">Financial Services Authority ‘Final Notice to </w:t>
      </w:r>
      <w:proofErr w:type="spellStart"/>
      <w:r w:rsidRPr="000768D4">
        <w:rPr>
          <w:rFonts w:ascii="Times New Roman" w:hAnsi="Times New Roman"/>
          <w:sz w:val="20"/>
          <w:szCs w:val="20"/>
        </w:rPr>
        <w:t>Mr</w:t>
      </w:r>
      <w:proofErr w:type="spellEnd"/>
      <w:r w:rsidRPr="000768D4">
        <w:rPr>
          <w:rFonts w:ascii="Times New Roman" w:hAnsi="Times New Roman"/>
          <w:sz w:val="20"/>
          <w:szCs w:val="20"/>
        </w:rPr>
        <w:t xml:space="preserve"> John Paul </w:t>
      </w:r>
      <w:proofErr w:type="spellStart"/>
      <w:r w:rsidRPr="000768D4">
        <w:rPr>
          <w:rFonts w:ascii="Times New Roman" w:hAnsi="Times New Roman"/>
          <w:sz w:val="20"/>
          <w:szCs w:val="20"/>
        </w:rPr>
        <w:t>Keay</w:t>
      </w:r>
      <w:proofErr w:type="spellEnd"/>
      <w:r w:rsidRPr="000768D4">
        <w:rPr>
          <w:rFonts w:ascii="Times New Roman" w:hAnsi="Times New Roman"/>
          <w:sz w:val="20"/>
          <w:szCs w:val="20"/>
        </w:rPr>
        <w:t xml:space="preserve"> trading as</w:t>
      </w:r>
      <w:r w:rsidRPr="000768D4">
        <w:rPr>
          <w:rFonts w:ascii="Times New Roman" w:hAnsi="Times New Roman"/>
          <w:sz w:val="20"/>
          <w:szCs w:val="20"/>
          <w:lang w:val="en" w:eastAsia="en-GB"/>
        </w:rPr>
        <w:t xml:space="preserve"> Jack </w:t>
      </w:r>
      <w:proofErr w:type="spellStart"/>
      <w:r w:rsidRPr="000768D4">
        <w:rPr>
          <w:rFonts w:ascii="Times New Roman" w:hAnsi="Times New Roman"/>
          <w:sz w:val="20"/>
          <w:szCs w:val="20"/>
          <w:lang w:val="en" w:eastAsia="en-GB"/>
        </w:rPr>
        <w:t>Keay</w:t>
      </w:r>
      <w:proofErr w:type="spellEnd"/>
      <w:r w:rsidRPr="000768D4">
        <w:rPr>
          <w:rFonts w:ascii="Times New Roman" w:hAnsi="Times New Roman"/>
          <w:sz w:val="20"/>
          <w:szCs w:val="20"/>
          <w:lang w:val="en" w:eastAsia="en-GB"/>
        </w:rPr>
        <w:t xml:space="preserve"> Mortgage Services’, April 21 2008, </w:t>
      </w:r>
      <w:r w:rsidRPr="000768D4">
        <w:rPr>
          <w:rFonts w:ascii="Times New Roman" w:hAnsi="Times New Roman"/>
          <w:sz w:val="20"/>
          <w:szCs w:val="20"/>
          <w:lang w:val="en"/>
        </w:rPr>
        <w:t xml:space="preserve">available </w:t>
      </w:r>
      <w:r w:rsidRPr="000768D4">
        <w:rPr>
          <w:rFonts w:ascii="Times New Roman" w:hAnsi="Times New Roman"/>
          <w:color w:val="000000"/>
          <w:sz w:val="20"/>
          <w:szCs w:val="20"/>
          <w:lang w:val="en"/>
        </w:rPr>
        <w:t xml:space="preserve">from </w:t>
      </w:r>
      <w:hyperlink r:id="rId15" w:history="1">
        <w:r w:rsidRPr="000768D4">
          <w:rPr>
            <w:rStyle w:val="Hyperlink"/>
            <w:rFonts w:ascii="Times New Roman" w:hAnsi="Times New Roman"/>
            <w:sz w:val="20"/>
            <w:szCs w:val="20"/>
            <w:lang w:val="en"/>
          </w:rPr>
          <w:t>http://www.fsa.gov.uk/pubs/final/JKMS.pdf</w:t>
        </w:r>
      </w:hyperlink>
      <w:r w:rsidRPr="000768D4">
        <w:rPr>
          <w:rFonts w:ascii="Times New Roman" w:hAnsi="Times New Roman"/>
          <w:color w:val="000000"/>
          <w:sz w:val="20"/>
          <w:szCs w:val="20"/>
          <w:lang w:val="en"/>
        </w:rPr>
        <w:t xml:space="preserve">, accessed June 30 2013.  For further examples see </w:t>
      </w:r>
      <w:r w:rsidRPr="000768D4">
        <w:rPr>
          <w:rFonts w:ascii="Times New Roman" w:hAnsi="Times New Roman"/>
          <w:sz w:val="20"/>
          <w:szCs w:val="20"/>
        </w:rPr>
        <w:t>Financial Services Authority, ‘</w:t>
      </w:r>
      <w:r w:rsidRPr="000768D4">
        <w:rPr>
          <w:rFonts w:ascii="Times New Roman" w:hAnsi="Times New Roman"/>
          <w:bCs/>
          <w:kern w:val="36"/>
          <w:sz w:val="20"/>
          <w:szCs w:val="20"/>
          <w:lang w:val="en"/>
        </w:rPr>
        <w:t xml:space="preserve">FSA bans four more brokers for mortgage fraud as the Tribunal dismisses broker’s appeal’, April 19 2011, available from </w:t>
      </w:r>
      <w:hyperlink r:id="rId16" w:history="1">
        <w:r w:rsidRPr="000768D4">
          <w:rPr>
            <w:rStyle w:val="Hyperlink"/>
            <w:rFonts w:ascii="Times New Roman" w:hAnsi="Times New Roman"/>
            <w:bCs/>
            <w:kern w:val="36"/>
            <w:sz w:val="20"/>
            <w:szCs w:val="20"/>
            <w:lang w:val="en"/>
          </w:rPr>
          <w:t>http://www.fsa.gov.uk/pages/Library/Communication/PR/2011/038.shtml</w:t>
        </w:r>
      </w:hyperlink>
      <w:r w:rsidRPr="000768D4">
        <w:rPr>
          <w:rFonts w:ascii="Times New Roman" w:hAnsi="Times New Roman"/>
          <w:bCs/>
          <w:color w:val="333333"/>
          <w:kern w:val="36"/>
          <w:sz w:val="20"/>
          <w:szCs w:val="20"/>
          <w:lang w:val="en"/>
        </w:rPr>
        <w:t xml:space="preserve">, </w:t>
      </w:r>
      <w:r w:rsidRPr="000768D4">
        <w:rPr>
          <w:rFonts w:ascii="Times New Roman" w:hAnsi="Times New Roman"/>
          <w:bCs/>
          <w:kern w:val="36"/>
          <w:sz w:val="20"/>
          <w:szCs w:val="20"/>
          <w:lang w:val="en"/>
        </w:rPr>
        <w:t>accessed June 30 2013.</w:t>
      </w:r>
    </w:p>
  </w:footnote>
  <w:footnote w:id="89">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eastAsia="Calibri" w:hAnsi="Times New Roman"/>
          <w:sz w:val="20"/>
          <w:szCs w:val="20"/>
        </w:rPr>
        <w:t xml:space="preserve">Srivastava </w:t>
      </w:r>
      <w:r w:rsidRPr="000768D4">
        <w:rPr>
          <w:rFonts w:ascii="Times New Roman" w:eastAsia="Calibri" w:hAnsi="Times New Roman"/>
          <w:i/>
          <w:sz w:val="20"/>
          <w:szCs w:val="20"/>
        </w:rPr>
        <w:t>et al</w:t>
      </w:r>
      <w:r w:rsidRPr="000768D4">
        <w:rPr>
          <w:rFonts w:ascii="Times New Roman" w:eastAsia="Calibri" w:hAnsi="Times New Roman"/>
          <w:sz w:val="20"/>
          <w:szCs w:val="20"/>
        </w:rPr>
        <w:t xml:space="preserve"> above, n </w:t>
      </w:r>
      <w:r w:rsidR="00437369">
        <w:rPr>
          <w:rFonts w:ascii="Times New Roman" w:eastAsia="Calibri" w:hAnsi="Times New Roman"/>
          <w:sz w:val="20"/>
          <w:szCs w:val="20"/>
        </w:rPr>
        <w:t>62</w:t>
      </w:r>
      <w:r w:rsidRPr="000768D4">
        <w:rPr>
          <w:rFonts w:ascii="Times New Roman" w:eastAsia="Calibri" w:hAnsi="Times New Roman"/>
          <w:sz w:val="20"/>
          <w:szCs w:val="20"/>
        </w:rPr>
        <w:t xml:space="preserve"> at 6.</w:t>
      </w:r>
    </w:p>
  </w:footnote>
  <w:footnote w:id="90">
    <w:p w:rsidR="00BD0366" w:rsidRPr="000768D4" w:rsidRDefault="00BD0366" w:rsidP="000768D4">
      <w:pPr>
        <w:pStyle w:val="Heading2"/>
        <w:shd w:val="clear" w:color="auto" w:fill="FFFFFF"/>
        <w:spacing w:before="0" w:after="0"/>
        <w:jc w:val="both"/>
        <w:rPr>
          <w:rFonts w:ascii="Times New Roman" w:hAnsi="Times New Roman"/>
          <w:b w:val="0"/>
          <w:i w:val="0"/>
          <w:sz w:val="20"/>
          <w:szCs w:val="20"/>
        </w:rPr>
      </w:pPr>
      <w:r w:rsidRPr="000768D4">
        <w:rPr>
          <w:rStyle w:val="FootnoteReference"/>
          <w:rFonts w:ascii="Times New Roman" w:hAnsi="Times New Roman"/>
          <w:b w:val="0"/>
          <w:i w:val="0"/>
          <w:sz w:val="20"/>
          <w:szCs w:val="20"/>
        </w:rPr>
        <w:footnoteRef/>
      </w:r>
      <w:r w:rsidRPr="000768D4">
        <w:rPr>
          <w:rFonts w:ascii="Times New Roman" w:hAnsi="Times New Roman"/>
          <w:b w:val="0"/>
          <w:i w:val="0"/>
          <w:sz w:val="20"/>
          <w:szCs w:val="20"/>
        </w:rPr>
        <w:t xml:space="preserve"> </w:t>
      </w:r>
      <w:proofErr w:type="gramStart"/>
      <w:r w:rsidRPr="000768D4">
        <w:rPr>
          <w:rFonts w:ascii="Times New Roman" w:hAnsi="Times New Roman"/>
          <w:b w:val="0"/>
          <w:sz w:val="20"/>
          <w:szCs w:val="20"/>
        </w:rPr>
        <w:t>Ibid</w:t>
      </w:r>
      <w:r w:rsidRPr="000768D4">
        <w:rPr>
          <w:rFonts w:ascii="Times New Roman" w:hAnsi="Times New Roman"/>
          <w:b w:val="0"/>
          <w:i w:val="0"/>
          <w:sz w:val="20"/>
          <w:szCs w:val="20"/>
        </w:rPr>
        <w:t>.</w:t>
      </w:r>
      <w:proofErr w:type="gramEnd"/>
      <w:r w:rsidRPr="000768D4">
        <w:rPr>
          <w:rFonts w:ascii="Times New Roman" w:hAnsi="Times New Roman"/>
          <w:b w:val="0"/>
          <w:i w:val="0"/>
          <w:sz w:val="20"/>
          <w:szCs w:val="20"/>
        </w:rPr>
        <w:t xml:space="preserve"> </w:t>
      </w:r>
      <w:r w:rsidRPr="000768D4">
        <w:rPr>
          <w:rFonts w:ascii="Times New Roman" w:eastAsia="Calibri" w:hAnsi="Times New Roman"/>
          <w:b w:val="0"/>
          <w:i w:val="0"/>
          <w:sz w:val="20"/>
          <w:szCs w:val="20"/>
        </w:rPr>
        <w:t>For a more detailed commentary on the measures introduced by the Financial Services Authority to tackle mortgage fraud see Haines, J. ‘</w:t>
      </w:r>
      <w:r w:rsidRPr="000768D4">
        <w:rPr>
          <w:rFonts w:ascii="Times New Roman" w:hAnsi="Times New Roman"/>
          <w:b w:val="0"/>
          <w:i w:val="0"/>
          <w:iCs w:val="0"/>
          <w:sz w:val="20"/>
          <w:szCs w:val="20"/>
        </w:rPr>
        <w:t>Mortgage fraud - FSA report on thematic findings of mortgage lenders systems and controls against mortgage fraud’ (2011) Company Lawyer, 32(11), 344-346, Haines, J. ‘</w:t>
      </w:r>
      <w:r w:rsidRPr="000768D4">
        <w:rPr>
          <w:rFonts w:ascii="Times New Roman" w:hAnsi="Times New Roman"/>
          <w:b w:val="0"/>
          <w:i w:val="0"/>
          <w:sz w:val="20"/>
          <w:szCs w:val="20"/>
        </w:rPr>
        <w:t>Mortgage fraud - have mortgage lenders got their house in order?’ (2011) Company Lawyer, 32(3), 86-88.</w:t>
      </w:r>
    </w:p>
  </w:footnote>
  <w:footnote w:id="91">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Authority </w:t>
      </w:r>
      <w:r w:rsidRPr="000768D4">
        <w:rPr>
          <w:rFonts w:ascii="Times New Roman" w:hAnsi="Times New Roman"/>
          <w:i/>
          <w:sz w:val="20"/>
          <w:szCs w:val="20"/>
        </w:rPr>
        <w:t>Enforcement annual performance account 2008/2009</w:t>
      </w:r>
      <w:r w:rsidRPr="000768D4">
        <w:rPr>
          <w:rFonts w:ascii="Times New Roman" w:hAnsi="Times New Roman"/>
          <w:sz w:val="20"/>
          <w:szCs w:val="20"/>
        </w:rPr>
        <w:t xml:space="preserve"> (Financial Services Authority: London, 2009) at 7.</w:t>
      </w:r>
    </w:p>
  </w:footnote>
  <w:footnote w:id="92">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hAnsi="Times New Roman"/>
          <w:i/>
          <w:sz w:val="20"/>
          <w:szCs w:val="20"/>
        </w:rPr>
        <w:t>Ibid</w:t>
      </w:r>
      <w:r w:rsidRPr="000768D4">
        <w:rPr>
          <w:rFonts w:ascii="Times New Roman" w:hAnsi="Times New Roman"/>
          <w:sz w:val="20"/>
          <w:szCs w:val="20"/>
        </w:rPr>
        <w:t>.,</w:t>
      </w:r>
      <w:proofErr w:type="gramEnd"/>
      <w:r w:rsidRPr="000768D4">
        <w:rPr>
          <w:rFonts w:ascii="Times New Roman" w:hAnsi="Times New Roman"/>
          <w:sz w:val="20"/>
          <w:szCs w:val="20"/>
        </w:rPr>
        <w:t xml:space="preserve"> at 4.  </w:t>
      </w:r>
    </w:p>
  </w:footnote>
  <w:footnote w:id="93">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Authority </w:t>
      </w:r>
      <w:r w:rsidRPr="000768D4">
        <w:rPr>
          <w:rFonts w:ascii="Times New Roman" w:hAnsi="Times New Roman"/>
          <w:i/>
          <w:sz w:val="20"/>
          <w:szCs w:val="20"/>
        </w:rPr>
        <w:t>Enforcement annual performance account 2009/2010</w:t>
      </w:r>
      <w:r w:rsidRPr="000768D4">
        <w:rPr>
          <w:rFonts w:ascii="Times New Roman" w:hAnsi="Times New Roman"/>
          <w:sz w:val="20"/>
          <w:szCs w:val="20"/>
        </w:rPr>
        <w:t xml:space="preserve"> (Financial Services Authority: London, 2010) at 4.</w:t>
      </w:r>
    </w:p>
  </w:footnote>
  <w:footnote w:id="94">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Authority </w:t>
      </w:r>
      <w:r w:rsidRPr="000768D4">
        <w:rPr>
          <w:rFonts w:ascii="Times New Roman" w:hAnsi="Times New Roman"/>
          <w:i/>
          <w:sz w:val="20"/>
          <w:szCs w:val="20"/>
        </w:rPr>
        <w:t>Enforcement annual performance account 2010/2011</w:t>
      </w:r>
      <w:r w:rsidRPr="000768D4">
        <w:rPr>
          <w:rFonts w:ascii="Times New Roman" w:hAnsi="Times New Roman"/>
          <w:sz w:val="20"/>
          <w:szCs w:val="20"/>
        </w:rPr>
        <w:t xml:space="preserve"> (Financial Services Authority: London, 2011) at 8.</w:t>
      </w:r>
    </w:p>
  </w:footnote>
  <w:footnote w:id="95">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Authority </w:t>
      </w:r>
      <w:r w:rsidRPr="000768D4">
        <w:rPr>
          <w:rFonts w:ascii="Times New Roman" w:hAnsi="Times New Roman"/>
          <w:i/>
          <w:sz w:val="20"/>
          <w:szCs w:val="20"/>
        </w:rPr>
        <w:t>Enforcement annual performance account 2011/2012</w:t>
      </w:r>
      <w:r w:rsidRPr="000768D4">
        <w:rPr>
          <w:rFonts w:ascii="Times New Roman" w:hAnsi="Times New Roman"/>
          <w:sz w:val="20"/>
          <w:szCs w:val="20"/>
        </w:rPr>
        <w:t xml:space="preserve"> (Financial Services Authority: London, 2012) at 8.  </w:t>
      </w:r>
    </w:p>
  </w:footnote>
  <w:footnote w:id="96">
    <w:p w:rsidR="00BD0366" w:rsidRPr="000768D4" w:rsidRDefault="00BD0366" w:rsidP="000768D4">
      <w:pPr>
        <w:pStyle w:val="FootnoteText1"/>
        <w:ind w:left="0" w:firstLine="0"/>
        <w:rPr>
          <w:sz w:val="20"/>
          <w:szCs w:val="20"/>
        </w:rPr>
      </w:pPr>
      <w:r w:rsidRPr="000768D4">
        <w:rPr>
          <w:rStyle w:val="FootnoteReference"/>
          <w:sz w:val="20"/>
          <w:szCs w:val="20"/>
        </w:rPr>
        <w:footnoteRef/>
      </w:r>
      <w:r w:rsidRPr="000768D4">
        <w:rPr>
          <w:sz w:val="20"/>
          <w:szCs w:val="20"/>
        </w:rPr>
        <w:t xml:space="preserve"> Financial Services Authority </w:t>
      </w:r>
      <w:r w:rsidRPr="000768D4">
        <w:rPr>
          <w:i/>
          <w:sz w:val="20"/>
          <w:szCs w:val="20"/>
        </w:rPr>
        <w:t>Enforcement annual performance account 2012/2013</w:t>
      </w:r>
      <w:r w:rsidRPr="000768D4">
        <w:rPr>
          <w:sz w:val="20"/>
          <w:szCs w:val="20"/>
        </w:rPr>
        <w:t xml:space="preserve"> (Financial Services Authority: London, 2013) at 5.</w:t>
      </w:r>
    </w:p>
  </w:footnote>
  <w:footnote w:id="97">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Conduct Authority </w:t>
      </w:r>
      <w:r w:rsidRPr="000768D4">
        <w:rPr>
          <w:rFonts w:ascii="Times New Roman" w:hAnsi="Times New Roman"/>
          <w:i/>
          <w:sz w:val="20"/>
          <w:szCs w:val="20"/>
        </w:rPr>
        <w:t>Enforcement annual performance account 2013/2014</w:t>
      </w:r>
      <w:r w:rsidRPr="000768D4">
        <w:rPr>
          <w:rFonts w:ascii="Times New Roman" w:hAnsi="Times New Roman"/>
          <w:sz w:val="20"/>
          <w:szCs w:val="20"/>
        </w:rPr>
        <w:t xml:space="preserve"> (Financial Services Authority: London, 2014) at 3.</w:t>
      </w:r>
    </w:p>
  </w:footnote>
  <w:footnote w:id="98">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 xml:space="preserve">Financial Conduct Authority </w:t>
      </w:r>
      <w:r w:rsidRPr="003A0CF6">
        <w:rPr>
          <w:rFonts w:ascii="Times New Roman" w:hAnsi="Times New Roman"/>
          <w:i/>
          <w:sz w:val="20"/>
          <w:szCs w:val="20"/>
        </w:rPr>
        <w:t>Annual Report and Accounts 2014/15</w:t>
      </w:r>
      <w:r w:rsidRPr="000768D4">
        <w:rPr>
          <w:rFonts w:ascii="Times New Roman" w:hAnsi="Times New Roman"/>
          <w:sz w:val="20"/>
          <w:szCs w:val="20"/>
        </w:rPr>
        <w:t xml:space="preserve"> (Financial Conduct Authority: London, 2015) at 56.</w:t>
      </w:r>
    </w:p>
  </w:footnote>
  <w:footnote w:id="99">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Financial Services Authority ‘</w:t>
      </w:r>
      <w:r w:rsidRPr="000768D4">
        <w:rPr>
          <w:rFonts w:ascii="Times New Roman" w:hAnsi="Times New Roman"/>
          <w:bCs/>
          <w:kern w:val="36"/>
          <w:sz w:val="20"/>
          <w:szCs w:val="20"/>
          <w:lang w:val="en"/>
        </w:rPr>
        <w:t xml:space="preserve">FSA issues ban and fine of £500,000 against former HBOS executive, Peter Cummings’, September 12 2012, available from </w:t>
      </w:r>
      <w:hyperlink r:id="rId17" w:history="1">
        <w:r w:rsidRPr="000768D4">
          <w:rPr>
            <w:rStyle w:val="Hyperlink"/>
            <w:rFonts w:ascii="Times New Roman" w:hAnsi="Times New Roman"/>
            <w:bCs/>
            <w:kern w:val="36"/>
            <w:sz w:val="20"/>
            <w:szCs w:val="20"/>
            <w:lang w:val="en"/>
          </w:rPr>
          <w:t>http://www.fsa.gov.uk/library/communication/pr/2012/087.shtml</w:t>
        </w:r>
      </w:hyperlink>
      <w:r w:rsidRPr="000768D4">
        <w:rPr>
          <w:rFonts w:ascii="Times New Roman" w:hAnsi="Times New Roman"/>
          <w:bCs/>
          <w:kern w:val="36"/>
          <w:sz w:val="20"/>
          <w:szCs w:val="20"/>
          <w:lang w:val="en"/>
        </w:rPr>
        <w:t xml:space="preserve">, accessed June 30 2013.  </w:t>
      </w:r>
    </w:p>
  </w:footnote>
  <w:footnote w:id="100">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i/>
          <w:sz w:val="20"/>
          <w:szCs w:val="20"/>
        </w:rPr>
        <w:t>Ibid</w:t>
      </w:r>
      <w:r w:rsidRPr="000768D4">
        <w:rPr>
          <w:rFonts w:ascii="Times New Roman" w:hAnsi="Times New Roman"/>
          <w:bCs/>
          <w:kern w:val="36"/>
          <w:sz w:val="20"/>
          <w:szCs w:val="20"/>
          <w:lang w:val="en"/>
        </w:rPr>
        <w:t>.</w:t>
      </w:r>
    </w:p>
  </w:footnote>
  <w:footnote w:id="101">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hAnsi="Times New Roman"/>
          <w:sz w:val="20"/>
          <w:szCs w:val="20"/>
          <w:lang w:val="en-GB"/>
        </w:rPr>
        <w:t>Financial</w:t>
      </w:r>
      <w:r w:rsidR="003A0CF6">
        <w:rPr>
          <w:rFonts w:ascii="Times New Roman" w:hAnsi="Times New Roman"/>
          <w:sz w:val="20"/>
          <w:szCs w:val="20"/>
          <w:lang w:val="en-GB"/>
        </w:rPr>
        <w:t xml:space="preserve"> Services Authority above, n 99</w:t>
      </w:r>
      <w:r w:rsidRPr="000768D4">
        <w:rPr>
          <w:rFonts w:ascii="Times New Roman" w:hAnsi="Times New Roman"/>
          <w:bCs/>
          <w:kern w:val="36"/>
          <w:sz w:val="20"/>
          <w:szCs w:val="20"/>
          <w:lang w:val="en"/>
        </w:rPr>
        <w:t>.</w:t>
      </w:r>
      <w:proofErr w:type="gramEnd"/>
    </w:p>
  </w:footnote>
  <w:footnote w:id="102">
    <w:p w:rsidR="00BD0366" w:rsidRPr="000768D4" w:rsidRDefault="00BD0366" w:rsidP="000768D4">
      <w:pPr>
        <w:pStyle w:val="Heading2"/>
        <w:shd w:val="clear" w:color="auto" w:fill="FFFFFF"/>
        <w:spacing w:before="0" w:after="0"/>
        <w:jc w:val="both"/>
        <w:rPr>
          <w:rFonts w:ascii="Times New Roman" w:hAnsi="Times New Roman"/>
          <w:b w:val="0"/>
          <w:i w:val="0"/>
          <w:sz w:val="20"/>
          <w:szCs w:val="20"/>
        </w:rPr>
      </w:pPr>
      <w:r w:rsidRPr="000768D4">
        <w:rPr>
          <w:rStyle w:val="FootnoteReference"/>
          <w:rFonts w:ascii="Times New Roman" w:hAnsi="Times New Roman"/>
          <w:b w:val="0"/>
          <w:i w:val="0"/>
          <w:sz w:val="20"/>
          <w:szCs w:val="20"/>
        </w:rPr>
        <w:footnoteRef/>
      </w:r>
      <w:r w:rsidRPr="000768D4">
        <w:rPr>
          <w:rFonts w:ascii="Times New Roman" w:hAnsi="Times New Roman"/>
          <w:b w:val="0"/>
          <w:i w:val="0"/>
          <w:sz w:val="20"/>
          <w:szCs w:val="20"/>
        </w:rPr>
        <w:t xml:space="preserve"> Tomasic, R. and </w:t>
      </w:r>
      <w:proofErr w:type="spellStart"/>
      <w:r w:rsidRPr="000768D4">
        <w:rPr>
          <w:rFonts w:ascii="Times New Roman" w:hAnsi="Times New Roman"/>
          <w:b w:val="0"/>
          <w:i w:val="0"/>
          <w:sz w:val="20"/>
          <w:szCs w:val="20"/>
        </w:rPr>
        <w:t>Akinbami</w:t>
      </w:r>
      <w:proofErr w:type="spellEnd"/>
      <w:r w:rsidRPr="000768D4">
        <w:rPr>
          <w:rFonts w:ascii="Times New Roman" w:hAnsi="Times New Roman"/>
          <w:b w:val="0"/>
          <w:i w:val="0"/>
          <w:sz w:val="20"/>
          <w:szCs w:val="20"/>
        </w:rPr>
        <w:t>, F. ‘</w:t>
      </w:r>
      <w:r w:rsidRPr="000768D4">
        <w:rPr>
          <w:rFonts w:ascii="Times New Roman" w:hAnsi="Times New Roman"/>
          <w:b w:val="0"/>
          <w:i w:val="0"/>
          <w:iCs w:val="0"/>
          <w:sz w:val="20"/>
          <w:szCs w:val="20"/>
        </w:rPr>
        <w:t xml:space="preserve">Towards a new corporate governance after the global financial crisis’ (2011) </w:t>
      </w:r>
      <w:hyperlink r:id="rId18" w:history="1">
        <w:r w:rsidRPr="000768D4">
          <w:rPr>
            <w:rFonts w:ascii="Times New Roman" w:hAnsi="Times New Roman"/>
            <w:b w:val="0"/>
            <w:i w:val="0"/>
            <w:sz w:val="20"/>
            <w:szCs w:val="20"/>
          </w:rPr>
          <w:t>International Company and Commercial Law Review</w:t>
        </w:r>
      </w:hyperlink>
      <w:r w:rsidRPr="000768D4">
        <w:rPr>
          <w:rFonts w:ascii="Times New Roman" w:hAnsi="Times New Roman"/>
          <w:b w:val="0"/>
          <w:i w:val="0"/>
          <w:sz w:val="20"/>
          <w:szCs w:val="20"/>
        </w:rPr>
        <w:t>, 22(8), 237-249, at 243.</w:t>
      </w:r>
    </w:p>
  </w:footnote>
  <w:footnote w:id="103">
    <w:p w:rsidR="00BD0366" w:rsidRPr="000768D4" w:rsidRDefault="00BD0366" w:rsidP="000768D4">
      <w:pPr>
        <w:spacing w:after="0" w:line="240" w:lineRule="auto"/>
        <w:jc w:val="both"/>
        <w:outlineLvl w:val="1"/>
        <w:rPr>
          <w:rFonts w:ascii="Times New Roman" w:hAnsi="Times New Roman" w:cs="Times New Roman"/>
          <w:bCs/>
          <w:kern w:val="36"/>
          <w:sz w:val="20"/>
          <w:szCs w:val="20"/>
        </w:rPr>
      </w:pPr>
      <w:r w:rsidRPr="000768D4">
        <w:rPr>
          <w:rStyle w:val="FootnoteReference"/>
          <w:rFonts w:ascii="Times New Roman" w:hAnsi="Times New Roman" w:cs="Times New Roman"/>
          <w:sz w:val="20"/>
          <w:szCs w:val="20"/>
        </w:rPr>
        <w:footnoteRef/>
      </w:r>
      <w:r w:rsidRPr="000768D4">
        <w:rPr>
          <w:rFonts w:ascii="Times New Roman" w:hAnsi="Times New Roman" w:cs="Times New Roman"/>
          <w:sz w:val="20"/>
          <w:szCs w:val="20"/>
        </w:rPr>
        <w:t xml:space="preserve"> </w:t>
      </w:r>
      <w:proofErr w:type="spellStart"/>
      <w:r w:rsidRPr="000768D4">
        <w:rPr>
          <w:rFonts w:ascii="Times New Roman" w:hAnsi="Times New Roman" w:cs="Times New Roman"/>
          <w:sz w:val="20"/>
          <w:szCs w:val="20"/>
        </w:rPr>
        <w:t>Willmot</w:t>
      </w:r>
      <w:proofErr w:type="spellEnd"/>
      <w:r w:rsidRPr="000768D4">
        <w:rPr>
          <w:rFonts w:ascii="Times New Roman" w:hAnsi="Times New Roman" w:cs="Times New Roman"/>
          <w:sz w:val="20"/>
          <w:szCs w:val="20"/>
        </w:rPr>
        <w:t>, N. and James, P. ‘</w:t>
      </w:r>
      <w:r w:rsidRPr="000768D4">
        <w:rPr>
          <w:rFonts w:ascii="Times New Roman" w:hAnsi="Times New Roman" w:cs="Times New Roman"/>
          <w:bCs/>
          <w:sz w:val="20"/>
          <w:szCs w:val="20"/>
        </w:rPr>
        <w:t xml:space="preserve">Reading between the lines: understanding the FSA's unwritten expectations of significant influence function holders on appointment and beyond’ (2012) </w:t>
      </w:r>
      <w:r w:rsidRPr="000768D4">
        <w:rPr>
          <w:rFonts w:ascii="Times New Roman" w:hAnsi="Times New Roman" w:cs="Times New Roman"/>
          <w:bCs/>
          <w:kern w:val="36"/>
          <w:sz w:val="20"/>
          <w:szCs w:val="20"/>
        </w:rPr>
        <w:t xml:space="preserve">Compliance Officer Bulletin, </w:t>
      </w:r>
      <w:r w:rsidRPr="000768D4">
        <w:rPr>
          <w:rFonts w:ascii="Times New Roman" w:hAnsi="Times New Roman" w:cs="Times New Roman"/>
          <w:sz w:val="20"/>
          <w:szCs w:val="20"/>
        </w:rPr>
        <w:t>101(Nov), 1-28, at 13.</w:t>
      </w:r>
    </w:p>
  </w:footnote>
  <w:footnote w:id="104">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Financial Services Authority ‘</w:t>
      </w:r>
      <w:r w:rsidRPr="000768D4">
        <w:rPr>
          <w:rFonts w:ascii="Times New Roman" w:hAnsi="Times New Roman"/>
          <w:bCs/>
          <w:kern w:val="36"/>
          <w:sz w:val="20"/>
          <w:szCs w:val="20"/>
          <w:lang w:val="en"/>
        </w:rPr>
        <w:t>FSA bans and fines former Northern Rock finance director £320,000 for misreporting mortgage arrears figures’, July 27 2010, available from</w:t>
      </w:r>
      <w:r w:rsidRPr="000768D4">
        <w:rPr>
          <w:rFonts w:ascii="Times New Roman" w:hAnsi="Times New Roman"/>
          <w:bCs/>
          <w:color w:val="333333"/>
          <w:kern w:val="36"/>
          <w:sz w:val="20"/>
          <w:szCs w:val="20"/>
          <w:lang w:val="en"/>
        </w:rPr>
        <w:t xml:space="preserve"> </w:t>
      </w:r>
      <w:hyperlink r:id="rId19" w:history="1">
        <w:r w:rsidRPr="000768D4">
          <w:rPr>
            <w:rStyle w:val="Hyperlink"/>
            <w:rFonts w:ascii="Times New Roman" w:hAnsi="Times New Roman"/>
            <w:bCs/>
            <w:kern w:val="36"/>
            <w:sz w:val="20"/>
            <w:szCs w:val="20"/>
            <w:lang w:val="en"/>
          </w:rPr>
          <w:t>http://www.fsa.gov.uk/pages/Library/Communication/PR/2010/126.shtml</w:t>
        </w:r>
      </w:hyperlink>
      <w:r w:rsidRPr="000768D4">
        <w:rPr>
          <w:rFonts w:ascii="Times New Roman" w:hAnsi="Times New Roman"/>
          <w:bCs/>
          <w:color w:val="333333"/>
          <w:kern w:val="36"/>
          <w:sz w:val="20"/>
          <w:szCs w:val="20"/>
          <w:lang w:val="en"/>
        </w:rPr>
        <w:t xml:space="preserve">, </w:t>
      </w:r>
      <w:r w:rsidRPr="000768D4">
        <w:rPr>
          <w:rFonts w:ascii="Times New Roman" w:hAnsi="Times New Roman"/>
          <w:bCs/>
          <w:kern w:val="36"/>
          <w:sz w:val="20"/>
          <w:szCs w:val="20"/>
          <w:lang w:val="en"/>
        </w:rPr>
        <w:t>accessed July 1 2013.</w:t>
      </w:r>
    </w:p>
  </w:footnote>
  <w:footnote w:id="105">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Financial Services Authority ‘</w:t>
      </w:r>
      <w:r w:rsidRPr="000768D4">
        <w:rPr>
          <w:rFonts w:ascii="Times New Roman" w:hAnsi="Times New Roman"/>
          <w:bCs/>
          <w:kern w:val="36"/>
          <w:sz w:val="20"/>
          <w:szCs w:val="20"/>
          <w:lang w:val="en"/>
        </w:rPr>
        <w:t xml:space="preserve">FSA fines and bans former Northern Rock deputy chief executive and credit director for misreporting mortgage arrears figures’, April 13 2010, available from </w:t>
      </w:r>
      <w:hyperlink r:id="rId20" w:history="1">
        <w:r w:rsidRPr="000768D4">
          <w:rPr>
            <w:rStyle w:val="Hyperlink"/>
            <w:rFonts w:ascii="Times New Roman" w:hAnsi="Times New Roman"/>
            <w:bCs/>
            <w:kern w:val="36"/>
            <w:sz w:val="20"/>
            <w:szCs w:val="20"/>
            <w:lang w:val="en"/>
          </w:rPr>
          <w:t>http://www.fsa.gov.uk/pages/Library/Communication/PR/2010/066.shtml</w:t>
        </w:r>
      </w:hyperlink>
      <w:r w:rsidRPr="000768D4">
        <w:rPr>
          <w:rFonts w:ascii="Times New Roman" w:hAnsi="Times New Roman"/>
          <w:bCs/>
          <w:kern w:val="36"/>
          <w:sz w:val="20"/>
          <w:szCs w:val="20"/>
          <w:lang w:val="en"/>
        </w:rPr>
        <w:t>,  accessed July 1 2013.</w:t>
      </w:r>
    </w:p>
  </w:footnote>
  <w:footnote w:id="106">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 xml:space="preserve">Financial Services Authority ‘FSA statement on Johnny Cameron’, May 18 2010, available from </w:t>
      </w:r>
      <w:hyperlink r:id="rId21" w:history="1">
        <w:r w:rsidRPr="000768D4">
          <w:rPr>
            <w:rStyle w:val="Hyperlink"/>
            <w:rFonts w:ascii="Times New Roman" w:hAnsi="Times New Roman"/>
            <w:sz w:val="20"/>
            <w:szCs w:val="20"/>
            <w:lang w:val="en-GB"/>
          </w:rPr>
          <w:t>http://www.fsa.gov.uk/pages/Library/Communication/PR/2010/081.shtml</w:t>
        </w:r>
      </w:hyperlink>
      <w:r w:rsidRPr="000768D4">
        <w:rPr>
          <w:rFonts w:ascii="Times New Roman" w:hAnsi="Times New Roman"/>
          <w:sz w:val="20"/>
          <w:szCs w:val="20"/>
          <w:lang w:val="en-GB"/>
        </w:rPr>
        <w:t>, accessed July 1 2013.</w:t>
      </w:r>
    </w:p>
  </w:footnote>
  <w:footnote w:id="107">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Anon. ‘</w:t>
      </w:r>
      <w:r w:rsidRPr="000768D4">
        <w:rPr>
          <w:rFonts w:ascii="Times New Roman" w:hAnsi="Times New Roman"/>
          <w:sz w:val="20"/>
          <w:szCs w:val="20"/>
          <w:lang w:val="en"/>
        </w:rPr>
        <w:t xml:space="preserve">Former RBS investment bank chief Johnny Cameron banned from City’, May 18 2010, available from </w:t>
      </w:r>
      <w:hyperlink r:id="rId22" w:history="1">
        <w:r w:rsidRPr="000768D4">
          <w:rPr>
            <w:rStyle w:val="Hyperlink"/>
            <w:rFonts w:ascii="Times New Roman" w:hAnsi="Times New Roman"/>
            <w:sz w:val="20"/>
            <w:szCs w:val="20"/>
            <w:lang w:val="en"/>
          </w:rPr>
          <w:t>http://www.telegraph.co.uk/finance/financialcrisis/7736540/Former-RBS-investment-bank-chief-Johnny-Cameron-banned-from-City.html</w:t>
        </w:r>
      </w:hyperlink>
      <w:r w:rsidRPr="000768D4">
        <w:rPr>
          <w:rFonts w:ascii="Times New Roman" w:hAnsi="Times New Roman"/>
          <w:sz w:val="20"/>
          <w:szCs w:val="20"/>
          <w:lang w:val="en"/>
        </w:rPr>
        <w:t>, accessed July 7 2013.</w:t>
      </w:r>
    </w:p>
  </w:footnote>
  <w:footnote w:id="108">
    <w:p w:rsidR="00BD0366" w:rsidRPr="000768D4" w:rsidRDefault="00BD0366" w:rsidP="000768D4">
      <w:pPr>
        <w:autoSpaceDE w:val="0"/>
        <w:autoSpaceDN w:val="0"/>
        <w:adjustRightInd w:val="0"/>
        <w:spacing w:after="0" w:line="240" w:lineRule="auto"/>
        <w:jc w:val="both"/>
        <w:rPr>
          <w:rFonts w:ascii="Times New Roman" w:eastAsia="Calibri" w:hAnsi="Times New Roman" w:cs="Times New Roman"/>
          <w:bCs/>
          <w:sz w:val="20"/>
          <w:szCs w:val="20"/>
        </w:rPr>
      </w:pPr>
      <w:r w:rsidRPr="000768D4">
        <w:rPr>
          <w:rStyle w:val="FootnoteReference"/>
          <w:rFonts w:ascii="Times New Roman" w:hAnsi="Times New Roman" w:cs="Times New Roman"/>
          <w:sz w:val="20"/>
          <w:szCs w:val="20"/>
        </w:rPr>
        <w:footnoteRef/>
      </w:r>
      <w:r w:rsidRPr="000768D4">
        <w:rPr>
          <w:rFonts w:ascii="Times New Roman" w:hAnsi="Times New Roman" w:cs="Times New Roman"/>
          <w:sz w:val="20"/>
          <w:szCs w:val="20"/>
        </w:rPr>
        <w:t xml:space="preserve"> Kirk, D. ‘Criminalising bad bankers’ (2012) </w:t>
      </w:r>
      <w:r w:rsidRPr="000768D4">
        <w:rPr>
          <w:rFonts w:ascii="Times New Roman" w:eastAsia="Calibri" w:hAnsi="Times New Roman" w:cs="Times New Roman"/>
          <w:bCs/>
          <w:sz w:val="20"/>
          <w:szCs w:val="20"/>
        </w:rPr>
        <w:t>Journal of Criminal Law</w:t>
      </w:r>
      <w:r w:rsidRPr="000768D4">
        <w:rPr>
          <w:rFonts w:ascii="Times New Roman" w:eastAsia="Calibri" w:hAnsi="Times New Roman" w:cs="Times New Roman"/>
          <w:sz w:val="20"/>
          <w:szCs w:val="20"/>
        </w:rPr>
        <w:t>, 76(6), 439-441, at 440.</w:t>
      </w:r>
    </w:p>
  </w:footnote>
  <w:footnote w:id="109">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BBC News ‘</w:t>
      </w:r>
      <w:r w:rsidRPr="000768D4">
        <w:rPr>
          <w:rFonts w:ascii="Times New Roman" w:hAnsi="Times New Roman"/>
          <w:bCs/>
          <w:color w:val="000000"/>
          <w:sz w:val="20"/>
          <w:szCs w:val="20"/>
        </w:rPr>
        <w:t xml:space="preserve">RBS secures takeover of ABN Amro’, October 8 2007, available from </w:t>
      </w:r>
      <w:hyperlink r:id="rId23" w:history="1">
        <w:r w:rsidRPr="000768D4">
          <w:rPr>
            <w:rStyle w:val="Hyperlink"/>
            <w:rFonts w:ascii="Times New Roman" w:hAnsi="Times New Roman"/>
            <w:bCs/>
            <w:sz w:val="20"/>
            <w:szCs w:val="20"/>
          </w:rPr>
          <w:t>http://news.bbc.co.uk/1/hi/business/7033176.stm</w:t>
        </w:r>
      </w:hyperlink>
      <w:r w:rsidRPr="000768D4">
        <w:rPr>
          <w:rFonts w:ascii="Times New Roman" w:hAnsi="Times New Roman"/>
          <w:bCs/>
          <w:color w:val="000000"/>
          <w:sz w:val="20"/>
          <w:szCs w:val="20"/>
        </w:rPr>
        <w:t xml:space="preserve">, accessed July 2 2013.  It is interesting to note that during its purchase of ABN Amro, RBS did not undertake any due diligence.  See </w:t>
      </w:r>
      <w:r w:rsidRPr="000768D4">
        <w:rPr>
          <w:rFonts w:ascii="Times New Roman" w:eastAsia="Calibri" w:hAnsi="Times New Roman"/>
          <w:sz w:val="20"/>
          <w:szCs w:val="20"/>
        </w:rPr>
        <w:t xml:space="preserve">House of Commons Treasury Committee </w:t>
      </w:r>
      <w:r w:rsidRPr="000768D4">
        <w:rPr>
          <w:rFonts w:ascii="Times New Roman" w:eastAsia="Calibri" w:hAnsi="Times New Roman"/>
          <w:i/>
          <w:iCs/>
          <w:sz w:val="20"/>
          <w:szCs w:val="20"/>
        </w:rPr>
        <w:t>Banking Crisis: Reforming Corporate Governance and Pay in the City, HC 519</w:t>
      </w:r>
      <w:r w:rsidRPr="000768D4">
        <w:rPr>
          <w:rFonts w:ascii="Times New Roman" w:eastAsia="Calibri" w:hAnsi="Times New Roman"/>
          <w:iCs/>
          <w:sz w:val="20"/>
          <w:szCs w:val="20"/>
        </w:rPr>
        <w:t xml:space="preserve"> (House of Commons Treasury Committee: </w:t>
      </w:r>
      <w:r w:rsidRPr="000768D4">
        <w:rPr>
          <w:rFonts w:ascii="Times New Roman" w:eastAsia="Calibri" w:hAnsi="Times New Roman"/>
          <w:sz w:val="20"/>
          <w:szCs w:val="20"/>
        </w:rPr>
        <w:t>Lo</w:t>
      </w:r>
      <w:r w:rsidR="003A0CF6">
        <w:rPr>
          <w:rFonts w:ascii="Times New Roman" w:eastAsia="Calibri" w:hAnsi="Times New Roman"/>
          <w:sz w:val="20"/>
          <w:szCs w:val="20"/>
        </w:rPr>
        <w:t>ndon, 2009) at 22.</w:t>
      </w:r>
    </w:p>
  </w:footnote>
  <w:footnote w:id="110">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i/>
          <w:sz w:val="20"/>
          <w:szCs w:val="20"/>
        </w:rPr>
        <w:t>Ibid</w:t>
      </w:r>
      <w:r w:rsidRPr="000768D4">
        <w:rPr>
          <w:rFonts w:ascii="Times New Roman" w:hAnsi="Times New Roman"/>
          <w:sz w:val="20"/>
          <w:szCs w:val="20"/>
        </w:rPr>
        <w:t>.</w:t>
      </w:r>
    </w:p>
  </w:footnote>
  <w:footnote w:id="111">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Huisman, QW. ‘Corporate crime and crisis: causation scenarios’ in </w:t>
      </w:r>
      <w:proofErr w:type="spellStart"/>
      <w:r w:rsidRPr="000768D4">
        <w:rPr>
          <w:rFonts w:ascii="Times New Roman" w:hAnsi="Times New Roman"/>
          <w:sz w:val="20"/>
          <w:szCs w:val="20"/>
        </w:rPr>
        <w:t>Deflem</w:t>
      </w:r>
      <w:proofErr w:type="spellEnd"/>
      <w:r w:rsidRPr="000768D4">
        <w:rPr>
          <w:rFonts w:ascii="Times New Roman" w:hAnsi="Times New Roman"/>
          <w:sz w:val="20"/>
          <w:szCs w:val="20"/>
        </w:rPr>
        <w:t>, M. (</w:t>
      </w:r>
      <w:proofErr w:type="spellStart"/>
      <w:proofErr w:type="gramStart"/>
      <w:r w:rsidRPr="000768D4">
        <w:rPr>
          <w:rFonts w:ascii="Times New Roman" w:hAnsi="Times New Roman"/>
          <w:sz w:val="20"/>
          <w:szCs w:val="20"/>
        </w:rPr>
        <w:t>eds</w:t>
      </w:r>
      <w:proofErr w:type="spellEnd"/>
      <w:proofErr w:type="gramEnd"/>
      <w:r w:rsidRPr="000768D4">
        <w:rPr>
          <w:rFonts w:ascii="Times New Roman" w:hAnsi="Times New Roman"/>
          <w:sz w:val="20"/>
          <w:szCs w:val="20"/>
        </w:rPr>
        <w:t xml:space="preserve">), </w:t>
      </w:r>
      <w:r w:rsidRPr="000768D4">
        <w:rPr>
          <w:rFonts w:ascii="Times New Roman" w:hAnsi="Times New Roman"/>
          <w:i/>
          <w:sz w:val="20"/>
          <w:szCs w:val="20"/>
        </w:rPr>
        <w:t>Economic Crisis and Crime</w:t>
      </w:r>
      <w:r w:rsidRPr="000768D4">
        <w:rPr>
          <w:rFonts w:ascii="Times New Roman" w:hAnsi="Times New Roman"/>
          <w:sz w:val="20"/>
          <w:szCs w:val="20"/>
        </w:rPr>
        <w:t xml:space="preserve"> (Emerald: Bingley, 2011) at 119.</w:t>
      </w:r>
    </w:p>
  </w:footnote>
  <w:footnote w:id="112">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hAnsi="Times New Roman"/>
          <w:sz w:val="20"/>
          <w:szCs w:val="20"/>
        </w:rPr>
        <w:t xml:space="preserve">Tomasic and </w:t>
      </w:r>
      <w:proofErr w:type="spellStart"/>
      <w:r w:rsidRPr="000768D4">
        <w:rPr>
          <w:rFonts w:ascii="Times New Roman" w:hAnsi="Times New Roman"/>
          <w:sz w:val="20"/>
          <w:szCs w:val="20"/>
        </w:rPr>
        <w:t>Akinbami</w:t>
      </w:r>
      <w:proofErr w:type="spellEnd"/>
      <w:r w:rsidRPr="000768D4">
        <w:rPr>
          <w:rFonts w:ascii="Times New Roman" w:hAnsi="Times New Roman"/>
          <w:sz w:val="20"/>
          <w:szCs w:val="20"/>
        </w:rPr>
        <w:t xml:space="preserve"> above, n </w:t>
      </w:r>
      <w:r w:rsidR="003A0CF6">
        <w:rPr>
          <w:rFonts w:ascii="Times New Roman" w:hAnsi="Times New Roman"/>
          <w:sz w:val="20"/>
          <w:szCs w:val="20"/>
        </w:rPr>
        <w:t>102</w:t>
      </w:r>
      <w:r w:rsidRPr="000768D4">
        <w:rPr>
          <w:rFonts w:ascii="Times New Roman" w:hAnsi="Times New Roman"/>
          <w:sz w:val="20"/>
          <w:szCs w:val="20"/>
        </w:rPr>
        <w:t xml:space="preserve"> at 243.</w:t>
      </w:r>
      <w:proofErr w:type="gramEnd"/>
    </w:p>
  </w:footnote>
  <w:footnote w:id="113">
    <w:p w:rsidR="00BD0366" w:rsidRPr="000768D4" w:rsidRDefault="00BD0366" w:rsidP="000768D4">
      <w:pPr>
        <w:pStyle w:val="Heading1"/>
        <w:shd w:val="clear" w:color="auto" w:fill="FFFFFF"/>
        <w:spacing w:before="0" w:after="0"/>
        <w:jc w:val="both"/>
        <w:rPr>
          <w:rFonts w:ascii="Times New Roman" w:hAnsi="Times New Roman"/>
          <w:b w:val="0"/>
          <w:color w:val="000000"/>
          <w:spacing w:val="-15"/>
          <w:kern w:val="36"/>
          <w:sz w:val="20"/>
          <w:szCs w:val="20"/>
          <w:lang w:val="en" w:eastAsia="en-GB"/>
        </w:rPr>
      </w:pPr>
      <w:r w:rsidRPr="000768D4">
        <w:rPr>
          <w:rStyle w:val="FootnoteReference"/>
          <w:rFonts w:ascii="Times New Roman" w:hAnsi="Times New Roman"/>
          <w:b w:val="0"/>
          <w:sz w:val="20"/>
          <w:szCs w:val="20"/>
        </w:rPr>
        <w:footnoteRef/>
      </w:r>
      <w:r w:rsidRPr="000768D4">
        <w:rPr>
          <w:rFonts w:ascii="Times New Roman" w:hAnsi="Times New Roman"/>
          <w:b w:val="0"/>
          <w:sz w:val="20"/>
          <w:szCs w:val="20"/>
        </w:rPr>
        <w:t xml:space="preserve"> </w:t>
      </w:r>
      <w:r w:rsidRPr="000768D4">
        <w:rPr>
          <w:rFonts w:ascii="Times New Roman" w:hAnsi="Times New Roman"/>
          <w:b w:val="0"/>
          <w:sz w:val="20"/>
          <w:szCs w:val="20"/>
          <w:lang w:val="en-GB"/>
        </w:rPr>
        <w:t>See for example</w:t>
      </w:r>
      <w:r w:rsidRPr="000768D4">
        <w:rPr>
          <w:rFonts w:ascii="Times New Roman" w:hAnsi="Times New Roman"/>
          <w:b w:val="0"/>
          <w:sz w:val="20"/>
          <w:szCs w:val="20"/>
        </w:rPr>
        <w:t xml:space="preserve"> BBC News ‘</w:t>
      </w:r>
      <w:r w:rsidRPr="000768D4">
        <w:rPr>
          <w:rFonts w:ascii="Times New Roman" w:hAnsi="Times New Roman"/>
          <w:b w:val="0"/>
          <w:kern w:val="36"/>
          <w:sz w:val="20"/>
          <w:szCs w:val="20"/>
        </w:rPr>
        <w:t>RB</w:t>
      </w:r>
      <w:r w:rsidRPr="000768D4">
        <w:rPr>
          <w:rFonts w:ascii="Times New Roman" w:hAnsi="Times New Roman"/>
          <w:b w:val="0"/>
          <w:bCs w:val="0"/>
          <w:kern w:val="36"/>
          <w:sz w:val="20"/>
          <w:szCs w:val="20"/>
        </w:rPr>
        <w:t xml:space="preserve">S reports record corporate loss’, February 26 2009, available from </w:t>
      </w:r>
      <w:hyperlink r:id="rId24" w:history="1">
        <w:r w:rsidRPr="000768D4">
          <w:rPr>
            <w:rStyle w:val="Hyperlink"/>
            <w:rFonts w:ascii="Times New Roman" w:hAnsi="Times New Roman"/>
            <w:b w:val="0"/>
            <w:kern w:val="36"/>
            <w:sz w:val="20"/>
            <w:szCs w:val="20"/>
          </w:rPr>
          <w:t>http://news.bbc.co.uk/1/hi/business/7911722.stm</w:t>
        </w:r>
      </w:hyperlink>
      <w:r w:rsidRPr="000768D4">
        <w:rPr>
          <w:rFonts w:ascii="Times New Roman" w:hAnsi="Times New Roman"/>
          <w:b w:val="0"/>
          <w:bCs w:val="0"/>
          <w:kern w:val="36"/>
          <w:sz w:val="20"/>
          <w:szCs w:val="20"/>
        </w:rPr>
        <w:t xml:space="preserve">, accessed July 2 2013, </w:t>
      </w:r>
      <w:proofErr w:type="spellStart"/>
      <w:r w:rsidRPr="000768D4">
        <w:rPr>
          <w:rFonts w:ascii="Times New Roman" w:hAnsi="Times New Roman"/>
          <w:b w:val="0"/>
          <w:bCs w:val="0"/>
          <w:kern w:val="36"/>
          <w:sz w:val="20"/>
          <w:szCs w:val="20"/>
        </w:rPr>
        <w:t>Treanor</w:t>
      </w:r>
      <w:proofErr w:type="spellEnd"/>
      <w:r w:rsidRPr="000768D4">
        <w:rPr>
          <w:rFonts w:ascii="Times New Roman" w:hAnsi="Times New Roman"/>
          <w:b w:val="0"/>
          <w:bCs w:val="0"/>
          <w:kern w:val="36"/>
          <w:sz w:val="20"/>
          <w:szCs w:val="20"/>
        </w:rPr>
        <w:t>, J. ‘</w:t>
      </w:r>
      <w:r w:rsidRPr="000768D4">
        <w:rPr>
          <w:rFonts w:ascii="Times New Roman" w:hAnsi="Times New Roman"/>
          <w:b w:val="0"/>
          <w:sz w:val="20"/>
          <w:szCs w:val="20"/>
          <w:lang w:val="en"/>
        </w:rPr>
        <w:t xml:space="preserve">RBS record losses raise prospect of 95% state ownership’, February 26 2009, available from </w:t>
      </w:r>
      <w:hyperlink r:id="rId25" w:history="1">
        <w:r w:rsidRPr="000768D4">
          <w:rPr>
            <w:rStyle w:val="Hyperlink"/>
            <w:rFonts w:ascii="Times New Roman" w:hAnsi="Times New Roman"/>
            <w:b w:val="0"/>
            <w:sz w:val="20"/>
            <w:szCs w:val="20"/>
            <w:lang w:val="en"/>
          </w:rPr>
          <w:t>http://www.guardian.co.uk/business/2009/feb/26/rbs-record-loss</w:t>
        </w:r>
      </w:hyperlink>
      <w:r w:rsidRPr="000768D4">
        <w:rPr>
          <w:rFonts w:ascii="Times New Roman" w:hAnsi="Times New Roman"/>
          <w:b w:val="0"/>
          <w:sz w:val="20"/>
          <w:szCs w:val="20"/>
          <w:lang w:val="en"/>
        </w:rPr>
        <w:t>, accessed July 2 2013 and CNN ‘</w:t>
      </w:r>
      <w:r w:rsidRPr="000768D4">
        <w:rPr>
          <w:rFonts w:ascii="Times New Roman" w:hAnsi="Times New Roman"/>
          <w:b w:val="0"/>
          <w:color w:val="000000"/>
          <w:spacing w:val="-15"/>
          <w:kern w:val="36"/>
          <w:sz w:val="20"/>
          <w:szCs w:val="20"/>
          <w:lang w:val="en" w:eastAsia="en-GB"/>
        </w:rPr>
        <w:t xml:space="preserve">RBS posts record $34 billion loss’, February 27 2009, available from </w:t>
      </w:r>
      <w:hyperlink r:id="rId26" w:history="1">
        <w:r w:rsidRPr="000768D4">
          <w:rPr>
            <w:rStyle w:val="Hyperlink"/>
            <w:rFonts w:ascii="Times New Roman" w:hAnsi="Times New Roman"/>
            <w:b w:val="0"/>
            <w:spacing w:val="-15"/>
            <w:kern w:val="36"/>
            <w:sz w:val="20"/>
            <w:szCs w:val="20"/>
            <w:lang w:val="en" w:eastAsia="en-GB"/>
          </w:rPr>
          <w:t>http://edition.cnn.com/2009/BUSINESS/02/26/uk.rbs.recordloss/</w:t>
        </w:r>
      </w:hyperlink>
      <w:r w:rsidRPr="000768D4">
        <w:rPr>
          <w:rFonts w:ascii="Times New Roman" w:hAnsi="Times New Roman"/>
          <w:b w:val="0"/>
          <w:color w:val="000000"/>
          <w:spacing w:val="-15"/>
          <w:kern w:val="36"/>
          <w:sz w:val="20"/>
          <w:szCs w:val="20"/>
          <w:lang w:val="en" w:eastAsia="en-GB"/>
        </w:rPr>
        <w:t>, accessed July 2 2013.</w:t>
      </w:r>
    </w:p>
  </w:footnote>
  <w:footnote w:id="114">
    <w:p w:rsidR="00BD0366" w:rsidRPr="000768D4" w:rsidRDefault="00BD0366" w:rsidP="000768D4">
      <w:pPr>
        <w:pStyle w:val="FootnoteText"/>
        <w:jc w:val="both"/>
        <w:rPr>
          <w:rFonts w:ascii="Times New Roman" w:eastAsia="Calibri" w:hAnsi="Times New Roman"/>
          <w:bCs/>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For an explanation of the reasons for not pursuing action against Fred Goodwin see </w:t>
      </w:r>
      <w:r w:rsidRPr="000768D4">
        <w:rPr>
          <w:rFonts w:ascii="Times New Roman" w:hAnsi="Times New Roman"/>
          <w:sz w:val="20"/>
          <w:szCs w:val="20"/>
          <w:lang w:val="en-GB"/>
        </w:rPr>
        <w:t xml:space="preserve">Financial Services Authority </w:t>
      </w:r>
      <w:r w:rsidRPr="000768D4">
        <w:rPr>
          <w:rFonts w:ascii="Times New Roman" w:eastAsia="Calibri" w:hAnsi="Times New Roman"/>
          <w:bCs/>
          <w:i/>
          <w:sz w:val="20"/>
          <w:szCs w:val="20"/>
        </w:rPr>
        <w:t xml:space="preserve">The failure of the Royal Bank of Scotland – </w:t>
      </w:r>
      <w:r w:rsidRPr="000768D4">
        <w:rPr>
          <w:rFonts w:ascii="Times New Roman" w:eastAsia="Calibri" w:hAnsi="Times New Roman"/>
          <w:i/>
          <w:sz w:val="20"/>
          <w:szCs w:val="20"/>
        </w:rPr>
        <w:t>FSA Board Report</w:t>
      </w:r>
      <w:r w:rsidRPr="000768D4">
        <w:rPr>
          <w:rFonts w:ascii="Times New Roman" w:eastAsia="Calibri" w:hAnsi="Times New Roman"/>
          <w:sz w:val="20"/>
          <w:szCs w:val="20"/>
        </w:rPr>
        <w:t xml:space="preserve"> (Financial Services Authority: London, 2009) at 405-406.</w:t>
      </w:r>
    </w:p>
  </w:footnote>
  <w:footnote w:id="115">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eastAsia="Calibri" w:hAnsi="Times New Roman"/>
          <w:sz w:val="20"/>
          <w:szCs w:val="20"/>
        </w:rPr>
        <w:t xml:space="preserve">House of Commons Treasury Committee above, n </w:t>
      </w:r>
      <w:r w:rsidR="003A0CF6">
        <w:rPr>
          <w:rFonts w:ascii="Times New Roman" w:eastAsia="Calibri" w:hAnsi="Times New Roman"/>
          <w:sz w:val="20"/>
          <w:szCs w:val="20"/>
        </w:rPr>
        <w:t>109</w:t>
      </w:r>
      <w:r w:rsidRPr="000768D4">
        <w:rPr>
          <w:rFonts w:ascii="Times New Roman" w:eastAsia="Calibri" w:hAnsi="Times New Roman"/>
          <w:sz w:val="20"/>
          <w:szCs w:val="20"/>
        </w:rPr>
        <w:t xml:space="preserve"> at 58</w:t>
      </w:r>
      <w:r w:rsidRPr="000768D4">
        <w:rPr>
          <w:rFonts w:ascii="Times New Roman" w:eastAsia="Calibri" w:hAnsi="Times New Roman"/>
          <w:bCs/>
          <w:sz w:val="20"/>
          <w:szCs w:val="20"/>
        </w:rPr>
        <w:t>.</w:t>
      </w:r>
      <w:proofErr w:type="gramEnd"/>
    </w:p>
  </w:footnote>
  <w:footnote w:id="116">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Authority ‘Delivering credible deterrence’, speech </w:t>
      </w:r>
      <w:r w:rsidRPr="000768D4">
        <w:rPr>
          <w:rFonts w:ascii="Times New Roman" w:hAnsi="Times New Roman"/>
          <w:sz w:val="20"/>
          <w:szCs w:val="20"/>
          <w:lang w:val="en"/>
        </w:rPr>
        <w:t xml:space="preserve">by Margaret Cole, Director of Enforcement, FSA, Annual Financial Crime Conference, 27 April 2009, available from </w:t>
      </w:r>
      <w:hyperlink r:id="rId27" w:history="1">
        <w:r w:rsidRPr="000768D4">
          <w:rPr>
            <w:rStyle w:val="Hyperlink"/>
            <w:rFonts w:ascii="Times New Roman" w:hAnsi="Times New Roman"/>
            <w:sz w:val="20"/>
            <w:szCs w:val="20"/>
            <w:lang w:val="en"/>
          </w:rPr>
          <w:t>http://www.fsa.gov.uk/library/communication/speeches/2009/0427_mc.shtml</w:t>
        </w:r>
      </w:hyperlink>
      <w:r w:rsidRPr="000768D4">
        <w:rPr>
          <w:rFonts w:ascii="Times New Roman" w:hAnsi="Times New Roman"/>
          <w:sz w:val="20"/>
          <w:szCs w:val="20"/>
          <w:lang w:val="en"/>
        </w:rPr>
        <w:t>, accessed 8 March 2013.</w:t>
      </w:r>
    </w:p>
  </w:footnote>
  <w:footnote w:id="117">
    <w:p w:rsidR="00BD0366" w:rsidRPr="000768D4" w:rsidRDefault="00BD0366" w:rsidP="000768D4">
      <w:pPr>
        <w:pStyle w:val="Heading2"/>
        <w:shd w:val="clear" w:color="auto" w:fill="FFFFFF"/>
        <w:spacing w:before="0" w:after="0"/>
        <w:jc w:val="both"/>
        <w:rPr>
          <w:rFonts w:ascii="Times New Roman" w:hAnsi="Times New Roman"/>
          <w:b w:val="0"/>
          <w:i w:val="0"/>
          <w:iCs w:val="0"/>
          <w:sz w:val="20"/>
          <w:szCs w:val="20"/>
        </w:rPr>
      </w:pPr>
      <w:r w:rsidRPr="000768D4">
        <w:rPr>
          <w:rStyle w:val="FootnoteReference"/>
          <w:rFonts w:ascii="Times New Roman" w:hAnsi="Times New Roman"/>
          <w:b w:val="0"/>
          <w:i w:val="0"/>
          <w:sz w:val="20"/>
          <w:szCs w:val="20"/>
        </w:rPr>
        <w:footnoteRef/>
      </w:r>
      <w:r w:rsidRPr="000768D4">
        <w:rPr>
          <w:rFonts w:ascii="Times New Roman" w:hAnsi="Times New Roman"/>
          <w:b w:val="0"/>
          <w:i w:val="0"/>
          <w:sz w:val="20"/>
          <w:szCs w:val="20"/>
        </w:rPr>
        <w:t xml:space="preserve"> Peat, R. and Mason, I. ‘</w:t>
      </w:r>
      <w:proofErr w:type="gramStart"/>
      <w:r w:rsidRPr="000768D4">
        <w:rPr>
          <w:rFonts w:ascii="Times New Roman" w:hAnsi="Times New Roman"/>
          <w:b w:val="0"/>
          <w:i w:val="0"/>
          <w:iCs w:val="0"/>
          <w:sz w:val="20"/>
          <w:szCs w:val="20"/>
        </w:rPr>
        <w:t>Credible</w:t>
      </w:r>
      <w:proofErr w:type="gramEnd"/>
      <w:r w:rsidRPr="000768D4">
        <w:rPr>
          <w:rFonts w:ascii="Times New Roman" w:hAnsi="Times New Roman"/>
          <w:b w:val="0"/>
          <w:i w:val="0"/>
          <w:iCs w:val="0"/>
          <w:sz w:val="20"/>
          <w:szCs w:val="20"/>
        </w:rPr>
        <w:t xml:space="preserve"> deterrence in action: the FSA brings a series of cases against traders’ (2009) Company Lawyer, 30(9), 278-279 at 278.</w:t>
      </w:r>
    </w:p>
  </w:footnote>
  <w:footnote w:id="118">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eastAsia="Calibri" w:hAnsi="Times New Roman"/>
          <w:sz w:val="20"/>
          <w:szCs w:val="20"/>
        </w:rPr>
        <w:t xml:space="preserve">Srivastava </w:t>
      </w:r>
      <w:r w:rsidRPr="000768D4">
        <w:rPr>
          <w:rFonts w:ascii="Times New Roman" w:eastAsia="Calibri" w:hAnsi="Times New Roman"/>
          <w:i/>
          <w:sz w:val="20"/>
          <w:szCs w:val="20"/>
        </w:rPr>
        <w:t>et al</w:t>
      </w:r>
      <w:r w:rsidRPr="000768D4">
        <w:rPr>
          <w:rFonts w:ascii="Times New Roman" w:eastAsia="Calibri" w:hAnsi="Times New Roman"/>
          <w:sz w:val="20"/>
          <w:szCs w:val="20"/>
        </w:rPr>
        <w:t xml:space="preserve"> above, n </w:t>
      </w:r>
      <w:r w:rsidR="00437369">
        <w:rPr>
          <w:rFonts w:ascii="Times New Roman" w:eastAsia="Calibri" w:hAnsi="Times New Roman"/>
          <w:sz w:val="20"/>
          <w:szCs w:val="20"/>
        </w:rPr>
        <w:t>62</w:t>
      </w:r>
      <w:r w:rsidRPr="000768D4">
        <w:rPr>
          <w:rFonts w:ascii="Times New Roman" w:eastAsia="Calibri" w:hAnsi="Times New Roman"/>
          <w:sz w:val="20"/>
          <w:szCs w:val="20"/>
        </w:rPr>
        <w:t xml:space="preserve"> at 8.</w:t>
      </w:r>
    </w:p>
  </w:footnote>
  <w:footnote w:id="119">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Teasdale, S. ‘</w:t>
      </w:r>
      <w:r w:rsidRPr="000768D4">
        <w:rPr>
          <w:rFonts w:ascii="Times New Roman" w:eastAsia="Calibri" w:hAnsi="Times New Roman"/>
          <w:bCs/>
          <w:sz w:val="20"/>
          <w:szCs w:val="20"/>
        </w:rPr>
        <w:t xml:space="preserve">FSA to FCA: recent trends in UK financial conduct regulation’ (2011) Journal of International Banking Law and Regulation, </w:t>
      </w:r>
      <w:r w:rsidRPr="000768D4">
        <w:rPr>
          <w:rFonts w:ascii="Times New Roman" w:eastAsia="Calibri" w:hAnsi="Times New Roman"/>
          <w:sz w:val="20"/>
          <w:szCs w:val="20"/>
        </w:rPr>
        <w:t>26(12), 583-586, at 585.</w:t>
      </w:r>
    </w:p>
  </w:footnote>
  <w:footnote w:id="120">
    <w:p w:rsidR="00BD0366" w:rsidRPr="000768D4" w:rsidRDefault="00BD0366" w:rsidP="000768D4">
      <w:pPr>
        <w:spacing w:after="0" w:line="240" w:lineRule="auto"/>
        <w:jc w:val="both"/>
        <w:rPr>
          <w:rFonts w:ascii="Times New Roman" w:hAnsi="Times New Roman" w:cs="Times New Roman"/>
          <w:sz w:val="20"/>
          <w:szCs w:val="20"/>
        </w:rPr>
      </w:pPr>
      <w:r w:rsidRPr="000768D4">
        <w:rPr>
          <w:rStyle w:val="FootnoteReference"/>
          <w:rFonts w:ascii="Times New Roman" w:hAnsi="Times New Roman" w:cs="Times New Roman"/>
          <w:sz w:val="20"/>
          <w:szCs w:val="20"/>
        </w:rPr>
        <w:footnoteRef/>
      </w:r>
      <w:r w:rsidRPr="000768D4">
        <w:rPr>
          <w:rFonts w:ascii="Times New Roman" w:hAnsi="Times New Roman" w:cs="Times New Roman"/>
          <w:sz w:val="20"/>
          <w:szCs w:val="20"/>
        </w:rPr>
        <w:t xml:space="preserve"> Lewis, A., Pretorius, R. and </w:t>
      </w:r>
      <w:proofErr w:type="spellStart"/>
      <w:r w:rsidRPr="000768D4">
        <w:rPr>
          <w:rFonts w:ascii="Times New Roman" w:hAnsi="Times New Roman" w:cs="Times New Roman"/>
          <w:sz w:val="20"/>
          <w:szCs w:val="20"/>
        </w:rPr>
        <w:t>Radmore</w:t>
      </w:r>
      <w:proofErr w:type="spellEnd"/>
      <w:r w:rsidRPr="000768D4">
        <w:rPr>
          <w:rFonts w:ascii="Times New Roman" w:hAnsi="Times New Roman" w:cs="Times New Roman"/>
          <w:sz w:val="20"/>
          <w:szCs w:val="20"/>
        </w:rPr>
        <w:t>, E. ‘</w:t>
      </w:r>
      <w:r w:rsidRPr="000768D4">
        <w:rPr>
          <w:rFonts w:ascii="Times New Roman" w:hAnsi="Times New Roman" w:cs="Times New Roman"/>
          <w:bCs/>
          <w:sz w:val="20"/>
          <w:szCs w:val="20"/>
        </w:rPr>
        <w:t xml:space="preserve">Outsourcing in the financial services sector’ (2013) Compliance Officer Bulletin, </w:t>
      </w:r>
      <w:r w:rsidRPr="000768D4">
        <w:rPr>
          <w:rFonts w:ascii="Times New Roman" w:hAnsi="Times New Roman" w:cs="Times New Roman"/>
          <w:sz w:val="20"/>
          <w:szCs w:val="20"/>
        </w:rPr>
        <w:t>106(May), 1-34, at 3.</w:t>
      </w:r>
    </w:p>
  </w:footnote>
  <w:footnote w:id="121">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 xml:space="preserve">For a  more detailed commentary on the approach adopted by the Financial Services Authority towards imposing financial sanctions see Financial Services Authority </w:t>
      </w:r>
      <w:r w:rsidRPr="000768D4">
        <w:rPr>
          <w:rFonts w:ascii="Times New Roman" w:eastAsia="Calibri" w:hAnsi="Times New Roman"/>
          <w:bCs/>
          <w:i/>
          <w:iCs/>
          <w:sz w:val="20"/>
          <w:szCs w:val="20"/>
        </w:rPr>
        <w:t>Financial services firms’ approach to UK financial sanctions</w:t>
      </w:r>
      <w:r w:rsidRPr="000768D4">
        <w:rPr>
          <w:rFonts w:ascii="Times New Roman" w:eastAsia="Calibri" w:hAnsi="Times New Roman"/>
          <w:bCs/>
          <w:iCs/>
          <w:sz w:val="20"/>
          <w:szCs w:val="20"/>
        </w:rPr>
        <w:t xml:space="preserve"> (Financial Services Authority: London, 2009).</w:t>
      </w:r>
    </w:p>
  </w:footnote>
  <w:footnote w:id="122">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eastAsia="Calibri" w:hAnsi="Times New Roman"/>
          <w:sz w:val="20"/>
          <w:szCs w:val="20"/>
        </w:rPr>
        <w:t xml:space="preserve">Srivastava </w:t>
      </w:r>
      <w:r w:rsidRPr="000768D4">
        <w:rPr>
          <w:rFonts w:ascii="Times New Roman" w:eastAsia="Calibri" w:hAnsi="Times New Roman"/>
          <w:i/>
          <w:sz w:val="20"/>
          <w:szCs w:val="20"/>
        </w:rPr>
        <w:t>et al</w:t>
      </w:r>
      <w:r w:rsidRPr="000768D4">
        <w:rPr>
          <w:rFonts w:ascii="Times New Roman" w:eastAsia="Calibri" w:hAnsi="Times New Roman"/>
          <w:sz w:val="20"/>
          <w:szCs w:val="20"/>
        </w:rPr>
        <w:t xml:space="preserve"> above, n </w:t>
      </w:r>
      <w:r w:rsidR="00437369">
        <w:rPr>
          <w:rFonts w:ascii="Times New Roman" w:eastAsia="Calibri" w:hAnsi="Times New Roman"/>
          <w:sz w:val="20"/>
          <w:szCs w:val="20"/>
        </w:rPr>
        <w:t>62</w:t>
      </w:r>
      <w:r w:rsidRPr="000768D4">
        <w:rPr>
          <w:rFonts w:ascii="Times New Roman" w:eastAsia="Calibri" w:hAnsi="Times New Roman"/>
          <w:sz w:val="20"/>
          <w:szCs w:val="20"/>
        </w:rPr>
        <w:t xml:space="preserve"> at 7.</w:t>
      </w:r>
    </w:p>
  </w:footnote>
  <w:footnote w:id="123">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Authority ‘FSA Fines Table 2007’, n/d, available from </w:t>
      </w:r>
      <w:hyperlink r:id="rId28" w:history="1">
        <w:r w:rsidRPr="000768D4">
          <w:rPr>
            <w:rStyle w:val="Hyperlink"/>
            <w:rFonts w:ascii="Times New Roman" w:hAnsi="Times New Roman"/>
            <w:sz w:val="20"/>
            <w:szCs w:val="20"/>
          </w:rPr>
          <w:t>http://www.fsa.gov.uk/about/press/facts/fines/2007</w:t>
        </w:r>
      </w:hyperlink>
      <w:r w:rsidRPr="000768D4">
        <w:rPr>
          <w:rFonts w:ascii="Times New Roman" w:hAnsi="Times New Roman"/>
          <w:sz w:val="20"/>
          <w:szCs w:val="20"/>
        </w:rPr>
        <w:t>, accessed 8</w:t>
      </w:r>
      <w:r w:rsidRPr="000768D4">
        <w:rPr>
          <w:rFonts w:ascii="Times New Roman" w:hAnsi="Times New Roman"/>
          <w:sz w:val="20"/>
          <w:szCs w:val="20"/>
          <w:vertAlign w:val="superscript"/>
        </w:rPr>
        <w:t xml:space="preserve"> </w:t>
      </w:r>
      <w:r w:rsidRPr="000768D4">
        <w:rPr>
          <w:rFonts w:ascii="Times New Roman" w:hAnsi="Times New Roman"/>
          <w:sz w:val="20"/>
          <w:szCs w:val="20"/>
        </w:rPr>
        <w:t>March 2013.</w:t>
      </w:r>
    </w:p>
  </w:footnote>
  <w:footnote w:id="124">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Authority ‘FSA Fines Table 2008’, n/d, available from </w:t>
      </w:r>
      <w:hyperlink r:id="rId29" w:history="1">
        <w:r w:rsidRPr="000768D4">
          <w:rPr>
            <w:rStyle w:val="Hyperlink"/>
            <w:rFonts w:ascii="Times New Roman" w:hAnsi="Times New Roman"/>
            <w:sz w:val="20"/>
            <w:szCs w:val="20"/>
          </w:rPr>
          <w:t>http://www.fsa.gov.uk/about/press/facts/fines/2008</w:t>
        </w:r>
      </w:hyperlink>
      <w:r w:rsidRPr="000768D4">
        <w:rPr>
          <w:rFonts w:ascii="Times New Roman" w:hAnsi="Times New Roman"/>
          <w:sz w:val="20"/>
          <w:szCs w:val="20"/>
        </w:rPr>
        <w:t>, accessed 8</w:t>
      </w:r>
      <w:r w:rsidRPr="000768D4">
        <w:rPr>
          <w:rFonts w:ascii="Times New Roman" w:hAnsi="Times New Roman"/>
          <w:sz w:val="20"/>
          <w:szCs w:val="20"/>
          <w:vertAlign w:val="superscript"/>
        </w:rPr>
        <w:t xml:space="preserve"> </w:t>
      </w:r>
      <w:r w:rsidRPr="000768D4">
        <w:rPr>
          <w:rFonts w:ascii="Times New Roman" w:hAnsi="Times New Roman"/>
          <w:sz w:val="20"/>
          <w:szCs w:val="20"/>
        </w:rPr>
        <w:t>March 2013.</w:t>
      </w:r>
    </w:p>
  </w:footnote>
  <w:footnote w:id="125">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Authority ‘FSA Fines Table 2009’, n/d, available from </w:t>
      </w:r>
      <w:hyperlink r:id="rId30" w:history="1">
        <w:r w:rsidRPr="000768D4">
          <w:rPr>
            <w:rStyle w:val="Hyperlink"/>
            <w:rFonts w:ascii="Times New Roman" w:hAnsi="Times New Roman"/>
            <w:sz w:val="20"/>
            <w:szCs w:val="20"/>
          </w:rPr>
          <w:t>http://www.fsa.gov.uk/about/press/facts/fines/2009</w:t>
        </w:r>
      </w:hyperlink>
      <w:r w:rsidRPr="000768D4">
        <w:rPr>
          <w:rFonts w:ascii="Times New Roman" w:hAnsi="Times New Roman"/>
          <w:sz w:val="20"/>
          <w:szCs w:val="20"/>
        </w:rPr>
        <w:t>, accessed 8</w:t>
      </w:r>
      <w:r w:rsidRPr="000768D4">
        <w:rPr>
          <w:rFonts w:ascii="Times New Roman" w:hAnsi="Times New Roman"/>
          <w:sz w:val="20"/>
          <w:szCs w:val="20"/>
          <w:vertAlign w:val="superscript"/>
        </w:rPr>
        <w:t xml:space="preserve"> </w:t>
      </w:r>
      <w:r w:rsidRPr="000768D4">
        <w:rPr>
          <w:rFonts w:ascii="Times New Roman" w:hAnsi="Times New Roman"/>
          <w:sz w:val="20"/>
          <w:szCs w:val="20"/>
        </w:rPr>
        <w:t>March 2013.</w:t>
      </w:r>
    </w:p>
  </w:footnote>
  <w:footnote w:id="126">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Authority ‘FSA Fines Table 2010’, n/d, available from </w:t>
      </w:r>
      <w:hyperlink r:id="rId31" w:history="1">
        <w:r w:rsidRPr="000768D4">
          <w:rPr>
            <w:rStyle w:val="Hyperlink"/>
            <w:rFonts w:ascii="Times New Roman" w:hAnsi="Times New Roman"/>
            <w:sz w:val="20"/>
            <w:szCs w:val="20"/>
          </w:rPr>
          <w:t>http://www.fsa.gov.uk/about/press/facts/fines/2010</w:t>
        </w:r>
      </w:hyperlink>
      <w:r w:rsidRPr="000768D4">
        <w:rPr>
          <w:rFonts w:ascii="Times New Roman" w:hAnsi="Times New Roman"/>
          <w:sz w:val="20"/>
          <w:szCs w:val="20"/>
        </w:rPr>
        <w:t>, accessed 8</w:t>
      </w:r>
      <w:r w:rsidRPr="000768D4">
        <w:rPr>
          <w:rFonts w:ascii="Times New Roman" w:hAnsi="Times New Roman"/>
          <w:sz w:val="20"/>
          <w:szCs w:val="20"/>
          <w:vertAlign w:val="superscript"/>
        </w:rPr>
        <w:t xml:space="preserve"> </w:t>
      </w:r>
      <w:r w:rsidRPr="000768D4">
        <w:rPr>
          <w:rFonts w:ascii="Times New Roman" w:hAnsi="Times New Roman"/>
          <w:sz w:val="20"/>
          <w:szCs w:val="20"/>
        </w:rPr>
        <w:t xml:space="preserve">March 2013. </w:t>
      </w:r>
    </w:p>
  </w:footnote>
  <w:footnote w:id="127">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Authority ‘FSA Fines Table 2011’, n/d, available from </w:t>
      </w:r>
      <w:hyperlink r:id="rId32" w:history="1">
        <w:r w:rsidRPr="000768D4">
          <w:rPr>
            <w:rStyle w:val="Hyperlink"/>
            <w:rFonts w:ascii="Times New Roman" w:hAnsi="Times New Roman"/>
            <w:sz w:val="20"/>
            <w:szCs w:val="20"/>
          </w:rPr>
          <w:t>http://www.fsa.gov.uk/about/press/facts/fines/2011</w:t>
        </w:r>
      </w:hyperlink>
      <w:r w:rsidRPr="000768D4">
        <w:rPr>
          <w:rFonts w:ascii="Times New Roman" w:hAnsi="Times New Roman"/>
          <w:sz w:val="20"/>
          <w:szCs w:val="20"/>
        </w:rPr>
        <w:t>, accessed 8</w:t>
      </w:r>
      <w:r w:rsidRPr="000768D4">
        <w:rPr>
          <w:rFonts w:ascii="Times New Roman" w:hAnsi="Times New Roman"/>
          <w:sz w:val="20"/>
          <w:szCs w:val="20"/>
          <w:vertAlign w:val="superscript"/>
        </w:rPr>
        <w:t xml:space="preserve"> </w:t>
      </w:r>
      <w:r w:rsidRPr="000768D4">
        <w:rPr>
          <w:rFonts w:ascii="Times New Roman" w:hAnsi="Times New Roman"/>
          <w:sz w:val="20"/>
          <w:szCs w:val="20"/>
        </w:rPr>
        <w:t>March 2013.</w:t>
      </w:r>
    </w:p>
  </w:footnote>
  <w:footnote w:id="128">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Authority ‘FSA Fines Table 2012’, n/d, available from </w:t>
      </w:r>
      <w:hyperlink r:id="rId33" w:history="1">
        <w:r w:rsidRPr="000768D4">
          <w:rPr>
            <w:rStyle w:val="Hyperlink"/>
            <w:rFonts w:ascii="Times New Roman" w:hAnsi="Times New Roman"/>
            <w:sz w:val="20"/>
            <w:szCs w:val="20"/>
          </w:rPr>
          <w:t>http://www.fsa.gov.uk/about/press/facts/fines/2012</w:t>
        </w:r>
      </w:hyperlink>
      <w:r w:rsidRPr="000768D4">
        <w:rPr>
          <w:rFonts w:ascii="Times New Roman" w:hAnsi="Times New Roman"/>
          <w:sz w:val="20"/>
          <w:szCs w:val="20"/>
        </w:rPr>
        <w:t>, accessed 8</w:t>
      </w:r>
      <w:r w:rsidRPr="000768D4">
        <w:rPr>
          <w:rFonts w:ascii="Times New Roman" w:hAnsi="Times New Roman"/>
          <w:sz w:val="20"/>
          <w:szCs w:val="20"/>
          <w:vertAlign w:val="superscript"/>
        </w:rPr>
        <w:t xml:space="preserve"> </w:t>
      </w:r>
      <w:r w:rsidRPr="000768D4">
        <w:rPr>
          <w:rFonts w:ascii="Times New Roman" w:hAnsi="Times New Roman"/>
          <w:sz w:val="20"/>
          <w:szCs w:val="20"/>
        </w:rPr>
        <w:t>March 2013.</w:t>
      </w:r>
    </w:p>
  </w:footnote>
  <w:footnote w:id="129">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Conduct Authority ‘Fines table - 2013’, n/d, available from </w:t>
      </w:r>
      <w:hyperlink r:id="rId34" w:history="1">
        <w:r w:rsidRPr="000768D4">
          <w:rPr>
            <w:rStyle w:val="Hyperlink"/>
            <w:rFonts w:ascii="Times New Roman" w:hAnsi="Times New Roman"/>
            <w:sz w:val="20"/>
            <w:szCs w:val="20"/>
          </w:rPr>
          <w:t>http://www.fca.org.uk/firms/being-regulated/enforcement/fines</w:t>
        </w:r>
      </w:hyperlink>
      <w:r w:rsidRPr="000768D4">
        <w:rPr>
          <w:rFonts w:ascii="Times New Roman" w:hAnsi="Times New Roman"/>
          <w:sz w:val="20"/>
          <w:szCs w:val="20"/>
        </w:rPr>
        <w:t>, accessed July 2 2013.</w:t>
      </w:r>
    </w:p>
  </w:footnote>
  <w:footnote w:id="130">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Conduct Authority ‘Fines table - 2014’, n/d, available from </w:t>
      </w:r>
      <w:hyperlink r:id="rId35" w:history="1">
        <w:r w:rsidRPr="000768D4">
          <w:rPr>
            <w:rStyle w:val="Hyperlink"/>
            <w:rFonts w:ascii="Times New Roman" w:hAnsi="Times New Roman"/>
            <w:sz w:val="20"/>
            <w:szCs w:val="20"/>
          </w:rPr>
          <w:t>http://www.fca.org.uk/firms/being-regulated/enforcement/fines/2014</w:t>
        </w:r>
      </w:hyperlink>
      <w:r w:rsidRPr="000768D4">
        <w:rPr>
          <w:rFonts w:ascii="Times New Roman" w:hAnsi="Times New Roman"/>
          <w:sz w:val="20"/>
          <w:szCs w:val="20"/>
        </w:rPr>
        <w:t>, accessed February 5 2016.</w:t>
      </w:r>
    </w:p>
  </w:footnote>
  <w:footnote w:id="131">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Conduct Authority ‘Fines table - 2015’, n/d, available from </w:t>
      </w:r>
      <w:hyperlink r:id="rId36" w:history="1">
        <w:r w:rsidRPr="000768D4">
          <w:rPr>
            <w:rStyle w:val="Hyperlink"/>
            <w:rFonts w:ascii="Times New Roman" w:hAnsi="Times New Roman"/>
            <w:sz w:val="20"/>
            <w:szCs w:val="20"/>
          </w:rPr>
          <w:t>http://www.fca.org.uk/firms/being-regulated/enforcement/fines/2015-fines</w:t>
        </w:r>
      </w:hyperlink>
      <w:r w:rsidRPr="000768D4">
        <w:rPr>
          <w:rFonts w:ascii="Times New Roman" w:hAnsi="Times New Roman"/>
          <w:sz w:val="20"/>
          <w:szCs w:val="20"/>
        </w:rPr>
        <w:t>, accessed February 5 2016.</w:t>
      </w:r>
    </w:p>
  </w:footnote>
  <w:footnote w:id="132">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 xml:space="preserve">Financial Conduct Authority ‘Fines table – 2016’, n/d, available from </w:t>
      </w:r>
      <w:hyperlink r:id="rId37" w:history="1">
        <w:r w:rsidRPr="000768D4">
          <w:rPr>
            <w:rStyle w:val="Hyperlink"/>
            <w:rFonts w:ascii="Times New Roman" w:hAnsi="Times New Roman"/>
            <w:sz w:val="20"/>
            <w:szCs w:val="20"/>
            <w:lang w:val="en-GB"/>
          </w:rPr>
          <w:t>http://www.fca.org.uk/firms/being-regulated/enforcement/fines</w:t>
        </w:r>
      </w:hyperlink>
      <w:r w:rsidRPr="000768D4">
        <w:rPr>
          <w:rFonts w:ascii="Times New Roman" w:hAnsi="Times New Roman"/>
          <w:sz w:val="20"/>
          <w:szCs w:val="20"/>
          <w:lang w:val="en-GB"/>
        </w:rPr>
        <w:t>, accessed February 8 2016.</w:t>
      </w:r>
    </w:p>
  </w:footnote>
  <w:footnote w:id="133">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Criminal Justice Act 1993, s. 52.</w:t>
      </w:r>
    </w:p>
  </w:footnote>
  <w:footnote w:id="134">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hAnsi="Times New Roman"/>
          <w:sz w:val="20"/>
          <w:szCs w:val="20"/>
          <w:lang w:val="en-GB"/>
        </w:rPr>
        <w:t>Financial Services Act 2012, s. 89 and 90.</w:t>
      </w:r>
      <w:proofErr w:type="gramEnd"/>
    </w:p>
  </w:footnote>
  <w:footnote w:id="135">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hAnsi="Times New Roman"/>
          <w:sz w:val="20"/>
          <w:szCs w:val="20"/>
          <w:lang w:val="en-GB"/>
        </w:rPr>
        <w:t>Financial Services Act 2012, s. 91.</w:t>
      </w:r>
      <w:proofErr w:type="gramEnd"/>
    </w:p>
  </w:footnote>
  <w:footnote w:id="136">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hAnsi="Times New Roman"/>
          <w:sz w:val="20"/>
          <w:szCs w:val="20"/>
          <w:lang w:val="en-GB"/>
        </w:rPr>
        <w:t>Counter-Terrorism Act 2008, schedule 7.</w:t>
      </w:r>
      <w:proofErr w:type="gramEnd"/>
    </w:p>
  </w:footnote>
  <w:footnote w:id="137">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hAnsi="Times New Roman"/>
          <w:sz w:val="20"/>
          <w:szCs w:val="20"/>
          <w:lang w:val="en-GB"/>
        </w:rPr>
        <w:t>[2010] UKSC 39.</w:t>
      </w:r>
      <w:proofErr w:type="gramEnd"/>
    </w:p>
  </w:footnote>
  <w:footnote w:id="138">
    <w:p w:rsidR="003A0CF6" w:rsidRPr="003A0CF6" w:rsidRDefault="00BD0366" w:rsidP="000768D4">
      <w:pPr>
        <w:pStyle w:val="FootnoteText"/>
        <w:jc w:val="both"/>
        <w:rPr>
          <w:rFonts w:ascii="Times New Roman" w:hAnsi="Times New Roman"/>
          <w:sz w:val="20"/>
          <w:szCs w:val="20"/>
        </w:rPr>
      </w:pPr>
      <w:r w:rsidRPr="003A0CF6">
        <w:rPr>
          <w:rStyle w:val="FootnoteReference"/>
          <w:rFonts w:ascii="Times New Roman" w:hAnsi="Times New Roman"/>
          <w:sz w:val="20"/>
          <w:szCs w:val="20"/>
        </w:rPr>
        <w:footnoteRef/>
      </w:r>
      <w:r w:rsidRPr="003A0CF6">
        <w:rPr>
          <w:rFonts w:ascii="Times New Roman" w:hAnsi="Times New Roman"/>
          <w:sz w:val="20"/>
          <w:szCs w:val="20"/>
        </w:rPr>
        <w:t xml:space="preserve"> </w:t>
      </w:r>
      <w:r w:rsidR="003A0CF6" w:rsidRPr="003A0CF6">
        <w:rPr>
          <w:rFonts w:ascii="Times New Roman" w:hAnsi="Times New Roman"/>
          <w:sz w:val="20"/>
          <w:szCs w:val="20"/>
        </w:rPr>
        <w:t>The United States Department of Justice ‘</w:t>
      </w:r>
      <w:r w:rsidR="003A0CF6">
        <w:rPr>
          <w:rFonts w:ascii="Times New Roman" w:hAnsi="Times New Roman"/>
          <w:sz w:val="20"/>
          <w:szCs w:val="20"/>
        </w:rPr>
        <w:t xml:space="preserve">Bank of America to pay $16.65bn in historic Justice Department Settlement for financial fraud leading up to and during the financial crisis’, August 21 2014, available from </w:t>
      </w:r>
      <w:hyperlink r:id="rId38" w:history="1">
        <w:r w:rsidR="003A0CF6" w:rsidRPr="00DC7A21">
          <w:rPr>
            <w:rStyle w:val="Hyperlink"/>
            <w:rFonts w:ascii="Times New Roman" w:hAnsi="Times New Roman"/>
            <w:sz w:val="20"/>
            <w:szCs w:val="20"/>
          </w:rPr>
          <w:t>http://www.justice.gov/opa/pr/bank-america-pay-1665-billion-historic-justice-department-settlement-financial-fraud-leading</w:t>
        </w:r>
      </w:hyperlink>
      <w:r w:rsidR="003A0CF6">
        <w:rPr>
          <w:rFonts w:ascii="Times New Roman" w:hAnsi="Times New Roman"/>
          <w:sz w:val="20"/>
          <w:szCs w:val="20"/>
        </w:rPr>
        <w:t>, accessed February 11 2016.</w:t>
      </w:r>
    </w:p>
  </w:footnote>
  <w:footnote w:id="139">
    <w:p w:rsidR="003A0CF6" w:rsidRPr="003A0CF6"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003A0CF6">
        <w:rPr>
          <w:rFonts w:ascii="Times New Roman" w:hAnsi="Times New Roman"/>
          <w:sz w:val="20"/>
          <w:szCs w:val="20"/>
        </w:rPr>
        <w:t xml:space="preserve">The United States Department of Justice ‘HSBC Holdings Plc. </w:t>
      </w:r>
      <w:proofErr w:type="gramStart"/>
      <w:r w:rsidR="003A0CF6">
        <w:rPr>
          <w:rFonts w:ascii="Times New Roman" w:hAnsi="Times New Roman"/>
          <w:sz w:val="20"/>
          <w:szCs w:val="20"/>
        </w:rPr>
        <w:t xml:space="preserve">And HSBC Bank USA N.A. admit to anti-money laundering sanctions violations, forfeit $1.256bn in deferred prosecution agreement’, December 11 2012, available from </w:t>
      </w:r>
      <w:hyperlink r:id="rId39" w:history="1">
        <w:r w:rsidR="003A0CF6" w:rsidRPr="00DC7A21">
          <w:rPr>
            <w:rStyle w:val="Hyperlink"/>
            <w:rFonts w:ascii="Times New Roman" w:hAnsi="Times New Roman"/>
            <w:sz w:val="20"/>
            <w:szCs w:val="20"/>
          </w:rPr>
          <w:t>http://www.justice.gov/opa/pr/hsbc-holdings-plc-and-hsbc-bank-usa-na-admit-anti-money-laundering-and-sanctions-violations</w:t>
        </w:r>
      </w:hyperlink>
      <w:r w:rsidR="003A0CF6">
        <w:rPr>
          <w:rFonts w:ascii="Times New Roman" w:hAnsi="Times New Roman"/>
          <w:sz w:val="20"/>
          <w:szCs w:val="20"/>
        </w:rPr>
        <w:t>, accessed February 11 2016.</w:t>
      </w:r>
      <w:proofErr w:type="gramEnd"/>
    </w:p>
  </w:footnote>
  <w:footnote w:id="140">
    <w:p w:rsidR="00BD0366" w:rsidRPr="000768D4" w:rsidRDefault="00BD0366" w:rsidP="000768D4">
      <w:pPr>
        <w:autoSpaceDE w:val="0"/>
        <w:autoSpaceDN w:val="0"/>
        <w:adjustRightInd w:val="0"/>
        <w:spacing w:after="0" w:line="240" w:lineRule="auto"/>
        <w:jc w:val="both"/>
        <w:rPr>
          <w:rFonts w:ascii="Times New Roman" w:eastAsia="Calibri" w:hAnsi="Times New Roman" w:cs="Times New Roman"/>
          <w:sz w:val="20"/>
          <w:szCs w:val="20"/>
        </w:rPr>
      </w:pPr>
      <w:r w:rsidRPr="000768D4">
        <w:rPr>
          <w:rStyle w:val="FootnoteReference"/>
          <w:rFonts w:ascii="Times New Roman" w:hAnsi="Times New Roman" w:cs="Times New Roman"/>
          <w:sz w:val="20"/>
          <w:szCs w:val="20"/>
        </w:rPr>
        <w:footnoteRef/>
      </w:r>
      <w:r w:rsidRPr="000768D4">
        <w:rPr>
          <w:rFonts w:ascii="Times New Roman" w:hAnsi="Times New Roman" w:cs="Times New Roman"/>
          <w:sz w:val="20"/>
          <w:szCs w:val="20"/>
        </w:rPr>
        <w:t xml:space="preserve"> </w:t>
      </w:r>
      <w:r w:rsidR="003A0CF6">
        <w:rPr>
          <w:rFonts w:ascii="Times New Roman" w:eastAsia="Calibri" w:hAnsi="Times New Roman" w:cs="Times New Roman"/>
          <w:sz w:val="20"/>
          <w:szCs w:val="20"/>
        </w:rPr>
        <w:t>Financial Conduct Authority FCA</w:t>
      </w:r>
      <w:r w:rsidRPr="000768D4">
        <w:rPr>
          <w:rFonts w:ascii="Times New Roman" w:eastAsia="Calibri" w:hAnsi="Times New Roman" w:cs="Times New Roman"/>
          <w:sz w:val="20"/>
          <w:szCs w:val="20"/>
        </w:rPr>
        <w:t xml:space="preserve"> Handbook </w:t>
      </w:r>
      <w:r w:rsidRPr="000768D4">
        <w:rPr>
          <w:rFonts w:ascii="Times New Roman" w:hAnsi="Times New Roman" w:cs="Times New Roman"/>
          <w:sz w:val="20"/>
          <w:szCs w:val="20"/>
          <w:lang w:val="en-US"/>
        </w:rPr>
        <w:t xml:space="preserve">Senior Management Arrangements, Systems and Controls (Financial Services Authority: London, 2006) </w:t>
      </w:r>
      <w:r w:rsidRPr="000768D4">
        <w:rPr>
          <w:rFonts w:ascii="Times New Roman" w:hAnsi="Times New Roman" w:cs="Times New Roman"/>
          <w:sz w:val="20"/>
          <w:szCs w:val="20"/>
        </w:rPr>
        <w:t xml:space="preserve">at SYSC 3.1.1. </w:t>
      </w:r>
    </w:p>
  </w:footnote>
  <w:footnote w:id="141">
    <w:p w:rsidR="00BD0366" w:rsidRPr="000768D4" w:rsidRDefault="00BD0366" w:rsidP="000768D4">
      <w:pPr>
        <w:pStyle w:val="FootnoteText1"/>
        <w:ind w:left="0" w:firstLine="0"/>
        <w:rPr>
          <w:sz w:val="20"/>
          <w:szCs w:val="20"/>
        </w:rPr>
      </w:pPr>
      <w:r w:rsidRPr="000768D4">
        <w:rPr>
          <w:rStyle w:val="FootnoteReference"/>
          <w:sz w:val="20"/>
          <w:szCs w:val="20"/>
        </w:rPr>
        <w:footnoteRef/>
      </w:r>
      <w:r w:rsidRPr="000768D4">
        <w:rPr>
          <w:sz w:val="20"/>
          <w:szCs w:val="20"/>
        </w:rPr>
        <w:t xml:space="preserve"> </w:t>
      </w:r>
      <w:proofErr w:type="gramStart"/>
      <w:r w:rsidRPr="000768D4">
        <w:rPr>
          <w:i/>
          <w:sz w:val="20"/>
          <w:szCs w:val="20"/>
        </w:rPr>
        <w:t>Ibid</w:t>
      </w:r>
      <w:r w:rsidRPr="000768D4">
        <w:rPr>
          <w:sz w:val="20"/>
          <w:szCs w:val="20"/>
        </w:rPr>
        <w:t>.,</w:t>
      </w:r>
      <w:proofErr w:type="gramEnd"/>
      <w:r w:rsidRPr="000768D4">
        <w:rPr>
          <w:sz w:val="20"/>
          <w:szCs w:val="20"/>
        </w:rPr>
        <w:t xml:space="preserve"> at SYSC 3.2.6 R.</w:t>
      </w:r>
    </w:p>
  </w:footnote>
  <w:footnote w:id="142">
    <w:p w:rsidR="00BD0366" w:rsidRPr="000768D4" w:rsidRDefault="00BD0366" w:rsidP="000768D4">
      <w:pPr>
        <w:pStyle w:val="FootnoteText1"/>
        <w:ind w:left="0" w:firstLine="0"/>
        <w:rPr>
          <w:sz w:val="20"/>
          <w:szCs w:val="20"/>
        </w:rPr>
      </w:pPr>
      <w:r w:rsidRPr="000768D4">
        <w:rPr>
          <w:rStyle w:val="FootnoteReference"/>
          <w:sz w:val="20"/>
          <w:szCs w:val="20"/>
        </w:rPr>
        <w:footnoteRef/>
      </w:r>
      <w:r w:rsidRPr="000768D4">
        <w:rPr>
          <w:sz w:val="20"/>
          <w:szCs w:val="20"/>
        </w:rPr>
        <w:t xml:space="preserve"> </w:t>
      </w:r>
      <w:proofErr w:type="gramStart"/>
      <w:r w:rsidRPr="000768D4">
        <w:rPr>
          <w:sz w:val="20"/>
          <w:szCs w:val="20"/>
        </w:rPr>
        <w:t>Financial Servic</w:t>
      </w:r>
      <w:r w:rsidR="003A0CF6">
        <w:rPr>
          <w:sz w:val="20"/>
          <w:szCs w:val="20"/>
        </w:rPr>
        <w:t>es Authority, above, n 140</w:t>
      </w:r>
      <w:r w:rsidRPr="000768D4">
        <w:rPr>
          <w:sz w:val="20"/>
          <w:szCs w:val="20"/>
        </w:rPr>
        <w:t xml:space="preserve"> at SYSC 3.2.6 C.</w:t>
      </w:r>
      <w:proofErr w:type="gramEnd"/>
    </w:p>
  </w:footnote>
  <w:footnote w:id="143">
    <w:p w:rsidR="00BD0366" w:rsidRPr="000768D4" w:rsidRDefault="00BD0366" w:rsidP="000768D4">
      <w:pPr>
        <w:pStyle w:val="FootnoteText1"/>
        <w:ind w:left="0" w:firstLine="0"/>
        <w:rPr>
          <w:sz w:val="20"/>
          <w:szCs w:val="20"/>
        </w:rPr>
      </w:pPr>
      <w:r w:rsidRPr="000768D4">
        <w:rPr>
          <w:rStyle w:val="FootnoteReference"/>
          <w:sz w:val="20"/>
          <w:szCs w:val="20"/>
        </w:rPr>
        <w:footnoteRef/>
      </w:r>
      <w:r w:rsidRPr="000768D4">
        <w:rPr>
          <w:sz w:val="20"/>
          <w:szCs w:val="20"/>
        </w:rPr>
        <w:t xml:space="preserve"> </w:t>
      </w:r>
      <w:proofErr w:type="gramStart"/>
      <w:r w:rsidRPr="000768D4">
        <w:rPr>
          <w:i/>
          <w:sz w:val="20"/>
          <w:szCs w:val="20"/>
        </w:rPr>
        <w:t>Ibid</w:t>
      </w:r>
      <w:r w:rsidRPr="000768D4">
        <w:rPr>
          <w:sz w:val="20"/>
          <w:szCs w:val="20"/>
        </w:rPr>
        <w:t>.,</w:t>
      </w:r>
      <w:proofErr w:type="gramEnd"/>
      <w:r w:rsidRPr="000768D4">
        <w:rPr>
          <w:sz w:val="20"/>
          <w:szCs w:val="20"/>
        </w:rPr>
        <w:t xml:space="preserve"> at SYSC 3.2.6 H and I.</w:t>
      </w:r>
    </w:p>
  </w:footnote>
  <w:footnote w:id="144">
    <w:p w:rsidR="00BD0366" w:rsidRPr="000768D4" w:rsidRDefault="00BD0366" w:rsidP="000768D4">
      <w:pPr>
        <w:pStyle w:val="FootnoteText1"/>
        <w:ind w:left="0" w:firstLine="0"/>
        <w:rPr>
          <w:sz w:val="20"/>
          <w:szCs w:val="20"/>
        </w:rPr>
      </w:pPr>
      <w:r w:rsidRPr="000768D4">
        <w:rPr>
          <w:rStyle w:val="FootnoteReference"/>
          <w:sz w:val="20"/>
          <w:szCs w:val="20"/>
        </w:rPr>
        <w:footnoteRef/>
      </w:r>
      <w:r w:rsidRPr="000768D4">
        <w:rPr>
          <w:sz w:val="20"/>
          <w:szCs w:val="20"/>
        </w:rPr>
        <w:t xml:space="preserve"> </w:t>
      </w:r>
      <w:proofErr w:type="spellStart"/>
      <w:proofErr w:type="gramStart"/>
      <w:r w:rsidRPr="000768D4">
        <w:rPr>
          <w:sz w:val="20"/>
          <w:szCs w:val="20"/>
        </w:rPr>
        <w:t>Bagge</w:t>
      </w:r>
      <w:proofErr w:type="spellEnd"/>
      <w:r w:rsidRPr="000768D4">
        <w:rPr>
          <w:sz w:val="20"/>
          <w:szCs w:val="20"/>
        </w:rPr>
        <w:t>, J. ‘The future for enforcement under the new Financial Services Authority’ (1998) The Company Lawyer 19(7) 194-197, at 194.</w:t>
      </w:r>
      <w:proofErr w:type="gramEnd"/>
      <w:r w:rsidRPr="000768D4">
        <w:rPr>
          <w:sz w:val="20"/>
          <w:szCs w:val="20"/>
        </w:rPr>
        <w:t xml:space="preserve"> </w:t>
      </w:r>
    </w:p>
  </w:footnote>
  <w:footnote w:id="145">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Financial Conduct Authority ‘</w:t>
      </w:r>
      <w:r w:rsidRPr="000768D4">
        <w:rPr>
          <w:rFonts w:ascii="Times New Roman" w:hAnsi="Times New Roman"/>
          <w:sz w:val="20"/>
          <w:szCs w:val="20"/>
          <w:lang w:val="en"/>
        </w:rPr>
        <w:t xml:space="preserve">J.P. Morgan International Bank fined for systems and controls failings in its wealth management business’, May 23 2013, available from </w:t>
      </w:r>
      <w:hyperlink r:id="rId40" w:history="1">
        <w:r w:rsidRPr="000768D4">
          <w:rPr>
            <w:rStyle w:val="Hyperlink"/>
            <w:rFonts w:ascii="Times New Roman" w:hAnsi="Times New Roman"/>
            <w:sz w:val="20"/>
            <w:szCs w:val="20"/>
            <w:lang w:val="en"/>
          </w:rPr>
          <w:t>http://www.fca.org.uk/news/jp-morgan-international-bank-fined-systems-controls-failings</w:t>
        </w:r>
      </w:hyperlink>
      <w:r w:rsidRPr="000768D4">
        <w:rPr>
          <w:rFonts w:ascii="Times New Roman" w:hAnsi="Times New Roman"/>
          <w:sz w:val="20"/>
          <w:szCs w:val="20"/>
          <w:lang w:val="en"/>
        </w:rPr>
        <w:t>, accessed February 9 2016.</w:t>
      </w:r>
    </w:p>
  </w:footnote>
  <w:footnote w:id="146">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Financial Conduct Authority ‘</w:t>
      </w:r>
      <w:r w:rsidRPr="000768D4">
        <w:rPr>
          <w:rFonts w:ascii="Times New Roman" w:hAnsi="Times New Roman"/>
          <w:sz w:val="20"/>
          <w:szCs w:val="20"/>
        </w:rPr>
        <w:t xml:space="preserve">For serious failings in the systems and controls governing financial incentives to sales staff’, </w:t>
      </w:r>
      <w:r w:rsidRPr="000768D4">
        <w:rPr>
          <w:rFonts w:ascii="Times New Roman" w:hAnsi="Times New Roman"/>
          <w:sz w:val="20"/>
          <w:szCs w:val="20"/>
          <w:lang w:val="en"/>
        </w:rPr>
        <w:t xml:space="preserve">FCA Final Notice 2013: Lloyds TSB Bank plc and Bank of Scotland plc, December 11 2013, available from </w:t>
      </w:r>
      <w:hyperlink r:id="rId41" w:history="1">
        <w:r w:rsidRPr="000768D4">
          <w:rPr>
            <w:rStyle w:val="Hyperlink"/>
            <w:rFonts w:ascii="Times New Roman" w:hAnsi="Times New Roman"/>
            <w:sz w:val="20"/>
            <w:szCs w:val="20"/>
            <w:lang w:val="en"/>
          </w:rPr>
          <w:t>http://www.fca.org.uk/your-fca/documents/final-notices/2013/lloyds-tsb-bank-and-bank-of-scotland</w:t>
        </w:r>
      </w:hyperlink>
      <w:r w:rsidRPr="000768D4">
        <w:rPr>
          <w:rFonts w:ascii="Times New Roman" w:hAnsi="Times New Roman"/>
          <w:sz w:val="20"/>
          <w:szCs w:val="20"/>
          <w:lang w:val="en"/>
        </w:rPr>
        <w:t>, accessed February 9 2016.</w:t>
      </w:r>
    </w:p>
  </w:footnote>
  <w:footnote w:id="147">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Financial Conduct Authority ‘</w:t>
      </w:r>
      <w:r w:rsidRPr="000768D4">
        <w:rPr>
          <w:rFonts w:ascii="Times New Roman" w:hAnsi="Times New Roman"/>
          <w:sz w:val="20"/>
          <w:szCs w:val="20"/>
        </w:rPr>
        <w:t xml:space="preserve">For failing to adequately manage conflicts of interest between itself and its customers as well as systems and controls failings, in relation to the Gold Fixing’, May 23 2014, available from </w:t>
      </w:r>
      <w:hyperlink r:id="rId42" w:history="1">
        <w:r w:rsidRPr="000768D4">
          <w:rPr>
            <w:rStyle w:val="Hyperlink"/>
            <w:rFonts w:ascii="Times New Roman" w:hAnsi="Times New Roman"/>
            <w:sz w:val="20"/>
            <w:szCs w:val="20"/>
          </w:rPr>
          <w:t>http://www.fca.org.uk/news/barclays-fined-26m-for-failings-surrounding-the-london-gold-fixing</w:t>
        </w:r>
      </w:hyperlink>
      <w:r w:rsidRPr="000768D4">
        <w:rPr>
          <w:rFonts w:ascii="Times New Roman" w:hAnsi="Times New Roman"/>
          <w:sz w:val="20"/>
          <w:szCs w:val="20"/>
        </w:rPr>
        <w:t>, accessed February 9 2016.</w:t>
      </w:r>
    </w:p>
  </w:footnote>
  <w:footnote w:id="148">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Financial Conduct Authority ‘</w:t>
      </w:r>
      <w:r w:rsidRPr="000768D4">
        <w:rPr>
          <w:rFonts w:ascii="Times New Roman" w:hAnsi="Times New Roman"/>
          <w:sz w:val="20"/>
          <w:szCs w:val="20"/>
          <w:lang w:val="en"/>
        </w:rPr>
        <w:t xml:space="preserve">JPMorgan Chase Bank N.A. fined £137,610,000 for serious failings relating to its Chief Investment Office’s “London Whale” trades’, September 19 2013, available from </w:t>
      </w:r>
      <w:hyperlink r:id="rId43" w:history="1">
        <w:r w:rsidRPr="000768D4">
          <w:rPr>
            <w:rStyle w:val="Hyperlink"/>
            <w:rFonts w:ascii="Times New Roman" w:hAnsi="Times New Roman"/>
            <w:sz w:val="20"/>
            <w:szCs w:val="20"/>
            <w:lang w:val="en"/>
          </w:rPr>
          <w:t>http://www.fca.org.uk/news/jpmorgan-chase-bank-na-fined</w:t>
        </w:r>
      </w:hyperlink>
      <w:r w:rsidRPr="000768D4">
        <w:rPr>
          <w:rFonts w:ascii="Times New Roman" w:hAnsi="Times New Roman"/>
          <w:sz w:val="20"/>
          <w:szCs w:val="20"/>
          <w:lang w:val="en"/>
        </w:rPr>
        <w:t>, accessed October 9 2013.</w:t>
      </w:r>
    </w:p>
  </w:footnote>
  <w:footnote w:id="149">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i/>
          <w:sz w:val="20"/>
          <w:szCs w:val="20"/>
        </w:rPr>
        <w:t>Ibid</w:t>
      </w:r>
      <w:r w:rsidRPr="000768D4">
        <w:rPr>
          <w:rFonts w:ascii="Times New Roman" w:hAnsi="Times New Roman"/>
          <w:sz w:val="20"/>
          <w:szCs w:val="20"/>
        </w:rPr>
        <w:t>.</w:t>
      </w:r>
    </w:p>
  </w:footnote>
  <w:footnote w:id="150">
    <w:p w:rsidR="006B6084" w:rsidRPr="006B6084" w:rsidRDefault="006B6084" w:rsidP="006B6084">
      <w:pPr>
        <w:pStyle w:val="FootnoteText"/>
        <w:jc w:val="both"/>
        <w:rPr>
          <w:rFonts w:ascii="Times New Roman" w:hAnsi="Times New Roman"/>
          <w:sz w:val="20"/>
          <w:szCs w:val="20"/>
          <w:lang w:val="en-GB"/>
        </w:rPr>
      </w:pPr>
      <w:r w:rsidRPr="006B6084">
        <w:rPr>
          <w:rStyle w:val="FootnoteReference"/>
          <w:rFonts w:ascii="Times New Roman" w:hAnsi="Times New Roman"/>
          <w:sz w:val="20"/>
          <w:szCs w:val="20"/>
        </w:rPr>
        <w:footnoteRef/>
      </w:r>
      <w:r w:rsidRPr="006B6084">
        <w:rPr>
          <w:rFonts w:ascii="Times New Roman" w:hAnsi="Times New Roman"/>
          <w:sz w:val="20"/>
          <w:szCs w:val="20"/>
        </w:rPr>
        <w:t xml:space="preserve"> </w:t>
      </w:r>
      <w:r w:rsidRPr="006B6084">
        <w:rPr>
          <w:rFonts w:ascii="Times New Roman" w:hAnsi="Times New Roman"/>
          <w:sz w:val="20"/>
          <w:szCs w:val="20"/>
          <w:lang w:val="en-GB"/>
        </w:rPr>
        <w:t xml:space="preserve">Financial Conduct Authority ‘FCA fines former header of JP Morgan’s CIO International £792,000 for failing to be open and co-operative’, February 9 2016, available from </w:t>
      </w:r>
      <w:hyperlink r:id="rId44" w:history="1">
        <w:r w:rsidRPr="006B6084">
          <w:rPr>
            <w:rStyle w:val="Hyperlink"/>
            <w:rFonts w:ascii="Times New Roman" w:hAnsi="Times New Roman"/>
            <w:sz w:val="20"/>
            <w:szCs w:val="20"/>
            <w:lang w:val="en-GB"/>
          </w:rPr>
          <w:t>http://www.fca.org.uk/news/former-jp-morgan-cio-international-head-fined</w:t>
        </w:r>
      </w:hyperlink>
      <w:r w:rsidRPr="006B6084">
        <w:rPr>
          <w:rFonts w:ascii="Times New Roman" w:hAnsi="Times New Roman"/>
          <w:sz w:val="20"/>
          <w:szCs w:val="20"/>
          <w:lang w:val="en-GB"/>
        </w:rPr>
        <w:t>, accessed February 11 2016.</w:t>
      </w:r>
    </w:p>
  </w:footnote>
  <w:footnote w:id="151">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and Markets Act 2000, s. 401 and 402.</w:t>
      </w:r>
    </w:p>
  </w:footnote>
  <w:footnote w:id="152">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and Markets Act 2000, s. 23.</w:t>
      </w:r>
    </w:p>
  </w:footnote>
  <w:footnote w:id="153">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and Markets Act 2000, s. 24.</w:t>
      </w:r>
    </w:p>
  </w:footnote>
  <w:footnote w:id="154">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and Markets Act 2000, s. 56(4).</w:t>
      </w:r>
    </w:p>
  </w:footnote>
  <w:footnote w:id="155">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and Markets Act 2000, s. 85(2).</w:t>
      </w:r>
    </w:p>
  </w:footnote>
  <w:footnote w:id="156">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and Markets Act 2000, s. 177.</w:t>
      </w:r>
    </w:p>
  </w:footnote>
  <w:footnote w:id="157">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and Markets Act 2000, s. 191.</w:t>
      </w:r>
    </w:p>
  </w:footnote>
  <w:footnote w:id="158">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and Markets Act 2000, s. 333.</w:t>
      </w:r>
    </w:p>
  </w:footnote>
  <w:footnote w:id="159">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and Markets Act 2000, s. 346.</w:t>
      </w:r>
    </w:p>
  </w:footnote>
  <w:footnote w:id="160">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and Markets Act 2000, s. 352.</w:t>
      </w:r>
    </w:p>
  </w:footnote>
  <w:footnote w:id="161">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and Markets Act 2000, s. 366(3).</w:t>
      </w:r>
    </w:p>
  </w:footnote>
  <w:footnote w:id="162">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and Markets Act 2000, s. 398.</w:t>
      </w:r>
    </w:p>
  </w:footnote>
  <w:footnote w:id="163">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hAnsi="Times New Roman"/>
          <w:sz w:val="20"/>
          <w:szCs w:val="20"/>
        </w:rPr>
        <w:t>Financial Services Act 2012, s. 89.</w:t>
      </w:r>
      <w:proofErr w:type="gramEnd"/>
    </w:p>
  </w:footnote>
  <w:footnote w:id="164">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hAnsi="Times New Roman"/>
          <w:sz w:val="20"/>
          <w:szCs w:val="20"/>
        </w:rPr>
        <w:t>Financial Services Act 2012, s. 90.</w:t>
      </w:r>
      <w:proofErr w:type="gramEnd"/>
    </w:p>
  </w:footnote>
  <w:footnote w:id="165">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hAnsi="Times New Roman"/>
          <w:sz w:val="20"/>
          <w:szCs w:val="20"/>
        </w:rPr>
        <w:t>Financial Services Act 2012, s. 91.</w:t>
      </w:r>
      <w:proofErr w:type="gramEnd"/>
    </w:p>
  </w:footnote>
  <w:footnote w:id="166">
    <w:p w:rsidR="00BD0366" w:rsidRPr="000768D4" w:rsidRDefault="00BD0366" w:rsidP="000768D4">
      <w:pPr>
        <w:spacing w:after="0" w:line="240" w:lineRule="auto"/>
        <w:jc w:val="both"/>
        <w:outlineLvl w:val="1"/>
        <w:rPr>
          <w:rFonts w:ascii="Times New Roman" w:hAnsi="Times New Roman" w:cs="Times New Roman"/>
          <w:sz w:val="20"/>
          <w:szCs w:val="20"/>
        </w:rPr>
      </w:pPr>
      <w:r w:rsidRPr="000768D4">
        <w:rPr>
          <w:rStyle w:val="FootnoteReference"/>
          <w:rFonts w:ascii="Times New Roman" w:hAnsi="Times New Roman" w:cs="Times New Roman"/>
          <w:sz w:val="20"/>
          <w:szCs w:val="20"/>
        </w:rPr>
        <w:footnoteRef/>
      </w:r>
      <w:r w:rsidRPr="000768D4">
        <w:rPr>
          <w:rFonts w:ascii="Times New Roman" w:hAnsi="Times New Roman" w:cs="Times New Roman"/>
          <w:sz w:val="20"/>
          <w:szCs w:val="20"/>
        </w:rPr>
        <w:t xml:space="preserve"> Financial Services and Markets Act 2000, s. 402 (1</w:t>
      </w:r>
      <w:proofErr w:type="gramStart"/>
      <w:r w:rsidRPr="000768D4">
        <w:rPr>
          <w:rFonts w:ascii="Times New Roman" w:hAnsi="Times New Roman" w:cs="Times New Roman"/>
          <w:sz w:val="20"/>
          <w:szCs w:val="20"/>
        </w:rPr>
        <w:t>)(</w:t>
      </w:r>
      <w:proofErr w:type="gramEnd"/>
      <w:r w:rsidRPr="000768D4">
        <w:rPr>
          <w:rFonts w:ascii="Times New Roman" w:hAnsi="Times New Roman" w:cs="Times New Roman"/>
          <w:sz w:val="20"/>
          <w:szCs w:val="20"/>
        </w:rPr>
        <w:t xml:space="preserve">a).  </w:t>
      </w:r>
    </w:p>
  </w:footnote>
  <w:footnote w:id="167">
    <w:p w:rsidR="00BD0366" w:rsidRPr="000768D4" w:rsidRDefault="00BD0366" w:rsidP="000768D4">
      <w:pPr>
        <w:spacing w:after="0" w:line="240" w:lineRule="auto"/>
        <w:jc w:val="both"/>
        <w:outlineLvl w:val="2"/>
        <w:rPr>
          <w:rFonts w:ascii="Times New Roman" w:hAnsi="Times New Roman" w:cs="Times New Roman"/>
          <w:sz w:val="20"/>
          <w:szCs w:val="20"/>
        </w:rPr>
      </w:pPr>
      <w:r w:rsidRPr="000768D4">
        <w:rPr>
          <w:rStyle w:val="FootnoteReference"/>
          <w:rFonts w:ascii="Times New Roman" w:hAnsi="Times New Roman" w:cs="Times New Roman"/>
          <w:sz w:val="20"/>
          <w:szCs w:val="20"/>
        </w:rPr>
        <w:footnoteRef/>
      </w:r>
      <w:r w:rsidRPr="000768D4">
        <w:rPr>
          <w:rFonts w:ascii="Times New Roman" w:hAnsi="Times New Roman" w:cs="Times New Roman"/>
          <w:sz w:val="20"/>
          <w:szCs w:val="20"/>
        </w:rPr>
        <w:t xml:space="preserve"> Financial Services and Markets Act 2000, s. 402 (1</w:t>
      </w:r>
      <w:proofErr w:type="gramStart"/>
      <w:r w:rsidRPr="000768D4">
        <w:rPr>
          <w:rFonts w:ascii="Times New Roman" w:hAnsi="Times New Roman" w:cs="Times New Roman"/>
          <w:sz w:val="20"/>
          <w:szCs w:val="20"/>
        </w:rPr>
        <w:t>)(</w:t>
      </w:r>
      <w:proofErr w:type="gramEnd"/>
      <w:r w:rsidRPr="000768D4">
        <w:rPr>
          <w:rFonts w:ascii="Times New Roman" w:hAnsi="Times New Roman" w:cs="Times New Roman"/>
          <w:sz w:val="20"/>
          <w:szCs w:val="20"/>
        </w:rPr>
        <w:t xml:space="preserve">b).  </w:t>
      </w:r>
    </w:p>
  </w:footnote>
  <w:footnote w:id="168">
    <w:p w:rsidR="00BD0366" w:rsidRPr="000768D4" w:rsidRDefault="00BD0366" w:rsidP="000768D4">
      <w:pPr>
        <w:pStyle w:val="Heading2"/>
        <w:shd w:val="clear" w:color="auto" w:fill="FFFFFF"/>
        <w:spacing w:before="0" w:after="0"/>
        <w:jc w:val="both"/>
        <w:rPr>
          <w:rFonts w:ascii="Times New Roman" w:hAnsi="Times New Roman"/>
          <w:b w:val="0"/>
          <w:i w:val="0"/>
          <w:iCs w:val="0"/>
          <w:sz w:val="20"/>
          <w:szCs w:val="20"/>
        </w:rPr>
      </w:pPr>
      <w:r w:rsidRPr="000768D4">
        <w:rPr>
          <w:rStyle w:val="FootnoteReference"/>
          <w:rFonts w:ascii="Times New Roman" w:hAnsi="Times New Roman"/>
          <w:b w:val="0"/>
          <w:i w:val="0"/>
          <w:sz w:val="20"/>
          <w:szCs w:val="20"/>
        </w:rPr>
        <w:footnoteRef/>
      </w:r>
      <w:r w:rsidRPr="000768D4">
        <w:rPr>
          <w:rFonts w:ascii="Times New Roman" w:hAnsi="Times New Roman"/>
          <w:b w:val="0"/>
          <w:i w:val="0"/>
          <w:sz w:val="20"/>
          <w:szCs w:val="20"/>
        </w:rPr>
        <w:t xml:space="preserve"> Financial Services and Markets Act 2000, s. 402 (1</w:t>
      </w:r>
      <w:proofErr w:type="gramStart"/>
      <w:r w:rsidRPr="000768D4">
        <w:rPr>
          <w:rFonts w:ascii="Times New Roman" w:hAnsi="Times New Roman"/>
          <w:b w:val="0"/>
          <w:i w:val="0"/>
          <w:sz w:val="20"/>
          <w:szCs w:val="20"/>
        </w:rPr>
        <w:t>)(</w:t>
      </w:r>
      <w:proofErr w:type="gramEnd"/>
      <w:r w:rsidRPr="000768D4">
        <w:rPr>
          <w:rFonts w:ascii="Times New Roman" w:hAnsi="Times New Roman"/>
          <w:b w:val="0"/>
          <w:i w:val="0"/>
          <w:sz w:val="20"/>
          <w:szCs w:val="20"/>
        </w:rPr>
        <w:t xml:space="preserve">c).  </w:t>
      </w:r>
    </w:p>
  </w:footnote>
  <w:footnote w:id="169">
    <w:p w:rsidR="00BD0366" w:rsidRPr="002C7C01" w:rsidRDefault="00BD0366" w:rsidP="000768D4">
      <w:pPr>
        <w:pStyle w:val="FootnoteText"/>
        <w:jc w:val="both"/>
        <w:rPr>
          <w:rFonts w:ascii="Times New Roman" w:eastAsia="Times New Roman" w:hAnsi="Times New Roman"/>
          <w:vanish/>
          <w:sz w:val="20"/>
          <w:szCs w:val="20"/>
          <w:lang w:eastAsia="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For an excellent discussion see Davies, J. ‘</w:t>
      </w:r>
      <w:proofErr w:type="gramStart"/>
      <w:r w:rsidRPr="002C7C01">
        <w:rPr>
          <w:rFonts w:ascii="Times New Roman" w:eastAsia="Times New Roman" w:hAnsi="Times New Roman"/>
          <w:bCs/>
          <w:sz w:val="20"/>
          <w:szCs w:val="20"/>
          <w:lang w:eastAsia="en-GB"/>
        </w:rPr>
        <w:t>From</w:t>
      </w:r>
      <w:proofErr w:type="gramEnd"/>
      <w:r w:rsidRPr="002C7C01">
        <w:rPr>
          <w:rFonts w:ascii="Times New Roman" w:eastAsia="Times New Roman" w:hAnsi="Times New Roman"/>
          <w:bCs/>
          <w:sz w:val="20"/>
          <w:szCs w:val="20"/>
          <w:lang w:eastAsia="en-GB"/>
        </w:rPr>
        <w:t xml:space="preserve"> gentlemanly expectations to regulatory principles: a history of insider dealing in the UK: Part 1</w:t>
      </w:r>
      <w:r w:rsidRPr="000768D4">
        <w:rPr>
          <w:rFonts w:ascii="Times New Roman" w:eastAsia="Times New Roman" w:hAnsi="Times New Roman"/>
          <w:bCs/>
          <w:sz w:val="20"/>
          <w:szCs w:val="20"/>
          <w:lang w:eastAsia="en-GB"/>
        </w:rPr>
        <w:t xml:space="preserve">’ (2015) Company Law, 36(5), 132-143 and </w:t>
      </w:r>
      <w:r w:rsidRPr="000768D4">
        <w:rPr>
          <w:rFonts w:ascii="Times New Roman" w:hAnsi="Times New Roman"/>
          <w:sz w:val="20"/>
          <w:szCs w:val="20"/>
          <w:lang w:val="en-GB"/>
        </w:rPr>
        <w:t>Davies, J. ‘</w:t>
      </w:r>
      <w:r w:rsidRPr="002C7C01">
        <w:rPr>
          <w:rFonts w:ascii="Times New Roman" w:eastAsia="Times New Roman" w:hAnsi="Times New Roman"/>
          <w:bCs/>
          <w:sz w:val="20"/>
          <w:szCs w:val="20"/>
          <w:lang w:eastAsia="en-GB"/>
        </w:rPr>
        <w:t>From gentlemanly expectations to regulatory principles: a history of insider dealing in the UK (Pt.2)</w:t>
      </w:r>
      <w:r w:rsidRPr="000768D4">
        <w:rPr>
          <w:rFonts w:ascii="Times New Roman" w:eastAsia="Times New Roman" w:hAnsi="Times New Roman"/>
          <w:bCs/>
          <w:sz w:val="20"/>
          <w:szCs w:val="20"/>
          <w:lang w:eastAsia="en-GB"/>
        </w:rPr>
        <w:t>’ (2015) Company Lawyer, 36(6), 163-174.</w:t>
      </w:r>
      <w:r w:rsidRPr="002C7C01">
        <w:rPr>
          <w:rFonts w:ascii="Times New Roman" w:eastAsia="Times New Roman" w:hAnsi="Times New Roman"/>
          <w:vanish/>
          <w:sz w:val="20"/>
          <w:szCs w:val="20"/>
          <w:lang w:eastAsia="en-GB"/>
        </w:rPr>
        <w:t>Top of Form</w:t>
      </w:r>
    </w:p>
    <w:p w:rsidR="00BD0366" w:rsidRPr="000768D4" w:rsidRDefault="00BD0366" w:rsidP="000768D4">
      <w:pPr>
        <w:pStyle w:val="FootnoteText"/>
        <w:jc w:val="both"/>
        <w:rPr>
          <w:rFonts w:ascii="Times New Roman" w:hAnsi="Times New Roman"/>
          <w:sz w:val="20"/>
          <w:szCs w:val="20"/>
          <w:lang w:val="en-GB"/>
        </w:rPr>
      </w:pPr>
    </w:p>
  </w:footnote>
  <w:footnote w:id="170">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Alexander, R. ‘</w:t>
      </w:r>
      <w:proofErr w:type="gramStart"/>
      <w:r w:rsidRPr="000768D4">
        <w:rPr>
          <w:rFonts w:ascii="Times New Roman" w:hAnsi="Times New Roman"/>
          <w:sz w:val="20"/>
          <w:szCs w:val="20"/>
        </w:rPr>
        <w:t>Corporate</w:t>
      </w:r>
      <w:proofErr w:type="gramEnd"/>
      <w:r w:rsidRPr="000768D4">
        <w:rPr>
          <w:rFonts w:ascii="Times New Roman" w:hAnsi="Times New Roman"/>
          <w:sz w:val="20"/>
          <w:szCs w:val="20"/>
        </w:rPr>
        <w:t xml:space="preserve"> crimes: are the gloves coming off?’ (2009) Company Lawyer, 30(11), 321-322.</w:t>
      </w:r>
    </w:p>
  </w:footnote>
  <w:footnote w:id="171">
    <w:p w:rsidR="00BD0366" w:rsidRPr="000768D4" w:rsidRDefault="00BD0366" w:rsidP="000768D4">
      <w:pPr>
        <w:pStyle w:val="Heading1"/>
        <w:spacing w:before="0" w:after="0"/>
        <w:jc w:val="both"/>
        <w:rPr>
          <w:rFonts w:ascii="Times New Roman" w:hAnsi="Times New Roman"/>
          <w:b w:val="0"/>
          <w:kern w:val="36"/>
          <w:sz w:val="20"/>
          <w:szCs w:val="20"/>
          <w:lang w:val="en" w:eastAsia="en-GB"/>
        </w:rPr>
      </w:pPr>
      <w:r w:rsidRPr="000768D4">
        <w:rPr>
          <w:rStyle w:val="FootnoteReference"/>
          <w:rFonts w:ascii="Times New Roman" w:hAnsi="Times New Roman"/>
          <w:b w:val="0"/>
          <w:sz w:val="20"/>
          <w:szCs w:val="20"/>
        </w:rPr>
        <w:footnoteRef/>
      </w:r>
      <w:r w:rsidRPr="000768D4">
        <w:rPr>
          <w:rFonts w:ascii="Times New Roman" w:hAnsi="Times New Roman"/>
          <w:b w:val="0"/>
          <w:sz w:val="20"/>
          <w:szCs w:val="20"/>
        </w:rPr>
        <w:t xml:space="preserve"> </w:t>
      </w:r>
      <w:r w:rsidRPr="000768D4">
        <w:rPr>
          <w:rFonts w:ascii="Times New Roman" w:hAnsi="Times New Roman"/>
          <w:b w:val="0"/>
          <w:sz w:val="20"/>
          <w:szCs w:val="20"/>
        </w:rPr>
        <w:t xml:space="preserve">See </w:t>
      </w:r>
      <w:r w:rsidRPr="00D6148F">
        <w:rPr>
          <w:rFonts w:ascii="Times New Roman" w:hAnsi="Times New Roman"/>
          <w:b w:val="0"/>
          <w:i/>
          <w:sz w:val="20"/>
          <w:szCs w:val="20"/>
        </w:rPr>
        <w:t>R v. Christopher McQuoid</w:t>
      </w:r>
      <w:r w:rsidRPr="000768D4">
        <w:rPr>
          <w:rFonts w:ascii="Times New Roman" w:hAnsi="Times New Roman"/>
          <w:b w:val="0"/>
          <w:sz w:val="20"/>
          <w:szCs w:val="20"/>
        </w:rPr>
        <w:t xml:space="preserve"> [2009] EWCA Crim 1301 and Financial Services Authority ‘</w:t>
      </w:r>
      <w:r w:rsidRPr="000768D4">
        <w:rPr>
          <w:rFonts w:ascii="Times New Roman" w:hAnsi="Times New Roman"/>
          <w:b w:val="0"/>
          <w:kern w:val="36"/>
          <w:sz w:val="20"/>
          <w:szCs w:val="20"/>
          <w:lang w:val="en" w:eastAsia="en-GB"/>
        </w:rPr>
        <w:t xml:space="preserve">Solicitor and his father-in-law found guilty in FSA insider dealing case’, March 27 2009, available from </w:t>
      </w:r>
      <w:hyperlink r:id="rId45" w:history="1">
        <w:r w:rsidRPr="000768D4">
          <w:rPr>
            <w:rStyle w:val="Hyperlink"/>
            <w:rFonts w:ascii="Times New Roman" w:hAnsi="Times New Roman"/>
            <w:b w:val="0"/>
            <w:kern w:val="36"/>
            <w:sz w:val="20"/>
            <w:szCs w:val="20"/>
            <w:lang w:val="en" w:eastAsia="en-GB"/>
          </w:rPr>
          <w:t>http://www.fsa.gov.uk/pages/Library/Communication/PR/2009/042.shtml</w:t>
        </w:r>
      </w:hyperlink>
      <w:r w:rsidRPr="000768D4">
        <w:rPr>
          <w:rFonts w:ascii="Times New Roman" w:hAnsi="Times New Roman"/>
          <w:b w:val="0"/>
          <w:kern w:val="36"/>
          <w:sz w:val="20"/>
          <w:szCs w:val="20"/>
          <w:lang w:val="en" w:eastAsia="en-GB"/>
        </w:rPr>
        <w:t>, accessed November 4 2015.</w:t>
      </w:r>
    </w:p>
  </w:footnote>
  <w:footnote w:id="172">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Ibid.</w:t>
      </w:r>
    </w:p>
  </w:footnote>
  <w:footnote w:id="173">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Conduct Authority ‘</w:t>
      </w:r>
      <w:r w:rsidRPr="000768D4">
        <w:rPr>
          <w:rFonts w:ascii="Times New Roman" w:hAnsi="Times New Roman"/>
          <w:sz w:val="20"/>
          <w:szCs w:val="20"/>
          <w:lang w:val="en"/>
        </w:rPr>
        <w:t xml:space="preserve">FOI3519 response’, November 21 2014, available from </w:t>
      </w:r>
      <w:hyperlink r:id="rId46" w:history="1">
        <w:r w:rsidRPr="000768D4">
          <w:rPr>
            <w:rStyle w:val="Hyperlink"/>
            <w:rFonts w:ascii="Times New Roman" w:hAnsi="Times New Roman"/>
            <w:sz w:val="20"/>
            <w:szCs w:val="20"/>
            <w:lang w:val="en"/>
          </w:rPr>
          <w:t>https://www.fca.org.uk/your-fca/documents/foi/foi3519-response</w:t>
        </w:r>
      </w:hyperlink>
      <w:r w:rsidRPr="000768D4">
        <w:rPr>
          <w:rFonts w:ascii="Times New Roman" w:hAnsi="Times New Roman"/>
          <w:sz w:val="20"/>
          <w:szCs w:val="20"/>
          <w:lang w:val="en"/>
        </w:rPr>
        <w:t>, accessed November 4 2015.</w:t>
      </w:r>
    </w:p>
  </w:footnote>
  <w:footnote w:id="174">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 xml:space="preserve">The fraud policy of the Financial Services Authority can be divided into four parts and includes a direct </w:t>
      </w:r>
      <w:r w:rsidRPr="000768D4">
        <w:rPr>
          <w:rFonts w:ascii="Times New Roman" w:hAnsi="Times New Roman"/>
          <w:sz w:val="20"/>
          <w:szCs w:val="20"/>
        </w:rPr>
        <w:t xml:space="preserve">approach, increased supervisory activity, promoting a more joined up approach and Handbook modifications.  See Ryder, N. </w:t>
      </w:r>
      <w:r w:rsidRPr="000768D4">
        <w:rPr>
          <w:rFonts w:ascii="Times New Roman" w:hAnsi="Times New Roman"/>
          <w:i/>
          <w:sz w:val="20"/>
          <w:szCs w:val="20"/>
        </w:rPr>
        <w:t>Financial crime in the 21</w:t>
      </w:r>
      <w:r w:rsidRPr="000768D4">
        <w:rPr>
          <w:rFonts w:ascii="Times New Roman" w:hAnsi="Times New Roman"/>
          <w:i/>
          <w:sz w:val="20"/>
          <w:szCs w:val="20"/>
          <w:vertAlign w:val="superscript"/>
        </w:rPr>
        <w:t>st</w:t>
      </w:r>
      <w:r w:rsidRPr="000768D4">
        <w:rPr>
          <w:rFonts w:ascii="Times New Roman" w:hAnsi="Times New Roman"/>
          <w:i/>
          <w:sz w:val="20"/>
          <w:szCs w:val="20"/>
        </w:rPr>
        <w:t xml:space="preserve"> century: law and policy</w:t>
      </w:r>
      <w:r w:rsidRPr="000768D4">
        <w:rPr>
          <w:rFonts w:ascii="Times New Roman" w:hAnsi="Times New Roman"/>
          <w:sz w:val="20"/>
          <w:szCs w:val="20"/>
        </w:rPr>
        <w:t xml:space="preserve"> (Edward Elgar: Cheltenham, 2011) at 130.</w:t>
      </w:r>
    </w:p>
  </w:footnote>
  <w:footnote w:id="175">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Financial Services Authority </w:t>
      </w:r>
      <w:r w:rsidRPr="000768D4">
        <w:rPr>
          <w:rFonts w:ascii="Times New Roman" w:hAnsi="Times New Roman"/>
          <w:i/>
          <w:sz w:val="20"/>
          <w:szCs w:val="20"/>
        </w:rPr>
        <w:t>Developing our policy on fraud and dishonesty – discussion paper 26</w:t>
      </w:r>
      <w:r w:rsidRPr="000768D4">
        <w:rPr>
          <w:rFonts w:ascii="Times New Roman" w:hAnsi="Times New Roman"/>
          <w:sz w:val="20"/>
          <w:szCs w:val="20"/>
        </w:rPr>
        <w:t xml:space="preserve"> (Financial Services Authority: London, 2003) p. 18.</w:t>
      </w:r>
    </w:p>
  </w:footnote>
  <w:footnote w:id="176">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hAnsi="Times New Roman"/>
          <w:sz w:val="20"/>
          <w:szCs w:val="20"/>
        </w:rPr>
        <w:t xml:space="preserve">HM Treasury Select Committee </w:t>
      </w:r>
      <w:r w:rsidR="00437369">
        <w:rPr>
          <w:rFonts w:ascii="Times New Roman" w:hAnsi="Times New Roman"/>
          <w:sz w:val="20"/>
          <w:szCs w:val="20"/>
        </w:rPr>
        <w:t>above, n 72 at 102</w:t>
      </w:r>
      <w:r w:rsidRPr="000768D4">
        <w:rPr>
          <w:rFonts w:ascii="Times New Roman" w:hAnsi="Times New Roman"/>
          <w:sz w:val="20"/>
          <w:szCs w:val="20"/>
        </w:rPr>
        <w:t>.</w:t>
      </w:r>
      <w:proofErr w:type="gramEnd"/>
    </w:p>
  </w:footnote>
  <w:footnote w:id="177">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i/>
          <w:sz w:val="20"/>
          <w:szCs w:val="20"/>
        </w:rPr>
        <w:t>Ibid</w:t>
      </w:r>
      <w:r w:rsidRPr="000768D4">
        <w:rPr>
          <w:rFonts w:ascii="Times New Roman" w:hAnsi="Times New Roman"/>
          <w:sz w:val="20"/>
          <w:szCs w:val="20"/>
        </w:rPr>
        <w:t>.</w:t>
      </w:r>
    </w:p>
  </w:footnote>
  <w:footnote w:id="178">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Section 35 of the Banking Act 1987 provides that a person commits the offence of fraudulent inducement to make a deposit if a person “(a) makes a statement, promise or forecast which he knows to be make a deposit,  misleading, false or deceptive, or dishonestly conceals any material facts; or (b) recklessly makes (dishonestly or otherwise) a statement, promise or forecast which is misleading, false or deceptive, is guilty of an offence if he makes the statement, promise or forecast or conceals the facts for the purpose of inducing, or is reckless as to whether it may induce, another person (whether or not the person to whom the statement, promise or forecast is made or from whom the facts are concealed) – (</w:t>
      </w:r>
      <w:proofErr w:type="spellStart"/>
      <w:r w:rsidRPr="000768D4">
        <w:rPr>
          <w:rFonts w:ascii="Times New Roman" w:hAnsi="Times New Roman"/>
          <w:sz w:val="20"/>
          <w:szCs w:val="20"/>
        </w:rPr>
        <w:t>i</w:t>
      </w:r>
      <w:proofErr w:type="spellEnd"/>
      <w:r w:rsidRPr="000768D4">
        <w:rPr>
          <w:rFonts w:ascii="Times New Roman" w:hAnsi="Times New Roman"/>
          <w:sz w:val="20"/>
          <w:szCs w:val="20"/>
        </w:rPr>
        <w:t xml:space="preserve">) to make, or refrain from making, a deposit with him or any other person; or (ii) to enter, or refrain from entering, into an agreement for the purpose of making such a deposit”.  </w:t>
      </w:r>
    </w:p>
  </w:footnote>
  <w:footnote w:id="179">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hAnsi="Times New Roman"/>
          <w:sz w:val="20"/>
          <w:szCs w:val="20"/>
        </w:rPr>
        <w:t xml:space="preserve">Financial Services Authority ‘Fake stockbroker sentenced to 15 months’, 13 February 2008, available from </w:t>
      </w:r>
      <w:hyperlink r:id="rId47" w:history="1">
        <w:r w:rsidRPr="000768D4">
          <w:rPr>
            <w:rStyle w:val="Hyperlink"/>
            <w:rFonts w:ascii="Times New Roman" w:hAnsi="Times New Roman"/>
            <w:sz w:val="20"/>
            <w:szCs w:val="20"/>
          </w:rPr>
          <w:t>http://www.fsa.gov.uk/library/communication/pr/2008/011.shtml</w:t>
        </w:r>
      </w:hyperlink>
      <w:r w:rsidRPr="000768D4">
        <w:rPr>
          <w:rFonts w:ascii="Times New Roman" w:hAnsi="Times New Roman"/>
          <w:sz w:val="20"/>
          <w:szCs w:val="20"/>
        </w:rPr>
        <w:t>, accessed 12 November 2012.</w:t>
      </w:r>
      <w:proofErr w:type="gramEnd"/>
    </w:p>
  </w:footnote>
  <w:footnote w:id="180">
    <w:p w:rsidR="00BD0366" w:rsidRPr="000768D4" w:rsidRDefault="00BD0366" w:rsidP="000768D4">
      <w:pPr>
        <w:pStyle w:val="Heading1"/>
        <w:spacing w:before="0" w:after="0"/>
        <w:jc w:val="both"/>
        <w:rPr>
          <w:rFonts w:ascii="Times New Roman" w:hAnsi="Times New Roman"/>
          <w:b w:val="0"/>
          <w:sz w:val="20"/>
          <w:szCs w:val="20"/>
          <w:lang w:val="en"/>
        </w:rPr>
      </w:pPr>
      <w:r w:rsidRPr="000768D4">
        <w:rPr>
          <w:rStyle w:val="FootnoteReference"/>
          <w:rFonts w:ascii="Times New Roman" w:hAnsi="Times New Roman"/>
          <w:b w:val="0"/>
          <w:sz w:val="20"/>
          <w:szCs w:val="20"/>
        </w:rPr>
        <w:footnoteRef/>
      </w:r>
      <w:r w:rsidRPr="000768D4">
        <w:rPr>
          <w:rFonts w:ascii="Times New Roman" w:hAnsi="Times New Roman"/>
          <w:b w:val="0"/>
          <w:sz w:val="20"/>
          <w:szCs w:val="20"/>
        </w:rPr>
        <w:t xml:space="preserve"> </w:t>
      </w:r>
      <w:proofErr w:type="gramStart"/>
      <w:r w:rsidRPr="000768D4">
        <w:rPr>
          <w:rFonts w:ascii="Times New Roman" w:hAnsi="Times New Roman"/>
          <w:b w:val="0"/>
          <w:i/>
          <w:sz w:val="20"/>
          <w:szCs w:val="20"/>
          <w:lang w:val="en-GB"/>
        </w:rPr>
        <w:t>Ibid</w:t>
      </w:r>
      <w:r w:rsidRPr="000768D4">
        <w:rPr>
          <w:rFonts w:ascii="Times New Roman" w:hAnsi="Times New Roman"/>
          <w:b w:val="0"/>
          <w:sz w:val="20"/>
          <w:szCs w:val="20"/>
          <w:lang w:val="en-GB"/>
        </w:rPr>
        <w:t>.</w:t>
      </w:r>
      <w:proofErr w:type="gramEnd"/>
      <w:r w:rsidRPr="000768D4">
        <w:rPr>
          <w:rFonts w:ascii="Times New Roman" w:hAnsi="Times New Roman"/>
          <w:b w:val="0"/>
          <w:sz w:val="20"/>
          <w:szCs w:val="20"/>
        </w:rPr>
        <w:t xml:space="preserve"> </w:t>
      </w:r>
    </w:p>
  </w:footnote>
  <w:footnote w:id="181">
    <w:p w:rsidR="00BD0366" w:rsidRPr="000768D4" w:rsidRDefault="00BD0366" w:rsidP="000768D4">
      <w:pPr>
        <w:pStyle w:val="FootnoteText"/>
        <w:jc w:val="both"/>
        <w:rPr>
          <w:rFonts w:ascii="Times New Roman" w:hAnsi="Times New Roman"/>
          <w:sz w:val="20"/>
          <w:szCs w:val="20"/>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hAnsi="Times New Roman"/>
          <w:sz w:val="20"/>
          <w:szCs w:val="20"/>
        </w:rPr>
        <w:t xml:space="preserve">HM Treasury Select Committee above, n </w:t>
      </w:r>
      <w:r w:rsidR="00437369">
        <w:rPr>
          <w:rFonts w:ascii="Times New Roman" w:hAnsi="Times New Roman"/>
          <w:sz w:val="20"/>
          <w:szCs w:val="20"/>
        </w:rPr>
        <w:t xml:space="preserve">72 </w:t>
      </w:r>
      <w:r w:rsidRPr="000768D4">
        <w:rPr>
          <w:rFonts w:ascii="Times New Roman" w:hAnsi="Times New Roman"/>
          <w:sz w:val="20"/>
          <w:szCs w:val="20"/>
        </w:rPr>
        <w:t>at 103.</w:t>
      </w:r>
      <w:proofErr w:type="gramEnd"/>
    </w:p>
  </w:footnote>
  <w:footnote w:id="182">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r w:rsidRPr="000768D4">
        <w:rPr>
          <w:rFonts w:ascii="Times New Roman" w:hAnsi="Times New Roman"/>
          <w:sz w:val="20"/>
          <w:szCs w:val="20"/>
          <w:lang w:val="en-GB"/>
        </w:rPr>
        <w:t>HM Treasury ‘</w:t>
      </w:r>
      <w:r w:rsidRPr="000768D4">
        <w:rPr>
          <w:rFonts w:ascii="Times New Roman" w:hAnsi="Times New Roman"/>
          <w:sz w:val="20"/>
          <w:szCs w:val="20"/>
          <w:lang w:val="en"/>
        </w:rPr>
        <w:t xml:space="preserve">Statement by the Chancellor of the Exchequer, </w:t>
      </w:r>
      <w:proofErr w:type="spellStart"/>
      <w:r w:rsidRPr="000768D4">
        <w:rPr>
          <w:rFonts w:ascii="Times New Roman" w:hAnsi="Times New Roman"/>
          <w:sz w:val="20"/>
          <w:szCs w:val="20"/>
          <w:lang w:val="en"/>
        </w:rPr>
        <w:t>Rt</w:t>
      </w:r>
      <w:proofErr w:type="spellEnd"/>
      <w:r w:rsidRPr="000768D4">
        <w:rPr>
          <w:rFonts w:ascii="Times New Roman" w:hAnsi="Times New Roman"/>
          <w:sz w:val="20"/>
          <w:szCs w:val="20"/>
          <w:lang w:val="en"/>
        </w:rPr>
        <w:t xml:space="preserve"> Hon George Osborne MP, on LIBOR’, July 2 2012, available from </w:t>
      </w:r>
      <w:hyperlink r:id="rId48" w:history="1">
        <w:r w:rsidRPr="000768D4">
          <w:rPr>
            <w:rStyle w:val="Hyperlink"/>
            <w:rFonts w:ascii="Times New Roman" w:hAnsi="Times New Roman"/>
            <w:sz w:val="20"/>
            <w:szCs w:val="20"/>
            <w:lang w:val="en"/>
          </w:rPr>
          <w:t>https://www.gov.uk/government/speeches/statement-by-the-chancellor-of-the-exchequer-rt-hon-george-osborne-mp-on-libor</w:t>
        </w:r>
      </w:hyperlink>
      <w:r w:rsidRPr="000768D4">
        <w:rPr>
          <w:rFonts w:ascii="Times New Roman" w:hAnsi="Times New Roman"/>
          <w:sz w:val="20"/>
          <w:szCs w:val="20"/>
          <w:lang w:val="en"/>
        </w:rPr>
        <w:t xml:space="preserve">, accessed July 15 2013.  </w:t>
      </w:r>
    </w:p>
  </w:footnote>
  <w:footnote w:id="183">
    <w:p w:rsidR="00BD0366" w:rsidRPr="000768D4" w:rsidRDefault="00BD0366" w:rsidP="000768D4">
      <w:pPr>
        <w:pStyle w:val="FootnoteText"/>
        <w:jc w:val="both"/>
        <w:rPr>
          <w:rFonts w:ascii="Times New Roman" w:hAnsi="Times New Roman"/>
          <w:sz w:val="20"/>
          <w:szCs w:val="20"/>
          <w:lang w:val="en-GB"/>
        </w:rPr>
      </w:pPr>
      <w:r w:rsidRPr="000768D4">
        <w:rPr>
          <w:rStyle w:val="FootnoteReference"/>
          <w:rFonts w:ascii="Times New Roman" w:hAnsi="Times New Roman"/>
          <w:sz w:val="20"/>
          <w:szCs w:val="20"/>
        </w:rPr>
        <w:footnoteRef/>
      </w:r>
      <w:r w:rsidRPr="000768D4">
        <w:rPr>
          <w:rFonts w:ascii="Times New Roman" w:hAnsi="Times New Roman"/>
          <w:sz w:val="20"/>
          <w:szCs w:val="20"/>
        </w:rPr>
        <w:t xml:space="preserve"> </w:t>
      </w:r>
      <w:proofErr w:type="gramStart"/>
      <w:r w:rsidRPr="000768D4">
        <w:rPr>
          <w:rFonts w:ascii="Times New Roman" w:hAnsi="Times New Roman"/>
          <w:sz w:val="20"/>
          <w:szCs w:val="20"/>
          <w:lang w:val="en-GB"/>
        </w:rPr>
        <w:t>Prince.</w:t>
      </w:r>
      <w:proofErr w:type="gramEnd"/>
      <w:r w:rsidRPr="000768D4">
        <w:rPr>
          <w:rFonts w:ascii="Times New Roman" w:hAnsi="Times New Roman"/>
          <w:sz w:val="20"/>
          <w:szCs w:val="20"/>
          <w:lang w:val="en-GB"/>
        </w:rPr>
        <w:t xml:space="preserve"> R. ‘</w:t>
      </w:r>
      <w:r w:rsidRPr="000768D4">
        <w:rPr>
          <w:rFonts w:ascii="Times New Roman" w:hAnsi="Times New Roman"/>
          <w:sz w:val="20"/>
          <w:szCs w:val="20"/>
          <w:lang w:val="en"/>
        </w:rPr>
        <w:t xml:space="preserve">Cameron calls for criminal charges against bankers responsible for credit crunch’, December 15 2008, available from </w:t>
      </w:r>
      <w:hyperlink r:id="rId49" w:history="1">
        <w:r w:rsidRPr="000768D4">
          <w:rPr>
            <w:rStyle w:val="Hyperlink"/>
            <w:rFonts w:ascii="Times New Roman" w:hAnsi="Times New Roman"/>
            <w:sz w:val="20"/>
            <w:szCs w:val="20"/>
            <w:lang w:val="en"/>
          </w:rPr>
          <w:t>http://www.telegraph.co.uk/finance/financetopics/bernard-madoff/3775925/Cameron-calls-for-criminal-charges-against-bankers-responsible-for-credit-crunch.html</w:t>
        </w:r>
      </w:hyperlink>
      <w:r w:rsidRPr="000768D4">
        <w:rPr>
          <w:rFonts w:ascii="Times New Roman" w:hAnsi="Times New Roman"/>
          <w:sz w:val="20"/>
          <w:szCs w:val="20"/>
          <w:lang w:val="en"/>
        </w:rPr>
        <w:t>, accessed May 7 2013.</w:t>
      </w:r>
    </w:p>
  </w:footnote>
  <w:footnote w:id="184">
    <w:p w:rsidR="00BD0366" w:rsidRPr="000768D4" w:rsidRDefault="00BD0366" w:rsidP="000768D4">
      <w:pPr>
        <w:pStyle w:val="Heading1"/>
        <w:spacing w:before="0" w:after="0"/>
        <w:jc w:val="both"/>
        <w:rPr>
          <w:rFonts w:ascii="Times New Roman" w:hAnsi="Times New Roman"/>
          <w:b w:val="0"/>
          <w:kern w:val="36"/>
          <w:sz w:val="20"/>
          <w:szCs w:val="20"/>
          <w:lang w:val="en" w:eastAsia="en-GB"/>
        </w:rPr>
      </w:pPr>
      <w:r w:rsidRPr="000768D4">
        <w:rPr>
          <w:rStyle w:val="FootnoteReference"/>
          <w:rFonts w:ascii="Times New Roman" w:hAnsi="Times New Roman"/>
          <w:b w:val="0"/>
          <w:sz w:val="20"/>
          <w:szCs w:val="20"/>
        </w:rPr>
        <w:footnoteRef/>
      </w:r>
      <w:r w:rsidRPr="000768D4">
        <w:rPr>
          <w:rFonts w:ascii="Times New Roman" w:hAnsi="Times New Roman"/>
          <w:b w:val="0"/>
          <w:sz w:val="20"/>
          <w:szCs w:val="20"/>
        </w:rPr>
        <w:t xml:space="preserve"> </w:t>
      </w:r>
      <w:r w:rsidRPr="000768D4">
        <w:rPr>
          <w:rFonts w:ascii="Times New Roman" w:hAnsi="Times New Roman"/>
          <w:b w:val="0"/>
          <w:sz w:val="20"/>
          <w:szCs w:val="20"/>
          <w:lang w:val="en-GB"/>
        </w:rPr>
        <w:t>Conservatives ‘</w:t>
      </w:r>
      <w:r w:rsidRPr="000768D4">
        <w:rPr>
          <w:rFonts w:ascii="Times New Roman" w:hAnsi="Times New Roman"/>
          <w:b w:val="0"/>
          <w:kern w:val="36"/>
          <w:sz w:val="20"/>
          <w:szCs w:val="20"/>
          <w:lang w:val="en" w:eastAsia="en-GB"/>
        </w:rPr>
        <w:t xml:space="preserve">David Cameron: A day of reckoning’, December 15 2008, available from </w:t>
      </w:r>
      <w:hyperlink r:id="rId50" w:history="1">
        <w:r w:rsidRPr="000768D4">
          <w:rPr>
            <w:rStyle w:val="Hyperlink"/>
            <w:rFonts w:ascii="Times New Roman" w:hAnsi="Times New Roman"/>
            <w:b w:val="0"/>
            <w:kern w:val="36"/>
            <w:sz w:val="20"/>
            <w:szCs w:val="20"/>
            <w:lang w:val="en" w:eastAsia="en-GB"/>
          </w:rPr>
          <w:t>http://www.conservatives.com/News/Speeches/2008/12/David_Cameron_A_day_of_reckoning.aspx</w:t>
        </w:r>
      </w:hyperlink>
      <w:r w:rsidRPr="000768D4">
        <w:rPr>
          <w:rFonts w:ascii="Times New Roman" w:hAnsi="Times New Roman"/>
          <w:b w:val="0"/>
          <w:kern w:val="36"/>
          <w:sz w:val="20"/>
          <w:szCs w:val="20"/>
          <w:lang w:val="en" w:eastAsia="en-GB"/>
        </w:rPr>
        <w:t>, accessed June 29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034E60"/>
    <w:multiLevelType w:val="hybridMultilevel"/>
    <w:tmpl w:val="7EC546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C23CEF"/>
    <w:multiLevelType w:val="hybridMultilevel"/>
    <w:tmpl w:val="95EE7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815A77"/>
    <w:multiLevelType w:val="hybridMultilevel"/>
    <w:tmpl w:val="E1786DE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CDAA87D0">
      <w:numFmt w:val="bullet"/>
      <w:lvlText w:val=""/>
      <w:lvlJc w:val="left"/>
      <w:pPr>
        <w:ind w:left="3240" w:hanging="360"/>
      </w:pPr>
      <w:rPr>
        <w:rFonts w:ascii="Wingdings" w:eastAsia="SimSun" w:hAnsi="Wingdings" w:cs="Times New Roman"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4D27317"/>
    <w:multiLevelType w:val="hybridMultilevel"/>
    <w:tmpl w:val="3168E1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4C0397"/>
    <w:multiLevelType w:val="multilevel"/>
    <w:tmpl w:val="B3CE5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CC1951"/>
    <w:multiLevelType w:val="hybridMultilevel"/>
    <w:tmpl w:val="AE7EC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C24FDF"/>
    <w:multiLevelType w:val="hybridMultilevel"/>
    <w:tmpl w:val="C0A05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273F30"/>
    <w:multiLevelType w:val="hybridMultilevel"/>
    <w:tmpl w:val="991A1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6D63FF"/>
    <w:multiLevelType w:val="hybridMultilevel"/>
    <w:tmpl w:val="F3162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370627"/>
    <w:multiLevelType w:val="multilevel"/>
    <w:tmpl w:val="8DFC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F4E50"/>
    <w:multiLevelType w:val="multilevel"/>
    <w:tmpl w:val="251C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5646AA"/>
    <w:multiLevelType w:val="multilevel"/>
    <w:tmpl w:val="429850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EE28DD"/>
    <w:multiLevelType w:val="multilevel"/>
    <w:tmpl w:val="BE101E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7E2542"/>
    <w:multiLevelType w:val="hybridMultilevel"/>
    <w:tmpl w:val="64103356"/>
    <w:lvl w:ilvl="0" w:tplc="08090019">
      <w:start w:val="2"/>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F24C52"/>
    <w:multiLevelType w:val="hybridMultilevel"/>
    <w:tmpl w:val="6D3AD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4A2F0E"/>
    <w:multiLevelType w:val="hybridMultilevel"/>
    <w:tmpl w:val="F5A41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CA6A6B"/>
    <w:multiLevelType w:val="hybridMultilevel"/>
    <w:tmpl w:val="C0EC9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B91B76"/>
    <w:multiLevelType w:val="hybridMultilevel"/>
    <w:tmpl w:val="A3CA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3126ED"/>
    <w:multiLevelType w:val="multilevel"/>
    <w:tmpl w:val="168E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974798"/>
    <w:multiLevelType w:val="multilevel"/>
    <w:tmpl w:val="8DB2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8F4F3D"/>
    <w:multiLevelType w:val="hybridMultilevel"/>
    <w:tmpl w:val="586CB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C4380E"/>
    <w:multiLevelType w:val="multilevel"/>
    <w:tmpl w:val="5008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C10565"/>
    <w:multiLevelType w:val="hybridMultilevel"/>
    <w:tmpl w:val="24F07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597A90"/>
    <w:multiLevelType w:val="hybridMultilevel"/>
    <w:tmpl w:val="577A7032"/>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9C6716"/>
    <w:multiLevelType w:val="multilevel"/>
    <w:tmpl w:val="EDF2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121434"/>
    <w:multiLevelType w:val="hybridMultilevel"/>
    <w:tmpl w:val="A1CA4E04"/>
    <w:lvl w:ilvl="0" w:tplc="CF5EDF86">
      <w:start w:val="1"/>
      <w:numFmt w:val="bullet"/>
      <w:pStyle w:val="bulletlis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D8F062D"/>
    <w:multiLevelType w:val="hybridMultilevel"/>
    <w:tmpl w:val="373C5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203057"/>
    <w:multiLevelType w:val="multilevel"/>
    <w:tmpl w:val="1B840DE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62E12BEF"/>
    <w:multiLevelType w:val="hybridMultilevel"/>
    <w:tmpl w:val="34FC09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C655FE"/>
    <w:multiLevelType w:val="hybridMultilevel"/>
    <w:tmpl w:val="8994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681042"/>
    <w:multiLevelType w:val="multilevel"/>
    <w:tmpl w:val="D6D6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8B0B73"/>
    <w:multiLevelType w:val="multilevel"/>
    <w:tmpl w:val="1B840DE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74B47C2A"/>
    <w:multiLevelType w:val="hybridMultilevel"/>
    <w:tmpl w:val="2FF678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F93EA1"/>
    <w:multiLevelType w:val="hybridMultilevel"/>
    <w:tmpl w:val="D4788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747CB8"/>
    <w:multiLevelType w:val="multilevel"/>
    <w:tmpl w:val="EDB6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CD1F37"/>
    <w:multiLevelType w:val="hybridMultilevel"/>
    <w:tmpl w:val="577A7032"/>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FD3910"/>
    <w:multiLevelType w:val="multilevel"/>
    <w:tmpl w:val="1B840DE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7CB1787E"/>
    <w:multiLevelType w:val="multilevel"/>
    <w:tmpl w:val="8EE2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E876CA"/>
    <w:multiLevelType w:val="hybridMultilevel"/>
    <w:tmpl w:val="E370B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0"/>
  </w:num>
  <w:num w:numId="3">
    <w:abstractNumId w:val="29"/>
  </w:num>
  <w:num w:numId="4">
    <w:abstractNumId w:val="3"/>
  </w:num>
  <w:num w:numId="5">
    <w:abstractNumId w:val="11"/>
  </w:num>
  <w:num w:numId="6">
    <w:abstractNumId w:val="2"/>
  </w:num>
  <w:num w:numId="7">
    <w:abstractNumId w:val="26"/>
  </w:num>
  <w:num w:numId="8">
    <w:abstractNumId w:val="22"/>
  </w:num>
  <w:num w:numId="9">
    <w:abstractNumId w:val="32"/>
  </w:num>
  <w:num w:numId="10">
    <w:abstractNumId w:val="8"/>
  </w:num>
  <w:num w:numId="11">
    <w:abstractNumId w:val="13"/>
  </w:num>
  <w:num w:numId="12">
    <w:abstractNumId w:val="23"/>
  </w:num>
  <w:num w:numId="13">
    <w:abstractNumId w:val="35"/>
  </w:num>
  <w:num w:numId="14">
    <w:abstractNumId w:val="15"/>
  </w:num>
  <w:num w:numId="15">
    <w:abstractNumId w:val="5"/>
  </w:num>
  <w:num w:numId="16">
    <w:abstractNumId w:val="16"/>
  </w:num>
  <w:num w:numId="17">
    <w:abstractNumId w:val="25"/>
  </w:num>
  <w:num w:numId="18">
    <w:abstractNumId w:val="7"/>
  </w:num>
  <w:num w:numId="19">
    <w:abstractNumId w:val="1"/>
  </w:num>
  <w:num w:numId="20">
    <w:abstractNumId w:val="6"/>
  </w:num>
  <w:num w:numId="21">
    <w:abstractNumId w:val="17"/>
  </w:num>
  <w:num w:numId="22">
    <w:abstractNumId w:val="0"/>
  </w:num>
  <w:num w:numId="23">
    <w:abstractNumId w:val="34"/>
  </w:num>
  <w:num w:numId="24">
    <w:abstractNumId w:val="38"/>
  </w:num>
  <w:num w:numId="25">
    <w:abstractNumId w:val="27"/>
  </w:num>
  <w:num w:numId="26">
    <w:abstractNumId w:val="19"/>
  </w:num>
  <w:num w:numId="27">
    <w:abstractNumId w:val="36"/>
  </w:num>
  <w:num w:numId="28">
    <w:abstractNumId w:val="31"/>
  </w:num>
  <w:num w:numId="29">
    <w:abstractNumId w:val="10"/>
  </w:num>
  <w:num w:numId="30">
    <w:abstractNumId w:val="37"/>
  </w:num>
  <w:num w:numId="31">
    <w:abstractNumId w:val="12"/>
  </w:num>
  <w:num w:numId="32">
    <w:abstractNumId w:val="18"/>
  </w:num>
  <w:num w:numId="33">
    <w:abstractNumId w:val="21"/>
  </w:num>
  <w:num w:numId="34">
    <w:abstractNumId w:val="24"/>
  </w:num>
  <w:num w:numId="35">
    <w:abstractNumId w:val="30"/>
  </w:num>
  <w:num w:numId="36">
    <w:abstractNumId w:val="9"/>
  </w:num>
  <w:num w:numId="37">
    <w:abstractNumId w:val="4"/>
  </w:num>
  <w:num w:numId="38">
    <w:abstractNumId w:val="3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B1"/>
    <w:rsid w:val="00021AB1"/>
    <w:rsid w:val="00043976"/>
    <w:rsid w:val="000768D4"/>
    <w:rsid w:val="00082873"/>
    <w:rsid w:val="00086D0C"/>
    <w:rsid w:val="00117A51"/>
    <w:rsid w:val="00121F69"/>
    <w:rsid w:val="00124F98"/>
    <w:rsid w:val="00165D6D"/>
    <w:rsid w:val="0017668D"/>
    <w:rsid w:val="001E43CF"/>
    <w:rsid w:val="00263986"/>
    <w:rsid w:val="002647BB"/>
    <w:rsid w:val="002765D1"/>
    <w:rsid w:val="002C7C01"/>
    <w:rsid w:val="002D029F"/>
    <w:rsid w:val="002F7138"/>
    <w:rsid w:val="00353A6B"/>
    <w:rsid w:val="003A0CF6"/>
    <w:rsid w:val="003A586E"/>
    <w:rsid w:val="003D6820"/>
    <w:rsid w:val="00430273"/>
    <w:rsid w:val="00437369"/>
    <w:rsid w:val="0046282A"/>
    <w:rsid w:val="004A3368"/>
    <w:rsid w:val="004A4558"/>
    <w:rsid w:val="004A5637"/>
    <w:rsid w:val="004B2B65"/>
    <w:rsid w:val="004D3D0B"/>
    <w:rsid w:val="004D6919"/>
    <w:rsid w:val="004E1AB7"/>
    <w:rsid w:val="00503207"/>
    <w:rsid w:val="00504D80"/>
    <w:rsid w:val="0053369B"/>
    <w:rsid w:val="00534E0A"/>
    <w:rsid w:val="00591887"/>
    <w:rsid w:val="005A49A3"/>
    <w:rsid w:val="006014B5"/>
    <w:rsid w:val="006B6084"/>
    <w:rsid w:val="007270ED"/>
    <w:rsid w:val="00736EC6"/>
    <w:rsid w:val="007372A2"/>
    <w:rsid w:val="00752D14"/>
    <w:rsid w:val="007626CD"/>
    <w:rsid w:val="00765DD0"/>
    <w:rsid w:val="007D68E8"/>
    <w:rsid w:val="00806DA6"/>
    <w:rsid w:val="00844C3F"/>
    <w:rsid w:val="008C78FD"/>
    <w:rsid w:val="00957912"/>
    <w:rsid w:val="0097369E"/>
    <w:rsid w:val="00A00BFE"/>
    <w:rsid w:val="00A22E88"/>
    <w:rsid w:val="00A26E01"/>
    <w:rsid w:val="00A316C3"/>
    <w:rsid w:val="00A4558D"/>
    <w:rsid w:val="00A658C6"/>
    <w:rsid w:val="00A75A0A"/>
    <w:rsid w:val="00A913AB"/>
    <w:rsid w:val="00A96A67"/>
    <w:rsid w:val="00AA0FC7"/>
    <w:rsid w:val="00AB2CB1"/>
    <w:rsid w:val="00AC37D3"/>
    <w:rsid w:val="00AC491C"/>
    <w:rsid w:val="00AE684C"/>
    <w:rsid w:val="00B0530F"/>
    <w:rsid w:val="00B60762"/>
    <w:rsid w:val="00BB20E6"/>
    <w:rsid w:val="00BD0366"/>
    <w:rsid w:val="00C468E1"/>
    <w:rsid w:val="00C5662D"/>
    <w:rsid w:val="00CC6AD6"/>
    <w:rsid w:val="00D6148F"/>
    <w:rsid w:val="00D7018B"/>
    <w:rsid w:val="00D8254B"/>
    <w:rsid w:val="00DE54AF"/>
    <w:rsid w:val="00E60A97"/>
    <w:rsid w:val="00E97C13"/>
    <w:rsid w:val="00EA4301"/>
    <w:rsid w:val="00EE1F22"/>
    <w:rsid w:val="00F00F8A"/>
    <w:rsid w:val="00F83962"/>
    <w:rsid w:val="00F8401F"/>
    <w:rsid w:val="00FE0B7D"/>
    <w:rsid w:val="00FE3CB8"/>
    <w:rsid w:val="00FE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2CB1"/>
    <w:pPr>
      <w:keepNext/>
      <w:spacing w:before="240" w:after="60" w:line="240" w:lineRule="auto"/>
      <w:outlineLvl w:val="0"/>
    </w:pPr>
    <w:rPr>
      <w:rFonts w:ascii="Cambria" w:eastAsia="Times New Roman" w:hAnsi="Cambria" w:cs="Times New Roman"/>
      <w:b/>
      <w:bCs/>
      <w:kern w:val="32"/>
      <w:sz w:val="32"/>
      <w:szCs w:val="32"/>
      <w:lang w:val="x-none" w:eastAsia="zh-CN"/>
    </w:rPr>
  </w:style>
  <w:style w:type="paragraph" w:styleId="Heading2">
    <w:name w:val="heading 2"/>
    <w:basedOn w:val="Normal"/>
    <w:next w:val="Normal"/>
    <w:link w:val="Heading2Char"/>
    <w:uiPriority w:val="9"/>
    <w:unhideWhenUsed/>
    <w:qFormat/>
    <w:rsid w:val="00AB2CB1"/>
    <w:pPr>
      <w:keepNext/>
      <w:spacing w:before="240" w:after="60" w:line="240" w:lineRule="auto"/>
      <w:outlineLvl w:val="1"/>
    </w:pPr>
    <w:rPr>
      <w:rFonts w:ascii="Cambria" w:eastAsia="Times New Roman" w:hAnsi="Cambria" w:cs="Times New Roman"/>
      <w:b/>
      <w:bCs/>
      <w:i/>
      <w:iCs/>
      <w:sz w:val="28"/>
      <w:szCs w:val="28"/>
      <w:lang w:eastAsia="en-GB"/>
    </w:rPr>
  </w:style>
  <w:style w:type="paragraph" w:styleId="Heading3">
    <w:name w:val="heading 3"/>
    <w:basedOn w:val="Normal"/>
    <w:next w:val="Normal"/>
    <w:link w:val="Heading3Char"/>
    <w:uiPriority w:val="9"/>
    <w:semiHidden/>
    <w:unhideWhenUsed/>
    <w:qFormat/>
    <w:rsid w:val="00AB2CB1"/>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CB1"/>
    <w:rPr>
      <w:rFonts w:ascii="Cambria" w:eastAsia="Times New Roman" w:hAnsi="Cambria" w:cs="Times New Roman"/>
      <w:b/>
      <w:bCs/>
      <w:kern w:val="32"/>
      <w:sz w:val="32"/>
      <w:szCs w:val="32"/>
      <w:lang w:val="x-none" w:eastAsia="zh-CN"/>
    </w:rPr>
  </w:style>
  <w:style w:type="character" w:customStyle="1" w:styleId="Heading2Char">
    <w:name w:val="Heading 2 Char"/>
    <w:basedOn w:val="DefaultParagraphFont"/>
    <w:link w:val="Heading2"/>
    <w:uiPriority w:val="9"/>
    <w:rsid w:val="00AB2CB1"/>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uiPriority w:val="9"/>
    <w:semiHidden/>
    <w:rsid w:val="00AB2CB1"/>
    <w:rPr>
      <w:rFonts w:ascii="Cambria" w:eastAsia="Times New Roman" w:hAnsi="Cambria" w:cs="Times New Roman"/>
      <w:b/>
      <w:bCs/>
      <w:sz w:val="26"/>
      <w:szCs w:val="26"/>
      <w:lang w:eastAsia="en-GB"/>
    </w:rPr>
  </w:style>
  <w:style w:type="numbering" w:customStyle="1" w:styleId="NoList1">
    <w:name w:val="No List1"/>
    <w:next w:val="NoList"/>
    <w:uiPriority w:val="99"/>
    <w:semiHidden/>
    <w:unhideWhenUsed/>
    <w:rsid w:val="00AB2CB1"/>
  </w:style>
  <w:style w:type="paragraph" w:styleId="FootnoteText">
    <w:name w:val="footnote text"/>
    <w:basedOn w:val="Normal"/>
    <w:link w:val="FootnoteTextChar"/>
    <w:uiPriority w:val="99"/>
    <w:unhideWhenUsed/>
    <w:rsid w:val="00AB2CB1"/>
    <w:pPr>
      <w:spacing w:after="0" w:line="240" w:lineRule="auto"/>
    </w:pPr>
    <w:rPr>
      <w:rFonts w:ascii="Cambria" w:eastAsia="MS Mincho" w:hAnsi="Cambria" w:cs="Times New Roman"/>
      <w:sz w:val="24"/>
      <w:szCs w:val="24"/>
      <w:lang w:val="en-US"/>
    </w:rPr>
  </w:style>
  <w:style w:type="character" w:customStyle="1" w:styleId="FootnoteTextChar">
    <w:name w:val="Footnote Text Char"/>
    <w:basedOn w:val="DefaultParagraphFont"/>
    <w:link w:val="FootnoteText"/>
    <w:uiPriority w:val="99"/>
    <w:rsid w:val="00AB2CB1"/>
    <w:rPr>
      <w:rFonts w:ascii="Cambria" w:eastAsia="MS Mincho" w:hAnsi="Cambria" w:cs="Times New Roman"/>
      <w:sz w:val="24"/>
      <w:szCs w:val="24"/>
      <w:lang w:val="en-US"/>
    </w:rPr>
  </w:style>
  <w:style w:type="character" w:styleId="FootnoteReference">
    <w:name w:val="footnote reference"/>
    <w:aliases w:val="Standard + Block,Erste Zeile:  1 cm"/>
    <w:uiPriority w:val="99"/>
    <w:unhideWhenUsed/>
    <w:rsid w:val="00AB2CB1"/>
    <w:rPr>
      <w:vertAlign w:val="superscript"/>
    </w:rPr>
  </w:style>
  <w:style w:type="character" w:styleId="Hyperlink">
    <w:name w:val="Hyperlink"/>
    <w:uiPriority w:val="99"/>
    <w:unhideWhenUsed/>
    <w:rsid w:val="00AB2CB1"/>
    <w:rPr>
      <w:color w:val="0000FF"/>
      <w:u w:val="single"/>
    </w:rPr>
  </w:style>
  <w:style w:type="paragraph" w:styleId="ListParagraph">
    <w:name w:val="List Paragraph"/>
    <w:basedOn w:val="Normal"/>
    <w:uiPriority w:val="34"/>
    <w:qFormat/>
    <w:rsid w:val="00AB2CB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rsid w:val="00AB2C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AB2CB1"/>
  </w:style>
  <w:style w:type="character" w:styleId="Strong">
    <w:name w:val="Strong"/>
    <w:uiPriority w:val="22"/>
    <w:qFormat/>
    <w:rsid w:val="00AB2CB1"/>
    <w:rPr>
      <w:b/>
      <w:bCs/>
    </w:rPr>
  </w:style>
  <w:style w:type="character" w:styleId="Emphasis">
    <w:name w:val="Emphasis"/>
    <w:uiPriority w:val="20"/>
    <w:qFormat/>
    <w:rsid w:val="00AB2CB1"/>
    <w:rPr>
      <w:i/>
      <w:iCs/>
    </w:rPr>
  </w:style>
  <w:style w:type="paragraph" w:styleId="Header">
    <w:name w:val="header"/>
    <w:basedOn w:val="Normal"/>
    <w:link w:val="HeaderChar"/>
    <w:uiPriority w:val="99"/>
    <w:unhideWhenUsed/>
    <w:rsid w:val="00AB2CB1"/>
    <w:pPr>
      <w:tabs>
        <w:tab w:val="center" w:pos="4513"/>
        <w:tab w:val="right" w:pos="902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AB2CB1"/>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AB2CB1"/>
    <w:pPr>
      <w:tabs>
        <w:tab w:val="center" w:pos="4513"/>
        <w:tab w:val="right" w:pos="902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B2CB1"/>
    <w:rPr>
      <w:rFonts w:ascii="Times New Roman" w:eastAsia="Times New Roman" w:hAnsi="Times New Roman" w:cs="Times New Roman"/>
      <w:sz w:val="24"/>
      <w:szCs w:val="20"/>
      <w:lang w:eastAsia="en-GB"/>
    </w:rPr>
  </w:style>
  <w:style w:type="paragraph" w:customStyle="1" w:styleId="Default">
    <w:name w:val="Default"/>
    <w:rsid w:val="00AB2C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AB2CB1"/>
    <w:rPr>
      <w:sz w:val="16"/>
      <w:szCs w:val="16"/>
    </w:rPr>
  </w:style>
  <w:style w:type="paragraph" w:styleId="CommentText">
    <w:name w:val="annotation text"/>
    <w:basedOn w:val="Normal"/>
    <w:link w:val="CommentTextChar"/>
    <w:uiPriority w:val="99"/>
    <w:semiHidden/>
    <w:unhideWhenUsed/>
    <w:rsid w:val="00AB2CB1"/>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B2CB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B2CB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AB2CB1"/>
    <w:rPr>
      <w:rFonts w:ascii="Tahoma" w:eastAsia="Times New Roman" w:hAnsi="Tahoma" w:cs="Tahoma"/>
      <w:sz w:val="16"/>
      <w:szCs w:val="16"/>
      <w:lang w:eastAsia="en-GB"/>
    </w:rPr>
  </w:style>
  <w:style w:type="character" w:styleId="HTMLCite">
    <w:name w:val="HTML Cite"/>
    <w:uiPriority w:val="99"/>
    <w:semiHidden/>
    <w:unhideWhenUsed/>
    <w:rsid w:val="00AB2CB1"/>
    <w:rPr>
      <w:i/>
      <w:iCs/>
    </w:rPr>
  </w:style>
  <w:style w:type="paragraph" w:customStyle="1" w:styleId="intro">
    <w:name w:val="intro"/>
    <w:basedOn w:val="Normal"/>
    <w:rsid w:val="00AB2CB1"/>
    <w:pPr>
      <w:spacing w:after="100" w:afterAutospacing="1" w:line="240" w:lineRule="auto"/>
    </w:pPr>
    <w:rPr>
      <w:rFonts w:ascii="Arial" w:eastAsia="Times New Roman" w:hAnsi="Arial" w:cs="Arial"/>
      <w:sz w:val="26"/>
      <w:szCs w:val="26"/>
      <w:lang w:eastAsia="en-GB"/>
    </w:rPr>
  </w:style>
  <w:style w:type="paragraph" w:customStyle="1" w:styleId="Normaltext">
    <w:name w:val="Normal text"/>
    <w:qFormat/>
    <w:rsid w:val="00AB2CB1"/>
    <w:pPr>
      <w:spacing w:after="0" w:line="480" w:lineRule="auto"/>
      <w:jc w:val="both"/>
    </w:pPr>
    <w:rPr>
      <w:rFonts w:ascii="Times" w:eastAsia="Times New Roman" w:hAnsi="Times" w:cs="Times"/>
      <w:lang w:val="en-US" w:eastAsia="ar-SA"/>
    </w:rPr>
  </w:style>
  <w:style w:type="paragraph" w:customStyle="1" w:styleId="AHeading">
    <w:name w:val="A Heading"/>
    <w:qFormat/>
    <w:rsid w:val="00AB2CB1"/>
    <w:pPr>
      <w:spacing w:after="0" w:line="480" w:lineRule="auto"/>
    </w:pPr>
    <w:rPr>
      <w:rFonts w:ascii="Times" w:eastAsia="Times New Roman" w:hAnsi="Times" w:cs="Times"/>
      <w:b/>
      <w:lang w:val="en-US" w:eastAsia="ar-SA"/>
    </w:rPr>
  </w:style>
  <w:style w:type="paragraph" w:customStyle="1" w:styleId="BHeading">
    <w:name w:val="B Heading"/>
    <w:next w:val="Normaltext"/>
    <w:qFormat/>
    <w:rsid w:val="00AB2CB1"/>
    <w:pPr>
      <w:spacing w:after="0" w:line="480" w:lineRule="auto"/>
    </w:pPr>
    <w:rPr>
      <w:rFonts w:ascii="Times" w:eastAsia="Times New Roman" w:hAnsi="Times" w:cs="Times"/>
      <w:i/>
      <w:lang w:val="en-US" w:eastAsia="ar-SA"/>
    </w:rPr>
  </w:style>
  <w:style w:type="paragraph" w:customStyle="1" w:styleId="FootnoteSocSci">
    <w:name w:val="Footnote SocSci"/>
    <w:rsid w:val="00AB2CB1"/>
    <w:pPr>
      <w:spacing w:after="0" w:line="240" w:lineRule="auto"/>
      <w:jc w:val="both"/>
    </w:pPr>
    <w:rPr>
      <w:rFonts w:ascii="Times" w:eastAsia="Times New Roman" w:hAnsi="Times" w:cs="Times"/>
      <w:sz w:val="18"/>
      <w:lang w:val="en-US" w:eastAsia="ar-SA"/>
    </w:rPr>
  </w:style>
  <w:style w:type="paragraph" w:customStyle="1" w:styleId="Letteredlist">
    <w:name w:val="Lettered list"/>
    <w:next w:val="Normaltext"/>
    <w:qFormat/>
    <w:rsid w:val="00AB2CB1"/>
    <w:pPr>
      <w:spacing w:after="0" w:line="480" w:lineRule="auto"/>
      <w:jc w:val="both"/>
    </w:pPr>
    <w:rPr>
      <w:rFonts w:ascii="Times" w:eastAsia="Times New Roman" w:hAnsi="Times" w:cs="Times"/>
      <w:lang w:val="en-US" w:eastAsia="ar-SA"/>
    </w:rPr>
  </w:style>
  <w:style w:type="paragraph" w:customStyle="1" w:styleId="bulletlist">
    <w:name w:val="bullet list"/>
    <w:next w:val="Normaltext"/>
    <w:qFormat/>
    <w:rsid w:val="00AB2CB1"/>
    <w:pPr>
      <w:numPr>
        <w:numId w:val="17"/>
      </w:numPr>
      <w:spacing w:after="0" w:line="480" w:lineRule="auto"/>
    </w:pPr>
    <w:rPr>
      <w:rFonts w:ascii="Times" w:eastAsia="Times New Roman" w:hAnsi="Times" w:cs="Times"/>
      <w:lang w:val="en-US" w:eastAsia="ar-SA"/>
    </w:rPr>
  </w:style>
  <w:style w:type="paragraph" w:customStyle="1" w:styleId="NormalWeb17">
    <w:name w:val="Normal (Web)17"/>
    <w:basedOn w:val="Normal"/>
    <w:rsid w:val="00AB2CB1"/>
    <w:pPr>
      <w:spacing w:after="240" w:line="240" w:lineRule="auto"/>
    </w:pPr>
    <w:rPr>
      <w:rFonts w:ascii="Times New Roman" w:eastAsia="SimSun" w:hAnsi="Times New Roman" w:cs="Times New Roman"/>
      <w:sz w:val="23"/>
      <w:szCs w:val="23"/>
      <w:lang w:eastAsia="zh-CN"/>
    </w:rPr>
  </w:style>
  <w:style w:type="paragraph" w:customStyle="1" w:styleId="NormalWeb16">
    <w:name w:val="Normal (Web)16"/>
    <w:basedOn w:val="Normal"/>
    <w:rsid w:val="00AB2CB1"/>
    <w:pPr>
      <w:spacing w:after="240" w:line="240" w:lineRule="auto"/>
    </w:pPr>
    <w:rPr>
      <w:rFonts w:ascii="Times New Roman" w:eastAsia="Times New Roman" w:hAnsi="Times New Roman" w:cs="Times New Roman"/>
      <w:sz w:val="23"/>
      <w:szCs w:val="23"/>
      <w:lang w:eastAsia="en-GB"/>
    </w:rPr>
  </w:style>
  <w:style w:type="paragraph" w:customStyle="1" w:styleId="center1">
    <w:name w:val="center1"/>
    <w:basedOn w:val="Normal"/>
    <w:rsid w:val="00AB2CB1"/>
    <w:pPr>
      <w:spacing w:after="0" w:line="240" w:lineRule="auto"/>
      <w:jc w:val="center"/>
    </w:pPr>
    <w:rPr>
      <w:rFonts w:ascii="Times New Roman" w:eastAsia="Times New Roman" w:hAnsi="Times New Roman" w:cs="Times New Roman"/>
      <w:sz w:val="24"/>
      <w:szCs w:val="24"/>
      <w:lang w:eastAsia="en-GB"/>
    </w:rPr>
  </w:style>
  <w:style w:type="paragraph" w:customStyle="1" w:styleId="legclearfix2">
    <w:name w:val="legclearfix2"/>
    <w:basedOn w:val="Normal"/>
    <w:rsid w:val="00AB2CB1"/>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rsid w:val="00AB2CB1"/>
    <w:rPr>
      <w:vanish w:val="0"/>
      <w:webHidden w:val="0"/>
      <w:specVanish w:val="0"/>
    </w:rPr>
  </w:style>
  <w:style w:type="paragraph" w:customStyle="1" w:styleId="last-child">
    <w:name w:val="last-child"/>
    <w:basedOn w:val="Normal"/>
    <w:rsid w:val="00AB2C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B2CB1"/>
    <w:pPr>
      <w:spacing w:after="0" w:line="240" w:lineRule="auto"/>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AB2CB1"/>
    <w:rPr>
      <w:rFonts w:ascii="Times New Roman" w:eastAsia="Times New Roman" w:hAnsi="Times New Roman" w:cs="Times New Roman"/>
      <w:b/>
      <w:bCs/>
      <w:sz w:val="20"/>
      <w:szCs w:val="20"/>
      <w:lang w:eastAsia="en-GB"/>
    </w:rPr>
  </w:style>
  <w:style w:type="character" w:customStyle="1" w:styleId="normal1">
    <w:name w:val="normal1"/>
    <w:rsid w:val="00AB2CB1"/>
    <w:rPr>
      <w:rFonts w:ascii="Verdana" w:hAnsi="Verdana" w:hint="default"/>
      <w:b w:val="0"/>
      <w:bCs w:val="0"/>
      <w:sz w:val="19"/>
      <w:szCs w:val="19"/>
    </w:rPr>
  </w:style>
  <w:style w:type="paragraph" w:customStyle="1" w:styleId="FootnoteText1">
    <w:name w:val="Footnote Text1"/>
    <w:basedOn w:val="Footer"/>
    <w:rsid w:val="00AB2CB1"/>
    <w:pPr>
      <w:tabs>
        <w:tab w:val="clear" w:pos="4513"/>
        <w:tab w:val="clear" w:pos="9026"/>
      </w:tabs>
      <w:ind w:left="360" w:hanging="360"/>
      <w:jc w:val="both"/>
    </w:pPr>
    <w:rPr>
      <w:sz w:val="17"/>
      <w:szCs w:val="21"/>
      <w:lang w:val="en-US" w:eastAsia="en-US"/>
    </w:rPr>
  </w:style>
  <w:style w:type="character" w:customStyle="1" w:styleId="personname">
    <w:name w:val="person_name"/>
    <w:rsid w:val="00AB2CB1"/>
  </w:style>
  <w:style w:type="character" w:customStyle="1" w:styleId="searchterm1">
    <w:name w:val="searchterm1"/>
    <w:rsid w:val="00AB2CB1"/>
    <w:rPr>
      <w:b/>
      <w:bCs/>
      <w:shd w:val="clear" w:color="auto" w:fill="FFFF00"/>
    </w:rPr>
  </w:style>
  <w:style w:type="paragraph" w:customStyle="1" w:styleId="graphicboxheader">
    <w:name w:val="graphicboxheader"/>
    <w:basedOn w:val="Normal"/>
    <w:rsid w:val="00F00F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lackgraphtx">
    <w:name w:val="blackgraphtx"/>
    <w:basedOn w:val="DefaultParagraphFont"/>
    <w:rsid w:val="00F00F8A"/>
  </w:style>
  <w:style w:type="character" w:customStyle="1" w:styleId="A2">
    <w:name w:val="A2"/>
    <w:uiPriority w:val="99"/>
    <w:rsid w:val="00F00F8A"/>
    <w:rPr>
      <w:rFonts w:cs="Omnes"/>
      <w:color w:val="000000"/>
      <w:sz w:val="40"/>
      <w:szCs w:val="40"/>
    </w:rPr>
  </w:style>
  <w:style w:type="character" w:customStyle="1" w:styleId="documentbody">
    <w:name w:val="documentbody"/>
    <w:basedOn w:val="DefaultParagraphFont"/>
    <w:rsid w:val="00F00F8A"/>
  </w:style>
  <w:style w:type="character" w:customStyle="1" w:styleId="apple-converted-space">
    <w:name w:val="apple-converted-space"/>
    <w:basedOn w:val="DefaultParagraphFont"/>
    <w:rsid w:val="00806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2CB1"/>
    <w:pPr>
      <w:keepNext/>
      <w:spacing w:before="240" w:after="60" w:line="240" w:lineRule="auto"/>
      <w:outlineLvl w:val="0"/>
    </w:pPr>
    <w:rPr>
      <w:rFonts w:ascii="Cambria" w:eastAsia="Times New Roman" w:hAnsi="Cambria" w:cs="Times New Roman"/>
      <w:b/>
      <w:bCs/>
      <w:kern w:val="32"/>
      <w:sz w:val="32"/>
      <w:szCs w:val="32"/>
      <w:lang w:val="x-none" w:eastAsia="zh-CN"/>
    </w:rPr>
  </w:style>
  <w:style w:type="paragraph" w:styleId="Heading2">
    <w:name w:val="heading 2"/>
    <w:basedOn w:val="Normal"/>
    <w:next w:val="Normal"/>
    <w:link w:val="Heading2Char"/>
    <w:uiPriority w:val="9"/>
    <w:unhideWhenUsed/>
    <w:qFormat/>
    <w:rsid w:val="00AB2CB1"/>
    <w:pPr>
      <w:keepNext/>
      <w:spacing w:before="240" w:after="60" w:line="240" w:lineRule="auto"/>
      <w:outlineLvl w:val="1"/>
    </w:pPr>
    <w:rPr>
      <w:rFonts w:ascii="Cambria" w:eastAsia="Times New Roman" w:hAnsi="Cambria" w:cs="Times New Roman"/>
      <w:b/>
      <w:bCs/>
      <w:i/>
      <w:iCs/>
      <w:sz w:val="28"/>
      <w:szCs w:val="28"/>
      <w:lang w:eastAsia="en-GB"/>
    </w:rPr>
  </w:style>
  <w:style w:type="paragraph" w:styleId="Heading3">
    <w:name w:val="heading 3"/>
    <w:basedOn w:val="Normal"/>
    <w:next w:val="Normal"/>
    <w:link w:val="Heading3Char"/>
    <w:uiPriority w:val="9"/>
    <w:semiHidden/>
    <w:unhideWhenUsed/>
    <w:qFormat/>
    <w:rsid w:val="00AB2CB1"/>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CB1"/>
    <w:rPr>
      <w:rFonts w:ascii="Cambria" w:eastAsia="Times New Roman" w:hAnsi="Cambria" w:cs="Times New Roman"/>
      <w:b/>
      <w:bCs/>
      <w:kern w:val="32"/>
      <w:sz w:val="32"/>
      <w:szCs w:val="32"/>
      <w:lang w:val="x-none" w:eastAsia="zh-CN"/>
    </w:rPr>
  </w:style>
  <w:style w:type="character" w:customStyle="1" w:styleId="Heading2Char">
    <w:name w:val="Heading 2 Char"/>
    <w:basedOn w:val="DefaultParagraphFont"/>
    <w:link w:val="Heading2"/>
    <w:uiPriority w:val="9"/>
    <w:rsid w:val="00AB2CB1"/>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uiPriority w:val="9"/>
    <w:semiHidden/>
    <w:rsid w:val="00AB2CB1"/>
    <w:rPr>
      <w:rFonts w:ascii="Cambria" w:eastAsia="Times New Roman" w:hAnsi="Cambria" w:cs="Times New Roman"/>
      <w:b/>
      <w:bCs/>
      <w:sz w:val="26"/>
      <w:szCs w:val="26"/>
      <w:lang w:eastAsia="en-GB"/>
    </w:rPr>
  </w:style>
  <w:style w:type="numbering" w:customStyle="1" w:styleId="NoList1">
    <w:name w:val="No List1"/>
    <w:next w:val="NoList"/>
    <w:uiPriority w:val="99"/>
    <w:semiHidden/>
    <w:unhideWhenUsed/>
    <w:rsid w:val="00AB2CB1"/>
  </w:style>
  <w:style w:type="paragraph" w:styleId="FootnoteText">
    <w:name w:val="footnote text"/>
    <w:basedOn w:val="Normal"/>
    <w:link w:val="FootnoteTextChar"/>
    <w:uiPriority w:val="99"/>
    <w:unhideWhenUsed/>
    <w:rsid w:val="00AB2CB1"/>
    <w:pPr>
      <w:spacing w:after="0" w:line="240" w:lineRule="auto"/>
    </w:pPr>
    <w:rPr>
      <w:rFonts w:ascii="Cambria" w:eastAsia="MS Mincho" w:hAnsi="Cambria" w:cs="Times New Roman"/>
      <w:sz w:val="24"/>
      <w:szCs w:val="24"/>
      <w:lang w:val="en-US"/>
    </w:rPr>
  </w:style>
  <w:style w:type="character" w:customStyle="1" w:styleId="FootnoteTextChar">
    <w:name w:val="Footnote Text Char"/>
    <w:basedOn w:val="DefaultParagraphFont"/>
    <w:link w:val="FootnoteText"/>
    <w:uiPriority w:val="99"/>
    <w:rsid w:val="00AB2CB1"/>
    <w:rPr>
      <w:rFonts w:ascii="Cambria" w:eastAsia="MS Mincho" w:hAnsi="Cambria" w:cs="Times New Roman"/>
      <w:sz w:val="24"/>
      <w:szCs w:val="24"/>
      <w:lang w:val="en-US"/>
    </w:rPr>
  </w:style>
  <w:style w:type="character" w:styleId="FootnoteReference">
    <w:name w:val="footnote reference"/>
    <w:aliases w:val="Standard + Block,Erste Zeile:  1 cm"/>
    <w:uiPriority w:val="99"/>
    <w:unhideWhenUsed/>
    <w:rsid w:val="00AB2CB1"/>
    <w:rPr>
      <w:vertAlign w:val="superscript"/>
    </w:rPr>
  </w:style>
  <w:style w:type="character" w:styleId="Hyperlink">
    <w:name w:val="Hyperlink"/>
    <w:uiPriority w:val="99"/>
    <w:unhideWhenUsed/>
    <w:rsid w:val="00AB2CB1"/>
    <w:rPr>
      <w:color w:val="0000FF"/>
      <w:u w:val="single"/>
    </w:rPr>
  </w:style>
  <w:style w:type="paragraph" w:styleId="ListParagraph">
    <w:name w:val="List Paragraph"/>
    <w:basedOn w:val="Normal"/>
    <w:uiPriority w:val="34"/>
    <w:qFormat/>
    <w:rsid w:val="00AB2CB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rsid w:val="00AB2C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AB2CB1"/>
  </w:style>
  <w:style w:type="character" w:styleId="Strong">
    <w:name w:val="Strong"/>
    <w:uiPriority w:val="22"/>
    <w:qFormat/>
    <w:rsid w:val="00AB2CB1"/>
    <w:rPr>
      <w:b/>
      <w:bCs/>
    </w:rPr>
  </w:style>
  <w:style w:type="character" w:styleId="Emphasis">
    <w:name w:val="Emphasis"/>
    <w:uiPriority w:val="20"/>
    <w:qFormat/>
    <w:rsid w:val="00AB2CB1"/>
    <w:rPr>
      <w:i/>
      <w:iCs/>
    </w:rPr>
  </w:style>
  <w:style w:type="paragraph" w:styleId="Header">
    <w:name w:val="header"/>
    <w:basedOn w:val="Normal"/>
    <w:link w:val="HeaderChar"/>
    <w:uiPriority w:val="99"/>
    <w:unhideWhenUsed/>
    <w:rsid w:val="00AB2CB1"/>
    <w:pPr>
      <w:tabs>
        <w:tab w:val="center" w:pos="4513"/>
        <w:tab w:val="right" w:pos="902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AB2CB1"/>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AB2CB1"/>
    <w:pPr>
      <w:tabs>
        <w:tab w:val="center" w:pos="4513"/>
        <w:tab w:val="right" w:pos="902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B2CB1"/>
    <w:rPr>
      <w:rFonts w:ascii="Times New Roman" w:eastAsia="Times New Roman" w:hAnsi="Times New Roman" w:cs="Times New Roman"/>
      <w:sz w:val="24"/>
      <w:szCs w:val="20"/>
      <w:lang w:eastAsia="en-GB"/>
    </w:rPr>
  </w:style>
  <w:style w:type="paragraph" w:customStyle="1" w:styleId="Default">
    <w:name w:val="Default"/>
    <w:rsid w:val="00AB2C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AB2CB1"/>
    <w:rPr>
      <w:sz w:val="16"/>
      <w:szCs w:val="16"/>
    </w:rPr>
  </w:style>
  <w:style w:type="paragraph" w:styleId="CommentText">
    <w:name w:val="annotation text"/>
    <w:basedOn w:val="Normal"/>
    <w:link w:val="CommentTextChar"/>
    <w:uiPriority w:val="99"/>
    <w:semiHidden/>
    <w:unhideWhenUsed/>
    <w:rsid w:val="00AB2CB1"/>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B2CB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B2CB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AB2CB1"/>
    <w:rPr>
      <w:rFonts w:ascii="Tahoma" w:eastAsia="Times New Roman" w:hAnsi="Tahoma" w:cs="Tahoma"/>
      <w:sz w:val="16"/>
      <w:szCs w:val="16"/>
      <w:lang w:eastAsia="en-GB"/>
    </w:rPr>
  </w:style>
  <w:style w:type="character" w:styleId="HTMLCite">
    <w:name w:val="HTML Cite"/>
    <w:uiPriority w:val="99"/>
    <w:semiHidden/>
    <w:unhideWhenUsed/>
    <w:rsid w:val="00AB2CB1"/>
    <w:rPr>
      <w:i/>
      <w:iCs/>
    </w:rPr>
  </w:style>
  <w:style w:type="paragraph" w:customStyle="1" w:styleId="intro">
    <w:name w:val="intro"/>
    <w:basedOn w:val="Normal"/>
    <w:rsid w:val="00AB2CB1"/>
    <w:pPr>
      <w:spacing w:after="100" w:afterAutospacing="1" w:line="240" w:lineRule="auto"/>
    </w:pPr>
    <w:rPr>
      <w:rFonts w:ascii="Arial" w:eastAsia="Times New Roman" w:hAnsi="Arial" w:cs="Arial"/>
      <w:sz w:val="26"/>
      <w:szCs w:val="26"/>
      <w:lang w:eastAsia="en-GB"/>
    </w:rPr>
  </w:style>
  <w:style w:type="paragraph" w:customStyle="1" w:styleId="Normaltext">
    <w:name w:val="Normal text"/>
    <w:qFormat/>
    <w:rsid w:val="00AB2CB1"/>
    <w:pPr>
      <w:spacing w:after="0" w:line="480" w:lineRule="auto"/>
      <w:jc w:val="both"/>
    </w:pPr>
    <w:rPr>
      <w:rFonts w:ascii="Times" w:eastAsia="Times New Roman" w:hAnsi="Times" w:cs="Times"/>
      <w:lang w:val="en-US" w:eastAsia="ar-SA"/>
    </w:rPr>
  </w:style>
  <w:style w:type="paragraph" w:customStyle="1" w:styleId="AHeading">
    <w:name w:val="A Heading"/>
    <w:qFormat/>
    <w:rsid w:val="00AB2CB1"/>
    <w:pPr>
      <w:spacing w:after="0" w:line="480" w:lineRule="auto"/>
    </w:pPr>
    <w:rPr>
      <w:rFonts w:ascii="Times" w:eastAsia="Times New Roman" w:hAnsi="Times" w:cs="Times"/>
      <w:b/>
      <w:lang w:val="en-US" w:eastAsia="ar-SA"/>
    </w:rPr>
  </w:style>
  <w:style w:type="paragraph" w:customStyle="1" w:styleId="BHeading">
    <w:name w:val="B Heading"/>
    <w:next w:val="Normaltext"/>
    <w:qFormat/>
    <w:rsid w:val="00AB2CB1"/>
    <w:pPr>
      <w:spacing w:after="0" w:line="480" w:lineRule="auto"/>
    </w:pPr>
    <w:rPr>
      <w:rFonts w:ascii="Times" w:eastAsia="Times New Roman" w:hAnsi="Times" w:cs="Times"/>
      <w:i/>
      <w:lang w:val="en-US" w:eastAsia="ar-SA"/>
    </w:rPr>
  </w:style>
  <w:style w:type="paragraph" w:customStyle="1" w:styleId="FootnoteSocSci">
    <w:name w:val="Footnote SocSci"/>
    <w:rsid w:val="00AB2CB1"/>
    <w:pPr>
      <w:spacing w:after="0" w:line="240" w:lineRule="auto"/>
      <w:jc w:val="both"/>
    </w:pPr>
    <w:rPr>
      <w:rFonts w:ascii="Times" w:eastAsia="Times New Roman" w:hAnsi="Times" w:cs="Times"/>
      <w:sz w:val="18"/>
      <w:lang w:val="en-US" w:eastAsia="ar-SA"/>
    </w:rPr>
  </w:style>
  <w:style w:type="paragraph" w:customStyle="1" w:styleId="Letteredlist">
    <w:name w:val="Lettered list"/>
    <w:next w:val="Normaltext"/>
    <w:qFormat/>
    <w:rsid w:val="00AB2CB1"/>
    <w:pPr>
      <w:spacing w:after="0" w:line="480" w:lineRule="auto"/>
      <w:jc w:val="both"/>
    </w:pPr>
    <w:rPr>
      <w:rFonts w:ascii="Times" w:eastAsia="Times New Roman" w:hAnsi="Times" w:cs="Times"/>
      <w:lang w:val="en-US" w:eastAsia="ar-SA"/>
    </w:rPr>
  </w:style>
  <w:style w:type="paragraph" w:customStyle="1" w:styleId="bulletlist">
    <w:name w:val="bullet list"/>
    <w:next w:val="Normaltext"/>
    <w:qFormat/>
    <w:rsid w:val="00AB2CB1"/>
    <w:pPr>
      <w:numPr>
        <w:numId w:val="17"/>
      </w:numPr>
      <w:spacing w:after="0" w:line="480" w:lineRule="auto"/>
    </w:pPr>
    <w:rPr>
      <w:rFonts w:ascii="Times" w:eastAsia="Times New Roman" w:hAnsi="Times" w:cs="Times"/>
      <w:lang w:val="en-US" w:eastAsia="ar-SA"/>
    </w:rPr>
  </w:style>
  <w:style w:type="paragraph" w:customStyle="1" w:styleId="NormalWeb17">
    <w:name w:val="Normal (Web)17"/>
    <w:basedOn w:val="Normal"/>
    <w:rsid w:val="00AB2CB1"/>
    <w:pPr>
      <w:spacing w:after="240" w:line="240" w:lineRule="auto"/>
    </w:pPr>
    <w:rPr>
      <w:rFonts w:ascii="Times New Roman" w:eastAsia="SimSun" w:hAnsi="Times New Roman" w:cs="Times New Roman"/>
      <w:sz w:val="23"/>
      <w:szCs w:val="23"/>
      <w:lang w:eastAsia="zh-CN"/>
    </w:rPr>
  </w:style>
  <w:style w:type="paragraph" w:customStyle="1" w:styleId="NormalWeb16">
    <w:name w:val="Normal (Web)16"/>
    <w:basedOn w:val="Normal"/>
    <w:rsid w:val="00AB2CB1"/>
    <w:pPr>
      <w:spacing w:after="240" w:line="240" w:lineRule="auto"/>
    </w:pPr>
    <w:rPr>
      <w:rFonts w:ascii="Times New Roman" w:eastAsia="Times New Roman" w:hAnsi="Times New Roman" w:cs="Times New Roman"/>
      <w:sz w:val="23"/>
      <w:szCs w:val="23"/>
      <w:lang w:eastAsia="en-GB"/>
    </w:rPr>
  </w:style>
  <w:style w:type="paragraph" w:customStyle="1" w:styleId="center1">
    <w:name w:val="center1"/>
    <w:basedOn w:val="Normal"/>
    <w:rsid w:val="00AB2CB1"/>
    <w:pPr>
      <w:spacing w:after="0" w:line="240" w:lineRule="auto"/>
      <w:jc w:val="center"/>
    </w:pPr>
    <w:rPr>
      <w:rFonts w:ascii="Times New Roman" w:eastAsia="Times New Roman" w:hAnsi="Times New Roman" w:cs="Times New Roman"/>
      <w:sz w:val="24"/>
      <w:szCs w:val="24"/>
      <w:lang w:eastAsia="en-GB"/>
    </w:rPr>
  </w:style>
  <w:style w:type="paragraph" w:customStyle="1" w:styleId="legclearfix2">
    <w:name w:val="legclearfix2"/>
    <w:basedOn w:val="Normal"/>
    <w:rsid w:val="00AB2CB1"/>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rsid w:val="00AB2CB1"/>
    <w:rPr>
      <w:vanish w:val="0"/>
      <w:webHidden w:val="0"/>
      <w:specVanish w:val="0"/>
    </w:rPr>
  </w:style>
  <w:style w:type="paragraph" w:customStyle="1" w:styleId="last-child">
    <w:name w:val="last-child"/>
    <w:basedOn w:val="Normal"/>
    <w:rsid w:val="00AB2C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B2CB1"/>
    <w:pPr>
      <w:spacing w:after="0" w:line="240" w:lineRule="auto"/>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AB2CB1"/>
    <w:rPr>
      <w:rFonts w:ascii="Times New Roman" w:eastAsia="Times New Roman" w:hAnsi="Times New Roman" w:cs="Times New Roman"/>
      <w:b/>
      <w:bCs/>
      <w:sz w:val="20"/>
      <w:szCs w:val="20"/>
      <w:lang w:eastAsia="en-GB"/>
    </w:rPr>
  </w:style>
  <w:style w:type="character" w:customStyle="1" w:styleId="normal1">
    <w:name w:val="normal1"/>
    <w:rsid w:val="00AB2CB1"/>
    <w:rPr>
      <w:rFonts w:ascii="Verdana" w:hAnsi="Verdana" w:hint="default"/>
      <w:b w:val="0"/>
      <w:bCs w:val="0"/>
      <w:sz w:val="19"/>
      <w:szCs w:val="19"/>
    </w:rPr>
  </w:style>
  <w:style w:type="paragraph" w:customStyle="1" w:styleId="FootnoteText1">
    <w:name w:val="Footnote Text1"/>
    <w:basedOn w:val="Footer"/>
    <w:rsid w:val="00AB2CB1"/>
    <w:pPr>
      <w:tabs>
        <w:tab w:val="clear" w:pos="4513"/>
        <w:tab w:val="clear" w:pos="9026"/>
      </w:tabs>
      <w:ind w:left="360" w:hanging="360"/>
      <w:jc w:val="both"/>
    </w:pPr>
    <w:rPr>
      <w:sz w:val="17"/>
      <w:szCs w:val="21"/>
      <w:lang w:val="en-US" w:eastAsia="en-US"/>
    </w:rPr>
  </w:style>
  <w:style w:type="character" w:customStyle="1" w:styleId="personname">
    <w:name w:val="person_name"/>
    <w:rsid w:val="00AB2CB1"/>
  </w:style>
  <w:style w:type="character" w:customStyle="1" w:styleId="searchterm1">
    <w:name w:val="searchterm1"/>
    <w:rsid w:val="00AB2CB1"/>
    <w:rPr>
      <w:b/>
      <w:bCs/>
      <w:shd w:val="clear" w:color="auto" w:fill="FFFF00"/>
    </w:rPr>
  </w:style>
  <w:style w:type="paragraph" w:customStyle="1" w:styleId="graphicboxheader">
    <w:name w:val="graphicboxheader"/>
    <w:basedOn w:val="Normal"/>
    <w:rsid w:val="00F00F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lackgraphtx">
    <w:name w:val="blackgraphtx"/>
    <w:basedOn w:val="DefaultParagraphFont"/>
    <w:rsid w:val="00F00F8A"/>
  </w:style>
  <w:style w:type="character" w:customStyle="1" w:styleId="A2">
    <w:name w:val="A2"/>
    <w:uiPriority w:val="99"/>
    <w:rsid w:val="00F00F8A"/>
    <w:rPr>
      <w:rFonts w:cs="Omnes"/>
      <w:color w:val="000000"/>
      <w:sz w:val="40"/>
      <w:szCs w:val="40"/>
    </w:rPr>
  </w:style>
  <w:style w:type="character" w:customStyle="1" w:styleId="documentbody">
    <w:name w:val="documentbody"/>
    <w:basedOn w:val="DefaultParagraphFont"/>
    <w:rsid w:val="00F00F8A"/>
  </w:style>
  <w:style w:type="character" w:customStyle="1" w:styleId="apple-converted-space">
    <w:name w:val="apple-converted-space"/>
    <w:basedOn w:val="DefaultParagraphFont"/>
    <w:rsid w:val="00806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8214">
      <w:bodyDiv w:val="1"/>
      <w:marLeft w:val="0"/>
      <w:marRight w:val="0"/>
      <w:marTop w:val="0"/>
      <w:marBottom w:val="0"/>
      <w:divBdr>
        <w:top w:val="none" w:sz="0" w:space="0" w:color="auto"/>
        <w:left w:val="none" w:sz="0" w:space="0" w:color="auto"/>
        <w:bottom w:val="none" w:sz="0" w:space="0" w:color="auto"/>
        <w:right w:val="none" w:sz="0" w:space="0" w:color="auto"/>
      </w:divBdr>
    </w:div>
    <w:div w:id="182600215">
      <w:bodyDiv w:val="1"/>
      <w:marLeft w:val="0"/>
      <w:marRight w:val="0"/>
      <w:marTop w:val="0"/>
      <w:marBottom w:val="0"/>
      <w:divBdr>
        <w:top w:val="none" w:sz="0" w:space="0" w:color="auto"/>
        <w:left w:val="none" w:sz="0" w:space="0" w:color="auto"/>
        <w:bottom w:val="none" w:sz="0" w:space="0" w:color="auto"/>
        <w:right w:val="none" w:sz="0" w:space="0" w:color="auto"/>
      </w:divBdr>
      <w:divsChild>
        <w:div w:id="1134100614">
          <w:marLeft w:val="0"/>
          <w:marRight w:val="0"/>
          <w:marTop w:val="0"/>
          <w:marBottom w:val="0"/>
          <w:divBdr>
            <w:top w:val="none" w:sz="0" w:space="0" w:color="auto"/>
            <w:left w:val="none" w:sz="0" w:space="0" w:color="auto"/>
            <w:bottom w:val="none" w:sz="0" w:space="0" w:color="auto"/>
            <w:right w:val="none" w:sz="0" w:space="0" w:color="auto"/>
          </w:divBdr>
          <w:divsChild>
            <w:div w:id="1641226060">
              <w:marLeft w:val="0"/>
              <w:marRight w:val="0"/>
              <w:marTop w:val="0"/>
              <w:marBottom w:val="0"/>
              <w:divBdr>
                <w:top w:val="none" w:sz="0" w:space="0" w:color="auto"/>
                <w:left w:val="none" w:sz="0" w:space="0" w:color="auto"/>
                <w:bottom w:val="none" w:sz="0" w:space="0" w:color="auto"/>
                <w:right w:val="none" w:sz="0" w:space="0" w:color="auto"/>
              </w:divBdr>
              <w:divsChild>
                <w:div w:id="836264639">
                  <w:marLeft w:val="0"/>
                  <w:marRight w:val="0"/>
                  <w:marTop w:val="0"/>
                  <w:marBottom w:val="0"/>
                  <w:divBdr>
                    <w:top w:val="none" w:sz="0" w:space="0" w:color="auto"/>
                    <w:left w:val="none" w:sz="0" w:space="0" w:color="auto"/>
                    <w:bottom w:val="none" w:sz="0" w:space="0" w:color="auto"/>
                    <w:right w:val="none" w:sz="0" w:space="0" w:color="auto"/>
                  </w:divBdr>
                  <w:divsChild>
                    <w:div w:id="994378346">
                      <w:marLeft w:val="0"/>
                      <w:marRight w:val="0"/>
                      <w:marTop w:val="0"/>
                      <w:marBottom w:val="0"/>
                      <w:divBdr>
                        <w:top w:val="none" w:sz="0" w:space="0" w:color="auto"/>
                        <w:left w:val="none" w:sz="0" w:space="0" w:color="auto"/>
                        <w:bottom w:val="none" w:sz="0" w:space="0" w:color="auto"/>
                        <w:right w:val="none" w:sz="0" w:space="0" w:color="auto"/>
                      </w:divBdr>
                      <w:divsChild>
                        <w:div w:id="1118840883">
                          <w:marLeft w:val="0"/>
                          <w:marRight w:val="0"/>
                          <w:marTop w:val="0"/>
                          <w:marBottom w:val="0"/>
                          <w:divBdr>
                            <w:top w:val="none" w:sz="0" w:space="0" w:color="auto"/>
                            <w:left w:val="none" w:sz="0" w:space="0" w:color="auto"/>
                            <w:bottom w:val="none" w:sz="0" w:space="0" w:color="auto"/>
                            <w:right w:val="none" w:sz="0" w:space="0" w:color="auto"/>
                          </w:divBdr>
                          <w:divsChild>
                            <w:div w:id="1252423466">
                              <w:marLeft w:val="0"/>
                              <w:marRight w:val="0"/>
                              <w:marTop w:val="0"/>
                              <w:marBottom w:val="0"/>
                              <w:divBdr>
                                <w:top w:val="none" w:sz="0" w:space="0" w:color="auto"/>
                                <w:left w:val="none" w:sz="0" w:space="0" w:color="auto"/>
                                <w:bottom w:val="none" w:sz="0" w:space="0" w:color="auto"/>
                                <w:right w:val="none" w:sz="0" w:space="0" w:color="auto"/>
                              </w:divBdr>
                              <w:divsChild>
                                <w:div w:id="1308364469">
                                  <w:marLeft w:val="0"/>
                                  <w:marRight w:val="0"/>
                                  <w:marTop w:val="0"/>
                                  <w:marBottom w:val="0"/>
                                  <w:divBdr>
                                    <w:top w:val="none" w:sz="0" w:space="0" w:color="auto"/>
                                    <w:left w:val="none" w:sz="0" w:space="0" w:color="auto"/>
                                    <w:bottom w:val="none" w:sz="0" w:space="0" w:color="auto"/>
                                    <w:right w:val="none" w:sz="0" w:space="0" w:color="auto"/>
                                  </w:divBdr>
                                  <w:divsChild>
                                    <w:div w:id="1140852698">
                                      <w:marLeft w:val="0"/>
                                      <w:marRight w:val="0"/>
                                      <w:marTop w:val="0"/>
                                      <w:marBottom w:val="0"/>
                                      <w:divBdr>
                                        <w:top w:val="none" w:sz="0" w:space="0" w:color="auto"/>
                                        <w:left w:val="none" w:sz="0" w:space="0" w:color="auto"/>
                                        <w:bottom w:val="none" w:sz="0" w:space="0" w:color="auto"/>
                                        <w:right w:val="none" w:sz="0" w:space="0" w:color="auto"/>
                                      </w:divBdr>
                                      <w:divsChild>
                                        <w:div w:id="8827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04135">
      <w:bodyDiv w:val="1"/>
      <w:marLeft w:val="0"/>
      <w:marRight w:val="0"/>
      <w:marTop w:val="0"/>
      <w:marBottom w:val="0"/>
      <w:divBdr>
        <w:top w:val="none" w:sz="0" w:space="0" w:color="auto"/>
        <w:left w:val="none" w:sz="0" w:space="0" w:color="auto"/>
        <w:bottom w:val="none" w:sz="0" w:space="0" w:color="auto"/>
        <w:right w:val="none" w:sz="0" w:space="0" w:color="auto"/>
      </w:divBdr>
    </w:div>
    <w:div w:id="846097976">
      <w:bodyDiv w:val="1"/>
      <w:marLeft w:val="375"/>
      <w:marRight w:val="375"/>
      <w:marTop w:val="75"/>
      <w:marBottom w:val="75"/>
      <w:divBdr>
        <w:top w:val="none" w:sz="0" w:space="0" w:color="auto"/>
        <w:left w:val="none" w:sz="0" w:space="0" w:color="auto"/>
        <w:bottom w:val="none" w:sz="0" w:space="0" w:color="auto"/>
        <w:right w:val="none" w:sz="0" w:space="0" w:color="auto"/>
      </w:divBdr>
      <w:divsChild>
        <w:div w:id="1666519786">
          <w:marLeft w:val="0"/>
          <w:marRight w:val="0"/>
          <w:marTop w:val="0"/>
          <w:marBottom w:val="60"/>
          <w:divBdr>
            <w:top w:val="none" w:sz="0" w:space="0" w:color="auto"/>
            <w:left w:val="none" w:sz="0" w:space="0" w:color="auto"/>
            <w:bottom w:val="none" w:sz="0" w:space="0" w:color="auto"/>
            <w:right w:val="none" w:sz="0" w:space="0" w:color="auto"/>
          </w:divBdr>
          <w:divsChild>
            <w:div w:id="376049070">
              <w:marLeft w:val="180"/>
              <w:marRight w:val="180"/>
              <w:marTop w:val="30"/>
              <w:marBottom w:val="0"/>
              <w:divBdr>
                <w:top w:val="none" w:sz="0" w:space="0" w:color="auto"/>
                <w:left w:val="none" w:sz="0" w:space="0" w:color="auto"/>
                <w:bottom w:val="none" w:sz="0" w:space="0" w:color="auto"/>
                <w:right w:val="none" w:sz="0" w:space="0" w:color="auto"/>
              </w:divBdr>
              <w:divsChild>
                <w:div w:id="1984579559">
                  <w:marLeft w:val="0"/>
                  <w:marRight w:val="0"/>
                  <w:marTop w:val="0"/>
                  <w:marBottom w:val="0"/>
                  <w:divBdr>
                    <w:top w:val="none" w:sz="0" w:space="0" w:color="auto"/>
                    <w:left w:val="none" w:sz="0" w:space="0" w:color="auto"/>
                    <w:bottom w:val="none" w:sz="0" w:space="0" w:color="auto"/>
                    <w:right w:val="none" w:sz="0" w:space="0" w:color="auto"/>
                  </w:divBdr>
                  <w:divsChild>
                    <w:div w:id="558520719">
                      <w:marLeft w:val="3600"/>
                      <w:marRight w:val="0"/>
                      <w:marTop w:val="0"/>
                      <w:marBottom w:val="0"/>
                      <w:divBdr>
                        <w:top w:val="none" w:sz="0" w:space="0" w:color="auto"/>
                        <w:left w:val="none" w:sz="0" w:space="0" w:color="auto"/>
                        <w:bottom w:val="none" w:sz="0" w:space="0" w:color="auto"/>
                        <w:right w:val="none" w:sz="0" w:space="0" w:color="auto"/>
                      </w:divBdr>
                      <w:divsChild>
                        <w:div w:id="1249459218">
                          <w:marLeft w:val="0"/>
                          <w:marRight w:val="0"/>
                          <w:marTop w:val="0"/>
                          <w:marBottom w:val="0"/>
                          <w:divBdr>
                            <w:top w:val="none" w:sz="0" w:space="0" w:color="auto"/>
                            <w:left w:val="none" w:sz="0" w:space="0" w:color="auto"/>
                            <w:bottom w:val="none" w:sz="0" w:space="0" w:color="auto"/>
                            <w:right w:val="none" w:sz="0" w:space="0" w:color="auto"/>
                          </w:divBdr>
                          <w:divsChild>
                            <w:div w:id="1056975650">
                              <w:marLeft w:val="300"/>
                              <w:marRight w:val="0"/>
                              <w:marTop w:val="0"/>
                              <w:marBottom w:val="0"/>
                              <w:divBdr>
                                <w:top w:val="none" w:sz="0" w:space="0" w:color="auto"/>
                                <w:left w:val="none" w:sz="0" w:space="0" w:color="auto"/>
                                <w:bottom w:val="none" w:sz="0" w:space="0" w:color="auto"/>
                                <w:right w:val="none" w:sz="0" w:space="0" w:color="auto"/>
                              </w:divBdr>
                              <w:divsChild>
                                <w:div w:id="1661614643">
                                  <w:marLeft w:val="0"/>
                                  <w:marRight w:val="0"/>
                                  <w:marTop w:val="0"/>
                                  <w:marBottom w:val="0"/>
                                  <w:divBdr>
                                    <w:top w:val="none" w:sz="0" w:space="0" w:color="auto"/>
                                    <w:left w:val="none" w:sz="0" w:space="0" w:color="auto"/>
                                    <w:bottom w:val="none" w:sz="0" w:space="0" w:color="auto"/>
                                    <w:right w:val="none" w:sz="0" w:space="0" w:color="auto"/>
                                  </w:divBdr>
                                  <w:divsChild>
                                    <w:div w:id="31081336">
                                      <w:marLeft w:val="0"/>
                                      <w:marRight w:val="480"/>
                                      <w:marTop w:val="480"/>
                                      <w:marBottom w:val="480"/>
                                      <w:divBdr>
                                        <w:top w:val="none" w:sz="0" w:space="0" w:color="auto"/>
                                        <w:left w:val="none" w:sz="0" w:space="0" w:color="auto"/>
                                        <w:bottom w:val="none" w:sz="0" w:space="0" w:color="auto"/>
                                        <w:right w:val="none" w:sz="0" w:space="0" w:color="auto"/>
                                      </w:divBdr>
                                      <w:divsChild>
                                        <w:div w:id="2027443860">
                                          <w:marLeft w:val="1440"/>
                                          <w:marRight w:val="0"/>
                                          <w:marTop w:val="0"/>
                                          <w:marBottom w:val="0"/>
                                          <w:divBdr>
                                            <w:top w:val="none" w:sz="0" w:space="0" w:color="auto"/>
                                            <w:left w:val="none" w:sz="0" w:space="0" w:color="auto"/>
                                            <w:bottom w:val="none" w:sz="0" w:space="0" w:color="auto"/>
                                            <w:right w:val="none" w:sz="0" w:space="0" w:color="auto"/>
                                          </w:divBdr>
                                        </w:div>
                                      </w:divsChild>
                                    </w:div>
                                    <w:div w:id="137378605">
                                      <w:marLeft w:val="0"/>
                                      <w:marRight w:val="480"/>
                                      <w:marTop w:val="480"/>
                                      <w:marBottom w:val="480"/>
                                      <w:divBdr>
                                        <w:top w:val="none" w:sz="0" w:space="0" w:color="auto"/>
                                        <w:left w:val="none" w:sz="0" w:space="0" w:color="auto"/>
                                        <w:bottom w:val="none" w:sz="0" w:space="0" w:color="auto"/>
                                        <w:right w:val="none" w:sz="0" w:space="0" w:color="auto"/>
                                      </w:divBdr>
                                      <w:divsChild>
                                        <w:div w:id="1777140787">
                                          <w:marLeft w:val="0"/>
                                          <w:marRight w:val="0"/>
                                          <w:marTop w:val="0"/>
                                          <w:marBottom w:val="0"/>
                                          <w:divBdr>
                                            <w:top w:val="none" w:sz="0" w:space="0" w:color="auto"/>
                                            <w:left w:val="none" w:sz="0" w:space="0" w:color="auto"/>
                                            <w:bottom w:val="none" w:sz="0" w:space="0" w:color="auto"/>
                                            <w:right w:val="none" w:sz="0" w:space="0" w:color="auto"/>
                                          </w:divBdr>
                                        </w:div>
                                        <w:div w:id="684212295">
                                          <w:marLeft w:val="1440"/>
                                          <w:marRight w:val="0"/>
                                          <w:marTop w:val="0"/>
                                          <w:marBottom w:val="0"/>
                                          <w:divBdr>
                                            <w:top w:val="none" w:sz="0" w:space="0" w:color="auto"/>
                                            <w:left w:val="none" w:sz="0" w:space="0" w:color="auto"/>
                                            <w:bottom w:val="none" w:sz="0" w:space="0" w:color="auto"/>
                                            <w:right w:val="none" w:sz="0" w:space="0" w:color="auto"/>
                                          </w:divBdr>
                                        </w:div>
                                      </w:divsChild>
                                    </w:div>
                                    <w:div w:id="276984035">
                                      <w:marLeft w:val="0"/>
                                      <w:marRight w:val="480"/>
                                      <w:marTop w:val="480"/>
                                      <w:marBottom w:val="480"/>
                                      <w:divBdr>
                                        <w:top w:val="none" w:sz="0" w:space="0" w:color="auto"/>
                                        <w:left w:val="none" w:sz="0" w:space="0" w:color="auto"/>
                                        <w:bottom w:val="none" w:sz="0" w:space="0" w:color="auto"/>
                                        <w:right w:val="none" w:sz="0" w:space="0" w:color="auto"/>
                                      </w:divBdr>
                                      <w:divsChild>
                                        <w:div w:id="1282955773">
                                          <w:marLeft w:val="0"/>
                                          <w:marRight w:val="0"/>
                                          <w:marTop w:val="0"/>
                                          <w:marBottom w:val="0"/>
                                          <w:divBdr>
                                            <w:top w:val="none" w:sz="0" w:space="0" w:color="auto"/>
                                            <w:left w:val="none" w:sz="0" w:space="0" w:color="auto"/>
                                            <w:bottom w:val="none" w:sz="0" w:space="0" w:color="auto"/>
                                            <w:right w:val="none" w:sz="0" w:space="0" w:color="auto"/>
                                          </w:divBdr>
                                        </w:div>
                                        <w:div w:id="1818499267">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693869">
      <w:bodyDiv w:val="1"/>
      <w:marLeft w:val="0"/>
      <w:marRight w:val="0"/>
      <w:marTop w:val="0"/>
      <w:marBottom w:val="0"/>
      <w:divBdr>
        <w:top w:val="none" w:sz="0" w:space="0" w:color="auto"/>
        <w:left w:val="none" w:sz="0" w:space="0" w:color="auto"/>
        <w:bottom w:val="none" w:sz="0" w:space="0" w:color="auto"/>
        <w:right w:val="none" w:sz="0" w:space="0" w:color="auto"/>
      </w:divBdr>
    </w:div>
    <w:div w:id="1106384135">
      <w:bodyDiv w:val="1"/>
      <w:marLeft w:val="0"/>
      <w:marRight w:val="0"/>
      <w:marTop w:val="0"/>
      <w:marBottom w:val="0"/>
      <w:divBdr>
        <w:top w:val="none" w:sz="0" w:space="0" w:color="auto"/>
        <w:left w:val="none" w:sz="0" w:space="0" w:color="auto"/>
        <w:bottom w:val="none" w:sz="0" w:space="0" w:color="auto"/>
        <w:right w:val="none" w:sz="0" w:space="0" w:color="auto"/>
      </w:divBdr>
    </w:div>
    <w:div w:id="1261453936">
      <w:bodyDiv w:val="1"/>
      <w:marLeft w:val="0"/>
      <w:marRight w:val="0"/>
      <w:marTop w:val="0"/>
      <w:marBottom w:val="0"/>
      <w:divBdr>
        <w:top w:val="none" w:sz="0" w:space="0" w:color="auto"/>
        <w:left w:val="none" w:sz="0" w:space="0" w:color="auto"/>
        <w:bottom w:val="none" w:sz="0" w:space="0" w:color="auto"/>
        <w:right w:val="none" w:sz="0" w:space="0" w:color="auto"/>
      </w:divBdr>
    </w:div>
    <w:div w:id="1349213403">
      <w:bodyDiv w:val="1"/>
      <w:marLeft w:val="0"/>
      <w:marRight w:val="0"/>
      <w:marTop w:val="0"/>
      <w:marBottom w:val="0"/>
      <w:divBdr>
        <w:top w:val="none" w:sz="0" w:space="0" w:color="auto"/>
        <w:left w:val="none" w:sz="0" w:space="0" w:color="auto"/>
        <w:bottom w:val="none" w:sz="0" w:space="0" w:color="auto"/>
        <w:right w:val="none" w:sz="0" w:space="0" w:color="auto"/>
      </w:divBdr>
      <w:divsChild>
        <w:div w:id="1423795916">
          <w:marLeft w:val="0"/>
          <w:marRight w:val="0"/>
          <w:marTop w:val="0"/>
          <w:marBottom w:val="0"/>
          <w:divBdr>
            <w:top w:val="none" w:sz="0" w:space="0" w:color="auto"/>
            <w:left w:val="none" w:sz="0" w:space="0" w:color="auto"/>
            <w:bottom w:val="none" w:sz="0" w:space="0" w:color="auto"/>
            <w:right w:val="none" w:sz="0" w:space="0" w:color="auto"/>
          </w:divBdr>
          <w:divsChild>
            <w:div w:id="263653849">
              <w:marLeft w:val="0"/>
              <w:marRight w:val="0"/>
              <w:marTop w:val="0"/>
              <w:marBottom w:val="0"/>
              <w:divBdr>
                <w:top w:val="none" w:sz="0" w:space="0" w:color="auto"/>
                <w:left w:val="none" w:sz="0" w:space="0" w:color="auto"/>
                <w:bottom w:val="none" w:sz="0" w:space="0" w:color="auto"/>
                <w:right w:val="none" w:sz="0" w:space="0" w:color="auto"/>
              </w:divBdr>
              <w:divsChild>
                <w:div w:id="2110004807">
                  <w:marLeft w:val="0"/>
                  <w:marRight w:val="0"/>
                  <w:marTop w:val="0"/>
                  <w:marBottom w:val="0"/>
                  <w:divBdr>
                    <w:top w:val="none" w:sz="0" w:space="0" w:color="auto"/>
                    <w:left w:val="none" w:sz="0" w:space="0" w:color="auto"/>
                    <w:bottom w:val="none" w:sz="0" w:space="0" w:color="auto"/>
                    <w:right w:val="none" w:sz="0" w:space="0" w:color="auto"/>
                  </w:divBdr>
                  <w:divsChild>
                    <w:div w:id="1920938448">
                      <w:marLeft w:val="0"/>
                      <w:marRight w:val="0"/>
                      <w:marTop w:val="0"/>
                      <w:marBottom w:val="0"/>
                      <w:divBdr>
                        <w:top w:val="none" w:sz="0" w:space="0" w:color="auto"/>
                        <w:left w:val="none" w:sz="0" w:space="0" w:color="auto"/>
                        <w:bottom w:val="none" w:sz="0" w:space="0" w:color="auto"/>
                        <w:right w:val="none" w:sz="0" w:space="0" w:color="auto"/>
                      </w:divBdr>
                      <w:divsChild>
                        <w:div w:id="1313488336">
                          <w:marLeft w:val="0"/>
                          <w:marRight w:val="0"/>
                          <w:marTop w:val="0"/>
                          <w:marBottom w:val="0"/>
                          <w:divBdr>
                            <w:top w:val="none" w:sz="0" w:space="0" w:color="auto"/>
                            <w:left w:val="none" w:sz="0" w:space="0" w:color="auto"/>
                            <w:bottom w:val="none" w:sz="0" w:space="0" w:color="auto"/>
                            <w:right w:val="none" w:sz="0" w:space="0" w:color="auto"/>
                          </w:divBdr>
                          <w:divsChild>
                            <w:div w:id="8204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239383">
      <w:bodyDiv w:val="1"/>
      <w:marLeft w:val="0"/>
      <w:marRight w:val="0"/>
      <w:marTop w:val="0"/>
      <w:marBottom w:val="0"/>
      <w:divBdr>
        <w:top w:val="none" w:sz="0" w:space="0" w:color="auto"/>
        <w:left w:val="none" w:sz="0" w:space="0" w:color="auto"/>
        <w:bottom w:val="none" w:sz="0" w:space="0" w:color="auto"/>
        <w:right w:val="none" w:sz="0" w:space="0" w:color="auto"/>
      </w:divBdr>
    </w:div>
    <w:div w:id="1559244928">
      <w:bodyDiv w:val="1"/>
      <w:marLeft w:val="0"/>
      <w:marRight w:val="0"/>
      <w:marTop w:val="0"/>
      <w:marBottom w:val="0"/>
      <w:divBdr>
        <w:top w:val="none" w:sz="0" w:space="0" w:color="auto"/>
        <w:left w:val="none" w:sz="0" w:space="0" w:color="auto"/>
        <w:bottom w:val="none" w:sz="0" w:space="0" w:color="auto"/>
        <w:right w:val="none" w:sz="0" w:space="0" w:color="auto"/>
      </w:divBdr>
    </w:div>
    <w:div w:id="1569538176">
      <w:bodyDiv w:val="1"/>
      <w:marLeft w:val="0"/>
      <w:marRight w:val="0"/>
      <w:marTop w:val="0"/>
      <w:marBottom w:val="0"/>
      <w:divBdr>
        <w:top w:val="none" w:sz="0" w:space="0" w:color="auto"/>
        <w:left w:val="none" w:sz="0" w:space="0" w:color="auto"/>
        <w:bottom w:val="none" w:sz="0" w:space="0" w:color="auto"/>
        <w:right w:val="none" w:sz="0" w:space="0" w:color="auto"/>
      </w:divBdr>
    </w:div>
    <w:div w:id="1622228379">
      <w:bodyDiv w:val="1"/>
      <w:marLeft w:val="375"/>
      <w:marRight w:val="375"/>
      <w:marTop w:val="75"/>
      <w:marBottom w:val="75"/>
      <w:divBdr>
        <w:top w:val="none" w:sz="0" w:space="0" w:color="auto"/>
        <w:left w:val="none" w:sz="0" w:space="0" w:color="auto"/>
        <w:bottom w:val="none" w:sz="0" w:space="0" w:color="auto"/>
        <w:right w:val="none" w:sz="0" w:space="0" w:color="auto"/>
      </w:divBdr>
      <w:divsChild>
        <w:div w:id="558327901">
          <w:marLeft w:val="0"/>
          <w:marRight w:val="0"/>
          <w:marTop w:val="0"/>
          <w:marBottom w:val="0"/>
          <w:divBdr>
            <w:top w:val="none" w:sz="0" w:space="0" w:color="auto"/>
            <w:left w:val="none" w:sz="0" w:space="0" w:color="auto"/>
            <w:bottom w:val="none" w:sz="0" w:space="0" w:color="auto"/>
            <w:right w:val="none" w:sz="0" w:space="0" w:color="auto"/>
          </w:divBdr>
          <w:divsChild>
            <w:div w:id="826896122">
              <w:marLeft w:val="0"/>
              <w:marRight w:val="0"/>
              <w:marTop w:val="0"/>
              <w:marBottom w:val="0"/>
              <w:divBdr>
                <w:top w:val="none" w:sz="0" w:space="0" w:color="auto"/>
                <w:left w:val="none" w:sz="0" w:space="0" w:color="auto"/>
                <w:bottom w:val="none" w:sz="0" w:space="0" w:color="auto"/>
                <w:right w:val="none" w:sz="0" w:space="0" w:color="auto"/>
              </w:divBdr>
              <w:divsChild>
                <w:div w:id="7542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5044">
      <w:bodyDiv w:val="1"/>
      <w:marLeft w:val="0"/>
      <w:marRight w:val="0"/>
      <w:marTop w:val="0"/>
      <w:marBottom w:val="0"/>
      <w:divBdr>
        <w:top w:val="none" w:sz="0" w:space="0" w:color="auto"/>
        <w:left w:val="none" w:sz="0" w:space="0" w:color="auto"/>
        <w:bottom w:val="none" w:sz="0" w:space="0" w:color="auto"/>
        <w:right w:val="none" w:sz="0" w:space="0" w:color="auto"/>
      </w:divBdr>
    </w:div>
    <w:div w:id="1708145625">
      <w:bodyDiv w:val="1"/>
      <w:marLeft w:val="0"/>
      <w:marRight w:val="0"/>
      <w:marTop w:val="0"/>
      <w:marBottom w:val="0"/>
      <w:divBdr>
        <w:top w:val="none" w:sz="0" w:space="0" w:color="auto"/>
        <w:left w:val="none" w:sz="0" w:space="0" w:color="auto"/>
        <w:bottom w:val="none" w:sz="0" w:space="0" w:color="auto"/>
        <w:right w:val="none" w:sz="0" w:space="0" w:color="auto"/>
      </w:divBdr>
    </w:div>
    <w:div w:id="1775318218">
      <w:bodyDiv w:val="1"/>
      <w:marLeft w:val="375"/>
      <w:marRight w:val="375"/>
      <w:marTop w:val="75"/>
      <w:marBottom w:val="75"/>
      <w:divBdr>
        <w:top w:val="none" w:sz="0" w:space="0" w:color="auto"/>
        <w:left w:val="none" w:sz="0" w:space="0" w:color="auto"/>
        <w:bottom w:val="none" w:sz="0" w:space="0" w:color="auto"/>
        <w:right w:val="none" w:sz="0" w:space="0" w:color="auto"/>
      </w:divBdr>
      <w:divsChild>
        <w:div w:id="1000037015">
          <w:marLeft w:val="0"/>
          <w:marRight w:val="0"/>
          <w:marTop w:val="0"/>
          <w:marBottom w:val="60"/>
          <w:divBdr>
            <w:top w:val="none" w:sz="0" w:space="0" w:color="auto"/>
            <w:left w:val="none" w:sz="0" w:space="0" w:color="auto"/>
            <w:bottom w:val="none" w:sz="0" w:space="0" w:color="auto"/>
            <w:right w:val="none" w:sz="0" w:space="0" w:color="auto"/>
          </w:divBdr>
          <w:divsChild>
            <w:div w:id="1929804750">
              <w:marLeft w:val="180"/>
              <w:marRight w:val="180"/>
              <w:marTop w:val="30"/>
              <w:marBottom w:val="0"/>
              <w:divBdr>
                <w:top w:val="none" w:sz="0" w:space="0" w:color="auto"/>
                <w:left w:val="none" w:sz="0" w:space="0" w:color="auto"/>
                <w:bottom w:val="none" w:sz="0" w:space="0" w:color="auto"/>
                <w:right w:val="none" w:sz="0" w:space="0" w:color="auto"/>
              </w:divBdr>
              <w:divsChild>
                <w:div w:id="1771243810">
                  <w:marLeft w:val="0"/>
                  <w:marRight w:val="0"/>
                  <w:marTop w:val="0"/>
                  <w:marBottom w:val="0"/>
                  <w:divBdr>
                    <w:top w:val="none" w:sz="0" w:space="0" w:color="auto"/>
                    <w:left w:val="none" w:sz="0" w:space="0" w:color="auto"/>
                    <w:bottom w:val="none" w:sz="0" w:space="0" w:color="auto"/>
                    <w:right w:val="none" w:sz="0" w:space="0" w:color="auto"/>
                  </w:divBdr>
                  <w:divsChild>
                    <w:div w:id="210582702">
                      <w:marLeft w:val="3600"/>
                      <w:marRight w:val="0"/>
                      <w:marTop w:val="0"/>
                      <w:marBottom w:val="0"/>
                      <w:divBdr>
                        <w:top w:val="none" w:sz="0" w:space="0" w:color="auto"/>
                        <w:left w:val="none" w:sz="0" w:space="0" w:color="auto"/>
                        <w:bottom w:val="none" w:sz="0" w:space="0" w:color="auto"/>
                        <w:right w:val="none" w:sz="0" w:space="0" w:color="auto"/>
                      </w:divBdr>
                      <w:divsChild>
                        <w:div w:id="99031676">
                          <w:marLeft w:val="0"/>
                          <w:marRight w:val="0"/>
                          <w:marTop w:val="0"/>
                          <w:marBottom w:val="0"/>
                          <w:divBdr>
                            <w:top w:val="none" w:sz="0" w:space="0" w:color="auto"/>
                            <w:left w:val="none" w:sz="0" w:space="0" w:color="auto"/>
                            <w:bottom w:val="none" w:sz="0" w:space="0" w:color="auto"/>
                            <w:right w:val="none" w:sz="0" w:space="0" w:color="auto"/>
                          </w:divBdr>
                          <w:divsChild>
                            <w:div w:id="251009273">
                              <w:marLeft w:val="300"/>
                              <w:marRight w:val="0"/>
                              <w:marTop w:val="0"/>
                              <w:marBottom w:val="0"/>
                              <w:divBdr>
                                <w:top w:val="none" w:sz="0" w:space="0" w:color="auto"/>
                                <w:left w:val="none" w:sz="0" w:space="0" w:color="auto"/>
                                <w:bottom w:val="none" w:sz="0" w:space="0" w:color="auto"/>
                                <w:right w:val="none" w:sz="0" w:space="0" w:color="auto"/>
                              </w:divBdr>
                              <w:divsChild>
                                <w:div w:id="1977682024">
                                  <w:marLeft w:val="0"/>
                                  <w:marRight w:val="0"/>
                                  <w:marTop w:val="0"/>
                                  <w:marBottom w:val="0"/>
                                  <w:divBdr>
                                    <w:top w:val="none" w:sz="0" w:space="0" w:color="auto"/>
                                    <w:left w:val="none" w:sz="0" w:space="0" w:color="auto"/>
                                    <w:bottom w:val="none" w:sz="0" w:space="0" w:color="auto"/>
                                    <w:right w:val="none" w:sz="0" w:space="0" w:color="auto"/>
                                  </w:divBdr>
                                  <w:divsChild>
                                    <w:div w:id="1881547251">
                                      <w:marLeft w:val="0"/>
                                      <w:marRight w:val="480"/>
                                      <w:marTop w:val="480"/>
                                      <w:marBottom w:val="480"/>
                                      <w:divBdr>
                                        <w:top w:val="none" w:sz="0" w:space="0" w:color="auto"/>
                                        <w:left w:val="none" w:sz="0" w:space="0" w:color="auto"/>
                                        <w:bottom w:val="none" w:sz="0" w:space="0" w:color="auto"/>
                                        <w:right w:val="none" w:sz="0" w:space="0" w:color="auto"/>
                                      </w:divBdr>
                                      <w:divsChild>
                                        <w:div w:id="1474787496">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588456">
      <w:bodyDiv w:val="1"/>
      <w:marLeft w:val="375"/>
      <w:marRight w:val="375"/>
      <w:marTop w:val="75"/>
      <w:marBottom w:val="75"/>
      <w:divBdr>
        <w:top w:val="none" w:sz="0" w:space="0" w:color="auto"/>
        <w:left w:val="none" w:sz="0" w:space="0" w:color="auto"/>
        <w:bottom w:val="none" w:sz="0" w:space="0" w:color="auto"/>
        <w:right w:val="none" w:sz="0" w:space="0" w:color="auto"/>
      </w:divBdr>
      <w:divsChild>
        <w:div w:id="955453021">
          <w:marLeft w:val="0"/>
          <w:marRight w:val="0"/>
          <w:marTop w:val="0"/>
          <w:marBottom w:val="0"/>
          <w:divBdr>
            <w:top w:val="none" w:sz="0" w:space="0" w:color="auto"/>
            <w:left w:val="none" w:sz="0" w:space="0" w:color="auto"/>
            <w:bottom w:val="none" w:sz="0" w:space="0" w:color="auto"/>
            <w:right w:val="none" w:sz="0" w:space="0" w:color="auto"/>
          </w:divBdr>
          <w:divsChild>
            <w:div w:id="1051880937">
              <w:marLeft w:val="0"/>
              <w:marRight w:val="0"/>
              <w:marTop w:val="0"/>
              <w:marBottom w:val="0"/>
              <w:divBdr>
                <w:top w:val="none" w:sz="0" w:space="0" w:color="auto"/>
                <w:left w:val="none" w:sz="0" w:space="0" w:color="auto"/>
                <w:bottom w:val="none" w:sz="0" w:space="0" w:color="auto"/>
                <w:right w:val="none" w:sz="0" w:space="0" w:color="auto"/>
              </w:divBdr>
              <w:divsChild>
                <w:div w:id="746001241">
                  <w:marLeft w:val="0"/>
                  <w:marRight w:val="0"/>
                  <w:marTop w:val="0"/>
                  <w:marBottom w:val="0"/>
                  <w:divBdr>
                    <w:top w:val="none" w:sz="0" w:space="0" w:color="auto"/>
                    <w:left w:val="none" w:sz="0" w:space="0" w:color="auto"/>
                    <w:bottom w:val="none" w:sz="0" w:space="0" w:color="auto"/>
                    <w:right w:val="none" w:sz="0" w:space="0" w:color="auto"/>
                  </w:divBdr>
                  <w:divsChild>
                    <w:div w:id="1717122860">
                      <w:marLeft w:val="0"/>
                      <w:marRight w:val="0"/>
                      <w:marTop w:val="240"/>
                      <w:marBottom w:val="0"/>
                      <w:divBdr>
                        <w:top w:val="none" w:sz="0" w:space="0" w:color="auto"/>
                        <w:left w:val="none" w:sz="0" w:space="0" w:color="auto"/>
                        <w:bottom w:val="none" w:sz="0" w:space="0" w:color="auto"/>
                        <w:right w:val="none" w:sz="0" w:space="0" w:color="auto"/>
                      </w:divBdr>
                      <w:divsChild>
                        <w:div w:id="1239706721">
                          <w:marLeft w:val="0"/>
                          <w:marRight w:val="0"/>
                          <w:marTop w:val="0"/>
                          <w:marBottom w:val="0"/>
                          <w:divBdr>
                            <w:top w:val="none" w:sz="0" w:space="0" w:color="auto"/>
                            <w:left w:val="none" w:sz="0" w:space="0" w:color="auto"/>
                            <w:bottom w:val="none" w:sz="0" w:space="0" w:color="auto"/>
                            <w:right w:val="none" w:sz="0" w:space="0" w:color="auto"/>
                          </w:divBdr>
                          <w:divsChild>
                            <w:div w:id="16188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fca.org.uk/news/fca-fines-barclays-for-forex-failings" TargetMode="External"/><Relationship Id="rId18" Type="http://schemas.openxmlformats.org/officeDocument/2006/relationships/hyperlink" Target="https://login.westlaw.co.uk/maf/wluk/app/document?src=doc&amp;linktype=ref&amp;&amp;context=18&amp;crumb-action=replace&amp;docguid=IC15A0EE0E72211DAB00E84335250C37F" TargetMode="External"/><Relationship Id="rId26" Type="http://schemas.openxmlformats.org/officeDocument/2006/relationships/hyperlink" Target="http://edition.cnn.com/2009/BUSINESS/02/26/uk.rbs.recordloss/" TargetMode="External"/><Relationship Id="rId39" Type="http://schemas.openxmlformats.org/officeDocument/2006/relationships/hyperlink" Target="http://www.justice.gov/opa/pr/hsbc-holdings-plc-and-hsbc-bank-usa-na-admit-anti-money-laundering-and-sanctions-violations" TargetMode="External"/><Relationship Id="rId3" Type="http://schemas.openxmlformats.org/officeDocument/2006/relationships/hyperlink" Target="http://www.telegraph.co.uk/finance/financial-crime/9717240/Tchenguiz-brothers-launch-damages-case-against-SFO.html" TargetMode="External"/><Relationship Id="rId21" Type="http://schemas.openxmlformats.org/officeDocument/2006/relationships/hyperlink" Target="http://www.fsa.gov.uk/pages/Library/Communication/PR/2010/081.shtml" TargetMode="External"/><Relationship Id="rId34" Type="http://schemas.openxmlformats.org/officeDocument/2006/relationships/hyperlink" Target="http://www.fca.org.uk/firms/being-regulated/enforcement/fines" TargetMode="External"/><Relationship Id="rId42" Type="http://schemas.openxmlformats.org/officeDocument/2006/relationships/hyperlink" Target="http://www.fca.org.uk/news/barclays-fined-26m-for-failings-surrounding-the-london-gold-fixing" TargetMode="External"/><Relationship Id="rId47" Type="http://schemas.openxmlformats.org/officeDocument/2006/relationships/hyperlink" Target="http://www.fsa.gov.uk/library/communication/pr/2008/011.shtml" TargetMode="External"/><Relationship Id="rId50" Type="http://schemas.openxmlformats.org/officeDocument/2006/relationships/hyperlink" Target="http://www.conservatives.com/News/Speeches/2008/12/David_Cameron_A_day_of_reckoning.aspx" TargetMode="External"/><Relationship Id="rId7" Type="http://schemas.openxmlformats.org/officeDocument/2006/relationships/hyperlink" Target="http://www.fsa.gov.uk/library/communication/pr/2013/011.shtml" TargetMode="External"/><Relationship Id="rId12" Type="http://schemas.openxmlformats.org/officeDocument/2006/relationships/hyperlink" Target="https://www.fca.org.uk/news/fca-fines-five-banks-for-fx-failings" TargetMode="External"/><Relationship Id="rId17" Type="http://schemas.openxmlformats.org/officeDocument/2006/relationships/hyperlink" Target="http://www.fsa.gov.uk/library/communication/pr/2012/087.shtml" TargetMode="External"/><Relationship Id="rId25" Type="http://schemas.openxmlformats.org/officeDocument/2006/relationships/hyperlink" Target="http://www.guardian.co.uk/business/2009/feb/26/rbs-record-loss" TargetMode="External"/><Relationship Id="rId33" Type="http://schemas.openxmlformats.org/officeDocument/2006/relationships/hyperlink" Target="http://www.fsa.gov.uk/about/press/facts/fines/2012" TargetMode="External"/><Relationship Id="rId38" Type="http://schemas.openxmlformats.org/officeDocument/2006/relationships/hyperlink" Target="http://www.justice.gov/opa/pr/bank-america-pay-1665-billion-historic-justice-department-settlement-financial-fraud-leading" TargetMode="External"/><Relationship Id="rId46" Type="http://schemas.openxmlformats.org/officeDocument/2006/relationships/hyperlink" Target="https://www.fca.org.uk/your-fca/documents/foi/foi3519-response" TargetMode="External"/><Relationship Id="rId2" Type="http://schemas.openxmlformats.org/officeDocument/2006/relationships/hyperlink" Target="http://m.guardian.co.uk/business/2012/dec/03/tchenguiz-brothers-millions-damages-sfo" TargetMode="External"/><Relationship Id="rId16" Type="http://schemas.openxmlformats.org/officeDocument/2006/relationships/hyperlink" Target="http://www.fsa.gov.uk/pages/Library/Communication/PR/2011/038.shtml" TargetMode="External"/><Relationship Id="rId20" Type="http://schemas.openxmlformats.org/officeDocument/2006/relationships/hyperlink" Target="http://www.fsa.gov.uk/pages/Library/Communication/PR/2010/066.shtml" TargetMode="External"/><Relationship Id="rId29" Type="http://schemas.openxmlformats.org/officeDocument/2006/relationships/hyperlink" Target="http://www.fsa.gov.uk/about/press/facts/fines/2008" TargetMode="External"/><Relationship Id="rId41" Type="http://schemas.openxmlformats.org/officeDocument/2006/relationships/hyperlink" Target="http://www.fca.org.uk/your-fca/documents/final-notices/2013/lloyds-tsb-bank-and-bank-of-scotland" TargetMode="External"/><Relationship Id="rId1" Type="http://schemas.openxmlformats.org/officeDocument/2006/relationships/hyperlink" Target="http://international.westlaw.com.ezproxy.uwe.ac.uk/find/default.wl?mt=314&amp;db=780&amp;findtype=Y&amp;tc=-1&amp;rp=%2ffind%2fdefault.wl&amp;spa=ukwengland-000&amp;ordoc=0331422364&amp;serialnum=1978139553&amp;vr=2.0&amp;fn=_top&amp;sv=Split&amp;tf=-1&amp;referencepositiontype=S&amp;pbc=0914DDB4&amp;referenceposition=299&amp;rs=WLIN12.07" TargetMode="External"/><Relationship Id="rId6" Type="http://schemas.openxmlformats.org/officeDocument/2006/relationships/hyperlink" Target="http://www.fsa.gov.uk/library/communication/pr/2012/116.shtml" TargetMode="External"/><Relationship Id="rId11" Type="http://schemas.openxmlformats.org/officeDocument/2006/relationships/hyperlink" Target="http://www.fca.org.uk/news/press-releases/martin-brokers-uk-limited-fined-630000-for-significant-failings-in-relation-to-libor" TargetMode="External"/><Relationship Id="rId24" Type="http://schemas.openxmlformats.org/officeDocument/2006/relationships/hyperlink" Target="http://news.bbc.co.uk/1/hi/business/7911722.stm" TargetMode="External"/><Relationship Id="rId32" Type="http://schemas.openxmlformats.org/officeDocument/2006/relationships/hyperlink" Target="http://www.fsa.gov.uk/about/press/facts/fines/2011" TargetMode="External"/><Relationship Id="rId37" Type="http://schemas.openxmlformats.org/officeDocument/2006/relationships/hyperlink" Target="http://www.fca.org.uk/firms/being-regulated/enforcement/fines" TargetMode="External"/><Relationship Id="rId40" Type="http://schemas.openxmlformats.org/officeDocument/2006/relationships/hyperlink" Target="http://www.fca.org.uk/news/jp-morgan-international-bank-fined-systems-controls-failings" TargetMode="External"/><Relationship Id="rId45" Type="http://schemas.openxmlformats.org/officeDocument/2006/relationships/hyperlink" Target="http://www.fsa.gov.uk/pages/Library/Communication/PR/2009/042.shtml" TargetMode="External"/><Relationship Id="rId5" Type="http://schemas.openxmlformats.org/officeDocument/2006/relationships/hyperlink" Target="http://www.fca.org.uk/news/press-releases/barclays-fined-595-million-libor-euribor" TargetMode="External"/><Relationship Id="rId15" Type="http://schemas.openxmlformats.org/officeDocument/2006/relationships/hyperlink" Target="http://www.fsa.gov.uk/pubs/final/JKMS.pdf" TargetMode="External"/><Relationship Id="rId23" Type="http://schemas.openxmlformats.org/officeDocument/2006/relationships/hyperlink" Target="http://news.bbc.co.uk/1/hi/business/7033176.stm" TargetMode="External"/><Relationship Id="rId28" Type="http://schemas.openxmlformats.org/officeDocument/2006/relationships/hyperlink" Target="http://www.fsa.gov.uk/about/press/facts/fines/2007" TargetMode="External"/><Relationship Id="rId36" Type="http://schemas.openxmlformats.org/officeDocument/2006/relationships/hyperlink" Target="http://www.fca.org.uk/firms/being-regulated/enforcement/fines/2015-fines" TargetMode="External"/><Relationship Id="rId49" Type="http://schemas.openxmlformats.org/officeDocument/2006/relationships/hyperlink" Target="http://www.telegraph.co.uk/finance/financetopics/bernard-madoff/3775925/Cameron-calls-for-criminal-charges-against-bankers-responsible-for-credit-crunch.html" TargetMode="External"/><Relationship Id="rId10" Type="http://schemas.openxmlformats.org/officeDocument/2006/relationships/hyperlink" Target="https://www.fca.org.uk/news/lloyds-banking-group-fined-105m-libor-benchmark-failings" TargetMode="External"/><Relationship Id="rId19" Type="http://schemas.openxmlformats.org/officeDocument/2006/relationships/hyperlink" Target="http://www.fsa.gov.uk/pages/Library/Communication/PR/2010/126.shtml" TargetMode="External"/><Relationship Id="rId31" Type="http://schemas.openxmlformats.org/officeDocument/2006/relationships/hyperlink" Target="http://www.fsa.gov.uk/about/press/facts/fines/2010" TargetMode="External"/><Relationship Id="rId44" Type="http://schemas.openxmlformats.org/officeDocument/2006/relationships/hyperlink" Target="http://www.fca.org.uk/news/former-jp-morgan-cio-international-head-fined" TargetMode="External"/><Relationship Id="rId4" Type="http://schemas.openxmlformats.org/officeDocument/2006/relationships/hyperlink" Target="http://www.fca.org.uk/about/what/protecting/financial-crimem%20accessed%20July%208%202013" TargetMode="External"/><Relationship Id="rId9" Type="http://schemas.openxmlformats.org/officeDocument/2006/relationships/hyperlink" Target="http://www.fca.org.uk/news/the-fca-fines-rabobank-105-million-for-serious-libor-related-misconduct" TargetMode="External"/><Relationship Id="rId14" Type="http://schemas.openxmlformats.org/officeDocument/2006/relationships/hyperlink" Target="https://www.fca.org.uk/news/fca-bans-and-fines-trader-660k-for-manipulating-gilt-price-during-qe" TargetMode="External"/><Relationship Id="rId22" Type="http://schemas.openxmlformats.org/officeDocument/2006/relationships/hyperlink" Target="http://www.telegraph.co.uk/finance/financialcrisis/7736540/Former-RBS-investment-bank-chief-Johnny-Cameron-banned-from-City.html" TargetMode="External"/><Relationship Id="rId27" Type="http://schemas.openxmlformats.org/officeDocument/2006/relationships/hyperlink" Target="http://www.fsa.gov.uk/library/communication/speeches/2009/0427_mc.shtml" TargetMode="External"/><Relationship Id="rId30" Type="http://schemas.openxmlformats.org/officeDocument/2006/relationships/hyperlink" Target="http://www.fsa.gov.uk/about/press/facts/fines/2009" TargetMode="External"/><Relationship Id="rId35" Type="http://schemas.openxmlformats.org/officeDocument/2006/relationships/hyperlink" Target="http://www.fca.org.uk/firms/being-regulated/enforcement/fines/2014" TargetMode="External"/><Relationship Id="rId43" Type="http://schemas.openxmlformats.org/officeDocument/2006/relationships/hyperlink" Target="http://www.fca.org.uk/news/jpmorgan-chase-bank-na-fined" TargetMode="External"/><Relationship Id="rId48" Type="http://schemas.openxmlformats.org/officeDocument/2006/relationships/hyperlink" Target="https://www.gov.uk/government/speeches/statement-by-the-chancellor-of-the-exchequer-rt-hon-george-osborne-mp-on-libor" TargetMode="External"/><Relationship Id="rId8" Type="http://schemas.openxmlformats.org/officeDocument/2006/relationships/hyperlink" Target="http://www.fca.org.uk/news/icap-europe-limited-f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4E05-5B25-4BC5-908A-80A158C4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2906</TotalTime>
  <Pages>28</Pages>
  <Words>6139</Words>
  <Characters>33007</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Ryder</dc:creator>
  <cp:lastModifiedBy>Nicholas Ryder</cp:lastModifiedBy>
  <cp:revision>30</cp:revision>
  <dcterms:created xsi:type="dcterms:W3CDTF">2015-08-26T13:59:00Z</dcterms:created>
  <dcterms:modified xsi:type="dcterms:W3CDTF">2016-02-11T15:02:00Z</dcterms:modified>
</cp:coreProperties>
</file>