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2C0" w:rsidRDefault="000C32C0" w:rsidP="000C32C0">
      <w:pPr>
        <w:pStyle w:val="BodyText"/>
        <w:spacing w:before="55" w:line="259" w:lineRule="auto"/>
        <w:ind w:left="100" w:right="216"/>
      </w:pPr>
      <w:bookmarkStart w:id="0" w:name="_GoBack"/>
      <w:bookmarkEnd w:id="0"/>
      <w:r>
        <w:rPr>
          <w:color w:val="2C74B5"/>
        </w:rPr>
        <w:t>Making a difference to professionals and practice: an evaluation of the Florence Nightingale Foundation Leadership, Research and Travel Scholarships</w:t>
      </w:r>
    </w:p>
    <w:p w:rsidR="000C32C0" w:rsidRDefault="000C32C0" w:rsidP="000C32C0">
      <w:pPr>
        <w:pStyle w:val="BodyText"/>
        <w:spacing w:before="6"/>
        <w:rPr>
          <w:sz w:val="21"/>
        </w:rPr>
      </w:pPr>
    </w:p>
    <w:p w:rsidR="000C32C0" w:rsidRDefault="000C32C0" w:rsidP="000C32C0">
      <w:pPr>
        <w:pStyle w:val="BodyText"/>
        <w:spacing w:line="244" w:lineRule="auto"/>
        <w:ind w:left="100" w:right="988"/>
      </w:pPr>
      <w:r>
        <w:rPr>
          <w:b/>
        </w:rPr>
        <w:t>Matthew Rose</w:t>
      </w:r>
      <w:r>
        <w:t>, Events, Marketing &amp; Fundraising Graduate Assistant, The Florence Nightingale Foundation</w:t>
      </w:r>
    </w:p>
    <w:p w:rsidR="00F27EE9" w:rsidRDefault="00F27EE9" w:rsidP="000C32C0">
      <w:pPr>
        <w:pStyle w:val="BodyText"/>
        <w:spacing w:line="244" w:lineRule="auto"/>
        <w:ind w:left="100" w:right="988"/>
      </w:pPr>
    </w:p>
    <w:p w:rsidR="00F27EE9" w:rsidRDefault="00F27EE9" w:rsidP="000C32C0">
      <w:pPr>
        <w:pStyle w:val="BodyText"/>
        <w:spacing w:line="244" w:lineRule="auto"/>
        <w:ind w:left="100" w:right="988"/>
      </w:pPr>
      <w:r w:rsidRPr="006975B3">
        <w:rPr>
          <w:b/>
        </w:rPr>
        <w:t>Professor Candy McCabe</w:t>
      </w:r>
      <w:r w:rsidRPr="00F27EE9">
        <w:t>, Florence Nightingale Foundation Chair in Clinical Nursing Practice Research at the Royal United Hospitals NHS Foundation Trust, Bath and University of the West of England, Bristol.</w:t>
      </w:r>
    </w:p>
    <w:p w:rsidR="005247A0" w:rsidRDefault="005247A0" w:rsidP="000C32C0">
      <w:pPr>
        <w:pStyle w:val="BodyText"/>
        <w:spacing w:line="244" w:lineRule="auto"/>
        <w:ind w:left="100" w:right="988"/>
      </w:pPr>
    </w:p>
    <w:p w:rsidR="005247A0" w:rsidRDefault="005247A0" w:rsidP="005247A0">
      <w:pPr>
        <w:pStyle w:val="BodyText"/>
        <w:spacing w:line="244" w:lineRule="auto"/>
        <w:ind w:left="100" w:right="352" w:firstLine="5"/>
      </w:pPr>
      <w:r>
        <w:rPr>
          <w:b/>
        </w:rPr>
        <w:t xml:space="preserve">Professor Angela </w:t>
      </w:r>
      <w:proofErr w:type="spellStart"/>
      <w:r>
        <w:rPr>
          <w:b/>
        </w:rPr>
        <w:t>Tod</w:t>
      </w:r>
      <w:proofErr w:type="spellEnd"/>
      <w:r>
        <w:t>, Professor of Older People and Care, School of Nursing and        Midwifery, The University of Sheffield and previous Florence Nightingale Foundation Chair</w:t>
      </w:r>
    </w:p>
    <w:p w:rsidR="005247A0" w:rsidRDefault="005247A0" w:rsidP="000C32C0">
      <w:pPr>
        <w:pStyle w:val="BodyText"/>
        <w:spacing w:line="244" w:lineRule="auto"/>
        <w:ind w:left="100" w:right="988"/>
      </w:pPr>
    </w:p>
    <w:p w:rsidR="00F27EE9" w:rsidRDefault="00F27EE9">
      <w:pPr>
        <w:pStyle w:val="BodyText"/>
        <w:spacing w:line="244" w:lineRule="auto"/>
        <w:ind w:left="100" w:right="327"/>
      </w:pPr>
      <w:proofErr w:type="spellStart"/>
      <w:r>
        <w:rPr>
          <w:b/>
        </w:rPr>
        <w:t>Dr</w:t>
      </w:r>
      <w:proofErr w:type="spellEnd"/>
      <w:r>
        <w:rPr>
          <w:b/>
        </w:rPr>
        <w:t xml:space="preserve"> Richard Giordano, </w:t>
      </w:r>
      <w:r>
        <w:t>Senior Lecturer, Leadership and Management in Health and Social Care, Faculty of Health Sciences, University of Southampton</w:t>
      </w:r>
    </w:p>
    <w:p w:rsidR="000C32C0" w:rsidRDefault="000C32C0" w:rsidP="000C32C0">
      <w:pPr>
        <w:pStyle w:val="BodyText"/>
        <w:spacing w:before="11"/>
        <w:rPr>
          <w:sz w:val="20"/>
        </w:rPr>
      </w:pPr>
    </w:p>
    <w:p w:rsidR="000C32C0" w:rsidRDefault="005247A0" w:rsidP="006975B3">
      <w:pPr>
        <w:pStyle w:val="Heading1"/>
        <w:ind w:left="0"/>
      </w:pPr>
      <w:r>
        <w:t xml:space="preserve">  </w:t>
      </w:r>
      <w:r w:rsidR="00D523CF">
        <w:t>Abstract</w:t>
      </w:r>
    </w:p>
    <w:p w:rsidR="000C32C0" w:rsidRDefault="00C820B6" w:rsidP="000C32C0">
      <w:pPr>
        <w:pStyle w:val="BodyText"/>
        <w:spacing w:before="181" w:line="360" w:lineRule="auto"/>
        <w:ind w:left="100" w:right="144"/>
      </w:pPr>
      <w:r>
        <w:rPr>
          <w:noProof/>
        </w:rPr>
        <mc:AlternateContent>
          <mc:Choice Requires="wps">
            <w:drawing>
              <wp:anchor distT="0" distB="0" distL="0" distR="0" simplePos="0" relativeHeight="251659264" behindDoc="0" locked="0" layoutInCell="1" allowOverlap="1" wp14:anchorId="28EB8771" wp14:editId="6EB7B205">
                <wp:simplePos x="0" y="0"/>
                <wp:positionH relativeFrom="margin">
                  <wp:align>center</wp:align>
                </wp:positionH>
                <wp:positionV relativeFrom="paragraph">
                  <wp:posOffset>2496185</wp:posOffset>
                </wp:positionV>
                <wp:extent cx="5727700" cy="1983105"/>
                <wp:effectExtent l="0" t="0" r="25400" b="1714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983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20B6" w:rsidRDefault="00C820B6" w:rsidP="000C32C0">
                            <w:pPr>
                              <w:spacing w:line="250" w:lineRule="exact"/>
                              <w:ind w:left="103"/>
                              <w:rPr>
                                <w:b/>
                              </w:rPr>
                            </w:pPr>
                          </w:p>
                          <w:p w:rsidR="000C32C0" w:rsidRDefault="000C32C0" w:rsidP="000C32C0">
                            <w:pPr>
                              <w:spacing w:line="250" w:lineRule="exact"/>
                              <w:ind w:left="103"/>
                              <w:rPr>
                                <w:b/>
                              </w:rPr>
                            </w:pPr>
                            <w:r>
                              <w:rPr>
                                <w:b/>
                              </w:rPr>
                              <w:t>Key points</w:t>
                            </w:r>
                          </w:p>
                          <w:p w:rsidR="000C32C0" w:rsidRDefault="000C32C0" w:rsidP="000C32C0">
                            <w:pPr>
                              <w:pStyle w:val="BodyText"/>
                              <w:spacing w:before="126"/>
                              <w:ind w:left="103"/>
                            </w:pPr>
                            <w:r>
                              <w:t>Florence Nightingale Foundation Scholarships:</w:t>
                            </w:r>
                          </w:p>
                          <w:p w:rsidR="000C32C0" w:rsidRDefault="000C32C0" w:rsidP="000C32C0">
                            <w:pPr>
                              <w:pStyle w:val="ListParagraph"/>
                              <w:numPr>
                                <w:ilvl w:val="0"/>
                                <w:numId w:val="1"/>
                              </w:numPr>
                              <w:tabs>
                                <w:tab w:val="left" w:pos="824"/>
                              </w:tabs>
                              <w:spacing w:before="125"/>
                            </w:pPr>
                            <w:r>
                              <w:t>Increase self-confidence and</w:t>
                            </w:r>
                            <w:r>
                              <w:rPr>
                                <w:spacing w:val="-10"/>
                              </w:rPr>
                              <w:t xml:space="preserve"> </w:t>
                            </w:r>
                            <w:r>
                              <w:t>self-awareness</w:t>
                            </w:r>
                            <w:r w:rsidR="005247A0">
                              <w:t xml:space="preserve"> creating positivity</w:t>
                            </w:r>
                          </w:p>
                          <w:p w:rsidR="000C32C0" w:rsidRDefault="000C32C0" w:rsidP="000C32C0">
                            <w:pPr>
                              <w:pStyle w:val="ListParagraph"/>
                              <w:numPr>
                                <w:ilvl w:val="0"/>
                                <w:numId w:val="1"/>
                              </w:numPr>
                              <w:tabs>
                                <w:tab w:val="left" w:pos="824"/>
                              </w:tabs>
                            </w:pPr>
                            <w:r>
                              <w:t>Expand</w:t>
                            </w:r>
                            <w:r>
                              <w:rPr>
                                <w:spacing w:val="-5"/>
                              </w:rPr>
                              <w:t xml:space="preserve"> </w:t>
                            </w:r>
                            <w:r>
                              <w:t>influence</w:t>
                            </w:r>
                          </w:p>
                          <w:p w:rsidR="000C32C0" w:rsidRDefault="000C32C0" w:rsidP="000C32C0">
                            <w:pPr>
                              <w:pStyle w:val="ListParagraph"/>
                              <w:numPr>
                                <w:ilvl w:val="0"/>
                                <w:numId w:val="1"/>
                              </w:numPr>
                              <w:tabs>
                                <w:tab w:val="left" w:pos="824"/>
                              </w:tabs>
                            </w:pPr>
                            <w:r>
                              <w:t>Assist in promotion</w:t>
                            </w:r>
                            <w:r>
                              <w:rPr>
                                <w:spacing w:val="-14"/>
                              </w:rPr>
                              <w:t xml:space="preserve"> </w:t>
                            </w:r>
                            <w:r>
                              <w:t>success</w:t>
                            </w:r>
                          </w:p>
                          <w:p w:rsidR="000C32C0" w:rsidRDefault="000C32C0" w:rsidP="000C32C0">
                            <w:pPr>
                              <w:pStyle w:val="ListParagraph"/>
                              <w:numPr>
                                <w:ilvl w:val="0"/>
                                <w:numId w:val="1"/>
                              </w:numPr>
                              <w:tabs>
                                <w:tab w:val="left" w:pos="824"/>
                              </w:tabs>
                              <w:spacing w:before="121"/>
                            </w:pPr>
                            <w:r>
                              <w:t>Encourage and enable the use of</w:t>
                            </w:r>
                            <w:r>
                              <w:rPr>
                                <w:spacing w:val="-10"/>
                              </w:rPr>
                              <w:t xml:space="preserve"> </w:t>
                            </w:r>
                            <w:r>
                              <w:t>networks</w:t>
                            </w:r>
                          </w:p>
                          <w:p w:rsidR="000C32C0" w:rsidRDefault="005247A0" w:rsidP="000C32C0">
                            <w:pPr>
                              <w:pStyle w:val="ListParagraph"/>
                              <w:numPr>
                                <w:ilvl w:val="0"/>
                                <w:numId w:val="1"/>
                              </w:numPr>
                              <w:tabs>
                                <w:tab w:val="left" w:pos="824"/>
                              </w:tabs>
                              <w:spacing w:before="122"/>
                            </w:pPr>
                            <w:r>
                              <w:t>Impact on</w:t>
                            </w:r>
                            <w:r w:rsidR="00A84993">
                              <w:t xml:space="preserve"> </w:t>
                            </w:r>
                            <w:r>
                              <w:t>other colleagues</w:t>
                            </w:r>
                            <w:r w:rsidR="00083F80">
                              <w:t>,</w:t>
                            </w:r>
                            <w:r>
                              <w:t xml:space="preserve"> and care in scholar’s </w:t>
                            </w:r>
                            <w:proofErr w:type="spellStart"/>
                            <w:r>
                              <w:t>organisations</w:t>
                            </w:r>
                            <w:proofErr w:type="spellEn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196.55pt;width:451pt;height:156.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" filled="f" strokeweight=".48pt">
                <v:textbox inset="0,0,0,0">
                  <w:txbxContent>
                    <w:p w:rsidR="00C820B6" w:rsidRDefault="00C820B6" w:rsidP="000C32C0">
                      <w:pPr>
                        <w:spacing w:line="250" w:lineRule="exact"/>
                        <w:ind w:left="103"/>
                        <w:rPr>
                          <w:b/>
                        </w:rPr>
                      </w:pPr>
                    </w:p>
                    <w:p w:rsidR="000C32C0" w:rsidRDefault="000C32C0" w:rsidP="000C32C0">
                      <w:pPr>
                        <w:spacing w:line="250" w:lineRule="exact"/>
                        <w:ind w:left="103"/>
                        <w:rPr>
                          <w:b/>
                        </w:rPr>
                      </w:pPr>
                      <w:r>
                        <w:rPr>
                          <w:b/>
                        </w:rPr>
                        <w:t>Key points</w:t>
                      </w:r>
                    </w:p>
                    <w:p w:rsidR="000C32C0" w:rsidRDefault="000C32C0" w:rsidP="000C32C0">
                      <w:pPr>
                        <w:pStyle w:val="BodyText"/>
                        <w:spacing w:before="126"/>
                        <w:ind w:left="103"/>
                      </w:pPr>
                      <w:r>
                        <w:t>Florence Nightingale Foundation Scholarships:</w:t>
                      </w:r>
                    </w:p>
                    <w:p w:rsidR="000C32C0" w:rsidRDefault="000C32C0" w:rsidP="000C32C0">
                      <w:pPr>
                        <w:pStyle w:val="ListParagraph"/>
                        <w:numPr>
                          <w:ilvl w:val="0"/>
                          <w:numId w:val="1"/>
                        </w:numPr>
                        <w:tabs>
                          <w:tab w:val="left" w:pos="824"/>
                        </w:tabs>
                        <w:spacing w:before="125"/>
                      </w:pPr>
                      <w:r>
                        <w:t>Increase self-confidence and</w:t>
                      </w:r>
                      <w:r>
                        <w:rPr>
                          <w:spacing w:val="-10"/>
                        </w:rPr>
                        <w:t xml:space="preserve"> </w:t>
                      </w:r>
                      <w:r>
                        <w:t>self-awareness</w:t>
                      </w:r>
                      <w:r w:rsidR="005247A0">
                        <w:t xml:space="preserve"> creating positivity</w:t>
                      </w:r>
                    </w:p>
                    <w:p w:rsidR="000C32C0" w:rsidRDefault="000C32C0" w:rsidP="000C32C0">
                      <w:pPr>
                        <w:pStyle w:val="ListParagraph"/>
                        <w:numPr>
                          <w:ilvl w:val="0"/>
                          <w:numId w:val="1"/>
                        </w:numPr>
                        <w:tabs>
                          <w:tab w:val="left" w:pos="824"/>
                        </w:tabs>
                      </w:pPr>
                      <w:r>
                        <w:t>Expand</w:t>
                      </w:r>
                      <w:r>
                        <w:rPr>
                          <w:spacing w:val="-5"/>
                        </w:rPr>
                        <w:t xml:space="preserve"> </w:t>
                      </w:r>
                      <w:r>
                        <w:t>influence</w:t>
                      </w:r>
                    </w:p>
                    <w:p w:rsidR="000C32C0" w:rsidRDefault="000C32C0" w:rsidP="000C32C0">
                      <w:pPr>
                        <w:pStyle w:val="ListParagraph"/>
                        <w:numPr>
                          <w:ilvl w:val="0"/>
                          <w:numId w:val="1"/>
                        </w:numPr>
                        <w:tabs>
                          <w:tab w:val="left" w:pos="824"/>
                        </w:tabs>
                      </w:pPr>
                      <w:r>
                        <w:t>Assist in promotion</w:t>
                      </w:r>
                      <w:r>
                        <w:rPr>
                          <w:spacing w:val="-14"/>
                        </w:rPr>
                        <w:t xml:space="preserve"> </w:t>
                      </w:r>
                      <w:r>
                        <w:t>success</w:t>
                      </w:r>
                    </w:p>
                    <w:p w:rsidR="000C32C0" w:rsidRDefault="000C32C0" w:rsidP="000C32C0">
                      <w:pPr>
                        <w:pStyle w:val="ListParagraph"/>
                        <w:numPr>
                          <w:ilvl w:val="0"/>
                          <w:numId w:val="1"/>
                        </w:numPr>
                        <w:tabs>
                          <w:tab w:val="left" w:pos="824"/>
                        </w:tabs>
                        <w:spacing w:before="121"/>
                      </w:pPr>
                      <w:r>
                        <w:t>Encourage and enable the use of</w:t>
                      </w:r>
                      <w:r>
                        <w:rPr>
                          <w:spacing w:val="-10"/>
                        </w:rPr>
                        <w:t xml:space="preserve"> </w:t>
                      </w:r>
                      <w:r>
                        <w:t>networks</w:t>
                      </w:r>
                    </w:p>
                    <w:p w:rsidR="000C32C0" w:rsidRDefault="005247A0" w:rsidP="000C32C0">
                      <w:pPr>
                        <w:pStyle w:val="ListParagraph"/>
                        <w:numPr>
                          <w:ilvl w:val="0"/>
                          <w:numId w:val="1"/>
                        </w:numPr>
                        <w:tabs>
                          <w:tab w:val="left" w:pos="824"/>
                        </w:tabs>
                        <w:spacing w:before="122"/>
                      </w:pPr>
                      <w:r>
                        <w:t>Impact on</w:t>
                      </w:r>
                      <w:r w:rsidR="00A84993">
                        <w:t xml:space="preserve"> </w:t>
                      </w:r>
                      <w:r>
                        <w:t>other colleagues</w:t>
                      </w:r>
                      <w:r w:rsidR="00083F80">
                        <w:t>,</w:t>
                      </w:r>
                      <w:r>
                        <w:t xml:space="preserve"> and care in scholar’s </w:t>
                      </w:r>
                      <w:proofErr w:type="spellStart"/>
                      <w:r>
                        <w:t>organisations</w:t>
                      </w:r>
                      <w:proofErr w:type="spellEnd"/>
                      <w:r>
                        <w:t xml:space="preserve"> </w:t>
                      </w:r>
                    </w:p>
                  </w:txbxContent>
                </v:textbox>
                <w10:wrap type="topAndBottom" anchorx="margin"/>
              </v:shape>
            </w:pict>
          </mc:Fallback>
        </mc:AlternateContent>
      </w:r>
      <w:r w:rsidR="000C32C0">
        <w:t xml:space="preserve">The Florence Nightingale Foundation (FNF) is a </w:t>
      </w:r>
      <w:proofErr w:type="gramStart"/>
      <w:r w:rsidR="000C32C0">
        <w:t>charity which</w:t>
      </w:r>
      <w:proofErr w:type="gramEnd"/>
      <w:r w:rsidR="000C32C0">
        <w:t xml:space="preserve"> awards </w:t>
      </w:r>
      <w:r w:rsidR="00F27EE9">
        <w:t>Leadership scholarships, and Travel &amp; Research</w:t>
      </w:r>
      <w:r w:rsidR="000C32C0">
        <w:t xml:space="preserve"> scholarships to nurses, midwives, and other healthcare professionals to promote excellence in practice</w:t>
      </w:r>
      <w:r w:rsidR="00F27EE9">
        <w:t>,</w:t>
      </w:r>
      <w:r w:rsidR="00E96B6F">
        <w:t xml:space="preserve"> and have real impact on patient care</w:t>
      </w:r>
      <w:r w:rsidR="000C32C0">
        <w:t xml:space="preserve">. </w:t>
      </w:r>
      <w:r w:rsidR="00B600D6">
        <w:t>Travel and Research scholarships are available to nurses and midwives with at least one year’s post</w:t>
      </w:r>
      <w:r w:rsidR="00E96B6F">
        <w:t xml:space="preserve">-registration experience. Leadership scholars in this </w:t>
      </w:r>
      <w:r w:rsidR="00083F80">
        <w:t>evaluation</w:t>
      </w:r>
      <w:r w:rsidR="00E96B6F">
        <w:t xml:space="preserve"> were </w:t>
      </w:r>
      <w:r w:rsidR="00B600D6">
        <w:t>healthcare professionals typically in higher bands</w:t>
      </w:r>
      <w:r w:rsidR="00E96B6F">
        <w:t xml:space="preserve"> although </w:t>
      </w:r>
      <w:r w:rsidR="00F27EE9">
        <w:t>opportunities</w:t>
      </w:r>
      <w:r w:rsidR="00E96B6F">
        <w:t xml:space="preserve"> are now available at a range of levels</w:t>
      </w:r>
      <w:r w:rsidR="00B600D6">
        <w:t xml:space="preserve">. </w:t>
      </w:r>
      <w:r w:rsidR="000C32C0">
        <w:t xml:space="preserve"> This article draws from the findings of the </w:t>
      </w:r>
      <w:r w:rsidR="00A84993">
        <w:t>two</w:t>
      </w:r>
      <w:r w:rsidR="00083F80">
        <w:t xml:space="preserve"> </w:t>
      </w:r>
      <w:r w:rsidR="000C32C0">
        <w:t xml:space="preserve">recent triennial evaluations of </w:t>
      </w:r>
      <w:r w:rsidR="00083F80">
        <w:t xml:space="preserve">the </w:t>
      </w:r>
      <w:r w:rsidR="00A84993">
        <w:t xml:space="preserve">1) </w:t>
      </w:r>
      <w:r w:rsidR="00083F80">
        <w:t>Leadership</w:t>
      </w:r>
      <w:r w:rsidR="005C73CF">
        <w:t>,</w:t>
      </w:r>
      <w:r w:rsidR="00083F80">
        <w:t xml:space="preserve"> and </w:t>
      </w:r>
      <w:r w:rsidR="00A84993">
        <w:t xml:space="preserve">2) </w:t>
      </w:r>
      <w:r w:rsidR="00083F80">
        <w:t xml:space="preserve">Travel/Research </w:t>
      </w:r>
      <w:r w:rsidR="000C32C0">
        <w:t xml:space="preserve">scholarships to demonstrate </w:t>
      </w:r>
      <w:r w:rsidR="00B600D6">
        <w:t>their value</w:t>
      </w:r>
      <w:r w:rsidR="000C32C0">
        <w:t xml:space="preserve"> in improving services for patients, </w:t>
      </w:r>
      <w:proofErr w:type="spellStart"/>
      <w:r w:rsidR="000C32C0">
        <w:t>carers</w:t>
      </w:r>
      <w:proofErr w:type="spellEnd"/>
      <w:r w:rsidR="000C32C0">
        <w:t xml:space="preserve"> and users</w:t>
      </w:r>
      <w:r w:rsidR="005C73CF">
        <w:t>,</w:t>
      </w:r>
      <w:r w:rsidR="000C32C0">
        <w:t xml:space="preserve"> as well as enhancing the careers of the individual scholars.</w:t>
      </w:r>
      <w:r w:rsidR="00A84993">
        <w:t xml:space="preserve"> This article addresses the findings from both.</w:t>
      </w:r>
    </w:p>
    <w:p w:rsidR="000C32C0" w:rsidRDefault="000C32C0" w:rsidP="000C32C0">
      <w:pPr>
        <w:pStyle w:val="BodyText"/>
        <w:rPr>
          <w:sz w:val="20"/>
        </w:rPr>
      </w:pPr>
    </w:p>
    <w:p w:rsidR="00713855" w:rsidRDefault="00713855" w:rsidP="00713855">
      <w:pPr>
        <w:pStyle w:val="Heading1"/>
        <w:spacing w:before="73"/>
      </w:pPr>
      <w:r>
        <w:t>Methodology</w:t>
      </w:r>
    </w:p>
    <w:p w:rsidR="00713855" w:rsidRDefault="00F27EE9" w:rsidP="006975B3">
      <w:pPr>
        <w:pStyle w:val="BodyText"/>
        <w:spacing w:before="169" w:line="360" w:lineRule="auto"/>
        <w:ind w:left="100" w:right="143"/>
      </w:pPr>
      <w:r>
        <w:t>Each of the two separate evaluations covered three cohorts of scholars between 2012 and 2015. There were a total of 64 Leadership Scholarships awarded during that period, and 59 scholars responded, a response rate of 92%.</w:t>
      </w:r>
      <w:r w:rsidR="006B1AC5">
        <w:t xml:space="preserve"> Travel/</w:t>
      </w:r>
      <w:r w:rsidR="0092798C">
        <w:t xml:space="preserve">Research awards </w:t>
      </w:r>
      <w:proofErr w:type="spellStart"/>
      <w:r w:rsidR="0092798C">
        <w:t>tota</w:t>
      </w:r>
      <w:r w:rsidR="00B62DB8">
        <w:t>l</w:t>
      </w:r>
      <w:r w:rsidR="0092798C">
        <w:t>led</w:t>
      </w:r>
      <w:proofErr w:type="spellEnd"/>
      <w:r w:rsidR="0092798C">
        <w:t xml:space="preserve"> 128 and 91 scholars responded, a 78% response rate. Of </w:t>
      </w:r>
      <w:r w:rsidR="00083F80">
        <w:t>the latter</w:t>
      </w:r>
      <w:r w:rsidR="0092798C">
        <w:t xml:space="preserve"> respondents, </w:t>
      </w:r>
      <w:r w:rsidR="006B1AC5">
        <w:t>48 were R</w:t>
      </w:r>
      <w:r w:rsidR="0092798C">
        <w:t>esearch scholars</w:t>
      </w:r>
      <w:r w:rsidR="00083F80">
        <w:t xml:space="preserve"> (74%)</w:t>
      </w:r>
      <w:r w:rsidR="006B1AC5">
        <w:t xml:space="preserve"> and 43 were T</w:t>
      </w:r>
      <w:r w:rsidR="0092798C">
        <w:t>ravel scholars</w:t>
      </w:r>
      <w:r w:rsidR="00083F80">
        <w:t xml:space="preserve"> (68%)</w:t>
      </w:r>
      <w:r w:rsidR="0092798C">
        <w:t>.</w:t>
      </w:r>
      <w:r w:rsidR="00713855">
        <w:t xml:space="preserve"> </w:t>
      </w:r>
      <w:proofErr w:type="gramStart"/>
      <w:r w:rsidR="0092798C">
        <w:t xml:space="preserve">The Leadership Scholarship evaluation was carried out by </w:t>
      </w:r>
      <w:proofErr w:type="spellStart"/>
      <w:r w:rsidR="0092798C">
        <w:t>Dr</w:t>
      </w:r>
      <w:proofErr w:type="spellEnd"/>
      <w:r w:rsidR="0092798C">
        <w:t xml:space="preserve"> Richard Giordano of the University of Southampton</w:t>
      </w:r>
      <w:proofErr w:type="gramEnd"/>
      <w:r w:rsidR="00083F80">
        <w:t xml:space="preserve">. </w:t>
      </w:r>
      <w:proofErr w:type="gramStart"/>
      <w:r w:rsidR="00083F80">
        <w:t xml:space="preserve">The </w:t>
      </w:r>
      <w:r w:rsidR="00083F80">
        <w:lastRenderedPageBreak/>
        <w:t>Travel/</w:t>
      </w:r>
      <w:r w:rsidR="0092798C">
        <w:t>Research Scholarship evaluation was led by Professor Candy McCabe and Professor Angela Todd</w:t>
      </w:r>
      <w:proofErr w:type="gramEnd"/>
      <w:r w:rsidR="0092798C">
        <w:t xml:space="preserve">. Each evaluation included the use of an online electronic survey to gather data. </w:t>
      </w:r>
      <w:r w:rsidR="00713855">
        <w:t>The survey</w:t>
      </w:r>
      <w:r w:rsidR="0092798C">
        <w:t>s</w:t>
      </w:r>
      <w:r w:rsidR="00713855">
        <w:t xml:space="preserve"> collected data on </w:t>
      </w:r>
      <w:r w:rsidR="0092798C">
        <w:t xml:space="preserve">all of </w:t>
      </w:r>
      <w:r w:rsidR="00713855">
        <w:t>the scholars’ expectations and overall e</w:t>
      </w:r>
      <w:r w:rsidR="005C73CF">
        <w:t>xperience of their scholarships;</w:t>
      </w:r>
      <w:r w:rsidR="00713855">
        <w:t xml:space="preserve"> the scholars’ perceptions of the impact of their scholarships on their pro</w:t>
      </w:r>
      <w:r w:rsidR="00B62DB8">
        <w:t>fessional and clinical practice;</w:t>
      </w:r>
      <w:r w:rsidR="00713855">
        <w:t xml:space="preserve"> the outco</w:t>
      </w:r>
      <w:r w:rsidR="00B62DB8">
        <w:t>mes of their scholarship awards;</w:t>
      </w:r>
      <w:r w:rsidR="00713855">
        <w:t xml:space="preserve"> and suggestions from the scholars on areas for improvement or future dissemination of the scholarships.</w:t>
      </w:r>
      <w:r w:rsidR="005247A0">
        <w:t xml:space="preserve"> </w:t>
      </w:r>
      <w:r w:rsidR="00713855">
        <w:t xml:space="preserve">The Leadership Scholarship evaluation additionally involved the use of telephone interviews. This provided the opportunity to explore issues in more depth with scholars and </w:t>
      </w:r>
      <w:r w:rsidR="00083F80">
        <w:t xml:space="preserve">additionally </w:t>
      </w:r>
      <w:r w:rsidR="00713855">
        <w:t xml:space="preserve">to collect views from </w:t>
      </w:r>
      <w:proofErr w:type="spellStart"/>
      <w:r w:rsidR="00713855">
        <w:t>organisational</w:t>
      </w:r>
      <w:proofErr w:type="spellEnd"/>
      <w:r w:rsidR="00713855">
        <w:t xml:space="preserve"> ‘sponsors’ such as the scholar’s line manager, CEO or Head of Service etc. </w:t>
      </w:r>
      <w:r w:rsidR="007D7BC9">
        <w:t xml:space="preserve">40 </w:t>
      </w:r>
      <w:r w:rsidR="00713855">
        <w:t xml:space="preserve">out of the </w:t>
      </w:r>
      <w:r w:rsidR="007D7BC9">
        <w:t>59</w:t>
      </w:r>
      <w:r w:rsidR="00713855">
        <w:t xml:space="preserve"> t</w:t>
      </w:r>
      <w:r w:rsidR="005C73CF">
        <w:t>hat completed the online survey (68%)</w:t>
      </w:r>
      <w:r w:rsidR="00A84993">
        <w:t xml:space="preserve"> </w:t>
      </w:r>
      <w:r w:rsidR="00713855">
        <w:t xml:space="preserve">participated in a telephone interview </w:t>
      </w:r>
      <w:r w:rsidR="00083F80">
        <w:t xml:space="preserve">and </w:t>
      </w:r>
      <w:r w:rsidR="007D7BC9">
        <w:t>29</w:t>
      </w:r>
      <w:r w:rsidR="00083F80">
        <w:t xml:space="preserve"> ‘sponsors’ </w:t>
      </w:r>
      <w:r w:rsidR="00A84993">
        <w:t>also did.</w:t>
      </w:r>
    </w:p>
    <w:p w:rsidR="00713855" w:rsidRDefault="00713855" w:rsidP="006975B3">
      <w:pPr>
        <w:pStyle w:val="Heading1"/>
        <w:spacing w:before="193"/>
        <w:ind w:left="0" w:firstLine="100"/>
      </w:pPr>
      <w:r>
        <w:t>Overall findings</w:t>
      </w:r>
    </w:p>
    <w:p w:rsidR="00713855" w:rsidRDefault="00713855" w:rsidP="00713855">
      <w:pPr>
        <w:pStyle w:val="BodyText"/>
        <w:spacing w:before="9"/>
        <w:rPr>
          <w:b/>
          <w:sz w:val="25"/>
        </w:rPr>
      </w:pPr>
    </w:p>
    <w:p w:rsidR="00713855" w:rsidRDefault="00713855" w:rsidP="006975B3">
      <w:pPr>
        <w:pStyle w:val="BodyText"/>
        <w:spacing w:line="360" w:lineRule="auto"/>
        <w:ind w:left="100" w:right="107"/>
        <w:rPr>
          <w:i/>
        </w:rPr>
      </w:pPr>
      <w:r>
        <w:t>Overall,</w:t>
      </w:r>
      <w:r w:rsidR="00E96B6F">
        <w:t xml:space="preserve"> 98% (n=55) </w:t>
      </w:r>
      <w:r w:rsidR="00083F80">
        <w:t xml:space="preserve">of </w:t>
      </w:r>
      <w:r w:rsidR="00E96B6F">
        <w:t xml:space="preserve">Leadership scholars, and 80% (n=71) </w:t>
      </w:r>
      <w:r w:rsidR="00083F80">
        <w:t xml:space="preserve">of </w:t>
      </w:r>
      <w:r w:rsidR="006B1AC5">
        <w:t>Travel/Research</w:t>
      </w:r>
      <w:r w:rsidR="00E96B6F">
        <w:t xml:space="preserve"> scholars rated their experience as </w:t>
      </w:r>
      <w:r w:rsidR="00083F80">
        <w:t>‘Excellent’. This was the highest</w:t>
      </w:r>
      <w:r w:rsidR="00E96B6F">
        <w:t xml:space="preserve"> score that participants could select on the survey. </w:t>
      </w:r>
      <w:r w:rsidR="00A84993">
        <w:t>Speaking about</w:t>
      </w:r>
      <w:r w:rsidR="00083F80">
        <w:t xml:space="preserve"> the experience of their</w:t>
      </w:r>
      <w:r>
        <w:t xml:space="preserve"> scholarship, many respondents described various positive changes in their lives and careers. </w:t>
      </w:r>
      <w:r>
        <w:rPr>
          <w:i/>
        </w:rPr>
        <w:t>“It was simply life, and career changing. It has influenced and changed the way I think and practice.”</w:t>
      </w:r>
    </w:p>
    <w:p w:rsidR="00713855" w:rsidRDefault="00713855" w:rsidP="000C32C0">
      <w:pPr>
        <w:pStyle w:val="BodyText"/>
        <w:rPr>
          <w:sz w:val="20"/>
        </w:rPr>
      </w:pPr>
    </w:p>
    <w:p w:rsidR="00713855" w:rsidRDefault="00713855" w:rsidP="00713855">
      <w:pPr>
        <w:pStyle w:val="Heading1"/>
        <w:spacing w:before="51"/>
        <w:ind w:right="225"/>
      </w:pPr>
      <w:r>
        <w:t>Impact on Career</w:t>
      </w:r>
    </w:p>
    <w:p w:rsidR="00713855" w:rsidRDefault="00713855" w:rsidP="00713855">
      <w:pPr>
        <w:pStyle w:val="BodyText"/>
        <w:spacing w:before="4"/>
        <w:rPr>
          <w:b/>
          <w:sz w:val="25"/>
        </w:rPr>
      </w:pPr>
    </w:p>
    <w:p w:rsidR="00713855" w:rsidRDefault="00713855" w:rsidP="00713855">
      <w:pPr>
        <w:pStyle w:val="BodyText"/>
        <w:spacing w:line="360" w:lineRule="auto"/>
        <w:ind w:left="100" w:right="225"/>
      </w:pPr>
      <w:r>
        <w:t>Reinforcing the findings of previous scholarship evaluations (Baillie, Taylor &amp; Giordano, 2013), it is evident that the Foundation’s scholarships have an impact on scholars’ careers.</w:t>
      </w:r>
      <w:r w:rsidR="006B1AC5">
        <w:t xml:space="preserve"> 97% (n=86) of the Travel/Research</w:t>
      </w:r>
      <w:r>
        <w:t xml:space="preserve"> scholars agreed that the scholarship had a positive impact on their careers. The positive impact ‘</w:t>
      </w:r>
      <w:r>
        <w:rPr>
          <w:i/>
        </w:rPr>
        <w:t>included an immediate opportunity for career promotion, or increased confidence</w:t>
      </w:r>
      <w:r>
        <w:t>’ (McCa</w:t>
      </w:r>
      <w:r w:rsidR="00E96B6F">
        <w:t xml:space="preserve">be &amp; </w:t>
      </w:r>
      <w:proofErr w:type="spellStart"/>
      <w:r w:rsidR="00E96B6F">
        <w:t>Tod</w:t>
      </w:r>
      <w:proofErr w:type="spellEnd"/>
      <w:r w:rsidR="00E96B6F">
        <w:t>, 2016). For example, a</w:t>
      </w:r>
      <w:r>
        <w:t xml:space="preserve"> Scholar reported that they h</w:t>
      </w:r>
      <w:r w:rsidR="00B62DB8">
        <w:t>ad been shortlisted for a post two</w:t>
      </w:r>
      <w:r>
        <w:t xml:space="preserve"> bands above their current role, citing the scholarship as a factor. </w:t>
      </w:r>
    </w:p>
    <w:p w:rsidR="00713855" w:rsidRDefault="00713855" w:rsidP="006975B3">
      <w:pPr>
        <w:pStyle w:val="BodyText"/>
        <w:spacing w:before="169" w:line="360" w:lineRule="auto"/>
        <w:ind w:left="100" w:right="214"/>
      </w:pPr>
      <w:r>
        <w:t xml:space="preserve">For Leadership scholars too, the evaluation highlights impact on </w:t>
      </w:r>
      <w:r w:rsidR="00A84993">
        <w:t xml:space="preserve">their </w:t>
      </w:r>
      <w:r>
        <w:t xml:space="preserve">career as one of the major benefits of the </w:t>
      </w:r>
      <w:proofErr w:type="spellStart"/>
      <w:r>
        <w:t>programme</w:t>
      </w:r>
      <w:proofErr w:type="spellEnd"/>
      <w:r>
        <w:t>. When intervi</w:t>
      </w:r>
      <w:r w:rsidR="00083F80">
        <w:t xml:space="preserve">ewed, </w:t>
      </w:r>
      <w:r w:rsidR="007D7BC9">
        <w:t>33 of fifty 59</w:t>
      </w:r>
      <w:r>
        <w:t xml:space="preserve"> respondents had changed roles and what the interviews and survey responses uncover</w:t>
      </w:r>
      <w:r w:rsidR="00B62DB8">
        <w:t>ed</w:t>
      </w:r>
      <w:r>
        <w:t xml:space="preserve"> is the importance scholars attributed to the scholarship in increasing their confidence to apply for more senior roles, and dispelling any sense of imposter syndrome (</w:t>
      </w:r>
      <w:proofErr w:type="spellStart"/>
      <w:r>
        <w:t>Clance</w:t>
      </w:r>
      <w:proofErr w:type="spellEnd"/>
      <w:r>
        <w:t xml:space="preserve"> &amp; </w:t>
      </w:r>
      <w:proofErr w:type="spellStart"/>
      <w:r>
        <w:t>Imes</w:t>
      </w:r>
      <w:proofErr w:type="spellEnd"/>
      <w:r>
        <w:t>, 1978). Actual i</w:t>
      </w:r>
      <w:r w:rsidRPr="00D523CF">
        <w:t xml:space="preserve">nstances of career progression as a consequence of this increased confidence are multiple. Examples include scholars moving from Deputy Director of Nursing to Director of Nursing; Regional Head of Nursing to </w:t>
      </w:r>
      <w:r w:rsidR="00546A88">
        <w:t>a National Nursing Role</w:t>
      </w:r>
      <w:r w:rsidRPr="00D523CF">
        <w:t>; Lecturer to Senior Lecturer; Clinical Professor to Dean; and so on.</w:t>
      </w:r>
    </w:p>
    <w:p w:rsidR="00713855" w:rsidRDefault="00713855" w:rsidP="000C32C0">
      <w:pPr>
        <w:pStyle w:val="BodyText"/>
        <w:rPr>
          <w:sz w:val="20"/>
        </w:rPr>
      </w:pPr>
    </w:p>
    <w:p w:rsidR="00546A88" w:rsidRDefault="00546A88" w:rsidP="006975B3">
      <w:pPr>
        <w:pStyle w:val="Heading1"/>
        <w:ind w:left="0" w:right="101" w:firstLine="100"/>
      </w:pPr>
    </w:p>
    <w:p w:rsidR="00546A88" w:rsidRDefault="00546A88" w:rsidP="006975B3">
      <w:pPr>
        <w:pStyle w:val="Heading1"/>
        <w:ind w:left="0" w:right="101" w:firstLine="100"/>
      </w:pPr>
    </w:p>
    <w:p w:rsidR="00546A88" w:rsidRDefault="00546A88" w:rsidP="006975B3">
      <w:pPr>
        <w:pStyle w:val="Heading1"/>
        <w:ind w:left="0" w:right="101" w:firstLine="100"/>
      </w:pPr>
    </w:p>
    <w:p w:rsidR="00C404EF" w:rsidRDefault="00C404EF" w:rsidP="006975B3">
      <w:pPr>
        <w:pStyle w:val="Heading1"/>
        <w:ind w:left="0" w:right="101" w:firstLine="100"/>
      </w:pPr>
    </w:p>
    <w:p w:rsidR="00713855" w:rsidRDefault="00713855" w:rsidP="006975B3">
      <w:pPr>
        <w:pStyle w:val="Heading1"/>
        <w:ind w:left="0" w:right="101" w:firstLine="100"/>
      </w:pPr>
      <w:r>
        <w:t>Confidence and Ripple Effect</w:t>
      </w:r>
    </w:p>
    <w:p w:rsidR="00713855" w:rsidRDefault="00713855" w:rsidP="00713855">
      <w:pPr>
        <w:pStyle w:val="Heading1"/>
        <w:ind w:left="0" w:right="101"/>
      </w:pPr>
    </w:p>
    <w:p w:rsidR="00713855" w:rsidRDefault="00B62DB8" w:rsidP="006975B3">
      <w:pPr>
        <w:pStyle w:val="BodyText"/>
        <w:spacing w:line="360" w:lineRule="auto"/>
        <w:ind w:left="100" w:right="101"/>
      </w:pPr>
      <w:r>
        <w:t>Perhaps more surprising</w:t>
      </w:r>
      <w:r w:rsidR="00713855">
        <w:t xml:space="preserve"> is that the confidence gained by Leadership scholars is transmitted to other staff in the scholars’ </w:t>
      </w:r>
      <w:proofErr w:type="spellStart"/>
      <w:r w:rsidR="00713855">
        <w:t>organisations</w:t>
      </w:r>
      <w:proofErr w:type="spellEnd"/>
      <w:r w:rsidR="00713855">
        <w:t xml:space="preserve"> - increasing their colleagues’ confidence and engagement in turn</w:t>
      </w:r>
      <w:r>
        <w:t xml:space="preserve">. In particular, dialogue with </w:t>
      </w:r>
      <w:proofErr w:type="spellStart"/>
      <w:r>
        <w:t>organisational</w:t>
      </w:r>
      <w:proofErr w:type="spellEnd"/>
      <w:r>
        <w:t xml:space="preserve"> sponsors</w:t>
      </w:r>
      <w:r w:rsidR="00713855">
        <w:t xml:space="preserve"> in the telephone interviews uncovered this phenomenon. </w:t>
      </w:r>
      <w:r w:rsidR="00A84993">
        <w:t>The leadership evaluation</w:t>
      </w:r>
      <w:r w:rsidR="00546A88">
        <w:t xml:space="preserve"> reports how one sponsor</w:t>
      </w:r>
      <w:r w:rsidR="00713855">
        <w:t xml:space="preserve"> said that a scholar ‘</w:t>
      </w:r>
      <w:r w:rsidR="00713855">
        <w:rPr>
          <w:i/>
        </w:rPr>
        <w:t xml:space="preserve">takes people along with her’, </w:t>
      </w:r>
      <w:r w:rsidR="00713855">
        <w:t>and another said that their employee had ‘</w:t>
      </w:r>
      <w:r w:rsidR="00713855">
        <w:rPr>
          <w:i/>
        </w:rPr>
        <w:t xml:space="preserve">empowered other staff to think about their personal </w:t>
      </w:r>
      <w:r w:rsidR="00732CCB">
        <w:rPr>
          <w:i/>
        </w:rPr>
        <w:t>development.</w:t>
      </w:r>
      <w:r w:rsidR="00713855">
        <w:t xml:space="preserve">’ </w:t>
      </w:r>
      <w:r w:rsidR="00774350">
        <w:t xml:space="preserve">This ripple effect of the scholarships was articulated frequently by those surveyed. </w:t>
      </w:r>
      <w:r w:rsidR="00546A88">
        <w:t xml:space="preserve">Table 1 </w:t>
      </w:r>
      <w:r w:rsidR="00713855">
        <w:t>shows the resu</w:t>
      </w:r>
      <w:r w:rsidR="00774350">
        <w:t xml:space="preserve">lts of </w:t>
      </w:r>
      <w:r w:rsidR="00546A88">
        <w:t xml:space="preserve">a </w:t>
      </w:r>
      <w:r>
        <w:t>q</w:t>
      </w:r>
      <w:r w:rsidR="00546A88">
        <w:t xml:space="preserve">uestion </w:t>
      </w:r>
      <w:r w:rsidR="00774350">
        <w:t>from</w:t>
      </w:r>
      <w:r w:rsidR="00713855">
        <w:t xml:space="preserve"> the online Leadership survey, and displays how Foundation scholars facilitate and enable others: </w:t>
      </w:r>
    </w:p>
    <w:p w:rsidR="00713855" w:rsidRPr="006975B3" w:rsidRDefault="006B3AB8" w:rsidP="006975B3">
      <w:pPr>
        <w:pStyle w:val="BodyText"/>
        <w:spacing w:line="360" w:lineRule="auto"/>
        <w:ind w:right="101" w:firstLine="100"/>
        <w:rPr>
          <w:u w:val="single"/>
        </w:rPr>
      </w:pPr>
      <w:r>
        <w:rPr>
          <w:u w:val="single"/>
        </w:rPr>
        <w:t>Table 1:</w:t>
      </w:r>
    </w:p>
    <w:tbl>
      <w:tblPr>
        <w:tblStyle w:val="TableGrid"/>
        <w:tblpPr w:leftFromText="180" w:rightFromText="180" w:vertAnchor="text" w:horzAnchor="margin" w:tblpY="-42"/>
        <w:tblW w:w="9228" w:type="dxa"/>
        <w:tblLook w:val="04A0" w:firstRow="1" w:lastRow="0" w:firstColumn="1" w:lastColumn="0" w:noHBand="0" w:noVBand="1"/>
      </w:tblPr>
      <w:tblGrid>
        <w:gridCol w:w="1236"/>
        <w:gridCol w:w="974"/>
        <w:gridCol w:w="986"/>
        <w:gridCol w:w="976"/>
        <w:gridCol w:w="1033"/>
        <w:gridCol w:w="1033"/>
        <w:gridCol w:w="1033"/>
        <w:gridCol w:w="970"/>
        <w:gridCol w:w="987"/>
      </w:tblGrid>
      <w:tr w:rsidR="00713855" w:rsidRPr="00B04FA0" w:rsidTr="006975B3">
        <w:trPr>
          <w:trHeight w:val="469"/>
        </w:trPr>
        <w:tc>
          <w:tcPr>
            <w:tcW w:w="9228" w:type="dxa"/>
            <w:gridSpan w:val="9"/>
          </w:tcPr>
          <w:p w:rsidR="00713855" w:rsidRPr="00B04FA0" w:rsidRDefault="00713855" w:rsidP="00713855">
            <w:pPr>
              <w:widowControl/>
              <w:spacing w:after="160" w:line="360" w:lineRule="auto"/>
              <w:rPr>
                <w:rFonts w:eastAsiaTheme="minorHAnsi"/>
                <w:lang w:val="en-GB"/>
              </w:rPr>
            </w:pPr>
            <w:r w:rsidRPr="00B04FA0">
              <w:rPr>
                <w:rFonts w:eastAsiaTheme="minorHAnsi"/>
                <w:lang w:val="en-GB"/>
              </w:rPr>
              <w:t>The Leadership Scholarship has influenced your profession as a whole or your colleagues</w:t>
            </w:r>
          </w:p>
        </w:tc>
      </w:tr>
      <w:tr w:rsidR="00713855" w:rsidRPr="00B04FA0" w:rsidTr="006975B3">
        <w:trPr>
          <w:trHeight w:val="733"/>
        </w:trPr>
        <w:tc>
          <w:tcPr>
            <w:tcW w:w="1236" w:type="dxa"/>
          </w:tcPr>
          <w:p w:rsidR="00713855" w:rsidRPr="000258C3" w:rsidRDefault="00713855" w:rsidP="00713855">
            <w:pPr>
              <w:widowControl/>
              <w:spacing w:after="160" w:line="360" w:lineRule="auto"/>
              <w:rPr>
                <w:rFonts w:eastAsiaTheme="minorHAnsi"/>
                <w:sz w:val="20"/>
                <w:szCs w:val="20"/>
                <w:lang w:val="en-GB"/>
              </w:rPr>
            </w:pPr>
          </w:p>
        </w:tc>
        <w:tc>
          <w:tcPr>
            <w:tcW w:w="974" w:type="dxa"/>
          </w:tcPr>
          <w:p w:rsidR="00713855" w:rsidRPr="000258C3" w:rsidRDefault="00774350" w:rsidP="00713855">
            <w:pPr>
              <w:widowControl/>
              <w:spacing w:after="160" w:line="360" w:lineRule="auto"/>
              <w:rPr>
                <w:rFonts w:eastAsiaTheme="minorHAnsi"/>
                <w:sz w:val="20"/>
                <w:szCs w:val="20"/>
                <w:lang w:val="en-GB"/>
              </w:rPr>
            </w:pPr>
            <w:r>
              <w:rPr>
                <w:rFonts w:eastAsiaTheme="minorHAnsi"/>
                <w:sz w:val="20"/>
                <w:szCs w:val="20"/>
                <w:lang w:val="en-GB"/>
              </w:rPr>
              <w:t>Agree Strongly</w:t>
            </w:r>
          </w:p>
        </w:tc>
        <w:tc>
          <w:tcPr>
            <w:tcW w:w="986" w:type="dxa"/>
          </w:tcPr>
          <w:p w:rsidR="00713855" w:rsidRPr="000258C3" w:rsidRDefault="00774350" w:rsidP="00B525FD">
            <w:pPr>
              <w:widowControl/>
              <w:spacing w:after="160" w:line="360" w:lineRule="auto"/>
              <w:rPr>
                <w:rFonts w:eastAsiaTheme="minorHAnsi"/>
                <w:sz w:val="20"/>
                <w:szCs w:val="20"/>
                <w:lang w:val="en-GB"/>
              </w:rPr>
            </w:pPr>
            <w:r>
              <w:rPr>
                <w:rFonts w:eastAsiaTheme="minorHAnsi"/>
                <w:sz w:val="20"/>
                <w:szCs w:val="20"/>
                <w:lang w:val="en-GB"/>
              </w:rPr>
              <w:t xml:space="preserve">Agree </w:t>
            </w:r>
          </w:p>
        </w:tc>
        <w:tc>
          <w:tcPr>
            <w:tcW w:w="976" w:type="dxa"/>
          </w:tcPr>
          <w:p w:rsidR="00713855" w:rsidRPr="000258C3" w:rsidRDefault="00713855" w:rsidP="00713855">
            <w:pPr>
              <w:widowControl/>
              <w:spacing w:after="160" w:line="360" w:lineRule="auto"/>
              <w:rPr>
                <w:rFonts w:eastAsiaTheme="minorHAnsi"/>
                <w:sz w:val="20"/>
                <w:szCs w:val="20"/>
                <w:lang w:val="en-GB"/>
              </w:rPr>
            </w:pPr>
            <w:r w:rsidRPr="000258C3">
              <w:rPr>
                <w:rFonts w:eastAsiaTheme="minorHAnsi"/>
                <w:sz w:val="20"/>
                <w:szCs w:val="20"/>
                <w:lang w:val="en-GB"/>
              </w:rPr>
              <w:t>Agree</w:t>
            </w:r>
            <w:r w:rsidR="00774350">
              <w:rPr>
                <w:rFonts w:eastAsiaTheme="minorHAnsi"/>
                <w:sz w:val="20"/>
                <w:szCs w:val="20"/>
                <w:lang w:val="en-GB"/>
              </w:rPr>
              <w:t xml:space="preserve"> Slightly</w:t>
            </w:r>
          </w:p>
        </w:tc>
        <w:tc>
          <w:tcPr>
            <w:tcW w:w="1033" w:type="dxa"/>
          </w:tcPr>
          <w:p w:rsidR="00713855" w:rsidRPr="000258C3" w:rsidRDefault="00713855" w:rsidP="00713855">
            <w:pPr>
              <w:widowControl/>
              <w:spacing w:after="160" w:line="360" w:lineRule="auto"/>
              <w:rPr>
                <w:rFonts w:eastAsiaTheme="minorHAnsi"/>
                <w:sz w:val="20"/>
                <w:szCs w:val="20"/>
                <w:lang w:val="en-GB"/>
              </w:rPr>
            </w:pPr>
            <w:r w:rsidRPr="000258C3">
              <w:rPr>
                <w:rFonts w:eastAsiaTheme="minorHAnsi"/>
                <w:sz w:val="20"/>
                <w:szCs w:val="20"/>
                <w:lang w:val="en-GB"/>
              </w:rPr>
              <w:t>Disagree Slightly</w:t>
            </w:r>
          </w:p>
        </w:tc>
        <w:tc>
          <w:tcPr>
            <w:tcW w:w="1033" w:type="dxa"/>
          </w:tcPr>
          <w:p w:rsidR="00713855" w:rsidRPr="000258C3" w:rsidRDefault="00713855" w:rsidP="00713855">
            <w:pPr>
              <w:widowControl/>
              <w:spacing w:after="160" w:line="360" w:lineRule="auto"/>
              <w:rPr>
                <w:rFonts w:eastAsiaTheme="minorHAnsi"/>
                <w:sz w:val="20"/>
                <w:szCs w:val="20"/>
                <w:lang w:val="en-GB"/>
              </w:rPr>
            </w:pPr>
            <w:r w:rsidRPr="000258C3">
              <w:rPr>
                <w:rFonts w:eastAsiaTheme="minorHAnsi"/>
                <w:sz w:val="20"/>
                <w:szCs w:val="20"/>
                <w:lang w:val="en-GB"/>
              </w:rPr>
              <w:t>Disagree</w:t>
            </w:r>
          </w:p>
        </w:tc>
        <w:tc>
          <w:tcPr>
            <w:tcW w:w="1033" w:type="dxa"/>
          </w:tcPr>
          <w:p w:rsidR="00713855" w:rsidRPr="000258C3" w:rsidRDefault="00713855" w:rsidP="00713855">
            <w:pPr>
              <w:widowControl/>
              <w:spacing w:after="160" w:line="360" w:lineRule="auto"/>
              <w:rPr>
                <w:rFonts w:eastAsiaTheme="minorHAnsi"/>
                <w:sz w:val="20"/>
                <w:szCs w:val="20"/>
                <w:lang w:val="en-GB"/>
              </w:rPr>
            </w:pPr>
            <w:r w:rsidRPr="000258C3">
              <w:rPr>
                <w:rFonts w:eastAsiaTheme="minorHAnsi"/>
                <w:sz w:val="20"/>
                <w:szCs w:val="20"/>
                <w:lang w:val="en-GB"/>
              </w:rPr>
              <w:t>Disagree Strongly</w:t>
            </w:r>
          </w:p>
        </w:tc>
        <w:tc>
          <w:tcPr>
            <w:tcW w:w="970" w:type="dxa"/>
          </w:tcPr>
          <w:p w:rsidR="00713855" w:rsidRPr="000258C3" w:rsidRDefault="00713855" w:rsidP="00713855">
            <w:pPr>
              <w:widowControl/>
              <w:spacing w:after="160" w:line="360" w:lineRule="auto"/>
              <w:rPr>
                <w:rFonts w:eastAsiaTheme="minorHAnsi"/>
                <w:sz w:val="20"/>
                <w:szCs w:val="20"/>
                <w:lang w:val="en-GB"/>
              </w:rPr>
            </w:pPr>
            <w:r w:rsidRPr="000258C3">
              <w:rPr>
                <w:rFonts w:eastAsiaTheme="minorHAnsi"/>
                <w:sz w:val="20"/>
                <w:szCs w:val="20"/>
                <w:lang w:val="en-GB"/>
              </w:rPr>
              <w:t>N/A</w:t>
            </w:r>
          </w:p>
        </w:tc>
        <w:tc>
          <w:tcPr>
            <w:tcW w:w="984" w:type="dxa"/>
          </w:tcPr>
          <w:p w:rsidR="00713855" w:rsidRPr="000258C3" w:rsidRDefault="00713855" w:rsidP="00713855">
            <w:pPr>
              <w:widowControl/>
              <w:spacing w:after="160" w:line="360" w:lineRule="auto"/>
              <w:rPr>
                <w:rFonts w:eastAsiaTheme="minorHAnsi"/>
                <w:sz w:val="20"/>
                <w:szCs w:val="20"/>
                <w:lang w:val="en-GB"/>
              </w:rPr>
            </w:pPr>
            <w:r w:rsidRPr="000258C3">
              <w:rPr>
                <w:rFonts w:eastAsiaTheme="minorHAnsi"/>
                <w:sz w:val="20"/>
                <w:szCs w:val="20"/>
                <w:lang w:val="en-GB"/>
              </w:rPr>
              <w:t>Total</w:t>
            </w:r>
          </w:p>
        </w:tc>
      </w:tr>
      <w:tr w:rsidR="00713855" w:rsidRPr="00B04FA0" w:rsidTr="006975B3">
        <w:trPr>
          <w:trHeight w:val="749"/>
        </w:trPr>
        <w:tc>
          <w:tcPr>
            <w:tcW w:w="1236" w:type="dxa"/>
          </w:tcPr>
          <w:p w:rsidR="00713855" w:rsidRPr="000258C3" w:rsidRDefault="00713855" w:rsidP="00713855">
            <w:pPr>
              <w:widowControl/>
              <w:spacing w:after="160" w:line="360" w:lineRule="auto"/>
              <w:rPr>
                <w:rFonts w:eastAsiaTheme="minorHAnsi"/>
                <w:sz w:val="20"/>
                <w:szCs w:val="20"/>
                <w:lang w:val="en-GB"/>
              </w:rPr>
            </w:pPr>
            <w:r w:rsidRPr="000258C3">
              <w:rPr>
                <w:rFonts w:eastAsiaTheme="minorHAnsi"/>
                <w:sz w:val="20"/>
                <w:szCs w:val="20"/>
                <w:lang w:val="en-GB"/>
              </w:rPr>
              <w:t>Impact on profession</w:t>
            </w:r>
          </w:p>
        </w:tc>
        <w:tc>
          <w:tcPr>
            <w:tcW w:w="974"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20</w:t>
            </w:r>
            <w:r w:rsidRPr="00B04FA0">
              <w:rPr>
                <w:rFonts w:eastAsiaTheme="minorHAnsi"/>
                <w:sz w:val="20"/>
                <w:szCs w:val="20"/>
                <w:lang w:val="en-GB"/>
              </w:rPr>
              <w:br/>
              <w:t>(36%)</w:t>
            </w:r>
          </w:p>
        </w:tc>
        <w:tc>
          <w:tcPr>
            <w:tcW w:w="986"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19</w:t>
            </w:r>
            <w:r w:rsidRPr="00B04FA0">
              <w:rPr>
                <w:rFonts w:eastAsiaTheme="minorHAnsi"/>
                <w:sz w:val="20"/>
                <w:szCs w:val="20"/>
                <w:lang w:val="en-GB"/>
              </w:rPr>
              <w:br/>
              <w:t>(34%)</w:t>
            </w:r>
          </w:p>
        </w:tc>
        <w:tc>
          <w:tcPr>
            <w:tcW w:w="976"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12</w:t>
            </w:r>
            <w:r w:rsidRPr="00B04FA0">
              <w:rPr>
                <w:rFonts w:eastAsiaTheme="minorHAnsi"/>
                <w:sz w:val="20"/>
                <w:szCs w:val="20"/>
                <w:lang w:val="en-GB"/>
              </w:rPr>
              <w:br/>
              <w:t>(21%)</w:t>
            </w:r>
          </w:p>
        </w:tc>
        <w:tc>
          <w:tcPr>
            <w:tcW w:w="1033"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2</w:t>
            </w:r>
            <w:r w:rsidRPr="00B04FA0">
              <w:rPr>
                <w:rFonts w:eastAsiaTheme="minorHAnsi"/>
                <w:sz w:val="20"/>
                <w:szCs w:val="20"/>
                <w:lang w:val="en-GB"/>
              </w:rPr>
              <w:br/>
              <w:t>(4%)</w:t>
            </w:r>
          </w:p>
        </w:tc>
        <w:tc>
          <w:tcPr>
            <w:tcW w:w="1033"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0</w:t>
            </w:r>
          </w:p>
        </w:tc>
        <w:tc>
          <w:tcPr>
            <w:tcW w:w="1033"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0</w:t>
            </w:r>
          </w:p>
        </w:tc>
        <w:tc>
          <w:tcPr>
            <w:tcW w:w="970"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3</w:t>
            </w:r>
            <w:r w:rsidRPr="00B04FA0">
              <w:rPr>
                <w:rFonts w:eastAsiaTheme="minorHAnsi"/>
                <w:sz w:val="20"/>
                <w:szCs w:val="20"/>
                <w:lang w:val="en-GB"/>
              </w:rPr>
              <w:br/>
              <w:t>(5%)</w:t>
            </w:r>
          </w:p>
        </w:tc>
        <w:tc>
          <w:tcPr>
            <w:tcW w:w="984"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56</w:t>
            </w:r>
          </w:p>
        </w:tc>
      </w:tr>
      <w:tr w:rsidR="00713855" w:rsidRPr="00B04FA0" w:rsidTr="006975B3">
        <w:trPr>
          <w:trHeight w:val="685"/>
        </w:trPr>
        <w:tc>
          <w:tcPr>
            <w:tcW w:w="1236" w:type="dxa"/>
          </w:tcPr>
          <w:p w:rsidR="00713855" w:rsidRPr="000258C3" w:rsidRDefault="00713855" w:rsidP="00713855">
            <w:pPr>
              <w:widowControl/>
              <w:spacing w:after="160" w:line="360" w:lineRule="auto"/>
              <w:rPr>
                <w:rFonts w:eastAsiaTheme="minorHAnsi"/>
                <w:sz w:val="20"/>
                <w:szCs w:val="20"/>
                <w:lang w:val="en-GB"/>
              </w:rPr>
            </w:pPr>
            <w:r w:rsidRPr="000258C3">
              <w:rPr>
                <w:rFonts w:eastAsiaTheme="minorHAnsi"/>
                <w:sz w:val="20"/>
                <w:szCs w:val="20"/>
                <w:lang w:val="en-GB"/>
              </w:rPr>
              <w:t xml:space="preserve">Impact on Colleagues </w:t>
            </w:r>
          </w:p>
        </w:tc>
        <w:tc>
          <w:tcPr>
            <w:tcW w:w="974"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27</w:t>
            </w:r>
            <w:r w:rsidRPr="00B04FA0">
              <w:rPr>
                <w:rFonts w:eastAsiaTheme="minorHAnsi"/>
                <w:sz w:val="20"/>
                <w:szCs w:val="20"/>
                <w:lang w:val="en-GB"/>
              </w:rPr>
              <w:br/>
              <w:t>(48%)</w:t>
            </w:r>
          </w:p>
        </w:tc>
        <w:tc>
          <w:tcPr>
            <w:tcW w:w="986"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23</w:t>
            </w:r>
            <w:r w:rsidRPr="00B04FA0">
              <w:rPr>
                <w:rFonts w:eastAsiaTheme="minorHAnsi"/>
                <w:sz w:val="20"/>
                <w:szCs w:val="20"/>
                <w:lang w:val="en-GB"/>
              </w:rPr>
              <w:br/>
              <w:t>(41%)</w:t>
            </w:r>
          </w:p>
        </w:tc>
        <w:tc>
          <w:tcPr>
            <w:tcW w:w="976"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5</w:t>
            </w:r>
            <w:r w:rsidRPr="00B04FA0">
              <w:rPr>
                <w:rFonts w:eastAsiaTheme="minorHAnsi"/>
                <w:sz w:val="20"/>
                <w:szCs w:val="20"/>
                <w:lang w:val="en-GB"/>
              </w:rPr>
              <w:br/>
              <w:t>(9%)</w:t>
            </w:r>
          </w:p>
        </w:tc>
        <w:tc>
          <w:tcPr>
            <w:tcW w:w="1033"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0</w:t>
            </w:r>
            <w:r w:rsidRPr="00B04FA0">
              <w:rPr>
                <w:rFonts w:eastAsiaTheme="minorHAnsi"/>
                <w:sz w:val="20"/>
                <w:szCs w:val="20"/>
                <w:lang w:val="en-GB"/>
              </w:rPr>
              <w:br/>
            </w:r>
          </w:p>
        </w:tc>
        <w:tc>
          <w:tcPr>
            <w:tcW w:w="1033"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0</w:t>
            </w:r>
          </w:p>
        </w:tc>
        <w:tc>
          <w:tcPr>
            <w:tcW w:w="1033"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0</w:t>
            </w:r>
          </w:p>
        </w:tc>
        <w:tc>
          <w:tcPr>
            <w:tcW w:w="970"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1</w:t>
            </w:r>
            <w:r w:rsidRPr="00B04FA0">
              <w:rPr>
                <w:rFonts w:eastAsiaTheme="minorHAnsi"/>
                <w:sz w:val="20"/>
                <w:szCs w:val="20"/>
                <w:lang w:val="en-GB"/>
              </w:rPr>
              <w:br/>
              <w:t>(2%)</w:t>
            </w:r>
          </w:p>
        </w:tc>
        <w:tc>
          <w:tcPr>
            <w:tcW w:w="984" w:type="dxa"/>
          </w:tcPr>
          <w:p w:rsidR="00713855" w:rsidRPr="000258C3" w:rsidRDefault="00713855" w:rsidP="00713855">
            <w:pPr>
              <w:widowControl/>
              <w:spacing w:after="160" w:line="360" w:lineRule="auto"/>
              <w:rPr>
                <w:rFonts w:eastAsiaTheme="minorHAnsi"/>
                <w:sz w:val="20"/>
                <w:szCs w:val="20"/>
                <w:lang w:val="en-GB"/>
              </w:rPr>
            </w:pPr>
            <w:r w:rsidRPr="00B04FA0">
              <w:rPr>
                <w:rFonts w:eastAsiaTheme="minorHAnsi"/>
                <w:sz w:val="20"/>
                <w:szCs w:val="20"/>
                <w:lang w:val="en-GB"/>
              </w:rPr>
              <w:t>56</w:t>
            </w:r>
          </w:p>
        </w:tc>
      </w:tr>
    </w:tbl>
    <w:p w:rsidR="00713855" w:rsidRDefault="00713855" w:rsidP="00713855">
      <w:pPr>
        <w:pStyle w:val="BodyText"/>
        <w:spacing w:before="169" w:line="360" w:lineRule="auto"/>
        <w:ind w:right="164"/>
      </w:pPr>
      <w:r>
        <w:t xml:space="preserve">Similarly, the </w:t>
      </w:r>
      <w:r w:rsidR="006B1AC5">
        <w:t>Travel/Research</w:t>
      </w:r>
      <w:r>
        <w:t xml:space="preserve"> evaluation found that 95% (n=84) of scholars believed their scholarship work had a positive impact on their immediate colleagues. The evaluation reveals that, through their research or </w:t>
      </w:r>
      <w:r w:rsidR="006B1AC5">
        <w:t>T</w:t>
      </w:r>
      <w:r>
        <w:t>ravel, scholars’ work is represented in a different light, with a raised profile. Certainly</w:t>
      </w:r>
      <w:r w:rsidR="007D7BC9">
        <w:t>,</w:t>
      </w:r>
      <w:r>
        <w:t xml:space="preserve"> in their survey responses many </w:t>
      </w:r>
      <w:r w:rsidR="006B1AC5">
        <w:t>Travel or Research</w:t>
      </w:r>
      <w:r>
        <w:t xml:space="preserve"> scholars put their learning experie</w:t>
      </w:r>
      <w:r w:rsidR="002B4C91">
        <w:t xml:space="preserve">nce and confidence boost </w:t>
      </w:r>
      <w:r>
        <w:t>down</w:t>
      </w:r>
      <w:r w:rsidR="00546A88">
        <w:t xml:space="preserve"> in part</w:t>
      </w:r>
      <w:r>
        <w:t xml:space="preserve"> to the fact that somebody had confidence in, and valued, them.</w:t>
      </w:r>
    </w:p>
    <w:p w:rsidR="00713855" w:rsidRDefault="00713855" w:rsidP="00713855">
      <w:pPr>
        <w:pStyle w:val="Heading1"/>
        <w:spacing w:before="197"/>
        <w:ind w:left="0" w:right="101"/>
      </w:pPr>
      <w:r>
        <w:t>Patient Care</w:t>
      </w:r>
    </w:p>
    <w:p w:rsidR="00713855" w:rsidRDefault="00713855" w:rsidP="00713855">
      <w:pPr>
        <w:pStyle w:val="BodyText"/>
        <w:spacing w:before="4"/>
        <w:rPr>
          <w:b/>
          <w:sz w:val="25"/>
        </w:rPr>
      </w:pPr>
    </w:p>
    <w:p w:rsidR="00713855" w:rsidRDefault="00713855" w:rsidP="00713855">
      <w:pPr>
        <w:pStyle w:val="BodyText"/>
        <w:spacing w:before="1" w:line="360" w:lineRule="auto"/>
        <w:ind w:right="125"/>
      </w:pPr>
      <w:r>
        <w:t xml:space="preserve">The evaluations sought out evidence of the impact of the scholarships on individuals and </w:t>
      </w:r>
      <w:proofErr w:type="spellStart"/>
      <w:r>
        <w:t>organisations</w:t>
      </w:r>
      <w:proofErr w:type="spellEnd"/>
      <w:r>
        <w:t xml:space="preserve"> that have led to improvements in patient care. All Leadership scholars must create and deliver their own patient care improvement project with the support of </w:t>
      </w:r>
      <w:r w:rsidR="00A84993">
        <w:t xml:space="preserve">their cohort and the Foundation. An example of this is case study </w:t>
      </w:r>
      <w:r>
        <w:t xml:space="preserve">1. </w:t>
      </w:r>
    </w:p>
    <w:p w:rsidR="00C820B6" w:rsidRDefault="00546A88" w:rsidP="00713855">
      <w:pPr>
        <w:pStyle w:val="BodyText"/>
        <w:spacing w:before="1" w:line="360" w:lineRule="auto"/>
        <w:ind w:right="125"/>
      </w:pPr>
      <w:r>
        <w:rPr>
          <w:noProof/>
        </w:rPr>
        <mc:AlternateContent>
          <mc:Choice Requires="wps">
            <w:drawing>
              <wp:anchor distT="0" distB="0" distL="114300" distR="114300" simplePos="0" relativeHeight="251661312" behindDoc="0" locked="0" layoutInCell="1" allowOverlap="1" wp14:anchorId="4DBD0192" wp14:editId="66F20CF0">
                <wp:simplePos x="0" y="0"/>
                <wp:positionH relativeFrom="margin">
                  <wp:posOffset>-221304</wp:posOffset>
                </wp:positionH>
                <wp:positionV relativeFrom="paragraph">
                  <wp:posOffset>8476</wp:posOffset>
                </wp:positionV>
                <wp:extent cx="6741042" cy="1733107"/>
                <wp:effectExtent l="0" t="0" r="2222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042" cy="1733107"/>
                        </a:xfrm>
                        <a:prstGeom prst="rect">
                          <a:avLst/>
                        </a:prstGeom>
                        <a:solidFill>
                          <a:srgbClr val="FFFFFF"/>
                        </a:solidFill>
                        <a:ln w="9525">
                          <a:solidFill>
                            <a:srgbClr val="000000"/>
                          </a:solidFill>
                          <a:miter lim="800000"/>
                          <a:headEnd/>
                          <a:tailEnd/>
                        </a:ln>
                      </wps:spPr>
                      <wps:txbx>
                        <w:txbxContent>
                          <w:p w:rsidR="00FE3821" w:rsidRPr="006975B3" w:rsidRDefault="00A84993">
                            <w:pPr>
                              <w:rPr>
                                <w:b/>
                                <w:sz w:val="20"/>
                                <w:szCs w:val="20"/>
                                <w:u w:val="single"/>
                              </w:rPr>
                            </w:pPr>
                            <w:r>
                              <w:rPr>
                                <w:b/>
                                <w:sz w:val="20"/>
                                <w:szCs w:val="20"/>
                                <w:u w:val="single"/>
                              </w:rPr>
                              <w:t>Case Study</w:t>
                            </w:r>
                            <w:r w:rsidR="00546A88" w:rsidRPr="006975B3">
                              <w:rPr>
                                <w:b/>
                                <w:sz w:val="20"/>
                                <w:szCs w:val="20"/>
                                <w:u w:val="single"/>
                              </w:rPr>
                              <w:t xml:space="preserve"> 1: </w:t>
                            </w:r>
                            <w:r w:rsidR="00C820B6" w:rsidRPr="006975B3">
                              <w:rPr>
                                <w:b/>
                                <w:sz w:val="20"/>
                                <w:szCs w:val="20"/>
                                <w:u w:val="single"/>
                              </w:rPr>
                              <w:t>Leadership Scholarsh</w:t>
                            </w:r>
                            <w:r w:rsidR="00BC319B" w:rsidRPr="006975B3">
                              <w:rPr>
                                <w:b/>
                                <w:sz w:val="20"/>
                                <w:szCs w:val="20"/>
                                <w:u w:val="single"/>
                              </w:rPr>
                              <w:t>ip Patient Improvement P</w:t>
                            </w:r>
                            <w:r w:rsidR="00C820B6" w:rsidRPr="006975B3">
                              <w:rPr>
                                <w:b/>
                                <w:sz w:val="20"/>
                                <w:szCs w:val="20"/>
                                <w:u w:val="single"/>
                              </w:rPr>
                              <w:t>roject</w:t>
                            </w:r>
                            <w:r w:rsidR="00BC319B" w:rsidRPr="006975B3">
                              <w:rPr>
                                <w:b/>
                                <w:sz w:val="20"/>
                                <w:szCs w:val="20"/>
                                <w:u w:val="single"/>
                              </w:rPr>
                              <w:t>s</w:t>
                            </w:r>
                            <w:r w:rsidR="00C820B6" w:rsidRPr="006975B3">
                              <w:rPr>
                                <w:b/>
                                <w:sz w:val="20"/>
                                <w:szCs w:val="20"/>
                                <w:u w:val="single"/>
                              </w:rPr>
                              <w:t>- Safe Staffing Levels</w:t>
                            </w:r>
                          </w:p>
                          <w:p w:rsidR="00C820B6" w:rsidRPr="006975B3" w:rsidRDefault="00C820B6" w:rsidP="00C820B6">
                            <w:pPr>
                              <w:rPr>
                                <w:sz w:val="20"/>
                                <w:szCs w:val="20"/>
                              </w:rPr>
                            </w:pPr>
                            <w:r w:rsidRPr="006975B3">
                              <w:rPr>
                                <w:sz w:val="20"/>
                                <w:szCs w:val="20"/>
                              </w:rPr>
                              <w:t>One scholar wrote that the project altered her views regarding the introduction of mandated staffing levels:</w:t>
                            </w:r>
                          </w:p>
                          <w:p w:rsidR="00C820B6" w:rsidRPr="00C820B6" w:rsidRDefault="00C820B6" w:rsidP="00C820B6">
                            <w:pPr>
                              <w:rPr>
                                <w:i/>
                                <w:sz w:val="20"/>
                                <w:szCs w:val="20"/>
                              </w:rPr>
                            </w:pPr>
                            <w:r w:rsidRPr="00C820B6">
                              <w:rPr>
                                <w:i/>
                                <w:sz w:val="20"/>
                                <w:szCs w:val="20"/>
                              </w:rPr>
                              <w:t xml:space="preserve">[My project </w:t>
                            </w:r>
                            <w:proofErr w:type="spellStart"/>
                            <w:r w:rsidRPr="00C820B6">
                              <w:rPr>
                                <w:i/>
                                <w:sz w:val="20"/>
                                <w:szCs w:val="20"/>
                              </w:rPr>
                              <w:t>analysed</w:t>
                            </w:r>
                            <w:proofErr w:type="spellEnd"/>
                            <w:r w:rsidRPr="00C820B6">
                              <w:rPr>
                                <w:i/>
                                <w:sz w:val="20"/>
                                <w:szCs w:val="20"/>
                              </w:rPr>
                              <w:t>] evidence to support the introduction of mandated staffing levels. I altered my thinking as a result of my study and would not support mandated staffing ratios. There is little evidence to support the positive impact of mandated staffing ratios and it would be my assertion from</w:t>
                            </w:r>
                            <w:r w:rsidR="00546A88">
                              <w:rPr>
                                <w:i/>
                                <w:sz w:val="20"/>
                                <w:szCs w:val="20"/>
                              </w:rPr>
                              <w:t xml:space="preserve"> what</w:t>
                            </w:r>
                            <w:r w:rsidRPr="00C820B6">
                              <w:rPr>
                                <w:i/>
                                <w:sz w:val="20"/>
                                <w:szCs w:val="20"/>
                              </w:rPr>
                              <w:t xml:space="preserve"> I learnt through my study that registered nurses are best placed to determine safe staffing ratios based on patient need and acuity.</w:t>
                            </w:r>
                          </w:p>
                          <w:p w:rsidR="00C820B6" w:rsidRPr="00C820B6" w:rsidRDefault="00C820B6" w:rsidP="00C820B6">
                            <w:pPr>
                              <w:rPr>
                                <w:i/>
                                <w:sz w:val="20"/>
                                <w:szCs w:val="20"/>
                              </w:rPr>
                            </w:pPr>
                            <w:r w:rsidRPr="006975B3">
                              <w:rPr>
                                <w:sz w:val="20"/>
                                <w:szCs w:val="20"/>
                              </w:rPr>
                              <w:t>Another project examined how staffing is determined abroad, and affected hospital practice</w:t>
                            </w:r>
                            <w:r w:rsidR="00B62DB8">
                              <w:rPr>
                                <w:i/>
                                <w:sz w:val="20"/>
                                <w:szCs w:val="20"/>
                              </w:rPr>
                              <w:t>:</w:t>
                            </w:r>
                          </w:p>
                          <w:p w:rsidR="00C820B6" w:rsidRPr="006975B3" w:rsidRDefault="00C820B6" w:rsidP="00C820B6">
                            <w:pPr>
                              <w:rPr>
                                <w:i/>
                                <w:sz w:val="20"/>
                                <w:szCs w:val="20"/>
                              </w:rPr>
                            </w:pPr>
                            <w:r w:rsidRPr="00C820B6">
                              <w:rPr>
                                <w:i/>
                                <w:sz w:val="20"/>
                                <w:szCs w:val="20"/>
                              </w:rPr>
                              <w:t>My project was looking at levels of nurse and midwifery staffing to provide safe and quality care. Looking at the evidence available it has allowed me to inform my Board in more detail about how staffing is carried out in other parts of the world. It has also allowed me to successfully secure a business case to purchase an electronic system to support how we measure and record safe nurse staffing figures.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7.4pt;margin-top:.65pt;width:530.8pt;height:13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">
                <v:textbox>
                  <w:txbxContent>
                    <w:p w:rsidR="00FE3821" w:rsidRPr="006975B3" w:rsidRDefault="00A84993">
                      <w:pPr>
                        <w:rPr>
                          <w:b/>
                          <w:sz w:val="20"/>
                          <w:szCs w:val="20"/>
                          <w:u w:val="single"/>
                        </w:rPr>
                      </w:pPr>
                      <w:r>
                        <w:rPr>
                          <w:b/>
                          <w:sz w:val="20"/>
                          <w:szCs w:val="20"/>
                          <w:u w:val="single"/>
                        </w:rPr>
                        <w:t>Case Study</w:t>
                      </w:r>
                      <w:r w:rsidR="00546A88" w:rsidRPr="006975B3">
                        <w:rPr>
                          <w:b/>
                          <w:sz w:val="20"/>
                          <w:szCs w:val="20"/>
                          <w:u w:val="single"/>
                        </w:rPr>
                        <w:t xml:space="preserve"> 1: </w:t>
                      </w:r>
                      <w:r w:rsidR="00C820B6" w:rsidRPr="006975B3">
                        <w:rPr>
                          <w:b/>
                          <w:sz w:val="20"/>
                          <w:szCs w:val="20"/>
                          <w:u w:val="single"/>
                        </w:rPr>
                        <w:t>Leadership Scholarsh</w:t>
                      </w:r>
                      <w:r w:rsidR="00BC319B" w:rsidRPr="006975B3">
                        <w:rPr>
                          <w:b/>
                          <w:sz w:val="20"/>
                          <w:szCs w:val="20"/>
                          <w:u w:val="single"/>
                        </w:rPr>
                        <w:t>ip Patient Improvement P</w:t>
                      </w:r>
                      <w:r w:rsidR="00C820B6" w:rsidRPr="006975B3">
                        <w:rPr>
                          <w:b/>
                          <w:sz w:val="20"/>
                          <w:szCs w:val="20"/>
                          <w:u w:val="single"/>
                        </w:rPr>
                        <w:t>roject</w:t>
                      </w:r>
                      <w:r w:rsidR="00BC319B" w:rsidRPr="006975B3">
                        <w:rPr>
                          <w:b/>
                          <w:sz w:val="20"/>
                          <w:szCs w:val="20"/>
                          <w:u w:val="single"/>
                        </w:rPr>
                        <w:t>s</w:t>
                      </w:r>
                      <w:r w:rsidR="00C820B6" w:rsidRPr="006975B3">
                        <w:rPr>
                          <w:b/>
                          <w:sz w:val="20"/>
                          <w:szCs w:val="20"/>
                          <w:u w:val="single"/>
                        </w:rPr>
                        <w:t>- Safe Staffing Levels</w:t>
                      </w:r>
                    </w:p>
                    <w:p w:rsidR="00C820B6" w:rsidRPr="006975B3" w:rsidRDefault="00C820B6" w:rsidP="00C820B6">
                      <w:pPr>
                        <w:rPr>
                          <w:sz w:val="20"/>
                          <w:szCs w:val="20"/>
                        </w:rPr>
                      </w:pPr>
                      <w:r w:rsidRPr="006975B3">
                        <w:rPr>
                          <w:sz w:val="20"/>
                          <w:szCs w:val="20"/>
                        </w:rPr>
                        <w:t>One scholar wrote that the project altered her views regarding the introduction of mandated staffing levels:</w:t>
                      </w:r>
                    </w:p>
                    <w:p w:rsidR="00C820B6" w:rsidRPr="00C820B6" w:rsidRDefault="00C820B6" w:rsidP="00C820B6">
                      <w:pPr>
                        <w:rPr>
                          <w:i/>
                          <w:sz w:val="20"/>
                          <w:szCs w:val="20"/>
                        </w:rPr>
                      </w:pPr>
                      <w:r w:rsidRPr="00C820B6">
                        <w:rPr>
                          <w:i/>
                          <w:sz w:val="20"/>
                          <w:szCs w:val="20"/>
                        </w:rPr>
                        <w:t xml:space="preserve">[My project </w:t>
                      </w:r>
                      <w:proofErr w:type="spellStart"/>
                      <w:r w:rsidRPr="00C820B6">
                        <w:rPr>
                          <w:i/>
                          <w:sz w:val="20"/>
                          <w:szCs w:val="20"/>
                        </w:rPr>
                        <w:t>analysed</w:t>
                      </w:r>
                      <w:proofErr w:type="spellEnd"/>
                      <w:r w:rsidRPr="00C820B6">
                        <w:rPr>
                          <w:i/>
                          <w:sz w:val="20"/>
                          <w:szCs w:val="20"/>
                        </w:rPr>
                        <w:t>] evidence to support the introduction of mandated staffing levels. I altered my thinking as a result of my study and would not support mandated staffing ratios. There is little evidence to support the positive impact of mandated staffing ratios and it would be my assertion from</w:t>
                      </w:r>
                      <w:r w:rsidR="00546A88">
                        <w:rPr>
                          <w:i/>
                          <w:sz w:val="20"/>
                          <w:szCs w:val="20"/>
                        </w:rPr>
                        <w:t xml:space="preserve"> what</w:t>
                      </w:r>
                      <w:r w:rsidRPr="00C820B6">
                        <w:rPr>
                          <w:i/>
                          <w:sz w:val="20"/>
                          <w:szCs w:val="20"/>
                        </w:rPr>
                        <w:t xml:space="preserve"> I learnt through my study that registered nurses are best placed to determine safe staffing ratios based on patient need and acuity.</w:t>
                      </w:r>
                    </w:p>
                    <w:p w:rsidR="00C820B6" w:rsidRPr="00C820B6" w:rsidRDefault="00C820B6" w:rsidP="00C820B6">
                      <w:pPr>
                        <w:rPr>
                          <w:i/>
                          <w:sz w:val="20"/>
                          <w:szCs w:val="20"/>
                        </w:rPr>
                      </w:pPr>
                      <w:r w:rsidRPr="006975B3">
                        <w:rPr>
                          <w:sz w:val="20"/>
                          <w:szCs w:val="20"/>
                        </w:rPr>
                        <w:t>Another project examined how staffing is determined abroad, and affected hospital practice</w:t>
                      </w:r>
                      <w:r w:rsidR="00B62DB8">
                        <w:rPr>
                          <w:i/>
                          <w:sz w:val="20"/>
                          <w:szCs w:val="20"/>
                        </w:rPr>
                        <w:t>:</w:t>
                      </w:r>
                    </w:p>
                    <w:p w:rsidR="00C820B6" w:rsidRPr="006975B3" w:rsidRDefault="00C820B6" w:rsidP="00C820B6">
                      <w:pPr>
                        <w:rPr>
                          <w:i/>
                          <w:sz w:val="20"/>
                          <w:szCs w:val="20"/>
                        </w:rPr>
                      </w:pPr>
                      <w:r w:rsidRPr="00C820B6">
                        <w:rPr>
                          <w:i/>
                          <w:sz w:val="20"/>
                          <w:szCs w:val="20"/>
                        </w:rPr>
                        <w:t>My project was looking at levels of nurse and midwifery staffing to provide safe and quality care. Looking at the evidence available it has allowed me to inform my Board in more detail about how staffing is carried out in other parts of the world. It has also allowed me to successfully secure a business case to purchase an electronic system to support how we measure and record safe nurse staffing figures.</w:t>
                      </w:r>
                    </w:p>
                  </w:txbxContent>
                </v:textbox>
                <w10:wrap anchorx="margin"/>
              </v:shape>
            </w:pict>
          </mc:Fallback>
        </mc:AlternateContent>
      </w:r>
    </w:p>
    <w:p w:rsidR="00713855" w:rsidRDefault="00713855" w:rsidP="00713855">
      <w:pPr>
        <w:pStyle w:val="BodyText"/>
        <w:spacing w:before="1" w:line="360" w:lineRule="auto"/>
        <w:ind w:right="125"/>
      </w:pPr>
    </w:p>
    <w:p w:rsidR="00713855" w:rsidRDefault="00713855" w:rsidP="00713855">
      <w:pPr>
        <w:pStyle w:val="BodyText"/>
        <w:spacing w:before="1" w:line="360" w:lineRule="auto"/>
        <w:ind w:right="125"/>
      </w:pPr>
    </w:p>
    <w:p w:rsidR="00713855" w:rsidRDefault="00713855" w:rsidP="00713855">
      <w:pPr>
        <w:pStyle w:val="BodyText"/>
        <w:spacing w:before="1" w:line="360" w:lineRule="auto"/>
        <w:ind w:right="125"/>
      </w:pPr>
    </w:p>
    <w:p w:rsidR="00713855" w:rsidRDefault="00713855" w:rsidP="00713855">
      <w:pPr>
        <w:pStyle w:val="BodyText"/>
        <w:spacing w:before="1" w:line="360" w:lineRule="auto"/>
        <w:ind w:right="125"/>
      </w:pPr>
    </w:p>
    <w:p w:rsidR="00713855" w:rsidRDefault="00713855" w:rsidP="00713855">
      <w:pPr>
        <w:pStyle w:val="BodyText"/>
        <w:spacing w:before="1" w:line="360" w:lineRule="auto"/>
        <w:ind w:right="125"/>
      </w:pPr>
    </w:p>
    <w:p w:rsidR="00713855" w:rsidRDefault="00713855" w:rsidP="00713855">
      <w:pPr>
        <w:pStyle w:val="BodyText"/>
        <w:spacing w:before="1" w:line="360" w:lineRule="auto"/>
        <w:ind w:right="125"/>
      </w:pPr>
    </w:p>
    <w:p w:rsidR="00C404EF" w:rsidRDefault="00C404EF" w:rsidP="00713855">
      <w:pPr>
        <w:pStyle w:val="BodyText"/>
        <w:spacing w:before="160" w:line="357" w:lineRule="auto"/>
        <w:ind w:right="107"/>
      </w:pPr>
    </w:p>
    <w:p w:rsidR="00713855" w:rsidRDefault="00546A88" w:rsidP="00713855">
      <w:pPr>
        <w:pStyle w:val="BodyText"/>
        <w:spacing w:before="160" w:line="357" w:lineRule="auto"/>
        <w:ind w:right="107"/>
      </w:pPr>
      <w:proofErr w:type="spellStart"/>
      <w:r>
        <w:t>Organisational</w:t>
      </w:r>
      <w:proofErr w:type="spellEnd"/>
      <w:r>
        <w:t xml:space="preserve"> sp</w:t>
      </w:r>
      <w:r w:rsidR="00713855">
        <w:t xml:space="preserve">onsors were able to identify clear evidence of improvement that could be attributed to the Leadership scholarships. </w:t>
      </w:r>
      <w:r>
        <w:t>One said ‘</w:t>
      </w:r>
      <w:r w:rsidRPr="006975B3">
        <w:rPr>
          <w:i/>
        </w:rPr>
        <w:t>one knock on effect was that it made the team around them (the scholar) step up</w:t>
      </w:r>
      <w:r>
        <w:t>.’</w:t>
      </w:r>
    </w:p>
    <w:p w:rsidR="00713855" w:rsidRDefault="00713855" w:rsidP="00713855">
      <w:pPr>
        <w:pStyle w:val="BodyText"/>
        <w:spacing w:before="171" w:line="360" w:lineRule="auto"/>
        <w:ind w:right="315"/>
      </w:pPr>
      <w:r>
        <w:t xml:space="preserve">Benefits to patient care were also evident in the Research and Travel Scholarships. Nearly 90% (n=80) of </w:t>
      </w:r>
      <w:r w:rsidR="006B1AC5">
        <w:t>Travel/Research</w:t>
      </w:r>
      <w:r>
        <w:t xml:space="preserve"> scholars reported</w:t>
      </w:r>
      <w:r w:rsidR="00B62DB8">
        <w:t xml:space="preserve"> that</w:t>
      </w:r>
      <w:r>
        <w:t xml:space="preserve"> their scholarship had a positive impact on patien</w:t>
      </w:r>
      <w:r w:rsidR="00A84993">
        <w:t>t care. Table</w:t>
      </w:r>
      <w:r w:rsidR="006B3AB8">
        <w:t xml:space="preserve"> 2</w:t>
      </w:r>
      <w:r w:rsidR="00A84993">
        <w:t xml:space="preserve"> </w:t>
      </w:r>
      <w:proofErr w:type="spellStart"/>
      <w:r w:rsidR="00A84993">
        <w:t>summarises</w:t>
      </w:r>
      <w:proofErr w:type="spellEnd"/>
      <w:r w:rsidR="00A84993">
        <w:t xml:space="preserve"> the results of</w:t>
      </w:r>
      <w:r w:rsidR="006B3AB8">
        <w:t xml:space="preserve"> </w:t>
      </w:r>
      <w:r w:rsidR="00546A88">
        <w:t xml:space="preserve">a question from the </w:t>
      </w:r>
      <w:r>
        <w:t>online survey:</w:t>
      </w:r>
    </w:p>
    <w:p w:rsidR="006B3AB8" w:rsidRPr="006975B3" w:rsidRDefault="006B3AB8" w:rsidP="00713855">
      <w:pPr>
        <w:pStyle w:val="BodyText"/>
        <w:spacing w:before="171" w:line="360" w:lineRule="auto"/>
        <w:ind w:right="315"/>
        <w:rPr>
          <w:u w:val="single"/>
        </w:rPr>
      </w:pPr>
      <w:r w:rsidRPr="006975B3">
        <w:rPr>
          <w:u w:val="single"/>
        </w:rPr>
        <w:t>Table 2:</w:t>
      </w:r>
    </w:p>
    <w:tbl>
      <w:tblPr>
        <w:tblStyle w:val="TableGrid"/>
        <w:tblpPr w:leftFromText="180" w:rightFromText="180" w:vertAnchor="text" w:horzAnchor="margin" w:tblpY="84"/>
        <w:tblW w:w="9230" w:type="dxa"/>
        <w:tblLook w:val="04A0" w:firstRow="1" w:lastRow="0" w:firstColumn="1" w:lastColumn="0" w:noHBand="0" w:noVBand="1"/>
      </w:tblPr>
      <w:tblGrid>
        <w:gridCol w:w="1195"/>
        <w:gridCol w:w="977"/>
        <w:gridCol w:w="1206"/>
        <w:gridCol w:w="938"/>
        <w:gridCol w:w="1017"/>
        <w:gridCol w:w="1206"/>
        <w:gridCol w:w="1017"/>
        <w:gridCol w:w="827"/>
        <w:gridCol w:w="847"/>
      </w:tblGrid>
      <w:tr w:rsidR="00A84993" w:rsidRPr="00B04FA0" w:rsidTr="00A53C33">
        <w:tc>
          <w:tcPr>
            <w:tcW w:w="9230" w:type="dxa"/>
            <w:gridSpan w:val="9"/>
          </w:tcPr>
          <w:p w:rsidR="00A84993" w:rsidRPr="006975B3" w:rsidRDefault="001500D9" w:rsidP="006975B3">
            <w:pPr>
              <w:widowControl/>
              <w:spacing w:line="360" w:lineRule="auto"/>
              <w:rPr>
                <w:rFonts w:eastAsiaTheme="minorHAnsi"/>
                <w:lang w:val="en-GB"/>
              </w:rPr>
            </w:pPr>
            <w:r>
              <w:rPr>
                <w:rFonts w:eastAsiaTheme="minorHAnsi"/>
                <w:lang w:val="en-GB"/>
              </w:rPr>
              <w:t xml:space="preserve">The Travel/Research </w:t>
            </w:r>
            <w:r w:rsidR="00A84993" w:rsidRPr="006975B3">
              <w:rPr>
                <w:rFonts w:eastAsiaTheme="minorHAnsi"/>
                <w:lang w:val="en-GB"/>
              </w:rPr>
              <w:t xml:space="preserve">Scholarship </w:t>
            </w:r>
            <w:r>
              <w:rPr>
                <w:rFonts w:eastAsiaTheme="minorHAnsi"/>
                <w:lang w:val="en-GB"/>
              </w:rPr>
              <w:t>has i</w:t>
            </w:r>
            <w:r w:rsidR="00A84993" w:rsidRPr="006975B3">
              <w:rPr>
                <w:rFonts w:eastAsiaTheme="minorHAnsi"/>
                <w:lang w:val="en-GB"/>
              </w:rPr>
              <w:t xml:space="preserve">mpacted on </w:t>
            </w:r>
            <w:r w:rsidR="00506CB4" w:rsidRPr="006975B3">
              <w:rPr>
                <w:rFonts w:eastAsiaTheme="minorHAnsi"/>
                <w:lang w:val="en-GB"/>
              </w:rPr>
              <w:t xml:space="preserve">patient care safety and experience </w:t>
            </w:r>
          </w:p>
        </w:tc>
      </w:tr>
      <w:tr w:rsidR="00713855" w:rsidRPr="00B04FA0" w:rsidTr="00713855">
        <w:tc>
          <w:tcPr>
            <w:tcW w:w="1195" w:type="dxa"/>
          </w:tcPr>
          <w:p w:rsidR="00713855" w:rsidRPr="000A1E58" w:rsidRDefault="00713855" w:rsidP="00713855">
            <w:pPr>
              <w:widowControl/>
              <w:spacing w:line="360" w:lineRule="auto"/>
              <w:rPr>
                <w:rFonts w:eastAsiaTheme="minorHAnsi"/>
                <w:sz w:val="20"/>
                <w:szCs w:val="20"/>
                <w:lang w:val="en-GB"/>
              </w:rPr>
            </w:pPr>
          </w:p>
        </w:tc>
        <w:tc>
          <w:tcPr>
            <w:tcW w:w="977"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Agree Strongly</w:t>
            </w:r>
          </w:p>
        </w:tc>
        <w:tc>
          <w:tcPr>
            <w:tcW w:w="1206"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 xml:space="preserve">Agree Moderately </w:t>
            </w:r>
          </w:p>
        </w:tc>
        <w:tc>
          <w:tcPr>
            <w:tcW w:w="938"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Agree Slightly</w:t>
            </w:r>
          </w:p>
        </w:tc>
        <w:tc>
          <w:tcPr>
            <w:tcW w:w="1017"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 xml:space="preserve">Disagree Slightly </w:t>
            </w:r>
          </w:p>
        </w:tc>
        <w:tc>
          <w:tcPr>
            <w:tcW w:w="1206"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Disagree Moderately</w:t>
            </w:r>
          </w:p>
        </w:tc>
        <w:tc>
          <w:tcPr>
            <w:tcW w:w="1017"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Disagree Strongly</w:t>
            </w:r>
          </w:p>
        </w:tc>
        <w:tc>
          <w:tcPr>
            <w:tcW w:w="827"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N/A</w:t>
            </w:r>
          </w:p>
        </w:tc>
        <w:tc>
          <w:tcPr>
            <w:tcW w:w="847"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Total</w:t>
            </w:r>
          </w:p>
        </w:tc>
      </w:tr>
      <w:tr w:rsidR="00713855" w:rsidRPr="00B04FA0" w:rsidTr="00713855">
        <w:tc>
          <w:tcPr>
            <w:tcW w:w="1195"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Patient Care</w:t>
            </w:r>
          </w:p>
        </w:tc>
        <w:tc>
          <w:tcPr>
            <w:tcW w:w="97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47%</w:t>
            </w:r>
            <w:r w:rsidRPr="00B04FA0">
              <w:rPr>
                <w:rFonts w:eastAsiaTheme="minorHAnsi"/>
                <w:sz w:val="20"/>
                <w:szCs w:val="20"/>
                <w:lang w:val="en-GB"/>
              </w:rPr>
              <w:br/>
              <w:t>42</w:t>
            </w:r>
          </w:p>
        </w:tc>
        <w:tc>
          <w:tcPr>
            <w:tcW w:w="1206"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28%</w:t>
            </w:r>
            <w:r w:rsidRPr="00B04FA0">
              <w:rPr>
                <w:rFonts w:eastAsiaTheme="minorHAnsi"/>
                <w:sz w:val="20"/>
                <w:szCs w:val="20"/>
                <w:lang w:val="en-GB"/>
              </w:rPr>
              <w:br/>
              <w:t>25</w:t>
            </w:r>
          </w:p>
        </w:tc>
        <w:tc>
          <w:tcPr>
            <w:tcW w:w="938"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15%</w:t>
            </w:r>
            <w:r w:rsidRPr="00B04FA0">
              <w:rPr>
                <w:rFonts w:eastAsiaTheme="minorHAnsi"/>
                <w:sz w:val="20"/>
                <w:szCs w:val="20"/>
                <w:lang w:val="en-GB"/>
              </w:rPr>
              <w:br/>
              <w:t>13</w:t>
            </w:r>
          </w:p>
        </w:tc>
        <w:tc>
          <w:tcPr>
            <w:tcW w:w="101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0%</w:t>
            </w:r>
            <w:r w:rsidRPr="00B04FA0">
              <w:rPr>
                <w:rFonts w:eastAsiaTheme="minorHAnsi"/>
                <w:sz w:val="20"/>
                <w:szCs w:val="20"/>
                <w:lang w:val="en-GB"/>
              </w:rPr>
              <w:br/>
              <w:t>0</w:t>
            </w:r>
          </w:p>
        </w:tc>
        <w:tc>
          <w:tcPr>
            <w:tcW w:w="1206"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2%</w:t>
            </w:r>
            <w:r w:rsidRPr="00B04FA0">
              <w:rPr>
                <w:rFonts w:eastAsiaTheme="minorHAnsi"/>
                <w:sz w:val="20"/>
                <w:szCs w:val="20"/>
                <w:lang w:val="en-GB"/>
              </w:rPr>
              <w:br/>
              <w:t>2</w:t>
            </w:r>
          </w:p>
        </w:tc>
        <w:tc>
          <w:tcPr>
            <w:tcW w:w="101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0%</w:t>
            </w:r>
            <w:r w:rsidRPr="00B04FA0">
              <w:rPr>
                <w:rFonts w:eastAsiaTheme="minorHAnsi"/>
                <w:sz w:val="20"/>
                <w:szCs w:val="20"/>
                <w:lang w:val="en-GB"/>
              </w:rPr>
              <w:br/>
              <w:t>0</w:t>
            </w:r>
          </w:p>
        </w:tc>
        <w:tc>
          <w:tcPr>
            <w:tcW w:w="82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8%</w:t>
            </w:r>
            <w:r w:rsidRPr="00B04FA0">
              <w:rPr>
                <w:rFonts w:eastAsiaTheme="minorHAnsi"/>
                <w:sz w:val="20"/>
                <w:szCs w:val="20"/>
                <w:lang w:val="en-GB"/>
              </w:rPr>
              <w:br/>
              <w:t>7</w:t>
            </w:r>
          </w:p>
        </w:tc>
        <w:tc>
          <w:tcPr>
            <w:tcW w:w="84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89</w:t>
            </w:r>
          </w:p>
        </w:tc>
      </w:tr>
      <w:tr w:rsidR="00713855" w:rsidRPr="00B04FA0" w:rsidTr="00713855">
        <w:tc>
          <w:tcPr>
            <w:tcW w:w="1195"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Patient Safety</w:t>
            </w:r>
          </w:p>
        </w:tc>
        <w:tc>
          <w:tcPr>
            <w:tcW w:w="97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28%</w:t>
            </w:r>
            <w:r w:rsidRPr="00B04FA0">
              <w:rPr>
                <w:rFonts w:eastAsiaTheme="minorHAnsi"/>
                <w:sz w:val="20"/>
                <w:szCs w:val="20"/>
                <w:lang w:val="en-GB"/>
              </w:rPr>
              <w:br/>
              <w:t>25</w:t>
            </w:r>
          </w:p>
        </w:tc>
        <w:tc>
          <w:tcPr>
            <w:tcW w:w="1206"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27%</w:t>
            </w:r>
            <w:r w:rsidRPr="00B04FA0">
              <w:rPr>
                <w:rFonts w:eastAsiaTheme="minorHAnsi"/>
                <w:sz w:val="20"/>
                <w:szCs w:val="20"/>
                <w:lang w:val="en-GB"/>
              </w:rPr>
              <w:br/>
              <w:t>24</w:t>
            </w:r>
          </w:p>
        </w:tc>
        <w:tc>
          <w:tcPr>
            <w:tcW w:w="938"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19%</w:t>
            </w:r>
            <w:r w:rsidRPr="00B04FA0">
              <w:rPr>
                <w:rFonts w:eastAsiaTheme="minorHAnsi"/>
                <w:sz w:val="20"/>
                <w:szCs w:val="20"/>
                <w:lang w:val="en-GB"/>
              </w:rPr>
              <w:br/>
              <w:t>17</w:t>
            </w:r>
          </w:p>
        </w:tc>
        <w:tc>
          <w:tcPr>
            <w:tcW w:w="101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6%</w:t>
            </w:r>
            <w:r w:rsidRPr="00B04FA0">
              <w:rPr>
                <w:rFonts w:eastAsiaTheme="minorHAnsi"/>
                <w:sz w:val="20"/>
                <w:szCs w:val="20"/>
                <w:lang w:val="en-GB"/>
              </w:rPr>
              <w:br/>
              <w:t>5</w:t>
            </w:r>
          </w:p>
        </w:tc>
        <w:tc>
          <w:tcPr>
            <w:tcW w:w="1206"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4%</w:t>
            </w:r>
            <w:r w:rsidRPr="00B04FA0">
              <w:rPr>
                <w:rFonts w:eastAsiaTheme="minorHAnsi"/>
                <w:sz w:val="20"/>
                <w:szCs w:val="20"/>
                <w:lang w:val="en-GB"/>
              </w:rPr>
              <w:br/>
              <w:t>4</w:t>
            </w:r>
          </w:p>
        </w:tc>
        <w:tc>
          <w:tcPr>
            <w:tcW w:w="101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0%</w:t>
            </w:r>
            <w:r w:rsidRPr="00B04FA0">
              <w:rPr>
                <w:rFonts w:eastAsiaTheme="minorHAnsi"/>
                <w:sz w:val="20"/>
                <w:szCs w:val="20"/>
                <w:lang w:val="en-GB"/>
              </w:rPr>
              <w:br/>
              <w:t>0</w:t>
            </w:r>
          </w:p>
        </w:tc>
        <w:tc>
          <w:tcPr>
            <w:tcW w:w="82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16%</w:t>
            </w:r>
            <w:r w:rsidRPr="00B04FA0">
              <w:rPr>
                <w:rFonts w:eastAsiaTheme="minorHAnsi"/>
                <w:sz w:val="20"/>
                <w:szCs w:val="20"/>
                <w:lang w:val="en-GB"/>
              </w:rPr>
              <w:br/>
              <w:t>14</w:t>
            </w:r>
          </w:p>
        </w:tc>
        <w:tc>
          <w:tcPr>
            <w:tcW w:w="84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89</w:t>
            </w:r>
          </w:p>
        </w:tc>
      </w:tr>
      <w:tr w:rsidR="00713855" w:rsidRPr="00B04FA0" w:rsidTr="00713855">
        <w:tc>
          <w:tcPr>
            <w:tcW w:w="1195" w:type="dxa"/>
          </w:tcPr>
          <w:p w:rsidR="00713855" w:rsidRPr="000A1E58" w:rsidRDefault="00713855" w:rsidP="00713855">
            <w:pPr>
              <w:widowControl/>
              <w:spacing w:line="360" w:lineRule="auto"/>
              <w:rPr>
                <w:rFonts w:eastAsiaTheme="minorHAnsi"/>
                <w:sz w:val="20"/>
                <w:szCs w:val="20"/>
                <w:lang w:val="en-GB"/>
              </w:rPr>
            </w:pPr>
            <w:r w:rsidRPr="000A1E58">
              <w:rPr>
                <w:rFonts w:eastAsiaTheme="minorHAnsi"/>
                <w:sz w:val="20"/>
                <w:szCs w:val="20"/>
                <w:lang w:val="en-GB"/>
              </w:rPr>
              <w:t>Patient experience</w:t>
            </w:r>
          </w:p>
        </w:tc>
        <w:tc>
          <w:tcPr>
            <w:tcW w:w="97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52%</w:t>
            </w:r>
            <w:r w:rsidRPr="00B04FA0">
              <w:rPr>
                <w:rFonts w:eastAsiaTheme="minorHAnsi"/>
                <w:sz w:val="20"/>
                <w:szCs w:val="20"/>
                <w:lang w:val="en-GB"/>
              </w:rPr>
              <w:br/>
              <w:t>46</w:t>
            </w:r>
          </w:p>
        </w:tc>
        <w:tc>
          <w:tcPr>
            <w:tcW w:w="1206"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29%</w:t>
            </w:r>
            <w:r w:rsidRPr="00B04FA0">
              <w:rPr>
                <w:rFonts w:eastAsiaTheme="minorHAnsi"/>
                <w:sz w:val="20"/>
                <w:szCs w:val="20"/>
                <w:lang w:val="en-GB"/>
              </w:rPr>
              <w:br/>
              <w:t>26</w:t>
            </w:r>
          </w:p>
        </w:tc>
        <w:tc>
          <w:tcPr>
            <w:tcW w:w="938"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8%</w:t>
            </w:r>
            <w:r w:rsidRPr="00B04FA0">
              <w:rPr>
                <w:rFonts w:eastAsiaTheme="minorHAnsi"/>
                <w:sz w:val="20"/>
                <w:szCs w:val="20"/>
                <w:lang w:val="en-GB"/>
              </w:rPr>
              <w:br/>
              <w:t>7</w:t>
            </w:r>
          </w:p>
        </w:tc>
        <w:tc>
          <w:tcPr>
            <w:tcW w:w="101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0%</w:t>
            </w:r>
            <w:r w:rsidRPr="00B04FA0">
              <w:rPr>
                <w:rFonts w:eastAsiaTheme="minorHAnsi"/>
                <w:sz w:val="20"/>
                <w:szCs w:val="20"/>
                <w:lang w:val="en-GB"/>
              </w:rPr>
              <w:br/>
              <w:t>0</w:t>
            </w:r>
          </w:p>
        </w:tc>
        <w:tc>
          <w:tcPr>
            <w:tcW w:w="1206"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2%</w:t>
            </w:r>
            <w:r w:rsidRPr="00B04FA0">
              <w:rPr>
                <w:rFonts w:eastAsiaTheme="minorHAnsi"/>
                <w:sz w:val="20"/>
                <w:szCs w:val="20"/>
                <w:lang w:val="en-GB"/>
              </w:rPr>
              <w:br/>
              <w:t>2</w:t>
            </w:r>
          </w:p>
        </w:tc>
        <w:tc>
          <w:tcPr>
            <w:tcW w:w="101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1%</w:t>
            </w:r>
            <w:r w:rsidRPr="00B04FA0">
              <w:rPr>
                <w:rFonts w:eastAsiaTheme="minorHAnsi"/>
                <w:sz w:val="20"/>
                <w:szCs w:val="20"/>
                <w:lang w:val="en-GB"/>
              </w:rPr>
              <w:br/>
              <w:t>1</w:t>
            </w:r>
          </w:p>
        </w:tc>
        <w:tc>
          <w:tcPr>
            <w:tcW w:w="82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8%</w:t>
            </w:r>
            <w:r w:rsidRPr="00B04FA0">
              <w:rPr>
                <w:rFonts w:eastAsiaTheme="minorHAnsi"/>
                <w:sz w:val="20"/>
                <w:szCs w:val="20"/>
                <w:lang w:val="en-GB"/>
              </w:rPr>
              <w:br/>
              <w:t>7</w:t>
            </w:r>
          </w:p>
        </w:tc>
        <w:tc>
          <w:tcPr>
            <w:tcW w:w="847" w:type="dxa"/>
          </w:tcPr>
          <w:p w:rsidR="00713855" w:rsidRPr="000A1E58" w:rsidRDefault="00713855" w:rsidP="00713855">
            <w:pPr>
              <w:widowControl/>
              <w:spacing w:line="360" w:lineRule="auto"/>
              <w:rPr>
                <w:rFonts w:eastAsiaTheme="minorHAnsi"/>
                <w:sz w:val="20"/>
                <w:szCs w:val="20"/>
                <w:lang w:val="en-GB"/>
              </w:rPr>
            </w:pPr>
            <w:r w:rsidRPr="00B04FA0">
              <w:rPr>
                <w:rFonts w:eastAsiaTheme="minorHAnsi"/>
                <w:sz w:val="20"/>
                <w:szCs w:val="20"/>
                <w:lang w:val="en-GB"/>
              </w:rPr>
              <w:t>89</w:t>
            </w:r>
          </w:p>
        </w:tc>
      </w:tr>
    </w:tbl>
    <w:p w:rsidR="00732CCB" w:rsidRDefault="00713855" w:rsidP="006975B3">
      <w:pPr>
        <w:pStyle w:val="BodyText"/>
        <w:spacing w:before="171" w:line="360" w:lineRule="auto"/>
        <w:ind w:right="315"/>
      </w:pPr>
      <w:r>
        <w:t xml:space="preserve">Furthermore, </w:t>
      </w:r>
      <w:r w:rsidR="00B62DB8">
        <w:t xml:space="preserve">improvements and impact </w:t>
      </w:r>
      <w:r>
        <w:t xml:space="preserve">was commonly expected to increase over time once their work was disseminated more widely or their projects progressed to the next level. Indeed the overriding message from Travel and Research scholars was to promote the scholarships by </w:t>
      </w:r>
      <w:proofErr w:type="spellStart"/>
      <w:r>
        <w:t>emphasising</w:t>
      </w:r>
      <w:proofErr w:type="spellEnd"/>
      <w:r>
        <w:t xml:space="preserve"> the impact they can have on practice.</w:t>
      </w:r>
    </w:p>
    <w:p w:rsidR="00713855" w:rsidRPr="006975B3" w:rsidRDefault="00713855" w:rsidP="006975B3">
      <w:pPr>
        <w:pStyle w:val="BodyText"/>
        <w:spacing w:before="171" w:line="360" w:lineRule="auto"/>
        <w:ind w:right="315"/>
      </w:pPr>
      <w:r>
        <w:rPr>
          <w:i/>
        </w:rPr>
        <w:t>“If you are working in a clinic and want to improve your own knowledge and skills that will ultimately benefit patient care and health services then you should apply - don't be scared - be proud to be passionate and share your passions with others through a scholarship!”</w:t>
      </w:r>
    </w:p>
    <w:p w:rsidR="00732CCB" w:rsidRDefault="00713855" w:rsidP="006975B3">
      <w:pPr>
        <w:pStyle w:val="BodyText"/>
        <w:spacing w:before="162" w:line="360" w:lineRule="auto"/>
        <w:ind w:right="510"/>
      </w:pPr>
      <w:r>
        <w:t>Dissemination of scholars’ work is also an important way of having a positive impact on patient care. Scholars disseminated their work in many different ways. These included peer reviewed publications,</w:t>
      </w:r>
      <w:r w:rsidR="00546A88">
        <w:t xml:space="preserve"> poster or</w:t>
      </w:r>
      <w:r>
        <w:t xml:space="preserve"> conference presentations, and workshops and presentations within and outside their </w:t>
      </w:r>
      <w:proofErr w:type="spellStart"/>
      <w:r>
        <w:t>organisations</w:t>
      </w:r>
      <w:proofErr w:type="spellEnd"/>
      <w:r>
        <w:t>.</w:t>
      </w:r>
    </w:p>
    <w:p w:rsidR="00732CCB" w:rsidRDefault="00F26A49" w:rsidP="006975B3">
      <w:pPr>
        <w:pStyle w:val="BodyText"/>
        <w:spacing w:before="162" w:line="360" w:lineRule="auto"/>
        <w:ind w:right="510"/>
      </w:pPr>
      <w:r>
        <w:rPr>
          <w:noProof/>
        </w:rPr>
        <w:lastRenderedPageBreak/>
        <mc:AlternateContent>
          <mc:Choice Requires="wps">
            <w:drawing>
              <wp:inline distT="0" distB="0" distL="0" distR="0" wp14:anchorId="69E8B908" wp14:editId="200F668A">
                <wp:extent cx="6145618" cy="1841604"/>
                <wp:effectExtent l="0" t="0" r="2667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618" cy="1841604"/>
                        </a:xfrm>
                        <a:prstGeom prst="rect">
                          <a:avLst/>
                        </a:prstGeom>
                        <a:solidFill>
                          <a:srgbClr val="FFFFFF"/>
                        </a:solidFill>
                        <a:ln w="9525">
                          <a:solidFill>
                            <a:srgbClr val="000000"/>
                          </a:solidFill>
                          <a:miter lim="800000"/>
                          <a:headEnd/>
                          <a:tailEnd/>
                        </a:ln>
                      </wps:spPr>
                      <wps:txbx>
                        <w:txbxContent>
                          <w:p w:rsidR="00361732" w:rsidRPr="006975B3" w:rsidRDefault="00361732" w:rsidP="00361732">
                            <w:pPr>
                              <w:rPr>
                                <w:b/>
                                <w:u w:val="single"/>
                              </w:rPr>
                            </w:pPr>
                            <w:r>
                              <w:rPr>
                                <w:b/>
                                <w:u w:val="single"/>
                              </w:rPr>
                              <w:t>Case Study</w:t>
                            </w:r>
                            <w:r w:rsidR="00506CB4">
                              <w:rPr>
                                <w:b/>
                                <w:u w:val="single"/>
                              </w:rPr>
                              <w:t xml:space="preserve"> 2</w:t>
                            </w:r>
                            <w:r>
                              <w:rPr>
                                <w:b/>
                                <w:u w:val="single"/>
                              </w:rPr>
                              <w:t>: Travel Scholarships Impacting on Patient Care</w:t>
                            </w:r>
                          </w:p>
                          <w:p w:rsidR="00361732" w:rsidRPr="006975B3" w:rsidRDefault="006B1AC5" w:rsidP="00361732">
                            <w:pPr>
                              <w:rPr>
                                <w:i/>
                              </w:rPr>
                            </w:pPr>
                            <w:r w:rsidRPr="006975B3">
                              <w:t>One of the T</w:t>
                            </w:r>
                            <w:r w:rsidR="00361732" w:rsidRPr="007D7BC9">
                              <w:t xml:space="preserve">ravel scholars worked on a gap identified in the services offered by their local trust to patients with </w:t>
                            </w:r>
                            <w:proofErr w:type="spellStart"/>
                            <w:r w:rsidR="00361732" w:rsidRPr="007D7BC9">
                              <w:t>faecal</w:t>
                            </w:r>
                            <w:proofErr w:type="spellEnd"/>
                            <w:r w:rsidR="00361732" w:rsidRPr="007D7BC9">
                              <w:t xml:space="preserve"> incontinence and obstructive defecation problems. The service provided previously was disjointed with no clear dedicated treatment pathway, and so they travelled to London, Oxford and Manchester to observe best practice there so as to help set up a good service in their local trust. Having observed the services offered in these locations during the scholarship, our scholar’s patients are now being offered similar treatments and interventions, and patient feedback is becoming more and more positive. As the scholar said upon completing the scholarship </w:t>
                            </w:r>
                            <w:proofErr w:type="spellStart"/>
                            <w:r w:rsidR="00361732" w:rsidRPr="007D7BC9">
                              <w:t>programme</w:t>
                            </w:r>
                            <w:proofErr w:type="spellEnd"/>
                            <w:r w:rsidR="00361732" w:rsidRPr="007D7BC9">
                              <w:t xml:space="preserve">: </w:t>
                            </w:r>
                            <w:r w:rsidR="00361732" w:rsidRPr="006975B3">
                              <w:rPr>
                                <w:i/>
                              </w:rPr>
                              <w:t>‘Before, no one seemed to listen or want to engage with setting this service up, now we are able to move things forward’.</w:t>
                            </w:r>
                          </w:p>
                          <w:p w:rsidR="00A32ACA" w:rsidRDefault="00A32ACA"/>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83.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">
                <v:textbox>
                  <w:txbxContent>
                    <w:p w:rsidR="00361732" w:rsidRPr="006975B3" w:rsidRDefault="00361732" w:rsidP="00361732">
                      <w:pPr>
                        <w:rPr>
                          <w:b/>
                          <w:u w:val="single"/>
                        </w:rPr>
                      </w:pPr>
                      <w:r>
                        <w:rPr>
                          <w:b/>
                          <w:u w:val="single"/>
                        </w:rPr>
                        <w:t>Case Study</w:t>
                      </w:r>
                      <w:r w:rsidR="00506CB4">
                        <w:rPr>
                          <w:b/>
                          <w:u w:val="single"/>
                        </w:rPr>
                        <w:t xml:space="preserve"> 2</w:t>
                      </w:r>
                      <w:r>
                        <w:rPr>
                          <w:b/>
                          <w:u w:val="single"/>
                        </w:rPr>
                        <w:t>: Travel Scholarships Impacting on Patient Care</w:t>
                      </w:r>
                    </w:p>
                    <w:p w:rsidR="00361732" w:rsidRPr="006975B3" w:rsidRDefault="006B1AC5" w:rsidP="00361732">
                      <w:pPr>
                        <w:rPr>
                          <w:i/>
                        </w:rPr>
                      </w:pPr>
                      <w:r w:rsidRPr="006975B3">
                        <w:t>One of the T</w:t>
                      </w:r>
                      <w:r w:rsidR="00361732" w:rsidRPr="007D7BC9">
                        <w:t xml:space="preserve">ravel scholars worked on a gap identified in the services offered by their local trust to patients with </w:t>
                      </w:r>
                      <w:proofErr w:type="spellStart"/>
                      <w:r w:rsidR="00361732" w:rsidRPr="007D7BC9">
                        <w:t>faecal</w:t>
                      </w:r>
                      <w:proofErr w:type="spellEnd"/>
                      <w:r w:rsidR="00361732" w:rsidRPr="007D7BC9">
                        <w:t xml:space="preserve"> incontinence and obstructive defecation problems. The service provided previously was disjointed with no clear dedicated treatment pathway, and so they travelled to London, Oxford and Manchester to observe best practice there so as to help set up a good service in their local trust. Having observed the services offered in these locations during the scholarship, our scholar’s patients are now being offered similar treatments and interventions, and patient feedback is becoming more and more positive. As the scholar said upon completing the scholarship </w:t>
                      </w:r>
                      <w:proofErr w:type="spellStart"/>
                      <w:r w:rsidR="00361732" w:rsidRPr="007D7BC9">
                        <w:t>programme</w:t>
                      </w:r>
                      <w:proofErr w:type="spellEnd"/>
                      <w:r w:rsidR="00361732" w:rsidRPr="007D7BC9">
                        <w:t xml:space="preserve">: </w:t>
                      </w:r>
                      <w:r w:rsidR="00361732" w:rsidRPr="006975B3">
                        <w:rPr>
                          <w:i/>
                        </w:rPr>
                        <w:t>‘Before, no one seemed to listen or want to engage with setting this service up, now we are able to move things forward’.</w:t>
                      </w:r>
                    </w:p>
                    <w:p w:rsidR="00A32ACA" w:rsidRDefault="00A32ACA"/>
                  </w:txbxContent>
                </v:textbox>
                <w10:anchorlock/>
              </v:shape>
            </w:pict>
          </mc:Fallback>
        </mc:AlternateContent>
      </w:r>
    </w:p>
    <w:p w:rsidR="00B525FD" w:rsidRDefault="00B525FD" w:rsidP="00713855">
      <w:pPr>
        <w:pStyle w:val="Heading1"/>
        <w:spacing w:before="161"/>
        <w:ind w:left="0"/>
      </w:pPr>
    </w:p>
    <w:p w:rsidR="00C404EF" w:rsidRDefault="00C404EF" w:rsidP="00713855">
      <w:pPr>
        <w:pStyle w:val="Heading1"/>
        <w:spacing w:before="161"/>
        <w:ind w:left="0"/>
      </w:pPr>
    </w:p>
    <w:p w:rsidR="00713855" w:rsidRDefault="00713855" w:rsidP="00713855">
      <w:pPr>
        <w:pStyle w:val="Heading1"/>
        <w:spacing w:before="161"/>
        <w:ind w:left="0"/>
      </w:pPr>
      <w:r>
        <w:t>Networking</w:t>
      </w:r>
    </w:p>
    <w:p w:rsidR="00713855" w:rsidRDefault="00713855" w:rsidP="00713855">
      <w:pPr>
        <w:pStyle w:val="BodyText"/>
        <w:spacing w:before="6"/>
        <w:rPr>
          <w:b/>
          <w:sz w:val="25"/>
        </w:rPr>
      </w:pPr>
    </w:p>
    <w:p w:rsidR="00713855" w:rsidRDefault="00713855" w:rsidP="006975B3">
      <w:pPr>
        <w:pStyle w:val="BodyText"/>
        <w:spacing w:before="55" w:line="360" w:lineRule="auto"/>
        <w:ind w:right="168"/>
      </w:pPr>
      <w:r>
        <w:t xml:space="preserve">Networks are vital to professional success and the importance of women in particular developing their networks and networking skills has been </w:t>
      </w:r>
      <w:proofErr w:type="spellStart"/>
      <w:r>
        <w:t>recognised</w:t>
      </w:r>
      <w:proofErr w:type="spellEnd"/>
      <w:r>
        <w:t xml:space="preserve"> in the literature (Ibarra et al, 2013)  </w:t>
      </w:r>
    </w:p>
    <w:p w:rsidR="00713855" w:rsidRDefault="00713855" w:rsidP="006975B3">
      <w:pPr>
        <w:pStyle w:val="BodyText"/>
        <w:spacing w:before="55" w:line="360" w:lineRule="auto"/>
        <w:ind w:right="168"/>
      </w:pPr>
      <w:r>
        <w:t xml:space="preserve">Leadership scholars explained </w:t>
      </w:r>
      <w:r w:rsidR="00546A88">
        <w:t>that for them networking was a manifest expectation of their scholarship</w:t>
      </w:r>
      <w:r>
        <w:t xml:space="preserve"> and was important because it gave them an opportunity to gain perspectives from outside their workplace, to broaden their knowledge, and to get a sense of how others saw and addressed problems and challenges.  Leadership scholars used their scholarships to network both outside and within their own professions. Networking with leaders from outside the NHS was particularly valuable.  For example, one said</w:t>
      </w:r>
      <w:r w:rsidR="00316E92">
        <w:t>,</w:t>
      </w:r>
      <w:r w:rsidRPr="006513B6">
        <w:rPr>
          <w:i/>
        </w:rPr>
        <w:t xml:space="preserve"> </w:t>
      </w:r>
      <w:r w:rsidR="00316E92">
        <w:rPr>
          <w:i/>
        </w:rPr>
        <w:t>‘</w:t>
      </w:r>
      <w:r w:rsidR="002B4C91">
        <w:rPr>
          <w:i/>
        </w:rPr>
        <w:t xml:space="preserve">It provided a great opportunity to meet with other people </w:t>
      </w:r>
      <w:r w:rsidR="00316E92">
        <w:rPr>
          <w:i/>
        </w:rPr>
        <w:t xml:space="preserve">and focused discussion. It was great to learn from what other people knew and shared in the scholarship as nurses and colleagues. It really helped me to move to take a much wider perspective on challenges which has paid many dividends in my work since.’ </w:t>
      </w:r>
      <w:r>
        <w:t>The design o</w:t>
      </w:r>
      <w:r w:rsidR="00316E92">
        <w:t xml:space="preserve">f the Leadership </w:t>
      </w:r>
      <w:proofErr w:type="spellStart"/>
      <w:r w:rsidR="00316E92">
        <w:t>programme</w:t>
      </w:r>
      <w:proofErr w:type="spellEnd"/>
      <w:r w:rsidR="00316E92">
        <w:t xml:space="preserve"> </w:t>
      </w:r>
      <w:r w:rsidR="00546A88">
        <w:t>included</w:t>
      </w:r>
      <w:r>
        <w:t xml:space="preserve"> opportunities to come together with other leadership schol</w:t>
      </w:r>
      <w:r w:rsidR="00316E92">
        <w:t xml:space="preserve">ars as part of the </w:t>
      </w:r>
      <w:proofErr w:type="gramStart"/>
      <w:r w:rsidR="00316E92">
        <w:t>scholarship,</w:t>
      </w:r>
      <w:proofErr w:type="gramEnd"/>
      <w:r w:rsidR="00316E92">
        <w:t xml:space="preserve"> t</w:t>
      </w:r>
      <w:r>
        <w:t xml:space="preserve">his acted both as a web of support for scholars during the scholarship and built valuable connections for the future. </w:t>
      </w:r>
    </w:p>
    <w:p w:rsidR="00713855" w:rsidRDefault="00713855" w:rsidP="00713855">
      <w:pPr>
        <w:spacing w:before="159" w:line="360" w:lineRule="auto"/>
        <w:ind w:right="95"/>
        <w:rPr>
          <w:i/>
        </w:rPr>
      </w:pPr>
      <w:r>
        <w:t>Travel and Research scholars noted that the scholarship allowed access to mentors</w:t>
      </w:r>
      <w:r w:rsidR="00546A88">
        <w:t xml:space="preserve"> and encouragement to contact </w:t>
      </w:r>
      <w:r w:rsidR="00544D40">
        <w:t xml:space="preserve">Alumni with similar </w:t>
      </w:r>
      <w:proofErr w:type="gramStart"/>
      <w:r w:rsidR="00544D40">
        <w:t>projects</w:t>
      </w:r>
      <w:r>
        <w:t xml:space="preserve"> which</w:t>
      </w:r>
      <w:proofErr w:type="gramEnd"/>
      <w:r>
        <w:t xml:space="preserve"> ‘</w:t>
      </w:r>
      <w:r w:rsidRPr="00F03C09">
        <w:rPr>
          <w:i/>
        </w:rPr>
        <w:t>gave further opportunity for networking at a senior level</w:t>
      </w:r>
      <w:r>
        <w:rPr>
          <w:i/>
        </w:rPr>
        <w:t>.</w:t>
      </w:r>
      <w:r w:rsidRPr="00F03C09">
        <w:rPr>
          <w:i/>
        </w:rPr>
        <w:t>’</w:t>
      </w:r>
    </w:p>
    <w:p w:rsidR="00713855" w:rsidRPr="00ED0DF1" w:rsidRDefault="00713855" w:rsidP="00713855">
      <w:pPr>
        <w:spacing w:before="159" w:line="360" w:lineRule="auto"/>
        <w:ind w:right="95"/>
        <w:rPr>
          <w:b/>
        </w:rPr>
      </w:pPr>
      <w:r w:rsidRPr="00ED0DF1">
        <w:rPr>
          <w:b/>
        </w:rPr>
        <w:t>Strengths and improvements</w:t>
      </w:r>
    </w:p>
    <w:p w:rsidR="00713855" w:rsidRDefault="00713855" w:rsidP="00713855">
      <w:pPr>
        <w:spacing w:before="159" w:line="360" w:lineRule="auto"/>
        <w:ind w:right="95"/>
      </w:pPr>
      <w:r>
        <w:t xml:space="preserve">The feedback from most scholars was overwhelmingly positive. Most leadership scholars suggested that nothing else was </w:t>
      </w:r>
      <w:proofErr w:type="gramStart"/>
      <w:r>
        <w:t>needed,</w:t>
      </w:r>
      <w:proofErr w:type="gramEnd"/>
      <w:r>
        <w:t xml:space="preserve"> only requesting even more group meetings/activities throughout the year, with one claiming that being an FNF Scholar is ‘</w:t>
      </w:r>
      <w:r w:rsidRPr="00ED0DF1">
        <w:rPr>
          <w:i/>
        </w:rPr>
        <w:t>like joining a professional family and community</w:t>
      </w:r>
      <w:r>
        <w:t>’.</w:t>
      </w:r>
    </w:p>
    <w:p w:rsidR="00713855" w:rsidRDefault="00713855" w:rsidP="00713855">
      <w:pPr>
        <w:spacing w:before="159" w:line="360" w:lineRule="auto"/>
        <w:ind w:right="95"/>
      </w:pPr>
      <w:r>
        <w:t xml:space="preserve">Travel and Research scholars also rated their experiences very highly. </w:t>
      </w:r>
      <w:r w:rsidR="00316E92">
        <w:t>However, they</w:t>
      </w:r>
      <w:r>
        <w:t xml:space="preserve"> </w:t>
      </w:r>
      <w:r w:rsidR="00316E92" w:rsidRPr="00316E92">
        <w:t xml:space="preserve">suggested that increased networking opportunities with other scholars </w:t>
      </w:r>
      <w:r w:rsidR="007D7BC9">
        <w:t>‘</w:t>
      </w:r>
      <w:r w:rsidR="00316E92" w:rsidRPr="006975B3">
        <w:rPr>
          <w:i/>
        </w:rPr>
        <w:t>would be beneficial</w:t>
      </w:r>
      <w:r w:rsidR="007D7BC9">
        <w:t>’</w:t>
      </w:r>
      <w:r w:rsidR="00316E92" w:rsidRPr="00316E92">
        <w:t xml:space="preserve"> </w:t>
      </w:r>
      <w:r w:rsidR="00316E92" w:rsidRPr="00316E92">
        <w:lastRenderedPageBreak/>
        <w:t>and that they would have welcomed a ‘</w:t>
      </w:r>
      <w:r w:rsidR="00316E92" w:rsidRPr="006975B3">
        <w:rPr>
          <w:i/>
        </w:rPr>
        <w:t>greater connection between scholars’</w:t>
      </w:r>
      <w:r w:rsidR="00316E92" w:rsidRPr="00316E92">
        <w:t xml:space="preserve">. </w:t>
      </w:r>
      <w:r w:rsidR="00316E92">
        <w:t xml:space="preserve">Other </w:t>
      </w:r>
      <w:r>
        <w:t>suggestions for improvement included promoting scholarships to more junior nurses to guarantee maximum impact on their future careers, and providing optional leadership support to aid those attempting to implement change as a result of the k</w:t>
      </w:r>
      <w:r w:rsidR="006B1AC5">
        <w:t>nowledge acquired during their T</w:t>
      </w:r>
      <w:r>
        <w:t xml:space="preserve">ravel and </w:t>
      </w:r>
      <w:r w:rsidR="006B1AC5">
        <w:t>R</w:t>
      </w:r>
      <w:r>
        <w:t>esearch scholarships.</w:t>
      </w:r>
    </w:p>
    <w:p w:rsidR="00713855" w:rsidRDefault="00713855" w:rsidP="00713855">
      <w:pPr>
        <w:spacing w:before="159" w:line="360" w:lineRule="auto"/>
        <w:ind w:right="95"/>
      </w:pPr>
      <w:r>
        <w:t>Most scholars said they would encourage others to apply for an FNF scholarship, and many struggled to find an obvious area for improvement.</w:t>
      </w:r>
    </w:p>
    <w:p w:rsidR="003E37D8" w:rsidRDefault="003E37D8" w:rsidP="00713855">
      <w:pPr>
        <w:pStyle w:val="Heading1"/>
        <w:ind w:left="0"/>
      </w:pPr>
    </w:p>
    <w:p w:rsidR="0057336D" w:rsidRDefault="0057336D" w:rsidP="00713855">
      <w:pPr>
        <w:pStyle w:val="Heading1"/>
        <w:ind w:left="0"/>
      </w:pPr>
    </w:p>
    <w:p w:rsidR="0057336D" w:rsidRDefault="0057336D" w:rsidP="00713855">
      <w:pPr>
        <w:pStyle w:val="Heading1"/>
        <w:ind w:left="0"/>
      </w:pPr>
    </w:p>
    <w:p w:rsidR="0057336D" w:rsidRDefault="0057336D" w:rsidP="00713855">
      <w:pPr>
        <w:pStyle w:val="Heading1"/>
        <w:ind w:left="0"/>
      </w:pPr>
    </w:p>
    <w:p w:rsidR="0057336D" w:rsidRDefault="0057336D" w:rsidP="00713855">
      <w:pPr>
        <w:pStyle w:val="Heading1"/>
        <w:ind w:left="0"/>
      </w:pPr>
    </w:p>
    <w:p w:rsidR="00713855" w:rsidRDefault="00713855" w:rsidP="00713855">
      <w:pPr>
        <w:pStyle w:val="Heading1"/>
        <w:ind w:left="0"/>
      </w:pPr>
      <w:r>
        <w:t>Summary</w:t>
      </w:r>
    </w:p>
    <w:p w:rsidR="00713855" w:rsidRDefault="00713855" w:rsidP="00713855">
      <w:pPr>
        <w:pStyle w:val="BodyText"/>
        <w:spacing w:before="186" w:line="360" w:lineRule="auto"/>
        <w:ind w:right="217"/>
      </w:pPr>
      <w:r>
        <w:t>The recent</w:t>
      </w:r>
      <w:r w:rsidR="00B62DB8">
        <w:t xml:space="preserve"> two</w:t>
      </w:r>
      <w:r>
        <w:t xml:space="preserve"> evaluations of the Florence N</w:t>
      </w:r>
      <w:r w:rsidR="00544D40">
        <w:t xml:space="preserve">ightingale Foundation </w:t>
      </w:r>
      <w:r w:rsidR="007D7BC9">
        <w:t>Travel/Research</w:t>
      </w:r>
      <w:r>
        <w:t xml:space="preserve"> and Leadership Scholarships share the same decisive conclusions. </w:t>
      </w:r>
      <w:r w:rsidR="00B62DB8">
        <w:t>That</w:t>
      </w:r>
      <w:r>
        <w:t xml:space="preserve"> the scholarships are an enormously positive experience for scholars, p</w:t>
      </w:r>
      <w:r w:rsidR="007D7BC9">
        <w:t xml:space="preserve">atients and </w:t>
      </w:r>
      <w:proofErr w:type="spellStart"/>
      <w:r w:rsidR="007D7BC9">
        <w:t>organisations</w:t>
      </w:r>
      <w:proofErr w:type="spellEnd"/>
      <w:r w:rsidR="007D7BC9">
        <w:t xml:space="preserve"> alike:</w:t>
      </w:r>
    </w:p>
    <w:p w:rsidR="00713855" w:rsidDel="006513B6" w:rsidRDefault="007D7BC9" w:rsidP="00713855">
      <w:pPr>
        <w:pStyle w:val="BodyText"/>
        <w:spacing w:before="55" w:line="360" w:lineRule="auto"/>
        <w:ind w:right="168"/>
      </w:pPr>
      <w:proofErr w:type="gramStart"/>
      <w:r>
        <w:t>n</w:t>
      </w:r>
      <w:r w:rsidR="00713855">
        <w:t>ot</w:t>
      </w:r>
      <w:proofErr w:type="gramEnd"/>
      <w:r w:rsidR="00713855">
        <w:t xml:space="preserve"> only do they make a significant impact on the scholars’ careers, they positively</w:t>
      </w:r>
      <w:r w:rsidR="00544D40">
        <w:t xml:space="preserve"> impact patient care. Research/</w:t>
      </w:r>
      <w:r w:rsidR="00713855">
        <w:t>Tr</w:t>
      </w:r>
      <w:r w:rsidR="00544D40">
        <w:t>avel and Leadership scholars felt</w:t>
      </w:r>
      <w:r w:rsidR="00713855">
        <w:t xml:space="preserve"> more va</w:t>
      </w:r>
      <w:r w:rsidR="00544D40">
        <w:t>lued in their profession and had</w:t>
      </w:r>
      <w:r w:rsidR="00713855">
        <w:t xml:space="preserve"> a greater sense of pride in </w:t>
      </w:r>
      <w:proofErr w:type="gramStart"/>
      <w:r w:rsidR="00713855">
        <w:t>themselves</w:t>
      </w:r>
      <w:proofErr w:type="gramEnd"/>
      <w:r w:rsidR="00713855">
        <w:t>. Leadership scholars describe</w:t>
      </w:r>
      <w:r w:rsidR="00544D40">
        <w:t>d</w:t>
      </w:r>
      <w:r w:rsidR="00713855">
        <w:t xml:space="preserve"> themselves as being on ‘</w:t>
      </w:r>
      <w:r w:rsidR="00713855">
        <w:rPr>
          <w:i/>
        </w:rPr>
        <w:t xml:space="preserve">the most effective leadership </w:t>
      </w:r>
      <w:proofErr w:type="spellStart"/>
      <w:r w:rsidR="00713855">
        <w:rPr>
          <w:i/>
        </w:rPr>
        <w:t>programme</w:t>
      </w:r>
      <w:proofErr w:type="spellEnd"/>
      <w:r w:rsidR="00713855">
        <w:rPr>
          <w:i/>
        </w:rPr>
        <w:t xml:space="preserve"> available to healthcare professionals</w:t>
      </w:r>
      <w:r w:rsidR="00713855">
        <w:t xml:space="preserve">.’ Colleagues in their </w:t>
      </w:r>
      <w:proofErr w:type="spellStart"/>
      <w:r w:rsidR="00713855">
        <w:t>organisations</w:t>
      </w:r>
      <w:proofErr w:type="spellEnd"/>
      <w:r w:rsidR="00713855">
        <w:t xml:space="preserve"> said that Scholars made ‘</w:t>
      </w:r>
      <w:r w:rsidR="00713855">
        <w:rPr>
          <w:i/>
        </w:rPr>
        <w:t xml:space="preserve">important and long lasting contributions to </w:t>
      </w:r>
      <w:proofErr w:type="gramStart"/>
      <w:r w:rsidR="00713855">
        <w:rPr>
          <w:i/>
        </w:rPr>
        <w:t>their</w:t>
      </w:r>
      <w:proofErr w:type="gramEnd"/>
      <w:r w:rsidR="00713855">
        <w:rPr>
          <w:i/>
        </w:rPr>
        <w:t xml:space="preserve"> sponsoring </w:t>
      </w:r>
      <w:proofErr w:type="spellStart"/>
      <w:r w:rsidR="00713855">
        <w:rPr>
          <w:i/>
        </w:rPr>
        <w:t>organisations</w:t>
      </w:r>
      <w:proofErr w:type="spellEnd"/>
      <w:r w:rsidR="00713855">
        <w:rPr>
          <w:i/>
        </w:rPr>
        <w:t xml:space="preserve">, and importantly see their personal development as an opportunity to develop others around them.’ </w:t>
      </w:r>
      <w:r w:rsidR="00713855">
        <w:t>Indeed, this</w:t>
      </w:r>
      <w:r w:rsidR="007847CE">
        <w:t xml:space="preserve"> has been</w:t>
      </w:r>
      <w:r w:rsidR="00713855">
        <w:t xml:space="preserve"> reiterated in the press, where The Guardian considers the Foundation an ‘</w:t>
      </w:r>
      <w:r w:rsidR="00713855" w:rsidRPr="006975B3">
        <w:rPr>
          <w:i/>
        </w:rPr>
        <w:t>example of outstanding Leadership training for both managers and clinicians</w:t>
      </w:r>
      <w:r w:rsidR="00713855">
        <w:t>.’ (</w:t>
      </w:r>
      <w:proofErr w:type="spellStart"/>
      <w:r w:rsidR="00713855">
        <w:t>Vize</w:t>
      </w:r>
      <w:proofErr w:type="spellEnd"/>
      <w:r w:rsidR="00713855">
        <w:t>, 2015)</w:t>
      </w:r>
      <w:r w:rsidR="007847CE">
        <w:t xml:space="preserve"> </w:t>
      </w:r>
      <w:r w:rsidR="00713855">
        <w:t xml:space="preserve">Ultimately, the similarity between the findings of these most recent evaluations and previous </w:t>
      </w:r>
      <w:proofErr w:type="gramStart"/>
      <w:r w:rsidR="00713855">
        <w:t>ones,</w:t>
      </w:r>
      <w:proofErr w:type="gramEnd"/>
      <w:r w:rsidR="00713855">
        <w:t xml:space="preserve"> indicates that the quality and valu</w:t>
      </w:r>
      <w:r w:rsidR="00544D40">
        <w:t>e of the Foundation’s Research/</w:t>
      </w:r>
      <w:r w:rsidR="00713855">
        <w:t>Travel and Leadership Scholarships have remained consistent over time.</w:t>
      </w:r>
      <w:r w:rsidR="00713855" w:rsidRPr="00713855" w:rsidDel="006513B6">
        <w:t xml:space="preserve"> </w:t>
      </w:r>
    </w:p>
    <w:p w:rsidR="00506CB4" w:rsidRDefault="00506CB4" w:rsidP="00713855">
      <w:pPr>
        <w:pStyle w:val="Heading1"/>
        <w:ind w:left="0" w:right="516"/>
      </w:pPr>
    </w:p>
    <w:p w:rsidR="00713855" w:rsidRDefault="00713855" w:rsidP="00713855">
      <w:pPr>
        <w:pStyle w:val="Heading1"/>
        <w:ind w:left="0" w:right="516"/>
      </w:pPr>
      <w:r>
        <w:t>References</w:t>
      </w:r>
    </w:p>
    <w:p w:rsidR="00713855" w:rsidRDefault="00713855" w:rsidP="00713855">
      <w:pPr>
        <w:pStyle w:val="BodyText"/>
        <w:spacing w:before="6"/>
        <w:rPr>
          <w:b/>
          <w:sz w:val="25"/>
        </w:rPr>
      </w:pPr>
    </w:p>
    <w:p w:rsidR="00713855" w:rsidRDefault="00713855" w:rsidP="00713855">
      <w:pPr>
        <w:pStyle w:val="BodyText"/>
        <w:spacing w:line="355" w:lineRule="auto"/>
        <w:ind w:right="382"/>
      </w:pPr>
      <w:proofErr w:type="spellStart"/>
      <w:r>
        <w:t>Baillie</w:t>
      </w:r>
      <w:proofErr w:type="gramStart"/>
      <w:r>
        <w:t>,L</w:t>
      </w:r>
      <w:proofErr w:type="spellEnd"/>
      <w:proofErr w:type="gramEnd"/>
      <w:r>
        <w:t xml:space="preserve">., </w:t>
      </w:r>
      <w:proofErr w:type="spellStart"/>
      <w:r>
        <w:t>Taylor,R</w:t>
      </w:r>
      <w:proofErr w:type="spellEnd"/>
      <w:r>
        <w:t xml:space="preserve">., </w:t>
      </w:r>
      <w:proofErr w:type="spellStart"/>
      <w:r>
        <w:t>Giordano,R</w:t>
      </w:r>
      <w:proofErr w:type="spellEnd"/>
      <w:r>
        <w:t xml:space="preserve">., </w:t>
      </w:r>
      <w:proofErr w:type="spellStart"/>
      <w:r>
        <w:t>Robb,E</w:t>
      </w:r>
      <w:proofErr w:type="spellEnd"/>
      <w:r>
        <w:t xml:space="preserve">., &amp; </w:t>
      </w:r>
      <w:proofErr w:type="spellStart"/>
      <w:r>
        <w:t>McPeake,J</w:t>
      </w:r>
      <w:proofErr w:type="spellEnd"/>
      <w:r>
        <w:t>. (2013) Evaluating the impact of scholarships. Nursing Times, 109(33-34), pp.24-25</w:t>
      </w:r>
    </w:p>
    <w:p w:rsidR="00713855" w:rsidRDefault="00713855" w:rsidP="00713855">
      <w:pPr>
        <w:pStyle w:val="BodyText"/>
        <w:spacing w:before="174" w:line="369" w:lineRule="auto"/>
        <w:ind w:right="749"/>
      </w:pPr>
      <w:proofErr w:type="spellStart"/>
      <w:r>
        <w:t>Clance</w:t>
      </w:r>
      <w:proofErr w:type="spellEnd"/>
      <w:r>
        <w:t xml:space="preserve">, P.R.; </w:t>
      </w:r>
      <w:proofErr w:type="spellStart"/>
      <w:r>
        <w:t>Imes</w:t>
      </w:r>
      <w:proofErr w:type="spellEnd"/>
      <w:r>
        <w:t>, S.A. (1978) The imposter phenomenon in high achieving women: dynamics and therapeutic intervention. Psychotherapy: Theory, Research and Practice.15 (3): 241–247</w:t>
      </w:r>
    </w:p>
    <w:p w:rsidR="00713855" w:rsidRDefault="00713855" w:rsidP="00713855">
      <w:pPr>
        <w:pStyle w:val="BodyText"/>
        <w:spacing w:before="156" w:line="360" w:lineRule="auto"/>
        <w:ind w:right="701"/>
      </w:pPr>
      <w:r>
        <w:t xml:space="preserve">Ibarra H, Ely R, </w:t>
      </w:r>
      <w:proofErr w:type="gramStart"/>
      <w:r>
        <w:t>Kolb D. (2013) Women rising</w:t>
      </w:r>
      <w:proofErr w:type="gramEnd"/>
      <w:r>
        <w:t>: The unseen barriers. Harvard Business Review</w:t>
      </w:r>
      <w:proofErr w:type="gramStart"/>
      <w:r>
        <w:t>.;</w:t>
      </w:r>
      <w:proofErr w:type="gramEnd"/>
      <w:r>
        <w:t>91:61–66.</w:t>
      </w:r>
    </w:p>
    <w:p w:rsidR="00713855" w:rsidRDefault="00713855" w:rsidP="006975B3">
      <w:pPr>
        <w:pStyle w:val="BodyText"/>
        <w:spacing w:before="169" w:line="355" w:lineRule="auto"/>
        <w:ind w:right="103"/>
      </w:pPr>
      <w:proofErr w:type="spellStart"/>
      <w:r>
        <w:t>Vize</w:t>
      </w:r>
      <w:proofErr w:type="spellEnd"/>
      <w:r>
        <w:t xml:space="preserve">, Richard. "Ailing NHS Leadership Needs Urgent Treatment". </w:t>
      </w:r>
      <w:proofErr w:type="gramStart"/>
      <w:r>
        <w:t>The Guardian 2015.</w:t>
      </w:r>
      <w:proofErr w:type="gramEnd"/>
      <w:r>
        <w:t xml:space="preserve"> Web. 13 Sept. 2016</w:t>
      </w:r>
    </w:p>
    <w:p w:rsidR="0098135B" w:rsidRPr="006975B3" w:rsidRDefault="00506CB4" w:rsidP="006975B3">
      <w:pPr>
        <w:pStyle w:val="BodyText"/>
        <w:spacing w:before="169" w:line="355" w:lineRule="auto"/>
        <w:ind w:right="103"/>
        <w:rPr>
          <w:i/>
        </w:rPr>
      </w:pPr>
      <w:r w:rsidRPr="006975B3">
        <w:rPr>
          <w:i/>
        </w:rPr>
        <w:lastRenderedPageBreak/>
        <w:t>Information on the</w:t>
      </w:r>
      <w:r w:rsidR="00B9002B">
        <w:rPr>
          <w:i/>
        </w:rPr>
        <w:t xml:space="preserve"> s</w:t>
      </w:r>
      <w:r w:rsidRPr="006975B3">
        <w:rPr>
          <w:i/>
        </w:rPr>
        <w:t xml:space="preserve">cholarships can be found at: </w:t>
      </w:r>
      <w:hyperlink r:id="rId6" w:history="1">
        <w:r w:rsidRPr="006975B3">
          <w:rPr>
            <w:rStyle w:val="Hyperlink"/>
            <w:i/>
          </w:rPr>
          <w:t>www.florence-nightingale-foundation.org.uk</w:t>
        </w:r>
      </w:hyperlink>
      <w:r w:rsidRPr="006975B3">
        <w:rPr>
          <w:i/>
        </w:rPr>
        <w:t xml:space="preserve"> </w:t>
      </w:r>
    </w:p>
    <w:p w:rsidR="007515DE" w:rsidRPr="006975B3" w:rsidRDefault="007515DE" w:rsidP="006975B3">
      <w:pPr>
        <w:pStyle w:val="BodyText"/>
        <w:spacing w:before="171" w:line="360" w:lineRule="auto"/>
        <w:ind w:right="201"/>
        <w:rPr>
          <w:i/>
        </w:rPr>
        <w:sectPr w:rsidR="007515DE" w:rsidRPr="006975B3">
          <w:pgSz w:w="11920" w:h="16850"/>
          <w:pgMar w:top="1360" w:right="1380" w:bottom="280" w:left="1340" w:header="720" w:footer="720" w:gutter="0"/>
          <w:cols w:space="720"/>
        </w:sectPr>
      </w:pPr>
    </w:p>
    <w:p w:rsidR="000C32C0" w:rsidRDefault="000C32C0" w:rsidP="000C32C0">
      <w:pPr>
        <w:pStyle w:val="BodyText"/>
        <w:spacing w:before="6"/>
        <w:rPr>
          <w:sz w:val="18"/>
        </w:rPr>
      </w:pPr>
    </w:p>
    <w:p w:rsidR="000C32C0" w:rsidRDefault="000C32C0" w:rsidP="000C32C0">
      <w:pPr>
        <w:rPr>
          <w:sz w:val="18"/>
        </w:rPr>
        <w:sectPr w:rsidR="000C32C0" w:rsidSect="000C32C0">
          <w:pgSz w:w="11920" w:h="16850"/>
          <w:pgMar w:top="1600" w:right="1340" w:bottom="280" w:left="1340" w:header="720" w:footer="720" w:gutter="0"/>
          <w:cols w:space="720"/>
        </w:sectPr>
      </w:pPr>
    </w:p>
    <w:p w:rsidR="000C32C0" w:rsidRDefault="000C32C0" w:rsidP="000C32C0">
      <w:pPr>
        <w:spacing w:line="256" w:lineRule="auto"/>
        <w:sectPr w:rsidR="000C32C0">
          <w:pgSz w:w="11920" w:h="16850"/>
          <w:pgMar w:top="1600" w:right="1340" w:bottom="280" w:left="1340" w:header="720" w:footer="720" w:gutter="0"/>
          <w:cols w:space="720"/>
        </w:sectPr>
      </w:pPr>
    </w:p>
    <w:p w:rsidR="000C32C0" w:rsidRDefault="000C32C0" w:rsidP="006975B3">
      <w:pPr>
        <w:pStyle w:val="BodyText"/>
        <w:sectPr w:rsidR="000C32C0">
          <w:pgSz w:w="11920" w:h="16850"/>
          <w:pgMar w:top="1360" w:right="1340" w:bottom="280" w:left="1340" w:header="720" w:footer="720" w:gutter="0"/>
          <w:cols w:space="720"/>
        </w:sectPr>
      </w:pPr>
    </w:p>
    <w:p w:rsidR="002B2D6B" w:rsidRDefault="002B2D6B" w:rsidP="006975B3">
      <w:pPr>
        <w:pStyle w:val="BodyText"/>
        <w:spacing w:before="169" w:line="355" w:lineRule="auto"/>
        <w:ind w:right="103"/>
        <w:sectPr w:rsidR="002B2D6B">
          <w:pgSz w:w="11920" w:h="16850"/>
          <w:pgMar w:top="1360" w:right="1340" w:bottom="280" w:left="1340" w:header="720" w:footer="720" w:gutter="0"/>
          <w:cols w:space="720"/>
        </w:sectPr>
      </w:pPr>
    </w:p>
    <w:p w:rsidR="00703155" w:rsidRDefault="006975B3"/>
    <w:sectPr w:rsidR="00703155">
      <w:pgSz w:w="11920" w:h="16850"/>
      <w:pgMar w:top="136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61982"/>
    <w:multiLevelType w:val="hybridMultilevel"/>
    <w:tmpl w:val="9EA0E6FC"/>
    <w:lvl w:ilvl="0" w:tplc="D38AF7F0">
      <w:start w:val="1"/>
      <w:numFmt w:val="bullet"/>
      <w:lvlText w:val=""/>
      <w:lvlJc w:val="left"/>
      <w:pPr>
        <w:ind w:left="823" w:hanging="360"/>
      </w:pPr>
      <w:rPr>
        <w:rFonts w:ascii="Symbol" w:eastAsia="Symbol" w:hAnsi="Symbol" w:cs="Symbol" w:hint="default"/>
        <w:w w:val="100"/>
        <w:sz w:val="22"/>
        <w:szCs w:val="22"/>
      </w:rPr>
    </w:lvl>
    <w:lvl w:ilvl="1" w:tplc="3C9EF9AC">
      <w:start w:val="1"/>
      <w:numFmt w:val="bullet"/>
      <w:lvlText w:val="•"/>
      <w:lvlJc w:val="left"/>
      <w:pPr>
        <w:ind w:left="1638" w:hanging="360"/>
      </w:pPr>
      <w:rPr>
        <w:rFonts w:hint="default"/>
      </w:rPr>
    </w:lvl>
    <w:lvl w:ilvl="2" w:tplc="0554AC2C">
      <w:start w:val="1"/>
      <w:numFmt w:val="bullet"/>
      <w:lvlText w:val="•"/>
      <w:lvlJc w:val="left"/>
      <w:pPr>
        <w:ind w:left="2457" w:hanging="360"/>
      </w:pPr>
      <w:rPr>
        <w:rFonts w:hint="default"/>
      </w:rPr>
    </w:lvl>
    <w:lvl w:ilvl="3" w:tplc="9F82CD76">
      <w:start w:val="1"/>
      <w:numFmt w:val="bullet"/>
      <w:lvlText w:val="•"/>
      <w:lvlJc w:val="left"/>
      <w:pPr>
        <w:ind w:left="3276" w:hanging="360"/>
      </w:pPr>
      <w:rPr>
        <w:rFonts w:hint="default"/>
      </w:rPr>
    </w:lvl>
    <w:lvl w:ilvl="4" w:tplc="C0EA4ABA">
      <w:start w:val="1"/>
      <w:numFmt w:val="bullet"/>
      <w:lvlText w:val="•"/>
      <w:lvlJc w:val="left"/>
      <w:pPr>
        <w:ind w:left="4095" w:hanging="360"/>
      </w:pPr>
      <w:rPr>
        <w:rFonts w:hint="default"/>
      </w:rPr>
    </w:lvl>
    <w:lvl w:ilvl="5" w:tplc="39BA052A">
      <w:start w:val="1"/>
      <w:numFmt w:val="bullet"/>
      <w:lvlText w:val="•"/>
      <w:lvlJc w:val="left"/>
      <w:pPr>
        <w:ind w:left="4914" w:hanging="360"/>
      </w:pPr>
      <w:rPr>
        <w:rFonts w:hint="default"/>
      </w:rPr>
    </w:lvl>
    <w:lvl w:ilvl="6" w:tplc="660C3832">
      <w:start w:val="1"/>
      <w:numFmt w:val="bullet"/>
      <w:lvlText w:val="•"/>
      <w:lvlJc w:val="left"/>
      <w:pPr>
        <w:ind w:left="5733" w:hanging="360"/>
      </w:pPr>
      <w:rPr>
        <w:rFonts w:hint="default"/>
      </w:rPr>
    </w:lvl>
    <w:lvl w:ilvl="7" w:tplc="69264C46">
      <w:start w:val="1"/>
      <w:numFmt w:val="bullet"/>
      <w:lvlText w:val="•"/>
      <w:lvlJc w:val="left"/>
      <w:pPr>
        <w:ind w:left="6552" w:hanging="360"/>
      </w:pPr>
      <w:rPr>
        <w:rFonts w:hint="default"/>
      </w:rPr>
    </w:lvl>
    <w:lvl w:ilvl="8" w:tplc="ABE4F202">
      <w:start w:val="1"/>
      <w:numFmt w:val="bullet"/>
      <w:lvlText w:val="•"/>
      <w:lvlJc w:val="left"/>
      <w:pPr>
        <w:ind w:left="7371"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yler">
    <w15:presenceInfo w15:providerId="AD" w15:userId="S-1-5-21-77323435-325901812-3724335614-1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C0"/>
    <w:rsid w:val="0003028F"/>
    <w:rsid w:val="00083F80"/>
    <w:rsid w:val="00096BAD"/>
    <w:rsid w:val="000C32C0"/>
    <w:rsid w:val="001500D9"/>
    <w:rsid w:val="002B2D6B"/>
    <w:rsid w:val="002B3857"/>
    <w:rsid w:val="002B4C91"/>
    <w:rsid w:val="00316E92"/>
    <w:rsid w:val="00361732"/>
    <w:rsid w:val="003E37D8"/>
    <w:rsid w:val="004369F9"/>
    <w:rsid w:val="004F2290"/>
    <w:rsid w:val="00506CB4"/>
    <w:rsid w:val="005247A0"/>
    <w:rsid w:val="00544D40"/>
    <w:rsid w:val="00546A88"/>
    <w:rsid w:val="0057336D"/>
    <w:rsid w:val="005C73CF"/>
    <w:rsid w:val="005F24DD"/>
    <w:rsid w:val="006024ED"/>
    <w:rsid w:val="00613B6E"/>
    <w:rsid w:val="006513B6"/>
    <w:rsid w:val="006975B3"/>
    <w:rsid w:val="006B1AC5"/>
    <w:rsid w:val="006B3AB8"/>
    <w:rsid w:val="00713855"/>
    <w:rsid w:val="00732CCB"/>
    <w:rsid w:val="007515DE"/>
    <w:rsid w:val="007533C4"/>
    <w:rsid w:val="00773BF9"/>
    <w:rsid w:val="00774350"/>
    <w:rsid w:val="007847CE"/>
    <w:rsid w:val="007D7BC9"/>
    <w:rsid w:val="00814FF3"/>
    <w:rsid w:val="0090751F"/>
    <w:rsid w:val="0092798C"/>
    <w:rsid w:val="0098135B"/>
    <w:rsid w:val="009A55F7"/>
    <w:rsid w:val="00A32ACA"/>
    <w:rsid w:val="00A62BFB"/>
    <w:rsid w:val="00A84993"/>
    <w:rsid w:val="00B04FA0"/>
    <w:rsid w:val="00B525FD"/>
    <w:rsid w:val="00B600D6"/>
    <w:rsid w:val="00B62DB8"/>
    <w:rsid w:val="00B9002B"/>
    <w:rsid w:val="00BC319B"/>
    <w:rsid w:val="00C15B91"/>
    <w:rsid w:val="00C404EF"/>
    <w:rsid w:val="00C820B6"/>
    <w:rsid w:val="00D523CF"/>
    <w:rsid w:val="00E453B0"/>
    <w:rsid w:val="00E96B6F"/>
    <w:rsid w:val="00EF1D0D"/>
    <w:rsid w:val="00F26A49"/>
    <w:rsid w:val="00F27EE9"/>
    <w:rsid w:val="00F77C4F"/>
    <w:rsid w:val="00FE38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32C0"/>
    <w:pPr>
      <w:widowControl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C32C0"/>
    <w:pPr>
      <w:ind w:left="100" w:right="2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32C0"/>
    <w:rPr>
      <w:rFonts w:ascii="Arial" w:eastAsia="Arial" w:hAnsi="Arial" w:cs="Arial"/>
      <w:b/>
      <w:bCs/>
      <w:lang w:val="en-US"/>
    </w:rPr>
  </w:style>
  <w:style w:type="paragraph" w:styleId="BodyText">
    <w:name w:val="Body Text"/>
    <w:basedOn w:val="Normal"/>
    <w:link w:val="BodyTextChar"/>
    <w:uiPriority w:val="1"/>
    <w:qFormat/>
    <w:rsid w:val="000C32C0"/>
  </w:style>
  <w:style w:type="character" w:customStyle="1" w:styleId="BodyTextChar">
    <w:name w:val="Body Text Char"/>
    <w:basedOn w:val="DefaultParagraphFont"/>
    <w:link w:val="BodyText"/>
    <w:uiPriority w:val="1"/>
    <w:rsid w:val="000C32C0"/>
    <w:rPr>
      <w:rFonts w:ascii="Arial" w:eastAsia="Arial" w:hAnsi="Arial" w:cs="Arial"/>
      <w:lang w:val="en-US"/>
    </w:rPr>
  </w:style>
  <w:style w:type="paragraph" w:styleId="ListParagraph">
    <w:name w:val="List Paragraph"/>
    <w:basedOn w:val="Normal"/>
    <w:uiPriority w:val="1"/>
    <w:qFormat/>
    <w:rsid w:val="000C32C0"/>
    <w:pPr>
      <w:spacing w:before="124"/>
      <w:ind w:left="823" w:hanging="360"/>
    </w:pPr>
  </w:style>
  <w:style w:type="paragraph" w:styleId="BalloonText">
    <w:name w:val="Balloon Text"/>
    <w:basedOn w:val="Normal"/>
    <w:link w:val="BalloonTextChar"/>
    <w:uiPriority w:val="99"/>
    <w:semiHidden/>
    <w:unhideWhenUsed/>
    <w:rsid w:val="00096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AD"/>
    <w:rPr>
      <w:rFonts w:ascii="Segoe UI" w:eastAsia="Arial" w:hAnsi="Segoe UI" w:cs="Segoe UI"/>
      <w:sz w:val="18"/>
      <w:szCs w:val="18"/>
      <w:lang w:val="en-US"/>
    </w:rPr>
  </w:style>
  <w:style w:type="table" w:styleId="TableGrid">
    <w:name w:val="Table Grid"/>
    <w:basedOn w:val="TableNormal"/>
    <w:uiPriority w:val="39"/>
    <w:rsid w:val="00B04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6CB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32C0"/>
    <w:pPr>
      <w:widowControl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C32C0"/>
    <w:pPr>
      <w:ind w:left="100" w:right="2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32C0"/>
    <w:rPr>
      <w:rFonts w:ascii="Arial" w:eastAsia="Arial" w:hAnsi="Arial" w:cs="Arial"/>
      <w:b/>
      <w:bCs/>
      <w:lang w:val="en-US"/>
    </w:rPr>
  </w:style>
  <w:style w:type="paragraph" w:styleId="BodyText">
    <w:name w:val="Body Text"/>
    <w:basedOn w:val="Normal"/>
    <w:link w:val="BodyTextChar"/>
    <w:uiPriority w:val="1"/>
    <w:qFormat/>
    <w:rsid w:val="000C32C0"/>
  </w:style>
  <w:style w:type="character" w:customStyle="1" w:styleId="BodyTextChar">
    <w:name w:val="Body Text Char"/>
    <w:basedOn w:val="DefaultParagraphFont"/>
    <w:link w:val="BodyText"/>
    <w:uiPriority w:val="1"/>
    <w:rsid w:val="000C32C0"/>
    <w:rPr>
      <w:rFonts w:ascii="Arial" w:eastAsia="Arial" w:hAnsi="Arial" w:cs="Arial"/>
      <w:lang w:val="en-US"/>
    </w:rPr>
  </w:style>
  <w:style w:type="paragraph" w:styleId="ListParagraph">
    <w:name w:val="List Paragraph"/>
    <w:basedOn w:val="Normal"/>
    <w:uiPriority w:val="1"/>
    <w:qFormat/>
    <w:rsid w:val="000C32C0"/>
    <w:pPr>
      <w:spacing w:before="124"/>
      <w:ind w:left="823" w:hanging="360"/>
    </w:pPr>
  </w:style>
  <w:style w:type="paragraph" w:styleId="BalloonText">
    <w:name w:val="Balloon Text"/>
    <w:basedOn w:val="Normal"/>
    <w:link w:val="BalloonTextChar"/>
    <w:uiPriority w:val="99"/>
    <w:semiHidden/>
    <w:unhideWhenUsed/>
    <w:rsid w:val="00096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AD"/>
    <w:rPr>
      <w:rFonts w:ascii="Segoe UI" w:eastAsia="Arial" w:hAnsi="Segoe UI" w:cs="Segoe UI"/>
      <w:sz w:val="18"/>
      <w:szCs w:val="18"/>
      <w:lang w:val="en-US"/>
    </w:rPr>
  </w:style>
  <w:style w:type="table" w:styleId="TableGrid">
    <w:name w:val="Table Grid"/>
    <w:basedOn w:val="TableNormal"/>
    <w:uiPriority w:val="39"/>
    <w:rsid w:val="00B04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6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lorence-nightingale-foundation.org.uk"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1970</Words>
  <Characters>11232</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Tyler</dc:creator>
  <cp:keywords/>
  <dc:description/>
  <cp:lastModifiedBy>Candy McCabe</cp:lastModifiedBy>
  <cp:revision>2</cp:revision>
  <cp:lastPrinted>2016-10-24T11:28:00Z</cp:lastPrinted>
  <dcterms:created xsi:type="dcterms:W3CDTF">2016-11-09T12:23:00Z</dcterms:created>
  <dcterms:modified xsi:type="dcterms:W3CDTF">2016-11-09T12:23:00Z</dcterms:modified>
</cp:coreProperties>
</file>