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9C" w:rsidRDefault="0057609C">
      <w:bookmarkStart w:id="0" w:name="_GoBack"/>
      <w:bookmarkEnd w:id="0"/>
    </w:p>
    <w:p w:rsidR="0057609C" w:rsidRDefault="0057609C"/>
    <w:p w:rsidR="00C4696D" w:rsidRDefault="00C4696D">
      <w:r>
        <w:t>Supplementary information</w:t>
      </w:r>
      <w:r w:rsidR="005A4029">
        <w:t>:</w:t>
      </w:r>
      <w:r w:rsidR="00070410">
        <w:t xml:space="preserve">  </w:t>
      </w:r>
    </w:p>
    <w:p w:rsidR="005A4029" w:rsidRDefault="005A4029" w:rsidP="00070410"/>
    <w:p w:rsidR="0057609C" w:rsidRDefault="0057609C" w:rsidP="00070410">
      <w:pPr>
        <w:rPr>
          <w:b/>
        </w:rPr>
      </w:pPr>
    </w:p>
    <w:p w:rsidR="009128FC" w:rsidRDefault="00C4696D" w:rsidP="00070410">
      <w:pPr>
        <w:rPr>
          <w:b/>
        </w:rPr>
      </w:pPr>
      <w:r w:rsidRPr="00C4696D">
        <w:rPr>
          <w:b/>
        </w:rPr>
        <w:t>Summary table of questionnaire outcome measures considered</w:t>
      </w:r>
      <w:r>
        <w:rPr>
          <w:b/>
        </w:rPr>
        <w:t xml:space="preserve"> </w:t>
      </w:r>
      <w:r w:rsidRPr="00C4696D">
        <w:rPr>
          <w:b/>
        </w:rPr>
        <w:t xml:space="preserve">for </w:t>
      </w:r>
      <w:r w:rsidR="009161D7">
        <w:rPr>
          <w:b/>
        </w:rPr>
        <w:t xml:space="preserve">potential inclusion in the </w:t>
      </w:r>
      <w:r w:rsidRPr="00C4696D">
        <w:rPr>
          <w:b/>
        </w:rPr>
        <w:t>final COMPACT</w:t>
      </w:r>
      <w:r w:rsidR="00D7594F">
        <w:rPr>
          <w:b/>
        </w:rPr>
        <w:t xml:space="preserve"> </w:t>
      </w:r>
    </w:p>
    <w:p w:rsidR="00C4696D" w:rsidRDefault="00C4696D" w:rsidP="00C4696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3015"/>
        <w:gridCol w:w="3119"/>
      </w:tblGrid>
      <w:tr w:rsidR="00722A4B" w:rsidTr="005C7D46">
        <w:tc>
          <w:tcPr>
            <w:tcW w:w="1771" w:type="dxa"/>
          </w:tcPr>
          <w:p w:rsidR="00722A4B" w:rsidRPr="005C7D46" w:rsidRDefault="00722A4B" w:rsidP="00C4696D">
            <w:pPr>
              <w:jc w:val="center"/>
              <w:rPr>
                <w:b/>
                <w:sz w:val="20"/>
                <w:szCs w:val="20"/>
              </w:rPr>
            </w:pPr>
            <w:r w:rsidRPr="005C7D46">
              <w:rPr>
                <w:b/>
                <w:sz w:val="20"/>
                <w:szCs w:val="20"/>
              </w:rPr>
              <w:t>Domain</w:t>
            </w:r>
          </w:p>
        </w:tc>
        <w:tc>
          <w:tcPr>
            <w:tcW w:w="3015" w:type="dxa"/>
          </w:tcPr>
          <w:p w:rsidR="00722A4B" w:rsidRPr="005C7D46" w:rsidRDefault="00722A4B" w:rsidP="00C4696D">
            <w:pPr>
              <w:jc w:val="center"/>
              <w:rPr>
                <w:b/>
                <w:sz w:val="20"/>
                <w:szCs w:val="20"/>
              </w:rPr>
            </w:pPr>
            <w:r w:rsidRPr="005C7D46">
              <w:rPr>
                <w:b/>
                <w:sz w:val="20"/>
                <w:szCs w:val="20"/>
              </w:rPr>
              <w:t>Questionnaire Outcome Measure</w:t>
            </w:r>
          </w:p>
        </w:tc>
        <w:tc>
          <w:tcPr>
            <w:tcW w:w="3119" w:type="dxa"/>
          </w:tcPr>
          <w:p w:rsidR="00722A4B" w:rsidRPr="005C7D46" w:rsidRDefault="00722A4B" w:rsidP="00C4696D">
            <w:pPr>
              <w:jc w:val="center"/>
              <w:rPr>
                <w:b/>
                <w:sz w:val="20"/>
                <w:szCs w:val="20"/>
              </w:rPr>
            </w:pPr>
            <w:r w:rsidRPr="005C7D46">
              <w:rPr>
                <w:b/>
                <w:sz w:val="20"/>
                <w:szCs w:val="20"/>
              </w:rPr>
              <w:t>Ref</w:t>
            </w:r>
            <w:r w:rsidR="005C7D46">
              <w:rPr>
                <w:b/>
                <w:sz w:val="20"/>
                <w:szCs w:val="20"/>
              </w:rPr>
              <w:t>erence</w:t>
            </w:r>
          </w:p>
        </w:tc>
      </w:tr>
      <w:tr w:rsidR="000A6FE8" w:rsidTr="005C7D46">
        <w:tc>
          <w:tcPr>
            <w:tcW w:w="1771" w:type="dxa"/>
            <w:vMerge w:val="restart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Pain</w:t>
            </w: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Visual analogue scale</w:t>
            </w:r>
          </w:p>
        </w:tc>
        <w:tc>
          <w:tcPr>
            <w:tcW w:w="3119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Numeric rating scale</w:t>
            </w:r>
          </w:p>
        </w:tc>
        <w:tc>
          <w:tcPr>
            <w:tcW w:w="3119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Short-Form McGill Pain Questionnaire  </w:t>
            </w:r>
          </w:p>
        </w:tc>
        <w:tc>
          <w:tcPr>
            <w:tcW w:w="3119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Dworkin</w:t>
            </w:r>
            <w:proofErr w:type="spellEnd"/>
            <w:r w:rsidRPr="005C7D46">
              <w:rPr>
                <w:sz w:val="20"/>
                <w:szCs w:val="20"/>
              </w:rPr>
              <w:t xml:space="preserve"> et al (2009)</w:t>
            </w: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Pain Detect</w:t>
            </w:r>
          </w:p>
        </w:tc>
        <w:tc>
          <w:tcPr>
            <w:tcW w:w="3119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  <w:lang w:val="en-CA"/>
              </w:rPr>
              <w:t>Freynhagen</w:t>
            </w:r>
            <w:proofErr w:type="spellEnd"/>
            <w:r w:rsidRPr="005C7D46">
              <w:rPr>
                <w:sz w:val="20"/>
                <w:szCs w:val="20"/>
                <w:lang w:val="en-CA"/>
              </w:rPr>
              <w:t xml:space="preserve"> et al (2006)</w:t>
            </w: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Pain Disability Index</w:t>
            </w:r>
          </w:p>
        </w:tc>
        <w:tc>
          <w:tcPr>
            <w:tcW w:w="3119" w:type="dxa"/>
          </w:tcPr>
          <w:p w:rsidR="000A6FE8" w:rsidRPr="005C7D46" w:rsidRDefault="004444B9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Pollard (1984)</w:t>
            </w: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4444B9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Brief Pain Inventory </w:t>
            </w:r>
          </w:p>
        </w:tc>
        <w:tc>
          <w:tcPr>
            <w:tcW w:w="3119" w:type="dxa"/>
          </w:tcPr>
          <w:p w:rsidR="000A6FE8" w:rsidRPr="005C7D46" w:rsidRDefault="004444B9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Cleeland</w:t>
            </w:r>
            <w:proofErr w:type="spellEnd"/>
            <w:r w:rsidRPr="005C7D46">
              <w:rPr>
                <w:sz w:val="20"/>
                <w:szCs w:val="20"/>
              </w:rPr>
              <w:t>, (1989).</w:t>
            </w: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PROMIS items</w:t>
            </w:r>
          </w:p>
        </w:tc>
        <w:tc>
          <w:tcPr>
            <w:tcW w:w="3119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Cella</w:t>
            </w:r>
            <w:proofErr w:type="spellEnd"/>
            <w:r w:rsidRPr="005C7D46">
              <w:rPr>
                <w:sz w:val="20"/>
                <w:szCs w:val="20"/>
              </w:rPr>
              <w:t xml:space="preserve"> et al (2007) for PROMIS 29</w:t>
            </w: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3F2E15" w:rsidP="000A6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 </w:t>
            </w:r>
            <w:proofErr w:type="spellStart"/>
            <w:r>
              <w:rPr>
                <w:sz w:val="20"/>
                <w:szCs w:val="20"/>
              </w:rPr>
              <w:t>QuILT</w:t>
            </w:r>
            <w:proofErr w:type="spellEnd"/>
          </w:p>
        </w:tc>
        <w:tc>
          <w:tcPr>
            <w:tcW w:w="3119" w:type="dxa"/>
          </w:tcPr>
          <w:p w:rsidR="000A6FE8" w:rsidRPr="005C7D46" w:rsidRDefault="005E732C" w:rsidP="000A6FE8">
            <w:pPr>
              <w:rPr>
                <w:sz w:val="20"/>
                <w:szCs w:val="20"/>
              </w:rPr>
            </w:pPr>
            <w:proofErr w:type="spellStart"/>
            <w:r w:rsidRPr="005E732C">
              <w:rPr>
                <w:sz w:val="20"/>
                <w:szCs w:val="20"/>
              </w:rPr>
              <w:t>Lalloo</w:t>
            </w:r>
            <w:proofErr w:type="spellEnd"/>
            <w:r>
              <w:rPr>
                <w:sz w:val="20"/>
                <w:szCs w:val="20"/>
              </w:rPr>
              <w:t xml:space="preserve"> et al (2014)</w:t>
            </w:r>
          </w:p>
        </w:tc>
      </w:tr>
      <w:tr w:rsidR="000A6FE8" w:rsidTr="005C7D46">
        <w:tc>
          <w:tcPr>
            <w:tcW w:w="1771" w:type="dxa"/>
            <w:vMerge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0A6FE8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Michigan body map</w:t>
            </w:r>
          </w:p>
        </w:tc>
        <w:tc>
          <w:tcPr>
            <w:tcW w:w="3119" w:type="dxa"/>
          </w:tcPr>
          <w:p w:rsidR="000A6FE8" w:rsidRPr="005C7D46" w:rsidRDefault="005E732C" w:rsidP="000A6FE8">
            <w:pPr>
              <w:rPr>
                <w:sz w:val="20"/>
                <w:szCs w:val="20"/>
              </w:rPr>
            </w:pPr>
            <w:proofErr w:type="spellStart"/>
            <w:r w:rsidRPr="005E732C">
              <w:rPr>
                <w:sz w:val="20"/>
                <w:szCs w:val="20"/>
                <w:lang w:val="en-CA"/>
              </w:rPr>
              <w:t>Brummett</w:t>
            </w:r>
            <w:proofErr w:type="spellEnd"/>
            <w:r>
              <w:rPr>
                <w:sz w:val="20"/>
                <w:szCs w:val="20"/>
                <w:lang w:val="en-CA"/>
              </w:rPr>
              <w:t xml:space="preserve"> et al (2016)</w:t>
            </w:r>
          </w:p>
        </w:tc>
      </w:tr>
      <w:tr w:rsidR="00722A4B" w:rsidTr="005C7D46">
        <w:tc>
          <w:tcPr>
            <w:tcW w:w="1771" w:type="dxa"/>
          </w:tcPr>
          <w:p w:rsidR="00722A4B" w:rsidRPr="005C7D46" w:rsidRDefault="00722A4B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Disease severity</w:t>
            </w:r>
          </w:p>
        </w:tc>
        <w:tc>
          <w:tcPr>
            <w:tcW w:w="3015" w:type="dxa"/>
          </w:tcPr>
          <w:p w:rsidR="00722A4B" w:rsidRPr="005C7D46" w:rsidRDefault="00722A4B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CRPS Severity Score</w:t>
            </w:r>
          </w:p>
        </w:tc>
        <w:tc>
          <w:tcPr>
            <w:tcW w:w="3119" w:type="dxa"/>
          </w:tcPr>
          <w:p w:rsidR="00722A4B" w:rsidRPr="005C7D46" w:rsidRDefault="000A6FE8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Harden et al (2010)</w:t>
            </w:r>
          </w:p>
        </w:tc>
      </w:tr>
      <w:tr w:rsidR="002C3877" w:rsidTr="005C7D46">
        <w:tc>
          <w:tcPr>
            <w:tcW w:w="1771" w:type="dxa"/>
            <w:vMerge w:val="restart"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  <w:r w:rsidRPr="005C7D46">
              <w:rPr>
                <w:rFonts w:cs="Arial"/>
                <w:bCs/>
                <w:sz w:val="20"/>
                <w:szCs w:val="20"/>
              </w:rPr>
              <w:t>Participation and function</w:t>
            </w: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SF-36</w:t>
            </w:r>
          </w:p>
        </w:tc>
        <w:tc>
          <w:tcPr>
            <w:tcW w:w="3119" w:type="dxa"/>
          </w:tcPr>
          <w:p w:rsidR="002C3877" w:rsidRPr="005C7D46" w:rsidRDefault="002C3877" w:rsidP="004444B9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Ware and</w:t>
            </w:r>
          </w:p>
          <w:p w:rsidR="002C3877" w:rsidRPr="005C7D46" w:rsidRDefault="002C3877" w:rsidP="004444B9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Sherbourne</w:t>
            </w:r>
            <w:proofErr w:type="spellEnd"/>
            <w:r w:rsidRPr="005C7D46">
              <w:rPr>
                <w:sz w:val="20"/>
                <w:szCs w:val="20"/>
              </w:rPr>
              <w:t xml:space="preserve"> (1992)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Radboud</w:t>
            </w:r>
            <w:proofErr w:type="spellEnd"/>
            <w:r w:rsidRPr="005C7D46">
              <w:rPr>
                <w:sz w:val="20"/>
                <w:szCs w:val="20"/>
              </w:rPr>
              <w:t xml:space="preserve"> Skills Questionnaire</w:t>
            </w:r>
          </w:p>
        </w:tc>
        <w:tc>
          <w:tcPr>
            <w:tcW w:w="3119" w:type="dxa"/>
          </w:tcPr>
          <w:p w:rsidR="002C3877" w:rsidRPr="005C7D46" w:rsidRDefault="002C3877" w:rsidP="004444B9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Oerlemans</w:t>
            </w:r>
            <w:proofErr w:type="spellEnd"/>
          </w:p>
          <w:p w:rsidR="002C3877" w:rsidRPr="005C7D46" w:rsidRDefault="002C3877" w:rsidP="004444B9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et al (2000),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2C3877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Disabilities of Arm,</w:t>
            </w:r>
          </w:p>
          <w:p w:rsidR="002C3877" w:rsidRPr="005C7D46" w:rsidRDefault="002C3877" w:rsidP="002C3877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Shoulder and Hand questionnaire</w:t>
            </w:r>
          </w:p>
        </w:tc>
        <w:tc>
          <w:tcPr>
            <w:tcW w:w="3119" w:type="dxa"/>
          </w:tcPr>
          <w:p w:rsidR="002C3877" w:rsidRPr="005C7D46" w:rsidRDefault="002C3877" w:rsidP="002C3877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Hudak</w:t>
            </w:r>
            <w:proofErr w:type="spellEnd"/>
            <w:r w:rsidRPr="005C7D46">
              <w:rPr>
                <w:sz w:val="20"/>
                <w:szCs w:val="20"/>
              </w:rPr>
              <w:t xml:space="preserve"> et al.,</w:t>
            </w:r>
          </w:p>
          <w:p w:rsidR="002C3877" w:rsidRPr="005C7D46" w:rsidRDefault="002C3877" w:rsidP="002C3877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(1996)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Walking Ability Questionnaire</w:t>
            </w:r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Roorda</w:t>
            </w:r>
            <w:proofErr w:type="spellEnd"/>
            <w:r w:rsidRPr="005C7D46">
              <w:rPr>
                <w:sz w:val="20"/>
                <w:szCs w:val="20"/>
              </w:rPr>
              <w:t xml:space="preserve"> et al (2005)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Euroqol-5D</w:t>
            </w:r>
          </w:p>
        </w:tc>
        <w:tc>
          <w:tcPr>
            <w:tcW w:w="3119" w:type="dxa"/>
          </w:tcPr>
          <w:p w:rsidR="002C3877" w:rsidRPr="005C7D46" w:rsidRDefault="002C3877" w:rsidP="004444B9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EuroQol</w:t>
            </w:r>
            <w:proofErr w:type="spellEnd"/>
            <w:r w:rsidRPr="005C7D46">
              <w:rPr>
                <w:sz w:val="20"/>
                <w:szCs w:val="20"/>
              </w:rPr>
              <w:t xml:space="preserve"> Group</w:t>
            </w:r>
          </w:p>
          <w:p w:rsidR="002C3877" w:rsidRPr="005C7D46" w:rsidRDefault="002C3877" w:rsidP="004444B9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(1990)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PROMIS items</w:t>
            </w:r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Cella</w:t>
            </w:r>
            <w:proofErr w:type="spellEnd"/>
            <w:r w:rsidRPr="005C7D46">
              <w:rPr>
                <w:sz w:val="20"/>
                <w:szCs w:val="20"/>
              </w:rPr>
              <w:t xml:space="preserve"> et al (2007) for PROMIS 29</w:t>
            </w:r>
          </w:p>
        </w:tc>
      </w:tr>
      <w:tr w:rsidR="002C3877" w:rsidTr="005C7D46">
        <w:tc>
          <w:tcPr>
            <w:tcW w:w="1771" w:type="dxa"/>
            <w:vMerge w:val="restart"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  <w:r w:rsidRPr="005C7D46">
              <w:rPr>
                <w:rFonts w:cs="Arial"/>
                <w:bCs/>
                <w:sz w:val="20"/>
                <w:szCs w:val="20"/>
              </w:rPr>
              <w:t>Emotional and psychological function</w:t>
            </w: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Beck Depression Inventory</w:t>
            </w:r>
          </w:p>
        </w:tc>
        <w:tc>
          <w:tcPr>
            <w:tcW w:w="3119" w:type="dxa"/>
          </w:tcPr>
          <w:p w:rsidR="002C3877" w:rsidRPr="005C7D46" w:rsidRDefault="00B00FCF" w:rsidP="000A6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 et al 1961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2C3877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Tampa Scale for </w:t>
            </w:r>
            <w:proofErr w:type="spellStart"/>
            <w:r w:rsidRPr="005C7D46">
              <w:rPr>
                <w:sz w:val="20"/>
                <w:szCs w:val="20"/>
              </w:rPr>
              <w:t>Kinesiophobia</w:t>
            </w:r>
            <w:proofErr w:type="spellEnd"/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Miller et al.</w:t>
            </w:r>
            <w:proofErr w:type="gramStart"/>
            <w:r w:rsidRPr="005C7D46">
              <w:rPr>
                <w:sz w:val="20"/>
                <w:szCs w:val="20"/>
              </w:rPr>
              <w:t>,(</w:t>
            </w:r>
            <w:proofErr w:type="gramEnd"/>
            <w:r w:rsidRPr="005C7D46">
              <w:rPr>
                <w:sz w:val="20"/>
                <w:szCs w:val="20"/>
              </w:rPr>
              <w:t>1991).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Zung</w:t>
            </w:r>
            <w:proofErr w:type="spellEnd"/>
            <w:r w:rsidRPr="005C7D46">
              <w:rPr>
                <w:sz w:val="20"/>
                <w:szCs w:val="20"/>
              </w:rPr>
              <w:t xml:space="preserve"> Depression Scale</w:t>
            </w:r>
          </w:p>
        </w:tc>
        <w:tc>
          <w:tcPr>
            <w:tcW w:w="3119" w:type="dxa"/>
          </w:tcPr>
          <w:p w:rsidR="002C3877" w:rsidRPr="005C7D46" w:rsidRDefault="003F2E15" w:rsidP="000A6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Zung</w:t>
            </w:r>
            <w:proofErr w:type="spellEnd"/>
            <w:r>
              <w:rPr>
                <w:sz w:val="20"/>
                <w:szCs w:val="20"/>
              </w:rPr>
              <w:t xml:space="preserve"> (1965)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5C7D46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State</w:t>
            </w:r>
            <w:r w:rsidR="002C3877" w:rsidRPr="005C7D46">
              <w:rPr>
                <w:sz w:val="20"/>
                <w:szCs w:val="20"/>
              </w:rPr>
              <w:t xml:space="preserve"> Trait Anxiety Scale</w:t>
            </w:r>
          </w:p>
        </w:tc>
        <w:tc>
          <w:tcPr>
            <w:tcW w:w="3119" w:type="dxa"/>
          </w:tcPr>
          <w:p w:rsidR="002C3877" w:rsidRPr="005C7D46" w:rsidRDefault="005C7D46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Spielberger</w:t>
            </w:r>
            <w:proofErr w:type="spellEnd"/>
            <w:r w:rsidRPr="005C7D46">
              <w:rPr>
                <w:sz w:val="20"/>
                <w:szCs w:val="20"/>
              </w:rPr>
              <w:t xml:space="preserve">, Gorsuch, </w:t>
            </w:r>
            <w:proofErr w:type="spellStart"/>
            <w:r w:rsidRPr="005C7D46">
              <w:rPr>
                <w:sz w:val="20"/>
                <w:szCs w:val="20"/>
              </w:rPr>
              <w:t>Lushene</w:t>
            </w:r>
            <w:proofErr w:type="spellEnd"/>
            <w:r w:rsidRPr="005C7D46">
              <w:rPr>
                <w:sz w:val="20"/>
                <w:szCs w:val="20"/>
              </w:rPr>
              <w:t xml:space="preserve">, </w:t>
            </w:r>
            <w:proofErr w:type="spellStart"/>
            <w:r w:rsidRPr="005C7D46">
              <w:rPr>
                <w:sz w:val="20"/>
                <w:szCs w:val="20"/>
              </w:rPr>
              <w:t>Vagg</w:t>
            </w:r>
            <w:proofErr w:type="spellEnd"/>
            <w:r w:rsidRPr="005C7D46">
              <w:rPr>
                <w:sz w:val="20"/>
                <w:szCs w:val="20"/>
              </w:rPr>
              <w:t>, &amp; Jacobs, (1983)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Hospital Anxiety and Depression Scale (HADS)</w:t>
            </w:r>
          </w:p>
          <w:p w:rsidR="002C3877" w:rsidRPr="005C7D46" w:rsidRDefault="002C3877" w:rsidP="000A6F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2C3877" w:rsidRPr="005C7D46" w:rsidRDefault="005C7D46" w:rsidP="005C7D46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Zigmond</w:t>
            </w:r>
            <w:proofErr w:type="spellEnd"/>
            <w:r w:rsidRPr="005C7D46">
              <w:rPr>
                <w:sz w:val="20"/>
                <w:szCs w:val="20"/>
              </w:rPr>
              <w:t xml:space="preserve"> and </w:t>
            </w:r>
            <w:proofErr w:type="spellStart"/>
            <w:r w:rsidRPr="005C7D46">
              <w:rPr>
                <w:sz w:val="20"/>
                <w:szCs w:val="20"/>
              </w:rPr>
              <w:t>Snaith</w:t>
            </w:r>
            <w:proofErr w:type="spellEnd"/>
            <w:r w:rsidRPr="005C7D46">
              <w:rPr>
                <w:sz w:val="20"/>
                <w:szCs w:val="20"/>
              </w:rPr>
              <w:t>(1983)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B52160" w:rsidRPr="00B52160" w:rsidRDefault="00B52160" w:rsidP="00B52160">
            <w:pPr>
              <w:rPr>
                <w:sz w:val="20"/>
                <w:szCs w:val="20"/>
              </w:rPr>
            </w:pPr>
            <w:r w:rsidRPr="00B52160">
              <w:rPr>
                <w:sz w:val="20"/>
                <w:szCs w:val="20"/>
              </w:rPr>
              <w:t>Centre for Epidemiologic</w:t>
            </w:r>
          </w:p>
          <w:p w:rsidR="002C3877" w:rsidRPr="005C7D46" w:rsidRDefault="00B52160" w:rsidP="00B52160">
            <w:pPr>
              <w:rPr>
                <w:sz w:val="20"/>
                <w:szCs w:val="20"/>
              </w:rPr>
            </w:pPr>
            <w:r w:rsidRPr="00B52160">
              <w:rPr>
                <w:sz w:val="20"/>
                <w:szCs w:val="20"/>
              </w:rPr>
              <w:t>Studies Depression Scale</w:t>
            </w:r>
          </w:p>
        </w:tc>
        <w:tc>
          <w:tcPr>
            <w:tcW w:w="3119" w:type="dxa"/>
          </w:tcPr>
          <w:p w:rsidR="002C3877" w:rsidRPr="005C7D46" w:rsidRDefault="009B591F" w:rsidP="000A6FE8">
            <w:pPr>
              <w:rPr>
                <w:sz w:val="20"/>
                <w:szCs w:val="20"/>
              </w:rPr>
            </w:pPr>
            <w:proofErr w:type="spellStart"/>
            <w:r w:rsidRPr="009B591F">
              <w:rPr>
                <w:sz w:val="20"/>
                <w:szCs w:val="20"/>
              </w:rPr>
              <w:t>Radloff</w:t>
            </w:r>
            <w:proofErr w:type="spellEnd"/>
            <w:r>
              <w:rPr>
                <w:sz w:val="20"/>
                <w:szCs w:val="20"/>
              </w:rPr>
              <w:t xml:space="preserve"> (1977)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 xml:space="preserve">Patient Health Questionnaire </w:t>
            </w:r>
          </w:p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(PHQ-9)</w:t>
            </w:r>
          </w:p>
        </w:tc>
        <w:tc>
          <w:tcPr>
            <w:tcW w:w="3119" w:type="dxa"/>
          </w:tcPr>
          <w:p w:rsidR="002C3877" w:rsidRPr="005C7D46" w:rsidRDefault="000361EC" w:rsidP="000A6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Spilzer</w:t>
            </w:r>
            <w:proofErr w:type="spellEnd"/>
            <w:r>
              <w:rPr>
                <w:sz w:val="20"/>
                <w:szCs w:val="20"/>
              </w:rPr>
              <w:t xml:space="preserve"> et al (1999)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PROMIS items</w:t>
            </w:r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proofErr w:type="spellStart"/>
            <w:r w:rsidRPr="005C7D46">
              <w:rPr>
                <w:sz w:val="20"/>
                <w:szCs w:val="20"/>
              </w:rPr>
              <w:t>Cella</w:t>
            </w:r>
            <w:proofErr w:type="spellEnd"/>
            <w:r w:rsidRPr="005C7D46">
              <w:rPr>
                <w:sz w:val="20"/>
                <w:szCs w:val="20"/>
              </w:rPr>
              <w:t xml:space="preserve"> et al (2007) for PROMIS 29</w:t>
            </w:r>
          </w:p>
        </w:tc>
      </w:tr>
      <w:tr w:rsidR="002C3877" w:rsidTr="005C7D46">
        <w:tc>
          <w:tcPr>
            <w:tcW w:w="1771" w:type="dxa"/>
            <w:vMerge w:val="restart"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  <w:r w:rsidRPr="005C7D46">
              <w:rPr>
                <w:rFonts w:cs="Arial"/>
                <w:bCs/>
                <w:sz w:val="20"/>
                <w:szCs w:val="20"/>
              </w:rPr>
              <w:t>Self Efficacy</w:t>
            </w:r>
          </w:p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Pain Self Efficacy Questionnaire</w:t>
            </w:r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Nicholas (2007)</w:t>
            </w: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Impact on Participation and Autonomy Questionnaire</w:t>
            </w:r>
          </w:p>
          <w:p w:rsidR="002C3877" w:rsidRPr="005C7D46" w:rsidRDefault="002C3877" w:rsidP="000A6F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2C3877" w:rsidRPr="005C7D46" w:rsidRDefault="008D796F" w:rsidP="000A6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Cardol</w:t>
            </w:r>
            <w:proofErr w:type="spellEnd"/>
            <w:r>
              <w:rPr>
                <w:sz w:val="20"/>
                <w:szCs w:val="20"/>
              </w:rPr>
              <w:t xml:space="preserve"> et al (1999)</w:t>
            </w:r>
          </w:p>
        </w:tc>
      </w:tr>
      <w:tr w:rsidR="005C7D46" w:rsidTr="005C7D46">
        <w:tc>
          <w:tcPr>
            <w:tcW w:w="1771" w:type="dxa"/>
          </w:tcPr>
          <w:p w:rsidR="005C7D46" w:rsidRPr="005C7D46" w:rsidRDefault="005C7D46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5C7D46" w:rsidRPr="005C7D46" w:rsidRDefault="005C7D46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Pain Coping Inventory</w:t>
            </w:r>
          </w:p>
        </w:tc>
        <w:tc>
          <w:tcPr>
            <w:tcW w:w="3119" w:type="dxa"/>
          </w:tcPr>
          <w:p w:rsidR="005C7D46" w:rsidRPr="005C7D46" w:rsidRDefault="008D796F" w:rsidP="000A6F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Kraaimaat</w:t>
            </w:r>
            <w:proofErr w:type="spellEnd"/>
            <w:r>
              <w:rPr>
                <w:sz w:val="20"/>
                <w:szCs w:val="20"/>
              </w:rPr>
              <w:t xml:space="preserve"> and Evers (</w:t>
            </w:r>
            <w:r w:rsidR="00C3050F">
              <w:rPr>
                <w:sz w:val="20"/>
                <w:szCs w:val="20"/>
              </w:rPr>
              <w:t>2003</w:t>
            </w:r>
            <w:r>
              <w:rPr>
                <w:sz w:val="20"/>
                <w:szCs w:val="20"/>
              </w:rPr>
              <w:t>)</w:t>
            </w:r>
          </w:p>
        </w:tc>
      </w:tr>
      <w:tr w:rsidR="00722A4B" w:rsidTr="005C7D46">
        <w:tc>
          <w:tcPr>
            <w:tcW w:w="1771" w:type="dxa"/>
          </w:tcPr>
          <w:p w:rsidR="00722A4B" w:rsidRPr="005C7D46" w:rsidRDefault="00722A4B" w:rsidP="000A6FE8">
            <w:pPr>
              <w:rPr>
                <w:rFonts w:cs="Arial"/>
                <w:bCs/>
                <w:sz w:val="20"/>
                <w:szCs w:val="20"/>
              </w:rPr>
            </w:pPr>
            <w:r w:rsidRPr="005C7D46">
              <w:rPr>
                <w:rFonts w:cs="Arial"/>
                <w:bCs/>
                <w:sz w:val="20"/>
                <w:szCs w:val="20"/>
              </w:rPr>
              <w:t>Catastrophizing</w:t>
            </w:r>
          </w:p>
        </w:tc>
        <w:tc>
          <w:tcPr>
            <w:tcW w:w="3015" w:type="dxa"/>
          </w:tcPr>
          <w:p w:rsidR="00722A4B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Pain Catastrophizing Scale</w:t>
            </w:r>
          </w:p>
        </w:tc>
        <w:tc>
          <w:tcPr>
            <w:tcW w:w="3119" w:type="dxa"/>
          </w:tcPr>
          <w:p w:rsidR="00722A4B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sz w:val="20"/>
                <w:szCs w:val="20"/>
              </w:rPr>
              <w:t>Sullivan et al (1995)</w:t>
            </w:r>
          </w:p>
        </w:tc>
      </w:tr>
      <w:tr w:rsidR="002C3877" w:rsidTr="005C7D46">
        <w:tc>
          <w:tcPr>
            <w:tcW w:w="1771" w:type="dxa"/>
            <w:vMerge w:val="restart"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  <w:r w:rsidRPr="005C7D46">
              <w:rPr>
                <w:rFonts w:cs="Arial"/>
                <w:bCs/>
                <w:sz w:val="20"/>
                <w:szCs w:val="20"/>
              </w:rPr>
              <w:t xml:space="preserve">Patients Global Impression of Change </w:t>
            </w: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  <w:r w:rsidRPr="005C7D46">
              <w:rPr>
                <w:bCs/>
                <w:sz w:val="20"/>
                <w:szCs w:val="20"/>
              </w:rPr>
              <w:t>Patients Global Impression of Change questionnaire</w:t>
            </w:r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</w:p>
        </w:tc>
      </w:tr>
      <w:tr w:rsidR="002C3877" w:rsidTr="005C7D46">
        <w:tc>
          <w:tcPr>
            <w:tcW w:w="1771" w:type="dxa"/>
            <w:vMerge/>
          </w:tcPr>
          <w:p w:rsidR="002C3877" w:rsidRPr="005C7D46" w:rsidRDefault="002C3877" w:rsidP="000A6FE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15" w:type="dxa"/>
          </w:tcPr>
          <w:p w:rsidR="002C3877" w:rsidRPr="005C7D46" w:rsidRDefault="002C3877" w:rsidP="000A6FE8">
            <w:pPr>
              <w:rPr>
                <w:bCs/>
                <w:sz w:val="20"/>
                <w:szCs w:val="20"/>
              </w:rPr>
            </w:pPr>
            <w:r w:rsidRPr="005C7D46">
              <w:rPr>
                <w:bCs/>
                <w:sz w:val="20"/>
                <w:szCs w:val="20"/>
              </w:rPr>
              <w:t>Global perceived effect</w:t>
            </w:r>
          </w:p>
        </w:tc>
        <w:tc>
          <w:tcPr>
            <w:tcW w:w="3119" w:type="dxa"/>
          </w:tcPr>
          <w:p w:rsidR="002C3877" w:rsidRPr="005C7D46" w:rsidRDefault="002C3877" w:rsidP="000A6FE8">
            <w:pPr>
              <w:rPr>
                <w:sz w:val="20"/>
                <w:szCs w:val="20"/>
              </w:rPr>
            </w:pPr>
          </w:p>
        </w:tc>
      </w:tr>
    </w:tbl>
    <w:p w:rsidR="003C319A" w:rsidRDefault="003C319A" w:rsidP="000A6FE8">
      <w:pPr>
        <w:rPr>
          <w:lang w:val="en-CA"/>
        </w:rPr>
      </w:pPr>
    </w:p>
    <w:p w:rsidR="000A6FE8" w:rsidRDefault="000A6FE8" w:rsidP="000A6FE8">
      <w:pPr>
        <w:rPr>
          <w:b/>
          <w:lang w:val="en-CA"/>
        </w:rPr>
      </w:pPr>
    </w:p>
    <w:p w:rsidR="0057609C" w:rsidRDefault="0057609C" w:rsidP="000A6FE8">
      <w:pPr>
        <w:rPr>
          <w:b/>
          <w:lang w:val="en-CA"/>
        </w:rPr>
      </w:pPr>
    </w:p>
    <w:p w:rsidR="0057609C" w:rsidRDefault="0057609C" w:rsidP="000A6FE8">
      <w:pPr>
        <w:rPr>
          <w:b/>
          <w:lang w:val="en-CA"/>
        </w:rPr>
      </w:pPr>
    </w:p>
    <w:p w:rsidR="0057609C" w:rsidRDefault="0057609C" w:rsidP="000A6FE8">
      <w:pPr>
        <w:rPr>
          <w:b/>
          <w:lang w:val="en-CA"/>
        </w:rPr>
      </w:pPr>
    </w:p>
    <w:p w:rsidR="000A6FE8" w:rsidRDefault="000A6FE8" w:rsidP="000A6FE8">
      <w:pPr>
        <w:rPr>
          <w:b/>
          <w:lang w:val="en-CA"/>
        </w:rPr>
      </w:pPr>
      <w:r w:rsidRPr="000A6FE8">
        <w:rPr>
          <w:b/>
          <w:lang w:val="en-CA"/>
        </w:rPr>
        <w:lastRenderedPageBreak/>
        <w:t>References</w:t>
      </w:r>
    </w:p>
    <w:p w:rsidR="003C319A" w:rsidRDefault="003C319A" w:rsidP="000A6FE8">
      <w:pPr>
        <w:rPr>
          <w:b/>
          <w:lang w:val="en-CA"/>
        </w:rPr>
      </w:pPr>
    </w:p>
    <w:p w:rsidR="00B00FCF" w:rsidRDefault="00B00FCF" w:rsidP="000A6FE8">
      <w:pPr>
        <w:rPr>
          <w:lang w:val="en-CA"/>
        </w:rPr>
      </w:pPr>
      <w:r>
        <w:t xml:space="preserve">Beck AT, Ward CH, </w:t>
      </w:r>
      <w:proofErr w:type="spellStart"/>
      <w:proofErr w:type="gramStart"/>
      <w:r>
        <w:t>Mendelson</w:t>
      </w:r>
      <w:proofErr w:type="spellEnd"/>
      <w:r>
        <w:t xml:space="preserve">  M</w:t>
      </w:r>
      <w:proofErr w:type="gramEnd"/>
      <w:r>
        <w:t xml:space="preserve">, Mock J, </w:t>
      </w:r>
      <w:proofErr w:type="spellStart"/>
      <w:r>
        <w:t>Erbaugh</w:t>
      </w:r>
      <w:proofErr w:type="spellEnd"/>
      <w:r>
        <w:t xml:space="preserve">, J. </w:t>
      </w:r>
      <w:proofErr w:type="gramStart"/>
      <w:r w:rsidRPr="00B00FCF">
        <w:t>An inventory for measuring depression.</w:t>
      </w:r>
      <w:proofErr w:type="gramEnd"/>
      <w:r w:rsidRPr="00B00FCF">
        <w:t> </w:t>
      </w:r>
      <w:r w:rsidRPr="00B00FCF">
        <w:rPr>
          <w:iCs/>
        </w:rPr>
        <w:t>Archives of General Psychiatry</w:t>
      </w:r>
      <w:r>
        <w:rPr>
          <w:i/>
          <w:iCs/>
        </w:rPr>
        <w:t xml:space="preserve"> </w:t>
      </w:r>
      <w:r w:rsidRPr="00B00FCF">
        <w:rPr>
          <w:iCs/>
        </w:rPr>
        <w:t>1961</w:t>
      </w:r>
      <w:r>
        <w:rPr>
          <w:iCs/>
        </w:rPr>
        <w:t>;</w:t>
      </w:r>
      <w:r w:rsidRPr="00B00FCF">
        <w:t> 4, 561-571</w:t>
      </w:r>
    </w:p>
    <w:p w:rsidR="00B00FCF" w:rsidRDefault="00B00FCF" w:rsidP="000A6FE8">
      <w:pPr>
        <w:rPr>
          <w:lang w:val="en-CA"/>
        </w:rPr>
      </w:pPr>
    </w:p>
    <w:p w:rsidR="005E732C" w:rsidRPr="005E732C" w:rsidRDefault="005E732C" w:rsidP="000A6FE8">
      <w:pPr>
        <w:rPr>
          <w:lang w:val="en-CA"/>
        </w:rPr>
      </w:pPr>
      <w:proofErr w:type="spellStart"/>
      <w:r>
        <w:rPr>
          <w:lang w:val="en-CA"/>
        </w:rPr>
        <w:t>Brummett</w:t>
      </w:r>
      <w:proofErr w:type="spellEnd"/>
      <w:r>
        <w:rPr>
          <w:lang w:val="en-CA"/>
        </w:rPr>
        <w:t xml:space="preserve"> C, </w:t>
      </w:r>
      <w:proofErr w:type="spellStart"/>
      <w:r>
        <w:rPr>
          <w:lang w:val="en-CA"/>
        </w:rPr>
        <w:t>Bakshi</w:t>
      </w:r>
      <w:proofErr w:type="spellEnd"/>
      <w:r>
        <w:rPr>
          <w:lang w:val="en-CA"/>
        </w:rPr>
        <w:t xml:space="preserve"> R, </w:t>
      </w:r>
      <w:proofErr w:type="spellStart"/>
      <w:r>
        <w:rPr>
          <w:lang w:val="en-CA"/>
        </w:rPr>
        <w:t>Goesling</w:t>
      </w:r>
      <w:proofErr w:type="spellEnd"/>
      <w:r>
        <w:rPr>
          <w:lang w:val="en-CA"/>
        </w:rPr>
        <w:t xml:space="preserve"> J, Leung D, Moser S, </w:t>
      </w:r>
      <w:proofErr w:type="spellStart"/>
      <w:r>
        <w:rPr>
          <w:lang w:val="en-CA"/>
        </w:rPr>
        <w:t>Zollars</w:t>
      </w:r>
      <w:proofErr w:type="spellEnd"/>
      <w:r>
        <w:rPr>
          <w:lang w:val="en-CA"/>
        </w:rPr>
        <w:t xml:space="preserve"> J, Williams D, </w:t>
      </w:r>
      <w:proofErr w:type="spellStart"/>
      <w:r>
        <w:rPr>
          <w:lang w:val="en-CA"/>
        </w:rPr>
        <w:t>Clauw</w:t>
      </w:r>
      <w:proofErr w:type="spellEnd"/>
      <w:r>
        <w:rPr>
          <w:lang w:val="en-CA"/>
        </w:rPr>
        <w:t xml:space="preserve"> D, </w:t>
      </w:r>
      <w:proofErr w:type="spellStart"/>
      <w:r>
        <w:rPr>
          <w:lang w:val="en-CA"/>
        </w:rPr>
        <w:t>Hassett</w:t>
      </w:r>
      <w:proofErr w:type="spellEnd"/>
      <w:r>
        <w:rPr>
          <w:lang w:val="en-CA"/>
        </w:rPr>
        <w:t xml:space="preserve"> A. </w:t>
      </w:r>
      <w:r w:rsidRPr="005E732C">
        <w:rPr>
          <w:lang w:val="en-CA"/>
        </w:rPr>
        <w:t xml:space="preserve">Preliminary validation </w:t>
      </w:r>
      <w:r>
        <w:rPr>
          <w:lang w:val="en-CA"/>
        </w:rPr>
        <w:t>of the Michigan Body Map. Pain 2016</w:t>
      </w:r>
      <w:proofErr w:type="gramStart"/>
      <w:r>
        <w:rPr>
          <w:lang w:val="en-CA"/>
        </w:rPr>
        <w:t>;157</w:t>
      </w:r>
      <w:proofErr w:type="gramEnd"/>
      <w:r>
        <w:rPr>
          <w:lang w:val="en-CA"/>
        </w:rPr>
        <w:t xml:space="preserve"> (6),</w:t>
      </w:r>
      <w:r w:rsidRPr="005E732C">
        <w:rPr>
          <w:lang w:val="en-CA"/>
        </w:rPr>
        <w:t xml:space="preserve"> 1205-1212</w:t>
      </w:r>
    </w:p>
    <w:p w:rsidR="005E732C" w:rsidRDefault="005E732C" w:rsidP="000A6FE8">
      <w:pPr>
        <w:rPr>
          <w:b/>
          <w:lang w:val="en-CA"/>
        </w:rPr>
      </w:pPr>
    </w:p>
    <w:p w:rsidR="003C319A" w:rsidRDefault="003C319A" w:rsidP="000A6FE8">
      <w:proofErr w:type="spellStart"/>
      <w:r>
        <w:t>Cardol</w:t>
      </w:r>
      <w:proofErr w:type="spellEnd"/>
      <w:r>
        <w:t xml:space="preserve"> M, de </w:t>
      </w:r>
      <w:proofErr w:type="spellStart"/>
      <w:r>
        <w:t>Haan</w:t>
      </w:r>
      <w:proofErr w:type="spellEnd"/>
      <w:r>
        <w:t xml:space="preserve"> RJ, van den </w:t>
      </w:r>
      <w:proofErr w:type="spellStart"/>
      <w:r>
        <w:t>Bos</w:t>
      </w:r>
      <w:proofErr w:type="spellEnd"/>
      <w:r>
        <w:t xml:space="preserve"> GA, de Jong BA, de Groot IJ</w:t>
      </w:r>
      <w:r w:rsidR="009B591F">
        <w:t>. The development of a handicap assessment questionnaire: The impact on participation and autonomy</w:t>
      </w:r>
      <w:r>
        <w:t xml:space="preserve"> (IPA).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Rehabil</w:t>
      </w:r>
      <w:proofErr w:type="spellEnd"/>
      <w:r>
        <w:t xml:space="preserve"> 1999; </w:t>
      </w:r>
      <w:r w:rsidR="009B591F">
        <w:t>13(5), 411–419</w:t>
      </w:r>
    </w:p>
    <w:p w:rsidR="005E732C" w:rsidRDefault="005E732C" w:rsidP="000A6FE8">
      <w:pPr>
        <w:rPr>
          <w:b/>
          <w:lang w:val="en-CA"/>
        </w:rPr>
      </w:pPr>
    </w:p>
    <w:p w:rsidR="000A6FE8" w:rsidRPr="003C319A" w:rsidRDefault="003C319A" w:rsidP="000A6FE8">
      <w:pPr>
        <w:rPr>
          <w:b/>
          <w:lang w:val="en-CA"/>
        </w:rPr>
      </w:pPr>
      <w:proofErr w:type="spellStart"/>
      <w:r>
        <w:t>Cella</w:t>
      </w:r>
      <w:proofErr w:type="spellEnd"/>
      <w:r>
        <w:t xml:space="preserve"> D, </w:t>
      </w:r>
      <w:proofErr w:type="spellStart"/>
      <w:r>
        <w:t>Yount</w:t>
      </w:r>
      <w:proofErr w:type="spellEnd"/>
      <w:r>
        <w:t xml:space="preserve"> S, Rothrock N, </w:t>
      </w:r>
      <w:proofErr w:type="spellStart"/>
      <w:r>
        <w:t>Gershon</w:t>
      </w:r>
      <w:proofErr w:type="spellEnd"/>
      <w:r>
        <w:t xml:space="preserve"> R, Cook, K, Reeve B, </w:t>
      </w:r>
      <w:proofErr w:type="spellStart"/>
      <w:r>
        <w:t>Ader</w:t>
      </w:r>
      <w:proofErr w:type="spellEnd"/>
      <w:r>
        <w:t xml:space="preserve"> D, Fries JF</w:t>
      </w:r>
      <w:r w:rsidR="000A6FE8" w:rsidRPr="000A6FE8">
        <w:t>,</w:t>
      </w:r>
      <w:r>
        <w:t xml:space="preserve"> Bruce B, Matthias R</w:t>
      </w:r>
      <w:r w:rsidR="000A6FE8" w:rsidRPr="000A6FE8">
        <w:t xml:space="preserve">, &amp; on behalf of the PROMIS cooperative group. </w:t>
      </w:r>
      <w:r w:rsidR="00897F1F">
        <w:fldChar w:fldCharType="begin"/>
      </w:r>
      <w:r w:rsidR="00897F1F">
        <w:instrText xml:space="preserve"> HYPERLINK "https://web.nhs.net/OWA/redir.aspx?SURL=vC33mW0yWVG7kEhsjTECWT7Aw-0hH0-HDflzmp3l6Un1u3PMOX7TCGgAdAB0AHAAOgAvAC8AdwB3AHcALgBuAGMAYgBpAC4AbgBsAG0ALgBuAGkAaAAuAGcAbwB2AC8AcAB1AGIAbQBlAGQALwAxADcANAA0ADMAMQAxADYA&amp;URL=http%3a%2f%2fwww.ncbi.nlm.nih.gov%2fpubmed%2f17443116" \t "_blank" </w:instrText>
      </w:r>
      <w:r w:rsidR="00897F1F">
        <w:fldChar w:fldCharType="separate"/>
      </w:r>
      <w:r w:rsidR="000A6FE8" w:rsidRPr="000A6FE8">
        <w:rPr>
          <w:rStyle w:val="Hyperlink"/>
          <w:color w:val="auto"/>
          <w:u w:val="none"/>
        </w:rPr>
        <w:t>The Patient Reported Outcomes Measurement Information System (PROMIS): Progress of an NIH Roadmap Cooperative Group during its first two years</w:t>
      </w:r>
      <w:r w:rsidR="00897F1F">
        <w:rPr>
          <w:rStyle w:val="Hyperlink"/>
          <w:color w:val="auto"/>
          <w:u w:val="none"/>
        </w:rPr>
        <w:fldChar w:fldCharType="end"/>
      </w:r>
      <w:r w:rsidR="000A6FE8" w:rsidRPr="000A6FE8">
        <w:t xml:space="preserve">. </w:t>
      </w:r>
      <w:proofErr w:type="gramStart"/>
      <w:r w:rsidR="000A6FE8" w:rsidRPr="00D0398B">
        <w:t>Med Care</w:t>
      </w:r>
      <w:r w:rsidR="00D0398B">
        <w:t xml:space="preserve"> 2007;</w:t>
      </w:r>
      <w:r w:rsidR="000A6FE8" w:rsidRPr="000A6FE8">
        <w:t xml:space="preserve"> 45(5), S3-11.</w:t>
      </w:r>
      <w:proofErr w:type="gramEnd"/>
      <w:r w:rsidR="000A6FE8" w:rsidRPr="000A6FE8">
        <w:t xml:space="preserve"> (PMID: 17443116)</w:t>
      </w:r>
    </w:p>
    <w:p w:rsidR="009B591F" w:rsidRDefault="009B591F" w:rsidP="000A6FE8">
      <w:pPr>
        <w:rPr>
          <w:b/>
          <w:lang w:val="en-CA"/>
        </w:rPr>
      </w:pPr>
    </w:p>
    <w:p w:rsidR="004444B9" w:rsidRPr="004444B9" w:rsidRDefault="00D0398B" w:rsidP="004444B9">
      <w:proofErr w:type="spellStart"/>
      <w:r>
        <w:t>Cleeland</w:t>
      </w:r>
      <w:proofErr w:type="spellEnd"/>
      <w:r>
        <w:t xml:space="preserve">, C. </w:t>
      </w:r>
      <w:r w:rsidR="004444B9" w:rsidRPr="004444B9">
        <w:t>Measurement o</w:t>
      </w:r>
      <w:r>
        <w:t xml:space="preserve">f pain by subjective report. In </w:t>
      </w:r>
      <w:r w:rsidRPr="00D0398B">
        <w:t>Chapman</w:t>
      </w:r>
      <w:r>
        <w:t xml:space="preserve"> C, </w:t>
      </w:r>
      <w:proofErr w:type="spellStart"/>
      <w:r w:rsidRPr="00D0398B">
        <w:t>Loeser</w:t>
      </w:r>
      <w:proofErr w:type="spellEnd"/>
      <w:r>
        <w:t xml:space="preserve"> J</w:t>
      </w:r>
      <w:r w:rsidRPr="00D0398B">
        <w:t>, ed</w:t>
      </w:r>
      <w:r>
        <w:t>itor</w:t>
      </w:r>
      <w:r w:rsidRPr="00D0398B">
        <w:t>s</w:t>
      </w:r>
      <w:r>
        <w:t>.</w:t>
      </w:r>
      <w:r w:rsidRPr="00D0398B">
        <w:t xml:space="preserve"> </w:t>
      </w:r>
      <w:r w:rsidR="004444B9" w:rsidRPr="004444B9">
        <w:t>Issues</w:t>
      </w:r>
    </w:p>
    <w:p w:rsidR="000A6FE8" w:rsidRPr="00D0398B" w:rsidRDefault="004444B9" w:rsidP="004444B9">
      <w:proofErr w:type="gramStart"/>
      <w:r w:rsidRPr="004444B9">
        <w:t>in</w:t>
      </w:r>
      <w:proofErr w:type="gramEnd"/>
      <w:r w:rsidRPr="004444B9">
        <w:t xml:space="preserve"> Pain Management, </w:t>
      </w:r>
      <w:r w:rsidR="00D0398B">
        <w:t xml:space="preserve">New York: Raven. 1989. </w:t>
      </w:r>
      <w:r w:rsidRPr="004444B9">
        <w:t>pp. 391–403</w:t>
      </w:r>
    </w:p>
    <w:p w:rsidR="000A6FE8" w:rsidRDefault="000A6FE8" w:rsidP="000A6FE8">
      <w:pPr>
        <w:rPr>
          <w:lang w:val="en-CA"/>
        </w:rPr>
      </w:pPr>
    </w:p>
    <w:p w:rsidR="000A6FE8" w:rsidRPr="000A6FE8" w:rsidRDefault="00D0398B" w:rsidP="000A6FE8">
      <w:proofErr w:type="spellStart"/>
      <w:r>
        <w:t>Dworkin</w:t>
      </w:r>
      <w:proofErr w:type="spellEnd"/>
      <w:r>
        <w:t xml:space="preserve"> RH, Turk DC</w:t>
      </w:r>
      <w:r w:rsidR="000A6FE8" w:rsidRPr="000A6FE8">
        <w:t xml:space="preserve">, </w:t>
      </w:r>
      <w:proofErr w:type="spellStart"/>
      <w:r w:rsidR="000A6FE8" w:rsidRPr="000A6FE8">
        <w:t>Revicki</w:t>
      </w:r>
      <w:proofErr w:type="spellEnd"/>
      <w:r>
        <w:t xml:space="preserve"> DA, Harding G, Coyne KS, Peirce-</w:t>
      </w:r>
      <w:proofErr w:type="spellStart"/>
      <w:r>
        <w:t>Sandner</w:t>
      </w:r>
      <w:proofErr w:type="spellEnd"/>
      <w:r>
        <w:t xml:space="preserve"> S, Bhagwat D, Everton D, Burke LB</w:t>
      </w:r>
      <w:r w:rsidR="000A6FE8" w:rsidRPr="000A6FE8">
        <w:t>, Cowan</w:t>
      </w:r>
      <w:r>
        <w:t xml:space="preserve"> P, Farrar JT, Hertz S, Max MB, Rappaport BA, </w:t>
      </w:r>
      <w:proofErr w:type="spellStart"/>
      <w:r>
        <w:t>Melzack</w:t>
      </w:r>
      <w:proofErr w:type="spellEnd"/>
      <w:r w:rsidR="000A6FE8" w:rsidRPr="000A6FE8">
        <w:t xml:space="preserve"> R. Development and initial validation of an expanded and revised version of the Short-form McGill Pain </w:t>
      </w:r>
      <w:r>
        <w:t>Questionnaire (SF-MPQ-2). Pain 2009</w:t>
      </w:r>
      <w:proofErr w:type="gramStart"/>
      <w:r>
        <w:t>;</w:t>
      </w:r>
      <w:r w:rsidR="000A6FE8" w:rsidRPr="000A6FE8">
        <w:t>144</w:t>
      </w:r>
      <w:proofErr w:type="gramEnd"/>
      <w:r w:rsidR="000A6FE8" w:rsidRPr="000A6FE8">
        <w:t>(1-2), 35-42</w:t>
      </w:r>
    </w:p>
    <w:p w:rsidR="000A6FE8" w:rsidRDefault="000A6FE8" w:rsidP="000A6FE8">
      <w:pPr>
        <w:rPr>
          <w:lang w:val="en-CA"/>
        </w:rPr>
      </w:pPr>
    </w:p>
    <w:p w:rsidR="004444B9" w:rsidRPr="004444B9" w:rsidRDefault="00D0398B" w:rsidP="004444B9">
      <w:proofErr w:type="spellStart"/>
      <w:r>
        <w:t>Euroqol</w:t>
      </w:r>
      <w:proofErr w:type="spellEnd"/>
      <w:r>
        <w:t xml:space="preserve"> Group. </w:t>
      </w:r>
      <w:proofErr w:type="spellStart"/>
      <w:r w:rsidR="004444B9" w:rsidRPr="004444B9">
        <w:t>EuroQol</w:t>
      </w:r>
      <w:proofErr w:type="spellEnd"/>
      <w:r w:rsidR="004444B9" w:rsidRPr="004444B9">
        <w:t xml:space="preserve"> – A new facility for the measurement</w:t>
      </w:r>
    </w:p>
    <w:p w:rsidR="000A6FE8" w:rsidRDefault="004444B9" w:rsidP="004444B9">
      <w:pPr>
        <w:rPr>
          <w:lang w:val="en-CA"/>
        </w:rPr>
      </w:pPr>
      <w:proofErr w:type="gramStart"/>
      <w:r w:rsidRPr="004444B9">
        <w:t>of</w:t>
      </w:r>
      <w:proofErr w:type="gramEnd"/>
      <w:r w:rsidRPr="004444B9">
        <w:t xml:space="preserve"> health-related quality of life. Health Policy </w:t>
      </w:r>
      <w:r w:rsidR="00D0398B">
        <w:t>1990</w:t>
      </w:r>
      <w:proofErr w:type="gramStart"/>
      <w:r w:rsidR="00D0398B">
        <w:t>;</w:t>
      </w:r>
      <w:r w:rsidRPr="004444B9">
        <w:t>16</w:t>
      </w:r>
      <w:proofErr w:type="gramEnd"/>
      <w:r w:rsidRPr="004444B9">
        <w:t>: 199–208</w:t>
      </w:r>
    </w:p>
    <w:p w:rsidR="000A6FE8" w:rsidRDefault="000A6FE8" w:rsidP="000A6FE8">
      <w:pPr>
        <w:rPr>
          <w:lang w:val="en-CA"/>
        </w:rPr>
      </w:pPr>
    </w:p>
    <w:p w:rsidR="000A6FE8" w:rsidRPr="00D0398B" w:rsidRDefault="00D0398B" w:rsidP="000A6FE8">
      <w:proofErr w:type="spellStart"/>
      <w:r>
        <w:rPr>
          <w:lang w:val="en-CA"/>
        </w:rPr>
        <w:t>Freynhagen</w:t>
      </w:r>
      <w:proofErr w:type="spellEnd"/>
      <w:r>
        <w:rPr>
          <w:lang w:val="en-CA"/>
        </w:rPr>
        <w:t xml:space="preserve"> R, Baron R, </w:t>
      </w:r>
      <w:proofErr w:type="spellStart"/>
      <w:r>
        <w:rPr>
          <w:lang w:val="en-CA"/>
        </w:rPr>
        <w:t>Gockel</w:t>
      </w:r>
      <w:proofErr w:type="spellEnd"/>
      <w:r>
        <w:rPr>
          <w:lang w:val="en-CA"/>
        </w:rPr>
        <w:t xml:space="preserve"> U, </w:t>
      </w:r>
      <w:proofErr w:type="spellStart"/>
      <w:r>
        <w:rPr>
          <w:lang w:val="en-CA"/>
        </w:rPr>
        <w:t>Tölle</w:t>
      </w:r>
      <w:proofErr w:type="spellEnd"/>
      <w:r>
        <w:rPr>
          <w:lang w:val="en-CA"/>
        </w:rPr>
        <w:t xml:space="preserve"> T</w:t>
      </w:r>
      <w:r w:rsidR="000A6FE8" w:rsidRPr="000A6FE8">
        <w:rPr>
          <w:lang w:val="en-CA"/>
        </w:rPr>
        <w:t xml:space="preserve">R.  </w:t>
      </w:r>
      <w:proofErr w:type="spellStart"/>
      <w:proofErr w:type="gramStart"/>
      <w:r w:rsidR="000A6FE8" w:rsidRPr="000A6FE8">
        <w:rPr>
          <w:lang w:val="en-CA"/>
        </w:rPr>
        <w:t>painDETECT</w:t>
      </w:r>
      <w:proofErr w:type="spellEnd"/>
      <w:proofErr w:type="gramEnd"/>
      <w:r w:rsidR="000A6FE8" w:rsidRPr="000A6FE8">
        <w:rPr>
          <w:lang w:val="en-CA"/>
        </w:rPr>
        <w:t xml:space="preserve">: a new screening questionnaire to identify neuropathic components in patients with back pain. </w:t>
      </w:r>
      <w:proofErr w:type="spellStart"/>
      <w:proofErr w:type="gramStart"/>
      <w:r w:rsidR="009658B6" w:rsidRPr="009658B6">
        <w:rPr>
          <w:lang w:val="en-CA"/>
        </w:rPr>
        <w:t>Curr</w:t>
      </w:r>
      <w:proofErr w:type="spellEnd"/>
      <w:r w:rsidR="009658B6" w:rsidRPr="009658B6">
        <w:rPr>
          <w:lang w:val="en-CA"/>
        </w:rPr>
        <w:t xml:space="preserve"> Med Res </w:t>
      </w:r>
      <w:proofErr w:type="spellStart"/>
      <w:r w:rsidR="009658B6" w:rsidRPr="009658B6">
        <w:rPr>
          <w:lang w:val="en-CA"/>
        </w:rPr>
        <w:t>Opin</w:t>
      </w:r>
      <w:proofErr w:type="spellEnd"/>
      <w:r w:rsidR="000A6FE8" w:rsidRPr="00D0398B">
        <w:rPr>
          <w:iCs/>
          <w:lang w:val="en-CA"/>
        </w:rPr>
        <w:t xml:space="preserve"> </w:t>
      </w:r>
      <w:r w:rsidR="000A6FE8" w:rsidRPr="00D0398B">
        <w:rPr>
          <w:lang w:val="en-CA"/>
        </w:rPr>
        <w:t xml:space="preserve">2006; </w:t>
      </w:r>
      <w:r w:rsidR="000A6FE8" w:rsidRPr="00D0398B">
        <w:rPr>
          <w:iCs/>
          <w:lang w:val="en-CA"/>
        </w:rPr>
        <w:t>22</w:t>
      </w:r>
      <w:r w:rsidR="000A6FE8" w:rsidRPr="00D0398B">
        <w:rPr>
          <w:lang w:val="en-CA"/>
        </w:rPr>
        <w:t>(10), 1911–1920.</w:t>
      </w:r>
      <w:proofErr w:type="gramEnd"/>
      <w:r w:rsidR="000A6FE8" w:rsidRPr="00D0398B">
        <w:rPr>
          <w:lang w:val="en-CA"/>
        </w:rPr>
        <w:t xml:space="preserve"> </w:t>
      </w:r>
    </w:p>
    <w:p w:rsidR="00C4696D" w:rsidRDefault="00C4696D" w:rsidP="000A6FE8">
      <w:pPr>
        <w:rPr>
          <w:b/>
        </w:rPr>
      </w:pPr>
    </w:p>
    <w:p w:rsidR="000A6FE8" w:rsidRDefault="000A6FE8" w:rsidP="000A6FE8">
      <w:r w:rsidRPr="000A6FE8">
        <w:t xml:space="preserve">Harden RN, Bruehl S, Perez RSGM, Birklein F, </w:t>
      </w:r>
      <w:proofErr w:type="spellStart"/>
      <w:r w:rsidRPr="000A6FE8">
        <w:t>Marinus</w:t>
      </w:r>
      <w:proofErr w:type="spellEnd"/>
      <w:r w:rsidRPr="000A6FE8">
        <w:t xml:space="preserve"> J, </w:t>
      </w:r>
      <w:proofErr w:type="spellStart"/>
      <w:r w:rsidRPr="000A6FE8">
        <w:t>Maihofner</w:t>
      </w:r>
      <w:proofErr w:type="spellEnd"/>
      <w:r w:rsidRPr="000A6FE8">
        <w:t xml:space="preserve"> C, </w:t>
      </w:r>
      <w:proofErr w:type="spellStart"/>
      <w:r w:rsidRPr="000A6FE8">
        <w:t>Lubenow</w:t>
      </w:r>
      <w:proofErr w:type="spellEnd"/>
      <w:r w:rsidRPr="000A6FE8">
        <w:t xml:space="preserve"> T, </w:t>
      </w:r>
      <w:proofErr w:type="spellStart"/>
      <w:r w:rsidRPr="000A6FE8">
        <w:t>Buvanendran</w:t>
      </w:r>
      <w:proofErr w:type="spellEnd"/>
      <w:r w:rsidRPr="000A6FE8">
        <w:t xml:space="preserve"> A, Mackey S, </w:t>
      </w:r>
      <w:proofErr w:type="spellStart"/>
      <w:r w:rsidRPr="000A6FE8">
        <w:t>Graciosa</w:t>
      </w:r>
      <w:proofErr w:type="spellEnd"/>
      <w:r w:rsidRPr="000A6FE8">
        <w:t xml:space="preserve"> J, </w:t>
      </w:r>
      <w:proofErr w:type="spellStart"/>
      <w:r w:rsidRPr="000A6FE8">
        <w:t>Mogilevski</w:t>
      </w:r>
      <w:proofErr w:type="spellEnd"/>
      <w:r w:rsidRPr="000A6FE8">
        <w:t xml:space="preserve"> M, </w:t>
      </w:r>
      <w:proofErr w:type="spellStart"/>
      <w:r w:rsidRPr="000A6FE8">
        <w:t>Rams</w:t>
      </w:r>
      <w:r w:rsidR="00D0398B">
        <w:t>den</w:t>
      </w:r>
      <w:proofErr w:type="spellEnd"/>
      <w:r w:rsidR="00D0398B">
        <w:t xml:space="preserve"> C, Schlereth T, </w:t>
      </w:r>
      <w:proofErr w:type="spellStart"/>
      <w:r w:rsidR="00D0398B">
        <w:t>Chont</w:t>
      </w:r>
      <w:proofErr w:type="spellEnd"/>
      <w:r w:rsidR="00D0398B">
        <w:t xml:space="preserve"> M, Vatine JJ. </w:t>
      </w:r>
      <w:proofErr w:type="gramStart"/>
      <w:r w:rsidRPr="000A6FE8">
        <w:t>Development of a severity score for CRPS.</w:t>
      </w:r>
      <w:proofErr w:type="gramEnd"/>
      <w:r w:rsidRPr="000A6FE8">
        <w:t xml:space="preserve"> Pain </w:t>
      </w:r>
      <w:r w:rsidR="00B36BC7">
        <w:t>2010</w:t>
      </w:r>
      <w:r w:rsidR="00D0398B">
        <w:t xml:space="preserve">; </w:t>
      </w:r>
      <w:r w:rsidRPr="000A6FE8">
        <w:t>151(3): 870-876</w:t>
      </w:r>
    </w:p>
    <w:p w:rsidR="004444B9" w:rsidRDefault="004444B9" w:rsidP="000A6FE8"/>
    <w:p w:rsidR="002C3877" w:rsidRPr="002C3877" w:rsidRDefault="00D0398B" w:rsidP="002C3877">
      <w:proofErr w:type="spellStart"/>
      <w:r>
        <w:t>Hudak</w:t>
      </w:r>
      <w:proofErr w:type="spellEnd"/>
      <w:r>
        <w:t xml:space="preserve"> P, </w:t>
      </w:r>
      <w:proofErr w:type="spellStart"/>
      <w:r>
        <w:t>Amadio</w:t>
      </w:r>
      <w:proofErr w:type="spellEnd"/>
      <w:r>
        <w:t xml:space="preserve"> P, Bombardier</w:t>
      </w:r>
      <w:r w:rsidR="002C3877" w:rsidRPr="002C3877">
        <w:t xml:space="preserve"> C. The Upper Extremity</w:t>
      </w:r>
      <w:r>
        <w:t xml:space="preserve"> </w:t>
      </w:r>
      <w:r w:rsidR="002C3877" w:rsidRPr="002C3877">
        <w:t>Collaborative Group. Development of an upper extremity outcome</w:t>
      </w:r>
      <w:r>
        <w:t xml:space="preserve"> </w:t>
      </w:r>
      <w:r w:rsidR="002C3877" w:rsidRPr="002C3877">
        <w:t>measure: The DASH (Disabilities of the Arm, Shoulder, and Hand)</w:t>
      </w:r>
    </w:p>
    <w:p w:rsidR="002C3877" w:rsidRDefault="009658B6" w:rsidP="000A6FE8">
      <w:r>
        <w:t>[</w:t>
      </w:r>
      <w:proofErr w:type="gramStart"/>
      <w:r>
        <w:t>corrected</w:t>
      </w:r>
      <w:proofErr w:type="gramEnd"/>
      <w:r>
        <w:t xml:space="preserve">]. </w:t>
      </w:r>
      <w:r w:rsidRPr="009658B6">
        <w:t xml:space="preserve">Am J </w:t>
      </w:r>
      <w:proofErr w:type="spellStart"/>
      <w:r w:rsidRPr="009658B6">
        <w:t>Ind</w:t>
      </w:r>
      <w:proofErr w:type="spellEnd"/>
      <w:r w:rsidRPr="009658B6">
        <w:t xml:space="preserve"> Med</w:t>
      </w:r>
      <w:r w:rsidR="00D0398B">
        <w:t>1996;</w:t>
      </w:r>
      <w:r w:rsidR="002C3877" w:rsidRPr="002C3877">
        <w:t xml:space="preserve"> 29, 602–608.</w:t>
      </w:r>
    </w:p>
    <w:p w:rsidR="00C3050F" w:rsidRDefault="00C3050F" w:rsidP="000A6FE8"/>
    <w:p w:rsidR="00C3050F" w:rsidRDefault="00C3050F" w:rsidP="000A6FE8">
      <w:proofErr w:type="spellStart"/>
      <w:r w:rsidRPr="00C3050F">
        <w:t>Kraaimaat</w:t>
      </w:r>
      <w:proofErr w:type="spellEnd"/>
      <w:r w:rsidRPr="00C3050F">
        <w:t xml:space="preserve"> FW, Evers AW. Pain-coping strategies in chronic pain patients: psychometric characteristics of the pain-coping inventory (PCI). </w:t>
      </w:r>
      <w:proofErr w:type="spellStart"/>
      <w:r w:rsidRPr="00C3050F">
        <w:t>Int</w:t>
      </w:r>
      <w:proofErr w:type="spellEnd"/>
      <w:r w:rsidRPr="00C3050F">
        <w:t xml:space="preserve"> J </w:t>
      </w:r>
      <w:proofErr w:type="spellStart"/>
      <w:r w:rsidRPr="00C3050F">
        <w:t>Behav</w:t>
      </w:r>
      <w:proofErr w:type="spellEnd"/>
      <w:r w:rsidRPr="00C3050F">
        <w:t xml:space="preserve"> Med. 2003</w:t>
      </w:r>
      <w:proofErr w:type="gramStart"/>
      <w:r w:rsidRPr="00C3050F">
        <w:t>;10</w:t>
      </w:r>
      <w:proofErr w:type="gramEnd"/>
      <w:r w:rsidRPr="00C3050F">
        <w:t>(4):343-63.</w:t>
      </w:r>
    </w:p>
    <w:p w:rsidR="005E732C" w:rsidRDefault="005E732C" w:rsidP="002C3877"/>
    <w:p w:rsidR="005E732C" w:rsidRPr="002C3877" w:rsidRDefault="005E732C" w:rsidP="005E732C">
      <w:proofErr w:type="spellStart"/>
      <w:r>
        <w:t>Lalloo</w:t>
      </w:r>
      <w:proofErr w:type="spellEnd"/>
      <w:r>
        <w:t xml:space="preserve"> C, </w:t>
      </w:r>
      <w:proofErr w:type="spellStart"/>
      <w:r>
        <w:t>Kumbhare</w:t>
      </w:r>
      <w:proofErr w:type="spellEnd"/>
      <w:r>
        <w:t xml:space="preserve"> D, Stinson JN, Henry JL. Pain-</w:t>
      </w:r>
      <w:proofErr w:type="spellStart"/>
      <w:r>
        <w:t>QuILT</w:t>
      </w:r>
      <w:proofErr w:type="spellEnd"/>
      <w:r>
        <w:t>: Clinical Feasibility of a Web-Based Visual Pain Assessment Tool in Adults With Chronic Pain. J Med Internet Res 2014</w:t>
      </w:r>
      <w:proofErr w:type="gramStart"/>
      <w:r>
        <w:t>;16</w:t>
      </w:r>
      <w:proofErr w:type="gramEnd"/>
      <w:r>
        <w:t>(5):e127</w:t>
      </w:r>
    </w:p>
    <w:p w:rsidR="002C3877" w:rsidRDefault="002C3877" w:rsidP="004444B9"/>
    <w:p w:rsidR="002C3877" w:rsidRDefault="00D0398B" w:rsidP="002C3877">
      <w:r>
        <w:t>Miller R, Kori S, Todd</w:t>
      </w:r>
      <w:r w:rsidR="002C3877" w:rsidRPr="002C3877">
        <w:t xml:space="preserve"> D. The Tampa Scale: A measure of</w:t>
      </w:r>
      <w:r>
        <w:t xml:space="preserve"> </w:t>
      </w:r>
      <w:proofErr w:type="spellStart"/>
      <w:r w:rsidR="002C3877" w:rsidRPr="002C3877">
        <w:t>kinisophobia</w:t>
      </w:r>
      <w:proofErr w:type="spellEnd"/>
      <w:r w:rsidR="002C3877" w:rsidRPr="002C3877">
        <w:t xml:space="preserve">. </w:t>
      </w:r>
      <w:proofErr w:type="spellStart"/>
      <w:r w:rsidR="002C3877" w:rsidRPr="002C3877">
        <w:t>Clin</w:t>
      </w:r>
      <w:proofErr w:type="spellEnd"/>
      <w:r w:rsidR="002C3877" w:rsidRPr="002C3877">
        <w:t xml:space="preserve"> J Pain </w:t>
      </w:r>
      <w:r>
        <w:t xml:space="preserve">1991; </w:t>
      </w:r>
      <w:r w:rsidR="002C3877" w:rsidRPr="002C3877">
        <w:t>7, 51–52.</w:t>
      </w:r>
    </w:p>
    <w:p w:rsidR="005E732C" w:rsidRDefault="005E732C" w:rsidP="002C3877"/>
    <w:p w:rsidR="005E732C" w:rsidRPr="005E732C" w:rsidRDefault="005E732C" w:rsidP="005E732C">
      <w:r w:rsidRPr="005E732C">
        <w:t>Nicholas MK. The pain self-efficacy questionnaire: Taking pain into account. </w:t>
      </w:r>
      <w:proofErr w:type="spellStart"/>
      <w:r w:rsidRPr="005E732C">
        <w:rPr>
          <w:iCs/>
        </w:rPr>
        <w:t>Eur</w:t>
      </w:r>
      <w:proofErr w:type="spellEnd"/>
      <w:r w:rsidRPr="005E732C">
        <w:rPr>
          <w:iCs/>
        </w:rPr>
        <w:t xml:space="preserve"> J Pain. 2007</w:t>
      </w:r>
      <w:proofErr w:type="gramStart"/>
      <w:r w:rsidRPr="005E732C">
        <w:rPr>
          <w:iCs/>
        </w:rPr>
        <w:t>;11</w:t>
      </w:r>
      <w:proofErr w:type="gramEnd"/>
      <w:r w:rsidRPr="005E732C">
        <w:t>(2), 153-163.</w:t>
      </w:r>
    </w:p>
    <w:p w:rsidR="002C3877" w:rsidRDefault="002C3877" w:rsidP="004444B9"/>
    <w:p w:rsidR="004444B9" w:rsidRPr="000A6FE8" w:rsidRDefault="00D0398B" w:rsidP="000A6FE8">
      <w:proofErr w:type="spellStart"/>
      <w:r>
        <w:t>Oerlemans</w:t>
      </w:r>
      <w:proofErr w:type="spellEnd"/>
      <w:r>
        <w:t xml:space="preserve"> H, Cup E, de Boo T, </w:t>
      </w:r>
      <w:proofErr w:type="spellStart"/>
      <w:r>
        <w:t>Goris</w:t>
      </w:r>
      <w:proofErr w:type="spellEnd"/>
      <w:r>
        <w:t xml:space="preserve"> R, </w:t>
      </w:r>
      <w:proofErr w:type="spellStart"/>
      <w:r>
        <w:t>Oostendorp</w:t>
      </w:r>
      <w:proofErr w:type="spellEnd"/>
      <w:r>
        <w:t xml:space="preserve"> R. </w:t>
      </w:r>
      <w:r w:rsidR="004444B9" w:rsidRPr="004444B9">
        <w:t xml:space="preserve">The </w:t>
      </w:r>
      <w:proofErr w:type="spellStart"/>
      <w:r w:rsidR="004444B9" w:rsidRPr="004444B9">
        <w:t>Radboud</w:t>
      </w:r>
      <w:proofErr w:type="spellEnd"/>
      <w:r w:rsidR="004444B9" w:rsidRPr="004444B9">
        <w:t xml:space="preserve"> skills questionnaire: Construction and reliability in</w:t>
      </w:r>
      <w:r>
        <w:t xml:space="preserve"> </w:t>
      </w:r>
      <w:r w:rsidR="004444B9" w:rsidRPr="004444B9">
        <w:t>patients with reflex sympathetic dystrophy of one upper extremity.</w:t>
      </w:r>
      <w:r>
        <w:t xml:space="preserve"> </w:t>
      </w:r>
      <w:proofErr w:type="spellStart"/>
      <w:r w:rsidR="004444B9" w:rsidRPr="004444B9">
        <w:t>Disabil</w:t>
      </w:r>
      <w:proofErr w:type="spellEnd"/>
      <w:r w:rsidR="009658B6">
        <w:t xml:space="preserve"> </w:t>
      </w:r>
      <w:proofErr w:type="spellStart"/>
      <w:r w:rsidR="004444B9" w:rsidRPr="004444B9">
        <w:t>Rehabil</w:t>
      </w:r>
      <w:proofErr w:type="spellEnd"/>
      <w:r w:rsidR="004444B9" w:rsidRPr="004444B9">
        <w:t xml:space="preserve"> </w:t>
      </w:r>
      <w:r>
        <w:t xml:space="preserve">2000; </w:t>
      </w:r>
      <w:r w:rsidR="004444B9" w:rsidRPr="004444B9">
        <w:t>22, 233–245.</w:t>
      </w:r>
    </w:p>
    <w:p w:rsidR="004444B9" w:rsidRDefault="004444B9" w:rsidP="004444B9">
      <w:pPr>
        <w:rPr>
          <w:b/>
        </w:rPr>
      </w:pPr>
    </w:p>
    <w:p w:rsidR="000A6FE8" w:rsidRDefault="00E80B99" w:rsidP="004444B9">
      <w:r>
        <w:t>Pollard CA.</w:t>
      </w:r>
      <w:r w:rsidR="004444B9" w:rsidRPr="004444B9">
        <w:t xml:space="preserve"> Preliminary validity study of the Pain Disability</w:t>
      </w:r>
      <w:r>
        <w:t xml:space="preserve"> </w:t>
      </w:r>
      <w:r w:rsidR="004444B9" w:rsidRPr="004444B9">
        <w:t>Index. Percept</w:t>
      </w:r>
      <w:r>
        <w:t>ual and</w:t>
      </w:r>
      <w:r w:rsidR="004444B9" w:rsidRPr="004444B9">
        <w:t xml:space="preserve"> Mot</w:t>
      </w:r>
      <w:r>
        <w:t>or</w:t>
      </w:r>
      <w:r w:rsidR="004444B9" w:rsidRPr="004444B9">
        <w:t xml:space="preserve"> Skills </w:t>
      </w:r>
      <w:r>
        <w:t>1984</w:t>
      </w:r>
      <w:proofErr w:type="gramStart"/>
      <w:r>
        <w:t>;</w:t>
      </w:r>
      <w:proofErr w:type="gramEnd"/>
      <w:r>
        <w:t xml:space="preserve"> </w:t>
      </w:r>
      <w:r w:rsidR="004444B9" w:rsidRPr="004444B9">
        <w:t>59, 974–974.</w:t>
      </w:r>
    </w:p>
    <w:p w:rsidR="009B591F" w:rsidRDefault="009B591F" w:rsidP="004444B9"/>
    <w:p w:rsidR="009B591F" w:rsidRDefault="009B591F" w:rsidP="009B591F">
      <w:proofErr w:type="spellStart"/>
      <w:r w:rsidRPr="009B591F">
        <w:lastRenderedPageBreak/>
        <w:t>Radloff</w:t>
      </w:r>
      <w:proofErr w:type="spellEnd"/>
      <w:r w:rsidRPr="009B591F">
        <w:t xml:space="preserve"> L. The CES-D scale: a self report depression scale for research in the</w:t>
      </w:r>
      <w:r w:rsidR="00E80B99">
        <w:t xml:space="preserve"> general </w:t>
      </w:r>
      <w:r w:rsidRPr="009B591F">
        <w:t>population. Appl</w:t>
      </w:r>
      <w:r w:rsidR="00E80B99">
        <w:t>ied</w:t>
      </w:r>
      <w:r w:rsidRPr="009B591F">
        <w:t xml:space="preserve"> Psychol</w:t>
      </w:r>
      <w:r w:rsidR="00E80B99">
        <w:t>ogical</w:t>
      </w:r>
      <w:r w:rsidRPr="009B591F">
        <w:t xml:space="preserve"> Meas</w:t>
      </w:r>
      <w:r w:rsidR="00E80B99">
        <w:t>urement</w:t>
      </w:r>
      <w:r w:rsidRPr="009B591F">
        <w:t xml:space="preserve"> 1977</w:t>
      </w:r>
      <w:proofErr w:type="gramStart"/>
      <w:r w:rsidRPr="009B591F">
        <w:t>;1:385</w:t>
      </w:r>
      <w:proofErr w:type="gramEnd"/>
      <w:r w:rsidRPr="009B591F">
        <w:t>–401.</w:t>
      </w:r>
    </w:p>
    <w:p w:rsidR="004444B9" w:rsidRDefault="004444B9" w:rsidP="004444B9"/>
    <w:p w:rsidR="004444B9" w:rsidRPr="004444B9" w:rsidRDefault="00E80B99" w:rsidP="004444B9">
      <w:proofErr w:type="spellStart"/>
      <w:r>
        <w:t>Roorda</w:t>
      </w:r>
      <w:proofErr w:type="spellEnd"/>
      <w:r>
        <w:t xml:space="preserve"> L, </w:t>
      </w:r>
      <w:proofErr w:type="spellStart"/>
      <w:r>
        <w:t>Roebroeck</w:t>
      </w:r>
      <w:proofErr w:type="spellEnd"/>
      <w:r>
        <w:t xml:space="preserve"> M, Van Tilburg T, </w:t>
      </w:r>
      <w:proofErr w:type="spellStart"/>
      <w:r>
        <w:t>Molenaar</w:t>
      </w:r>
      <w:proofErr w:type="spellEnd"/>
      <w:r>
        <w:t xml:space="preserve"> I, </w:t>
      </w:r>
      <w:proofErr w:type="spellStart"/>
      <w:r>
        <w:t>Lankhorst</w:t>
      </w:r>
      <w:proofErr w:type="spellEnd"/>
      <w:r>
        <w:t xml:space="preserve"> G</w:t>
      </w:r>
      <w:r w:rsidR="004444B9" w:rsidRPr="004444B9">
        <w:t>,</w:t>
      </w:r>
      <w:r>
        <w:t xml:space="preserve"> </w:t>
      </w:r>
      <w:proofErr w:type="spellStart"/>
      <w:r>
        <w:t>Bouter</w:t>
      </w:r>
      <w:proofErr w:type="spellEnd"/>
      <w:r>
        <w:t xml:space="preserve"> L, </w:t>
      </w:r>
      <w:proofErr w:type="spellStart"/>
      <w:r>
        <w:t>Boonstra</w:t>
      </w:r>
      <w:proofErr w:type="spellEnd"/>
      <w:r>
        <w:t xml:space="preserve"> A, De </w:t>
      </w:r>
      <w:proofErr w:type="spellStart"/>
      <w:r>
        <w:t>Laat</w:t>
      </w:r>
      <w:proofErr w:type="spellEnd"/>
      <w:r w:rsidR="004444B9" w:rsidRPr="004444B9">
        <w:t xml:space="preserve"> </w:t>
      </w:r>
      <w:r>
        <w:t xml:space="preserve">F, Caron J, Burger B. </w:t>
      </w:r>
      <w:r w:rsidR="004444B9" w:rsidRPr="004444B9">
        <w:t>Measuring activity limitations in walking: Development of a</w:t>
      </w:r>
    </w:p>
    <w:p w:rsidR="004444B9" w:rsidRDefault="004444B9" w:rsidP="004444B9">
      <w:proofErr w:type="gramStart"/>
      <w:r w:rsidRPr="004444B9">
        <w:t>hierarchical</w:t>
      </w:r>
      <w:proofErr w:type="gramEnd"/>
      <w:r w:rsidRPr="004444B9">
        <w:t xml:space="preserve"> scale for patients with lower-extremity disorders who</w:t>
      </w:r>
      <w:r w:rsidR="00E80B99">
        <w:t xml:space="preserve"> </w:t>
      </w:r>
      <w:r w:rsidRPr="004444B9">
        <w:t xml:space="preserve">live at home. Arch </w:t>
      </w:r>
      <w:proofErr w:type="spellStart"/>
      <w:r w:rsidRPr="004444B9">
        <w:t>Phys</w:t>
      </w:r>
      <w:proofErr w:type="spellEnd"/>
      <w:r w:rsidRPr="004444B9">
        <w:t xml:space="preserve"> </w:t>
      </w:r>
      <w:r w:rsidR="00E80B99" w:rsidRPr="004444B9">
        <w:t>Med</w:t>
      </w:r>
      <w:r w:rsidR="009658B6">
        <w:t xml:space="preserve"> </w:t>
      </w:r>
      <w:proofErr w:type="spellStart"/>
      <w:r w:rsidRPr="004444B9">
        <w:t>Rehabil</w:t>
      </w:r>
      <w:proofErr w:type="spellEnd"/>
      <w:r w:rsidRPr="004444B9">
        <w:t xml:space="preserve"> </w:t>
      </w:r>
      <w:r w:rsidR="00E80B99">
        <w:t xml:space="preserve">2005; </w:t>
      </w:r>
      <w:r w:rsidRPr="004444B9">
        <w:t>86, 2277–2283.</w:t>
      </w:r>
    </w:p>
    <w:p w:rsidR="002C3877" w:rsidRDefault="002C3877" w:rsidP="004444B9"/>
    <w:p w:rsidR="002C3877" w:rsidRPr="004F5191" w:rsidRDefault="00217897" w:rsidP="004444B9">
      <w:proofErr w:type="spellStart"/>
      <w:r w:rsidRPr="004F5191">
        <w:t>Spielberger</w:t>
      </w:r>
      <w:proofErr w:type="spellEnd"/>
      <w:r w:rsidRPr="004F5191">
        <w:t xml:space="preserve"> CD, Gorsuch R</w:t>
      </w:r>
      <w:r w:rsidR="005C7D46" w:rsidRPr="004F5191">
        <w:t>L</w:t>
      </w:r>
      <w:r w:rsidRPr="004F5191">
        <w:t xml:space="preserve">, </w:t>
      </w:r>
      <w:proofErr w:type="spellStart"/>
      <w:r w:rsidRPr="004F5191">
        <w:t>Lushene</w:t>
      </w:r>
      <w:proofErr w:type="spellEnd"/>
      <w:r w:rsidRPr="004F5191">
        <w:t xml:space="preserve"> R, </w:t>
      </w:r>
      <w:proofErr w:type="spellStart"/>
      <w:r w:rsidRPr="004F5191">
        <w:t>Vagg</w:t>
      </w:r>
      <w:proofErr w:type="spellEnd"/>
      <w:r w:rsidRPr="004F5191">
        <w:t xml:space="preserve"> PR, Jacobs G</w:t>
      </w:r>
      <w:r w:rsidR="005C7D46" w:rsidRPr="004F5191">
        <w:t>A. (1983). </w:t>
      </w:r>
      <w:proofErr w:type="gramStart"/>
      <w:r w:rsidR="005C7D46" w:rsidRPr="004F5191">
        <w:rPr>
          <w:iCs/>
        </w:rPr>
        <w:t>Manual for the State-Trait Anxiety Inventory</w:t>
      </w:r>
      <w:r w:rsidR="005C7D46" w:rsidRPr="004F5191">
        <w:t>.</w:t>
      </w:r>
      <w:proofErr w:type="gramEnd"/>
      <w:r w:rsidR="005C7D46" w:rsidRPr="004F5191">
        <w:t xml:space="preserve"> Palo Alto, CA: Consulting Psychologists Press</w:t>
      </w:r>
    </w:p>
    <w:p w:rsidR="000361EC" w:rsidRDefault="000361EC" w:rsidP="004444B9"/>
    <w:p w:rsidR="000361EC" w:rsidRDefault="000361EC" w:rsidP="004444B9">
      <w:proofErr w:type="gramStart"/>
      <w:r w:rsidRPr="000361EC">
        <w:t xml:space="preserve">Spitzer RL, </w:t>
      </w:r>
      <w:proofErr w:type="spellStart"/>
      <w:r w:rsidRPr="000361EC">
        <w:t>Kroenke</w:t>
      </w:r>
      <w:proofErr w:type="spellEnd"/>
      <w:r w:rsidRPr="000361EC">
        <w:t xml:space="preserve"> K, Williams JBW.</w:t>
      </w:r>
      <w:proofErr w:type="gramEnd"/>
      <w:r w:rsidRPr="000361EC">
        <w:t xml:space="preserve"> Patient He</w:t>
      </w:r>
      <w:r>
        <w:t xml:space="preserve">alth </w:t>
      </w:r>
      <w:r w:rsidR="00217897">
        <w:t xml:space="preserve">Questionnaire Study Group. </w:t>
      </w:r>
      <w:r w:rsidRPr="000361EC">
        <w:t xml:space="preserve">Validity and utility of a self-report version of PRIME-MD: the PHQ Primary Care Study. JAMA.  </w:t>
      </w:r>
      <w:proofErr w:type="gramStart"/>
      <w:r w:rsidR="00217897">
        <w:t xml:space="preserve">1999; </w:t>
      </w:r>
      <w:r w:rsidRPr="000361EC">
        <w:t>282:1737–44.</w:t>
      </w:r>
      <w:proofErr w:type="gramEnd"/>
      <w:r w:rsidRPr="000361EC">
        <w:t> </w:t>
      </w:r>
    </w:p>
    <w:p w:rsidR="005C7D46" w:rsidRDefault="005C7D46" w:rsidP="004444B9"/>
    <w:p w:rsidR="002C3877" w:rsidRPr="002C3877" w:rsidRDefault="00217897" w:rsidP="002C3877">
      <w:r>
        <w:t xml:space="preserve">Sullivan ML, Bishop SR, </w:t>
      </w:r>
      <w:proofErr w:type="spellStart"/>
      <w:r>
        <w:t>Pivik</w:t>
      </w:r>
      <w:proofErr w:type="spellEnd"/>
      <w:r>
        <w:t xml:space="preserve"> J.</w:t>
      </w:r>
      <w:r w:rsidR="002C3877" w:rsidRPr="002C3877">
        <w:t xml:space="preserve"> The Pain Catastr</w:t>
      </w:r>
      <w:r>
        <w:t xml:space="preserve">ophizing Scale: Development and </w:t>
      </w:r>
      <w:r w:rsidR="002C3877" w:rsidRPr="002C3877">
        <w:t>validation. </w:t>
      </w:r>
      <w:r w:rsidR="002C3877" w:rsidRPr="00217897">
        <w:rPr>
          <w:iCs/>
        </w:rPr>
        <w:t>Psychological Assessment</w:t>
      </w:r>
      <w:r>
        <w:t xml:space="preserve"> 1995;</w:t>
      </w:r>
      <w:r w:rsidR="002C3877" w:rsidRPr="002C3877">
        <w:t> </w:t>
      </w:r>
      <w:r w:rsidR="002C3877" w:rsidRPr="002C3877">
        <w:rPr>
          <w:i/>
          <w:iCs/>
        </w:rPr>
        <w:t>7</w:t>
      </w:r>
      <w:r w:rsidR="002C3877" w:rsidRPr="002C3877">
        <w:t>(4), 524-532</w:t>
      </w:r>
    </w:p>
    <w:p w:rsidR="004444B9" w:rsidRDefault="004444B9" w:rsidP="004444B9"/>
    <w:p w:rsidR="004444B9" w:rsidRDefault="00217897" w:rsidP="004444B9">
      <w:r>
        <w:t xml:space="preserve">Ware J, </w:t>
      </w:r>
      <w:proofErr w:type="spellStart"/>
      <w:r>
        <w:t>Sherbourne</w:t>
      </w:r>
      <w:proofErr w:type="spellEnd"/>
      <w:r w:rsidR="004444B9" w:rsidRPr="004444B9">
        <w:t xml:space="preserve"> C. (1992). The MOS 36-item short-form health</w:t>
      </w:r>
      <w:r>
        <w:t xml:space="preserve"> </w:t>
      </w:r>
      <w:r w:rsidR="004444B9" w:rsidRPr="004444B9">
        <w:t>survey (SF-36). I. Conceptual framework and item selection. Med</w:t>
      </w:r>
      <w:r>
        <w:t xml:space="preserve"> </w:t>
      </w:r>
      <w:r w:rsidR="004444B9" w:rsidRPr="004444B9">
        <w:t xml:space="preserve">Care </w:t>
      </w:r>
      <w:r>
        <w:t xml:space="preserve">1992; </w:t>
      </w:r>
      <w:r w:rsidR="004444B9" w:rsidRPr="004444B9">
        <w:t>30, 473–483.</w:t>
      </w:r>
    </w:p>
    <w:p w:rsidR="005C7D46" w:rsidRDefault="005C7D46" w:rsidP="004444B9"/>
    <w:p w:rsidR="005C7D46" w:rsidRPr="002E4D5B" w:rsidRDefault="005C7D46" w:rsidP="002E4D5B">
      <w:pPr>
        <w:rPr>
          <w:bCs/>
        </w:rPr>
      </w:pPr>
      <w:proofErr w:type="spellStart"/>
      <w:r w:rsidRPr="005C7D46">
        <w:t>Zigmond</w:t>
      </w:r>
      <w:proofErr w:type="spellEnd"/>
      <w:r w:rsidRPr="005C7D46">
        <w:t xml:space="preserve"> AS, </w:t>
      </w:r>
      <w:proofErr w:type="spellStart"/>
      <w:r w:rsidRPr="005C7D46">
        <w:t>Snaith</w:t>
      </w:r>
      <w:proofErr w:type="spellEnd"/>
      <w:r w:rsidRPr="005C7D46">
        <w:t xml:space="preserve"> RP. The Hospital Anxiety and Depression Scale. </w:t>
      </w:r>
      <w:proofErr w:type="spellStart"/>
      <w:r w:rsidRPr="005C7D46">
        <w:t>Acta</w:t>
      </w:r>
      <w:proofErr w:type="spellEnd"/>
      <w:r w:rsidRPr="005C7D46">
        <w:t xml:space="preserve"> </w:t>
      </w:r>
      <w:proofErr w:type="spellStart"/>
      <w:r w:rsidR="009658B6">
        <w:rPr>
          <w:bCs/>
        </w:rPr>
        <w:t>Psychiatr</w:t>
      </w:r>
      <w:proofErr w:type="spellEnd"/>
      <w:r w:rsidR="009658B6">
        <w:rPr>
          <w:bCs/>
        </w:rPr>
        <w:t xml:space="preserve"> </w:t>
      </w:r>
      <w:proofErr w:type="spellStart"/>
      <w:r w:rsidR="009658B6">
        <w:rPr>
          <w:bCs/>
        </w:rPr>
        <w:t>Scand</w:t>
      </w:r>
      <w:proofErr w:type="spellEnd"/>
      <w:r w:rsidR="002E4D5B" w:rsidRPr="002E4D5B">
        <w:rPr>
          <w:bCs/>
        </w:rPr>
        <w:t xml:space="preserve"> </w:t>
      </w:r>
      <w:r w:rsidRPr="002E4D5B">
        <w:t>1983</w:t>
      </w:r>
      <w:proofErr w:type="gramStart"/>
      <w:r w:rsidRPr="002E4D5B">
        <w:t>;67:361</w:t>
      </w:r>
      <w:proofErr w:type="gramEnd"/>
      <w:r w:rsidRPr="002E4D5B">
        <w:t>-370</w:t>
      </w:r>
    </w:p>
    <w:p w:rsidR="003F2E15" w:rsidRDefault="003F2E15" w:rsidP="004444B9"/>
    <w:p w:rsidR="003F2E15" w:rsidRPr="004444B9" w:rsidRDefault="002E4D5B" w:rsidP="004444B9">
      <w:proofErr w:type="spellStart"/>
      <w:r>
        <w:t>Zung</w:t>
      </w:r>
      <w:proofErr w:type="spellEnd"/>
      <w:r>
        <w:t xml:space="preserve"> WW. </w:t>
      </w:r>
      <w:r w:rsidR="003F2E15">
        <w:t xml:space="preserve">A </w:t>
      </w:r>
      <w:proofErr w:type="gramStart"/>
      <w:r w:rsidR="003F2E15">
        <w:t>self rating</w:t>
      </w:r>
      <w:proofErr w:type="gramEnd"/>
      <w:r w:rsidR="003F2E15">
        <w:t xml:space="preserve"> depression scale. Arch</w:t>
      </w:r>
      <w:r w:rsidR="009658B6">
        <w:t xml:space="preserve"> Gen</w:t>
      </w:r>
      <w:r>
        <w:t xml:space="preserve"> Psychiatry 1965; </w:t>
      </w:r>
      <w:r w:rsidR="003F2E15">
        <w:t>12:63-70</w:t>
      </w:r>
    </w:p>
    <w:sectPr w:rsidR="003F2E15" w:rsidRPr="004444B9" w:rsidSect="003C319A">
      <w:pgSz w:w="11906" w:h="16838"/>
      <w:pgMar w:top="426" w:right="851" w:bottom="1134" w:left="1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4B1E"/>
    <w:multiLevelType w:val="hybridMultilevel"/>
    <w:tmpl w:val="64942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6D"/>
    <w:rsid w:val="000361EC"/>
    <w:rsid w:val="00070410"/>
    <w:rsid w:val="000A6FE8"/>
    <w:rsid w:val="001856F2"/>
    <w:rsid w:val="001F3D93"/>
    <w:rsid w:val="00217897"/>
    <w:rsid w:val="002C3877"/>
    <w:rsid w:val="002E4D5B"/>
    <w:rsid w:val="0033023C"/>
    <w:rsid w:val="00386B7C"/>
    <w:rsid w:val="003C319A"/>
    <w:rsid w:val="003F2E15"/>
    <w:rsid w:val="004444B9"/>
    <w:rsid w:val="004F5191"/>
    <w:rsid w:val="0057609C"/>
    <w:rsid w:val="005A4029"/>
    <w:rsid w:val="005C7D46"/>
    <w:rsid w:val="005E732C"/>
    <w:rsid w:val="00611F8C"/>
    <w:rsid w:val="00660AF1"/>
    <w:rsid w:val="00722A4B"/>
    <w:rsid w:val="00747471"/>
    <w:rsid w:val="0075144E"/>
    <w:rsid w:val="007D26A6"/>
    <w:rsid w:val="00853F55"/>
    <w:rsid w:val="00897F1F"/>
    <w:rsid w:val="008D5652"/>
    <w:rsid w:val="008D796F"/>
    <w:rsid w:val="009128FC"/>
    <w:rsid w:val="009161D7"/>
    <w:rsid w:val="009658B6"/>
    <w:rsid w:val="009A2087"/>
    <w:rsid w:val="009B591F"/>
    <w:rsid w:val="00A8714A"/>
    <w:rsid w:val="00B00FCF"/>
    <w:rsid w:val="00B36BC7"/>
    <w:rsid w:val="00B52160"/>
    <w:rsid w:val="00B959E0"/>
    <w:rsid w:val="00C3050F"/>
    <w:rsid w:val="00C4696D"/>
    <w:rsid w:val="00C73ED4"/>
    <w:rsid w:val="00CD3348"/>
    <w:rsid w:val="00CD4464"/>
    <w:rsid w:val="00D0398B"/>
    <w:rsid w:val="00D7594F"/>
    <w:rsid w:val="00E60433"/>
    <w:rsid w:val="00E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E4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1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759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9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94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7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4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7514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rsid w:val="007514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4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E4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14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759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9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5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94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7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4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7514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yperlink">
    <w:name w:val="Hyperlink"/>
    <w:basedOn w:val="DefaultParagraphFont"/>
    <w:rsid w:val="007514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4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Candy McCabe</cp:lastModifiedBy>
  <cp:revision>2</cp:revision>
  <cp:lastPrinted>2016-08-04T12:36:00Z</cp:lastPrinted>
  <dcterms:created xsi:type="dcterms:W3CDTF">2017-01-31T22:15:00Z</dcterms:created>
  <dcterms:modified xsi:type="dcterms:W3CDTF">2017-01-31T22:15:00Z</dcterms:modified>
</cp:coreProperties>
</file>