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942C3" w14:textId="51292ADD" w:rsidR="00796517" w:rsidRPr="00935DD9" w:rsidRDefault="00822DDB" w:rsidP="00227730">
      <w:pPr>
        <w:spacing w:line="480" w:lineRule="auto"/>
        <w:rPr>
          <w:b/>
          <w:sz w:val="32"/>
        </w:rPr>
      </w:pPr>
      <w:r>
        <w:rPr>
          <w:b/>
          <w:sz w:val="32"/>
        </w:rPr>
        <w:t>E</w:t>
      </w:r>
      <w:r w:rsidR="003723EE" w:rsidRPr="00935DD9">
        <w:rPr>
          <w:b/>
          <w:sz w:val="32"/>
        </w:rPr>
        <w:t xml:space="preserve">xamining </w:t>
      </w:r>
      <w:r w:rsidR="001437DE" w:rsidRPr="00935DD9">
        <w:rPr>
          <w:b/>
          <w:sz w:val="32"/>
        </w:rPr>
        <w:t xml:space="preserve">the epistemology of impact </w:t>
      </w:r>
      <w:r>
        <w:rPr>
          <w:b/>
          <w:sz w:val="32"/>
        </w:rPr>
        <w:t xml:space="preserve">and success </w:t>
      </w:r>
      <w:r w:rsidR="00E26D0C">
        <w:rPr>
          <w:b/>
          <w:sz w:val="32"/>
        </w:rPr>
        <w:t xml:space="preserve">of educational interventions </w:t>
      </w:r>
      <w:r w:rsidR="001437DE" w:rsidRPr="00935DD9">
        <w:rPr>
          <w:b/>
          <w:sz w:val="32"/>
        </w:rPr>
        <w:t xml:space="preserve">using a </w:t>
      </w:r>
      <w:r w:rsidR="001156D7" w:rsidRPr="00935DD9">
        <w:rPr>
          <w:b/>
          <w:sz w:val="32"/>
        </w:rPr>
        <w:t xml:space="preserve">reflective </w:t>
      </w:r>
      <w:r w:rsidR="001437DE" w:rsidRPr="00935DD9">
        <w:rPr>
          <w:b/>
          <w:sz w:val="32"/>
        </w:rPr>
        <w:t xml:space="preserve">case study of </w:t>
      </w:r>
      <w:r>
        <w:rPr>
          <w:b/>
          <w:sz w:val="32"/>
        </w:rPr>
        <w:t>university</w:t>
      </w:r>
      <w:r w:rsidR="001437DE" w:rsidRPr="00935DD9">
        <w:rPr>
          <w:b/>
          <w:sz w:val="32"/>
        </w:rPr>
        <w:t xml:space="preserve"> bursaries</w:t>
      </w:r>
    </w:p>
    <w:p w14:paraId="72C2EBEF" w14:textId="77777777" w:rsidR="001437DE" w:rsidRDefault="001437DE" w:rsidP="00227730">
      <w:pPr>
        <w:spacing w:line="480" w:lineRule="auto"/>
      </w:pPr>
    </w:p>
    <w:p w14:paraId="3AE23067" w14:textId="77777777" w:rsidR="00935DD9" w:rsidRDefault="00935DD9" w:rsidP="00227730">
      <w:pPr>
        <w:spacing w:line="480" w:lineRule="auto"/>
        <w:rPr>
          <w:i/>
        </w:rPr>
      </w:pPr>
    </w:p>
    <w:p w14:paraId="1267AD92" w14:textId="77777777" w:rsidR="00E269D9" w:rsidRPr="00935DD9" w:rsidRDefault="00935DD9" w:rsidP="00227730">
      <w:pPr>
        <w:spacing w:line="480" w:lineRule="auto"/>
        <w:rPr>
          <w:i/>
          <w:sz w:val="28"/>
        </w:rPr>
      </w:pPr>
      <w:r w:rsidRPr="00935DD9">
        <w:rPr>
          <w:i/>
          <w:sz w:val="28"/>
        </w:rPr>
        <w:t>Neil Harrison</w:t>
      </w:r>
      <w:r w:rsidR="008E4F1A">
        <w:rPr>
          <w:i/>
          <w:sz w:val="28"/>
        </w:rPr>
        <w:t xml:space="preserve"> (</w:t>
      </w:r>
      <w:r w:rsidRPr="00935DD9">
        <w:rPr>
          <w:i/>
          <w:sz w:val="28"/>
        </w:rPr>
        <w:t>University of the West of England</w:t>
      </w:r>
      <w:r w:rsidR="008E4F1A">
        <w:rPr>
          <w:i/>
          <w:sz w:val="28"/>
        </w:rPr>
        <w:t xml:space="preserve">) and </w:t>
      </w:r>
      <w:r w:rsidR="00E269D9">
        <w:rPr>
          <w:i/>
          <w:sz w:val="28"/>
        </w:rPr>
        <w:t>Colin McCaig</w:t>
      </w:r>
      <w:r w:rsidR="008E4F1A">
        <w:rPr>
          <w:i/>
          <w:sz w:val="28"/>
        </w:rPr>
        <w:t xml:space="preserve"> (</w:t>
      </w:r>
      <w:r w:rsidR="00E269D9">
        <w:rPr>
          <w:i/>
          <w:sz w:val="28"/>
        </w:rPr>
        <w:t>Sheffield Hallam University</w:t>
      </w:r>
      <w:r w:rsidR="008E4F1A">
        <w:rPr>
          <w:i/>
          <w:sz w:val="28"/>
        </w:rPr>
        <w:t>)</w:t>
      </w:r>
    </w:p>
    <w:p w14:paraId="2E7A7ED3" w14:textId="77777777" w:rsidR="00935DD9" w:rsidRDefault="00935DD9" w:rsidP="00227730">
      <w:pPr>
        <w:spacing w:line="480" w:lineRule="auto"/>
      </w:pPr>
    </w:p>
    <w:p w14:paraId="2C6034C1" w14:textId="77777777" w:rsidR="001437DE" w:rsidRDefault="001437DE" w:rsidP="00227730">
      <w:pPr>
        <w:spacing w:line="480" w:lineRule="auto"/>
      </w:pPr>
    </w:p>
    <w:p w14:paraId="01D48A43" w14:textId="188236A0" w:rsidR="00FF13BF" w:rsidRDefault="0053147F" w:rsidP="00227730">
      <w:pPr>
        <w:spacing w:line="480" w:lineRule="auto"/>
      </w:pPr>
      <w:r>
        <w:rPr>
          <w:b/>
        </w:rPr>
        <w:t>Abstract</w:t>
      </w:r>
    </w:p>
    <w:p w14:paraId="56765D0F" w14:textId="15DCE67D" w:rsidR="0053147F" w:rsidRDefault="0053147F" w:rsidP="00227730">
      <w:pPr>
        <w:spacing w:line="480" w:lineRule="auto"/>
      </w:pPr>
    </w:p>
    <w:p w14:paraId="5682FB50" w14:textId="750BC054" w:rsidR="0053147F" w:rsidRPr="0053147F" w:rsidRDefault="0053147F" w:rsidP="00227730">
      <w:pPr>
        <w:spacing w:line="480" w:lineRule="auto"/>
      </w:pPr>
      <w:r>
        <w:t>This paper engages with the continuing emphasis given to evidence-based policy and ‘what works’</w:t>
      </w:r>
      <w:r w:rsidR="001470BD">
        <w:t xml:space="preserve"> approaches</w:t>
      </w:r>
      <w:r>
        <w:t xml:space="preserve"> in educational research</w:t>
      </w:r>
      <w:r w:rsidR="003B32D0">
        <w:t xml:space="preserve">, highlighting some of the continuing epistemological challenges from a post-positivist perspective.  </w:t>
      </w:r>
      <w:r w:rsidR="002816C6">
        <w:t xml:space="preserve">To illustrate these, it </w:t>
      </w:r>
      <w:r w:rsidR="006A64BA">
        <w:t xml:space="preserve"> uses the </w:t>
      </w:r>
      <w:r w:rsidR="002816C6">
        <w:t xml:space="preserve">case </w:t>
      </w:r>
      <w:r w:rsidR="006A64BA">
        <w:t>of</w:t>
      </w:r>
      <w:r w:rsidR="008A2B2E">
        <w:t xml:space="preserve"> bursaries</w:t>
      </w:r>
      <w:r w:rsidR="006A64BA">
        <w:t xml:space="preserve"> awarded by universities</w:t>
      </w:r>
      <w:r w:rsidR="008A2B2E">
        <w:t xml:space="preserve"> to improve outcomes for student</w:t>
      </w:r>
      <w:r w:rsidR="006A64BA">
        <w:t>s</w:t>
      </w:r>
      <w:r w:rsidR="008A2B2E">
        <w:t xml:space="preserve"> from disadvantaged backgrounds</w:t>
      </w:r>
      <w:r w:rsidR="006A64BA">
        <w:t xml:space="preserve"> as an example of an education intervention designed to address structural inequality</w:t>
      </w:r>
      <w:r w:rsidR="008A2B2E">
        <w:t xml:space="preserve">.  </w:t>
      </w:r>
      <w:r w:rsidR="006464BE">
        <w:t xml:space="preserve">The paper </w:t>
      </w:r>
      <w:r w:rsidR="006A64BA">
        <w:t>then discusses</w:t>
      </w:r>
      <w:r w:rsidR="006464BE">
        <w:t xml:space="preserve"> critical reflections</w:t>
      </w:r>
      <w:r w:rsidR="006A64BA">
        <w:t xml:space="preserve"> arising</w:t>
      </w:r>
      <w:r w:rsidR="006464BE">
        <w:t xml:space="preserve"> from a</w:t>
      </w:r>
      <w:r>
        <w:t xml:space="preserve"> project commissioned by the Office for Fair Access in England</w:t>
      </w:r>
      <w:r w:rsidR="006464BE">
        <w:t xml:space="preserve"> which aimed to </w:t>
      </w:r>
      <w:r w:rsidR="008A2B2E">
        <w:t>enable</w:t>
      </w:r>
      <w:r w:rsidR="002816C6">
        <w:t xml:space="preserve"> universities to </w:t>
      </w:r>
      <w:r w:rsidR="006464BE">
        <w:t xml:space="preserve">evaluate </w:t>
      </w:r>
      <w:r w:rsidR="002816C6">
        <w:t>the impact of the bursaries that they award.</w:t>
      </w:r>
      <w:r w:rsidR="00D052D1">
        <w:t xml:space="preserve">  </w:t>
      </w:r>
      <w:r w:rsidR="006464BE">
        <w:t xml:space="preserve">These reflections </w:t>
      </w:r>
      <w:r w:rsidR="008A2B2E">
        <w:t xml:space="preserve">provide a lens to explore the </w:t>
      </w:r>
      <w:r w:rsidR="00024241">
        <w:t>limitations of experimental and quasi-experimental designs in complex social fields.  The paper concludes that we lack a strong understanding of the relationship between financial and educational disadvantage prior</w:t>
      </w:r>
      <w:r w:rsidR="001470BD">
        <w:t xml:space="preserve"> to and during higher education, and this undermines efforts to </w:t>
      </w:r>
      <w:r w:rsidR="00227730">
        <w:t>‘</w:t>
      </w:r>
      <w:r w:rsidR="001470BD">
        <w:t>prove</w:t>
      </w:r>
      <w:r w:rsidR="00227730">
        <w:t>’</w:t>
      </w:r>
      <w:r w:rsidR="001470BD">
        <w:t xml:space="preserve"> that certain interventions will ‘level the playing field’.</w:t>
      </w:r>
    </w:p>
    <w:p w14:paraId="2039FDFE" w14:textId="77777777" w:rsidR="0053147F" w:rsidRDefault="0053147F" w:rsidP="00227730">
      <w:pPr>
        <w:spacing w:line="480" w:lineRule="auto"/>
        <w:rPr>
          <w:b/>
        </w:rPr>
      </w:pPr>
      <w:r>
        <w:rPr>
          <w:b/>
        </w:rPr>
        <w:br w:type="page"/>
      </w:r>
    </w:p>
    <w:p w14:paraId="51C8DE04" w14:textId="783B9116" w:rsidR="001437DE" w:rsidRPr="003723EE" w:rsidRDefault="003723EE" w:rsidP="00227730">
      <w:pPr>
        <w:spacing w:line="480" w:lineRule="auto"/>
      </w:pPr>
      <w:r>
        <w:rPr>
          <w:b/>
        </w:rPr>
        <w:lastRenderedPageBreak/>
        <w:t>Introduction</w:t>
      </w:r>
    </w:p>
    <w:p w14:paraId="21FA29B5" w14:textId="77777777" w:rsidR="001437DE" w:rsidRDefault="001437DE" w:rsidP="00227730">
      <w:pPr>
        <w:spacing w:line="480" w:lineRule="auto"/>
      </w:pPr>
    </w:p>
    <w:p w14:paraId="151EBE9A" w14:textId="74E43EEE" w:rsidR="0083191D" w:rsidRDefault="00D639C8" w:rsidP="00227730">
      <w:pPr>
        <w:spacing w:line="480" w:lineRule="auto"/>
      </w:pPr>
      <w:r>
        <w:t>A key feature</w:t>
      </w:r>
      <w:r w:rsidR="00822DDB">
        <w:t xml:space="preserve"> of the last </w:t>
      </w:r>
      <w:r w:rsidR="0083191D">
        <w:t>twenty</w:t>
      </w:r>
      <w:r w:rsidR="00711474">
        <w:t xml:space="preserve"> years in educational r</w:t>
      </w:r>
      <w:r w:rsidR="00822DDB">
        <w:t xml:space="preserve">esearch has been the </w:t>
      </w:r>
      <w:r w:rsidR="00F0225E">
        <w:t xml:space="preserve">rising </w:t>
      </w:r>
      <w:r w:rsidR="00822DDB">
        <w:t xml:space="preserve">emphasis </w:t>
      </w:r>
      <w:r w:rsidR="0083191D">
        <w:t xml:space="preserve">placed </w:t>
      </w:r>
      <w:r w:rsidR="00822DDB">
        <w:t>on</w:t>
      </w:r>
      <w:r w:rsidR="00711474">
        <w:t xml:space="preserve"> </w:t>
      </w:r>
      <w:r w:rsidR="00020C17">
        <w:t xml:space="preserve">evidence-based </w:t>
      </w:r>
      <w:r w:rsidR="00822DDB">
        <w:t>practice</w:t>
      </w:r>
      <w:r w:rsidR="00020C17">
        <w:t xml:space="preserve">.  </w:t>
      </w:r>
      <w:r>
        <w:t>One</w:t>
      </w:r>
      <w:r w:rsidR="00020C17">
        <w:t xml:space="preserve"> particular</w:t>
      </w:r>
      <w:r>
        <w:t>ly</w:t>
      </w:r>
      <w:r w:rsidR="00020C17">
        <w:t xml:space="preserve"> controversial manifestation of this has been what is often </w:t>
      </w:r>
      <w:r w:rsidR="00822DDB">
        <w:t>referred to as the ‘what works’ agenda</w:t>
      </w:r>
      <w:r w:rsidR="00020C17">
        <w:t>, d</w:t>
      </w:r>
      <w:r w:rsidR="00F0225E">
        <w:t>riven in tandem by policymakers seeking accessible and actionable answers around value-for-money and researcher</w:t>
      </w:r>
      <w:r w:rsidR="0083191D">
        <w:t xml:space="preserve">s from the positivist tradition seeking to provide them.  Its approach is </w:t>
      </w:r>
      <w:r w:rsidR="00EB7308">
        <w:t>strongly</w:t>
      </w:r>
      <w:r w:rsidR="0083191D">
        <w:t xml:space="preserve"> objectivist, privileging quantitative data collected through rigorous sampling, robust analytical techniques and formal inference to subject educational activities and innovations to a sharp test of ‘impact’ and ‘success’</w:t>
      </w:r>
      <w:r w:rsidR="00564CDC">
        <w:t>.</w:t>
      </w:r>
    </w:p>
    <w:p w14:paraId="5782D61D" w14:textId="77777777" w:rsidR="0083191D" w:rsidRDefault="0083191D" w:rsidP="00227730">
      <w:pPr>
        <w:spacing w:line="480" w:lineRule="auto"/>
      </w:pPr>
    </w:p>
    <w:p w14:paraId="515CEAE7" w14:textId="65B22406" w:rsidR="00564CDC" w:rsidRDefault="00564CDC" w:rsidP="00227730">
      <w:pPr>
        <w:spacing w:line="480" w:lineRule="auto"/>
      </w:pPr>
      <w:r>
        <w:t>To its supporters, ‘what works’ might reasonably be typified as a moral obligation.  There is a responsibility to learners to ensure that the best practices are being used and that limited learning opportunities are not squandered on old-fashioned thinking, folklore or unevidenced assumptions</w:t>
      </w:r>
      <w:r w:rsidR="00260A04">
        <w:t xml:space="preserve"> (Slavin, 2004; Gorard, 2004</w:t>
      </w:r>
      <w:r w:rsidR="007F2202">
        <w:t>, 2013</w:t>
      </w:r>
      <w:r w:rsidR="00260A04">
        <w:t>)</w:t>
      </w:r>
      <w:r>
        <w:t>. To its critics, it is reductionist, simplistic, philosophically-weak and unethical (Biesta, 200</w:t>
      </w:r>
      <w:r w:rsidR="00260A04">
        <w:t>7</w:t>
      </w:r>
      <w:r>
        <w:t>, 2010; Oancea and Pring, 2008).  It is seen within a tradition of technocratic approaches to education, where</w:t>
      </w:r>
      <w:r w:rsidR="001C5945">
        <w:t xml:space="preserve"> deprofessionalised</w:t>
      </w:r>
      <w:r>
        <w:t xml:space="preserve"> teachers simply need to be programmed with the ‘best’ practice in order to optimise learning (</w:t>
      </w:r>
      <w:r w:rsidR="001C5945">
        <w:t xml:space="preserve">Webster, 2009; </w:t>
      </w:r>
      <w:r>
        <w:t>Menter, 2013).</w:t>
      </w:r>
    </w:p>
    <w:p w14:paraId="74AC8DFC" w14:textId="77777777" w:rsidR="007A7A43" w:rsidRDefault="007A7A43" w:rsidP="00227730">
      <w:pPr>
        <w:spacing w:line="480" w:lineRule="auto"/>
      </w:pPr>
    </w:p>
    <w:p w14:paraId="1ACFF63C" w14:textId="3A9685E1" w:rsidR="00564CDC" w:rsidRDefault="00564CDC" w:rsidP="00227730">
      <w:pPr>
        <w:spacing w:line="480" w:lineRule="auto"/>
      </w:pPr>
      <w:r>
        <w:t xml:space="preserve">Either way it has increasingly pervaded thinking over the last ten years.  The UK government, for example, has routed £125 million through the Education Endowment Foundation; a charity established to commission ‘what works’ style evaluations around educational </w:t>
      </w:r>
      <w:r w:rsidR="001A365E">
        <w:t>interventions</w:t>
      </w:r>
      <w:r>
        <w:t xml:space="preserve"> felt to have potential to increase outcomes for disadvantaged children</w:t>
      </w:r>
      <w:r w:rsidR="00260A04">
        <w:t xml:space="preserve"> (Menter, 2013; Gorard, Siddiqui and See, 2015)</w:t>
      </w:r>
      <w:r>
        <w:t xml:space="preserve">.  </w:t>
      </w:r>
      <w:r w:rsidR="007F2202">
        <w:t>Other r</w:t>
      </w:r>
      <w:r>
        <w:t xml:space="preserve">esearch funders </w:t>
      </w:r>
      <w:r w:rsidR="007F2202">
        <w:t>increasingly</w:t>
      </w:r>
      <w:r>
        <w:t xml:space="preserve"> require bidders to focus on innovations and impact.  The ‘what works’ philosophy has featured in keynote </w:t>
      </w:r>
      <w:r w:rsidR="00260A04">
        <w:t>addresses</w:t>
      </w:r>
      <w:r>
        <w:t xml:space="preserve"> at the British Educational Research Association in recent years (Coles</w:t>
      </w:r>
      <w:r w:rsidR="00260A04">
        <w:t>, 2012;</w:t>
      </w:r>
      <w:r>
        <w:t xml:space="preserve"> </w:t>
      </w:r>
      <w:r w:rsidR="00326B17">
        <w:t>Connolly, 2015</w:t>
      </w:r>
      <w:r w:rsidR="007F2202">
        <w:t>), while public intellectuals</w:t>
      </w:r>
      <w:r>
        <w:t xml:space="preserve"> like Ben Goldacre (2013) have voiced enthusiastic support at the government’s behest.</w:t>
      </w:r>
    </w:p>
    <w:p w14:paraId="37260EAD" w14:textId="77777777" w:rsidR="0083191D" w:rsidRDefault="0083191D" w:rsidP="00227730">
      <w:pPr>
        <w:spacing w:line="480" w:lineRule="auto"/>
      </w:pPr>
    </w:p>
    <w:p w14:paraId="4A0DC323" w14:textId="5BC12F0C" w:rsidR="00A04802" w:rsidRDefault="00564CDC" w:rsidP="00227730">
      <w:pPr>
        <w:spacing w:line="480" w:lineRule="auto"/>
      </w:pPr>
      <w:r>
        <w:t xml:space="preserve">In this paper, </w:t>
      </w:r>
      <w:r w:rsidR="00E269D9">
        <w:t>we</w:t>
      </w:r>
      <w:r w:rsidR="00A86C7F">
        <w:t xml:space="preserve"> </w:t>
      </w:r>
      <w:r w:rsidR="00FF13BF">
        <w:t>critique ‘what works’ from a post-positivist perspective</w:t>
      </w:r>
      <w:r w:rsidR="003A49B4" w:rsidRPr="003A49B4">
        <w:t xml:space="preserve"> </w:t>
      </w:r>
      <w:r w:rsidR="003A49B4">
        <w:t xml:space="preserve">using reflections from a commissioned project in higher education to examine some of the challenges and traps for the unwary.  </w:t>
      </w:r>
      <w:r w:rsidR="00E269D9">
        <w:t xml:space="preserve">We </w:t>
      </w:r>
      <w:r w:rsidR="00A86C7F">
        <w:t xml:space="preserve">will not be rehearsing the philosophical objections to the ‘what works’ agenda as </w:t>
      </w:r>
      <w:r w:rsidR="00E12D02">
        <w:t>these have</w:t>
      </w:r>
      <w:r w:rsidR="00A86C7F">
        <w:t xml:space="preserve"> been well-covered </w:t>
      </w:r>
      <w:r w:rsidR="0067448E">
        <w:t>elsewhere</w:t>
      </w:r>
      <w:r w:rsidR="00D639C8">
        <w:t xml:space="preserve"> (e.g. Hammersley, 2013)</w:t>
      </w:r>
      <w:r w:rsidR="0067448E">
        <w:t>.  R</w:t>
      </w:r>
      <w:r w:rsidR="00C0609C">
        <w:t xml:space="preserve">ather than </w:t>
      </w:r>
      <w:r w:rsidR="00F86713">
        <w:t xml:space="preserve">being </w:t>
      </w:r>
      <w:r w:rsidR="00C0609C">
        <w:t xml:space="preserve">ideologically hostile, </w:t>
      </w:r>
      <w:r w:rsidR="00E269D9">
        <w:t xml:space="preserve">the paper </w:t>
      </w:r>
      <w:r w:rsidR="00F86713">
        <w:t xml:space="preserve">will engage with </w:t>
      </w:r>
      <w:r w:rsidR="00E269D9">
        <w:t>'what works'</w:t>
      </w:r>
      <w:r w:rsidR="00F86713">
        <w:t xml:space="preserve"> in its own terms; </w:t>
      </w:r>
      <w:r w:rsidR="00E269D9">
        <w:t xml:space="preserve">the </w:t>
      </w:r>
      <w:r w:rsidR="003A49B4">
        <w:t>focus</w:t>
      </w:r>
      <w:r w:rsidR="00B84116">
        <w:t xml:space="preserve"> here</w:t>
      </w:r>
      <w:r w:rsidR="003A49B4">
        <w:t xml:space="preserve"> is </w:t>
      </w:r>
      <w:r w:rsidR="00C0609C">
        <w:t>critical and</w:t>
      </w:r>
      <w:r w:rsidR="00B84116">
        <w:t xml:space="preserve"> </w:t>
      </w:r>
      <w:r w:rsidR="003A49B4">
        <w:t>pragmatic</w:t>
      </w:r>
      <w:r w:rsidR="00B84116">
        <w:t xml:space="preserve">, </w:t>
      </w:r>
      <w:r w:rsidR="00A25E60">
        <w:t>stress</w:t>
      </w:r>
      <w:r w:rsidR="00B84116">
        <w:t>ing</w:t>
      </w:r>
      <w:r w:rsidR="00A25E60">
        <w:t xml:space="preserve"> the need for a robust epistemology to underpin this style of research, which understands the questions being asked and the ability of the methodology to answer these questions.</w:t>
      </w:r>
      <w:r w:rsidR="001D3767">
        <w:t xml:space="preserve">  </w:t>
      </w:r>
      <w:r w:rsidR="00E269D9">
        <w:t>The paper will</w:t>
      </w:r>
      <w:r w:rsidR="00043E10">
        <w:t xml:space="preserve"> </w:t>
      </w:r>
      <w:r w:rsidR="008B2C82">
        <w:t>hopefully generate some insight around</w:t>
      </w:r>
      <w:r w:rsidR="001D3767">
        <w:t xml:space="preserve"> the wisdom of </w:t>
      </w:r>
      <w:r w:rsidR="0099197E">
        <w:t xml:space="preserve">uncritically privileging </w:t>
      </w:r>
      <w:r w:rsidR="001D3767">
        <w:t xml:space="preserve">‘what works’ as </w:t>
      </w:r>
      <w:r w:rsidR="00B84116">
        <w:t>a form of</w:t>
      </w:r>
      <w:r w:rsidR="001D3767">
        <w:t xml:space="preserve"> ed</w:t>
      </w:r>
      <w:r w:rsidR="00D40FA3">
        <w:t>ucational research</w:t>
      </w:r>
      <w:r w:rsidR="008B2C82">
        <w:t>.</w:t>
      </w:r>
    </w:p>
    <w:p w14:paraId="0D03E9B7" w14:textId="77777777" w:rsidR="00A04802" w:rsidRDefault="00A04802" w:rsidP="00227730">
      <w:pPr>
        <w:spacing w:line="480" w:lineRule="auto"/>
      </w:pPr>
    </w:p>
    <w:p w14:paraId="6A29B658" w14:textId="439F245D" w:rsidR="003251C2" w:rsidRDefault="00E269D9" w:rsidP="00227730">
      <w:pPr>
        <w:spacing w:line="480" w:lineRule="auto"/>
      </w:pPr>
      <w:r>
        <w:t xml:space="preserve">We </w:t>
      </w:r>
      <w:r w:rsidR="00A04802">
        <w:t>begin with a brief introduction to some of the key principles of ‘what works’ research</w:t>
      </w:r>
      <w:r w:rsidR="00BE1A1B">
        <w:t xml:space="preserve"> and </w:t>
      </w:r>
      <w:r w:rsidR="00A04802">
        <w:t xml:space="preserve">some </w:t>
      </w:r>
      <w:r w:rsidR="00BE1A1B">
        <w:t xml:space="preserve">important </w:t>
      </w:r>
      <w:r w:rsidR="00A04802">
        <w:t>epistemological challenges</w:t>
      </w:r>
      <w:r w:rsidR="005A4ADD">
        <w:t xml:space="preserve">, </w:t>
      </w:r>
      <w:r w:rsidR="00231FB5">
        <w:t>draw</w:t>
      </w:r>
      <w:r w:rsidR="005A4ADD">
        <w:t>ing</w:t>
      </w:r>
      <w:r w:rsidR="00231FB5">
        <w:t xml:space="preserve"> on the work of </w:t>
      </w:r>
      <w:r w:rsidR="005A4ADD">
        <w:t>both enthusiasts and sceptics</w:t>
      </w:r>
      <w:r w:rsidR="00231FB5">
        <w:t>.</w:t>
      </w:r>
      <w:r w:rsidR="002A6353">
        <w:t xml:space="preserve">  </w:t>
      </w:r>
    </w:p>
    <w:p w14:paraId="5D4535E5" w14:textId="77777777" w:rsidR="003251C2" w:rsidRDefault="003251C2" w:rsidP="00227730">
      <w:pPr>
        <w:spacing w:line="480" w:lineRule="auto"/>
      </w:pPr>
    </w:p>
    <w:p w14:paraId="7433105F" w14:textId="2ED88626" w:rsidR="00D85AF3" w:rsidRDefault="00D85AF3" w:rsidP="00227730">
      <w:pPr>
        <w:spacing w:line="480" w:lineRule="auto"/>
        <w:rPr>
          <w:b/>
        </w:rPr>
      </w:pPr>
    </w:p>
    <w:p w14:paraId="59AB64D8" w14:textId="77777777" w:rsidR="003251C2" w:rsidRPr="00071A58" w:rsidRDefault="00071A58" w:rsidP="00227730">
      <w:pPr>
        <w:spacing w:line="480" w:lineRule="auto"/>
        <w:rPr>
          <w:b/>
        </w:rPr>
      </w:pPr>
      <w:r w:rsidRPr="00071A58">
        <w:rPr>
          <w:b/>
        </w:rPr>
        <w:t xml:space="preserve">Impact, </w:t>
      </w:r>
      <w:r w:rsidR="009803AD">
        <w:rPr>
          <w:b/>
        </w:rPr>
        <w:t>causality</w:t>
      </w:r>
      <w:r w:rsidRPr="00071A58">
        <w:rPr>
          <w:b/>
        </w:rPr>
        <w:t xml:space="preserve"> and proof</w:t>
      </w:r>
    </w:p>
    <w:p w14:paraId="1F48A0C4" w14:textId="77777777" w:rsidR="00E22586" w:rsidRDefault="00E22586" w:rsidP="00227730">
      <w:pPr>
        <w:spacing w:line="480" w:lineRule="auto"/>
      </w:pPr>
    </w:p>
    <w:p w14:paraId="404C4111" w14:textId="77777777" w:rsidR="002973CB" w:rsidRDefault="002973CB" w:rsidP="00227730">
      <w:pPr>
        <w:spacing w:line="480" w:lineRule="auto"/>
      </w:pPr>
      <w:r>
        <w:t xml:space="preserve">‘What works’ research </w:t>
      </w:r>
      <w:r w:rsidR="006F3B1C">
        <w:t xml:space="preserve">is premised on </w:t>
      </w:r>
      <w:r w:rsidR="00825E83">
        <w:t xml:space="preserve">the need for </w:t>
      </w:r>
      <w:r w:rsidR="006F3B1C">
        <w:t>a</w:t>
      </w:r>
      <w:r>
        <w:t xml:space="preserve"> clear</w:t>
      </w:r>
      <w:r w:rsidR="00A4134D">
        <w:t>,</w:t>
      </w:r>
      <w:r>
        <w:t xml:space="preserve"> causal </w:t>
      </w:r>
      <w:r w:rsidR="00A4134D">
        <w:t xml:space="preserve">and impactful </w:t>
      </w:r>
      <w:r>
        <w:t xml:space="preserve">relationship between an </w:t>
      </w:r>
      <w:r w:rsidR="00097C59">
        <w:t>intervention</w:t>
      </w:r>
      <w:r>
        <w:t xml:space="preserve"> and an outcome.  Gorard (201</w:t>
      </w:r>
      <w:r w:rsidR="00305193">
        <w:t>3</w:t>
      </w:r>
      <w:r w:rsidR="006F3B1C">
        <w:t>, p.65</w:t>
      </w:r>
      <w:r>
        <w:t>) lay</w:t>
      </w:r>
      <w:r w:rsidR="00305193">
        <w:t>s</w:t>
      </w:r>
      <w:r>
        <w:t xml:space="preserve"> out</w:t>
      </w:r>
      <w:r w:rsidR="001A365E">
        <w:t xml:space="preserve"> what he </w:t>
      </w:r>
      <w:r w:rsidR="00097C59">
        <w:t>argues</w:t>
      </w:r>
      <w:r w:rsidR="001A365E">
        <w:t xml:space="preserve"> are</w:t>
      </w:r>
      <w:r>
        <w:t xml:space="preserve"> the formal requirements for this:</w:t>
      </w:r>
    </w:p>
    <w:p w14:paraId="4868F60D" w14:textId="77777777" w:rsidR="00071A58" w:rsidRDefault="00071A58" w:rsidP="00227730">
      <w:pPr>
        <w:spacing w:line="480" w:lineRule="auto"/>
      </w:pPr>
    </w:p>
    <w:p w14:paraId="5AE0DFE3" w14:textId="77777777" w:rsidR="00EC6F84" w:rsidRDefault="00EC6F84" w:rsidP="00227730">
      <w:pPr>
        <w:spacing w:line="480" w:lineRule="auto"/>
        <w:ind w:left="720"/>
      </w:pPr>
      <w:r>
        <w:t xml:space="preserve">‘1. </w:t>
      </w:r>
      <w:r w:rsidR="00305193">
        <w:t>For X (a possible cause) and Y (a possible effect) to be in a causal relationship, they must be repeatedly associated.  This association must be strong, clearly observable, replicable and it must be specific to X and Y.</w:t>
      </w:r>
    </w:p>
    <w:p w14:paraId="2B8E2699" w14:textId="77777777" w:rsidR="00EC6F84" w:rsidRDefault="00EC6F84" w:rsidP="00227730">
      <w:pPr>
        <w:spacing w:line="480" w:lineRule="auto"/>
        <w:ind w:left="720"/>
      </w:pPr>
      <w:r>
        <w:t xml:space="preserve">2. </w:t>
      </w:r>
      <w:r w:rsidR="00305193">
        <w:t>For X and Y to be in a causal relationship, they must proceed in sequence. X must always precede Y (where they both appear), and the appearance of Y must be safely predictable from the appearance of X.</w:t>
      </w:r>
    </w:p>
    <w:p w14:paraId="08009A26" w14:textId="3AD96FAC" w:rsidR="00EC6F84" w:rsidRDefault="00EC6F84" w:rsidP="00227730">
      <w:pPr>
        <w:spacing w:line="480" w:lineRule="auto"/>
        <w:ind w:left="720"/>
      </w:pPr>
      <w:r>
        <w:t xml:space="preserve">3. </w:t>
      </w:r>
      <w:r w:rsidR="00305193">
        <w:t>For X and Y to be in a causal relationship, it must have been demonstrated repeatedly that an intervention to change the strength and appearance of Y then also strongly and clearly changes the strength and appearance of Y.</w:t>
      </w:r>
    </w:p>
    <w:p w14:paraId="4614D621" w14:textId="7FD15E23" w:rsidR="00305193" w:rsidRDefault="00EC6F84" w:rsidP="00227730">
      <w:pPr>
        <w:spacing w:line="480" w:lineRule="auto"/>
        <w:ind w:left="720"/>
      </w:pPr>
      <w:r>
        <w:t xml:space="preserve">4. </w:t>
      </w:r>
      <w:r w:rsidR="00305193">
        <w:t>For X and Y to be in a causal relationship, there must be a coherent mechanism to explain the causal link.  This mechanism must be the simplest available without which the evidence cannot be explained.  Put another way, if the proposed mechanism were not true then there must be no simpler or equally simple way of explaining the evidence for it.</w:t>
      </w:r>
      <w:r>
        <w:t>’</w:t>
      </w:r>
    </w:p>
    <w:p w14:paraId="286778E5" w14:textId="77777777" w:rsidR="002973CB" w:rsidRDefault="002973CB" w:rsidP="00227730">
      <w:pPr>
        <w:spacing w:line="480" w:lineRule="auto"/>
      </w:pPr>
    </w:p>
    <w:p w14:paraId="2495B8EB" w14:textId="77777777" w:rsidR="002973CB" w:rsidRDefault="007C65BD" w:rsidP="00227730">
      <w:pPr>
        <w:spacing w:line="480" w:lineRule="auto"/>
      </w:pPr>
      <w:r>
        <w:t xml:space="preserve">The skill in devising ‘what works’ style projects is </w:t>
      </w:r>
      <w:r w:rsidR="00A4134D">
        <w:t xml:space="preserve">thus </w:t>
      </w:r>
      <w:r>
        <w:t xml:space="preserve">in meeting these criteria while eliminating as many </w:t>
      </w:r>
      <w:r w:rsidR="00A4134D">
        <w:t xml:space="preserve">potential </w:t>
      </w:r>
      <w:r>
        <w:t xml:space="preserve">confounding factors as possible, either through holding </w:t>
      </w:r>
      <w:r w:rsidR="00A4134D">
        <w:t xml:space="preserve">these </w:t>
      </w:r>
      <w:r>
        <w:t xml:space="preserve">factors constant or </w:t>
      </w:r>
      <w:r w:rsidR="00A4134D">
        <w:t xml:space="preserve">through </w:t>
      </w:r>
      <w:r>
        <w:t>randomisation within large samples.</w:t>
      </w:r>
      <w:r w:rsidR="0006241C">
        <w:t xml:space="preserve">  It is easy to see why th</w:t>
      </w:r>
      <w:r w:rsidR="00556EEE">
        <w:t>is causal</w:t>
      </w:r>
      <w:r w:rsidR="0006241C">
        <w:t xml:space="preserve"> clarity </w:t>
      </w:r>
      <w:r w:rsidR="007E6577">
        <w:t>is attractive to policymakers.</w:t>
      </w:r>
    </w:p>
    <w:p w14:paraId="1EE3CD0A" w14:textId="77777777" w:rsidR="006F3B1C" w:rsidRDefault="006F3B1C" w:rsidP="00227730">
      <w:pPr>
        <w:spacing w:line="480" w:lineRule="auto"/>
      </w:pPr>
    </w:p>
    <w:p w14:paraId="243DBEEB" w14:textId="0677BEA5" w:rsidR="006F3B1C" w:rsidRDefault="006F3B1C" w:rsidP="00227730">
      <w:pPr>
        <w:spacing w:line="480" w:lineRule="auto"/>
      </w:pPr>
      <w:r>
        <w:t xml:space="preserve">The </w:t>
      </w:r>
      <w:r w:rsidR="00523A43">
        <w:t>methodological apogee</w:t>
      </w:r>
      <w:r>
        <w:t xml:space="preserve"> </w:t>
      </w:r>
      <w:r w:rsidR="00A04802">
        <w:t>for</w:t>
      </w:r>
      <w:r>
        <w:t xml:space="preserve"> ‘what works’ researchers is the randomised controlled trial</w:t>
      </w:r>
      <w:r w:rsidR="00523A43">
        <w:t xml:space="preserve"> (RCT)</w:t>
      </w:r>
      <w:r>
        <w:t>.  Borrowed from medicine</w:t>
      </w:r>
      <w:r w:rsidR="0082639B">
        <w:t xml:space="preserve">, it establishes an </w:t>
      </w:r>
      <w:r w:rsidR="0082639B" w:rsidRPr="0082639B">
        <w:rPr>
          <w:i/>
        </w:rPr>
        <w:t>experimental group</w:t>
      </w:r>
      <w:r w:rsidR="0082639B">
        <w:t xml:space="preserve"> which undergo a planned intervention</w:t>
      </w:r>
      <w:r w:rsidR="00B3044D">
        <w:t xml:space="preserve"> or ‘treatment’</w:t>
      </w:r>
      <w:r w:rsidR="0082639B">
        <w:t xml:space="preserve"> (a possible cause) and a </w:t>
      </w:r>
      <w:r w:rsidR="0082639B" w:rsidRPr="0082639B">
        <w:rPr>
          <w:i/>
        </w:rPr>
        <w:t>control group</w:t>
      </w:r>
      <w:r w:rsidR="0082639B">
        <w:t xml:space="preserve"> that does not. Random allocation of either individuals or </w:t>
      </w:r>
      <w:r w:rsidR="00662E2C">
        <w:t>clusters</w:t>
      </w:r>
      <w:r w:rsidR="0082639B">
        <w:t xml:space="preserve"> of individuals (e.g. schools) int</w:t>
      </w:r>
      <w:r w:rsidR="00B3044D">
        <w:t>o the two groups statistically controls</w:t>
      </w:r>
      <w:r w:rsidR="0082639B">
        <w:t xml:space="preserve"> for extraneous factors that might impact on the outcome, with the objective of isolating the effect of the intervention</w:t>
      </w:r>
      <w:r w:rsidR="00825E83">
        <w:t>, demonstrating causality</w:t>
      </w:r>
      <w:r w:rsidR="00B3044D">
        <w:t xml:space="preserve"> and estimating the effect size</w:t>
      </w:r>
      <w:r w:rsidR="0082639B">
        <w:t xml:space="preserve"> (i.e. the degree to which the intervention influences the outcome).</w:t>
      </w:r>
      <w:r w:rsidR="00DF2BD5">
        <w:t xml:space="preserve">  RCTs are typically used within medicine when exploring the efficacy of potential new drugs.</w:t>
      </w:r>
    </w:p>
    <w:p w14:paraId="6FD1FF61" w14:textId="77777777" w:rsidR="0082639B" w:rsidRDefault="0082639B" w:rsidP="00227730">
      <w:pPr>
        <w:spacing w:line="480" w:lineRule="auto"/>
      </w:pPr>
    </w:p>
    <w:p w14:paraId="663F2D6A" w14:textId="3C51A173" w:rsidR="0082639B" w:rsidRDefault="00556EEE" w:rsidP="00227730">
      <w:pPr>
        <w:spacing w:line="480" w:lineRule="auto"/>
      </w:pPr>
      <w:r>
        <w:t xml:space="preserve">‘Lesser’ forms of experimental design are also popular.  For example, quasi-experiments are </w:t>
      </w:r>
      <w:r w:rsidR="0082639B">
        <w:t xml:space="preserve">used where the researcher is not able to dictate in advance the allocation of the intervention between groups – e.g. where some schools choose to opt-in to a new programme while others do not.  Analysis may </w:t>
      </w:r>
      <w:r w:rsidR="0061043E">
        <w:t>use</w:t>
      </w:r>
      <w:r w:rsidR="0082639B">
        <w:t xml:space="preserve"> </w:t>
      </w:r>
      <w:r w:rsidR="00662E2C">
        <w:t xml:space="preserve">retrospective </w:t>
      </w:r>
      <w:r w:rsidR="0082639B" w:rsidRPr="0082639B">
        <w:t>random</w:t>
      </w:r>
      <w:r w:rsidR="0082639B">
        <w:t xml:space="preserve"> selection from within the experimental and control groups or on a matching process to ensure that the two groups are as similar as possible.</w:t>
      </w:r>
      <w:r w:rsidR="0064431A">
        <w:t xml:space="preserve">  Quasi-experiments are particularly used in medicine to determine long-term susceptibilities to disease and where </w:t>
      </w:r>
      <w:r>
        <w:t>purposive</w:t>
      </w:r>
      <w:r w:rsidR="0064431A">
        <w:t xml:space="preserve"> allocation to groups would be impossible or unethical; for example, the </w:t>
      </w:r>
      <w:r w:rsidR="00662E2C">
        <w:t>effects of smoking.</w:t>
      </w:r>
      <w:r w:rsidR="00BE1A1B">
        <w:t xml:space="preserve">  The </w:t>
      </w:r>
      <w:r w:rsidR="007F0DCE">
        <w:t xml:space="preserve">project discussed later in this </w:t>
      </w:r>
      <w:r w:rsidR="00BE1A1B">
        <w:t xml:space="preserve">paper </w:t>
      </w:r>
      <w:r w:rsidR="007F0DCE">
        <w:t xml:space="preserve">was based around </w:t>
      </w:r>
      <w:r w:rsidR="00BE1A1B">
        <w:t>a quasi-experiment</w:t>
      </w:r>
      <w:r w:rsidR="007F0DCE">
        <w:t>al approach</w:t>
      </w:r>
      <w:r w:rsidR="00BE1A1B">
        <w:t>.</w:t>
      </w:r>
    </w:p>
    <w:p w14:paraId="20BE1B0B" w14:textId="77777777" w:rsidR="006F3B1C" w:rsidRDefault="006F3B1C" w:rsidP="00227730">
      <w:pPr>
        <w:spacing w:line="480" w:lineRule="auto"/>
      </w:pPr>
    </w:p>
    <w:p w14:paraId="38203F2D" w14:textId="01803A1A" w:rsidR="00C138CE" w:rsidRDefault="00DF2BD5" w:rsidP="00227730">
      <w:pPr>
        <w:spacing w:line="480" w:lineRule="auto"/>
      </w:pPr>
      <w:r>
        <w:t xml:space="preserve">However, </w:t>
      </w:r>
      <w:r w:rsidR="00C00460">
        <w:t xml:space="preserve">while there are some superficial parallels between medicine and </w:t>
      </w:r>
      <w:r w:rsidR="00692697">
        <w:t>education</w:t>
      </w:r>
      <w:r w:rsidR="00C00460">
        <w:t>, the</w:t>
      </w:r>
      <w:r w:rsidR="005A46D4">
        <w:t xml:space="preserve"> approaches and the underpinning principles do not transfer readily</w:t>
      </w:r>
      <w:r w:rsidR="00280133">
        <w:t xml:space="preserve"> (Pawson, 2006</w:t>
      </w:r>
      <w:r w:rsidR="001B6832">
        <w:t>)</w:t>
      </w:r>
      <w:r w:rsidR="005A46D4">
        <w:t>.  In the former, the researcher generally has strong control of the environment and they are able to, for example, ensure that the trial participants get the same dosages</w:t>
      </w:r>
      <w:r w:rsidR="00FE416D" w:rsidRPr="00FE416D">
        <w:t xml:space="preserve"> </w:t>
      </w:r>
      <w:r w:rsidR="00FE416D">
        <w:t>after being preselected to remove those with complicating medical histories or environmental factors that may have confounding effects</w:t>
      </w:r>
      <w:r w:rsidR="005A46D4">
        <w:t xml:space="preserve">.  Furthermore, the causal pathway for drugs is </w:t>
      </w:r>
      <w:r w:rsidR="004A72FC">
        <w:t>often</w:t>
      </w:r>
      <w:r w:rsidR="005A46D4">
        <w:t xml:space="preserve"> quite simple</w:t>
      </w:r>
      <w:r w:rsidR="004A72FC">
        <w:t xml:space="preserve">, where it </w:t>
      </w:r>
      <w:r w:rsidR="005A46D4">
        <w:t>is possible to</w:t>
      </w:r>
      <w:r w:rsidR="00FE416D">
        <w:t xml:space="preserve"> </w:t>
      </w:r>
      <w:r w:rsidR="005A46D4">
        <w:t>predict the biochemical reactions that will occur with a good degree of accuracy</w:t>
      </w:r>
      <w:r w:rsidR="008E4F1A">
        <w:t>: ‘m</w:t>
      </w:r>
      <w:r w:rsidR="00C138CE">
        <w:t xml:space="preserve">any people, including social scientists and policy makers, who advocate the use of RCTs for shaping policy and practice in nonmedical fields seem unaware that this tool work wells only for “conceptually neat components of clinical practice” in medicine’ </w:t>
      </w:r>
      <w:r w:rsidR="00D472BD">
        <w:t xml:space="preserve">too </w:t>
      </w:r>
      <w:r w:rsidR="00C138CE">
        <w:t xml:space="preserve">(Lingenfelter, 2016, p. 137, </w:t>
      </w:r>
      <w:r w:rsidR="008E4F1A">
        <w:t>quot</w:t>
      </w:r>
      <w:r w:rsidR="00C138CE">
        <w:t>ing Berwick, 2008).</w:t>
      </w:r>
    </w:p>
    <w:p w14:paraId="48247471" w14:textId="77777777" w:rsidR="00C00460" w:rsidRDefault="00C00460" w:rsidP="00227730">
      <w:pPr>
        <w:spacing w:line="480" w:lineRule="auto"/>
      </w:pPr>
    </w:p>
    <w:p w14:paraId="3993FDC0" w14:textId="22AB916C" w:rsidR="00071A58" w:rsidRDefault="005A46D4" w:rsidP="00227730">
      <w:pPr>
        <w:spacing w:line="480" w:lineRule="auto"/>
      </w:pPr>
      <w:r>
        <w:t>Social science</w:t>
      </w:r>
      <w:r w:rsidR="009C23BB">
        <w:t xml:space="preserve"> is rarely ‘conceptually neat’</w:t>
      </w:r>
      <w:r>
        <w:t xml:space="preserve"> and there are </w:t>
      </w:r>
      <w:r w:rsidR="009C23BB">
        <w:t>therefore dangers arising from</w:t>
      </w:r>
      <w:r>
        <w:t xml:space="preserve"> inappropriate borrowing of ‘what works’ ideas</w:t>
      </w:r>
      <w:r w:rsidR="00BE1A1B">
        <w:t xml:space="preserve">.  </w:t>
      </w:r>
      <w:r w:rsidR="00670D35">
        <w:t xml:space="preserve">The following </w:t>
      </w:r>
      <w:r w:rsidR="000E1CA4">
        <w:t xml:space="preserve">summary </w:t>
      </w:r>
      <w:r w:rsidR="00FA257D">
        <w:t>out</w:t>
      </w:r>
      <w:r w:rsidR="006C4E34">
        <w:t>lines</w:t>
      </w:r>
      <w:r w:rsidR="00FA257D">
        <w:t xml:space="preserve"> some of these </w:t>
      </w:r>
      <w:r w:rsidR="005A574F">
        <w:t xml:space="preserve">practical </w:t>
      </w:r>
      <w:r w:rsidR="00FA257D">
        <w:t>dangers</w:t>
      </w:r>
      <w:r w:rsidR="005A574F">
        <w:t xml:space="preserve"> in educational settings</w:t>
      </w:r>
      <w:r w:rsidR="00FA257D">
        <w:t>:</w:t>
      </w:r>
    </w:p>
    <w:p w14:paraId="7D7A7B66" w14:textId="77777777" w:rsidR="00D472BD" w:rsidRPr="00D472BD" w:rsidRDefault="00D472BD" w:rsidP="00227730">
      <w:pPr>
        <w:spacing w:line="480" w:lineRule="auto"/>
      </w:pPr>
    </w:p>
    <w:p w14:paraId="5EDCF14A" w14:textId="77B30CCE" w:rsidR="00D472BD" w:rsidRDefault="00D472BD" w:rsidP="00227730">
      <w:pPr>
        <w:pStyle w:val="ListParagraph"/>
        <w:numPr>
          <w:ilvl w:val="0"/>
          <w:numId w:val="1"/>
        </w:numPr>
        <w:spacing w:line="480" w:lineRule="auto"/>
      </w:pPr>
      <w:r w:rsidRPr="00D472BD">
        <w:rPr>
          <w:i/>
        </w:rPr>
        <w:t>Problem complexity</w:t>
      </w:r>
      <w:r>
        <w:t xml:space="preserve"> – social problems worthy of policy attention tend towards complexity, or else they would be resolved without </w:t>
      </w:r>
      <w:r w:rsidR="00D2547B">
        <w:t xml:space="preserve">the need for </w:t>
      </w:r>
      <w:r w:rsidR="008C4185">
        <w:t>it</w:t>
      </w:r>
      <w:r>
        <w:t>.  Lingenfelter (2016, p.34) argues that ‘complexity presents formidable analytical problems to the scientific method because the number of causal factors and potential interactions among them is enormous […]</w:t>
      </w:r>
      <w:r w:rsidR="00CB5B88">
        <w:t xml:space="preserve">. </w:t>
      </w:r>
      <w:r>
        <w:t>The more numerous and complex the causal factors involved in the problem to be solved or the disease to be cured, the less likely a single intervention can yield satisfactory results.’</w:t>
      </w:r>
      <w:r w:rsidR="000E38CC">
        <w:t xml:space="preserve">  In particular, </w:t>
      </w:r>
      <w:r w:rsidR="00286710">
        <w:t xml:space="preserve">with respect to social problems, the likelihood is that individuals will have different </w:t>
      </w:r>
      <w:r w:rsidR="00C82B7D">
        <w:t>‘</w:t>
      </w:r>
      <w:r w:rsidR="00286710">
        <w:t>levers</w:t>
      </w:r>
      <w:r w:rsidR="00C82B7D">
        <w:t>’</w:t>
      </w:r>
      <w:r w:rsidR="00286710">
        <w:t xml:space="preserve"> which are effective at shifting choices, behavi</w:t>
      </w:r>
      <w:r w:rsidR="00D42D9D">
        <w:t xml:space="preserve">ours or outcomes, rather than there being one </w:t>
      </w:r>
      <w:r w:rsidR="00286710">
        <w:t xml:space="preserve">intervention </w:t>
      </w:r>
      <w:r w:rsidR="00D42D9D">
        <w:t xml:space="preserve">that </w:t>
      </w:r>
      <w:r w:rsidR="00286710">
        <w:t>work</w:t>
      </w:r>
      <w:r w:rsidR="00D42D9D">
        <w:t>s</w:t>
      </w:r>
      <w:r w:rsidR="00286710">
        <w:t xml:space="preserve"> for all.</w:t>
      </w:r>
      <w:r w:rsidR="00143D1B">
        <w:t xml:space="preserve">  There is no guarantee that this complexity will</w:t>
      </w:r>
      <w:r w:rsidR="003425BA">
        <w:t xml:space="preserve"> be eliminated by randomisation</w:t>
      </w:r>
      <w:r w:rsidR="009E4A6E">
        <w:t xml:space="preserve"> </w:t>
      </w:r>
      <w:r w:rsidR="003425BA">
        <w:t xml:space="preserve">such that different </w:t>
      </w:r>
      <w:r w:rsidR="00C82B7D">
        <w:t xml:space="preserve">statistical </w:t>
      </w:r>
      <w:r w:rsidR="003425BA">
        <w:t xml:space="preserve">results </w:t>
      </w:r>
      <w:r w:rsidR="009E4A6E">
        <w:t xml:space="preserve">can </w:t>
      </w:r>
      <w:r w:rsidR="003425BA">
        <w:t>arise from different experimental/control group configurations</w:t>
      </w:r>
      <w:r w:rsidR="00FE0A91">
        <w:t xml:space="preserve"> (Bickman and Reich 2009)</w:t>
      </w:r>
      <w:r w:rsidR="003425BA">
        <w:t>.</w:t>
      </w:r>
    </w:p>
    <w:p w14:paraId="5D2179D3" w14:textId="77777777" w:rsidR="00D472BD" w:rsidRDefault="00D472BD" w:rsidP="00227730">
      <w:pPr>
        <w:pStyle w:val="ListParagraph"/>
        <w:spacing w:line="480" w:lineRule="auto"/>
      </w:pPr>
    </w:p>
    <w:p w14:paraId="684B7A9A" w14:textId="609C7D8C" w:rsidR="001D66AB" w:rsidRDefault="001D66AB" w:rsidP="00227730">
      <w:pPr>
        <w:pStyle w:val="ListParagraph"/>
        <w:numPr>
          <w:ilvl w:val="0"/>
          <w:numId w:val="1"/>
        </w:numPr>
        <w:spacing w:line="480" w:lineRule="auto"/>
      </w:pPr>
      <w:r w:rsidRPr="009846C3">
        <w:rPr>
          <w:i/>
        </w:rPr>
        <w:t>Social complexity</w:t>
      </w:r>
      <w:r>
        <w:t xml:space="preserve"> – </w:t>
      </w:r>
      <w:r w:rsidR="00D472BD">
        <w:t xml:space="preserve">similarly, </w:t>
      </w:r>
      <w:r>
        <w:t xml:space="preserve">educational establishments are complex organisations, containing multiple agents with individualised values, beliefs, attitudes and emotions.  </w:t>
      </w:r>
      <w:r w:rsidR="009E4A6E">
        <w:t>I</w:t>
      </w:r>
      <w:r>
        <w:t>nterventions are likely to be subject to a range of behaviours that may be resistive, performative or non-rational from teachers, learners and others</w:t>
      </w:r>
      <w:r w:rsidR="00193A4B">
        <w:t xml:space="preserve">; </w:t>
      </w:r>
      <w:r w:rsidR="00280133">
        <w:t>Pawson (2006</w:t>
      </w:r>
      <w:r w:rsidR="000E1CA4">
        <w:t>, 2013</w:t>
      </w:r>
      <w:r w:rsidR="00193A4B">
        <w:t xml:space="preserve">) argues that human interactions </w:t>
      </w:r>
      <w:r w:rsidR="00DC08BA">
        <w:t xml:space="preserve">and intentionality </w:t>
      </w:r>
      <w:r w:rsidR="00193A4B">
        <w:t>should be the unit of analysis, not crude measures of ‘outcome’</w:t>
      </w:r>
      <w:r>
        <w:t xml:space="preserve">. ‘What works’ approaches </w:t>
      </w:r>
      <w:r w:rsidR="00957C11">
        <w:t xml:space="preserve">often </w:t>
      </w:r>
      <w:r>
        <w:t>rely on randomisation to control for this hyper-complexity, but there is a strong challenge here to Gorard’s (2013) requirement around predictability and repeatability.  Lingenfelter (2016</w:t>
      </w:r>
      <w:r w:rsidR="00072724">
        <w:t>) and Pawson (2013)</w:t>
      </w:r>
      <w:r>
        <w:t xml:space="preserve"> </w:t>
      </w:r>
      <w:r w:rsidR="009E4A6E">
        <w:t xml:space="preserve"> argues that this is</w:t>
      </w:r>
      <w:r>
        <w:t xml:space="preserve"> an issue of ‘fidelity’ which compromises both the results of the experimental study and the likelihood of </w:t>
      </w:r>
      <w:r w:rsidR="000A28CA">
        <w:t xml:space="preserve">later </w:t>
      </w:r>
      <w:r>
        <w:t>replicating these results ‘in the field’</w:t>
      </w:r>
      <w:r w:rsidR="00072724">
        <w:t>.</w:t>
      </w:r>
      <w:r w:rsidR="003F259A">
        <w:t xml:space="preserve">  </w:t>
      </w:r>
    </w:p>
    <w:p w14:paraId="32AB55D0" w14:textId="77777777" w:rsidR="001D66AB" w:rsidRDefault="001D66AB" w:rsidP="00227730">
      <w:pPr>
        <w:pStyle w:val="ListParagraph"/>
        <w:spacing w:line="480" w:lineRule="auto"/>
      </w:pPr>
    </w:p>
    <w:p w14:paraId="7207EDAB" w14:textId="5FC54DE0" w:rsidR="006312EC" w:rsidRDefault="00A35D58" w:rsidP="00227730">
      <w:pPr>
        <w:pStyle w:val="ListParagraph"/>
        <w:numPr>
          <w:ilvl w:val="0"/>
          <w:numId w:val="1"/>
        </w:numPr>
        <w:spacing w:line="480" w:lineRule="auto"/>
      </w:pPr>
      <w:r w:rsidRPr="009846C3">
        <w:rPr>
          <w:i/>
        </w:rPr>
        <w:t>Law of unmeasured consequences</w:t>
      </w:r>
      <w:r>
        <w:t xml:space="preserve"> </w:t>
      </w:r>
      <w:r w:rsidR="008D2D72">
        <w:t>–</w:t>
      </w:r>
      <w:r>
        <w:t xml:space="preserve"> </w:t>
      </w:r>
      <w:r w:rsidR="008D2D72">
        <w:t xml:space="preserve">ordinarily, there is only a single or small group of outcomes that are measured and analysed </w:t>
      </w:r>
      <w:r w:rsidR="0051612C">
        <w:t xml:space="preserve">for a </w:t>
      </w:r>
      <w:r w:rsidR="00EA2CF9">
        <w:t>marked improvement in the area of interest</w:t>
      </w:r>
      <w:r w:rsidR="00BB18B2">
        <w:t xml:space="preserve"> (e.g. reading scores</w:t>
      </w:r>
      <w:r w:rsidR="0051612C">
        <w:t>: Gorard, Siddiqui and See, 2015</w:t>
      </w:r>
      <w:r w:rsidR="00BB18B2">
        <w:t>)</w:t>
      </w:r>
      <w:r w:rsidR="00EA2CF9">
        <w:t xml:space="preserve">.  </w:t>
      </w:r>
      <w:r w:rsidR="00D449D1">
        <w:t>Therefore</w:t>
      </w:r>
      <w:r w:rsidR="00EA2CF9">
        <w:t xml:space="preserve">, the </w:t>
      </w:r>
      <w:r w:rsidR="00D449D1">
        <w:t>evaluation</w:t>
      </w:r>
      <w:r w:rsidR="00EA2CF9">
        <w:t xml:space="preserve"> </w:t>
      </w:r>
      <w:r w:rsidR="00D449D1">
        <w:t>may</w:t>
      </w:r>
      <w:r w:rsidR="0051612C">
        <w:t xml:space="preserve"> </w:t>
      </w:r>
      <w:r w:rsidR="00EA2CF9">
        <w:t xml:space="preserve">not be aware of possible negatives elsewhere for the learner.  For example, they could see their stress levels rise or the attainment in a different subject fall (e.g. due to the </w:t>
      </w:r>
      <w:r w:rsidR="0051612C">
        <w:t>intervention</w:t>
      </w:r>
      <w:r w:rsidR="00EA2CF9">
        <w:t xml:space="preserve"> taking more of their study time).</w:t>
      </w:r>
      <w:r w:rsidR="00042CD2">
        <w:t xml:space="preserve">  </w:t>
      </w:r>
    </w:p>
    <w:p w14:paraId="3535A28C" w14:textId="77777777" w:rsidR="006312EC" w:rsidRDefault="006312EC" w:rsidP="00227730">
      <w:pPr>
        <w:pStyle w:val="ListParagraph"/>
        <w:spacing w:line="480" w:lineRule="auto"/>
      </w:pPr>
    </w:p>
    <w:p w14:paraId="65A99E36" w14:textId="0BC3C6BD" w:rsidR="006312EC" w:rsidRDefault="006312EC" w:rsidP="00227730">
      <w:pPr>
        <w:pStyle w:val="ListParagraph"/>
        <w:numPr>
          <w:ilvl w:val="0"/>
          <w:numId w:val="1"/>
        </w:numPr>
        <w:spacing w:line="480" w:lineRule="auto"/>
      </w:pPr>
      <w:r w:rsidRPr="009846C3">
        <w:rPr>
          <w:i/>
        </w:rPr>
        <w:t>Passage of time</w:t>
      </w:r>
      <w:r w:rsidR="009846C3">
        <w:rPr>
          <w:i/>
        </w:rPr>
        <w:t xml:space="preserve"> and overlapping interventions</w:t>
      </w:r>
      <w:r>
        <w:t xml:space="preserve"> – the longer that an </w:t>
      </w:r>
      <w:r w:rsidR="00582C0F">
        <w:t xml:space="preserve">intervention </w:t>
      </w:r>
      <w:r>
        <w:t>lasts or the longer the time between intervention and outcome</w:t>
      </w:r>
      <w:r w:rsidR="0051612C">
        <w:t>s are</w:t>
      </w:r>
      <w:r>
        <w:t xml:space="preserve"> measure</w:t>
      </w:r>
      <w:r w:rsidR="0051612C">
        <w:t>d</w:t>
      </w:r>
      <w:r>
        <w:t>, the less reliable</w:t>
      </w:r>
      <w:r w:rsidR="00582C0F">
        <w:t xml:space="preserve"> the inference that can be made due to the ever-increasing number of confounding factors than can creep into </w:t>
      </w:r>
      <w:r w:rsidR="0051612C">
        <w:t>the study</w:t>
      </w:r>
      <w:r w:rsidR="000D71A2">
        <w:t>, as well as the scope for participant attrition and contamination between the experimental and control/comparison group (</w:t>
      </w:r>
      <w:r w:rsidR="006C4E34">
        <w:t xml:space="preserve">Bickman and Reich, 2009; </w:t>
      </w:r>
      <w:r w:rsidR="000D71A2">
        <w:t>Cook et al, 2010)</w:t>
      </w:r>
      <w:r w:rsidR="00582C0F">
        <w:t xml:space="preserve">.  </w:t>
      </w:r>
      <w:r w:rsidR="003B08EB">
        <w:t xml:space="preserve">Furthermore, if there are multiple interventions </w:t>
      </w:r>
      <w:r w:rsidR="0051612C">
        <w:t>during the life of the study</w:t>
      </w:r>
      <w:r w:rsidR="003B08EB">
        <w:t xml:space="preserve"> with overlapping aims, as is often the case in educational settings, determining which </w:t>
      </w:r>
      <w:r w:rsidR="00D472BD">
        <w:t>are</w:t>
      </w:r>
      <w:r w:rsidR="003B08EB">
        <w:t xml:space="preserve"> effective is particularly problematic</w:t>
      </w:r>
      <w:r w:rsidR="00280133">
        <w:t xml:space="preserve"> (Pawson, 2006</w:t>
      </w:r>
      <w:r w:rsidR="006377AB">
        <w:t>)</w:t>
      </w:r>
      <w:r w:rsidR="003B08EB">
        <w:t>.</w:t>
      </w:r>
      <w:r w:rsidR="0051612C">
        <w:t xml:space="preserve">  Educational interventions tend to last longer than medical trials</w:t>
      </w:r>
      <w:r w:rsidR="00D472BD">
        <w:t xml:space="preserve"> and so these difficulties are harder to overcome</w:t>
      </w:r>
      <w:r w:rsidR="0051612C">
        <w:t>.</w:t>
      </w:r>
      <w:r w:rsidR="004A72FC">
        <w:t xml:space="preserve">  </w:t>
      </w:r>
      <w:r w:rsidR="00CB5801">
        <w:t>However</w:t>
      </w:r>
      <w:r w:rsidR="004A72FC">
        <w:t xml:space="preserve">, if studies are kept short to eliminate these issues, they are </w:t>
      </w:r>
      <w:r w:rsidR="00CB5801">
        <w:t xml:space="preserve">then </w:t>
      </w:r>
      <w:r w:rsidR="001D66AB">
        <w:t>unable to</w:t>
      </w:r>
      <w:r w:rsidR="004A72FC">
        <w:t xml:space="preserve"> provide </w:t>
      </w:r>
      <w:r w:rsidR="00CB5801">
        <w:t xml:space="preserve">reliable </w:t>
      </w:r>
      <w:r w:rsidR="004A72FC">
        <w:t>inference</w:t>
      </w:r>
      <w:r w:rsidR="00AF0C77">
        <w:t xml:space="preserve"> around the long-term (positive, </w:t>
      </w:r>
      <w:r w:rsidR="004A72FC">
        <w:t>negative</w:t>
      </w:r>
      <w:r w:rsidR="00AF0C77">
        <w:t xml:space="preserve"> and side</w:t>
      </w:r>
      <w:r w:rsidR="004A72FC">
        <w:t xml:space="preserve">) effects </w:t>
      </w:r>
      <w:r w:rsidR="001D66AB">
        <w:t>of an intervention, which may differ significantly from those measured within short timescales.</w:t>
      </w:r>
    </w:p>
    <w:p w14:paraId="37277727" w14:textId="77777777" w:rsidR="00656662" w:rsidRDefault="00656662" w:rsidP="00227730">
      <w:pPr>
        <w:pStyle w:val="ListParagraph"/>
        <w:spacing w:line="480" w:lineRule="auto"/>
      </w:pPr>
    </w:p>
    <w:p w14:paraId="0012DE7A" w14:textId="065D880F" w:rsidR="008018B1" w:rsidRDefault="00656662" w:rsidP="00227730">
      <w:pPr>
        <w:pStyle w:val="ListParagraph"/>
        <w:numPr>
          <w:ilvl w:val="0"/>
          <w:numId w:val="1"/>
        </w:numPr>
        <w:spacing w:line="480" w:lineRule="auto"/>
      </w:pPr>
      <w:r w:rsidRPr="009846C3">
        <w:rPr>
          <w:i/>
        </w:rPr>
        <w:t>Experimentation effects</w:t>
      </w:r>
      <w:r w:rsidR="00754389">
        <w:rPr>
          <w:i/>
        </w:rPr>
        <w:t xml:space="preserve"> </w:t>
      </w:r>
      <w:r w:rsidR="00DC5B12">
        <w:t>–</w:t>
      </w:r>
      <w:r>
        <w:t xml:space="preserve"> </w:t>
      </w:r>
      <w:r w:rsidR="00DC5B12">
        <w:t xml:space="preserve">a key challenge is removing </w:t>
      </w:r>
      <w:r w:rsidR="00A73BF3">
        <w:t>systematic biases that derive from the very nature of experimental rese</w:t>
      </w:r>
      <w:r w:rsidR="00BB18B2">
        <w:t>arch</w:t>
      </w:r>
      <w:r w:rsidR="006C4E34">
        <w:t xml:space="preserve"> (Bickman and Reich, 2009; Scriven, 2009)</w:t>
      </w:r>
      <w:r w:rsidR="00BB18B2">
        <w:t>.  The so-called Hawthorne e</w:t>
      </w:r>
      <w:r w:rsidR="00A73BF3">
        <w:t xml:space="preserve">ffect sensitises individuals to changes in their circumstances, while those delivering the intervention (i.e. usually teachers) will provide subconscious clues as to their standpoint on it by, for example, </w:t>
      </w:r>
      <w:r w:rsidR="002837A6">
        <w:t>adding extra enthusiasm to</w:t>
      </w:r>
      <w:r w:rsidR="00A73BF3">
        <w:t xml:space="preserve"> lessons.  Within medicine this is </w:t>
      </w:r>
      <w:r w:rsidR="008E4F1A">
        <w:t>alleviat</w:t>
      </w:r>
      <w:r w:rsidR="00A73BF3">
        <w:t xml:space="preserve">ed through the double-blind placebo protocol, but this is </w:t>
      </w:r>
      <w:r w:rsidR="002837A6">
        <w:t xml:space="preserve">very </w:t>
      </w:r>
      <w:r w:rsidR="00BB18B2">
        <w:t xml:space="preserve">much harder to achieve in an educational setting.  </w:t>
      </w:r>
      <w:r w:rsidR="00525670">
        <w:t>There is a danger that results merely represent the novelty of the intervention</w:t>
      </w:r>
      <w:r w:rsidR="003C2AA1">
        <w:t xml:space="preserve">, </w:t>
      </w:r>
      <w:r w:rsidR="00525670">
        <w:t>practitio</w:t>
      </w:r>
      <w:r w:rsidR="003C2AA1">
        <w:t>ner enthusiasm for it or a secondary feature of the intervention</w:t>
      </w:r>
      <w:r w:rsidR="004F1C13">
        <w:t>, while those in the control group may become demotivated by their exclusion from the intervention</w:t>
      </w:r>
      <w:r w:rsidR="003C2AA1">
        <w:t xml:space="preserve">.  For example, Gorard, Siddiqui and See (2015) reflect on how the results of their RCT on a reading intervention might be explained, at least in part, by the additional one-to-one attention given to the children rather than the intrinsic </w:t>
      </w:r>
      <w:r w:rsidR="00754389">
        <w:t>success</w:t>
      </w:r>
      <w:r w:rsidR="003C2AA1">
        <w:t xml:space="preserve"> of the intervention</w:t>
      </w:r>
      <w:r w:rsidR="00754389">
        <w:t xml:space="preserve"> itself</w:t>
      </w:r>
      <w:r w:rsidR="003C2AA1">
        <w:t>.</w:t>
      </w:r>
      <w:r w:rsidR="003601C6">
        <w:t xml:space="preserve">  </w:t>
      </w:r>
    </w:p>
    <w:p w14:paraId="6EED907C" w14:textId="77777777" w:rsidR="00BB18B2" w:rsidRDefault="00BB18B2" w:rsidP="00227730">
      <w:pPr>
        <w:pStyle w:val="ListParagraph"/>
        <w:spacing w:line="480" w:lineRule="auto"/>
      </w:pPr>
    </w:p>
    <w:p w14:paraId="1086B305" w14:textId="77777777" w:rsidR="00017C38" w:rsidRDefault="00017C38" w:rsidP="00227730">
      <w:pPr>
        <w:spacing w:line="480" w:lineRule="auto"/>
      </w:pPr>
    </w:p>
    <w:p w14:paraId="1A8E6E15" w14:textId="5E7C0E21" w:rsidR="00017C38" w:rsidRDefault="00017C38" w:rsidP="00227730">
      <w:pPr>
        <w:pStyle w:val="ListParagraph"/>
        <w:numPr>
          <w:ilvl w:val="0"/>
          <w:numId w:val="1"/>
        </w:numPr>
        <w:spacing w:line="480" w:lineRule="auto"/>
      </w:pPr>
      <w:r w:rsidRPr="009846C3">
        <w:rPr>
          <w:i/>
        </w:rPr>
        <w:t>Over-expectation</w:t>
      </w:r>
      <w:r>
        <w:t xml:space="preserve"> –</w:t>
      </w:r>
      <w:r w:rsidR="00EE5F0C">
        <w:t xml:space="preserve"> </w:t>
      </w:r>
      <w:r>
        <w:t xml:space="preserve">there is a danger that policymakers, researchers and the originators of the intervention can have unrealistically high expectations of the effect sizes that mark ‘success’.  This is partly due to the </w:t>
      </w:r>
      <w:r w:rsidR="009F4ABF">
        <w:t>multiple confounding factors and interventions that are likely to impact on the outcomes, bound up in the complexity of the environment.  The risk is that effective interventions may be discarded if they do not reach a</w:t>
      </w:r>
      <w:r w:rsidR="000E1CA4">
        <w:t>n arbitrary</w:t>
      </w:r>
      <w:r w:rsidR="009F4ABF">
        <w:t xml:space="preserve"> threshold for effect size</w:t>
      </w:r>
      <w:r w:rsidR="0028428E">
        <w:t>; how much impact should one expect a single intervention to have on a learner’s life?</w:t>
      </w:r>
      <w:r w:rsidR="00BA3AEA">
        <w:t xml:space="preserve">  Similarly, in what proportion of educational settings does an intervention need to work for this to constitute </w:t>
      </w:r>
      <w:r w:rsidR="00EE5F0C">
        <w:t>‘</w:t>
      </w:r>
      <w:r w:rsidR="00BA3AEA">
        <w:t>proof</w:t>
      </w:r>
      <w:r w:rsidR="00EE5F0C">
        <w:t xml:space="preserve">’?  </w:t>
      </w:r>
      <w:r w:rsidR="00A756AC">
        <w:t xml:space="preserve">Drawing on </w:t>
      </w:r>
      <w:r w:rsidR="00427D11">
        <w:t xml:space="preserve">work in the </w:t>
      </w:r>
      <w:r w:rsidR="00A756AC">
        <w:t>US, Lingerfelter (2016, p. 173) asserts that ‘the experience of the past several decades suggests that very few if any single interventions or programs can consistently generate sizable effects’</w:t>
      </w:r>
      <w:r w:rsidR="00880F26">
        <w:t xml:space="preserve"> such that ‘it is hard to find any intervention that works dramatically well for the most difficult challenges’ (ibid, p.44).</w:t>
      </w:r>
    </w:p>
    <w:p w14:paraId="6521D5FF" w14:textId="77777777" w:rsidR="0051612C" w:rsidRDefault="0051612C" w:rsidP="00227730">
      <w:pPr>
        <w:pStyle w:val="ListParagraph"/>
        <w:spacing w:line="480" w:lineRule="auto"/>
      </w:pPr>
    </w:p>
    <w:p w14:paraId="5E1B8495" w14:textId="440B760E" w:rsidR="0051612C" w:rsidRDefault="0051612C" w:rsidP="00227730">
      <w:pPr>
        <w:pStyle w:val="ListParagraph"/>
        <w:numPr>
          <w:ilvl w:val="0"/>
          <w:numId w:val="1"/>
        </w:numPr>
        <w:spacing w:line="480" w:lineRule="auto"/>
      </w:pPr>
      <w:r w:rsidRPr="009846C3">
        <w:rPr>
          <w:i/>
        </w:rPr>
        <w:t>Crude utilitarianism</w:t>
      </w:r>
      <w:r>
        <w:t xml:space="preserve"> – where the objective is to show an improvement in a key outcome indicator, there is a danger that it does not matter where the change occurs.  For example, the result of the </w:t>
      </w:r>
      <w:r w:rsidR="005B0842">
        <w:t>intervention</w:t>
      </w:r>
      <w:r>
        <w:t xml:space="preserve"> could be that five learners in a class do less well, while ten do significantly better.  It would be </w:t>
      </w:r>
      <w:r w:rsidR="000E1CA4">
        <w:t xml:space="preserve">tempting </w:t>
      </w:r>
      <w:r>
        <w:t>to typify this as evidence of success, given that the overall change is positive, but it could mask negative impact for some learners.</w:t>
      </w:r>
      <w:r w:rsidR="005B0842">
        <w:t xml:space="preserve">  This tyranny of the majority derives from quantitative methods’ over-reliance on averages to describe distributions</w:t>
      </w:r>
      <w:r w:rsidR="00C076EE">
        <w:t xml:space="preserve"> and, in this instance, evaluate impact</w:t>
      </w:r>
      <w:r w:rsidR="004E3160">
        <w:t xml:space="preserve"> (Mark, 2009</w:t>
      </w:r>
      <w:r w:rsidR="00632877">
        <w:t>)</w:t>
      </w:r>
      <w:r w:rsidR="000E1CA4">
        <w:t xml:space="preserve">; to what extent can </w:t>
      </w:r>
      <w:r w:rsidR="00143D1B">
        <w:t>‘collateral damage’ be tolerated in pursuit of improved averages.</w:t>
      </w:r>
    </w:p>
    <w:p w14:paraId="60BA2603" w14:textId="77777777" w:rsidR="008D269C" w:rsidRDefault="008D269C" w:rsidP="00227730">
      <w:pPr>
        <w:spacing w:line="480" w:lineRule="auto"/>
      </w:pPr>
    </w:p>
    <w:p w14:paraId="605131C8" w14:textId="77777777" w:rsidR="001156D7" w:rsidRDefault="0028428E" w:rsidP="00227730">
      <w:pPr>
        <w:spacing w:line="480" w:lineRule="auto"/>
      </w:pPr>
      <w:r>
        <w:t xml:space="preserve">It is important to stress that none of these critiques is a ‘silver bullet’ that destroys the credibility of </w:t>
      </w:r>
      <w:r w:rsidR="00737422">
        <w:t>‘what works’</w:t>
      </w:r>
      <w:r>
        <w:t xml:space="preserve"> research.  They are challenges that need to be addressed and either overcome or acknowledged; poor research results when they are either not understood, ignored or obfuscated by unsupportable claims to knowledge </w:t>
      </w:r>
      <w:r w:rsidR="000D5888">
        <w:t>which are based solely</w:t>
      </w:r>
      <w:r w:rsidR="00737422">
        <w:t xml:space="preserve"> on the privileged nature of </w:t>
      </w:r>
      <w:r w:rsidR="004E55E5">
        <w:t xml:space="preserve">RCTs and other </w:t>
      </w:r>
      <w:r w:rsidR="00737422">
        <w:t>experimental methodologies</w:t>
      </w:r>
      <w:r w:rsidR="000D5888">
        <w:t xml:space="preserve"> in the eyes of policymakers and others</w:t>
      </w:r>
      <w:r>
        <w:t>.</w:t>
      </w:r>
    </w:p>
    <w:p w14:paraId="25EFA6B1" w14:textId="77777777" w:rsidR="00427D11" w:rsidRDefault="00427D11" w:rsidP="00227730">
      <w:pPr>
        <w:spacing w:line="480" w:lineRule="auto"/>
      </w:pPr>
    </w:p>
    <w:p w14:paraId="75DA9064" w14:textId="1323D73B" w:rsidR="00427D11" w:rsidRDefault="00427D11" w:rsidP="00227730">
      <w:pPr>
        <w:spacing w:line="480" w:lineRule="auto"/>
      </w:pPr>
      <w:r>
        <w:t xml:space="preserve">Lingenfelter (2016) makes two particularly salient points based on the US experience.  Firstly, he </w:t>
      </w:r>
      <w:r w:rsidR="00DC08BA">
        <w:t>asserts</w:t>
      </w:r>
      <w:r>
        <w:t xml:space="preserve"> that </w:t>
      </w:r>
      <w:r w:rsidR="00DC08BA">
        <w:t>‘what works’</w:t>
      </w:r>
      <w:r>
        <w:t xml:space="preserve"> has failed to seed significant improvements in educational outcomes, </w:t>
      </w:r>
      <w:r w:rsidR="001867FF">
        <w:t xml:space="preserve">and that </w:t>
      </w:r>
      <w:r w:rsidR="007E6E47">
        <w:t>‘the weak track record of experimental research in identifying successful social interventions means that admitting only “gold standard” evidence in evaluating social problems has negative practical effects’ (p. 44) by squeezing out alternative forms of evidence and inappropriately dismissing successful interventions</w:t>
      </w:r>
      <w:r>
        <w:t>.</w:t>
      </w:r>
      <w:r w:rsidR="00646F04">
        <w:t xml:space="preserve">  Secondly, he </w:t>
      </w:r>
      <w:r w:rsidR="002F5B4E">
        <w:t>reflects on</w:t>
      </w:r>
      <w:r w:rsidR="00646F04">
        <w:t xml:space="preserve"> how </w:t>
      </w:r>
      <w:r w:rsidR="007F2DFB">
        <w:t xml:space="preserve">even </w:t>
      </w:r>
      <w:r w:rsidR="00646F04">
        <w:t xml:space="preserve">the medical profession has </w:t>
      </w:r>
      <w:r w:rsidR="007E6E47">
        <w:t>more recently</w:t>
      </w:r>
      <w:r w:rsidR="00646F04">
        <w:t xml:space="preserve"> tempered its enthusiasm for a pure ‘what works’ philosophy, increasingly making use of a reciprocal knowledge exchange between researchers and practitioners, particularly with respect to complex </w:t>
      </w:r>
      <w:r w:rsidR="008A1F4A">
        <w:t xml:space="preserve">medical </w:t>
      </w:r>
      <w:r w:rsidR="00646F04">
        <w:t>problems with a social dimension</w:t>
      </w:r>
      <w:r w:rsidR="00B37C8E">
        <w:t xml:space="preserve"> that require a more holistic approach</w:t>
      </w:r>
      <w:r w:rsidR="007E6E47">
        <w:t xml:space="preserve"> (Berwick, 2008)</w:t>
      </w:r>
      <w:r w:rsidR="00646F04">
        <w:t>.</w:t>
      </w:r>
      <w:r w:rsidR="00833F8F">
        <w:t xml:space="preserve"> </w:t>
      </w:r>
    </w:p>
    <w:p w14:paraId="5CE24017" w14:textId="77777777" w:rsidR="0028428E" w:rsidRDefault="0028428E" w:rsidP="00227730">
      <w:pPr>
        <w:spacing w:line="480" w:lineRule="auto"/>
      </w:pPr>
    </w:p>
    <w:p w14:paraId="6EC1A49E" w14:textId="77777777" w:rsidR="0028428E" w:rsidRDefault="0028428E" w:rsidP="00227730">
      <w:pPr>
        <w:spacing w:line="480" w:lineRule="auto"/>
      </w:pPr>
    </w:p>
    <w:p w14:paraId="15D541AE" w14:textId="29419E52" w:rsidR="00035A1B" w:rsidRPr="00943D24" w:rsidRDefault="00943D24" w:rsidP="00227730">
      <w:pPr>
        <w:spacing w:line="480" w:lineRule="auto"/>
        <w:rPr>
          <w:b/>
        </w:rPr>
      </w:pPr>
      <w:r w:rsidRPr="00943D24">
        <w:rPr>
          <w:b/>
        </w:rPr>
        <w:t>Context</w:t>
      </w:r>
      <w:r w:rsidR="009179CE">
        <w:rPr>
          <w:b/>
        </w:rPr>
        <w:t>:</w:t>
      </w:r>
      <w:r w:rsidR="00A77322">
        <w:rPr>
          <w:b/>
        </w:rPr>
        <w:t xml:space="preserve"> widening participation in higher education</w:t>
      </w:r>
    </w:p>
    <w:p w14:paraId="3145627D" w14:textId="77777777" w:rsidR="00EC22EB" w:rsidRDefault="00EC22EB" w:rsidP="00227730">
      <w:pPr>
        <w:spacing w:line="480" w:lineRule="auto"/>
      </w:pPr>
    </w:p>
    <w:p w14:paraId="4DE02AAE" w14:textId="0D2F2CDC" w:rsidR="00EC22EB" w:rsidRDefault="00E208ED" w:rsidP="00227730">
      <w:pPr>
        <w:spacing w:line="480" w:lineRule="auto"/>
      </w:pPr>
      <w:r>
        <w:t>The context for</w:t>
      </w:r>
      <w:r w:rsidR="0075296B">
        <w:t xml:space="preserve"> </w:t>
      </w:r>
      <w:r>
        <w:t>this paper is higher education</w:t>
      </w:r>
      <w:r w:rsidR="007A60B2">
        <w:t xml:space="preserve"> in England</w:t>
      </w:r>
      <w:r>
        <w:t xml:space="preserve"> and specifically </w:t>
      </w:r>
      <w:r w:rsidR="002A5C3B">
        <w:t>the long</w:t>
      </w:r>
      <w:r w:rsidR="007A60B2">
        <w:t xml:space="preserve">standing efforts to widen </w:t>
      </w:r>
      <w:r w:rsidR="005902AA">
        <w:t xml:space="preserve">undergraduate </w:t>
      </w:r>
      <w:r w:rsidR="007A60B2">
        <w:t xml:space="preserve">participation to groups that have historically been under-represented – particularly those from low income households, whose chances of attending are around a </w:t>
      </w:r>
      <w:r w:rsidR="00DE4542">
        <w:t>half</w:t>
      </w:r>
      <w:r w:rsidR="007A60B2">
        <w:t xml:space="preserve"> </w:t>
      </w:r>
      <w:r w:rsidR="00DE4542">
        <w:t>that of their more affluent peers</w:t>
      </w:r>
      <w:r w:rsidR="00935BBA">
        <w:t xml:space="preserve"> (</w:t>
      </w:r>
      <w:r w:rsidR="00DE4542">
        <w:t>Department for Business, Innovation and Skills, 2015 [BIS]; Higher Education Funding Council for England [HEFCE], 2012</w:t>
      </w:r>
      <w:r w:rsidR="00935BBA">
        <w:t>)</w:t>
      </w:r>
      <w:r w:rsidR="007A60B2">
        <w:t>.</w:t>
      </w:r>
      <w:r w:rsidR="008C1882">
        <w:t xml:space="preserve">  </w:t>
      </w:r>
      <w:r w:rsidR="009179CE">
        <w:t>Widening participation</w:t>
      </w:r>
      <w:r w:rsidR="00E269D9">
        <w:t xml:space="preserve"> </w:t>
      </w:r>
      <w:r w:rsidR="008C1882">
        <w:t xml:space="preserve">has been a policy </w:t>
      </w:r>
      <w:r w:rsidR="00F95456">
        <w:t>objective</w:t>
      </w:r>
      <w:r w:rsidR="008C1882">
        <w:t xml:space="preserve"> for successive governments since the </w:t>
      </w:r>
      <w:r w:rsidR="009179CE">
        <w:t>late 1990s (</w:t>
      </w:r>
      <w:r w:rsidR="00935BBA">
        <w:t>Department for Education and Employment, 2000; Department for Education and Skills</w:t>
      </w:r>
      <w:r w:rsidR="00730D5C">
        <w:t xml:space="preserve"> [DfES]</w:t>
      </w:r>
      <w:r w:rsidR="00935BBA">
        <w:t>, 2003)</w:t>
      </w:r>
      <w:r w:rsidR="00F95456">
        <w:t xml:space="preserve">, </w:t>
      </w:r>
      <w:r w:rsidR="00E269D9">
        <w:t xml:space="preserve">initially </w:t>
      </w:r>
      <w:r w:rsidR="00F95456">
        <w:t xml:space="preserve">as part of an agenda to </w:t>
      </w:r>
      <w:r w:rsidR="00E269D9">
        <w:t xml:space="preserve">support the notion of </w:t>
      </w:r>
      <w:r w:rsidR="00F95456">
        <w:t>social justice and latterly to support social mobility</w:t>
      </w:r>
      <w:r w:rsidR="00730D5C">
        <w:t xml:space="preserve"> (Milburn, 2009, 2012</w:t>
      </w:r>
      <w:r w:rsidR="00867A25">
        <w:t>)</w:t>
      </w:r>
      <w:r w:rsidR="00F95456">
        <w:t>.</w:t>
      </w:r>
    </w:p>
    <w:p w14:paraId="2BD223D0" w14:textId="77777777" w:rsidR="007372E8" w:rsidRDefault="007372E8" w:rsidP="00227730">
      <w:pPr>
        <w:spacing w:line="480" w:lineRule="auto"/>
      </w:pPr>
    </w:p>
    <w:p w14:paraId="37B4AACB" w14:textId="160CCC1F" w:rsidR="000A6E86" w:rsidRDefault="00EF7CE1" w:rsidP="00227730">
      <w:pPr>
        <w:spacing w:line="480" w:lineRule="auto"/>
      </w:pPr>
      <w:r>
        <w:t xml:space="preserve">Over the last </w:t>
      </w:r>
      <w:r w:rsidR="009E5903">
        <w:t>ten</w:t>
      </w:r>
      <w:r>
        <w:t xml:space="preserve"> years, pressure has grown on institutions and other organisations to demonstrate that their efforts are working</w:t>
      </w:r>
      <w:r w:rsidR="00DE4542">
        <w:t xml:space="preserve"> (e.g. HEFCE, 2007</w:t>
      </w:r>
      <w:r w:rsidR="00935BBA">
        <w:t>)</w:t>
      </w:r>
      <w:r>
        <w:t xml:space="preserve">.  This is partly in the context </w:t>
      </w:r>
      <w:r w:rsidR="000313F7">
        <w:t xml:space="preserve">of the resource being expended </w:t>
      </w:r>
      <w:r w:rsidR="00813533">
        <w:t>during a period of austerity</w:t>
      </w:r>
      <w:r w:rsidR="0063178F">
        <w:t xml:space="preserve"> (although much of the expenditure is now derived from tuition fee income and so not directly </w:t>
      </w:r>
      <w:r w:rsidR="002A5C3B">
        <w:t>from the public purse</w:t>
      </w:r>
      <w:r w:rsidR="0063178F">
        <w:t>)</w:t>
      </w:r>
      <w:r w:rsidR="00813533">
        <w:t xml:space="preserve"> </w:t>
      </w:r>
      <w:r w:rsidR="000313F7">
        <w:t xml:space="preserve">and partly because progress in closing the ‘social gap’ has been slower than hoped for, especially </w:t>
      </w:r>
      <w:r w:rsidR="00334BA4">
        <w:t>with respect to elite universities</w:t>
      </w:r>
      <w:r w:rsidR="00935BBA">
        <w:t xml:space="preserve"> </w:t>
      </w:r>
      <w:r w:rsidR="00EF3F34">
        <w:t>(Harrison</w:t>
      </w:r>
      <w:r w:rsidR="00935BBA">
        <w:t>,</w:t>
      </w:r>
      <w:r w:rsidR="00EF3F34">
        <w:t xml:space="preserve"> </w:t>
      </w:r>
      <w:r w:rsidR="00935BBA">
        <w:t>2011</w:t>
      </w:r>
      <w:r w:rsidR="00334BA4">
        <w:t>; Croxford and Raffe, 2015</w:t>
      </w:r>
      <w:r w:rsidR="00EF3F34">
        <w:t>).</w:t>
      </w:r>
      <w:r w:rsidR="00CF1E6D">
        <w:t xml:space="preserve">  </w:t>
      </w:r>
      <w:r w:rsidR="000A6E86">
        <w:t xml:space="preserve">This new </w:t>
      </w:r>
      <w:r w:rsidR="003C72B6">
        <w:t xml:space="preserve">‘what works’ </w:t>
      </w:r>
      <w:r w:rsidR="000A6E86">
        <w:t>emphasis is encapsulated in the section on ‘evidence-based practice’ in the recent national strategy document:</w:t>
      </w:r>
    </w:p>
    <w:p w14:paraId="29090B7C" w14:textId="77777777" w:rsidR="000A6E86" w:rsidRDefault="000A6E86" w:rsidP="00227730">
      <w:pPr>
        <w:spacing w:line="480" w:lineRule="auto"/>
      </w:pPr>
    </w:p>
    <w:p w14:paraId="5B0A5070" w14:textId="77777777" w:rsidR="000A6E86" w:rsidRDefault="000A6E86" w:rsidP="00227730">
      <w:pPr>
        <w:spacing w:line="480" w:lineRule="auto"/>
        <w:ind w:left="720"/>
      </w:pPr>
      <w:r>
        <w:t>‘It is essential to understand which approaches and activities have the greatest impact, and why. An improved evidence base, and a robust approach to evaluation, are critical in helping the sector and partners to understand which of their activities are most effective and have the greatest impact on access, student success and progression, so enabling effort to be focused on these areas’ (</w:t>
      </w:r>
      <w:r w:rsidR="00DE4542">
        <w:t>BIS</w:t>
      </w:r>
      <w:r>
        <w:t>, 2014, p. 9).</w:t>
      </w:r>
    </w:p>
    <w:p w14:paraId="35BCC1F6" w14:textId="77777777" w:rsidR="000A6E86" w:rsidRDefault="000A6E86" w:rsidP="00227730">
      <w:pPr>
        <w:spacing w:line="480" w:lineRule="auto"/>
      </w:pPr>
    </w:p>
    <w:p w14:paraId="53B0F117" w14:textId="65D8A85F" w:rsidR="00C35438" w:rsidRDefault="000A6E86" w:rsidP="00227730">
      <w:pPr>
        <w:spacing w:line="480" w:lineRule="auto"/>
      </w:pPr>
      <w:r>
        <w:t>Part of this</w:t>
      </w:r>
      <w:r w:rsidR="006509DB">
        <w:t xml:space="preserve"> pressure</w:t>
      </w:r>
      <w:r w:rsidR="00334BA4">
        <w:t xml:space="preserve"> </w:t>
      </w:r>
      <w:r w:rsidR="006509DB">
        <w:t>is being exerted by the Office for Fair Access (OFFA)</w:t>
      </w:r>
      <w:r w:rsidR="0063178F">
        <w:t>;</w:t>
      </w:r>
      <w:r w:rsidR="006509DB">
        <w:t xml:space="preserve"> the </w:t>
      </w:r>
      <w:r w:rsidR="00A20BFC">
        <w:t xml:space="preserve">quasi-governmental </w:t>
      </w:r>
      <w:r w:rsidR="006509DB">
        <w:t xml:space="preserve">regulatory body established to </w:t>
      </w:r>
      <w:r w:rsidR="00A20BFC">
        <w:t xml:space="preserve">monitor </w:t>
      </w:r>
      <w:r w:rsidR="00935BBA">
        <w:t>universities’</w:t>
      </w:r>
      <w:r w:rsidR="00A20BFC">
        <w:t xml:space="preserve"> progress</w:t>
      </w:r>
      <w:r w:rsidR="0063178F">
        <w:t>,</w:t>
      </w:r>
      <w:r w:rsidR="00A20BFC">
        <w:t xml:space="preserve"> </w:t>
      </w:r>
      <w:r w:rsidR="0063178F">
        <w:t>initially in</w:t>
      </w:r>
      <w:r w:rsidR="00DF7193">
        <w:t xml:space="preserve"> protect</w:t>
      </w:r>
      <w:r w:rsidR="0022541E">
        <w:t>ing</w:t>
      </w:r>
      <w:r w:rsidR="00DF7193">
        <w:t xml:space="preserve"> access</w:t>
      </w:r>
      <w:r w:rsidR="00733749">
        <w:t xml:space="preserve"> for the poorest applicants</w:t>
      </w:r>
      <w:r w:rsidR="0063178F">
        <w:t xml:space="preserve"> and latterly in diversifying their social mix</w:t>
      </w:r>
      <w:r w:rsidR="00A20BFC">
        <w:t xml:space="preserve">.  This is largely achieved through the negotiation of </w:t>
      </w:r>
      <w:r w:rsidR="0063178F">
        <w:t>‘</w:t>
      </w:r>
      <w:r w:rsidR="00A20BFC">
        <w:t>Access Agreements</w:t>
      </w:r>
      <w:r w:rsidR="0063178F">
        <w:t>’</w:t>
      </w:r>
      <w:r w:rsidR="00A20BFC">
        <w:t xml:space="preserve"> (McCaig</w:t>
      </w:r>
      <w:r w:rsidR="00935BBA">
        <w:t xml:space="preserve"> and Adnett, 2009</w:t>
      </w:r>
      <w:r w:rsidR="00BD4F00">
        <w:t>; McCaig</w:t>
      </w:r>
      <w:r w:rsidR="008B077C">
        <w:t>,</w:t>
      </w:r>
      <w:r w:rsidR="00BD4F00">
        <w:t xml:space="preserve"> 2015</w:t>
      </w:r>
      <w:r w:rsidR="00A20BFC">
        <w:t xml:space="preserve">) which lay out </w:t>
      </w:r>
      <w:r w:rsidR="00466A30">
        <w:t xml:space="preserve">the provisions </w:t>
      </w:r>
      <w:r w:rsidR="00C35438">
        <w:t>made</w:t>
      </w:r>
      <w:r w:rsidR="00466A30">
        <w:t>, particular around outreach activities and financial support for students</w:t>
      </w:r>
      <w:r w:rsidR="0022541E">
        <w:t xml:space="preserve">, </w:t>
      </w:r>
      <w:r w:rsidR="00C35438">
        <w:t>that are</w:t>
      </w:r>
      <w:r w:rsidR="0022541E">
        <w:t xml:space="preserve"> funded from income </w:t>
      </w:r>
      <w:r w:rsidR="00C35438">
        <w:t xml:space="preserve">derived </w:t>
      </w:r>
      <w:r w:rsidR="0063178F">
        <w:t>from tuition fees levied above a certain threshold</w:t>
      </w:r>
      <w:r w:rsidR="00466A30">
        <w:t>.</w:t>
      </w:r>
      <w:r w:rsidR="005714B1">
        <w:t xml:space="preserve"> </w:t>
      </w:r>
      <w:r w:rsidR="007D6BE4">
        <w:t xml:space="preserve"> Of particular note, the most recent OFFA strategic plan challenges universities to use a more evidence-led approach to their activities (OFFA, 2015a), although the rhetoric is </w:t>
      </w:r>
      <w:r w:rsidR="00CA5B42">
        <w:t>substantially</w:t>
      </w:r>
      <w:r w:rsidR="007D6BE4">
        <w:t xml:space="preserve"> softer than in BIS (2014). </w:t>
      </w:r>
      <w:r w:rsidR="0063178F">
        <w:t xml:space="preserve"> </w:t>
      </w:r>
      <w:r w:rsidR="007D6BE4">
        <w:t xml:space="preserve">OFFA also commission research to inform practice across the sector, and it is one such project that </w:t>
      </w:r>
      <w:r w:rsidR="00305D03">
        <w:t>will be discussed shortly</w:t>
      </w:r>
      <w:r w:rsidR="007D6BE4">
        <w:t>.</w:t>
      </w:r>
      <w:r w:rsidR="00C35438">
        <w:t xml:space="preserve">  </w:t>
      </w:r>
    </w:p>
    <w:p w14:paraId="02478329" w14:textId="77777777" w:rsidR="00C35438" w:rsidRDefault="00C35438" w:rsidP="00227730">
      <w:pPr>
        <w:spacing w:line="480" w:lineRule="auto"/>
      </w:pPr>
    </w:p>
    <w:p w14:paraId="00C61EE4" w14:textId="67F1E768" w:rsidR="007F4931" w:rsidRDefault="009477E7" w:rsidP="00227730">
      <w:pPr>
        <w:spacing w:line="480" w:lineRule="auto"/>
      </w:pPr>
      <w:r>
        <w:t xml:space="preserve">To date, there have been relatively few quantitative efforts to </w:t>
      </w:r>
      <w:r w:rsidR="00C11019">
        <w:t>assess</w:t>
      </w:r>
      <w:r w:rsidR="00BB67AF">
        <w:t xml:space="preserve"> the impact of</w:t>
      </w:r>
      <w:r w:rsidR="008F6D8A">
        <w:t xml:space="preserve"> particular interventions</w:t>
      </w:r>
      <w:r>
        <w:t xml:space="preserve">, partly due to the epistemological challenges around the construction of control/comparison groups.  </w:t>
      </w:r>
      <w:r w:rsidR="00C11019">
        <w:t xml:space="preserve">Hoare and Mann (2012) explore this in detail in their study of </w:t>
      </w:r>
      <w:r w:rsidR="00BB67AF">
        <w:t>‘summer schools’</w:t>
      </w:r>
      <w:r w:rsidR="00C11019">
        <w:t>,</w:t>
      </w:r>
      <w:r w:rsidR="00BB67AF">
        <w:t xml:space="preserve"> where young people have a residential stay on campus during which they typically undertake curric</w:t>
      </w:r>
      <w:r w:rsidR="00BD4F00">
        <w:t>ulum enhancement and motivation-</w:t>
      </w:r>
      <w:r w:rsidR="00BB67AF">
        <w:t>building sessions</w:t>
      </w:r>
      <w:r w:rsidR="007F4931">
        <w:t>.</w:t>
      </w:r>
    </w:p>
    <w:p w14:paraId="33C37F1F" w14:textId="77777777" w:rsidR="007F4931" w:rsidRDefault="007F4931" w:rsidP="00227730">
      <w:pPr>
        <w:spacing w:line="480" w:lineRule="auto"/>
      </w:pPr>
    </w:p>
    <w:p w14:paraId="113436CA" w14:textId="13567762" w:rsidR="001B1100" w:rsidRDefault="0022247B" w:rsidP="00227730">
      <w:pPr>
        <w:spacing w:line="480" w:lineRule="auto"/>
      </w:pPr>
      <w:r>
        <w:t>A recent study (Harrison and Waller, in press) of past and current practitioner-managers working within widening participation revealed a high degree of scepticism about the application of ‘what works’ a</w:t>
      </w:r>
      <w:r w:rsidR="008E438A">
        <w:t>pproaches to their field</w:t>
      </w:r>
      <w:r>
        <w:t xml:space="preserve">.  While around half </w:t>
      </w:r>
      <w:r w:rsidR="00BD3110">
        <w:t xml:space="preserve">of </w:t>
      </w:r>
      <w:r w:rsidR="00B37C8E">
        <w:t xml:space="preserve">responding </w:t>
      </w:r>
      <w:r w:rsidR="00BD3110">
        <w:t xml:space="preserve">universities </w:t>
      </w:r>
      <w:r>
        <w:t>did report using RCTs or quasi-experiments</w:t>
      </w:r>
      <w:r w:rsidR="00BD3110">
        <w:t xml:space="preserve"> on an infrequent</w:t>
      </w:r>
      <w:r>
        <w:t xml:space="preserve"> basis</w:t>
      </w:r>
      <w:r w:rsidR="00BD3110">
        <w:t>, fewer than 10 percent felt that these approaches provided the most reliable evidence about the success of their programmes</w:t>
      </w:r>
      <w:r w:rsidR="007A11FF">
        <w:t>.  M</w:t>
      </w:r>
      <w:r w:rsidR="00BD3110">
        <w:t xml:space="preserve">ost confidence was placed in longitudinal tracking studies </w:t>
      </w:r>
      <w:r w:rsidR="008E438A">
        <w:t>that</w:t>
      </w:r>
      <w:r w:rsidR="00BD3110">
        <w:t xml:space="preserve"> </w:t>
      </w:r>
      <w:r w:rsidR="007A11FF">
        <w:t>collate</w:t>
      </w:r>
      <w:r w:rsidR="00BD3110">
        <w:t xml:space="preserve"> data about young people’s activities, </w:t>
      </w:r>
      <w:r w:rsidR="007A11FF">
        <w:t>decisions and ou</w:t>
      </w:r>
      <w:r w:rsidR="008E438A">
        <w:t>tcomes over several years</w:t>
      </w:r>
      <w:r w:rsidR="007A11FF">
        <w:t>.</w:t>
      </w:r>
      <w:r w:rsidR="008E438A">
        <w:t xml:space="preserve">  The </w:t>
      </w:r>
      <w:r w:rsidR="009E5903">
        <w:t>participant</w:t>
      </w:r>
      <w:r w:rsidR="008E438A">
        <w:t xml:space="preserve">s identified a number of specific challenges to demonstrating </w:t>
      </w:r>
      <w:r w:rsidR="00916C04">
        <w:t>‘what works’</w:t>
      </w:r>
      <w:r w:rsidR="008E438A">
        <w:t>, including the time periods involved, the time lag between an intervention and a shift in attitudes, the existence of multiple overlapping interventions, the nature of close partnership working, the confounding influences of teachers and parents and the reliability of data gleaned from young people about their future intentions.</w:t>
      </w:r>
      <w:r w:rsidR="005A4ADD">
        <w:t xml:space="preserve"> More generally, the participants also problematised the very idea of success in this context, with this having different meanings between institutions and individuals.</w:t>
      </w:r>
    </w:p>
    <w:p w14:paraId="1B26A732" w14:textId="77777777" w:rsidR="00EC22EB" w:rsidRDefault="00EC22EB" w:rsidP="00227730">
      <w:pPr>
        <w:spacing w:line="480" w:lineRule="auto"/>
      </w:pPr>
    </w:p>
    <w:p w14:paraId="34E8EB67" w14:textId="77777777" w:rsidR="004B7867" w:rsidRDefault="004B7867" w:rsidP="00227730">
      <w:pPr>
        <w:spacing w:line="480" w:lineRule="auto"/>
      </w:pPr>
    </w:p>
    <w:p w14:paraId="669B97C5" w14:textId="5C405022" w:rsidR="004B7867" w:rsidRDefault="004B7867" w:rsidP="00227730">
      <w:pPr>
        <w:spacing w:line="480" w:lineRule="auto"/>
        <w:rPr>
          <w:b/>
        </w:rPr>
      </w:pPr>
      <w:r w:rsidRPr="004B7867">
        <w:rPr>
          <w:b/>
        </w:rPr>
        <w:t xml:space="preserve">Case study: </w:t>
      </w:r>
      <w:r w:rsidR="00466FDD">
        <w:rPr>
          <w:b/>
        </w:rPr>
        <w:t>university</w:t>
      </w:r>
      <w:r w:rsidRPr="004B7867">
        <w:rPr>
          <w:b/>
        </w:rPr>
        <w:t xml:space="preserve"> bursaries</w:t>
      </w:r>
    </w:p>
    <w:p w14:paraId="7A1A5A19" w14:textId="27C2328F" w:rsidR="004B7867" w:rsidRDefault="004B7867" w:rsidP="00227730">
      <w:pPr>
        <w:spacing w:line="480" w:lineRule="auto"/>
      </w:pPr>
      <w:r>
        <w:t xml:space="preserve"> </w:t>
      </w:r>
    </w:p>
    <w:p w14:paraId="601A6054" w14:textId="25220399" w:rsidR="00A1527C" w:rsidRDefault="00A1527C" w:rsidP="00227730">
      <w:pPr>
        <w:spacing w:line="480" w:lineRule="auto"/>
      </w:pPr>
      <w:r>
        <w:t xml:space="preserve">The remainder of this </w:t>
      </w:r>
      <w:r w:rsidR="00AE1759">
        <w:t>paper</w:t>
      </w:r>
      <w:r>
        <w:t xml:space="preserve"> focuses on the </w:t>
      </w:r>
      <w:r w:rsidR="00A6437D">
        <w:t>university</w:t>
      </w:r>
      <w:r>
        <w:t xml:space="preserve"> bursaries introduced through the Higher Education Act 2004 and implemented from 2006 onwards (DfES, 2003).  The authors were two of the lead investigators on a recent OFFA-funded project </w:t>
      </w:r>
      <w:r w:rsidR="005839A4">
        <w:t xml:space="preserve">(OFFA, 2015c, 2016) </w:t>
      </w:r>
      <w:r w:rsidR="00AE1759">
        <w:t xml:space="preserve">exploring </w:t>
      </w:r>
      <w:r>
        <w:t xml:space="preserve">the impact of </w:t>
      </w:r>
      <w:r w:rsidR="00AE1759">
        <w:t xml:space="preserve">these bursaries and the </w:t>
      </w:r>
      <w:r w:rsidR="004A2FC5">
        <w:t>paper</w:t>
      </w:r>
      <w:r w:rsidR="00AE1759">
        <w:t xml:space="preserve"> is based on our </w:t>
      </w:r>
      <w:r w:rsidR="00305D03">
        <w:t xml:space="preserve">critical </w:t>
      </w:r>
      <w:r w:rsidR="00AE1759">
        <w:t xml:space="preserve">reflections </w:t>
      </w:r>
      <w:r w:rsidR="00305D03">
        <w:t>derived from</w:t>
      </w:r>
      <w:r w:rsidR="00AE1759">
        <w:t xml:space="preserve"> the first phase of that project. </w:t>
      </w:r>
      <w:r>
        <w:t xml:space="preserve"> </w:t>
      </w:r>
      <w:r w:rsidR="00AE1759">
        <w:t xml:space="preserve">It particular, we focus on </w:t>
      </w:r>
      <w:r w:rsidR="004A2FC5">
        <w:t xml:space="preserve">the purpose of </w:t>
      </w:r>
      <w:r w:rsidR="005839A4">
        <w:t>bursaries as an educational intervention</w:t>
      </w:r>
      <w:r w:rsidR="004A2FC5">
        <w:t xml:space="preserve"> and the ramifications of th</w:t>
      </w:r>
      <w:r w:rsidR="005839A4">
        <w:t>is</w:t>
      </w:r>
      <w:r w:rsidR="004A2FC5">
        <w:t xml:space="preserve"> for issues of epistemology when considering their impact.  As such, we view bursaries as one ‘case’ within a much wider population of interventions designed to address structural inequalities.  </w:t>
      </w:r>
      <w:r w:rsidR="005839A4">
        <w:t xml:space="preserve">We believe that </w:t>
      </w:r>
      <w:r w:rsidR="00CE2B06">
        <w:t>our</w:t>
      </w:r>
      <w:r w:rsidR="004A2FC5">
        <w:t xml:space="preserve"> detailed </w:t>
      </w:r>
      <w:r w:rsidR="005839A4">
        <w:t>consideration</w:t>
      </w:r>
      <w:r w:rsidR="004A2FC5">
        <w:t xml:space="preserve"> of this case</w:t>
      </w:r>
      <w:r w:rsidR="005839A4">
        <w:t xml:space="preserve"> has produced useful insights that have a wider relevance for educational research and the ‘what works’ agenda.  </w:t>
      </w:r>
      <w:r w:rsidR="00CE2B06">
        <w:t>We therefore use the term ‘reflective case study’ to denote our exploration</w:t>
      </w:r>
      <w:r w:rsidR="005839A4">
        <w:t xml:space="preserve"> </w:t>
      </w:r>
      <w:r w:rsidR="00CE2B06">
        <w:t xml:space="preserve">of </w:t>
      </w:r>
      <w:r w:rsidR="004F74C5">
        <w:t xml:space="preserve">epistemological issues surrounding </w:t>
      </w:r>
      <w:r w:rsidR="00CE2B06">
        <w:t xml:space="preserve">bursaries </w:t>
      </w:r>
      <w:r w:rsidR="005839A4">
        <w:t>through the lens of the OFFA-funded project.</w:t>
      </w:r>
    </w:p>
    <w:p w14:paraId="4A39A5F3" w14:textId="1583D831" w:rsidR="00A1527C" w:rsidRDefault="00A1527C" w:rsidP="00227730">
      <w:pPr>
        <w:spacing w:line="480" w:lineRule="auto"/>
      </w:pPr>
    </w:p>
    <w:p w14:paraId="7E098DD7" w14:textId="77777777" w:rsidR="004A2FC5" w:rsidRDefault="004A2FC5" w:rsidP="00227730">
      <w:pPr>
        <w:spacing w:line="480" w:lineRule="auto"/>
      </w:pPr>
    </w:p>
    <w:p w14:paraId="5FFF62BF" w14:textId="77777777" w:rsidR="00207AE5" w:rsidRPr="00207AE5" w:rsidRDefault="00207AE5" w:rsidP="00227730">
      <w:pPr>
        <w:spacing w:line="480" w:lineRule="auto"/>
        <w:rPr>
          <w:i/>
        </w:rPr>
      </w:pPr>
      <w:r w:rsidRPr="00207AE5">
        <w:rPr>
          <w:i/>
        </w:rPr>
        <w:t>Policy background</w:t>
      </w:r>
    </w:p>
    <w:p w14:paraId="637C285B" w14:textId="77777777" w:rsidR="00207AE5" w:rsidRDefault="00207AE5" w:rsidP="00227730">
      <w:pPr>
        <w:spacing w:line="480" w:lineRule="auto"/>
      </w:pPr>
    </w:p>
    <w:p w14:paraId="2D250546" w14:textId="6C9CA311" w:rsidR="004B7867" w:rsidRDefault="00A6437D" w:rsidP="00227730">
      <w:pPr>
        <w:spacing w:line="480" w:lineRule="auto"/>
      </w:pPr>
      <w:r>
        <w:t>The introduction of</w:t>
      </w:r>
      <w:r w:rsidR="005839A4">
        <w:t xml:space="preserve"> bursaries in 2006 </w:t>
      </w:r>
      <w:r w:rsidR="004B7867">
        <w:t>coincided with a significant increase</w:t>
      </w:r>
      <w:r w:rsidR="00234325">
        <w:t xml:space="preserve"> in</w:t>
      </w:r>
      <w:r w:rsidR="004B7867">
        <w:t xml:space="preserve"> the tuition fees that </w:t>
      </w:r>
      <w:r w:rsidR="00D96CD6">
        <w:t>universitie</w:t>
      </w:r>
      <w:r w:rsidR="004B7867">
        <w:t xml:space="preserve">s were permitted to charge </w:t>
      </w:r>
      <w:r w:rsidR="00ED021A">
        <w:t>(from £1,125</w:t>
      </w:r>
      <w:r w:rsidR="009C619E">
        <w:t xml:space="preserve"> to £3,000 a year), </w:t>
      </w:r>
      <w:r w:rsidR="00234325">
        <w:t>where they were</w:t>
      </w:r>
      <w:r w:rsidR="009C619E">
        <w:t xml:space="preserve"> only allowed to implement the rise if they </w:t>
      </w:r>
      <w:r w:rsidR="00382B7C">
        <w:t xml:space="preserve">agreed to spend a </w:t>
      </w:r>
      <w:r w:rsidR="00F667E6">
        <w:t xml:space="preserve">self-identified </w:t>
      </w:r>
      <w:r w:rsidR="00382B7C">
        <w:t>proportion of the additional fee income on access</w:t>
      </w:r>
      <w:r w:rsidR="002E096B">
        <w:t xml:space="preserve">, </w:t>
      </w:r>
      <w:r w:rsidR="00382B7C">
        <w:t>including</w:t>
      </w:r>
      <w:r w:rsidR="009C619E">
        <w:t xml:space="preserve"> a bursary scheme</w:t>
      </w:r>
      <w:r w:rsidR="00D96CD6">
        <w:t xml:space="preserve"> for low income students</w:t>
      </w:r>
      <w:r w:rsidR="009C619E">
        <w:t>.</w:t>
      </w:r>
      <w:r w:rsidR="00234325">
        <w:t xml:space="preserve">  As nearly all did</w:t>
      </w:r>
      <w:r w:rsidR="00D96CD6">
        <w:t xml:space="preserve"> increase their fees</w:t>
      </w:r>
      <w:r w:rsidR="00234325">
        <w:t>, this effectively became a national programme.  The statutory requirement was for a</w:t>
      </w:r>
      <w:r w:rsidR="00D96CD6">
        <w:t xml:space="preserve"> minimum </w:t>
      </w:r>
      <w:r w:rsidR="009E5903">
        <w:t xml:space="preserve">bursary of </w:t>
      </w:r>
      <w:r w:rsidR="00234325">
        <w:t xml:space="preserve">£300 a year, but </w:t>
      </w:r>
      <w:r w:rsidR="00D96CD6">
        <w:t>universities</w:t>
      </w:r>
      <w:r w:rsidR="00134167">
        <w:t xml:space="preserve"> were actively encouraged to allocate a larger proportion of the</w:t>
      </w:r>
      <w:r w:rsidR="00F667E6">
        <w:t>ir</w:t>
      </w:r>
      <w:r w:rsidR="00134167">
        <w:t xml:space="preserve"> additional fee income, with the intention to </w:t>
      </w:r>
      <w:r w:rsidR="00D259E1">
        <w:t xml:space="preserve">attract applicants from </w:t>
      </w:r>
      <w:r w:rsidR="00D96CD6">
        <w:t xml:space="preserve">low income </w:t>
      </w:r>
      <w:r w:rsidR="00D259E1">
        <w:t xml:space="preserve">backgrounds who may otherwise </w:t>
      </w:r>
      <w:r w:rsidR="00F667E6">
        <w:t xml:space="preserve">have </w:t>
      </w:r>
      <w:r w:rsidR="00D259E1">
        <w:t>be</w:t>
      </w:r>
      <w:r w:rsidR="00F667E6">
        <w:t>en</w:t>
      </w:r>
      <w:r w:rsidR="00D259E1">
        <w:t xml:space="preserve"> deterred by the new higher fees</w:t>
      </w:r>
      <w:r w:rsidR="00AF06F6">
        <w:t>; there was also an intent</w:t>
      </w:r>
      <w:r w:rsidR="00D96CD6">
        <w:t xml:space="preserve"> to </w:t>
      </w:r>
      <w:r w:rsidR="00134167">
        <w:t xml:space="preserve">create a </w:t>
      </w:r>
      <w:r w:rsidR="00D96CD6">
        <w:t xml:space="preserve">competitive </w:t>
      </w:r>
      <w:r w:rsidR="00AF06F6">
        <w:t>quasi-</w:t>
      </w:r>
      <w:r w:rsidR="00D96CD6">
        <w:t>market in</w:t>
      </w:r>
      <w:r w:rsidR="00134167">
        <w:t xml:space="preserve"> bursaries</w:t>
      </w:r>
      <w:r w:rsidR="00AF06F6">
        <w:t xml:space="preserve">, with universities </w:t>
      </w:r>
      <w:r w:rsidR="00F667E6">
        <w:t>seeking</w:t>
      </w:r>
      <w:r w:rsidR="00AF06F6">
        <w:t xml:space="preserve"> to distinguish themselves through their bursary offer</w:t>
      </w:r>
      <w:r w:rsidR="00D96CD6">
        <w:t xml:space="preserve"> (Harrison, Baxter and Hatt, 2007</w:t>
      </w:r>
      <w:r w:rsidR="00543653">
        <w:t>; Mitton 2007</w:t>
      </w:r>
      <w:r w:rsidR="00D96CD6">
        <w:t>)</w:t>
      </w:r>
      <w:r w:rsidR="00134167">
        <w:t>.</w:t>
      </w:r>
      <w:r w:rsidR="00175D7F">
        <w:t xml:space="preserve">  It is important to note at this point that these bursaries were distinct from the small number of merit-based scholarships historically offered by many institutions, although the boundaries were sometimes blurred</w:t>
      </w:r>
      <w:r w:rsidR="009E5903">
        <w:t xml:space="preserve"> (</w:t>
      </w:r>
      <w:r w:rsidR="00543653">
        <w:t>Callender 2010</w:t>
      </w:r>
      <w:r w:rsidR="009E5903">
        <w:t>)</w:t>
      </w:r>
      <w:r w:rsidR="00175D7F">
        <w:t>.  They were also distinct from the means-tested grants and loan provided by the government</w:t>
      </w:r>
      <w:r w:rsidR="009E5903">
        <w:t>, although they generally used the same means-testing figure (‘residual household income’</w:t>
      </w:r>
      <w:r w:rsidR="000B5FA7">
        <w:rPr>
          <w:rStyle w:val="EndnoteReference"/>
        </w:rPr>
        <w:endnoteReference w:id="1"/>
      </w:r>
      <w:r w:rsidR="009E5903">
        <w:t>) calculated when students apply for government support.</w:t>
      </w:r>
    </w:p>
    <w:p w14:paraId="00481C96" w14:textId="77777777" w:rsidR="00134167" w:rsidRDefault="00134167" w:rsidP="00227730">
      <w:pPr>
        <w:spacing w:line="480" w:lineRule="auto"/>
      </w:pPr>
    </w:p>
    <w:p w14:paraId="3BFE6BAB" w14:textId="1D70E279" w:rsidR="00AE5369" w:rsidRDefault="00175D7F" w:rsidP="00227730">
      <w:pPr>
        <w:spacing w:line="480" w:lineRule="auto"/>
      </w:pPr>
      <w:r>
        <w:t>Universities’</w:t>
      </w:r>
      <w:r w:rsidR="00134167">
        <w:t xml:space="preserve"> responses to this policy initiative were highly varied</w:t>
      </w:r>
      <w:r>
        <w:t xml:space="preserve"> as the situation was novel and their freedom over implementation almost complete</w:t>
      </w:r>
      <w:r w:rsidR="00134167">
        <w:t xml:space="preserve">.  A few </w:t>
      </w:r>
      <w:r w:rsidR="009E5903">
        <w:t>offered</w:t>
      </w:r>
      <w:r w:rsidR="00134167">
        <w:t xml:space="preserve"> the bare minimum, while others ringfenced significantly larger amounts and were able to offer bursaries of £3,000 or more.  There was also a wide diversity in practice in the criteria used to award bursaries.  </w:t>
      </w:r>
      <w:r>
        <w:t>Some used a basic</w:t>
      </w:r>
      <w:r w:rsidR="00134167">
        <w:t xml:space="preserve"> </w:t>
      </w:r>
      <w:r w:rsidR="009E5903">
        <w:t>‘</w:t>
      </w:r>
      <w:r w:rsidR="00134167">
        <w:t>threshold</w:t>
      </w:r>
      <w:r w:rsidR="009E5903">
        <w:t>’</w:t>
      </w:r>
      <w:r w:rsidR="00134167">
        <w:t xml:space="preserve"> means-test</w:t>
      </w:r>
      <w:r w:rsidR="009E5903">
        <w:t xml:space="preserve"> (i.e. constant amount for incomes under certain level)</w:t>
      </w:r>
      <w:r w:rsidR="00134167">
        <w:t xml:space="preserve">, but </w:t>
      </w:r>
      <w:r>
        <w:t>others</w:t>
      </w:r>
      <w:r w:rsidR="00134167">
        <w:t xml:space="preserve"> developed </w:t>
      </w:r>
      <w:r>
        <w:t xml:space="preserve">complex </w:t>
      </w:r>
      <w:r w:rsidR="009E5903">
        <w:t>‘</w:t>
      </w:r>
      <w:r w:rsidR="00134167">
        <w:t>tapered</w:t>
      </w:r>
      <w:r w:rsidR="009E5903">
        <w:t>’</w:t>
      </w:r>
      <w:r w:rsidR="00134167">
        <w:t xml:space="preserve"> means-tests </w:t>
      </w:r>
      <w:r w:rsidR="009E5903">
        <w:t xml:space="preserve">(i.e. variable amount depending on income) </w:t>
      </w:r>
      <w:r w:rsidR="00134167">
        <w:t xml:space="preserve">while others </w:t>
      </w:r>
      <w:r>
        <w:t xml:space="preserve">still </w:t>
      </w:r>
      <w:r w:rsidR="00134167">
        <w:t>devised additional criteria to target the bursaries to groups that were deemed to be disadvantaged or under-represented</w:t>
      </w:r>
      <w:r w:rsidR="00E521A2">
        <w:t xml:space="preserve"> (e.g. by ethnicity or locality)</w:t>
      </w:r>
      <w:r w:rsidR="00134167">
        <w:t>.</w:t>
      </w:r>
      <w:r w:rsidR="008A703E">
        <w:t xml:space="preserve">  </w:t>
      </w:r>
      <w:r w:rsidR="00E521A2">
        <w:t>Indeed, the situation was exceedingly complex, with over 300 different sch</w:t>
      </w:r>
      <w:r w:rsidR="00D96CD6">
        <w:t>emes in operation (</w:t>
      </w:r>
      <w:r w:rsidR="00E147B9">
        <w:t xml:space="preserve">McCaig and Adnett, 2009; </w:t>
      </w:r>
      <w:r w:rsidR="00D96CD6">
        <w:t>Callender 2010;</w:t>
      </w:r>
      <w:r w:rsidR="00E521A2">
        <w:t xml:space="preserve"> Harrison and Hatt 2012).</w:t>
      </w:r>
      <w:r w:rsidR="00AE5369">
        <w:t xml:space="preserve">  </w:t>
      </w:r>
      <w:r w:rsidR="0068669F">
        <w:t>In terms of amounts offered, there was a rapid</w:t>
      </w:r>
      <w:r w:rsidR="00AE5369">
        <w:t xml:space="preserve"> ossification by institutional status, with elite universities offering substantially larger bursaries to fewer students than lower status universities and colleges, who tended to offer smaller bursaries to large proportions of each cohort, reflecting the differences in social mixes (Callendar, 2010; Harrison and Hatt, 2012).  The </w:t>
      </w:r>
      <w:r w:rsidR="00681C84">
        <w:t xml:space="preserve">bursary ‘market’ </w:t>
      </w:r>
      <w:r w:rsidR="00AE5369">
        <w:t>was complicated further by the short-lived National Scholarship Programme that operated between 2012 and 2014 (McCaig, 2016; Bowes et al, 2016).</w:t>
      </w:r>
    </w:p>
    <w:p w14:paraId="18F67A24" w14:textId="3B1E78F8" w:rsidR="00AE5369" w:rsidRDefault="00AE5369" w:rsidP="00227730">
      <w:pPr>
        <w:spacing w:line="480" w:lineRule="auto"/>
      </w:pPr>
    </w:p>
    <w:p w14:paraId="216A1BB4" w14:textId="1775CB55" w:rsidR="004B7867" w:rsidRPr="00CF5B47" w:rsidRDefault="0074631E" w:rsidP="00227730">
      <w:pPr>
        <w:spacing w:line="480" w:lineRule="auto"/>
      </w:pPr>
      <w:r>
        <w:t>This system has effectively persisted to the current day</w:t>
      </w:r>
      <w:r w:rsidR="00382B7C">
        <w:t xml:space="preserve">, though the </w:t>
      </w:r>
      <w:r w:rsidR="00CC393E">
        <w:t xml:space="preserve">average bursary size has fallen; indeed, it </w:t>
      </w:r>
      <w:r w:rsidR="00382B7C">
        <w:t>had begun to fall within two years of their introduction (McCaig and Adnett</w:t>
      </w:r>
      <w:r w:rsidR="002576C5">
        <w:t>,</w:t>
      </w:r>
      <w:r w:rsidR="00382B7C">
        <w:t xml:space="preserve"> 2009)</w:t>
      </w:r>
      <w:r>
        <w:t xml:space="preserve">.  </w:t>
      </w:r>
      <w:r w:rsidR="00CC393E">
        <w:t xml:space="preserve"> It </w:t>
      </w:r>
      <w:r w:rsidR="002E7894">
        <w:t>accounts for a</w:t>
      </w:r>
      <w:r w:rsidR="002576C5">
        <w:t>n annual</w:t>
      </w:r>
      <w:r w:rsidR="002E7894">
        <w:t xml:space="preserve"> national spend of £</w:t>
      </w:r>
      <w:r w:rsidR="00E147B9">
        <w:t>430m</w:t>
      </w:r>
      <w:r w:rsidR="002E7894">
        <w:t xml:space="preserve">, </w:t>
      </w:r>
      <w:r w:rsidR="003C7ECA">
        <w:t>with around one-third of all students receiving a bursary, although the figure varies widely by institution</w:t>
      </w:r>
      <w:r w:rsidR="00E147B9">
        <w:t xml:space="preserve"> (OFFA, 2015</w:t>
      </w:r>
      <w:r w:rsidR="00CF600A">
        <w:t>b</w:t>
      </w:r>
      <w:r w:rsidR="00E147B9">
        <w:t>)</w:t>
      </w:r>
      <w:r w:rsidR="002E7894">
        <w:t>.</w:t>
      </w:r>
      <w:r w:rsidR="006E047B">
        <w:t xml:space="preserve">  </w:t>
      </w:r>
      <w:r w:rsidR="00E147B9">
        <w:t>Universities</w:t>
      </w:r>
      <w:r w:rsidR="006E047B">
        <w:t xml:space="preserve"> have </w:t>
      </w:r>
      <w:r w:rsidR="003C7ECA">
        <w:t>altered</w:t>
      </w:r>
      <w:r w:rsidR="006E047B">
        <w:t xml:space="preserve"> their expenditure, bursary amounts and criteria year-on-year, but </w:t>
      </w:r>
      <w:r w:rsidR="00175D7F">
        <w:t xml:space="preserve">still </w:t>
      </w:r>
      <w:r w:rsidR="006E047B">
        <w:t xml:space="preserve">within the broad remit laid down in the Higher Education Act 2004.  </w:t>
      </w:r>
      <w:r w:rsidR="00AE5369">
        <w:t>The statutory requirement on univ</w:t>
      </w:r>
      <w:r w:rsidR="00AE5369" w:rsidRPr="008A62A6">
        <w:t>ersities has been</w:t>
      </w:r>
      <w:r w:rsidR="00AE5369" w:rsidRPr="00382B7C">
        <w:t xml:space="preserve"> lifted, but, to date, none has with</w:t>
      </w:r>
      <w:r w:rsidR="0068669F">
        <w:t>drawn from the bursary ‘market’, although some are</w:t>
      </w:r>
      <w:r w:rsidR="00681C84">
        <w:t xml:space="preserve"> reportedly</w:t>
      </w:r>
      <w:r w:rsidR="0068669F">
        <w:t xml:space="preserve"> considering doing so.</w:t>
      </w:r>
    </w:p>
    <w:p w14:paraId="7AF49627" w14:textId="77777777" w:rsidR="00AE5369" w:rsidRDefault="00AE5369" w:rsidP="00227730">
      <w:pPr>
        <w:spacing w:line="480" w:lineRule="auto"/>
      </w:pPr>
    </w:p>
    <w:p w14:paraId="18208E7D" w14:textId="55FD6272" w:rsidR="00207AE5" w:rsidRDefault="00AE5369" w:rsidP="00227730">
      <w:pPr>
        <w:spacing w:line="480" w:lineRule="auto"/>
      </w:pPr>
      <w:r>
        <w:t>Interestingly</w:t>
      </w:r>
      <w:r w:rsidR="00A0723F">
        <w:t xml:space="preserve">, evidence from a large-scale survey commissioned by OFFA found that </w:t>
      </w:r>
      <w:r w:rsidR="00B639A7">
        <w:t xml:space="preserve">relatively few students considered bursaries when making choices about entering higher education or which </w:t>
      </w:r>
      <w:r w:rsidR="009910E2">
        <w:t>university</w:t>
      </w:r>
      <w:r w:rsidR="00B639A7">
        <w:t xml:space="preserve"> to choose (Callender</w:t>
      </w:r>
      <w:r w:rsidR="001306E0">
        <w:t>, Wilkinson</w:t>
      </w:r>
      <w:r w:rsidR="00B639A7">
        <w:t xml:space="preserve"> and Hopkins </w:t>
      </w:r>
      <w:r w:rsidR="001306E0">
        <w:t>2009</w:t>
      </w:r>
      <w:r w:rsidR="00B639A7">
        <w:t>)</w:t>
      </w:r>
      <w:r w:rsidR="00964DD0">
        <w:t xml:space="preserve">, which is </w:t>
      </w:r>
      <w:r>
        <w:t>consistent</w:t>
      </w:r>
      <w:r w:rsidR="00964DD0">
        <w:t xml:space="preserve"> with </w:t>
      </w:r>
      <w:r w:rsidR="009910E2">
        <w:t>smaller</w:t>
      </w:r>
      <w:r w:rsidR="00964DD0">
        <w:t xml:space="preserve"> studies</w:t>
      </w:r>
      <w:r w:rsidR="001306E0">
        <w:t xml:space="preserve"> (Davies et al, 2009</w:t>
      </w:r>
      <w:r w:rsidR="000068C7">
        <w:t>; Harrison et al, in press</w:t>
      </w:r>
      <w:r w:rsidR="00D74640">
        <w:t xml:space="preserve">) and </w:t>
      </w:r>
      <w:r w:rsidR="00C166C8">
        <w:t>other national studies (Purcell et al, 2008) in</w:t>
      </w:r>
      <w:r w:rsidR="00964DD0">
        <w:t xml:space="preserve"> finding that students afford financial </w:t>
      </w:r>
      <w:r w:rsidR="006130C6">
        <w:t>(dis)</w:t>
      </w:r>
      <w:r w:rsidR="00964DD0">
        <w:t>incentives a low status in the</w:t>
      </w:r>
      <w:r w:rsidR="001306E0">
        <w:t>ir decision-making</w:t>
      </w:r>
      <w:r w:rsidR="00964DD0">
        <w:t>.</w:t>
      </w:r>
    </w:p>
    <w:p w14:paraId="340715F8" w14:textId="77777777" w:rsidR="004B7867" w:rsidRDefault="004B7867" w:rsidP="00227730">
      <w:pPr>
        <w:spacing w:line="480" w:lineRule="auto"/>
      </w:pPr>
    </w:p>
    <w:p w14:paraId="0EE2ACA7" w14:textId="2DCCDE43" w:rsidR="0001406A" w:rsidRDefault="00965734" w:rsidP="00227730">
      <w:pPr>
        <w:spacing w:line="480" w:lineRule="auto"/>
      </w:pPr>
      <w:r>
        <w:t xml:space="preserve">In recent years, therefore, bursaries have been conceptualised less as </w:t>
      </w:r>
      <w:r w:rsidR="00092017">
        <w:t>means of</w:t>
      </w:r>
      <w:r>
        <w:t xml:space="preserve"> encouraging applications (either in general or to specific institutions) a</w:t>
      </w:r>
      <w:r w:rsidR="00260733">
        <w:t>nd more in terms of providing funds to enable students from low income and other disadvantaged background</w:t>
      </w:r>
      <w:r w:rsidR="00092017">
        <w:t>s</w:t>
      </w:r>
      <w:r w:rsidR="00260733">
        <w:t xml:space="preserve"> to participate fully in the higher education experience</w:t>
      </w:r>
      <w:r w:rsidR="00092017">
        <w:t>; i</w:t>
      </w:r>
      <w:r w:rsidR="004F0CF3">
        <w:t>n other word</w:t>
      </w:r>
      <w:r w:rsidR="00092017">
        <w:t>s</w:t>
      </w:r>
      <w:r w:rsidR="004F0CF3">
        <w:t xml:space="preserve">, less as a financial inducement and more a </w:t>
      </w:r>
      <w:r w:rsidR="00742156">
        <w:t xml:space="preserve">tool to support student </w:t>
      </w:r>
      <w:r w:rsidR="00DE0541">
        <w:t xml:space="preserve">retention and </w:t>
      </w:r>
      <w:r w:rsidR="00742156">
        <w:t xml:space="preserve">achievement.  </w:t>
      </w:r>
      <w:r w:rsidR="00092017">
        <w:t xml:space="preserve">Indeed, there </w:t>
      </w:r>
      <w:r w:rsidR="00BB4DCA">
        <w:t>is</w:t>
      </w:r>
      <w:r w:rsidR="0001406A">
        <w:t xml:space="preserve"> </w:t>
      </w:r>
      <w:r w:rsidR="00092017">
        <w:t xml:space="preserve">evidence </w:t>
      </w:r>
      <w:r w:rsidR="00D73607">
        <w:t xml:space="preserve">from qualitative studies </w:t>
      </w:r>
      <w:r w:rsidR="00092017">
        <w:t>that students find that the bursary reduces stress</w:t>
      </w:r>
      <w:r w:rsidR="00D73607">
        <w:t xml:space="preserve"> and anxiety, lower the need to undertake part-time work</w:t>
      </w:r>
      <w:r w:rsidR="00092017">
        <w:t xml:space="preserve">, improves academic engagement and creates a motivational reciprocity with their </w:t>
      </w:r>
      <w:r w:rsidR="00D73607">
        <w:t>university</w:t>
      </w:r>
      <w:r w:rsidR="00F527B2">
        <w:t xml:space="preserve"> (Harrison, Baxter and Hatt, 2007</w:t>
      </w:r>
      <w:r w:rsidR="00092017">
        <w:t xml:space="preserve">; </w:t>
      </w:r>
      <w:r w:rsidR="00E97E7E" w:rsidRPr="00C45A6C">
        <w:rPr>
          <w:szCs w:val="24"/>
        </w:rPr>
        <w:t>Crockford, Hord</w:t>
      </w:r>
      <w:r w:rsidR="00E97E7E">
        <w:rPr>
          <w:szCs w:val="24"/>
        </w:rPr>
        <w:t>ó</w:t>
      </w:r>
      <w:r w:rsidR="00E97E7E" w:rsidRPr="00C45A6C">
        <w:rPr>
          <w:szCs w:val="24"/>
        </w:rPr>
        <w:t>sy and Simms 2015</w:t>
      </w:r>
      <w:r w:rsidR="00E97E7E">
        <w:rPr>
          <w:szCs w:val="24"/>
        </w:rPr>
        <w:t xml:space="preserve">; </w:t>
      </w:r>
      <w:r w:rsidR="00D73607" w:rsidRPr="00C45A6C">
        <w:rPr>
          <w:szCs w:val="24"/>
        </w:rPr>
        <w:t>Byrne and Cushing 2015; O’Brien 2015</w:t>
      </w:r>
      <w:r w:rsidR="00D73607">
        <w:rPr>
          <w:szCs w:val="24"/>
        </w:rPr>
        <w:t xml:space="preserve">; Hoare and Lightfoot 2015; </w:t>
      </w:r>
      <w:r w:rsidR="00092017">
        <w:t>Harrison et al</w:t>
      </w:r>
      <w:r w:rsidR="00F527B2">
        <w:t>,</w:t>
      </w:r>
      <w:r w:rsidR="00092017">
        <w:t xml:space="preserve"> in press). </w:t>
      </w:r>
      <w:r w:rsidR="007F29EF">
        <w:t xml:space="preserve"> </w:t>
      </w:r>
      <w:r w:rsidR="009910E2">
        <w:t xml:space="preserve">Both students and </w:t>
      </w:r>
      <w:r w:rsidR="00E97E7E">
        <w:t>practitioners</w:t>
      </w:r>
      <w:r w:rsidR="009910E2">
        <w:t xml:space="preserve"> believe that bursaries are an effective tool (</w:t>
      </w:r>
      <w:r w:rsidR="00996522">
        <w:t xml:space="preserve">Callender and Wilkinson, 2013; </w:t>
      </w:r>
      <w:r w:rsidR="009910E2">
        <w:t>Nursaw Associates 2015; Bowes et al 2016)</w:t>
      </w:r>
      <w:r w:rsidR="006F11BF">
        <w:t>, but g</w:t>
      </w:r>
      <w:r w:rsidR="000B5FA7">
        <w:t>iven t</w:t>
      </w:r>
      <w:r w:rsidR="009E5903">
        <w:t>he current situation where every university has one or more schemes with unique eligibility criteria, amounts, means-test algorithm and procedures</w:t>
      </w:r>
      <w:r w:rsidR="000B5FA7">
        <w:t>,</w:t>
      </w:r>
      <w:r w:rsidR="009E5903">
        <w:t xml:space="preserve"> it is </w:t>
      </w:r>
      <w:r w:rsidR="000B5FA7">
        <w:t xml:space="preserve">reasonable to </w:t>
      </w:r>
      <w:r w:rsidR="00DF67E5">
        <w:t>hypothesise that some will be</w:t>
      </w:r>
      <w:r w:rsidR="009E5903">
        <w:t xml:space="preserve"> more </w:t>
      </w:r>
      <w:r w:rsidR="006F11BF">
        <w:t>effective</w:t>
      </w:r>
      <w:r w:rsidR="009E5903">
        <w:t xml:space="preserve"> than others.</w:t>
      </w:r>
    </w:p>
    <w:p w14:paraId="2906492D" w14:textId="77777777" w:rsidR="0001406A" w:rsidRDefault="0001406A" w:rsidP="00227730">
      <w:pPr>
        <w:spacing w:line="480" w:lineRule="auto"/>
      </w:pPr>
    </w:p>
    <w:p w14:paraId="71321A43" w14:textId="7E8560D5" w:rsidR="004B7867" w:rsidRDefault="00BB4DCA" w:rsidP="00227730">
      <w:pPr>
        <w:spacing w:line="480" w:lineRule="auto"/>
      </w:pPr>
      <w:r>
        <w:t xml:space="preserve">However, a quantitative study of national official data (OFFA, </w:t>
      </w:r>
      <w:r w:rsidR="00E97E7E">
        <w:t>2014</w:t>
      </w:r>
      <w:r>
        <w:t xml:space="preserve">) cast doubt on whether </w:t>
      </w:r>
      <w:r w:rsidR="00305D03">
        <w:t>these positive opinions were being reflected in</w:t>
      </w:r>
      <w:r w:rsidR="00C166C8">
        <w:t xml:space="preserve"> </w:t>
      </w:r>
      <w:r w:rsidR="009910E2">
        <w:t xml:space="preserve">measurable </w:t>
      </w:r>
      <w:r w:rsidR="000F3030">
        <w:t xml:space="preserve">positive </w:t>
      </w:r>
      <w:r>
        <w:t xml:space="preserve">changes in </w:t>
      </w:r>
      <w:r w:rsidR="00C166C8">
        <w:t xml:space="preserve">student </w:t>
      </w:r>
      <w:r>
        <w:t xml:space="preserve">behaviour, albeit using data at the institutional level </w:t>
      </w:r>
      <w:r w:rsidR="00343ABE">
        <w:t xml:space="preserve">(i.e. not actual amounts awarded) </w:t>
      </w:r>
      <w:r>
        <w:t xml:space="preserve">and with a single narrow outcome </w:t>
      </w:r>
      <w:r w:rsidR="00305D03">
        <w:t xml:space="preserve">measure </w:t>
      </w:r>
      <w:r>
        <w:t>(retention into a second year of study).</w:t>
      </w:r>
      <w:r w:rsidR="00A07461">
        <w:t xml:space="preserve">  </w:t>
      </w:r>
      <w:r w:rsidR="009121AF">
        <w:t>U</w:t>
      </w:r>
      <w:r w:rsidR="00305D03">
        <w:t>nsurprisingly, u</w:t>
      </w:r>
      <w:r w:rsidR="00E97E7E">
        <w:t xml:space="preserve">niversity managers want to know if bursaries work given the large sums invested in them, while OFFA is keen to </w:t>
      </w:r>
      <w:r w:rsidR="00305D03">
        <w:t>understand their contribution to</w:t>
      </w:r>
      <w:r w:rsidR="00E97E7E">
        <w:t xml:space="preserve"> national targets for improvement</w:t>
      </w:r>
      <w:r w:rsidR="00CF600A">
        <w:t>s in</w:t>
      </w:r>
      <w:r w:rsidR="00E97E7E">
        <w:t xml:space="preserve"> student participation, retention and success.  </w:t>
      </w:r>
      <w:r w:rsidR="00742156">
        <w:t xml:space="preserve">It is in </w:t>
      </w:r>
      <w:r w:rsidR="009910E2">
        <w:t>the</w:t>
      </w:r>
      <w:r w:rsidR="00742156">
        <w:t xml:space="preserve"> context </w:t>
      </w:r>
      <w:r w:rsidR="00E97E7E">
        <w:t>of resolving the</w:t>
      </w:r>
      <w:r w:rsidR="009910E2">
        <w:t xml:space="preserve"> </w:t>
      </w:r>
      <w:r w:rsidR="00E97E7E">
        <w:t xml:space="preserve">epistemological </w:t>
      </w:r>
      <w:r w:rsidR="009910E2">
        <w:t xml:space="preserve">conflict </w:t>
      </w:r>
      <w:r w:rsidR="00E97E7E">
        <w:t xml:space="preserve">between the large quantitative study and the various localised qualitative studies </w:t>
      </w:r>
      <w:r w:rsidR="00742156">
        <w:t xml:space="preserve">that the </w:t>
      </w:r>
      <w:r w:rsidR="00F225BE">
        <w:t xml:space="preserve">project </w:t>
      </w:r>
      <w:r w:rsidR="00742156">
        <w:t>describe</w:t>
      </w:r>
      <w:r w:rsidR="009A0AAF">
        <w:t>d</w:t>
      </w:r>
      <w:r w:rsidR="00742156">
        <w:t xml:space="preserve"> below arose.</w:t>
      </w:r>
    </w:p>
    <w:p w14:paraId="2A267128" w14:textId="77777777" w:rsidR="009A0AAF" w:rsidRDefault="009A0AAF" w:rsidP="00227730">
      <w:pPr>
        <w:spacing w:line="480" w:lineRule="auto"/>
      </w:pPr>
    </w:p>
    <w:p w14:paraId="1FCFC5E7" w14:textId="77777777" w:rsidR="009A0AAF" w:rsidRDefault="009A0AAF" w:rsidP="00227730">
      <w:pPr>
        <w:spacing w:line="480" w:lineRule="auto"/>
      </w:pPr>
    </w:p>
    <w:p w14:paraId="00E7F581" w14:textId="1E6765E9" w:rsidR="00092017" w:rsidRDefault="00571231" w:rsidP="00227730">
      <w:pPr>
        <w:spacing w:line="480" w:lineRule="auto"/>
      </w:pPr>
      <w:r w:rsidRPr="00571231">
        <w:rPr>
          <w:i/>
        </w:rPr>
        <w:t>OFFA</w:t>
      </w:r>
      <w:r w:rsidR="00D53F12">
        <w:rPr>
          <w:i/>
        </w:rPr>
        <w:t>-funded</w:t>
      </w:r>
      <w:r w:rsidRPr="00571231">
        <w:rPr>
          <w:i/>
        </w:rPr>
        <w:t xml:space="preserve"> project</w:t>
      </w:r>
    </w:p>
    <w:p w14:paraId="5DC20D62" w14:textId="77777777" w:rsidR="00571231" w:rsidRDefault="00571231" w:rsidP="00227730">
      <w:pPr>
        <w:spacing w:line="480" w:lineRule="auto"/>
      </w:pPr>
    </w:p>
    <w:p w14:paraId="075A925C" w14:textId="4AE6F13A" w:rsidR="00510A23" w:rsidRDefault="0088014B" w:rsidP="00227730">
      <w:pPr>
        <w:spacing w:line="480" w:lineRule="auto"/>
      </w:pPr>
      <w:r>
        <w:t xml:space="preserve">In </w:t>
      </w:r>
      <w:r w:rsidR="006E602A">
        <w:t>March</w:t>
      </w:r>
      <w:r>
        <w:t xml:space="preserve"> 2015, OFFA issued a</w:t>
      </w:r>
      <w:r w:rsidR="00E011D1">
        <w:t>n invitation to</w:t>
      </w:r>
      <w:r>
        <w:t xml:space="preserve"> tender for a </w:t>
      </w:r>
      <w:r w:rsidR="00E011D1">
        <w:t xml:space="preserve">research </w:t>
      </w:r>
      <w:r>
        <w:t xml:space="preserve">team to develop </w:t>
      </w:r>
      <w:r w:rsidR="00A0113D">
        <w:t>a</w:t>
      </w:r>
      <w:r w:rsidR="0066361B">
        <w:t xml:space="preserve"> </w:t>
      </w:r>
      <w:r w:rsidR="00A0113D">
        <w:t>methodology</w:t>
      </w:r>
      <w:r>
        <w:t xml:space="preserve"> </w:t>
      </w:r>
      <w:r w:rsidR="00BA6DA4">
        <w:t>for</w:t>
      </w:r>
      <w:r>
        <w:t xml:space="preserve"> </w:t>
      </w:r>
      <w:r w:rsidR="00E011D1">
        <w:t>universities</w:t>
      </w:r>
      <w:r>
        <w:t xml:space="preserve"> to assess the success of their </w:t>
      </w:r>
      <w:r w:rsidR="0066361B">
        <w:t xml:space="preserve">own </w:t>
      </w:r>
      <w:r>
        <w:t>bursary programme</w:t>
      </w:r>
      <w:r w:rsidR="00CF600A">
        <w:t xml:space="preserve"> (OFFA, 2015c)</w:t>
      </w:r>
      <w:r>
        <w:t xml:space="preserve">.  The purpose </w:t>
      </w:r>
      <w:r w:rsidR="0066361B">
        <w:t xml:space="preserve">of the project </w:t>
      </w:r>
      <w:r>
        <w:t>was not to</w:t>
      </w:r>
      <w:r w:rsidR="00D27E82">
        <w:t xml:space="preserve"> directly</w:t>
      </w:r>
      <w:r>
        <w:t xml:space="preserve"> research bursaries</w:t>
      </w:r>
      <w:r w:rsidR="00E97E7E">
        <w:t>’ effectiveness</w:t>
      </w:r>
      <w:r>
        <w:t xml:space="preserve">, but to lay out a standardised framework </w:t>
      </w:r>
      <w:r w:rsidR="00E97E7E">
        <w:t xml:space="preserve">for analysis </w:t>
      </w:r>
      <w:r>
        <w:t xml:space="preserve">which </w:t>
      </w:r>
      <w:r w:rsidR="00D27E82">
        <w:t xml:space="preserve">would enable </w:t>
      </w:r>
      <w:r>
        <w:t xml:space="preserve">institutions </w:t>
      </w:r>
      <w:r w:rsidR="00D27E82">
        <w:t xml:space="preserve">to </w:t>
      </w:r>
      <w:r w:rsidR="00BB70DC">
        <w:t>evaluate</w:t>
      </w:r>
      <w:r w:rsidR="00E97E7E">
        <w:t xml:space="preserve"> their own bursary scheme in </w:t>
      </w:r>
      <w:r w:rsidR="00D27E82">
        <w:t>a robust and comparable way</w:t>
      </w:r>
      <w:r>
        <w:t xml:space="preserve">.  </w:t>
      </w:r>
      <w:r w:rsidR="00E011D1">
        <w:t xml:space="preserve">This was based on </w:t>
      </w:r>
      <w:r w:rsidR="00BA6DA4">
        <w:t>the hypothesis</w:t>
      </w:r>
      <w:r w:rsidR="00E011D1">
        <w:t xml:space="preserve"> </w:t>
      </w:r>
      <w:r w:rsidR="00BB70DC">
        <w:t xml:space="preserve">that some bursary schemes might be </w:t>
      </w:r>
      <w:r w:rsidR="00CF600A">
        <w:t xml:space="preserve">more </w:t>
      </w:r>
      <w:r w:rsidR="00BB70DC">
        <w:t xml:space="preserve">successful </w:t>
      </w:r>
      <w:r w:rsidR="00CF600A">
        <w:t xml:space="preserve">than others and that </w:t>
      </w:r>
      <w:r w:rsidR="00510A23">
        <w:t>forms of good practice</w:t>
      </w:r>
      <w:r w:rsidR="00CF600A">
        <w:t xml:space="preserve"> might emerge</w:t>
      </w:r>
      <w:r w:rsidR="009E3082">
        <w:t xml:space="preserve">, </w:t>
      </w:r>
      <w:r w:rsidR="0063178F">
        <w:t>as well as to help universities to</w:t>
      </w:r>
      <w:r w:rsidR="009E3082">
        <w:t xml:space="preserve"> better target support at </w:t>
      </w:r>
      <w:r w:rsidR="00510A23">
        <w:t>those</w:t>
      </w:r>
      <w:r w:rsidR="009E3082">
        <w:t xml:space="preserve"> in most need</w:t>
      </w:r>
      <w:r w:rsidR="00BB70DC">
        <w:t xml:space="preserve">.  </w:t>
      </w:r>
    </w:p>
    <w:p w14:paraId="739BA88B" w14:textId="77777777" w:rsidR="00510A23" w:rsidRDefault="00510A23" w:rsidP="00227730">
      <w:pPr>
        <w:spacing w:line="480" w:lineRule="auto"/>
      </w:pPr>
    </w:p>
    <w:p w14:paraId="7888594B" w14:textId="408E9089" w:rsidR="00571231" w:rsidRDefault="0088014B" w:rsidP="00227730">
      <w:pPr>
        <w:spacing w:line="480" w:lineRule="auto"/>
      </w:pPr>
      <w:r>
        <w:t xml:space="preserve">A team drawn from five </w:t>
      </w:r>
      <w:r w:rsidR="008565C4">
        <w:t>universities</w:t>
      </w:r>
      <w:r w:rsidR="002576C5">
        <w:t xml:space="preserve"> (Bedfordshire, King</w:t>
      </w:r>
      <w:r w:rsidR="00305D03">
        <w:t>’</w:t>
      </w:r>
      <w:r w:rsidR="002576C5">
        <w:t>s College London, Oxford, Sheffield Hallam and West of England)</w:t>
      </w:r>
      <w:r>
        <w:t xml:space="preserve"> was aw</w:t>
      </w:r>
      <w:r w:rsidR="008E0045">
        <w:t>arded the contract in June 2015</w:t>
      </w:r>
      <w:r w:rsidR="000440A6">
        <w:t>.  The project was divided into two phases, with the first focusing on the statistical analysis of historical administrative data from universities’ student records systems and the second on gathering data from students with bursaries through an online questionnaire</w:t>
      </w:r>
      <w:r w:rsidR="00510A23">
        <w:t xml:space="preserve"> around </w:t>
      </w:r>
      <w:r w:rsidR="000440A6">
        <w:t xml:space="preserve">their experiences and </w:t>
      </w:r>
      <w:r w:rsidR="00510A23">
        <w:t>how they had used</w:t>
      </w:r>
      <w:r w:rsidR="000440A6">
        <w:t xml:space="preserve"> their bursary.  This </w:t>
      </w:r>
      <w:r w:rsidR="00D53F12">
        <w:t>paper</w:t>
      </w:r>
      <w:r w:rsidR="000440A6">
        <w:t xml:space="preserve"> relates solely to the first phase</w:t>
      </w:r>
      <w:r w:rsidR="00510A23">
        <w:t>,</w:t>
      </w:r>
      <w:r w:rsidR="000440A6">
        <w:t xml:space="preserve"> the report </w:t>
      </w:r>
      <w:r w:rsidR="00510A23">
        <w:t xml:space="preserve">of which </w:t>
      </w:r>
      <w:r w:rsidR="00CF600A">
        <w:t xml:space="preserve">was published in </w:t>
      </w:r>
      <w:r w:rsidR="008F75BB">
        <w:t>February</w:t>
      </w:r>
      <w:r w:rsidR="00CF600A">
        <w:t xml:space="preserve"> 2016 </w:t>
      </w:r>
      <w:r w:rsidR="008E0045">
        <w:t>(OFFA, 2016</w:t>
      </w:r>
      <w:r w:rsidR="008565C4">
        <w:t>).</w:t>
      </w:r>
      <w:r w:rsidR="00A1527C">
        <w:t xml:space="preserve">  </w:t>
      </w:r>
    </w:p>
    <w:p w14:paraId="21D67EBF" w14:textId="77777777" w:rsidR="000A6460" w:rsidRDefault="000A6460" w:rsidP="00227730">
      <w:pPr>
        <w:spacing w:line="480" w:lineRule="auto"/>
      </w:pPr>
    </w:p>
    <w:p w14:paraId="572A8A84" w14:textId="384D7E5C" w:rsidR="000A6460" w:rsidRDefault="00CD3EC0" w:rsidP="00227730">
      <w:pPr>
        <w:spacing w:line="480" w:lineRule="auto"/>
      </w:pPr>
      <w:r>
        <w:t xml:space="preserve">As </w:t>
      </w:r>
      <w:r w:rsidR="000440A6">
        <w:t>outlined</w:t>
      </w:r>
      <w:r>
        <w:t xml:space="preserve"> above, the overarching context of the project was to determine whether bursaries were effective in terms of improving the outcomes for students from </w:t>
      </w:r>
      <w:r w:rsidR="00E011D1">
        <w:t>low income</w:t>
      </w:r>
      <w:r>
        <w:t xml:space="preserve"> </w:t>
      </w:r>
      <w:r w:rsidR="00200F45">
        <w:t xml:space="preserve">and other disadvantaged </w:t>
      </w:r>
      <w:r>
        <w:t>backgrounds.</w:t>
      </w:r>
      <w:r w:rsidR="0066361B">
        <w:t xml:space="preserve">  As a stepping stone, the team undertook analysis of data from the five institutions represented</w:t>
      </w:r>
      <w:r w:rsidR="00A0113D">
        <w:t>.  The</w:t>
      </w:r>
      <w:r w:rsidR="0066361B">
        <w:t xml:space="preserve"> analysis </w:t>
      </w:r>
      <w:r w:rsidR="00A0113D">
        <w:t xml:space="preserve">itself </w:t>
      </w:r>
      <w:r w:rsidR="0066361B">
        <w:t xml:space="preserve">is </w:t>
      </w:r>
      <w:r w:rsidR="00E97E7E">
        <w:t xml:space="preserve">considered </w:t>
      </w:r>
      <w:r w:rsidR="0066361B">
        <w:t>commercial</w:t>
      </w:r>
      <w:r w:rsidR="00BA13AD">
        <w:t>ly-</w:t>
      </w:r>
      <w:r w:rsidR="0066361B">
        <w:t>sensitiv</w:t>
      </w:r>
      <w:r w:rsidR="00E97E7E">
        <w:t>e</w:t>
      </w:r>
      <w:r w:rsidR="0066361B">
        <w:t xml:space="preserve"> </w:t>
      </w:r>
      <w:r w:rsidR="00A0113D">
        <w:t xml:space="preserve">by the participating universities </w:t>
      </w:r>
      <w:r w:rsidR="0066361B">
        <w:t xml:space="preserve">and so is not reported here.  Instead, this </w:t>
      </w:r>
      <w:r w:rsidR="00A84238">
        <w:t xml:space="preserve">paper </w:t>
      </w:r>
      <w:r w:rsidR="00E97E7E">
        <w:t>provides</w:t>
      </w:r>
      <w:r w:rsidR="0066361B">
        <w:t xml:space="preserve"> reflections </w:t>
      </w:r>
      <w:r w:rsidR="00E97E7E">
        <w:t>from</w:t>
      </w:r>
      <w:r w:rsidR="0066361B">
        <w:t xml:space="preserve"> the </w:t>
      </w:r>
      <w:r w:rsidR="00A0113D">
        <w:t>project</w:t>
      </w:r>
      <w:r w:rsidR="0066361B">
        <w:t xml:space="preserve"> </w:t>
      </w:r>
      <w:r w:rsidR="00A0113D">
        <w:t>based on</w:t>
      </w:r>
      <w:r w:rsidR="00E011D1">
        <w:t xml:space="preserve"> grappling</w:t>
      </w:r>
      <w:r w:rsidR="0066361B">
        <w:t xml:space="preserve"> with the </w:t>
      </w:r>
      <w:r w:rsidR="006C3994">
        <w:t xml:space="preserve">underlying epistemological challenges and contradictions of attempting to quantitatively evaluate the success </w:t>
      </w:r>
      <w:r w:rsidR="008565C4">
        <w:t>of a major governmental policy initiative and a significant expenditure for individual universities</w:t>
      </w:r>
      <w:r w:rsidR="008D7353">
        <w:t xml:space="preserve">: in short, do they </w:t>
      </w:r>
      <w:r w:rsidR="00BA6DA4">
        <w:t>‘</w:t>
      </w:r>
      <w:r w:rsidR="008D7353">
        <w:t>work</w:t>
      </w:r>
      <w:r w:rsidR="00BA6DA4">
        <w:t>’</w:t>
      </w:r>
      <w:r w:rsidR="00E011D1">
        <w:t xml:space="preserve"> and how </w:t>
      </w:r>
      <w:r w:rsidR="00BA6DA4">
        <w:t>can</w:t>
      </w:r>
      <w:r w:rsidR="00E011D1">
        <w:t xml:space="preserve"> we know</w:t>
      </w:r>
      <w:r w:rsidR="008D7353">
        <w:t>?</w:t>
      </w:r>
      <w:r w:rsidR="00A84238">
        <w:t xml:space="preserve">  </w:t>
      </w:r>
      <w:r w:rsidR="002C3F35">
        <w:t>T</w:t>
      </w:r>
      <w:r w:rsidR="00134FDA">
        <w:t>o this end, t</w:t>
      </w:r>
      <w:r w:rsidR="002C3F35">
        <w:t>he research question</w:t>
      </w:r>
      <w:r w:rsidR="00134FDA">
        <w:t xml:space="preserve"> used</w:t>
      </w:r>
      <w:r w:rsidR="002C3F35">
        <w:t xml:space="preserve"> </w:t>
      </w:r>
      <w:r w:rsidR="00134FDA">
        <w:t>to guide</w:t>
      </w:r>
      <w:r w:rsidR="002C3F35">
        <w:t xml:space="preserve"> the project was: </w:t>
      </w:r>
      <w:r w:rsidR="002C3F35" w:rsidRPr="00D92675">
        <w:rPr>
          <w:i/>
        </w:rPr>
        <w:t xml:space="preserve">Do financial bursaries for </w:t>
      </w:r>
      <w:r w:rsidR="002C3F35">
        <w:rPr>
          <w:i/>
        </w:rPr>
        <w:t xml:space="preserve">financially </w:t>
      </w:r>
      <w:r w:rsidR="002C3F35" w:rsidRPr="00D92675">
        <w:rPr>
          <w:i/>
        </w:rPr>
        <w:t xml:space="preserve">disadvantaged students </w:t>
      </w:r>
      <w:r w:rsidR="002C3F35">
        <w:rPr>
          <w:i/>
        </w:rPr>
        <w:t>ameliorate their educational disadvantage</w:t>
      </w:r>
      <w:r w:rsidR="002C3F35" w:rsidRPr="00D92675">
        <w:rPr>
          <w:i/>
        </w:rPr>
        <w:t xml:space="preserve"> relative to other students?</w:t>
      </w:r>
      <w:r w:rsidR="00574D76">
        <w:t xml:space="preserve"> </w:t>
      </w:r>
    </w:p>
    <w:p w14:paraId="1610E18B" w14:textId="77777777" w:rsidR="00481329" w:rsidRDefault="00481329" w:rsidP="00227730">
      <w:pPr>
        <w:spacing w:line="480" w:lineRule="auto"/>
      </w:pPr>
    </w:p>
    <w:p w14:paraId="20A94114" w14:textId="77777777" w:rsidR="00783E00" w:rsidRDefault="00783E00" w:rsidP="00227730">
      <w:pPr>
        <w:spacing w:line="480" w:lineRule="auto"/>
      </w:pPr>
    </w:p>
    <w:p w14:paraId="18325CDB" w14:textId="77777777" w:rsidR="00783E00" w:rsidRPr="00783E00" w:rsidRDefault="00783E00" w:rsidP="00227730">
      <w:pPr>
        <w:spacing w:line="480" w:lineRule="auto"/>
        <w:rPr>
          <w:i/>
        </w:rPr>
      </w:pPr>
      <w:r>
        <w:rPr>
          <w:i/>
        </w:rPr>
        <w:t>Problematising the question</w:t>
      </w:r>
    </w:p>
    <w:p w14:paraId="5F210710" w14:textId="77777777" w:rsidR="00783E00" w:rsidRDefault="00783E00" w:rsidP="00227730">
      <w:pPr>
        <w:spacing w:line="480" w:lineRule="auto"/>
      </w:pPr>
    </w:p>
    <w:p w14:paraId="1118D1EC" w14:textId="449E98BE" w:rsidR="00AC6B62" w:rsidRDefault="00AC6B62" w:rsidP="00227730">
      <w:pPr>
        <w:spacing w:line="480" w:lineRule="auto"/>
      </w:pPr>
      <w:r>
        <w:t>There were a range of epistemological issues to be grappled with within this question.  Firstly, there could be no true counterfactual</w:t>
      </w:r>
      <w:r w:rsidR="006A66C3">
        <w:t xml:space="preserve"> analysis</w:t>
      </w:r>
      <w:r>
        <w:t xml:space="preserve">.  </w:t>
      </w:r>
      <w:r w:rsidR="00D16C19">
        <w:t xml:space="preserve">The project was not conceived to be </w:t>
      </w:r>
      <w:r w:rsidR="006E639B">
        <w:t>fully</w:t>
      </w:r>
      <w:r w:rsidR="00783E00">
        <w:t xml:space="preserve"> </w:t>
      </w:r>
      <w:r w:rsidR="00D16C19">
        <w:t xml:space="preserve">experimental (even if this were possible to achieve within an ethical research framework) and it was predicated on the use of </w:t>
      </w:r>
      <w:r w:rsidR="00783E00">
        <w:t>historic</w:t>
      </w:r>
      <w:r w:rsidR="00D16C19">
        <w:t xml:space="preserve"> administrative data</w:t>
      </w:r>
      <w:r w:rsidR="00783E00">
        <w:t xml:space="preserve"> – i.e. it was quasi-experimental</w:t>
      </w:r>
      <w:r w:rsidR="00D16C19">
        <w:t>.  There was no means of examining what would happen to students if their bursary had not existed or if it had been doubled</w:t>
      </w:r>
      <w:r w:rsidR="00566967">
        <w:t xml:space="preserve"> – a </w:t>
      </w:r>
      <w:r w:rsidR="005A4ADD">
        <w:t>putative</w:t>
      </w:r>
      <w:r w:rsidR="00566967">
        <w:t xml:space="preserve"> project that was able to compare similar students </w:t>
      </w:r>
      <w:r w:rsidR="00566967">
        <w:rPr>
          <w:i/>
        </w:rPr>
        <w:t>across</w:t>
      </w:r>
      <w:r w:rsidR="00566967">
        <w:t xml:space="preserve"> institutions with different bursary schemes could potentially address this issue, but this was out of scope for the project in hand.</w:t>
      </w:r>
    </w:p>
    <w:p w14:paraId="003A0DCD" w14:textId="77777777" w:rsidR="00AC6B62" w:rsidRDefault="00AC6B62" w:rsidP="00227730">
      <w:pPr>
        <w:spacing w:line="480" w:lineRule="auto"/>
      </w:pPr>
    </w:p>
    <w:p w14:paraId="4E301464" w14:textId="77777777" w:rsidR="00941139" w:rsidRDefault="00941139" w:rsidP="00227730">
      <w:pPr>
        <w:spacing w:line="480" w:lineRule="auto"/>
      </w:pPr>
      <w:r>
        <w:t xml:space="preserve">The project therefore had to be based on a comparison between bursary holders and students who were not bursary holders.  The latter could not be a control group, not least as the nature of bursaries </w:t>
      </w:r>
      <w:r w:rsidR="006E4DCD">
        <w:t>is that, in general, all students passing t</w:t>
      </w:r>
      <w:r w:rsidR="00240020">
        <w:t xml:space="preserve">he means-test receive a bursary – i.e. there </w:t>
      </w:r>
      <w:r w:rsidR="00783E00">
        <w:t>should be</w:t>
      </w:r>
      <w:r w:rsidR="00240020">
        <w:t xml:space="preserve"> no low income students without bursaries.  Instead, the project was based around the idea of a </w:t>
      </w:r>
      <w:r w:rsidR="00783E00">
        <w:t>comparison</w:t>
      </w:r>
      <w:r w:rsidR="00240020">
        <w:t xml:space="preserve"> group with marginally less </w:t>
      </w:r>
      <w:r w:rsidR="00783E00">
        <w:t xml:space="preserve">financial </w:t>
      </w:r>
      <w:r w:rsidR="00240020">
        <w:t>disadvantage than the bursary group (and therefore ineligible for a bursary).</w:t>
      </w:r>
      <w:r w:rsidR="00B2259C">
        <w:t xml:space="preserve">  We will return to this </w:t>
      </w:r>
      <w:r w:rsidR="00783E00">
        <w:t>mid-income comparison</w:t>
      </w:r>
      <w:r w:rsidR="00B2259C">
        <w:t xml:space="preserve"> group shortly.</w:t>
      </w:r>
    </w:p>
    <w:p w14:paraId="258B0C89" w14:textId="77777777" w:rsidR="00941139" w:rsidRDefault="00941139" w:rsidP="00227730">
      <w:pPr>
        <w:spacing w:line="480" w:lineRule="auto"/>
      </w:pPr>
    </w:p>
    <w:p w14:paraId="626C9B37" w14:textId="2A00D1FA" w:rsidR="0015593B" w:rsidRDefault="00B2259C" w:rsidP="00227730">
      <w:pPr>
        <w:spacing w:line="480" w:lineRule="auto"/>
      </w:pPr>
      <w:r>
        <w:t>The research question itself</w:t>
      </w:r>
      <w:r w:rsidR="009F46E4">
        <w:t xml:space="preserve"> makes the not-unreasonable assumption that students who are financiall</w:t>
      </w:r>
      <w:r w:rsidR="004B6B6F">
        <w:t xml:space="preserve">y </w:t>
      </w:r>
      <w:r w:rsidR="009F46E4">
        <w:t xml:space="preserve">disadvantaged </w:t>
      </w:r>
      <w:r w:rsidR="004B6B6F">
        <w:t xml:space="preserve">(i.e. come from a low income household) </w:t>
      </w:r>
      <w:r w:rsidR="00EB6A32">
        <w:t>suffer educational disadvantage</w:t>
      </w:r>
      <w:r w:rsidR="0099660A">
        <w:t xml:space="preserve"> as a result</w:t>
      </w:r>
      <w:r w:rsidR="0015593B">
        <w:t xml:space="preserve">.  </w:t>
      </w:r>
      <w:r w:rsidR="00DD2498">
        <w:t>Much</w:t>
      </w:r>
      <w:r w:rsidR="0015593B">
        <w:t xml:space="preserve"> of this disadvantage will have accumulated prior to university and be manifest in the qualifications that the student holds (Gorard and See, 2013; Crawford, 2014) and the extent to which these represent </w:t>
      </w:r>
      <w:r w:rsidR="005720A8">
        <w:t xml:space="preserve">intellectual </w:t>
      </w:r>
      <w:r w:rsidR="0015593B">
        <w:t>preparedness for higher study.  The acknowledgment of this underpins the ‘contextualised admissions’ movement</w:t>
      </w:r>
      <w:r w:rsidR="005720A8">
        <w:t>,</w:t>
      </w:r>
      <w:r w:rsidR="0015593B">
        <w:t xml:space="preserve"> which seeks to give disadvantaged students preferential treatment within the admissions system on the basis that their qualifications are not a reliable representation of their ability </w:t>
      </w:r>
      <w:r w:rsidR="00BA13AD">
        <w:t>and/</w:t>
      </w:r>
      <w:r w:rsidR="0015593B">
        <w:t xml:space="preserve">or potential (Hoare </w:t>
      </w:r>
      <w:r w:rsidR="00DD2498">
        <w:t>and Johnston, 20</w:t>
      </w:r>
      <w:r w:rsidR="001F4144">
        <w:t>1</w:t>
      </w:r>
      <w:r w:rsidR="00DD2498">
        <w:t>1</w:t>
      </w:r>
      <w:r w:rsidR="0015593B">
        <w:t xml:space="preserve">; </w:t>
      </w:r>
      <w:r w:rsidR="00DD2498">
        <w:t>Moore, Mountford-</w:t>
      </w:r>
      <w:r w:rsidR="0015593B">
        <w:t>Zimdars</w:t>
      </w:r>
      <w:r w:rsidR="00DD2498">
        <w:t xml:space="preserve"> and Wiggans,</w:t>
      </w:r>
      <w:r w:rsidR="0015593B">
        <w:t xml:space="preserve"> </w:t>
      </w:r>
      <w:r w:rsidR="00DD2498">
        <w:t>2013</w:t>
      </w:r>
      <w:r w:rsidR="0015593B">
        <w:t>).</w:t>
      </w:r>
    </w:p>
    <w:p w14:paraId="7B8B76B3" w14:textId="77777777" w:rsidR="0015593B" w:rsidRDefault="0015593B" w:rsidP="00227730">
      <w:pPr>
        <w:spacing w:line="480" w:lineRule="auto"/>
      </w:pPr>
    </w:p>
    <w:p w14:paraId="3055BC8C" w14:textId="77777777" w:rsidR="001C767A" w:rsidRDefault="005720A8" w:rsidP="00227730">
      <w:pPr>
        <w:spacing w:line="480" w:lineRule="auto"/>
      </w:pPr>
      <w:r>
        <w:t>However, other educational disadvantage is likely to accumulate</w:t>
      </w:r>
      <w:r w:rsidR="0099660A">
        <w:t xml:space="preserve"> during their time as a student</w:t>
      </w:r>
      <w:r w:rsidR="00EB6A32">
        <w:t>.</w:t>
      </w:r>
      <w:r w:rsidR="00330E91">
        <w:t xml:space="preserve">  </w:t>
      </w:r>
      <w:r w:rsidR="001C767A">
        <w:t>They are, for example, more likely to need to take on part-time work to support their living costs, limiting time for study</w:t>
      </w:r>
      <w:r w:rsidR="006A0A2F">
        <w:t xml:space="preserve"> and potentially causing anxiety</w:t>
      </w:r>
      <w:r w:rsidR="001C767A">
        <w:t xml:space="preserve"> (</w:t>
      </w:r>
      <w:r w:rsidR="009925F8" w:rsidRPr="00C45A6C">
        <w:rPr>
          <w:szCs w:val="24"/>
        </w:rPr>
        <w:t>Jessop, Herberts and Solomon 2005; Humphrey, 2006; Robotham 2008</w:t>
      </w:r>
      <w:r w:rsidR="009925F8">
        <w:rPr>
          <w:szCs w:val="24"/>
        </w:rPr>
        <w:t xml:space="preserve">; </w:t>
      </w:r>
      <w:r w:rsidR="009925F8" w:rsidRPr="00C45A6C">
        <w:rPr>
          <w:szCs w:val="24"/>
        </w:rPr>
        <w:t>Callender 2008</w:t>
      </w:r>
      <w:r w:rsidR="001C767A">
        <w:t xml:space="preserve">).  They are less likely to be able to afford </w:t>
      </w:r>
      <w:r w:rsidR="006A0A2F">
        <w:t xml:space="preserve">the </w:t>
      </w:r>
      <w:r w:rsidR="001C767A">
        <w:t xml:space="preserve">books, equipment and materials to support their study.  There may be other indirect forms of disadvantage too – e.g. due to </w:t>
      </w:r>
      <w:r w:rsidR="00DD3BCC">
        <w:t xml:space="preserve">affordable </w:t>
      </w:r>
      <w:r w:rsidR="001C767A">
        <w:t>accommodation options</w:t>
      </w:r>
      <w:r w:rsidR="00914B18">
        <w:t xml:space="preserve"> (including remaining in the family home)</w:t>
      </w:r>
      <w:r>
        <w:t>, which increase the time required for travelling</w:t>
      </w:r>
      <w:r w:rsidR="001C767A">
        <w:t xml:space="preserve"> or limit </w:t>
      </w:r>
      <w:r w:rsidR="00914859">
        <w:t>integration</w:t>
      </w:r>
      <w:r w:rsidR="001C767A">
        <w:t xml:space="preserve"> to the university community.</w:t>
      </w:r>
    </w:p>
    <w:p w14:paraId="642F02BA" w14:textId="77777777" w:rsidR="001C767A" w:rsidRDefault="001C767A" w:rsidP="00227730">
      <w:pPr>
        <w:spacing w:line="480" w:lineRule="auto"/>
      </w:pPr>
    </w:p>
    <w:p w14:paraId="7A88786D" w14:textId="0FF56B36" w:rsidR="006A0A2F" w:rsidRDefault="00330E91" w:rsidP="00227730">
      <w:pPr>
        <w:spacing w:line="480" w:lineRule="auto"/>
      </w:pPr>
      <w:r>
        <w:t xml:space="preserve">The subsequent assumption is that </w:t>
      </w:r>
      <w:r w:rsidR="005720A8">
        <w:t>these forms of financially-related</w:t>
      </w:r>
      <w:r>
        <w:t xml:space="preserve"> disadvantage would </w:t>
      </w:r>
      <w:r w:rsidR="00DC1733">
        <w:t>usually</w:t>
      </w:r>
      <w:r>
        <w:t xml:space="preserve"> be reflected in commonly-used measures of </w:t>
      </w:r>
      <w:r w:rsidR="00B337D3">
        <w:t xml:space="preserve">‘formal’ </w:t>
      </w:r>
      <w:r>
        <w:t>outcome</w:t>
      </w:r>
      <w:r w:rsidR="00DD3BCC">
        <w:t xml:space="preserve"> </w:t>
      </w:r>
      <w:r w:rsidR="00914859">
        <w:t xml:space="preserve">that are often used as performance indicators within the sector </w:t>
      </w:r>
      <w:r w:rsidR="00DD3BCC">
        <w:t xml:space="preserve">(e.g. retention, </w:t>
      </w:r>
      <w:r w:rsidR="00FF64E0">
        <w:t xml:space="preserve">degree </w:t>
      </w:r>
      <w:r w:rsidR="00DD3BCC">
        <w:t>result and employment)</w:t>
      </w:r>
      <w:r>
        <w:t xml:space="preserve">.  </w:t>
      </w:r>
      <w:r w:rsidR="006665AF">
        <w:t>This</w:t>
      </w:r>
      <w:r w:rsidR="005720A8">
        <w:t>, however,</w:t>
      </w:r>
      <w:r w:rsidR="006665AF">
        <w:t xml:space="preserve"> is </w:t>
      </w:r>
      <w:r w:rsidR="00E63656">
        <w:t>more problematic</w:t>
      </w:r>
      <w:r w:rsidR="006665AF">
        <w:t xml:space="preserve">.  </w:t>
      </w:r>
      <w:r w:rsidR="001E27DC">
        <w:t xml:space="preserve">For example, it may be that </w:t>
      </w:r>
      <w:r w:rsidR="00DD3BCC">
        <w:t>these</w:t>
      </w:r>
      <w:r w:rsidR="001E27DC">
        <w:t xml:space="preserve"> student</w:t>
      </w:r>
      <w:r w:rsidR="00DD3BCC">
        <w:t>s develop</w:t>
      </w:r>
      <w:r w:rsidR="001E27DC">
        <w:t xml:space="preserve"> greater resilience</w:t>
      </w:r>
      <w:r w:rsidR="002C7B34">
        <w:t xml:space="preserve"> by overcoming barriers earlier in their education</w:t>
      </w:r>
      <w:r w:rsidR="001E27DC">
        <w:t xml:space="preserve">, </w:t>
      </w:r>
      <w:r w:rsidR="005720A8">
        <w:t xml:space="preserve">have a </w:t>
      </w:r>
      <w:r w:rsidR="001E27DC">
        <w:t xml:space="preserve">higher motivation </w:t>
      </w:r>
      <w:r w:rsidR="002C7B34">
        <w:t>to succeed</w:t>
      </w:r>
      <w:r w:rsidR="00DC00DD">
        <w:t>, possess good coping or study strategies</w:t>
      </w:r>
      <w:r w:rsidR="002C7B34">
        <w:t xml:space="preserve"> </w:t>
      </w:r>
      <w:r w:rsidR="001E27DC">
        <w:t xml:space="preserve">or </w:t>
      </w:r>
      <w:r w:rsidR="005720A8">
        <w:t xml:space="preserve">benefit from </w:t>
      </w:r>
      <w:r w:rsidR="002C7B34">
        <w:t>stronger family or com</w:t>
      </w:r>
      <w:r w:rsidR="00856008">
        <w:t>munity support (</w:t>
      </w:r>
      <w:r w:rsidR="002E0B61">
        <w:t xml:space="preserve">e.g. </w:t>
      </w:r>
      <w:r w:rsidR="0004470D">
        <w:t xml:space="preserve">Marshall and Case, 2010; </w:t>
      </w:r>
      <w:r w:rsidR="00DC00DD">
        <w:t xml:space="preserve">Clegg, 2011; </w:t>
      </w:r>
      <w:r w:rsidR="00856008">
        <w:t>Modood,</w:t>
      </w:r>
      <w:r w:rsidR="0077583F">
        <w:t xml:space="preserve"> </w:t>
      </w:r>
      <w:r w:rsidR="00856008">
        <w:t>20</w:t>
      </w:r>
      <w:r w:rsidR="004F0042">
        <w:t>12</w:t>
      </w:r>
      <w:r w:rsidR="002C4713">
        <w:t>; McKay and Devlin, in press</w:t>
      </w:r>
      <w:r w:rsidR="0077583F">
        <w:t>)</w:t>
      </w:r>
      <w:r w:rsidR="001F4144">
        <w:t>; these are exceptionally difficult to measure with reliability</w:t>
      </w:r>
      <w:r w:rsidR="001E27DC">
        <w:t>.</w:t>
      </w:r>
      <w:r w:rsidR="00D95AFE">
        <w:t xml:space="preserve">  </w:t>
      </w:r>
      <w:r w:rsidR="001F4144">
        <w:t>Students</w:t>
      </w:r>
      <w:r w:rsidR="00D95AFE">
        <w:t xml:space="preserve"> may also simply adopt more frugal lifestyles to allow them to focus their limited finances </w:t>
      </w:r>
      <w:r w:rsidR="000834FD">
        <w:t xml:space="preserve">and time </w:t>
      </w:r>
      <w:r w:rsidR="00D95AFE">
        <w:t>towards the expenditure with the most academic value</w:t>
      </w:r>
      <w:r w:rsidR="005720A8">
        <w:t>, eschewing elements of the stereotypical student experience</w:t>
      </w:r>
      <w:r w:rsidR="006A0A2F">
        <w:t xml:space="preserve"> (Harrison et al</w:t>
      </w:r>
      <w:r w:rsidR="00452083">
        <w:t>,</w:t>
      </w:r>
      <w:r w:rsidR="006A0A2F">
        <w:t xml:space="preserve"> </w:t>
      </w:r>
      <w:r w:rsidR="00996522">
        <w:t>in press</w:t>
      </w:r>
      <w:r w:rsidR="006A0A2F">
        <w:t>)</w:t>
      </w:r>
      <w:r w:rsidR="00A0792F">
        <w:t>.</w:t>
      </w:r>
    </w:p>
    <w:p w14:paraId="6080EC26" w14:textId="77777777" w:rsidR="006A0A2F" w:rsidRDefault="006A0A2F" w:rsidP="00227730">
      <w:pPr>
        <w:spacing w:line="480" w:lineRule="auto"/>
      </w:pPr>
    </w:p>
    <w:p w14:paraId="4CF06610" w14:textId="68F3078A" w:rsidR="006A0A2F" w:rsidRDefault="00095ABA" w:rsidP="00227730">
      <w:pPr>
        <w:spacing w:line="480" w:lineRule="auto"/>
      </w:pPr>
      <w:r>
        <w:t>Furthermore</w:t>
      </w:r>
      <w:r w:rsidR="006A0A2F">
        <w:t>, students from low income backgrounds are likely to have been those targeted by universities as part of their outreach programmes</w:t>
      </w:r>
      <w:r w:rsidR="00CB4E06">
        <w:t>, especially if living in deprived areas (Harrison and McCaig, 2015)</w:t>
      </w:r>
      <w:r w:rsidR="006A0A2F">
        <w:t xml:space="preserve">.  Many will have had access to </w:t>
      </w:r>
      <w:r w:rsidR="006314BF">
        <w:t xml:space="preserve">significant long-term </w:t>
      </w:r>
      <w:r w:rsidR="006A0A2F">
        <w:t xml:space="preserve">activities intended to </w:t>
      </w:r>
      <w:r w:rsidR="007B78DB">
        <w:t xml:space="preserve">develop their preparedness for higher education and to </w:t>
      </w:r>
      <w:r w:rsidR="006A0A2F">
        <w:t xml:space="preserve">help them to achieve </w:t>
      </w:r>
      <w:r w:rsidR="007B78DB">
        <w:t>on arrival</w:t>
      </w:r>
      <w:r w:rsidR="006314BF">
        <w:t xml:space="preserve"> – e.g. summer school</w:t>
      </w:r>
      <w:r>
        <w:t>s, revision classes</w:t>
      </w:r>
      <w:r w:rsidR="006314BF">
        <w:t xml:space="preserve"> or mentoring programmes</w:t>
      </w:r>
      <w:r w:rsidR="007B78DB">
        <w:t>.</w:t>
      </w:r>
      <w:r w:rsidR="006314BF">
        <w:t xml:space="preserve">  Having a bursary may therefore act as a proxy for a lengthy positive engagement with their university (and/or others), with associated gains in terms of skills, motivation </w:t>
      </w:r>
      <w:r w:rsidR="008615D6">
        <w:t>and/</w:t>
      </w:r>
      <w:r w:rsidR="006314BF">
        <w:t xml:space="preserve">or commitment; indeed, </w:t>
      </w:r>
      <w:r w:rsidR="008615D6">
        <w:t>many</w:t>
      </w:r>
      <w:r w:rsidR="006314BF">
        <w:t xml:space="preserve"> universities use participation in </w:t>
      </w:r>
      <w:r w:rsidR="00D51758">
        <w:t xml:space="preserve">their </w:t>
      </w:r>
      <w:r w:rsidR="006314BF">
        <w:t xml:space="preserve">outreach </w:t>
      </w:r>
      <w:r w:rsidR="00D51758">
        <w:t>programme</w:t>
      </w:r>
      <w:r w:rsidR="006314BF">
        <w:t xml:space="preserve"> </w:t>
      </w:r>
      <w:r w:rsidR="008615D6">
        <w:t>as one</w:t>
      </w:r>
      <w:r w:rsidR="006314BF">
        <w:t xml:space="preserve"> criterion for awarding bursaries</w:t>
      </w:r>
      <w:r w:rsidR="00D51758">
        <w:t>.</w:t>
      </w:r>
    </w:p>
    <w:p w14:paraId="3D88621B" w14:textId="77777777" w:rsidR="006A0A2F" w:rsidRDefault="006A0A2F" w:rsidP="00227730">
      <w:pPr>
        <w:spacing w:line="480" w:lineRule="auto"/>
      </w:pPr>
    </w:p>
    <w:p w14:paraId="34288E09" w14:textId="0F40A5B0" w:rsidR="00A05E14" w:rsidRDefault="00B337D3" w:rsidP="00227730">
      <w:pPr>
        <w:spacing w:line="480" w:lineRule="auto"/>
      </w:pPr>
      <w:r>
        <w:t xml:space="preserve">All in all, it is not </w:t>
      </w:r>
      <w:r w:rsidR="00CA2C2E">
        <w:t xml:space="preserve">entirely </w:t>
      </w:r>
      <w:r w:rsidR="003C63B0">
        <w:t>clear how</w:t>
      </w:r>
      <w:r>
        <w:t xml:space="preserve"> financial </w:t>
      </w:r>
      <w:r w:rsidR="00EE6699">
        <w:t xml:space="preserve">disadvantage </w:t>
      </w:r>
      <w:r w:rsidR="00CA2C2E">
        <w:t xml:space="preserve">causally </w:t>
      </w:r>
      <w:r>
        <w:t>implies</w:t>
      </w:r>
      <w:r w:rsidR="00EE6699">
        <w:t xml:space="preserve"> poorer </w:t>
      </w:r>
      <w:r w:rsidR="008615D6">
        <w:t>‘</w:t>
      </w:r>
      <w:r>
        <w:t>formal</w:t>
      </w:r>
      <w:r w:rsidR="008615D6">
        <w:t>’</w:t>
      </w:r>
      <w:r>
        <w:t xml:space="preserve"> </w:t>
      </w:r>
      <w:r w:rsidR="00EE6699">
        <w:t>outcomes</w:t>
      </w:r>
      <w:r w:rsidR="008615D6">
        <w:t>, because of the complexity of the determinants of these outcomes, the passage of time and overlapping interventions des</w:t>
      </w:r>
      <w:r w:rsidR="00A05E14">
        <w:t>igned to support these students.</w:t>
      </w:r>
      <w:r w:rsidR="002B3F71">
        <w:t xml:space="preserve"> </w:t>
      </w:r>
      <w:r w:rsidR="00A05E14">
        <w:t xml:space="preserve"> </w:t>
      </w:r>
      <w:r w:rsidR="00CA2C2E">
        <w:t>Recent reports published by and for HEFCE have suggested that students from disadvantaged neighbourhoods are</w:t>
      </w:r>
      <w:r w:rsidR="009416BF">
        <w:t xml:space="preserve"> slightly</w:t>
      </w:r>
      <w:r w:rsidR="00CA2C2E">
        <w:t xml:space="preserve"> less likely to obtain </w:t>
      </w:r>
      <w:r w:rsidR="006705C8">
        <w:t xml:space="preserve">first or upper second class </w:t>
      </w:r>
      <w:r w:rsidR="009416BF">
        <w:t xml:space="preserve">degrees once other factors are taken into account, but that the intersectionality </w:t>
      </w:r>
      <w:r w:rsidR="006705C8">
        <w:t xml:space="preserve">reflected in the interaction terms </w:t>
      </w:r>
      <w:r w:rsidR="009416BF">
        <w:t>within the statistical model makes interpretation and inference vexed (HEFCE, 2014; Mountford-Zimdars et al, 2015).</w:t>
      </w:r>
      <w:r w:rsidR="006705C8">
        <w:t xml:space="preserve">  For example, it may be that this effect can be explained, at least in part, by the increased likelihood of such students remaining in the family home while studying, which is also seen as a risk factor.  Conversely, the same reports are more solid in their finding that students from state schools are likely to outperform their private school peers, all else </w:t>
      </w:r>
      <w:r w:rsidR="003C63B0">
        <w:t>(including</w:t>
      </w:r>
      <w:r w:rsidR="009E3082">
        <w:t xml:space="preserve"> entry </w:t>
      </w:r>
      <w:r w:rsidR="003C63B0">
        <w:t>qualifications</w:t>
      </w:r>
      <w:r w:rsidR="009E3082">
        <w:t xml:space="preserve">) </w:t>
      </w:r>
      <w:r w:rsidR="006705C8">
        <w:t>being equal.  The field is</w:t>
      </w:r>
      <w:r w:rsidR="00E80214">
        <w:t xml:space="preserve"> therefore</w:t>
      </w:r>
      <w:r w:rsidR="006705C8">
        <w:t xml:space="preserve"> clearly complex, but </w:t>
      </w:r>
      <w:r w:rsidR="00C95FF9">
        <w:t xml:space="preserve">something of a deficit discourse around </w:t>
      </w:r>
      <w:r w:rsidR="006705C8">
        <w:t>disadvantaged</w:t>
      </w:r>
      <w:r w:rsidR="00C95FF9">
        <w:t xml:space="preserve"> students</w:t>
      </w:r>
      <w:r w:rsidR="006705C8">
        <w:t xml:space="preserve"> remains</w:t>
      </w:r>
      <w:r w:rsidR="00C95FF9">
        <w:t xml:space="preserve"> </w:t>
      </w:r>
      <w:r w:rsidR="006705C8">
        <w:t>alongside</w:t>
      </w:r>
      <w:r w:rsidR="00C95FF9">
        <w:t xml:space="preserve"> an assumption of underperformance</w:t>
      </w:r>
      <w:r w:rsidR="00DC00DD">
        <w:t xml:space="preserve"> (</w:t>
      </w:r>
      <w:r w:rsidR="00E77368">
        <w:t xml:space="preserve">Clegg, 2011; </w:t>
      </w:r>
      <w:r w:rsidR="00DC00DD">
        <w:t>Smit, 2012</w:t>
      </w:r>
      <w:r w:rsidR="002C4713">
        <w:t>; McKay and Devlin, in press</w:t>
      </w:r>
      <w:r w:rsidR="00DC00DD">
        <w:t>)</w:t>
      </w:r>
      <w:r w:rsidR="00C95FF9">
        <w:t>.</w:t>
      </w:r>
    </w:p>
    <w:p w14:paraId="12DDBC26" w14:textId="77777777" w:rsidR="00A05E14" w:rsidRDefault="00A05E14" w:rsidP="00227730">
      <w:pPr>
        <w:spacing w:line="480" w:lineRule="auto"/>
      </w:pPr>
    </w:p>
    <w:p w14:paraId="5F87BF37" w14:textId="326C3937" w:rsidR="000D590A" w:rsidRDefault="00A05E14" w:rsidP="00227730">
      <w:pPr>
        <w:spacing w:line="480" w:lineRule="auto"/>
      </w:pPr>
      <w:r>
        <w:t>However</w:t>
      </w:r>
      <w:r w:rsidR="000D590A">
        <w:t xml:space="preserve">, it is important to </w:t>
      </w:r>
      <w:r>
        <w:t>remember</w:t>
      </w:r>
      <w:r w:rsidR="000D590A">
        <w:t xml:space="preserve"> that even if </w:t>
      </w:r>
      <w:r>
        <w:t>financial disadvantage</w:t>
      </w:r>
      <w:r w:rsidR="000D590A">
        <w:t xml:space="preserve"> does not result in lower </w:t>
      </w:r>
      <w:r w:rsidR="00B337D3">
        <w:t>formal</w:t>
      </w:r>
      <w:r w:rsidR="000D590A">
        <w:t xml:space="preserve"> outcomes, it </w:t>
      </w:r>
      <w:r w:rsidR="00743A5F">
        <w:t>does not preclude</w:t>
      </w:r>
      <w:r w:rsidR="000D590A">
        <w:t xml:space="preserve"> </w:t>
      </w:r>
      <w:r w:rsidR="00B337D3">
        <w:t xml:space="preserve">poorer </w:t>
      </w:r>
      <w:r w:rsidR="00D60C44">
        <w:t>‘</w:t>
      </w:r>
      <w:r w:rsidR="00B337D3">
        <w:t>informal</w:t>
      </w:r>
      <w:r w:rsidR="00D60C44">
        <w:t>’</w:t>
      </w:r>
      <w:r w:rsidR="00B337D3">
        <w:t xml:space="preserve"> outcomes</w:t>
      </w:r>
      <w:r>
        <w:t xml:space="preserve"> from higher education</w:t>
      </w:r>
      <w:r w:rsidR="000D590A">
        <w:t xml:space="preserve">, including </w:t>
      </w:r>
      <w:r w:rsidR="005C2EA5">
        <w:t xml:space="preserve">stress, </w:t>
      </w:r>
      <w:r w:rsidR="000D590A">
        <w:t>anxiety</w:t>
      </w:r>
      <w:r w:rsidR="00B337D3">
        <w:t>, problematic debt</w:t>
      </w:r>
      <w:r w:rsidR="00C63031">
        <w:t xml:space="preserve"> and</w:t>
      </w:r>
      <w:r>
        <w:t xml:space="preserve"> </w:t>
      </w:r>
      <w:r w:rsidR="000D590A">
        <w:t>social isolation</w:t>
      </w:r>
      <w:r w:rsidR="00C63031">
        <w:t>; such conditions may also reduce opportunities for the</w:t>
      </w:r>
      <w:r>
        <w:t xml:space="preserve"> accumulation of valuable work skills and experience</w:t>
      </w:r>
      <w:r w:rsidR="000D590A">
        <w:t>.</w:t>
      </w:r>
      <w:r>
        <w:t xml:space="preserve">  In other words, if low income students </w:t>
      </w:r>
      <w:r w:rsidRPr="00A05E14">
        <w:rPr>
          <w:i/>
        </w:rPr>
        <w:t>are</w:t>
      </w:r>
      <w:r>
        <w:t xml:space="preserve"> achieving as well (or better) than their more-advantaged peers, then this may be at the expense of their wellbeing, their relationships or their long-term employability.</w:t>
      </w:r>
      <w:r w:rsidR="0024726D">
        <w:t xml:space="preserve">  There is a clear danger of syste</w:t>
      </w:r>
      <w:r w:rsidR="00743A5F">
        <w:t>matic unfairness in this regard and, arguably, these informal outcomes are mor</w:t>
      </w:r>
      <w:r w:rsidR="00AB48AC">
        <w:t>e significant to the individual and their human flourishing.</w:t>
      </w:r>
    </w:p>
    <w:p w14:paraId="75BF90C5" w14:textId="77777777" w:rsidR="007C2F1C" w:rsidRDefault="007C2F1C" w:rsidP="00227730">
      <w:pPr>
        <w:spacing w:line="480" w:lineRule="auto"/>
      </w:pPr>
    </w:p>
    <w:p w14:paraId="5121D611" w14:textId="6276A285" w:rsidR="000C6DFF" w:rsidRPr="00D23AE7" w:rsidRDefault="002F2051" w:rsidP="00227730">
      <w:pPr>
        <w:spacing w:line="480" w:lineRule="auto"/>
      </w:pPr>
      <w:r>
        <w:t xml:space="preserve">What then is the purpose of bursaries?  The discussion above notwithstanding, the </w:t>
      </w:r>
      <w:r w:rsidR="00F44D4D">
        <w:t>overarching policy aim</w:t>
      </w:r>
      <w:r>
        <w:t xml:space="preserve"> </w:t>
      </w:r>
      <w:r w:rsidR="00F44D4D">
        <w:t xml:space="preserve">is </w:t>
      </w:r>
      <w:r>
        <w:t xml:space="preserve">that they </w:t>
      </w:r>
      <w:r w:rsidR="00F44D4D">
        <w:t>should</w:t>
      </w:r>
      <w:r>
        <w:t xml:space="preserve"> allow </w:t>
      </w:r>
      <w:r w:rsidR="00F44D4D">
        <w:t xml:space="preserve">low income </w:t>
      </w:r>
      <w:r>
        <w:t xml:space="preserve">students to compete on </w:t>
      </w:r>
      <w:r w:rsidR="007E629B">
        <w:t>(more) equal terms</w:t>
      </w:r>
      <w:r>
        <w:t xml:space="preserve"> with their more affluent peers</w:t>
      </w:r>
      <w:r w:rsidR="009E3082">
        <w:t xml:space="preserve"> </w:t>
      </w:r>
      <w:r w:rsidR="002977F4">
        <w:t>–</w:t>
      </w:r>
      <w:r w:rsidR="009E3082">
        <w:t xml:space="preserve"> in effect</w:t>
      </w:r>
      <w:r w:rsidR="002977F4">
        <w:t>,</w:t>
      </w:r>
      <w:r w:rsidR="009E3082">
        <w:t xml:space="preserve"> </w:t>
      </w:r>
      <w:r w:rsidR="002977F4">
        <w:t>‘</w:t>
      </w:r>
      <w:r w:rsidR="009E3082">
        <w:t>levelling the playing field</w:t>
      </w:r>
      <w:r w:rsidR="002977F4">
        <w:t>’</w:t>
      </w:r>
      <w:r>
        <w:t>.</w:t>
      </w:r>
      <w:r w:rsidR="000C6DFF">
        <w:t xml:space="preserve">  </w:t>
      </w:r>
      <w:r w:rsidR="008A7BA9">
        <w:t>The purpose is</w:t>
      </w:r>
      <w:r w:rsidR="00D23AE7" w:rsidRPr="00D23AE7">
        <w:t xml:space="preserve"> </w:t>
      </w:r>
      <w:r w:rsidR="00D23AE7" w:rsidRPr="00D23AE7">
        <w:rPr>
          <w:i/>
        </w:rPr>
        <w:t>not</w:t>
      </w:r>
      <w:r w:rsidR="00D23AE7" w:rsidRPr="00D23AE7">
        <w:t xml:space="preserve"> </w:t>
      </w:r>
      <w:r w:rsidR="008A7BA9">
        <w:t>to</w:t>
      </w:r>
      <w:r w:rsidR="000C6DFF" w:rsidRPr="00D23AE7">
        <w:t xml:space="preserve"> provide an </w:t>
      </w:r>
      <w:r w:rsidR="000C6DFF" w:rsidRPr="00D23AE7">
        <w:rPr>
          <w:i/>
        </w:rPr>
        <w:t>advantage</w:t>
      </w:r>
      <w:r w:rsidR="000C6DFF" w:rsidRPr="00D23AE7">
        <w:t xml:space="preserve"> to the extent that students with bursaries have significantly </w:t>
      </w:r>
      <w:r w:rsidR="000C6DFF" w:rsidRPr="008A7BA9">
        <w:rPr>
          <w:i/>
        </w:rPr>
        <w:t>better</w:t>
      </w:r>
      <w:r w:rsidR="000C6DFF" w:rsidRPr="00D23AE7">
        <w:t xml:space="preserve"> outcomes than those peers. </w:t>
      </w:r>
      <w:r w:rsidR="000C6DFF" w:rsidRPr="00743DD5">
        <w:rPr>
          <w:color w:val="FF0000"/>
        </w:rPr>
        <w:t xml:space="preserve"> </w:t>
      </w:r>
      <w:r w:rsidR="00450194">
        <w:t>This would likely be seen as unfair by other students – especially those marginally above the eligibility threshold.</w:t>
      </w:r>
      <w:r w:rsidR="00DC45DE">
        <w:t xml:space="preserve">  </w:t>
      </w:r>
      <w:r w:rsidR="000C6DFF" w:rsidRPr="00DC45DE">
        <w:t xml:space="preserve">This is an important point </w:t>
      </w:r>
      <w:r w:rsidR="00DC45DE" w:rsidRPr="00DC45DE">
        <w:t>which will be returned to shortly</w:t>
      </w:r>
      <w:r w:rsidR="000C6DFF" w:rsidRPr="00DC45DE">
        <w:t xml:space="preserve">. </w:t>
      </w:r>
      <w:r w:rsidR="006C4BA4">
        <w:t xml:space="preserve"> What is moot is </w:t>
      </w:r>
      <w:r w:rsidR="00337314">
        <w:t xml:space="preserve">the extent to which this purpose </w:t>
      </w:r>
      <w:r w:rsidR="006C4BA4">
        <w:t>extends to informal outcomes as well as</w:t>
      </w:r>
      <w:r w:rsidR="00AE38DB">
        <w:t xml:space="preserve"> the</w:t>
      </w:r>
      <w:r w:rsidR="006C4BA4">
        <w:t xml:space="preserve"> formal ones</w:t>
      </w:r>
      <w:r w:rsidR="00AE38DB">
        <w:t xml:space="preserve"> valorised by policymakers</w:t>
      </w:r>
      <w:r w:rsidR="006C4BA4">
        <w:t>.</w:t>
      </w:r>
    </w:p>
    <w:p w14:paraId="1A1E37CC" w14:textId="77777777" w:rsidR="000C6DFF" w:rsidRDefault="000C6DFF" w:rsidP="00227730">
      <w:pPr>
        <w:spacing w:line="480" w:lineRule="auto"/>
        <w:rPr>
          <w:color w:val="FF0000"/>
        </w:rPr>
      </w:pPr>
    </w:p>
    <w:p w14:paraId="144F5CFC" w14:textId="77777777" w:rsidR="00426D25" w:rsidRDefault="00426D25" w:rsidP="00227730">
      <w:pPr>
        <w:spacing w:line="480" w:lineRule="auto"/>
        <w:rPr>
          <w:color w:val="FF0000"/>
        </w:rPr>
      </w:pPr>
    </w:p>
    <w:p w14:paraId="43AEFB26" w14:textId="77777777" w:rsidR="000C6DFF" w:rsidRDefault="00AD4E6B" w:rsidP="00227730">
      <w:pPr>
        <w:spacing w:line="480" w:lineRule="auto"/>
      </w:pPr>
      <w:r w:rsidRPr="00AD4E6B">
        <w:rPr>
          <w:i/>
        </w:rPr>
        <w:t xml:space="preserve">Making </w:t>
      </w:r>
      <w:r w:rsidR="00737C9C">
        <w:rPr>
          <w:i/>
        </w:rPr>
        <w:t xml:space="preserve">valid </w:t>
      </w:r>
      <w:r w:rsidRPr="00AD4E6B">
        <w:rPr>
          <w:i/>
        </w:rPr>
        <w:t>inference</w:t>
      </w:r>
    </w:p>
    <w:p w14:paraId="2AE5C536" w14:textId="77777777" w:rsidR="00737C9C" w:rsidRDefault="00737C9C" w:rsidP="00227730">
      <w:pPr>
        <w:spacing w:line="480" w:lineRule="auto"/>
      </w:pPr>
    </w:p>
    <w:p w14:paraId="3F6A813D" w14:textId="14F758FB" w:rsidR="008118D6" w:rsidRDefault="008118D6" w:rsidP="00227730">
      <w:pPr>
        <w:spacing w:line="480" w:lineRule="auto"/>
      </w:pPr>
      <w:r>
        <w:t xml:space="preserve">The analytical framework that was developed was predicated on using data that is generally available to universities through their student records systems and </w:t>
      </w:r>
      <w:r w:rsidR="00305D03">
        <w:t>related</w:t>
      </w:r>
      <w:r>
        <w:t xml:space="preserve"> datasets.  A full </w:t>
      </w:r>
      <w:r w:rsidR="00F0378B">
        <w:t>specification</w:t>
      </w:r>
      <w:r>
        <w:t xml:space="preserve"> of the data fields </w:t>
      </w:r>
      <w:r w:rsidR="00305D03">
        <w:t>used</w:t>
      </w:r>
      <w:r>
        <w:t xml:space="preserve"> is beyond the scope of this paper (see OFFA, 2016), but it included fifteen control variables (gender, age group, ethnic group, disability status, degree subject, course size, student satisfaction, accommodation, distance from home address, higher education participation rate of home neighbourhood, year abroad study, year in industry study, clearing entry</w:t>
      </w:r>
      <w:r w:rsidR="00F0378B">
        <w:t>, franchise arrangements and degree result [for employability analysis only]</w:t>
      </w:r>
      <w:r>
        <w:t>)</w:t>
      </w:r>
      <w:r w:rsidR="00F0378B">
        <w:t xml:space="preserve"> and an allocation to an experimental or comparison group based on household income and bursary status,  as well as four dichotomous measures of outcome:</w:t>
      </w:r>
      <w:bookmarkStart w:id="0" w:name="_GoBack"/>
      <w:bookmarkEnd w:id="0"/>
    </w:p>
    <w:p w14:paraId="55E33C02" w14:textId="77777777" w:rsidR="00BB7627" w:rsidRDefault="00BB7627" w:rsidP="00227730">
      <w:pPr>
        <w:spacing w:line="480" w:lineRule="auto"/>
      </w:pPr>
    </w:p>
    <w:p w14:paraId="0981F56B" w14:textId="77777777" w:rsidR="00BB7627" w:rsidRDefault="00BB7627" w:rsidP="00227730">
      <w:pPr>
        <w:pStyle w:val="ListParagraph"/>
        <w:numPr>
          <w:ilvl w:val="0"/>
          <w:numId w:val="2"/>
        </w:numPr>
        <w:spacing w:line="480" w:lineRule="auto"/>
      </w:pPr>
      <w:r>
        <w:t xml:space="preserve">Whether the </w:t>
      </w:r>
      <w:r w:rsidR="00D621A6">
        <w:t>student had been retained into their</w:t>
      </w:r>
      <w:r>
        <w:t xml:space="preserve"> second year of study </w:t>
      </w:r>
      <w:r w:rsidR="00564B20">
        <w:t xml:space="preserve">at the same university </w:t>
      </w:r>
      <w:r>
        <w:t>(not necessarily having progr</w:t>
      </w:r>
      <w:r w:rsidR="00D621A6">
        <w:t>essed</w:t>
      </w:r>
      <w:r>
        <w:t>)</w:t>
      </w:r>
      <w:r w:rsidR="00EA36BA">
        <w:t>;</w:t>
      </w:r>
    </w:p>
    <w:p w14:paraId="59B0B16F" w14:textId="77777777" w:rsidR="00BB7627" w:rsidRDefault="00BB7627" w:rsidP="00227730">
      <w:pPr>
        <w:pStyle w:val="ListParagraph"/>
        <w:numPr>
          <w:ilvl w:val="0"/>
          <w:numId w:val="2"/>
        </w:numPr>
        <w:spacing w:line="480" w:lineRule="auto"/>
      </w:pPr>
      <w:r>
        <w:t>Whether the student completed a degree programme within five years (longer programmes such as medicine were excluded)</w:t>
      </w:r>
      <w:r w:rsidR="00EA36BA">
        <w:t>;</w:t>
      </w:r>
    </w:p>
    <w:p w14:paraId="6A93C590" w14:textId="041C9685" w:rsidR="00BB7627" w:rsidRDefault="00BB7627" w:rsidP="00227730">
      <w:pPr>
        <w:pStyle w:val="ListParagraph"/>
        <w:numPr>
          <w:ilvl w:val="0"/>
          <w:numId w:val="2"/>
        </w:numPr>
        <w:spacing w:line="480" w:lineRule="auto"/>
      </w:pPr>
      <w:r>
        <w:t xml:space="preserve">Whether the student achieved a ‘good’ degree – </w:t>
      </w:r>
      <w:r w:rsidR="00C06E17">
        <w:t>a</w:t>
      </w:r>
      <w:r>
        <w:t xml:space="preserve"> first or upper second class degree</w:t>
      </w:r>
      <w:r w:rsidR="00EA36BA">
        <w:t>;</w:t>
      </w:r>
    </w:p>
    <w:p w14:paraId="420F2823" w14:textId="6AB82069" w:rsidR="00BB7627" w:rsidRDefault="00BB7627" w:rsidP="00227730">
      <w:pPr>
        <w:pStyle w:val="ListParagraph"/>
        <w:numPr>
          <w:ilvl w:val="0"/>
          <w:numId w:val="2"/>
        </w:numPr>
        <w:spacing w:line="480" w:lineRule="auto"/>
      </w:pPr>
      <w:r>
        <w:t xml:space="preserve">Whether the student was in graduate-level employment six months </w:t>
      </w:r>
      <w:r w:rsidR="00EA36BA">
        <w:t xml:space="preserve">after graduation, with various exceptions for travelling, </w:t>
      </w:r>
      <w:r w:rsidR="00734F95">
        <w:t>parenthood</w:t>
      </w:r>
      <w:r w:rsidR="00EA36BA">
        <w:t xml:space="preserve"> etc.</w:t>
      </w:r>
    </w:p>
    <w:p w14:paraId="5A83A619" w14:textId="044892F7" w:rsidR="00570EBD" w:rsidRDefault="00570EBD" w:rsidP="00227730">
      <w:pPr>
        <w:spacing w:line="480" w:lineRule="auto"/>
      </w:pPr>
    </w:p>
    <w:p w14:paraId="0787EFB1" w14:textId="0EBA8FF3" w:rsidR="00570EBD" w:rsidRDefault="00F0378B" w:rsidP="00227730">
      <w:pPr>
        <w:spacing w:line="480" w:lineRule="auto"/>
      </w:pPr>
      <w:r>
        <w:t xml:space="preserve">Because of the quasi-experimental nature of the data available, </w:t>
      </w:r>
      <w:r w:rsidRPr="00186DDF">
        <w:rPr>
          <w:i/>
        </w:rPr>
        <w:t>binary logistic regression</w:t>
      </w:r>
      <w:r>
        <w:t xml:space="preserve"> analysis was selected to be the basic analytical framework for this project.  This technique allows the researcher to examine the individual contribution of a range of variables to a dichotomous outcome measure, while holding the others constant.  </w:t>
      </w:r>
      <w:r w:rsidR="001A7541">
        <w:t xml:space="preserve">The analytical intent was thus to see whether there was a statistically significant difference </w:t>
      </w:r>
      <w:r w:rsidR="008277E8">
        <w:t xml:space="preserve">with respect to </w:t>
      </w:r>
      <w:r>
        <w:t xml:space="preserve">each of </w:t>
      </w:r>
      <w:r w:rsidR="008277E8">
        <w:t xml:space="preserve">these four outcome measures </w:t>
      </w:r>
      <w:r w:rsidR="001A7541">
        <w:t xml:space="preserve">between the group of bursary holders and the </w:t>
      </w:r>
      <w:r w:rsidR="00715A78">
        <w:t>comparison</w:t>
      </w:r>
      <w:r w:rsidR="001A7541">
        <w:t xml:space="preserve"> group of students from m</w:t>
      </w:r>
      <w:r w:rsidR="00AB4E8B">
        <w:t>id-</w:t>
      </w:r>
      <w:r w:rsidR="001A7541">
        <w:t>income background</w:t>
      </w:r>
      <w:r w:rsidR="003F40D3">
        <w:t>s</w:t>
      </w:r>
      <w:r w:rsidR="001A7541">
        <w:t xml:space="preserve"> who were ineligible </w:t>
      </w:r>
      <w:r w:rsidR="003F40D3">
        <w:t xml:space="preserve">for a bursary, whilst controlling for </w:t>
      </w:r>
      <w:r>
        <w:t xml:space="preserve">other </w:t>
      </w:r>
      <w:r w:rsidR="00487A78">
        <w:t xml:space="preserve">potentially </w:t>
      </w:r>
      <w:r w:rsidR="003F40D3">
        <w:t xml:space="preserve">important </w:t>
      </w:r>
      <w:r>
        <w:t xml:space="preserve">explanatory </w:t>
      </w:r>
      <w:r w:rsidR="003F40D3">
        <w:t xml:space="preserve">factors </w:t>
      </w:r>
      <w:r w:rsidR="00AB4E8B">
        <w:t>on which universities hold data</w:t>
      </w:r>
      <w:r>
        <w:t>.</w:t>
      </w:r>
      <w:r w:rsidR="00F95476">
        <w:t xml:space="preserve">  </w:t>
      </w:r>
      <w:r w:rsidR="00186DDF">
        <w:t xml:space="preserve">Specifically, the analytical framework is an example of </w:t>
      </w:r>
      <w:r w:rsidR="00186DDF" w:rsidRPr="007326D4">
        <w:rPr>
          <w:i/>
        </w:rPr>
        <w:t>discontinuity regression</w:t>
      </w:r>
      <w:r w:rsidR="007326D4">
        <w:t xml:space="preserve"> as it compares the group of interest with one that is similar but falls just outside the criteria for inclusion – in this instance by having a household income slightly above the means-test threshold for bursary eligibility.  </w:t>
      </w:r>
      <w:r w:rsidR="00A84238">
        <w:t>T</w:t>
      </w:r>
      <w:r w:rsidR="00C23FF9">
        <w:t xml:space="preserve">he </w:t>
      </w:r>
      <w:r w:rsidR="00A84238">
        <w:t xml:space="preserve">analytical framework </w:t>
      </w:r>
      <w:r w:rsidR="00C23FF9">
        <w:t>was purposefully kept relatively simple to enable a wide range of institutions to adopt it without additional software or staff training needs</w:t>
      </w:r>
      <w:r>
        <w:t xml:space="preserve">; for example, a multilevel approach could have been used, but this would have limited the extent to which it could be </w:t>
      </w:r>
      <w:r w:rsidR="00305D03">
        <w:t>used</w:t>
      </w:r>
      <w:r>
        <w:t xml:space="preserve"> across the sector.</w:t>
      </w:r>
    </w:p>
    <w:p w14:paraId="05030E47" w14:textId="77777777" w:rsidR="00013864" w:rsidRDefault="00013864" w:rsidP="00227730">
      <w:pPr>
        <w:spacing w:line="480" w:lineRule="auto"/>
      </w:pPr>
    </w:p>
    <w:p w14:paraId="61477D60" w14:textId="26310D4F" w:rsidR="00013864" w:rsidRDefault="00F0378B" w:rsidP="00227730">
      <w:pPr>
        <w:spacing w:line="480" w:lineRule="auto"/>
      </w:pPr>
      <w:r>
        <w:t>I</w:t>
      </w:r>
      <w:r w:rsidR="00670C5A">
        <w:t xml:space="preserve">t was at this point that </w:t>
      </w:r>
      <w:r w:rsidR="00C2424B">
        <w:t>additional</w:t>
      </w:r>
      <w:r w:rsidR="00670C5A">
        <w:t xml:space="preserve"> </w:t>
      </w:r>
      <w:r w:rsidR="00C06E17">
        <w:t xml:space="preserve">epistemological </w:t>
      </w:r>
      <w:r w:rsidR="00670C5A">
        <w:t xml:space="preserve">challenges began to </w:t>
      </w:r>
      <w:r w:rsidR="00C06E17">
        <w:t>emerge</w:t>
      </w:r>
      <w:r w:rsidR="00670C5A">
        <w:t>.</w:t>
      </w:r>
      <w:r w:rsidR="004616A7">
        <w:t xml:space="preserve">  As noted above, the full results of the analysis are commercially confidential to the individual </w:t>
      </w:r>
      <w:r w:rsidR="003E1985">
        <w:t>universities</w:t>
      </w:r>
      <w:r w:rsidR="004616A7">
        <w:t>, but three different t</w:t>
      </w:r>
      <w:r w:rsidR="00647409">
        <w:t>ypes of result were represented</w:t>
      </w:r>
      <w:r w:rsidR="003E1985">
        <w:t xml:space="preserve"> – there were </w:t>
      </w:r>
      <w:r w:rsidR="00BE4BEA">
        <w:t>no specific patterns by university and most had a mixture of results across the four outcome measures</w:t>
      </w:r>
      <w:r w:rsidR="00647409">
        <w:t>:</w:t>
      </w:r>
    </w:p>
    <w:p w14:paraId="0EA1C5F0" w14:textId="77777777" w:rsidR="00647409" w:rsidRDefault="00647409" w:rsidP="00227730">
      <w:pPr>
        <w:spacing w:line="480" w:lineRule="auto"/>
      </w:pPr>
    </w:p>
    <w:p w14:paraId="6F33378A" w14:textId="77777777" w:rsidR="00647409" w:rsidRDefault="00F90648" w:rsidP="00227730">
      <w:pPr>
        <w:pStyle w:val="ListParagraph"/>
        <w:numPr>
          <w:ilvl w:val="0"/>
          <w:numId w:val="3"/>
        </w:numPr>
        <w:spacing w:line="480" w:lineRule="auto"/>
      </w:pPr>
      <w:r w:rsidRPr="00512F10">
        <w:rPr>
          <w:b/>
        </w:rPr>
        <w:t>Result 1</w:t>
      </w:r>
      <w:r>
        <w:t xml:space="preserve">: </w:t>
      </w:r>
      <w:r w:rsidR="00647409">
        <w:t xml:space="preserve">Bursary students had significantly worse outcomes than the </w:t>
      </w:r>
      <w:r w:rsidR="006175EF">
        <w:t>comparison</w:t>
      </w:r>
      <w:r w:rsidR="00647409">
        <w:t xml:space="preserve"> group</w:t>
      </w:r>
    </w:p>
    <w:p w14:paraId="1AE6A18C" w14:textId="77777777" w:rsidR="00647409" w:rsidRDefault="00F90648" w:rsidP="00227730">
      <w:pPr>
        <w:pStyle w:val="ListParagraph"/>
        <w:numPr>
          <w:ilvl w:val="0"/>
          <w:numId w:val="3"/>
        </w:numPr>
        <w:spacing w:line="480" w:lineRule="auto"/>
      </w:pPr>
      <w:r w:rsidRPr="00512F10">
        <w:rPr>
          <w:b/>
        </w:rPr>
        <w:t>Result 2</w:t>
      </w:r>
      <w:r>
        <w:t xml:space="preserve">: </w:t>
      </w:r>
      <w:r w:rsidR="00647409">
        <w:t xml:space="preserve">Bursary students had </w:t>
      </w:r>
      <w:r w:rsidR="006175EF">
        <w:t>similar</w:t>
      </w:r>
      <w:r w:rsidR="00647409">
        <w:t xml:space="preserve"> outcomes to the </w:t>
      </w:r>
      <w:r w:rsidR="006175EF">
        <w:t xml:space="preserve">comparison </w:t>
      </w:r>
      <w:r w:rsidR="00647409">
        <w:t>group – i.e. there was no statistically significant difference</w:t>
      </w:r>
    </w:p>
    <w:p w14:paraId="1CD02771" w14:textId="77777777" w:rsidR="00354A00" w:rsidRDefault="00F90648" w:rsidP="00227730">
      <w:pPr>
        <w:pStyle w:val="ListParagraph"/>
        <w:numPr>
          <w:ilvl w:val="0"/>
          <w:numId w:val="3"/>
        </w:numPr>
        <w:spacing w:line="480" w:lineRule="auto"/>
      </w:pPr>
      <w:r w:rsidRPr="00512F10">
        <w:rPr>
          <w:b/>
        </w:rPr>
        <w:t>Result 3</w:t>
      </w:r>
      <w:r>
        <w:t xml:space="preserve">: </w:t>
      </w:r>
      <w:r w:rsidR="00354A00">
        <w:t xml:space="preserve">Bursary students had significantly better outcomes than the </w:t>
      </w:r>
      <w:r w:rsidR="006175EF">
        <w:t xml:space="preserve">comparison </w:t>
      </w:r>
      <w:r w:rsidR="00354A00">
        <w:t>group</w:t>
      </w:r>
    </w:p>
    <w:p w14:paraId="7885DAA3" w14:textId="77777777" w:rsidR="009B3E9F" w:rsidRDefault="009B3E9F" w:rsidP="00227730">
      <w:pPr>
        <w:spacing w:line="480" w:lineRule="auto"/>
      </w:pPr>
    </w:p>
    <w:p w14:paraId="42218F15" w14:textId="5B16A715" w:rsidR="009B3E9F" w:rsidRDefault="009B3E9F" w:rsidP="00227730">
      <w:pPr>
        <w:spacing w:line="480" w:lineRule="auto"/>
      </w:pPr>
      <w:r>
        <w:t>The problem arose in inferring impact or success</w:t>
      </w:r>
      <w:r w:rsidR="00354A00">
        <w:t xml:space="preserve"> from these statistical results because of the uncertain relative </w:t>
      </w:r>
      <w:r w:rsidR="00ED356B">
        <w:t xml:space="preserve">starting </w:t>
      </w:r>
      <w:r w:rsidR="00354A00">
        <w:t xml:space="preserve">position of </w:t>
      </w:r>
      <w:r w:rsidR="00ED356B">
        <w:t xml:space="preserve">individual students, as discussed above.  While the model took account of a wide range of demographic and situational factors, it was necessarily mute on individual dispositional factors </w:t>
      </w:r>
      <w:r w:rsidR="009E7CBB">
        <w:t>like motivat</w:t>
      </w:r>
      <w:r w:rsidR="00BE4BEA">
        <w:t>ion, resilience or preparedness for which no data are available on student records systems.</w:t>
      </w:r>
    </w:p>
    <w:p w14:paraId="1C7AF9D0" w14:textId="77777777" w:rsidR="00F90648" w:rsidRDefault="00F90648" w:rsidP="00227730">
      <w:pPr>
        <w:spacing w:line="480" w:lineRule="auto"/>
      </w:pPr>
    </w:p>
    <w:p w14:paraId="34CE6A98" w14:textId="77777777" w:rsidR="00F90648" w:rsidRPr="00127C54" w:rsidRDefault="00B012C1" w:rsidP="00227730">
      <w:pPr>
        <w:spacing w:line="480" w:lineRule="auto"/>
      </w:pPr>
      <w:r>
        <w:t>For example, Result 1 initially suggests that bursaries are ineffectual</w:t>
      </w:r>
      <w:r w:rsidR="00D93F67">
        <w:t>; a</w:t>
      </w:r>
      <w:r w:rsidR="004C3675">
        <w:t xml:space="preserve">ll else being equal, students with bursaries underperform relative to their </w:t>
      </w:r>
      <w:r w:rsidR="009448CC">
        <w:t xml:space="preserve">comparison </w:t>
      </w:r>
      <w:r w:rsidR="004C3675">
        <w:t>group.</w:t>
      </w:r>
      <w:r w:rsidR="00D93F67">
        <w:t xml:space="preserve">  However, </w:t>
      </w:r>
      <w:r w:rsidR="009448CC">
        <w:t xml:space="preserve">there is more complexity here; indeed, </w:t>
      </w:r>
      <w:r w:rsidR="00D93F67">
        <w:t xml:space="preserve">there is no means to </w:t>
      </w:r>
      <w:r w:rsidR="009448CC">
        <w:t>infer</w:t>
      </w:r>
      <w:r w:rsidR="00D93F67">
        <w:t xml:space="preserve"> that the bursary was not working.  On the contrary, </w:t>
      </w:r>
      <w:r w:rsidR="00681D8F">
        <w:t xml:space="preserve">it would be equally valid to conclude that the bursaries being offered were simply insufficient to overcome the educational disadvantage resulting from </w:t>
      </w:r>
      <w:r w:rsidR="009448CC">
        <w:t>students’</w:t>
      </w:r>
      <w:r w:rsidR="00681D8F">
        <w:t xml:space="preserve"> financial disadvantage.</w:t>
      </w:r>
      <w:r w:rsidR="00E612C2">
        <w:t xml:space="preserve">  Rather than consigning bursaries to the policy dustbin, Result 1 could, in fact, be seen as relatively strong</w:t>
      </w:r>
      <w:r w:rsidR="009448CC">
        <w:t xml:space="preserve"> </w:t>
      </w:r>
      <w:r w:rsidR="00E612C2">
        <w:t xml:space="preserve">evidence for </w:t>
      </w:r>
      <w:r w:rsidR="00C27626">
        <w:t>the ‘missing’</w:t>
      </w:r>
      <w:r w:rsidR="00E612C2">
        <w:t xml:space="preserve"> causal link between financial and educational disadvantage</w:t>
      </w:r>
      <w:r w:rsidR="00F31400">
        <w:t xml:space="preserve"> discussed above</w:t>
      </w:r>
      <w:r w:rsidR="00E612C2">
        <w:t>, with the appropriate policy</w:t>
      </w:r>
      <w:r w:rsidR="009448CC">
        <w:t xml:space="preserve"> </w:t>
      </w:r>
      <w:r w:rsidR="00E612C2">
        <w:t xml:space="preserve">response </w:t>
      </w:r>
      <w:r w:rsidR="009448CC">
        <w:t xml:space="preserve">potentially </w:t>
      </w:r>
      <w:r w:rsidR="00E612C2">
        <w:t xml:space="preserve">being to </w:t>
      </w:r>
      <w:r w:rsidR="00E612C2">
        <w:rPr>
          <w:i/>
        </w:rPr>
        <w:t>increase</w:t>
      </w:r>
      <w:r w:rsidR="00E612C2">
        <w:t xml:space="preserve"> the amount of bursary available.</w:t>
      </w:r>
    </w:p>
    <w:p w14:paraId="6DDC0E60" w14:textId="77777777" w:rsidR="00F01078" w:rsidRDefault="00F01078" w:rsidP="00227730">
      <w:pPr>
        <w:spacing w:line="480" w:lineRule="auto"/>
      </w:pPr>
    </w:p>
    <w:p w14:paraId="2E206BD1" w14:textId="3C4886D7" w:rsidR="005A2B50" w:rsidRDefault="00364F66" w:rsidP="00227730">
      <w:pPr>
        <w:spacing w:line="480" w:lineRule="auto"/>
      </w:pPr>
      <w:r>
        <w:t xml:space="preserve">Similarly, Result 2 was vexed.  There was a strong temptation to interpret this as being a negative result, much as had been done in OFFA (2014): bursary holders were only doing as well as the comparison group, </w:t>
      </w:r>
      <w:r>
        <w:rPr>
          <w:i/>
        </w:rPr>
        <w:t>ergo</w:t>
      </w:r>
      <w:r>
        <w:t xml:space="preserve"> bursaries were not working.  Given the discussion above, this inference is </w:t>
      </w:r>
      <w:r w:rsidR="00A10726">
        <w:t xml:space="preserve">clearly </w:t>
      </w:r>
      <w:r>
        <w:t>fallacious.  Firstly</w:t>
      </w:r>
      <w:r w:rsidR="009448CC">
        <w:t xml:space="preserve">, it is important to remember that the comparison group is not a control group and, given their (albeit modest) relative advantage, one </w:t>
      </w:r>
      <w:r>
        <w:t>would</w:t>
      </w:r>
      <w:r w:rsidR="009448CC">
        <w:t xml:space="preserve"> expect</w:t>
      </w:r>
      <w:r>
        <w:t xml:space="preserve"> </w:t>
      </w:r>
      <w:r w:rsidR="009448CC">
        <w:t xml:space="preserve">them to show </w:t>
      </w:r>
      <w:r>
        <w:t xml:space="preserve">somewhat </w:t>
      </w:r>
      <w:r w:rsidR="009448CC">
        <w:t xml:space="preserve">stronger outcomes, </w:t>
      </w:r>
      <w:r>
        <w:rPr>
          <w:i/>
        </w:rPr>
        <w:t>ceteris paribus</w:t>
      </w:r>
      <w:r>
        <w:t>; i</w:t>
      </w:r>
      <w:r w:rsidR="00BF02FB">
        <w:t>t does, of course, depend again on the starting point of the individual students.  If financial disadvantage is causal in educational disadvantage, then Result 2 represents impact and success</w:t>
      </w:r>
      <w:r w:rsidR="008E1EA9">
        <w:t xml:space="preserve">, with the low income students doing as well as </w:t>
      </w:r>
      <w:r w:rsidR="003402DF">
        <w:t>mid-</w:t>
      </w:r>
      <w:r w:rsidR="008E1EA9">
        <w:t>income students.</w:t>
      </w:r>
      <w:r w:rsidR="00FC1D30">
        <w:t xml:space="preserve">  </w:t>
      </w:r>
      <w:r w:rsidR="003402DF">
        <w:t>However, i</w:t>
      </w:r>
      <w:r w:rsidR="00FC1D30">
        <w:t>f financial disadvantage is not causal in educationa</w:t>
      </w:r>
      <w:r w:rsidR="00C90C1A">
        <w:t xml:space="preserve">l disadvantage (insofar as this is </w:t>
      </w:r>
      <w:r w:rsidR="003402DF">
        <w:t>captur</w:t>
      </w:r>
      <w:r w:rsidR="00C90C1A">
        <w:t>ed by the outcome</w:t>
      </w:r>
      <w:r w:rsidR="003402DF">
        <w:t xml:space="preserve"> measure</w:t>
      </w:r>
      <w:r w:rsidR="00C90C1A">
        <w:t>s described above), then Result 2 represents a failure of bursaries.</w:t>
      </w:r>
      <w:r w:rsidR="00C71AB6">
        <w:t xml:space="preserve">  The inference taken depends</w:t>
      </w:r>
      <w:r w:rsidR="003402DF">
        <w:t xml:space="preserve"> wh</w:t>
      </w:r>
      <w:r w:rsidR="002E0213">
        <w:t xml:space="preserve">olly on the initial </w:t>
      </w:r>
      <w:r w:rsidR="003402DF">
        <w:t>assumptions.</w:t>
      </w:r>
    </w:p>
    <w:p w14:paraId="2CD4FCFB" w14:textId="77777777" w:rsidR="005A2B50" w:rsidRDefault="005A2B50" w:rsidP="00227730">
      <w:pPr>
        <w:spacing w:line="480" w:lineRule="auto"/>
      </w:pPr>
    </w:p>
    <w:p w14:paraId="01F9EAAD" w14:textId="79C45B68" w:rsidR="003402DF" w:rsidRDefault="005A2B50" w:rsidP="00227730">
      <w:pPr>
        <w:spacing w:line="480" w:lineRule="auto"/>
      </w:pPr>
      <w:r>
        <w:t xml:space="preserve">Again, there is also a further complication.  While several analyses showed no significant difference between bursary holders and the </w:t>
      </w:r>
      <w:r w:rsidR="003402DF">
        <w:t>comparison</w:t>
      </w:r>
      <w:r>
        <w:t xml:space="preserve"> group, they did show a relatively large</w:t>
      </w:r>
      <w:r w:rsidR="00372850">
        <w:t xml:space="preserve"> </w:t>
      </w:r>
      <w:r w:rsidR="00487D08">
        <w:t xml:space="preserve">and positive </w:t>
      </w:r>
      <w:r w:rsidR="00372850">
        <w:t>effect size (as represented by the ‘odds ratio’).</w:t>
      </w:r>
      <w:r w:rsidR="00487D08">
        <w:t xml:space="preserve">  This highlights a problem with an over-reliance on </w:t>
      </w:r>
      <w:r w:rsidR="002E0213">
        <w:t>statistical significance</w:t>
      </w:r>
      <w:r w:rsidR="003402DF">
        <w:t xml:space="preserve"> (Gorard and See, 201</w:t>
      </w:r>
      <w:r w:rsidR="00383366">
        <w:t>3</w:t>
      </w:r>
      <w:r w:rsidR="003402DF">
        <w:t>)</w:t>
      </w:r>
      <w:r w:rsidR="00E1774C">
        <w:t>.</w:t>
      </w:r>
      <w:r w:rsidR="00045C69">
        <w:t xml:space="preserve">  </w:t>
      </w:r>
      <w:r w:rsidR="000D540C">
        <w:t>In particular</w:t>
      </w:r>
      <w:r w:rsidR="003402DF">
        <w:t>, t</w:t>
      </w:r>
      <w:r w:rsidR="00045C69">
        <w:t xml:space="preserve">he ‘bar’ for significance in logistic regression models becomes very high when the outcome is very (un)common within the </w:t>
      </w:r>
      <w:r w:rsidR="000D540C">
        <w:t>population. For example, i</w:t>
      </w:r>
      <w:r w:rsidR="00045C69">
        <w:t xml:space="preserve">f </w:t>
      </w:r>
      <w:r w:rsidR="000D540C">
        <w:t>95 percent of</w:t>
      </w:r>
      <w:r w:rsidR="003402DF">
        <w:t xml:space="preserve"> </w:t>
      </w:r>
      <w:r w:rsidR="00045C69">
        <w:t>student</w:t>
      </w:r>
      <w:r w:rsidR="003402DF">
        <w:t>s</w:t>
      </w:r>
      <w:r w:rsidR="00045C69">
        <w:t xml:space="preserve"> </w:t>
      </w:r>
      <w:r w:rsidR="003402DF">
        <w:t>are</w:t>
      </w:r>
      <w:r w:rsidR="00045C69">
        <w:t xml:space="preserve"> retained into their second year, showing </w:t>
      </w:r>
      <w:r w:rsidR="004405D1">
        <w:t xml:space="preserve">statistically </w:t>
      </w:r>
      <w:r w:rsidR="00A554A1">
        <w:t xml:space="preserve">that </w:t>
      </w:r>
      <w:r w:rsidR="007B4CE2">
        <w:t>bursary holders are</w:t>
      </w:r>
      <w:r w:rsidR="00A554A1">
        <w:t xml:space="preserve"> </w:t>
      </w:r>
      <w:r w:rsidR="003402DF" w:rsidRPr="006A388C">
        <w:rPr>
          <w:i/>
        </w:rPr>
        <w:t xml:space="preserve">even </w:t>
      </w:r>
      <w:r w:rsidR="00A554A1" w:rsidRPr="006A388C">
        <w:rPr>
          <w:i/>
        </w:rPr>
        <w:t>more likely</w:t>
      </w:r>
      <w:r w:rsidR="00A554A1">
        <w:t xml:space="preserve"> to be re</w:t>
      </w:r>
      <w:r w:rsidR="000B46E8">
        <w:t>taine</w:t>
      </w:r>
      <w:r w:rsidR="003402DF">
        <w:t>d is difficult, espe</w:t>
      </w:r>
      <w:r w:rsidR="007B4CE2">
        <w:t>cially if this</w:t>
      </w:r>
      <w:r w:rsidR="000D540C">
        <w:t xml:space="preserve"> subgroup is small – even a 100 percent retention rate might not be enough to demonstrate significance.</w:t>
      </w:r>
      <w:r w:rsidR="009F3948">
        <w:t xml:space="preserve">  The inference drawn from this type of result depends whether the reader privileges effect size or </w:t>
      </w:r>
      <w:r w:rsidR="002E0213">
        <w:t>significance</w:t>
      </w:r>
      <w:r w:rsidR="009F3948">
        <w:t>.</w:t>
      </w:r>
    </w:p>
    <w:p w14:paraId="6BAC98E1" w14:textId="77777777" w:rsidR="00851E0F" w:rsidRDefault="00851E0F" w:rsidP="00227730">
      <w:pPr>
        <w:spacing w:line="480" w:lineRule="auto"/>
      </w:pPr>
    </w:p>
    <w:p w14:paraId="5771EC1F" w14:textId="7CDBCDF1" w:rsidR="00A45C05" w:rsidRDefault="008C39AE" w:rsidP="00227730">
      <w:pPr>
        <w:spacing w:line="480" w:lineRule="auto"/>
      </w:pPr>
      <w:r>
        <w:t xml:space="preserve">Finally, even Result 3 required </w:t>
      </w:r>
      <w:r w:rsidR="00A865E2">
        <w:t>consideration</w:t>
      </w:r>
      <w:r>
        <w:t xml:space="preserve">.  </w:t>
      </w:r>
      <w:r>
        <w:rPr>
          <w:i/>
        </w:rPr>
        <w:t>Prima facie</w:t>
      </w:r>
      <w:r>
        <w:t>, this appeared to a positive endorsement of bursaries as it showed low income students having stronger ou</w:t>
      </w:r>
      <w:r w:rsidR="009B72C6">
        <w:t>tcome</w:t>
      </w:r>
      <w:r w:rsidR="00BF1EC7">
        <w:t>s</w:t>
      </w:r>
      <w:r w:rsidR="009B72C6">
        <w:t xml:space="preserve"> than the </w:t>
      </w:r>
      <w:r w:rsidR="009F3948">
        <w:t>comparison</w:t>
      </w:r>
      <w:r w:rsidR="009B72C6">
        <w:t xml:space="preserve"> group</w:t>
      </w:r>
      <w:r>
        <w:t xml:space="preserve">.  </w:t>
      </w:r>
      <w:r w:rsidR="000D68E9">
        <w:t xml:space="preserve">Indeed, this was initially felt to be the result of most interest for the project.  </w:t>
      </w:r>
      <w:r>
        <w:t xml:space="preserve">However, </w:t>
      </w:r>
      <w:r w:rsidR="000D68E9">
        <w:t xml:space="preserve">on reflection, </w:t>
      </w:r>
      <w:r w:rsidR="009B72C6">
        <w:t>it also raise</w:t>
      </w:r>
      <w:r w:rsidR="000D68E9">
        <w:t>d</w:t>
      </w:r>
      <w:r w:rsidR="009B72C6">
        <w:t xml:space="preserve"> further questions.  Firstly, there is the element of fairness discussed above – if bursaries are providing excessive </w:t>
      </w:r>
      <w:r w:rsidR="009F3948">
        <w:t>amelioration for</w:t>
      </w:r>
      <w:r w:rsidR="009B72C6">
        <w:t xml:space="preserve"> low income student</w:t>
      </w:r>
      <w:r w:rsidR="009F3948">
        <w:t>s</w:t>
      </w:r>
      <w:r w:rsidR="009B72C6">
        <w:t xml:space="preserve"> such that they are </w:t>
      </w:r>
      <w:r w:rsidR="009F3948">
        <w:t xml:space="preserve">actually </w:t>
      </w:r>
      <w:r w:rsidR="009B72C6">
        <w:t>outperforming m</w:t>
      </w:r>
      <w:r w:rsidR="009F3948">
        <w:t>id-</w:t>
      </w:r>
      <w:r w:rsidR="009B72C6">
        <w:t>income student</w:t>
      </w:r>
      <w:r w:rsidR="00BF1EC7">
        <w:t>s</w:t>
      </w:r>
      <w:r w:rsidR="009F3948">
        <w:t>,</w:t>
      </w:r>
      <w:r w:rsidR="009B72C6">
        <w:t xml:space="preserve"> then there is a question of proportionality.  Secondly, and returning to a theme already rehearsed, it may be that the difference in outcomes is not causally related to the scale of the bursary, but rather to other </w:t>
      </w:r>
      <w:r w:rsidR="00B00D51">
        <w:t xml:space="preserve">relative </w:t>
      </w:r>
      <w:r w:rsidR="009B72C6">
        <w:t>advantages among low income students</w:t>
      </w:r>
      <w:r w:rsidR="00D12F2D">
        <w:t xml:space="preserve">.  If this were the case, then </w:t>
      </w:r>
      <w:r w:rsidR="009F3948">
        <w:t>it is impossible to determine the additional contribution that the bursary might be making – they effectively become irrelevant in terms of the formal outcomes</w:t>
      </w:r>
      <w:r w:rsidR="009B72C6">
        <w:t>.</w:t>
      </w:r>
      <w:r w:rsidR="000D68E9">
        <w:t xml:space="preserve">  Interestingly, Result 3 tended to be associated with bursaries given on the basis of </w:t>
      </w:r>
      <w:r w:rsidR="009F3948">
        <w:t>outreach</w:t>
      </w:r>
      <w:r w:rsidR="000D68E9">
        <w:t xml:space="preserve"> programmes and alternative ent</w:t>
      </w:r>
      <w:r w:rsidR="008C1B25">
        <w:t xml:space="preserve">ry routes into higher education where, perhaps, the effect was </w:t>
      </w:r>
      <w:r w:rsidR="00466E7C">
        <w:t>as much</w:t>
      </w:r>
      <w:r w:rsidR="008C1B25">
        <w:t xml:space="preserve"> about </w:t>
      </w:r>
      <w:r w:rsidR="00466E7C">
        <w:t xml:space="preserve">bursaries being </w:t>
      </w:r>
      <w:r w:rsidR="008C1B25">
        <w:t xml:space="preserve">a proxy for preparedness and </w:t>
      </w:r>
      <w:r w:rsidR="00B77E74">
        <w:t>attachment</w:t>
      </w:r>
      <w:r w:rsidR="008C1B25">
        <w:t xml:space="preserve"> </w:t>
      </w:r>
      <w:r w:rsidR="00466E7C">
        <w:t>as</w:t>
      </w:r>
      <w:r w:rsidR="008C1B25">
        <w:t xml:space="preserve"> financial support</w:t>
      </w:r>
      <w:r w:rsidR="006C3DDA">
        <w:t>; this is moot, however</w:t>
      </w:r>
      <w:r w:rsidR="008C1B25">
        <w:t>.</w:t>
      </w:r>
      <w:r w:rsidR="00383366">
        <w:t xml:space="preserve">  </w:t>
      </w:r>
      <w:r w:rsidR="00A45C05">
        <w:t xml:space="preserve">The three results </w:t>
      </w:r>
      <w:r w:rsidR="001F0F61">
        <w:t>are summarised in Table 1.</w:t>
      </w:r>
    </w:p>
    <w:p w14:paraId="487C3FE5" w14:textId="77777777" w:rsidR="001F0F61" w:rsidRDefault="001F0F61" w:rsidP="00227730">
      <w:pPr>
        <w:spacing w:line="480" w:lineRule="auto"/>
      </w:pPr>
    </w:p>
    <w:p w14:paraId="61AC1DD7" w14:textId="77777777" w:rsidR="002B71D5" w:rsidRDefault="002B71D5" w:rsidP="00227730">
      <w:pPr>
        <w:spacing w:line="480" w:lineRule="auto"/>
      </w:pPr>
    </w:p>
    <w:p w14:paraId="23019F4B" w14:textId="77777777" w:rsidR="002B71D5" w:rsidRPr="002B71D5" w:rsidRDefault="002B71D5" w:rsidP="00227730">
      <w:pPr>
        <w:spacing w:line="480" w:lineRule="auto"/>
        <w:rPr>
          <w:i/>
        </w:rPr>
      </w:pPr>
      <w:r w:rsidRPr="002B71D5">
        <w:rPr>
          <w:i/>
        </w:rPr>
        <w:t xml:space="preserve">Table 1: </w:t>
      </w:r>
      <w:r w:rsidR="00616353">
        <w:rPr>
          <w:i/>
        </w:rPr>
        <w:t>Summary of p</w:t>
      </w:r>
      <w:r w:rsidRPr="002B71D5">
        <w:rPr>
          <w:i/>
        </w:rPr>
        <w:t>ossible inference</w:t>
      </w:r>
      <w:r w:rsidR="00B77E74">
        <w:rPr>
          <w:i/>
        </w:rPr>
        <w:t>s</w:t>
      </w:r>
      <w:r w:rsidRPr="002B71D5">
        <w:rPr>
          <w:i/>
        </w:rPr>
        <w:t xml:space="preserve"> to be drawn about the effectiveness of bursaries</w:t>
      </w:r>
    </w:p>
    <w:tbl>
      <w:tblPr>
        <w:tblStyle w:val="TableGrid"/>
        <w:tblW w:w="0" w:type="auto"/>
        <w:tblInd w:w="108" w:type="dxa"/>
        <w:tblLook w:val="04A0" w:firstRow="1" w:lastRow="0" w:firstColumn="1" w:lastColumn="0" w:noHBand="0" w:noVBand="1"/>
      </w:tblPr>
      <w:tblGrid>
        <w:gridCol w:w="2864"/>
        <w:gridCol w:w="4820"/>
      </w:tblGrid>
      <w:tr w:rsidR="00616353" w14:paraId="13027E17" w14:textId="77777777" w:rsidTr="00A65A50">
        <w:trPr>
          <w:trHeight w:val="1139"/>
        </w:trPr>
        <w:tc>
          <w:tcPr>
            <w:tcW w:w="2864" w:type="dxa"/>
            <w:vAlign w:val="center"/>
          </w:tcPr>
          <w:p w14:paraId="1048C017" w14:textId="77777777" w:rsidR="00616353" w:rsidRDefault="00616353" w:rsidP="00227730">
            <w:pPr>
              <w:spacing w:line="480" w:lineRule="auto"/>
            </w:pPr>
            <w:r w:rsidRPr="005E7968">
              <w:rPr>
                <w:b/>
              </w:rPr>
              <w:t>Result 1: bursary holders</w:t>
            </w:r>
            <w:r>
              <w:rPr>
                <w:b/>
              </w:rPr>
              <w:t xml:space="preserve"> have</w:t>
            </w:r>
            <w:r w:rsidRPr="005E7968">
              <w:rPr>
                <w:b/>
              </w:rPr>
              <w:t xml:space="preserve"> weaker outcomes</w:t>
            </w:r>
            <w:r>
              <w:rPr>
                <w:b/>
              </w:rPr>
              <w:t xml:space="preserve"> than comparison group</w:t>
            </w:r>
          </w:p>
        </w:tc>
        <w:tc>
          <w:tcPr>
            <w:tcW w:w="4820" w:type="dxa"/>
            <w:vAlign w:val="center"/>
          </w:tcPr>
          <w:p w14:paraId="51FDDC8A" w14:textId="77777777" w:rsidR="00616353" w:rsidRPr="005E7968" w:rsidRDefault="00616353" w:rsidP="00227730">
            <w:pPr>
              <w:spacing w:line="480" w:lineRule="auto"/>
              <w:rPr>
                <w:b/>
              </w:rPr>
            </w:pPr>
            <w:r>
              <w:t xml:space="preserve">Bursaries are either ineffective or insufficient to </w:t>
            </w:r>
            <w:r w:rsidR="00400FE6">
              <w:t xml:space="preserve">completely </w:t>
            </w:r>
            <w:r>
              <w:t>overcome the effects of financial disadvantage</w:t>
            </w:r>
          </w:p>
        </w:tc>
      </w:tr>
      <w:tr w:rsidR="00616353" w14:paraId="1F4D52D7" w14:textId="77777777" w:rsidTr="00A65A50">
        <w:trPr>
          <w:trHeight w:val="1139"/>
        </w:trPr>
        <w:tc>
          <w:tcPr>
            <w:tcW w:w="2864" w:type="dxa"/>
            <w:vAlign w:val="center"/>
          </w:tcPr>
          <w:p w14:paraId="61ABF7AB" w14:textId="77777777" w:rsidR="00616353" w:rsidRPr="005E7968" w:rsidRDefault="00616353" w:rsidP="00227730">
            <w:pPr>
              <w:spacing w:line="480" w:lineRule="auto"/>
              <w:rPr>
                <w:b/>
              </w:rPr>
            </w:pPr>
            <w:r w:rsidRPr="005E7968">
              <w:rPr>
                <w:b/>
              </w:rPr>
              <w:t xml:space="preserve">Result 2: bursary holders </w:t>
            </w:r>
            <w:r>
              <w:rPr>
                <w:b/>
              </w:rPr>
              <w:t xml:space="preserve">have </w:t>
            </w:r>
            <w:r w:rsidRPr="005E7968">
              <w:rPr>
                <w:b/>
              </w:rPr>
              <w:t>same outcomes</w:t>
            </w:r>
            <w:r>
              <w:rPr>
                <w:b/>
              </w:rPr>
              <w:t xml:space="preserve"> as comparison group</w:t>
            </w:r>
          </w:p>
        </w:tc>
        <w:tc>
          <w:tcPr>
            <w:tcW w:w="4820" w:type="dxa"/>
            <w:vAlign w:val="center"/>
          </w:tcPr>
          <w:p w14:paraId="1D49479F" w14:textId="77777777" w:rsidR="00616353" w:rsidRDefault="00616353" w:rsidP="00227730">
            <w:pPr>
              <w:spacing w:line="480" w:lineRule="auto"/>
            </w:pPr>
            <w:r>
              <w:t xml:space="preserve">Bursaries are effective </w:t>
            </w:r>
            <w:r w:rsidR="00400FE6">
              <w:t>(</w:t>
            </w:r>
            <w:r>
              <w:t>unless there is no impact of financial disadvantage on educational outcomes</w:t>
            </w:r>
            <w:r w:rsidR="00400FE6">
              <w:t>)</w:t>
            </w:r>
          </w:p>
        </w:tc>
      </w:tr>
      <w:tr w:rsidR="00616353" w14:paraId="1999007E" w14:textId="77777777" w:rsidTr="00A65A50">
        <w:trPr>
          <w:trHeight w:val="1139"/>
        </w:trPr>
        <w:tc>
          <w:tcPr>
            <w:tcW w:w="2864" w:type="dxa"/>
            <w:vAlign w:val="center"/>
          </w:tcPr>
          <w:p w14:paraId="746FBECB" w14:textId="77777777" w:rsidR="00616353" w:rsidRDefault="00616353" w:rsidP="00227730">
            <w:pPr>
              <w:spacing w:line="480" w:lineRule="auto"/>
            </w:pPr>
            <w:r w:rsidRPr="005E7968">
              <w:rPr>
                <w:b/>
              </w:rPr>
              <w:t xml:space="preserve">Result 3: bursary holders </w:t>
            </w:r>
            <w:r>
              <w:rPr>
                <w:b/>
              </w:rPr>
              <w:t xml:space="preserve">have </w:t>
            </w:r>
            <w:r w:rsidRPr="005E7968">
              <w:rPr>
                <w:b/>
              </w:rPr>
              <w:t>stronger outcomes</w:t>
            </w:r>
            <w:r>
              <w:rPr>
                <w:b/>
              </w:rPr>
              <w:t xml:space="preserve"> than comparison group</w:t>
            </w:r>
          </w:p>
        </w:tc>
        <w:tc>
          <w:tcPr>
            <w:tcW w:w="4820" w:type="dxa"/>
            <w:vAlign w:val="center"/>
          </w:tcPr>
          <w:p w14:paraId="7DF776E4" w14:textId="77777777" w:rsidR="00616353" w:rsidRPr="005E7968" w:rsidRDefault="00616353" w:rsidP="00227730">
            <w:pPr>
              <w:spacing w:line="480" w:lineRule="auto"/>
              <w:rPr>
                <w:b/>
              </w:rPr>
            </w:pPr>
            <w:r>
              <w:t>Bursaries are very effective (and possibly unfairly so</w:t>
            </w:r>
            <w:r w:rsidR="00400FE6">
              <w:t xml:space="preserve"> with respect to the mid-income group</w:t>
            </w:r>
            <w:r>
              <w:t>)</w:t>
            </w:r>
          </w:p>
        </w:tc>
      </w:tr>
    </w:tbl>
    <w:p w14:paraId="1DB49866" w14:textId="77777777" w:rsidR="001F0F61" w:rsidRPr="008C39AE" w:rsidRDefault="001F0F61" w:rsidP="00227730">
      <w:pPr>
        <w:spacing w:line="480" w:lineRule="auto"/>
      </w:pPr>
    </w:p>
    <w:p w14:paraId="3447447E" w14:textId="77777777" w:rsidR="00C73EBE" w:rsidRDefault="00C73EBE" w:rsidP="00227730">
      <w:pPr>
        <w:spacing w:line="480" w:lineRule="auto"/>
      </w:pPr>
    </w:p>
    <w:p w14:paraId="2D1B5B88" w14:textId="357D2EB3" w:rsidR="00EE6AE1" w:rsidRDefault="00EE6AE1" w:rsidP="00227730">
      <w:pPr>
        <w:spacing w:line="480" w:lineRule="auto"/>
      </w:pPr>
      <w:r>
        <w:t xml:space="preserve">However, the story does not end here.  </w:t>
      </w:r>
      <w:r w:rsidR="00A02437">
        <w:t>The wider moral questions about the participation of low income students in higher education also demand consideration.  The evaluation of the impact of bursaries is, perhaps necessarily, couched in terms of</w:t>
      </w:r>
      <w:r w:rsidR="00F4309B">
        <w:t xml:space="preserve"> measurable </w:t>
      </w:r>
      <w:r w:rsidR="00D82E5D">
        <w:t xml:space="preserve">formal </w:t>
      </w:r>
      <w:r w:rsidR="00F4309B">
        <w:t>outcomes</w:t>
      </w:r>
      <w:r w:rsidR="00A02437">
        <w:t>.</w:t>
      </w:r>
      <w:r w:rsidR="00F4309B">
        <w:t xml:space="preserve">  However, there are myriad</w:t>
      </w:r>
      <w:r w:rsidR="00D82E5D">
        <w:t xml:space="preserve"> informal</w:t>
      </w:r>
      <w:r w:rsidR="00F4309B">
        <w:t xml:space="preserve"> outcomes which </w:t>
      </w:r>
      <w:r w:rsidR="00D86782">
        <w:t>were not (and could not) measured within th</w:t>
      </w:r>
      <w:r w:rsidR="00A65A50">
        <w:t>e first phase of th</w:t>
      </w:r>
      <w:r w:rsidR="00D86782">
        <w:t xml:space="preserve">is project and which extend beyond </w:t>
      </w:r>
      <w:r w:rsidR="0058354B">
        <w:t>a student’s ability to see through their studies to a high standard and move into graduate-level employment.</w:t>
      </w:r>
      <w:r w:rsidR="00F31400">
        <w:t xml:space="preserve">  As noted above, t</w:t>
      </w:r>
      <w:r w:rsidR="00B77B3F">
        <w:t>his might include participation in the wider university community, the development of positive social relationships, the ability to undertake curricular enhancements (e.g. field trips or internships), the maintenance of mental health and wellbeing and so on.</w:t>
      </w:r>
      <w:r w:rsidR="00F14710">
        <w:t xml:space="preserve">  Even if the effectiveness of bursaries in terms of headline measures of </w:t>
      </w:r>
      <w:r w:rsidR="00D82E5D">
        <w:t xml:space="preserve">formal </w:t>
      </w:r>
      <w:r w:rsidR="00F14710">
        <w:t>outcome</w:t>
      </w:r>
      <w:r w:rsidR="00D82E5D">
        <w:t>s</w:t>
      </w:r>
      <w:r w:rsidR="00F14710">
        <w:t xml:space="preserve"> are questioned, it is </w:t>
      </w:r>
      <w:r w:rsidR="00D82E5D">
        <w:t>very possible</w:t>
      </w:r>
      <w:r w:rsidR="00F14710">
        <w:t xml:space="preserve"> that they contribute positively to students’ ability to have a full and fulfilling student experience; indeed, this is what students themselves consistently report (e.g. Harrison et al, in press)</w:t>
      </w:r>
      <w:r w:rsidR="00AE3CA9">
        <w:t xml:space="preserve"> and the project's </w:t>
      </w:r>
      <w:r w:rsidR="00A65A50">
        <w:t xml:space="preserve">second phase </w:t>
      </w:r>
      <w:r w:rsidR="00AE3CA9">
        <w:t xml:space="preserve">is designed to </w:t>
      </w:r>
      <w:r w:rsidR="00A65A50">
        <w:t>explore</w:t>
      </w:r>
      <w:r w:rsidR="00C63031">
        <w:t xml:space="preserve"> through the development of a survey tool that can be used by institutions to explore the views of bursary recipients</w:t>
      </w:r>
      <w:r w:rsidR="00F14710">
        <w:t>.</w:t>
      </w:r>
      <w:r w:rsidR="00E93744">
        <w:t xml:space="preserve">  It would be morally questionable to remove a provision with positive human impacts due to epistemological challenges with proving impact against </w:t>
      </w:r>
      <w:r w:rsidR="00D82E5D">
        <w:t xml:space="preserve">relatively </w:t>
      </w:r>
      <w:r w:rsidR="00E93744">
        <w:t xml:space="preserve">crude </w:t>
      </w:r>
      <w:r w:rsidR="00D82E5D">
        <w:t xml:space="preserve">policy-friendly </w:t>
      </w:r>
      <w:r w:rsidR="00E93744">
        <w:t>measures.</w:t>
      </w:r>
      <w:r w:rsidR="00BF1EC7">
        <w:t xml:space="preserve">  This tendency to ‘</w:t>
      </w:r>
      <w:r w:rsidR="00F15EB2">
        <w:t>privilege</w:t>
      </w:r>
      <w:r w:rsidR="00BF1EC7">
        <w:t xml:space="preserve"> the measurable’ always needs to be thoroughly problematised.</w:t>
      </w:r>
    </w:p>
    <w:p w14:paraId="67323D72" w14:textId="77777777" w:rsidR="009B72C6" w:rsidRDefault="009B72C6" w:rsidP="00227730">
      <w:pPr>
        <w:spacing w:line="480" w:lineRule="auto"/>
      </w:pPr>
    </w:p>
    <w:p w14:paraId="17788406" w14:textId="77777777" w:rsidR="001A2616" w:rsidRDefault="001A2616" w:rsidP="00227730">
      <w:pPr>
        <w:spacing w:line="480" w:lineRule="auto"/>
      </w:pPr>
    </w:p>
    <w:p w14:paraId="0D6C1B54" w14:textId="77777777" w:rsidR="009B72C6" w:rsidRPr="00B1359F" w:rsidRDefault="00FF0BD9" w:rsidP="00227730">
      <w:pPr>
        <w:spacing w:line="480" w:lineRule="auto"/>
        <w:rPr>
          <w:b/>
        </w:rPr>
      </w:pPr>
      <w:r>
        <w:rPr>
          <w:b/>
        </w:rPr>
        <w:t>Concluding remarks</w:t>
      </w:r>
    </w:p>
    <w:p w14:paraId="076121FD" w14:textId="77777777" w:rsidR="009B72C6" w:rsidRDefault="009B72C6" w:rsidP="00227730">
      <w:pPr>
        <w:spacing w:line="480" w:lineRule="auto"/>
      </w:pPr>
    </w:p>
    <w:p w14:paraId="34618A6D" w14:textId="00112A71" w:rsidR="006E657D" w:rsidRDefault="00B1359F" w:rsidP="00227730">
      <w:pPr>
        <w:spacing w:line="480" w:lineRule="auto"/>
      </w:pPr>
      <w:r>
        <w:t xml:space="preserve">The purpose of this paper </w:t>
      </w:r>
      <w:r w:rsidR="00413238">
        <w:t>has been</w:t>
      </w:r>
      <w:r>
        <w:t xml:space="preserve"> to </w:t>
      </w:r>
      <w:r w:rsidR="00A709A6">
        <w:t xml:space="preserve">present </w:t>
      </w:r>
      <w:r>
        <w:t xml:space="preserve">a reflective case study </w:t>
      </w:r>
      <w:r w:rsidR="004F74C5">
        <w:t>exploring</w:t>
      </w:r>
      <w:r>
        <w:t xml:space="preserve"> some of the challenges associated with employing a ‘what works’ approach with respect to a</w:t>
      </w:r>
      <w:r w:rsidR="00930FF2">
        <w:t xml:space="preserve"> high-cost </w:t>
      </w:r>
      <w:r w:rsidR="004F74C5">
        <w:t xml:space="preserve">national </w:t>
      </w:r>
      <w:r>
        <w:t>policy initiative</w:t>
      </w:r>
      <w:r w:rsidR="006E657D">
        <w:t>.</w:t>
      </w:r>
      <w:r w:rsidR="004D6BC2">
        <w:t xml:space="preserve">  The project has been a useful vehicle for thinking carefully about evidence and inference in a complex educational field</w:t>
      </w:r>
      <w:r w:rsidR="00A709A6">
        <w:t xml:space="preserve"> which we believe has wider applicability to other interventions designed to address educational inequalities</w:t>
      </w:r>
      <w:r w:rsidR="004D6BC2">
        <w:t>.</w:t>
      </w:r>
    </w:p>
    <w:p w14:paraId="1D085530" w14:textId="77777777" w:rsidR="00CF2156" w:rsidRDefault="00CF2156" w:rsidP="00227730">
      <w:pPr>
        <w:spacing w:line="480" w:lineRule="auto"/>
      </w:pPr>
    </w:p>
    <w:p w14:paraId="63B8C0E4" w14:textId="590DDE9D" w:rsidR="00F0667A" w:rsidRDefault="00CF2156" w:rsidP="00227730">
      <w:pPr>
        <w:spacing w:line="480" w:lineRule="auto"/>
      </w:pPr>
      <w:r>
        <w:t xml:space="preserve">A clear epistemology for </w:t>
      </w:r>
      <w:r w:rsidR="00BA6AE3">
        <w:t xml:space="preserve">evaluating </w:t>
      </w:r>
      <w:r>
        <w:t xml:space="preserve">success has to be predicated on a clear definition of that success.  However, this has not </w:t>
      </w:r>
      <w:r w:rsidR="00BA6AE3">
        <w:t xml:space="preserve">yet </w:t>
      </w:r>
      <w:r>
        <w:t>been established fo</w:t>
      </w:r>
      <w:r w:rsidR="00BA6AE3">
        <w:t>r bursaries, partly due to the</w:t>
      </w:r>
      <w:r>
        <w:t xml:space="preserve"> </w:t>
      </w:r>
      <w:r w:rsidR="007239F5">
        <w:t>relatively recent</w:t>
      </w:r>
      <w:r w:rsidR="00BA6AE3">
        <w:t xml:space="preserve"> </w:t>
      </w:r>
      <w:r>
        <w:t xml:space="preserve">co-option from their original purpose of </w:t>
      </w:r>
      <w:r w:rsidR="004057F8">
        <w:t>bolstering</w:t>
      </w:r>
      <w:r>
        <w:t xml:space="preserve"> demand to a generalised </w:t>
      </w:r>
      <w:r w:rsidR="00F0667A">
        <w:t>tool</w:t>
      </w:r>
      <w:r>
        <w:t xml:space="preserve"> </w:t>
      </w:r>
      <w:r w:rsidR="00F0667A">
        <w:t xml:space="preserve">in </w:t>
      </w:r>
      <w:r>
        <w:t>support</w:t>
      </w:r>
      <w:r w:rsidR="00F0667A">
        <w:t>ing</w:t>
      </w:r>
      <w:r>
        <w:t xml:space="preserve"> retention and success.  </w:t>
      </w:r>
      <w:r w:rsidR="00BA6AE3">
        <w:t xml:space="preserve">There is currently an </w:t>
      </w:r>
      <w:r>
        <w:t xml:space="preserve">absence of a clear </w:t>
      </w:r>
      <w:r w:rsidR="00BA6AE3">
        <w:t xml:space="preserve">and widely-accepted </w:t>
      </w:r>
      <w:r>
        <w:t>causal model for the ef</w:t>
      </w:r>
      <w:r w:rsidR="00BA6AE3">
        <w:t>fects of financial disadvantage on educational outcomes</w:t>
      </w:r>
      <w:r w:rsidR="00C95FF9">
        <w:t xml:space="preserve">; </w:t>
      </w:r>
      <w:r w:rsidR="00BE2386">
        <w:t xml:space="preserve">continuing </w:t>
      </w:r>
      <w:r w:rsidR="00C95FF9">
        <w:t xml:space="preserve">the </w:t>
      </w:r>
      <w:r w:rsidR="00610868">
        <w:t xml:space="preserve">earlier </w:t>
      </w:r>
      <w:r w:rsidR="00C95FF9">
        <w:t>medical analogy, this would be akin to treating a disease without having a clear idea of its pathology</w:t>
      </w:r>
      <w:r>
        <w:t>.</w:t>
      </w:r>
      <w:r w:rsidR="00F0667A">
        <w:t xml:space="preserve">  Furthermore, the definition of the formal outcomes under scrutiny may not match with wider social justice objectives (prioritised by practitioners and students</w:t>
      </w:r>
      <w:r w:rsidR="00774E02">
        <w:t xml:space="preserve">, if not </w:t>
      </w:r>
      <w:r w:rsidR="00BA6AE3">
        <w:t xml:space="preserve">always by </w:t>
      </w:r>
      <w:r w:rsidR="00774E02">
        <w:t>policymakers</w:t>
      </w:r>
      <w:r w:rsidR="00F0667A">
        <w:t>) about ensuring that students remain healthy</w:t>
      </w:r>
      <w:r w:rsidR="00774E02">
        <w:t>, expand their intellectual horizons</w:t>
      </w:r>
      <w:r w:rsidR="00F0667A">
        <w:t xml:space="preserve"> and are able to enj</w:t>
      </w:r>
      <w:r w:rsidR="00BA6AE3">
        <w:t xml:space="preserve">oy a reasonable quality of life.  </w:t>
      </w:r>
      <w:r w:rsidR="00A65A50">
        <w:t>T</w:t>
      </w:r>
      <w:r w:rsidR="00BA6AE3">
        <w:t xml:space="preserve">hese latter ideas </w:t>
      </w:r>
      <w:r w:rsidR="00A65A50">
        <w:t>will be</w:t>
      </w:r>
      <w:r w:rsidR="00BA6AE3">
        <w:t xml:space="preserve"> explored in the second phas</w:t>
      </w:r>
      <w:r w:rsidR="00A65A50">
        <w:t>e of the project by engaging directly with students</w:t>
      </w:r>
      <w:r w:rsidR="00BA6AE3">
        <w:t>.</w:t>
      </w:r>
    </w:p>
    <w:p w14:paraId="41CCDC58" w14:textId="77777777" w:rsidR="00CF2156" w:rsidRDefault="00CF2156" w:rsidP="00227730">
      <w:pPr>
        <w:spacing w:line="480" w:lineRule="auto"/>
      </w:pPr>
    </w:p>
    <w:p w14:paraId="6B2DFCEC" w14:textId="68C0C959" w:rsidR="00FA1A49" w:rsidRDefault="006E657D" w:rsidP="00227730">
      <w:pPr>
        <w:spacing w:line="480" w:lineRule="auto"/>
      </w:pPr>
      <w:r>
        <w:t xml:space="preserve">In particular, bursaries sit in a complex space of support for disadvantaged students, who are exposed to a wide range of </w:t>
      </w:r>
      <w:r w:rsidR="009B38B7">
        <w:t xml:space="preserve">overlapping </w:t>
      </w:r>
      <w:r>
        <w:t>interventions</w:t>
      </w:r>
      <w:r w:rsidR="00E33FF7">
        <w:t xml:space="preserve"> over a lengthy time period</w:t>
      </w:r>
      <w:r w:rsidR="00B7696C">
        <w:t xml:space="preserve">, both before </w:t>
      </w:r>
      <w:r w:rsidR="00FF0BD9">
        <w:t>and during university,</w:t>
      </w:r>
      <w:r>
        <w:t xml:space="preserve"> that are intended to ameliorate their disadvantage.  Disentangling </w:t>
      </w:r>
      <w:r w:rsidR="00845566">
        <w:t>any unique</w:t>
      </w:r>
      <w:r>
        <w:t xml:space="preserve"> effect of bursaries from, for example, the impact of summer schools or peer mentoring is vexed and there are limits to the number of factors that can be controlled within a statistical model</w:t>
      </w:r>
      <w:r w:rsidR="00F91BE3">
        <w:t>, even if they can be measured</w:t>
      </w:r>
      <w:r>
        <w:t xml:space="preserve">.  </w:t>
      </w:r>
      <w:r w:rsidR="00FF0BD9">
        <w:t>Even if it had been possible to construct a</w:t>
      </w:r>
      <w:r w:rsidR="00F91BE3">
        <w:t xml:space="preserve"> formal</w:t>
      </w:r>
      <w:r w:rsidR="00FF0BD9">
        <w:t xml:space="preserve"> control group, this would still have posed a significant (and probably insurmountable) challenge.</w:t>
      </w:r>
      <w:r w:rsidR="009B20DE">
        <w:t xml:space="preserve">  Similarly, with no readily-available measures of potential dispositional</w:t>
      </w:r>
      <w:r w:rsidR="006D5220">
        <w:t xml:space="preserve"> or experiential</w:t>
      </w:r>
      <w:r w:rsidR="00507A6D">
        <w:t xml:space="preserve"> factors, it is difficult to assess any possible advantages acquired through </w:t>
      </w:r>
      <w:r w:rsidR="007239F5">
        <w:t>overcoming</w:t>
      </w:r>
      <w:r w:rsidR="00507A6D">
        <w:t xml:space="preserve"> pre-university challenges.</w:t>
      </w:r>
      <w:r w:rsidR="00845566">
        <w:t xml:space="preserve">  Perhaps most important is Lingenfelter’s (2016) rejection of the idea that interventions in social fiel</w:t>
      </w:r>
      <w:r w:rsidR="009E0E06">
        <w:t>ds can be assessed in isolation, especially as it is difficult to see how Gorard’s (2013) criteria could be met.</w:t>
      </w:r>
    </w:p>
    <w:p w14:paraId="5E4CEB95" w14:textId="77777777" w:rsidR="001E2111" w:rsidRDefault="001E2111" w:rsidP="00227730">
      <w:pPr>
        <w:spacing w:line="480" w:lineRule="auto"/>
      </w:pPr>
    </w:p>
    <w:p w14:paraId="47F6AB17" w14:textId="6BD9F04A" w:rsidR="001E2111" w:rsidRDefault="001E2111" w:rsidP="00227730">
      <w:pPr>
        <w:spacing w:line="480" w:lineRule="auto"/>
      </w:pPr>
      <w:r>
        <w:t>Furthermore, the freedom that universities have in the implementation of bursaries means that the</w:t>
      </w:r>
      <w:r w:rsidR="00C406ED">
        <w:t xml:space="preserve">y play a different role in each instance and so </w:t>
      </w:r>
      <w:r w:rsidR="00D92A34">
        <w:t xml:space="preserve">attempts to </w:t>
      </w:r>
      <w:r w:rsidR="00C406ED">
        <w:t>generalis</w:t>
      </w:r>
      <w:r w:rsidR="00D92A34">
        <w:t>e</w:t>
      </w:r>
      <w:r w:rsidR="00C406ED">
        <w:t xml:space="preserve"> about the effectiveness of bursaries in the round are </w:t>
      </w:r>
      <w:r w:rsidR="00610868">
        <w:t>likely to be</w:t>
      </w:r>
      <w:r w:rsidR="00F65FE1">
        <w:t xml:space="preserve"> </w:t>
      </w:r>
      <w:r w:rsidR="006D5220">
        <w:t>misguided</w:t>
      </w:r>
      <w:r w:rsidR="00C406ED">
        <w:t xml:space="preserve">.  Even within the five pilot universities, there was significant divergence in the administration, amounts and criteria.  This was </w:t>
      </w:r>
      <w:r w:rsidR="00F65FE1">
        <w:t xml:space="preserve">thoroughly </w:t>
      </w:r>
      <w:r w:rsidR="00C406ED">
        <w:t xml:space="preserve">understood by OFFA </w:t>
      </w:r>
      <w:r w:rsidR="00A709A6">
        <w:t xml:space="preserve">when </w:t>
      </w:r>
      <w:r w:rsidR="00C406ED">
        <w:t>commissioning the work, with the</w:t>
      </w:r>
      <w:r w:rsidR="007239F5">
        <w:t>ir</w:t>
      </w:r>
      <w:r w:rsidR="00C406ED">
        <w:t xml:space="preserve"> focus </w:t>
      </w:r>
      <w:r w:rsidR="00F865BD">
        <w:t xml:space="preserve">being </w:t>
      </w:r>
      <w:r w:rsidR="00C406ED">
        <w:t xml:space="preserve">on </w:t>
      </w:r>
      <w:r w:rsidR="00F865BD">
        <w:t>support</w:t>
      </w:r>
      <w:r w:rsidR="00C406ED">
        <w:t xml:space="preserve">ing universities to examine their own schemes in isolation, albeit </w:t>
      </w:r>
      <w:r w:rsidR="00896CA3">
        <w:t xml:space="preserve">using </w:t>
      </w:r>
      <w:r w:rsidR="00C406ED">
        <w:t>a common analytical framework.</w:t>
      </w:r>
      <w:r w:rsidR="00F65FE1">
        <w:t xml:space="preserve">  That said, there is a strong degree of consensus from practition</w:t>
      </w:r>
      <w:r w:rsidR="007239F5">
        <w:t>ers and researchers that bursaries</w:t>
      </w:r>
      <w:r w:rsidR="00F65FE1">
        <w:t xml:space="preserve"> do </w:t>
      </w:r>
      <w:r w:rsidR="005230EC">
        <w:t>‘</w:t>
      </w:r>
      <w:r w:rsidR="00F65FE1">
        <w:t>work</w:t>
      </w:r>
      <w:r w:rsidR="005230EC">
        <w:t xml:space="preserve">’, which may exemplify the challenges of </w:t>
      </w:r>
      <w:r w:rsidR="00610868">
        <w:t xml:space="preserve">effectively </w:t>
      </w:r>
      <w:r w:rsidR="005230EC">
        <w:t>evidencing practitioner ‘knowledge’</w:t>
      </w:r>
      <w:r w:rsidR="00F65FE1">
        <w:t>.</w:t>
      </w:r>
      <w:r w:rsidR="00AA3392">
        <w:t xml:space="preserve"> </w:t>
      </w:r>
      <w:r w:rsidR="00F82C5C">
        <w:t xml:space="preserve"> While the project has met its objective of providing an analytical framework for universities to use</w:t>
      </w:r>
      <w:r w:rsidR="00A709A6">
        <w:t xml:space="preserve"> (OFFA, 2016)</w:t>
      </w:r>
      <w:r w:rsidR="00F82C5C">
        <w:t>, i</w:t>
      </w:r>
      <w:r w:rsidR="00AA3392">
        <w:t xml:space="preserve">t maybe that quasi-experimental approaches cannot move </w:t>
      </w:r>
      <w:r w:rsidR="00610868">
        <w:t xml:space="preserve">us </w:t>
      </w:r>
      <w:r w:rsidR="00AA3392">
        <w:t>far beyond an agreement that Result 2 (as defined above) is good evidence for effectiveness</w:t>
      </w:r>
      <w:r w:rsidR="00812096">
        <w:t xml:space="preserve"> in ‘levelling the playing field’</w:t>
      </w:r>
      <w:r w:rsidR="00AA3392">
        <w:t xml:space="preserve">, while Results 1 and 3 are causes for </w:t>
      </w:r>
      <w:r w:rsidR="00E47F1D">
        <w:t xml:space="preserve">different forms of </w:t>
      </w:r>
      <w:r w:rsidR="00AA3392">
        <w:t>concern for universities.</w:t>
      </w:r>
    </w:p>
    <w:p w14:paraId="5D0E63C6" w14:textId="77777777" w:rsidR="00C406ED" w:rsidRDefault="00C406ED" w:rsidP="00227730">
      <w:pPr>
        <w:spacing w:line="480" w:lineRule="auto"/>
      </w:pPr>
    </w:p>
    <w:p w14:paraId="0C169BA5" w14:textId="70DE2E78" w:rsidR="00CF2156" w:rsidRDefault="00280133" w:rsidP="00227730">
      <w:pPr>
        <w:spacing w:line="480" w:lineRule="auto"/>
      </w:pPr>
      <w:r>
        <w:t xml:space="preserve">One </w:t>
      </w:r>
      <w:r w:rsidR="00896CA3">
        <w:t xml:space="preserve">potentially </w:t>
      </w:r>
      <w:r>
        <w:t>useful</w:t>
      </w:r>
      <w:r w:rsidR="001E2111">
        <w:t xml:space="preserve"> contribution of this paper is to </w:t>
      </w:r>
      <w:r>
        <w:t>re</w:t>
      </w:r>
      <w:r w:rsidR="001E2111">
        <w:t>assert the difference between a contr</w:t>
      </w:r>
      <w:r w:rsidR="00A553B9">
        <w:t>ol group and a comparison group and the ramifications of this for the interpretation of results, particularly with respect to OFFA (2014).  Where the comparator group is specifically less disadvantaged than the quasi-experimental group</w:t>
      </w:r>
      <w:r w:rsidR="004B177A">
        <w:t>, as in discontinuity regression designs</w:t>
      </w:r>
      <w:r w:rsidR="00A553B9">
        <w:t xml:space="preserve">, then it is unrealistic to expect the latter to have better outcomes than the former; statistically similar results are a </w:t>
      </w:r>
      <w:r w:rsidR="00D92A34">
        <w:t>marker for success, not failure, unless it can be shown that there are no educational disadvantages accruing from financial disadvantage.</w:t>
      </w:r>
    </w:p>
    <w:p w14:paraId="5A5DADF4" w14:textId="77777777" w:rsidR="00DC209F" w:rsidRDefault="00DC209F" w:rsidP="00227730">
      <w:pPr>
        <w:spacing w:line="480" w:lineRule="auto"/>
      </w:pPr>
    </w:p>
    <w:p w14:paraId="56E75F80" w14:textId="52E6119E" w:rsidR="00DC209F" w:rsidRDefault="003275DD" w:rsidP="00227730">
      <w:pPr>
        <w:spacing w:line="480" w:lineRule="auto"/>
      </w:pPr>
      <w:r>
        <w:t>Due to the ethical issues, i</w:t>
      </w:r>
      <w:r w:rsidR="00DC209F">
        <w:t xml:space="preserve">t is rather inconceivable that </w:t>
      </w:r>
      <w:r>
        <w:t xml:space="preserve">the success of bursaries could be examined through </w:t>
      </w:r>
      <w:r w:rsidR="004B177A">
        <w:t>a true experimental design</w:t>
      </w:r>
      <w:r>
        <w:t xml:space="preserve"> (</w:t>
      </w:r>
      <w:r w:rsidR="00F65FE1">
        <w:t>although</w:t>
      </w:r>
      <w:r>
        <w:t xml:space="preserve"> see Angrist, Lang and Oreopolous, 2009</w:t>
      </w:r>
      <w:r w:rsidR="00B8377A">
        <w:t xml:space="preserve"> for a Canadian example</w:t>
      </w:r>
      <w:r>
        <w:t xml:space="preserve">) and even if this were possible, it is unlikely that it could untangle the web of overlapping interventions outlined above.  </w:t>
      </w:r>
      <w:r w:rsidR="00451749">
        <w:t>F</w:t>
      </w:r>
      <w:r>
        <w:t xml:space="preserve">uture work </w:t>
      </w:r>
      <w:r w:rsidR="00451749">
        <w:t>might be based around</w:t>
      </w:r>
      <w:r>
        <w:t xml:space="preserve"> identify</w:t>
      </w:r>
      <w:r w:rsidR="00451749">
        <w:t>ing</w:t>
      </w:r>
      <w:r>
        <w:t xml:space="preserve"> universities that are at the point of changing</w:t>
      </w:r>
      <w:r w:rsidR="00451749">
        <w:t xml:space="preserve"> their bursary schemes and using</w:t>
      </w:r>
      <w:r>
        <w:t xml:space="preserve"> a natural experiment of comparing matched cohorts before and after the change</w:t>
      </w:r>
      <w:r w:rsidR="00D35561">
        <w:t xml:space="preserve"> (who would therefore get different amounts)</w:t>
      </w:r>
      <w:r>
        <w:t>, provided that other components of support for disadvantaged students remained broadly constant</w:t>
      </w:r>
      <w:r w:rsidR="00E049AE">
        <w:t xml:space="preserve">; </w:t>
      </w:r>
      <w:r w:rsidR="00451749">
        <w:t>i.e.</w:t>
      </w:r>
      <w:r w:rsidR="00E049AE">
        <w:t xml:space="preserve"> an interrupted time series </w:t>
      </w:r>
      <w:r w:rsidR="00280133">
        <w:t>design</w:t>
      </w:r>
      <w:r>
        <w:t xml:space="preserve">.  This is similar to </w:t>
      </w:r>
      <w:r w:rsidR="00D35561">
        <w:t xml:space="preserve">the approach used by </w:t>
      </w:r>
      <w:r>
        <w:t xml:space="preserve">Denny et al (2014), who were able to </w:t>
      </w:r>
      <w:r w:rsidR="00807BE8">
        <w:t xml:space="preserve">robustly </w:t>
      </w:r>
      <w:r>
        <w:t>demonstrate the success of an integrated academic, social and financial support package</w:t>
      </w:r>
      <w:r w:rsidR="00807BE8">
        <w:t xml:space="preserve"> at an Irish university</w:t>
      </w:r>
      <w:r>
        <w:t>.</w:t>
      </w:r>
      <w:r w:rsidR="00D35561">
        <w:t xml:space="preserve">  </w:t>
      </w:r>
      <w:r w:rsidR="00995CF0">
        <w:t>This could potential provide more directly causal evidence about</w:t>
      </w:r>
      <w:r w:rsidR="00926E2F">
        <w:t xml:space="preserve"> the success of bursaries, albeit that the </w:t>
      </w:r>
      <w:r w:rsidR="00807BE8">
        <w:t>difficulties in</w:t>
      </w:r>
      <w:r w:rsidR="00926E2F">
        <w:t xml:space="preserve"> measur</w:t>
      </w:r>
      <w:r w:rsidR="00807BE8">
        <w:t>ing</w:t>
      </w:r>
      <w:r w:rsidR="00926E2F">
        <w:t xml:space="preserve"> the vital informal outcomes would remain problematic.</w:t>
      </w:r>
      <w:r w:rsidR="00A3745C">
        <w:t xml:space="preserve">  Historically, research on financial aid (as a corollary to bursaries) in the US has focused on the impact on recruitment rather than outcomes, although a small number of quasi-experimental studies have been published recently also pointing to positive impacts, especially where the funding is linked to academic engagement (for a review, see Dynarski and Scott-Clayton, 2013).  </w:t>
      </w:r>
      <w:r w:rsidR="007D42B2">
        <w:t xml:space="preserve">Conversely, the data produced by robust qualitative designs may be able to provide stronger and more useful evidence </w:t>
      </w:r>
      <w:r w:rsidR="004B177A">
        <w:t xml:space="preserve">to hone </w:t>
      </w:r>
      <w:r w:rsidR="00A3745C">
        <w:t>our understanding of the</w:t>
      </w:r>
      <w:r w:rsidR="007D42B2">
        <w:t xml:space="preserve"> means by which bursaries ameliorate educational disadvantage than any ‘what works’ approach</w:t>
      </w:r>
      <w:r w:rsidR="004B177A">
        <w:t xml:space="preserve"> (Pawson, 2013)</w:t>
      </w:r>
      <w:r w:rsidR="007D42B2">
        <w:t>.</w:t>
      </w:r>
    </w:p>
    <w:p w14:paraId="0547A6FE" w14:textId="77777777" w:rsidR="000D0127" w:rsidRDefault="000D0127" w:rsidP="00227730">
      <w:pPr>
        <w:spacing w:line="480" w:lineRule="auto"/>
      </w:pPr>
    </w:p>
    <w:p w14:paraId="28DE0A8F" w14:textId="77777777" w:rsidR="000D0127" w:rsidRPr="00774E02" w:rsidRDefault="000D0127" w:rsidP="00227730">
      <w:pPr>
        <w:spacing w:line="480" w:lineRule="auto"/>
      </w:pPr>
      <w:r>
        <w:t>Finally, this reflective case study also has ramifications for wider projects intended to investigate ‘what works’ in higher education, especially around the recruitment and participation of disadvantaged students.</w:t>
      </w:r>
      <w:r w:rsidR="00183F2F">
        <w:t xml:space="preserve">  These are likely to suffer from similar issues around time, complexity of field, unmeasurable variables</w:t>
      </w:r>
      <w:r w:rsidR="007352A1">
        <w:t>, comparison groups</w:t>
      </w:r>
      <w:r w:rsidR="00183F2F">
        <w:t xml:space="preserve"> </w:t>
      </w:r>
      <w:r w:rsidR="00D40930">
        <w:t xml:space="preserve">and overlapping interventions, with dangers for invalid inference about the success of individual activities, especially where these are implemented in very different ways in different universities.  </w:t>
      </w:r>
      <w:r w:rsidR="007352A1">
        <w:t xml:space="preserve">This is not a manifesto for not trying, but rather a cautionary tale </w:t>
      </w:r>
      <w:r w:rsidR="00C767B9">
        <w:t xml:space="preserve">about </w:t>
      </w:r>
      <w:r w:rsidR="00807BE8">
        <w:t>the limits of</w:t>
      </w:r>
      <w:r w:rsidR="007352A1">
        <w:t xml:space="preserve"> </w:t>
      </w:r>
      <w:r w:rsidR="00807BE8">
        <w:t xml:space="preserve">what the </w:t>
      </w:r>
      <w:r w:rsidR="007352A1">
        <w:t xml:space="preserve">‘what works’ </w:t>
      </w:r>
      <w:r w:rsidR="00807BE8">
        <w:t xml:space="preserve">approach </w:t>
      </w:r>
      <w:r w:rsidR="00774E02">
        <w:t xml:space="preserve">can really tell us and an </w:t>
      </w:r>
      <w:r w:rsidR="00774E02">
        <w:rPr>
          <w:i/>
        </w:rPr>
        <w:t>aide memoire</w:t>
      </w:r>
      <w:r w:rsidR="00774E02">
        <w:t xml:space="preserve"> that evidence is not proof.</w:t>
      </w:r>
    </w:p>
    <w:p w14:paraId="6947D0D6" w14:textId="77777777" w:rsidR="009E75BB" w:rsidRDefault="009E75BB" w:rsidP="00227730">
      <w:pPr>
        <w:spacing w:line="480" w:lineRule="auto"/>
      </w:pPr>
    </w:p>
    <w:p w14:paraId="03238720" w14:textId="77777777" w:rsidR="009E75BB" w:rsidRDefault="009E75BB" w:rsidP="00227730">
      <w:pPr>
        <w:spacing w:line="480" w:lineRule="auto"/>
      </w:pPr>
    </w:p>
    <w:p w14:paraId="050380E3" w14:textId="77777777" w:rsidR="00091AB0" w:rsidRDefault="00091AB0" w:rsidP="00227730">
      <w:pPr>
        <w:spacing w:line="480" w:lineRule="auto"/>
      </w:pPr>
    </w:p>
    <w:p w14:paraId="72744906" w14:textId="77777777" w:rsidR="00AD7DE1" w:rsidRDefault="00AD7DE1" w:rsidP="00227730">
      <w:pPr>
        <w:spacing w:line="480" w:lineRule="auto"/>
        <w:rPr>
          <w:rFonts w:ascii="Calibri" w:eastAsia="Calibri" w:hAnsi="Calibri" w:cs="F"/>
          <w:b/>
          <w:kern w:val="3"/>
          <w:szCs w:val="24"/>
        </w:rPr>
      </w:pPr>
      <w:r>
        <w:rPr>
          <w:b/>
          <w:szCs w:val="24"/>
        </w:rPr>
        <w:br w:type="page"/>
      </w:r>
    </w:p>
    <w:p w14:paraId="722263BA" w14:textId="77777777" w:rsidR="00091AB0" w:rsidRPr="00C45A6C" w:rsidRDefault="00091AB0" w:rsidP="00227730">
      <w:pPr>
        <w:pStyle w:val="Standard"/>
        <w:spacing w:line="480" w:lineRule="auto"/>
        <w:rPr>
          <w:b/>
          <w:sz w:val="24"/>
          <w:szCs w:val="24"/>
        </w:rPr>
      </w:pPr>
      <w:r w:rsidRPr="00C45A6C">
        <w:rPr>
          <w:b/>
          <w:sz w:val="24"/>
          <w:szCs w:val="24"/>
        </w:rPr>
        <w:t>References</w:t>
      </w:r>
    </w:p>
    <w:p w14:paraId="654E793E" w14:textId="033AE9D4" w:rsidR="003C031B" w:rsidRDefault="003C031B" w:rsidP="00227730">
      <w:pPr>
        <w:spacing w:line="480" w:lineRule="auto"/>
        <w:rPr>
          <w:rFonts w:cs="Arial"/>
          <w:color w:val="000000"/>
          <w:szCs w:val="24"/>
        </w:rPr>
      </w:pPr>
    </w:p>
    <w:p w14:paraId="51DEA435" w14:textId="6139D8B1" w:rsidR="003C031B" w:rsidRPr="003C031B" w:rsidRDefault="003C031B" w:rsidP="00227730">
      <w:pPr>
        <w:spacing w:line="480" w:lineRule="auto"/>
        <w:ind w:left="567" w:hanging="567"/>
        <w:rPr>
          <w:rFonts w:cs="Arial"/>
          <w:color w:val="000000"/>
          <w:szCs w:val="24"/>
        </w:rPr>
      </w:pPr>
      <w:r>
        <w:rPr>
          <w:rFonts w:cs="Arial"/>
          <w:color w:val="000000"/>
          <w:szCs w:val="24"/>
        </w:rPr>
        <w:t xml:space="preserve">Bickman, L. and S. Reich. 2009. </w:t>
      </w:r>
      <w:r w:rsidRPr="003C031B">
        <w:t>Randomized controlled trials: a gold standard with feet of clay?</w:t>
      </w:r>
      <w:r>
        <w:t xml:space="preserve">, in S. Donaldson, C. Christie and M. Mark (eds.) </w:t>
      </w:r>
      <w:r>
        <w:rPr>
          <w:i/>
        </w:rPr>
        <w:t>What counts as credible evidence in applied research and evaluation practice</w:t>
      </w:r>
      <w:r>
        <w:t>, Thousand Oaks: Sage.</w:t>
      </w:r>
    </w:p>
    <w:p w14:paraId="666B04BA" w14:textId="5220DD82" w:rsidR="00AD7DE1" w:rsidRDefault="00AD7DE1" w:rsidP="00227730">
      <w:pPr>
        <w:spacing w:line="480" w:lineRule="auto"/>
        <w:ind w:left="567" w:hanging="567"/>
        <w:rPr>
          <w:szCs w:val="24"/>
        </w:rPr>
      </w:pPr>
      <w:r w:rsidRPr="00AD7DE1">
        <w:rPr>
          <w:szCs w:val="24"/>
        </w:rPr>
        <w:t xml:space="preserve">Biesta, G. 2007. Why 'what works' won't work: evidence-based practice and democratic deficit in educational research. </w:t>
      </w:r>
      <w:r w:rsidRPr="00AD7DE1">
        <w:rPr>
          <w:i/>
          <w:szCs w:val="24"/>
        </w:rPr>
        <w:t>Educational Theory</w:t>
      </w:r>
      <w:r w:rsidRPr="00AD7DE1">
        <w:rPr>
          <w:szCs w:val="24"/>
        </w:rPr>
        <w:t xml:space="preserve"> 57 (1): 1-22. </w:t>
      </w:r>
    </w:p>
    <w:p w14:paraId="32A147DC" w14:textId="77777777" w:rsidR="00AD7DE1" w:rsidRDefault="00AD7DE1" w:rsidP="00227730">
      <w:pPr>
        <w:spacing w:line="480" w:lineRule="auto"/>
        <w:ind w:left="567" w:hanging="567"/>
        <w:rPr>
          <w:szCs w:val="24"/>
        </w:rPr>
      </w:pPr>
      <w:r w:rsidRPr="00AD7DE1">
        <w:rPr>
          <w:szCs w:val="24"/>
        </w:rPr>
        <w:t xml:space="preserve">Biesta, G. 2010. Why 'what works' still won't work: from evidence-based education to value-based education. </w:t>
      </w:r>
      <w:r w:rsidRPr="00AD7DE1">
        <w:rPr>
          <w:i/>
          <w:szCs w:val="24"/>
        </w:rPr>
        <w:t xml:space="preserve">Studies in Philosophy and Education </w:t>
      </w:r>
      <w:r w:rsidRPr="00AD7DE1">
        <w:rPr>
          <w:szCs w:val="24"/>
        </w:rPr>
        <w:t>29 (5): 491-503.</w:t>
      </w:r>
    </w:p>
    <w:p w14:paraId="704E9929" w14:textId="77777777" w:rsidR="00091AB0" w:rsidRPr="005B4D05" w:rsidRDefault="00091AB0" w:rsidP="00227730">
      <w:pPr>
        <w:spacing w:line="480" w:lineRule="auto"/>
        <w:ind w:left="567" w:hanging="567"/>
        <w:rPr>
          <w:szCs w:val="24"/>
        </w:rPr>
      </w:pPr>
      <w:r w:rsidRPr="005B4D05">
        <w:rPr>
          <w:szCs w:val="24"/>
        </w:rPr>
        <w:t xml:space="preserve">Bowes, L., R. Moreton, L. Thomas, J. Sheen, G. Birkin and S. Richards. 2016. </w:t>
      </w:r>
      <w:r w:rsidRPr="005B4D05">
        <w:rPr>
          <w:i/>
          <w:szCs w:val="24"/>
        </w:rPr>
        <w:t>Evaluation of the National Scholarship Programme: year 4 report.</w:t>
      </w:r>
      <w:r w:rsidRPr="005B4D05">
        <w:rPr>
          <w:szCs w:val="24"/>
        </w:rPr>
        <w:t xml:space="preserve">  Leicester: CFE Research.</w:t>
      </w:r>
    </w:p>
    <w:p w14:paraId="1256BCB9" w14:textId="77777777" w:rsidR="00091AB0" w:rsidRPr="005B4D05" w:rsidRDefault="00091AB0" w:rsidP="00227730">
      <w:pPr>
        <w:spacing w:line="480" w:lineRule="auto"/>
        <w:ind w:left="567" w:hanging="567"/>
        <w:rPr>
          <w:rFonts w:eastAsia="Tahoma" w:cs="Times New Roman"/>
          <w:szCs w:val="24"/>
        </w:rPr>
      </w:pPr>
      <w:r w:rsidRPr="005B4D05">
        <w:rPr>
          <w:szCs w:val="24"/>
        </w:rPr>
        <w:t xml:space="preserve">Byrne, L. and S. Cushing. 2015. The impact of structured financial support on student retention case study: Buckinghamshire New University. </w:t>
      </w:r>
      <w:r w:rsidRPr="005B4D05">
        <w:rPr>
          <w:i/>
          <w:iCs/>
          <w:szCs w:val="24"/>
        </w:rPr>
        <w:t>Widening Participation and Lifelong Learning</w:t>
      </w:r>
      <w:r w:rsidRPr="005B4D05">
        <w:rPr>
          <w:szCs w:val="24"/>
        </w:rPr>
        <w:t xml:space="preserve"> </w:t>
      </w:r>
      <w:r w:rsidRPr="005B4D05">
        <w:rPr>
          <w:iCs/>
          <w:szCs w:val="24"/>
        </w:rPr>
        <w:t>17</w:t>
      </w:r>
      <w:r w:rsidRPr="005B4D05">
        <w:rPr>
          <w:i/>
          <w:iCs/>
          <w:szCs w:val="24"/>
        </w:rPr>
        <w:t xml:space="preserve"> </w:t>
      </w:r>
      <w:r w:rsidRPr="005B4D05">
        <w:rPr>
          <w:szCs w:val="24"/>
        </w:rPr>
        <w:t>(3): 47-59.</w:t>
      </w:r>
    </w:p>
    <w:p w14:paraId="2492BE61" w14:textId="77777777" w:rsidR="00F74778" w:rsidRPr="005B4D05" w:rsidRDefault="00091AB0" w:rsidP="00227730">
      <w:pPr>
        <w:spacing w:line="480" w:lineRule="auto"/>
        <w:ind w:left="567" w:hanging="567"/>
        <w:rPr>
          <w:szCs w:val="24"/>
        </w:rPr>
      </w:pPr>
      <w:r w:rsidRPr="005B4D05">
        <w:rPr>
          <w:szCs w:val="24"/>
        </w:rPr>
        <w:t xml:space="preserve">Callender, C. 2008. The impact of term‐time employment on higher education students’ academic attainment and achievement. </w:t>
      </w:r>
      <w:r w:rsidRPr="004E4659">
        <w:rPr>
          <w:i/>
          <w:szCs w:val="24"/>
        </w:rPr>
        <w:t>Journal of Education Policy</w:t>
      </w:r>
      <w:r w:rsidRPr="005B4D05">
        <w:rPr>
          <w:szCs w:val="24"/>
        </w:rPr>
        <w:t xml:space="preserve"> 23 (4): 359-377.</w:t>
      </w:r>
    </w:p>
    <w:p w14:paraId="2C9E596B" w14:textId="77777777" w:rsidR="00091AB0" w:rsidRDefault="00091AB0" w:rsidP="00227730">
      <w:pPr>
        <w:spacing w:line="480" w:lineRule="auto"/>
        <w:ind w:left="567" w:hanging="567"/>
        <w:rPr>
          <w:szCs w:val="24"/>
        </w:rPr>
      </w:pPr>
      <w:r w:rsidRPr="005B4D05">
        <w:rPr>
          <w:szCs w:val="24"/>
        </w:rPr>
        <w:t xml:space="preserve">Callender, C. 2010. Bursaries and institutional aid in higher education in England: Do they safeguard and promote fair access? </w:t>
      </w:r>
      <w:r w:rsidRPr="005B4D05">
        <w:rPr>
          <w:i/>
          <w:iCs/>
          <w:szCs w:val="24"/>
        </w:rPr>
        <w:t>Oxford Review of Education</w:t>
      </w:r>
      <w:r w:rsidRPr="005B4D05">
        <w:rPr>
          <w:szCs w:val="24"/>
        </w:rPr>
        <w:t xml:space="preserve"> </w:t>
      </w:r>
      <w:r w:rsidRPr="005B4D05">
        <w:rPr>
          <w:iCs/>
          <w:szCs w:val="24"/>
        </w:rPr>
        <w:t>36</w:t>
      </w:r>
      <w:r w:rsidRPr="005B4D05">
        <w:rPr>
          <w:szCs w:val="24"/>
        </w:rPr>
        <w:t>(1): 45-62.</w:t>
      </w:r>
    </w:p>
    <w:p w14:paraId="14385E6E" w14:textId="77777777" w:rsidR="00091AB0" w:rsidRPr="005B4D05" w:rsidRDefault="00091AB0" w:rsidP="00227730">
      <w:pPr>
        <w:spacing w:line="480" w:lineRule="auto"/>
        <w:ind w:left="567" w:hanging="567"/>
        <w:rPr>
          <w:color w:val="000000"/>
          <w:szCs w:val="24"/>
        </w:rPr>
      </w:pPr>
      <w:r w:rsidRPr="005B4D05">
        <w:rPr>
          <w:szCs w:val="24"/>
        </w:rPr>
        <w:t xml:space="preserve">Callender, C. and D. Wilkinson. 2013. Student perceptions of the impact of bursaries and institutional aid on their higher education choices and the implications for the National Scholarship Programme in England. </w:t>
      </w:r>
      <w:r w:rsidRPr="005B4D05">
        <w:rPr>
          <w:i/>
          <w:iCs/>
          <w:szCs w:val="24"/>
        </w:rPr>
        <w:t>Journal of Social Policy</w:t>
      </w:r>
      <w:r w:rsidRPr="005B4D05">
        <w:rPr>
          <w:szCs w:val="24"/>
        </w:rPr>
        <w:t xml:space="preserve"> </w:t>
      </w:r>
      <w:r w:rsidRPr="005B4D05">
        <w:rPr>
          <w:iCs/>
          <w:szCs w:val="24"/>
        </w:rPr>
        <w:t>42</w:t>
      </w:r>
      <w:r w:rsidRPr="005B4D05">
        <w:rPr>
          <w:i/>
          <w:iCs/>
          <w:szCs w:val="24"/>
        </w:rPr>
        <w:t xml:space="preserve"> </w:t>
      </w:r>
      <w:r w:rsidRPr="005B4D05">
        <w:rPr>
          <w:szCs w:val="24"/>
        </w:rPr>
        <w:t>(2): 281-308.</w:t>
      </w:r>
    </w:p>
    <w:p w14:paraId="518B6E9D" w14:textId="77777777" w:rsidR="00260A04" w:rsidRDefault="00091AB0" w:rsidP="00227730">
      <w:pPr>
        <w:spacing w:line="480" w:lineRule="auto"/>
        <w:ind w:left="567" w:hanging="567"/>
        <w:rPr>
          <w:color w:val="000000"/>
          <w:szCs w:val="24"/>
        </w:rPr>
      </w:pPr>
      <w:r w:rsidRPr="005B4D05">
        <w:rPr>
          <w:color w:val="000000"/>
          <w:szCs w:val="24"/>
        </w:rPr>
        <w:t xml:space="preserve">Callender, C., D. Wilkinson, and R. Hopkin.  2009.  </w:t>
      </w:r>
      <w:r w:rsidRPr="005B4D05">
        <w:rPr>
          <w:i/>
          <w:color w:val="000000"/>
          <w:szCs w:val="24"/>
        </w:rPr>
        <w:t>The impact of institutional financial support in England: higher education students’ awareness, knowledge and take-up of bursaries and scholarships</w:t>
      </w:r>
      <w:r w:rsidRPr="005B4D05">
        <w:rPr>
          <w:color w:val="000000"/>
          <w:szCs w:val="24"/>
        </w:rPr>
        <w:t>.  Bristol: OFFA.</w:t>
      </w:r>
    </w:p>
    <w:p w14:paraId="6D1F4FE7" w14:textId="77777777" w:rsidR="00DC00DD" w:rsidRDefault="00DC00DD" w:rsidP="00227730">
      <w:pPr>
        <w:spacing w:line="480" w:lineRule="auto"/>
        <w:ind w:left="567" w:hanging="567"/>
        <w:rPr>
          <w:color w:val="000000"/>
          <w:szCs w:val="24"/>
        </w:rPr>
      </w:pPr>
      <w:r w:rsidRPr="00DC00DD">
        <w:rPr>
          <w:color w:val="000000"/>
          <w:szCs w:val="24"/>
        </w:rPr>
        <w:t xml:space="preserve">Clegg, S. 2011. Cultural capital and agency: connecting critique and curriculum in higher education. </w:t>
      </w:r>
      <w:r w:rsidRPr="00DC00DD">
        <w:rPr>
          <w:i/>
          <w:color w:val="000000"/>
          <w:szCs w:val="24"/>
        </w:rPr>
        <w:t>British Journal of Sociology of Education</w:t>
      </w:r>
      <w:r w:rsidRPr="00DC00DD">
        <w:rPr>
          <w:color w:val="000000"/>
          <w:szCs w:val="24"/>
        </w:rPr>
        <w:t xml:space="preserve"> 32 (1): 93-108.</w:t>
      </w:r>
    </w:p>
    <w:p w14:paraId="65494D12" w14:textId="77777777" w:rsidR="00D22EFA" w:rsidRPr="00D22EFA" w:rsidRDefault="00D22EFA" w:rsidP="00227730">
      <w:pPr>
        <w:spacing w:line="480" w:lineRule="auto"/>
        <w:ind w:left="567" w:hanging="567"/>
        <w:rPr>
          <w:color w:val="000000"/>
          <w:szCs w:val="24"/>
        </w:rPr>
      </w:pPr>
      <w:r>
        <w:rPr>
          <w:color w:val="000000"/>
          <w:szCs w:val="24"/>
        </w:rPr>
        <w:t xml:space="preserve">Cook, T., M. Scriven, C. Coryn and S. Evergreen. 2010. Contemporary thinking about causation in evaluation: a dialogue with Tom Cook and Michael Scriven. </w:t>
      </w:r>
      <w:r>
        <w:rPr>
          <w:i/>
          <w:color w:val="000000"/>
          <w:szCs w:val="24"/>
        </w:rPr>
        <w:t>American Journal of Evaluation</w:t>
      </w:r>
      <w:r>
        <w:rPr>
          <w:color w:val="000000"/>
          <w:szCs w:val="24"/>
        </w:rPr>
        <w:t xml:space="preserve"> 31 (1): 105-117.</w:t>
      </w:r>
    </w:p>
    <w:p w14:paraId="481EAAFE" w14:textId="77777777" w:rsidR="00260A04" w:rsidRDefault="00260A04" w:rsidP="00227730">
      <w:pPr>
        <w:spacing w:line="480" w:lineRule="auto"/>
        <w:ind w:left="567" w:hanging="567"/>
        <w:rPr>
          <w:rFonts w:cs="Arial"/>
          <w:color w:val="000000" w:themeColor="text1"/>
        </w:rPr>
      </w:pPr>
      <w:r>
        <w:rPr>
          <w:rFonts w:cs="Arial"/>
          <w:color w:val="000000" w:themeColor="text1"/>
        </w:rPr>
        <w:t>Coles, J. 2012.</w:t>
      </w:r>
      <w:r w:rsidRPr="00FB51A2">
        <w:rPr>
          <w:rFonts w:cs="Arial"/>
          <w:color w:val="000000" w:themeColor="text1"/>
        </w:rPr>
        <w:t xml:space="preserve"> Keynote address to </w:t>
      </w:r>
      <w:r w:rsidRPr="0055041A">
        <w:rPr>
          <w:rFonts w:cs="Arial"/>
          <w:i/>
          <w:color w:val="000000" w:themeColor="text1"/>
        </w:rPr>
        <w:t>British Educational Research Association Annual Conference</w:t>
      </w:r>
      <w:r w:rsidRPr="00FB51A2">
        <w:rPr>
          <w:rFonts w:cs="Arial"/>
          <w:color w:val="000000" w:themeColor="text1"/>
        </w:rPr>
        <w:t>, Manchester</w:t>
      </w:r>
      <w:r>
        <w:rPr>
          <w:rFonts w:cs="Arial"/>
          <w:color w:val="000000" w:themeColor="text1"/>
        </w:rPr>
        <w:t>,</w:t>
      </w:r>
      <w:r w:rsidRPr="00FB51A2">
        <w:rPr>
          <w:rFonts w:cs="Arial"/>
          <w:color w:val="000000" w:themeColor="text1"/>
        </w:rPr>
        <w:t xml:space="preserve"> 6</w:t>
      </w:r>
      <w:r w:rsidR="00326B17" w:rsidRPr="00326B17">
        <w:rPr>
          <w:rFonts w:cs="Arial"/>
          <w:color w:val="000000" w:themeColor="text1"/>
          <w:vertAlign w:val="superscript"/>
        </w:rPr>
        <w:t>th</w:t>
      </w:r>
      <w:r>
        <w:rPr>
          <w:rFonts w:cs="Arial"/>
          <w:color w:val="000000" w:themeColor="text1"/>
        </w:rPr>
        <w:t xml:space="preserve"> September</w:t>
      </w:r>
      <w:r w:rsidRPr="00FB51A2">
        <w:rPr>
          <w:rFonts w:cs="Arial"/>
          <w:color w:val="000000" w:themeColor="text1"/>
        </w:rPr>
        <w:t>.</w:t>
      </w:r>
    </w:p>
    <w:p w14:paraId="5B92AAFD" w14:textId="77777777" w:rsidR="00260A04" w:rsidRPr="00260A04" w:rsidRDefault="00260A04" w:rsidP="00227730">
      <w:pPr>
        <w:spacing w:line="480" w:lineRule="auto"/>
        <w:ind w:left="567" w:hanging="567"/>
        <w:rPr>
          <w:color w:val="000000"/>
          <w:szCs w:val="24"/>
        </w:rPr>
      </w:pPr>
      <w:r>
        <w:rPr>
          <w:rFonts w:cs="Arial"/>
          <w:color w:val="000000" w:themeColor="text1"/>
        </w:rPr>
        <w:t xml:space="preserve">Connolly, P. </w:t>
      </w:r>
      <w:r w:rsidR="00326B17">
        <w:rPr>
          <w:rFonts w:cs="Arial"/>
          <w:color w:val="000000" w:themeColor="text1"/>
        </w:rPr>
        <w:t xml:space="preserve">2015. </w:t>
      </w:r>
      <w:r w:rsidR="00326B17">
        <w:rPr>
          <w:rStyle w:val="Strong"/>
          <w:b w:val="0"/>
        </w:rPr>
        <w:t>The trials of e</w:t>
      </w:r>
      <w:r w:rsidR="00326B17" w:rsidRPr="00326B17">
        <w:rPr>
          <w:rStyle w:val="Strong"/>
          <w:b w:val="0"/>
        </w:rPr>
        <w:t>vidence-</w:t>
      </w:r>
      <w:r w:rsidR="00326B17">
        <w:rPr>
          <w:rStyle w:val="Strong"/>
          <w:b w:val="0"/>
        </w:rPr>
        <w:t>based practice in e</w:t>
      </w:r>
      <w:r w:rsidR="00326B17" w:rsidRPr="00326B17">
        <w:rPr>
          <w:rStyle w:val="Strong"/>
          <w:b w:val="0"/>
        </w:rPr>
        <w:t>ducation</w:t>
      </w:r>
      <w:r w:rsidR="00326B17">
        <w:rPr>
          <w:rStyle w:val="Strong"/>
          <w:b w:val="0"/>
        </w:rPr>
        <w:t xml:space="preserve">, keynote address to </w:t>
      </w:r>
      <w:r w:rsidR="00326B17" w:rsidRPr="0055041A">
        <w:rPr>
          <w:rFonts w:cs="Arial"/>
          <w:i/>
          <w:color w:val="000000" w:themeColor="text1"/>
        </w:rPr>
        <w:t>British Educational Research Association Annual Conference</w:t>
      </w:r>
      <w:r w:rsidR="00326B17" w:rsidRPr="00FB51A2">
        <w:rPr>
          <w:rFonts w:cs="Arial"/>
          <w:color w:val="000000" w:themeColor="text1"/>
        </w:rPr>
        <w:t>,</w:t>
      </w:r>
      <w:r w:rsidR="00326B17">
        <w:rPr>
          <w:rFonts w:cs="Arial"/>
          <w:color w:val="000000" w:themeColor="text1"/>
        </w:rPr>
        <w:t xml:space="preserve"> Belfast, 16</w:t>
      </w:r>
      <w:r w:rsidR="00326B17" w:rsidRPr="00326B17">
        <w:rPr>
          <w:rFonts w:cs="Arial"/>
          <w:color w:val="000000" w:themeColor="text1"/>
          <w:vertAlign w:val="superscript"/>
        </w:rPr>
        <w:t>th</w:t>
      </w:r>
      <w:r w:rsidR="00326B17">
        <w:rPr>
          <w:rFonts w:cs="Arial"/>
          <w:color w:val="000000" w:themeColor="text1"/>
        </w:rPr>
        <w:t xml:space="preserve"> September.</w:t>
      </w:r>
    </w:p>
    <w:p w14:paraId="24B68826" w14:textId="03FF8E5E" w:rsidR="00091AB0" w:rsidRDefault="00091AB0" w:rsidP="00227730">
      <w:pPr>
        <w:spacing w:line="480" w:lineRule="auto"/>
        <w:ind w:left="567" w:hanging="567"/>
        <w:rPr>
          <w:szCs w:val="24"/>
        </w:rPr>
      </w:pPr>
      <w:r>
        <w:rPr>
          <w:szCs w:val="24"/>
        </w:rPr>
        <w:t>Crockford, J., R. Hordó</w:t>
      </w:r>
      <w:r w:rsidRPr="005B4D05">
        <w:rPr>
          <w:szCs w:val="24"/>
        </w:rPr>
        <w:t xml:space="preserve">sy and K. Simms. 2015. 'I really needed a job, like, for money and stuff': Student finance, part-time work and the student experience at a northern red-brick university. </w:t>
      </w:r>
      <w:r w:rsidRPr="00474491">
        <w:rPr>
          <w:i/>
          <w:szCs w:val="24"/>
        </w:rPr>
        <w:t>Widening Participation and Lifelong Learning</w:t>
      </w:r>
      <w:r w:rsidRPr="005B4D05">
        <w:rPr>
          <w:szCs w:val="24"/>
        </w:rPr>
        <w:t xml:space="preserve"> 17 (3): 89-109.</w:t>
      </w:r>
    </w:p>
    <w:p w14:paraId="07095B72" w14:textId="2CA8FA9A" w:rsidR="00996522" w:rsidRDefault="00996522" w:rsidP="00227730">
      <w:pPr>
        <w:spacing w:line="480" w:lineRule="auto"/>
        <w:ind w:left="567" w:hanging="567"/>
        <w:rPr>
          <w:rFonts w:cs="AdvP8585"/>
          <w:szCs w:val="24"/>
          <w:lang w:eastAsia="en-GB"/>
        </w:rPr>
      </w:pPr>
      <w:r>
        <w:t xml:space="preserve">Croxford, L. and Raffe, D. 2015. The iron law of hierarchy? Institutional differentiation in UK higher education. </w:t>
      </w:r>
      <w:r>
        <w:rPr>
          <w:i/>
          <w:iCs/>
        </w:rPr>
        <w:t>Studies in Higher Education</w:t>
      </w:r>
      <w:r>
        <w:t xml:space="preserve"> </w:t>
      </w:r>
      <w:r w:rsidRPr="00996522">
        <w:rPr>
          <w:iCs/>
        </w:rPr>
        <w:t xml:space="preserve">40 </w:t>
      </w:r>
      <w:r>
        <w:t>(9): 1625-1640.</w:t>
      </w:r>
      <w:r w:rsidRPr="005B4D05">
        <w:rPr>
          <w:rFonts w:cs="AdvP8585"/>
          <w:szCs w:val="24"/>
          <w:lang w:eastAsia="en-GB"/>
        </w:rPr>
        <w:t xml:space="preserve"> </w:t>
      </w:r>
    </w:p>
    <w:p w14:paraId="0991E449" w14:textId="19E526AC" w:rsidR="00091AB0" w:rsidRPr="005B4D05" w:rsidRDefault="00091AB0" w:rsidP="00227730">
      <w:pPr>
        <w:spacing w:line="480" w:lineRule="auto"/>
        <w:ind w:left="567" w:hanging="567"/>
        <w:rPr>
          <w:rFonts w:cs="AdvP8585"/>
          <w:szCs w:val="24"/>
          <w:lang w:eastAsia="en-GB"/>
        </w:rPr>
      </w:pPr>
      <w:r w:rsidRPr="005B4D05">
        <w:rPr>
          <w:rFonts w:cs="AdvP8585"/>
          <w:szCs w:val="24"/>
          <w:lang w:eastAsia="en-GB"/>
        </w:rPr>
        <w:t xml:space="preserve">Davies, P., K. Slack, A. Hughes, J. Mangan and K. Vigurs.  2008.  </w:t>
      </w:r>
      <w:r w:rsidRPr="005B4D05">
        <w:rPr>
          <w:rFonts w:cs="AdvP8585"/>
          <w:i/>
          <w:szCs w:val="24"/>
          <w:lang w:eastAsia="en-GB"/>
        </w:rPr>
        <w:t>Knowing where to study: fees, bursaries and fair access</w:t>
      </w:r>
      <w:r w:rsidRPr="005B4D05">
        <w:rPr>
          <w:rFonts w:cs="AdvP8585"/>
          <w:szCs w:val="24"/>
          <w:lang w:eastAsia="en-GB"/>
        </w:rPr>
        <w:t>.  Stoke-on-Trent: Institute for Educational Policy Research and Institute for Access Studies.</w:t>
      </w:r>
    </w:p>
    <w:p w14:paraId="3CEF8D20" w14:textId="77777777" w:rsidR="00091AB0" w:rsidRDefault="00091AB0" w:rsidP="00227730">
      <w:pPr>
        <w:spacing w:line="480" w:lineRule="auto"/>
        <w:ind w:left="567" w:hanging="567"/>
        <w:rPr>
          <w:szCs w:val="24"/>
        </w:rPr>
      </w:pPr>
      <w:r w:rsidRPr="005B4D05">
        <w:rPr>
          <w:szCs w:val="24"/>
        </w:rPr>
        <w:t xml:space="preserve">Denny, K., O. Doyle, P. McMullin and V. O’Sullivan. 2014. Money, mentoring and making friends: the impact of a multidimensional access program on student performance. </w:t>
      </w:r>
      <w:r w:rsidRPr="005B4D05">
        <w:rPr>
          <w:i/>
          <w:szCs w:val="24"/>
        </w:rPr>
        <w:t>Economics of Education Review</w:t>
      </w:r>
      <w:r w:rsidRPr="005B4D05">
        <w:rPr>
          <w:szCs w:val="24"/>
        </w:rPr>
        <w:t xml:space="preserve"> 40: 167-182.</w:t>
      </w:r>
    </w:p>
    <w:p w14:paraId="4D05DED7" w14:textId="77777777" w:rsidR="000A6E86" w:rsidRDefault="000A6E86" w:rsidP="00227730">
      <w:pPr>
        <w:spacing w:line="480" w:lineRule="auto"/>
        <w:ind w:left="567" w:hanging="567"/>
        <w:rPr>
          <w:szCs w:val="24"/>
        </w:rPr>
      </w:pPr>
      <w:r>
        <w:rPr>
          <w:szCs w:val="24"/>
        </w:rPr>
        <w:t xml:space="preserve">Department for Business, Innovation and Skills [BIS]. 2014. </w:t>
      </w:r>
      <w:r>
        <w:rPr>
          <w:i/>
          <w:szCs w:val="24"/>
        </w:rPr>
        <w:t>National strategy for access and student success in higher education</w:t>
      </w:r>
      <w:r>
        <w:rPr>
          <w:szCs w:val="24"/>
        </w:rPr>
        <w:t>. London: BIS.</w:t>
      </w:r>
    </w:p>
    <w:p w14:paraId="7542AC41" w14:textId="77777777" w:rsidR="00DE4542" w:rsidRPr="00DE4542" w:rsidRDefault="00DE4542" w:rsidP="00227730">
      <w:pPr>
        <w:spacing w:line="480" w:lineRule="auto"/>
        <w:ind w:left="426" w:hanging="426"/>
        <w:rPr>
          <w:color w:val="000000"/>
          <w:szCs w:val="24"/>
        </w:rPr>
      </w:pPr>
      <w:r w:rsidRPr="00907F52">
        <w:rPr>
          <w:color w:val="000000"/>
          <w:szCs w:val="24"/>
        </w:rPr>
        <w:t xml:space="preserve">Department for Business, Innovation and Skills [BIS]. 2015.  </w:t>
      </w:r>
      <w:r w:rsidRPr="00907F52">
        <w:rPr>
          <w:i/>
          <w:color w:val="000000"/>
          <w:szCs w:val="24"/>
        </w:rPr>
        <w:t>The proportion of 15 year olds from low income backgrounds in English maintained schools progressing to HE by the age of 19</w:t>
      </w:r>
      <w:r>
        <w:rPr>
          <w:i/>
          <w:color w:val="000000"/>
          <w:szCs w:val="24"/>
        </w:rPr>
        <w:t>: October 2015</w:t>
      </w:r>
      <w:r w:rsidRPr="00907F52">
        <w:rPr>
          <w:i/>
          <w:color w:val="000000"/>
          <w:szCs w:val="24"/>
        </w:rPr>
        <w:t>.</w:t>
      </w:r>
      <w:r w:rsidRPr="00907F52">
        <w:rPr>
          <w:color w:val="000000"/>
          <w:szCs w:val="24"/>
        </w:rPr>
        <w:t xml:space="preserve">  London: BIS.</w:t>
      </w:r>
    </w:p>
    <w:p w14:paraId="19D724C3" w14:textId="3114AB68" w:rsidR="00091AB0" w:rsidRDefault="00091AB0" w:rsidP="00227730">
      <w:pPr>
        <w:spacing w:line="480" w:lineRule="auto"/>
        <w:ind w:left="567" w:hanging="567"/>
        <w:rPr>
          <w:rFonts w:cs="Arial"/>
          <w:color w:val="000000"/>
          <w:szCs w:val="24"/>
        </w:rPr>
      </w:pPr>
      <w:r w:rsidRPr="005B4D05">
        <w:rPr>
          <w:rFonts w:cs="TimesNewRomanPS"/>
          <w:color w:val="000000"/>
          <w:szCs w:val="24"/>
          <w:lang w:eastAsia="en-GB"/>
        </w:rPr>
        <w:t xml:space="preserve">Department for Education and Skills [DfES].  </w:t>
      </w:r>
      <w:r w:rsidRPr="005B4D05">
        <w:rPr>
          <w:rFonts w:cs="Arial"/>
          <w:color w:val="000000"/>
          <w:szCs w:val="24"/>
        </w:rPr>
        <w:t xml:space="preserve">2003.  </w:t>
      </w:r>
      <w:r w:rsidRPr="005B4D05">
        <w:rPr>
          <w:rFonts w:cs="Arial"/>
          <w:i/>
          <w:color w:val="000000"/>
          <w:szCs w:val="24"/>
        </w:rPr>
        <w:t>Widening participation in higher education</w:t>
      </w:r>
      <w:r w:rsidRPr="005B4D05">
        <w:rPr>
          <w:rFonts w:cs="Arial"/>
          <w:color w:val="000000"/>
          <w:szCs w:val="24"/>
        </w:rPr>
        <w:t xml:space="preserve">, London: </w:t>
      </w:r>
      <w:r w:rsidR="000A6E86">
        <w:rPr>
          <w:rFonts w:cs="Arial"/>
          <w:color w:val="000000"/>
          <w:szCs w:val="24"/>
        </w:rPr>
        <w:t>DfES</w:t>
      </w:r>
      <w:r w:rsidRPr="005B4D05">
        <w:rPr>
          <w:rFonts w:cs="Arial"/>
          <w:color w:val="000000"/>
          <w:szCs w:val="24"/>
        </w:rPr>
        <w:t>.</w:t>
      </w:r>
    </w:p>
    <w:p w14:paraId="0100741A" w14:textId="1BAB0F90" w:rsidR="00E061B2" w:rsidRPr="00E061B2" w:rsidRDefault="00E061B2" w:rsidP="00227730">
      <w:pPr>
        <w:spacing w:line="480" w:lineRule="auto"/>
        <w:ind w:left="567" w:hanging="567"/>
        <w:rPr>
          <w:rFonts w:cs="Arial"/>
          <w:color w:val="000000"/>
          <w:szCs w:val="24"/>
        </w:rPr>
      </w:pPr>
      <w:r>
        <w:rPr>
          <w:rFonts w:cs="Arial"/>
          <w:color w:val="000000"/>
          <w:szCs w:val="24"/>
        </w:rPr>
        <w:t xml:space="preserve">Dynarski, S. and J. Scott-Clayton. 2013. </w:t>
      </w:r>
      <w:r>
        <w:rPr>
          <w:rFonts w:cs="Arial"/>
          <w:i/>
          <w:color w:val="000000"/>
          <w:szCs w:val="24"/>
        </w:rPr>
        <w:t>Financial aid policy: lessons from research</w:t>
      </w:r>
      <w:r>
        <w:rPr>
          <w:rFonts w:cs="Arial"/>
          <w:color w:val="000000"/>
          <w:szCs w:val="24"/>
        </w:rPr>
        <w:t>. Cambridge: National Bureau of Economic Research.</w:t>
      </w:r>
    </w:p>
    <w:p w14:paraId="322AC370" w14:textId="77777777" w:rsidR="00DE72C0" w:rsidRDefault="00DE72C0" w:rsidP="00227730">
      <w:pPr>
        <w:spacing w:line="480" w:lineRule="auto"/>
        <w:ind w:left="567" w:hanging="567"/>
        <w:rPr>
          <w:rFonts w:eastAsia="Tahoma" w:cs="Times New Roman"/>
          <w:szCs w:val="24"/>
        </w:rPr>
      </w:pPr>
      <w:r>
        <w:rPr>
          <w:rFonts w:eastAsia="Tahoma" w:cs="Times New Roman"/>
          <w:szCs w:val="24"/>
        </w:rPr>
        <w:t xml:space="preserve">Goldacre, B. 2013. </w:t>
      </w:r>
      <w:r>
        <w:rPr>
          <w:rFonts w:eastAsia="Tahoma" w:cs="Times New Roman"/>
          <w:i/>
          <w:szCs w:val="24"/>
        </w:rPr>
        <w:t>Building evidence into education</w:t>
      </w:r>
      <w:r>
        <w:rPr>
          <w:rFonts w:eastAsia="Tahoma" w:cs="Times New Roman"/>
          <w:szCs w:val="24"/>
        </w:rPr>
        <w:t xml:space="preserve">.  Available online at </w:t>
      </w:r>
      <w:r w:rsidRPr="00DE72C0">
        <w:rPr>
          <w:rFonts w:eastAsia="Tahoma" w:cs="Times New Roman"/>
          <w:szCs w:val="24"/>
        </w:rPr>
        <w:t>http://dera.ioe.ac.uk/17530/7/ben%20goldacre%20paper_Redacted.pdf</w:t>
      </w:r>
      <w:r>
        <w:rPr>
          <w:rFonts w:eastAsia="Tahoma" w:cs="Times New Roman"/>
          <w:szCs w:val="24"/>
        </w:rPr>
        <w:t>.</w:t>
      </w:r>
    </w:p>
    <w:p w14:paraId="2D986FA3" w14:textId="3063C10D" w:rsidR="00DE72C0" w:rsidRDefault="00DE72C0" w:rsidP="00227730">
      <w:pPr>
        <w:spacing w:line="480" w:lineRule="auto"/>
        <w:ind w:left="567" w:hanging="567"/>
        <w:rPr>
          <w:rFonts w:eastAsia="Tahoma" w:cs="Times New Roman"/>
          <w:szCs w:val="24"/>
        </w:rPr>
      </w:pPr>
      <w:r>
        <w:rPr>
          <w:rFonts w:eastAsia="Tahoma" w:cs="Times New Roman"/>
          <w:szCs w:val="24"/>
        </w:rPr>
        <w:t xml:space="preserve">Gorard, S. 2004. </w:t>
      </w:r>
      <w:r w:rsidRPr="00DE72C0">
        <w:rPr>
          <w:rFonts w:eastAsia="Tahoma" w:cs="Times New Roman"/>
          <w:szCs w:val="24"/>
        </w:rPr>
        <w:t>The British Educational Research Association and the future of educational research</w:t>
      </w:r>
      <w:r>
        <w:rPr>
          <w:rFonts w:eastAsia="Tahoma" w:cs="Times New Roman"/>
          <w:szCs w:val="24"/>
        </w:rPr>
        <w:t xml:space="preserve">. </w:t>
      </w:r>
      <w:r>
        <w:rPr>
          <w:rFonts w:eastAsia="Tahoma" w:cs="Times New Roman"/>
          <w:i/>
          <w:szCs w:val="24"/>
        </w:rPr>
        <w:t>Educational Studies</w:t>
      </w:r>
      <w:r>
        <w:rPr>
          <w:rFonts w:eastAsia="Tahoma" w:cs="Times New Roman"/>
          <w:szCs w:val="24"/>
        </w:rPr>
        <w:t xml:space="preserve"> 30 (1): 65-76.</w:t>
      </w:r>
    </w:p>
    <w:p w14:paraId="7DF1E417" w14:textId="0C0486A3" w:rsidR="003D1C20" w:rsidRPr="009D7D73" w:rsidRDefault="003D1C20" w:rsidP="00227730">
      <w:pPr>
        <w:spacing w:line="480" w:lineRule="auto"/>
        <w:ind w:left="567" w:hanging="567"/>
        <w:rPr>
          <w:rFonts w:eastAsia="Tahoma" w:cs="Times New Roman"/>
          <w:szCs w:val="24"/>
        </w:rPr>
      </w:pPr>
      <w:r>
        <w:rPr>
          <w:rFonts w:eastAsia="Tahoma" w:cs="Times New Roman"/>
          <w:szCs w:val="24"/>
        </w:rPr>
        <w:t xml:space="preserve">Gorard, S. 2013. </w:t>
      </w:r>
      <w:r w:rsidR="009D7D73">
        <w:rPr>
          <w:rFonts w:eastAsia="Tahoma" w:cs="Times New Roman"/>
          <w:i/>
          <w:szCs w:val="24"/>
        </w:rPr>
        <w:t>Creating robust approaches for the social sciences</w:t>
      </w:r>
      <w:r w:rsidR="009D7D73">
        <w:rPr>
          <w:rFonts w:eastAsia="Tahoma" w:cs="Times New Roman"/>
          <w:szCs w:val="24"/>
        </w:rPr>
        <w:t>. London: Sage.</w:t>
      </w:r>
    </w:p>
    <w:p w14:paraId="4BFF92C9" w14:textId="77777777" w:rsidR="00514A37" w:rsidRPr="00514A37" w:rsidRDefault="00514A37" w:rsidP="00227730">
      <w:pPr>
        <w:spacing w:line="480" w:lineRule="auto"/>
        <w:ind w:left="567" w:hanging="567"/>
        <w:rPr>
          <w:rFonts w:eastAsia="Tahoma" w:cs="Times New Roman"/>
          <w:szCs w:val="24"/>
        </w:rPr>
      </w:pPr>
      <w:r>
        <w:rPr>
          <w:rFonts w:eastAsia="Tahoma" w:cs="Times New Roman"/>
          <w:szCs w:val="24"/>
        </w:rPr>
        <w:t xml:space="preserve">Gorard, S. and B.H. See. 2013. </w:t>
      </w:r>
      <w:r w:rsidR="00777A59">
        <w:rPr>
          <w:rFonts w:eastAsia="Tahoma" w:cs="Times New Roman"/>
          <w:i/>
          <w:szCs w:val="24"/>
        </w:rPr>
        <w:t>Overcoming disadvantage</w:t>
      </w:r>
      <w:r>
        <w:rPr>
          <w:rFonts w:eastAsia="Tahoma" w:cs="Times New Roman"/>
          <w:i/>
          <w:szCs w:val="24"/>
        </w:rPr>
        <w:t xml:space="preserve"> in education</w:t>
      </w:r>
      <w:r>
        <w:rPr>
          <w:rFonts w:eastAsia="Tahoma" w:cs="Times New Roman"/>
          <w:szCs w:val="24"/>
        </w:rPr>
        <w:t>. Abingdon: Routledge.</w:t>
      </w:r>
    </w:p>
    <w:p w14:paraId="26AF094E" w14:textId="044CA52E" w:rsidR="00D40FA3" w:rsidRDefault="00D40FA3" w:rsidP="00227730">
      <w:pPr>
        <w:spacing w:line="480" w:lineRule="auto"/>
        <w:ind w:left="567" w:hanging="567"/>
      </w:pPr>
      <w:r>
        <w:t>Gorard,</w:t>
      </w:r>
      <w:r w:rsidR="00514A37">
        <w:t xml:space="preserve"> S., N. Siddiqui and B.H. See.</w:t>
      </w:r>
      <w:r>
        <w:t xml:space="preserve"> 2015. An evaluation of the ‘Switch-on Reading’ literacy catch-up programme. </w:t>
      </w:r>
      <w:r w:rsidRPr="00D40FA3">
        <w:rPr>
          <w:i/>
        </w:rPr>
        <w:t>Briti</w:t>
      </w:r>
      <w:r>
        <w:rPr>
          <w:i/>
        </w:rPr>
        <w:t xml:space="preserve">sh Educational Research Journal </w:t>
      </w:r>
      <w:r>
        <w:t>41 (4): 596–612.</w:t>
      </w:r>
    </w:p>
    <w:p w14:paraId="0B697C01" w14:textId="01DFF956" w:rsidR="00D639C8" w:rsidRPr="00D639C8" w:rsidRDefault="00D639C8" w:rsidP="00227730">
      <w:pPr>
        <w:spacing w:line="480" w:lineRule="auto"/>
        <w:ind w:left="567" w:hanging="567"/>
        <w:rPr>
          <w:rFonts w:eastAsia="Times New Roman" w:cs="Times New Roman"/>
          <w:szCs w:val="24"/>
          <w:lang w:eastAsia="en-GB"/>
        </w:rPr>
      </w:pPr>
      <w:r>
        <w:t xml:space="preserve">Hammersley, M. 2013. </w:t>
      </w:r>
      <w:r>
        <w:rPr>
          <w:i/>
        </w:rPr>
        <w:t>The myth of research-based policy and practice</w:t>
      </w:r>
      <w:r>
        <w:t>. London: Sage.</w:t>
      </w:r>
    </w:p>
    <w:p w14:paraId="49515C88" w14:textId="21F3DBA3" w:rsidR="00996522" w:rsidRPr="005B4D05" w:rsidRDefault="00996522" w:rsidP="00227730">
      <w:pPr>
        <w:spacing w:line="480" w:lineRule="auto"/>
        <w:ind w:left="567" w:hanging="567"/>
        <w:rPr>
          <w:szCs w:val="24"/>
        </w:rPr>
      </w:pPr>
      <w:r>
        <w:t xml:space="preserve">Harrison, N. 2011. Have the changes introduced by the 2004 Higher Education Act made higher education admissions in England wider and fairer? </w:t>
      </w:r>
      <w:r>
        <w:rPr>
          <w:i/>
          <w:iCs/>
        </w:rPr>
        <w:t>Journal of Education Policy</w:t>
      </w:r>
      <w:r>
        <w:t xml:space="preserve"> </w:t>
      </w:r>
      <w:r w:rsidRPr="00996522">
        <w:rPr>
          <w:iCs/>
        </w:rPr>
        <w:t>26</w:t>
      </w:r>
      <w:r>
        <w:t xml:space="preserve"> (3): 449-468.</w:t>
      </w:r>
    </w:p>
    <w:p w14:paraId="18CB1B56" w14:textId="77777777" w:rsidR="00091AB0" w:rsidRPr="005B4D05" w:rsidRDefault="00091AB0" w:rsidP="00227730">
      <w:pPr>
        <w:spacing w:line="480" w:lineRule="auto"/>
        <w:ind w:left="567" w:hanging="567"/>
        <w:rPr>
          <w:szCs w:val="24"/>
        </w:rPr>
      </w:pPr>
      <w:r w:rsidRPr="005B4D05">
        <w:rPr>
          <w:szCs w:val="24"/>
        </w:rPr>
        <w:t xml:space="preserve">Harrison, N., A. Baxter and S. Hatt. 2007. From opportunity to OFFA: discretionary bursaries and their impact on student finance, academic success and institutional attachment. </w:t>
      </w:r>
      <w:r w:rsidRPr="005B4D05">
        <w:rPr>
          <w:i/>
          <w:szCs w:val="24"/>
        </w:rPr>
        <w:t>Journal of Access Policy &amp; Practice</w:t>
      </w:r>
      <w:r w:rsidRPr="005B4D05">
        <w:rPr>
          <w:szCs w:val="24"/>
        </w:rPr>
        <w:t xml:space="preserve"> 5: 3-21.</w:t>
      </w:r>
    </w:p>
    <w:p w14:paraId="42E4820A" w14:textId="04F77F1B" w:rsidR="00897055" w:rsidRDefault="00091AB0" w:rsidP="00227730">
      <w:pPr>
        <w:pStyle w:val="Default"/>
        <w:spacing w:line="480" w:lineRule="auto"/>
        <w:ind w:left="567" w:hanging="567"/>
        <w:rPr>
          <w:rFonts w:ascii="Calibri" w:hAnsi="Calibri"/>
        </w:rPr>
      </w:pPr>
      <w:r w:rsidRPr="005B4D05">
        <w:rPr>
          <w:rFonts w:ascii="Calibri" w:hAnsi="Calibri"/>
          <w:bCs/>
        </w:rPr>
        <w:t xml:space="preserve">Harrison, N. and S. Hatt. 2012. </w:t>
      </w:r>
      <w:r w:rsidRPr="005B4D05">
        <w:rPr>
          <w:rFonts w:ascii="Calibri" w:hAnsi="Calibri"/>
        </w:rPr>
        <w:t xml:space="preserve">Expensive and failing? The role of student bursaries in widening participation and fair access in England. </w:t>
      </w:r>
      <w:r w:rsidRPr="005B4D05">
        <w:rPr>
          <w:rFonts w:ascii="Calibri" w:hAnsi="Calibri"/>
          <w:i/>
        </w:rPr>
        <w:t xml:space="preserve">Studies in Higher Education </w:t>
      </w:r>
      <w:r w:rsidRPr="005B4D05">
        <w:rPr>
          <w:rFonts w:ascii="Calibri" w:hAnsi="Calibri"/>
        </w:rPr>
        <w:t>37: 695-712.</w:t>
      </w:r>
    </w:p>
    <w:p w14:paraId="25D3DC84" w14:textId="1BF2C535" w:rsidR="00996522" w:rsidRPr="00996522" w:rsidRDefault="00996522" w:rsidP="00996522">
      <w:pPr>
        <w:pStyle w:val="Default"/>
        <w:spacing w:line="480" w:lineRule="auto"/>
        <w:ind w:left="567" w:hanging="567"/>
        <w:rPr>
          <w:rFonts w:asciiTheme="minorHAnsi" w:hAnsiTheme="minorHAnsi" w:cstheme="minorHAnsi"/>
        </w:rPr>
      </w:pPr>
      <w:r>
        <w:rPr>
          <w:rFonts w:asciiTheme="minorHAnsi" w:hAnsiTheme="minorHAnsi" w:cstheme="minorHAnsi"/>
        </w:rPr>
        <w:t>Harrison, N. and McCaig, C.</w:t>
      </w:r>
      <w:r w:rsidRPr="00996522">
        <w:rPr>
          <w:rFonts w:asciiTheme="minorHAnsi" w:hAnsiTheme="minorHAnsi" w:cstheme="minorHAnsi"/>
        </w:rPr>
        <w:t xml:space="preserve"> 2015. An ecological fallacy in higher education policy: the use, overuse and misuse of ‘low participation neighbourhoods’. </w:t>
      </w:r>
      <w:r w:rsidRPr="00996522">
        <w:rPr>
          <w:rFonts w:asciiTheme="minorHAnsi" w:hAnsiTheme="minorHAnsi" w:cstheme="minorHAnsi"/>
          <w:i/>
          <w:iCs/>
        </w:rPr>
        <w:t>Journal of Further and Higher Education</w:t>
      </w:r>
      <w:r w:rsidRPr="00996522">
        <w:rPr>
          <w:rFonts w:asciiTheme="minorHAnsi" w:hAnsiTheme="minorHAnsi" w:cstheme="minorHAnsi"/>
        </w:rPr>
        <w:t xml:space="preserve"> </w:t>
      </w:r>
      <w:r w:rsidRPr="00996522">
        <w:rPr>
          <w:rFonts w:asciiTheme="minorHAnsi" w:hAnsiTheme="minorHAnsi" w:cstheme="minorHAnsi"/>
          <w:i/>
          <w:iCs/>
        </w:rPr>
        <w:t>39</w:t>
      </w:r>
      <w:r w:rsidRPr="00996522">
        <w:rPr>
          <w:rFonts w:asciiTheme="minorHAnsi" w:hAnsiTheme="minorHAnsi" w:cstheme="minorHAnsi"/>
        </w:rPr>
        <w:t>(6)</w:t>
      </w:r>
      <w:r>
        <w:rPr>
          <w:rFonts w:asciiTheme="minorHAnsi" w:hAnsiTheme="minorHAnsi" w:cstheme="minorHAnsi"/>
        </w:rPr>
        <w:t xml:space="preserve">: </w:t>
      </w:r>
      <w:r w:rsidRPr="00996522">
        <w:rPr>
          <w:rFonts w:asciiTheme="minorHAnsi" w:hAnsiTheme="minorHAnsi" w:cstheme="minorHAnsi"/>
        </w:rPr>
        <w:t>793-817.</w:t>
      </w:r>
    </w:p>
    <w:p w14:paraId="697164D6" w14:textId="77777777" w:rsidR="00897055" w:rsidRDefault="00897055" w:rsidP="00227730">
      <w:pPr>
        <w:pStyle w:val="Default"/>
        <w:spacing w:line="480" w:lineRule="auto"/>
        <w:ind w:left="567" w:hanging="567"/>
        <w:rPr>
          <w:rFonts w:asciiTheme="minorHAnsi" w:hAnsiTheme="minorHAnsi"/>
          <w:color w:val="000000" w:themeColor="text1"/>
        </w:rPr>
      </w:pPr>
      <w:r w:rsidRPr="00897055">
        <w:rPr>
          <w:rFonts w:asciiTheme="minorHAnsi" w:hAnsiTheme="minorHAnsi"/>
          <w:color w:val="000000" w:themeColor="text1"/>
        </w:rPr>
        <w:t xml:space="preserve">Higher Education Funding Council for England [HEFCE]. 2007. </w:t>
      </w:r>
      <w:r w:rsidRPr="00897055">
        <w:rPr>
          <w:rFonts w:asciiTheme="minorHAnsi" w:hAnsiTheme="minorHAnsi"/>
          <w:i/>
          <w:iCs/>
          <w:color w:val="000000" w:themeColor="text1"/>
        </w:rPr>
        <w:t>Higher education outreach: targeting disadvantaged learners</w:t>
      </w:r>
      <w:r w:rsidRPr="00897055">
        <w:rPr>
          <w:rFonts w:asciiTheme="minorHAnsi" w:hAnsiTheme="minorHAnsi"/>
          <w:color w:val="000000" w:themeColor="text1"/>
        </w:rPr>
        <w:t xml:space="preserve"> (Report 2007/12). Bristol: HEFCE.</w:t>
      </w:r>
    </w:p>
    <w:p w14:paraId="3B86E0F0" w14:textId="77777777" w:rsidR="00271447" w:rsidRDefault="00DE4542" w:rsidP="00227730">
      <w:pPr>
        <w:spacing w:line="480" w:lineRule="auto"/>
        <w:ind w:left="426" w:hanging="426"/>
        <w:rPr>
          <w:color w:val="000000" w:themeColor="text1"/>
          <w:szCs w:val="24"/>
        </w:rPr>
      </w:pPr>
      <w:r w:rsidRPr="00ED7370">
        <w:rPr>
          <w:color w:val="000000" w:themeColor="text1"/>
          <w:szCs w:val="24"/>
        </w:rPr>
        <w:t>Higher Education Funding Co</w:t>
      </w:r>
      <w:r>
        <w:rPr>
          <w:color w:val="000000" w:themeColor="text1"/>
          <w:szCs w:val="24"/>
        </w:rPr>
        <w:t>uncil for England [HEFCE]. 2012.</w:t>
      </w:r>
      <w:r w:rsidRPr="00ED7370">
        <w:rPr>
          <w:color w:val="000000" w:themeColor="text1"/>
          <w:szCs w:val="24"/>
        </w:rPr>
        <w:t xml:space="preserve"> </w:t>
      </w:r>
      <w:r>
        <w:rPr>
          <w:i/>
          <w:color w:val="000000" w:themeColor="text1"/>
          <w:szCs w:val="24"/>
        </w:rPr>
        <w:t>POLAR3: Y</w:t>
      </w:r>
      <w:r w:rsidRPr="00ED7370">
        <w:rPr>
          <w:i/>
          <w:color w:val="000000" w:themeColor="text1"/>
          <w:szCs w:val="24"/>
        </w:rPr>
        <w:t>oung participation in higher education</w:t>
      </w:r>
      <w:r>
        <w:rPr>
          <w:color w:val="000000" w:themeColor="text1"/>
          <w:szCs w:val="24"/>
        </w:rPr>
        <w:t xml:space="preserve"> (Report 2012/26).</w:t>
      </w:r>
      <w:r w:rsidRPr="00ED7370">
        <w:rPr>
          <w:color w:val="000000" w:themeColor="text1"/>
          <w:szCs w:val="24"/>
        </w:rPr>
        <w:t xml:space="preserve"> Bristol: HEFCE</w:t>
      </w:r>
      <w:r>
        <w:rPr>
          <w:color w:val="000000" w:themeColor="text1"/>
          <w:szCs w:val="24"/>
        </w:rPr>
        <w:t>.</w:t>
      </w:r>
    </w:p>
    <w:p w14:paraId="7C023199" w14:textId="17F56095" w:rsidR="00E62F6D" w:rsidRPr="00271447" w:rsidRDefault="00E62F6D" w:rsidP="00227730">
      <w:pPr>
        <w:spacing w:line="480" w:lineRule="auto"/>
        <w:ind w:left="426" w:hanging="426"/>
        <w:rPr>
          <w:color w:val="000000" w:themeColor="text1"/>
          <w:szCs w:val="24"/>
        </w:rPr>
      </w:pPr>
      <w:r>
        <w:rPr>
          <w:rFonts w:ascii="Calibri" w:hAnsi="Calibri"/>
        </w:rPr>
        <w:t xml:space="preserve">Higher Education Funding Council for England [HEFCE]. 2014. </w:t>
      </w:r>
      <w:r>
        <w:rPr>
          <w:rFonts w:ascii="Calibri" w:hAnsi="Calibri"/>
          <w:i/>
        </w:rPr>
        <w:t xml:space="preserve">Differences in degree outcomes: key findings </w:t>
      </w:r>
      <w:r w:rsidRPr="00897055">
        <w:rPr>
          <w:rFonts w:ascii="Calibri" w:hAnsi="Calibri"/>
        </w:rPr>
        <w:t>(Report 2014/03)</w:t>
      </w:r>
      <w:r>
        <w:rPr>
          <w:rFonts w:ascii="Calibri" w:hAnsi="Calibri"/>
        </w:rPr>
        <w:t>.  Bristol: HEFCE.</w:t>
      </w:r>
    </w:p>
    <w:p w14:paraId="7B35A26E" w14:textId="77777777" w:rsidR="00DD2498" w:rsidRPr="00DD2498" w:rsidRDefault="00DD2498" w:rsidP="00227730">
      <w:pPr>
        <w:spacing w:line="480" w:lineRule="auto"/>
        <w:ind w:left="426" w:hanging="426"/>
        <w:rPr>
          <w:color w:val="000000" w:themeColor="text1"/>
          <w:szCs w:val="24"/>
        </w:rPr>
      </w:pPr>
      <w:r w:rsidRPr="009B285E">
        <w:rPr>
          <w:color w:val="000000" w:themeColor="text1"/>
          <w:szCs w:val="24"/>
        </w:rPr>
        <w:t xml:space="preserve">Hoare, </w:t>
      </w:r>
      <w:r>
        <w:rPr>
          <w:color w:val="000000" w:themeColor="text1"/>
          <w:szCs w:val="24"/>
        </w:rPr>
        <w:t>T.</w:t>
      </w:r>
      <w:r w:rsidRPr="009B285E">
        <w:rPr>
          <w:color w:val="000000" w:themeColor="text1"/>
          <w:szCs w:val="24"/>
        </w:rPr>
        <w:t xml:space="preserve"> and </w:t>
      </w:r>
      <w:r>
        <w:rPr>
          <w:color w:val="000000" w:themeColor="text1"/>
          <w:szCs w:val="24"/>
        </w:rPr>
        <w:t xml:space="preserve">R. </w:t>
      </w:r>
      <w:r w:rsidRPr="009B285E">
        <w:rPr>
          <w:color w:val="000000" w:themeColor="text1"/>
          <w:szCs w:val="24"/>
        </w:rPr>
        <w:t>Johnston</w:t>
      </w:r>
      <w:r>
        <w:rPr>
          <w:color w:val="000000" w:themeColor="text1"/>
          <w:szCs w:val="24"/>
        </w:rPr>
        <w:t>. 2011.</w:t>
      </w:r>
      <w:r w:rsidRPr="009B285E">
        <w:rPr>
          <w:color w:val="000000" w:themeColor="text1"/>
          <w:szCs w:val="24"/>
        </w:rPr>
        <w:t xml:space="preserve"> Widening participation through admissions policy - a British case study of school and university performance.  </w:t>
      </w:r>
      <w:r w:rsidRPr="009B285E">
        <w:rPr>
          <w:i/>
          <w:color w:val="000000" w:themeColor="text1"/>
          <w:szCs w:val="24"/>
        </w:rPr>
        <w:t>Studies in Higher Education</w:t>
      </w:r>
      <w:r w:rsidRPr="009B285E">
        <w:rPr>
          <w:color w:val="000000" w:themeColor="text1"/>
          <w:szCs w:val="24"/>
        </w:rPr>
        <w:t xml:space="preserve"> 36</w:t>
      </w:r>
      <w:r>
        <w:rPr>
          <w:color w:val="000000" w:themeColor="text1"/>
          <w:szCs w:val="24"/>
        </w:rPr>
        <w:t xml:space="preserve"> (1)</w:t>
      </w:r>
      <w:r w:rsidRPr="009B285E">
        <w:rPr>
          <w:color w:val="000000" w:themeColor="text1"/>
          <w:szCs w:val="24"/>
        </w:rPr>
        <w:t>: 21-41.</w:t>
      </w:r>
    </w:p>
    <w:p w14:paraId="53A54CDF" w14:textId="77777777" w:rsidR="00091AB0" w:rsidRDefault="00091AB0" w:rsidP="00227730">
      <w:pPr>
        <w:pStyle w:val="Default"/>
        <w:spacing w:line="480" w:lineRule="auto"/>
        <w:ind w:left="567" w:hanging="567"/>
        <w:rPr>
          <w:rFonts w:asciiTheme="minorHAnsi" w:hAnsiTheme="minorHAnsi"/>
        </w:rPr>
      </w:pPr>
      <w:r w:rsidRPr="005B4D05">
        <w:rPr>
          <w:rFonts w:asciiTheme="minorHAnsi" w:hAnsiTheme="minorHAnsi"/>
        </w:rPr>
        <w:t xml:space="preserve">Hoare, T. and J. Lightfoot. 2015. Student funding, student retention and student experiences: perspectives from Bristol. </w:t>
      </w:r>
      <w:r w:rsidRPr="005B4D05">
        <w:rPr>
          <w:rFonts w:asciiTheme="minorHAnsi" w:hAnsiTheme="minorHAnsi"/>
          <w:i/>
          <w:iCs/>
        </w:rPr>
        <w:t>Widening Participation and Lifelong Learning</w:t>
      </w:r>
      <w:r w:rsidRPr="005B4D05">
        <w:rPr>
          <w:rFonts w:asciiTheme="minorHAnsi" w:hAnsiTheme="minorHAnsi"/>
        </w:rPr>
        <w:t xml:space="preserve"> </w:t>
      </w:r>
      <w:r w:rsidRPr="005B4D05">
        <w:rPr>
          <w:rFonts w:asciiTheme="minorHAnsi" w:hAnsiTheme="minorHAnsi"/>
          <w:iCs/>
        </w:rPr>
        <w:t>17</w:t>
      </w:r>
      <w:r w:rsidRPr="005B4D05">
        <w:rPr>
          <w:rFonts w:asciiTheme="minorHAnsi" w:hAnsiTheme="minorHAnsi"/>
          <w:i/>
          <w:iCs/>
        </w:rPr>
        <w:t xml:space="preserve"> </w:t>
      </w:r>
      <w:r w:rsidRPr="005B4D05">
        <w:rPr>
          <w:rFonts w:asciiTheme="minorHAnsi" w:hAnsiTheme="minorHAnsi"/>
        </w:rPr>
        <w:t>(3): 110-125.</w:t>
      </w:r>
    </w:p>
    <w:p w14:paraId="0782EB0B" w14:textId="77777777" w:rsidR="00F86F87" w:rsidRDefault="00F86F87" w:rsidP="00227730">
      <w:pPr>
        <w:pStyle w:val="Default"/>
        <w:spacing w:line="480" w:lineRule="auto"/>
        <w:ind w:left="567" w:hanging="567"/>
        <w:rPr>
          <w:rFonts w:asciiTheme="minorHAnsi" w:hAnsiTheme="minorHAnsi"/>
        </w:rPr>
      </w:pPr>
      <w:r>
        <w:rPr>
          <w:rFonts w:asciiTheme="minorHAnsi" w:hAnsiTheme="minorHAnsi"/>
        </w:rPr>
        <w:t xml:space="preserve">Hoare, T. and R. Mann. 2012. </w:t>
      </w:r>
      <w:r>
        <w:rPr>
          <w:rFonts w:asciiTheme="minorHAnsi" w:hAnsiTheme="minorHAnsi"/>
          <w:i/>
        </w:rPr>
        <w:t>The impact of the Sutton Trust’s Summer Schools</w:t>
      </w:r>
      <w:r>
        <w:rPr>
          <w:rFonts w:asciiTheme="minorHAnsi" w:hAnsiTheme="minorHAnsi"/>
        </w:rPr>
        <w:t>. London: Sutton Trust.</w:t>
      </w:r>
    </w:p>
    <w:p w14:paraId="447FCB47" w14:textId="77777777" w:rsidR="00F74778" w:rsidRDefault="00F74778" w:rsidP="00227730">
      <w:pPr>
        <w:pStyle w:val="Default"/>
        <w:spacing w:line="480" w:lineRule="auto"/>
        <w:ind w:left="567" w:hanging="567"/>
        <w:rPr>
          <w:rFonts w:asciiTheme="minorHAnsi" w:hAnsiTheme="minorHAnsi"/>
        </w:rPr>
      </w:pPr>
      <w:r w:rsidRPr="00F74778">
        <w:rPr>
          <w:rFonts w:asciiTheme="minorHAnsi" w:hAnsiTheme="minorHAnsi"/>
        </w:rPr>
        <w:t xml:space="preserve">Humphrey, R. 2006. Pulling structured inequality into higher education: the impact of part-time working on English university students. </w:t>
      </w:r>
      <w:r w:rsidRPr="00F74778">
        <w:rPr>
          <w:rFonts w:asciiTheme="minorHAnsi" w:hAnsiTheme="minorHAnsi"/>
          <w:i/>
        </w:rPr>
        <w:t>Higher Education Quarterly</w:t>
      </w:r>
      <w:r w:rsidRPr="00F74778">
        <w:rPr>
          <w:rFonts w:asciiTheme="minorHAnsi" w:hAnsiTheme="minorHAnsi"/>
        </w:rPr>
        <w:t xml:space="preserve"> 60 (3): 270-286.</w:t>
      </w:r>
    </w:p>
    <w:p w14:paraId="75A64B2A" w14:textId="77777777" w:rsidR="00F74778" w:rsidRPr="00F86F87" w:rsidRDefault="00F74778" w:rsidP="00227730">
      <w:pPr>
        <w:pStyle w:val="Default"/>
        <w:spacing w:line="480" w:lineRule="auto"/>
        <w:ind w:left="567" w:hanging="567"/>
        <w:rPr>
          <w:rFonts w:asciiTheme="minorHAnsi" w:hAnsiTheme="minorHAnsi"/>
        </w:rPr>
      </w:pPr>
      <w:r w:rsidRPr="00F74778">
        <w:rPr>
          <w:rFonts w:asciiTheme="minorHAnsi" w:hAnsiTheme="minorHAnsi"/>
        </w:rPr>
        <w:t xml:space="preserve">Jessop, D., C. Herberts and L. Solomon. 2005. The impact of financial circumstances on student health. </w:t>
      </w:r>
      <w:r w:rsidRPr="00F74778">
        <w:rPr>
          <w:rFonts w:asciiTheme="minorHAnsi" w:hAnsiTheme="minorHAnsi"/>
          <w:i/>
        </w:rPr>
        <w:t>British Journal of Health Psychology</w:t>
      </w:r>
      <w:r w:rsidRPr="00F74778">
        <w:rPr>
          <w:rFonts w:asciiTheme="minorHAnsi" w:hAnsiTheme="minorHAnsi"/>
        </w:rPr>
        <w:t xml:space="preserve"> 10(3): 421-439.</w:t>
      </w:r>
    </w:p>
    <w:p w14:paraId="348053E6" w14:textId="77777777" w:rsidR="000615B5" w:rsidRDefault="00241348" w:rsidP="00227730">
      <w:pPr>
        <w:pStyle w:val="Default"/>
        <w:spacing w:line="480" w:lineRule="auto"/>
        <w:ind w:left="567" w:hanging="567"/>
        <w:rPr>
          <w:rFonts w:asciiTheme="minorHAnsi" w:hAnsiTheme="minorHAnsi"/>
        </w:rPr>
      </w:pPr>
      <w:r>
        <w:rPr>
          <w:rFonts w:asciiTheme="minorHAnsi" w:hAnsiTheme="minorHAnsi"/>
        </w:rPr>
        <w:t xml:space="preserve">Lingenfelter, P. 2016.  </w:t>
      </w:r>
      <w:r>
        <w:rPr>
          <w:rFonts w:asciiTheme="minorHAnsi" w:hAnsiTheme="minorHAnsi"/>
          <w:i/>
        </w:rPr>
        <w:t>“Proof”, policy and practice: understanding the role of evidence in improving education</w:t>
      </w:r>
      <w:r>
        <w:rPr>
          <w:rFonts w:asciiTheme="minorHAnsi" w:hAnsiTheme="minorHAnsi"/>
        </w:rPr>
        <w:t>. Sterling, VA: Stylus.</w:t>
      </w:r>
    </w:p>
    <w:p w14:paraId="1325C21B" w14:textId="77777777" w:rsidR="00091AB0" w:rsidRPr="005B4D05" w:rsidRDefault="00091AB0" w:rsidP="00227730">
      <w:pPr>
        <w:spacing w:line="480" w:lineRule="auto"/>
        <w:ind w:left="567" w:hanging="567"/>
        <w:rPr>
          <w:szCs w:val="24"/>
        </w:rPr>
      </w:pPr>
      <w:r w:rsidRPr="005B4D05">
        <w:rPr>
          <w:szCs w:val="24"/>
        </w:rPr>
        <w:t xml:space="preserve">McCaig, C. 2016. The retreat from widening participation? The National Scholarship Programme and new access agreements in English higher education. </w:t>
      </w:r>
      <w:r w:rsidRPr="005B4D05">
        <w:rPr>
          <w:i/>
          <w:iCs/>
          <w:szCs w:val="24"/>
        </w:rPr>
        <w:t>Studies in Higher Education</w:t>
      </w:r>
      <w:r w:rsidRPr="005B4D05">
        <w:rPr>
          <w:szCs w:val="24"/>
        </w:rPr>
        <w:t xml:space="preserve"> </w:t>
      </w:r>
      <w:r w:rsidRPr="005B4D05">
        <w:rPr>
          <w:iCs/>
          <w:szCs w:val="24"/>
        </w:rPr>
        <w:t>41</w:t>
      </w:r>
      <w:r w:rsidRPr="005B4D05">
        <w:rPr>
          <w:i/>
          <w:iCs/>
          <w:szCs w:val="24"/>
        </w:rPr>
        <w:t xml:space="preserve"> </w:t>
      </w:r>
      <w:r w:rsidRPr="005B4D05">
        <w:rPr>
          <w:szCs w:val="24"/>
        </w:rPr>
        <w:t>(2): 215-230.</w:t>
      </w:r>
    </w:p>
    <w:p w14:paraId="2A94328B" w14:textId="77777777" w:rsidR="00091AB0" w:rsidRDefault="00091AB0" w:rsidP="00227730">
      <w:pPr>
        <w:spacing w:line="480" w:lineRule="auto"/>
        <w:ind w:left="567" w:hanging="567"/>
        <w:rPr>
          <w:rFonts w:cs="Arial"/>
          <w:color w:val="000000"/>
          <w:szCs w:val="24"/>
        </w:rPr>
      </w:pPr>
      <w:r w:rsidRPr="005B4D05">
        <w:rPr>
          <w:rFonts w:cs="Arial"/>
          <w:color w:val="000000"/>
          <w:szCs w:val="24"/>
        </w:rPr>
        <w:t xml:space="preserve">McCaig, C. and N. Adnett.  2009.  English universities, additional fee income and Access Agreements: their impact on widening participation and fair access.  </w:t>
      </w:r>
      <w:r w:rsidRPr="005B4D05">
        <w:rPr>
          <w:rFonts w:cs="Arial"/>
          <w:i/>
          <w:color w:val="000000"/>
          <w:szCs w:val="24"/>
        </w:rPr>
        <w:t>British Journal of Educational Studies</w:t>
      </w:r>
      <w:r w:rsidRPr="005B4D05">
        <w:rPr>
          <w:rFonts w:cs="Arial"/>
          <w:color w:val="000000"/>
          <w:szCs w:val="24"/>
        </w:rPr>
        <w:t xml:space="preserve"> 57: 18-36.</w:t>
      </w:r>
    </w:p>
    <w:p w14:paraId="1263C2D5" w14:textId="3FA1F320" w:rsidR="002E7228" w:rsidRDefault="002E7228" w:rsidP="00227730">
      <w:pPr>
        <w:spacing w:line="480" w:lineRule="auto"/>
        <w:ind w:left="567" w:hanging="567"/>
        <w:rPr>
          <w:rFonts w:cs="Arial"/>
          <w:color w:val="000000"/>
          <w:szCs w:val="24"/>
        </w:rPr>
      </w:pPr>
      <w:r w:rsidRPr="002E7228">
        <w:rPr>
          <w:rFonts w:cs="Arial"/>
          <w:color w:val="000000"/>
          <w:szCs w:val="24"/>
        </w:rPr>
        <w:t xml:space="preserve">McKay, J. and M. Devlin. In press. ‘Low income doesn't mean stupid and destined for failure': challenging the deficit discourse around students from low SES backgrounds in higher education. </w:t>
      </w:r>
      <w:r w:rsidRPr="002E7228">
        <w:rPr>
          <w:rFonts w:cs="Arial"/>
          <w:i/>
          <w:color w:val="000000"/>
          <w:szCs w:val="24"/>
        </w:rPr>
        <w:t>International Journal of Inclusive Education</w:t>
      </w:r>
      <w:r>
        <w:rPr>
          <w:rFonts w:cs="Arial"/>
          <w:color w:val="000000"/>
          <w:szCs w:val="24"/>
        </w:rPr>
        <w:t>, DOI:</w:t>
      </w:r>
      <w:r w:rsidRPr="002E7228">
        <w:rPr>
          <w:rFonts w:cs="Arial"/>
          <w:color w:val="000000"/>
          <w:szCs w:val="24"/>
        </w:rPr>
        <w:t>10.1080/13603116.2015.1079273</w:t>
      </w:r>
    </w:p>
    <w:p w14:paraId="42F8D90F" w14:textId="62BA10A2" w:rsidR="003C031B" w:rsidRPr="003C031B" w:rsidRDefault="003C031B" w:rsidP="00227730">
      <w:pPr>
        <w:spacing w:line="480" w:lineRule="auto"/>
        <w:ind w:left="567" w:hanging="567"/>
        <w:rPr>
          <w:rFonts w:cs="Arial"/>
          <w:color w:val="000000"/>
          <w:szCs w:val="24"/>
        </w:rPr>
      </w:pPr>
      <w:r>
        <w:rPr>
          <w:rFonts w:cs="Arial"/>
          <w:color w:val="000000"/>
          <w:szCs w:val="24"/>
        </w:rPr>
        <w:t xml:space="preserve">Mark, M. 2009. </w:t>
      </w:r>
      <w:r w:rsidRPr="003C031B">
        <w:t>Credible evidence: changing the terms of the debate</w:t>
      </w:r>
      <w:r>
        <w:t xml:space="preserve">, in S. Donaldson, C. Christie and M. Mark (eds.) </w:t>
      </w:r>
      <w:r>
        <w:rPr>
          <w:i/>
        </w:rPr>
        <w:t>What counts as credible evidence in applied research and evaluation practice</w:t>
      </w:r>
      <w:r>
        <w:t>, Thousand Oaks: Sage.</w:t>
      </w:r>
    </w:p>
    <w:p w14:paraId="18363209" w14:textId="77777777" w:rsidR="0004470D" w:rsidRDefault="0004470D" w:rsidP="00227730">
      <w:pPr>
        <w:spacing w:line="480" w:lineRule="auto"/>
        <w:ind w:left="567" w:hanging="567"/>
        <w:rPr>
          <w:rFonts w:cs="Arial"/>
          <w:color w:val="000000"/>
          <w:szCs w:val="24"/>
        </w:rPr>
      </w:pPr>
      <w:r w:rsidRPr="0004470D">
        <w:rPr>
          <w:rFonts w:cs="Arial"/>
          <w:color w:val="000000"/>
          <w:szCs w:val="24"/>
        </w:rPr>
        <w:t xml:space="preserve">Marshall, D. and J. Case. 2010. Rethinking ‘disadvantage’ in higher education: a paradigmatic case study using narrative analysis. </w:t>
      </w:r>
      <w:r w:rsidRPr="0004470D">
        <w:rPr>
          <w:rFonts w:cs="Arial"/>
          <w:i/>
          <w:color w:val="000000"/>
          <w:szCs w:val="24"/>
        </w:rPr>
        <w:t>Studies in Higher Education</w:t>
      </w:r>
      <w:r w:rsidRPr="0004470D">
        <w:rPr>
          <w:rFonts w:cs="Arial"/>
          <w:color w:val="000000"/>
          <w:szCs w:val="24"/>
        </w:rPr>
        <w:t xml:space="preserve"> 35 (5): 491-504.</w:t>
      </w:r>
    </w:p>
    <w:p w14:paraId="722A2FC6" w14:textId="77777777" w:rsidR="00CB6ABE" w:rsidRDefault="00CB6ABE" w:rsidP="00227730">
      <w:pPr>
        <w:spacing w:line="480" w:lineRule="auto"/>
        <w:ind w:left="567" w:hanging="567"/>
        <w:rPr>
          <w:rFonts w:cs="Arial"/>
          <w:color w:val="000000"/>
          <w:szCs w:val="24"/>
        </w:rPr>
      </w:pPr>
      <w:r w:rsidRPr="00CB6ABE">
        <w:rPr>
          <w:rFonts w:cs="Arial"/>
          <w:color w:val="000000"/>
          <w:szCs w:val="24"/>
        </w:rPr>
        <w:t xml:space="preserve">Menter, I. 2013. From interesting times to critical times? Teacher education and educational research in England. </w:t>
      </w:r>
      <w:r w:rsidRPr="00CB6ABE">
        <w:rPr>
          <w:rFonts w:cs="Arial"/>
          <w:i/>
          <w:color w:val="000000"/>
          <w:szCs w:val="24"/>
        </w:rPr>
        <w:t>Research in Teacher Education</w:t>
      </w:r>
      <w:r w:rsidRPr="00CB6ABE">
        <w:rPr>
          <w:rFonts w:cs="Arial"/>
          <w:color w:val="000000"/>
          <w:szCs w:val="24"/>
        </w:rPr>
        <w:t xml:space="preserve"> 3 (1): 38-40.</w:t>
      </w:r>
    </w:p>
    <w:p w14:paraId="5777BB16" w14:textId="77777777" w:rsidR="00730D5C" w:rsidRPr="00730D5C" w:rsidRDefault="00730D5C" w:rsidP="00227730">
      <w:pPr>
        <w:spacing w:line="480" w:lineRule="auto"/>
        <w:ind w:left="426" w:hanging="426"/>
        <w:rPr>
          <w:rFonts w:eastAsia="Times New Roman" w:cs="Times New Roman"/>
          <w:szCs w:val="24"/>
          <w:lang w:eastAsia="en-GB"/>
        </w:rPr>
      </w:pPr>
      <w:r>
        <w:rPr>
          <w:rFonts w:eastAsia="Times New Roman" w:cs="Times New Roman"/>
          <w:szCs w:val="24"/>
          <w:lang w:eastAsia="en-GB"/>
        </w:rPr>
        <w:t xml:space="preserve">Milburn, A. 2009. </w:t>
      </w:r>
      <w:r w:rsidRPr="0073523A">
        <w:rPr>
          <w:rFonts w:eastAsia="Times New Roman" w:cs="Times New Roman"/>
          <w:i/>
          <w:szCs w:val="24"/>
          <w:lang w:eastAsia="en-GB"/>
        </w:rPr>
        <w:t>Unleashing aspiration: the final report of the Panel on Fair Access to the Professions</w:t>
      </w:r>
      <w:r>
        <w:rPr>
          <w:rFonts w:eastAsia="Times New Roman" w:cs="Times New Roman"/>
          <w:szCs w:val="24"/>
          <w:lang w:eastAsia="en-GB"/>
        </w:rPr>
        <w:t>.  London: PFAP.</w:t>
      </w:r>
    </w:p>
    <w:p w14:paraId="27511415" w14:textId="77777777" w:rsidR="00091AB0" w:rsidRDefault="00091AB0" w:rsidP="00227730">
      <w:pPr>
        <w:spacing w:line="480" w:lineRule="auto"/>
        <w:ind w:left="567" w:hanging="567"/>
        <w:rPr>
          <w:rFonts w:cs="Arial"/>
          <w:color w:val="000000"/>
          <w:szCs w:val="24"/>
        </w:rPr>
      </w:pPr>
      <w:r w:rsidRPr="005B4D05">
        <w:rPr>
          <w:rFonts w:cs="Arial"/>
          <w:color w:val="000000"/>
          <w:szCs w:val="24"/>
        </w:rPr>
        <w:t xml:space="preserve">Milburn, A. 2012. </w:t>
      </w:r>
      <w:r w:rsidRPr="005B4D05">
        <w:rPr>
          <w:rFonts w:cs="Arial"/>
          <w:i/>
          <w:color w:val="000000"/>
          <w:szCs w:val="24"/>
        </w:rPr>
        <w:t>University challenge: how higher education can advance social mobility</w:t>
      </w:r>
      <w:r w:rsidRPr="005B4D05">
        <w:rPr>
          <w:rFonts w:cs="Arial"/>
          <w:color w:val="000000"/>
          <w:szCs w:val="24"/>
        </w:rPr>
        <w:t>. London: Cabinet Office.</w:t>
      </w:r>
    </w:p>
    <w:p w14:paraId="6C7C4257" w14:textId="77777777" w:rsidR="004F0042" w:rsidRPr="004F0042" w:rsidRDefault="004F0042" w:rsidP="00227730">
      <w:pPr>
        <w:spacing w:line="480" w:lineRule="auto"/>
        <w:ind w:left="426" w:hanging="426"/>
        <w:rPr>
          <w:rFonts w:eastAsia="Times New Roman" w:cs="Times New Roman"/>
          <w:szCs w:val="24"/>
          <w:lang w:eastAsia="en-GB"/>
        </w:rPr>
      </w:pPr>
      <w:r>
        <w:rPr>
          <w:rFonts w:eastAsia="Times New Roman" w:cs="Times New Roman"/>
          <w:szCs w:val="24"/>
          <w:lang w:eastAsia="en-GB"/>
        </w:rPr>
        <w:t xml:space="preserve">Modood, T. 2012. Capitals, ethnicity and higher education. In S. Tomlinson and T. Basit (eds.) </w:t>
      </w:r>
      <w:r>
        <w:rPr>
          <w:rFonts w:eastAsia="Times New Roman" w:cs="Times New Roman"/>
          <w:i/>
          <w:szCs w:val="24"/>
          <w:lang w:eastAsia="en-GB"/>
        </w:rPr>
        <w:t>Social inclusion and higher education</w:t>
      </w:r>
      <w:r>
        <w:rPr>
          <w:rFonts w:eastAsia="Times New Roman" w:cs="Times New Roman"/>
          <w:szCs w:val="24"/>
          <w:lang w:eastAsia="en-GB"/>
        </w:rPr>
        <w:t>. Bristol: Policy Press.</w:t>
      </w:r>
    </w:p>
    <w:p w14:paraId="760A0634" w14:textId="77777777" w:rsidR="00DD2498" w:rsidRDefault="00DD2498" w:rsidP="00227730">
      <w:pPr>
        <w:spacing w:line="480" w:lineRule="auto"/>
        <w:ind w:left="426" w:hanging="426"/>
      </w:pPr>
      <w:r w:rsidRPr="005C1F5B">
        <w:t xml:space="preserve">Moore, J., A. Mountford-Zimdars and J. Wiggans. 2013. </w:t>
      </w:r>
      <w:r w:rsidRPr="005C1F5B">
        <w:rPr>
          <w:i/>
        </w:rPr>
        <w:t>Contextualised admissions: examining the evidence.</w:t>
      </w:r>
      <w:r w:rsidRPr="005C1F5B">
        <w:t xml:space="preserve"> </w:t>
      </w:r>
      <w:r w:rsidRPr="005C1F5B">
        <w:rPr>
          <w:iCs/>
        </w:rPr>
        <w:t>Cheltenham: Supporting Professionalism in Admissions Programme</w:t>
      </w:r>
      <w:r w:rsidRPr="005C1F5B">
        <w:t>.</w:t>
      </w:r>
    </w:p>
    <w:p w14:paraId="799CE9CE" w14:textId="77777777" w:rsidR="00E62F6D" w:rsidRDefault="00E62F6D" w:rsidP="00227730">
      <w:pPr>
        <w:spacing w:line="480" w:lineRule="auto"/>
        <w:ind w:left="426" w:hanging="426"/>
      </w:pPr>
      <w:r>
        <w:t xml:space="preserve">Mountford-Zimdars, A., D. Sabri, J. Moore, J. Sanders, S. Jones and L. Higham. 2015. </w:t>
      </w:r>
      <w:r>
        <w:rPr>
          <w:i/>
        </w:rPr>
        <w:t>Causes of difference in student outcomes.</w:t>
      </w:r>
      <w:r>
        <w:t xml:space="preserve">  Bristol: HEFCE.</w:t>
      </w:r>
    </w:p>
    <w:p w14:paraId="13C279DA" w14:textId="77777777" w:rsidR="008A62A6" w:rsidRPr="008A62A6" w:rsidRDefault="008A62A6" w:rsidP="00227730">
      <w:pPr>
        <w:autoSpaceDE w:val="0"/>
        <w:autoSpaceDN w:val="0"/>
        <w:adjustRightInd w:val="0"/>
        <w:spacing w:line="480" w:lineRule="auto"/>
        <w:ind w:left="720" w:hanging="720"/>
        <w:rPr>
          <w:rFonts w:cstheme="minorHAnsi"/>
          <w:i/>
          <w:iCs/>
          <w:szCs w:val="24"/>
        </w:rPr>
      </w:pPr>
      <w:r w:rsidRPr="008A62A6">
        <w:rPr>
          <w:rFonts w:cstheme="minorHAnsi"/>
          <w:szCs w:val="24"/>
        </w:rPr>
        <w:t xml:space="preserve">National Committee of Inquiry into Higher Education </w:t>
      </w:r>
      <w:r>
        <w:rPr>
          <w:rFonts w:cstheme="minorHAnsi"/>
          <w:szCs w:val="24"/>
        </w:rPr>
        <w:t>[</w:t>
      </w:r>
      <w:r w:rsidRPr="008A62A6">
        <w:rPr>
          <w:rFonts w:cstheme="minorHAnsi"/>
          <w:szCs w:val="24"/>
        </w:rPr>
        <w:t>1997</w:t>
      </w:r>
      <w:r>
        <w:rPr>
          <w:rFonts w:cstheme="minorHAnsi"/>
          <w:szCs w:val="24"/>
        </w:rPr>
        <w:t>]</w:t>
      </w:r>
      <w:r w:rsidRPr="008A62A6">
        <w:rPr>
          <w:rFonts w:cstheme="minorHAnsi"/>
          <w:szCs w:val="24"/>
        </w:rPr>
        <w:t xml:space="preserve"> </w:t>
      </w:r>
      <w:r w:rsidRPr="008A62A6">
        <w:rPr>
          <w:rFonts w:cstheme="minorHAnsi"/>
          <w:i/>
          <w:iCs/>
          <w:szCs w:val="24"/>
        </w:rPr>
        <w:t>Higher Education in the Learning</w:t>
      </w:r>
    </w:p>
    <w:p w14:paraId="26C956F8" w14:textId="63B298F4" w:rsidR="008A62A6" w:rsidRPr="008A62A6" w:rsidRDefault="008A62A6" w:rsidP="00227730">
      <w:pPr>
        <w:spacing w:line="480" w:lineRule="auto"/>
        <w:ind w:left="1287" w:hanging="720"/>
        <w:rPr>
          <w:rFonts w:cstheme="minorHAnsi"/>
          <w:color w:val="000000" w:themeColor="text1"/>
          <w:szCs w:val="24"/>
        </w:rPr>
      </w:pPr>
      <w:r w:rsidRPr="008A62A6">
        <w:rPr>
          <w:rFonts w:cstheme="minorHAnsi"/>
          <w:i/>
          <w:iCs/>
          <w:szCs w:val="24"/>
        </w:rPr>
        <w:t xml:space="preserve">Society, </w:t>
      </w:r>
      <w:r w:rsidRPr="008A62A6">
        <w:rPr>
          <w:rFonts w:cstheme="minorHAnsi"/>
          <w:szCs w:val="24"/>
        </w:rPr>
        <w:t>(th</w:t>
      </w:r>
      <w:r w:rsidR="005F2963">
        <w:rPr>
          <w:rFonts w:cstheme="minorHAnsi"/>
          <w:szCs w:val="24"/>
        </w:rPr>
        <w:t>e Dearing Report). London: HMSO</w:t>
      </w:r>
      <w:r w:rsidRPr="008A62A6">
        <w:rPr>
          <w:rFonts w:cstheme="minorHAnsi"/>
          <w:szCs w:val="24"/>
        </w:rPr>
        <w:t>.</w:t>
      </w:r>
    </w:p>
    <w:p w14:paraId="151A3978" w14:textId="77777777" w:rsidR="00091AB0" w:rsidRDefault="00091AB0" w:rsidP="00227730">
      <w:pPr>
        <w:spacing w:line="480" w:lineRule="auto"/>
        <w:ind w:left="567" w:hanging="567"/>
        <w:rPr>
          <w:szCs w:val="24"/>
        </w:rPr>
      </w:pPr>
      <w:r w:rsidRPr="005B4D05">
        <w:rPr>
          <w:szCs w:val="24"/>
        </w:rPr>
        <w:t xml:space="preserve">Nursaw Associates. 2015. </w:t>
      </w:r>
      <w:r w:rsidRPr="005B4D05">
        <w:rPr>
          <w:i/>
          <w:szCs w:val="24"/>
        </w:rPr>
        <w:t>What do we know about the impact of financial support on access and student success?</w:t>
      </w:r>
      <w:r w:rsidRPr="005B4D05">
        <w:rPr>
          <w:szCs w:val="24"/>
        </w:rPr>
        <w:t xml:space="preserve"> Bristol: OFFA.</w:t>
      </w:r>
    </w:p>
    <w:p w14:paraId="2A1B6E1D" w14:textId="77777777" w:rsidR="00AD7DE1" w:rsidRPr="005B4D05" w:rsidRDefault="00AD7DE1" w:rsidP="00227730">
      <w:pPr>
        <w:spacing w:line="480" w:lineRule="auto"/>
        <w:ind w:left="567" w:hanging="567"/>
        <w:rPr>
          <w:szCs w:val="24"/>
        </w:rPr>
      </w:pPr>
      <w:r w:rsidRPr="00AD7DE1">
        <w:rPr>
          <w:szCs w:val="24"/>
        </w:rPr>
        <w:t xml:space="preserve">Oancea, A. and R. Pring. 2008. The importance of being thorough: on systematic accumulations of ‘what works’ in education research. </w:t>
      </w:r>
      <w:r w:rsidRPr="00AD7DE1">
        <w:rPr>
          <w:i/>
          <w:szCs w:val="24"/>
        </w:rPr>
        <w:t>Journal of Philosophy of Education</w:t>
      </w:r>
      <w:r w:rsidRPr="00AD7DE1">
        <w:rPr>
          <w:szCs w:val="24"/>
        </w:rPr>
        <w:t xml:space="preserve"> 42 (s1): 15-39.</w:t>
      </w:r>
    </w:p>
    <w:p w14:paraId="795C06E1" w14:textId="77777777" w:rsidR="00091AB0" w:rsidRPr="005B4D05" w:rsidRDefault="00091AB0" w:rsidP="00227730">
      <w:pPr>
        <w:spacing w:line="480" w:lineRule="auto"/>
        <w:ind w:left="567" w:hanging="567"/>
        <w:rPr>
          <w:szCs w:val="24"/>
        </w:rPr>
      </w:pPr>
      <w:r w:rsidRPr="005B4D05">
        <w:rPr>
          <w:szCs w:val="24"/>
        </w:rPr>
        <w:t xml:space="preserve">O'Brien, M. 2015. Student finance, progression and 'inclusivity': indicative data from the University of Liverpool. </w:t>
      </w:r>
      <w:r w:rsidRPr="005B4D05">
        <w:rPr>
          <w:i/>
          <w:iCs/>
          <w:szCs w:val="24"/>
        </w:rPr>
        <w:t>Widening Participation and Lifelong Learning</w:t>
      </w:r>
      <w:r w:rsidRPr="005B4D05">
        <w:rPr>
          <w:szCs w:val="24"/>
        </w:rPr>
        <w:t xml:space="preserve"> </w:t>
      </w:r>
      <w:r w:rsidRPr="005B4D05">
        <w:rPr>
          <w:iCs/>
          <w:szCs w:val="24"/>
        </w:rPr>
        <w:t xml:space="preserve">17 </w:t>
      </w:r>
      <w:r w:rsidRPr="005B4D05">
        <w:rPr>
          <w:szCs w:val="24"/>
        </w:rPr>
        <w:t>(3): 74-88.</w:t>
      </w:r>
    </w:p>
    <w:p w14:paraId="7B9BE166" w14:textId="77777777" w:rsidR="00271447" w:rsidRDefault="00091AB0" w:rsidP="00227730">
      <w:pPr>
        <w:spacing w:line="480" w:lineRule="auto"/>
        <w:ind w:left="567" w:hanging="567"/>
        <w:rPr>
          <w:rFonts w:cs="Arial"/>
          <w:color w:val="000000"/>
          <w:szCs w:val="24"/>
        </w:rPr>
      </w:pPr>
      <w:r w:rsidRPr="005B4D05">
        <w:rPr>
          <w:rFonts w:cs="Arial"/>
          <w:color w:val="000000"/>
          <w:szCs w:val="24"/>
        </w:rPr>
        <w:t xml:space="preserve">Office for Fair Access [OFFA]. 2010. </w:t>
      </w:r>
      <w:r w:rsidRPr="005B4D05">
        <w:rPr>
          <w:rFonts w:cs="Arial"/>
          <w:i/>
          <w:color w:val="000000"/>
          <w:szCs w:val="24"/>
        </w:rPr>
        <w:t>Have bursaries influenced choice between universities</w:t>
      </w:r>
      <w:r w:rsidRPr="005B4D05">
        <w:rPr>
          <w:rFonts w:cs="Arial"/>
          <w:color w:val="000000"/>
          <w:szCs w:val="24"/>
        </w:rPr>
        <w:t>?  Bristol: OFFA.</w:t>
      </w:r>
    </w:p>
    <w:p w14:paraId="603E4105" w14:textId="67F9F794" w:rsidR="00091AB0" w:rsidRPr="005B4D05" w:rsidRDefault="00091AB0" w:rsidP="00227730">
      <w:pPr>
        <w:spacing w:line="480" w:lineRule="auto"/>
        <w:ind w:left="567" w:hanging="567"/>
        <w:rPr>
          <w:rFonts w:cs="Arial"/>
          <w:color w:val="000000"/>
          <w:szCs w:val="24"/>
        </w:rPr>
      </w:pPr>
      <w:r w:rsidRPr="005B4D05">
        <w:rPr>
          <w:rFonts w:cs="Arial"/>
          <w:color w:val="000000"/>
          <w:szCs w:val="24"/>
        </w:rPr>
        <w:t xml:space="preserve">Office for Fair Access [OFFA]. 2014. </w:t>
      </w:r>
      <w:r w:rsidRPr="005B4D05">
        <w:rPr>
          <w:rFonts w:cs="Arial"/>
          <w:i/>
          <w:color w:val="000000"/>
          <w:szCs w:val="24"/>
        </w:rPr>
        <w:t>Do bursaries have an effect on retention rates</w:t>
      </w:r>
      <w:r w:rsidR="000D24F6" w:rsidRPr="000D24F6">
        <w:rPr>
          <w:rFonts w:cs="Arial"/>
          <w:i/>
          <w:color w:val="000000"/>
          <w:szCs w:val="24"/>
        </w:rPr>
        <w:t>?</w:t>
      </w:r>
      <w:r w:rsidRPr="005B4D05">
        <w:rPr>
          <w:rFonts w:cs="Arial"/>
          <w:color w:val="000000"/>
          <w:szCs w:val="24"/>
        </w:rPr>
        <w:t xml:space="preserve"> Bristol: OFFA.</w:t>
      </w:r>
    </w:p>
    <w:p w14:paraId="4F5152E7" w14:textId="77777777" w:rsidR="007A7DD6" w:rsidRDefault="007A7DD6" w:rsidP="00227730">
      <w:pPr>
        <w:spacing w:line="480" w:lineRule="auto"/>
        <w:ind w:left="567" w:hanging="567"/>
        <w:rPr>
          <w:rFonts w:cs="TimesNewRomanPS"/>
          <w:color w:val="000000"/>
          <w:szCs w:val="24"/>
          <w:lang w:eastAsia="en-GB"/>
        </w:rPr>
      </w:pPr>
      <w:r w:rsidRPr="005B4D05">
        <w:rPr>
          <w:rFonts w:cs="TimesNewRomanPS"/>
          <w:color w:val="000000"/>
          <w:szCs w:val="24"/>
          <w:lang w:eastAsia="en-GB"/>
        </w:rPr>
        <w:t>Office for Fair Access [OFFA]. 2015</w:t>
      </w:r>
      <w:r>
        <w:rPr>
          <w:rFonts w:cs="TimesNewRomanPS"/>
          <w:color w:val="000000"/>
          <w:szCs w:val="24"/>
          <w:lang w:eastAsia="en-GB"/>
        </w:rPr>
        <w:t>a</w:t>
      </w:r>
      <w:r w:rsidRPr="005B4D05">
        <w:rPr>
          <w:rFonts w:cs="TimesNewRomanPS"/>
          <w:color w:val="000000"/>
          <w:szCs w:val="24"/>
          <w:lang w:eastAsia="en-GB"/>
        </w:rPr>
        <w:t xml:space="preserve">. </w:t>
      </w:r>
      <w:r>
        <w:rPr>
          <w:rFonts w:cs="TimesNewRomanPS"/>
          <w:i/>
          <w:color w:val="000000"/>
          <w:szCs w:val="24"/>
          <w:lang w:eastAsia="en-GB"/>
        </w:rPr>
        <w:t xml:space="preserve">Strategic plan: 2015-2020. </w:t>
      </w:r>
      <w:r w:rsidRPr="005B4D05">
        <w:rPr>
          <w:rFonts w:cs="TimesNewRomanPS"/>
          <w:color w:val="000000"/>
          <w:szCs w:val="24"/>
          <w:lang w:eastAsia="en-GB"/>
        </w:rPr>
        <w:t>Bristol: OFFA.</w:t>
      </w:r>
    </w:p>
    <w:p w14:paraId="7DE64BF2" w14:textId="77777777" w:rsidR="00091AB0" w:rsidRDefault="00091AB0" w:rsidP="00227730">
      <w:pPr>
        <w:spacing w:line="480" w:lineRule="auto"/>
        <w:ind w:left="567" w:hanging="567"/>
        <w:rPr>
          <w:rFonts w:cs="TimesNewRomanPS"/>
          <w:color w:val="000000"/>
          <w:szCs w:val="24"/>
          <w:lang w:eastAsia="en-GB"/>
        </w:rPr>
      </w:pPr>
      <w:r w:rsidRPr="005B4D05">
        <w:rPr>
          <w:rFonts w:cs="TimesNewRomanPS"/>
          <w:color w:val="000000"/>
          <w:szCs w:val="24"/>
          <w:lang w:eastAsia="en-GB"/>
        </w:rPr>
        <w:t>Office for Fair Access [OFFA]. 2015</w:t>
      </w:r>
      <w:r w:rsidR="007A7DD6">
        <w:rPr>
          <w:rFonts w:cs="TimesNewRomanPS"/>
          <w:color w:val="000000"/>
          <w:szCs w:val="24"/>
          <w:lang w:eastAsia="en-GB"/>
        </w:rPr>
        <w:t>b</w:t>
      </w:r>
      <w:r w:rsidRPr="005B4D05">
        <w:rPr>
          <w:rFonts w:cs="TimesNewRomanPS"/>
          <w:color w:val="000000"/>
          <w:szCs w:val="24"/>
          <w:lang w:eastAsia="en-GB"/>
        </w:rPr>
        <w:t xml:space="preserve">. </w:t>
      </w:r>
      <w:r w:rsidRPr="005B4D05">
        <w:rPr>
          <w:rFonts w:cs="TimesNewRomanPS"/>
          <w:i/>
          <w:color w:val="000000"/>
          <w:szCs w:val="24"/>
          <w:lang w:eastAsia="en-GB"/>
        </w:rPr>
        <w:t>Outcomes of access agreement monitoring for 2013-14</w:t>
      </w:r>
      <w:r w:rsidRPr="005B4D05">
        <w:rPr>
          <w:rFonts w:cs="TimesNewRomanPS"/>
          <w:color w:val="000000"/>
          <w:szCs w:val="24"/>
          <w:lang w:eastAsia="en-GB"/>
        </w:rPr>
        <w:t>.  Bristol: OFFA.</w:t>
      </w:r>
    </w:p>
    <w:p w14:paraId="06FC6F90" w14:textId="77777777" w:rsidR="006E602A" w:rsidRPr="006E602A" w:rsidRDefault="006E602A" w:rsidP="00227730">
      <w:pPr>
        <w:spacing w:line="480" w:lineRule="auto"/>
        <w:ind w:left="567" w:hanging="567"/>
        <w:rPr>
          <w:rFonts w:cs="TimesNewRomanPS"/>
          <w:i/>
          <w:color w:val="000000"/>
          <w:szCs w:val="24"/>
          <w:lang w:eastAsia="en-GB"/>
        </w:rPr>
      </w:pPr>
      <w:r w:rsidRPr="005B4D05">
        <w:rPr>
          <w:rFonts w:cs="TimesNewRomanPS"/>
          <w:color w:val="000000"/>
          <w:szCs w:val="24"/>
          <w:lang w:eastAsia="en-GB"/>
        </w:rPr>
        <w:t>Office for Fair Access [OFFA]. 2015</w:t>
      </w:r>
      <w:r w:rsidR="007A7DD6">
        <w:rPr>
          <w:rFonts w:cs="TimesNewRomanPS"/>
          <w:color w:val="000000"/>
          <w:szCs w:val="24"/>
          <w:lang w:eastAsia="en-GB"/>
        </w:rPr>
        <w:t>c</w:t>
      </w:r>
      <w:r w:rsidRPr="005B4D05">
        <w:rPr>
          <w:rFonts w:cs="TimesNewRomanPS"/>
          <w:color w:val="000000"/>
          <w:szCs w:val="24"/>
          <w:lang w:eastAsia="en-GB"/>
        </w:rPr>
        <w:t xml:space="preserve">. </w:t>
      </w:r>
      <w:r w:rsidRPr="006E602A">
        <w:rPr>
          <w:rFonts w:cs="TimesNewRomanPS"/>
          <w:i/>
          <w:color w:val="000000"/>
          <w:szCs w:val="24"/>
          <w:lang w:eastAsia="en-GB"/>
        </w:rPr>
        <w:t>Invitation to tender</w:t>
      </w:r>
      <w:r>
        <w:rPr>
          <w:rFonts w:cs="TimesNewRomanPS"/>
          <w:i/>
          <w:color w:val="000000"/>
          <w:szCs w:val="24"/>
          <w:lang w:eastAsia="en-GB"/>
        </w:rPr>
        <w:t xml:space="preserve"> – u</w:t>
      </w:r>
      <w:r w:rsidRPr="006E602A">
        <w:rPr>
          <w:rFonts w:cs="TimesNewRomanPS"/>
          <w:i/>
          <w:color w:val="000000"/>
          <w:szCs w:val="24"/>
          <w:lang w:eastAsia="en-GB"/>
        </w:rPr>
        <w:t>nderstanding the impact of financial support on student success: an institutional approach</w:t>
      </w:r>
      <w:r w:rsidRPr="005B4D05">
        <w:rPr>
          <w:rFonts w:cs="TimesNewRomanPS"/>
          <w:color w:val="000000"/>
          <w:szCs w:val="24"/>
          <w:lang w:eastAsia="en-GB"/>
        </w:rPr>
        <w:t>.  Bristol: OFFA.</w:t>
      </w:r>
    </w:p>
    <w:p w14:paraId="1D50A97A" w14:textId="1D276E56" w:rsidR="00715A78" w:rsidRDefault="00715A78" w:rsidP="00227730">
      <w:pPr>
        <w:spacing w:line="480" w:lineRule="auto"/>
        <w:ind w:left="567" w:hanging="567"/>
        <w:rPr>
          <w:rFonts w:cs="TimesNewRomanPS"/>
          <w:color w:val="000000"/>
          <w:szCs w:val="24"/>
          <w:lang w:eastAsia="en-GB"/>
        </w:rPr>
      </w:pPr>
      <w:r>
        <w:rPr>
          <w:rFonts w:cs="TimesNewRomanPS"/>
          <w:color w:val="000000"/>
          <w:szCs w:val="24"/>
          <w:lang w:eastAsia="en-GB"/>
        </w:rPr>
        <w:t xml:space="preserve">Office for Fair Access [OFFA]. 2016. </w:t>
      </w:r>
      <w:r w:rsidRPr="00715A78">
        <w:rPr>
          <w:rFonts w:cs="TimesNewRomanPS"/>
          <w:i/>
          <w:color w:val="000000"/>
          <w:szCs w:val="24"/>
          <w:lang w:eastAsia="en-GB"/>
        </w:rPr>
        <w:t>Understanding the impact of institutional financial support on student success: phase one report</w:t>
      </w:r>
      <w:r>
        <w:rPr>
          <w:rFonts w:cs="TimesNewRomanPS"/>
          <w:color w:val="000000"/>
          <w:szCs w:val="24"/>
          <w:lang w:eastAsia="en-GB"/>
        </w:rPr>
        <w:t>. Bristol: OFFA/Sheffield Hallam University.</w:t>
      </w:r>
    </w:p>
    <w:p w14:paraId="478C7B75" w14:textId="21EE92F2" w:rsidR="007239F5" w:rsidRDefault="007239F5" w:rsidP="00227730">
      <w:pPr>
        <w:spacing w:line="480" w:lineRule="auto"/>
        <w:ind w:left="567" w:hanging="567"/>
        <w:rPr>
          <w:rFonts w:cs="TimesNewRomanPS"/>
          <w:color w:val="000000"/>
          <w:szCs w:val="24"/>
          <w:lang w:eastAsia="en-GB"/>
        </w:rPr>
      </w:pPr>
      <w:r>
        <w:rPr>
          <w:rFonts w:cs="TimesNewRomanPS"/>
          <w:color w:val="000000"/>
          <w:szCs w:val="24"/>
          <w:lang w:eastAsia="en-GB"/>
        </w:rPr>
        <w:t xml:space="preserve">Pawson, R. 2006. </w:t>
      </w:r>
      <w:r>
        <w:rPr>
          <w:rFonts w:cs="TimesNewRomanPS"/>
          <w:i/>
          <w:color w:val="000000"/>
          <w:szCs w:val="24"/>
          <w:lang w:eastAsia="en-GB"/>
        </w:rPr>
        <w:t>Evidence-based policy: a realist perspective</w:t>
      </w:r>
      <w:r>
        <w:rPr>
          <w:rFonts w:cs="TimesNewRomanPS"/>
          <w:color w:val="000000"/>
          <w:szCs w:val="24"/>
          <w:lang w:eastAsia="en-GB"/>
        </w:rPr>
        <w:t>. London: Sage.</w:t>
      </w:r>
    </w:p>
    <w:p w14:paraId="58881D56" w14:textId="5303317A" w:rsidR="00072724" w:rsidRPr="00072724" w:rsidRDefault="00072724" w:rsidP="00227730">
      <w:pPr>
        <w:spacing w:line="480" w:lineRule="auto"/>
        <w:ind w:left="567" w:hanging="567"/>
        <w:rPr>
          <w:rFonts w:cs="TimesNewRomanPS"/>
          <w:color w:val="000000"/>
          <w:szCs w:val="24"/>
          <w:lang w:eastAsia="en-GB"/>
        </w:rPr>
      </w:pPr>
      <w:r>
        <w:rPr>
          <w:rFonts w:cs="TimesNewRomanPS"/>
          <w:color w:val="000000"/>
          <w:szCs w:val="24"/>
          <w:lang w:eastAsia="en-GB"/>
        </w:rPr>
        <w:t xml:space="preserve">Pawson, R. 2013. </w:t>
      </w:r>
      <w:r>
        <w:rPr>
          <w:rFonts w:cs="TimesNewRomanPS"/>
          <w:i/>
          <w:color w:val="000000"/>
          <w:szCs w:val="24"/>
          <w:lang w:eastAsia="en-GB"/>
        </w:rPr>
        <w:t>The science of evaluation: a realist manifesto</w:t>
      </w:r>
      <w:r>
        <w:rPr>
          <w:rFonts w:cs="TimesNewRomanPS"/>
          <w:color w:val="000000"/>
          <w:szCs w:val="24"/>
          <w:lang w:eastAsia="en-GB"/>
        </w:rPr>
        <w:t>. London: Sage.</w:t>
      </w:r>
    </w:p>
    <w:p w14:paraId="3A826FB5" w14:textId="77777777" w:rsidR="00091AB0" w:rsidRPr="005B4D05" w:rsidRDefault="00091AB0" w:rsidP="00227730">
      <w:pPr>
        <w:spacing w:line="480" w:lineRule="auto"/>
        <w:ind w:left="567" w:hanging="567"/>
        <w:rPr>
          <w:rFonts w:cs="Times New Roman"/>
          <w:szCs w:val="24"/>
        </w:rPr>
      </w:pPr>
      <w:r w:rsidRPr="005B4D05">
        <w:rPr>
          <w:rFonts w:cs="Times New Roman"/>
          <w:szCs w:val="24"/>
        </w:rPr>
        <w:t xml:space="preserve">Purcell, K., P. Elias, R. Ellison, G. Atfield, D. Adam and I. Livanos. 2008. </w:t>
      </w:r>
      <w:r w:rsidRPr="005B4D05">
        <w:rPr>
          <w:rFonts w:cs="Times New Roman"/>
          <w:i/>
          <w:szCs w:val="24"/>
        </w:rPr>
        <w:t>Applying for higher education: the diversity of career choices, plans and expectations</w:t>
      </w:r>
      <w:r w:rsidRPr="005B4D05">
        <w:rPr>
          <w:rFonts w:cs="Times New Roman"/>
          <w:szCs w:val="24"/>
        </w:rPr>
        <w:t>. Coventry: Warwick Institute for Employment Research.</w:t>
      </w:r>
    </w:p>
    <w:p w14:paraId="39044A0C" w14:textId="77777777" w:rsidR="00091AB0" w:rsidRDefault="00091AB0" w:rsidP="00227730">
      <w:pPr>
        <w:spacing w:line="480" w:lineRule="auto"/>
        <w:ind w:left="567" w:hanging="567"/>
        <w:rPr>
          <w:szCs w:val="24"/>
        </w:rPr>
      </w:pPr>
      <w:r w:rsidRPr="005B4D05">
        <w:rPr>
          <w:szCs w:val="24"/>
        </w:rPr>
        <w:t xml:space="preserve">Reed, R. and B. Hurd. In press. A value beyond money? Assessing the impact of equity scholarships: from access to success, </w:t>
      </w:r>
      <w:r w:rsidRPr="00474491">
        <w:rPr>
          <w:i/>
          <w:szCs w:val="24"/>
        </w:rPr>
        <w:t>Studies in Higher Education</w:t>
      </w:r>
      <w:r w:rsidRPr="005B4D05">
        <w:rPr>
          <w:szCs w:val="24"/>
        </w:rPr>
        <w:t>, DOI: 10.1080/03075079.2014.968541.</w:t>
      </w:r>
    </w:p>
    <w:p w14:paraId="74997949" w14:textId="0629103C" w:rsidR="00F74778" w:rsidRDefault="00F74778" w:rsidP="00227730">
      <w:pPr>
        <w:spacing w:line="480" w:lineRule="auto"/>
        <w:ind w:left="567" w:hanging="567"/>
        <w:rPr>
          <w:szCs w:val="24"/>
        </w:rPr>
      </w:pPr>
      <w:r w:rsidRPr="00F74778">
        <w:rPr>
          <w:szCs w:val="24"/>
        </w:rPr>
        <w:t xml:space="preserve">Robotham, D. 2008. Stress among higher education students: towards a research agenda. </w:t>
      </w:r>
      <w:r w:rsidRPr="00F74778">
        <w:rPr>
          <w:i/>
          <w:szCs w:val="24"/>
        </w:rPr>
        <w:t>Higher Education</w:t>
      </w:r>
      <w:r w:rsidRPr="00F74778">
        <w:rPr>
          <w:szCs w:val="24"/>
        </w:rPr>
        <w:t xml:space="preserve"> 56 (6): 735-745.</w:t>
      </w:r>
    </w:p>
    <w:p w14:paraId="411B7FBE" w14:textId="696F760C" w:rsidR="003C031B" w:rsidRDefault="003C031B" w:rsidP="00227730">
      <w:pPr>
        <w:spacing w:line="480" w:lineRule="auto"/>
        <w:ind w:left="567" w:hanging="567"/>
        <w:rPr>
          <w:b/>
        </w:rPr>
      </w:pPr>
      <w:r>
        <w:rPr>
          <w:rFonts w:cs="Arial"/>
          <w:color w:val="000000"/>
          <w:szCs w:val="24"/>
        </w:rPr>
        <w:t xml:space="preserve">Scriven, M. 2009. </w:t>
      </w:r>
      <w:r>
        <w:t xml:space="preserve">Demythologising causation and evidence, in S. Donaldson, C. Christie and M. Mark (eds.) </w:t>
      </w:r>
      <w:r>
        <w:rPr>
          <w:i/>
        </w:rPr>
        <w:t>What counts as credible evidence in applied research and evaluation practice</w:t>
      </w:r>
      <w:r>
        <w:t>, Thousand Oaks: Sage.</w:t>
      </w:r>
    </w:p>
    <w:p w14:paraId="3ECED7EF" w14:textId="204CE5E0" w:rsidR="00CB6ABE" w:rsidRDefault="00CB6ABE" w:rsidP="00227730">
      <w:pPr>
        <w:spacing w:line="480" w:lineRule="auto"/>
        <w:ind w:left="567" w:hanging="567"/>
        <w:rPr>
          <w:szCs w:val="24"/>
        </w:rPr>
      </w:pPr>
      <w:r w:rsidRPr="00CB6ABE">
        <w:rPr>
          <w:szCs w:val="24"/>
        </w:rPr>
        <w:t xml:space="preserve">Slavin, R. 2004. Education research can and must address 'what works' questions. </w:t>
      </w:r>
      <w:r w:rsidRPr="00CB6ABE">
        <w:rPr>
          <w:i/>
          <w:szCs w:val="24"/>
        </w:rPr>
        <w:t>Educational Researcher</w:t>
      </w:r>
      <w:r w:rsidRPr="00CB6ABE">
        <w:rPr>
          <w:szCs w:val="24"/>
        </w:rPr>
        <w:t xml:space="preserve"> 33 (1): 27-28.</w:t>
      </w:r>
    </w:p>
    <w:p w14:paraId="203ED3C1" w14:textId="77777777" w:rsidR="00103E5E" w:rsidRDefault="00103E5E" w:rsidP="00227730">
      <w:pPr>
        <w:spacing w:line="480" w:lineRule="auto"/>
        <w:ind w:left="567" w:hanging="567"/>
        <w:rPr>
          <w:szCs w:val="24"/>
        </w:rPr>
      </w:pPr>
      <w:r w:rsidRPr="00103E5E">
        <w:rPr>
          <w:szCs w:val="24"/>
        </w:rPr>
        <w:t xml:space="preserve">Smit, R. 2012. Towards a clearer understanding of student disadvantage in higher education: problematising deficit thinking. </w:t>
      </w:r>
      <w:r w:rsidRPr="00103E5E">
        <w:rPr>
          <w:i/>
          <w:szCs w:val="24"/>
        </w:rPr>
        <w:t>Higher Education Research &amp; Development</w:t>
      </w:r>
      <w:r w:rsidRPr="00103E5E">
        <w:rPr>
          <w:szCs w:val="24"/>
        </w:rPr>
        <w:t xml:space="preserve"> 31 (3): 369-380.</w:t>
      </w:r>
    </w:p>
    <w:p w14:paraId="254E441E" w14:textId="77777777" w:rsidR="001C5945" w:rsidRPr="005B4D05" w:rsidRDefault="001C5945" w:rsidP="00227730">
      <w:pPr>
        <w:spacing w:line="480" w:lineRule="auto"/>
        <w:ind w:left="567" w:hanging="567"/>
        <w:rPr>
          <w:szCs w:val="24"/>
        </w:rPr>
      </w:pPr>
      <w:r>
        <w:t>Webster, R.</w:t>
      </w:r>
      <w:r w:rsidR="00D40FA3">
        <w:t>S.</w:t>
      </w:r>
      <w:r>
        <w:t xml:space="preserve">, 2009. How evidence-based teaching practices are challenged by a Deweyan approach to education. </w:t>
      </w:r>
      <w:r>
        <w:rPr>
          <w:i/>
          <w:iCs/>
        </w:rPr>
        <w:t>Asia-Pacific Journal of Teacher Education</w:t>
      </w:r>
      <w:r>
        <w:t xml:space="preserve"> </w:t>
      </w:r>
      <w:r w:rsidRPr="001C5945">
        <w:rPr>
          <w:iCs/>
        </w:rPr>
        <w:t xml:space="preserve">37 </w:t>
      </w:r>
      <w:r>
        <w:t>(2): 215-227.</w:t>
      </w:r>
    </w:p>
    <w:p w14:paraId="469804CC" w14:textId="77777777" w:rsidR="00091AB0" w:rsidRPr="005B4D05" w:rsidRDefault="00091AB0" w:rsidP="00227730">
      <w:pPr>
        <w:spacing w:line="480" w:lineRule="auto"/>
        <w:ind w:left="567" w:hanging="567"/>
        <w:rPr>
          <w:szCs w:val="24"/>
        </w:rPr>
      </w:pPr>
      <w:r w:rsidRPr="005B4D05">
        <w:rPr>
          <w:szCs w:val="24"/>
        </w:rPr>
        <w:t xml:space="preserve">Whitehead, J., J. Raffan and R. Deaney. 2006. University choice: What influences the decisions of academically successful post‐16 students? </w:t>
      </w:r>
      <w:r w:rsidRPr="005B4D05">
        <w:rPr>
          <w:i/>
          <w:iCs/>
          <w:szCs w:val="24"/>
        </w:rPr>
        <w:t>Higher Education Quarterly</w:t>
      </w:r>
      <w:r w:rsidRPr="005B4D05">
        <w:rPr>
          <w:szCs w:val="24"/>
        </w:rPr>
        <w:t xml:space="preserve">, </w:t>
      </w:r>
      <w:r w:rsidRPr="005B4D05">
        <w:rPr>
          <w:i/>
          <w:iCs/>
          <w:szCs w:val="24"/>
        </w:rPr>
        <w:t xml:space="preserve">60 </w:t>
      </w:r>
      <w:r w:rsidRPr="005B4D05">
        <w:rPr>
          <w:szCs w:val="24"/>
        </w:rPr>
        <w:t>(1): 4-26.</w:t>
      </w:r>
    </w:p>
    <w:p w14:paraId="50FCCE0A" w14:textId="77777777" w:rsidR="009B72C6" w:rsidRDefault="009B72C6" w:rsidP="00227730">
      <w:pPr>
        <w:spacing w:line="480" w:lineRule="auto"/>
      </w:pPr>
    </w:p>
    <w:p w14:paraId="0D793DDD" w14:textId="77777777" w:rsidR="009B72C6" w:rsidRDefault="009B72C6" w:rsidP="00227730">
      <w:pPr>
        <w:spacing w:line="480" w:lineRule="auto"/>
      </w:pPr>
    </w:p>
    <w:p w14:paraId="2963F320" w14:textId="77777777" w:rsidR="009B72C6" w:rsidRDefault="009B72C6" w:rsidP="00227730">
      <w:pPr>
        <w:spacing w:line="480" w:lineRule="auto"/>
      </w:pPr>
    </w:p>
    <w:p w14:paraId="42A59AAD" w14:textId="77777777" w:rsidR="00FC2303" w:rsidRDefault="00FC2303" w:rsidP="00227730">
      <w:pPr>
        <w:spacing w:line="480" w:lineRule="auto"/>
      </w:pPr>
    </w:p>
    <w:p w14:paraId="662BC7AC" w14:textId="77777777" w:rsidR="00FC2303" w:rsidRDefault="00FC2303" w:rsidP="00227730">
      <w:pPr>
        <w:spacing w:line="480" w:lineRule="auto"/>
      </w:pPr>
    </w:p>
    <w:p w14:paraId="7A72D17D" w14:textId="77777777" w:rsidR="009B72C6" w:rsidRPr="00737C9C" w:rsidRDefault="009B72C6" w:rsidP="00227730">
      <w:pPr>
        <w:spacing w:line="480" w:lineRule="auto"/>
      </w:pPr>
    </w:p>
    <w:sectPr w:rsidR="009B72C6" w:rsidRPr="00737C9C" w:rsidSect="007F1C6B">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3398" w14:textId="77777777" w:rsidR="00B90BB6" w:rsidRDefault="00B90BB6" w:rsidP="000B5FA7">
      <w:pPr>
        <w:spacing w:line="240" w:lineRule="auto"/>
      </w:pPr>
      <w:r>
        <w:separator/>
      </w:r>
    </w:p>
  </w:endnote>
  <w:endnote w:type="continuationSeparator" w:id="0">
    <w:p w14:paraId="4ADE3DD9" w14:textId="77777777" w:rsidR="00B90BB6" w:rsidRDefault="00B90BB6" w:rsidP="000B5FA7">
      <w:pPr>
        <w:spacing w:line="240" w:lineRule="auto"/>
      </w:pPr>
      <w:r>
        <w:continuationSeparator/>
      </w:r>
    </w:p>
  </w:endnote>
  <w:endnote w:id="1">
    <w:p w14:paraId="7F645AEF" w14:textId="77777777" w:rsidR="000B5FA7" w:rsidRDefault="000B5FA7">
      <w:pPr>
        <w:pStyle w:val="EndnoteText"/>
      </w:pPr>
      <w:r>
        <w:rPr>
          <w:rStyle w:val="EndnoteReference"/>
        </w:rPr>
        <w:endnoteRef/>
      </w:r>
      <w:r>
        <w:t xml:space="preserve"> This works from the income of the student’s parent(s) if they are under 25 or their own household if they are 25 or over or otherwise deemed to be independent of their parents.  A number of algorithmic deductions are then made (e.g. for multiple siblings in higher education) before arriving at the ‘residual household income’ figure which is used to determine government financial support and passed to universities (if the student gives permission) to determine bursary eligibility.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dvP8585">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Yu Gothic Light">
    <w:altName w:val="MS PMincho"/>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09EFA" w14:textId="77777777" w:rsidR="00B90BB6" w:rsidRDefault="00B90BB6" w:rsidP="000B5FA7">
      <w:pPr>
        <w:spacing w:line="240" w:lineRule="auto"/>
      </w:pPr>
      <w:r>
        <w:separator/>
      </w:r>
    </w:p>
  </w:footnote>
  <w:footnote w:type="continuationSeparator" w:id="0">
    <w:p w14:paraId="347E96ED" w14:textId="77777777" w:rsidR="00B90BB6" w:rsidRDefault="00B90BB6" w:rsidP="000B5F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221C"/>
    <w:multiLevelType w:val="hybridMultilevel"/>
    <w:tmpl w:val="75D8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C72AC"/>
    <w:multiLevelType w:val="hybridMultilevel"/>
    <w:tmpl w:val="37668EF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1A31A5C"/>
    <w:multiLevelType w:val="hybridMultilevel"/>
    <w:tmpl w:val="DFF4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79038E"/>
    <w:multiLevelType w:val="hybridMultilevel"/>
    <w:tmpl w:val="FE8A8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67"/>
    <w:rsid w:val="000052C8"/>
    <w:rsid w:val="000064EA"/>
    <w:rsid w:val="000068C7"/>
    <w:rsid w:val="00013864"/>
    <w:rsid w:val="0001406A"/>
    <w:rsid w:val="00014829"/>
    <w:rsid w:val="00017C38"/>
    <w:rsid w:val="00020C17"/>
    <w:rsid w:val="00024241"/>
    <w:rsid w:val="00027815"/>
    <w:rsid w:val="000313F7"/>
    <w:rsid w:val="00035A1B"/>
    <w:rsid w:val="00042CD2"/>
    <w:rsid w:val="00042DF0"/>
    <w:rsid w:val="00043E10"/>
    <w:rsid w:val="000440A6"/>
    <w:rsid w:val="0004470D"/>
    <w:rsid w:val="00045C69"/>
    <w:rsid w:val="000504BC"/>
    <w:rsid w:val="00050E2A"/>
    <w:rsid w:val="000615B5"/>
    <w:rsid w:val="0006241C"/>
    <w:rsid w:val="00071A58"/>
    <w:rsid w:val="00072724"/>
    <w:rsid w:val="000830D6"/>
    <w:rsid w:val="000834FD"/>
    <w:rsid w:val="00085FEE"/>
    <w:rsid w:val="00091AB0"/>
    <w:rsid w:val="00092017"/>
    <w:rsid w:val="00095ABA"/>
    <w:rsid w:val="00097C59"/>
    <w:rsid w:val="000A28CA"/>
    <w:rsid w:val="000A6460"/>
    <w:rsid w:val="000A6E86"/>
    <w:rsid w:val="000A7DC7"/>
    <w:rsid w:val="000B3888"/>
    <w:rsid w:val="000B46E8"/>
    <w:rsid w:val="000B5FA7"/>
    <w:rsid w:val="000C0A7F"/>
    <w:rsid w:val="000C1C90"/>
    <w:rsid w:val="000C6DFF"/>
    <w:rsid w:val="000D0127"/>
    <w:rsid w:val="000D1D8C"/>
    <w:rsid w:val="000D24F6"/>
    <w:rsid w:val="000D540C"/>
    <w:rsid w:val="000D5888"/>
    <w:rsid w:val="000D590A"/>
    <w:rsid w:val="000D68E9"/>
    <w:rsid w:val="000D71A2"/>
    <w:rsid w:val="000E1CA4"/>
    <w:rsid w:val="000E23DB"/>
    <w:rsid w:val="000E38CC"/>
    <w:rsid w:val="000F3030"/>
    <w:rsid w:val="00103E5E"/>
    <w:rsid w:val="0010495B"/>
    <w:rsid w:val="00114B85"/>
    <w:rsid w:val="001156D7"/>
    <w:rsid w:val="00120E9D"/>
    <w:rsid w:val="00123F86"/>
    <w:rsid w:val="00127C54"/>
    <w:rsid w:val="001306E0"/>
    <w:rsid w:val="00134167"/>
    <w:rsid w:val="00134FDA"/>
    <w:rsid w:val="001437DE"/>
    <w:rsid w:val="00143D1B"/>
    <w:rsid w:val="001470BD"/>
    <w:rsid w:val="001548DA"/>
    <w:rsid w:val="0015593B"/>
    <w:rsid w:val="001729F3"/>
    <w:rsid w:val="001757E5"/>
    <w:rsid w:val="00175D7F"/>
    <w:rsid w:val="001828A4"/>
    <w:rsid w:val="00183F2F"/>
    <w:rsid w:val="001867FF"/>
    <w:rsid w:val="00186DDF"/>
    <w:rsid w:val="00193A4B"/>
    <w:rsid w:val="001A2616"/>
    <w:rsid w:val="001A365E"/>
    <w:rsid w:val="001A7541"/>
    <w:rsid w:val="001A772C"/>
    <w:rsid w:val="001B1100"/>
    <w:rsid w:val="001B284C"/>
    <w:rsid w:val="001B6832"/>
    <w:rsid w:val="001C5945"/>
    <w:rsid w:val="001C6E00"/>
    <w:rsid w:val="001C767A"/>
    <w:rsid w:val="001D3767"/>
    <w:rsid w:val="001D66AB"/>
    <w:rsid w:val="001E2111"/>
    <w:rsid w:val="001E27DC"/>
    <w:rsid w:val="001F0F61"/>
    <w:rsid w:val="001F1A9A"/>
    <w:rsid w:val="001F3E71"/>
    <w:rsid w:val="001F4144"/>
    <w:rsid w:val="002001E2"/>
    <w:rsid w:val="00200F45"/>
    <w:rsid w:val="00207AE5"/>
    <w:rsid w:val="002220CA"/>
    <w:rsid w:val="0022247B"/>
    <w:rsid w:val="0022541E"/>
    <w:rsid w:val="00227730"/>
    <w:rsid w:val="00231FB5"/>
    <w:rsid w:val="00234325"/>
    <w:rsid w:val="0023700F"/>
    <w:rsid w:val="00240020"/>
    <w:rsid w:val="00241348"/>
    <w:rsid w:val="002468C7"/>
    <w:rsid w:val="0024726D"/>
    <w:rsid w:val="00253A22"/>
    <w:rsid w:val="002576C5"/>
    <w:rsid w:val="002601E9"/>
    <w:rsid w:val="00260733"/>
    <w:rsid w:val="00260A04"/>
    <w:rsid w:val="00271447"/>
    <w:rsid w:val="00280133"/>
    <w:rsid w:val="002816C6"/>
    <w:rsid w:val="002837A6"/>
    <w:rsid w:val="0028428E"/>
    <w:rsid w:val="00286710"/>
    <w:rsid w:val="002973CB"/>
    <w:rsid w:val="002977F4"/>
    <w:rsid w:val="002A4EB9"/>
    <w:rsid w:val="002A5C3B"/>
    <w:rsid w:val="002A6353"/>
    <w:rsid w:val="002B3F71"/>
    <w:rsid w:val="002B5BC2"/>
    <w:rsid w:val="002B71D5"/>
    <w:rsid w:val="002B7575"/>
    <w:rsid w:val="002C201B"/>
    <w:rsid w:val="002C3F35"/>
    <w:rsid w:val="002C4713"/>
    <w:rsid w:val="002C7B34"/>
    <w:rsid w:val="002D4280"/>
    <w:rsid w:val="002E0213"/>
    <w:rsid w:val="002E096B"/>
    <w:rsid w:val="002E0B61"/>
    <w:rsid w:val="002E17DA"/>
    <w:rsid w:val="002E7228"/>
    <w:rsid w:val="002E7894"/>
    <w:rsid w:val="002F2051"/>
    <w:rsid w:val="002F5B4E"/>
    <w:rsid w:val="002F7DE0"/>
    <w:rsid w:val="00303C28"/>
    <w:rsid w:val="00305193"/>
    <w:rsid w:val="00305D03"/>
    <w:rsid w:val="003251C2"/>
    <w:rsid w:val="00326B17"/>
    <w:rsid w:val="003275DD"/>
    <w:rsid w:val="00330E91"/>
    <w:rsid w:val="003345E1"/>
    <w:rsid w:val="00334BA4"/>
    <w:rsid w:val="00337314"/>
    <w:rsid w:val="003402DF"/>
    <w:rsid w:val="003425BA"/>
    <w:rsid w:val="00343ABE"/>
    <w:rsid w:val="00345379"/>
    <w:rsid w:val="0034781D"/>
    <w:rsid w:val="00354A00"/>
    <w:rsid w:val="00357321"/>
    <w:rsid w:val="003601C6"/>
    <w:rsid w:val="00364F66"/>
    <w:rsid w:val="00365658"/>
    <w:rsid w:val="00367866"/>
    <w:rsid w:val="00370905"/>
    <w:rsid w:val="003723EE"/>
    <w:rsid w:val="00372850"/>
    <w:rsid w:val="00381F08"/>
    <w:rsid w:val="00382B7C"/>
    <w:rsid w:val="00383366"/>
    <w:rsid w:val="00385BF8"/>
    <w:rsid w:val="003963BA"/>
    <w:rsid w:val="003A3D8C"/>
    <w:rsid w:val="003A49B4"/>
    <w:rsid w:val="003B08EB"/>
    <w:rsid w:val="003B32D0"/>
    <w:rsid w:val="003C031B"/>
    <w:rsid w:val="003C1708"/>
    <w:rsid w:val="003C2AA1"/>
    <w:rsid w:val="003C63B0"/>
    <w:rsid w:val="003C72B6"/>
    <w:rsid w:val="003C7ECA"/>
    <w:rsid w:val="003D1C20"/>
    <w:rsid w:val="003E0E96"/>
    <w:rsid w:val="003E1985"/>
    <w:rsid w:val="003F259A"/>
    <w:rsid w:val="003F40D3"/>
    <w:rsid w:val="003F635E"/>
    <w:rsid w:val="0040003C"/>
    <w:rsid w:val="00400FE6"/>
    <w:rsid w:val="00403CB0"/>
    <w:rsid w:val="004057F8"/>
    <w:rsid w:val="00413238"/>
    <w:rsid w:val="00426D25"/>
    <w:rsid w:val="00427D11"/>
    <w:rsid w:val="00432304"/>
    <w:rsid w:val="0044034D"/>
    <w:rsid w:val="004405D1"/>
    <w:rsid w:val="004464E7"/>
    <w:rsid w:val="00450194"/>
    <w:rsid w:val="00451749"/>
    <w:rsid w:val="00452083"/>
    <w:rsid w:val="00453B42"/>
    <w:rsid w:val="004616A7"/>
    <w:rsid w:val="00466A30"/>
    <w:rsid w:val="00466E7C"/>
    <w:rsid w:val="00466FDD"/>
    <w:rsid w:val="00472926"/>
    <w:rsid w:val="00477FB1"/>
    <w:rsid w:val="00481329"/>
    <w:rsid w:val="004867BD"/>
    <w:rsid w:val="004877C7"/>
    <w:rsid w:val="00487828"/>
    <w:rsid w:val="00487A78"/>
    <w:rsid w:val="00487D08"/>
    <w:rsid w:val="004A2FC5"/>
    <w:rsid w:val="004A4EA9"/>
    <w:rsid w:val="004A4F3A"/>
    <w:rsid w:val="004A72FC"/>
    <w:rsid w:val="004B09A5"/>
    <w:rsid w:val="004B177A"/>
    <w:rsid w:val="004B2655"/>
    <w:rsid w:val="004B6B6F"/>
    <w:rsid w:val="004B7867"/>
    <w:rsid w:val="004C3566"/>
    <w:rsid w:val="004C3675"/>
    <w:rsid w:val="004D6BC2"/>
    <w:rsid w:val="004D7D61"/>
    <w:rsid w:val="004E1879"/>
    <w:rsid w:val="004E3160"/>
    <w:rsid w:val="004E55E5"/>
    <w:rsid w:val="004F0042"/>
    <w:rsid w:val="004F0CF3"/>
    <w:rsid w:val="004F1C13"/>
    <w:rsid w:val="004F74C5"/>
    <w:rsid w:val="005006D2"/>
    <w:rsid w:val="00507A6D"/>
    <w:rsid w:val="00510A23"/>
    <w:rsid w:val="00512F10"/>
    <w:rsid w:val="00514A37"/>
    <w:rsid w:val="0051612C"/>
    <w:rsid w:val="005165AA"/>
    <w:rsid w:val="00521519"/>
    <w:rsid w:val="005230EC"/>
    <w:rsid w:val="00523A43"/>
    <w:rsid w:val="00524FC1"/>
    <w:rsid w:val="00525670"/>
    <w:rsid w:val="00527C04"/>
    <w:rsid w:val="0053147F"/>
    <w:rsid w:val="005333C6"/>
    <w:rsid w:val="00543653"/>
    <w:rsid w:val="005458A8"/>
    <w:rsid w:val="00556EEE"/>
    <w:rsid w:val="00561906"/>
    <w:rsid w:val="00564B20"/>
    <w:rsid w:val="00564CDC"/>
    <w:rsid w:val="00566967"/>
    <w:rsid w:val="00570EBD"/>
    <w:rsid w:val="00571231"/>
    <w:rsid w:val="005714B1"/>
    <w:rsid w:val="005720A8"/>
    <w:rsid w:val="00574D76"/>
    <w:rsid w:val="00575ABA"/>
    <w:rsid w:val="00582C0F"/>
    <w:rsid w:val="0058354B"/>
    <w:rsid w:val="005839A4"/>
    <w:rsid w:val="005902AA"/>
    <w:rsid w:val="005A2B50"/>
    <w:rsid w:val="005A46D4"/>
    <w:rsid w:val="005A4ADD"/>
    <w:rsid w:val="005A574F"/>
    <w:rsid w:val="005B0842"/>
    <w:rsid w:val="005C2EA5"/>
    <w:rsid w:val="005C495C"/>
    <w:rsid w:val="005C5181"/>
    <w:rsid w:val="005D151A"/>
    <w:rsid w:val="005D362E"/>
    <w:rsid w:val="005E5274"/>
    <w:rsid w:val="005E7867"/>
    <w:rsid w:val="005E7968"/>
    <w:rsid w:val="005E7D23"/>
    <w:rsid w:val="005F2963"/>
    <w:rsid w:val="0061043E"/>
    <w:rsid w:val="006107CC"/>
    <w:rsid w:val="00610868"/>
    <w:rsid w:val="0061255E"/>
    <w:rsid w:val="006130C6"/>
    <w:rsid w:val="00616353"/>
    <w:rsid w:val="0061739F"/>
    <w:rsid w:val="006175EF"/>
    <w:rsid w:val="00620BCA"/>
    <w:rsid w:val="006312EC"/>
    <w:rsid w:val="006314BF"/>
    <w:rsid w:val="0063178F"/>
    <w:rsid w:val="00632877"/>
    <w:rsid w:val="006377AB"/>
    <w:rsid w:val="006421E5"/>
    <w:rsid w:val="0064431A"/>
    <w:rsid w:val="00644B89"/>
    <w:rsid w:val="0064503D"/>
    <w:rsid w:val="006456DB"/>
    <w:rsid w:val="006464BE"/>
    <w:rsid w:val="00646C9E"/>
    <w:rsid w:val="00646F04"/>
    <w:rsid w:val="00647409"/>
    <w:rsid w:val="006509DB"/>
    <w:rsid w:val="00656662"/>
    <w:rsid w:val="00662E2C"/>
    <w:rsid w:val="0066361B"/>
    <w:rsid w:val="006665AF"/>
    <w:rsid w:val="00667E02"/>
    <w:rsid w:val="0067040F"/>
    <w:rsid w:val="006705C8"/>
    <w:rsid w:val="00670C5A"/>
    <w:rsid w:val="00670D35"/>
    <w:rsid w:val="0067152A"/>
    <w:rsid w:val="0067448E"/>
    <w:rsid w:val="00681C84"/>
    <w:rsid w:val="00681D8F"/>
    <w:rsid w:val="0068669F"/>
    <w:rsid w:val="00692697"/>
    <w:rsid w:val="0069662E"/>
    <w:rsid w:val="006A0A2F"/>
    <w:rsid w:val="006A388C"/>
    <w:rsid w:val="006A47E6"/>
    <w:rsid w:val="006A64BA"/>
    <w:rsid w:val="006A66C3"/>
    <w:rsid w:val="006C3994"/>
    <w:rsid w:val="006C3DDA"/>
    <w:rsid w:val="006C497F"/>
    <w:rsid w:val="006C4BA4"/>
    <w:rsid w:val="006C4E34"/>
    <w:rsid w:val="006D4573"/>
    <w:rsid w:val="006D5220"/>
    <w:rsid w:val="006E047B"/>
    <w:rsid w:val="006E4DCD"/>
    <w:rsid w:val="006E56BA"/>
    <w:rsid w:val="006E602A"/>
    <w:rsid w:val="006E639B"/>
    <w:rsid w:val="006E657D"/>
    <w:rsid w:val="006F11BF"/>
    <w:rsid w:val="006F3B1C"/>
    <w:rsid w:val="006F6554"/>
    <w:rsid w:val="006F7FED"/>
    <w:rsid w:val="0070084A"/>
    <w:rsid w:val="00711474"/>
    <w:rsid w:val="00715A78"/>
    <w:rsid w:val="00716989"/>
    <w:rsid w:val="007239F5"/>
    <w:rsid w:val="00730D5C"/>
    <w:rsid w:val="007326D4"/>
    <w:rsid w:val="00733749"/>
    <w:rsid w:val="00734F95"/>
    <w:rsid w:val="00735064"/>
    <w:rsid w:val="007352A1"/>
    <w:rsid w:val="007372E8"/>
    <w:rsid w:val="00737422"/>
    <w:rsid w:val="00737C9C"/>
    <w:rsid w:val="00742156"/>
    <w:rsid w:val="00743A5F"/>
    <w:rsid w:val="00743DD5"/>
    <w:rsid w:val="0074631E"/>
    <w:rsid w:val="0074730B"/>
    <w:rsid w:val="0075296B"/>
    <w:rsid w:val="00754389"/>
    <w:rsid w:val="00763FAD"/>
    <w:rsid w:val="0076571A"/>
    <w:rsid w:val="00770F08"/>
    <w:rsid w:val="00774E02"/>
    <w:rsid w:val="0077583F"/>
    <w:rsid w:val="00777A59"/>
    <w:rsid w:val="00783E00"/>
    <w:rsid w:val="00796517"/>
    <w:rsid w:val="007A11FF"/>
    <w:rsid w:val="007A60B2"/>
    <w:rsid w:val="007A664F"/>
    <w:rsid w:val="007A7A43"/>
    <w:rsid w:val="007A7DD6"/>
    <w:rsid w:val="007B4CE2"/>
    <w:rsid w:val="007B78DB"/>
    <w:rsid w:val="007C2160"/>
    <w:rsid w:val="007C2F1C"/>
    <w:rsid w:val="007C65BD"/>
    <w:rsid w:val="007C6FFA"/>
    <w:rsid w:val="007D056F"/>
    <w:rsid w:val="007D29B9"/>
    <w:rsid w:val="007D42B2"/>
    <w:rsid w:val="007D6BE4"/>
    <w:rsid w:val="007E167A"/>
    <w:rsid w:val="007E629B"/>
    <w:rsid w:val="007E6577"/>
    <w:rsid w:val="007E6E47"/>
    <w:rsid w:val="007F0B1F"/>
    <w:rsid w:val="007F0DCE"/>
    <w:rsid w:val="007F1C6B"/>
    <w:rsid w:val="007F2202"/>
    <w:rsid w:val="007F29EF"/>
    <w:rsid w:val="007F2DFB"/>
    <w:rsid w:val="007F4931"/>
    <w:rsid w:val="008002C3"/>
    <w:rsid w:val="008018B1"/>
    <w:rsid w:val="00807BE8"/>
    <w:rsid w:val="008118D6"/>
    <w:rsid w:val="00812096"/>
    <w:rsid w:val="00813533"/>
    <w:rsid w:val="00822DDB"/>
    <w:rsid w:val="00824E86"/>
    <w:rsid w:val="00825B09"/>
    <w:rsid w:val="00825E83"/>
    <w:rsid w:val="0082639B"/>
    <w:rsid w:val="008277E8"/>
    <w:rsid w:val="0083191D"/>
    <w:rsid w:val="00833F8F"/>
    <w:rsid w:val="00845566"/>
    <w:rsid w:val="00851E0F"/>
    <w:rsid w:val="00856008"/>
    <w:rsid w:val="008565C4"/>
    <w:rsid w:val="008615D6"/>
    <w:rsid w:val="008643E1"/>
    <w:rsid w:val="00867A25"/>
    <w:rsid w:val="00875CBD"/>
    <w:rsid w:val="0088014B"/>
    <w:rsid w:val="0088076B"/>
    <w:rsid w:val="00880F26"/>
    <w:rsid w:val="00883F16"/>
    <w:rsid w:val="00885A94"/>
    <w:rsid w:val="00896CA3"/>
    <w:rsid w:val="00897055"/>
    <w:rsid w:val="008A1F4A"/>
    <w:rsid w:val="008A2B2E"/>
    <w:rsid w:val="008A57C9"/>
    <w:rsid w:val="008A62A6"/>
    <w:rsid w:val="008A703E"/>
    <w:rsid w:val="008A7BA9"/>
    <w:rsid w:val="008B077C"/>
    <w:rsid w:val="008B2C82"/>
    <w:rsid w:val="008C1882"/>
    <w:rsid w:val="008C1B25"/>
    <w:rsid w:val="008C39AE"/>
    <w:rsid w:val="008C4185"/>
    <w:rsid w:val="008C4C40"/>
    <w:rsid w:val="008C5A6A"/>
    <w:rsid w:val="008D269C"/>
    <w:rsid w:val="008D2D72"/>
    <w:rsid w:val="008D3A9F"/>
    <w:rsid w:val="008D7353"/>
    <w:rsid w:val="008E0045"/>
    <w:rsid w:val="008E1EA9"/>
    <w:rsid w:val="008E3B88"/>
    <w:rsid w:val="008E438A"/>
    <w:rsid w:val="008E4F1A"/>
    <w:rsid w:val="008F3170"/>
    <w:rsid w:val="008F6D8A"/>
    <w:rsid w:val="008F75BB"/>
    <w:rsid w:val="009121AF"/>
    <w:rsid w:val="00912FB8"/>
    <w:rsid w:val="00914859"/>
    <w:rsid w:val="00914B18"/>
    <w:rsid w:val="00916C04"/>
    <w:rsid w:val="009179CE"/>
    <w:rsid w:val="00922D8A"/>
    <w:rsid w:val="00926E2F"/>
    <w:rsid w:val="00930FF2"/>
    <w:rsid w:val="009337BB"/>
    <w:rsid w:val="00935555"/>
    <w:rsid w:val="00935BBA"/>
    <w:rsid w:val="00935DD9"/>
    <w:rsid w:val="00941139"/>
    <w:rsid w:val="009416BF"/>
    <w:rsid w:val="00943D24"/>
    <w:rsid w:val="009448CC"/>
    <w:rsid w:val="009477E7"/>
    <w:rsid w:val="00957C11"/>
    <w:rsid w:val="00961738"/>
    <w:rsid w:val="00964DD0"/>
    <w:rsid w:val="00965734"/>
    <w:rsid w:val="009777D9"/>
    <w:rsid w:val="009803AD"/>
    <w:rsid w:val="009846C3"/>
    <w:rsid w:val="00985946"/>
    <w:rsid w:val="009910E2"/>
    <w:rsid w:val="0099197E"/>
    <w:rsid w:val="009925F8"/>
    <w:rsid w:val="00995CF0"/>
    <w:rsid w:val="00996522"/>
    <w:rsid w:val="0099660A"/>
    <w:rsid w:val="009A0AAF"/>
    <w:rsid w:val="009B20DE"/>
    <w:rsid w:val="009B38B7"/>
    <w:rsid w:val="009B3E9F"/>
    <w:rsid w:val="009B72C6"/>
    <w:rsid w:val="009C23BB"/>
    <w:rsid w:val="009C619E"/>
    <w:rsid w:val="009D7D73"/>
    <w:rsid w:val="009E0E06"/>
    <w:rsid w:val="009E3082"/>
    <w:rsid w:val="009E4A6E"/>
    <w:rsid w:val="009E5037"/>
    <w:rsid w:val="009E5903"/>
    <w:rsid w:val="009E7008"/>
    <w:rsid w:val="009E75BB"/>
    <w:rsid w:val="009E7CBB"/>
    <w:rsid w:val="009F1FE6"/>
    <w:rsid w:val="009F3884"/>
    <w:rsid w:val="009F3948"/>
    <w:rsid w:val="009F46E4"/>
    <w:rsid w:val="009F4ABF"/>
    <w:rsid w:val="009F5FC6"/>
    <w:rsid w:val="00A0113D"/>
    <w:rsid w:val="00A02214"/>
    <w:rsid w:val="00A02437"/>
    <w:rsid w:val="00A030B6"/>
    <w:rsid w:val="00A04802"/>
    <w:rsid w:val="00A05E14"/>
    <w:rsid w:val="00A0723F"/>
    <w:rsid w:val="00A07461"/>
    <w:rsid w:val="00A0792F"/>
    <w:rsid w:val="00A10726"/>
    <w:rsid w:val="00A1527C"/>
    <w:rsid w:val="00A20BFC"/>
    <w:rsid w:val="00A22814"/>
    <w:rsid w:val="00A25E60"/>
    <w:rsid w:val="00A31D9D"/>
    <w:rsid w:val="00A35D58"/>
    <w:rsid w:val="00A3745C"/>
    <w:rsid w:val="00A4134D"/>
    <w:rsid w:val="00A45C05"/>
    <w:rsid w:val="00A553B9"/>
    <w:rsid w:val="00A554A1"/>
    <w:rsid w:val="00A6437D"/>
    <w:rsid w:val="00A65A50"/>
    <w:rsid w:val="00A667AB"/>
    <w:rsid w:val="00A709A6"/>
    <w:rsid w:val="00A72B6A"/>
    <w:rsid w:val="00A7326B"/>
    <w:rsid w:val="00A73BF3"/>
    <w:rsid w:val="00A756AC"/>
    <w:rsid w:val="00A77322"/>
    <w:rsid w:val="00A81E21"/>
    <w:rsid w:val="00A84238"/>
    <w:rsid w:val="00A84EBA"/>
    <w:rsid w:val="00A865E2"/>
    <w:rsid w:val="00A86C7F"/>
    <w:rsid w:val="00AA3392"/>
    <w:rsid w:val="00AB19B0"/>
    <w:rsid w:val="00AB48AC"/>
    <w:rsid w:val="00AB4E8B"/>
    <w:rsid w:val="00AC6B62"/>
    <w:rsid w:val="00AC779C"/>
    <w:rsid w:val="00AD4E6B"/>
    <w:rsid w:val="00AD7DE1"/>
    <w:rsid w:val="00AE1759"/>
    <w:rsid w:val="00AE1CEA"/>
    <w:rsid w:val="00AE38DB"/>
    <w:rsid w:val="00AE3CA9"/>
    <w:rsid w:val="00AE5369"/>
    <w:rsid w:val="00AF06F6"/>
    <w:rsid w:val="00AF0C77"/>
    <w:rsid w:val="00AF3FEC"/>
    <w:rsid w:val="00B00D51"/>
    <w:rsid w:val="00B012C1"/>
    <w:rsid w:val="00B066CD"/>
    <w:rsid w:val="00B1359F"/>
    <w:rsid w:val="00B1365F"/>
    <w:rsid w:val="00B16BA1"/>
    <w:rsid w:val="00B17639"/>
    <w:rsid w:val="00B2259C"/>
    <w:rsid w:val="00B22EFD"/>
    <w:rsid w:val="00B3044D"/>
    <w:rsid w:val="00B337D3"/>
    <w:rsid w:val="00B3719E"/>
    <w:rsid w:val="00B37C8E"/>
    <w:rsid w:val="00B639A7"/>
    <w:rsid w:val="00B7696C"/>
    <w:rsid w:val="00B77B3F"/>
    <w:rsid w:val="00B77E74"/>
    <w:rsid w:val="00B8377A"/>
    <w:rsid w:val="00B84116"/>
    <w:rsid w:val="00B8411B"/>
    <w:rsid w:val="00B90BB6"/>
    <w:rsid w:val="00B91436"/>
    <w:rsid w:val="00B97653"/>
    <w:rsid w:val="00BA13AD"/>
    <w:rsid w:val="00BA3AEA"/>
    <w:rsid w:val="00BA6AE3"/>
    <w:rsid w:val="00BA6DA4"/>
    <w:rsid w:val="00BB18B2"/>
    <w:rsid w:val="00BB4744"/>
    <w:rsid w:val="00BB4DCA"/>
    <w:rsid w:val="00BB67AF"/>
    <w:rsid w:val="00BB70DC"/>
    <w:rsid w:val="00BB7627"/>
    <w:rsid w:val="00BC5BF4"/>
    <w:rsid w:val="00BD3110"/>
    <w:rsid w:val="00BD4F00"/>
    <w:rsid w:val="00BD67C1"/>
    <w:rsid w:val="00BE102D"/>
    <w:rsid w:val="00BE1A1B"/>
    <w:rsid w:val="00BE2386"/>
    <w:rsid w:val="00BE4BEA"/>
    <w:rsid w:val="00BF02FB"/>
    <w:rsid w:val="00BF1EC7"/>
    <w:rsid w:val="00BF5C9E"/>
    <w:rsid w:val="00C00460"/>
    <w:rsid w:val="00C0609C"/>
    <w:rsid w:val="00C06E17"/>
    <w:rsid w:val="00C076EE"/>
    <w:rsid w:val="00C11019"/>
    <w:rsid w:val="00C138CE"/>
    <w:rsid w:val="00C166C8"/>
    <w:rsid w:val="00C23DD5"/>
    <w:rsid w:val="00C23FF9"/>
    <w:rsid w:val="00C2424B"/>
    <w:rsid w:val="00C27626"/>
    <w:rsid w:val="00C27912"/>
    <w:rsid w:val="00C35438"/>
    <w:rsid w:val="00C406ED"/>
    <w:rsid w:val="00C412E1"/>
    <w:rsid w:val="00C50EE3"/>
    <w:rsid w:val="00C53413"/>
    <w:rsid w:val="00C5464A"/>
    <w:rsid w:val="00C62787"/>
    <w:rsid w:val="00C63031"/>
    <w:rsid w:val="00C71AB6"/>
    <w:rsid w:val="00C73691"/>
    <w:rsid w:val="00C73EBE"/>
    <w:rsid w:val="00C767B9"/>
    <w:rsid w:val="00C802F0"/>
    <w:rsid w:val="00C82B7D"/>
    <w:rsid w:val="00C90C1A"/>
    <w:rsid w:val="00C95FF9"/>
    <w:rsid w:val="00CA2C2E"/>
    <w:rsid w:val="00CA5B42"/>
    <w:rsid w:val="00CB4E06"/>
    <w:rsid w:val="00CB5801"/>
    <w:rsid w:val="00CB5B88"/>
    <w:rsid w:val="00CB6ABE"/>
    <w:rsid w:val="00CC393E"/>
    <w:rsid w:val="00CD3EC0"/>
    <w:rsid w:val="00CE2B06"/>
    <w:rsid w:val="00CE774A"/>
    <w:rsid w:val="00CF1E6D"/>
    <w:rsid w:val="00CF2156"/>
    <w:rsid w:val="00CF5B47"/>
    <w:rsid w:val="00CF600A"/>
    <w:rsid w:val="00D00F3B"/>
    <w:rsid w:val="00D01EED"/>
    <w:rsid w:val="00D043BD"/>
    <w:rsid w:val="00D052D1"/>
    <w:rsid w:val="00D12F2D"/>
    <w:rsid w:val="00D16C19"/>
    <w:rsid w:val="00D22EFA"/>
    <w:rsid w:val="00D23AE7"/>
    <w:rsid w:val="00D2547B"/>
    <w:rsid w:val="00D259E1"/>
    <w:rsid w:val="00D27E82"/>
    <w:rsid w:val="00D35561"/>
    <w:rsid w:val="00D40930"/>
    <w:rsid w:val="00D40FA3"/>
    <w:rsid w:val="00D4200F"/>
    <w:rsid w:val="00D42D9D"/>
    <w:rsid w:val="00D449D1"/>
    <w:rsid w:val="00D472BD"/>
    <w:rsid w:val="00D51758"/>
    <w:rsid w:val="00D53A4D"/>
    <w:rsid w:val="00D53F12"/>
    <w:rsid w:val="00D60C44"/>
    <w:rsid w:val="00D621A6"/>
    <w:rsid w:val="00D639C8"/>
    <w:rsid w:val="00D70400"/>
    <w:rsid w:val="00D73607"/>
    <w:rsid w:val="00D74640"/>
    <w:rsid w:val="00D82E5D"/>
    <w:rsid w:val="00D85AF3"/>
    <w:rsid w:val="00D86782"/>
    <w:rsid w:val="00D87EC0"/>
    <w:rsid w:val="00D92A34"/>
    <w:rsid w:val="00D93F67"/>
    <w:rsid w:val="00D95AFE"/>
    <w:rsid w:val="00D96CD6"/>
    <w:rsid w:val="00DA70F7"/>
    <w:rsid w:val="00DC00DD"/>
    <w:rsid w:val="00DC08BA"/>
    <w:rsid w:val="00DC1733"/>
    <w:rsid w:val="00DC209F"/>
    <w:rsid w:val="00DC45DE"/>
    <w:rsid w:val="00DC5B12"/>
    <w:rsid w:val="00DD2498"/>
    <w:rsid w:val="00DD3BCC"/>
    <w:rsid w:val="00DD4D46"/>
    <w:rsid w:val="00DE0541"/>
    <w:rsid w:val="00DE4542"/>
    <w:rsid w:val="00DE68DD"/>
    <w:rsid w:val="00DE71F8"/>
    <w:rsid w:val="00DE72C0"/>
    <w:rsid w:val="00DF2A27"/>
    <w:rsid w:val="00DF2BD5"/>
    <w:rsid w:val="00DF5450"/>
    <w:rsid w:val="00DF67E5"/>
    <w:rsid w:val="00DF7193"/>
    <w:rsid w:val="00DF7E88"/>
    <w:rsid w:val="00E011D1"/>
    <w:rsid w:val="00E049AE"/>
    <w:rsid w:val="00E061B2"/>
    <w:rsid w:val="00E12D02"/>
    <w:rsid w:val="00E147B9"/>
    <w:rsid w:val="00E1774C"/>
    <w:rsid w:val="00E17CFC"/>
    <w:rsid w:val="00E208ED"/>
    <w:rsid w:val="00E22586"/>
    <w:rsid w:val="00E269D9"/>
    <w:rsid w:val="00E26D0C"/>
    <w:rsid w:val="00E33FF7"/>
    <w:rsid w:val="00E377C7"/>
    <w:rsid w:val="00E47F1D"/>
    <w:rsid w:val="00E521A2"/>
    <w:rsid w:val="00E5667A"/>
    <w:rsid w:val="00E612C2"/>
    <w:rsid w:val="00E62F6D"/>
    <w:rsid w:val="00E63656"/>
    <w:rsid w:val="00E71A4D"/>
    <w:rsid w:val="00E77368"/>
    <w:rsid w:val="00E80214"/>
    <w:rsid w:val="00E93744"/>
    <w:rsid w:val="00E97E7E"/>
    <w:rsid w:val="00EA2CF9"/>
    <w:rsid w:val="00EA36BA"/>
    <w:rsid w:val="00EA4ED7"/>
    <w:rsid w:val="00EA7476"/>
    <w:rsid w:val="00EA76EE"/>
    <w:rsid w:val="00EB50C5"/>
    <w:rsid w:val="00EB6A32"/>
    <w:rsid w:val="00EB6F79"/>
    <w:rsid w:val="00EB7308"/>
    <w:rsid w:val="00EC22EB"/>
    <w:rsid w:val="00EC471D"/>
    <w:rsid w:val="00EC6F84"/>
    <w:rsid w:val="00ED021A"/>
    <w:rsid w:val="00ED356B"/>
    <w:rsid w:val="00ED526D"/>
    <w:rsid w:val="00EE3CAB"/>
    <w:rsid w:val="00EE5F0C"/>
    <w:rsid w:val="00EE6699"/>
    <w:rsid w:val="00EE6AE1"/>
    <w:rsid w:val="00EE704D"/>
    <w:rsid w:val="00EF011A"/>
    <w:rsid w:val="00EF30C4"/>
    <w:rsid w:val="00EF3F34"/>
    <w:rsid w:val="00EF7CE1"/>
    <w:rsid w:val="00F01078"/>
    <w:rsid w:val="00F0225E"/>
    <w:rsid w:val="00F036C7"/>
    <w:rsid w:val="00F0378B"/>
    <w:rsid w:val="00F048DF"/>
    <w:rsid w:val="00F0667A"/>
    <w:rsid w:val="00F14710"/>
    <w:rsid w:val="00F15EB2"/>
    <w:rsid w:val="00F225BE"/>
    <w:rsid w:val="00F31400"/>
    <w:rsid w:val="00F4309B"/>
    <w:rsid w:val="00F43246"/>
    <w:rsid w:val="00F44D4D"/>
    <w:rsid w:val="00F527B2"/>
    <w:rsid w:val="00F575F4"/>
    <w:rsid w:val="00F6347E"/>
    <w:rsid w:val="00F65FE1"/>
    <w:rsid w:val="00F667E6"/>
    <w:rsid w:val="00F74778"/>
    <w:rsid w:val="00F8284F"/>
    <w:rsid w:val="00F82C5C"/>
    <w:rsid w:val="00F865BD"/>
    <w:rsid w:val="00F86713"/>
    <w:rsid w:val="00F86F87"/>
    <w:rsid w:val="00F90648"/>
    <w:rsid w:val="00F91BE3"/>
    <w:rsid w:val="00F95456"/>
    <w:rsid w:val="00F95476"/>
    <w:rsid w:val="00FA1A49"/>
    <w:rsid w:val="00FA257D"/>
    <w:rsid w:val="00FC1D30"/>
    <w:rsid w:val="00FC2303"/>
    <w:rsid w:val="00FD3FA4"/>
    <w:rsid w:val="00FE0A91"/>
    <w:rsid w:val="00FE165B"/>
    <w:rsid w:val="00FE2DEF"/>
    <w:rsid w:val="00FE416D"/>
    <w:rsid w:val="00FE5F2B"/>
    <w:rsid w:val="00FF0BD9"/>
    <w:rsid w:val="00FF0F49"/>
    <w:rsid w:val="00FF13BF"/>
    <w:rsid w:val="00FF44F7"/>
    <w:rsid w:val="00FF64E0"/>
    <w:rsid w:val="00FF73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1BA7"/>
  <w15:docId w15:val="{7384DBA6-4FB0-445A-BBF0-BE06349C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3F35"/>
    <w:rPr>
      <w:sz w:val="16"/>
      <w:szCs w:val="16"/>
    </w:rPr>
  </w:style>
  <w:style w:type="paragraph" w:styleId="CommentText">
    <w:name w:val="annotation text"/>
    <w:basedOn w:val="Normal"/>
    <w:link w:val="CommentTextChar"/>
    <w:uiPriority w:val="99"/>
    <w:semiHidden/>
    <w:rsid w:val="002C3F35"/>
    <w:pPr>
      <w:spacing w:after="240" w:line="240" w:lineRule="auto"/>
    </w:pPr>
    <w:rPr>
      <w:rFonts w:ascii="Arial" w:eastAsia="MS ??" w:hAnsi="Arial" w:cs="Arial"/>
      <w:sz w:val="20"/>
      <w:szCs w:val="20"/>
      <w:lang w:eastAsia="ja-JP"/>
    </w:rPr>
  </w:style>
  <w:style w:type="character" w:customStyle="1" w:styleId="CommentTextChar">
    <w:name w:val="Comment Text Char"/>
    <w:basedOn w:val="DefaultParagraphFont"/>
    <w:link w:val="CommentText"/>
    <w:uiPriority w:val="99"/>
    <w:semiHidden/>
    <w:rsid w:val="002C3F35"/>
    <w:rPr>
      <w:rFonts w:ascii="Arial" w:eastAsia="MS ??" w:hAnsi="Arial" w:cs="Arial"/>
      <w:sz w:val="20"/>
      <w:szCs w:val="20"/>
      <w:lang w:eastAsia="ja-JP"/>
    </w:rPr>
  </w:style>
  <w:style w:type="paragraph" w:styleId="BalloonText">
    <w:name w:val="Balloon Text"/>
    <w:basedOn w:val="Normal"/>
    <w:link w:val="BalloonTextChar"/>
    <w:uiPriority w:val="99"/>
    <w:semiHidden/>
    <w:unhideWhenUsed/>
    <w:rsid w:val="002C3F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35"/>
    <w:rPr>
      <w:rFonts w:ascii="Segoe UI" w:hAnsi="Segoe UI" w:cs="Segoe UI"/>
      <w:sz w:val="18"/>
      <w:szCs w:val="18"/>
    </w:rPr>
  </w:style>
  <w:style w:type="paragraph" w:styleId="ListParagraph">
    <w:name w:val="List Paragraph"/>
    <w:basedOn w:val="Normal"/>
    <w:uiPriority w:val="34"/>
    <w:qFormat/>
    <w:rsid w:val="008018B1"/>
    <w:pPr>
      <w:ind w:left="720"/>
      <w:contextualSpacing/>
    </w:pPr>
  </w:style>
  <w:style w:type="table" w:styleId="TableGrid">
    <w:name w:val="Table Grid"/>
    <w:basedOn w:val="TableNormal"/>
    <w:uiPriority w:val="39"/>
    <w:rsid w:val="00F634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91AB0"/>
    <w:pPr>
      <w:suppressAutoHyphens/>
      <w:autoSpaceDN w:val="0"/>
      <w:textAlignment w:val="baseline"/>
    </w:pPr>
    <w:rPr>
      <w:rFonts w:ascii="Calibri" w:eastAsia="Calibri" w:hAnsi="Calibri" w:cs="F"/>
      <w:kern w:val="3"/>
      <w:sz w:val="22"/>
    </w:rPr>
  </w:style>
  <w:style w:type="paragraph" w:customStyle="1" w:styleId="Default">
    <w:name w:val="Default"/>
    <w:rsid w:val="00091AB0"/>
    <w:pPr>
      <w:autoSpaceDE w:val="0"/>
      <w:autoSpaceDN w:val="0"/>
      <w:adjustRightInd w:val="0"/>
      <w:spacing w:line="240" w:lineRule="auto"/>
    </w:pPr>
    <w:rPr>
      <w:rFonts w:ascii="Arial" w:eastAsia="Times New Roman" w:hAnsi="Arial" w:cs="Arial"/>
      <w:color w:val="000000"/>
      <w:szCs w:val="24"/>
      <w:lang w:eastAsia="en-GB"/>
    </w:rPr>
  </w:style>
  <w:style w:type="character" w:styleId="HTMLCite">
    <w:name w:val="HTML Cite"/>
    <w:basedOn w:val="DefaultParagraphFont"/>
    <w:uiPriority w:val="99"/>
    <w:semiHidden/>
    <w:unhideWhenUsed/>
    <w:rsid w:val="00091AB0"/>
    <w:rPr>
      <w:i/>
      <w:iCs/>
    </w:rPr>
  </w:style>
  <w:style w:type="character" w:customStyle="1" w:styleId="nlmyear">
    <w:name w:val="nlm_year"/>
    <w:basedOn w:val="DefaultParagraphFont"/>
    <w:rsid w:val="00091AB0"/>
  </w:style>
  <w:style w:type="paragraph" w:styleId="EndnoteText">
    <w:name w:val="endnote text"/>
    <w:basedOn w:val="Normal"/>
    <w:link w:val="EndnoteTextChar"/>
    <w:uiPriority w:val="99"/>
    <w:semiHidden/>
    <w:unhideWhenUsed/>
    <w:rsid w:val="000B5FA7"/>
    <w:pPr>
      <w:spacing w:line="240" w:lineRule="auto"/>
    </w:pPr>
    <w:rPr>
      <w:sz w:val="20"/>
      <w:szCs w:val="20"/>
    </w:rPr>
  </w:style>
  <w:style w:type="character" w:customStyle="1" w:styleId="EndnoteTextChar">
    <w:name w:val="Endnote Text Char"/>
    <w:basedOn w:val="DefaultParagraphFont"/>
    <w:link w:val="EndnoteText"/>
    <w:uiPriority w:val="99"/>
    <w:semiHidden/>
    <w:rsid w:val="000B5FA7"/>
    <w:rPr>
      <w:sz w:val="20"/>
      <w:szCs w:val="20"/>
    </w:rPr>
  </w:style>
  <w:style w:type="character" w:styleId="EndnoteReference">
    <w:name w:val="endnote reference"/>
    <w:basedOn w:val="DefaultParagraphFont"/>
    <w:uiPriority w:val="99"/>
    <w:semiHidden/>
    <w:unhideWhenUsed/>
    <w:rsid w:val="000B5FA7"/>
    <w:rPr>
      <w:vertAlign w:val="superscript"/>
    </w:rPr>
  </w:style>
  <w:style w:type="character" w:styleId="Hyperlink">
    <w:name w:val="Hyperlink"/>
    <w:basedOn w:val="DefaultParagraphFont"/>
    <w:uiPriority w:val="99"/>
    <w:unhideWhenUsed/>
    <w:rsid w:val="00DE72C0"/>
    <w:rPr>
      <w:color w:val="0563C1" w:themeColor="hyperlink"/>
      <w:u w:val="single"/>
    </w:rPr>
  </w:style>
  <w:style w:type="character" w:styleId="Strong">
    <w:name w:val="Strong"/>
    <w:basedOn w:val="DefaultParagraphFont"/>
    <w:uiPriority w:val="22"/>
    <w:qFormat/>
    <w:rsid w:val="00326B17"/>
    <w:rPr>
      <w:b/>
      <w:bCs/>
    </w:rPr>
  </w:style>
  <w:style w:type="paragraph" w:styleId="CommentSubject">
    <w:name w:val="annotation subject"/>
    <w:basedOn w:val="CommentText"/>
    <w:next w:val="CommentText"/>
    <w:link w:val="CommentSubjectChar"/>
    <w:uiPriority w:val="99"/>
    <w:semiHidden/>
    <w:unhideWhenUsed/>
    <w:rsid w:val="00E269D9"/>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269D9"/>
    <w:rPr>
      <w:rFonts w:ascii="Arial" w:eastAsia="MS ??" w:hAnsi="Arial" w:cs="Arial"/>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7297-13B8-4FB5-9E00-5206E86D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9839</Words>
  <Characters>56083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Harrison</dc:creator>
  <cp:lastModifiedBy>Neil Harrison</cp:lastModifiedBy>
  <cp:revision>3</cp:revision>
  <cp:lastPrinted>2016-03-31T08:13:00Z</cp:lastPrinted>
  <dcterms:created xsi:type="dcterms:W3CDTF">2016-10-18T09:36:00Z</dcterms:created>
  <dcterms:modified xsi:type="dcterms:W3CDTF">2016-10-18T09:39:00Z</dcterms:modified>
</cp:coreProperties>
</file>