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D279" w14:textId="4ECE1BE0" w:rsidR="008D4CD1" w:rsidRPr="001D5147" w:rsidRDefault="008D4CD1" w:rsidP="008D4CD1">
      <w:pPr>
        <w:spacing w:after="0" w:line="240" w:lineRule="auto"/>
        <w:rPr>
          <w:rFonts w:ascii="Arial" w:hAnsi="Arial" w:cs="Arial"/>
          <w:b/>
          <w:sz w:val="28"/>
          <w:szCs w:val="28"/>
        </w:rPr>
      </w:pPr>
      <w:r>
        <w:rPr>
          <w:rFonts w:ascii="Arial" w:hAnsi="Arial" w:cs="Arial"/>
          <w:b/>
          <w:sz w:val="28"/>
          <w:szCs w:val="28"/>
        </w:rPr>
        <w:t>Developed-developing world partnerships for sustainable development</w:t>
      </w:r>
      <w:r w:rsidR="00224764">
        <w:rPr>
          <w:rFonts w:ascii="Arial" w:hAnsi="Arial" w:cs="Arial"/>
          <w:b/>
          <w:sz w:val="28"/>
          <w:szCs w:val="28"/>
        </w:rPr>
        <w:t xml:space="preserve"> (2</w:t>
      </w:r>
      <w:r w:rsidR="00442E82">
        <w:rPr>
          <w:rFonts w:ascii="Arial" w:hAnsi="Arial" w:cs="Arial"/>
          <w:b/>
          <w:sz w:val="28"/>
          <w:szCs w:val="28"/>
        </w:rPr>
        <w:t>)</w:t>
      </w:r>
      <w:r>
        <w:rPr>
          <w:rFonts w:ascii="Arial" w:hAnsi="Arial" w:cs="Arial"/>
          <w:b/>
          <w:sz w:val="28"/>
          <w:szCs w:val="28"/>
        </w:rPr>
        <w:t xml:space="preserve">: </w:t>
      </w:r>
      <w:r w:rsidR="00091874">
        <w:rPr>
          <w:rFonts w:ascii="Arial" w:hAnsi="Arial" w:cs="Arial"/>
          <w:b/>
          <w:sz w:val="28"/>
          <w:szCs w:val="28"/>
        </w:rPr>
        <w:t xml:space="preserve">an illustrative case for a </w:t>
      </w:r>
      <w:r w:rsidR="00224764">
        <w:rPr>
          <w:rFonts w:ascii="Arial" w:hAnsi="Arial" w:cs="Arial"/>
          <w:b/>
          <w:sz w:val="28"/>
          <w:szCs w:val="28"/>
        </w:rPr>
        <w:t xml:space="preserve">payments for </w:t>
      </w:r>
      <w:r>
        <w:rPr>
          <w:rFonts w:ascii="Arial" w:hAnsi="Arial" w:cs="Arial"/>
          <w:b/>
          <w:sz w:val="28"/>
          <w:szCs w:val="28"/>
        </w:rPr>
        <w:t xml:space="preserve">ecosystem services </w:t>
      </w:r>
      <w:r w:rsidR="00224764">
        <w:rPr>
          <w:rFonts w:ascii="Arial" w:hAnsi="Arial" w:cs="Arial"/>
          <w:b/>
          <w:sz w:val="28"/>
          <w:szCs w:val="28"/>
        </w:rPr>
        <w:t xml:space="preserve">(PES) </w:t>
      </w:r>
      <w:r w:rsidR="00091874">
        <w:rPr>
          <w:rFonts w:ascii="Arial" w:hAnsi="Arial" w:cs="Arial"/>
          <w:b/>
          <w:sz w:val="28"/>
          <w:szCs w:val="28"/>
        </w:rPr>
        <w:t>approach</w:t>
      </w:r>
    </w:p>
    <w:p w14:paraId="251D3769" w14:textId="77777777" w:rsidR="008D4CD1" w:rsidRPr="008D4CD1" w:rsidRDefault="008D4CD1" w:rsidP="008D4CD1">
      <w:pPr>
        <w:spacing w:after="0" w:line="240" w:lineRule="auto"/>
        <w:contextualSpacing/>
        <w:rPr>
          <w:rFonts w:ascii="Arial" w:hAnsi="Arial" w:cs="Arial"/>
          <w:sz w:val="24"/>
          <w:szCs w:val="24"/>
        </w:rPr>
      </w:pPr>
    </w:p>
    <w:p w14:paraId="6CE38D9C" w14:textId="77777777" w:rsidR="008D4CD1" w:rsidRPr="008D4CD1" w:rsidRDefault="008D4CD1" w:rsidP="008D4CD1">
      <w:pPr>
        <w:spacing w:after="0" w:line="240" w:lineRule="auto"/>
        <w:contextualSpacing/>
        <w:rPr>
          <w:rFonts w:ascii="Arial" w:hAnsi="Arial" w:cs="Arial"/>
          <w:sz w:val="24"/>
          <w:szCs w:val="24"/>
        </w:rPr>
      </w:pPr>
      <w:r w:rsidRPr="008D4CD1">
        <w:rPr>
          <w:rFonts w:ascii="Arial" w:hAnsi="Arial" w:cs="Arial"/>
          <w:b/>
          <w:sz w:val="24"/>
          <w:szCs w:val="24"/>
        </w:rPr>
        <w:t>Dr Mark Everard</w:t>
      </w:r>
      <w:r w:rsidRPr="008D4CD1">
        <w:rPr>
          <w:rFonts w:ascii="Arial" w:hAnsi="Arial" w:cs="Arial"/>
          <w:sz w:val="24"/>
          <w:szCs w:val="24"/>
        </w:rPr>
        <w:t xml:space="preserve">, </w:t>
      </w:r>
      <w:r w:rsidRPr="008D4CD1">
        <w:rPr>
          <w:rFonts w:ascii="Arial" w:eastAsia="Calibri" w:hAnsi="Arial" w:cs="Arial"/>
          <w:sz w:val="24"/>
          <w:szCs w:val="24"/>
        </w:rPr>
        <w:t>University of the West of England (UWE), Coldharbour Lane, Frenchay Campus, Bristol BS16 1QY, UK (</w:t>
      </w:r>
      <w:hyperlink r:id="rId8" w:history="1">
        <w:r w:rsidRPr="008D4CD1">
          <w:rPr>
            <w:rStyle w:val="Hyperlink"/>
            <w:rFonts w:ascii="Arial" w:hAnsi="Arial" w:cs="Arial"/>
            <w:sz w:val="24"/>
            <w:szCs w:val="24"/>
          </w:rPr>
          <w:t>mark.everard@uwe.ac.uk</w:t>
        </w:r>
      </w:hyperlink>
      <w:r w:rsidRPr="008D4CD1">
        <w:rPr>
          <w:rFonts w:ascii="Arial" w:hAnsi="Arial" w:cs="Arial"/>
          <w:sz w:val="24"/>
          <w:szCs w:val="24"/>
        </w:rPr>
        <w:t>, +44-(0)-7747-120019).</w:t>
      </w:r>
    </w:p>
    <w:p w14:paraId="456212E0" w14:textId="77777777" w:rsidR="008D4CD1" w:rsidRPr="008D4CD1" w:rsidRDefault="008D4CD1" w:rsidP="008D4CD1">
      <w:pPr>
        <w:spacing w:after="0" w:line="240" w:lineRule="auto"/>
        <w:contextualSpacing/>
        <w:rPr>
          <w:rFonts w:ascii="Arial" w:hAnsi="Arial" w:cs="Arial"/>
          <w:sz w:val="24"/>
          <w:szCs w:val="24"/>
        </w:rPr>
      </w:pPr>
    </w:p>
    <w:p w14:paraId="351B9AF6" w14:textId="3EC0738B" w:rsidR="00EC004F" w:rsidRDefault="008E1F93" w:rsidP="008E1F93">
      <w:pPr>
        <w:spacing w:after="0" w:line="240" w:lineRule="auto"/>
        <w:contextualSpacing/>
        <w:rPr>
          <w:rFonts w:ascii="Arial" w:eastAsia="Calibri" w:hAnsi="Arial" w:cs="Arial"/>
          <w:sz w:val="24"/>
          <w:szCs w:val="24"/>
        </w:rPr>
      </w:pPr>
      <w:r w:rsidRPr="00EC004F">
        <w:rPr>
          <w:rFonts w:ascii="Arial" w:hAnsi="Arial" w:cs="Arial"/>
          <w:b/>
          <w:sz w:val="24"/>
          <w:szCs w:val="24"/>
        </w:rPr>
        <w:t>Professor James Longhurst</w:t>
      </w:r>
      <w:r w:rsidR="00EC004F" w:rsidRPr="008D4CD1">
        <w:rPr>
          <w:rFonts w:ascii="Arial" w:hAnsi="Arial" w:cs="Arial"/>
          <w:sz w:val="24"/>
          <w:szCs w:val="24"/>
        </w:rPr>
        <w:t xml:space="preserve">, </w:t>
      </w:r>
      <w:r w:rsidR="00EC004F" w:rsidRPr="008D4CD1">
        <w:rPr>
          <w:rFonts w:ascii="Arial" w:eastAsia="Calibri" w:hAnsi="Arial" w:cs="Arial"/>
          <w:sz w:val="24"/>
          <w:szCs w:val="24"/>
        </w:rPr>
        <w:t>University of the West of England (UWE), Coldharbour Lane, Frenchay Campus, Bristol BS16 1QY, UK</w:t>
      </w:r>
      <w:r w:rsidR="00B108CC">
        <w:rPr>
          <w:rFonts w:ascii="Arial" w:eastAsia="Calibri" w:hAnsi="Arial" w:cs="Arial"/>
          <w:sz w:val="24"/>
          <w:szCs w:val="24"/>
        </w:rPr>
        <w:t>.</w:t>
      </w:r>
    </w:p>
    <w:p w14:paraId="7EA0EB88" w14:textId="77777777" w:rsidR="00EC004F" w:rsidRDefault="00EC004F" w:rsidP="008E1F93">
      <w:pPr>
        <w:spacing w:after="0" w:line="240" w:lineRule="auto"/>
        <w:contextualSpacing/>
        <w:rPr>
          <w:rFonts w:ascii="Arial" w:eastAsia="Calibri" w:hAnsi="Arial" w:cs="Arial"/>
          <w:sz w:val="24"/>
          <w:szCs w:val="24"/>
        </w:rPr>
      </w:pPr>
    </w:p>
    <w:p w14:paraId="23CB510A" w14:textId="1A28D893" w:rsidR="0068046C" w:rsidRDefault="0068046C" w:rsidP="0068046C">
      <w:pPr>
        <w:spacing w:after="0" w:line="240" w:lineRule="auto"/>
        <w:contextualSpacing/>
        <w:rPr>
          <w:rFonts w:ascii="Arial" w:hAnsi="Arial" w:cs="Arial"/>
          <w:sz w:val="24"/>
          <w:szCs w:val="24"/>
        </w:rPr>
      </w:pPr>
      <w:r>
        <w:rPr>
          <w:rFonts w:ascii="Arial" w:eastAsia="Calibri" w:hAnsi="Arial" w:cs="Arial"/>
          <w:b/>
          <w:sz w:val="24"/>
          <w:szCs w:val="24"/>
        </w:rPr>
        <w:t xml:space="preserve">Dr </w:t>
      </w:r>
      <w:r>
        <w:rPr>
          <w:rFonts w:ascii="Arial" w:hAnsi="Arial" w:cs="Arial"/>
          <w:b/>
          <w:sz w:val="24"/>
          <w:szCs w:val="24"/>
        </w:rPr>
        <w:t>John Pont</w:t>
      </w:r>
      <w:r w:rsidRPr="00B108CC">
        <w:rPr>
          <w:rFonts w:ascii="Arial" w:hAnsi="Arial" w:cs="Arial"/>
          <w:b/>
          <w:sz w:val="24"/>
          <w:szCs w:val="24"/>
        </w:rPr>
        <w:t>in</w:t>
      </w:r>
      <w:r w:rsidRPr="00B108CC">
        <w:rPr>
          <w:rFonts w:ascii="Arial" w:hAnsi="Arial" w:cs="Arial"/>
          <w:sz w:val="24"/>
          <w:szCs w:val="24"/>
        </w:rPr>
        <w:t>, The Converging World, c/o Bordeaux Quay, Canons Road, Bristol BS1 5UH, UK</w:t>
      </w:r>
      <w:r w:rsidR="00B108CC" w:rsidRPr="00B108CC">
        <w:rPr>
          <w:rFonts w:ascii="Arial" w:hAnsi="Arial" w:cs="Arial"/>
          <w:sz w:val="24"/>
          <w:szCs w:val="24"/>
        </w:rPr>
        <w:t>.</w:t>
      </w:r>
    </w:p>
    <w:p w14:paraId="49F0B6A9" w14:textId="77777777" w:rsidR="0068046C" w:rsidRDefault="0068046C" w:rsidP="0068046C">
      <w:pPr>
        <w:spacing w:after="0" w:line="240" w:lineRule="auto"/>
        <w:contextualSpacing/>
        <w:rPr>
          <w:rFonts w:ascii="Arial" w:hAnsi="Arial" w:cs="Arial"/>
          <w:sz w:val="24"/>
          <w:szCs w:val="24"/>
        </w:rPr>
      </w:pPr>
    </w:p>
    <w:p w14:paraId="329C5CEB" w14:textId="656F7B43" w:rsidR="0068046C" w:rsidRDefault="003511E3" w:rsidP="0068046C">
      <w:pPr>
        <w:spacing w:after="0" w:line="240" w:lineRule="auto"/>
        <w:contextualSpacing/>
        <w:rPr>
          <w:rFonts w:ascii="Arial" w:hAnsi="Arial" w:cs="Arial"/>
          <w:sz w:val="24"/>
          <w:szCs w:val="24"/>
        </w:rPr>
      </w:pPr>
      <w:r>
        <w:rPr>
          <w:rFonts w:ascii="Arial" w:hAnsi="Arial" w:cs="Arial"/>
          <w:b/>
          <w:sz w:val="24"/>
          <w:szCs w:val="24"/>
        </w:rPr>
        <w:t xml:space="preserve">Dr </w:t>
      </w:r>
      <w:r w:rsidR="0068046C">
        <w:rPr>
          <w:rFonts w:ascii="Arial" w:hAnsi="Arial" w:cs="Arial"/>
          <w:b/>
          <w:sz w:val="24"/>
          <w:szCs w:val="24"/>
        </w:rPr>
        <w:t>Wendy Stephenson</w:t>
      </w:r>
      <w:r w:rsidR="0068046C">
        <w:rPr>
          <w:rFonts w:ascii="Arial" w:hAnsi="Arial" w:cs="Arial"/>
          <w:sz w:val="24"/>
          <w:szCs w:val="24"/>
        </w:rPr>
        <w:t>, The Converging World, c/o Bordeaux Quay, Canons Road, Bristol BS1 5UH, UK</w:t>
      </w:r>
      <w:r w:rsidR="006903F1" w:rsidRPr="006903F1">
        <w:rPr>
          <w:rFonts w:ascii="Arial" w:hAnsi="Arial" w:cs="Arial"/>
          <w:color w:val="000000" w:themeColor="text1"/>
          <w:sz w:val="24"/>
          <w:szCs w:val="24"/>
        </w:rPr>
        <w:t>.</w:t>
      </w:r>
    </w:p>
    <w:p w14:paraId="33A56FF3" w14:textId="77777777" w:rsidR="0068046C" w:rsidRDefault="0068046C" w:rsidP="0068046C">
      <w:pPr>
        <w:spacing w:after="0" w:line="240" w:lineRule="auto"/>
        <w:contextualSpacing/>
        <w:rPr>
          <w:rFonts w:ascii="Arial" w:hAnsi="Arial" w:cs="Arial"/>
          <w:sz w:val="24"/>
          <w:szCs w:val="24"/>
        </w:rPr>
      </w:pPr>
    </w:p>
    <w:p w14:paraId="6CC4892D" w14:textId="653619E3" w:rsidR="0068046C" w:rsidRDefault="0068046C" w:rsidP="008C2F4B">
      <w:pPr>
        <w:spacing w:after="0" w:line="240" w:lineRule="auto"/>
        <w:contextualSpacing/>
        <w:rPr>
          <w:rFonts w:ascii="Arial" w:eastAsia="Calibri" w:hAnsi="Arial" w:cs="Arial"/>
          <w:sz w:val="24"/>
          <w:szCs w:val="24"/>
        </w:rPr>
      </w:pPr>
      <w:r>
        <w:rPr>
          <w:rFonts w:ascii="Arial" w:hAnsi="Arial" w:cs="Arial"/>
          <w:b/>
          <w:sz w:val="24"/>
          <w:szCs w:val="24"/>
        </w:rPr>
        <w:t>Joss Brooks</w:t>
      </w:r>
      <w:r>
        <w:rPr>
          <w:rFonts w:ascii="Arial" w:hAnsi="Arial" w:cs="Arial"/>
          <w:sz w:val="24"/>
          <w:szCs w:val="24"/>
        </w:rPr>
        <w:t xml:space="preserve">, </w:t>
      </w:r>
      <w:r w:rsidR="008C2F4B" w:rsidRPr="008C2F4B">
        <w:rPr>
          <w:rFonts w:ascii="Arial" w:hAnsi="Arial" w:cs="Arial"/>
          <w:sz w:val="24"/>
          <w:szCs w:val="24"/>
        </w:rPr>
        <w:t>Pitchandik</w:t>
      </w:r>
      <w:r w:rsidR="008C2F4B">
        <w:rPr>
          <w:rFonts w:ascii="Arial" w:hAnsi="Arial" w:cs="Arial"/>
          <w:sz w:val="24"/>
          <w:szCs w:val="24"/>
        </w:rPr>
        <w:t xml:space="preserve">ulam Bio Resource Centre (PBRC), Pitchandikulam Forest, Auroville 605101, </w:t>
      </w:r>
      <w:r w:rsidR="008C2F4B" w:rsidRPr="008C2F4B">
        <w:rPr>
          <w:rFonts w:ascii="Arial" w:hAnsi="Arial" w:cs="Arial"/>
          <w:sz w:val="24"/>
          <w:szCs w:val="24"/>
        </w:rPr>
        <w:t>Tamil Nadu</w:t>
      </w:r>
      <w:r w:rsidR="008C2F4B">
        <w:rPr>
          <w:rFonts w:ascii="Arial" w:hAnsi="Arial" w:cs="Arial"/>
          <w:sz w:val="24"/>
          <w:szCs w:val="24"/>
        </w:rPr>
        <w:t xml:space="preserve">, </w:t>
      </w:r>
      <w:r w:rsidR="008C2F4B" w:rsidRPr="008C2F4B">
        <w:rPr>
          <w:rFonts w:ascii="Arial" w:hAnsi="Arial" w:cs="Arial"/>
          <w:sz w:val="24"/>
          <w:szCs w:val="24"/>
        </w:rPr>
        <w:t>India</w:t>
      </w:r>
      <w:r w:rsidR="008C2F4B">
        <w:rPr>
          <w:rFonts w:ascii="Arial" w:hAnsi="Arial" w:cs="Arial"/>
          <w:sz w:val="24"/>
          <w:szCs w:val="24"/>
        </w:rPr>
        <w:t>.</w:t>
      </w:r>
    </w:p>
    <w:p w14:paraId="6E090EC1" w14:textId="77777777" w:rsidR="008E1F93" w:rsidRDefault="008E1F93" w:rsidP="008E1F93">
      <w:pPr>
        <w:spacing w:after="0" w:line="240" w:lineRule="auto"/>
        <w:contextualSpacing/>
        <w:rPr>
          <w:rFonts w:ascii="Arial" w:eastAsiaTheme="minorEastAsia" w:hAnsi="Arial" w:cs="Arial"/>
          <w:b/>
          <w:sz w:val="24"/>
          <w:szCs w:val="24"/>
        </w:rPr>
      </w:pPr>
    </w:p>
    <w:p w14:paraId="6C88035D" w14:textId="77777777" w:rsidR="008E1F93" w:rsidRPr="00082205" w:rsidRDefault="008E1F93" w:rsidP="008E1F93">
      <w:pPr>
        <w:spacing w:after="0" w:line="240" w:lineRule="auto"/>
        <w:contextualSpacing/>
        <w:rPr>
          <w:rFonts w:ascii="Arial" w:eastAsiaTheme="minorEastAsia" w:hAnsi="Arial" w:cs="Arial"/>
          <w:b/>
          <w:sz w:val="24"/>
          <w:szCs w:val="24"/>
        </w:rPr>
      </w:pPr>
    </w:p>
    <w:p w14:paraId="38F5ED5D" w14:textId="77777777" w:rsidR="008E1F93" w:rsidRPr="008D4CD1" w:rsidRDefault="008E1F93" w:rsidP="008E1F93">
      <w:pPr>
        <w:spacing w:after="0" w:line="240" w:lineRule="auto"/>
        <w:contextualSpacing/>
        <w:rPr>
          <w:rFonts w:ascii="Arial" w:hAnsi="Arial" w:cs="Arial"/>
          <w:b/>
          <w:sz w:val="24"/>
          <w:szCs w:val="24"/>
        </w:rPr>
      </w:pPr>
      <w:r w:rsidRPr="008D4CD1">
        <w:rPr>
          <w:rFonts w:ascii="Arial" w:hAnsi="Arial" w:cs="Arial"/>
          <w:b/>
          <w:sz w:val="24"/>
          <w:szCs w:val="24"/>
        </w:rPr>
        <w:t>Abstract</w:t>
      </w:r>
    </w:p>
    <w:p w14:paraId="4D9FD5E3" w14:textId="77777777" w:rsidR="008E1F93" w:rsidRDefault="008E1F93" w:rsidP="008E1F93">
      <w:pPr>
        <w:spacing w:after="0" w:line="240" w:lineRule="auto"/>
        <w:contextualSpacing/>
        <w:rPr>
          <w:rFonts w:ascii="Arial" w:hAnsi="Arial" w:cs="Arial"/>
          <w:color w:val="FF0000"/>
          <w:sz w:val="24"/>
          <w:szCs w:val="24"/>
        </w:rPr>
      </w:pPr>
    </w:p>
    <w:p w14:paraId="07DD3BC9" w14:textId="12A28371" w:rsidR="008E1F93" w:rsidRPr="00B36FCB" w:rsidRDefault="001D3376" w:rsidP="00D83D46">
      <w:pPr>
        <w:spacing w:after="0" w:line="240" w:lineRule="auto"/>
        <w:contextualSpacing/>
        <w:rPr>
          <w:rFonts w:ascii="Arial" w:hAnsi="Arial" w:cs="Arial"/>
          <w:color w:val="000000" w:themeColor="text1"/>
          <w:sz w:val="24"/>
          <w:szCs w:val="24"/>
        </w:rPr>
      </w:pPr>
      <w:r w:rsidRPr="00B36FCB">
        <w:rPr>
          <w:rFonts w:ascii="Arial" w:hAnsi="Arial" w:cs="Arial"/>
          <w:color w:val="000000" w:themeColor="text1"/>
          <w:sz w:val="24"/>
          <w:szCs w:val="24"/>
        </w:rPr>
        <w:t xml:space="preserve">The Converging World </w:t>
      </w:r>
      <w:r w:rsidR="0039502C">
        <w:rPr>
          <w:rFonts w:ascii="Arial" w:hAnsi="Arial" w:cs="Arial"/>
          <w:color w:val="000000" w:themeColor="text1"/>
          <w:sz w:val="24"/>
          <w:szCs w:val="24"/>
        </w:rPr>
        <w:t xml:space="preserve">(TCW) </w:t>
      </w:r>
      <w:r w:rsidRPr="00B36FCB">
        <w:rPr>
          <w:rFonts w:ascii="Arial" w:hAnsi="Arial" w:cs="Arial"/>
          <w:color w:val="000000" w:themeColor="text1"/>
          <w:sz w:val="24"/>
          <w:szCs w:val="24"/>
        </w:rPr>
        <w:t>developed-developing world partnership</w:t>
      </w:r>
      <w:r w:rsidR="0039502C">
        <w:rPr>
          <w:rFonts w:ascii="Arial" w:hAnsi="Arial" w:cs="Arial"/>
          <w:color w:val="000000" w:themeColor="text1"/>
          <w:sz w:val="24"/>
          <w:szCs w:val="24"/>
        </w:rPr>
        <w:t xml:space="preserve"> </w:t>
      </w:r>
      <w:r w:rsidR="0039502C" w:rsidRPr="00B36FCB">
        <w:rPr>
          <w:rFonts w:ascii="Arial" w:hAnsi="Arial" w:cs="Arial"/>
          <w:color w:val="000000" w:themeColor="text1"/>
          <w:sz w:val="24"/>
          <w:szCs w:val="24"/>
        </w:rPr>
        <w:t xml:space="preserve">model </w:t>
      </w:r>
      <w:r w:rsidRPr="00B36FCB">
        <w:rPr>
          <w:rFonts w:ascii="Arial" w:hAnsi="Arial" w:cs="Arial"/>
          <w:color w:val="000000" w:themeColor="text1"/>
          <w:sz w:val="24"/>
          <w:szCs w:val="24"/>
        </w:rPr>
        <w:t xml:space="preserve">represents a transparent approach to addressing </w:t>
      </w:r>
      <w:r w:rsidR="0039502C">
        <w:rPr>
          <w:rFonts w:ascii="Arial" w:hAnsi="Arial" w:cs="Arial"/>
          <w:color w:val="000000" w:themeColor="text1"/>
          <w:sz w:val="24"/>
          <w:szCs w:val="24"/>
        </w:rPr>
        <w:t xml:space="preserve">carbon emission management </w:t>
      </w:r>
      <w:r w:rsidRPr="00B36FCB">
        <w:rPr>
          <w:rFonts w:ascii="Arial" w:hAnsi="Arial" w:cs="Arial"/>
          <w:color w:val="000000" w:themeColor="text1"/>
          <w:sz w:val="24"/>
          <w:szCs w:val="24"/>
        </w:rPr>
        <w:t xml:space="preserve">in a mutually beneficial way, with a substantial ‘multiplier effect’ achieved though reinvestment of operating surpluses from energy generation </w:t>
      </w:r>
      <w:r w:rsidR="006634CD" w:rsidRPr="00B36FCB">
        <w:rPr>
          <w:rFonts w:ascii="Arial" w:hAnsi="Arial" w:cs="Arial"/>
          <w:color w:val="000000" w:themeColor="text1"/>
          <w:sz w:val="24"/>
          <w:szCs w:val="24"/>
        </w:rPr>
        <w:t xml:space="preserve">into tropical dry evergreen forest </w:t>
      </w:r>
      <w:r w:rsidR="0039502C">
        <w:rPr>
          <w:rFonts w:ascii="Arial" w:hAnsi="Arial" w:cs="Arial"/>
          <w:color w:val="000000" w:themeColor="text1"/>
          <w:sz w:val="24"/>
          <w:szCs w:val="24"/>
        </w:rPr>
        <w:t xml:space="preserve">(TDEF) </w:t>
      </w:r>
      <w:r w:rsidR="006634CD" w:rsidRPr="00B36FCB">
        <w:rPr>
          <w:rFonts w:ascii="Arial" w:hAnsi="Arial" w:cs="Arial"/>
          <w:color w:val="000000" w:themeColor="text1"/>
          <w:sz w:val="24"/>
          <w:szCs w:val="24"/>
        </w:rPr>
        <w:t>restoration</w:t>
      </w:r>
      <w:r w:rsidRPr="00B36FCB">
        <w:rPr>
          <w:rFonts w:ascii="Arial" w:hAnsi="Arial" w:cs="Arial"/>
          <w:color w:val="000000" w:themeColor="text1"/>
          <w:sz w:val="24"/>
          <w:szCs w:val="24"/>
        </w:rPr>
        <w:t>.</w:t>
      </w:r>
      <w:r w:rsidR="00D83D46" w:rsidRPr="00B36FCB">
        <w:rPr>
          <w:rFonts w:ascii="Arial" w:hAnsi="Arial" w:cs="Arial"/>
          <w:color w:val="000000" w:themeColor="text1"/>
          <w:sz w:val="24"/>
          <w:szCs w:val="24"/>
        </w:rPr>
        <w:t xml:space="preserve">  </w:t>
      </w:r>
      <w:r w:rsidR="0039502C">
        <w:rPr>
          <w:rFonts w:ascii="Arial" w:hAnsi="Arial" w:cs="Arial"/>
          <w:color w:val="000000" w:themeColor="text1"/>
          <w:sz w:val="24"/>
          <w:szCs w:val="24"/>
        </w:rPr>
        <w:t xml:space="preserve">Carbon dioxide is averted/sequestered at </w:t>
      </w:r>
      <w:r w:rsidR="00D83D46" w:rsidRPr="00B36FCB">
        <w:rPr>
          <w:rFonts w:ascii="Arial" w:hAnsi="Arial" w:cs="Arial"/>
          <w:color w:val="000000" w:themeColor="text1"/>
          <w:sz w:val="24"/>
          <w:szCs w:val="24"/>
        </w:rPr>
        <w:t>a theoretical cost of £0.0058 £ per tCO</w:t>
      </w:r>
      <w:r w:rsidR="00D83D46" w:rsidRPr="00B36FCB">
        <w:rPr>
          <w:rFonts w:ascii="Arial" w:hAnsi="Arial" w:cs="Arial"/>
          <w:color w:val="000000" w:themeColor="text1"/>
          <w:sz w:val="24"/>
          <w:szCs w:val="24"/>
          <w:vertAlign w:val="subscript"/>
        </w:rPr>
        <w:t>2</w:t>
      </w:r>
      <w:r w:rsidR="00D83D46" w:rsidRPr="00B36FCB">
        <w:rPr>
          <w:rFonts w:ascii="Arial" w:hAnsi="Arial" w:cs="Arial"/>
          <w:color w:val="000000" w:themeColor="text1"/>
          <w:sz w:val="24"/>
          <w:szCs w:val="24"/>
        </w:rPr>
        <w:t>e (≈ $US0.01 per tCO</w:t>
      </w:r>
      <w:r w:rsidR="00D83D46" w:rsidRPr="00B36FCB">
        <w:rPr>
          <w:rFonts w:ascii="Arial" w:hAnsi="Arial" w:cs="Arial"/>
          <w:color w:val="000000" w:themeColor="text1"/>
          <w:sz w:val="24"/>
          <w:szCs w:val="24"/>
          <w:vertAlign w:val="subscript"/>
        </w:rPr>
        <w:t>2</w:t>
      </w:r>
      <w:r w:rsidR="00D83D46" w:rsidRPr="00B36FCB">
        <w:rPr>
          <w:rFonts w:ascii="Arial" w:hAnsi="Arial" w:cs="Arial"/>
          <w:color w:val="000000" w:themeColor="text1"/>
          <w:sz w:val="24"/>
          <w:szCs w:val="24"/>
        </w:rPr>
        <w:t xml:space="preserve">e).  </w:t>
      </w:r>
      <w:r w:rsidR="0039502C">
        <w:rPr>
          <w:rFonts w:ascii="Arial" w:hAnsi="Arial" w:cs="Arial"/>
          <w:color w:val="000000" w:themeColor="text1"/>
          <w:sz w:val="24"/>
          <w:szCs w:val="24"/>
        </w:rPr>
        <w:t xml:space="preserve">For </w:t>
      </w:r>
      <w:r w:rsidR="00FE5044">
        <w:rPr>
          <w:rFonts w:ascii="Arial" w:hAnsi="Arial" w:cs="Arial"/>
          <w:color w:val="000000" w:themeColor="text1"/>
          <w:sz w:val="24"/>
          <w:szCs w:val="24"/>
        </w:rPr>
        <w:t xml:space="preserve">the </w:t>
      </w:r>
      <w:r w:rsidR="00D83D46" w:rsidRPr="00B36FCB">
        <w:rPr>
          <w:rFonts w:ascii="Arial" w:hAnsi="Arial" w:cs="Arial"/>
          <w:color w:val="000000" w:themeColor="text1"/>
          <w:sz w:val="24"/>
          <w:szCs w:val="24"/>
        </w:rPr>
        <w:t>City and County of Bristol</w:t>
      </w:r>
      <w:r w:rsidR="0039502C">
        <w:rPr>
          <w:rFonts w:ascii="Arial" w:hAnsi="Arial" w:cs="Arial"/>
          <w:color w:val="000000" w:themeColor="text1"/>
          <w:sz w:val="24"/>
          <w:szCs w:val="24"/>
        </w:rPr>
        <w:t xml:space="preserve">, </w:t>
      </w:r>
      <w:r w:rsidR="00091874">
        <w:rPr>
          <w:rFonts w:ascii="Arial" w:hAnsi="Arial" w:cs="Arial"/>
          <w:color w:val="000000" w:themeColor="text1"/>
          <w:sz w:val="24"/>
          <w:szCs w:val="24"/>
        </w:rPr>
        <w:t xml:space="preserve">England, </w:t>
      </w:r>
      <w:r w:rsidR="00D83D46" w:rsidRPr="00B36FCB">
        <w:rPr>
          <w:rFonts w:ascii="Arial" w:hAnsi="Arial" w:cs="Arial"/>
          <w:color w:val="000000" w:themeColor="text1"/>
          <w:sz w:val="24"/>
          <w:szCs w:val="24"/>
        </w:rPr>
        <w:t>cumulative century-long</w:t>
      </w:r>
      <w:r w:rsidR="00091874">
        <w:rPr>
          <w:rFonts w:ascii="Arial" w:hAnsi="Arial" w:cs="Arial"/>
          <w:color w:val="000000" w:themeColor="text1"/>
          <w:sz w:val="24"/>
          <w:szCs w:val="24"/>
        </w:rPr>
        <w:t xml:space="preserve"> </w:t>
      </w:r>
      <w:r w:rsidR="00D83D46" w:rsidRPr="00B36FCB">
        <w:rPr>
          <w:rFonts w:ascii="Arial" w:hAnsi="Arial" w:cs="Arial"/>
          <w:color w:val="000000" w:themeColor="text1"/>
          <w:sz w:val="24"/>
          <w:szCs w:val="24"/>
        </w:rPr>
        <w:t>CO</w:t>
      </w:r>
      <w:r w:rsidR="00D83D46" w:rsidRPr="00B36FCB">
        <w:rPr>
          <w:rFonts w:ascii="Arial" w:hAnsi="Arial" w:cs="Arial"/>
          <w:color w:val="000000" w:themeColor="text1"/>
          <w:sz w:val="24"/>
          <w:szCs w:val="24"/>
          <w:vertAlign w:val="subscript"/>
        </w:rPr>
        <w:t>2</w:t>
      </w:r>
      <w:r w:rsidR="00D83D46" w:rsidRPr="00B36FCB">
        <w:rPr>
          <w:rFonts w:ascii="Arial" w:hAnsi="Arial" w:cs="Arial"/>
          <w:color w:val="000000" w:themeColor="text1"/>
          <w:sz w:val="24"/>
          <w:szCs w:val="24"/>
        </w:rPr>
        <w:t>e emissions of 256,550,000 tCO</w:t>
      </w:r>
      <w:r w:rsidR="00D83D46" w:rsidRPr="00B36FCB">
        <w:rPr>
          <w:rFonts w:ascii="Arial" w:hAnsi="Arial" w:cs="Arial"/>
          <w:color w:val="000000" w:themeColor="text1"/>
          <w:sz w:val="24"/>
          <w:szCs w:val="24"/>
          <w:vertAlign w:val="subscript"/>
        </w:rPr>
        <w:t>2</w:t>
      </w:r>
      <w:r w:rsidR="00D83D46" w:rsidRPr="00B36FCB">
        <w:rPr>
          <w:rFonts w:ascii="Arial" w:hAnsi="Arial" w:cs="Arial"/>
          <w:color w:val="000000" w:themeColor="text1"/>
          <w:sz w:val="24"/>
          <w:szCs w:val="24"/>
        </w:rPr>
        <w:t>e</w:t>
      </w:r>
      <w:r w:rsidR="0039502C">
        <w:rPr>
          <w:rFonts w:ascii="Arial" w:hAnsi="Arial" w:cs="Arial"/>
          <w:color w:val="000000" w:themeColor="text1"/>
          <w:sz w:val="24"/>
          <w:szCs w:val="24"/>
        </w:rPr>
        <w:t xml:space="preserve"> could be matched by </w:t>
      </w:r>
      <w:r w:rsidR="00D83D46" w:rsidRPr="00B36FCB">
        <w:rPr>
          <w:rFonts w:ascii="Arial" w:hAnsi="Arial" w:cs="Arial"/>
          <w:color w:val="000000" w:themeColor="text1"/>
          <w:sz w:val="24"/>
          <w:szCs w:val="24"/>
        </w:rPr>
        <w:t xml:space="preserve">one-off investment of £3:56 for each of Bristol City’s 442,500 population </w:t>
      </w:r>
      <w:r w:rsidR="0039502C">
        <w:rPr>
          <w:rFonts w:ascii="Arial" w:hAnsi="Arial" w:cs="Arial"/>
          <w:color w:val="000000" w:themeColor="text1"/>
          <w:sz w:val="24"/>
          <w:szCs w:val="24"/>
        </w:rPr>
        <w:t xml:space="preserve">in commissioning a 2.1MW wind turbine in Tamil Nadu </w:t>
      </w:r>
      <w:r w:rsidR="00D83D46" w:rsidRPr="00B36FCB">
        <w:rPr>
          <w:rFonts w:ascii="Arial" w:hAnsi="Arial" w:cs="Arial"/>
          <w:color w:val="000000" w:themeColor="text1"/>
          <w:sz w:val="24"/>
          <w:szCs w:val="24"/>
        </w:rPr>
        <w:t xml:space="preserve">under the TCW model.  Similar considerations apply </w:t>
      </w:r>
      <w:r w:rsidR="0039502C">
        <w:rPr>
          <w:rFonts w:ascii="Arial" w:hAnsi="Arial" w:cs="Arial"/>
          <w:color w:val="000000" w:themeColor="text1"/>
          <w:sz w:val="24"/>
          <w:szCs w:val="24"/>
        </w:rPr>
        <w:t xml:space="preserve">at institutional level; indicative </w:t>
      </w:r>
      <w:r w:rsidR="00D83D46" w:rsidRPr="00B36FCB">
        <w:rPr>
          <w:rFonts w:ascii="Arial" w:hAnsi="Arial" w:cs="Arial"/>
          <w:color w:val="000000" w:themeColor="text1"/>
          <w:sz w:val="24"/>
          <w:szCs w:val="24"/>
        </w:rPr>
        <w:t>contributory investment in turbine installation</w:t>
      </w:r>
      <w:r w:rsidR="0039502C">
        <w:rPr>
          <w:rFonts w:ascii="Arial" w:hAnsi="Arial" w:cs="Arial"/>
          <w:color w:val="000000" w:themeColor="text1"/>
          <w:sz w:val="24"/>
          <w:szCs w:val="24"/>
        </w:rPr>
        <w:t xml:space="preserve"> is calculated for </w:t>
      </w:r>
      <w:r w:rsidR="0039502C" w:rsidRPr="00B36FCB">
        <w:rPr>
          <w:rFonts w:ascii="Arial" w:hAnsi="Arial" w:cs="Arial"/>
          <w:color w:val="000000" w:themeColor="text1"/>
          <w:sz w:val="24"/>
          <w:szCs w:val="24"/>
        </w:rPr>
        <w:t>a case study institution</w:t>
      </w:r>
      <w:r w:rsidR="00D83D46" w:rsidRPr="00B36FCB">
        <w:rPr>
          <w:rFonts w:ascii="Arial" w:hAnsi="Arial" w:cs="Arial"/>
          <w:color w:val="000000" w:themeColor="text1"/>
          <w:sz w:val="24"/>
          <w:szCs w:val="24"/>
        </w:rPr>
        <w:t xml:space="preserve">.  </w:t>
      </w:r>
      <w:r w:rsidR="00091874">
        <w:rPr>
          <w:rFonts w:ascii="Arial" w:hAnsi="Arial" w:cs="Arial"/>
          <w:color w:val="000000" w:themeColor="text1"/>
          <w:sz w:val="24"/>
          <w:szCs w:val="24"/>
        </w:rPr>
        <w:t xml:space="preserve">Calculated investments </w:t>
      </w:r>
      <w:r w:rsidR="0039502C">
        <w:rPr>
          <w:rFonts w:ascii="Arial" w:hAnsi="Arial" w:cs="Arial"/>
          <w:color w:val="000000" w:themeColor="text1"/>
          <w:sz w:val="24"/>
          <w:szCs w:val="24"/>
        </w:rPr>
        <w:t xml:space="preserve">relate </w:t>
      </w:r>
      <w:r w:rsidR="00D83D46" w:rsidRPr="00B36FCB">
        <w:rPr>
          <w:rFonts w:ascii="Arial" w:hAnsi="Arial" w:cs="Arial"/>
          <w:color w:val="000000" w:themeColor="text1"/>
          <w:sz w:val="24"/>
          <w:szCs w:val="24"/>
        </w:rPr>
        <w:t xml:space="preserve">to the ‘anchor service’ of climate regulation, </w:t>
      </w:r>
      <w:r w:rsidR="0039502C">
        <w:rPr>
          <w:rFonts w:ascii="Arial" w:hAnsi="Arial" w:cs="Arial"/>
          <w:color w:val="000000" w:themeColor="text1"/>
          <w:sz w:val="24"/>
          <w:szCs w:val="24"/>
        </w:rPr>
        <w:t xml:space="preserve">though </w:t>
      </w:r>
      <w:r w:rsidR="00D83D46" w:rsidRPr="00B36FCB">
        <w:rPr>
          <w:rFonts w:ascii="Arial" w:hAnsi="Arial" w:cs="Arial"/>
          <w:color w:val="000000" w:themeColor="text1"/>
          <w:sz w:val="24"/>
          <w:szCs w:val="24"/>
        </w:rPr>
        <w:t xml:space="preserve">the TCW </w:t>
      </w:r>
      <w:r w:rsidR="0039502C">
        <w:rPr>
          <w:rFonts w:ascii="Arial" w:hAnsi="Arial" w:cs="Arial"/>
          <w:color w:val="000000" w:themeColor="text1"/>
          <w:sz w:val="24"/>
          <w:szCs w:val="24"/>
        </w:rPr>
        <w:t>m</w:t>
      </w:r>
      <w:r w:rsidR="00D83D46" w:rsidRPr="00B36FCB">
        <w:rPr>
          <w:rFonts w:ascii="Arial" w:hAnsi="Arial" w:cs="Arial"/>
          <w:color w:val="000000" w:themeColor="text1"/>
          <w:sz w:val="24"/>
          <w:szCs w:val="24"/>
        </w:rPr>
        <w:t xml:space="preserve">odel </w:t>
      </w:r>
      <w:r w:rsidR="0039502C">
        <w:rPr>
          <w:rFonts w:ascii="Arial" w:hAnsi="Arial" w:cs="Arial"/>
          <w:color w:val="000000" w:themeColor="text1"/>
          <w:sz w:val="24"/>
          <w:szCs w:val="24"/>
        </w:rPr>
        <w:t xml:space="preserve">also </w:t>
      </w:r>
      <w:r w:rsidR="00D83D46" w:rsidRPr="00B36FCB">
        <w:rPr>
          <w:rFonts w:ascii="Arial" w:hAnsi="Arial" w:cs="Arial"/>
          <w:color w:val="000000" w:themeColor="text1"/>
          <w:sz w:val="24"/>
          <w:szCs w:val="24"/>
        </w:rPr>
        <w:t xml:space="preserve">generates </w:t>
      </w:r>
      <w:r w:rsidR="0039502C">
        <w:rPr>
          <w:rFonts w:ascii="Arial" w:hAnsi="Arial" w:cs="Arial"/>
          <w:color w:val="000000" w:themeColor="text1"/>
          <w:sz w:val="24"/>
          <w:szCs w:val="24"/>
        </w:rPr>
        <w:t xml:space="preserve">multiple </w:t>
      </w:r>
      <w:r w:rsidR="00D83D46" w:rsidRPr="00B36FCB">
        <w:rPr>
          <w:rFonts w:ascii="Arial" w:hAnsi="Arial" w:cs="Arial"/>
          <w:color w:val="000000" w:themeColor="text1"/>
          <w:sz w:val="24"/>
          <w:szCs w:val="24"/>
        </w:rPr>
        <w:t xml:space="preserve">co-beneficial ecosystem services serving local people and </w:t>
      </w:r>
      <w:r w:rsidR="00091874">
        <w:rPr>
          <w:rFonts w:ascii="Arial" w:hAnsi="Arial" w:cs="Arial"/>
          <w:color w:val="000000" w:themeColor="text1"/>
          <w:sz w:val="24"/>
          <w:szCs w:val="24"/>
        </w:rPr>
        <w:t xml:space="preserve">addressing </w:t>
      </w:r>
      <w:r w:rsidR="00D83D46" w:rsidRPr="00B36FCB">
        <w:rPr>
          <w:rFonts w:ascii="Arial" w:hAnsi="Arial" w:cs="Arial"/>
          <w:color w:val="000000" w:themeColor="text1"/>
          <w:sz w:val="24"/>
          <w:szCs w:val="24"/>
        </w:rPr>
        <w:t xml:space="preserve">UN Sustainable Development Goals.  </w:t>
      </w:r>
      <w:r w:rsidR="00091874">
        <w:rPr>
          <w:rFonts w:ascii="Arial" w:hAnsi="Arial" w:cs="Arial"/>
          <w:color w:val="000000" w:themeColor="text1"/>
          <w:sz w:val="24"/>
          <w:szCs w:val="24"/>
        </w:rPr>
        <w:t>Restoration of o</w:t>
      </w:r>
      <w:r w:rsidR="00D83D46" w:rsidRPr="00B36FCB">
        <w:rPr>
          <w:rFonts w:ascii="Arial" w:hAnsi="Arial" w:cs="Arial"/>
          <w:color w:val="000000" w:themeColor="text1"/>
          <w:sz w:val="24"/>
          <w:szCs w:val="24"/>
        </w:rPr>
        <w:t>ther bioregional habitat</w:t>
      </w:r>
      <w:r w:rsidR="0039502C">
        <w:rPr>
          <w:rFonts w:ascii="Arial" w:hAnsi="Arial" w:cs="Arial"/>
          <w:color w:val="000000" w:themeColor="text1"/>
          <w:sz w:val="24"/>
          <w:szCs w:val="24"/>
        </w:rPr>
        <w:t xml:space="preserve">s </w:t>
      </w:r>
      <w:r w:rsidR="00091874">
        <w:rPr>
          <w:rFonts w:ascii="Arial" w:hAnsi="Arial" w:cs="Arial"/>
          <w:color w:val="000000" w:themeColor="text1"/>
          <w:sz w:val="24"/>
          <w:szCs w:val="24"/>
        </w:rPr>
        <w:t xml:space="preserve">could yield </w:t>
      </w:r>
      <w:r w:rsidR="000E7262">
        <w:rPr>
          <w:rFonts w:ascii="Arial" w:hAnsi="Arial" w:cs="Arial"/>
          <w:color w:val="000000" w:themeColor="text1"/>
          <w:sz w:val="24"/>
          <w:szCs w:val="24"/>
        </w:rPr>
        <w:t xml:space="preserve">additional </w:t>
      </w:r>
      <w:r w:rsidR="00D83D46" w:rsidRPr="00B36FCB">
        <w:rPr>
          <w:rFonts w:ascii="Arial" w:hAnsi="Arial" w:cs="Arial"/>
          <w:color w:val="000000" w:themeColor="text1"/>
          <w:sz w:val="24"/>
          <w:szCs w:val="24"/>
        </w:rPr>
        <w:t>socio-ecological</w:t>
      </w:r>
      <w:r w:rsidR="0039502C">
        <w:rPr>
          <w:rFonts w:ascii="Arial" w:hAnsi="Arial" w:cs="Arial"/>
          <w:color w:val="000000" w:themeColor="text1"/>
          <w:sz w:val="24"/>
          <w:szCs w:val="24"/>
        </w:rPr>
        <w:t xml:space="preserve"> </w:t>
      </w:r>
      <w:r w:rsidR="00D83D46" w:rsidRPr="00B36FCB">
        <w:rPr>
          <w:rFonts w:ascii="Arial" w:hAnsi="Arial" w:cs="Arial"/>
          <w:color w:val="000000" w:themeColor="text1"/>
          <w:sz w:val="24"/>
          <w:szCs w:val="24"/>
        </w:rPr>
        <w:t>benefi</w:t>
      </w:r>
      <w:r w:rsidR="0039502C">
        <w:rPr>
          <w:rFonts w:ascii="Arial" w:hAnsi="Arial" w:cs="Arial"/>
          <w:color w:val="000000" w:themeColor="text1"/>
          <w:sz w:val="24"/>
          <w:szCs w:val="24"/>
        </w:rPr>
        <w:t>ts</w:t>
      </w:r>
      <w:r w:rsidR="00D83D46" w:rsidRPr="00B36FCB">
        <w:rPr>
          <w:rFonts w:ascii="Arial" w:hAnsi="Arial" w:cs="Arial"/>
          <w:color w:val="000000" w:themeColor="text1"/>
          <w:sz w:val="24"/>
          <w:szCs w:val="24"/>
        </w:rPr>
        <w:t xml:space="preserve">.  </w:t>
      </w:r>
      <w:r w:rsidR="0039502C">
        <w:rPr>
          <w:rFonts w:ascii="Arial" w:hAnsi="Arial" w:cs="Arial"/>
          <w:color w:val="000000" w:themeColor="text1"/>
          <w:sz w:val="24"/>
          <w:szCs w:val="24"/>
        </w:rPr>
        <w:t xml:space="preserve">TCW’s aspirational </w:t>
      </w:r>
      <w:r w:rsidR="00D83D46" w:rsidRPr="00B36FCB">
        <w:rPr>
          <w:rFonts w:ascii="Arial" w:hAnsi="Arial" w:cs="Arial"/>
          <w:color w:val="000000" w:themeColor="text1"/>
          <w:sz w:val="24"/>
          <w:szCs w:val="24"/>
        </w:rPr>
        <w:t>investment model</w:t>
      </w:r>
      <w:r w:rsidR="0039502C">
        <w:rPr>
          <w:rFonts w:ascii="Arial" w:hAnsi="Arial" w:cs="Arial"/>
          <w:color w:val="000000" w:themeColor="text1"/>
          <w:sz w:val="24"/>
          <w:szCs w:val="24"/>
        </w:rPr>
        <w:t xml:space="preserve"> </w:t>
      </w:r>
      <w:r w:rsidR="00530391">
        <w:rPr>
          <w:rFonts w:ascii="Arial" w:hAnsi="Arial" w:cs="Arial"/>
          <w:color w:val="000000" w:themeColor="text1"/>
          <w:sz w:val="24"/>
          <w:szCs w:val="24"/>
        </w:rPr>
        <w:t xml:space="preserve">positions </w:t>
      </w:r>
      <w:r w:rsidR="00D83D46" w:rsidRPr="00B36FCB">
        <w:rPr>
          <w:rFonts w:ascii="Arial" w:hAnsi="Arial" w:cs="Arial"/>
          <w:color w:val="000000" w:themeColor="text1"/>
          <w:sz w:val="24"/>
          <w:szCs w:val="24"/>
        </w:rPr>
        <w:t xml:space="preserve">social return on investment (SROI) as primary </w:t>
      </w:r>
      <w:r w:rsidR="0039502C">
        <w:rPr>
          <w:rFonts w:ascii="Arial" w:hAnsi="Arial" w:cs="Arial"/>
          <w:color w:val="000000" w:themeColor="text1"/>
          <w:sz w:val="24"/>
          <w:szCs w:val="24"/>
        </w:rPr>
        <w:t>‘</w:t>
      </w:r>
      <w:r w:rsidR="00D83D46" w:rsidRPr="00B36FCB">
        <w:rPr>
          <w:rFonts w:ascii="Arial" w:hAnsi="Arial" w:cs="Arial"/>
          <w:color w:val="000000" w:themeColor="text1"/>
          <w:sz w:val="24"/>
          <w:szCs w:val="24"/>
        </w:rPr>
        <w:t>interest</w:t>
      </w:r>
      <w:r w:rsidR="0039502C">
        <w:rPr>
          <w:rFonts w:ascii="Arial" w:hAnsi="Arial" w:cs="Arial"/>
          <w:color w:val="000000" w:themeColor="text1"/>
          <w:sz w:val="24"/>
          <w:szCs w:val="24"/>
        </w:rPr>
        <w:t>’</w:t>
      </w:r>
      <w:r w:rsidR="00002DF3">
        <w:rPr>
          <w:rFonts w:ascii="Arial" w:hAnsi="Arial" w:cs="Arial"/>
          <w:color w:val="000000" w:themeColor="text1"/>
          <w:sz w:val="24"/>
          <w:szCs w:val="24"/>
        </w:rPr>
        <w:t>,</w:t>
      </w:r>
      <w:r w:rsidR="00D83D46" w:rsidRPr="00B36FCB">
        <w:rPr>
          <w:rFonts w:ascii="Arial" w:hAnsi="Arial" w:cs="Arial"/>
          <w:color w:val="000000" w:themeColor="text1"/>
          <w:sz w:val="24"/>
          <w:szCs w:val="24"/>
        </w:rPr>
        <w:t xml:space="preserve"> rather than maximisation of financial </w:t>
      </w:r>
      <w:r w:rsidR="00002DF3">
        <w:rPr>
          <w:rFonts w:ascii="Arial" w:hAnsi="Arial" w:cs="Arial"/>
          <w:color w:val="000000" w:themeColor="text1"/>
          <w:sz w:val="24"/>
          <w:szCs w:val="24"/>
        </w:rPr>
        <w:t xml:space="preserve">returns </w:t>
      </w:r>
      <w:r w:rsidR="00D83D46" w:rsidRPr="00B36FCB">
        <w:rPr>
          <w:rFonts w:ascii="Arial" w:hAnsi="Arial" w:cs="Arial"/>
          <w:color w:val="000000" w:themeColor="text1"/>
          <w:sz w:val="24"/>
          <w:szCs w:val="24"/>
        </w:rPr>
        <w:t>to investors.</w:t>
      </w:r>
      <w:r w:rsidR="00091874">
        <w:rPr>
          <w:rFonts w:ascii="Arial" w:hAnsi="Arial" w:cs="Arial"/>
          <w:color w:val="000000" w:themeColor="text1"/>
          <w:sz w:val="24"/>
          <w:szCs w:val="24"/>
        </w:rPr>
        <w:t xml:space="preserve">  We test the case for founding developing world investment on the basis for ‘payments for ecosystem services’ (PES).</w:t>
      </w:r>
    </w:p>
    <w:p w14:paraId="4D4B4B16" w14:textId="77777777" w:rsidR="008E1F93" w:rsidRDefault="008E1F93" w:rsidP="008E1F93">
      <w:pPr>
        <w:spacing w:after="0" w:line="240" w:lineRule="auto"/>
        <w:contextualSpacing/>
        <w:rPr>
          <w:rFonts w:ascii="Arial" w:hAnsi="Arial" w:cs="Arial"/>
          <w:color w:val="FF0000"/>
          <w:sz w:val="24"/>
          <w:szCs w:val="24"/>
        </w:rPr>
      </w:pPr>
    </w:p>
    <w:p w14:paraId="5C8C6641" w14:textId="77777777" w:rsidR="008E1F93" w:rsidRPr="008D4CD1" w:rsidRDefault="008E1F93" w:rsidP="008E1F93">
      <w:pPr>
        <w:spacing w:after="0" w:line="240" w:lineRule="auto"/>
        <w:contextualSpacing/>
        <w:rPr>
          <w:rFonts w:ascii="Arial" w:hAnsi="Arial" w:cs="Arial"/>
          <w:color w:val="FF0000"/>
          <w:sz w:val="24"/>
          <w:szCs w:val="24"/>
        </w:rPr>
      </w:pPr>
    </w:p>
    <w:p w14:paraId="113BAE99" w14:textId="77777777" w:rsidR="008E1F93" w:rsidRPr="008D4CD1" w:rsidRDefault="008E1F93" w:rsidP="008E1F93">
      <w:pPr>
        <w:spacing w:after="0" w:line="240" w:lineRule="auto"/>
        <w:contextualSpacing/>
        <w:rPr>
          <w:rFonts w:ascii="Arial" w:hAnsi="Arial" w:cs="Arial"/>
          <w:b/>
          <w:sz w:val="24"/>
          <w:szCs w:val="24"/>
        </w:rPr>
      </w:pPr>
      <w:r w:rsidRPr="008D4CD1">
        <w:rPr>
          <w:rFonts w:ascii="Arial" w:hAnsi="Arial" w:cs="Arial"/>
          <w:b/>
          <w:sz w:val="24"/>
          <w:szCs w:val="24"/>
        </w:rPr>
        <w:t>Keywords</w:t>
      </w:r>
    </w:p>
    <w:p w14:paraId="39A5D509" w14:textId="77777777" w:rsidR="008E1F93" w:rsidRPr="008D4CD1" w:rsidRDefault="008E1F93" w:rsidP="008E1F93">
      <w:pPr>
        <w:spacing w:after="0" w:line="240" w:lineRule="auto"/>
        <w:contextualSpacing/>
        <w:rPr>
          <w:rFonts w:ascii="Arial" w:hAnsi="Arial" w:cs="Arial"/>
          <w:color w:val="FF0000"/>
          <w:sz w:val="24"/>
          <w:szCs w:val="24"/>
        </w:rPr>
      </w:pPr>
    </w:p>
    <w:p w14:paraId="29EA8F9D" w14:textId="7467EC67" w:rsidR="008E1F93" w:rsidRPr="008D4CD1" w:rsidRDefault="00E24AFF" w:rsidP="008E1F93">
      <w:pPr>
        <w:spacing w:after="0" w:line="240" w:lineRule="auto"/>
        <w:contextualSpacing/>
        <w:rPr>
          <w:rFonts w:ascii="Arial" w:hAnsi="Arial" w:cs="Arial"/>
          <w:sz w:val="24"/>
          <w:szCs w:val="24"/>
        </w:rPr>
      </w:pPr>
      <w:r>
        <w:rPr>
          <w:rFonts w:ascii="Arial" w:hAnsi="Arial" w:cs="Arial"/>
          <w:sz w:val="24"/>
          <w:szCs w:val="24"/>
        </w:rPr>
        <w:t>R</w:t>
      </w:r>
      <w:r w:rsidR="008E1F93">
        <w:rPr>
          <w:rFonts w:ascii="Arial" w:hAnsi="Arial" w:cs="Arial"/>
          <w:sz w:val="24"/>
          <w:szCs w:val="24"/>
        </w:rPr>
        <w:t xml:space="preserve">enewable energy, climate change, restoration, </w:t>
      </w:r>
      <w:r w:rsidR="000F0D48">
        <w:rPr>
          <w:rFonts w:ascii="Arial" w:hAnsi="Arial" w:cs="Arial"/>
          <w:sz w:val="24"/>
          <w:szCs w:val="24"/>
        </w:rPr>
        <w:t xml:space="preserve">economics, </w:t>
      </w:r>
      <w:r w:rsidR="00111C6F">
        <w:rPr>
          <w:rFonts w:ascii="Arial" w:hAnsi="Arial" w:cs="Arial"/>
          <w:sz w:val="24"/>
          <w:szCs w:val="24"/>
        </w:rPr>
        <w:t>sequestration, resilience</w:t>
      </w:r>
    </w:p>
    <w:p w14:paraId="26944F9B" w14:textId="77777777" w:rsidR="008E1F93" w:rsidRPr="00561929" w:rsidRDefault="008E1F93" w:rsidP="008E1F93">
      <w:pPr>
        <w:spacing w:after="0" w:line="240" w:lineRule="auto"/>
        <w:contextualSpacing/>
        <w:rPr>
          <w:rFonts w:ascii="Arial" w:hAnsi="Arial" w:cs="Arial"/>
          <w:sz w:val="24"/>
          <w:szCs w:val="24"/>
        </w:rPr>
      </w:pPr>
    </w:p>
    <w:p w14:paraId="22BEB16C" w14:textId="77777777" w:rsidR="008E1F93" w:rsidRPr="00561929" w:rsidRDefault="008E1F93" w:rsidP="008E1F93">
      <w:pPr>
        <w:spacing w:after="0" w:line="240" w:lineRule="auto"/>
        <w:contextualSpacing/>
        <w:rPr>
          <w:rFonts w:ascii="Arial" w:hAnsi="Arial" w:cs="Arial"/>
          <w:sz w:val="24"/>
          <w:szCs w:val="24"/>
        </w:rPr>
      </w:pPr>
    </w:p>
    <w:p w14:paraId="7FF57EB6" w14:textId="77777777" w:rsidR="005634E4" w:rsidRPr="00561929" w:rsidRDefault="005634E4" w:rsidP="005634E4">
      <w:pPr>
        <w:spacing w:after="0" w:line="240" w:lineRule="auto"/>
        <w:contextualSpacing/>
        <w:rPr>
          <w:rFonts w:ascii="Arial" w:hAnsi="Arial" w:cs="Arial"/>
          <w:b/>
          <w:sz w:val="24"/>
          <w:szCs w:val="24"/>
        </w:rPr>
      </w:pPr>
      <w:r w:rsidRPr="00561929">
        <w:rPr>
          <w:rFonts w:ascii="Arial" w:hAnsi="Arial" w:cs="Arial"/>
          <w:b/>
          <w:sz w:val="24"/>
          <w:szCs w:val="24"/>
        </w:rPr>
        <w:t>Research highlights</w:t>
      </w:r>
    </w:p>
    <w:p w14:paraId="080B019C" w14:textId="77777777" w:rsidR="005634E4" w:rsidRPr="00561929" w:rsidRDefault="005634E4" w:rsidP="005634E4">
      <w:pPr>
        <w:spacing w:after="0" w:line="240" w:lineRule="auto"/>
        <w:contextualSpacing/>
        <w:rPr>
          <w:rFonts w:ascii="Arial" w:hAnsi="Arial" w:cs="Arial"/>
          <w:sz w:val="24"/>
          <w:szCs w:val="24"/>
        </w:rPr>
      </w:pPr>
    </w:p>
    <w:p w14:paraId="0CDC5CB1" w14:textId="14CD3D27" w:rsidR="008E51DF" w:rsidRPr="00561929" w:rsidRDefault="008E51DF" w:rsidP="008E51DF">
      <w:pPr>
        <w:pStyle w:val="NormalWeb"/>
        <w:numPr>
          <w:ilvl w:val="0"/>
          <w:numId w:val="6"/>
        </w:numPr>
        <w:spacing w:before="0" w:beforeAutospacing="0" w:after="0" w:afterAutospacing="0"/>
        <w:contextualSpacing/>
        <w:rPr>
          <w:rFonts w:ascii="Arial" w:eastAsiaTheme="minorHAnsi" w:hAnsi="Arial" w:cs="Arial"/>
          <w:lang w:eastAsia="en-US"/>
        </w:rPr>
      </w:pPr>
      <w:r w:rsidRPr="00561929">
        <w:rPr>
          <w:rFonts w:ascii="Arial" w:eastAsiaTheme="minorHAnsi" w:hAnsi="Arial" w:cs="Arial"/>
          <w:lang w:eastAsia="en-US"/>
        </w:rPr>
        <w:t>A developed-developing world partnership offers mutual carbon management benefits</w:t>
      </w:r>
    </w:p>
    <w:p w14:paraId="7CDCA3D3" w14:textId="77777777" w:rsidR="008E51DF" w:rsidRPr="00561929" w:rsidRDefault="008E51DF" w:rsidP="008E51DF">
      <w:pPr>
        <w:pStyle w:val="NormalWeb"/>
        <w:spacing w:before="0" w:beforeAutospacing="0" w:after="0" w:afterAutospacing="0"/>
        <w:ind w:left="720"/>
        <w:contextualSpacing/>
        <w:rPr>
          <w:rFonts w:ascii="Arial" w:eastAsiaTheme="minorHAnsi" w:hAnsi="Arial" w:cs="Arial"/>
          <w:lang w:eastAsia="en-US"/>
        </w:rPr>
      </w:pPr>
    </w:p>
    <w:p w14:paraId="294969F5" w14:textId="0F9431C0" w:rsidR="005634E4" w:rsidRPr="00561929" w:rsidRDefault="005634E4" w:rsidP="005634E4">
      <w:pPr>
        <w:pStyle w:val="NormalWeb"/>
        <w:numPr>
          <w:ilvl w:val="0"/>
          <w:numId w:val="6"/>
        </w:numPr>
        <w:spacing w:before="0" w:beforeAutospacing="0" w:after="0" w:afterAutospacing="0"/>
        <w:contextualSpacing/>
        <w:rPr>
          <w:rFonts w:ascii="Arial" w:eastAsiaTheme="minorHAnsi" w:hAnsi="Arial" w:cs="Arial"/>
          <w:lang w:eastAsia="en-US"/>
        </w:rPr>
      </w:pPr>
      <w:r w:rsidRPr="00561929">
        <w:rPr>
          <w:rFonts w:ascii="Arial" w:eastAsiaTheme="minorHAnsi" w:hAnsi="Arial" w:cs="Arial"/>
          <w:lang w:eastAsia="en-US"/>
        </w:rPr>
        <w:t xml:space="preserve">Reinvesting profits from renewable energy sales in forest restoration amplifies carbon </w:t>
      </w:r>
      <w:r w:rsidR="00561929" w:rsidRPr="00561929">
        <w:rPr>
          <w:rFonts w:ascii="Arial" w:eastAsiaTheme="minorHAnsi" w:hAnsi="Arial" w:cs="Arial"/>
          <w:lang w:eastAsia="en-US"/>
        </w:rPr>
        <w:t>abated</w:t>
      </w:r>
    </w:p>
    <w:p w14:paraId="00729CE5" w14:textId="77777777" w:rsidR="005634E4" w:rsidRPr="00561929" w:rsidRDefault="005634E4" w:rsidP="005634E4">
      <w:pPr>
        <w:pStyle w:val="NormalWeb"/>
        <w:spacing w:before="0" w:beforeAutospacing="0" w:after="0" w:afterAutospacing="0"/>
        <w:ind w:left="720"/>
        <w:contextualSpacing/>
        <w:rPr>
          <w:rFonts w:ascii="Arial" w:eastAsiaTheme="minorHAnsi" w:hAnsi="Arial" w:cs="Arial"/>
          <w:lang w:eastAsia="en-US"/>
        </w:rPr>
      </w:pPr>
    </w:p>
    <w:p w14:paraId="47F9BC35" w14:textId="11E79BF5" w:rsidR="005634E4" w:rsidRPr="00561929" w:rsidRDefault="005634E4" w:rsidP="005634E4">
      <w:pPr>
        <w:pStyle w:val="NormalWeb"/>
        <w:numPr>
          <w:ilvl w:val="0"/>
          <w:numId w:val="6"/>
        </w:numPr>
        <w:spacing w:before="0" w:beforeAutospacing="0" w:after="0" w:afterAutospacing="0"/>
        <w:contextualSpacing/>
        <w:rPr>
          <w:rFonts w:ascii="Arial" w:eastAsiaTheme="minorHAnsi" w:hAnsi="Arial" w:cs="Arial"/>
          <w:lang w:eastAsia="en-US"/>
        </w:rPr>
      </w:pPr>
      <w:r w:rsidRPr="00561929">
        <w:rPr>
          <w:rFonts w:ascii="Arial" w:eastAsiaTheme="minorHAnsi" w:hAnsi="Arial" w:cs="Arial"/>
          <w:lang w:eastAsia="en-US"/>
        </w:rPr>
        <w:t xml:space="preserve">Investment </w:t>
      </w:r>
      <w:r w:rsidR="00561929" w:rsidRPr="00561929">
        <w:rPr>
          <w:rFonts w:ascii="Arial" w:eastAsiaTheme="minorHAnsi" w:hAnsi="Arial" w:cs="Arial"/>
          <w:lang w:eastAsia="en-US"/>
        </w:rPr>
        <w:t>by developed world partners in linked generation-restoration is cost-effective</w:t>
      </w:r>
    </w:p>
    <w:p w14:paraId="52B60DE1" w14:textId="77777777" w:rsidR="005634E4" w:rsidRPr="00561929" w:rsidRDefault="005634E4" w:rsidP="005634E4">
      <w:pPr>
        <w:pStyle w:val="ListParagraph"/>
        <w:spacing w:after="0" w:line="240" w:lineRule="auto"/>
        <w:rPr>
          <w:rFonts w:ascii="Arial" w:hAnsi="Arial" w:cs="Arial"/>
        </w:rPr>
      </w:pPr>
    </w:p>
    <w:p w14:paraId="2D3F40C3" w14:textId="3684B666" w:rsidR="005634E4" w:rsidRPr="00561929" w:rsidRDefault="00561929" w:rsidP="005634E4">
      <w:pPr>
        <w:pStyle w:val="NormalWeb"/>
        <w:numPr>
          <w:ilvl w:val="0"/>
          <w:numId w:val="6"/>
        </w:numPr>
        <w:spacing w:before="0" w:beforeAutospacing="0" w:after="0" w:afterAutospacing="0"/>
        <w:contextualSpacing/>
        <w:rPr>
          <w:rFonts w:ascii="Arial" w:eastAsiaTheme="minorHAnsi" w:hAnsi="Arial" w:cs="Arial"/>
          <w:lang w:eastAsia="en-US"/>
        </w:rPr>
      </w:pPr>
      <w:r w:rsidRPr="00561929">
        <w:rPr>
          <w:rFonts w:ascii="Arial" w:eastAsiaTheme="minorHAnsi" w:hAnsi="Arial" w:cs="Arial"/>
          <w:lang w:eastAsia="en-US"/>
        </w:rPr>
        <w:t>Multiple service co-benefits from habitat restoration are significant</w:t>
      </w:r>
      <w:r>
        <w:rPr>
          <w:rFonts w:ascii="Arial" w:eastAsiaTheme="minorHAnsi" w:hAnsi="Arial" w:cs="Arial"/>
          <w:lang w:eastAsia="en-US"/>
        </w:rPr>
        <w:t>,</w:t>
      </w:r>
      <w:r w:rsidRPr="00561929">
        <w:rPr>
          <w:rFonts w:ascii="Arial" w:eastAsiaTheme="minorHAnsi" w:hAnsi="Arial" w:cs="Arial"/>
          <w:lang w:eastAsia="en-US"/>
        </w:rPr>
        <w:t xml:space="preserve"> but require valuation</w:t>
      </w:r>
    </w:p>
    <w:p w14:paraId="6EA45260" w14:textId="77777777" w:rsidR="005634E4" w:rsidRPr="00561929" w:rsidRDefault="005634E4" w:rsidP="005634E4">
      <w:pPr>
        <w:pStyle w:val="ListParagraph"/>
        <w:spacing w:after="0" w:line="240" w:lineRule="auto"/>
        <w:rPr>
          <w:rFonts w:ascii="Arial" w:hAnsi="Arial" w:cs="Arial"/>
        </w:rPr>
      </w:pPr>
    </w:p>
    <w:p w14:paraId="30F92F67" w14:textId="48887887" w:rsidR="005634E4" w:rsidRPr="00561929" w:rsidRDefault="00561929" w:rsidP="005634E4">
      <w:pPr>
        <w:pStyle w:val="NormalWeb"/>
        <w:numPr>
          <w:ilvl w:val="0"/>
          <w:numId w:val="6"/>
        </w:numPr>
        <w:spacing w:before="0" w:beforeAutospacing="0" w:after="0" w:afterAutospacing="0"/>
        <w:contextualSpacing/>
        <w:rPr>
          <w:rFonts w:ascii="Arial" w:eastAsiaTheme="minorHAnsi" w:hAnsi="Arial" w:cs="Arial"/>
          <w:lang w:eastAsia="en-US"/>
        </w:rPr>
      </w:pPr>
      <w:r w:rsidRPr="00561929">
        <w:rPr>
          <w:rFonts w:ascii="Arial" w:eastAsiaTheme="minorHAnsi" w:hAnsi="Arial" w:cs="Arial"/>
          <w:lang w:eastAsia="en-US"/>
        </w:rPr>
        <w:t xml:space="preserve">Sustainability is </w:t>
      </w:r>
      <w:r>
        <w:rPr>
          <w:rFonts w:ascii="Arial" w:eastAsiaTheme="minorHAnsi" w:hAnsi="Arial" w:cs="Arial"/>
          <w:lang w:eastAsia="en-US"/>
        </w:rPr>
        <w:t>adva</w:t>
      </w:r>
      <w:r w:rsidRPr="00561929">
        <w:rPr>
          <w:rFonts w:ascii="Arial" w:eastAsiaTheme="minorHAnsi" w:hAnsi="Arial" w:cs="Arial"/>
          <w:lang w:eastAsia="en-US"/>
        </w:rPr>
        <w:t>nced by framing socio-ecological gains as ‘interest’, not private profit</w:t>
      </w:r>
    </w:p>
    <w:p w14:paraId="629C4614" w14:textId="77777777" w:rsidR="005634E4" w:rsidRPr="00561929" w:rsidRDefault="005634E4" w:rsidP="005634E4">
      <w:pPr>
        <w:spacing w:after="0" w:line="240" w:lineRule="auto"/>
        <w:contextualSpacing/>
        <w:rPr>
          <w:rFonts w:ascii="Arial" w:hAnsi="Arial" w:cs="Arial"/>
          <w:sz w:val="24"/>
          <w:szCs w:val="24"/>
        </w:rPr>
      </w:pPr>
    </w:p>
    <w:p w14:paraId="203947EE" w14:textId="77777777" w:rsidR="005634E4" w:rsidRPr="00561929" w:rsidRDefault="005634E4" w:rsidP="005634E4">
      <w:pPr>
        <w:spacing w:after="0" w:line="240" w:lineRule="auto"/>
        <w:contextualSpacing/>
        <w:rPr>
          <w:rFonts w:ascii="Arial" w:hAnsi="Arial" w:cs="Arial"/>
          <w:sz w:val="24"/>
          <w:szCs w:val="24"/>
        </w:rPr>
      </w:pPr>
    </w:p>
    <w:p w14:paraId="08A933FC" w14:textId="77777777" w:rsidR="008E1F93" w:rsidRPr="00561929" w:rsidRDefault="008E1F93" w:rsidP="008E1F93">
      <w:pPr>
        <w:spacing w:after="0" w:line="240" w:lineRule="auto"/>
        <w:contextualSpacing/>
        <w:rPr>
          <w:rFonts w:ascii="Arial" w:hAnsi="Arial" w:cs="Arial"/>
          <w:b/>
          <w:sz w:val="24"/>
          <w:szCs w:val="24"/>
        </w:rPr>
      </w:pPr>
      <w:r w:rsidRPr="00561929">
        <w:rPr>
          <w:rFonts w:ascii="Arial" w:hAnsi="Arial" w:cs="Arial"/>
          <w:b/>
          <w:sz w:val="24"/>
          <w:szCs w:val="24"/>
        </w:rPr>
        <w:t>1. Introduction</w:t>
      </w:r>
    </w:p>
    <w:p w14:paraId="5E3C036A" w14:textId="77777777" w:rsidR="008E1F93" w:rsidRDefault="008E1F93" w:rsidP="008E1F93">
      <w:pPr>
        <w:spacing w:after="0" w:line="240" w:lineRule="auto"/>
        <w:contextualSpacing/>
        <w:rPr>
          <w:rFonts w:ascii="Arial" w:hAnsi="Arial" w:cs="Arial"/>
          <w:sz w:val="24"/>
          <w:szCs w:val="24"/>
        </w:rPr>
      </w:pPr>
    </w:p>
    <w:p w14:paraId="143D6A0C" w14:textId="27FC86FE" w:rsidR="008E1F93" w:rsidRDefault="008E1F93" w:rsidP="008E1F93">
      <w:pPr>
        <w:spacing w:after="0" w:line="240" w:lineRule="auto"/>
        <w:contextualSpacing/>
        <w:rPr>
          <w:rFonts w:ascii="Arial" w:hAnsi="Arial" w:cs="Arial"/>
          <w:sz w:val="24"/>
          <w:szCs w:val="24"/>
        </w:rPr>
      </w:pPr>
      <w:r>
        <w:rPr>
          <w:rFonts w:ascii="Arial" w:hAnsi="Arial" w:cs="Arial"/>
          <w:sz w:val="24"/>
          <w:szCs w:val="24"/>
        </w:rPr>
        <w:t>Sustainability challenges have increasingly to be tackled on a collaborative international basis</w:t>
      </w:r>
      <w:r w:rsidR="00530391">
        <w:rPr>
          <w:rFonts w:ascii="Arial" w:hAnsi="Arial" w:cs="Arial"/>
          <w:sz w:val="24"/>
          <w:szCs w:val="24"/>
        </w:rPr>
        <w:t xml:space="preserve">.  This is </w:t>
      </w:r>
      <w:r>
        <w:rPr>
          <w:rFonts w:ascii="Arial" w:hAnsi="Arial" w:cs="Arial"/>
          <w:sz w:val="24"/>
          <w:szCs w:val="24"/>
        </w:rPr>
        <w:t>due to the transboundary and global nature of many common ecosystems</w:t>
      </w:r>
      <w:r w:rsidR="00530391">
        <w:rPr>
          <w:rFonts w:ascii="Arial" w:hAnsi="Arial" w:cs="Arial"/>
          <w:sz w:val="24"/>
          <w:szCs w:val="24"/>
        </w:rPr>
        <w:t xml:space="preserve">, </w:t>
      </w:r>
      <w:r w:rsidR="002A2208">
        <w:rPr>
          <w:rFonts w:ascii="Arial" w:hAnsi="Arial" w:cs="Arial"/>
          <w:sz w:val="24"/>
          <w:szCs w:val="24"/>
        </w:rPr>
        <w:t>their associated problems and necessary management responses</w:t>
      </w:r>
      <w:r w:rsidR="00530391">
        <w:rPr>
          <w:rFonts w:ascii="Arial" w:hAnsi="Arial" w:cs="Arial"/>
          <w:sz w:val="24"/>
          <w:szCs w:val="24"/>
        </w:rPr>
        <w:t xml:space="preserve"> as for example </w:t>
      </w:r>
      <w:r>
        <w:rPr>
          <w:rFonts w:ascii="Arial" w:hAnsi="Arial" w:cs="Arial"/>
          <w:sz w:val="24"/>
          <w:szCs w:val="24"/>
        </w:rPr>
        <w:t xml:space="preserve">climate stability, air pollution, fishery and other oceanic and large catchment systems.  Ethical factors also demand international responses, particularly redressing the asymmetric distribution of benefits and threats resulting from historic, geographically skewed resource exploitation and development.  There is a strong economic case for international responses in an increasingly globalised economy, </w:t>
      </w:r>
      <w:r w:rsidR="00530391">
        <w:rPr>
          <w:rFonts w:ascii="Arial" w:hAnsi="Arial" w:cs="Arial"/>
          <w:sz w:val="24"/>
          <w:szCs w:val="24"/>
        </w:rPr>
        <w:t xml:space="preserve">as </w:t>
      </w:r>
      <w:r>
        <w:rPr>
          <w:rFonts w:ascii="Arial" w:hAnsi="Arial" w:cs="Arial"/>
          <w:sz w:val="24"/>
          <w:szCs w:val="24"/>
        </w:rPr>
        <w:t xml:space="preserve">threats arising in one region can ripple through global </w:t>
      </w:r>
      <w:r w:rsidR="002A2208">
        <w:rPr>
          <w:rFonts w:ascii="Arial" w:hAnsi="Arial" w:cs="Arial"/>
          <w:sz w:val="24"/>
          <w:szCs w:val="24"/>
        </w:rPr>
        <w:t xml:space="preserve">markets in the forms of </w:t>
      </w:r>
      <w:r>
        <w:rPr>
          <w:rFonts w:ascii="Arial" w:hAnsi="Arial" w:cs="Arial"/>
          <w:sz w:val="24"/>
          <w:szCs w:val="24"/>
        </w:rPr>
        <w:t>resource access and limitation, political turbulence, investor and customer confidence and a range of other market-influencing factors.</w:t>
      </w:r>
    </w:p>
    <w:p w14:paraId="6AF0831B" w14:textId="77777777" w:rsidR="001341FD" w:rsidRDefault="001341FD" w:rsidP="008E1F93">
      <w:pPr>
        <w:spacing w:after="0" w:line="240" w:lineRule="auto"/>
        <w:contextualSpacing/>
        <w:rPr>
          <w:rFonts w:ascii="Arial" w:hAnsi="Arial" w:cs="Arial"/>
          <w:sz w:val="24"/>
          <w:szCs w:val="24"/>
        </w:rPr>
      </w:pPr>
    </w:p>
    <w:p w14:paraId="20367052" w14:textId="29EA3BB2" w:rsidR="008E1F93" w:rsidRPr="00CC3547" w:rsidRDefault="001341FD" w:rsidP="001341FD">
      <w:pPr>
        <w:spacing w:after="0" w:line="240" w:lineRule="auto"/>
        <w:contextualSpacing/>
        <w:rPr>
          <w:rFonts w:ascii="Arial" w:hAnsi="Arial" w:cs="Arial"/>
          <w:sz w:val="24"/>
          <w:szCs w:val="24"/>
        </w:rPr>
      </w:pPr>
      <w:r>
        <w:rPr>
          <w:rFonts w:ascii="Arial" w:hAnsi="Arial" w:cs="Arial"/>
          <w:sz w:val="24"/>
          <w:szCs w:val="24"/>
        </w:rPr>
        <w:t xml:space="preserve">At an intergovernmental level, </w:t>
      </w:r>
      <w:r w:rsidR="002A2208">
        <w:rPr>
          <w:rFonts w:ascii="Arial" w:hAnsi="Arial" w:cs="Arial"/>
          <w:sz w:val="24"/>
          <w:szCs w:val="24"/>
        </w:rPr>
        <w:t xml:space="preserve">a range of these issues </w:t>
      </w:r>
      <w:r>
        <w:rPr>
          <w:rFonts w:ascii="Arial" w:hAnsi="Arial" w:cs="Arial"/>
          <w:sz w:val="24"/>
          <w:szCs w:val="24"/>
        </w:rPr>
        <w:t>are subs</w:t>
      </w:r>
      <w:r w:rsidRPr="00CC3547">
        <w:rPr>
          <w:rFonts w:ascii="Arial" w:hAnsi="Arial" w:cs="Arial"/>
          <w:sz w:val="24"/>
          <w:szCs w:val="24"/>
        </w:rPr>
        <w:t xml:space="preserve">umed into the 17 UN </w:t>
      </w:r>
      <w:r w:rsidR="008E1F93" w:rsidRPr="00CC3547">
        <w:rPr>
          <w:rFonts w:ascii="Arial" w:hAnsi="Arial" w:cs="Arial"/>
          <w:sz w:val="24"/>
          <w:szCs w:val="24"/>
        </w:rPr>
        <w:t>Sustainable Development Goals (United Nations, 2015)</w:t>
      </w:r>
      <w:r w:rsidR="00530391">
        <w:rPr>
          <w:rFonts w:ascii="Arial" w:hAnsi="Arial" w:cs="Arial"/>
          <w:sz w:val="24"/>
          <w:szCs w:val="24"/>
        </w:rPr>
        <w:t xml:space="preserve">.  Many SDGs </w:t>
      </w:r>
      <w:r w:rsidR="008E1F93" w:rsidRPr="00CC3547">
        <w:rPr>
          <w:rFonts w:ascii="Arial" w:hAnsi="Arial" w:cs="Arial"/>
          <w:sz w:val="24"/>
          <w:szCs w:val="24"/>
        </w:rPr>
        <w:t>reflect</w:t>
      </w:r>
      <w:r w:rsidR="00530391">
        <w:rPr>
          <w:rFonts w:ascii="Arial" w:hAnsi="Arial" w:cs="Arial"/>
          <w:sz w:val="24"/>
          <w:szCs w:val="24"/>
        </w:rPr>
        <w:t xml:space="preserve"> </w:t>
      </w:r>
      <w:r w:rsidR="008E1F93" w:rsidRPr="00CC3547">
        <w:rPr>
          <w:rFonts w:ascii="Arial" w:hAnsi="Arial" w:cs="Arial"/>
          <w:sz w:val="24"/>
          <w:szCs w:val="24"/>
        </w:rPr>
        <w:t>the duty of already-developed states to assist developing nations with poverty alleviation and related development targets</w:t>
      </w:r>
      <w:r w:rsidR="002D1C50">
        <w:rPr>
          <w:rFonts w:ascii="Arial" w:hAnsi="Arial" w:cs="Arial"/>
          <w:sz w:val="24"/>
          <w:szCs w:val="24"/>
        </w:rPr>
        <w:t>, although all relate to the goal of achieving ‘The Future We Want’ in developed and developing countries alike</w:t>
      </w:r>
      <w:r w:rsidR="008E1F93" w:rsidRPr="00CC3547">
        <w:rPr>
          <w:rFonts w:ascii="Arial" w:hAnsi="Arial" w:cs="Arial"/>
          <w:sz w:val="24"/>
          <w:szCs w:val="24"/>
        </w:rPr>
        <w:t xml:space="preserve">.  These international commitments build upon, and are supported by, </w:t>
      </w:r>
      <w:r w:rsidRPr="00CC3547">
        <w:rPr>
          <w:rFonts w:ascii="Arial" w:hAnsi="Arial" w:cs="Arial"/>
          <w:sz w:val="24"/>
          <w:szCs w:val="24"/>
        </w:rPr>
        <w:t xml:space="preserve">a range of developed world aid </w:t>
      </w:r>
      <w:r w:rsidR="008E1F93" w:rsidRPr="00CC3547">
        <w:rPr>
          <w:rFonts w:ascii="Arial" w:hAnsi="Arial" w:cs="Arial"/>
          <w:sz w:val="24"/>
          <w:szCs w:val="24"/>
        </w:rPr>
        <w:t>programmes</w:t>
      </w:r>
      <w:r w:rsidRPr="00CC3547">
        <w:rPr>
          <w:rFonts w:ascii="Arial" w:hAnsi="Arial" w:cs="Arial"/>
          <w:sz w:val="24"/>
          <w:szCs w:val="24"/>
        </w:rPr>
        <w:t xml:space="preserve"> and r</w:t>
      </w:r>
      <w:r w:rsidR="008E1F93" w:rsidRPr="00CC3547">
        <w:rPr>
          <w:rFonts w:ascii="Arial" w:hAnsi="Arial" w:cs="Arial"/>
          <w:sz w:val="24"/>
          <w:szCs w:val="24"/>
        </w:rPr>
        <w:t>edistributive fund</w:t>
      </w:r>
      <w:r w:rsidRPr="00CC3547">
        <w:rPr>
          <w:rFonts w:ascii="Arial" w:hAnsi="Arial" w:cs="Arial"/>
          <w:sz w:val="24"/>
          <w:szCs w:val="24"/>
        </w:rPr>
        <w:t xml:space="preserve">ing arrangements within </w:t>
      </w:r>
      <w:r w:rsidR="008E1F93" w:rsidRPr="00CC3547">
        <w:rPr>
          <w:rFonts w:ascii="Arial" w:hAnsi="Arial" w:cs="Arial"/>
          <w:sz w:val="24"/>
          <w:szCs w:val="24"/>
        </w:rPr>
        <w:t>major trading blocs.</w:t>
      </w:r>
      <w:r w:rsidRPr="00CC3547">
        <w:rPr>
          <w:rFonts w:ascii="Arial" w:hAnsi="Arial" w:cs="Arial"/>
          <w:sz w:val="24"/>
          <w:szCs w:val="24"/>
        </w:rPr>
        <w:t xml:space="preserve">  However,</w:t>
      </w:r>
      <w:r w:rsidR="002A2208">
        <w:rPr>
          <w:rFonts w:ascii="Arial" w:hAnsi="Arial" w:cs="Arial"/>
          <w:sz w:val="24"/>
          <w:szCs w:val="24"/>
        </w:rPr>
        <w:t xml:space="preserve"> other international </w:t>
      </w:r>
      <w:r w:rsidRPr="00CC3547">
        <w:rPr>
          <w:rFonts w:ascii="Arial" w:hAnsi="Arial" w:cs="Arial"/>
          <w:sz w:val="24"/>
          <w:szCs w:val="24"/>
        </w:rPr>
        <w:t>initiatives</w:t>
      </w:r>
      <w:r w:rsidR="002A2208">
        <w:rPr>
          <w:rFonts w:ascii="Arial" w:hAnsi="Arial" w:cs="Arial"/>
          <w:sz w:val="24"/>
          <w:szCs w:val="24"/>
        </w:rPr>
        <w:t xml:space="preserve"> </w:t>
      </w:r>
      <w:r w:rsidR="002A2208" w:rsidRPr="00CC3547">
        <w:rPr>
          <w:rFonts w:ascii="Arial" w:hAnsi="Arial" w:cs="Arial"/>
          <w:sz w:val="24"/>
          <w:szCs w:val="24"/>
        </w:rPr>
        <w:t>have a basis in market transactions between developed and developing countries</w:t>
      </w:r>
      <w:r w:rsidR="00530391">
        <w:rPr>
          <w:rFonts w:ascii="Arial" w:hAnsi="Arial" w:cs="Arial"/>
          <w:sz w:val="24"/>
          <w:szCs w:val="24"/>
        </w:rPr>
        <w:t xml:space="preserve">. </w:t>
      </w:r>
      <w:r w:rsidR="002A2208">
        <w:rPr>
          <w:rFonts w:ascii="Arial" w:hAnsi="Arial" w:cs="Arial"/>
          <w:sz w:val="24"/>
          <w:szCs w:val="24"/>
        </w:rPr>
        <w:t xml:space="preserve"> Examples include </w:t>
      </w:r>
      <w:r w:rsidR="008E1F93" w:rsidRPr="00CC3547">
        <w:rPr>
          <w:rFonts w:ascii="Arial" w:hAnsi="Arial" w:cs="Arial"/>
          <w:sz w:val="24"/>
          <w:szCs w:val="24"/>
        </w:rPr>
        <w:t>Reducing Emissions from Deforestation and Forest Degradation</w:t>
      </w:r>
      <w:r w:rsidRPr="00CC3547">
        <w:rPr>
          <w:rFonts w:ascii="Arial" w:hAnsi="Arial" w:cs="Arial"/>
          <w:sz w:val="24"/>
          <w:szCs w:val="24"/>
        </w:rPr>
        <w:t xml:space="preserve"> (REDD+)</w:t>
      </w:r>
      <w:r w:rsidR="002A2208">
        <w:rPr>
          <w:rFonts w:ascii="Arial" w:hAnsi="Arial" w:cs="Arial"/>
          <w:sz w:val="24"/>
          <w:szCs w:val="24"/>
        </w:rPr>
        <w:t>,</w:t>
      </w:r>
      <w:r w:rsidRPr="00CC3547">
        <w:rPr>
          <w:rFonts w:ascii="Arial" w:hAnsi="Arial" w:cs="Arial"/>
          <w:sz w:val="24"/>
          <w:szCs w:val="24"/>
        </w:rPr>
        <w:t xml:space="preserve"> under which </w:t>
      </w:r>
      <w:r w:rsidR="008E1F93" w:rsidRPr="00CC3547">
        <w:rPr>
          <w:rFonts w:ascii="Arial" w:hAnsi="Arial" w:cs="Arial"/>
          <w:sz w:val="24"/>
          <w:szCs w:val="24"/>
        </w:rPr>
        <w:t xml:space="preserve">developing nations </w:t>
      </w:r>
      <w:r w:rsidRPr="00CC3547">
        <w:rPr>
          <w:rFonts w:ascii="Arial" w:hAnsi="Arial" w:cs="Arial"/>
          <w:sz w:val="24"/>
          <w:szCs w:val="24"/>
        </w:rPr>
        <w:t xml:space="preserve">are incentivised to </w:t>
      </w:r>
      <w:r w:rsidR="008E1F93" w:rsidRPr="00CC3547">
        <w:rPr>
          <w:rFonts w:ascii="Arial" w:hAnsi="Arial" w:cs="Arial"/>
          <w:sz w:val="24"/>
          <w:szCs w:val="24"/>
        </w:rPr>
        <w:t>retain carbon stored in forests through conservation and sustainable management (UN REDD, 2014)</w:t>
      </w:r>
      <w:r w:rsidR="00530391">
        <w:rPr>
          <w:rFonts w:ascii="Arial" w:hAnsi="Arial" w:cs="Arial"/>
          <w:sz w:val="24"/>
          <w:szCs w:val="24"/>
        </w:rPr>
        <w:t>.  T</w:t>
      </w:r>
      <w:r w:rsidRPr="00CC3547">
        <w:rPr>
          <w:rFonts w:ascii="Arial" w:hAnsi="Arial" w:cs="Arial"/>
          <w:sz w:val="24"/>
          <w:szCs w:val="24"/>
        </w:rPr>
        <w:t xml:space="preserve">he </w:t>
      </w:r>
      <w:r w:rsidR="008E1F93" w:rsidRPr="00CC3547">
        <w:rPr>
          <w:rFonts w:ascii="Arial" w:hAnsi="Arial" w:cs="Arial"/>
          <w:sz w:val="24"/>
          <w:szCs w:val="24"/>
        </w:rPr>
        <w:t>Clean Development Mechanism (CDM</w:t>
      </w:r>
      <w:r w:rsidRPr="00CC3547">
        <w:rPr>
          <w:rFonts w:ascii="Arial" w:hAnsi="Arial" w:cs="Arial"/>
          <w:sz w:val="24"/>
          <w:szCs w:val="24"/>
        </w:rPr>
        <w:t>)</w:t>
      </w:r>
      <w:r w:rsidR="00530391">
        <w:rPr>
          <w:rFonts w:ascii="Arial" w:hAnsi="Arial" w:cs="Arial"/>
          <w:sz w:val="24"/>
          <w:szCs w:val="24"/>
        </w:rPr>
        <w:t xml:space="preserve"> is another financially based example</w:t>
      </w:r>
      <w:r w:rsidR="00ED6087">
        <w:rPr>
          <w:rFonts w:ascii="Arial" w:hAnsi="Arial" w:cs="Arial"/>
          <w:sz w:val="24"/>
          <w:szCs w:val="24"/>
        </w:rPr>
        <w:t>,</w:t>
      </w:r>
      <w:r w:rsidRPr="00CC3547">
        <w:rPr>
          <w:rFonts w:ascii="Arial" w:hAnsi="Arial" w:cs="Arial"/>
          <w:sz w:val="24"/>
          <w:szCs w:val="24"/>
        </w:rPr>
        <w:t xml:space="preserve"> </w:t>
      </w:r>
      <w:r w:rsidR="008E1F93" w:rsidRPr="00CC3547">
        <w:rPr>
          <w:rFonts w:ascii="Arial" w:hAnsi="Arial" w:cs="Arial"/>
          <w:sz w:val="24"/>
          <w:szCs w:val="24"/>
        </w:rPr>
        <w:t xml:space="preserve">allowing </w:t>
      </w:r>
      <w:r w:rsidRPr="00CC3547">
        <w:rPr>
          <w:rFonts w:ascii="Arial" w:hAnsi="Arial" w:cs="Arial"/>
          <w:sz w:val="24"/>
          <w:szCs w:val="24"/>
        </w:rPr>
        <w:t xml:space="preserve">nations </w:t>
      </w:r>
      <w:r w:rsidR="008E1F93" w:rsidRPr="00CC3547">
        <w:rPr>
          <w:rFonts w:ascii="Arial" w:hAnsi="Arial" w:cs="Arial"/>
          <w:sz w:val="24"/>
          <w:szCs w:val="24"/>
        </w:rPr>
        <w:t>with emission-reduction or emission-limitation commitment</w:t>
      </w:r>
      <w:r w:rsidRPr="00CC3547">
        <w:rPr>
          <w:rFonts w:ascii="Arial" w:hAnsi="Arial" w:cs="Arial"/>
          <w:sz w:val="24"/>
          <w:szCs w:val="24"/>
        </w:rPr>
        <w:t>s</w:t>
      </w:r>
      <w:r w:rsidR="008E1F93" w:rsidRPr="00CC3547">
        <w:rPr>
          <w:rFonts w:ascii="Arial" w:hAnsi="Arial" w:cs="Arial"/>
          <w:sz w:val="24"/>
          <w:szCs w:val="24"/>
        </w:rPr>
        <w:t xml:space="preserve"> to implement emission-reduction projects in developing countries thereby earning saleable certified emission reduction (CER) credits</w:t>
      </w:r>
      <w:r w:rsidRPr="00CC3547">
        <w:rPr>
          <w:rFonts w:ascii="Arial" w:hAnsi="Arial" w:cs="Arial"/>
          <w:sz w:val="24"/>
          <w:szCs w:val="24"/>
        </w:rPr>
        <w:t xml:space="preserve"> as a contribution to meeting Kyoto </w:t>
      </w:r>
      <w:r w:rsidR="00111C6F">
        <w:rPr>
          <w:rFonts w:ascii="Arial" w:hAnsi="Arial" w:cs="Arial"/>
          <w:sz w:val="24"/>
          <w:szCs w:val="24"/>
        </w:rPr>
        <w:t xml:space="preserve">Protocol </w:t>
      </w:r>
      <w:r w:rsidRPr="00CC3547">
        <w:rPr>
          <w:rFonts w:ascii="Arial" w:hAnsi="Arial" w:cs="Arial"/>
          <w:sz w:val="24"/>
          <w:szCs w:val="24"/>
        </w:rPr>
        <w:t xml:space="preserve">targets (UNFCCC, undated).  The </w:t>
      </w:r>
      <w:r w:rsidR="008E1F93" w:rsidRPr="00CC3547">
        <w:rPr>
          <w:rFonts w:ascii="Arial" w:hAnsi="Arial" w:cs="Arial"/>
          <w:sz w:val="24"/>
          <w:szCs w:val="24"/>
        </w:rPr>
        <w:t>World Bank</w:t>
      </w:r>
      <w:r w:rsidRPr="00CC3547">
        <w:rPr>
          <w:rFonts w:ascii="Arial" w:hAnsi="Arial" w:cs="Arial"/>
          <w:sz w:val="24"/>
          <w:szCs w:val="24"/>
        </w:rPr>
        <w:t xml:space="preserve"> was also established on </w:t>
      </w:r>
      <w:r w:rsidR="008E1F93" w:rsidRPr="00CC3547">
        <w:rPr>
          <w:rFonts w:ascii="Arial" w:hAnsi="Arial" w:cs="Arial"/>
          <w:sz w:val="24"/>
          <w:szCs w:val="24"/>
        </w:rPr>
        <w:t>a market basis</w:t>
      </w:r>
      <w:r w:rsidR="00ED6087">
        <w:rPr>
          <w:rFonts w:ascii="Arial" w:hAnsi="Arial" w:cs="Arial"/>
          <w:sz w:val="24"/>
          <w:szCs w:val="24"/>
        </w:rPr>
        <w:t xml:space="preserve"> </w:t>
      </w:r>
      <w:r w:rsidRPr="00CC3547">
        <w:rPr>
          <w:rFonts w:ascii="Arial" w:hAnsi="Arial" w:cs="Arial"/>
          <w:sz w:val="24"/>
          <w:szCs w:val="24"/>
        </w:rPr>
        <w:t xml:space="preserve">to reduce </w:t>
      </w:r>
      <w:r w:rsidR="008E1F93" w:rsidRPr="00CC3547">
        <w:rPr>
          <w:rFonts w:ascii="Arial" w:hAnsi="Arial" w:cs="Arial"/>
          <w:sz w:val="24"/>
          <w:szCs w:val="24"/>
        </w:rPr>
        <w:t>poverty</w:t>
      </w:r>
      <w:r w:rsidRPr="00CC3547">
        <w:rPr>
          <w:rFonts w:ascii="Arial" w:hAnsi="Arial" w:cs="Arial"/>
          <w:sz w:val="24"/>
          <w:szCs w:val="24"/>
        </w:rPr>
        <w:t xml:space="preserve"> </w:t>
      </w:r>
      <w:r w:rsidR="008E1F93" w:rsidRPr="00CC3547">
        <w:rPr>
          <w:rFonts w:ascii="Arial" w:hAnsi="Arial" w:cs="Arial"/>
          <w:sz w:val="24"/>
          <w:szCs w:val="24"/>
        </w:rPr>
        <w:t xml:space="preserve">by promotion of foreign investment </w:t>
      </w:r>
      <w:r w:rsidRPr="00CC3547">
        <w:rPr>
          <w:rFonts w:ascii="Arial" w:hAnsi="Arial" w:cs="Arial"/>
          <w:sz w:val="24"/>
          <w:szCs w:val="24"/>
        </w:rPr>
        <w:t xml:space="preserve">into </w:t>
      </w:r>
      <w:r w:rsidR="008E1F93" w:rsidRPr="00CC3547">
        <w:rPr>
          <w:rFonts w:ascii="Arial" w:hAnsi="Arial" w:cs="Arial"/>
          <w:sz w:val="24"/>
          <w:szCs w:val="24"/>
        </w:rPr>
        <w:t xml:space="preserve">and international trade </w:t>
      </w:r>
      <w:r w:rsidRPr="00CC3547">
        <w:rPr>
          <w:rFonts w:ascii="Arial" w:hAnsi="Arial" w:cs="Arial"/>
          <w:sz w:val="24"/>
          <w:szCs w:val="24"/>
        </w:rPr>
        <w:t xml:space="preserve">with </w:t>
      </w:r>
      <w:r w:rsidR="008E1F93" w:rsidRPr="00CC3547">
        <w:rPr>
          <w:rFonts w:ascii="Arial" w:hAnsi="Arial" w:cs="Arial"/>
          <w:sz w:val="24"/>
          <w:szCs w:val="24"/>
        </w:rPr>
        <w:t xml:space="preserve">developing countries </w:t>
      </w:r>
      <w:r w:rsidRPr="00CC3547">
        <w:rPr>
          <w:rFonts w:ascii="Arial" w:hAnsi="Arial" w:cs="Arial"/>
          <w:sz w:val="24"/>
          <w:szCs w:val="24"/>
        </w:rPr>
        <w:t xml:space="preserve">in support of </w:t>
      </w:r>
      <w:r w:rsidR="008E1F93" w:rsidRPr="00CC3547">
        <w:rPr>
          <w:rFonts w:ascii="Arial" w:hAnsi="Arial" w:cs="Arial"/>
          <w:sz w:val="24"/>
          <w:szCs w:val="24"/>
        </w:rPr>
        <w:t xml:space="preserve">capital programs (World Bank, undated).  </w:t>
      </w:r>
      <w:r w:rsidRPr="00CC3547">
        <w:rPr>
          <w:rFonts w:ascii="Arial" w:hAnsi="Arial" w:cs="Arial"/>
          <w:sz w:val="24"/>
          <w:szCs w:val="24"/>
        </w:rPr>
        <w:t xml:space="preserve">An increasing number of </w:t>
      </w:r>
      <w:r w:rsidR="008E1F93" w:rsidRPr="00CC3547">
        <w:rPr>
          <w:rFonts w:ascii="Arial" w:hAnsi="Arial" w:cs="Arial"/>
          <w:sz w:val="24"/>
          <w:szCs w:val="24"/>
        </w:rPr>
        <w:t xml:space="preserve">international </w:t>
      </w:r>
      <w:r w:rsidR="008E1F93" w:rsidRPr="00CC3547">
        <w:rPr>
          <w:rFonts w:ascii="Arial" w:hAnsi="Arial" w:cs="Arial"/>
          <w:sz w:val="24"/>
          <w:szCs w:val="24"/>
        </w:rPr>
        <w:lastRenderedPageBreak/>
        <w:t xml:space="preserve">‘payment for ecosystem services’ (PES) schemes </w:t>
      </w:r>
      <w:r w:rsidRPr="00CC3547">
        <w:rPr>
          <w:rFonts w:ascii="Arial" w:hAnsi="Arial" w:cs="Arial"/>
          <w:sz w:val="24"/>
          <w:szCs w:val="24"/>
        </w:rPr>
        <w:t xml:space="preserve">are </w:t>
      </w:r>
      <w:r w:rsidR="00ED6087">
        <w:rPr>
          <w:rFonts w:ascii="Arial" w:hAnsi="Arial" w:cs="Arial"/>
          <w:sz w:val="24"/>
          <w:szCs w:val="24"/>
        </w:rPr>
        <w:t xml:space="preserve">also </w:t>
      </w:r>
      <w:r w:rsidRPr="00CC3547">
        <w:rPr>
          <w:rFonts w:ascii="Arial" w:hAnsi="Arial" w:cs="Arial"/>
          <w:sz w:val="24"/>
          <w:szCs w:val="24"/>
        </w:rPr>
        <w:t>being established</w:t>
      </w:r>
      <w:r w:rsidR="00ED6087">
        <w:rPr>
          <w:rFonts w:ascii="Arial" w:hAnsi="Arial" w:cs="Arial"/>
          <w:sz w:val="24"/>
          <w:szCs w:val="24"/>
        </w:rPr>
        <w:t>,</w:t>
      </w:r>
      <w:r w:rsidRPr="00CC3547">
        <w:rPr>
          <w:rFonts w:ascii="Arial" w:hAnsi="Arial" w:cs="Arial"/>
          <w:sz w:val="24"/>
          <w:szCs w:val="24"/>
        </w:rPr>
        <w:t xml:space="preserve"> under </w:t>
      </w:r>
      <w:r w:rsidR="00ED6087">
        <w:rPr>
          <w:rFonts w:ascii="Arial" w:hAnsi="Arial" w:cs="Arial"/>
          <w:sz w:val="24"/>
          <w:szCs w:val="24"/>
        </w:rPr>
        <w:t xml:space="preserve">the terms of </w:t>
      </w:r>
      <w:r w:rsidRPr="00CC3547">
        <w:rPr>
          <w:rFonts w:ascii="Arial" w:hAnsi="Arial" w:cs="Arial"/>
          <w:sz w:val="24"/>
          <w:szCs w:val="24"/>
        </w:rPr>
        <w:t xml:space="preserve">which developed world interests pay into developing world schemes </w:t>
      </w:r>
      <w:r w:rsidR="00111C6F">
        <w:rPr>
          <w:rFonts w:ascii="Arial" w:hAnsi="Arial" w:cs="Arial"/>
          <w:sz w:val="24"/>
          <w:szCs w:val="24"/>
        </w:rPr>
        <w:t xml:space="preserve">targeting </w:t>
      </w:r>
      <w:r w:rsidR="00ED6087">
        <w:rPr>
          <w:rFonts w:ascii="Arial" w:hAnsi="Arial" w:cs="Arial"/>
          <w:sz w:val="24"/>
          <w:szCs w:val="24"/>
        </w:rPr>
        <w:t>ecosystem service</w:t>
      </w:r>
      <w:r w:rsidRPr="00CC3547">
        <w:rPr>
          <w:rFonts w:ascii="Arial" w:hAnsi="Arial" w:cs="Arial"/>
          <w:sz w:val="24"/>
          <w:szCs w:val="24"/>
        </w:rPr>
        <w:t xml:space="preserve"> enhancements</w:t>
      </w:r>
      <w:r w:rsidR="00530391">
        <w:rPr>
          <w:rFonts w:ascii="Arial" w:hAnsi="Arial" w:cs="Arial"/>
          <w:sz w:val="24"/>
          <w:szCs w:val="24"/>
        </w:rPr>
        <w:t xml:space="preserve">.  These international PES schemes can address multiple services including </w:t>
      </w:r>
      <w:r w:rsidRPr="00CC3547">
        <w:rPr>
          <w:rFonts w:ascii="Arial" w:hAnsi="Arial" w:cs="Arial"/>
          <w:sz w:val="24"/>
          <w:szCs w:val="24"/>
        </w:rPr>
        <w:t>carbon storage (REDD+ is an example)</w:t>
      </w:r>
      <w:r w:rsidR="00530391">
        <w:rPr>
          <w:rFonts w:ascii="Arial" w:hAnsi="Arial" w:cs="Arial"/>
          <w:sz w:val="24"/>
          <w:szCs w:val="24"/>
        </w:rPr>
        <w:t xml:space="preserve">, </w:t>
      </w:r>
      <w:r w:rsidRPr="00CC3547">
        <w:rPr>
          <w:rFonts w:ascii="Arial" w:hAnsi="Arial" w:cs="Arial"/>
          <w:sz w:val="24"/>
          <w:szCs w:val="24"/>
        </w:rPr>
        <w:t>water resource</w:t>
      </w:r>
      <w:r w:rsidR="00530391">
        <w:rPr>
          <w:rFonts w:ascii="Arial" w:hAnsi="Arial" w:cs="Arial"/>
          <w:sz w:val="24"/>
          <w:szCs w:val="24"/>
        </w:rPr>
        <w:t>s</w:t>
      </w:r>
      <w:r w:rsidRPr="00CC3547">
        <w:rPr>
          <w:rFonts w:ascii="Arial" w:hAnsi="Arial" w:cs="Arial"/>
          <w:sz w:val="24"/>
          <w:szCs w:val="24"/>
        </w:rPr>
        <w:t xml:space="preserve">, </w:t>
      </w:r>
      <w:r w:rsidR="00530391">
        <w:rPr>
          <w:rFonts w:ascii="Arial" w:hAnsi="Arial" w:cs="Arial"/>
          <w:sz w:val="24"/>
          <w:szCs w:val="24"/>
        </w:rPr>
        <w:t xml:space="preserve">and </w:t>
      </w:r>
      <w:r w:rsidRPr="00CC3547">
        <w:rPr>
          <w:rFonts w:ascii="Arial" w:hAnsi="Arial" w:cs="Arial"/>
          <w:sz w:val="24"/>
          <w:szCs w:val="24"/>
        </w:rPr>
        <w:t xml:space="preserve">livelihood and biodiversity security </w:t>
      </w:r>
      <w:r w:rsidR="00ED6087">
        <w:rPr>
          <w:rFonts w:ascii="Arial" w:hAnsi="Arial" w:cs="Arial"/>
          <w:sz w:val="24"/>
          <w:szCs w:val="24"/>
        </w:rPr>
        <w:t>(OECD, 2010; UNEP and IU</w:t>
      </w:r>
      <w:r w:rsidR="008E1F93" w:rsidRPr="00CC3547">
        <w:rPr>
          <w:rFonts w:ascii="Arial" w:hAnsi="Arial" w:cs="Arial"/>
          <w:sz w:val="24"/>
          <w:szCs w:val="24"/>
        </w:rPr>
        <w:t>CN, undated).</w:t>
      </w:r>
    </w:p>
    <w:p w14:paraId="637FAE29" w14:textId="77777777" w:rsidR="008E1F93" w:rsidRPr="00CC3547" w:rsidRDefault="008E1F93" w:rsidP="008E1F93">
      <w:pPr>
        <w:spacing w:after="0" w:line="240" w:lineRule="auto"/>
        <w:contextualSpacing/>
        <w:rPr>
          <w:rFonts w:ascii="Arial" w:hAnsi="Arial" w:cs="Arial"/>
          <w:sz w:val="24"/>
          <w:szCs w:val="24"/>
        </w:rPr>
      </w:pPr>
    </w:p>
    <w:p w14:paraId="59DE6097" w14:textId="696132FF" w:rsidR="00EB2C3A" w:rsidRPr="00CC3547" w:rsidRDefault="00491834" w:rsidP="00491834">
      <w:pPr>
        <w:spacing w:after="0" w:line="240" w:lineRule="auto"/>
        <w:contextualSpacing/>
        <w:rPr>
          <w:rFonts w:ascii="Arial" w:hAnsi="Arial" w:cs="Arial"/>
          <w:sz w:val="24"/>
          <w:szCs w:val="24"/>
        </w:rPr>
      </w:pPr>
      <w:r w:rsidRPr="00CC3547">
        <w:rPr>
          <w:rFonts w:ascii="Arial" w:hAnsi="Arial" w:cs="Arial"/>
          <w:sz w:val="24"/>
          <w:szCs w:val="24"/>
        </w:rPr>
        <w:t xml:space="preserve">Everard </w:t>
      </w:r>
      <w:r w:rsidRPr="00CC3547">
        <w:rPr>
          <w:rFonts w:ascii="Arial" w:hAnsi="Arial" w:cs="Arial"/>
          <w:i/>
          <w:sz w:val="24"/>
          <w:szCs w:val="24"/>
        </w:rPr>
        <w:t>et al</w:t>
      </w:r>
      <w:r w:rsidRPr="002D1C50">
        <w:rPr>
          <w:rFonts w:ascii="Arial" w:hAnsi="Arial" w:cs="Arial"/>
          <w:sz w:val="24"/>
          <w:szCs w:val="24"/>
        </w:rPr>
        <w:t>. (</w:t>
      </w:r>
      <w:r w:rsidR="00530391" w:rsidRPr="002D1C50">
        <w:rPr>
          <w:rFonts w:ascii="Arial" w:hAnsi="Arial" w:cs="Arial"/>
          <w:sz w:val="24"/>
          <w:szCs w:val="24"/>
        </w:rPr>
        <w:t>submitted</w:t>
      </w:r>
      <w:r w:rsidRPr="002D1C50">
        <w:rPr>
          <w:rFonts w:ascii="Arial" w:hAnsi="Arial" w:cs="Arial"/>
          <w:sz w:val="24"/>
          <w:szCs w:val="24"/>
        </w:rPr>
        <w:t xml:space="preserve">) advances a set of </w:t>
      </w:r>
      <w:r w:rsidR="00111C6F" w:rsidRPr="002D1C50">
        <w:rPr>
          <w:rFonts w:ascii="Arial" w:hAnsi="Arial" w:cs="Arial"/>
          <w:sz w:val="24"/>
          <w:szCs w:val="24"/>
        </w:rPr>
        <w:t xml:space="preserve">expanded </w:t>
      </w:r>
      <w:r w:rsidRPr="002D1C50">
        <w:rPr>
          <w:rFonts w:ascii="Arial" w:hAnsi="Arial" w:cs="Arial"/>
          <w:sz w:val="24"/>
          <w:szCs w:val="24"/>
        </w:rPr>
        <w:t xml:space="preserve">PES-related principles </w:t>
      </w:r>
      <w:r w:rsidR="00111C6F" w:rsidRPr="002D1C50">
        <w:rPr>
          <w:rFonts w:ascii="Arial" w:hAnsi="Arial" w:cs="Arial"/>
          <w:sz w:val="24"/>
          <w:szCs w:val="24"/>
        </w:rPr>
        <w:t>as a test for the robustness and transparency of market-based developed-developing world partnerships for sustainable progress</w:t>
      </w:r>
      <w:r w:rsidR="00530391" w:rsidRPr="002D1C50">
        <w:rPr>
          <w:rFonts w:ascii="Arial" w:hAnsi="Arial" w:cs="Arial"/>
          <w:sz w:val="24"/>
          <w:szCs w:val="24"/>
        </w:rPr>
        <w:t xml:space="preserve">.  These principles are </w:t>
      </w:r>
      <w:r w:rsidR="00111C6F" w:rsidRPr="002D1C50">
        <w:rPr>
          <w:rFonts w:ascii="Arial" w:hAnsi="Arial" w:cs="Arial"/>
          <w:sz w:val="24"/>
          <w:szCs w:val="24"/>
        </w:rPr>
        <w:t xml:space="preserve">summarised in Box 1 with detailed descriptions in Everard </w:t>
      </w:r>
      <w:r w:rsidR="00111C6F" w:rsidRPr="002D1C50">
        <w:rPr>
          <w:rFonts w:ascii="Arial" w:hAnsi="Arial" w:cs="Arial"/>
          <w:i/>
          <w:sz w:val="24"/>
          <w:szCs w:val="24"/>
        </w:rPr>
        <w:t>et al</w:t>
      </w:r>
      <w:r w:rsidR="00111C6F" w:rsidRPr="002D1C50">
        <w:rPr>
          <w:rFonts w:ascii="Arial" w:hAnsi="Arial" w:cs="Arial"/>
          <w:sz w:val="24"/>
          <w:szCs w:val="24"/>
        </w:rPr>
        <w:t>.</w:t>
      </w:r>
      <w:r w:rsidR="00530391" w:rsidRPr="002D1C50">
        <w:rPr>
          <w:rFonts w:ascii="Arial" w:hAnsi="Arial" w:cs="Arial"/>
          <w:sz w:val="24"/>
          <w:szCs w:val="24"/>
        </w:rPr>
        <w:t xml:space="preserve"> (submitted</w:t>
      </w:r>
      <w:r w:rsidR="00111C6F" w:rsidRPr="002D1C50">
        <w:rPr>
          <w:rFonts w:ascii="Arial" w:hAnsi="Arial" w:cs="Arial"/>
          <w:sz w:val="24"/>
          <w:szCs w:val="24"/>
        </w:rPr>
        <w:t>)</w:t>
      </w:r>
      <w:r w:rsidR="004328D1" w:rsidRPr="002D1C50">
        <w:rPr>
          <w:rFonts w:ascii="Arial" w:hAnsi="Arial" w:cs="Arial"/>
          <w:sz w:val="24"/>
          <w:szCs w:val="24"/>
        </w:rPr>
        <w:t xml:space="preserve">, </w:t>
      </w:r>
      <w:r w:rsidR="004328D1">
        <w:rPr>
          <w:rFonts w:ascii="Arial" w:hAnsi="Arial" w:cs="Arial"/>
          <w:sz w:val="24"/>
          <w:szCs w:val="24"/>
        </w:rPr>
        <w:t xml:space="preserve">but building upon foundational principles </w:t>
      </w:r>
      <w:r w:rsidR="004328D1" w:rsidRPr="00CC3547">
        <w:rPr>
          <w:rFonts w:ascii="Arial" w:hAnsi="Arial" w:cs="Arial"/>
          <w:sz w:val="24"/>
          <w:szCs w:val="24"/>
        </w:rPr>
        <w:t>established by Wunder (2005)</w:t>
      </w:r>
      <w:r w:rsidR="004328D1">
        <w:rPr>
          <w:rFonts w:ascii="Arial" w:hAnsi="Arial" w:cs="Arial"/>
          <w:sz w:val="24"/>
          <w:szCs w:val="24"/>
        </w:rPr>
        <w:t xml:space="preserve">, augmented by </w:t>
      </w:r>
      <w:r w:rsidR="004328D1" w:rsidRPr="00CC3547">
        <w:rPr>
          <w:rFonts w:ascii="Arial" w:hAnsi="Arial" w:cs="Arial"/>
          <w:sz w:val="24"/>
          <w:szCs w:val="24"/>
        </w:rPr>
        <w:t xml:space="preserve">Smith </w:t>
      </w:r>
      <w:r w:rsidR="004328D1" w:rsidRPr="00CC3547">
        <w:rPr>
          <w:rFonts w:ascii="Arial" w:hAnsi="Arial" w:cs="Arial"/>
          <w:i/>
          <w:sz w:val="24"/>
          <w:szCs w:val="24"/>
        </w:rPr>
        <w:t>et al</w:t>
      </w:r>
      <w:r w:rsidR="004328D1" w:rsidRPr="00CC3547">
        <w:rPr>
          <w:rFonts w:ascii="Arial" w:hAnsi="Arial" w:cs="Arial"/>
          <w:sz w:val="24"/>
          <w:szCs w:val="24"/>
        </w:rPr>
        <w:t xml:space="preserve">. (2013) and </w:t>
      </w:r>
      <w:r w:rsidR="004328D1">
        <w:rPr>
          <w:rFonts w:ascii="Arial" w:hAnsi="Arial" w:cs="Arial"/>
          <w:sz w:val="24"/>
          <w:szCs w:val="24"/>
        </w:rPr>
        <w:t xml:space="preserve">integrating the </w:t>
      </w:r>
      <w:r w:rsidR="004328D1" w:rsidRPr="00CC3547">
        <w:rPr>
          <w:rFonts w:ascii="Arial" w:hAnsi="Arial" w:cs="Arial"/>
          <w:sz w:val="24"/>
          <w:szCs w:val="24"/>
        </w:rPr>
        <w:t xml:space="preserve">‘systemic solutions’ approach </w:t>
      </w:r>
      <w:r w:rsidR="004328D1">
        <w:rPr>
          <w:rFonts w:ascii="Arial" w:hAnsi="Arial" w:cs="Arial"/>
          <w:sz w:val="24"/>
          <w:szCs w:val="24"/>
        </w:rPr>
        <w:t xml:space="preserve">(Everard and McInnes, </w:t>
      </w:r>
      <w:r w:rsidR="004328D1" w:rsidRPr="00CC3547">
        <w:rPr>
          <w:rFonts w:ascii="Arial" w:hAnsi="Arial" w:cs="Arial"/>
          <w:sz w:val="24"/>
          <w:szCs w:val="24"/>
        </w:rPr>
        <w:t>2013)</w:t>
      </w:r>
      <w:r w:rsidR="00111C6F" w:rsidRPr="00CC3547">
        <w:rPr>
          <w:rFonts w:ascii="Arial" w:hAnsi="Arial" w:cs="Arial"/>
          <w:sz w:val="24"/>
          <w:szCs w:val="24"/>
        </w:rPr>
        <w:t>.</w:t>
      </w:r>
      <w:r w:rsidR="00111C6F">
        <w:rPr>
          <w:rFonts w:ascii="Arial" w:hAnsi="Arial" w:cs="Arial"/>
          <w:sz w:val="24"/>
          <w:szCs w:val="24"/>
        </w:rPr>
        <w:t xml:space="preserve">  Ideally, </w:t>
      </w:r>
      <w:r w:rsidR="00EB2C3A" w:rsidRPr="00CC3547">
        <w:rPr>
          <w:rFonts w:ascii="Arial" w:hAnsi="Arial" w:cs="Arial"/>
          <w:sz w:val="24"/>
          <w:szCs w:val="24"/>
        </w:rPr>
        <w:t xml:space="preserve">decisions and management actions </w:t>
      </w:r>
      <w:r w:rsidR="00111C6F">
        <w:rPr>
          <w:rFonts w:ascii="Arial" w:hAnsi="Arial" w:cs="Arial"/>
          <w:sz w:val="24"/>
          <w:szCs w:val="24"/>
        </w:rPr>
        <w:t xml:space="preserve">should account for </w:t>
      </w:r>
      <w:r w:rsidR="00EB2C3A" w:rsidRPr="00CC3547">
        <w:rPr>
          <w:rFonts w:ascii="Arial" w:hAnsi="Arial" w:cs="Arial"/>
          <w:sz w:val="24"/>
          <w:szCs w:val="24"/>
        </w:rPr>
        <w:t xml:space="preserve">the spectrum of ecosystem services and </w:t>
      </w:r>
      <w:r w:rsidR="00111C6F">
        <w:rPr>
          <w:rFonts w:ascii="Arial" w:hAnsi="Arial" w:cs="Arial"/>
          <w:sz w:val="24"/>
          <w:szCs w:val="24"/>
        </w:rPr>
        <w:t xml:space="preserve">their </w:t>
      </w:r>
      <w:r w:rsidR="00EB2C3A" w:rsidRPr="00CC3547">
        <w:rPr>
          <w:rFonts w:ascii="Arial" w:hAnsi="Arial" w:cs="Arial"/>
          <w:sz w:val="24"/>
          <w:szCs w:val="24"/>
        </w:rPr>
        <w:t>beneficiaries</w:t>
      </w:r>
      <w:r w:rsidR="00111C6F">
        <w:rPr>
          <w:rFonts w:ascii="Arial" w:hAnsi="Arial" w:cs="Arial"/>
          <w:sz w:val="24"/>
          <w:szCs w:val="24"/>
        </w:rPr>
        <w:t>.  However</w:t>
      </w:r>
      <w:r w:rsidR="00EB2C3A" w:rsidRPr="00CC3547">
        <w:rPr>
          <w:rFonts w:ascii="Arial" w:hAnsi="Arial" w:cs="Arial"/>
          <w:sz w:val="24"/>
          <w:szCs w:val="24"/>
        </w:rPr>
        <w:t>, in practice</w:t>
      </w:r>
      <w:r w:rsidR="00111C6F">
        <w:rPr>
          <w:rFonts w:ascii="Arial" w:hAnsi="Arial" w:cs="Arial"/>
          <w:sz w:val="24"/>
          <w:szCs w:val="24"/>
        </w:rPr>
        <w:t>,</w:t>
      </w:r>
      <w:r w:rsidR="00EB2C3A" w:rsidRPr="00CC3547">
        <w:rPr>
          <w:rFonts w:ascii="Arial" w:hAnsi="Arial" w:cs="Arial"/>
          <w:sz w:val="24"/>
          <w:szCs w:val="24"/>
        </w:rPr>
        <w:t xml:space="preserve"> one or a few ecosystem service outcomes generally form the principal driving forces in </w:t>
      </w:r>
      <w:r w:rsidR="00111C6F">
        <w:rPr>
          <w:rFonts w:ascii="Arial" w:hAnsi="Arial" w:cs="Arial"/>
          <w:sz w:val="24"/>
          <w:szCs w:val="24"/>
        </w:rPr>
        <w:t>scheme instigation</w:t>
      </w:r>
      <w:r w:rsidR="00EB2C3A" w:rsidRPr="00CC3547">
        <w:rPr>
          <w:rFonts w:ascii="Arial" w:hAnsi="Arial" w:cs="Arial"/>
          <w:sz w:val="24"/>
          <w:szCs w:val="24"/>
        </w:rPr>
        <w:t xml:space="preserve">.  </w:t>
      </w:r>
      <w:r w:rsidR="00ED6087">
        <w:rPr>
          <w:rFonts w:ascii="Arial" w:hAnsi="Arial" w:cs="Arial"/>
          <w:sz w:val="24"/>
          <w:szCs w:val="24"/>
        </w:rPr>
        <w:t>H</w:t>
      </w:r>
      <w:r w:rsidR="00EB2C3A" w:rsidRPr="00CC3547">
        <w:rPr>
          <w:rFonts w:ascii="Arial" w:hAnsi="Arial" w:cs="Arial"/>
          <w:sz w:val="24"/>
          <w:szCs w:val="24"/>
        </w:rPr>
        <w:t xml:space="preserve">istoric practice </w:t>
      </w:r>
      <w:r w:rsidR="00111C6F">
        <w:rPr>
          <w:rFonts w:ascii="Arial" w:hAnsi="Arial" w:cs="Arial"/>
          <w:sz w:val="24"/>
          <w:szCs w:val="24"/>
        </w:rPr>
        <w:t xml:space="preserve">generally prioritises </w:t>
      </w:r>
      <w:r w:rsidR="00ED6087">
        <w:rPr>
          <w:rFonts w:ascii="Arial" w:hAnsi="Arial" w:cs="Arial"/>
          <w:sz w:val="24"/>
          <w:szCs w:val="24"/>
        </w:rPr>
        <w:t>maximis</w:t>
      </w:r>
      <w:r w:rsidR="00111C6F">
        <w:rPr>
          <w:rFonts w:ascii="Arial" w:hAnsi="Arial" w:cs="Arial"/>
          <w:sz w:val="24"/>
          <w:szCs w:val="24"/>
        </w:rPr>
        <w:t xml:space="preserve">ation of </w:t>
      </w:r>
      <w:r w:rsidR="00ED6087">
        <w:rPr>
          <w:rFonts w:ascii="Arial" w:hAnsi="Arial" w:cs="Arial"/>
          <w:sz w:val="24"/>
          <w:szCs w:val="24"/>
        </w:rPr>
        <w:t>production of a focal service</w:t>
      </w:r>
      <w:r w:rsidR="00111C6F">
        <w:rPr>
          <w:rFonts w:ascii="Arial" w:hAnsi="Arial" w:cs="Arial"/>
          <w:sz w:val="24"/>
          <w:szCs w:val="24"/>
        </w:rPr>
        <w:t xml:space="preserve"> fitting a commercial, regulatory, or other desired end-point</w:t>
      </w:r>
      <w:r w:rsidR="004328D1">
        <w:rPr>
          <w:rFonts w:ascii="Arial" w:hAnsi="Arial" w:cs="Arial"/>
          <w:sz w:val="24"/>
          <w:szCs w:val="24"/>
        </w:rPr>
        <w:t xml:space="preserve">.  This may be, </w:t>
      </w:r>
      <w:r w:rsidR="00EB2C3A" w:rsidRPr="00CC3547">
        <w:rPr>
          <w:rFonts w:ascii="Arial" w:hAnsi="Arial" w:cs="Arial"/>
          <w:sz w:val="24"/>
          <w:szCs w:val="24"/>
        </w:rPr>
        <w:t>for example</w:t>
      </w:r>
      <w:r w:rsidR="004328D1">
        <w:rPr>
          <w:rFonts w:ascii="Arial" w:hAnsi="Arial" w:cs="Arial"/>
          <w:sz w:val="24"/>
          <w:szCs w:val="24"/>
        </w:rPr>
        <w:t>,</w:t>
      </w:r>
      <w:r w:rsidR="00EB2C3A" w:rsidRPr="00CC3547">
        <w:rPr>
          <w:rFonts w:ascii="Arial" w:hAnsi="Arial" w:cs="Arial"/>
          <w:sz w:val="24"/>
          <w:szCs w:val="24"/>
        </w:rPr>
        <w:t xml:space="preserve"> food or water</w:t>
      </w:r>
      <w:r w:rsidR="00ED6087">
        <w:rPr>
          <w:rFonts w:ascii="Arial" w:hAnsi="Arial" w:cs="Arial"/>
          <w:sz w:val="24"/>
          <w:szCs w:val="24"/>
        </w:rPr>
        <w:t xml:space="preserve"> </w:t>
      </w:r>
      <w:r w:rsidR="00111C6F">
        <w:rPr>
          <w:rFonts w:ascii="Arial" w:hAnsi="Arial" w:cs="Arial"/>
          <w:sz w:val="24"/>
          <w:szCs w:val="24"/>
        </w:rPr>
        <w:t xml:space="preserve">production </w:t>
      </w:r>
      <w:r w:rsidR="00ED6087">
        <w:rPr>
          <w:rFonts w:ascii="Arial" w:hAnsi="Arial" w:cs="Arial"/>
          <w:sz w:val="24"/>
          <w:szCs w:val="24"/>
        </w:rPr>
        <w:t>often for private profit,</w:t>
      </w:r>
      <w:r w:rsidR="00EB2C3A" w:rsidRPr="00CC3547">
        <w:rPr>
          <w:rFonts w:ascii="Arial" w:hAnsi="Arial" w:cs="Arial"/>
          <w:sz w:val="24"/>
          <w:szCs w:val="24"/>
        </w:rPr>
        <w:t xml:space="preserve"> whilst overlooking potential externalities</w:t>
      </w:r>
      <w:r w:rsidR="00ED6087">
        <w:rPr>
          <w:rFonts w:ascii="Arial" w:hAnsi="Arial" w:cs="Arial"/>
          <w:sz w:val="24"/>
          <w:szCs w:val="24"/>
        </w:rPr>
        <w:t xml:space="preserve"> for other services and their (often public and/or non-marketed) beneficiaries.  </w:t>
      </w:r>
      <w:r w:rsidR="00EB2C3A" w:rsidRPr="00CC3547">
        <w:rPr>
          <w:rFonts w:ascii="Arial" w:hAnsi="Arial" w:cs="Arial"/>
          <w:sz w:val="24"/>
          <w:szCs w:val="24"/>
        </w:rPr>
        <w:t>Everard (2014) describes how the</w:t>
      </w:r>
      <w:r w:rsidR="00111C6F">
        <w:rPr>
          <w:rFonts w:ascii="Arial" w:hAnsi="Arial" w:cs="Arial"/>
          <w:sz w:val="24"/>
          <w:szCs w:val="24"/>
        </w:rPr>
        <w:t>se</w:t>
      </w:r>
      <w:r w:rsidR="00EB2C3A" w:rsidRPr="00CC3547">
        <w:rPr>
          <w:rFonts w:ascii="Arial" w:hAnsi="Arial" w:cs="Arial"/>
          <w:sz w:val="24"/>
          <w:szCs w:val="24"/>
        </w:rPr>
        <w:t xml:space="preserve"> driving </w:t>
      </w:r>
      <w:r w:rsidR="00111C6F">
        <w:rPr>
          <w:rFonts w:ascii="Arial" w:hAnsi="Arial" w:cs="Arial"/>
          <w:sz w:val="24"/>
          <w:szCs w:val="24"/>
        </w:rPr>
        <w:t xml:space="preserve">forces </w:t>
      </w:r>
      <w:r w:rsidR="00EB2C3A" w:rsidRPr="00CC3547">
        <w:rPr>
          <w:rFonts w:ascii="Arial" w:hAnsi="Arial" w:cs="Arial"/>
          <w:sz w:val="24"/>
          <w:szCs w:val="24"/>
        </w:rPr>
        <w:t xml:space="preserve">for service enhancement can instead constitute an ‘anchor service’ around which solutions are sought, ideally in collaboration with other stakeholders in resource management and its outcomes, to optimise the co-delivery of </w:t>
      </w:r>
      <w:r w:rsidR="00ED6087">
        <w:rPr>
          <w:rFonts w:ascii="Arial" w:hAnsi="Arial" w:cs="Arial"/>
          <w:sz w:val="24"/>
          <w:szCs w:val="24"/>
        </w:rPr>
        <w:t>inevitably inter</w:t>
      </w:r>
      <w:r w:rsidR="00EB2C3A" w:rsidRPr="00CC3547">
        <w:rPr>
          <w:rFonts w:ascii="Arial" w:hAnsi="Arial" w:cs="Arial"/>
          <w:sz w:val="24"/>
          <w:szCs w:val="24"/>
        </w:rPr>
        <w:t xml:space="preserve">connected services thereby seeking </w:t>
      </w:r>
      <w:r w:rsidR="00ED6087">
        <w:rPr>
          <w:rFonts w:ascii="Arial" w:hAnsi="Arial" w:cs="Arial"/>
          <w:sz w:val="24"/>
          <w:szCs w:val="24"/>
        </w:rPr>
        <w:t xml:space="preserve">to optimise </w:t>
      </w:r>
      <w:r w:rsidR="00EB2C3A" w:rsidRPr="00CC3547">
        <w:rPr>
          <w:rFonts w:ascii="Arial" w:hAnsi="Arial" w:cs="Arial"/>
          <w:sz w:val="24"/>
          <w:szCs w:val="24"/>
        </w:rPr>
        <w:t xml:space="preserve">net societal benefit, cross-stakeholder equity and </w:t>
      </w:r>
      <w:r w:rsidR="00ED6087">
        <w:rPr>
          <w:rFonts w:ascii="Arial" w:hAnsi="Arial" w:cs="Arial"/>
          <w:sz w:val="24"/>
          <w:szCs w:val="24"/>
        </w:rPr>
        <w:t xml:space="preserve">the </w:t>
      </w:r>
      <w:r w:rsidR="00EB2C3A" w:rsidRPr="00CC3547">
        <w:rPr>
          <w:rFonts w:ascii="Arial" w:hAnsi="Arial" w:cs="Arial"/>
          <w:sz w:val="24"/>
          <w:szCs w:val="24"/>
        </w:rPr>
        <w:t xml:space="preserve">resilience </w:t>
      </w:r>
      <w:r w:rsidR="00ED6087">
        <w:rPr>
          <w:rFonts w:ascii="Arial" w:hAnsi="Arial" w:cs="Arial"/>
          <w:sz w:val="24"/>
          <w:szCs w:val="24"/>
        </w:rPr>
        <w:t xml:space="preserve">of </w:t>
      </w:r>
      <w:r w:rsidR="00EB2C3A" w:rsidRPr="00CC3547">
        <w:rPr>
          <w:rFonts w:ascii="Arial" w:hAnsi="Arial" w:cs="Arial"/>
          <w:sz w:val="24"/>
          <w:szCs w:val="24"/>
        </w:rPr>
        <w:t>the productive ecosystem.</w:t>
      </w:r>
    </w:p>
    <w:p w14:paraId="7D07C1F3" w14:textId="77777777" w:rsidR="008E1F93" w:rsidRPr="00CC3547" w:rsidRDefault="008E1F93" w:rsidP="008E1F93">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E1F93" w:rsidRPr="00CC3547" w14:paraId="0CF79D6B" w14:textId="77777777" w:rsidTr="008E1F93">
        <w:tc>
          <w:tcPr>
            <w:tcW w:w="9242" w:type="dxa"/>
          </w:tcPr>
          <w:p w14:paraId="2DA8805D" w14:textId="50EE5466" w:rsidR="008E1F93" w:rsidRPr="00CC3547" w:rsidRDefault="008E1F93" w:rsidP="004328D1">
            <w:pPr>
              <w:contextualSpacing/>
              <w:rPr>
                <w:rFonts w:ascii="Arial" w:hAnsi="Arial" w:cs="Arial"/>
                <w:b/>
                <w:sz w:val="24"/>
                <w:szCs w:val="24"/>
              </w:rPr>
            </w:pPr>
            <w:r w:rsidRPr="00CC3547">
              <w:rPr>
                <w:rFonts w:ascii="Arial" w:hAnsi="Arial" w:cs="Arial"/>
                <w:b/>
                <w:sz w:val="24"/>
                <w:szCs w:val="24"/>
              </w:rPr>
              <w:t>Box 1: Expanded PES-related principles</w:t>
            </w:r>
            <w:r w:rsidR="00491834" w:rsidRPr="00CC3547">
              <w:rPr>
                <w:rFonts w:ascii="Arial" w:hAnsi="Arial" w:cs="Arial"/>
                <w:b/>
                <w:sz w:val="24"/>
                <w:szCs w:val="24"/>
              </w:rPr>
              <w:t xml:space="preserve"> (from Everard </w:t>
            </w:r>
            <w:r w:rsidR="00491834" w:rsidRPr="00CC3547">
              <w:rPr>
                <w:rFonts w:ascii="Arial" w:hAnsi="Arial" w:cs="Arial"/>
                <w:b/>
                <w:i/>
                <w:sz w:val="24"/>
                <w:szCs w:val="24"/>
              </w:rPr>
              <w:t>et al</w:t>
            </w:r>
            <w:r w:rsidR="00491834" w:rsidRPr="00CC3547">
              <w:rPr>
                <w:rFonts w:ascii="Arial" w:hAnsi="Arial" w:cs="Arial"/>
                <w:b/>
                <w:sz w:val="24"/>
                <w:szCs w:val="24"/>
              </w:rPr>
              <w:t xml:space="preserve">., </w:t>
            </w:r>
            <w:r w:rsidR="004328D1">
              <w:rPr>
                <w:rFonts w:ascii="Arial" w:hAnsi="Arial" w:cs="Arial"/>
                <w:b/>
                <w:sz w:val="24"/>
                <w:szCs w:val="24"/>
              </w:rPr>
              <w:t>submitted</w:t>
            </w:r>
            <w:r w:rsidR="00491834" w:rsidRPr="00CC3547">
              <w:rPr>
                <w:rFonts w:ascii="Arial" w:hAnsi="Arial" w:cs="Arial"/>
                <w:b/>
                <w:sz w:val="24"/>
                <w:szCs w:val="24"/>
              </w:rPr>
              <w:t>)</w:t>
            </w:r>
          </w:p>
          <w:p w14:paraId="345137A4" w14:textId="77777777" w:rsidR="008E1F93" w:rsidRDefault="008E1F93" w:rsidP="004328D1">
            <w:pPr>
              <w:contextualSpacing/>
              <w:rPr>
                <w:rFonts w:ascii="Arial" w:hAnsi="Arial" w:cs="Arial"/>
                <w:sz w:val="24"/>
                <w:szCs w:val="24"/>
              </w:rPr>
            </w:pPr>
          </w:p>
          <w:p w14:paraId="2AD06FD6" w14:textId="503DA6D5" w:rsidR="008E1F93" w:rsidRPr="00CC3547" w:rsidRDefault="004328D1" w:rsidP="004328D1">
            <w:pPr>
              <w:contextualSpacing/>
              <w:rPr>
                <w:rFonts w:ascii="Arial" w:hAnsi="Arial" w:cs="Arial"/>
                <w:sz w:val="24"/>
                <w:szCs w:val="24"/>
              </w:rPr>
            </w:pPr>
            <w:r>
              <w:rPr>
                <w:rFonts w:ascii="Arial" w:hAnsi="Arial" w:cs="Arial"/>
                <w:sz w:val="24"/>
                <w:szCs w:val="24"/>
              </w:rPr>
              <w:t>Established foundational PES principles (Wunder, 2005) identify that t</w:t>
            </w:r>
            <w:r w:rsidR="00491834" w:rsidRPr="00CC3547">
              <w:rPr>
                <w:rFonts w:ascii="Arial" w:hAnsi="Arial" w:cs="Arial"/>
                <w:sz w:val="24"/>
                <w:szCs w:val="24"/>
              </w:rPr>
              <w:t>ransactions should be</w:t>
            </w:r>
            <w:r w:rsidR="008E1F93" w:rsidRPr="00CC3547">
              <w:rPr>
                <w:rFonts w:ascii="Arial" w:hAnsi="Arial" w:cs="Arial"/>
                <w:sz w:val="24"/>
                <w:szCs w:val="24"/>
              </w:rPr>
              <w:t xml:space="preserve">: </w:t>
            </w:r>
          </w:p>
          <w:p w14:paraId="32E80CC4" w14:textId="31E04635" w:rsidR="00491834" w:rsidRPr="00CC3547" w:rsidRDefault="00491834" w:rsidP="004328D1">
            <w:pPr>
              <w:pStyle w:val="ListParagraph"/>
              <w:numPr>
                <w:ilvl w:val="0"/>
                <w:numId w:val="3"/>
              </w:numPr>
              <w:autoSpaceDE w:val="0"/>
              <w:autoSpaceDN w:val="0"/>
              <w:adjustRightInd w:val="0"/>
              <w:rPr>
                <w:rFonts w:ascii="Arial" w:hAnsi="Arial" w:cs="Arial"/>
                <w:sz w:val="24"/>
                <w:szCs w:val="24"/>
              </w:rPr>
            </w:pPr>
            <w:r w:rsidRPr="00CC3547">
              <w:rPr>
                <w:rFonts w:ascii="Arial" w:hAnsi="Arial" w:cs="Arial"/>
                <w:b/>
                <w:sz w:val="24"/>
                <w:szCs w:val="24"/>
              </w:rPr>
              <w:t>V</w:t>
            </w:r>
            <w:r w:rsidR="008E1F93" w:rsidRPr="00CC3547">
              <w:rPr>
                <w:rFonts w:ascii="Arial" w:hAnsi="Arial" w:cs="Arial"/>
                <w:b/>
                <w:sz w:val="24"/>
                <w:szCs w:val="24"/>
              </w:rPr>
              <w:t>oluntary</w:t>
            </w:r>
            <w:r w:rsidRPr="00CC3547">
              <w:rPr>
                <w:rFonts w:ascii="Arial" w:hAnsi="Arial" w:cs="Arial"/>
                <w:sz w:val="24"/>
                <w:szCs w:val="24"/>
              </w:rPr>
              <w:t>;</w:t>
            </w:r>
          </w:p>
          <w:p w14:paraId="749D7B0F" w14:textId="54F764BB" w:rsidR="008E1F93" w:rsidRPr="00CC3547" w:rsidRDefault="00491834" w:rsidP="004328D1">
            <w:pPr>
              <w:pStyle w:val="ListParagraph"/>
              <w:numPr>
                <w:ilvl w:val="0"/>
                <w:numId w:val="3"/>
              </w:numPr>
              <w:autoSpaceDE w:val="0"/>
              <w:autoSpaceDN w:val="0"/>
              <w:adjustRightInd w:val="0"/>
              <w:rPr>
                <w:rFonts w:ascii="Arial" w:hAnsi="Arial" w:cs="Arial"/>
                <w:sz w:val="24"/>
                <w:szCs w:val="24"/>
              </w:rPr>
            </w:pPr>
            <w:r w:rsidRPr="00CC3547">
              <w:rPr>
                <w:rFonts w:ascii="Arial" w:hAnsi="Arial" w:cs="Arial"/>
                <w:sz w:val="24"/>
                <w:szCs w:val="24"/>
              </w:rPr>
              <w:t>Relate to a</w:t>
            </w:r>
            <w:r w:rsidR="008E1F93" w:rsidRPr="00CC3547">
              <w:rPr>
                <w:rFonts w:ascii="Arial" w:hAnsi="Arial" w:cs="Arial"/>
                <w:sz w:val="24"/>
                <w:szCs w:val="24"/>
              </w:rPr>
              <w:t xml:space="preserve"> </w:t>
            </w:r>
            <w:r w:rsidR="008E1F93" w:rsidRPr="00CC3547">
              <w:rPr>
                <w:rFonts w:ascii="Arial" w:hAnsi="Arial" w:cs="Arial"/>
                <w:b/>
                <w:sz w:val="24"/>
                <w:szCs w:val="24"/>
              </w:rPr>
              <w:t>well-defined ecosystem service</w:t>
            </w:r>
            <w:r w:rsidR="008E1F93" w:rsidRPr="00CC3547">
              <w:rPr>
                <w:rFonts w:ascii="Arial" w:hAnsi="Arial" w:cs="Arial"/>
                <w:sz w:val="24"/>
                <w:szCs w:val="24"/>
              </w:rPr>
              <w:t>;</w:t>
            </w:r>
          </w:p>
          <w:p w14:paraId="5886E1C3" w14:textId="5C4B86D7" w:rsidR="008E1F93" w:rsidRPr="00CC3547" w:rsidRDefault="00491834" w:rsidP="004328D1">
            <w:pPr>
              <w:pStyle w:val="ListParagraph"/>
              <w:numPr>
                <w:ilvl w:val="0"/>
                <w:numId w:val="3"/>
              </w:numPr>
              <w:autoSpaceDE w:val="0"/>
              <w:autoSpaceDN w:val="0"/>
              <w:adjustRightInd w:val="0"/>
              <w:rPr>
                <w:rFonts w:ascii="Arial" w:hAnsi="Arial" w:cs="Arial"/>
                <w:sz w:val="24"/>
                <w:szCs w:val="24"/>
              </w:rPr>
            </w:pPr>
            <w:r w:rsidRPr="00CC3547">
              <w:rPr>
                <w:rFonts w:ascii="Arial" w:hAnsi="Arial" w:cs="Arial"/>
                <w:sz w:val="24"/>
                <w:szCs w:val="24"/>
              </w:rPr>
              <w:t>‘B</w:t>
            </w:r>
            <w:r w:rsidR="008E1F93" w:rsidRPr="00CC3547">
              <w:rPr>
                <w:rFonts w:ascii="Arial" w:hAnsi="Arial" w:cs="Arial"/>
                <w:sz w:val="24"/>
                <w:szCs w:val="24"/>
              </w:rPr>
              <w:t xml:space="preserve">ought’ by </w:t>
            </w:r>
            <w:r w:rsidRPr="00CC3547">
              <w:rPr>
                <w:rFonts w:ascii="Arial" w:hAnsi="Arial" w:cs="Arial"/>
                <w:sz w:val="24"/>
                <w:szCs w:val="24"/>
              </w:rPr>
              <w:t xml:space="preserve">one of more </w:t>
            </w:r>
            <w:r w:rsidR="008E1F93" w:rsidRPr="00CC3547">
              <w:rPr>
                <w:rFonts w:ascii="Arial" w:hAnsi="Arial" w:cs="Arial"/>
                <w:b/>
                <w:sz w:val="24"/>
                <w:szCs w:val="24"/>
              </w:rPr>
              <w:t>ecosystem service buyer</w:t>
            </w:r>
            <w:r w:rsidRPr="00CC3547">
              <w:rPr>
                <w:rFonts w:ascii="Arial" w:hAnsi="Arial" w:cs="Arial"/>
                <w:b/>
                <w:sz w:val="24"/>
                <w:szCs w:val="24"/>
              </w:rPr>
              <w:t>s</w:t>
            </w:r>
            <w:r w:rsidR="008E1F93" w:rsidRPr="00CC3547">
              <w:rPr>
                <w:rFonts w:ascii="Arial" w:hAnsi="Arial" w:cs="Arial"/>
                <w:sz w:val="24"/>
                <w:szCs w:val="24"/>
              </w:rPr>
              <w:t xml:space="preserve">; </w:t>
            </w:r>
          </w:p>
          <w:p w14:paraId="221AEFC6" w14:textId="498C2B97" w:rsidR="00491834" w:rsidRPr="00CC3547" w:rsidRDefault="00491834" w:rsidP="004328D1">
            <w:pPr>
              <w:pStyle w:val="ListParagraph"/>
              <w:numPr>
                <w:ilvl w:val="0"/>
                <w:numId w:val="3"/>
              </w:numPr>
              <w:autoSpaceDE w:val="0"/>
              <w:autoSpaceDN w:val="0"/>
              <w:adjustRightInd w:val="0"/>
              <w:rPr>
                <w:rFonts w:ascii="Arial" w:hAnsi="Arial" w:cs="Arial"/>
                <w:sz w:val="24"/>
                <w:szCs w:val="24"/>
              </w:rPr>
            </w:pPr>
            <w:r w:rsidRPr="00CC3547">
              <w:rPr>
                <w:rFonts w:ascii="Arial" w:hAnsi="Arial" w:cs="Arial"/>
                <w:sz w:val="24"/>
                <w:szCs w:val="24"/>
              </w:rPr>
              <w:t xml:space="preserve">‘Sold’ by </w:t>
            </w:r>
            <w:r w:rsidR="008E1F93" w:rsidRPr="00CC3547">
              <w:rPr>
                <w:rFonts w:ascii="Arial" w:hAnsi="Arial" w:cs="Arial"/>
                <w:sz w:val="24"/>
                <w:szCs w:val="24"/>
              </w:rPr>
              <w:t>one</w:t>
            </w:r>
            <w:r w:rsidRPr="00CC3547">
              <w:rPr>
                <w:rFonts w:ascii="Arial" w:hAnsi="Arial" w:cs="Arial"/>
                <w:sz w:val="24"/>
                <w:szCs w:val="24"/>
              </w:rPr>
              <w:t xml:space="preserve"> or more </w:t>
            </w:r>
            <w:r w:rsidR="008E1F93" w:rsidRPr="00CC3547">
              <w:rPr>
                <w:rFonts w:ascii="Arial" w:hAnsi="Arial" w:cs="Arial"/>
                <w:b/>
                <w:sz w:val="24"/>
                <w:szCs w:val="24"/>
              </w:rPr>
              <w:t>ecosystem service provider</w:t>
            </w:r>
            <w:r w:rsidRPr="00CC3547">
              <w:rPr>
                <w:rFonts w:ascii="Arial" w:hAnsi="Arial" w:cs="Arial"/>
                <w:b/>
                <w:sz w:val="24"/>
                <w:szCs w:val="24"/>
              </w:rPr>
              <w:t>s</w:t>
            </w:r>
            <w:r w:rsidR="008E1F93" w:rsidRPr="00CC3547">
              <w:rPr>
                <w:rFonts w:ascii="Arial" w:hAnsi="Arial" w:cs="Arial"/>
                <w:sz w:val="24"/>
                <w:szCs w:val="24"/>
              </w:rPr>
              <w:t>;</w:t>
            </w:r>
            <w:r w:rsidR="004328D1">
              <w:rPr>
                <w:rFonts w:ascii="Arial" w:hAnsi="Arial" w:cs="Arial"/>
                <w:sz w:val="24"/>
                <w:szCs w:val="24"/>
              </w:rPr>
              <w:t xml:space="preserve"> and</w:t>
            </w:r>
          </w:p>
          <w:p w14:paraId="3A4ECAA5" w14:textId="77777777" w:rsidR="004328D1" w:rsidRDefault="008E1F93" w:rsidP="004328D1">
            <w:pPr>
              <w:pStyle w:val="ListParagraph"/>
              <w:numPr>
                <w:ilvl w:val="0"/>
                <w:numId w:val="3"/>
              </w:numPr>
              <w:autoSpaceDE w:val="0"/>
              <w:autoSpaceDN w:val="0"/>
              <w:adjustRightInd w:val="0"/>
              <w:rPr>
                <w:rFonts w:ascii="Arial" w:hAnsi="Arial" w:cs="Arial"/>
                <w:sz w:val="24"/>
                <w:szCs w:val="24"/>
              </w:rPr>
            </w:pPr>
            <w:r w:rsidRPr="00CC3547">
              <w:rPr>
                <w:rFonts w:ascii="Arial" w:hAnsi="Arial" w:cs="Arial"/>
                <w:b/>
                <w:sz w:val="24"/>
                <w:szCs w:val="24"/>
              </w:rPr>
              <w:t>Conditional</w:t>
            </w:r>
            <w:r w:rsidRPr="00CC3547">
              <w:rPr>
                <w:rFonts w:ascii="Arial" w:hAnsi="Arial" w:cs="Arial"/>
                <w:sz w:val="24"/>
                <w:szCs w:val="24"/>
              </w:rPr>
              <w:t xml:space="preserve"> </w:t>
            </w:r>
            <w:r w:rsidR="00491834" w:rsidRPr="00CC3547">
              <w:rPr>
                <w:rFonts w:ascii="Arial" w:hAnsi="Arial" w:cs="Arial"/>
                <w:sz w:val="24"/>
                <w:szCs w:val="24"/>
              </w:rPr>
              <w:t xml:space="preserve">on </w:t>
            </w:r>
            <w:r w:rsidRPr="00CC3547">
              <w:rPr>
                <w:rFonts w:ascii="Arial" w:hAnsi="Arial" w:cs="Arial"/>
                <w:sz w:val="24"/>
                <w:szCs w:val="24"/>
              </w:rPr>
              <w:t>secur</w:t>
            </w:r>
            <w:r w:rsidR="00491834" w:rsidRPr="00CC3547">
              <w:rPr>
                <w:rFonts w:ascii="Arial" w:hAnsi="Arial" w:cs="Arial"/>
                <w:sz w:val="24"/>
                <w:szCs w:val="24"/>
              </w:rPr>
              <w:t xml:space="preserve">ing </w:t>
            </w:r>
            <w:r w:rsidRPr="00CC3547">
              <w:rPr>
                <w:rFonts w:ascii="Arial" w:hAnsi="Arial" w:cs="Arial"/>
                <w:sz w:val="24"/>
                <w:szCs w:val="24"/>
              </w:rPr>
              <w:t>ecosystem service provision or executin</w:t>
            </w:r>
            <w:r w:rsidR="00491834" w:rsidRPr="00CC3547">
              <w:rPr>
                <w:rFonts w:ascii="Arial" w:hAnsi="Arial" w:cs="Arial"/>
                <w:sz w:val="24"/>
                <w:szCs w:val="24"/>
              </w:rPr>
              <w:t>g</w:t>
            </w:r>
            <w:r w:rsidRPr="00CC3547">
              <w:rPr>
                <w:rFonts w:ascii="Arial" w:hAnsi="Arial" w:cs="Arial"/>
                <w:sz w:val="24"/>
                <w:szCs w:val="24"/>
              </w:rPr>
              <w:t xml:space="preserve"> measures agreed as likely to secure service supply or enhancement</w:t>
            </w:r>
            <w:r w:rsidR="004328D1">
              <w:rPr>
                <w:rFonts w:ascii="Arial" w:hAnsi="Arial" w:cs="Arial"/>
                <w:sz w:val="24"/>
                <w:szCs w:val="24"/>
              </w:rPr>
              <w:t>.</w:t>
            </w:r>
          </w:p>
          <w:p w14:paraId="64A9017D" w14:textId="77777777" w:rsidR="004328D1" w:rsidRDefault="004328D1" w:rsidP="004328D1">
            <w:pPr>
              <w:autoSpaceDE w:val="0"/>
              <w:autoSpaceDN w:val="0"/>
              <w:adjustRightInd w:val="0"/>
              <w:ind w:left="108"/>
              <w:rPr>
                <w:rFonts w:ascii="Arial" w:hAnsi="Arial" w:cs="Arial"/>
                <w:sz w:val="24"/>
                <w:szCs w:val="24"/>
              </w:rPr>
            </w:pPr>
          </w:p>
          <w:p w14:paraId="3043F3AC" w14:textId="6E8B30FF" w:rsidR="008E1F93" w:rsidRPr="002D1C50" w:rsidRDefault="004328D1" w:rsidP="004328D1">
            <w:pPr>
              <w:autoSpaceDE w:val="0"/>
              <w:autoSpaceDN w:val="0"/>
              <w:adjustRightInd w:val="0"/>
              <w:ind w:left="108"/>
              <w:rPr>
                <w:rFonts w:ascii="Arial" w:hAnsi="Arial" w:cs="Arial"/>
                <w:sz w:val="24"/>
                <w:szCs w:val="24"/>
              </w:rPr>
            </w:pPr>
            <w:r>
              <w:rPr>
                <w:rFonts w:ascii="Arial" w:hAnsi="Arial" w:cs="Arial"/>
                <w:sz w:val="24"/>
                <w:szCs w:val="24"/>
              </w:rPr>
              <w:t xml:space="preserve">Additional principles identified by Smith </w:t>
            </w:r>
            <w:r w:rsidRPr="002D1C50">
              <w:rPr>
                <w:rFonts w:ascii="Arial" w:hAnsi="Arial" w:cs="Arial"/>
                <w:i/>
                <w:sz w:val="24"/>
                <w:szCs w:val="24"/>
              </w:rPr>
              <w:t>et al</w:t>
            </w:r>
            <w:r>
              <w:rPr>
                <w:rFonts w:ascii="Arial" w:hAnsi="Arial" w:cs="Arial"/>
                <w:sz w:val="24"/>
                <w:szCs w:val="24"/>
              </w:rPr>
              <w:t>. (2013) include:</w:t>
            </w:r>
          </w:p>
          <w:p w14:paraId="09F20DA8" w14:textId="68361623" w:rsidR="00491834" w:rsidRPr="00CC3547" w:rsidRDefault="00491834" w:rsidP="003E6F84">
            <w:pPr>
              <w:pStyle w:val="ListParagraph"/>
              <w:numPr>
                <w:ilvl w:val="0"/>
                <w:numId w:val="2"/>
              </w:numPr>
              <w:autoSpaceDE w:val="0"/>
              <w:autoSpaceDN w:val="0"/>
              <w:adjustRightInd w:val="0"/>
              <w:rPr>
                <w:rFonts w:ascii="Arial" w:hAnsi="Arial" w:cs="Arial"/>
                <w:sz w:val="24"/>
                <w:szCs w:val="24"/>
              </w:rPr>
            </w:pPr>
            <w:r w:rsidRPr="00CC3547">
              <w:rPr>
                <w:rFonts w:ascii="Arial" w:hAnsi="Arial" w:cs="Arial"/>
                <w:sz w:val="24"/>
                <w:szCs w:val="24"/>
              </w:rPr>
              <w:t>Obeying the</w:t>
            </w:r>
            <w:r w:rsidRPr="00CC3547">
              <w:rPr>
                <w:rFonts w:ascii="Arial" w:hAnsi="Arial" w:cs="Arial"/>
                <w:b/>
                <w:sz w:val="24"/>
                <w:szCs w:val="24"/>
              </w:rPr>
              <w:t xml:space="preserve"> </w:t>
            </w:r>
            <w:r w:rsidR="008E1F93" w:rsidRPr="00CC3547">
              <w:rPr>
                <w:rFonts w:ascii="Arial" w:hAnsi="Arial" w:cs="Arial"/>
                <w:b/>
                <w:bCs/>
                <w:sz w:val="24"/>
                <w:szCs w:val="24"/>
              </w:rPr>
              <w:t>Beneficiary pays</w:t>
            </w:r>
            <w:r w:rsidRPr="00CC3547">
              <w:rPr>
                <w:rFonts w:ascii="Arial" w:hAnsi="Arial" w:cs="Arial"/>
                <w:b/>
                <w:bCs/>
                <w:sz w:val="24"/>
                <w:szCs w:val="24"/>
              </w:rPr>
              <w:t xml:space="preserve"> principle</w:t>
            </w:r>
            <w:r w:rsidR="003E6F84">
              <w:rPr>
                <w:rFonts w:ascii="Arial" w:hAnsi="Arial" w:cs="Arial"/>
                <w:sz w:val="24"/>
                <w:szCs w:val="24"/>
              </w:rPr>
              <w:t xml:space="preserve">, </w:t>
            </w:r>
            <w:r w:rsidR="003E6F84" w:rsidRPr="003E6F84">
              <w:rPr>
                <w:rFonts w:ascii="Arial" w:hAnsi="Arial" w:cs="Arial"/>
                <w:sz w:val="24"/>
                <w:szCs w:val="24"/>
              </w:rPr>
              <w:t xml:space="preserve">a pricing approach </w:t>
            </w:r>
            <w:r w:rsidR="003E6F84">
              <w:rPr>
                <w:rFonts w:ascii="Arial" w:hAnsi="Arial" w:cs="Arial"/>
                <w:sz w:val="24"/>
                <w:szCs w:val="24"/>
              </w:rPr>
              <w:t xml:space="preserve">under which </w:t>
            </w:r>
            <w:r w:rsidR="003E6F84" w:rsidRPr="003E6F84">
              <w:rPr>
                <w:rFonts w:ascii="Arial" w:hAnsi="Arial" w:cs="Arial"/>
                <w:sz w:val="24"/>
                <w:szCs w:val="24"/>
              </w:rPr>
              <w:t xml:space="preserve">consumers </w:t>
            </w:r>
            <w:r w:rsidR="003E6F84">
              <w:rPr>
                <w:rFonts w:ascii="Arial" w:hAnsi="Arial" w:cs="Arial"/>
                <w:sz w:val="24"/>
                <w:szCs w:val="24"/>
              </w:rPr>
              <w:t xml:space="preserve">of the service contribute to the </w:t>
            </w:r>
            <w:r w:rsidR="003E6F84" w:rsidRPr="003E6F84">
              <w:rPr>
                <w:rFonts w:ascii="Arial" w:hAnsi="Arial" w:cs="Arial"/>
                <w:sz w:val="24"/>
                <w:szCs w:val="24"/>
              </w:rPr>
              <w:t>cost</w:t>
            </w:r>
            <w:r w:rsidR="003E6F84">
              <w:rPr>
                <w:rFonts w:ascii="Arial" w:hAnsi="Arial" w:cs="Arial"/>
                <w:sz w:val="24"/>
                <w:szCs w:val="24"/>
              </w:rPr>
              <w:t>s</w:t>
            </w:r>
            <w:r w:rsidR="003E6F84" w:rsidRPr="003E6F84">
              <w:rPr>
                <w:rFonts w:ascii="Arial" w:hAnsi="Arial" w:cs="Arial"/>
                <w:sz w:val="24"/>
                <w:szCs w:val="24"/>
              </w:rPr>
              <w:t xml:space="preserve"> </w:t>
            </w:r>
            <w:r w:rsidR="003E6F84">
              <w:rPr>
                <w:rFonts w:ascii="Arial" w:hAnsi="Arial" w:cs="Arial"/>
                <w:sz w:val="24"/>
                <w:szCs w:val="24"/>
              </w:rPr>
              <w:t>its production</w:t>
            </w:r>
          </w:p>
          <w:p w14:paraId="1C0F03E0" w14:textId="77777777" w:rsidR="00491834" w:rsidRPr="00CC3547" w:rsidRDefault="008E1F93" w:rsidP="004328D1">
            <w:pPr>
              <w:pStyle w:val="ListParagraph"/>
              <w:numPr>
                <w:ilvl w:val="0"/>
                <w:numId w:val="2"/>
              </w:numPr>
              <w:autoSpaceDE w:val="0"/>
              <w:autoSpaceDN w:val="0"/>
              <w:adjustRightInd w:val="0"/>
              <w:ind w:left="426" w:hanging="284"/>
              <w:rPr>
                <w:rFonts w:ascii="Arial" w:hAnsi="Arial" w:cs="Arial"/>
                <w:sz w:val="24"/>
                <w:szCs w:val="24"/>
              </w:rPr>
            </w:pPr>
            <w:r w:rsidRPr="00CC3547">
              <w:rPr>
                <w:rFonts w:ascii="Arial" w:hAnsi="Arial" w:cs="Arial"/>
                <w:b/>
                <w:bCs/>
                <w:sz w:val="24"/>
                <w:szCs w:val="24"/>
              </w:rPr>
              <w:t>Direct payment</w:t>
            </w:r>
            <w:r w:rsidRPr="00CC3547">
              <w:rPr>
                <w:rFonts w:ascii="Arial" w:hAnsi="Arial" w:cs="Arial"/>
                <w:sz w:val="24"/>
                <w:szCs w:val="24"/>
              </w:rPr>
              <w:t xml:space="preserve"> made to ecosystem service providers (</w:t>
            </w:r>
            <w:r w:rsidR="00491834" w:rsidRPr="00CC3547">
              <w:rPr>
                <w:rFonts w:ascii="Arial" w:hAnsi="Arial" w:cs="Arial"/>
                <w:sz w:val="24"/>
                <w:szCs w:val="24"/>
              </w:rPr>
              <w:t xml:space="preserve">often </w:t>
            </w:r>
            <w:r w:rsidRPr="00CC3547">
              <w:rPr>
                <w:rFonts w:ascii="Arial" w:hAnsi="Arial" w:cs="Arial"/>
                <w:sz w:val="24"/>
                <w:szCs w:val="24"/>
              </w:rPr>
              <w:t>via intermediar</w:t>
            </w:r>
            <w:r w:rsidR="00491834" w:rsidRPr="00CC3547">
              <w:rPr>
                <w:rFonts w:ascii="Arial" w:hAnsi="Arial" w:cs="Arial"/>
                <w:sz w:val="24"/>
                <w:szCs w:val="24"/>
              </w:rPr>
              <w:t>ies);</w:t>
            </w:r>
          </w:p>
          <w:p w14:paraId="5FB3DB7C" w14:textId="2EC1BC89" w:rsidR="008E1F93" w:rsidRPr="00CC3547" w:rsidRDefault="008E1F93" w:rsidP="004328D1">
            <w:pPr>
              <w:pStyle w:val="ListParagraph"/>
              <w:numPr>
                <w:ilvl w:val="0"/>
                <w:numId w:val="2"/>
              </w:numPr>
              <w:autoSpaceDE w:val="0"/>
              <w:autoSpaceDN w:val="0"/>
              <w:adjustRightInd w:val="0"/>
              <w:ind w:left="426" w:hanging="284"/>
              <w:rPr>
                <w:rFonts w:ascii="Arial" w:hAnsi="Arial" w:cs="Arial"/>
                <w:sz w:val="24"/>
                <w:szCs w:val="24"/>
              </w:rPr>
            </w:pPr>
            <w:r w:rsidRPr="00CC3547">
              <w:rPr>
                <w:rFonts w:ascii="Arial" w:hAnsi="Arial" w:cs="Arial"/>
                <w:b/>
                <w:bCs/>
                <w:sz w:val="24"/>
                <w:szCs w:val="24"/>
              </w:rPr>
              <w:t>Additional</w:t>
            </w:r>
            <w:r w:rsidRPr="00CC3547">
              <w:rPr>
                <w:rFonts w:ascii="Arial" w:hAnsi="Arial" w:cs="Arial"/>
                <w:sz w:val="24"/>
                <w:szCs w:val="24"/>
              </w:rPr>
              <w:t xml:space="preserve"> </w:t>
            </w:r>
            <w:r w:rsidR="00491834" w:rsidRPr="00CC3547">
              <w:rPr>
                <w:rFonts w:ascii="Arial" w:hAnsi="Arial" w:cs="Arial"/>
                <w:sz w:val="24"/>
                <w:szCs w:val="24"/>
              </w:rPr>
              <w:t xml:space="preserve">to </w:t>
            </w:r>
            <w:r w:rsidRPr="00CC3547">
              <w:rPr>
                <w:rFonts w:ascii="Arial" w:hAnsi="Arial" w:cs="Arial"/>
                <w:sz w:val="24"/>
                <w:szCs w:val="24"/>
              </w:rPr>
              <w:t>actions resource managers would be expected to undertake;</w:t>
            </w:r>
          </w:p>
          <w:p w14:paraId="11F80B27" w14:textId="50A4B2ED" w:rsidR="008E1F93" w:rsidRPr="00CC3547" w:rsidRDefault="008E1F93" w:rsidP="004328D1">
            <w:pPr>
              <w:pStyle w:val="ListParagraph"/>
              <w:numPr>
                <w:ilvl w:val="0"/>
                <w:numId w:val="2"/>
              </w:numPr>
              <w:autoSpaceDE w:val="0"/>
              <w:autoSpaceDN w:val="0"/>
              <w:adjustRightInd w:val="0"/>
              <w:ind w:left="426" w:hanging="284"/>
              <w:rPr>
                <w:rFonts w:ascii="Arial" w:hAnsi="Arial" w:cs="Arial"/>
                <w:sz w:val="24"/>
                <w:szCs w:val="24"/>
              </w:rPr>
            </w:pPr>
            <w:r w:rsidRPr="00CC3547">
              <w:rPr>
                <w:rFonts w:ascii="Arial" w:hAnsi="Arial" w:cs="Arial"/>
                <w:b/>
                <w:bCs/>
                <w:sz w:val="24"/>
                <w:szCs w:val="24"/>
              </w:rPr>
              <w:t>Ensuring permanence</w:t>
            </w:r>
            <w:r w:rsidR="00491834" w:rsidRPr="00CC3547">
              <w:rPr>
                <w:rFonts w:ascii="Arial" w:hAnsi="Arial" w:cs="Arial"/>
                <w:sz w:val="24"/>
                <w:szCs w:val="24"/>
              </w:rPr>
              <w:t xml:space="preserve">, such that </w:t>
            </w:r>
            <w:r w:rsidRPr="00CC3547">
              <w:rPr>
                <w:rFonts w:ascii="Arial" w:hAnsi="Arial" w:cs="Arial"/>
                <w:sz w:val="24"/>
                <w:szCs w:val="24"/>
              </w:rPr>
              <w:t xml:space="preserve">management interventions </w:t>
            </w:r>
            <w:r w:rsidR="00491834" w:rsidRPr="00CC3547">
              <w:rPr>
                <w:rFonts w:ascii="Arial" w:hAnsi="Arial" w:cs="Arial"/>
                <w:sz w:val="24"/>
                <w:szCs w:val="24"/>
              </w:rPr>
              <w:t xml:space="preserve">are </w:t>
            </w:r>
            <w:r w:rsidRPr="00CC3547">
              <w:rPr>
                <w:rFonts w:ascii="Arial" w:hAnsi="Arial" w:cs="Arial"/>
                <w:sz w:val="24"/>
                <w:szCs w:val="24"/>
              </w:rPr>
              <w:t>not readily reversible</w:t>
            </w:r>
            <w:r w:rsidR="00491834" w:rsidRPr="00CC3547">
              <w:rPr>
                <w:rFonts w:ascii="Arial" w:hAnsi="Arial" w:cs="Arial"/>
                <w:sz w:val="24"/>
                <w:szCs w:val="24"/>
              </w:rPr>
              <w:t>;</w:t>
            </w:r>
            <w:r w:rsidR="004328D1">
              <w:rPr>
                <w:rFonts w:ascii="Arial" w:hAnsi="Arial" w:cs="Arial"/>
                <w:sz w:val="24"/>
                <w:szCs w:val="24"/>
              </w:rPr>
              <w:t xml:space="preserve"> and</w:t>
            </w:r>
          </w:p>
          <w:p w14:paraId="5970FF2B" w14:textId="4FFC1D94" w:rsidR="004328D1" w:rsidRDefault="008E1F93" w:rsidP="004328D1">
            <w:pPr>
              <w:pStyle w:val="ListParagraph"/>
              <w:numPr>
                <w:ilvl w:val="0"/>
                <w:numId w:val="2"/>
              </w:numPr>
              <w:autoSpaceDE w:val="0"/>
              <w:autoSpaceDN w:val="0"/>
              <w:adjustRightInd w:val="0"/>
              <w:ind w:left="426" w:hanging="284"/>
              <w:rPr>
                <w:rFonts w:ascii="Arial" w:hAnsi="Arial" w:cs="Arial"/>
                <w:sz w:val="24"/>
                <w:szCs w:val="24"/>
              </w:rPr>
            </w:pPr>
            <w:r w:rsidRPr="00CC3547">
              <w:rPr>
                <w:rFonts w:ascii="Arial" w:hAnsi="Arial" w:cs="Arial"/>
                <w:b/>
                <w:bCs/>
                <w:sz w:val="24"/>
                <w:szCs w:val="24"/>
              </w:rPr>
              <w:t>Avoiding leakage</w:t>
            </w:r>
            <w:r w:rsidR="004328D1">
              <w:rPr>
                <w:rFonts w:ascii="Arial" w:hAnsi="Arial" w:cs="Arial"/>
                <w:sz w:val="24"/>
                <w:szCs w:val="24"/>
              </w:rPr>
              <w:t xml:space="preserve">, meaning that benefits achieved in one location are no achieved by </w:t>
            </w:r>
            <w:r w:rsidR="00491834" w:rsidRPr="00CC3547">
              <w:rPr>
                <w:rFonts w:ascii="Arial" w:hAnsi="Arial" w:cs="Arial"/>
                <w:sz w:val="24"/>
                <w:szCs w:val="24"/>
              </w:rPr>
              <w:t>transferring damaging practice elsewhere</w:t>
            </w:r>
            <w:r w:rsidR="004328D1">
              <w:rPr>
                <w:rFonts w:ascii="Arial" w:hAnsi="Arial" w:cs="Arial"/>
                <w:sz w:val="24"/>
                <w:szCs w:val="24"/>
              </w:rPr>
              <w:t>.</w:t>
            </w:r>
          </w:p>
          <w:p w14:paraId="035811A1" w14:textId="77777777" w:rsidR="004328D1" w:rsidRDefault="004328D1" w:rsidP="004328D1">
            <w:pPr>
              <w:autoSpaceDE w:val="0"/>
              <w:autoSpaceDN w:val="0"/>
              <w:adjustRightInd w:val="0"/>
              <w:ind w:left="142"/>
              <w:rPr>
                <w:rFonts w:ascii="Arial" w:hAnsi="Arial" w:cs="Arial"/>
                <w:sz w:val="24"/>
                <w:szCs w:val="24"/>
              </w:rPr>
            </w:pPr>
          </w:p>
          <w:p w14:paraId="5E973556" w14:textId="60CF14A6" w:rsidR="004328D1" w:rsidRPr="004328D1" w:rsidRDefault="004328D1" w:rsidP="004328D1">
            <w:pPr>
              <w:autoSpaceDE w:val="0"/>
              <w:autoSpaceDN w:val="0"/>
              <w:adjustRightInd w:val="0"/>
              <w:ind w:left="142"/>
              <w:rPr>
                <w:rFonts w:ascii="Arial" w:hAnsi="Arial" w:cs="Arial"/>
                <w:sz w:val="24"/>
                <w:szCs w:val="24"/>
              </w:rPr>
            </w:pPr>
            <w:r>
              <w:rPr>
                <w:rFonts w:ascii="Arial" w:hAnsi="Arial" w:cs="Arial"/>
                <w:sz w:val="24"/>
                <w:szCs w:val="24"/>
              </w:rPr>
              <w:lastRenderedPageBreak/>
              <w:t>Additional principles based on the ‘systemic solutions’ approach (Everard and McInnes, 2013) are that:</w:t>
            </w:r>
          </w:p>
          <w:p w14:paraId="1E049A06" w14:textId="3BB656CF" w:rsidR="00491834" w:rsidRPr="00CC3547" w:rsidRDefault="004328D1" w:rsidP="004328D1">
            <w:pPr>
              <w:pStyle w:val="ListParagraph"/>
              <w:numPr>
                <w:ilvl w:val="0"/>
                <w:numId w:val="2"/>
              </w:numPr>
              <w:autoSpaceDE w:val="0"/>
              <w:autoSpaceDN w:val="0"/>
              <w:adjustRightInd w:val="0"/>
              <w:ind w:left="426" w:hanging="284"/>
              <w:rPr>
                <w:rFonts w:ascii="Arial" w:hAnsi="Arial" w:cs="Arial"/>
                <w:sz w:val="24"/>
                <w:szCs w:val="24"/>
              </w:rPr>
            </w:pPr>
            <w:r>
              <w:rPr>
                <w:rFonts w:ascii="Arial" w:hAnsi="Arial" w:cs="Arial"/>
                <w:sz w:val="24"/>
                <w:szCs w:val="24"/>
              </w:rPr>
              <w:t>Benefit realisation should be b</w:t>
            </w:r>
            <w:r w:rsidR="00491834" w:rsidRPr="00CC3547">
              <w:rPr>
                <w:rFonts w:ascii="Arial" w:hAnsi="Arial" w:cs="Arial"/>
                <w:sz w:val="24"/>
                <w:szCs w:val="24"/>
              </w:rPr>
              <w:t xml:space="preserve">ased on assessment </w:t>
            </w:r>
            <w:r>
              <w:rPr>
                <w:rFonts w:ascii="Arial" w:hAnsi="Arial" w:cs="Arial"/>
                <w:sz w:val="24"/>
                <w:szCs w:val="24"/>
              </w:rPr>
              <w:t xml:space="preserve">across </w:t>
            </w:r>
            <w:r w:rsidR="00491834" w:rsidRPr="00CC3547">
              <w:rPr>
                <w:rFonts w:ascii="Arial" w:hAnsi="Arial" w:cs="Arial"/>
                <w:sz w:val="24"/>
                <w:szCs w:val="24"/>
              </w:rPr>
              <w:t xml:space="preserve">the </w:t>
            </w:r>
            <w:r w:rsidR="008E1F93" w:rsidRPr="00CC3547">
              <w:rPr>
                <w:rFonts w:ascii="Arial" w:hAnsi="Arial" w:cs="Arial"/>
                <w:b/>
                <w:sz w:val="24"/>
                <w:szCs w:val="24"/>
              </w:rPr>
              <w:t>full range of ecosystem service outcomes</w:t>
            </w:r>
            <w:r w:rsidR="00491834" w:rsidRPr="00CC3547">
              <w:rPr>
                <w:rFonts w:ascii="Arial" w:hAnsi="Arial" w:cs="Arial"/>
                <w:sz w:val="24"/>
                <w:szCs w:val="24"/>
              </w:rPr>
              <w:t>;</w:t>
            </w:r>
          </w:p>
          <w:p w14:paraId="1E05D256" w14:textId="0140C54F" w:rsidR="008E1F93" w:rsidRPr="00CC3547" w:rsidRDefault="00491834" w:rsidP="004328D1">
            <w:pPr>
              <w:pStyle w:val="ListParagraph"/>
              <w:numPr>
                <w:ilvl w:val="0"/>
                <w:numId w:val="2"/>
              </w:numPr>
              <w:autoSpaceDE w:val="0"/>
              <w:autoSpaceDN w:val="0"/>
              <w:adjustRightInd w:val="0"/>
              <w:ind w:left="426" w:hanging="284"/>
              <w:rPr>
                <w:rFonts w:ascii="Arial" w:hAnsi="Arial" w:cs="Arial"/>
                <w:sz w:val="24"/>
                <w:szCs w:val="24"/>
              </w:rPr>
            </w:pPr>
            <w:r w:rsidRPr="00CC3547">
              <w:rPr>
                <w:rFonts w:ascii="Arial" w:hAnsi="Arial" w:cs="Arial"/>
                <w:sz w:val="24"/>
                <w:szCs w:val="24"/>
              </w:rPr>
              <w:t xml:space="preserve">Taking account of the </w:t>
            </w:r>
            <w:r w:rsidR="008E1F93" w:rsidRPr="00CC3547">
              <w:rPr>
                <w:rFonts w:ascii="Arial" w:hAnsi="Arial" w:cs="Arial"/>
                <w:b/>
                <w:sz w:val="24"/>
                <w:szCs w:val="24"/>
              </w:rPr>
              <w:t>rights of all beneficiaries</w:t>
            </w:r>
            <w:r w:rsidR="008E1F93" w:rsidRPr="00CC3547">
              <w:rPr>
                <w:rFonts w:ascii="Arial" w:hAnsi="Arial" w:cs="Arial"/>
                <w:sz w:val="24"/>
                <w:szCs w:val="24"/>
              </w:rPr>
              <w:t xml:space="preserve"> of ecosystem services</w:t>
            </w:r>
            <w:r w:rsidRPr="00CC3547">
              <w:rPr>
                <w:rFonts w:ascii="Arial" w:hAnsi="Arial" w:cs="Arial"/>
                <w:sz w:val="24"/>
                <w:szCs w:val="24"/>
              </w:rPr>
              <w:t>; and</w:t>
            </w:r>
          </w:p>
          <w:p w14:paraId="6062F698" w14:textId="5D2D1133" w:rsidR="008E1F93" w:rsidRPr="00CC3547" w:rsidRDefault="004328D1" w:rsidP="004328D1">
            <w:pPr>
              <w:pStyle w:val="ListParagraph"/>
              <w:numPr>
                <w:ilvl w:val="0"/>
                <w:numId w:val="2"/>
              </w:numPr>
              <w:autoSpaceDE w:val="0"/>
              <w:autoSpaceDN w:val="0"/>
              <w:adjustRightInd w:val="0"/>
              <w:ind w:left="426" w:hanging="284"/>
              <w:rPr>
                <w:rFonts w:ascii="Arial" w:hAnsi="Arial" w:cs="Arial"/>
                <w:sz w:val="24"/>
                <w:szCs w:val="24"/>
              </w:rPr>
            </w:pPr>
            <w:r>
              <w:rPr>
                <w:rFonts w:ascii="Arial" w:hAnsi="Arial" w:cs="Arial"/>
                <w:sz w:val="24"/>
                <w:szCs w:val="24"/>
              </w:rPr>
              <w:t>Ensur</w:t>
            </w:r>
            <w:r w:rsidRPr="00CC3547">
              <w:rPr>
                <w:rFonts w:ascii="Arial" w:hAnsi="Arial" w:cs="Arial"/>
                <w:sz w:val="24"/>
                <w:szCs w:val="24"/>
              </w:rPr>
              <w:t xml:space="preserve">ing </w:t>
            </w:r>
            <w:r w:rsidR="00491834" w:rsidRPr="002D1C50">
              <w:rPr>
                <w:rFonts w:ascii="Arial" w:hAnsi="Arial" w:cs="Arial"/>
                <w:b/>
                <w:sz w:val="24"/>
                <w:szCs w:val="24"/>
              </w:rPr>
              <w:t>n</w:t>
            </w:r>
            <w:r w:rsidR="008E1F93" w:rsidRPr="00CC3547">
              <w:rPr>
                <w:rFonts w:ascii="Arial" w:hAnsi="Arial" w:cs="Arial"/>
                <w:b/>
                <w:sz w:val="24"/>
                <w:szCs w:val="24"/>
              </w:rPr>
              <w:t>et societal value is optimised</w:t>
            </w:r>
            <w:r w:rsidR="008E1F93" w:rsidRPr="00CC3547">
              <w:rPr>
                <w:rFonts w:ascii="Arial" w:hAnsi="Arial" w:cs="Arial"/>
                <w:sz w:val="24"/>
                <w:szCs w:val="24"/>
              </w:rPr>
              <w:t xml:space="preserve"> rather than </w:t>
            </w:r>
            <w:r w:rsidR="00491834" w:rsidRPr="00CC3547">
              <w:rPr>
                <w:rFonts w:ascii="Arial" w:hAnsi="Arial" w:cs="Arial"/>
                <w:sz w:val="24"/>
                <w:szCs w:val="24"/>
              </w:rPr>
              <w:t xml:space="preserve">skewing </w:t>
            </w:r>
            <w:r w:rsidR="008E1F93" w:rsidRPr="00CC3547">
              <w:rPr>
                <w:rFonts w:ascii="Arial" w:hAnsi="Arial" w:cs="Arial"/>
                <w:sz w:val="24"/>
                <w:szCs w:val="24"/>
              </w:rPr>
              <w:t xml:space="preserve">benefits to favoured </w:t>
            </w:r>
            <w:r w:rsidR="00491834" w:rsidRPr="00CC3547">
              <w:rPr>
                <w:rFonts w:ascii="Arial" w:hAnsi="Arial" w:cs="Arial"/>
                <w:sz w:val="24"/>
                <w:szCs w:val="24"/>
              </w:rPr>
              <w:t xml:space="preserve">service/beneficiaries </w:t>
            </w:r>
            <w:r>
              <w:rPr>
                <w:rFonts w:ascii="Arial" w:hAnsi="Arial" w:cs="Arial"/>
                <w:sz w:val="24"/>
                <w:szCs w:val="24"/>
              </w:rPr>
              <w:t xml:space="preserve">whilst </w:t>
            </w:r>
            <w:r w:rsidR="008E1F93" w:rsidRPr="00CC3547">
              <w:rPr>
                <w:rFonts w:ascii="Arial" w:hAnsi="Arial" w:cs="Arial"/>
                <w:sz w:val="24"/>
                <w:szCs w:val="24"/>
              </w:rPr>
              <w:t>overlook</w:t>
            </w:r>
            <w:r w:rsidR="00491834" w:rsidRPr="00CC3547">
              <w:rPr>
                <w:rFonts w:ascii="Arial" w:hAnsi="Arial" w:cs="Arial"/>
                <w:sz w:val="24"/>
                <w:szCs w:val="24"/>
              </w:rPr>
              <w:t>ing non-focal service outcomes.</w:t>
            </w:r>
          </w:p>
          <w:p w14:paraId="4F9B1EC0" w14:textId="77777777" w:rsidR="008E1F93" w:rsidRPr="00CC3547" w:rsidRDefault="008E1F93" w:rsidP="008E1F93">
            <w:pPr>
              <w:autoSpaceDE w:val="0"/>
              <w:autoSpaceDN w:val="0"/>
              <w:adjustRightInd w:val="0"/>
              <w:rPr>
                <w:rFonts w:ascii="Arial" w:hAnsi="Arial" w:cs="Arial"/>
                <w:sz w:val="24"/>
                <w:szCs w:val="24"/>
              </w:rPr>
            </w:pPr>
          </w:p>
        </w:tc>
      </w:tr>
    </w:tbl>
    <w:p w14:paraId="125EDA68" w14:textId="77777777" w:rsidR="008E1F93" w:rsidRPr="00CC3547" w:rsidRDefault="008E1F93" w:rsidP="008E1F93">
      <w:pPr>
        <w:spacing w:after="0" w:line="240" w:lineRule="auto"/>
        <w:contextualSpacing/>
        <w:rPr>
          <w:rFonts w:ascii="Arial" w:hAnsi="Arial" w:cs="Arial"/>
          <w:sz w:val="24"/>
          <w:szCs w:val="24"/>
        </w:rPr>
      </w:pPr>
    </w:p>
    <w:p w14:paraId="65101130" w14:textId="516F7D7D" w:rsidR="00160B14" w:rsidRDefault="00EB2C3A" w:rsidP="00406C55">
      <w:pPr>
        <w:spacing w:after="0" w:line="240" w:lineRule="auto"/>
        <w:contextualSpacing/>
        <w:rPr>
          <w:rFonts w:ascii="Arial" w:hAnsi="Arial" w:cs="Arial"/>
          <w:sz w:val="24"/>
          <w:szCs w:val="24"/>
        </w:rPr>
      </w:pPr>
      <w:r w:rsidRPr="00CC3547">
        <w:rPr>
          <w:rFonts w:ascii="Arial" w:hAnsi="Arial" w:cs="Arial"/>
          <w:sz w:val="24"/>
          <w:szCs w:val="24"/>
        </w:rPr>
        <w:t xml:space="preserve">Everard </w:t>
      </w:r>
      <w:r w:rsidRPr="00CC3547">
        <w:rPr>
          <w:rFonts w:ascii="Arial" w:hAnsi="Arial" w:cs="Arial"/>
          <w:i/>
          <w:sz w:val="24"/>
          <w:szCs w:val="24"/>
        </w:rPr>
        <w:t>et al</w:t>
      </w:r>
      <w:r w:rsidRPr="00CC3547">
        <w:rPr>
          <w:rFonts w:ascii="Arial" w:hAnsi="Arial" w:cs="Arial"/>
          <w:sz w:val="24"/>
          <w:szCs w:val="24"/>
        </w:rPr>
        <w:t>. (</w:t>
      </w:r>
      <w:r w:rsidR="00190D95">
        <w:rPr>
          <w:rFonts w:ascii="Arial" w:hAnsi="Arial" w:cs="Arial"/>
          <w:sz w:val="24"/>
          <w:szCs w:val="24"/>
        </w:rPr>
        <w:t>submitted</w:t>
      </w:r>
      <w:r w:rsidRPr="00CC3547">
        <w:rPr>
          <w:rFonts w:ascii="Arial" w:hAnsi="Arial" w:cs="Arial"/>
          <w:sz w:val="24"/>
          <w:szCs w:val="24"/>
        </w:rPr>
        <w:t xml:space="preserve">) explore the case study of </w:t>
      </w:r>
      <w:r w:rsidR="008E1F93" w:rsidRPr="00CC3547">
        <w:rPr>
          <w:rFonts w:ascii="Arial" w:hAnsi="Arial" w:cs="Arial"/>
          <w:sz w:val="24"/>
          <w:szCs w:val="24"/>
        </w:rPr>
        <w:t xml:space="preserve">The Converging World (TCW) programme of low-carbon energy development in an established </w:t>
      </w:r>
      <w:r w:rsidRPr="00CC3547">
        <w:rPr>
          <w:rFonts w:ascii="Arial" w:hAnsi="Arial" w:cs="Arial"/>
          <w:sz w:val="24"/>
          <w:szCs w:val="24"/>
        </w:rPr>
        <w:t xml:space="preserve">developed-developing </w:t>
      </w:r>
      <w:r w:rsidR="008E1F93" w:rsidRPr="00CC3547">
        <w:rPr>
          <w:rFonts w:ascii="Arial" w:hAnsi="Arial" w:cs="Arial"/>
          <w:sz w:val="24"/>
          <w:szCs w:val="24"/>
        </w:rPr>
        <w:t>partnership between south-west England and Tamil Nadu state, India</w:t>
      </w:r>
      <w:r w:rsidR="00ED6087">
        <w:rPr>
          <w:rFonts w:ascii="Arial" w:hAnsi="Arial" w:cs="Arial"/>
          <w:sz w:val="24"/>
          <w:szCs w:val="24"/>
        </w:rPr>
        <w:t xml:space="preserve"> (The Converging World, 2016)</w:t>
      </w:r>
      <w:r w:rsidR="008E1F93" w:rsidRPr="00CC3547">
        <w:rPr>
          <w:rFonts w:ascii="Arial" w:hAnsi="Arial" w:cs="Arial"/>
          <w:sz w:val="24"/>
          <w:szCs w:val="24"/>
        </w:rPr>
        <w:t>.</w:t>
      </w:r>
      <w:r w:rsidRPr="00CC3547">
        <w:rPr>
          <w:rFonts w:ascii="Arial" w:hAnsi="Arial" w:cs="Arial"/>
          <w:sz w:val="24"/>
          <w:szCs w:val="24"/>
        </w:rPr>
        <w:t xml:space="preserve">  The TCW programme </w:t>
      </w:r>
      <w:r w:rsidR="00406C55" w:rsidRPr="00CC3547">
        <w:rPr>
          <w:rFonts w:ascii="Arial" w:hAnsi="Arial" w:cs="Arial"/>
          <w:sz w:val="24"/>
          <w:szCs w:val="24"/>
        </w:rPr>
        <w:t>c</w:t>
      </w:r>
      <w:r w:rsidRPr="00CC3547">
        <w:rPr>
          <w:rFonts w:ascii="Arial" w:hAnsi="Arial" w:cs="Arial"/>
          <w:sz w:val="24"/>
          <w:szCs w:val="24"/>
        </w:rPr>
        <w:t>onceptually link</w:t>
      </w:r>
      <w:r w:rsidR="00406C55" w:rsidRPr="00CC3547">
        <w:rPr>
          <w:rFonts w:ascii="Arial" w:hAnsi="Arial" w:cs="Arial"/>
          <w:sz w:val="24"/>
          <w:szCs w:val="24"/>
        </w:rPr>
        <w:t xml:space="preserve">s </w:t>
      </w:r>
      <w:r w:rsidRPr="00CC3547">
        <w:rPr>
          <w:rFonts w:ascii="Arial" w:hAnsi="Arial" w:cs="Arial"/>
          <w:sz w:val="24"/>
          <w:szCs w:val="24"/>
        </w:rPr>
        <w:t xml:space="preserve">these developed and developing world regions </w:t>
      </w:r>
      <w:r w:rsidR="00406C55" w:rsidRPr="00CC3547">
        <w:rPr>
          <w:rFonts w:ascii="Arial" w:hAnsi="Arial" w:cs="Arial"/>
          <w:sz w:val="24"/>
          <w:szCs w:val="24"/>
        </w:rPr>
        <w:t>as a notional single country</w:t>
      </w:r>
      <w:r w:rsidR="00190D95">
        <w:rPr>
          <w:rFonts w:ascii="Arial" w:hAnsi="Arial" w:cs="Arial"/>
          <w:sz w:val="24"/>
          <w:szCs w:val="24"/>
        </w:rPr>
        <w:t xml:space="preserve">.  This international conjoined regional approach to </w:t>
      </w:r>
      <w:r w:rsidRPr="00CC3547">
        <w:rPr>
          <w:rFonts w:ascii="Arial" w:hAnsi="Arial" w:cs="Arial"/>
          <w:sz w:val="24"/>
          <w:szCs w:val="24"/>
        </w:rPr>
        <w:t>promot</w:t>
      </w:r>
      <w:r w:rsidR="00190D95">
        <w:rPr>
          <w:rFonts w:ascii="Arial" w:hAnsi="Arial" w:cs="Arial"/>
          <w:sz w:val="24"/>
          <w:szCs w:val="24"/>
        </w:rPr>
        <w:t xml:space="preserve">e optimal, lowest cost progress towards </w:t>
      </w:r>
      <w:r w:rsidR="00406C55" w:rsidRPr="00CC3547">
        <w:rPr>
          <w:rFonts w:ascii="Arial" w:hAnsi="Arial" w:cs="Arial"/>
          <w:sz w:val="24"/>
          <w:szCs w:val="24"/>
        </w:rPr>
        <w:t xml:space="preserve">an </w:t>
      </w:r>
      <w:r w:rsidRPr="00CC3547">
        <w:rPr>
          <w:rFonts w:ascii="Arial" w:hAnsi="Arial" w:cs="Arial"/>
          <w:sz w:val="24"/>
          <w:szCs w:val="24"/>
        </w:rPr>
        <w:t xml:space="preserve">overall lower carbon trajectory </w:t>
      </w:r>
      <w:r w:rsidR="00190D95">
        <w:rPr>
          <w:rFonts w:ascii="Arial" w:hAnsi="Arial" w:cs="Arial"/>
          <w:sz w:val="24"/>
          <w:szCs w:val="24"/>
        </w:rPr>
        <w:t xml:space="preserve">is justifiable </w:t>
      </w:r>
      <w:r w:rsidR="00406C55" w:rsidRPr="00CC3547">
        <w:rPr>
          <w:rFonts w:ascii="Arial" w:hAnsi="Arial" w:cs="Arial"/>
          <w:sz w:val="24"/>
          <w:szCs w:val="24"/>
        </w:rPr>
        <w:t xml:space="preserve">as </w:t>
      </w:r>
      <w:r w:rsidRPr="00CC3547">
        <w:rPr>
          <w:rFonts w:ascii="Arial" w:hAnsi="Arial" w:cs="Arial"/>
          <w:sz w:val="24"/>
          <w:szCs w:val="24"/>
        </w:rPr>
        <w:t xml:space="preserve">climate change impacts are geographically independent of where carbon </w:t>
      </w:r>
      <w:r w:rsidR="00406C55" w:rsidRPr="00CC3547">
        <w:rPr>
          <w:rFonts w:ascii="Arial" w:hAnsi="Arial" w:cs="Arial"/>
          <w:sz w:val="24"/>
          <w:szCs w:val="24"/>
        </w:rPr>
        <w:t>is emitted</w:t>
      </w:r>
      <w:r w:rsidR="00111C6F">
        <w:rPr>
          <w:rFonts w:ascii="Arial" w:hAnsi="Arial" w:cs="Arial"/>
          <w:sz w:val="24"/>
          <w:szCs w:val="24"/>
        </w:rPr>
        <w:t>, captured or stored</w:t>
      </w:r>
      <w:r w:rsidRPr="00CC3547">
        <w:rPr>
          <w:rFonts w:ascii="Arial" w:hAnsi="Arial" w:cs="Arial"/>
          <w:sz w:val="24"/>
          <w:szCs w:val="24"/>
        </w:rPr>
        <w:t>.</w:t>
      </w:r>
      <w:r w:rsidR="00406C55" w:rsidRPr="00CC3547">
        <w:rPr>
          <w:rFonts w:ascii="Arial" w:hAnsi="Arial" w:cs="Arial"/>
          <w:sz w:val="24"/>
          <w:szCs w:val="24"/>
        </w:rPr>
        <w:t xml:space="preserve">  Towards this goal, t</w:t>
      </w:r>
      <w:r w:rsidRPr="00CC3547">
        <w:rPr>
          <w:rFonts w:ascii="Arial" w:hAnsi="Arial" w:cs="Arial"/>
          <w:sz w:val="24"/>
          <w:szCs w:val="24"/>
        </w:rPr>
        <w:t>he TCW Group</w:t>
      </w:r>
      <w:r w:rsidR="00406C55" w:rsidRPr="00CC3547">
        <w:rPr>
          <w:rFonts w:ascii="Arial" w:hAnsi="Arial" w:cs="Arial"/>
          <w:sz w:val="24"/>
          <w:szCs w:val="24"/>
        </w:rPr>
        <w:t xml:space="preserve"> (</w:t>
      </w:r>
      <w:r w:rsidR="00ED6087">
        <w:rPr>
          <w:rFonts w:ascii="Arial" w:hAnsi="Arial" w:cs="Arial"/>
          <w:sz w:val="24"/>
          <w:szCs w:val="24"/>
        </w:rPr>
        <w:t xml:space="preserve">operating as </w:t>
      </w:r>
      <w:r w:rsidR="00406C55" w:rsidRPr="00CC3547">
        <w:rPr>
          <w:rFonts w:ascii="Arial" w:hAnsi="Arial" w:cs="Arial"/>
          <w:sz w:val="24"/>
          <w:szCs w:val="24"/>
        </w:rPr>
        <w:t xml:space="preserve">a network of </w:t>
      </w:r>
      <w:r w:rsidR="00ED6087">
        <w:rPr>
          <w:rFonts w:ascii="Arial" w:hAnsi="Arial" w:cs="Arial"/>
          <w:sz w:val="24"/>
          <w:szCs w:val="24"/>
        </w:rPr>
        <w:t xml:space="preserve">non-profit and commercial </w:t>
      </w:r>
      <w:r w:rsidR="00406C55" w:rsidRPr="00CC3547">
        <w:rPr>
          <w:rFonts w:ascii="Arial" w:hAnsi="Arial" w:cs="Arial"/>
          <w:sz w:val="24"/>
          <w:szCs w:val="24"/>
        </w:rPr>
        <w:t xml:space="preserve">companies including </w:t>
      </w:r>
      <w:r w:rsidRPr="00CC3547">
        <w:rPr>
          <w:rFonts w:ascii="Arial" w:hAnsi="Arial" w:cs="Arial"/>
          <w:sz w:val="24"/>
          <w:szCs w:val="24"/>
        </w:rPr>
        <w:t>branches in India</w:t>
      </w:r>
      <w:r w:rsidR="00406C55" w:rsidRPr="00CC3547">
        <w:rPr>
          <w:rFonts w:ascii="Arial" w:hAnsi="Arial" w:cs="Arial"/>
          <w:sz w:val="24"/>
          <w:szCs w:val="24"/>
        </w:rPr>
        <w:t xml:space="preserve">) has, at the time of writing, already installed </w:t>
      </w:r>
      <w:r w:rsidRPr="00CC3547">
        <w:rPr>
          <w:rFonts w:ascii="Arial" w:hAnsi="Arial" w:cs="Arial"/>
          <w:sz w:val="24"/>
          <w:szCs w:val="24"/>
        </w:rPr>
        <w:t xml:space="preserve">12.9MW of wind turbine capacity in Tamil Nadu to promote low-carbon development </w:t>
      </w:r>
      <w:r w:rsidR="00406C55" w:rsidRPr="00CC3547">
        <w:rPr>
          <w:rFonts w:ascii="Arial" w:hAnsi="Arial" w:cs="Arial"/>
          <w:sz w:val="24"/>
          <w:szCs w:val="24"/>
        </w:rPr>
        <w:t xml:space="preserve">supported by funding from the donor region (south-west England).  </w:t>
      </w:r>
      <w:r w:rsidR="00AE49F3">
        <w:rPr>
          <w:rFonts w:ascii="Arial" w:hAnsi="Arial" w:cs="Arial"/>
          <w:sz w:val="24"/>
          <w:szCs w:val="24"/>
        </w:rPr>
        <w:t>B</w:t>
      </w:r>
      <w:r w:rsidR="00406C55" w:rsidRPr="00CC3547">
        <w:rPr>
          <w:rFonts w:ascii="Arial" w:hAnsi="Arial" w:cs="Arial"/>
          <w:sz w:val="24"/>
          <w:szCs w:val="24"/>
        </w:rPr>
        <w:t xml:space="preserve">enefits </w:t>
      </w:r>
      <w:r w:rsidR="00AE49F3">
        <w:rPr>
          <w:rFonts w:ascii="Arial" w:hAnsi="Arial" w:cs="Arial"/>
          <w:sz w:val="24"/>
          <w:szCs w:val="24"/>
        </w:rPr>
        <w:t xml:space="preserve">accrue from </w:t>
      </w:r>
      <w:r w:rsidR="00406C55" w:rsidRPr="00CC3547">
        <w:rPr>
          <w:rFonts w:ascii="Arial" w:hAnsi="Arial" w:cs="Arial"/>
          <w:sz w:val="24"/>
          <w:szCs w:val="24"/>
        </w:rPr>
        <w:t xml:space="preserve">low-carbon energy inputs to the Indian grid, </w:t>
      </w:r>
      <w:r w:rsidR="00111C6F">
        <w:rPr>
          <w:rFonts w:ascii="Arial" w:hAnsi="Arial" w:cs="Arial"/>
          <w:sz w:val="24"/>
          <w:szCs w:val="24"/>
        </w:rPr>
        <w:t>averting emissions from the conventional Indian energy mix</w:t>
      </w:r>
      <w:r w:rsidR="00AE49F3">
        <w:rPr>
          <w:rFonts w:ascii="Arial" w:hAnsi="Arial" w:cs="Arial"/>
          <w:sz w:val="24"/>
          <w:szCs w:val="24"/>
        </w:rPr>
        <w:t>.  However</w:t>
      </w:r>
      <w:r w:rsidR="00111C6F">
        <w:rPr>
          <w:rFonts w:ascii="Arial" w:hAnsi="Arial" w:cs="Arial"/>
          <w:sz w:val="24"/>
          <w:szCs w:val="24"/>
        </w:rPr>
        <w:t xml:space="preserve">, </w:t>
      </w:r>
      <w:r w:rsidR="00AE49F3">
        <w:rPr>
          <w:rFonts w:ascii="Arial" w:hAnsi="Arial" w:cs="Arial"/>
          <w:sz w:val="24"/>
          <w:szCs w:val="24"/>
        </w:rPr>
        <w:t xml:space="preserve">the </w:t>
      </w:r>
      <w:r w:rsidR="00406C55" w:rsidRPr="00CC3547">
        <w:rPr>
          <w:rFonts w:ascii="Arial" w:hAnsi="Arial" w:cs="Arial"/>
          <w:sz w:val="24"/>
          <w:szCs w:val="24"/>
        </w:rPr>
        <w:t xml:space="preserve">TCW </w:t>
      </w:r>
      <w:r w:rsidR="00AE49F3">
        <w:rPr>
          <w:rFonts w:ascii="Arial" w:hAnsi="Arial" w:cs="Arial"/>
          <w:sz w:val="24"/>
          <w:szCs w:val="24"/>
        </w:rPr>
        <w:t xml:space="preserve">model is based on </w:t>
      </w:r>
      <w:r w:rsidR="00406C55" w:rsidRPr="00CC3547">
        <w:rPr>
          <w:rFonts w:ascii="Arial" w:hAnsi="Arial" w:cs="Arial"/>
          <w:sz w:val="24"/>
          <w:szCs w:val="24"/>
        </w:rPr>
        <w:t>reinvest</w:t>
      </w:r>
      <w:r w:rsidR="00AE49F3">
        <w:rPr>
          <w:rFonts w:ascii="Arial" w:hAnsi="Arial" w:cs="Arial"/>
          <w:sz w:val="24"/>
          <w:szCs w:val="24"/>
        </w:rPr>
        <w:t xml:space="preserve">ment of </w:t>
      </w:r>
      <w:r w:rsidR="00406C55" w:rsidRPr="00CC3547">
        <w:rPr>
          <w:rFonts w:ascii="Arial" w:hAnsi="Arial" w:cs="Arial"/>
          <w:sz w:val="24"/>
          <w:szCs w:val="24"/>
        </w:rPr>
        <w:t xml:space="preserve">a significant proportion of operating surpluses from </w:t>
      </w:r>
      <w:r w:rsidR="00160B14">
        <w:rPr>
          <w:rFonts w:ascii="Arial" w:hAnsi="Arial" w:cs="Arial"/>
          <w:sz w:val="24"/>
          <w:szCs w:val="24"/>
        </w:rPr>
        <w:t xml:space="preserve">renewable </w:t>
      </w:r>
      <w:r w:rsidR="00406C55" w:rsidRPr="00CC3547">
        <w:rPr>
          <w:rFonts w:ascii="Arial" w:hAnsi="Arial" w:cs="Arial"/>
          <w:sz w:val="24"/>
          <w:szCs w:val="24"/>
        </w:rPr>
        <w:t xml:space="preserve">energy sales into </w:t>
      </w:r>
      <w:r w:rsidRPr="00CC3547">
        <w:rPr>
          <w:rFonts w:ascii="Arial" w:hAnsi="Arial" w:cs="Arial"/>
          <w:sz w:val="24"/>
          <w:szCs w:val="24"/>
        </w:rPr>
        <w:t>eco-restoration of tropical dry evergreen forest (TDEF)</w:t>
      </w:r>
      <w:r w:rsidR="00AE49F3">
        <w:rPr>
          <w:rFonts w:ascii="Arial" w:hAnsi="Arial" w:cs="Arial"/>
          <w:sz w:val="24"/>
          <w:szCs w:val="24"/>
        </w:rPr>
        <w:t xml:space="preserve">.  TDEF is a </w:t>
      </w:r>
      <w:r w:rsidR="00406C55" w:rsidRPr="00CC3547">
        <w:rPr>
          <w:rFonts w:ascii="Arial" w:hAnsi="Arial" w:cs="Arial"/>
          <w:sz w:val="24"/>
          <w:szCs w:val="24"/>
        </w:rPr>
        <w:t>regionally representative habitat type</w:t>
      </w:r>
      <w:r w:rsidR="00AE49F3">
        <w:rPr>
          <w:rFonts w:ascii="Arial" w:hAnsi="Arial" w:cs="Arial"/>
          <w:sz w:val="24"/>
          <w:szCs w:val="24"/>
        </w:rPr>
        <w:t>, best described as a biome with a number of indicative species and tree types rather than a distinctive species assemblage (</w:t>
      </w:r>
      <w:r w:rsidR="00E5535D">
        <w:rPr>
          <w:rFonts w:ascii="Arial" w:hAnsi="Arial" w:cs="Arial"/>
          <w:sz w:val="24"/>
          <w:szCs w:val="24"/>
        </w:rPr>
        <w:t>Gadgil and Meher-Homji, 1986</w:t>
      </w:r>
      <w:r w:rsidR="00AE49F3">
        <w:rPr>
          <w:rFonts w:ascii="Arial" w:hAnsi="Arial" w:cs="Arial"/>
          <w:sz w:val="24"/>
          <w:szCs w:val="24"/>
        </w:rPr>
        <w:t xml:space="preserve">), </w:t>
      </w:r>
      <w:r w:rsidR="00406C55" w:rsidRPr="00CC3547">
        <w:rPr>
          <w:rFonts w:ascii="Arial" w:hAnsi="Arial" w:cs="Arial"/>
          <w:sz w:val="24"/>
          <w:szCs w:val="24"/>
        </w:rPr>
        <w:t xml:space="preserve">that has been severely depleted in the coastal regional of </w:t>
      </w:r>
      <w:r w:rsidRPr="00CC3547">
        <w:rPr>
          <w:rFonts w:ascii="Arial" w:hAnsi="Arial" w:cs="Arial"/>
          <w:sz w:val="24"/>
          <w:szCs w:val="24"/>
        </w:rPr>
        <w:t>Tamil Nadu over recent decades</w:t>
      </w:r>
      <w:r w:rsidR="00C24CBC">
        <w:rPr>
          <w:rFonts w:ascii="Arial" w:hAnsi="Arial" w:cs="Arial"/>
          <w:sz w:val="24"/>
          <w:szCs w:val="24"/>
        </w:rPr>
        <w:t xml:space="preserve"> (</w:t>
      </w:r>
      <w:r w:rsidR="00C24CBC" w:rsidRPr="00C24CBC">
        <w:rPr>
          <w:rFonts w:ascii="Arial" w:hAnsi="Arial" w:cs="Arial"/>
          <w:sz w:val="24"/>
          <w:szCs w:val="24"/>
        </w:rPr>
        <w:t>Pitchandikulam Forest and Bio-Resource Centre</w:t>
      </w:r>
      <w:r w:rsidR="00C24CBC">
        <w:rPr>
          <w:rFonts w:ascii="Arial" w:hAnsi="Arial" w:cs="Arial"/>
          <w:sz w:val="24"/>
          <w:szCs w:val="24"/>
        </w:rPr>
        <w:t>, undated)</w:t>
      </w:r>
      <w:r w:rsidRPr="00CC3547">
        <w:rPr>
          <w:rFonts w:ascii="Arial" w:hAnsi="Arial" w:cs="Arial"/>
          <w:sz w:val="24"/>
          <w:szCs w:val="24"/>
        </w:rPr>
        <w:t>.</w:t>
      </w:r>
      <w:r w:rsidR="00406C55" w:rsidRPr="00CC3547">
        <w:rPr>
          <w:rFonts w:ascii="Arial" w:hAnsi="Arial" w:cs="Arial"/>
          <w:sz w:val="24"/>
          <w:szCs w:val="24"/>
        </w:rPr>
        <w:t xml:space="preserve">  At the time of writing, a little over 30 acres (just over </w:t>
      </w:r>
      <w:r w:rsidR="00406C55" w:rsidRPr="00CC3547">
        <w:rPr>
          <w:rFonts w:ascii="Arial" w:hAnsi="Arial" w:cs="Arial"/>
          <w:bCs/>
          <w:sz w:val="24"/>
          <w:szCs w:val="24"/>
          <w:lang w:val="en"/>
        </w:rPr>
        <w:t xml:space="preserve">12 </w:t>
      </w:r>
      <w:r w:rsidR="00406C55" w:rsidRPr="00CC3547">
        <w:rPr>
          <w:rFonts w:ascii="Arial" w:hAnsi="Arial" w:cs="Arial"/>
          <w:sz w:val="24"/>
          <w:szCs w:val="24"/>
          <w:lang w:val="en"/>
        </w:rPr>
        <w:t>hectares</w:t>
      </w:r>
      <w:r w:rsidR="00406C55" w:rsidRPr="00CC3547">
        <w:rPr>
          <w:rFonts w:ascii="Arial" w:hAnsi="Arial" w:cs="Arial"/>
          <w:sz w:val="24"/>
          <w:szCs w:val="24"/>
        </w:rPr>
        <w:t>) of TDEF reforestation has taken place at Nadukuppam in the Kaliveli catchment of Tamil Nadu</w:t>
      </w:r>
      <w:r w:rsidRPr="00CC3547">
        <w:rPr>
          <w:rFonts w:ascii="Arial" w:hAnsi="Arial" w:cs="Arial"/>
          <w:sz w:val="24"/>
          <w:szCs w:val="24"/>
        </w:rPr>
        <w:t>, with more land available to buy and put into trust as the scheme progresses</w:t>
      </w:r>
      <w:r w:rsidR="00160B14">
        <w:rPr>
          <w:rFonts w:ascii="Arial" w:hAnsi="Arial" w:cs="Arial"/>
          <w:sz w:val="24"/>
          <w:szCs w:val="24"/>
        </w:rPr>
        <w:t xml:space="preserve"> (Figure 1)</w:t>
      </w:r>
      <w:r w:rsidRPr="00CC3547">
        <w:rPr>
          <w:rFonts w:ascii="Arial" w:hAnsi="Arial" w:cs="Arial"/>
          <w:sz w:val="24"/>
          <w:szCs w:val="24"/>
        </w:rPr>
        <w:t>.</w:t>
      </w:r>
    </w:p>
    <w:p w14:paraId="256FF6CD" w14:textId="77777777" w:rsidR="00160B14" w:rsidRDefault="00160B14" w:rsidP="00406C55">
      <w:pPr>
        <w:spacing w:after="0" w:line="240" w:lineRule="auto"/>
        <w:contextualSpacing/>
        <w:rPr>
          <w:rFonts w:ascii="Arial" w:hAnsi="Arial" w:cs="Arial"/>
          <w:sz w:val="24"/>
          <w:szCs w:val="24"/>
        </w:rPr>
      </w:pPr>
    </w:p>
    <w:p w14:paraId="547082DA" w14:textId="77777777" w:rsidR="00160B14" w:rsidRDefault="00160B14" w:rsidP="00160B14">
      <w:pPr>
        <w:pStyle w:val="FootnoteText"/>
        <w:contextualSpacing/>
        <w:rPr>
          <w:rFonts w:ascii="Arial" w:hAnsi="Arial" w:cs="Arial"/>
          <w:sz w:val="24"/>
          <w:szCs w:val="24"/>
        </w:rPr>
      </w:pPr>
      <w:r>
        <w:rPr>
          <w:rFonts w:ascii="Arial" w:hAnsi="Arial" w:cs="Arial"/>
          <w:i/>
          <w:sz w:val="24"/>
          <w:szCs w:val="24"/>
        </w:rPr>
        <w:t>Figure</w:t>
      </w:r>
      <w:r w:rsidRPr="00C617DE">
        <w:rPr>
          <w:rFonts w:ascii="Arial" w:hAnsi="Arial" w:cs="Arial"/>
          <w:i/>
          <w:sz w:val="24"/>
          <w:szCs w:val="24"/>
        </w:rPr>
        <w:t xml:space="preserve"> </w:t>
      </w:r>
      <w:r>
        <w:rPr>
          <w:rFonts w:ascii="Arial" w:hAnsi="Arial" w:cs="Arial"/>
          <w:i/>
          <w:sz w:val="24"/>
          <w:szCs w:val="24"/>
        </w:rPr>
        <w:t>1</w:t>
      </w:r>
      <w:r w:rsidRPr="00C617DE">
        <w:rPr>
          <w:rFonts w:ascii="Arial" w:hAnsi="Arial" w:cs="Arial"/>
          <w:i/>
          <w:sz w:val="24"/>
          <w:szCs w:val="24"/>
        </w:rPr>
        <w:t xml:space="preserve">: </w:t>
      </w:r>
      <w:r>
        <w:rPr>
          <w:rFonts w:ascii="Arial" w:hAnsi="Arial" w:cs="Arial"/>
          <w:i/>
          <w:sz w:val="24"/>
          <w:szCs w:val="24"/>
        </w:rPr>
        <w:t xml:space="preserve">The Kaliveli catchment in </w:t>
      </w:r>
      <w:r w:rsidRPr="00E10409">
        <w:rPr>
          <w:rFonts w:ascii="Arial" w:hAnsi="Arial" w:cs="Arial"/>
          <w:i/>
          <w:sz w:val="24"/>
          <w:szCs w:val="24"/>
        </w:rPr>
        <w:t xml:space="preserve">Tamil Nadu </w:t>
      </w:r>
      <w:r>
        <w:rPr>
          <w:rFonts w:ascii="Arial" w:hAnsi="Arial" w:cs="Arial"/>
          <w:i/>
          <w:sz w:val="24"/>
          <w:szCs w:val="24"/>
        </w:rPr>
        <w:t>(TN) state, India, showing Kaliveli Lake (K) and the approximate locations of Pitchandikulam Forest (P) and the Naddakuppam restoration area (N)</w:t>
      </w:r>
    </w:p>
    <w:p w14:paraId="7B58CE3E" w14:textId="77777777" w:rsidR="00160B14" w:rsidRDefault="00160B14" w:rsidP="00160B14">
      <w:pPr>
        <w:pStyle w:val="FootnoteText"/>
        <w:contextualSpacing/>
        <w:rPr>
          <w:rFonts w:ascii="Arial" w:hAnsi="Arial" w:cs="Arial"/>
          <w:sz w:val="24"/>
          <w:szCs w:val="24"/>
        </w:rPr>
      </w:pPr>
    </w:p>
    <w:p w14:paraId="18ED13B1" w14:textId="77777777" w:rsidR="00160B14" w:rsidRPr="00463888" w:rsidRDefault="00160B14" w:rsidP="00160B14">
      <w:pPr>
        <w:pStyle w:val="FootnoteText"/>
        <w:contextualSpacing/>
        <w:rPr>
          <w:rFonts w:ascii="Arial" w:hAnsi="Arial" w:cs="Arial"/>
          <w:sz w:val="24"/>
          <w:szCs w:val="24"/>
        </w:rPr>
      </w:pPr>
      <w:r w:rsidRPr="00463888">
        <w:rPr>
          <w:rFonts w:ascii="Arial" w:hAnsi="Arial" w:cs="Arial"/>
          <w:noProof/>
          <w:sz w:val="24"/>
          <w:szCs w:val="24"/>
          <w:lang w:eastAsia="en-GB"/>
        </w:rPr>
        <w:lastRenderedPageBreak/>
        <w:drawing>
          <wp:inline distT="0" distB="0" distL="0" distR="0" wp14:anchorId="761615D7" wp14:editId="4850CA8C">
            <wp:extent cx="4137660" cy="5182118"/>
            <wp:effectExtent l="0" t="0" r="0" b="0"/>
            <wp:docPr id="1" name="Picture 1" descr="C:\Users\m-everard\Documents\Mark's files (last backed up 11feb16)\Papers, various\Ecosystem services 100-199\ES100 Brindia (1) an ES perspective\Kaliveli Cat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erard\Documents\Mark's files (last backed up 11feb16)\Papers, various\Ecosystem services 100-199\ES100 Brindia (1) an ES perspective\Kaliveli Catchme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888" t="532" r="5330" b="7988"/>
                    <a:stretch/>
                  </pic:blipFill>
                  <pic:spPr bwMode="auto">
                    <a:xfrm>
                      <a:off x="0" y="0"/>
                      <a:ext cx="4139113" cy="5183937"/>
                    </a:xfrm>
                    <a:prstGeom prst="rect">
                      <a:avLst/>
                    </a:prstGeom>
                    <a:noFill/>
                    <a:ln>
                      <a:noFill/>
                    </a:ln>
                    <a:extLst>
                      <a:ext uri="{53640926-AAD7-44D8-BBD7-CCE9431645EC}">
                        <a14:shadowObscured xmlns:a14="http://schemas.microsoft.com/office/drawing/2010/main"/>
                      </a:ext>
                    </a:extLst>
                  </pic:spPr>
                </pic:pic>
              </a:graphicData>
            </a:graphic>
          </wp:inline>
        </w:drawing>
      </w:r>
    </w:p>
    <w:p w14:paraId="5A1927D2" w14:textId="77777777" w:rsidR="00160B14" w:rsidRDefault="00160B14" w:rsidP="00160B14">
      <w:pPr>
        <w:spacing w:after="0" w:line="240" w:lineRule="auto"/>
        <w:contextualSpacing/>
        <w:rPr>
          <w:rFonts w:ascii="Arial" w:hAnsi="Arial" w:cs="Arial"/>
          <w:sz w:val="24"/>
          <w:szCs w:val="24"/>
        </w:rPr>
      </w:pPr>
    </w:p>
    <w:p w14:paraId="51C9BAD7" w14:textId="77777777" w:rsidR="00160B14" w:rsidRDefault="00160B14" w:rsidP="00406C55">
      <w:pPr>
        <w:spacing w:after="0" w:line="240" w:lineRule="auto"/>
        <w:contextualSpacing/>
        <w:rPr>
          <w:rFonts w:ascii="Arial" w:hAnsi="Arial" w:cs="Arial"/>
          <w:sz w:val="24"/>
          <w:szCs w:val="24"/>
        </w:rPr>
      </w:pPr>
    </w:p>
    <w:p w14:paraId="71EA08C4" w14:textId="2F2266B4" w:rsidR="00EB2C3A" w:rsidRPr="00CC3547" w:rsidRDefault="00406C55" w:rsidP="00406C55">
      <w:pPr>
        <w:spacing w:after="0" w:line="240" w:lineRule="auto"/>
        <w:contextualSpacing/>
        <w:rPr>
          <w:rFonts w:ascii="Arial" w:hAnsi="Arial" w:cs="Arial"/>
          <w:sz w:val="24"/>
          <w:szCs w:val="24"/>
        </w:rPr>
      </w:pPr>
      <w:r w:rsidRPr="00CC3547">
        <w:rPr>
          <w:rFonts w:ascii="Arial" w:hAnsi="Arial" w:cs="Arial"/>
          <w:sz w:val="24"/>
          <w:szCs w:val="24"/>
        </w:rPr>
        <w:t xml:space="preserve">Everard </w:t>
      </w:r>
      <w:r w:rsidRPr="00CC3547">
        <w:rPr>
          <w:rFonts w:ascii="Arial" w:hAnsi="Arial" w:cs="Arial"/>
          <w:i/>
          <w:sz w:val="24"/>
          <w:szCs w:val="24"/>
        </w:rPr>
        <w:t>et al</w:t>
      </w:r>
      <w:r w:rsidRPr="00CC3547">
        <w:rPr>
          <w:rFonts w:ascii="Arial" w:hAnsi="Arial" w:cs="Arial"/>
          <w:sz w:val="24"/>
          <w:szCs w:val="24"/>
        </w:rPr>
        <w:t>. (</w:t>
      </w:r>
      <w:r w:rsidR="00AE49F3">
        <w:rPr>
          <w:rFonts w:ascii="Arial" w:hAnsi="Arial" w:cs="Arial"/>
          <w:sz w:val="24"/>
          <w:szCs w:val="24"/>
        </w:rPr>
        <w:t>submitted</w:t>
      </w:r>
      <w:r w:rsidRPr="00CC3547">
        <w:rPr>
          <w:rFonts w:ascii="Arial" w:hAnsi="Arial" w:cs="Arial"/>
          <w:sz w:val="24"/>
          <w:szCs w:val="24"/>
        </w:rPr>
        <w:t>) and Everard (2015</w:t>
      </w:r>
      <w:r w:rsidR="00FF659F">
        <w:rPr>
          <w:rFonts w:ascii="Arial" w:hAnsi="Arial" w:cs="Arial"/>
          <w:sz w:val="24"/>
          <w:szCs w:val="24"/>
        </w:rPr>
        <w:t>a</w:t>
      </w:r>
      <w:r w:rsidRPr="00CC3547">
        <w:rPr>
          <w:rFonts w:ascii="Arial" w:hAnsi="Arial" w:cs="Arial"/>
          <w:sz w:val="24"/>
          <w:szCs w:val="24"/>
        </w:rPr>
        <w:t xml:space="preserve">) </w:t>
      </w:r>
      <w:r w:rsidR="0039267F" w:rsidRPr="00CC3547">
        <w:rPr>
          <w:rFonts w:ascii="Arial" w:hAnsi="Arial" w:cs="Arial"/>
          <w:sz w:val="24"/>
          <w:szCs w:val="24"/>
        </w:rPr>
        <w:t>analyse the likely global climate change regulation service outcome (the ‘anchor service’ in the initial phase of the TCW programme) of this linked renewable energy/eco-restoration programme.</w:t>
      </w:r>
      <w:r w:rsidR="00CC3547">
        <w:rPr>
          <w:rFonts w:ascii="Arial" w:hAnsi="Arial" w:cs="Arial"/>
          <w:sz w:val="24"/>
          <w:szCs w:val="24"/>
        </w:rPr>
        <w:t xml:space="preserve">  Box 2 summarises key input data and assumptions, methods and conclusions from </w:t>
      </w:r>
      <w:r w:rsidR="00CC3547" w:rsidRPr="00CC3547">
        <w:rPr>
          <w:rFonts w:ascii="Arial" w:hAnsi="Arial" w:cs="Arial"/>
          <w:sz w:val="24"/>
          <w:szCs w:val="24"/>
        </w:rPr>
        <w:t xml:space="preserve">Everard </w:t>
      </w:r>
      <w:r w:rsidR="00CC3547" w:rsidRPr="00CC3547">
        <w:rPr>
          <w:rFonts w:ascii="Arial" w:hAnsi="Arial" w:cs="Arial"/>
          <w:i/>
          <w:sz w:val="24"/>
          <w:szCs w:val="24"/>
        </w:rPr>
        <w:t>et al</w:t>
      </w:r>
      <w:r w:rsidR="00CC3547" w:rsidRPr="00CC3547">
        <w:rPr>
          <w:rFonts w:ascii="Arial" w:hAnsi="Arial" w:cs="Arial"/>
          <w:sz w:val="24"/>
          <w:szCs w:val="24"/>
        </w:rPr>
        <w:t>. (</w:t>
      </w:r>
      <w:r w:rsidR="00AE49F3">
        <w:rPr>
          <w:rFonts w:ascii="Arial" w:hAnsi="Arial" w:cs="Arial"/>
          <w:sz w:val="24"/>
          <w:szCs w:val="24"/>
        </w:rPr>
        <w:t>submitted</w:t>
      </w:r>
      <w:r w:rsidR="00CC3547" w:rsidRPr="00CC3547">
        <w:rPr>
          <w:rFonts w:ascii="Arial" w:hAnsi="Arial" w:cs="Arial"/>
          <w:sz w:val="24"/>
          <w:szCs w:val="24"/>
        </w:rPr>
        <w:t>) and Everard (2015</w:t>
      </w:r>
      <w:r w:rsidR="00FF659F">
        <w:rPr>
          <w:rFonts w:ascii="Arial" w:hAnsi="Arial" w:cs="Arial"/>
          <w:sz w:val="24"/>
          <w:szCs w:val="24"/>
        </w:rPr>
        <w:t>a</w:t>
      </w:r>
      <w:r w:rsidR="00CC3547" w:rsidRPr="00CC3547">
        <w:rPr>
          <w:rFonts w:ascii="Arial" w:hAnsi="Arial" w:cs="Arial"/>
          <w:sz w:val="24"/>
          <w:szCs w:val="24"/>
        </w:rPr>
        <w:t>)</w:t>
      </w:r>
      <w:r w:rsidR="00CC3547">
        <w:rPr>
          <w:rFonts w:ascii="Arial" w:hAnsi="Arial" w:cs="Arial"/>
          <w:sz w:val="24"/>
          <w:szCs w:val="24"/>
        </w:rPr>
        <w:t xml:space="preserve">, </w:t>
      </w:r>
      <w:r w:rsidR="004976CA">
        <w:rPr>
          <w:rFonts w:ascii="Arial" w:hAnsi="Arial" w:cs="Arial"/>
          <w:sz w:val="24"/>
          <w:szCs w:val="24"/>
        </w:rPr>
        <w:t xml:space="preserve">from which a TDEF sequestration rate of </w:t>
      </w:r>
      <w:r w:rsidR="004976CA" w:rsidRPr="004976CA">
        <w:rPr>
          <w:rFonts w:ascii="Arial" w:hAnsi="Arial" w:cs="Arial"/>
          <w:sz w:val="24"/>
          <w:szCs w:val="24"/>
        </w:rPr>
        <w:t>21,99</w:t>
      </w:r>
      <w:r w:rsidR="00160B14">
        <w:rPr>
          <w:rFonts w:ascii="Arial" w:hAnsi="Arial" w:cs="Arial"/>
          <w:sz w:val="24"/>
          <w:szCs w:val="24"/>
        </w:rPr>
        <w:t>4.28</w:t>
      </w:r>
      <w:r w:rsidR="004976CA" w:rsidRPr="004976CA">
        <w:rPr>
          <w:rFonts w:ascii="Arial" w:hAnsi="Arial" w:cs="Arial"/>
          <w:sz w:val="24"/>
          <w:szCs w:val="24"/>
        </w:rPr>
        <w:t xml:space="preserve"> tCO</w:t>
      </w:r>
      <w:r w:rsidR="004976CA" w:rsidRPr="004976CA">
        <w:rPr>
          <w:rFonts w:ascii="Arial" w:hAnsi="Arial" w:cs="Arial"/>
          <w:sz w:val="24"/>
          <w:szCs w:val="24"/>
          <w:vertAlign w:val="subscript"/>
        </w:rPr>
        <w:t>2</w:t>
      </w:r>
      <w:r w:rsidR="004976CA" w:rsidRPr="004976CA">
        <w:rPr>
          <w:rFonts w:ascii="Arial" w:hAnsi="Arial" w:cs="Arial"/>
          <w:sz w:val="24"/>
          <w:szCs w:val="24"/>
        </w:rPr>
        <w:t xml:space="preserve"> ha</w:t>
      </w:r>
      <w:r w:rsidR="004976CA" w:rsidRPr="004976CA">
        <w:rPr>
          <w:rFonts w:ascii="Arial" w:hAnsi="Arial" w:cs="Arial"/>
          <w:sz w:val="24"/>
          <w:szCs w:val="24"/>
          <w:vertAlign w:val="superscript"/>
        </w:rPr>
        <w:t>-1</w:t>
      </w:r>
      <w:r w:rsidR="004976CA" w:rsidRPr="004976CA">
        <w:rPr>
          <w:rFonts w:ascii="Arial" w:hAnsi="Arial" w:cs="Arial"/>
          <w:sz w:val="24"/>
          <w:szCs w:val="24"/>
        </w:rPr>
        <w:t xml:space="preserve"> year</w:t>
      </w:r>
      <w:r w:rsidR="004976CA" w:rsidRPr="004976CA">
        <w:rPr>
          <w:rFonts w:ascii="Arial" w:hAnsi="Arial" w:cs="Arial"/>
          <w:sz w:val="24"/>
          <w:szCs w:val="24"/>
          <w:vertAlign w:val="superscript"/>
        </w:rPr>
        <w:t>-1</w:t>
      </w:r>
      <w:r w:rsidR="004976CA" w:rsidRPr="004976CA">
        <w:rPr>
          <w:rFonts w:ascii="Arial" w:hAnsi="Arial" w:cs="Arial"/>
          <w:sz w:val="24"/>
          <w:szCs w:val="24"/>
        </w:rPr>
        <w:t xml:space="preserve"> </w:t>
      </w:r>
      <w:r w:rsidR="004976CA">
        <w:rPr>
          <w:rFonts w:ascii="Arial" w:hAnsi="Arial" w:cs="Arial"/>
          <w:sz w:val="24"/>
          <w:szCs w:val="24"/>
        </w:rPr>
        <w:t xml:space="preserve">is calculated for </w:t>
      </w:r>
      <w:r w:rsidR="004976CA" w:rsidRPr="004976CA">
        <w:rPr>
          <w:rFonts w:ascii="Arial" w:hAnsi="Arial" w:cs="Arial"/>
          <w:sz w:val="24"/>
          <w:szCs w:val="24"/>
        </w:rPr>
        <w:t>restored TDEF</w:t>
      </w:r>
      <w:r w:rsidR="004976CA">
        <w:rPr>
          <w:rFonts w:ascii="Arial" w:hAnsi="Arial" w:cs="Arial"/>
          <w:sz w:val="24"/>
          <w:szCs w:val="24"/>
        </w:rPr>
        <w:t xml:space="preserve"> over a 100-year succession to climax community.</w:t>
      </w:r>
      <w:r w:rsidR="00E5535D">
        <w:rPr>
          <w:rFonts w:ascii="Arial" w:hAnsi="Arial" w:cs="Arial"/>
          <w:sz w:val="24"/>
          <w:szCs w:val="24"/>
        </w:rPr>
        <w:t xml:space="preserve">  (Note that Meher-Homji, </w:t>
      </w:r>
      <w:r w:rsidR="00E5535D" w:rsidRPr="000674E2">
        <w:rPr>
          <w:rFonts w:ascii="Arial" w:hAnsi="Arial" w:cs="Arial"/>
          <w:sz w:val="24"/>
          <w:szCs w:val="24"/>
        </w:rPr>
        <w:t xml:space="preserve">1974, to whom the definitive definition of TDEF is often attributed, </w:t>
      </w:r>
      <w:r w:rsidR="00E5535D">
        <w:rPr>
          <w:rFonts w:ascii="Arial" w:hAnsi="Arial" w:cs="Arial"/>
          <w:sz w:val="24"/>
          <w:szCs w:val="24"/>
        </w:rPr>
        <w:t xml:space="preserve">characterised </w:t>
      </w:r>
      <w:r w:rsidR="00E5535D" w:rsidRPr="000674E2">
        <w:rPr>
          <w:rFonts w:ascii="Arial" w:hAnsi="Arial" w:cs="Arial"/>
          <w:sz w:val="24"/>
          <w:szCs w:val="24"/>
        </w:rPr>
        <w:t xml:space="preserve">TDEF </w:t>
      </w:r>
      <w:r w:rsidR="00E5535D">
        <w:rPr>
          <w:rFonts w:ascii="Arial" w:hAnsi="Arial" w:cs="Arial"/>
          <w:sz w:val="24"/>
          <w:szCs w:val="24"/>
        </w:rPr>
        <w:t>as deriving</w:t>
      </w:r>
      <w:r w:rsidR="00E5535D" w:rsidRPr="000674E2">
        <w:rPr>
          <w:rFonts w:ascii="Arial" w:hAnsi="Arial" w:cs="Arial"/>
          <w:sz w:val="24"/>
          <w:szCs w:val="24"/>
        </w:rPr>
        <w:t xml:space="preserve"> from dry deciduous forest through disappearance of many typical deciduous species and invasion of some endemic species of the drier eastern half of south India</w:t>
      </w:r>
      <w:r w:rsidR="00E5535D">
        <w:rPr>
          <w:rFonts w:ascii="Arial" w:hAnsi="Arial" w:cs="Arial"/>
          <w:sz w:val="24"/>
          <w:szCs w:val="24"/>
        </w:rPr>
        <w:t xml:space="preserve"> substantially mediated by cultural activity; technically’ climax’ may not therefore be an entirely accurate way to describe a fully developed TDEF canopy though is used as a shorthand for expressing mature forest</w:t>
      </w:r>
      <w:r w:rsidR="002D1C50">
        <w:rPr>
          <w:rFonts w:ascii="Arial" w:hAnsi="Arial" w:cs="Arial"/>
          <w:sz w:val="24"/>
          <w:szCs w:val="24"/>
        </w:rPr>
        <w:t>.</w:t>
      </w:r>
      <w:r w:rsidR="00E5535D">
        <w:rPr>
          <w:rFonts w:ascii="Arial" w:hAnsi="Arial" w:cs="Arial"/>
          <w:sz w:val="24"/>
          <w:szCs w:val="24"/>
        </w:rPr>
        <w:t>)</w:t>
      </w:r>
    </w:p>
    <w:p w14:paraId="66D1B1D9" w14:textId="77777777" w:rsidR="00CC3547" w:rsidRPr="00CC3547" w:rsidRDefault="00CC3547" w:rsidP="00CC3547">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3547" w:rsidRPr="00E43332" w14:paraId="78630B05" w14:textId="77777777" w:rsidTr="00AE52DD">
        <w:tc>
          <w:tcPr>
            <w:tcW w:w="9242" w:type="dxa"/>
          </w:tcPr>
          <w:p w14:paraId="15A0AEE5" w14:textId="665AB88B" w:rsidR="00CC3547" w:rsidRPr="00E43332" w:rsidRDefault="00CC3547" w:rsidP="00AE52DD">
            <w:pPr>
              <w:contextualSpacing/>
              <w:rPr>
                <w:rFonts w:ascii="Arial" w:hAnsi="Arial" w:cs="Arial"/>
                <w:b/>
                <w:sz w:val="24"/>
                <w:szCs w:val="24"/>
              </w:rPr>
            </w:pPr>
            <w:r w:rsidRPr="00E43332">
              <w:rPr>
                <w:rFonts w:ascii="Arial" w:hAnsi="Arial" w:cs="Arial"/>
                <w:b/>
                <w:sz w:val="24"/>
                <w:szCs w:val="24"/>
              </w:rPr>
              <w:t xml:space="preserve">Box 2: key input data and assumptions, methods and conclusions from Everard </w:t>
            </w:r>
            <w:r w:rsidRPr="00E43332">
              <w:rPr>
                <w:rFonts w:ascii="Arial" w:hAnsi="Arial" w:cs="Arial"/>
                <w:b/>
                <w:i/>
                <w:sz w:val="24"/>
                <w:szCs w:val="24"/>
              </w:rPr>
              <w:t>et al</w:t>
            </w:r>
            <w:r w:rsidRPr="00E43332">
              <w:rPr>
                <w:rFonts w:ascii="Arial" w:hAnsi="Arial" w:cs="Arial"/>
                <w:b/>
                <w:sz w:val="24"/>
                <w:szCs w:val="24"/>
              </w:rPr>
              <w:t>. (</w:t>
            </w:r>
            <w:r w:rsidR="00AE49F3" w:rsidRPr="00E43332">
              <w:rPr>
                <w:rFonts w:ascii="Arial" w:hAnsi="Arial" w:cs="Arial"/>
                <w:b/>
                <w:sz w:val="24"/>
                <w:szCs w:val="24"/>
              </w:rPr>
              <w:t>submitted</w:t>
            </w:r>
            <w:r w:rsidRPr="00E43332">
              <w:rPr>
                <w:rFonts w:ascii="Arial" w:hAnsi="Arial" w:cs="Arial"/>
                <w:b/>
                <w:sz w:val="24"/>
                <w:szCs w:val="24"/>
              </w:rPr>
              <w:t>) and Everard (2015</w:t>
            </w:r>
            <w:r w:rsidR="00FF659F" w:rsidRPr="00E43332">
              <w:rPr>
                <w:rFonts w:ascii="Arial" w:hAnsi="Arial" w:cs="Arial"/>
                <w:b/>
                <w:sz w:val="24"/>
                <w:szCs w:val="24"/>
              </w:rPr>
              <w:t>a</w:t>
            </w:r>
            <w:r w:rsidRPr="00E43332">
              <w:rPr>
                <w:rFonts w:ascii="Arial" w:hAnsi="Arial" w:cs="Arial"/>
                <w:b/>
                <w:sz w:val="24"/>
                <w:szCs w:val="24"/>
              </w:rPr>
              <w:t>)</w:t>
            </w:r>
          </w:p>
          <w:p w14:paraId="66E11C38" w14:textId="4A9F88D3" w:rsidR="00CC3547" w:rsidRPr="00E43332" w:rsidRDefault="00CC3547" w:rsidP="00AE52DD">
            <w:pPr>
              <w:contextualSpacing/>
              <w:rPr>
                <w:rFonts w:ascii="Arial" w:hAnsi="Arial" w:cs="Arial"/>
                <w:sz w:val="24"/>
                <w:szCs w:val="24"/>
              </w:rPr>
            </w:pPr>
          </w:p>
          <w:p w14:paraId="690C271A" w14:textId="76B2192F" w:rsidR="00CC3547" w:rsidRPr="00E43332" w:rsidRDefault="00CC3547" w:rsidP="00AE49F3">
            <w:pPr>
              <w:contextualSpacing/>
              <w:rPr>
                <w:rFonts w:ascii="Arial" w:hAnsi="Arial" w:cs="Arial"/>
                <w:sz w:val="24"/>
                <w:szCs w:val="24"/>
              </w:rPr>
            </w:pPr>
            <w:r w:rsidRPr="00E43332">
              <w:rPr>
                <w:rFonts w:ascii="Arial" w:hAnsi="Arial" w:cs="Arial"/>
                <w:sz w:val="24"/>
                <w:szCs w:val="24"/>
              </w:rPr>
              <w:lastRenderedPageBreak/>
              <w:t>Net annual CO</w:t>
            </w:r>
            <w:r w:rsidRPr="00E43332">
              <w:rPr>
                <w:rFonts w:ascii="Arial" w:hAnsi="Arial" w:cs="Arial"/>
                <w:sz w:val="24"/>
                <w:szCs w:val="24"/>
                <w:vertAlign w:val="subscript"/>
              </w:rPr>
              <w:t>2</w:t>
            </w:r>
            <w:r w:rsidR="00DC0E60" w:rsidRPr="00E43332">
              <w:rPr>
                <w:rFonts w:ascii="Arial" w:hAnsi="Arial" w:cs="Arial"/>
                <w:sz w:val="24"/>
                <w:szCs w:val="24"/>
              </w:rPr>
              <w:t xml:space="preserve">e </w:t>
            </w:r>
            <w:r w:rsidR="00160B14" w:rsidRPr="00E43332">
              <w:rPr>
                <w:rFonts w:ascii="Arial" w:hAnsi="Arial" w:cs="Arial"/>
                <w:sz w:val="24"/>
                <w:szCs w:val="24"/>
              </w:rPr>
              <w:t xml:space="preserve">emissions averted </w:t>
            </w:r>
            <w:r w:rsidRPr="00E43332">
              <w:rPr>
                <w:rFonts w:ascii="Arial" w:hAnsi="Arial" w:cs="Arial"/>
                <w:sz w:val="24"/>
                <w:szCs w:val="24"/>
              </w:rPr>
              <w:t xml:space="preserve">per 2.1MW turbine </w:t>
            </w:r>
            <w:r w:rsidR="00160B14" w:rsidRPr="00E43332">
              <w:rPr>
                <w:rFonts w:ascii="Arial" w:hAnsi="Arial" w:cs="Arial"/>
                <w:sz w:val="24"/>
                <w:szCs w:val="24"/>
              </w:rPr>
              <w:t xml:space="preserve">relative to India’s conventional energy mix </w:t>
            </w:r>
            <w:r w:rsidRPr="00E43332">
              <w:rPr>
                <w:rFonts w:ascii="Arial" w:hAnsi="Arial" w:cs="Arial"/>
                <w:sz w:val="24"/>
                <w:szCs w:val="24"/>
              </w:rPr>
              <w:t>were calculated a</w:t>
            </w:r>
            <w:r w:rsidR="00160B14" w:rsidRPr="00E43332">
              <w:rPr>
                <w:rFonts w:ascii="Arial" w:hAnsi="Arial" w:cs="Arial"/>
                <w:sz w:val="24"/>
                <w:szCs w:val="24"/>
              </w:rPr>
              <w:t xml:space="preserve">t a highly conservative </w:t>
            </w:r>
            <w:r w:rsidR="004638C0" w:rsidRPr="00E43332">
              <w:rPr>
                <w:rFonts w:ascii="Arial" w:hAnsi="Arial" w:cs="Arial"/>
                <w:sz w:val="24"/>
                <w:szCs w:val="24"/>
              </w:rPr>
              <w:t>4,000</w:t>
            </w:r>
            <w:r w:rsidRPr="00E43332">
              <w:rPr>
                <w:rFonts w:ascii="Arial" w:hAnsi="Arial" w:cs="Arial"/>
                <w:sz w:val="24"/>
                <w:szCs w:val="24"/>
              </w:rPr>
              <w:t xml:space="preserve"> tCO</w:t>
            </w:r>
            <w:r w:rsidRPr="00E43332">
              <w:rPr>
                <w:rFonts w:ascii="Arial" w:hAnsi="Arial" w:cs="Arial"/>
                <w:sz w:val="24"/>
                <w:szCs w:val="24"/>
                <w:vertAlign w:val="subscript"/>
              </w:rPr>
              <w:t>2</w:t>
            </w:r>
            <w:r w:rsidRPr="00E43332">
              <w:rPr>
                <w:rFonts w:ascii="Arial" w:hAnsi="Arial" w:cs="Arial"/>
                <w:sz w:val="24"/>
                <w:szCs w:val="24"/>
              </w:rPr>
              <w:t xml:space="preserve">e </w:t>
            </w:r>
            <w:r w:rsidR="00160B14" w:rsidRPr="00E43332">
              <w:rPr>
                <w:rFonts w:ascii="Arial" w:hAnsi="Arial" w:cs="Arial"/>
                <w:sz w:val="24"/>
                <w:szCs w:val="24"/>
              </w:rPr>
              <w:t>year</w:t>
            </w:r>
            <w:r w:rsidR="00160B14" w:rsidRPr="00E43332">
              <w:rPr>
                <w:rFonts w:ascii="Arial" w:hAnsi="Arial" w:cs="Arial"/>
                <w:sz w:val="24"/>
                <w:szCs w:val="24"/>
                <w:vertAlign w:val="superscript"/>
              </w:rPr>
              <w:t>-1</w:t>
            </w:r>
            <w:r w:rsidR="00160B14" w:rsidRPr="00E43332">
              <w:rPr>
                <w:rFonts w:ascii="Arial" w:hAnsi="Arial" w:cs="Arial"/>
                <w:sz w:val="24"/>
                <w:szCs w:val="24"/>
              </w:rPr>
              <w:t xml:space="preserve"> </w:t>
            </w:r>
            <w:r w:rsidRPr="00E43332">
              <w:rPr>
                <w:rFonts w:ascii="Arial" w:hAnsi="Arial" w:cs="Arial"/>
                <w:sz w:val="24"/>
                <w:szCs w:val="24"/>
              </w:rPr>
              <w:t>over the turbine’s 20-year planned operational life.</w:t>
            </w:r>
          </w:p>
          <w:p w14:paraId="6550D51A" w14:textId="77777777" w:rsidR="00CC3547" w:rsidRPr="00E43332" w:rsidRDefault="00CC3547" w:rsidP="003E6F84">
            <w:pPr>
              <w:contextualSpacing/>
              <w:rPr>
                <w:rFonts w:ascii="Arial" w:hAnsi="Arial" w:cs="Arial"/>
                <w:sz w:val="24"/>
                <w:szCs w:val="24"/>
              </w:rPr>
            </w:pPr>
          </w:p>
          <w:p w14:paraId="28D53978" w14:textId="0BB0619B" w:rsidR="00CC3547" w:rsidRPr="00E43332" w:rsidRDefault="00CC3547">
            <w:pPr>
              <w:autoSpaceDE w:val="0"/>
              <w:autoSpaceDN w:val="0"/>
              <w:adjustRightInd w:val="0"/>
              <w:contextualSpacing/>
              <w:rPr>
                <w:rFonts w:ascii="Arial" w:hAnsi="Arial" w:cs="Arial"/>
                <w:sz w:val="24"/>
                <w:szCs w:val="24"/>
              </w:rPr>
            </w:pPr>
            <w:r w:rsidRPr="00E43332">
              <w:rPr>
                <w:rFonts w:ascii="Arial" w:hAnsi="Arial" w:cs="Arial"/>
                <w:sz w:val="24"/>
                <w:szCs w:val="24"/>
              </w:rPr>
              <w:t>Based on sparse published data on soil and biomass carbon storage in both mature and degraded forest of an equivalent type in the local bioregion of Tamil Nadu</w:t>
            </w:r>
            <w:r w:rsidR="00160B14" w:rsidRPr="00E43332">
              <w:rPr>
                <w:rFonts w:ascii="Arial" w:hAnsi="Arial" w:cs="Arial"/>
                <w:sz w:val="24"/>
                <w:szCs w:val="24"/>
              </w:rPr>
              <w:t xml:space="preserve"> (</w:t>
            </w:r>
            <w:r w:rsidRPr="00E43332">
              <w:rPr>
                <w:rFonts w:ascii="Arial" w:hAnsi="Arial" w:cs="Arial"/>
                <w:sz w:val="24"/>
                <w:szCs w:val="24"/>
              </w:rPr>
              <w:t>therefore leading to significant uncertainties in calculated values</w:t>
            </w:r>
            <w:r w:rsidR="00160B14" w:rsidRPr="00E43332">
              <w:rPr>
                <w:rFonts w:ascii="Arial" w:hAnsi="Arial" w:cs="Arial"/>
                <w:sz w:val="24"/>
                <w:szCs w:val="24"/>
              </w:rPr>
              <w:t>)</w:t>
            </w:r>
            <w:r w:rsidRPr="00E43332">
              <w:rPr>
                <w:rFonts w:ascii="Arial" w:hAnsi="Arial" w:cs="Arial"/>
                <w:sz w:val="24"/>
                <w:szCs w:val="24"/>
              </w:rPr>
              <w:t xml:space="preserve">, </w:t>
            </w:r>
            <w:r w:rsidR="00160B14" w:rsidRPr="00E43332">
              <w:rPr>
                <w:rFonts w:ascii="Arial" w:hAnsi="Arial" w:cs="Arial"/>
                <w:sz w:val="24"/>
                <w:szCs w:val="24"/>
              </w:rPr>
              <w:t xml:space="preserve">there is an </w:t>
            </w:r>
            <w:r w:rsidRPr="00E43332">
              <w:rPr>
                <w:rFonts w:ascii="Arial" w:hAnsi="Arial" w:cs="Arial"/>
                <w:sz w:val="24"/>
                <w:szCs w:val="24"/>
              </w:rPr>
              <w:t>annual CO</w:t>
            </w:r>
            <w:r w:rsidRPr="00E43332">
              <w:rPr>
                <w:rFonts w:ascii="Arial" w:hAnsi="Arial" w:cs="Arial"/>
                <w:sz w:val="24"/>
                <w:szCs w:val="24"/>
                <w:vertAlign w:val="subscript"/>
              </w:rPr>
              <w:t>2</w:t>
            </w:r>
            <w:r w:rsidR="00DC0E60" w:rsidRPr="00E43332">
              <w:rPr>
                <w:rFonts w:ascii="Arial" w:hAnsi="Arial" w:cs="Arial"/>
                <w:sz w:val="24"/>
                <w:szCs w:val="24"/>
              </w:rPr>
              <w:t xml:space="preserve"> </w:t>
            </w:r>
            <w:r w:rsidRPr="00E43332">
              <w:rPr>
                <w:rFonts w:ascii="Arial" w:hAnsi="Arial" w:cs="Arial"/>
                <w:sz w:val="24"/>
                <w:szCs w:val="24"/>
              </w:rPr>
              <w:t>sequestration rate of 21,99</w:t>
            </w:r>
            <w:r w:rsidR="004976CA" w:rsidRPr="00E43332">
              <w:rPr>
                <w:rFonts w:ascii="Arial" w:hAnsi="Arial" w:cs="Arial"/>
                <w:sz w:val="24"/>
                <w:szCs w:val="24"/>
              </w:rPr>
              <w:t>5.</w:t>
            </w:r>
            <w:r w:rsidR="00160B14" w:rsidRPr="00E43332">
              <w:rPr>
                <w:rFonts w:ascii="Arial" w:hAnsi="Arial" w:cs="Arial"/>
                <w:sz w:val="24"/>
                <w:szCs w:val="24"/>
              </w:rPr>
              <w:t xml:space="preserve">75 </w:t>
            </w:r>
            <w:r w:rsidRPr="00E43332">
              <w:rPr>
                <w:rFonts w:ascii="Arial" w:hAnsi="Arial" w:cs="Arial"/>
                <w:sz w:val="24"/>
                <w:szCs w:val="24"/>
              </w:rPr>
              <w:t>tCO</w:t>
            </w:r>
            <w:r w:rsidRPr="00E43332">
              <w:rPr>
                <w:rFonts w:ascii="Arial" w:hAnsi="Arial" w:cs="Arial"/>
                <w:sz w:val="24"/>
                <w:szCs w:val="24"/>
                <w:vertAlign w:val="subscript"/>
              </w:rPr>
              <w:t>2</w:t>
            </w:r>
            <w:r w:rsidR="00DC0E60" w:rsidRPr="00E43332">
              <w:rPr>
                <w:rFonts w:ascii="Arial" w:hAnsi="Arial" w:cs="Arial"/>
                <w:sz w:val="24"/>
                <w:szCs w:val="24"/>
              </w:rPr>
              <w:t xml:space="preserve">e </w:t>
            </w:r>
            <w:r w:rsidRPr="00E43332">
              <w:rPr>
                <w:rFonts w:ascii="Arial" w:hAnsi="Arial" w:cs="Arial"/>
                <w:sz w:val="24"/>
                <w:szCs w:val="24"/>
              </w:rPr>
              <w:t>ha</w:t>
            </w:r>
            <w:r w:rsidRPr="00E43332">
              <w:rPr>
                <w:rFonts w:ascii="Arial" w:hAnsi="Arial" w:cs="Arial"/>
                <w:sz w:val="24"/>
                <w:szCs w:val="24"/>
                <w:vertAlign w:val="superscript"/>
              </w:rPr>
              <w:t>-1</w:t>
            </w:r>
            <w:r w:rsidRPr="00E43332">
              <w:rPr>
                <w:rFonts w:ascii="Arial" w:hAnsi="Arial" w:cs="Arial"/>
                <w:sz w:val="24"/>
                <w:szCs w:val="24"/>
              </w:rPr>
              <w:t xml:space="preserve"> year</w:t>
            </w:r>
            <w:r w:rsidRPr="00E43332">
              <w:rPr>
                <w:rFonts w:ascii="Arial" w:hAnsi="Arial" w:cs="Arial"/>
                <w:sz w:val="24"/>
                <w:szCs w:val="24"/>
                <w:vertAlign w:val="superscript"/>
              </w:rPr>
              <w:t>-1</w:t>
            </w:r>
            <w:r w:rsidRPr="00E43332">
              <w:rPr>
                <w:rFonts w:ascii="Arial" w:hAnsi="Arial" w:cs="Arial"/>
                <w:sz w:val="24"/>
                <w:szCs w:val="24"/>
              </w:rPr>
              <w:t xml:space="preserve"> in restored TDEF.  This includes a number of conservative assumptions including:</w:t>
            </w:r>
          </w:p>
          <w:p w14:paraId="5CC109D8" w14:textId="77777777" w:rsidR="004976CA" w:rsidRPr="00E43332" w:rsidRDefault="004976CA">
            <w:pPr>
              <w:autoSpaceDE w:val="0"/>
              <w:autoSpaceDN w:val="0"/>
              <w:adjustRightInd w:val="0"/>
              <w:contextualSpacing/>
              <w:rPr>
                <w:rFonts w:ascii="Arial" w:hAnsi="Arial" w:cs="Arial"/>
                <w:sz w:val="24"/>
                <w:szCs w:val="24"/>
              </w:rPr>
            </w:pPr>
          </w:p>
          <w:p w14:paraId="71749881" w14:textId="1A8EEB1C" w:rsidR="004976CA" w:rsidRPr="00E43332" w:rsidRDefault="00CC3547">
            <w:pPr>
              <w:pStyle w:val="ListParagraph"/>
              <w:numPr>
                <w:ilvl w:val="0"/>
                <w:numId w:val="2"/>
              </w:numPr>
              <w:autoSpaceDE w:val="0"/>
              <w:autoSpaceDN w:val="0"/>
              <w:adjustRightInd w:val="0"/>
              <w:ind w:left="426" w:hanging="284"/>
              <w:rPr>
                <w:rFonts w:ascii="Arial" w:hAnsi="Arial" w:cs="Arial"/>
                <w:sz w:val="24"/>
                <w:szCs w:val="24"/>
              </w:rPr>
            </w:pPr>
            <w:r w:rsidRPr="00E43332">
              <w:rPr>
                <w:rFonts w:ascii="Arial" w:hAnsi="Arial" w:cs="Arial"/>
                <w:sz w:val="24"/>
                <w:szCs w:val="24"/>
              </w:rPr>
              <w:t>A 100-year succession to TDEF climax community is assumed</w:t>
            </w:r>
            <w:r w:rsidR="004976CA" w:rsidRPr="00E43332">
              <w:rPr>
                <w:rFonts w:ascii="Arial" w:hAnsi="Arial" w:cs="Arial"/>
                <w:sz w:val="24"/>
                <w:szCs w:val="24"/>
              </w:rPr>
              <w:t xml:space="preserve"> (although evidence from the regenerated Pitchandikulam forest on the adjacent Auroville Plateau suggests that climax TDEF may been achieved in a shorter timeframe of approximately 50 years); and</w:t>
            </w:r>
          </w:p>
          <w:p w14:paraId="1EFA02D8" w14:textId="77777777" w:rsidR="00AE49F3" w:rsidRPr="00E43332" w:rsidRDefault="00AE49F3" w:rsidP="002D1C50">
            <w:pPr>
              <w:autoSpaceDE w:val="0"/>
              <w:autoSpaceDN w:val="0"/>
              <w:adjustRightInd w:val="0"/>
              <w:rPr>
                <w:rFonts w:ascii="Arial" w:hAnsi="Arial" w:cs="Arial"/>
                <w:sz w:val="24"/>
                <w:szCs w:val="24"/>
              </w:rPr>
            </w:pPr>
          </w:p>
          <w:p w14:paraId="551061FE" w14:textId="031F2452" w:rsidR="00CC3547" w:rsidRPr="00E43332" w:rsidRDefault="004976CA" w:rsidP="00B852C8">
            <w:pPr>
              <w:pStyle w:val="ListParagraph"/>
              <w:numPr>
                <w:ilvl w:val="0"/>
                <w:numId w:val="2"/>
              </w:numPr>
              <w:autoSpaceDE w:val="0"/>
              <w:autoSpaceDN w:val="0"/>
              <w:adjustRightInd w:val="0"/>
              <w:ind w:left="426" w:hanging="284"/>
              <w:rPr>
                <w:rFonts w:ascii="Arial" w:hAnsi="Arial" w:cs="Arial"/>
                <w:sz w:val="24"/>
                <w:szCs w:val="24"/>
              </w:rPr>
            </w:pPr>
            <w:r w:rsidRPr="00E43332">
              <w:rPr>
                <w:rFonts w:ascii="Arial" w:hAnsi="Arial" w:cs="Arial"/>
                <w:sz w:val="24"/>
                <w:szCs w:val="24"/>
              </w:rPr>
              <w:t>Restoration of the Naddakuppum forest is occurring on a baseline of highly eroded farmland rather than degraded forest, though baseline carbon storage for ‘degraded forest’ is used in these calculations.</w:t>
            </w:r>
          </w:p>
          <w:p w14:paraId="65C958DD" w14:textId="77777777" w:rsidR="00CC3547" w:rsidRPr="00E43332" w:rsidRDefault="00CC3547" w:rsidP="00AE52DD">
            <w:pPr>
              <w:autoSpaceDE w:val="0"/>
              <w:autoSpaceDN w:val="0"/>
              <w:adjustRightInd w:val="0"/>
              <w:rPr>
                <w:rFonts w:ascii="Arial" w:hAnsi="Arial" w:cs="Arial"/>
                <w:sz w:val="24"/>
                <w:szCs w:val="24"/>
              </w:rPr>
            </w:pPr>
          </w:p>
        </w:tc>
      </w:tr>
    </w:tbl>
    <w:p w14:paraId="0AAABEDF" w14:textId="77777777" w:rsidR="00CC3547" w:rsidRPr="00E43332" w:rsidRDefault="00CC3547" w:rsidP="00CC3547">
      <w:pPr>
        <w:spacing w:after="0" w:line="240" w:lineRule="auto"/>
        <w:contextualSpacing/>
        <w:rPr>
          <w:rFonts w:ascii="Arial" w:hAnsi="Arial" w:cs="Arial"/>
          <w:sz w:val="24"/>
          <w:szCs w:val="24"/>
        </w:rPr>
      </w:pPr>
    </w:p>
    <w:p w14:paraId="253CC5A8" w14:textId="221C5873" w:rsidR="00406C55" w:rsidRPr="00E43332" w:rsidRDefault="004976CA" w:rsidP="004976CA">
      <w:pPr>
        <w:spacing w:after="0" w:line="240" w:lineRule="auto"/>
        <w:contextualSpacing/>
        <w:rPr>
          <w:rFonts w:ascii="Arial" w:hAnsi="Arial" w:cs="Arial"/>
          <w:sz w:val="24"/>
          <w:szCs w:val="24"/>
        </w:rPr>
      </w:pPr>
      <w:r w:rsidRPr="00E43332">
        <w:rPr>
          <w:rFonts w:ascii="Arial" w:hAnsi="Arial" w:cs="Arial"/>
          <w:sz w:val="24"/>
          <w:szCs w:val="24"/>
        </w:rPr>
        <w:t xml:space="preserve">The TCW programme has provision for reinvestment of surpluses from renewable energy sales from wind turbines supporting </w:t>
      </w:r>
      <w:r w:rsidR="00406C55" w:rsidRPr="00E43332">
        <w:rPr>
          <w:rFonts w:ascii="Arial" w:hAnsi="Arial" w:cs="Arial"/>
          <w:sz w:val="24"/>
          <w:szCs w:val="24"/>
        </w:rPr>
        <w:t>eco-restoration of 6.15 hectares of TDEF</w:t>
      </w:r>
      <w:r w:rsidR="00AE49F3" w:rsidRPr="00E43332">
        <w:rPr>
          <w:rFonts w:ascii="Arial" w:hAnsi="Arial" w:cs="Arial"/>
          <w:sz w:val="24"/>
          <w:szCs w:val="24"/>
        </w:rPr>
        <w:t xml:space="preserve"> annually</w:t>
      </w:r>
      <w:r w:rsidR="00406C55" w:rsidRPr="00E43332">
        <w:rPr>
          <w:rFonts w:ascii="Arial" w:hAnsi="Arial" w:cs="Arial"/>
          <w:sz w:val="24"/>
          <w:szCs w:val="24"/>
        </w:rPr>
        <w:t xml:space="preserve">, cumulatively creating 123 hectares of regenerated TDEF over the 20-year operating life of a 2.1MW wind turbine.  </w:t>
      </w:r>
      <w:r w:rsidR="00160B14" w:rsidRPr="00E43332">
        <w:rPr>
          <w:rFonts w:ascii="Arial" w:hAnsi="Arial" w:cs="Arial"/>
          <w:sz w:val="24"/>
          <w:szCs w:val="24"/>
        </w:rPr>
        <w:t>Combined CO</w:t>
      </w:r>
      <w:r w:rsidR="00160B14" w:rsidRPr="00E43332">
        <w:rPr>
          <w:rFonts w:ascii="Arial" w:hAnsi="Arial" w:cs="Arial"/>
          <w:sz w:val="24"/>
          <w:szCs w:val="24"/>
          <w:vertAlign w:val="subscript"/>
        </w:rPr>
        <w:t>2</w:t>
      </w:r>
      <w:r w:rsidR="00AE49F3" w:rsidRPr="00E43332">
        <w:rPr>
          <w:rFonts w:ascii="Arial" w:hAnsi="Arial" w:cs="Arial"/>
          <w:sz w:val="24"/>
          <w:szCs w:val="24"/>
        </w:rPr>
        <w:t xml:space="preserve">e </w:t>
      </w:r>
      <w:r w:rsidR="00160B14" w:rsidRPr="00E43332">
        <w:rPr>
          <w:rFonts w:ascii="Arial" w:hAnsi="Arial" w:cs="Arial"/>
          <w:sz w:val="24"/>
          <w:szCs w:val="24"/>
        </w:rPr>
        <w:t>averted by generation from one 2.1MW wind turbine over 20 years (≈80,000 tCO</w:t>
      </w:r>
      <w:r w:rsidR="00160B14" w:rsidRPr="00E43332">
        <w:rPr>
          <w:rFonts w:ascii="Arial" w:hAnsi="Arial" w:cs="Arial"/>
          <w:sz w:val="24"/>
          <w:szCs w:val="24"/>
          <w:vertAlign w:val="subscript"/>
        </w:rPr>
        <w:t>2</w:t>
      </w:r>
      <w:r w:rsidR="00160B14" w:rsidRPr="00E43332">
        <w:rPr>
          <w:rFonts w:ascii="Arial" w:hAnsi="Arial" w:cs="Arial"/>
          <w:sz w:val="24"/>
          <w:szCs w:val="24"/>
        </w:rPr>
        <w:t>e) added to cumulative CO</w:t>
      </w:r>
      <w:r w:rsidR="00160B14" w:rsidRPr="00E43332">
        <w:rPr>
          <w:rFonts w:ascii="Arial" w:hAnsi="Arial" w:cs="Arial"/>
          <w:sz w:val="24"/>
          <w:szCs w:val="24"/>
          <w:vertAlign w:val="subscript"/>
        </w:rPr>
        <w:t>2</w:t>
      </w:r>
      <w:r w:rsidR="00160B14" w:rsidRPr="00E43332">
        <w:rPr>
          <w:rFonts w:ascii="Arial" w:hAnsi="Arial" w:cs="Arial"/>
          <w:sz w:val="24"/>
          <w:szCs w:val="24"/>
        </w:rPr>
        <w:t xml:space="preserve"> sequestration by successive blocks within the overall 123 ha of restored TDEF over 100 years assumed to climax community (270,547,756.16 tCO</w:t>
      </w:r>
      <w:r w:rsidR="00160B14" w:rsidRPr="00E43332">
        <w:rPr>
          <w:rFonts w:ascii="Arial" w:hAnsi="Arial" w:cs="Arial"/>
          <w:sz w:val="24"/>
          <w:szCs w:val="24"/>
          <w:vertAlign w:val="subscript"/>
        </w:rPr>
        <w:t>2</w:t>
      </w:r>
      <w:r w:rsidR="00160B14" w:rsidRPr="00E43332">
        <w:rPr>
          <w:rFonts w:ascii="Arial" w:hAnsi="Arial" w:cs="Arial"/>
          <w:sz w:val="24"/>
          <w:szCs w:val="24"/>
        </w:rPr>
        <w:t xml:space="preserve">) </w:t>
      </w:r>
      <w:r w:rsidR="00406C55" w:rsidRPr="00E43332">
        <w:rPr>
          <w:rFonts w:ascii="Arial" w:hAnsi="Arial" w:cs="Arial"/>
          <w:sz w:val="24"/>
          <w:szCs w:val="24"/>
        </w:rPr>
        <w:t xml:space="preserve">represents a lifetime </w:t>
      </w:r>
      <w:r w:rsidR="00160B14" w:rsidRPr="00E43332">
        <w:rPr>
          <w:rFonts w:ascii="Arial" w:hAnsi="Arial" w:cs="Arial"/>
          <w:sz w:val="24"/>
          <w:szCs w:val="24"/>
        </w:rPr>
        <w:t>CO</w:t>
      </w:r>
      <w:r w:rsidR="00160B14" w:rsidRPr="00E43332">
        <w:rPr>
          <w:rFonts w:ascii="Arial" w:hAnsi="Arial" w:cs="Arial"/>
          <w:sz w:val="24"/>
          <w:szCs w:val="24"/>
          <w:vertAlign w:val="subscript"/>
        </w:rPr>
        <w:t>2</w:t>
      </w:r>
      <w:r w:rsidR="00160B14" w:rsidRPr="00E43332">
        <w:rPr>
          <w:rFonts w:ascii="Arial" w:hAnsi="Arial" w:cs="Arial"/>
          <w:sz w:val="24"/>
          <w:szCs w:val="24"/>
        </w:rPr>
        <w:t xml:space="preserve">e </w:t>
      </w:r>
      <w:r w:rsidR="00406C55" w:rsidRPr="00E43332">
        <w:rPr>
          <w:rFonts w:ascii="Arial" w:hAnsi="Arial" w:cs="Arial"/>
          <w:sz w:val="24"/>
          <w:szCs w:val="24"/>
        </w:rPr>
        <w:t>sequest</w:t>
      </w:r>
      <w:r w:rsidR="00160B14" w:rsidRPr="00E43332">
        <w:rPr>
          <w:rFonts w:ascii="Arial" w:hAnsi="Arial" w:cs="Arial"/>
          <w:sz w:val="24"/>
          <w:szCs w:val="24"/>
        </w:rPr>
        <w:t xml:space="preserve">ered/averted </w:t>
      </w:r>
      <w:r w:rsidR="00406C55" w:rsidRPr="00E43332">
        <w:rPr>
          <w:rFonts w:ascii="Arial" w:hAnsi="Arial" w:cs="Arial"/>
          <w:sz w:val="24"/>
          <w:szCs w:val="24"/>
        </w:rPr>
        <w:t>of 270,</w:t>
      </w:r>
      <w:r w:rsidR="00160B14" w:rsidRPr="00E43332">
        <w:rPr>
          <w:rFonts w:ascii="Arial" w:hAnsi="Arial" w:cs="Arial"/>
          <w:sz w:val="24"/>
          <w:szCs w:val="24"/>
        </w:rPr>
        <w:t>627,756</w:t>
      </w:r>
      <w:r w:rsidR="00406C55" w:rsidRPr="00E43332">
        <w:rPr>
          <w:rFonts w:ascii="Arial" w:hAnsi="Arial" w:cs="Arial"/>
          <w:sz w:val="24"/>
          <w:szCs w:val="24"/>
        </w:rPr>
        <w:t xml:space="preserve"> tCO</w:t>
      </w:r>
      <w:r w:rsidR="00406C55" w:rsidRPr="00E43332">
        <w:rPr>
          <w:rFonts w:ascii="Arial" w:hAnsi="Arial" w:cs="Arial"/>
          <w:sz w:val="24"/>
          <w:szCs w:val="24"/>
          <w:vertAlign w:val="subscript"/>
        </w:rPr>
        <w:t>2</w:t>
      </w:r>
      <w:r w:rsidR="00160B14" w:rsidRPr="00E43332">
        <w:rPr>
          <w:rFonts w:ascii="Arial" w:hAnsi="Arial" w:cs="Arial"/>
          <w:sz w:val="24"/>
          <w:szCs w:val="24"/>
        </w:rPr>
        <w:t>e</w:t>
      </w:r>
      <w:r w:rsidR="00406C55" w:rsidRPr="00E43332">
        <w:rPr>
          <w:rFonts w:ascii="Arial" w:hAnsi="Arial" w:cs="Arial"/>
          <w:sz w:val="24"/>
          <w:szCs w:val="24"/>
        </w:rPr>
        <w:t>.</w:t>
      </w:r>
      <w:r w:rsidRPr="00E43332">
        <w:rPr>
          <w:rFonts w:ascii="Arial" w:hAnsi="Arial" w:cs="Arial"/>
          <w:sz w:val="24"/>
          <w:szCs w:val="24"/>
        </w:rPr>
        <w:t xml:space="preserve">  </w:t>
      </w:r>
      <w:r w:rsidR="00160B14" w:rsidRPr="00E43332">
        <w:rPr>
          <w:rFonts w:ascii="Arial" w:hAnsi="Arial" w:cs="Arial"/>
          <w:sz w:val="24"/>
          <w:szCs w:val="24"/>
        </w:rPr>
        <w:t>Overall CO</w:t>
      </w:r>
      <w:r w:rsidR="00160B14" w:rsidRPr="00E43332">
        <w:rPr>
          <w:rFonts w:ascii="Arial" w:hAnsi="Arial" w:cs="Arial"/>
          <w:sz w:val="24"/>
          <w:szCs w:val="24"/>
          <w:vertAlign w:val="subscript"/>
        </w:rPr>
        <w:t>2</w:t>
      </w:r>
      <w:r w:rsidR="00160B14" w:rsidRPr="00E43332">
        <w:rPr>
          <w:rFonts w:ascii="Arial" w:hAnsi="Arial" w:cs="Arial"/>
          <w:sz w:val="24"/>
          <w:szCs w:val="24"/>
        </w:rPr>
        <w:t xml:space="preserve"> sequestration by TDEF </w:t>
      </w:r>
      <w:r w:rsidR="00406C55" w:rsidRPr="00E43332">
        <w:rPr>
          <w:rFonts w:ascii="Arial" w:hAnsi="Arial" w:cs="Arial"/>
          <w:sz w:val="24"/>
          <w:szCs w:val="24"/>
        </w:rPr>
        <w:t xml:space="preserve">restoration </w:t>
      </w:r>
      <w:r w:rsidRPr="00E43332">
        <w:rPr>
          <w:rFonts w:ascii="Arial" w:hAnsi="Arial" w:cs="Arial"/>
          <w:sz w:val="24"/>
          <w:szCs w:val="24"/>
        </w:rPr>
        <w:t xml:space="preserve">therefore </w:t>
      </w:r>
      <w:r w:rsidR="00406C55" w:rsidRPr="00E43332">
        <w:rPr>
          <w:rFonts w:ascii="Arial" w:hAnsi="Arial" w:cs="Arial"/>
          <w:sz w:val="24"/>
          <w:szCs w:val="24"/>
        </w:rPr>
        <w:t xml:space="preserve">dwarfs </w:t>
      </w:r>
      <w:r w:rsidRPr="00E43332">
        <w:rPr>
          <w:rFonts w:ascii="Arial" w:hAnsi="Arial" w:cs="Arial"/>
          <w:sz w:val="24"/>
          <w:szCs w:val="24"/>
        </w:rPr>
        <w:t>th</w:t>
      </w:r>
      <w:r w:rsidR="00160B14" w:rsidRPr="00E43332">
        <w:rPr>
          <w:rFonts w:ascii="Arial" w:hAnsi="Arial" w:cs="Arial"/>
          <w:sz w:val="24"/>
          <w:szCs w:val="24"/>
        </w:rPr>
        <w:t>e direct CO</w:t>
      </w:r>
      <w:r w:rsidR="00160B14" w:rsidRPr="00E43332">
        <w:rPr>
          <w:rFonts w:ascii="Arial" w:hAnsi="Arial" w:cs="Arial"/>
          <w:sz w:val="24"/>
          <w:szCs w:val="24"/>
          <w:vertAlign w:val="subscript"/>
        </w:rPr>
        <w:t>2</w:t>
      </w:r>
      <w:r w:rsidR="00160B14" w:rsidRPr="00E43332">
        <w:rPr>
          <w:rFonts w:ascii="Arial" w:hAnsi="Arial" w:cs="Arial"/>
          <w:sz w:val="24"/>
          <w:szCs w:val="24"/>
        </w:rPr>
        <w:t>e averted by the 2.1MW wind turbine (which accounts for just 0.03% of the combined total).  Y</w:t>
      </w:r>
      <w:r w:rsidRPr="00E43332">
        <w:rPr>
          <w:rFonts w:ascii="Arial" w:hAnsi="Arial" w:cs="Arial"/>
          <w:sz w:val="24"/>
          <w:szCs w:val="24"/>
        </w:rPr>
        <w:t xml:space="preserve">ear-on-year reinvestment in TDEF </w:t>
      </w:r>
      <w:r w:rsidR="00160B14" w:rsidRPr="00E43332">
        <w:rPr>
          <w:rFonts w:ascii="Arial" w:hAnsi="Arial" w:cs="Arial"/>
          <w:sz w:val="24"/>
          <w:szCs w:val="24"/>
        </w:rPr>
        <w:t xml:space="preserve">therefore </w:t>
      </w:r>
      <w:r w:rsidR="00406C55" w:rsidRPr="00E43332">
        <w:rPr>
          <w:rFonts w:ascii="Arial" w:hAnsi="Arial" w:cs="Arial"/>
          <w:sz w:val="24"/>
          <w:szCs w:val="24"/>
        </w:rPr>
        <w:t>represent</w:t>
      </w:r>
      <w:r w:rsidR="00160B14" w:rsidRPr="00E43332">
        <w:rPr>
          <w:rFonts w:ascii="Arial" w:hAnsi="Arial" w:cs="Arial"/>
          <w:sz w:val="24"/>
          <w:szCs w:val="24"/>
        </w:rPr>
        <w:t xml:space="preserve">s </w:t>
      </w:r>
      <w:r w:rsidR="00406C55" w:rsidRPr="00E43332">
        <w:rPr>
          <w:rFonts w:ascii="Arial" w:hAnsi="Arial" w:cs="Arial"/>
          <w:sz w:val="24"/>
          <w:szCs w:val="24"/>
        </w:rPr>
        <w:t>a powerful ‘multiplier effect’</w:t>
      </w:r>
      <w:r w:rsidRPr="00E43332">
        <w:rPr>
          <w:rFonts w:ascii="Arial" w:hAnsi="Arial" w:cs="Arial"/>
          <w:sz w:val="24"/>
          <w:szCs w:val="24"/>
        </w:rPr>
        <w:t xml:space="preserve"> on the ecosystem service of global climate regulation</w:t>
      </w:r>
      <w:r w:rsidR="00406C55" w:rsidRPr="00E43332">
        <w:rPr>
          <w:rFonts w:ascii="Arial" w:hAnsi="Arial" w:cs="Arial"/>
          <w:sz w:val="24"/>
          <w:szCs w:val="24"/>
        </w:rPr>
        <w:t>.</w:t>
      </w:r>
      <w:r w:rsidR="009657D1" w:rsidRPr="00E43332">
        <w:rPr>
          <w:rFonts w:ascii="Arial" w:hAnsi="Arial" w:cs="Arial"/>
          <w:sz w:val="24"/>
          <w:szCs w:val="24"/>
        </w:rPr>
        <w:t xml:space="preserve">  In addition to these ‘anchor service’ benefits, Everard </w:t>
      </w:r>
      <w:r w:rsidR="009657D1" w:rsidRPr="00E43332">
        <w:rPr>
          <w:rFonts w:ascii="Arial" w:hAnsi="Arial" w:cs="Arial"/>
          <w:i/>
          <w:sz w:val="24"/>
          <w:szCs w:val="24"/>
        </w:rPr>
        <w:t>et al</w:t>
      </w:r>
      <w:r w:rsidR="009657D1" w:rsidRPr="00E43332">
        <w:rPr>
          <w:rFonts w:ascii="Arial" w:hAnsi="Arial" w:cs="Arial"/>
          <w:sz w:val="24"/>
          <w:szCs w:val="24"/>
        </w:rPr>
        <w:t>. (</w:t>
      </w:r>
      <w:r w:rsidR="00AE49F3" w:rsidRPr="00E43332">
        <w:rPr>
          <w:rFonts w:ascii="Arial" w:hAnsi="Arial" w:cs="Arial"/>
          <w:sz w:val="24"/>
          <w:szCs w:val="24"/>
        </w:rPr>
        <w:t>submitted</w:t>
      </w:r>
      <w:r w:rsidR="009657D1" w:rsidRPr="00E43332">
        <w:rPr>
          <w:rFonts w:ascii="Arial" w:hAnsi="Arial" w:cs="Arial"/>
          <w:sz w:val="24"/>
          <w:szCs w:val="24"/>
        </w:rPr>
        <w:t>) and Everard (2015</w:t>
      </w:r>
      <w:r w:rsidR="00FF659F" w:rsidRPr="00E43332">
        <w:rPr>
          <w:rFonts w:ascii="Arial" w:hAnsi="Arial" w:cs="Arial"/>
          <w:sz w:val="24"/>
          <w:szCs w:val="24"/>
        </w:rPr>
        <w:t>a</w:t>
      </w:r>
      <w:r w:rsidR="009657D1" w:rsidRPr="00E43332">
        <w:rPr>
          <w:rFonts w:ascii="Arial" w:hAnsi="Arial" w:cs="Arial"/>
          <w:sz w:val="24"/>
          <w:szCs w:val="24"/>
        </w:rPr>
        <w:t xml:space="preserve">) also identify a diversity of </w:t>
      </w:r>
      <w:r w:rsidR="00C24CBC" w:rsidRPr="00E43332">
        <w:rPr>
          <w:rFonts w:ascii="Arial" w:hAnsi="Arial" w:cs="Arial"/>
          <w:sz w:val="24"/>
          <w:szCs w:val="24"/>
        </w:rPr>
        <w:t xml:space="preserve">additional </w:t>
      </w:r>
      <w:r w:rsidR="009657D1" w:rsidRPr="00E43332">
        <w:rPr>
          <w:rFonts w:ascii="Arial" w:hAnsi="Arial" w:cs="Arial"/>
          <w:sz w:val="24"/>
          <w:szCs w:val="24"/>
        </w:rPr>
        <w:t xml:space="preserve">ecosystem services – spread across </w:t>
      </w:r>
      <w:r w:rsidR="002E0BF7" w:rsidRPr="00E43332">
        <w:rPr>
          <w:rFonts w:ascii="Arial" w:hAnsi="Arial" w:cs="Arial"/>
          <w:sz w:val="24"/>
          <w:szCs w:val="24"/>
        </w:rPr>
        <w:t xml:space="preserve">direct benefits in the form of </w:t>
      </w:r>
      <w:r w:rsidR="009657D1" w:rsidRPr="00E43332">
        <w:rPr>
          <w:rFonts w:ascii="Arial" w:hAnsi="Arial" w:cs="Arial"/>
          <w:sz w:val="24"/>
          <w:szCs w:val="24"/>
        </w:rPr>
        <w:t>provisioning, regulatory</w:t>
      </w:r>
      <w:r w:rsidR="002E0BF7" w:rsidRPr="00E43332">
        <w:rPr>
          <w:rFonts w:ascii="Arial" w:hAnsi="Arial" w:cs="Arial"/>
          <w:sz w:val="24"/>
          <w:szCs w:val="24"/>
        </w:rPr>
        <w:t xml:space="preserve"> and </w:t>
      </w:r>
      <w:r w:rsidR="009657D1" w:rsidRPr="00E43332">
        <w:rPr>
          <w:rFonts w:ascii="Arial" w:hAnsi="Arial" w:cs="Arial"/>
          <w:sz w:val="24"/>
          <w:szCs w:val="24"/>
        </w:rPr>
        <w:t xml:space="preserve">cultural </w:t>
      </w:r>
      <w:r w:rsidR="002E0BF7" w:rsidRPr="00E43332">
        <w:rPr>
          <w:rFonts w:ascii="Arial" w:hAnsi="Arial" w:cs="Arial"/>
          <w:sz w:val="24"/>
          <w:szCs w:val="24"/>
        </w:rPr>
        <w:t>services and including indirect benefits stemming from ecosystem functions formerly referred to as supporting services</w:t>
      </w:r>
      <w:r w:rsidR="009657D1" w:rsidRPr="00E43332">
        <w:rPr>
          <w:rFonts w:ascii="Arial" w:hAnsi="Arial" w:cs="Arial"/>
          <w:sz w:val="24"/>
          <w:szCs w:val="24"/>
        </w:rPr>
        <w:t xml:space="preserve"> – arising from measures in </w:t>
      </w:r>
      <w:r w:rsidR="00AE49F3" w:rsidRPr="00E43332">
        <w:rPr>
          <w:rFonts w:ascii="Arial" w:hAnsi="Arial" w:cs="Arial"/>
          <w:sz w:val="24"/>
          <w:szCs w:val="24"/>
        </w:rPr>
        <w:t xml:space="preserve">the </w:t>
      </w:r>
      <w:r w:rsidR="009657D1" w:rsidRPr="00E43332">
        <w:rPr>
          <w:rFonts w:ascii="Arial" w:hAnsi="Arial" w:cs="Arial"/>
          <w:sz w:val="24"/>
          <w:szCs w:val="24"/>
        </w:rPr>
        <w:t>TCW programme, particularly those stemming from habitat restoration</w:t>
      </w:r>
      <w:r w:rsidR="00160B14" w:rsidRPr="00E43332">
        <w:rPr>
          <w:rFonts w:ascii="Arial" w:hAnsi="Arial" w:cs="Arial"/>
          <w:sz w:val="24"/>
          <w:szCs w:val="24"/>
        </w:rPr>
        <w:t>, which makes significant potential contributions to addressing the UN Sustainable Development Goals</w:t>
      </w:r>
      <w:r w:rsidR="009657D1" w:rsidRPr="00E43332">
        <w:rPr>
          <w:rFonts w:ascii="Arial" w:hAnsi="Arial" w:cs="Arial"/>
          <w:sz w:val="24"/>
          <w:szCs w:val="24"/>
        </w:rPr>
        <w:t>.</w:t>
      </w:r>
    </w:p>
    <w:p w14:paraId="20F27D2C" w14:textId="77777777" w:rsidR="009657D1" w:rsidRPr="00E43332" w:rsidRDefault="009657D1" w:rsidP="004976CA">
      <w:pPr>
        <w:spacing w:after="0" w:line="240" w:lineRule="auto"/>
        <w:contextualSpacing/>
        <w:rPr>
          <w:rFonts w:ascii="Arial" w:hAnsi="Arial" w:cs="Arial"/>
          <w:sz w:val="24"/>
          <w:szCs w:val="24"/>
        </w:rPr>
      </w:pPr>
    </w:p>
    <w:p w14:paraId="76A7DC42" w14:textId="5954FC50" w:rsidR="009657D1" w:rsidRPr="00E43332" w:rsidRDefault="009657D1" w:rsidP="004976CA">
      <w:pPr>
        <w:spacing w:after="0" w:line="240" w:lineRule="auto"/>
        <w:contextualSpacing/>
        <w:rPr>
          <w:rFonts w:ascii="Arial" w:hAnsi="Arial" w:cs="Arial"/>
          <w:sz w:val="24"/>
          <w:szCs w:val="24"/>
        </w:rPr>
      </w:pPr>
      <w:r w:rsidRPr="00E43332">
        <w:rPr>
          <w:rFonts w:ascii="Arial" w:hAnsi="Arial" w:cs="Arial"/>
          <w:sz w:val="24"/>
          <w:szCs w:val="24"/>
        </w:rPr>
        <w:t>Testing of the TCW partnership programme with the expanded PES-related principles (Box 1) has found it to represent a valuable contribution</w:t>
      </w:r>
      <w:r w:rsidR="00C24CBC" w:rsidRPr="00E43332">
        <w:rPr>
          <w:rFonts w:ascii="Arial" w:hAnsi="Arial" w:cs="Arial"/>
          <w:sz w:val="24"/>
          <w:szCs w:val="24"/>
        </w:rPr>
        <w:t>,</w:t>
      </w:r>
      <w:r w:rsidRPr="00E43332">
        <w:rPr>
          <w:rFonts w:ascii="Arial" w:hAnsi="Arial" w:cs="Arial"/>
          <w:sz w:val="24"/>
          <w:szCs w:val="24"/>
        </w:rPr>
        <w:t xml:space="preserve"> promoting mutually beneficial sustainable development in both the donor </w:t>
      </w:r>
      <w:r w:rsidR="00C24CBC" w:rsidRPr="00E43332">
        <w:rPr>
          <w:rFonts w:ascii="Arial" w:hAnsi="Arial" w:cs="Arial"/>
          <w:sz w:val="24"/>
          <w:szCs w:val="24"/>
        </w:rPr>
        <w:t xml:space="preserve">(developed) </w:t>
      </w:r>
      <w:r w:rsidRPr="00E43332">
        <w:rPr>
          <w:rFonts w:ascii="Arial" w:hAnsi="Arial" w:cs="Arial"/>
          <w:sz w:val="24"/>
          <w:szCs w:val="24"/>
        </w:rPr>
        <w:t xml:space="preserve">and recipient </w:t>
      </w:r>
      <w:r w:rsidR="00C24CBC" w:rsidRPr="00E43332">
        <w:rPr>
          <w:rFonts w:ascii="Arial" w:hAnsi="Arial" w:cs="Arial"/>
          <w:sz w:val="24"/>
          <w:szCs w:val="24"/>
        </w:rPr>
        <w:t xml:space="preserve">(developing) </w:t>
      </w:r>
      <w:r w:rsidRPr="00E43332">
        <w:rPr>
          <w:rFonts w:ascii="Arial" w:hAnsi="Arial" w:cs="Arial"/>
          <w:sz w:val="24"/>
          <w:szCs w:val="24"/>
        </w:rPr>
        <w:t xml:space="preserve">regions (Everard </w:t>
      </w:r>
      <w:r w:rsidRPr="00E43332">
        <w:rPr>
          <w:rFonts w:ascii="Arial" w:hAnsi="Arial" w:cs="Arial"/>
          <w:i/>
          <w:sz w:val="24"/>
          <w:szCs w:val="24"/>
        </w:rPr>
        <w:t>et al</w:t>
      </w:r>
      <w:r w:rsidRPr="00E43332">
        <w:rPr>
          <w:rFonts w:ascii="Arial" w:hAnsi="Arial" w:cs="Arial"/>
          <w:sz w:val="24"/>
          <w:szCs w:val="24"/>
        </w:rPr>
        <w:t xml:space="preserve">., </w:t>
      </w:r>
      <w:r w:rsidR="00AE49F3" w:rsidRPr="00E43332">
        <w:rPr>
          <w:rFonts w:ascii="Arial" w:hAnsi="Arial" w:cs="Arial"/>
          <w:sz w:val="24"/>
          <w:szCs w:val="24"/>
        </w:rPr>
        <w:t>submitted</w:t>
      </w:r>
      <w:r w:rsidRPr="00E43332">
        <w:rPr>
          <w:rFonts w:ascii="Arial" w:hAnsi="Arial" w:cs="Arial"/>
          <w:sz w:val="24"/>
          <w:szCs w:val="24"/>
        </w:rPr>
        <w:t xml:space="preserve">).  The principal purpose of this paper is to make an </w:t>
      </w:r>
      <w:r w:rsidR="00C24CBC" w:rsidRPr="00E43332">
        <w:rPr>
          <w:rFonts w:ascii="Arial" w:hAnsi="Arial" w:cs="Arial"/>
          <w:sz w:val="24"/>
          <w:szCs w:val="24"/>
        </w:rPr>
        <w:t xml:space="preserve">illustrative </w:t>
      </w:r>
      <w:r w:rsidRPr="00E43332">
        <w:rPr>
          <w:rFonts w:ascii="Arial" w:hAnsi="Arial" w:cs="Arial"/>
          <w:sz w:val="24"/>
          <w:szCs w:val="24"/>
        </w:rPr>
        <w:t>economic assessment of the ‘anchor service’ of global climate regulation</w:t>
      </w:r>
      <w:r w:rsidR="004C4D8F" w:rsidRPr="00E43332">
        <w:rPr>
          <w:rFonts w:ascii="Arial" w:hAnsi="Arial" w:cs="Arial"/>
          <w:sz w:val="24"/>
          <w:szCs w:val="24"/>
        </w:rPr>
        <w:t>.  This is</w:t>
      </w:r>
      <w:r w:rsidR="00C24CBC" w:rsidRPr="00E43332">
        <w:rPr>
          <w:rFonts w:ascii="Arial" w:hAnsi="Arial" w:cs="Arial"/>
          <w:sz w:val="24"/>
          <w:szCs w:val="24"/>
        </w:rPr>
        <w:t xml:space="preserve"> acknowledged </w:t>
      </w:r>
      <w:r w:rsidR="00AE49F3" w:rsidRPr="00E43332">
        <w:rPr>
          <w:rFonts w:ascii="Arial" w:hAnsi="Arial" w:cs="Arial"/>
          <w:sz w:val="24"/>
          <w:szCs w:val="24"/>
        </w:rPr>
        <w:t>a</w:t>
      </w:r>
      <w:r w:rsidR="00C24CBC" w:rsidRPr="00E43332">
        <w:rPr>
          <w:rFonts w:ascii="Arial" w:hAnsi="Arial" w:cs="Arial"/>
          <w:sz w:val="24"/>
          <w:szCs w:val="24"/>
        </w:rPr>
        <w:t>s tentative</w:t>
      </w:r>
      <w:r w:rsidR="00AE49F3" w:rsidRPr="00E43332">
        <w:rPr>
          <w:rFonts w:ascii="Arial" w:hAnsi="Arial" w:cs="Arial"/>
          <w:sz w:val="24"/>
          <w:szCs w:val="24"/>
        </w:rPr>
        <w:t>,</w:t>
      </w:r>
      <w:r w:rsidR="00C24CBC" w:rsidRPr="00E43332">
        <w:rPr>
          <w:rFonts w:ascii="Arial" w:hAnsi="Arial" w:cs="Arial"/>
          <w:sz w:val="24"/>
          <w:szCs w:val="24"/>
        </w:rPr>
        <w:t xml:space="preserve"> as the data upon which forest carbon sequestration rates is f</w:t>
      </w:r>
      <w:r w:rsidR="004C4D8F" w:rsidRPr="00E43332">
        <w:rPr>
          <w:rFonts w:ascii="Arial" w:hAnsi="Arial" w:cs="Arial"/>
          <w:sz w:val="24"/>
          <w:szCs w:val="24"/>
        </w:rPr>
        <w:t>o</w:t>
      </w:r>
      <w:r w:rsidR="00C24CBC" w:rsidRPr="00E43332">
        <w:rPr>
          <w:rFonts w:ascii="Arial" w:hAnsi="Arial" w:cs="Arial"/>
          <w:sz w:val="24"/>
          <w:szCs w:val="24"/>
        </w:rPr>
        <w:t xml:space="preserve">unded </w:t>
      </w:r>
      <w:r w:rsidR="00AE49F3" w:rsidRPr="00E43332">
        <w:rPr>
          <w:rFonts w:ascii="Arial" w:hAnsi="Arial" w:cs="Arial"/>
          <w:sz w:val="24"/>
          <w:szCs w:val="24"/>
        </w:rPr>
        <w:t xml:space="preserve">are </w:t>
      </w:r>
      <w:r w:rsidR="00C24CBC" w:rsidRPr="00E43332">
        <w:rPr>
          <w:rFonts w:ascii="Arial" w:hAnsi="Arial" w:cs="Arial"/>
          <w:sz w:val="24"/>
          <w:szCs w:val="24"/>
        </w:rPr>
        <w:t>sparse</w:t>
      </w:r>
      <w:r w:rsidR="004C4D8F" w:rsidRPr="00E43332">
        <w:rPr>
          <w:rFonts w:ascii="Arial" w:hAnsi="Arial" w:cs="Arial"/>
          <w:sz w:val="24"/>
          <w:szCs w:val="24"/>
        </w:rPr>
        <w:t xml:space="preserve">.  Nevertheless, </w:t>
      </w:r>
      <w:r w:rsidR="00AE49F3" w:rsidRPr="00E43332">
        <w:rPr>
          <w:rFonts w:ascii="Arial" w:hAnsi="Arial" w:cs="Arial"/>
          <w:sz w:val="24"/>
          <w:szCs w:val="24"/>
        </w:rPr>
        <w:t>the study</w:t>
      </w:r>
      <w:r w:rsidR="004C4D8F" w:rsidRPr="00E43332">
        <w:rPr>
          <w:rFonts w:ascii="Arial" w:hAnsi="Arial" w:cs="Arial"/>
          <w:sz w:val="24"/>
          <w:szCs w:val="24"/>
        </w:rPr>
        <w:t xml:space="preserve"> establishes a </w:t>
      </w:r>
      <w:r w:rsidR="00C24CBC" w:rsidRPr="00E43332">
        <w:rPr>
          <w:rFonts w:ascii="Arial" w:hAnsi="Arial" w:cs="Arial"/>
          <w:sz w:val="24"/>
          <w:szCs w:val="24"/>
        </w:rPr>
        <w:t xml:space="preserve">preliminary </w:t>
      </w:r>
      <w:r w:rsidRPr="00E43332">
        <w:rPr>
          <w:rFonts w:ascii="Arial" w:hAnsi="Arial" w:cs="Arial"/>
          <w:sz w:val="24"/>
          <w:szCs w:val="24"/>
        </w:rPr>
        <w:t>business case for a range of potential regional, institutional and individual donors in the developed world partner region</w:t>
      </w:r>
      <w:r w:rsidR="00C24CBC" w:rsidRPr="00E43332">
        <w:rPr>
          <w:rFonts w:ascii="Arial" w:hAnsi="Arial" w:cs="Arial"/>
          <w:sz w:val="24"/>
          <w:szCs w:val="24"/>
        </w:rPr>
        <w:t xml:space="preserve">.  This study further </w:t>
      </w:r>
      <w:r w:rsidRPr="00E43332">
        <w:rPr>
          <w:rFonts w:ascii="Arial" w:hAnsi="Arial" w:cs="Arial"/>
          <w:sz w:val="24"/>
          <w:szCs w:val="24"/>
        </w:rPr>
        <w:t>assess</w:t>
      </w:r>
      <w:r w:rsidR="00C24CBC" w:rsidRPr="00E43332">
        <w:rPr>
          <w:rFonts w:ascii="Arial" w:hAnsi="Arial" w:cs="Arial"/>
          <w:sz w:val="24"/>
          <w:szCs w:val="24"/>
        </w:rPr>
        <w:t xml:space="preserve">es </w:t>
      </w:r>
      <w:r w:rsidRPr="00E43332">
        <w:rPr>
          <w:rFonts w:ascii="Arial" w:hAnsi="Arial" w:cs="Arial"/>
          <w:sz w:val="24"/>
          <w:szCs w:val="24"/>
        </w:rPr>
        <w:t xml:space="preserve">how valuation of the wider ecosystem service co-benefits </w:t>
      </w:r>
      <w:r w:rsidR="002E0BF7" w:rsidRPr="00E43332">
        <w:rPr>
          <w:rFonts w:ascii="Arial" w:hAnsi="Arial" w:cs="Arial"/>
          <w:sz w:val="24"/>
          <w:szCs w:val="24"/>
        </w:rPr>
        <w:t xml:space="preserve">and contributions </w:t>
      </w:r>
      <w:r w:rsidR="002E0BF7" w:rsidRPr="00E43332">
        <w:rPr>
          <w:rFonts w:ascii="Arial" w:hAnsi="Arial" w:cs="Arial"/>
          <w:sz w:val="24"/>
          <w:szCs w:val="24"/>
        </w:rPr>
        <w:lastRenderedPageBreak/>
        <w:t xml:space="preserve">to resilience by consideration of protection or enhancement of supporting functions </w:t>
      </w:r>
      <w:r w:rsidRPr="00E43332">
        <w:rPr>
          <w:rFonts w:ascii="Arial" w:hAnsi="Arial" w:cs="Arial"/>
          <w:sz w:val="24"/>
          <w:szCs w:val="24"/>
        </w:rPr>
        <w:t>might</w:t>
      </w:r>
      <w:r w:rsidR="00AE49F3" w:rsidRPr="00E43332">
        <w:rPr>
          <w:rFonts w:ascii="Arial" w:hAnsi="Arial" w:cs="Arial"/>
          <w:sz w:val="24"/>
          <w:szCs w:val="24"/>
        </w:rPr>
        <w:t>, if quantified,</w:t>
      </w:r>
      <w:r w:rsidRPr="00E43332">
        <w:rPr>
          <w:rFonts w:ascii="Arial" w:hAnsi="Arial" w:cs="Arial"/>
          <w:sz w:val="24"/>
          <w:szCs w:val="24"/>
        </w:rPr>
        <w:t xml:space="preserve"> create </w:t>
      </w:r>
      <w:r w:rsidR="00AE49F3" w:rsidRPr="00E43332">
        <w:rPr>
          <w:rFonts w:ascii="Arial" w:hAnsi="Arial" w:cs="Arial"/>
          <w:sz w:val="24"/>
          <w:szCs w:val="24"/>
        </w:rPr>
        <w:t xml:space="preserve">potential </w:t>
      </w:r>
      <w:r w:rsidRPr="00E43332">
        <w:rPr>
          <w:rFonts w:ascii="Arial" w:hAnsi="Arial" w:cs="Arial"/>
          <w:sz w:val="24"/>
          <w:szCs w:val="24"/>
        </w:rPr>
        <w:t xml:space="preserve">new </w:t>
      </w:r>
      <w:r w:rsidR="00AE49F3" w:rsidRPr="00E43332">
        <w:rPr>
          <w:rFonts w:ascii="Arial" w:hAnsi="Arial" w:cs="Arial"/>
          <w:sz w:val="24"/>
          <w:szCs w:val="24"/>
        </w:rPr>
        <w:t xml:space="preserve">PES </w:t>
      </w:r>
      <w:r w:rsidRPr="00E43332">
        <w:rPr>
          <w:rFonts w:ascii="Arial" w:hAnsi="Arial" w:cs="Arial"/>
          <w:sz w:val="24"/>
          <w:szCs w:val="24"/>
        </w:rPr>
        <w:t>markets</w:t>
      </w:r>
      <w:r w:rsidR="000078ED" w:rsidRPr="00E43332">
        <w:rPr>
          <w:rFonts w:ascii="Arial" w:hAnsi="Arial" w:cs="Arial"/>
          <w:sz w:val="24"/>
          <w:szCs w:val="24"/>
        </w:rPr>
        <w:t>.  They also constitute a wider range of connected beneficial outcomes contributing to overall social return on investment (SROI)</w:t>
      </w:r>
      <w:r w:rsidR="00C24CBC" w:rsidRPr="00E43332">
        <w:rPr>
          <w:rFonts w:ascii="Arial" w:hAnsi="Arial" w:cs="Arial"/>
          <w:sz w:val="24"/>
          <w:szCs w:val="24"/>
        </w:rPr>
        <w:t>,</w:t>
      </w:r>
      <w:r w:rsidRPr="00E43332">
        <w:rPr>
          <w:rFonts w:ascii="Arial" w:hAnsi="Arial" w:cs="Arial"/>
          <w:sz w:val="24"/>
          <w:szCs w:val="24"/>
        </w:rPr>
        <w:t xml:space="preserve"> bolster</w:t>
      </w:r>
      <w:r w:rsidR="000078ED" w:rsidRPr="00E43332">
        <w:rPr>
          <w:rFonts w:ascii="Arial" w:hAnsi="Arial" w:cs="Arial"/>
          <w:sz w:val="24"/>
          <w:szCs w:val="24"/>
        </w:rPr>
        <w:t>ing</w:t>
      </w:r>
      <w:r w:rsidRPr="00E43332">
        <w:rPr>
          <w:rFonts w:ascii="Arial" w:hAnsi="Arial" w:cs="Arial"/>
          <w:sz w:val="24"/>
          <w:szCs w:val="24"/>
        </w:rPr>
        <w:t xml:space="preserve"> the case for support</w:t>
      </w:r>
      <w:r w:rsidR="00C24CBC" w:rsidRPr="00E43332">
        <w:rPr>
          <w:rFonts w:ascii="Arial" w:hAnsi="Arial" w:cs="Arial"/>
          <w:sz w:val="24"/>
          <w:szCs w:val="24"/>
        </w:rPr>
        <w:t xml:space="preserve"> by developed world investors</w:t>
      </w:r>
      <w:r w:rsidRPr="00E43332">
        <w:rPr>
          <w:rFonts w:ascii="Arial" w:hAnsi="Arial" w:cs="Arial"/>
          <w:sz w:val="24"/>
          <w:szCs w:val="24"/>
        </w:rPr>
        <w:t>.</w:t>
      </w:r>
    </w:p>
    <w:p w14:paraId="04708958" w14:textId="77777777" w:rsidR="008E1F93" w:rsidRPr="00E43332" w:rsidRDefault="008E1F93" w:rsidP="008E1F93">
      <w:pPr>
        <w:spacing w:after="0" w:line="240" w:lineRule="auto"/>
        <w:contextualSpacing/>
        <w:rPr>
          <w:rFonts w:ascii="Arial" w:hAnsi="Arial" w:cs="Arial"/>
          <w:sz w:val="24"/>
          <w:szCs w:val="24"/>
        </w:rPr>
      </w:pPr>
    </w:p>
    <w:p w14:paraId="6C51A419" w14:textId="77777777" w:rsidR="008E1F93" w:rsidRPr="00E43332" w:rsidRDefault="008E1F93" w:rsidP="008E1F93">
      <w:pPr>
        <w:spacing w:after="0" w:line="240" w:lineRule="auto"/>
        <w:contextualSpacing/>
        <w:rPr>
          <w:rFonts w:ascii="Arial" w:hAnsi="Arial" w:cs="Arial"/>
          <w:sz w:val="24"/>
          <w:szCs w:val="24"/>
        </w:rPr>
      </w:pPr>
    </w:p>
    <w:p w14:paraId="13113697" w14:textId="77777777" w:rsidR="008E1F93" w:rsidRPr="00E43332" w:rsidRDefault="008E1F93" w:rsidP="00391BA2">
      <w:pPr>
        <w:spacing w:after="0" w:line="240" w:lineRule="auto"/>
        <w:contextualSpacing/>
        <w:rPr>
          <w:rFonts w:ascii="Arial" w:hAnsi="Arial" w:cs="Arial"/>
          <w:b/>
          <w:sz w:val="24"/>
          <w:szCs w:val="24"/>
        </w:rPr>
      </w:pPr>
      <w:r w:rsidRPr="00E43332">
        <w:rPr>
          <w:rFonts w:ascii="Arial" w:hAnsi="Arial" w:cs="Arial"/>
          <w:b/>
          <w:sz w:val="24"/>
          <w:szCs w:val="24"/>
        </w:rPr>
        <w:t>2. Methods</w:t>
      </w:r>
    </w:p>
    <w:p w14:paraId="1667FABA" w14:textId="77777777" w:rsidR="008E1F93" w:rsidRPr="00391BA2" w:rsidRDefault="008E1F93" w:rsidP="00391BA2">
      <w:pPr>
        <w:spacing w:after="0" w:line="240" w:lineRule="auto"/>
        <w:contextualSpacing/>
        <w:rPr>
          <w:rFonts w:ascii="Arial" w:hAnsi="Arial" w:cs="Arial"/>
          <w:sz w:val="24"/>
          <w:szCs w:val="24"/>
        </w:rPr>
      </w:pPr>
    </w:p>
    <w:p w14:paraId="193D415D" w14:textId="4438B503" w:rsidR="00033CB4" w:rsidRDefault="003E6F84" w:rsidP="00391BA2">
      <w:pPr>
        <w:spacing w:after="0" w:line="240" w:lineRule="auto"/>
        <w:contextualSpacing/>
        <w:rPr>
          <w:rFonts w:ascii="Arial" w:hAnsi="Arial" w:cs="Arial"/>
          <w:sz w:val="24"/>
          <w:szCs w:val="24"/>
        </w:rPr>
      </w:pPr>
      <w:r>
        <w:rPr>
          <w:rFonts w:ascii="Arial" w:hAnsi="Arial" w:cs="Arial"/>
          <w:sz w:val="24"/>
          <w:szCs w:val="24"/>
        </w:rPr>
        <w:t>I</w:t>
      </w:r>
      <w:r w:rsidR="00AE52DD" w:rsidRPr="00391BA2">
        <w:rPr>
          <w:rFonts w:ascii="Arial" w:hAnsi="Arial" w:cs="Arial"/>
          <w:sz w:val="24"/>
          <w:szCs w:val="24"/>
        </w:rPr>
        <w:t>nstallation and operation</w:t>
      </w:r>
      <w:r>
        <w:rPr>
          <w:rFonts w:ascii="Arial" w:hAnsi="Arial" w:cs="Arial"/>
          <w:sz w:val="24"/>
          <w:szCs w:val="24"/>
        </w:rPr>
        <w:t>al</w:t>
      </w:r>
      <w:r w:rsidR="00AE52DD" w:rsidRPr="00391BA2">
        <w:rPr>
          <w:rFonts w:ascii="Arial" w:hAnsi="Arial" w:cs="Arial"/>
          <w:sz w:val="24"/>
          <w:szCs w:val="24"/>
        </w:rPr>
        <w:t xml:space="preserve"> </w:t>
      </w:r>
      <w:r>
        <w:rPr>
          <w:rFonts w:ascii="Arial" w:hAnsi="Arial" w:cs="Arial"/>
          <w:sz w:val="24"/>
          <w:szCs w:val="24"/>
        </w:rPr>
        <w:t xml:space="preserve">costs for </w:t>
      </w:r>
      <w:r w:rsidR="00AE52DD" w:rsidRPr="00391BA2">
        <w:rPr>
          <w:rFonts w:ascii="Arial" w:hAnsi="Arial" w:cs="Arial"/>
          <w:sz w:val="24"/>
          <w:szCs w:val="24"/>
        </w:rPr>
        <w:t>wind turbines in Tamil Nadu under the TCW programme</w:t>
      </w:r>
      <w:r>
        <w:rPr>
          <w:rFonts w:ascii="Arial" w:hAnsi="Arial" w:cs="Arial"/>
          <w:sz w:val="24"/>
          <w:szCs w:val="24"/>
        </w:rPr>
        <w:t xml:space="preserve"> and their </w:t>
      </w:r>
      <w:r w:rsidR="00AE52DD" w:rsidRPr="00391BA2">
        <w:rPr>
          <w:rFonts w:ascii="Arial" w:hAnsi="Arial" w:cs="Arial"/>
          <w:sz w:val="24"/>
          <w:szCs w:val="24"/>
        </w:rPr>
        <w:t>anticipated revenues and surpluses from renewable energy sales to the grid</w:t>
      </w:r>
      <w:r>
        <w:rPr>
          <w:rFonts w:ascii="Arial" w:hAnsi="Arial" w:cs="Arial"/>
          <w:sz w:val="24"/>
          <w:szCs w:val="24"/>
        </w:rPr>
        <w:t xml:space="preserve"> were obtained directly from TCW accounts in December 2015.  The extent of planned </w:t>
      </w:r>
      <w:r w:rsidR="00AE52DD" w:rsidRPr="00391BA2">
        <w:rPr>
          <w:rFonts w:ascii="Arial" w:hAnsi="Arial" w:cs="Arial"/>
          <w:sz w:val="24"/>
          <w:szCs w:val="24"/>
        </w:rPr>
        <w:t xml:space="preserve">reinvestment </w:t>
      </w:r>
      <w:r>
        <w:rPr>
          <w:rFonts w:ascii="Arial" w:hAnsi="Arial" w:cs="Arial"/>
          <w:sz w:val="24"/>
          <w:szCs w:val="24"/>
        </w:rPr>
        <w:t xml:space="preserve">of income from energy sales </w:t>
      </w:r>
      <w:r w:rsidR="00AE52DD" w:rsidRPr="00391BA2">
        <w:rPr>
          <w:rFonts w:ascii="Arial" w:hAnsi="Arial" w:cs="Arial"/>
          <w:sz w:val="24"/>
          <w:szCs w:val="24"/>
        </w:rPr>
        <w:t>into TDEF eco-restoration</w:t>
      </w:r>
      <w:r>
        <w:rPr>
          <w:rFonts w:ascii="Arial" w:hAnsi="Arial" w:cs="Arial"/>
          <w:sz w:val="24"/>
          <w:szCs w:val="24"/>
        </w:rPr>
        <w:t xml:space="preserve"> were also obtained from TCW in December 2015.  Calculations of potential annual </w:t>
      </w:r>
      <w:r w:rsidR="00AE52DD" w:rsidRPr="00391BA2">
        <w:rPr>
          <w:rFonts w:ascii="Arial" w:hAnsi="Arial" w:cs="Arial"/>
          <w:sz w:val="24"/>
          <w:szCs w:val="24"/>
        </w:rPr>
        <w:t xml:space="preserve">area of TDEF restored on the basis of this </w:t>
      </w:r>
      <w:r>
        <w:rPr>
          <w:rFonts w:ascii="Arial" w:hAnsi="Arial" w:cs="Arial"/>
          <w:sz w:val="24"/>
          <w:szCs w:val="24"/>
        </w:rPr>
        <w:t xml:space="preserve">annual </w:t>
      </w:r>
      <w:r w:rsidR="00AE52DD" w:rsidRPr="00391BA2">
        <w:rPr>
          <w:rFonts w:ascii="Arial" w:hAnsi="Arial" w:cs="Arial"/>
          <w:sz w:val="24"/>
          <w:szCs w:val="24"/>
        </w:rPr>
        <w:t>investment</w:t>
      </w:r>
      <w:r w:rsidR="00033CB4">
        <w:rPr>
          <w:rFonts w:ascii="Arial" w:hAnsi="Arial" w:cs="Arial"/>
          <w:sz w:val="24"/>
          <w:szCs w:val="24"/>
        </w:rPr>
        <w:t xml:space="preserve"> and of the associated </w:t>
      </w:r>
      <w:r w:rsidR="004C4D8F">
        <w:rPr>
          <w:rFonts w:ascii="Arial" w:hAnsi="Arial" w:cs="Arial"/>
          <w:sz w:val="24"/>
          <w:szCs w:val="24"/>
        </w:rPr>
        <w:t>CO</w:t>
      </w:r>
      <w:r w:rsidR="004C4D8F" w:rsidRPr="004C4D8F">
        <w:rPr>
          <w:rFonts w:ascii="Arial" w:hAnsi="Arial" w:cs="Arial"/>
          <w:sz w:val="24"/>
          <w:szCs w:val="24"/>
          <w:vertAlign w:val="subscript"/>
        </w:rPr>
        <w:t>2</w:t>
      </w:r>
      <w:r w:rsidR="00033CB4">
        <w:rPr>
          <w:rFonts w:ascii="Arial" w:hAnsi="Arial" w:cs="Arial"/>
          <w:sz w:val="24"/>
          <w:szCs w:val="24"/>
        </w:rPr>
        <w:t xml:space="preserve">e </w:t>
      </w:r>
      <w:r w:rsidR="004C4D8F">
        <w:rPr>
          <w:rFonts w:ascii="Arial" w:hAnsi="Arial" w:cs="Arial"/>
          <w:sz w:val="24"/>
          <w:szCs w:val="24"/>
        </w:rPr>
        <w:t xml:space="preserve">averted/sequestered </w:t>
      </w:r>
      <w:r w:rsidR="00DD2B79" w:rsidRPr="00391BA2">
        <w:rPr>
          <w:rFonts w:ascii="Arial" w:hAnsi="Arial" w:cs="Arial"/>
          <w:sz w:val="24"/>
          <w:szCs w:val="24"/>
        </w:rPr>
        <w:t xml:space="preserve">were derived from the partner paper (Everard </w:t>
      </w:r>
      <w:r w:rsidR="00DD2B79" w:rsidRPr="00391BA2">
        <w:rPr>
          <w:rFonts w:ascii="Arial" w:hAnsi="Arial" w:cs="Arial"/>
          <w:i/>
          <w:sz w:val="24"/>
          <w:szCs w:val="24"/>
        </w:rPr>
        <w:t>et al</w:t>
      </w:r>
      <w:r w:rsidR="00DD2B79" w:rsidRPr="00391BA2">
        <w:rPr>
          <w:rFonts w:ascii="Arial" w:hAnsi="Arial" w:cs="Arial"/>
          <w:sz w:val="24"/>
          <w:szCs w:val="24"/>
        </w:rPr>
        <w:t xml:space="preserve">., </w:t>
      </w:r>
      <w:r w:rsidR="00AE49F3">
        <w:rPr>
          <w:rFonts w:ascii="Arial" w:hAnsi="Arial" w:cs="Arial"/>
          <w:sz w:val="24"/>
          <w:szCs w:val="24"/>
        </w:rPr>
        <w:t>submitted</w:t>
      </w:r>
      <w:r w:rsidR="00DD2B79" w:rsidRPr="00391BA2">
        <w:rPr>
          <w:rFonts w:ascii="Arial" w:hAnsi="Arial" w:cs="Arial"/>
          <w:sz w:val="24"/>
          <w:szCs w:val="24"/>
        </w:rPr>
        <w:t>)</w:t>
      </w:r>
      <w:r w:rsidR="00AE52DD" w:rsidRPr="00391BA2">
        <w:rPr>
          <w:rFonts w:ascii="Arial" w:hAnsi="Arial" w:cs="Arial"/>
          <w:sz w:val="24"/>
          <w:szCs w:val="24"/>
        </w:rPr>
        <w:t>.</w:t>
      </w:r>
    </w:p>
    <w:p w14:paraId="71221AF9" w14:textId="77777777" w:rsidR="00033CB4" w:rsidRDefault="00033CB4" w:rsidP="00391BA2">
      <w:pPr>
        <w:spacing w:after="0" w:line="240" w:lineRule="auto"/>
        <w:contextualSpacing/>
        <w:rPr>
          <w:rFonts w:ascii="Arial" w:hAnsi="Arial" w:cs="Arial"/>
          <w:sz w:val="24"/>
          <w:szCs w:val="24"/>
        </w:rPr>
      </w:pPr>
    </w:p>
    <w:p w14:paraId="6B5235F2" w14:textId="5E0140DC" w:rsidR="00DD2B79" w:rsidRPr="00391BA2" w:rsidRDefault="00DD2B79" w:rsidP="00391BA2">
      <w:pPr>
        <w:spacing w:after="0" w:line="240" w:lineRule="auto"/>
        <w:contextualSpacing/>
        <w:rPr>
          <w:rFonts w:ascii="Arial" w:hAnsi="Arial" w:cs="Arial"/>
          <w:sz w:val="24"/>
          <w:szCs w:val="24"/>
        </w:rPr>
      </w:pPr>
      <w:r w:rsidRPr="00391BA2">
        <w:rPr>
          <w:rFonts w:ascii="Arial" w:hAnsi="Arial" w:cs="Arial"/>
          <w:sz w:val="24"/>
          <w:szCs w:val="24"/>
        </w:rPr>
        <w:t xml:space="preserve">Calculated financial values </w:t>
      </w:r>
      <w:r w:rsidR="00C24CBC">
        <w:rPr>
          <w:rFonts w:ascii="Arial" w:hAnsi="Arial" w:cs="Arial"/>
          <w:sz w:val="24"/>
          <w:szCs w:val="24"/>
        </w:rPr>
        <w:t xml:space="preserve">relating </w:t>
      </w:r>
      <w:r w:rsidRPr="00391BA2">
        <w:rPr>
          <w:rFonts w:ascii="Arial" w:hAnsi="Arial" w:cs="Arial"/>
          <w:sz w:val="24"/>
          <w:szCs w:val="24"/>
        </w:rPr>
        <w:t xml:space="preserve">to the ‘anchor service’ of global climate regulation were then </w:t>
      </w:r>
      <w:r w:rsidR="00C24CBC">
        <w:rPr>
          <w:rFonts w:ascii="Arial" w:hAnsi="Arial" w:cs="Arial"/>
          <w:sz w:val="24"/>
          <w:szCs w:val="24"/>
        </w:rPr>
        <w:t xml:space="preserve">considered in terms of </w:t>
      </w:r>
      <w:r w:rsidRPr="00391BA2">
        <w:rPr>
          <w:rFonts w:ascii="Arial" w:hAnsi="Arial" w:cs="Arial"/>
          <w:sz w:val="24"/>
          <w:szCs w:val="24"/>
        </w:rPr>
        <w:t>implications for potential investors and other beneficiaries respectively in the developed world partner (at city, regional, national, institutional and individual scales) as well as to diverse communities in Tamil Nadu.</w:t>
      </w:r>
    </w:p>
    <w:p w14:paraId="4BEC6B6A" w14:textId="77777777" w:rsidR="00DD2B79" w:rsidRPr="00391BA2" w:rsidRDefault="00DD2B79" w:rsidP="00391BA2">
      <w:pPr>
        <w:spacing w:after="0" w:line="240" w:lineRule="auto"/>
        <w:contextualSpacing/>
        <w:rPr>
          <w:rFonts w:ascii="Arial" w:hAnsi="Arial" w:cs="Arial"/>
          <w:sz w:val="24"/>
          <w:szCs w:val="24"/>
        </w:rPr>
      </w:pPr>
    </w:p>
    <w:p w14:paraId="7EE2C208" w14:textId="45EB7643" w:rsidR="00DD2B79" w:rsidRPr="00391BA2" w:rsidRDefault="00DD2B79" w:rsidP="00391BA2">
      <w:pPr>
        <w:spacing w:after="0" w:line="240" w:lineRule="auto"/>
        <w:contextualSpacing/>
        <w:rPr>
          <w:rFonts w:ascii="Arial" w:hAnsi="Arial" w:cs="Arial"/>
          <w:sz w:val="24"/>
          <w:szCs w:val="24"/>
        </w:rPr>
      </w:pPr>
      <w:r w:rsidRPr="00391BA2">
        <w:rPr>
          <w:rFonts w:ascii="Arial" w:hAnsi="Arial" w:cs="Arial"/>
          <w:sz w:val="24"/>
          <w:szCs w:val="24"/>
        </w:rPr>
        <w:t xml:space="preserve">Implications for valuation of </w:t>
      </w:r>
      <w:r w:rsidR="004C4D8F">
        <w:rPr>
          <w:rFonts w:ascii="Arial" w:hAnsi="Arial" w:cs="Arial"/>
          <w:sz w:val="24"/>
          <w:szCs w:val="24"/>
        </w:rPr>
        <w:t xml:space="preserve">the wider linked </w:t>
      </w:r>
      <w:r w:rsidRPr="00391BA2">
        <w:rPr>
          <w:rFonts w:ascii="Arial" w:hAnsi="Arial" w:cs="Arial"/>
          <w:sz w:val="24"/>
          <w:szCs w:val="24"/>
        </w:rPr>
        <w:t>ecosystem service co-benefits</w:t>
      </w:r>
      <w:r w:rsidR="00391BA2" w:rsidRPr="00391BA2">
        <w:rPr>
          <w:rFonts w:ascii="Arial" w:hAnsi="Arial" w:cs="Arial"/>
          <w:sz w:val="24"/>
          <w:szCs w:val="24"/>
        </w:rPr>
        <w:t xml:space="preserve"> were then considered, albeit that it </w:t>
      </w:r>
      <w:r w:rsidR="00C24CBC">
        <w:rPr>
          <w:rFonts w:ascii="Arial" w:hAnsi="Arial" w:cs="Arial"/>
          <w:sz w:val="24"/>
          <w:szCs w:val="24"/>
        </w:rPr>
        <w:t xml:space="preserve">was </w:t>
      </w:r>
      <w:r w:rsidR="00391BA2" w:rsidRPr="00391BA2">
        <w:rPr>
          <w:rFonts w:ascii="Arial" w:hAnsi="Arial" w:cs="Arial"/>
          <w:sz w:val="24"/>
          <w:szCs w:val="24"/>
        </w:rPr>
        <w:t>not possible to quantify or monetise these other ecosystem services within the current study.</w:t>
      </w:r>
    </w:p>
    <w:p w14:paraId="05C473A2" w14:textId="77777777" w:rsidR="008E1F93" w:rsidRPr="00391BA2" w:rsidRDefault="008E1F93" w:rsidP="00391BA2">
      <w:pPr>
        <w:spacing w:after="0" w:line="240" w:lineRule="auto"/>
        <w:contextualSpacing/>
        <w:rPr>
          <w:rFonts w:ascii="Arial" w:hAnsi="Arial" w:cs="Arial"/>
          <w:sz w:val="24"/>
          <w:szCs w:val="24"/>
        </w:rPr>
      </w:pPr>
    </w:p>
    <w:p w14:paraId="502231D4" w14:textId="77777777" w:rsidR="008E1F93" w:rsidRPr="00391BA2" w:rsidRDefault="008E1F93" w:rsidP="00391BA2">
      <w:pPr>
        <w:spacing w:after="0" w:line="240" w:lineRule="auto"/>
        <w:contextualSpacing/>
        <w:rPr>
          <w:rFonts w:ascii="Arial" w:hAnsi="Arial" w:cs="Arial"/>
          <w:sz w:val="24"/>
          <w:szCs w:val="24"/>
        </w:rPr>
      </w:pPr>
    </w:p>
    <w:p w14:paraId="4ADE6DF4" w14:textId="77777777" w:rsidR="008E1F93" w:rsidRPr="005918BC" w:rsidRDefault="008E1F93" w:rsidP="005918BC">
      <w:pPr>
        <w:spacing w:after="0" w:line="240" w:lineRule="auto"/>
        <w:contextualSpacing/>
        <w:rPr>
          <w:rFonts w:ascii="Arial" w:hAnsi="Arial" w:cs="Arial"/>
          <w:b/>
          <w:sz w:val="24"/>
          <w:szCs w:val="24"/>
        </w:rPr>
      </w:pPr>
      <w:r w:rsidRPr="000D2DA5">
        <w:rPr>
          <w:rFonts w:ascii="Arial" w:hAnsi="Arial" w:cs="Arial"/>
          <w:b/>
          <w:sz w:val="24"/>
          <w:szCs w:val="24"/>
        </w:rPr>
        <w:t xml:space="preserve">3. </w:t>
      </w:r>
      <w:r w:rsidRPr="005918BC">
        <w:rPr>
          <w:rFonts w:ascii="Arial" w:hAnsi="Arial" w:cs="Arial"/>
          <w:b/>
          <w:sz w:val="24"/>
          <w:szCs w:val="24"/>
        </w:rPr>
        <w:t>Results</w:t>
      </w:r>
    </w:p>
    <w:p w14:paraId="522CFE9C" w14:textId="77777777" w:rsidR="008E1F93" w:rsidRPr="005918BC" w:rsidRDefault="008E1F93" w:rsidP="005918BC">
      <w:pPr>
        <w:spacing w:after="0" w:line="240" w:lineRule="auto"/>
        <w:contextualSpacing/>
        <w:rPr>
          <w:rFonts w:ascii="Arial" w:hAnsi="Arial" w:cs="Arial"/>
          <w:sz w:val="24"/>
          <w:szCs w:val="24"/>
        </w:rPr>
      </w:pPr>
    </w:p>
    <w:p w14:paraId="6D445067" w14:textId="4E8515A5" w:rsidR="00EA66AE" w:rsidRPr="005918BC" w:rsidRDefault="00AE52DD" w:rsidP="005918BC">
      <w:pPr>
        <w:spacing w:after="0" w:line="240" w:lineRule="auto"/>
        <w:contextualSpacing/>
        <w:rPr>
          <w:rFonts w:ascii="Arial" w:hAnsi="Arial" w:cs="Arial"/>
          <w:sz w:val="24"/>
          <w:szCs w:val="24"/>
        </w:rPr>
      </w:pPr>
      <w:r w:rsidRPr="005918BC">
        <w:rPr>
          <w:rFonts w:ascii="Arial" w:hAnsi="Arial" w:cs="Arial"/>
          <w:sz w:val="24"/>
          <w:szCs w:val="24"/>
        </w:rPr>
        <w:t xml:space="preserve">The </w:t>
      </w:r>
      <w:r w:rsidR="00EA66AE" w:rsidRPr="005918BC">
        <w:rPr>
          <w:rFonts w:ascii="Arial" w:hAnsi="Arial" w:cs="Arial"/>
          <w:sz w:val="24"/>
          <w:szCs w:val="24"/>
        </w:rPr>
        <w:t xml:space="preserve">up-front </w:t>
      </w:r>
      <w:r w:rsidRPr="005918BC">
        <w:rPr>
          <w:rFonts w:ascii="Arial" w:hAnsi="Arial" w:cs="Arial"/>
          <w:sz w:val="24"/>
          <w:szCs w:val="24"/>
        </w:rPr>
        <w:t>cost of installation of a typical 2.1 MW wind turbine in Tami Nadu</w:t>
      </w:r>
      <w:r w:rsidR="00EA66AE" w:rsidRPr="005918BC">
        <w:rPr>
          <w:rFonts w:ascii="Arial" w:hAnsi="Arial" w:cs="Arial"/>
          <w:sz w:val="24"/>
          <w:szCs w:val="24"/>
        </w:rPr>
        <w:t xml:space="preserve"> is £1,575,000, </w:t>
      </w:r>
      <w:r w:rsidRPr="005918BC">
        <w:rPr>
          <w:rFonts w:ascii="Arial" w:hAnsi="Arial" w:cs="Arial"/>
          <w:sz w:val="24"/>
          <w:szCs w:val="24"/>
        </w:rPr>
        <w:t>based on rounded up-front costs for turbine installation/commission</w:t>
      </w:r>
      <w:r w:rsidR="004C4D8F">
        <w:rPr>
          <w:rFonts w:ascii="Arial" w:hAnsi="Arial" w:cs="Arial"/>
          <w:sz w:val="24"/>
          <w:szCs w:val="24"/>
        </w:rPr>
        <w:t>ing</w:t>
      </w:r>
      <w:r w:rsidRPr="005918BC">
        <w:rPr>
          <w:rFonts w:ascii="Arial" w:hAnsi="Arial" w:cs="Arial"/>
          <w:sz w:val="24"/>
          <w:szCs w:val="24"/>
        </w:rPr>
        <w:t xml:space="preserve"> (land acquisition, capital, planning, installation, connection, etc.) of approximately £750k per MW (</w:t>
      </w:r>
      <w:r w:rsidR="00EA66AE" w:rsidRPr="005918BC">
        <w:rPr>
          <w:rFonts w:ascii="Arial" w:hAnsi="Arial" w:cs="Arial"/>
          <w:sz w:val="24"/>
          <w:szCs w:val="24"/>
        </w:rPr>
        <w:t>Pers</w:t>
      </w:r>
      <w:r w:rsidR="00812BB4">
        <w:rPr>
          <w:rFonts w:ascii="Arial" w:hAnsi="Arial" w:cs="Arial"/>
          <w:sz w:val="24"/>
          <w:szCs w:val="24"/>
        </w:rPr>
        <w:t>. C</w:t>
      </w:r>
      <w:r w:rsidR="00EA66AE" w:rsidRPr="005918BC">
        <w:rPr>
          <w:rFonts w:ascii="Arial" w:hAnsi="Arial" w:cs="Arial"/>
          <w:sz w:val="24"/>
          <w:szCs w:val="24"/>
        </w:rPr>
        <w:t>omm</w:t>
      </w:r>
      <w:r w:rsidR="00812BB4">
        <w:rPr>
          <w:rFonts w:ascii="Arial" w:hAnsi="Arial" w:cs="Arial"/>
          <w:sz w:val="24"/>
          <w:szCs w:val="24"/>
        </w:rPr>
        <w:t>.</w:t>
      </w:r>
      <w:r w:rsidR="00EA66AE" w:rsidRPr="005918BC">
        <w:rPr>
          <w:rFonts w:ascii="Arial" w:hAnsi="Arial" w:cs="Arial"/>
          <w:sz w:val="24"/>
          <w:szCs w:val="24"/>
        </w:rPr>
        <w:t xml:space="preserve"> </w:t>
      </w:r>
      <w:r w:rsidRPr="005918BC">
        <w:rPr>
          <w:rFonts w:ascii="Arial" w:hAnsi="Arial" w:cs="Arial"/>
          <w:sz w:val="24"/>
          <w:szCs w:val="24"/>
        </w:rPr>
        <w:t xml:space="preserve">Wendy Stephenson, TCW).  </w:t>
      </w:r>
      <w:r w:rsidR="00EA66AE" w:rsidRPr="005918BC">
        <w:rPr>
          <w:rFonts w:ascii="Arial" w:hAnsi="Arial" w:cs="Arial"/>
          <w:sz w:val="24"/>
          <w:szCs w:val="24"/>
        </w:rPr>
        <w:t>Over a planned operational life of 20 years, the 2.1 MW wind turbine therefore has an annual linear depreciation of £78,750 year</w:t>
      </w:r>
      <w:r w:rsidR="00EA66AE" w:rsidRPr="005918BC">
        <w:rPr>
          <w:rFonts w:ascii="Arial" w:hAnsi="Arial" w:cs="Arial"/>
          <w:sz w:val="24"/>
          <w:szCs w:val="24"/>
          <w:vertAlign w:val="superscript"/>
        </w:rPr>
        <w:t>-1</w:t>
      </w:r>
      <w:r w:rsidR="00EA66AE" w:rsidRPr="005918BC">
        <w:rPr>
          <w:rFonts w:ascii="Arial" w:hAnsi="Arial" w:cs="Arial"/>
          <w:sz w:val="24"/>
          <w:szCs w:val="24"/>
        </w:rPr>
        <w:t>.</w:t>
      </w:r>
      <w:r w:rsidR="0067566C">
        <w:rPr>
          <w:rFonts w:ascii="Arial" w:hAnsi="Arial" w:cs="Arial"/>
          <w:sz w:val="24"/>
          <w:szCs w:val="24"/>
        </w:rPr>
        <w:t xml:space="preserve">  </w:t>
      </w:r>
      <w:r w:rsidR="00EA66AE" w:rsidRPr="005918BC">
        <w:rPr>
          <w:rFonts w:ascii="Arial" w:hAnsi="Arial" w:cs="Arial"/>
          <w:sz w:val="24"/>
          <w:szCs w:val="24"/>
        </w:rPr>
        <w:t>Net annual income from each 2.1 MW wind turbine throughout its 20-year operational life</w:t>
      </w:r>
      <w:r w:rsidR="004C4D8F">
        <w:rPr>
          <w:rFonts w:ascii="Arial" w:hAnsi="Arial" w:cs="Arial"/>
          <w:sz w:val="24"/>
          <w:szCs w:val="24"/>
        </w:rPr>
        <w:t xml:space="preserve"> equals a conservatively calculated £187,500</w:t>
      </w:r>
      <w:r w:rsidR="00EA66AE" w:rsidRPr="005918BC">
        <w:rPr>
          <w:rFonts w:ascii="Arial" w:hAnsi="Arial" w:cs="Arial"/>
          <w:sz w:val="24"/>
          <w:szCs w:val="24"/>
        </w:rPr>
        <w:t xml:space="preserve">, assuming annual generation of </w:t>
      </w:r>
      <w:r w:rsidR="004C4D8F">
        <w:rPr>
          <w:rFonts w:ascii="Arial" w:hAnsi="Arial" w:cs="Arial"/>
          <w:sz w:val="24"/>
          <w:szCs w:val="24"/>
        </w:rPr>
        <w:t xml:space="preserve">3,750,000 </w:t>
      </w:r>
      <w:r w:rsidR="00EA66AE" w:rsidRPr="005918BC">
        <w:rPr>
          <w:rFonts w:ascii="Arial" w:hAnsi="Arial" w:cs="Arial"/>
          <w:sz w:val="24"/>
          <w:szCs w:val="24"/>
        </w:rPr>
        <w:t xml:space="preserve">units of electricity and a (conservative) sales price of £0.05 per unit </w:t>
      </w:r>
      <w:r w:rsidR="004C4D8F">
        <w:rPr>
          <w:rFonts w:ascii="Arial" w:hAnsi="Arial" w:cs="Arial"/>
          <w:sz w:val="24"/>
          <w:szCs w:val="24"/>
        </w:rPr>
        <w:t xml:space="preserve">(assumptions and calculation in Everard et al., </w:t>
      </w:r>
      <w:r w:rsidR="00AE49F3">
        <w:rPr>
          <w:rFonts w:ascii="Arial" w:hAnsi="Arial" w:cs="Arial"/>
          <w:sz w:val="24"/>
          <w:szCs w:val="24"/>
        </w:rPr>
        <w:t>submitted</w:t>
      </w:r>
      <w:r w:rsidR="004C4D8F">
        <w:rPr>
          <w:rFonts w:ascii="Arial" w:hAnsi="Arial" w:cs="Arial"/>
          <w:sz w:val="24"/>
          <w:szCs w:val="24"/>
        </w:rPr>
        <w:t>)</w:t>
      </w:r>
      <w:r w:rsidR="00EA66AE" w:rsidRPr="005918BC">
        <w:rPr>
          <w:rFonts w:ascii="Arial" w:hAnsi="Arial" w:cs="Arial"/>
          <w:sz w:val="24"/>
          <w:szCs w:val="24"/>
        </w:rPr>
        <w:t xml:space="preserve">.  Overhead costs (insurance, maintenance, etc.) of electricity sales are 20-30%, so applying a (conservative) 30% allowance for overhead yields a net annual operating surplus of </w:t>
      </w:r>
      <w:r w:rsidR="004C4D8F">
        <w:rPr>
          <w:rFonts w:ascii="Arial" w:hAnsi="Arial" w:cs="Arial"/>
          <w:sz w:val="24"/>
          <w:szCs w:val="24"/>
        </w:rPr>
        <w:t xml:space="preserve">over </w:t>
      </w:r>
      <w:r w:rsidR="00EA66AE" w:rsidRPr="005918BC">
        <w:rPr>
          <w:rFonts w:ascii="Arial" w:hAnsi="Arial" w:cs="Arial"/>
          <w:sz w:val="24"/>
          <w:szCs w:val="24"/>
        </w:rPr>
        <w:t>£1</w:t>
      </w:r>
      <w:r w:rsidR="004C4D8F">
        <w:rPr>
          <w:rFonts w:ascii="Arial" w:hAnsi="Arial" w:cs="Arial"/>
          <w:sz w:val="24"/>
          <w:szCs w:val="24"/>
        </w:rPr>
        <w:t>3</w:t>
      </w:r>
      <w:r w:rsidR="00EA66AE" w:rsidRPr="005918BC">
        <w:rPr>
          <w:rFonts w:ascii="Arial" w:hAnsi="Arial" w:cs="Arial"/>
          <w:sz w:val="24"/>
          <w:szCs w:val="24"/>
        </w:rPr>
        <w:t>0,000.</w:t>
      </w:r>
    </w:p>
    <w:p w14:paraId="4D2CAD13" w14:textId="77777777" w:rsidR="005918BC" w:rsidRDefault="005918BC" w:rsidP="005918BC">
      <w:pPr>
        <w:spacing w:after="0" w:line="240" w:lineRule="auto"/>
        <w:contextualSpacing/>
        <w:rPr>
          <w:rFonts w:ascii="Arial" w:hAnsi="Arial" w:cs="Arial"/>
          <w:sz w:val="24"/>
          <w:szCs w:val="24"/>
        </w:rPr>
      </w:pPr>
    </w:p>
    <w:p w14:paraId="04EBF1C9" w14:textId="6DE4BA42" w:rsidR="00357CB0" w:rsidRPr="005918BC" w:rsidRDefault="00357CB0" w:rsidP="005918BC">
      <w:pPr>
        <w:spacing w:after="0" w:line="240" w:lineRule="auto"/>
        <w:contextualSpacing/>
        <w:rPr>
          <w:rFonts w:ascii="Arial" w:hAnsi="Arial" w:cs="Arial"/>
          <w:sz w:val="24"/>
          <w:szCs w:val="24"/>
        </w:rPr>
      </w:pPr>
      <w:r w:rsidRPr="005918BC">
        <w:rPr>
          <w:rFonts w:ascii="Arial" w:hAnsi="Arial" w:cs="Arial"/>
          <w:sz w:val="24"/>
          <w:szCs w:val="24"/>
        </w:rPr>
        <w:t>Everard (2015</w:t>
      </w:r>
      <w:r w:rsidR="00FF659F">
        <w:rPr>
          <w:rFonts w:ascii="Arial" w:hAnsi="Arial" w:cs="Arial"/>
          <w:sz w:val="24"/>
          <w:szCs w:val="24"/>
        </w:rPr>
        <w:t>a</w:t>
      </w:r>
      <w:r w:rsidRPr="005918BC">
        <w:rPr>
          <w:rFonts w:ascii="Arial" w:hAnsi="Arial" w:cs="Arial"/>
          <w:sz w:val="24"/>
          <w:szCs w:val="24"/>
        </w:rPr>
        <w:t>) calculates a Sterling value of £16,255 per hectare for TDEF restoration</w:t>
      </w:r>
      <w:r w:rsidR="004C4D8F">
        <w:rPr>
          <w:rFonts w:ascii="Arial" w:hAnsi="Arial" w:cs="Arial"/>
          <w:sz w:val="24"/>
          <w:szCs w:val="24"/>
        </w:rPr>
        <w:t xml:space="preserve">, </w:t>
      </w:r>
      <w:r w:rsidRPr="005918BC">
        <w:rPr>
          <w:rFonts w:ascii="Arial" w:hAnsi="Arial" w:cs="Arial"/>
          <w:sz w:val="24"/>
          <w:szCs w:val="24"/>
        </w:rPr>
        <w:t>based on conversion of estimates of IN₹ costs per tree (including supply of seedlings, manure, pit digging, transport, planting, mulching, bunding, personnel entailed in maintenance, institutional overheads and contingencies) at a specified density (Pers</w:t>
      </w:r>
      <w:r w:rsidR="0067566C">
        <w:rPr>
          <w:rFonts w:ascii="Arial" w:hAnsi="Arial" w:cs="Arial"/>
          <w:sz w:val="24"/>
          <w:szCs w:val="24"/>
        </w:rPr>
        <w:t>. C</w:t>
      </w:r>
      <w:r w:rsidRPr="005918BC">
        <w:rPr>
          <w:rFonts w:ascii="Arial" w:hAnsi="Arial" w:cs="Arial"/>
          <w:sz w:val="24"/>
          <w:szCs w:val="24"/>
        </w:rPr>
        <w:t>omm</w:t>
      </w:r>
      <w:r w:rsidR="0067566C">
        <w:rPr>
          <w:rFonts w:ascii="Arial" w:hAnsi="Arial" w:cs="Arial"/>
          <w:sz w:val="24"/>
          <w:szCs w:val="24"/>
        </w:rPr>
        <w:t xml:space="preserve">. </w:t>
      </w:r>
      <w:r w:rsidRPr="005918BC">
        <w:rPr>
          <w:rFonts w:ascii="Arial" w:hAnsi="Arial" w:cs="Arial"/>
          <w:sz w:val="24"/>
          <w:szCs w:val="24"/>
        </w:rPr>
        <w:t xml:space="preserve">Joss Brooks, Pitchandikulam </w:t>
      </w:r>
      <w:r w:rsidR="004C4D8F">
        <w:rPr>
          <w:rFonts w:ascii="Arial" w:hAnsi="Arial" w:cs="Arial"/>
          <w:sz w:val="24"/>
          <w:szCs w:val="24"/>
        </w:rPr>
        <w:t>Bio Resource Centre</w:t>
      </w:r>
      <w:r w:rsidRPr="005918BC">
        <w:rPr>
          <w:rFonts w:ascii="Arial" w:hAnsi="Arial" w:cs="Arial"/>
          <w:sz w:val="24"/>
          <w:szCs w:val="24"/>
        </w:rPr>
        <w:t>) in addition to the purchase price of land for TDEF conversion @ £5,000 per acre (</w:t>
      </w:r>
      <w:r w:rsidR="0067566C">
        <w:rPr>
          <w:rFonts w:ascii="Arial" w:hAnsi="Arial" w:cs="Arial"/>
          <w:sz w:val="24"/>
          <w:szCs w:val="24"/>
        </w:rPr>
        <w:t>P</w:t>
      </w:r>
      <w:r w:rsidRPr="005918BC">
        <w:rPr>
          <w:rFonts w:ascii="Arial" w:hAnsi="Arial" w:cs="Arial"/>
          <w:sz w:val="24"/>
          <w:szCs w:val="24"/>
        </w:rPr>
        <w:t>ers</w:t>
      </w:r>
      <w:r w:rsidR="0067566C">
        <w:rPr>
          <w:rFonts w:ascii="Arial" w:hAnsi="Arial" w:cs="Arial"/>
          <w:sz w:val="24"/>
          <w:szCs w:val="24"/>
        </w:rPr>
        <w:t xml:space="preserve">. </w:t>
      </w:r>
      <w:r w:rsidR="0067566C" w:rsidRPr="005918BC">
        <w:rPr>
          <w:rFonts w:ascii="Arial" w:hAnsi="Arial" w:cs="Arial"/>
          <w:sz w:val="24"/>
          <w:szCs w:val="24"/>
        </w:rPr>
        <w:t>C</w:t>
      </w:r>
      <w:r w:rsidRPr="005918BC">
        <w:rPr>
          <w:rFonts w:ascii="Arial" w:hAnsi="Arial" w:cs="Arial"/>
          <w:sz w:val="24"/>
          <w:szCs w:val="24"/>
        </w:rPr>
        <w:t>om</w:t>
      </w:r>
      <w:r w:rsidR="0067566C">
        <w:rPr>
          <w:rFonts w:ascii="Arial" w:hAnsi="Arial" w:cs="Arial"/>
          <w:sz w:val="24"/>
          <w:szCs w:val="24"/>
        </w:rPr>
        <w:t xml:space="preserve">. </w:t>
      </w:r>
      <w:r w:rsidRPr="005918BC">
        <w:rPr>
          <w:rFonts w:ascii="Arial" w:hAnsi="Arial" w:cs="Arial"/>
          <w:sz w:val="24"/>
          <w:szCs w:val="24"/>
        </w:rPr>
        <w:t>John Pontin, TCW).  TCW plans include reinvestment of £100,000 per year of operating surplus into TDEF eco-restoration.  This is sufficient to restore 6.1</w:t>
      </w:r>
      <w:r w:rsidR="0067566C">
        <w:rPr>
          <w:rFonts w:ascii="Arial" w:hAnsi="Arial" w:cs="Arial"/>
          <w:sz w:val="24"/>
          <w:szCs w:val="24"/>
        </w:rPr>
        <w:t>5</w:t>
      </w:r>
      <w:r w:rsidRPr="005918BC">
        <w:rPr>
          <w:rFonts w:ascii="Arial" w:hAnsi="Arial" w:cs="Arial"/>
          <w:sz w:val="24"/>
          <w:szCs w:val="24"/>
        </w:rPr>
        <w:t xml:space="preserve"> </w:t>
      </w:r>
      <w:r w:rsidRPr="005918BC">
        <w:rPr>
          <w:rFonts w:ascii="Arial" w:hAnsi="Arial" w:cs="Arial"/>
          <w:sz w:val="24"/>
          <w:szCs w:val="24"/>
        </w:rPr>
        <w:lastRenderedPageBreak/>
        <w:t xml:space="preserve">hectares of TDEF per annum throughout the 20-year operational life of the turbine, yielding a total area of 123 hectares of restored TDEF </w:t>
      </w:r>
      <w:r w:rsidR="00EA66AE" w:rsidRPr="005918BC">
        <w:rPr>
          <w:rFonts w:ascii="Arial" w:hAnsi="Arial" w:cs="Arial"/>
          <w:sz w:val="24"/>
          <w:szCs w:val="24"/>
        </w:rPr>
        <w:t>(with annual blocks maturing in a phased pattern</w:t>
      </w:r>
      <w:r w:rsidR="004C4D8F">
        <w:rPr>
          <w:rFonts w:ascii="Arial" w:hAnsi="Arial" w:cs="Arial"/>
          <w:sz w:val="24"/>
          <w:szCs w:val="24"/>
        </w:rPr>
        <w:t xml:space="preserve"> over a century</w:t>
      </w:r>
      <w:r w:rsidR="00EA66AE" w:rsidRPr="005918BC">
        <w:rPr>
          <w:rFonts w:ascii="Arial" w:hAnsi="Arial" w:cs="Arial"/>
          <w:sz w:val="24"/>
          <w:szCs w:val="24"/>
        </w:rPr>
        <w:t>)</w:t>
      </w:r>
      <w:r w:rsidRPr="005918BC">
        <w:rPr>
          <w:rFonts w:ascii="Arial" w:hAnsi="Arial" w:cs="Arial"/>
          <w:sz w:val="24"/>
          <w:szCs w:val="24"/>
        </w:rPr>
        <w:t>.</w:t>
      </w:r>
    </w:p>
    <w:p w14:paraId="2F6F5AAF" w14:textId="77777777" w:rsidR="00357CB0" w:rsidRDefault="00357CB0" w:rsidP="005918BC">
      <w:pPr>
        <w:spacing w:after="0" w:line="240" w:lineRule="auto"/>
        <w:contextualSpacing/>
        <w:rPr>
          <w:rFonts w:ascii="Arial" w:hAnsi="Arial" w:cs="Arial"/>
          <w:sz w:val="24"/>
          <w:szCs w:val="24"/>
        </w:rPr>
      </w:pPr>
    </w:p>
    <w:p w14:paraId="2B9649B3" w14:textId="5F68B41C" w:rsidR="005918BC" w:rsidRPr="005918BC" w:rsidRDefault="004C4D8F" w:rsidP="005A4EBA">
      <w:pPr>
        <w:spacing w:after="0" w:line="240" w:lineRule="auto"/>
        <w:contextualSpacing/>
        <w:rPr>
          <w:rFonts w:ascii="Arial" w:hAnsi="Arial" w:cs="Arial"/>
          <w:sz w:val="24"/>
          <w:szCs w:val="24"/>
        </w:rPr>
      </w:pPr>
      <w:r>
        <w:rPr>
          <w:rFonts w:ascii="Arial" w:hAnsi="Arial" w:cs="Arial"/>
          <w:sz w:val="24"/>
          <w:szCs w:val="24"/>
        </w:rPr>
        <w:t xml:space="preserve">Dividing </w:t>
      </w:r>
      <w:r w:rsidRPr="005918BC">
        <w:rPr>
          <w:rFonts w:ascii="Arial" w:hAnsi="Arial" w:cs="Arial"/>
          <w:sz w:val="24"/>
          <w:szCs w:val="24"/>
        </w:rPr>
        <w:t xml:space="preserve">the up-front cost of a 2.1 MW wind </w:t>
      </w:r>
      <w:r w:rsidRPr="001D3376">
        <w:rPr>
          <w:rFonts w:ascii="Arial" w:hAnsi="Arial" w:cs="Arial"/>
          <w:color w:val="000000" w:themeColor="text1"/>
          <w:sz w:val="24"/>
          <w:szCs w:val="24"/>
        </w:rPr>
        <w:t>turbine (£1,575,000 ≈ $US2,253,850) by t</w:t>
      </w:r>
      <w:r w:rsidR="00357CB0" w:rsidRPr="001D3376">
        <w:rPr>
          <w:rFonts w:ascii="Arial" w:hAnsi="Arial" w:cs="Arial"/>
          <w:color w:val="000000" w:themeColor="text1"/>
          <w:sz w:val="24"/>
          <w:szCs w:val="24"/>
        </w:rPr>
        <w:t xml:space="preserve">otal lifetime </w:t>
      </w:r>
      <w:r w:rsidRPr="001D3376">
        <w:rPr>
          <w:rFonts w:ascii="Arial" w:hAnsi="Arial" w:cs="Arial"/>
          <w:color w:val="000000" w:themeColor="text1"/>
          <w:sz w:val="24"/>
          <w:szCs w:val="24"/>
        </w:rPr>
        <w:t>CO</w:t>
      </w:r>
      <w:r w:rsidRPr="001D3376">
        <w:rPr>
          <w:rFonts w:ascii="Arial" w:hAnsi="Arial" w:cs="Arial"/>
          <w:color w:val="000000" w:themeColor="text1"/>
          <w:sz w:val="24"/>
          <w:szCs w:val="24"/>
          <w:vertAlign w:val="subscript"/>
        </w:rPr>
        <w:t>2</w:t>
      </w:r>
      <w:r w:rsidRPr="001D3376">
        <w:rPr>
          <w:rFonts w:ascii="Arial" w:hAnsi="Arial" w:cs="Arial"/>
          <w:color w:val="000000" w:themeColor="text1"/>
          <w:sz w:val="24"/>
          <w:szCs w:val="24"/>
        </w:rPr>
        <w:t xml:space="preserve"> averted/sequestered </w:t>
      </w:r>
      <w:r w:rsidR="00357CB0" w:rsidRPr="001D3376">
        <w:rPr>
          <w:rFonts w:ascii="Arial" w:hAnsi="Arial" w:cs="Arial"/>
          <w:color w:val="000000" w:themeColor="text1"/>
          <w:sz w:val="24"/>
          <w:szCs w:val="24"/>
        </w:rPr>
        <w:t xml:space="preserve">through the ‘multiplier effect’ of wind turbine operation and reinvestment in TDEF eco-restoration </w:t>
      </w:r>
      <w:r w:rsidRPr="001D3376">
        <w:rPr>
          <w:rFonts w:ascii="Arial" w:hAnsi="Arial" w:cs="Arial"/>
          <w:color w:val="000000" w:themeColor="text1"/>
          <w:sz w:val="24"/>
          <w:szCs w:val="24"/>
        </w:rPr>
        <w:t>(</w:t>
      </w:r>
      <w:r w:rsidR="004638C0" w:rsidRPr="001D3376">
        <w:rPr>
          <w:rFonts w:ascii="Arial" w:hAnsi="Arial" w:cs="Arial"/>
          <w:color w:val="000000" w:themeColor="text1"/>
          <w:sz w:val="24"/>
          <w:szCs w:val="24"/>
        </w:rPr>
        <w:t>270,62</w:t>
      </w:r>
      <w:r w:rsidRPr="001D3376">
        <w:rPr>
          <w:rFonts w:ascii="Arial" w:hAnsi="Arial" w:cs="Arial"/>
          <w:color w:val="000000" w:themeColor="text1"/>
          <w:sz w:val="24"/>
          <w:szCs w:val="24"/>
        </w:rPr>
        <w:t>7</w:t>
      </w:r>
      <w:r w:rsidR="004638C0" w:rsidRPr="001D3376">
        <w:rPr>
          <w:rFonts w:ascii="Arial" w:hAnsi="Arial" w:cs="Arial"/>
          <w:color w:val="000000" w:themeColor="text1"/>
          <w:sz w:val="24"/>
          <w:szCs w:val="24"/>
        </w:rPr>
        <w:t>,</w:t>
      </w:r>
      <w:r w:rsidRPr="001D3376">
        <w:rPr>
          <w:rFonts w:ascii="Arial" w:hAnsi="Arial" w:cs="Arial"/>
          <w:color w:val="000000" w:themeColor="text1"/>
          <w:sz w:val="24"/>
          <w:szCs w:val="24"/>
        </w:rPr>
        <w:t xml:space="preserve">756 </w:t>
      </w:r>
      <w:r w:rsidR="0067566C" w:rsidRPr="001D3376">
        <w:rPr>
          <w:rFonts w:ascii="Arial" w:hAnsi="Arial" w:cs="Arial"/>
          <w:color w:val="000000" w:themeColor="text1"/>
          <w:sz w:val="24"/>
          <w:szCs w:val="24"/>
        </w:rPr>
        <w:t>tCO</w:t>
      </w:r>
      <w:r w:rsidR="0067566C" w:rsidRPr="001D3376">
        <w:rPr>
          <w:rFonts w:ascii="Arial" w:hAnsi="Arial" w:cs="Arial"/>
          <w:color w:val="000000" w:themeColor="text1"/>
          <w:sz w:val="24"/>
          <w:szCs w:val="24"/>
          <w:vertAlign w:val="subscript"/>
        </w:rPr>
        <w:t>2</w:t>
      </w:r>
      <w:r w:rsidR="004638C0" w:rsidRPr="001D3376">
        <w:rPr>
          <w:rFonts w:ascii="Arial" w:hAnsi="Arial" w:cs="Arial"/>
          <w:color w:val="000000" w:themeColor="text1"/>
          <w:sz w:val="24"/>
          <w:szCs w:val="24"/>
        </w:rPr>
        <w:t>e</w:t>
      </w:r>
      <w:r w:rsidRPr="001D3376">
        <w:rPr>
          <w:rFonts w:ascii="Arial" w:hAnsi="Arial" w:cs="Arial"/>
          <w:color w:val="000000" w:themeColor="text1"/>
          <w:sz w:val="24"/>
          <w:szCs w:val="24"/>
        </w:rPr>
        <w:t xml:space="preserve">) </w:t>
      </w:r>
      <w:r w:rsidR="005918BC" w:rsidRPr="001D3376">
        <w:rPr>
          <w:rFonts w:ascii="Arial" w:hAnsi="Arial" w:cs="Arial"/>
          <w:color w:val="000000" w:themeColor="text1"/>
          <w:sz w:val="24"/>
          <w:szCs w:val="24"/>
        </w:rPr>
        <w:t>yields a cost per unit tCO</w:t>
      </w:r>
      <w:r w:rsidR="005918BC" w:rsidRPr="001D3376">
        <w:rPr>
          <w:rFonts w:ascii="Arial" w:hAnsi="Arial" w:cs="Arial"/>
          <w:color w:val="000000" w:themeColor="text1"/>
          <w:sz w:val="24"/>
          <w:szCs w:val="24"/>
          <w:vertAlign w:val="subscript"/>
        </w:rPr>
        <w:t>2</w:t>
      </w:r>
      <w:r w:rsidR="00DC0E60" w:rsidRPr="001D3376">
        <w:rPr>
          <w:rFonts w:ascii="Arial" w:hAnsi="Arial" w:cs="Arial"/>
          <w:color w:val="000000" w:themeColor="text1"/>
          <w:sz w:val="24"/>
          <w:szCs w:val="24"/>
        </w:rPr>
        <w:t xml:space="preserve">e </w:t>
      </w:r>
      <w:r w:rsidR="005918BC" w:rsidRPr="001D3376">
        <w:rPr>
          <w:rFonts w:ascii="Arial" w:hAnsi="Arial" w:cs="Arial"/>
          <w:color w:val="000000" w:themeColor="text1"/>
          <w:sz w:val="24"/>
          <w:szCs w:val="24"/>
        </w:rPr>
        <w:t>sequestered/av</w:t>
      </w:r>
      <w:r w:rsidR="001D3376" w:rsidRPr="001D3376">
        <w:rPr>
          <w:rFonts w:ascii="Arial" w:hAnsi="Arial" w:cs="Arial"/>
          <w:color w:val="000000" w:themeColor="text1"/>
          <w:sz w:val="24"/>
          <w:szCs w:val="24"/>
        </w:rPr>
        <w:t>ert</w:t>
      </w:r>
      <w:r w:rsidR="005918BC" w:rsidRPr="001D3376">
        <w:rPr>
          <w:rFonts w:ascii="Arial" w:hAnsi="Arial" w:cs="Arial"/>
          <w:color w:val="000000" w:themeColor="text1"/>
          <w:sz w:val="24"/>
          <w:szCs w:val="24"/>
        </w:rPr>
        <w:t xml:space="preserve">ed </w:t>
      </w:r>
      <w:r w:rsidR="001D3376" w:rsidRPr="001D3376">
        <w:rPr>
          <w:rFonts w:ascii="Arial" w:hAnsi="Arial" w:cs="Arial"/>
          <w:color w:val="000000" w:themeColor="text1"/>
          <w:sz w:val="24"/>
          <w:szCs w:val="24"/>
        </w:rPr>
        <w:t xml:space="preserve">of </w:t>
      </w:r>
      <w:r w:rsidR="005918BC" w:rsidRPr="001D3376">
        <w:rPr>
          <w:rFonts w:ascii="Arial" w:hAnsi="Arial" w:cs="Arial"/>
          <w:color w:val="000000" w:themeColor="text1"/>
          <w:sz w:val="24"/>
          <w:szCs w:val="24"/>
        </w:rPr>
        <w:t>£0.0058 £ per tCO</w:t>
      </w:r>
      <w:r w:rsidR="005918BC" w:rsidRPr="001D3376">
        <w:rPr>
          <w:rFonts w:ascii="Arial" w:hAnsi="Arial" w:cs="Arial"/>
          <w:color w:val="000000" w:themeColor="text1"/>
          <w:sz w:val="24"/>
          <w:szCs w:val="24"/>
          <w:vertAlign w:val="subscript"/>
        </w:rPr>
        <w:t>2</w:t>
      </w:r>
      <w:r w:rsidR="0005314C" w:rsidRPr="001D3376">
        <w:rPr>
          <w:rFonts w:ascii="Arial" w:hAnsi="Arial" w:cs="Arial"/>
          <w:color w:val="000000" w:themeColor="text1"/>
          <w:sz w:val="24"/>
          <w:szCs w:val="24"/>
        </w:rPr>
        <w:t xml:space="preserve">e, or </w:t>
      </w:r>
      <w:r w:rsidR="005918BC" w:rsidRPr="001D3376">
        <w:rPr>
          <w:rFonts w:ascii="Arial" w:hAnsi="Arial" w:cs="Arial"/>
          <w:color w:val="000000" w:themeColor="text1"/>
          <w:sz w:val="24"/>
          <w:szCs w:val="24"/>
        </w:rPr>
        <w:t>0.58p per tCO</w:t>
      </w:r>
      <w:r w:rsidR="005918BC" w:rsidRPr="001D3376">
        <w:rPr>
          <w:rFonts w:ascii="Arial" w:hAnsi="Arial" w:cs="Arial"/>
          <w:color w:val="000000" w:themeColor="text1"/>
          <w:sz w:val="24"/>
          <w:szCs w:val="24"/>
          <w:vertAlign w:val="subscript"/>
        </w:rPr>
        <w:t>2</w:t>
      </w:r>
      <w:r w:rsidR="0005314C" w:rsidRPr="001D3376">
        <w:rPr>
          <w:rFonts w:ascii="Arial" w:hAnsi="Arial" w:cs="Arial"/>
          <w:color w:val="000000" w:themeColor="text1"/>
          <w:sz w:val="24"/>
          <w:szCs w:val="24"/>
        </w:rPr>
        <w:t>e (≈ $US0.01 per tCO</w:t>
      </w:r>
      <w:r w:rsidR="0005314C" w:rsidRPr="001D3376">
        <w:rPr>
          <w:rFonts w:ascii="Arial" w:hAnsi="Arial" w:cs="Arial"/>
          <w:color w:val="000000" w:themeColor="text1"/>
          <w:sz w:val="24"/>
          <w:szCs w:val="24"/>
          <w:vertAlign w:val="subscript"/>
        </w:rPr>
        <w:t>2</w:t>
      </w:r>
      <w:r w:rsidR="0005314C" w:rsidRPr="001D3376">
        <w:rPr>
          <w:rFonts w:ascii="Arial" w:hAnsi="Arial" w:cs="Arial"/>
          <w:color w:val="000000" w:themeColor="text1"/>
          <w:sz w:val="24"/>
          <w:szCs w:val="24"/>
        </w:rPr>
        <w:t xml:space="preserve">e, or </w:t>
      </w:r>
      <w:r w:rsidR="0005314C" w:rsidRPr="001D3376">
        <w:rPr>
          <w:rStyle w:val="tgc"/>
          <w:rFonts w:ascii="Arial" w:hAnsi="Arial" w:cs="Arial"/>
          <w:color w:val="000000" w:themeColor="text1"/>
        </w:rPr>
        <w:t>¢US</w:t>
      </w:r>
      <w:r w:rsidR="0005314C" w:rsidRPr="001D3376">
        <w:rPr>
          <w:rFonts w:ascii="Arial" w:hAnsi="Arial" w:cs="Arial"/>
          <w:color w:val="000000" w:themeColor="text1"/>
          <w:sz w:val="24"/>
          <w:szCs w:val="24"/>
        </w:rPr>
        <w:t>1 per tCO</w:t>
      </w:r>
      <w:r w:rsidR="0005314C" w:rsidRPr="001D3376">
        <w:rPr>
          <w:rFonts w:ascii="Arial" w:hAnsi="Arial" w:cs="Arial"/>
          <w:color w:val="000000" w:themeColor="text1"/>
          <w:sz w:val="24"/>
          <w:szCs w:val="24"/>
          <w:vertAlign w:val="subscript"/>
        </w:rPr>
        <w:t>2</w:t>
      </w:r>
      <w:r w:rsidR="0005314C" w:rsidRPr="001D3376">
        <w:rPr>
          <w:rFonts w:ascii="Arial" w:hAnsi="Arial" w:cs="Arial"/>
          <w:color w:val="000000" w:themeColor="text1"/>
          <w:sz w:val="24"/>
          <w:szCs w:val="24"/>
        </w:rPr>
        <w:t>e)</w:t>
      </w:r>
      <w:r w:rsidR="005918BC" w:rsidRPr="001D3376">
        <w:rPr>
          <w:rFonts w:ascii="Arial" w:hAnsi="Arial" w:cs="Arial"/>
          <w:color w:val="000000" w:themeColor="text1"/>
          <w:sz w:val="24"/>
          <w:szCs w:val="24"/>
        </w:rPr>
        <w:t xml:space="preserve">.  The overwhelming contribution of TDEF restoration to the above value concurs with </w:t>
      </w:r>
      <w:r w:rsidR="005918BC" w:rsidRPr="005918BC">
        <w:rPr>
          <w:rFonts w:ascii="Arial" w:hAnsi="Arial" w:cs="Arial"/>
          <w:sz w:val="24"/>
          <w:szCs w:val="24"/>
        </w:rPr>
        <w:t>the findings of the ‘Stern Review’ (Stern, 2006) that reforestation is one of the most economically efficient means to tackle climate change.  The cost-effective figures above compare with a direct return through renewable energy sales of £26.25 per tCO</w:t>
      </w:r>
      <w:r w:rsidR="005918BC" w:rsidRPr="005918BC">
        <w:rPr>
          <w:rFonts w:ascii="Arial" w:hAnsi="Arial" w:cs="Arial"/>
          <w:sz w:val="24"/>
          <w:szCs w:val="24"/>
          <w:vertAlign w:val="subscript"/>
        </w:rPr>
        <w:t>2</w:t>
      </w:r>
      <w:r w:rsidR="00DC0E60">
        <w:rPr>
          <w:rFonts w:ascii="Arial" w:hAnsi="Arial" w:cs="Arial"/>
          <w:sz w:val="24"/>
          <w:szCs w:val="24"/>
        </w:rPr>
        <w:t xml:space="preserve">e </w:t>
      </w:r>
      <w:r>
        <w:rPr>
          <w:rFonts w:ascii="Arial" w:hAnsi="Arial" w:cs="Arial"/>
          <w:sz w:val="24"/>
          <w:szCs w:val="24"/>
        </w:rPr>
        <w:t>av</w:t>
      </w:r>
      <w:r w:rsidR="001D3376">
        <w:rPr>
          <w:rFonts w:ascii="Arial" w:hAnsi="Arial" w:cs="Arial"/>
          <w:sz w:val="24"/>
          <w:szCs w:val="24"/>
        </w:rPr>
        <w:t xml:space="preserve">erted </w:t>
      </w:r>
      <w:r>
        <w:rPr>
          <w:rFonts w:ascii="Arial" w:hAnsi="Arial" w:cs="Arial"/>
          <w:sz w:val="24"/>
          <w:szCs w:val="24"/>
        </w:rPr>
        <w:t>over the 20-</w:t>
      </w:r>
      <w:r w:rsidR="005918BC" w:rsidRPr="005918BC">
        <w:rPr>
          <w:rFonts w:ascii="Arial" w:hAnsi="Arial" w:cs="Arial"/>
          <w:sz w:val="24"/>
          <w:szCs w:val="24"/>
        </w:rPr>
        <w:t>year depreciation life of the wind turbine alone, emphasising the substantial value added by the ‘multiplier effect’ of reinvestment in habitat restoration rather than returns of private profit to investors.</w:t>
      </w:r>
    </w:p>
    <w:p w14:paraId="607F6188" w14:textId="77777777" w:rsidR="005918BC" w:rsidRPr="005918BC" w:rsidRDefault="005918BC" w:rsidP="005A4EBA">
      <w:pPr>
        <w:spacing w:after="0" w:line="240" w:lineRule="auto"/>
        <w:contextualSpacing/>
        <w:rPr>
          <w:rFonts w:ascii="Arial" w:hAnsi="Arial" w:cs="Arial"/>
          <w:sz w:val="24"/>
          <w:szCs w:val="24"/>
        </w:rPr>
      </w:pPr>
    </w:p>
    <w:p w14:paraId="50BCC0A4" w14:textId="77777777" w:rsidR="005918BC" w:rsidRPr="005918BC" w:rsidRDefault="005918BC" w:rsidP="005A4EBA">
      <w:pPr>
        <w:spacing w:after="0" w:line="240" w:lineRule="auto"/>
        <w:contextualSpacing/>
        <w:rPr>
          <w:rFonts w:ascii="Arial" w:hAnsi="Arial" w:cs="Arial"/>
          <w:sz w:val="24"/>
          <w:szCs w:val="24"/>
        </w:rPr>
      </w:pPr>
    </w:p>
    <w:p w14:paraId="743737FB" w14:textId="56314A8E" w:rsidR="005918BC" w:rsidRPr="0077133D" w:rsidRDefault="00532F56" w:rsidP="0077133D">
      <w:pPr>
        <w:spacing w:after="0" w:line="240" w:lineRule="auto"/>
        <w:contextualSpacing/>
        <w:rPr>
          <w:rFonts w:ascii="Arial" w:hAnsi="Arial" w:cs="Arial"/>
          <w:i/>
          <w:sz w:val="24"/>
          <w:szCs w:val="24"/>
        </w:rPr>
      </w:pPr>
      <w:r w:rsidRPr="0077133D">
        <w:rPr>
          <w:rFonts w:ascii="Arial" w:hAnsi="Arial" w:cs="Arial"/>
          <w:i/>
          <w:sz w:val="24"/>
          <w:szCs w:val="24"/>
        </w:rPr>
        <w:t xml:space="preserve">The benefits of </w:t>
      </w:r>
      <w:r w:rsidR="005A4EBA" w:rsidRPr="0077133D">
        <w:rPr>
          <w:rFonts w:ascii="Arial" w:hAnsi="Arial" w:cs="Arial"/>
          <w:i/>
          <w:sz w:val="24"/>
          <w:szCs w:val="24"/>
        </w:rPr>
        <w:t xml:space="preserve">carbon dioxide savings in Tamil Nadu </w:t>
      </w:r>
      <w:r w:rsidRPr="0077133D">
        <w:rPr>
          <w:rFonts w:ascii="Arial" w:hAnsi="Arial" w:cs="Arial"/>
          <w:i/>
          <w:sz w:val="24"/>
          <w:szCs w:val="24"/>
        </w:rPr>
        <w:t xml:space="preserve">and </w:t>
      </w:r>
      <w:r w:rsidR="005A4EBA" w:rsidRPr="0077133D">
        <w:rPr>
          <w:rFonts w:ascii="Arial" w:hAnsi="Arial" w:cs="Arial"/>
          <w:i/>
          <w:sz w:val="24"/>
          <w:szCs w:val="24"/>
        </w:rPr>
        <w:t>south-west England</w:t>
      </w:r>
    </w:p>
    <w:p w14:paraId="3C061C60" w14:textId="77777777" w:rsidR="00532F56" w:rsidRPr="0077133D" w:rsidRDefault="00532F56" w:rsidP="0077133D">
      <w:pPr>
        <w:spacing w:after="0" w:line="240" w:lineRule="auto"/>
        <w:contextualSpacing/>
        <w:rPr>
          <w:rFonts w:ascii="Arial" w:hAnsi="Arial" w:cs="Arial"/>
          <w:sz w:val="24"/>
          <w:szCs w:val="24"/>
        </w:rPr>
      </w:pPr>
    </w:p>
    <w:p w14:paraId="5572CEA7" w14:textId="1B40D7F1" w:rsidR="00532F56" w:rsidRPr="00BD33CA" w:rsidRDefault="00053239" w:rsidP="00BD33CA">
      <w:pPr>
        <w:spacing w:after="0" w:line="240" w:lineRule="auto"/>
        <w:contextualSpacing/>
        <w:rPr>
          <w:rFonts w:ascii="Arial" w:hAnsi="Arial" w:cs="Arial"/>
          <w:sz w:val="24"/>
          <w:szCs w:val="24"/>
        </w:rPr>
      </w:pPr>
      <w:r w:rsidRPr="0077133D">
        <w:rPr>
          <w:rFonts w:ascii="Arial" w:hAnsi="Arial" w:cs="Arial"/>
          <w:sz w:val="24"/>
          <w:szCs w:val="24"/>
        </w:rPr>
        <w:t xml:space="preserve">Although values of </w:t>
      </w:r>
      <w:r w:rsidR="004C4D8F">
        <w:rPr>
          <w:rFonts w:ascii="Arial" w:hAnsi="Arial" w:cs="Arial"/>
          <w:sz w:val="24"/>
          <w:szCs w:val="24"/>
        </w:rPr>
        <w:t>CO</w:t>
      </w:r>
      <w:r w:rsidR="004C4D8F" w:rsidRPr="004C4D8F">
        <w:rPr>
          <w:rFonts w:ascii="Arial" w:hAnsi="Arial" w:cs="Arial"/>
          <w:sz w:val="24"/>
          <w:szCs w:val="24"/>
          <w:vertAlign w:val="subscript"/>
        </w:rPr>
        <w:t>2</w:t>
      </w:r>
      <w:r w:rsidR="004C4D8F">
        <w:rPr>
          <w:rFonts w:ascii="Arial" w:hAnsi="Arial" w:cs="Arial"/>
          <w:sz w:val="24"/>
          <w:szCs w:val="24"/>
        </w:rPr>
        <w:t xml:space="preserve">e averted/sequestered </w:t>
      </w:r>
      <w:r w:rsidRPr="0077133D">
        <w:rPr>
          <w:rFonts w:ascii="Arial" w:hAnsi="Arial" w:cs="Arial"/>
          <w:sz w:val="24"/>
          <w:szCs w:val="24"/>
        </w:rPr>
        <w:t xml:space="preserve">have to be treated as preliminary given the sparse data upon which they are based, and associated economic values have therefore be treated </w:t>
      </w:r>
      <w:r w:rsidR="0067566C">
        <w:rPr>
          <w:rFonts w:ascii="Arial" w:hAnsi="Arial" w:cs="Arial"/>
          <w:sz w:val="24"/>
          <w:szCs w:val="24"/>
        </w:rPr>
        <w:t>as largely illustrative</w:t>
      </w:r>
      <w:r w:rsidRPr="0077133D">
        <w:rPr>
          <w:rFonts w:ascii="Arial" w:hAnsi="Arial" w:cs="Arial"/>
          <w:sz w:val="24"/>
          <w:szCs w:val="24"/>
        </w:rPr>
        <w:t>, they are at least indicative of the scale of benefits</w:t>
      </w:r>
      <w:r w:rsidR="0067566C">
        <w:rPr>
          <w:rFonts w:ascii="Arial" w:hAnsi="Arial" w:cs="Arial"/>
          <w:sz w:val="24"/>
          <w:szCs w:val="24"/>
        </w:rPr>
        <w:t xml:space="preserve"> from the ‘anchor service’ of global climate regulation</w:t>
      </w:r>
      <w:r w:rsidRPr="0077133D">
        <w:rPr>
          <w:rFonts w:ascii="Arial" w:hAnsi="Arial" w:cs="Arial"/>
          <w:sz w:val="24"/>
          <w:szCs w:val="24"/>
        </w:rPr>
        <w:t xml:space="preserve">.  Relating these tentative figures to </w:t>
      </w:r>
      <w:r w:rsidRPr="0077133D">
        <w:rPr>
          <w:rFonts w:ascii="Arial" w:eastAsiaTheme="majorEastAsia" w:hAnsi="Arial" w:cs="Arial"/>
          <w:bCs/>
          <w:sz w:val="24"/>
          <w:szCs w:val="24"/>
        </w:rPr>
        <w:t>c</w:t>
      </w:r>
      <w:r w:rsidR="00532F56" w:rsidRPr="0077133D">
        <w:rPr>
          <w:rFonts w:ascii="Arial" w:hAnsi="Arial" w:cs="Arial"/>
          <w:sz w:val="24"/>
          <w:szCs w:val="24"/>
        </w:rPr>
        <w:t xml:space="preserve">arbon </w:t>
      </w:r>
      <w:r w:rsidR="007C5BD6">
        <w:rPr>
          <w:rFonts w:ascii="Arial" w:hAnsi="Arial" w:cs="Arial"/>
          <w:sz w:val="24"/>
          <w:szCs w:val="24"/>
        </w:rPr>
        <w:t xml:space="preserve">management </w:t>
      </w:r>
      <w:r w:rsidRPr="0077133D">
        <w:rPr>
          <w:rFonts w:ascii="Arial" w:hAnsi="Arial" w:cs="Arial"/>
          <w:sz w:val="24"/>
          <w:szCs w:val="24"/>
        </w:rPr>
        <w:t xml:space="preserve">aspirations in both Tamil Nadu and south-west England is nevertheless informative about the </w:t>
      </w:r>
      <w:r w:rsidR="007C5BD6">
        <w:rPr>
          <w:rFonts w:ascii="Arial" w:hAnsi="Arial" w:cs="Arial"/>
          <w:sz w:val="24"/>
          <w:szCs w:val="24"/>
        </w:rPr>
        <w:t xml:space="preserve">scale of </w:t>
      </w:r>
      <w:r w:rsidRPr="0077133D">
        <w:rPr>
          <w:rFonts w:ascii="Arial" w:hAnsi="Arial" w:cs="Arial"/>
          <w:sz w:val="24"/>
          <w:szCs w:val="24"/>
        </w:rPr>
        <w:t xml:space="preserve">benefits, opportunities and potential business case for investment in the TCW developed-developing world partnership programme.  As the baseline carbon dioxide and economic values are tentative, implications for affected people are based on </w:t>
      </w:r>
      <w:r w:rsidR="00532F56" w:rsidRPr="00DD2B79">
        <w:rPr>
          <w:rFonts w:ascii="Arial" w:hAnsi="Arial" w:cs="Arial"/>
          <w:sz w:val="24"/>
          <w:szCs w:val="24"/>
        </w:rPr>
        <w:t xml:space="preserve">approximate terms </w:t>
      </w:r>
      <w:r w:rsidRPr="00DD2B79">
        <w:rPr>
          <w:rFonts w:ascii="Arial" w:hAnsi="Arial" w:cs="Arial"/>
          <w:sz w:val="24"/>
          <w:szCs w:val="24"/>
        </w:rPr>
        <w:t xml:space="preserve">only for </w:t>
      </w:r>
      <w:r w:rsidR="00532F56" w:rsidRPr="00DD2B79">
        <w:rPr>
          <w:rFonts w:ascii="Arial" w:hAnsi="Arial" w:cs="Arial"/>
          <w:sz w:val="24"/>
          <w:szCs w:val="24"/>
        </w:rPr>
        <w:t>the people o</w:t>
      </w:r>
      <w:r w:rsidR="00532F56" w:rsidRPr="00BD33CA">
        <w:rPr>
          <w:rFonts w:ascii="Arial" w:hAnsi="Arial" w:cs="Arial"/>
          <w:sz w:val="24"/>
          <w:szCs w:val="24"/>
        </w:rPr>
        <w:t>f Bristol City, south west England</w:t>
      </w:r>
      <w:r w:rsidRPr="00BD33CA">
        <w:rPr>
          <w:rFonts w:ascii="Arial" w:hAnsi="Arial" w:cs="Arial"/>
          <w:sz w:val="24"/>
          <w:szCs w:val="24"/>
        </w:rPr>
        <w:t xml:space="preserve">, </w:t>
      </w:r>
      <w:r w:rsidR="00532F56" w:rsidRPr="00BD33CA">
        <w:rPr>
          <w:rFonts w:ascii="Arial" w:hAnsi="Arial" w:cs="Arial"/>
          <w:sz w:val="24"/>
          <w:szCs w:val="24"/>
        </w:rPr>
        <w:t>the UK as a whole</w:t>
      </w:r>
      <w:r w:rsidR="007C5BD6">
        <w:rPr>
          <w:rFonts w:ascii="Arial" w:hAnsi="Arial" w:cs="Arial"/>
          <w:sz w:val="24"/>
          <w:szCs w:val="24"/>
        </w:rPr>
        <w:t>,</w:t>
      </w:r>
      <w:r w:rsidRPr="00BD33CA">
        <w:rPr>
          <w:rFonts w:ascii="Arial" w:hAnsi="Arial" w:cs="Arial"/>
          <w:sz w:val="24"/>
          <w:szCs w:val="24"/>
        </w:rPr>
        <w:t xml:space="preserve"> and Tamil Nadu</w:t>
      </w:r>
      <w:r w:rsidR="00532F56" w:rsidRPr="00BD33CA">
        <w:rPr>
          <w:rFonts w:ascii="Arial" w:hAnsi="Arial" w:cs="Arial"/>
          <w:sz w:val="24"/>
          <w:szCs w:val="24"/>
        </w:rPr>
        <w:t>.</w:t>
      </w:r>
    </w:p>
    <w:p w14:paraId="306EB336" w14:textId="77777777" w:rsidR="00532F56" w:rsidRPr="00BD33CA" w:rsidRDefault="00532F56" w:rsidP="00BD33CA">
      <w:pPr>
        <w:pStyle w:val="NormalWeb"/>
        <w:spacing w:before="0" w:beforeAutospacing="0" w:after="0" w:afterAutospacing="0"/>
        <w:contextualSpacing/>
        <w:rPr>
          <w:rFonts w:ascii="Arial" w:hAnsi="Arial" w:cs="Arial"/>
        </w:rPr>
      </w:pPr>
    </w:p>
    <w:p w14:paraId="77A6DBD0" w14:textId="37C5D77B" w:rsidR="0041530B" w:rsidRPr="00BD33CA" w:rsidRDefault="00532F56" w:rsidP="00BD33CA">
      <w:pPr>
        <w:spacing w:after="0" w:line="240" w:lineRule="auto"/>
        <w:contextualSpacing/>
        <w:rPr>
          <w:rFonts w:ascii="Arial" w:hAnsi="Arial" w:cs="Arial"/>
          <w:sz w:val="24"/>
          <w:szCs w:val="24"/>
        </w:rPr>
      </w:pPr>
      <w:bookmarkStart w:id="0" w:name="_Toc436932512"/>
      <w:r w:rsidRPr="00BD33CA">
        <w:rPr>
          <w:rFonts w:ascii="Arial" w:hAnsi="Arial" w:cs="Arial"/>
          <w:sz w:val="24"/>
          <w:szCs w:val="24"/>
        </w:rPr>
        <w:t>Implication</w:t>
      </w:r>
      <w:r w:rsidR="00053239" w:rsidRPr="00BD33CA">
        <w:rPr>
          <w:rFonts w:ascii="Arial" w:hAnsi="Arial" w:cs="Arial"/>
          <w:sz w:val="24"/>
          <w:szCs w:val="24"/>
        </w:rPr>
        <w:t xml:space="preserve">s of climate regulation benefits driven by the TCW partnership programme </w:t>
      </w:r>
      <w:r w:rsidRPr="00BD33CA">
        <w:rPr>
          <w:rFonts w:ascii="Arial" w:hAnsi="Arial" w:cs="Arial"/>
          <w:sz w:val="24"/>
          <w:szCs w:val="24"/>
        </w:rPr>
        <w:t>for Bristol City</w:t>
      </w:r>
      <w:bookmarkEnd w:id="0"/>
      <w:r w:rsidR="00053239" w:rsidRPr="00BD33CA">
        <w:rPr>
          <w:rFonts w:ascii="Arial" w:hAnsi="Arial" w:cs="Arial"/>
          <w:sz w:val="24"/>
          <w:szCs w:val="24"/>
        </w:rPr>
        <w:t xml:space="preserve"> are significant.  </w:t>
      </w:r>
      <w:r w:rsidR="007C5BD6">
        <w:rPr>
          <w:rFonts w:ascii="Arial" w:hAnsi="Arial" w:cs="Arial"/>
          <w:sz w:val="24"/>
          <w:szCs w:val="24"/>
        </w:rPr>
        <w:t>T</w:t>
      </w:r>
      <w:r w:rsidR="00BD33CA" w:rsidRPr="00BD33CA">
        <w:rPr>
          <w:rFonts w:ascii="Arial" w:hAnsi="Arial" w:cs="Arial"/>
          <w:sz w:val="24"/>
          <w:szCs w:val="24"/>
        </w:rPr>
        <w:t xml:space="preserve">he statutory unitary </w:t>
      </w:r>
      <w:r w:rsidR="007C5BD6">
        <w:rPr>
          <w:rFonts w:ascii="Arial" w:hAnsi="Arial" w:cs="Arial"/>
          <w:sz w:val="24"/>
          <w:szCs w:val="24"/>
        </w:rPr>
        <w:t xml:space="preserve">authority area of </w:t>
      </w:r>
      <w:r w:rsidR="00BD33CA" w:rsidRPr="00BD33CA">
        <w:rPr>
          <w:rFonts w:ascii="Arial" w:hAnsi="Arial" w:cs="Arial"/>
          <w:sz w:val="24"/>
          <w:szCs w:val="24"/>
        </w:rPr>
        <w:t>Bristol City and County of Bristol</w:t>
      </w:r>
      <w:r w:rsidR="00CA4105">
        <w:rPr>
          <w:rFonts w:ascii="Arial" w:hAnsi="Arial" w:cs="Arial"/>
          <w:sz w:val="24"/>
          <w:szCs w:val="24"/>
        </w:rPr>
        <w:t xml:space="preserve"> </w:t>
      </w:r>
      <w:r w:rsidR="007C5BD6">
        <w:rPr>
          <w:rFonts w:ascii="Arial" w:hAnsi="Arial" w:cs="Arial"/>
          <w:sz w:val="24"/>
          <w:szCs w:val="24"/>
        </w:rPr>
        <w:t xml:space="preserve">encompasses </w:t>
      </w:r>
      <w:r w:rsidR="00CA4105">
        <w:rPr>
          <w:rFonts w:ascii="Arial" w:hAnsi="Arial" w:cs="Arial"/>
          <w:sz w:val="24"/>
          <w:szCs w:val="24"/>
        </w:rPr>
        <w:t xml:space="preserve">the largest city in south-west England </w:t>
      </w:r>
      <w:r w:rsidR="007C5BD6">
        <w:rPr>
          <w:rFonts w:ascii="Arial" w:hAnsi="Arial" w:cs="Arial"/>
          <w:sz w:val="24"/>
          <w:szCs w:val="24"/>
        </w:rPr>
        <w:t xml:space="preserve">and a human </w:t>
      </w:r>
      <w:r w:rsidR="00BD33CA" w:rsidRPr="00BD33CA">
        <w:rPr>
          <w:rFonts w:ascii="Arial" w:hAnsi="Arial" w:cs="Arial"/>
          <w:sz w:val="24"/>
          <w:szCs w:val="24"/>
        </w:rPr>
        <w:t>population of 442,500 with mean per capita carbon dioxide emissions of 5.8 tCO</w:t>
      </w:r>
      <w:r w:rsidR="00BD33CA" w:rsidRPr="00BD33CA">
        <w:rPr>
          <w:rFonts w:ascii="Arial" w:hAnsi="Arial" w:cs="Arial"/>
          <w:sz w:val="24"/>
          <w:szCs w:val="24"/>
          <w:vertAlign w:val="subscript"/>
        </w:rPr>
        <w:t>2</w:t>
      </w:r>
      <w:r w:rsidR="00DC0E60">
        <w:rPr>
          <w:rFonts w:ascii="Arial" w:hAnsi="Arial" w:cs="Arial"/>
          <w:sz w:val="24"/>
          <w:szCs w:val="24"/>
        </w:rPr>
        <w:t xml:space="preserve">e </w:t>
      </w:r>
      <w:r w:rsidR="00BD33CA" w:rsidRPr="00BD33CA">
        <w:rPr>
          <w:rFonts w:ascii="Arial" w:hAnsi="Arial" w:cs="Arial"/>
          <w:sz w:val="24"/>
          <w:szCs w:val="24"/>
        </w:rPr>
        <w:t>year</w:t>
      </w:r>
      <w:r w:rsidR="00BD33CA" w:rsidRPr="00BD33CA">
        <w:rPr>
          <w:rFonts w:ascii="Arial" w:hAnsi="Arial" w:cs="Arial"/>
          <w:sz w:val="24"/>
          <w:szCs w:val="24"/>
          <w:vertAlign w:val="superscript"/>
        </w:rPr>
        <w:t>-1</w:t>
      </w:r>
      <w:r w:rsidR="00BD33CA" w:rsidRPr="00BD33CA">
        <w:rPr>
          <w:rFonts w:ascii="Arial" w:hAnsi="Arial" w:cs="Arial"/>
          <w:sz w:val="24"/>
          <w:szCs w:val="24"/>
        </w:rPr>
        <w:t xml:space="preserve"> (Bristol City Council, 2016a)</w:t>
      </w:r>
      <w:r w:rsidRPr="00BD33CA">
        <w:rPr>
          <w:rFonts w:ascii="Arial" w:hAnsi="Arial" w:cs="Arial"/>
          <w:sz w:val="24"/>
          <w:szCs w:val="24"/>
        </w:rPr>
        <w:t xml:space="preserve">, </w:t>
      </w:r>
      <w:r w:rsidR="00B214D5">
        <w:rPr>
          <w:rFonts w:ascii="Arial" w:hAnsi="Arial" w:cs="Arial"/>
          <w:sz w:val="24"/>
          <w:szCs w:val="24"/>
        </w:rPr>
        <w:t xml:space="preserve">implying </w:t>
      </w:r>
      <w:r w:rsidR="00053239" w:rsidRPr="00BD33CA">
        <w:rPr>
          <w:rFonts w:ascii="Arial" w:hAnsi="Arial" w:cs="Arial"/>
          <w:sz w:val="24"/>
          <w:szCs w:val="24"/>
        </w:rPr>
        <w:t>a</w:t>
      </w:r>
      <w:r w:rsidRPr="00BD33CA">
        <w:rPr>
          <w:rFonts w:ascii="Arial" w:hAnsi="Arial" w:cs="Arial"/>
          <w:sz w:val="24"/>
          <w:szCs w:val="24"/>
        </w:rPr>
        <w:t>nnual city-wide carbon dioxide emissions of 2,5</w:t>
      </w:r>
      <w:r w:rsidR="007C5BD6">
        <w:rPr>
          <w:rFonts w:ascii="Arial" w:hAnsi="Arial" w:cs="Arial"/>
          <w:sz w:val="24"/>
          <w:szCs w:val="24"/>
        </w:rPr>
        <w:t>66</w:t>
      </w:r>
      <w:r w:rsidRPr="00BD33CA">
        <w:rPr>
          <w:rFonts w:ascii="Arial" w:hAnsi="Arial" w:cs="Arial"/>
          <w:sz w:val="24"/>
          <w:szCs w:val="24"/>
        </w:rPr>
        <w:t>,</w:t>
      </w:r>
      <w:r w:rsidR="007C5BD6">
        <w:rPr>
          <w:rFonts w:ascii="Arial" w:hAnsi="Arial" w:cs="Arial"/>
          <w:sz w:val="24"/>
          <w:szCs w:val="24"/>
        </w:rPr>
        <w:t>5</w:t>
      </w:r>
      <w:r w:rsidRPr="00BD33CA">
        <w:rPr>
          <w:rFonts w:ascii="Arial" w:hAnsi="Arial" w:cs="Arial"/>
          <w:sz w:val="24"/>
          <w:szCs w:val="24"/>
        </w:rPr>
        <w:t>00 tCO</w:t>
      </w:r>
      <w:r w:rsidRPr="00BD33CA">
        <w:rPr>
          <w:rFonts w:ascii="Arial" w:hAnsi="Arial" w:cs="Arial"/>
          <w:sz w:val="24"/>
          <w:szCs w:val="24"/>
          <w:vertAlign w:val="subscript"/>
        </w:rPr>
        <w:t>2</w:t>
      </w:r>
      <w:r w:rsidR="00DC0E60">
        <w:rPr>
          <w:rFonts w:ascii="Arial" w:hAnsi="Arial" w:cs="Arial"/>
          <w:sz w:val="24"/>
          <w:szCs w:val="24"/>
        </w:rPr>
        <w:t xml:space="preserve">e </w:t>
      </w:r>
      <w:r w:rsidRPr="00BD33CA">
        <w:rPr>
          <w:rFonts w:ascii="Arial" w:hAnsi="Arial" w:cs="Arial"/>
          <w:sz w:val="24"/>
          <w:szCs w:val="24"/>
        </w:rPr>
        <w:t>year</w:t>
      </w:r>
      <w:r w:rsidRPr="00BD33CA">
        <w:rPr>
          <w:rFonts w:ascii="Arial" w:hAnsi="Arial" w:cs="Arial"/>
          <w:sz w:val="24"/>
          <w:szCs w:val="24"/>
          <w:vertAlign w:val="superscript"/>
        </w:rPr>
        <w:t>-1</w:t>
      </w:r>
      <w:r w:rsidR="00053239" w:rsidRPr="00BD33CA">
        <w:rPr>
          <w:rFonts w:ascii="Arial" w:hAnsi="Arial" w:cs="Arial"/>
          <w:sz w:val="24"/>
          <w:szCs w:val="24"/>
        </w:rPr>
        <w:t xml:space="preserve">.  </w:t>
      </w:r>
      <w:r w:rsidR="00CA4105">
        <w:rPr>
          <w:rFonts w:ascii="Arial" w:hAnsi="Arial" w:cs="Arial"/>
          <w:sz w:val="24"/>
          <w:szCs w:val="24"/>
        </w:rPr>
        <w:t xml:space="preserve">Setting aside </w:t>
      </w:r>
      <w:r w:rsidR="00CA4105" w:rsidRPr="00BD33CA">
        <w:rPr>
          <w:rFonts w:ascii="Arial" w:hAnsi="Arial" w:cs="Arial"/>
          <w:sz w:val="24"/>
          <w:szCs w:val="24"/>
        </w:rPr>
        <w:t>likely population growth and anticipated reductions in per capita carbon intensity</w:t>
      </w:r>
      <w:r w:rsidR="00B214D5">
        <w:rPr>
          <w:rFonts w:ascii="Arial" w:hAnsi="Arial" w:cs="Arial"/>
          <w:sz w:val="24"/>
          <w:szCs w:val="24"/>
        </w:rPr>
        <w:t>,</w:t>
      </w:r>
      <w:r w:rsidR="00CA4105" w:rsidRPr="00BD33CA">
        <w:rPr>
          <w:rFonts w:ascii="Arial" w:hAnsi="Arial" w:cs="Arial"/>
          <w:sz w:val="24"/>
          <w:szCs w:val="24"/>
        </w:rPr>
        <w:t xml:space="preserve"> </w:t>
      </w:r>
      <w:r w:rsidR="00CA4105">
        <w:rPr>
          <w:rFonts w:ascii="Arial" w:hAnsi="Arial" w:cs="Arial"/>
          <w:sz w:val="24"/>
          <w:szCs w:val="24"/>
        </w:rPr>
        <w:t xml:space="preserve">illustrative </w:t>
      </w:r>
      <w:r w:rsidR="00053239" w:rsidRPr="00BD33CA">
        <w:rPr>
          <w:rFonts w:ascii="Arial" w:hAnsi="Arial" w:cs="Arial"/>
          <w:sz w:val="24"/>
          <w:szCs w:val="24"/>
        </w:rPr>
        <w:t>c</w:t>
      </w:r>
      <w:r w:rsidRPr="00BD33CA">
        <w:rPr>
          <w:rFonts w:ascii="Arial" w:hAnsi="Arial" w:cs="Arial"/>
          <w:sz w:val="24"/>
          <w:szCs w:val="24"/>
        </w:rPr>
        <w:t xml:space="preserve">umulative city-wide carbon dioxide emissions </w:t>
      </w:r>
      <w:r w:rsidR="00B214D5">
        <w:rPr>
          <w:rFonts w:ascii="Arial" w:hAnsi="Arial" w:cs="Arial"/>
          <w:sz w:val="24"/>
          <w:szCs w:val="24"/>
        </w:rPr>
        <w:t xml:space="preserve">would therefore total </w:t>
      </w:r>
      <w:r w:rsidRPr="00BD33CA">
        <w:rPr>
          <w:rFonts w:ascii="Arial" w:hAnsi="Arial" w:cs="Arial"/>
          <w:sz w:val="24"/>
          <w:szCs w:val="24"/>
        </w:rPr>
        <w:t>25</w:t>
      </w:r>
      <w:r w:rsidR="007C5BD6">
        <w:rPr>
          <w:rFonts w:ascii="Arial" w:hAnsi="Arial" w:cs="Arial"/>
          <w:sz w:val="24"/>
          <w:szCs w:val="24"/>
        </w:rPr>
        <w:t>6</w:t>
      </w:r>
      <w:r w:rsidRPr="00BD33CA">
        <w:rPr>
          <w:rFonts w:ascii="Arial" w:hAnsi="Arial" w:cs="Arial"/>
          <w:sz w:val="24"/>
          <w:szCs w:val="24"/>
        </w:rPr>
        <w:t>,</w:t>
      </w:r>
      <w:r w:rsidR="007C5BD6">
        <w:rPr>
          <w:rFonts w:ascii="Arial" w:hAnsi="Arial" w:cs="Arial"/>
          <w:sz w:val="24"/>
          <w:szCs w:val="24"/>
        </w:rPr>
        <w:t>55</w:t>
      </w:r>
      <w:r w:rsidRPr="00BD33CA">
        <w:rPr>
          <w:rFonts w:ascii="Arial" w:hAnsi="Arial" w:cs="Arial"/>
          <w:sz w:val="24"/>
          <w:szCs w:val="24"/>
        </w:rPr>
        <w:t>0,000 tCO</w:t>
      </w:r>
      <w:r w:rsidRPr="007C5BD6">
        <w:rPr>
          <w:rFonts w:ascii="Arial" w:hAnsi="Arial" w:cs="Arial"/>
          <w:color w:val="000000" w:themeColor="text1"/>
          <w:sz w:val="24"/>
          <w:szCs w:val="24"/>
          <w:vertAlign w:val="subscript"/>
        </w:rPr>
        <w:t>2</w:t>
      </w:r>
      <w:r w:rsidR="00DC0E60" w:rsidRPr="007C5BD6">
        <w:rPr>
          <w:rFonts w:ascii="Arial" w:hAnsi="Arial" w:cs="Arial"/>
          <w:color w:val="000000" w:themeColor="text1"/>
          <w:sz w:val="24"/>
          <w:szCs w:val="24"/>
        </w:rPr>
        <w:t xml:space="preserve">e </w:t>
      </w:r>
      <w:r w:rsidRPr="007C5BD6">
        <w:rPr>
          <w:rFonts w:ascii="Arial" w:hAnsi="Arial" w:cs="Arial"/>
          <w:color w:val="000000" w:themeColor="text1"/>
          <w:sz w:val="24"/>
          <w:szCs w:val="24"/>
        </w:rPr>
        <w:t>over a century.</w:t>
      </w:r>
      <w:r w:rsidR="0005314C" w:rsidRPr="007C5BD6">
        <w:rPr>
          <w:rFonts w:ascii="Arial" w:hAnsi="Arial" w:cs="Arial"/>
          <w:color w:val="000000" w:themeColor="text1"/>
          <w:sz w:val="24"/>
          <w:szCs w:val="24"/>
        </w:rPr>
        <w:t xml:space="preserve"> </w:t>
      </w:r>
      <w:r w:rsidR="00053239" w:rsidRPr="007C5BD6">
        <w:rPr>
          <w:rFonts w:ascii="Arial" w:hAnsi="Arial" w:cs="Arial"/>
          <w:color w:val="000000" w:themeColor="text1"/>
          <w:sz w:val="24"/>
          <w:szCs w:val="24"/>
        </w:rPr>
        <w:t xml:space="preserve"> In simplistic terms, this approximates </w:t>
      </w:r>
      <w:r w:rsidR="00CA4105" w:rsidRPr="007C5BD6">
        <w:rPr>
          <w:rFonts w:ascii="Arial" w:hAnsi="Arial" w:cs="Arial"/>
          <w:color w:val="000000" w:themeColor="text1"/>
          <w:sz w:val="24"/>
          <w:szCs w:val="24"/>
        </w:rPr>
        <w:t xml:space="preserve">to </w:t>
      </w:r>
      <w:r w:rsidR="00053239" w:rsidRPr="007C5BD6">
        <w:rPr>
          <w:rFonts w:ascii="Arial" w:hAnsi="Arial" w:cs="Arial"/>
          <w:color w:val="000000" w:themeColor="text1"/>
          <w:sz w:val="24"/>
          <w:szCs w:val="24"/>
        </w:rPr>
        <w:t xml:space="preserve">the </w:t>
      </w:r>
      <w:r w:rsidR="0005314C" w:rsidRPr="007C5BD6">
        <w:rPr>
          <w:rFonts w:ascii="Arial" w:hAnsi="Arial" w:cs="Arial"/>
          <w:color w:val="000000" w:themeColor="text1"/>
          <w:sz w:val="24"/>
          <w:szCs w:val="24"/>
        </w:rPr>
        <w:t>270,62</w:t>
      </w:r>
      <w:r w:rsidR="007C5BD6" w:rsidRPr="007C5BD6">
        <w:rPr>
          <w:rFonts w:ascii="Arial" w:hAnsi="Arial" w:cs="Arial"/>
          <w:color w:val="000000" w:themeColor="text1"/>
          <w:sz w:val="24"/>
          <w:szCs w:val="24"/>
        </w:rPr>
        <w:t>7</w:t>
      </w:r>
      <w:r w:rsidR="0005314C" w:rsidRPr="007C5BD6">
        <w:rPr>
          <w:rFonts w:ascii="Arial" w:hAnsi="Arial" w:cs="Arial"/>
          <w:color w:val="000000" w:themeColor="text1"/>
          <w:sz w:val="24"/>
          <w:szCs w:val="24"/>
        </w:rPr>
        <w:t>,</w:t>
      </w:r>
      <w:r w:rsidR="007C5BD6" w:rsidRPr="007C5BD6">
        <w:rPr>
          <w:rFonts w:ascii="Arial" w:hAnsi="Arial" w:cs="Arial"/>
          <w:color w:val="000000" w:themeColor="text1"/>
          <w:sz w:val="24"/>
          <w:szCs w:val="24"/>
        </w:rPr>
        <w:t>756</w:t>
      </w:r>
      <w:r w:rsidR="0005314C" w:rsidRPr="007C5BD6">
        <w:rPr>
          <w:rFonts w:ascii="Arial" w:hAnsi="Arial" w:cs="Arial"/>
          <w:color w:val="000000" w:themeColor="text1"/>
          <w:sz w:val="24"/>
          <w:szCs w:val="24"/>
        </w:rPr>
        <w:t xml:space="preserve"> tCO</w:t>
      </w:r>
      <w:r w:rsidR="0005314C" w:rsidRPr="007C5BD6">
        <w:rPr>
          <w:rFonts w:ascii="Arial" w:hAnsi="Arial" w:cs="Arial"/>
          <w:color w:val="000000" w:themeColor="text1"/>
          <w:sz w:val="24"/>
          <w:szCs w:val="24"/>
          <w:vertAlign w:val="subscript"/>
        </w:rPr>
        <w:t>2</w:t>
      </w:r>
      <w:r w:rsidR="0005314C" w:rsidRPr="007C5BD6">
        <w:rPr>
          <w:rFonts w:ascii="Arial" w:hAnsi="Arial" w:cs="Arial"/>
          <w:color w:val="000000" w:themeColor="text1"/>
          <w:sz w:val="24"/>
          <w:szCs w:val="24"/>
        </w:rPr>
        <w:t xml:space="preserve">e </w:t>
      </w:r>
      <w:r w:rsidR="00053239" w:rsidRPr="007C5BD6">
        <w:rPr>
          <w:rFonts w:ascii="Arial" w:hAnsi="Arial" w:cs="Arial"/>
          <w:color w:val="000000" w:themeColor="text1"/>
          <w:sz w:val="24"/>
          <w:szCs w:val="24"/>
        </w:rPr>
        <w:t>l</w:t>
      </w:r>
      <w:r w:rsidR="00053239" w:rsidRPr="00BD33CA">
        <w:rPr>
          <w:rFonts w:ascii="Arial" w:hAnsi="Arial" w:cs="Arial"/>
          <w:sz w:val="24"/>
          <w:szCs w:val="24"/>
        </w:rPr>
        <w:t xml:space="preserve">ifetime </w:t>
      </w:r>
      <w:r w:rsidR="007C5BD6">
        <w:rPr>
          <w:rFonts w:ascii="Arial" w:hAnsi="Arial" w:cs="Arial"/>
          <w:sz w:val="24"/>
          <w:szCs w:val="24"/>
        </w:rPr>
        <w:t>averted/sequestered CO</w:t>
      </w:r>
      <w:r w:rsidR="007C5BD6" w:rsidRPr="007C5BD6">
        <w:rPr>
          <w:rFonts w:ascii="Arial" w:hAnsi="Arial" w:cs="Arial"/>
          <w:sz w:val="24"/>
          <w:szCs w:val="24"/>
          <w:vertAlign w:val="subscript"/>
        </w:rPr>
        <w:t>2</w:t>
      </w:r>
      <w:r w:rsidR="007C5BD6">
        <w:rPr>
          <w:rFonts w:ascii="Arial" w:hAnsi="Arial" w:cs="Arial"/>
          <w:sz w:val="24"/>
          <w:szCs w:val="24"/>
        </w:rPr>
        <w:t xml:space="preserve"> </w:t>
      </w:r>
      <w:r w:rsidR="00053239" w:rsidRPr="00BD33CA">
        <w:rPr>
          <w:rFonts w:ascii="Arial" w:hAnsi="Arial" w:cs="Arial"/>
          <w:sz w:val="24"/>
          <w:szCs w:val="24"/>
        </w:rPr>
        <w:t xml:space="preserve">achieved </w:t>
      </w:r>
      <w:r w:rsidR="00B214D5">
        <w:rPr>
          <w:rFonts w:ascii="Arial" w:hAnsi="Arial" w:cs="Arial"/>
          <w:sz w:val="24"/>
          <w:szCs w:val="24"/>
        </w:rPr>
        <w:t xml:space="preserve">from the sum of </w:t>
      </w:r>
      <w:r w:rsidR="00053239" w:rsidRPr="00BD33CA">
        <w:rPr>
          <w:rFonts w:ascii="Arial" w:hAnsi="Arial" w:cs="Arial"/>
          <w:sz w:val="24"/>
          <w:szCs w:val="24"/>
        </w:rPr>
        <w:t xml:space="preserve">renewable electricity </w:t>
      </w:r>
      <w:r w:rsidR="007C5BD6">
        <w:rPr>
          <w:rFonts w:ascii="Arial" w:hAnsi="Arial" w:cs="Arial"/>
          <w:sz w:val="24"/>
          <w:szCs w:val="24"/>
        </w:rPr>
        <w:t xml:space="preserve">generated </w:t>
      </w:r>
      <w:r w:rsidR="00B214D5">
        <w:rPr>
          <w:rFonts w:ascii="Arial" w:hAnsi="Arial" w:cs="Arial"/>
          <w:sz w:val="24"/>
          <w:szCs w:val="24"/>
        </w:rPr>
        <w:t xml:space="preserve">and annual reinvestment in TDEF eco-restoration </w:t>
      </w:r>
      <w:r w:rsidR="00053239" w:rsidRPr="00BD33CA">
        <w:rPr>
          <w:rFonts w:ascii="Arial" w:hAnsi="Arial" w:cs="Arial"/>
          <w:sz w:val="24"/>
          <w:szCs w:val="24"/>
        </w:rPr>
        <w:t>from a 2.1</w:t>
      </w:r>
      <w:r w:rsidR="007C5BD6">
        <w:rPr>
          <w:rFonts w:ascii="Arial" w:hAnsi="Arial" w:cs="Arial"/>
          <w:sz w:val="24"/>
          <w:szCs w:val="24"/>
        </w:rPr>
        <w:t>MW</w:t>
      </w:r>
      <w:r w:rsidR="00053239" w:rsidRPr="00BD33CA">
        <w:rPr>
          <w:rFonts w:ascii="Arial" w:hAnsi="Arial" w:cs="Arial"/>
          <w:sz w:val="24"/>
          <w:szCs w:val="24"/>
        </w:rPr>
        <w:t xml:space="preserve"> wind turbine in Tamil Nadu.</w:t>
      </w:r>
      <w:r w:rsidR="0041530B" w:rsidRPr="00BD33CA">
        <w:rPr>
          <w:rFonts w:ascii="Arial" w:hAnsi="Arial" w:cs="Arial"/>
          <w:sz w:val="24"/>
          <w:szCs w:val="24"/>
        </w:rPr>
        <w:t xml:space="preserve">  Theoretically, a</w:t>
      </w:r>
      <w:r w:rsidR="00B214D5">
        <w:rPr>
          <w:rFonts w:ascii="Arial" w:hAnsi="Arial" w:cs="Arial"/>
          <w:sz w:val="24"/>
          <w:szCs w:val="24"/>
        </w:rPr>
        <w:t>n up-front</w:t>
      </w:r>
      <w:r w:rsidR="0041530B" w:rsidRPr="00BD33CA">
        <w:rPr>
          <w:rFonts w:ascii="Arial" w:hAnsi="Arial" w:cs="Arial"/>
          <w:sz w:val="24"/>
          <w:szCs w:val="24"/>
        </w:rPr>
        <w:t xml:space="preserve"> capital fund of £1,575,000 invested by Bristol City </w:t>
      </w:r>
      <w:r w:rsidRPr="00BD33CA">
        <w:rPr>
          <w:rFonts w:ascii="Arial" w:hAnsi="Arial" w:cs="Arial"/>
          <w:sz w:val="24"/>
          <w:szCs w:val="24"/>
        </w:rPr>
        <w:t xml:space="preserve">for installation of a 2.1 MW wind turbine in Tamil Nadu </w:t>
      </w:r>
      <w:r w:rsidR="007C5BD6">
        <w:rPr>
          <w:rFonts w:ascii="Arial" w:hAnsi="Arial" w:cs="Arial"/>
          <w:sz w:val="24"/>
          <w:szCs w:val="24"/>
        </w:rPr>
        <w:t xml:space="preserve">under </w:t>
      </w:r>
      <w:r w:rsidRPr="00BD33CA">
        <w:rPr>
          <w:rFonts w:ascii="Arial" w:hAnsi="Arial" w:cs="Arial"/>
          <w:sz w:val="24"/>
          <w:szCs w:val="24"/>
        </w:rPr>
        <w:t xml:space="preserve">the TCW Group model would </w:t>
      </w:r>
      <w:r w:rsidR="0041530B" w:rsidRPr="00BD33CA">
        <w:rPr>
          <w:rFonts w:ascii="Arial" w:hAnsi="Arial" w:cs="Arial"/>
          <w:sz w:val="24"/>
          <w:szCs w:val="24"/>
        </w:rPr>
        <w:t xml:space="preserve">therefore </w:t>
      </w:r>
      <w:r w:rsidRPr="00BD33CA">
        <w:rPr>
          <w:rFonts w:ascii="Arial" w:hAnsi="Arial" w:cs="Arial"/>
          <w:sz w:val="24"/>
          <w:szCs w:val="24"/>
        </w:rPr>
        <w:t>approximately account for total city-wide emissions over a century</w:t>
      </w:r>
      <w:r w:rsidR="0041530B" w:rsidRPr="00BD33CA">
        <w:rPr>
          <w:rFonts w:ascii="Arial" w:hAnsi="Arial" w:cs="Arial"/>
          <w:sz w:val="24"/>
          <w:szCs w:val="24"/>
        </w:rPr>
        <w:t xml:space="preserve">.  </w:t>
      </w:r>
      <w:r w:rsidR="00B214D5">
        <w:rPr>
          <w:rFonts w:ascii="Arial" w:hAnsi="Arial" w:cs="Arial"/>
          <w:sz w:val="24"/>
          <w:szCs w:val="24"/>
        </w:rPr>
        <w:t>T</w:t>
      </w:r>
      <w:r w:rsidR="0041530B" w:rsidRPr="00BD33CA">
        <w:rPr>
          <w:rFonts w:ascii="Arial" w:hAnsi="Arial" w:cs="Arial"/>
          <w:sz w:val="24"/>
          <w:szCs w:val="24"/>
        </w:rPr>
        <w:t xml:space="preserve">his investment </w:t>
      </w:r>
      <w:r w:rsidR="00B214D5">
        <w:rPr>
          <w:rFonts w:ascii="Arial" w:hAnsi="Arial" w:cs="Arial"/>
          <w:sz w:val="24"/>
          <w:szCs w:val="24"/>
        </w:rPr>
        <w:t xml:space="preserve">represents one-off </w:t>
      </w:r>
      <w:r w:rsidR="0041530B" w:rsidRPr="00BD33CA">
        <w:rPr>
          <w:rFonts w:ascii="Arial" w:hAnsi="Arial" w:cs="Arial"/>
          <w:sz w:val="24"/>
          <w:szCs w:val="24"/>
        </w:rPr>
        <w:t>i</w:t>
      </w:r>
      <w:r w:rsidRPr="00BD33CA">
        <w:rPr>
          <w:rFonts w:ascii="Arial" w:hAnsi="Arial" w:cs="Arial"/>
          <w:sz w:val="24"/>
          <w:szCs w:val="24"/>
        </w:rPr>
        <w:t>nvestment in an initial year of £3:</w:t>
      </w:r>
      <w:r w:rsidR="007C5BD6">
        <w:rPr>
          <w:rFonts w:ascii="Arial" w:hAnsi="Arial" w:cs="Arial"/>
          <w:sz w:val="24"/>
          <w:szCs w:val="24"/>
        </w:rPr>
        <w:t>5</w:t>
      </w:r>
      <w:r w:rsidRPr="00BD33CA">
        <w:rPr>
          <w:rFonts w:ascii="Arial" w:hAnsi="Arial" w:cs="Arial"/>
          <w:sz w:val="24"/>
          <w:szCs w:val="24"/>
        </w:rPr>
        <w:t>6 for each of Bristol City’s 44</w:t>
      </w:r>
      <w:r w:rsidR="00B214D5">
        <w:rPr>
          <w:rFonts w:ascii="Arial" w:hAnsi="Arial" w:cs="Arial"/>
          <w:sz w:val="24"/>
          <w:szCs w:val="24"/>
        </w:rPr>
        <w:t>2</w:t>
      </w:r>
      <w:r w:rsidRPr="00BD33CA">
        <w:rPr>
          <w:rFonts w:ascii="Arial" w:hAnsi="Arial" w:cs="Arial"/>
          <w:sz w:val="24"/>
          <w:szCs w:val="24"/>
        </w:rPr>
        <w:t>,</w:t>
      </w:r>
      <w:r w:rsidR="00B214D5">
        <w:rPr>
          <w:rFonts w:ascii="Arial" w:hAnsi="Arial" w:cs="Arial"/>
          <w:sz w:val="24"/>
          <w:szCs w:val="24"/>
        </w:rPr>
        <w:t>5</w:t>
      </w:r>
      <w:r w:rsidRPr="00BD33CA">
        <w:rPr>
          <w:rFonts w:ascii="Arial" w:hAnsi="Arial" w:cs="Arial"/>
          <w:sz w:val="24"/>
          <w:szCs w:val="24"/>
        </w:rPr>
        <w:t>00 population</w:t>
      </w:r>
      <w:r w:rsidR="0041530B" w:rsidRPr="00BD33CA">
        <w:rPr>
          <w:rFonts w:ascii="Arial" w:hAnsi="Arial" w:cs="Arial"/>
          <w:sz w:val="24"/>
          <w:szCs w:val="24"/>
        </w:rPr>
        <w:t>.  This may be achieved by any of a variety of means, including for example a direct levy (voluntary or compulsory) or a o</w:t>
      </w:r>
      <w:r w:rsidR="007C5BD6">
        <w:rPr>
          <w:rFonts w:ascii="Arial" w:hAnsi="Arial" w:cs="Arial"/>
          <w:sz w:val="24"/>
          <w:szCs w:val="24"/>
        </w:rPr>
        <w:t>ne-off £7:12</w:t>
      </w:r>
      <w:r w:rsidRPr="00BD33CA">
        <w:rPr>
          <w:rFonts w:ascii="Arial" w:hAnsi="Arial" w:cs="Arial"/>
          <w:sz w:val="24"/>
          <w:szCs w:val="24"/>
        </w:rPr>
        <w:t xml:space="preserve"> supplementary charge on </w:t>
      </w:r>
      <w:r w:rsidR="0041530B" w:rsidRPr="00BD33CA">
        <w:rPr>
          <w:rFonts w:ascii="Arial" w:hAnsi="Arial" w:cs="Arial"/>
          <w:sz w:val="24"/>
          <w:szCs w:val="24"/>
        </w:rPr>
        <w:t xml:space="preserve">domestic </w:t>
      </w:r>
      <w:r w:rsidRPr="00BD33CA">
        <w:rPr>
          <w:rFonts w:ascii="Arial" w:hAnsi="Arial" w:cs="Arial"/>
          <w:sz w:val="24"/>
          <w:szCs w:val="24"/>
        </w:rPr>
        <w:t>rate</w:t>
      </w:r>
      <w:r w:rsidR="007C5BD6">
        <w:rPr>
          <w:rFonts w:ascii="Arial" w:hAnsi="Arial" w:cs="Arial"/>
          <w:sz w:val="24"/>
          <w:szCs w:val="24"/>
        </w:rPr>
        <w:t>s</w:t>
      </w:r>
      <w:r w:rsidR="0041530B" w:rsidRPr="00BD33CA">
        <w:rPr>
          <w:rFonts w:ascii="Arial" w:hAnsi="Arial" w:cs="Arial"/>
          <w:sz w:val="24"/>
          <w:szCs w:val="24"/>
        </w:rPr>
        <w:t xml:space="preserve"> on properties </w:t>
      </w:r>
      <w:r w:rsidRPr="00BD33CA">
        <w:rPr>
          <w:rFonts w:ascii="Arial" w:hAnsi="Arial" w:cs="Arial"/>
          <w:sz w:val="24"/>
          <w:szCs w:val="24"/>
        </w:rPr>
        <w:t>for</w:t>
      </w:r>
      <w:r w:rsidR="007C5BD6">
        <w:rPr>
          <w:rFonts w:ascii="Arial" w:hAnsi="Arial" w:cs="Arial"/>
          <w:sz w:val="24"/>
          <w:szCs w:val="24"/>
        </w:rPr>
        <w:t xml:space="preserve"> </w:t>
      </w:r>
      <w:r w:rsidRPr="00BD33CA">
        <w:rPr>
          <w:rFonts w:ascii="Arial" w:hAnsi="Arial" w:cs="Arial"/>
          <w:sz w:val="24"/>
          <w:szCs w:val="24"/>
        </w:rPr>
        <w:t>rate-payers</w:t>
      </w:r>
      <w:r w:rsidR="007C5BD6">
        <w:rPr>
          <w:rFonts w:ascii="Arial" w:hAnsi="Arial" w:cs="Arial"/>
          <w:sz w:val="24"/>
          <w:szCs w:val="24"/>
        </w:rPr>
        <w:t xml:space="preserve"> </w:t>
      </w:r>
      <w:r w:rsidR="007C5BD6">
        <w:rPr>
          <w:rFonts w:ascii="Arial" w:hAnsi="Arial" w:cs="Arial"/>
          <w:sz w:val="24"/>
          <w:szCs w:val="24"/>
        </w:rPr>
        <w:lastRenderedPageBreak/>
        <w:t>assumed to comprise 50% of total authority area population</w:t>
      </w:r>
      <w:r w:rsidRPr="00BD33CA">
        <w:rPr>
          <w:rFonts w:ascii="Arial" w:hAnsi="Arial" w:cs="Arial"/>
          <w:sz w:val="24"/>
          <w:szCs w:val="24"/>
        </w:rPr>
        <w:t>.</w:t>
      </w:r>
      <w:r w:rsidR="0041530B" w:rsidRPr="00BD33CA">
        <w:rPr>
          <w:rFonts w:ascii="Arial" w:hAnsi="Arial" w:cs="Arial"/>
          <w:sz w:val="24"/>
          <w:szCs w:val="24"/>
        </w:rPr>
        <w:t xml:space="preserve">  </w:t>
      </w:r>
      <w:r w:rsidR="00B214D5">
        <w:rPr>
          <w:rFonts w:ascii="Arial" w:hAnsi="Arial" w:cs="Arial"/>
          <w:sz w:val="24"/>
          <w:szCs w:val="24"/>
        </w:rPr>
        <w:t>I</w:t>
      </w:r>
      <w:r w:rsidR="0041530B" w:rsidRPr="00BD33CA">
        <w:rPr>
          <w:rFonts w:ascii="Arial" w:hAnsi="Arial" w:cs="Arial"/>
          <w:sz w:val="24"/>
          <w:szCs w:val="24"/>
        </w:rPr>
        <w:t xml:space="preserve">nvestment in offsetting future emissions is consistent with commitments made by </w:t>
      </w:r>
      <w:r w:rsidRPr="00BD33CA">
        <w:rPr>
          <w:rFonts w:ascii="Arial" w:hAnsi="Arial" w:cs="Arial"/>
          <w:sz w:val="24"/>
          <w:szCs w:val="24"/>
        </w:rPr>
        <w:t>Bristol City to c</w:t>
      </w:r>
      <w:r w:rsidR="0041530B" w:rsidRPr="00BD33CA">
        <w:rPr>
          <w:rFonts w:ascii="Arial" w:hAnsi="Arial" w:cs="Arial"/>
          <w:sz w:val="24"/>
          <w:szCs w:val="24"/>
        </w:rPr>
        <w:t>ut carbon dioxide emissions by 6</w:t>
      </w:r>
      <w:r w:rsidRPr="00BD33CA">
        <w:rPr>
          <w:rFonts w:ascii="Arial" w:hAnsi="Arial" w:cs="Arial"/>
          <w:sz w:val="24"/>
          <w:szCs w:val="24"/>
        </w:rPr>
        <w:t>0% by 2050</w:t>
      </w:r>
      <w:r w:rsidR="0041530B" w:rsidRPr="00BD33CA">
        <w:rPr>
          <w:rFonts w:ascii="Arial" w:hAnsi="Arial" w:cs="Arial"/>
          <w:sz w:val="24"/>
          <w:szCs w:val="24"/>
        </w:rPr>
        <w:t xml:space="preserve"> (Bristol City Council, 2016</w:t>
      </w:r>
      <w:r w:rsidR="00BD33CA" w:rsidRPr="00BD33CA">
        <w:rPr>
          <w:rFonts w:ascii="Arial" w:hAnsi="Arial" w:cs="Arial"/>
          <w:sz w:val="24"/>
          <w:szCs w:val="24"/>
        </w:rPr>
        <w:t>b</w:t>
      </w:r>
      <w:r w:rsidR="0041530B" w:rsidRPr="00BD33CA">
        <w:rPr>
          <w:rFonts w:ascii="Arial" w:hAnsi="Arial" w:cs="Arial"/>
          <w:sz w:val="24"/>
          <w:szCs w:val="24"/>
        </w:rPr>
        <w:t>)</w:t>
      </w:r>
      <w:r w:rsidRPr="00BD33CA">
        <w:rPr>
          <w:rFonts w:ascii="Arial" w:hAnsi="Arial" w:cs="Arial"/>
          <w:sz w:val="24"/>
          <w:szCs w:val="24"/>
        </w:rPr>
        <w:t>.</w:t>
      </w:r>
    </w:p>
    <w:p w14:paraId="0F993F55" w14:textId="77777777" w:rsidR="0041530B" w:rsidRPr="00BD33CA" w:rsidRDefault="0041530B" w:rsidP="0077133D">
      <w:pPr>
        <w:pStyle w:val="NormalWeb"/>
        <w:spacing w:before="0" w:beforeAutospacing="0" w:after="0" w:afterAutospacing="0"/>
        <w:contextualSpacing/>
        <w:rPr>
          <w:rFonts w:ascii="Arial" w:hAnsi="Arial" w:cs="Arial"/>
        </w:rPr>
      </w:pPr>
    </w:p>
    <w:p w14:paraId="48415CD5" w14:textId="585D5202" w:rsidR="00532F56" w:rsidRPr="0077133D" w:rsidRDefault="00532F56" w:rsidP="0077133D">
      <w:pPr>
        <w:spacing w:after="0" w:line="240" w:lineRule="auto"/>
        <w:contextualSpacing/>
        <w:rPr>
          <w:rFonts w:ascii="Arial" w:hAnsi="Arial" w:cs="Arial"/>
          <w:sz w:val="24"/>
          <w:szCs w:val="24"/>
        </w:rPr>
      </w:pPr>
      <w:r w:rsidRPr="0077133D">
        <w:rPr>
          <w:rFonts w:ascii="Arial" w:hAnsi="Arial" w:cs="Arial"/>
          <w:sz w:val="24"/>
          <w:szCs w:val="24"/>
        </w:rPr>
        <w:t xml:space="preserve">Extending these same </w:t>
      </w:r>
      <w:r w:rsidRPr="00DD2B79">
        <w:rPr>
          <w:rFonts w:ascii="Arial" w:hAnsi="Arial" w:cs="Arial"/>
          <w:sz w:val="24"/>
          <w:szCs w:val="24"/>
        </w:rPr>
        <w:t>broad approximations to</w:t>
      </w:r>
      <w:r w:rsidR="00B214D5">
        <w:rPr>
          <w:rFonts w:ascii="Arial" w:hAnsi="Arial" w:cs="Arial"/>
          <w:sz w:val="24"/>
          <w:szCs w:val="24"/>
        </w:rPr>
        <w:t xml:space="preserve"> the 5 million people of south-</w:t>
      </w:r>
      <w:r w:rsidRPr="0077133D">
        <w:rPr>
          <w:rFonts w:ascii="Arial" w:hAnsi="Arial" w:cs="Arial"/>
          <w:sz w:val="24"/>
          <w:szCs w:val="24"/>
        </w:rPr>
        <w:t>west England, assuming the same mean per capita carbon dioxide emissions of 5.8 tCO</w:t>
      </w:r>
      <w:r w:rsidRPr="0077133D">
        <w:rPr>
          <w:rFonts w:ascii="Arial" w:hAnsi="Arial" w:cs="Arial"/>
          <w:sz w:val="24"/>
          <w:szCs w:val="24"/>
          <w:vertAlign w:val="subscript"/>
        </w:rPr>
        <w:t>2</w:t>
      </w:r>
      <w:r w:rsidR="0005314C">
        <w:rPr>
          <w:rFonts w:ascii="Arial" w:hAnsi="Arial" w:cs="Arial"/>
          <w:sz w:val="24"/>
          <w:szCs w:val="24"/>
        </w:rPr>
        <w:t xml:space="preserve">e </w:t>
      </w:r>
      <w:r w:rsidRPr="0077133D">
        <w:rPr>
          <w:rFonts w:ascii="Arial" w:hAnsi="Arial" w:cs="Arial"/>
          <w:sz w:val="24"/>
          <w:szCs w:val="24"/>
        </w:rPr>
        <w:t>year</w:t>
      </w:r>
      <w:r w:rsidRPr="0077133D">
        <w:rPr>
          <w:rFonts w:ascii="Arial" w:hAnsi="Arial" w:cs="Arial"/>
          <w:sz w:val="24"/>
          <w:szCs w:val="24"/>
          <w:vertAlign w:val="superscript"/>
        </w:rPr>
        <w:t>-1</w:t>
      </w:r>
      <w:r w:rsidR="0041530B" w:rsidRPr="0077133D">
        <w:rPr>
          <w:rFonts w:ascii="Arial" w:hAnsi="Arial" w:cs="Arial"/>
          <w:sz w:val="24"/>
          <w:szCs w:val="24"/>
        </w:rPr>
        <w:t>, suggests a</w:t>
      </w:r>
      <w:r w:rsidRPr="0077133D">
        <w:rPr>
          <w:rFonts w:ascii="Arial" w:hAnsi="Arial" w:cs="Arial"/>
          <w:sz w:val="24"/>
          <w:szCs w:val="24"/>
        </w:rPr>
        <w:t>nnual south west England carbon dioxide emissions of 29 million tCO</w:t>
      </w:r>
      <w:r w:rsidRPr="0077133D">
        <w:rPr>
          <w:rFonts w:ascii="Arial" w:hAnsi="Arial" w:cs="Arial"/>
          <w:sz w:val="24"/>
          <w:szCs w:val="24"/>
          <w:vertAlign w:val="subscript"/>
        </w:rPr>
        <w:t>2</w:t>
      </w:r>
      <w:r w:rsidR="00DC0E60">
        <w:rPr>
          <w:rFonts w:ascii="Arial" w:hAnsi="Arial" w:cs="Arial"/>
          <w:sz w:val="24"/>
          <w:szCs w:val="24"/>
        </w:rPr>
        <w:t xml:space="preserve">e </w:t>
      </w:r>
      <w:r w:rsidRPr="0077133D">
        <w:rPr>
          <w:rFonts w:ascii="Arial" w:hAnsi="Arial" w:cs="Arial"/>
          <w:sz w:val="24"/>
          <w:szCs w:val="24"/>
        </w:rPr>
        <w:t>year</w:t>
      </w:r>
      <w:r w:rsidRPr="0077133D">
        <w:rPr>
          <w:rFonts w:ascii="Arial" w:hAnsi="Arial" w:cs="Arial"/>
          <w:sz w:val="24"/>
          <w:szCs w:val="24"/>
          <w:vertAlign w:val="superscript"/>
        </w:rPr>
        <w:t>-1</w:t>
      </w:r>
      <w:r w:rsidRPr="0077133D">
        <w:rPr>
          <w:rFonts w:ascii="Arial" w:hAnsi="Arial" w:cs="Arial"/>
          <w:sz w:val="24"/>
          <w:szCs w:val="24"/>
        </w:rPr>
        <w:t>.</w:t>
      </w:r>
      <w:r w:rsidR="0041530B" w:rsidRPr="0077133D">
        <w:rPr>
          <w:rFonts w:ascii="Arial" w:hAnsi="Arial" w:cs="Arial"/>
          <w:sz w:val="24"/>
          <w:szCs w:val="24"/>
        </w:rPr>
        <w:t xml:space="preserve">  </w:t>
      </w:r>
      <w:r w:rsidRPr="0077133D">
        <w:rPr>
          <w:rFonts w:ascii="Arial" w:hAnsi="Arial" w:cs="Arial"/>
          <w:sz w:val="24"/>
          <w:szCs w:val="24"/>
        </w:rPr>
        <w:t>Cumulative south west Engl</w:t>
      </w:r>
      <w:r w:rsidR="0041530B" w:rsidRPr="0077133D">
        <w:rPr>
          <w:rFonts w:ascii="Arial" w:hAnsi="Arial" w:cs="Arial"/>
          <w:sz w:val="24"/>
          <w:szCs w:val="24"/>
        </w:rPr>
        <w:t xml:space="preserve">and carbon dioxide emissions over a century would therefore be in the order of </w:t>
      </w:r>
      <w:r w:rsidRPr="0077133D">
        <w:rPr>
          <w:rFonts w:ascii="Arial" w:hAnsi="Arial" w:cs="Arial"/>
          <w:sz w:val="24"/>
          <w:szCs w:val="24"/>
        </w:rPr>
        <w:t>2.9 billion tCO</w:t>
      </w:r>
      <w:r w:rsidRPr="0077133D">
        <w:rPr>
          <w:rFonts w:ascii="Arial" w:hAnsi="Arial" w:cs="Arial"/>
          <w:sz w:val="24"/>
          <w:szCs w:val="24"/>
          <w:vertAlign w:val="subscript"/>
        </w:rPr>
        <w:t>2</w:t>
      </w:r>
      <w:r w:rsidR="00DC0E60">
        <w:rPr>
          <w:rFonts w:ascii="Arial" w:hAnsi="Arial" w:cs="Arial"/>
          <w:sz w:val="24"/>
          <w:szCs w:val="24"/>
        </w:rPr>
        <w:t>e,</w:t>
      </w:r>
      <w:r w:rsidR="0041530B" w:rsidRPr="0077133D">
        <w:rPr>
          <w:rFonts w:ascii="Arial" w:hAnsi="Arial" w:cs="Arial"/>
          <w:sz w:val="24"/>
          <w:szCs w:val="24"/>
        </w:rPr>
        <w:t xml:space="preserve"> again overlooking population and per capita emissions fluctuations</w:t>
      </w:r>
      <w:r w:rsidR="00B214D5">
        <w:rPr>
          <w:rFonts w:ascii="Arial" w:hAnsi="Arial" w:cs="Arial"/>
          <w:sz w:val="24"/>
          <w:szCs w:val="24"/>
        </w:rPr>
        <w:t>.</w:t>
      </w:r>
      <w:r w:rsidR="0041530B" w:rsidRPr="0077133D">
        <w:rPr>
          <w:rFonts w:ascii="Arial" w:hAnsi="Arial" w:cs="Arial"/>
          <w:sz w:val="24"/>
          <w:szCs w:val="24"/>
        </w:rPr>
        <w:t xml:space="preserve">  </w:t>
      </w:r>
      <w:r w:rsidRPr="0077133D">
        <w:rPr>
          <w:rFonts w:ascii="Arial" w:hAnsi="Arial" w:cs="Arial"/>
          <w:sz w:val="24"/>
          <w:szCs w:val="24"/>
        </w:rPr>
        <w:t xml:space="preserve">In simplistic terms, reinvestment </w:t>
      </w:r>
      <w:r w:rsidR="0041530B" w:rsidRPr="0077133D">
        <w:rPr>
          <w:rFonts w:ascii="Arial" w:hAnsi="Arial" w:cs="Arial"/>
          <w:sz w:val="24"/>
          <w:szCs w:val="24"/>
        </w:rPr>
        <w:t xml:space="preserve">in TDEF </w:t>
      </w:r>
      <w:r w:rsidRPr="0077133D">
        <w:rPr>
          <w:rFonts w:ascii="Arial" w:hAnsi="Arial" w:cs="Arial"/>
          <w:sz w:val="24"/>
          <w:szCs w:val="24"/>
        </w:rPr>
        <w:t xml:space="preserve">of £100,000 </w:t>
      </w:r>
      <w:r w:rsidR="0041530B" w:rsidRPr="0077133D">
        <w:rPr>
          <w:rFonts w:ascii="Arial" w:hAnsi="Arial" w:cs="Arial"/>
          <w:sz w:val="24"/>
          <w:szCs w:val="24"/>
        </w:rPr>
        <w:t xml:space="preserve">year-on-year </w:t>
      </w:r>
      <w:r w:rsidRPr="0077133D">
        <w:rPr>
          <w:rFonts w:ascii="Arial" w:hAnsi="Arial" w:cs="Arial"/>
          <w:sz w:val="24"/>
          <w:szCs w:val="24"/>
        </w:rPr>
        <w:t xml:space="preserve">from operating margins from each of ten </w:t>
      </w:r>
      <w:r w:rsidR="007C5BD6">
        <w:rPr>
          <w:rFonts w:ascii="Arial" w:hAnsi="Arial" w:cs="Arial"/>
          <w:sz w:val="24"/>
          <w:szCs w:val="24"/>
        </w:rPr>
        <w:t xml:space="preserve">2.1MW </w:t>
      </w:r>
      <w:r w:rsidRPr="0077133D">
        <w:rPr>
          <w:rFonts w:ascii="Arial" w:hAnsi="Arial" w:cs="Arial"/>
          <w:sz w:val="24"/>
          <w:szCs w:val="24"/>
        </w:rPr>
        <w:t xml:space="preserve">turbines would generate approximately 2.7 billion </w:t>
      </w:r>
      <w:r w:rsidR="007C5BD6">
        <w:rPr>
          <w:rFonts w:ascii="Arial" w:hAnsi="Arial" w:cs="Arial"/>
          <w:sz w:val="24"/>
          <w:szCs w:val="24"/>
        </w:rPr>
        <w:t>averted/</w:t>
      </w:r>
      <w:r w:rsidRPr="0077133D">
        <w:rPr>
          <w:rFonts w:ascii="Arial" w:hAnsi="Arial" w:cs="Arial"/>
          <w:sz w:val="24"/>
          <w:szCs w:val="24"/>
        </w:rPr>
        <w:t>sequest</w:t>
      </w:r>
      <w:r w:rsidR="007C5BD6">
        <w:rPr>
          <w:rFonts w:ascii="Arial" w:hAnsi="Arial" w:cs="Arial"/>
          <w:sz w:val="24"/>
          <w:szCs w:val="24"/>
        </w:rPr>
        <w:t>ered tCO</w:t>
      </w:r>
      <w:r w:rsidR="007C5BD6" w:rsidRPr="007C5BD6">
        <w:rPr>
          <w:rFonts w:ascii="Arial" w:hAnsi="Arial" w:cs="Arial"/>
          <w:sz w:val="24"/>
          <w:szCs w:val="24"/>
          <w:vertAlign w:val="subscript"/>
        </w:rPr>
        <w:t>2</w:t>
      </w:r>
      <w:r w:rsidR="007C5BD6">
        <w:rPr>
          <w:rFonts w:ascii="Arial" w:hAnsi="Arial" w:cs="Arial"/>
          <w:sz w:val="24"/>
          <w:szCs w:val="24"/>
        </w:rPr>
        <w:t>e</w:t>
      </w:r>
      <w:r w:rsidR="0041530B" w:rsidRPr="0077133D">
        <w:rPr>
          <w:rFonts w:ascii="Arial" w:hAnsi="Arial" w:cs="Arial"/>
          <w:sz w:val="24"/>
          <w:szCs w:val="24"/>
        </w:rPr>
        <w:t xml:space="preserve"> </w:t>
      </w:r>
      <w:r w:rsidRPr="0077133D">
        <w:rPr>
          <w:rFonts w:ascii="Arial" w:hAnsi="Arial" w:cs="Arial"/>
          <w:sz w:val="24"/>
          <w:szCs w:val="24"/>
        </w:rPr>
        <w:t>over a century</w:t>
      </w:r>
      <w:r w:rsidR="0041530B" w:rsidRPr="0077133D">
        <w:rPr>
          <w:rFonts w:ascii="Arial" w:hAnsi="Arial" w:cs="Arial"/>
          <w:sz w:val="24"/>
          <w:szCs w:val="24"/>
        </w:rPr>
        <w:t xml:space="preserve"> that, </w:t>
      </w:r>
      <w:r w:rsidR="00B214D5">
        <w:rPr>
          <w:rFonts w:ascii="Arial" w:hAnsi="Arial" w:cs="Arial"/>
          <w:sz w:val="24"/>
          <w:szCs w:val="24"/>
        </w:rPr>
        <w:t xml:space="preserve">with </w:t>
      </w:r>
      <w:r w:rsidRPr="0077133D">
        <w:rPr>
          <w:rFonts w:ascii="Arial" w:hAnsi="Arial" w:cs="Arial"/>
          <w:sz w:val="24"/>
          <w:szCs w:val="24"/>
        </w:rPr>
        <w:t>substantial uncertainties</w:t>
      </w:r>
      <w:r w:rsidR="0041530B" w:rsidRPr="0077133D">
        <w:rPr>
          <w:rFonts w:ascii="Arial" w:hAnsi="Arial" w:cs="Arial"/>
          <w:sz w:val="24"/>
          <w:szCs w:val="24"/>
        </w:rPr>
        <w:t xml:space="preserve">, </w:t>
      </w:r>
      <w:r w:rsidRPr="0077133D">
        <w:rPr>
          <w:rFonts w:ascii="Arial" w:hAnsi="Arial" w:cs="Arial"/>
          <w:sz w:val="24"/>
          <w:szCs w:val="24"/>
        </w:rPr>
        <w:t>more or less equ</w:t>
      </w:r>
      <w:r w:rsidR="007C5BD6">
        <w:rPr>
          <w:rFonts w:ascii="Arial" w:hAnsi="Arial" w:cs="Arial"/>
          <w:sz w:val="24"/>
          <w:szCs w:val="24"/>
        </w:rPr>
        <w:t xml:space="preserve">ates </w:t>
      </w:r>
      <w:r w:rsidRPr="0077133D">
        <w:rPr>
          <w:rFonts w:ascii="Arial" w:hAnsi="Arial" w:cs="Arial"/>
          <w:sz w:val="24"/>
          <w:szCs w:val="24"/>
        </w:rPr>
        <w:t xml:space="preserve">to the </w:t>
      </w:r>
      <w:r w:rsidR="0041530B" w:rsidRPr="0077133D">
        <w:rPr>
          <w:rFonts w:ascii="Arial" w:hAnsi="Arial" w:cs="Arial"/>
          <w:sz w:val="24"/>
          <w:szCs w:val="24"/>
        </w:rPr>
        <w:t xml:space="preserve">emissions of </w:t>
      </w:r>
      <w:r w:rsidR="00B214D5">
        <w:rPr>
          <w:rFonts w:ascii="Arial" w:hAnsi="Arial" w:cs="Arial"/>
          <w:sz w:val="24"/>
          <w:szCs w:val="24"/>
        </w:rPr>
        <w:t>the population of south-</w:t>
      </w:r>
      <w:r w:rsidRPr="0077133D">
        <w:rPr>
          <w:rFonts w:ascii="Arial" w:hAnsi="Arial" w:cs="Arial"/>
          <w:sz w:val="24"/>
          <w:szCs w:val="24"/>
        </w:rPr>
        <w:t xml:space="preserve">west England in </w:t>
      </w:r>
      <w:r w:rsidR="0041530B" w:rsidRPr="0077133D">
        <w:rPr>
          <w:rFonts w:ascii="Arial" w:hAnsi="Arial" w:cs="Arial"/>
          <w:sz w:val="24"/>
          <w:szCs w:val="24"/>
        </w:rPr>
        <w:t xml:space="preserve">the coming </w:t>
      </w:r>
      <w:r w:rsidRPr="0077133D">
        <w:rPr>
          <w:rFonts w:ascii="Arial" w:hAnsi="Arial" w:cs="Arial"/>
          <w:sz w:val="24"/>
          <w:szCs w:val="24"/>
        </w:rPr>
        <w:t>century.</w:t>
      </w:r>
    </w:p>
    <w:p w14:paraId="1A7C5F80" w14:textId="77777777" w:rsidR="0077133D" w:rsidRPr="0077133D" w:rsidRDefault="0077133D" w:rsidP="0077133D">
      <w:pPr>
        <w:spacing w:after="0" w:line="240" w:lineRule="auto"/>
        <w:contextualSpacing/>
        <w:rPr>
          <w:rFonts w:ascii="Arial" w:hAnsi="Arial" w:cs="Arial"/>
          <w:sz w:val="24"/>
          <w:szCs w:val="24"/>
        </w:rPr>
      </w:pPr>
    </w:p>
    <w:p w14:paraId="448A99C2" w14:textId="59234BEC" w:rsidR="00532F56" w:rsidRDefault="00532F56" w:rsidP="0077133D">
      <w:pPr>
        <w:spacing w:after="0" w:line="240" w:lineRule="auto"/>
        <w:contextualSpacing/>
        <w:rPr>
          <w:rFonts w:ascii="Arial" w:hAnsi="Arial" w:cs="Arial"/>
          <w:sz w:val="24"/>
          <w:szCs w:val="24"/>
        </w:rPr>
      </w:pPr>
      <w:r w:rsidRPr="0077133D">
        <w:rPr>
          <w:rFonts w:ascii="Arial" w:hAnsi="Arial" w:cs="Arial"/>
          <w:sz w:val="24"/>
          <w:szCs w:val="24"/>
        </w:rPr>
        <w:t xml:space="preserve">Extending </w:t>
      </w:r>
      <w:r w:rsidR="0077133D" w:rsidRPr="0077133D">
        <w:rPr>
          <w:rFonts w:ascii="Arial" w:hAnsi="Arial" w:cs="Arial"/>
          <w:sz w:val="24"/>
          <w:szCs w:val="24"/>
        </w:rPr>
        <w:t>th</w:t>
      </w:r>
      <w:r w:rsidR="0041530B" w:rsidRPr="0077133D">
        <w:rPr>
          <w:rFonts w:ascii="Arial" w:hAnsi="Arial" w:cs="Arial"/>
          <w:sz w:val="24"/>
          <w:szCs w:val="24"/>
        </w:rPr>
        <w:t xml:space="preserve">ese </w:t>
      </w:r>
      <w:r w:rsidRPr="0077133D">
        <w:rPr>
          <w:rFonts w:ascii="Arial" w:hAnsi="Arial" w:cs="Arial"/>
          <w:sz w:val="24"/>
          <w:szCs w:val="24"/>
        </w:rPr>
        <w:t>broad approximation</w:t>
      </w:r>
      <w:r w:rsidR="0041530B" w:rsidRPr="0077133D">
        <w:rPr>
          <w:rFonts w:ascii="Arial" w:hAnsi="Arial" w:cs="Arial"/>
          <w:sz w:val="24"/>
          <w:szCs w:val="24"/>
        </w:rPr>
        <w:t>s</w:t>
      </w:r>
      <w:r w:rsidRPr="0077133D">
        <w:rPr>
          <w:rFonts w:ascii="Arial" w:hAnsi="Arial" w:cs="Arial"/>
          <w:sz w:val="24"/>
          <w:szCs w:val="24"/>
        </w:rPr>
        <w:t xml:space="preserve"> </w:t>
      </w:r>
      <w:r w:rsidR="00B214D5">
        <w:rPr>
          <w:rFonts w:ascii="Arial" w:hAnsi="Arial" w:cs="Arial"/>
          <w:sz w:val="24"/>
          <w:szCs w:val="24"/>
        </w:rPr>
        <w:t xml:space="preserve">further – perhaps </w:t>
      </w:r>
      <w:r w:rsidRPr="0077133D">
        <w:rPr>
          <w:rFonts w:ascii="Arial" w:hAnsi="Arial" w:cs="Arial"/>
          <w:sz w:val="24"/>
          <w:szCs w:val="24"/>
        </w:rPr>
        <w:t xml:space="preserve">heroically </w:t>
      </w:r>
      <w:r w:rsidR="0041530B" w:rsidRPr="0077133D">
        <w:rPr>
          <w:rFonts w:ascii="Arial" w:hAnsi="Arial" w:cs="Arial"/>
          <w:sz w:val="24"/>
          <w:szCs w:val="24"/>
        </w:rPr>
        <w:t>as many more uncertainties are introduced</w:t>
      </w:r>
      <w:r w:rsidR="00B214D5">
        <w:rPr>
          <w:rFonts w:ascii="Arial" w:hAnsi="Arial" w:cs="Arial"/>
          <w:sz w:val="24"/>
          <w:szCs w:val="24"/>
        </w:rPr>
        <w:t xml:space="preserve"> but nevertheless serving to illustrate possibilities – the </w:t>
      </w:r>
      <w:r w:rsidRPr="0077133D">
        <w:rPr>
          <w:rFonts w:ascii="Arial" w:hAnsi="Arial" w:cs="Arial"/>
          <w:sz w:val="24"/>
          <w:szCs w:val="24"/>
        </w:rPr>
        <w:t>70 million people of the UK (approximately 65 million today rising to 75 million by 2050)</w:t>
      </w:r>
      <w:r w:rsidR="0077133D" w:rsidRPr="0077133D">
        <w:rPr>
          <w:rFonts w:ascii="Arial" w:hAnsi="Arial" w:cs="Arial"/>
          <w:sz w:val="24"/>
          <w:szCs w:val="24"/>
        </w:rPr>
        <w:t xml:space="preserve"> would emit 406 million tCO</w:t>
      </w:r>
      <w:r w:rsidR="0077133D" w:rsidRPr="0077133D">
        <w:rPr>
          <w:rFonts w:ascii="Arial" w:hAnsi="Arial" w:cs="Arial"/>
          <w:sz w:val="24"/>
          <w:szCs w:val="24"/>
          <w:vertAlign w:val="subscript"/>
        </w:rPr>
        <w:t>2</w:t>
      </w:r>
      <w:r w:rsidR="00DC0E60">
        <w:rPr>
          <w:rFonts w:ascii="Arial" w:hAnsi="Arial" w:cs="Arial"/>
          <w:sz w:val="24"/>
          <w:szCs w:val="24"/>
        </w:rPr>
        <w:t xml:space="preserve">e </w:t>
      </w:r>
      <w:r w:rsidR="0077133D" w:rsidRPr="0077133D">
        <w:rPr>
          <w:rFonts w:ascii="Arial" w:hAnsi="Arial" w:cs="Arial"/>
          <w:sz w:val="24"/>
          <w:szCs w:val="24"/>
        </w:rPr>
        <w:t>year</w:t>
      </w:r>
      <w:r w:rsidR="0077133D" w:rsidRPr="0077133D">
        <w:rPr>
          <w:rFonts w:ascii="Arial" w:hAnsi="Arial" w:cs="Arial"/>
          <w:sz w:val="24"/>
          <w:szCs w:val="24"/>
          <w:vertAlign w:val="superscript"/>
        </w:rPr>
        <w:t>-1</w:t>
      </w:r>
      <w:r w:rsidR="0077133D">
        <w:rPr>
          <w:rFonts w:ascii="Arial" w:hAnsi="Arial" w:cs="Arial"/>
          <w:sz w:val="24"/>
          <w:szCs w:val="24"/>
        </w:rPr>
        <w:t xml:space="preserve">, </w:t>
      </w:r>
      <w:r w:rsidRPr="0077133D">
        <w:rPr>
          <w:rFonts w:ascii="Arial" w:hAnsi="Arial" w:cs="Arial"/>
          <w:sz w:val="24"/>
          <w:szCs w:val="24"/>
        </w:rPr>
        <w:t>assuming the same mean per capita carbon dioxide emissions of 5.8 tCO</w:t>
      </w:r>
      <w:r w:rsidRPr="0077133D">
        <w:rPr>
          <w:rFonts w:ascii="Arial" w:hAnsi="Arial" w:cs="Arial"/>
          <w:sz w:val="24"/>
          <w:szCs w:val="24"/>
          <w:vertAlign w:val="subscript"/>
        </w:rPr>
        <w:t>2</w:t>
      </w:r>
      <w:r w:rsidR="0005314C">
        <w:rPr>
          <w:rFonts w:ascii="Arial" w:hAnsi="Arial" w:cs="Arial"/>
          <w:sz w:val="24"/>
          <w:szCs w:val="24"/>
        </w:rPr>
        <w:t xml:space="preserve">e </w:t>
      </w:r>
      <w:r w:rsidRPr="0077133D">
        <w:rPr>
          <w:rFonts w:ascii="Arial" w:hAnsi="Arial" w:cs="Arial"/>
          <w:sz w:val="24"/>
          <w:szCs w:val="24"/>
        </w:rPr>
        <w:t>year</w:t>
      </w:r>
      <w:r w:rsidRPr="0077133D">
        <w:rPr>
          <w:rFonts w:ascii="Arial" w:hAnsi="Arial" w:cs="Arial"/>
          <w:sz w:val="24"/>
          <w:szCs w:val="24"/>
          <w:vertAlign w:val="superscript"/>
        </w:rPr>
        <w:t>-1</w:t>
      </w:r>
      <w:r w:rsidR="0077133D" w:rsidRPr="0077133D">
        <w:rPr>
          <w:rFonts w:ascii="Arial" w:hAnsi="Arial" w:cs="Arial"/>
          <w:sz w:val="24"/>
          <w:szCs w:val="24"/>
        </w:rPr>
        <w:t>.  Over a century, this would result in c</w:t>
      </w:r>
      <w:r w:rsidRPr="0077133D">
        <w:rPr>
          <w:rFonts w:ascii="Arial" w:hAnsi="Arial" w:cs="Arial"/>
          <w:sz w:val="24"/>
          <w:szCs w:val="24"/>
        </w:rPr>
        <w:t>umulative UK carbon dioxide emissions of 40.6 billion tCO</w:t>
      </w:r>
      <w:r w:rsidRPr="0077133D">
        <w:rPr>
          <w:rFonts w:ascii="Arial" w:hAnsi="Arial" w:cs="Arial"/>
          <w:sz w:val="24"/>
          <w:szCs w:val="24"/>
          <w:vertAlign w:val="subscript"/>
        </w:rPr>
        <w:t>2</w:t>
      </w:r>
      <w:r w:rsidR="0005314C">
        <w:rPr>
          <w:rFonts w:ascii="Arial" w:hAnsi="Arial" w:cs="Arial"/>
          <w:sz w:val="24"/>
          <w:szCs w:val="24"/>
        </w:rPr>
        <w:t>e,</w:t>
      </w:r>
      <w:r w:rsidR="0077133D" w:rsidRPr="0077133D">
        <w:rPr>
          <w:rFonts w:ascii="Arial" w:hAnsi="Arial" w:cs="Arial"/>
          <w:sz w:val="24"/>
          <w:szCs w:val="24"/>
        </w:rPr>
        <w:t xml:space="preserve"> once again overlooking population, per capita emission and other trends.  In purely illustrative terms, this total </w:t>
      </w:r>
      <w:r w:rsidR="001D3376">
        <w:rPr>
          <w:rFonts w:ascii="Arial" w:hAnsi="Arial" w:cs="Arial"/>
          <w:sz w:val="24"/>
          <w:szCs w:val="24"/>
        </w:rPr>
        <w:t>averted/sequestered CO</w:t>
      </w:r>
      <w:r w:rsidR="001D3376" w:rsidRPr="001D3376">
        <w:rPr>
          <w:rFonts w:ascii="Arial" w:hAnsi="Arial" w:cs="Arial"/>
          <w:sz w:val="24"/>
          <w:szCs w:val="24"/>
          <w:vertAlign w:val="subscript"/>
        </w:rPr>
        <w:t>2</w:t>
      </w:r>
      <w:r w:rsidR="001D3376">
        <w:rPr>
          <w:rFonts w:ascii="Arial" w:hAnsi="Arial" w:cs="Arial"/>
          <w:sz w:val="24"/>
          <w:szCs w:val="24"/>
        </w:rPr>
        <w:t xml:space="preserve">e </w:t>
      </w:r>
      <w:r w:rsidR="0077133D" w:rsidRPr="0077133D">
        <w:rPr>
          <w:rFonts w:ascii="Arial" w:hAnsi="Arial" w:cs="Arial"/>
          <w:sz w:val="24"/>
          <w:szCs w:val="24"/>
        </w:rPr>
        <w:t xml:space="preserve">could be achieved under the TCW model by investment </w:t>
      </w:r>
      <w:r w:rsidR="0077133D" w:rsidRPr="00DD2B79">
        <w:rPr>
          <w:rFonts w:ascii="Arial" w:hAnsi="Arial" w:cs="Arial"/>
          <w:sz w:val="24"/>
          <w:szCs w:val="24"/>
        </w:rPr>
        <w:t xml:space="preserve">in </w:t>
      </w:r>
      <w:r w:rsidRPr="00DD2B79">
        <w:rPr>
          <w:rFonts w:ascii="Arial" w:hAnsi="Arial" w:cs="Arial"/>
          <w:sz w:val="24"/>
          <w:szCs w:val="24"/>
        </w:rPr>
        <w:t xml:space="preserve">one hundred and fifty </w:t>
      </w:r>
      <w:r w:rsidR="0077133D" w:rsidRPr="00DD2B79">
        <w:rPr>
          <w:rFonts w:ascii="Arial" w:hAnsi="Arial" w:cs="Arial"/>
          <w:sz w:val="24"/>
          <w:szCs w:val="24"/>
        </w:rPr>
        <w:t xml:space="preserve">wind </w:t>
      </w:r>
      <w:r w:rsidRPr="00DD2B79">
        <w:rPr>
          <w:rFonts w:ascii="Arial" w:hAnsi="Arial" w:cs="Arial"/>
          <w:sz w:val="24"/>
          <w:szCs w:val="24"/>
        </w:rPr>
        <w:t>turbines</w:t>
      </w:r>
      <w:r w:rsidR="00B214D5">
        <w:rPr>
          <w:rFonts w:ascii="Arial" w:hAnsi="Arial" w:cs="Arial"/>
          <w:sz w:val="24"/>
          <w:szCs w:val="24"/>
        </w:rPr>
        <w:t xml:space="preserve"> in Tamil Nadu</w:t>
      </w:r>
      <w:r w:rsidR="0077133D" w:rsidRPr="00DD2B79">
        <w:rPr>
          <w:rFonts w:ascii="Arial" w:hAnsi="Arial" w:cs="Arial"/>
          <w:sz w:val="24"/>
          <w:szCs w:val="24"/>
        </w:rPr>
        <w:t xml:space="preserve"> with </w:t>
      </w:r>
      <w:r w:rsidRPr="00DD2B79">
        <w:rPr>
          <w:rFonts w:ascii="Arial" w:hAnsi="Arial" w:cs="Arial"/>
          <w:sz w:val="24"/>
          <w:szCs w:val="24"/>
        </w:rPr>
        <w:t xml:space="preserve">year-on-year </w:t>
      </w:r>
      <w:r w:rsidR="0077133D" w:rsidRPr="00DD2B79">
        <w:rPr>
          <w:rFonts w:ascii="Arial" w:hAnsi="Arial" w:cs="Arial"/>
          <w:sz w:val="24"/>
          <w:szCs w:val="24"/>
        </w:rPr>
        <w:t>reinvestment in</w:t>
      </w:r>
      <w:r w:rsidR="0077133D" w:rsidRPr="0077133D">
        <w:rPr>
          <w:rFonts w:ascii="Arial" w:hAnsi="Arial" w:cs="Arial"/>
          <w:sz w:val="24"/>
          <w:szCs w:val="24"/>
        </w:rPr>
        <w:t xml:space="preserve"> </w:t>
      </w:r>
      <w:r w:rsidRPr="0077133D">
        <w:rPr>
          <w:rFonts w:ascii="Arial" w:hAnsi="Arial" w:cs="Arial"/>
          <w:sz w:val="24"/>
          <w:szCs w:val="24"/>
        </w:rPr>
        <w:t>TDEF restoration</w:t>
      </w:r>
      <w:r w:rsidR="0077133D" w:rsidRPr="0077133D">
        <w:rPr>
          <w:rFonts w:ascii="Arial" w:hAnsi="Arial" w:cs="Arial"/>
          <w:sz w:val="24"/>
          <w:szCs w:val="24"/>
        </w:rPr>
        <w:t xml:space="preserve">, accounting for </w:t>
      </w:r>
      <w:r w:rsidRPr="0077133D">
        <w:rPr>
          <w:rFonts w:ascii="Arial" w:hAnsi="Arial" w:cs="Arial"/>
          <w:sz w:val="24"/>
          <w:szCs w:val="24"/>
        </w:rPr>
        <w:t>40.6 billion tCO</w:t>
      </w:r>
      <w:r w:rsidRPr="0077133D">
        <w:rPr>
          <w:rFonts w:ascii="Arial" w:hAnsi="Arial" w:cs="Arial"/>
          <w:sz w:val="24"/>
          <w:szCs w:val="24"/>
          <w:vertAlign w:val="subscript"/>
        </w:rPr>
        <w:t>2</w:t>
      </w:r>
      <w:r w:rsidR="0005314C">
        <w:rPr>
          <w:rFonts w:ascii="Arial" w:hAnsi="Arial" w:cs="Arial"/>
          <w:sz w:val="24"/>
          <w:szCs w:val="24"/>
        </w:rPr>
        <w:t xml:space="preserve">e </w:t>
      </w:r>
      <w:r w:rsidRPr="0077133D">
        <w:rPr>
          <w:rFonts w:ascii="Arial" w:hAnsi="Arial" w:cs="Arial"/>
          <w:sz w:val="24"/>
          <w:szCs w:val="24"/>
        </w:rPr>
        <w:t xml:space="preserve">hypothetically </w:t>
      </w:r>
      <w:r w:rsidR="001D3376">
        <w:rPr>
          <w:rFonts w:ascii="Arial" w:hAnsi="Arial" w:cs="Arial"/>
          <w:sz w:val="24"/>
          <w:szCs w:val="24"/>
        </w:rPr>
        <w:t>averted/</w:t>
      </w:r>
      <w:r w:rsidR="0077133D" w:rsidRPr="0077133D">
        <w:rPr>
          <w:rFonts w:ascii="Arial" w:hAnsi="Arial" w:cs="Arial"/>
          <w:sz w:val="24"/>
          <w:szCs w:val="24"/>
        </w:rPr>
        <w:t>sequestered</w:t>
      </w:r>
      <w:r w:rsidR="001D3376">
        <w:rPr>
          <w:rFonts w:ascii="Arial" w:hAnsi="Arial" w:cs="Arial"/>
          <w:sz w:val="24"/>
          <w:szCs w:val="24"/>
        </w:rPr>
        <w:t xml:space="preserve"> </w:t>
      </w:r>
      <w:r w:rsidR="0077133D" w:rsidRPr="0077133D">
        <w:rPr>
          <w:rFonts w:ascii="Arial" w:hAnsi="Arial" w:cs="Arial"/>
          <w:sz w:val="24"/>
          <w:szCs w:val="24"/>
        </w:rPr>
        <w:t>over</w:t>
      </w:r>
      <w:r w:rsidRPr="0077133D">
        <w:rPr>
          <w:rFonts w:ascii="Arial" w:hAnsi="Arial" w:cs="Arial"/>
          <w:sz w:val="24"/>
          <w:szCs w:val="24"/>
        </w:rPr>
        <w:t xml:space="preserve"> a century</w:t>
      </w:r>
      <w:r w:rsidR="00B214D5">
        <w:rPr>
          <w:rFonts w:ascii="Arial" w:hAnsi="Arial" w:cs="Arial"/>
          <w:sz w:val="24"/>
          <w:szCs w:val="24"/>
        </w:rPr>
        <w:t xml:space="preserve"> whilst simultaneously generating substantial renewable electricity aiding Indian aspirations to achieve a low-carbon pathway of development</w:t>
      </w:r>
      <w:r w:rsidRPr="0077133D">
        <w:rPr>
          <w:rFonts w:ascii="Arial" w:hAnsi="Arial" w:cs="Arial"/>
          <w:sz w:val="24"/>
          <w:szCs w:val="24"/>
        </w:rPr>
        <w:t>.</w:t>
      </w:r>
    </w:p>
    <w:p w14:paraId="6AF1795C" w14:textId="77777777" w:rsidR="0077133D" w:rsidRDefault="0077133D" w:rsidP="0077133D">
      <w:pPr>
        <w:spacing w:after="0" w:line="240" w:lineRule="auto"/>
        <w:contextualSpacing/>
        <w:rPr>
          <w:rFonts w:ascii="Arial" w:hAnsi="Arial" w:cs="Arial"/>
          <w:sz w:val="24"/>
          <w:szCs w:val="24"/>
        </w:rPr>
      </w:pPr>
    </w:p>
    <w:p w14:paraId="4CC9C06C" w14:textId="0B15E9C6" w:rsidR="0077133D" w:rsidRPr="0077133D" w:rsidRDefault="0077133D" w:rsidP="0077133D">
      <w:pPr>
        <w:spacing w:after="0" w:line="240" w:lineRule="auto"/>
        <w:contextualSpacing/>
        <w:rPr>
          <w:rFonts w:ascii="Arial" w:hAnsi="Arial" w:cs="Arial"/>
          <w:sz w:val="24"/>
          <w:szCs w:val="24"/>
        </w:rPr>
      </w:pPr>
      <w:r>
        <w:rPr>
          <w:rFonts w:ascii="Arial" w:hAnsi="Arial" w:cs="Arial"/>
          <w:sz w:val="24"/>
          <w:szCs w:val="24"/>
        </w:rPr>
        <w:t xml:space="preserve">Extrapolating considerations from city region to national region to </w:t>
      </w:r>
      <w:r w:rsidR="00B214D5">
        <w:rPr>
          <w:rFonts w:ascii="Arial" w:hAnsi="Arial" w:cs="Arial"/>
          <w:sz w:val="24"/>
          <w:szCs w:val="24"/>
        </w:rPr>
        <w:t xml:space="preserve">whole-country </w:t>
      </w:r>
      <w:r>
        <w:rPr>
          <w:rFonts w:ascii="Arial" w:hAnsi="Arial" w:cs="Arial"/>
          <w:sz w:val="24"/>
          <w:szCs w:val="24"/>
        </w:rPr>
        <w:t>scales introduces cumulative</w:t>
      </w:r>
      <w:r w:rsidR="00B214D5">
        <w:rPr>
          <w:rFonts w:ascii="Arial" w:hAnsi="Arial" w:cs="Arial"/>
          <w:sz w:val="24"/>
          <w:szCs w:val="24"/>
        </w:rPr>
        <w:t>ly greater</w:t>
      </w:r>
      <w:r>
        <w:rPr>
          <w:rFonts w:ascii="Arial" w:hAnsi="Arial" w:cs="Arial"/>
          <w:sz w:val="24"/>
          <w:szCs w:val="24"/>
        </w:rPr>
        <w:t xml:space="preserve"> uncertainties that render conclusions increasingly unreliable.  </w:t>
      </w:r>
      <w:r w:rsidR="00B214D5">
        <w:rPr>
          <w:rFonts w:ascii="Arial" w:hAnsi="Arial" w:cs="Arial"/>
          <w:sz w:val="24"/>
          <w:szCs w:val="24"/>
        </w:rPr>
        <w:t>Interim conclusions are nevertheless indicative of potential co-benefits from investment in the developed-developing world partnership, though</w:t>
      </w:r>
      <w:r w:rsidR="00A85E67">
        <w:rPr>
          <w:rFonts w:ascii="Arial" w:hAnsi="Arial" w:cs="Arial"/>
          <w:sz w:val="24"/>
          <w:szCs w:val="24"/>
        </w:rPr>
        <w:t xml:space="preserve"> </w:t>
      </w:r>
      <w:r w:rsidR="00B214D5">
        <w:rPr>
          <w:rFonts w:ascii="Arial" w:hAnsi="Arial" w:cs="Arial"/>
          <w:sz w:val="24"/>
          <w:szCs w:val="24"/>
        </w:rPr>
        <w:t xml:space="preserve">requiring further development </w:t>
      </w:r>
      <w:r w:rsidR="00A85E67">
        <w:rPr>
          <w:rFonts w:ascii="Arial" w:hAnsi="Arial" w:cs="Arial"/>
          <w:sz w:val="24"/>
          <w:szCs w:val="24"/>
        </w:rPr>
        <w:t xml:space="preserve">to produce a more robust business case.  </w:t>
      </w:r>
      <w:r>
        <w:rPr>
          <w:rFonts w:ascii="Arial" w:hAnsi="Arial" w:cs="Arial"/>
          <w:sz w:val="24"/>
          <w:szCs w:val="24"/>
        </w:rPr>
        <w:t xml:space="preserve">However, commitments to curtailing climate-active gas emissions </w:t>
      </w:r>
      <w:r w:rsidR="00A85E67">
        <w:rPr>
          <w:rFonts w:ascii="Arial" w:hAnsi="Arial" w:cs="Arial"/>
          <w:sz w:val="24"/>
          <w:szCs w:val="24"/>
        </w:rPr>
        <w:t xml:space="preserve">apply not merely to municipalities, but also </w:t>
      </w:r>
      <w:r>
        <w:rPr>
          <w:rFonts w:ascii="Arial" w:hAnsi="Arial" w:cs="Arial"/>
          <w:sz w:val="24"/>
          <w:szCs w:val="24"/>
        </w:rPr>
        <w:t>at institutional and individual levels.</w:t>
      </w:r>
    </w:p>
    <w:p w14:paraId="14397149" w14:textId="77777777" w:rsidR="00532F56" w:rsidRDefault="00532F56" w:rsidP="0077133D">
      <w:pPr>
        <w:spacing w:after="0" w:line="240" w:lineRule="auto"/>
        <w:contextualSpacing/>
        <w:rPr>
          <w:rFonts w:ascii="Arial" w:hAnsi="Arial" w:cs="Arial"/>
          <w:sz w:val="24"/>
          <w:szCs w:val="24"/>
        </w:rPr>
      </w:pPr>
    </w:p>
    <w:p w14:paraId="5A389A89" w14:textId="01B2210E" w:rsidR="00532F56" w:rsidRPr="002A1762" w:rsidRDefault="0077133D" w:rsidP="002A1762">
      <w:pPr>
        <w:spacing w:after="0" w:line="240" w:lineRule="auto"/>
        <w:contextualSpacing/>
        <w:rPr>
          <w:rFonts w:ascii="Arial" w:hAnsi="Arial" w:cs="Arial"/>
          <w:sz w:val="24"/>
          <w:szCs w:val="24"/>
        </w:rPr>
      </w:pPr>
      <w:r w:rsidRPr="002A1762">
        <w:rPr>
          <w:rFonts w:ascii="Arial" w:hAnsi="Arial" w:cs="Arial"/>
          <w:sz w:val="24"/>
          <w:szCs w:val="24"/>
        </w:rPr>
        <w:t>Institutional level may include a business, a university, a hospital, a council, a government office or department, a large club or social enterprise or any of a range of organisations with significant carbon emissions.  The University of the West of England (UWE)</w:t>
      </w:r>
      <w:r w:rsidR="00A85E67">
        <w:rPr>
          <w:rFonts w:ascii="Arial" w:hAnsi="Arial" w:cs="Arial"/>
          <w:sz w:val="24"/>
          <w:szCs w:val="24"/>
        </w:rPr>
        <w:t xml:space="preserve">, </w:t>
      </w:r>
      <w:r w:rsidR="00A85E67" w:rsidRPr="002A1762">
        <w:rPr>
          <w:rFonts w:ascii="Arial" w:hAnsi="Arial" w:cs="Arial"/>
          <w:sz w:val="24"/>
          <w:szCs w:val="24"/>
        </w:rPr>
        <w:t>a</w:t>
      </w:r>
      <w:r w:rsidR="00A85E67">
        <w:rPr>
          <w:rFonts w:ascii="Arial" w:hAnsi="Arial" w:cs="Arial"/>
          <w:sz w:val="24"/>
          <w:szCs w:val="24"/>
        </w:rPr>
        <w:t xml:space="preserve"> </w:t>
      </w:r>
      <w:r w:rsidR="003511E3">
        <w:rPr>
          <w:rFonts w:ascii="Arial" w:hAnsi="Arial" w:cs="Arial"/>
          <w:sz w:val="24"/>
          <w:szCs w:val="24"/>
        </w:rPr>
        <w:t>higher</w:t>
      </w:r>
      <w:r w:rsidR="00A85E67">
        <w:rPr>
          <w:rFonts w:ascii="Arial" w:hAnsi="Arial" w:cs="Arial"/>
          <w:sz w:val="24"/>
          <w:szCs w:val="24"/>
        </w:rPr>
        <w:t xml:space="preserve"> education </w:t>
      </w:r>
      <w:r w:rsidR="00A85E67" w:rsidRPr="002A1762">
        <w:rPr>
          <w:rFonts w:ascii="Arial" w:hAnsi="Arial" w:cs="Arial"/>
          <w:sz w:val="24"/>
          <w:szCs w:val="24"/>
        </w:rPr>
        <w:t>institution</w:t>
      </w:r>
      <w:r w:rsidR="00A85E67">
        <w:rPr>
          <w:rFonts w:ascii="Arial" w:hAnsi="Arial" w:cs="Arial"/>
          <w:sz w:val="24"/>
          <w:szCs w:val="24"/>
        </w:rPr>
        <w:t xml:space="preserve"> based in Bristol</w:t>
      </w:r>
      <w:r w:rsidR="007C5BD6">
        <w:rPr>
          <w:rFonts w:ascii="Arial" w:hAnsi="Arial" w:cs="Arial"/>
          <w:sz w:val="24"/>
          <w:szCs w:val="24"/>
        </w:rPr>
        <w:t xml:space="preserve"> for which published CO</w:t>
      </w:r>
      <w:r w:rsidR="007C5BD6" w:rsidRPr="007C5BD6">
        <w:rPr>
          <w:rFonts w:ascii="Arial" w:hAnsi="Arial" w:cs="Arial"/>
          <w:sz w:val="24"/>
          <w:szCs w:val="24"/>
          <w:vertAlign w:val="subscript"/>
        </w:rPr>
        <w:t>2</w:t>
      </w:r>
      <w:r w:rsidR="007C5BD6">
        <w:rPr>
          <w:rFonts w:ascii="Arial" w:hAnsi="Arial" w:cs="Arial"/>
          <w:sz w:val="24"/>
          <w:szCs w:val="24"/>
        </w:rPr>
        <w:t xml:space="preserve">e emissions data are published.  It is therefore </w:t>
      </w:r>
      <w:r w:rsidRPr="002A1762">
        <w:rPr>
          <w:rFonts w:ascii="Arial" w:hAnsi="Arial" w:cs="Arial"/>
          <w:sz w:val="24"/>
          <w:szCs w:val="24"/>
        </w:rPr>
        <w:t xml:space="preserve">used </w:t>
      </w:r>
      <w:r w:rsidR="007C5BD6">
        <w:rPr>
          <w:rFonts w:ascii="Arial" w:hAnsi="Arial" w:cs="Arial"/>
          <w:sz w:val="24"/>
          <w:szCs w:val="24"/>
        </w:rPr>
        <w:t xml:space="preserve">for demonstration purposes </w:t>
      </w:r>
      <w:r w:rsidRPr="002A1762">
        <w:rPr>
          <w:rFonts w:ascii="Arial" w:hAnsi="Arial" w:cs="Arial"/>
          <w:sz w:val="24"/>
          <w:szCs w:val="24"/>
        </w:rPr>
        <w:t>as a</w:t>
      </w:r>
      <w:r w:rsidR="002A1762" w:rsidRPr="002A1762">
        <w:rPr>
          <w:rFonts w:ascii="Arial" w:hAnsi="Arial" w:cs="Arial"/>
          <w:sz w:val="24"/>
          <w:szCs w:val="24"/>
        </w:rPr>
        <w:t>n</w:t>
      </w:r>
      <w:r w:rsidRPr="002A1762">
        <w:rPr>
          <w:rFonts w:ascii="Arial" w:hAnsi="Arial" w:cs="Arial"/>
          <w:sz w:val="24"/>
          <w:szCs w:val="24"/>
        </w:rPr>
        <w:t xml:space="preserve"> institution </w:t>
      </w:r>
      <w:r w:rsidR="002A1762" w:rsidRPr="002A1762">
        <w:rPr>
          <w:rFonts w:ascii="Arial" w:hAnsi="Arial" w:cs="Arial"/>
          <w:sz w:val="24"/>
          <w:szCs w:val="24"/>
        </w:rPr>
        <w:t xml:space="preserve">with potential interests in ‘buying’ </w:t>
      </w:r>
      <w:r w:rsidR="007C5BD6">
        <w:rPr>
          <w:rFonts w:ascii="Arial" w:hAnsi="Arial" w:cs="Arial"/>
          <w:sz w:val="24"/>
          <w:szCs w:val="24"/>
        </w:rPr>
        <w:t>CO</w:t>
      </w:r>
      <w:r w:rsidR="007C5BD6" w:rsidRPr="007C5BD6">
        <w:rPr>
          <w:rFonts w:ascii="Arial" w:hAnsi="Arial" w:cs="Arial"/>
          <w:sz w:val="24"/>
          <w:szCs w:val="24"/>
          <w:vertAlign w:val="subscript"/>
        </w:rPr>
        <w:t>2</w:t>
      </w:r>
      <w:r w:rsidR="007C5BD6">
        <w:rPr>
          <w:rFonts w:ascii="Arial" w:hAnsi="Arial" w:cs="Arial"/>
          <w:sz w:val="24"/>
          <w:szCs w:val="24"/>
        </w:rPr>
        <w:t>e ‘offsets’</w:t>
      </w:r>
      <w:r w:rsidR="002A1762" w:rsidRPr="002A1762">
        <w:rPr>
          <w:rFonts w:ascii="Arial" w:hAnsi="Arial" w:cs="Arial"/>
          <w:sz w:val="24"/>
          <w:szCs w:val="24"/>
        </w:rPr>
        <w:t xml:space="preserve">.  </w:t>
      </w:r>
      <w:r w:rsidR="00A85E67">
        <w:rPr>
          <w:rFonts w:ascii="Arial" w:hAnsi="Arial" w:cs="Arial"/>
          <w:sz w:val="24"/>
          <w:szCs w:val="24"/>
        </w:rPr>
        <w:t>I</w:t>
      </w:r>
      <w:r w:rsidR="00A21554">
        <w:rPr>
          <w:rFonts w:ascii="Arial" w:hAnsi="Arial" w:cs="Arial"/>
          <w:sz w:val="24"/>
          <w:szCs w:val="24"/>
        </w:rPr>
        <w:t>n the academic year August 2014 to July 2015</w:t>
      </w:r>
      <w:r w:rsidR="00B06585">
        <w:rPr>
          <w:rFonts w:ascii="Arial" w:hAnsi="Arial" w:cs="Arial"/>
          <w:sz w:val="24"/>
          <w:szCs w:val="24"/>
        </w:rPr>
        <w:t>,</w:t>
      </w:r>
      <w:r w:rsidR="00A21554">
        <w:rPr>
          <w:rFonts w:ascii="Arial" w:hAnsi="Arial" w:cs="Arial"/>
          <w:sz w:val="24"/>
          <w:szCs w:val="24"/>
        </w:rPr>
        <w:t xml:space="preserve"> </w:t>
      </w:r>
      <w:r w:rsidR="00A85E67">
        <w:rPr>
          <w:rFonts w:ascii="Arial" w:hAnsi="Arial" w:cs="Arial"/>
          <w:sz w:val="24"/>
          <w:szCs w:val="24"/>
        </w:rPr>
        <w:t xml:space="preserve">UWE </w:t>
      </w:r>
      <w:r w:rsidR="002A1762" w:rsidRPr="002A1762">
        <w:rPr>
          <w:rFonts w:ascii="Arial" w:hAnsi="Arial" w:cs="Arial"/>
          <w:sz w:val="24"/>
          <w:szCs w:val="24"/>
        </w:rPr>
        <w:t>compris</w:t>
      </w:r>
      <w:r w:rsidR="00A21554">
        <w:rPr>
          <w:rFonts w:ascii="Arial" w:hAnsi="Arial" w:cs="Arial"/>
          <w:sz w:val="24"/>
          <w:szCs w:val="24"/>
        </w:rPr>
        <w:t xml:space="preserve">ed </w:t>
      </w:r>
      <w:r w:rsidR="00A21554" w:rsidRPr="00A21554">
        <w:rPr>
          <w:rFonts w:ascii="Arial" w:hAnsi="Arial" w:cs="Arial"/>
          <w:sz w:val="24"/>
          <w:szCs w:val="24"/>
        </w:rPr>
        <w:t>27,750</w:t>
      </w:r>
      <w:r w:rsidR="00532F56" w:rsidRPr="002A1762">
        <w:rPr>
          <w:rFonts w:ascii="Arial" w:hAnsi="Arial" w:cs="Arial"/>
          <w:sz w:val="24"/>
          <w:szCs w:val="24"/>
        </w:rPr>
        <w:t xml:space="preserve"> people </w:t>
      </w:r>
      <w:r w:rsidR="00A21554">
        <w:rPr>
          <w:rFonts w:ascii="Arial" w:hAnsi="Arial" w:cs="Arial"/>
          <w:sz w:val="24"/>
          <w:szCs w:val="24"/>
        </w:rPr>
        <w:t xml:space="preserve">emitting </w:t>
      </w:r>
      <w:r w:rsidR="007C5BD6">
        <w:rPr>
          <w:rFonts w:ascii="Arial" w:hAnsi="Arial" w:cs="Arial"/>
          <w:sz w:val="24"/>
          <w:szCs w:val="24"/>
        </w:rPr>
        <w:t>81,311</w:t>
      </w:r>
      <w:r w:rsidR="00B06585" w:rsidRPr="00B06585">
        <w:rPr>
          <w:rFonts w:ascii="Arial" w:hAnsi="Arial" w:cs="Arial"/>
          <w:sz w:val="24"/>
          <w:szCs w:val="24"/>
        </w:rPr>
        <w:t xml:space="preserve"> </w:t>
      </w:r>
      <w:r w:rsidR="00B06585" w:rsidRPr="00B06585">
        <w:rPr>
          <w:rFonts w:ascii="Arial" w:hAnsi="Arial" w:cs="Arial"/>
          <w:bCs/>
          <w:sz w:val="24"/>
          <w:szCs w:val="24"/>
        </w:rPr>
        <w:t>tCO</w:t>
      </w:r>
      <w:r w:rsidR="00B06585" w:rsidRPr="00B06585">
        <w:rPr>
          <w:rFonts w:ascii="Arial" w:hAnsi="Arial" w:cs="Arial"/>
          <w:bCs/>
          <w:sz w:val="24"/>
          <w:szCs w:val="24"/>
          <w:vertAlign w:val="subscript"/>
        </w:rPr>
        <w:t>2</w:t>
      </w:r>
      <w:r w:rsidR="00DC0E60">
        <w:rPr>
          <w:rFonts w:ascii="Arial" w:hAnsi="Arial" w:cs="Arial"/>
          <w:bCs/>
          <w:sz w:val="24"/>
          <w:szCs w:val="24"/>
        </w:rPr>
        <w:t>e,</w:t>
      </w:r>
      <w:r w:rsidR="00A85E67">
        <w:rPr>
          <w:rFonts w:ascii="Arial" w:hAnsi="Arial" w:cs="Arial"/>
          <w:bCs/>
          <w:sz w:val="24"/>
          <w:szCs w:val="24"/>
        </w:rPr>
        <w:t xml:space="preserve"> </w:t>
      </w:r>
      <w:r w:rsidR="00B06585">
        <w:rPr>
          <w:rFonts w:ascii="Arial" w:hAnsi="Arial" w:cs="Arial"/>
          <w:bCs/>
          <w:sz w:val="24"/>
          <w:szCs w:val="24"/>
        </w:rPr>
        <w:t xml:space="preserve">an average of </w:t>
      </w:r>
      <w:r w:rsidR="00532F56" w:rsidRPr="002A1762">
        <w:rPr>
          <w:rFonts w:ascii="Arial" w:hAnsi="Arial" w:cs="Arial"/>
          <w:sz w:val="24"/>
          <w:szCs w:val="24"/>
        </w:rPr>
        <w:t xml:space="preserve">approximately </w:t>
      </w:r>
      <w:r w:rsidR="007C5BD6">
        <w:rPr>
          <w:rFonts w:ascii="Arial" w:hAnsi="Arial" w:cs="Arial"/>
          <w:sz w:val="24"/>
          <w:szCs w:val="24"/>
        </w:rPr>
        <w:t>2.9</w:t>
      </w:r>
      <w:r w:rsidR="00B06585">
        <w:rPr>
          <w:rFonts w:ascii="Arial" w:hAnsi="Arial" w:cs="Arial"/>
          <w:sz w:val="24"/>
          <w:szCs w:val="24"/>
        </w:rPr>
        <w:t xml:space="preserve"> </w:t>
      </w:r>
      <w:r w:rsidR="00532F56" w:rsidRPr="002A1762">
        <w:rPr>
          <w:rFonts w:ascii="Arial" w:hAnsi="Arial" w:cs="Arial"/>
          <w:sz w:val="24"/>
          <w:szCs w:val="24"/>
        </w:rPr>
        <w:t>tCO</w:t>
      </w:r>
      <w:r w:rsidR="00532F56" w:rsidRPr="002A1762">
        <w:rPr>
          <w:rFonts w:ascii="Arial" w:hAnsi="Arial" w:cs="Arial"/>
          <w:sz w:val="24"/>
          <w:szCs w:val="24"/>
          <w:vertAlign w:val="subscript"/>
        </w:rPr>
        <w:t>2</w:t>
      </w:r>
      <w:r w:rsidR="00DC0E60">
        <w:rPr>
          <w:rFonts w:ascii="Arial" w:hAnsi="Arial" w:cs="Arial"/>
          <w:sz w:val="24"/>
          <w:szCs w:val="24"/>
        </w:rPr>
        <w:t xml:space="preserve">e </w:t>
      </w:r>
      <w:r w:rsidR="00B06585">
        <w:rPr>
          <w:rFonts w:ascii="Arial" w:hAnsi="Arial" w:cs="Arial"/>
          <w:sz w:val="24"/>
          <w:szCs w:val="24"/>
        </w:rPr>
        <w:t>per person</w:t>
      </w:r>
      <w:r w:rsidR="00A85E67">
        <w:rPr>
          <w:rFonts w:ascii="Arial" w:hAnsi="Arial" w:cs="Arial"/>
          <w:sz w:val="24"/>
          <w:szCs w:val="24"/>
        </w:rPr>
        <w:t xml:space="preserve"> (see Box 3)</w:t>
      </w:r>
      <w:r w:rsidR="002A1762" w:rsidRPr="002A1762">
        <w:rPr>
          <w:rFonts w:ascii="Arial" w:hAnsi="Arial" w:cs="Arial"/>
          <w:sz w:val="24"/>
          <w:szCs w:val="24"/>
        </w:rPr>
        <w:t xml:space="preserve">.  </w:t>
      </w:r>
      <w:r w:rsidR="007C5BD6">
        <w:rPr>
          <w:rFonts w:ascii="Arial" w:hAnsi="Arial" w:cs="Arial"/>
          <w:sz w:val="24"/>
          <w:szCs w:val="24"/>
        </w:rPr>
        <w:t>O</w:t>
      </w:r>
      <w:r w:rsidR="00B06585">
        <w:rPr>
          <w:rFonts w:ascii="Arial" w:hAnsi="Arial" w:cs="Arial"/>
          <w:sz w:val="24"/>
          <w:szCs w:val="24"/>
        </w:rPr>
        <w:t xml:space="preserve">verlooking likely </w:t>
      </w:r>
      <w:r w:rsidR="002A1762" w:rsidRPr="002A1762">
        <w:rPr>
          <w:rFonts w:ascii="Arial" w:hAnsi="Arial" w:cs="Arial"/>
          <w:sz w:val="24"/>
          <w:szCs w:val="24"/>
        </w:rPr>
        <w:t>fluctuations in numbers of people and per capita emissions</w:t>
      </w:r>
      <w:r w:rsidR="007C5BD6">
        <w:rPr>
          <w:rFonts w:ascii="Arial" w:hAnsi="Arial" w:cs="Arial"/>
          <w:sz w:val="24"/>
          <w:szCs w:val="24"/>
        </w:rPr>
        <w:t xml:space="preserve"> relative to 2014/15 data</w:t>
      </w:r>
      <w:r w:rsidR="00BD33CA">
        <w:rPr>
          <w:rFonts w:ascii="Arial" w:hAnsi="Arial" w:cs="Arial"/>
          <w:sz w:val="24"/>
          <w:szCs w:val="24"/>
        </w:rPr>
        <w:t>, c</w:t>
      </w:r>
      <w:r w:rsidR="00BD33CA" w:rsidRPr="002A1762">
        <w:rPr>
          <w:rFonts w:ascii="Arial" w:hAnsi="Arial" w:cs="Arial"/>
          <w:sz w:val="24"/>
          <w:szCs w:val="24"/>
        </w:rPr>
        <w:t xml:space="preserve">umulative </w:t>
      </w:r>
      <w:r w:rsidR="00A85E67">
        <w:rPr>
          <w:rFonts w:ascii="Arial" w:hAnsi="Arial" w:cs="Arial"/>
          <w:sz w:val="24"/>
          <w:szCs w:val="24"/>
        </w:rPr>
        <w:t xml:space="preserve">UWE </w:t>
      </w:r>
      <w:r w:rsidR="00BD33CA">
        <w:rPr>
          <w:rFonts w:ascii="Arial" w:hAnsi="Arial" w:cs="Arial"/>
          <w:sz w:val="24"/>
          <w:szCs w:val="24"/>
        </w:rPr>
        <w:t>emission</w:t>
      </w:r>
      <w:r w:rsidR="00A85E67">
        <w:rPr>
          <w:rFonts w:ascii="Arial" w:hAnsi="Arial" w:cs="Arial"/>
          <w:sz w:val="24"/>
          <w:szCs w:val="24"/>
        </w:rPr>
        <w:t>s</w:t>
      </w:r>
      <w:r w:rsidR="00BD33CA">
        <w:rPr>
          <w:rFonts w:ascii="Arial" w:hAnsi="Arial" w:cs="Arial"/>
          <w:sz w:val="24"/>
          <w:szCs w:val="24"/>
        </w:rPr>
        <w:t xml:space="preserve"> of </w:t>
      </w:r>
      <w:r w:rsidR="00BD33CA" w:rsidRPr="002A1762">
        <w:rPr>
          <w:rFonts w:ascii="Arial" w:hAnsi="Arial" w:cs="Arial"/>
          <w:sz w:val="24"/>
          <w:szCs w:val="24"/>
        </w:rPr>
        <w:t xml:space="preserve">carbon dioxide over a century </w:t>
      </w:r>
      <w:r w:rsidR="00BD33CA">
        <w:rPr>
          <w:rFonts w:ascii="Arial" w:hAnsi="Arial" w:cs="Arial"/>
          <w:sz w:val="24"/>
          <w:szCs w:val="24"/>
        </w:rPr>
        <w:t xml:space="preserve">would equal approximately 8 million </w:t>
      </w:r>
      <w:r w:rsidR="00BD33CA" w:rsidRPr="00B06585">
        <w:rPr>
          <w:rFonts w:ascii="Arial" w:hAnsi="Arial" w:cs="Arial"/>
          <w:bCs/>
          <w:sz w:val="24"/>
          <w:szCs w:val="24"/>
        </w:rPr>
        <w:t>tCO</w:t>
      </w:r>
      <w:r w:rsidR="00BD33CA" w:rsidRPr="00B06585">
        <w:rPr>
          <w:rFonts w:ascii="Arial" w:hAnsi="Arial" w:cs="Arial"/>
          <w:bCs/>
          <w:sz w:val="24"/>
          <w:szCs w:val="24"/>
          <w:vertAlign w:val="subscript"/>
        </w:rPr>
        <w:t>2</w:t>
      </w:r>
      <w:r w:rsidR="00DC0E60">
        <w:rPr>
          <w:rFonts w:ascii="Arial" w:hAnsi="Arial" w:cs="Arial"/>
          <w:sz w:val="24"/>
          <w:szCs w:val="24"/>
        </w:rPr>
        <w:t xml:space="preserve">e </w:t>
      </w:r>
      <w:r w:rsidR="00BD33CA">
        <w:rPr>
          <w:rFonts w:ascii="Arial" w:hAnsi="Arial" w:cs="Arial"/>
          <w:sz w:val="24"/>
          <w:szCs w:val="24"/>
        </w:rPr>
        <w:t>(</w:t>
      </w:r>
      <w:r w:rsidR="007C5BD6">
        <w:rPr>
          <w:rFonts w:ascii="Arial" w:hAnsi="Arial" w:cs="Arial"/>
          <w:sz w:val="24"/>
          <w:szCs w:val="24"/>
        </w:rPr>
        <w:t>8,131,000</w:t>
      </w:r>
      <w:r w:rsidR="00BD33CA" w:rsidRPr="00B06585">
        <w:rPr>
          <w:rFonts w:ascii="Arial" w:hAnsi="Arial" w:cs="Arial"/>
          <w:sz w:val="24"/>
          <w:szCs w:val="24"/>
        </w:rPr>
        <w:t xml:space="preserve"> </w:t>
      </w:r>
      <w:r w:rsidR="00BD33CA" w:rsidRPr="00B06585">
        <w:rPr>
          <w:rFonts w:ascii="Arial" w:hAnsi="Arial" w:cs="Arial"/>
          <w:bCs/>
          <w:sz w:val="24"/>
          <w:szCs w:val="24"/>
        </w:rPr>
        <w:t>tCO</w:t>
      </w:r>
      <w:r w:rsidR="00BD33CA" w:rsidRPr="00B06585">
        <w:rPr>
          <w:rFonts w:ascii="Arial" w:hAnsi="Arial" w:cs="Arial"/>
          <w:bCs/>
          <w:sz w:val="24"/>
          <w:szCs w:val="24"/>
          <w:vertAlign w:val="subscript"/>
        </w:rPr>
        <w:t>2</w:t>
      </w:r>
      <w:r w:rsidR="00DC0E60">
        <w:rPr>
          <w:rFonts w:ascii="Arial" w:hAnsi="Arial" w:cs="Arial"/>
          <w:sz w:val="24"/>
          <w:szCs w:val="24"/>
        </w:rPr>
        <w:t>e)</w:t>
      </w:r>
      <w:r w:rsidR="00BD33CA">
        <w:rPr>
          <w:rFonts w:ascii="Arial" w:hAnsi="Arial" w:cs="Arial"/>
          <w:sz w:val="24"/>
          <w:szCs w:val="24"/>
        </w:rPr>
        <w:t>.</w:t>
      </w:r>
      <w:r w:rsidR="002A1762" w:rsidRPr="002A1762">
        <w:rPr>
          <w:rFonts w:ascii="Arial" w:hAnsi="Arial" w:cs="Arial"/>
          <w:sz w:val="24"/>
          <w:szCs w:val="24"/>
        </w:rPr>
        <w:t xml:space="preserve">  </w:t>
      </w:r>
      <w:r w:rsidR="00532F56" w:rsidRPr="002A1762">
        <w:rPr>
          <w:rFonts w:ascii="Arial" w:hAnsi="Arial" w:cs="Arial"/>
          <w:sz w:val="24"/>
          <w:szCs w:val="24"/>
        </w:rPr>
        <w:t>Extending the logic applied to Bristol City above</w:t>
      </w:r>
      <w:r w:rsidR="002A1762" w:rsidRPr="002A1762">
        <w:rPr>
          <w:rFonts w:ascii="Arial" w:hAnsi="Arial" w:cs="Arial"/>
          <w:sz w:val="24"/>
          <w:szCs w:val="24"/>
        </w:rPr>
        <w:t xml:space="preserve">, UWE’s </w:t>
      </w:r>
      <w:r w:rsidR="00532F56" w:rsidRPr="002A1762">
        <w:rPr>
          <w:rFonts w:ascii="Arial" w:hAnsi="Arial" w:cs="Arial"/>
          <w:sz w:val="24"/>
          <w:szCs w:val="24"/>
        </w:rPr>
        <w:t xml:space="preserve">century-long total </w:t>
      </w:r>
      <w:r w:rsidR="002A1762" w:rsidRPr="002A1762">
        <w:rPr>
          <w:rFonts w:ascii="Arial" w:hAnsi="Arial" w:cs="Arial"/>
          <w:sz w:val="24"/>
          <w:szCs w:val="24"/>
        </w:rPr>
        <w:t>CO</w:t>
      </w:r>
      <w:r w:rsidR="002A1762" w:rsidRPr="002A1762">
        <w:rPr>
          <w:rFonts w:ascii="Arial" w:hAnsi="Arial" w:cs="Arial"/>
          <w:sz w:val="24"/>
          <w:szCs w:val="24"/>
          <w:vertAlign w:val="subscript"/>
        </w:rPr>
        <w:t>2</w:t>
      </w:r>
      <w:r w:rsidR="00DC0E60">
        <w:rPr>
          <w:rFonts w:ascii="Arial" w:hAnsi="Arial" w:cs="Arial"/>
          <w:sz w:val="24"/>
          <w:szCs w:val="24"/>
        </w:rPr>
        <w:t xml:space="preserve">e </w:t>
      </w:r>
      <w:r w:rsidR="00532F56" w:rsidRPr="002A1762">
        <w:rPr>
          <w:rFonts w:ascii="Arial" w:hAnsi="Arial" w:cs="Arial"/>
          <w:sz w:val="24"/>
          <w:szCs w:val="24"/>
        </w:rPr>
        <w:t>emission</w:t>
      </w:r>
      <w:r w:rsidR="002A1762" w:rsidRPr="002A1762">
        <w:rPr>
          <w:rFonts w:ascii="Arial" w:hAnsi="Arial" w:cs="Arial"/>
          <w:sz w:val="24"/>
          <w:szCs w:val="24"/>
        </w:rPr>
        <w:t>s</w:t>
      </w:r>
      <w:r w:rsidR="00532F56" w:rsidRPr="002A1762">
        <w:rPr>
          <w:rFonts w:ascii="Arial" w:hAnsi="Arial" w:cs="Arial"/>
          <w:sz w:val="24"/>
          <w:szCs w:val="24"/>
        </w:rPr>
        <w:t xml:space="preserve"> could be addressed by </w:t>
      </w:r>
      <w:r w:rsidR="002A1762" w:rsidRPr="002A1762">
        <w:rPr>
          <w:rFonts w:ascii="Arial" w:hAnsi="Arial" w:cs="Arial"/>
          <w:sz w:val="24"/>
          <w:szCs w:val="24"/>
        </w:rPr>
        <w:t>an up-front investment of</w:t>
      </w:r>
      <w:r w:rsidR="00EA3E7A">
        <w:rPr>
          <w:rFonts w:ascii="Arial" w:hAnsi="Arial" w:cs="Arial"/>
          <w:sz w:val="24"/>
          <w:szCs w:val="24"/>
        </w:rPr>
        <w:t xml:space="preserve"> </w:t>
      </w:r>
      <w:r w:rsidR="007C5BD6">
        <w:rPr>
          <w:rFonts w:ascii="Arial" w:hAnsi="Arial" w:cs="Arial"/>
          <w:sz w:val="24"/>
          <w:szCs w:val="24"/>
        </w:rPr>
        <w:t xml:space="preserve">approximately </w:t>
      </w:r>
      <w:r w:rsidR="002A1762" w:rsidRPr="002A1762">
        <w:rPr>
          <w:rFonts w:ascii="Arial" w:hAnsi="Arial" w:cs="Arial"/>
          <w:sz w:val="24"/>
          <w:szCs w:val="24"/>
        </w:rPr>
        <w:t>£</w:t>
      </w:r>
      <w:r w:rsidR="00EA3E7A">
        <w:rPr>
          <w:rFonts w:ascii="Arial" w:hAnsi="Arial" w:cs="Arial"/>
          <w:sz w:val="24"/>
          <w:szCs w:val="24"/>
        </w:rPr>
        <w:t>47</w:t>
      </w:r>
      <w:r w:rsidR="002A1762" w:rsidRPr="002A1762">
        <w:rPr>
          <w:rFonts w:ascii="Arial" w:hAnsi="Arial" w:cs="Arial"/>
          <w:sz w:val="24"/>
          <w:szCs w:val="24"/>
        </w:rPr>
        <w:t>,000 (</w:t>
      </w:r>
      <w:r w:rsidR="007C5BD6">
        <w:rPr>
          <w:rFonts w:ascii="Arial" w:hAnsi="Arial" w:cs="Arial"/>
          <w:sz w:val="24"/>
          <w:szCs w:val="24"/>
        </w:rPr>
        <w:t xml:space="preserve">£47,335:39: </w:t>
      </w:r>
      <w:r w:rsidR="00EA3E7A">
        <w:rPr>
          <w:rFonts w:ascii="Arial" w:hAnsi="Arial" w:cs="Arial"/>
          <w:sz w:val="24"/>
          <w:szCs w:val="24"/>
        </w:rPr>
        <w:t>see Box 3</w:t>
      </w:r>
      <w:r w:rsidR="002A1762" w:rsidRPr="002A1762">
        <w:rPr>
          <w:rFonts w:ascii="Arial" w:hAnsi="Arial" w:cs="Arial"/>
          <w:sz w:val="24"/>
          <w:szCs w:val="24"/>
        </w:rPr>
        <w:t xml:space="preserve">).  </w:t>
      </w:r>
      <w:r w:rsidR="00532F56" w:rsidRPr="002A1762">
        <w:rPr>
          <w:rFonts w:ascii="Arial" w:hAnsi="Arial" w:cs="Arial"/>
          <w:sz w:val="24"/>
          <w:szCs w:val="24"/>
        </w:rPr>
        <w:t xml:space="preserve">This </w:t>
      </w:r>
      <w:r w:rsidR="00532F56" w:rsidRPr="002A1762">
        <w:rPr>
          <w:rFonts w:ascii="Arial" w:hAnsi="Arial" w:cs="Arial"/>
          <w:sz w:val="24"/>
          <w:szCs w:val="24"/>
        </w:rPr>
        <w:lastRenderedPageBreak/>
        <w:t xml:space="preserve">represents a </w:t>
      </w:r>
      <w:r w:rsidR="0089013E">
        <w:rPr>
          <w:rFonts w:ascii="Arial" w:hAnsi="Arial" w:cs="Arial"/>
          <w:sz w:val="24"/>
          <w:szCs w:val="24"/>
        </w:rPr>
        <w:t xml:space="preserve">3% contribution to the £1,575,000 cost of commissioning a new 2.1MW wind turbine in Tamil Nadu, potentially a </w:t>
      </w:r>
      <w:r w:rsidR="00532F56" w:rsidRPr="002A1762">
        <w:rPr>
          <w:rFonts w:ascii="Arial" w:hAnsi="Arial" w:cs="Arial"/>
          <w:sz w:val="24"/>
          <w:szCs w:val="24"/>
        </w:rPr>
        <w:t xml:space="preserve">cost-effective and transparent means for </w:t>
      </w:r>
      <w:r w:rsidR="0089013E">
        <w:rPr>
          <w:rFonts w:ascii="Arial" w:hAnsi="Arial" w:cs="Arial"/>
          <w:sz w:val="24"/>
          <w:szCs w:val="24"/>
        </w:rPr>
        <w:t xml:space="preserve">this </w:t>
      </w:r>
      <w:r w:rsidR="002A1762" w:rsidRPr="002A1762">
        <w:rPr>
          <w:rFonts w:ascii="Arial" w:hAnsi="Arial" w:cs="Arial"/>
          <w:sz w:val="24"/>
          <w:szCs w:val="24"/>
        </w:rPr>
        <w:t xml:space="preserve">type of </w:t>
      </w:r>
      <w:r w:rsidR="00532F56" w:rsidRPr="002A1762">
        <w:rPr>
          <w:rFonts w:ascii="Arial" w:hAnsi="Arial" w:cs="Arial"/>
          <w:sz w:val="24"/>
          <w:szCs w:val="24"/>
        </w:rPr>
        <w:t xml:space="preserve">institution to address </w:t>
      </w:r>
      <w:r w:rsidR="0089013E">
        <w:rPr>
          <w:rFonts w:ascii="Arial" w:hAnsi="Arial" w:cs="Arial"/>
          <w:sz w:val="24"/>
          <w:szCs w:val="24"/>
        </w:rPr>
        <w:t xml:space="preserve">its </w:t>
      </w:r>
      <w:r w:rsidR="00532F56" w:rsidRPr="002A1762">
        <w:rPr>
          <w:rFonts w:ascii="Arial" w:hAnsi="Arial" w:cs="Arial"/>
          <w:sz w:val="24"/>
          <w:szCs w:val="24"/>
        </w:rPr>
        <w:t>commitments as large emitters of climate-active gases</w:t>
      </w:r>
      <w:r w:rsidR="002A1762" w:rsidRPr="002A1762">
        <w:rPr>
          <w:rFonts w:ascii="Arial" w:hAnsi="Arial" w:cs="Arial"/>
          <w:sz w:val="24"/>
          <w:szCs w:val="24"/>
        </w:rPr>
        <w:t>, with the added advantage of taking the form of a one-off up-front payment rather than a recurring annual charge</w:t>
      </w:r>
      <w:r w:rsidR="00532F56" w:rsidRPr="002A1762">
        <w:rPr>
          <w:rFonts w:ascii="Arial" w:hAnsi="Arial" w:cs="Arial"/>
          <w:sz w:val="24"/>
          <w:szCs w:val="24"/>
        </w:rPr>
        <w:t>.</w:t>
      </w:r>
    </w:p>
    <w:p w14:paraId="58C5A51D" w14:textId="77777777" w:rsidR="002A1762" w:rsidRDefault="002A1762" w:rsidP="002A1762">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21554" w14:paraId="191FBECF" w14:textId="77777777" w:rsidTr="00A21554">
        <w:tc>
          <w:tcPr>
            <w:tcW w:w="9242" w:type="dxa"/>
          </w:tcPr>
          <w:p w14:paraId="71E7C770" w14:textId="0C67D3BB" w:rsidR="00A21554" w:rsidRPr="00B06585" w:rsidRDefault="00A21554" w:rsidP="002A1762">
            <w:pPr>
              <w:contextualSpacing/>
              <w:rPr>
                <w:rFonts w:ascii="Arial" w:hAnsi="Arial" w:cs="Arial"/>
                <w:b/>
                <w:sz w:val="24"/>
                <w:szCs w:val="24"/>
              </w:rPr>
            </w:pPr>
            <w:r w:rsidRPr="00B06585">
              <w:rPr>
                <w:rFonts w:ascii="Arial" w:hAnsi="Arial" w:cs="Arial"/>
                <w:b/>
                <w:sz w:val="24"/>
                <w:szCs w:val="24"/>
              </w:rPr>
              <w:t xml:space="preserve">Box </w:t>
            </w:r>
            <w:r w:rsidR="00EA3E7A">
              <w:rPr>
                <w:rFonts w:ascii="Arial" w:hAnsi="Arial" w:cs="Arial"/>
                <w:b/>
                <w:sz w:val="24"/>
                <w:szCs w:val="24"/>
              </w:rPr>
              <w:t>3</w:t>
            </w:r>
            <w:r w:rsidRPr="00B06585">
              <w:rPr>
                <w:rFonts w:ascii="Arial" w:hAnsi="Arial" w:cs="Arial"/>
                <w:b/>
                <w:sz w:val="24"/>
                <w:szCs w:val="24"/>
              </w:rPr>
              <w:t xml:space="preserve">: </w:t>
            </w:r>
            <w:r w:rsidR="003457C2" w:rsidRPr="00B06585">
              <w:rPr>
                <w:rFonts w:ascii="Arial" w:hAnsi="Arial" w:cs="Arial"/>
                <w:b/>
                <w:sz w:val="24"/>
                <w:szCs w:val="24"/>
              </w:rPr>
              <w:t>Population and CO</w:t>
            </w:r>
            <w:r w:rsidR="003457C2" w:rsidRPr="00B06585">
              <w:rPr>
                <w:rFonts w:ascii="Arial" w:hAnsi="Arial" w:cs="Arial"/>
                <w:b/>
                <w:sz w:val="24"/>
                <w:szCs w:val="24"/>
                <w:vertAlign w:val="subscript"/>
              </w:rPr>
              <w:t>2</w:t>
            </w:r>
            <w:r w:rsidR="00DC0E60">
              <w:rPr>
                <w:rFonts w:ascii="Arial" w:hAnsi="Arial" w:cs="Arial"/>
                <w:b/>
                <w:sz w:val="24"/>
                <w:szCs w:val="24"/>
              </w:rPr>
              <w:t xml:space="preserve">e </w:t>
            </w:r>
            <w:r w:rsidR="003457C2" w:rsidRPr="00B06585">
              <w:rPr>
                <w:rFonts w:ascii="Arial" w:hAnsi="Arial" w:cs="Arial"/>
                <w:b/>
                <w:sz w:val="24"/>
                <w:szCs w:val="24"/>
              </w:rPr>
              <w:t>emissions at UWE, academic year 2014-2015</w:t>
            </w:r>
          </w:p>
          <w:p w14:paraId="66D060FD" w14:textId="77777777" w:rsidR="00A21554" w:rsidRDefault="00A21554" w:rsidP="002A1762">
            <w:pPr>
              <w:contextualSpacing/>
              <w:rPr>
                <w:rFonts w:ascii="Arial" w:hAnsi="Arial" w:cs="Arial"/>
                <w:sz w:val="24"/>
                <w:szCs w:val="24"/>
              </w:rPr>
            </w:pPr>
          </w:p>
          <w:p w14:paraId="0198DAA2" w14:textId="77777777" w:rsidR="006926D5" w:rsidRPr="00B06585" w:rsidRDefault="006926D5" w:rsidP="006926D5">
            <w:pPr>
              <w:contextualSpacing/>
              <w:rPr>
                <w:rFonts w:ascii="Arial" w:eastAsia="Times New Roman" w:hAnsi="Arial" w:cs="Arial"/>
                <w:color w:val="000000"/>
                <w:sz w:val="24"/>
                <w:szCs w:val="24"/>
                <w:lang w:eastAsia="en-GB"/>
              </w:rPr>
            </w:pPr>
            <w:r w:rsidRPr="00B06585">
              <w:rPr>
                <w:rFonts w:ascii="Arial" w:hAnsi="Arial" w:cs="Arial"/>
                <w:sz w:val="24"/>
                <w:szCs w:val="24"/>
              </w:rPr>
              <w:t xml:space="preserve">People at UWE = </w:t>
            </w:r>
            <w:r w:rsidRPr="00B06585">
              <w:rPr>
                <w:rFonts w:ascii="Arial" w:eastAsia="Times New Roman" w:hAnsi="Arial" w:cs="Arial"/>
                <w:color w:val="000000"/>
                <w:sz w:val="24"/>
                <w:szCs w:val="24"/>
                <w:lang w:eastAsia="en-GB"/>
              </w:rPr>
              <w:t>27,750</w:t>
            </w:r>
            <w:r>
              <w:rPr>
                <w:rFonts w:ascii="Arial" w:eastAsia="Times New Roman" w:hAnsi="Arial" w:cs="Arial"/>
                <w:color w:val="000000"/>
                <w:sz w:val="24"/>
                <w:szCs w:val="24"/>
                <w:lang w:eastAsia="en-GB"/>
              </w:rPr>
              <w:t xml:space="preserve"> </w:t>
            </w:r>
            <w:r w:rsidRPr="00B06585">
              <w:rPr>
                <w:rFonts w:ascii="Arial" w:eastAsia="Times New Roman" w:hAnsi="Arial" w:cs="Arial"/>
                <w:bCs/>
                <w:color w:val="000000"/>
                <w:sz w:val="24"/>
                <w:szCs w:val="24"/>
                <w:lang w:eastAsia="en-GB"/>
              </w:rPr>
              <w:t>(UWE, 2016a)</w:t>
            </w:r>
            <w:r w:rsidRPr="00B06585">
              <w:rPr>
                <w:rFonts w:ascii="Arial" w:eastAsia="Times New Roman" w:hAnsi="Arial" w:cs="Arial"/>
                <w:color w:val="000000"/>
                <w:sz w:val="24"/>
                <w:szCs w:val="24"/>
                <w:lang w:eastAsia="en-GB"/>
              </w:rPr>
              <w:t>, comprising:</w:t>
            </w:r>
          </w:p>
          <w:p w14:paraId="60082475" w14:textId="77777777" w:rsidR="006926D5" w:rsidRPr="00B06585" w:rsidRDefault="006926D5" w:rsidP="006926D5">
            <w:pPr>
              <w:pStyle w:val="ListParagraph"/>
              <w:numPr>
                <w:ilvl w:val="0"/>
                <w:numId w:val="2"/>
              </w:numPr>
              <w:rPr>
                <w:rFonts w:ascii="Arial" w:eastAsia="Times New Roman" w:hAnsi="Arial" w:cs="Arial"/>
                <w:color w:val="000000"/>
                <w:sz w:val="24"/>
                <w:szCs w:val="24"/>
                <w:lang w:eastAsia="en-GB"/>
              </w:rPr>
            </w:pPr>
            <w:r w:rsidRPr="00B06585">
              <w:rPr>
                <w:rFonts w:ascii="Arial" w:eastAsia="Times New Roman" w:hAnsi="Arial" w:cs="Arial"/>
                <w:color w:val="000000"/>
                <w:sz w:val="24"/>
                <w:szCs w:val="24"/>
                <w:lang w:eastAsia="en-GB"/>
              </w:rPr>
              <w:t xml:space="preserve">3,068 part-time students (6,136 assumed to be present half-time) </w:t>
            </w:r>
          </w:p>
          <w:p w14:paraId="336B91C5" w14:textId="77777777" w:rsidR="006926D5" w:rsidRPr="00B06585" w:rsidRDefault="006926D5" w:rsidP="006926D5">
            <w:pPr>
              <w:pStyle w:val="ListParagraph"/>
              <w:numPr>
                <w:ilvl w:val="0"/>
                <w:numId w:val="2"/>
              </w:numPr>
              <w:rPr>
                <w:rFonts w:ascii="Arial" w:hAnsi="Arial" w:cs="Arial"/>
                <w:sz w:val="24"/>
                <w:szCs w:val="24"/>
              </w:rPr>
            </w:pPr>
            <w:r w:rsidRPr="00E7095C">
              <w:rPr>
                <w:rFonts w:ascii="Arial" w:eastAsia="Times New Roman" w:hAnsi="Arial" w:cs="Arial"/>
                <w:color w:val="000000"/>
                <w:sz w:val="24"/>
                <w:szCs w:val="24"/>
                <w:lang w:eastAsia="en-GB"/>
              </w:rPr>
              <w:t>21,144</w:t>
            </w:r>
            <w:r w:rsidRPr="00B06585">
              <w:rPr>
                <w:rFonts w:ascii="Arial" w:eastAsia="Times New Roman" w:hAnsi="Arial" w:cs="Arial"/>
                <w:color w:val="000000"/>
                <w:sz w:val="24"/>
                <w:szCs w:val="24"/>
                <w:lang w:eastAsia="en-GB"/>
              </w:rPr>
              <w:t xml:space="preserve"> full-time students</w:t>
            </w:r>
          </w:p>
          <w:p w14:paraId="40C3FBC6" w14:textId="77777777" w:rsidR="006926D5" w:rsidRPr="00862818" w:rsidRDefault="006926D5" w:rsidP="006926D5">
            <w:pPr>
              <w:pStyle w:val="ListParagraph"/>
              <w:numPr>
                <w:ilvl w:val="0"/>
                <w:numId w:val="2"/>
              </w:numPr>
              <w:rPr>
                <w:rFonts w:ascii="Arial" w:hAnsi="Arial" w:cs="Arial"/>
                <w:sz w:val="24"/>
                <w:szCs w:val="24"/>
              </w:rPr>
            </w:pPr>
            <w:r w:rsidRPr="00B06585">
              <w:rPr>
                <w:rFonts w:ascii="Arial" w:eastAsia="Times New Roman" w:hAnsi="Arial" w:cs="Arial"/>
                <w:bCs/>
                <w:color w:val="000000"/>
                <w:sz w:val="24"/>
                <w:szCs w:val="24"/>
                <w:lang w:eastAsia="en-GB"/>
              </w:rPr>
              <w:t>3,538 staff</w:t>
            </w:r>
          </w:p>
          <w:p w14:paraId="399EA02A" w14:textId="77777777" w:rsidR="006926D5" w:rsidRPr="00DB3E7D" w:rsidRDefault="006926D5" w:rsidP="006926D5">
            <w:pPr>
              <w:rPr>
                <w:rFonts w:ascii="Arial" w:hAnsi="Arial" w:cs="Arial"/>
                <w:color w:val="000000" w:themeColor="text1"/>
                <w:sz w:val="24"/>
                <w:szCs w:val="24"/>
              </w:rPr>
            </w:pPr>
          </w:p>
          <w:p w14:paraId="15733ECE" w14:textId="7B3FC790" w:rsidR="006926D5" w:rsidRPr="00DB3E7D" w:rsidRDefault="006926D5" w:rsidP="006926D5">
            <w:pPr>
              <w:rPr>
                <w:rFonts w:ascii="Arial" w:hAnsi="Arial" w:cs="Arial"/>
                <w:bCs/>
                <w:color w:val="000000" w:themeColor="text1"/>
                <w:sz w:val="24"/>
                <w:szCs w:val="24"/>
              </w:rPr>
            </w:pPr>
            <w:r w:rsidRPr="00DB3E7D">
              <w:rPr>
                <w:rFonts w:ascii="Arial" w:hAnsi="Arial" w:cs="Arial"/>
                <w:color w:val="000000" w:themeColor="text1"/>
                <w:sz w:val="24"/>
                <w:szCs w:val="24"/>
              </w:rPr>
              <w:t>Annual CO</w:t>
            </w:r>
            <w:r w:rsidRPr="00DB3E7D">
              <w:rPr>
                <w:rFonts w:ascii="Arial" w:hAnsi="Arial" w:cs="Arial"/>
                <w:color w:val="000000" w:themeColor="text1"/>
                <w:sz w:val="24"/>
                <w:szCs w:val="24"/>
                <w:vertAlign w:val="subscript"/>
              </w:rPr>
              <w:t>2</w:t>
            </w:r>
            <w:r w:rsidRPr="00DB3E7D">
              <w:rPr>
                <w:rFonts w:ascii="Arial" w:hAnsi="Arial" w:cs="Arial"/>
                <w:color w:val="000000" w:themeColor="text1"/>
                <w:sz w:val="24"/>
                <w:szCs w:val="24"/>
              </w:rPr>
              <w:t xml:space="preserve"> emissions at UWE = </w:t>
            </w:r>
            <w:r w:rsidR="00DB3E7D" w:rsidRPr="00DB3E7D">
              <w:rPr>
                <w:rFonts w:ascii="Arial" w:hAnsi="Arial" w:cs="Arial"/>
                <w:color w:val="000000" w:themeColor="text1"/>
                <w:sz w:val="24"/>
                <w:szCs w:val="24"/>
              </w:rPr>
              <w:t>81,311</w:t>
            </w:r>
            <w:r w:rsidRPr="00DB3E7D">
              <w:rPr>
                <w:rFonts w:ascii="Arial" w:hAnsi="Arial" w:cs="Arial"/>
                <w:color w:val="000000" w:themeColor="text1"/>
                <w:sz w:val="24"/>
                <w:szCs w:val="24"/>
              </w:rPr>
              <w:t xml:space="preserve"> </w:t>
            </w:r>
            <w:r w:rsidRPr="00DB3E7D">
              <w:rPr>
                <w:rFonts w:ascii="Arial" w:hAnsi="Arial" w:cs="Arial"/>
                <w:bCs/>
                <w:color w:val="000000" w:themeColor="text1"/>
                <w:sz w:val="24"/>
                <w:szCs w:val="24"/>
              </w:rPr>
              <w:t>tCO</w:t>
            </w:r>
            <w:r w:rsidRPr="00DB3E7D">
              <w:rPr>
                <w:rFonts w:ascii="Arial" w:hAnsi="Arial" w:cs="Arial"/>
                <w:bCs/>
                <w:color w:val="000000" w:themeColor="text1"/>
                <w:sz w:val="24"/>
                <w:szCs w:val="24"/>
                <w:vertAlign w:val="subscript"/>
              </w:rPr>
              <w:t>2</w:t>
            </w:r>
            <w:r w:rsidRPr="00DB3E7D">
              <w:rPr>
                <w:rFonts w:ascii="Arial" w:hAnsi="Arial" w:cs="Arial"/>
                <w:bCs/>
                <w:color w:val="000000" w:themeColor="text1"/>
                <w:sz w:val="24"/>
                <w:szCs w:val="24"/>
              </w:rPr>
              <w:t>e (</w:t>
            </w:r>
            <w:r w:rsidRPr="00DB3E7D">
              <w:rPr>
                <w:rFonts w:ascii="Arial" w:hAnsi="Arial" w:cs="Arial"/>
                <w:color w:val="000000" w:themeColor="text1"/>
                <w:sz w:val="24"/>
                <w:szCs w:val="24"/>
              </w:rPr>
              <w:t xml:space="preserve">UWE, 2016b) </w:t>
            </w:r>
            <w:r w:rsidRPr="00DB3E7D">
              <w:rPr>
                <w:rFonts w:ascii="Arial" w:hAnsi="Arial" w:cs="Arial"/>
                <w:bCs/>
                <w:color w:val="000000" w:themeColor="text1"/>
                <w:sz w:val="24"/>
                <w:szCs w:val="24"/>
              </w:rPr>
              <w:t>comprising:</w:t>
            </w:r>
          </w:p>
          <w:p w14:paraId="013D2C9F" w14:textId="16EE845C" w:rsidR="006926D5" w:rsidRPr="006E372F" w:rsidRDefault="006926D5" w:rsidP="006926D5">
            <w:pPr>
              <w:pStyle w:val="ListParagraph"/>
              <w:numPr>
                <w:ilvl w:val="0"/>
                <w:numId w:val="2"/>
              </w:numPr>
              <w:rPr>
                <w:rFonts w:ascii="Arial" w:hAnsi="Arial" w:cs="Arial"/>
                <w:color w:val="000000" w:themeColor="text1"/>
                <w:sz w:val="24"/>
                <w:szCs w:val="24"/>
              </w:rPr>
            </w:pPr>
            <w:r w:rsidRPr="00DB3E7D">
              <w:rPr>
                <w:rFonts w:ascii="Arial" w:hAnsi="Arial" w:cs="Arial"/>
                <w:color w:val="000000" w:themeColor="text1"/>
                <w:sz w:val="24"/>
                <w:szCs w:val="24"/>
              </w:rPr>
              <w:t>1</w:t>
            </w:r>
            <w:r w:rsidR="00DB3E7D" w:rsidRPr="00DB3E7D">
              <w:rPr>
                <w:rFonts w:ascii="Arial" w:hAnsi="Arial" w:cs="Arial"/>
                <w:color w:val="000000" w:themeColor="text1"/>
                <w:sz w:val="24"/>
                <w:szCs w:val="24"/>
              </w:rPr>
              <w:t>6</w:t>
            </w:r>
            <w:r w:rsidRPr="00DB3E7D">
              <w:rPr>
                <w:rFonts w:ascii="Arial" w:hAnsi="Arial" w:cs="Arial"/>
                <w:color w:val="000000" w:themeColor="text1"/>
                <w:sz w:val="24"/>
                <w:szCs w:val="24"/>
              </w:rPr>
              <w:t>,</w:t>
            </w:r>
            <w:r w:rsidR="00DB3E7D" w:rsidRPr="00DB3E7D">
              <w:rPr>
                <w:rFonts w:ascii="Arial" w:hAnsi="Arial" w:cs="Arial"/>
                <w:color w:val="000000" w:themeColor="text1"/>
                <w:sz w:val="24"/>
                <w:szCs w:val="24"/>
              </w:rPr>
              <w:t>753</w:t>
            </w:r>
            <w:r w:rsidRPr="00DB3E7D">
              <w:rPr>
                <w:rFonts w:ascii="Arial" w:hAnsi="Arial" w:cs="Arial"/>
                <w:color w:val="000000" w:themeColor="text1"/>
                <w:sz w:val="24"/>
                <w:szCs w:val="24"/>
              </w:rPr>
              <w:t xml:space="preserve"> t</w:t>
            </w:r>
            <w:r w:rsidRPr="00DB3E7D">
              <w:rPr>
                <w:rFonts w:ascii="Arial" w:hAnsi="Arial" w:cs="Arial"/>
                <w:bCs/>
                <w:color w:val="000000" w:themeColor="text1"/>
                <w:sz w:val="24"/>
                <w:szCs w:val="24"/>
              </w:rPr>
              <w:t>CO</w:t>
            </w:r>
            <w:r w:rsidRPr="00DB3E7D">
              <w:rPr>
                <w:rFonts w:ascii="Arial" w:hAnsi="Arial" w:cs="Arial"/>
                <w:bCs/>
                <w:color w:val="000000" w:themeColor="text1"/>
                <w:sz w:val="24"/>
                <w:szCs w:val="24"/>
                <w:vertAlign w:val="subscript"/>
              </w:rPr>
              <w:t>2</w:t>
            </w:r>
            <w:r w:rsidRPr="00DB3E7D">
              <w:rPr>
                <w:rFonts w:ascii="Arial" w:hAnsi="Arial" w:cs="Arial"/>
                <w:bCs/>
                <w:color w:val="000000" w:themeColor="text1"/>
                <w:sz w:val="24"/>
                <w:szCs w:val="24"/>
              </w:rPr>
              <w:t>e:</w:t>
            </w:r>
            <w:r w:rsidRPr="00DB3E7D">
              <w:rPr>
                <w:rFonts w:ascii="Arial" w:hAnsi="Arial" w:cs="Arial"/>
                <w:color w:val="000000" w:themeColor="text1"/>
                <w:sz w:val="24"/>
                <w:szCs w:val="24"/>
              </w:rPr>
              <w:t xml:space="preserve"> Scope 1 (burning o</w:t>
            </w:r>
            <w:r w:rsidRPr="00B06585">
              <w:rPr>
                <w:rFonts w:ascii="Arial" w:hAnsi="Arial" w:cs="Arial"/>
                <w:sz w:val="24"/>
                <w:szCs w:val="24"/>
              </w:rPr>
              <w:t>f fuels on site) + Scope 2 (emissions associated with purchased energy</w:t>
            </w:r>
          </w:p>
          <w:p w14:paraId="22E583B0" w14:textId="50C5D69D" w:rsidR="006926D5" w:rsidRPr="006E372F" w:rsidRDefault="00962629" w:rsidP="006926D5">
            <w:pPr>
              <w:pStyle w:val="ListParagraph"/>
              <w:numPr>
                <w:ilvl w:val="0"/>
                <w:numId w:val="2"/>
              </w:numPr>
              <w:rPr>
                <w:rFonts w:ascii="Arial" w:hAnsi="Arial" w:cs="Arial"/>
                <w:color w:val="000000" w:themeColor="text1"/>
                <w:sz w:val="24"/>
                <w:szCs w:val="24"/>
              </w:rPr>
            </w:pPr>
            <w:r w:rsidRPr="006E372F">
              <w:rPr>
                <w:rFonts w:ascii="Arial" w:hAnsi="Arial" w:cs="Arial"/>
                <w:color w:val="000000" w:themeColor="text1"/>
                <w:sz w:val="24"/>
                <w:szCs w:val="24"/>
              </w:rPr>
              <w:t>64,558</w:t>
            </w:r>
            <w:r w:rsidR="006926D5" w:rsidRPr="006E372F">
              <w:rPr>
                <w:rFonts w:ascii="Arial" w:hAnsi="Arial" w:cs="Arial"/>
                <w:color w:val="000000" w:themeColor="text1"/>
                <w:sz w:val="24"/>
                <w:szCs w:val="24"/>
              </w:rPr>
              <w:t xml:space="preserve"> t</w:t>
            </w:r>
            <w:r w:rsidR="006926D5" w:rsidRPr="006E372F">
              <w:rPr>
                <w:rFonts w:ascii="Arial" w:hAnsi="Arial" w:cs="Arial"/>
                <w:bCs/>
                <w:color w:val="000000" w:themeColor="text1"/>
                <w:sz w:val="24"/>
                <w:szCs w:val="24"/>
              </w:rPr>
              <w:t>CO</w:t>
            </w:r>
            <w:r w:rsidR="006926D5" w:rsidRPr="006E372F">
              <w:rPr>
                <w:rFonts w:ascii="Arial" w:hAnsi="Arial" w:cs="Arial"/>
                <w:bCs/>
                <w:color w:val="000000" w:themeColor="text1"/>
                <w:sz w:val="24"/>
                <w:szCs w:val="24"/>
                <w:vertAlign w:val="subscript"/>
              </w:rPr>
              <w:t>2</w:t>
            </w:r>
            <w:r w:rsidR="006926D5" w:rsidRPr="006E372F">
              <w:rPr>
                <w:rFonts w:ascii="Arial" w:hAnsi="Arial" w:cs="Arial"/>
                <w:bCs/>
                <w:color w:val="000000" w:themeColor="text1"/>
                <w:sz w:val="24"/>
                <w:szCs w:val="24"/>
              </w:rPr>
              <w:t>e: Scope 3 (</w:t>
            </w:r>
            <w:r w:rsidR="006926D5" w:rsidRPr="006E372F">
              <w:rPr>
                <w:rFonts w:ascii="Arial" w:hAnsi="Arial" w:cs="Arial"/>
                <w:color w:val="000000" w:themeColor="text1"/>
                <w:sz w:val="24"/>
                <w:szCs w:val="24"/>
                <w:lang w:val="en"/>
              </w:rPr>
              <w:t>indirect emissions out of direct UWE control including transport</w:t>
            </w:r>
            <w:r w:rsidRPr="006E372F">
              <w:rPr>
                <w:rFonts w:ascii="Arial" w:hAnsi="Arial" w:cs="Arial"/>
                <w:color w:val="000000" w:themeColor="text1"/>
                <w:sz w:val="24"/>
                <w:szCs w:val="24"/>
                <w:lang w:val="en"/>
              </w:rPr>
              <w:t xml:space="preserve"> including commuting</w:t>
            </w:r>
            <w:r w:rsidR="006926D5" w:rsidRPr="006E372F">
              <w:rPr>
                <w:rFonts w:ascii="Arial" w:hAnsi="Arial" w:cs="Arial"/>
                <w:color w:val="000000" w:themeColor="text1"/>
                <w:sz w:val="24"/>
                <w:szCs w:val="24"/>
                <w:lang w:val="en"/>
              </w:rPr>
              <w:t xml:space="preserve">, water, </w:t>
            </w:r>
            <w:r w:rsidRPr="006E372F">
              <w:rPr>
                <w:rFonts w:ascii="Arial" w:hAnsi="Arial" w:cs="Arial"/>
                <w:color w:val="000000" w:themeColor="text1"/>
                <w:sz w:val="24"/>
                <w:szCs w:val="24"/>
                <w:lang w:val="en"/>
              </w:rPr>
              <w:t xml:space="preserve">sewage, </w:t>
            </w:r>
            <w:r w:rsidR="006926D5" w:rsidRPr="006E372F">
              <w:rPr>
                <w:rFonts w:ascii="Arial" w:hAnsi="Arial" w:cs="Arial"/>
                <w:color w:val="000000" w:themeColor="text1"/>
                <w:sz w:val="24"/>
                <w:szCs w:val="24"/>
                <w:lang w:val="en"/>
              </w:rPr>
              <w:t>waste, construction and procurement of goods and services</w:t>
            </w:r>
            <w:r w:rsidR="006E372F" w:rsidRPr="006E372F">
              <w:rPr>
                <w:rFonts w:ascii="Arial" w:hAnsi="Arial" w:cs="Arial"/>
                <w:color w:val="000000" w:themeColor="text1"/>
                <w:sz w:val="24"/>
                <w:szCs w:val="24"/>
                <w:lang w:val="en"/>
              </w:rPr>
              <w:t xml:space="preserve"> including construction</w:t>
            </w:r>
            <w:r w:rsidR="006926D5" w:rsidRPr="006E372F">
              <w:rPr>
                <w:rFonts w:ascii="Arial" w:hAnsi="Arial" w:cs="Arial"/>
                <w:color w:val="000000" w:themeColor="text1"/>
                <w:sz w:val="24"/>
                <w:szCs w:val="24"/>
                <w:lang w:val="en"/>
              </w:rPr>
              <w:t>)</w:t>
            </w:r>
          </w:p>
          <w:p w14:paraId="59F9CC0E" w14:textId="77777777" w:rsidR="006926D5" w:rsidRPr="006E372F" w:rsidRDefault="006926D5" w:rsidP="006926D5">
            <w:pPr>
              <w:rPr>
                <w:rFonts w:ascii="Arial" w:hAnsi="Arial" w:cs="Arial"/>
                <w:color w:val="000000" w:themeColor="text1"/>
                <w:sz w:val="24"/>
                <w:szCs w:val="24"/>
              </w:rPr>
            </w:pPr>
          </w:p>
          <w:p w14:paraId="5F16279D" w14:textId="050EC57C" w:rsidR="006926D5" w:rsidRPr="006E372F" w:rsidRDefault="006926D5" w:rsidP="006926D5">
            <w:pPr>
              <w:rPr>
                <w:rFonts w:ascii="Arial" w:hAnsi="Arial" w:cs="Arial"/>
                <w:bCs/>
                <w:color w:val="000000" w:themeColor="text1"/>
                <w:sz w:val="24"/>
                <w:szCs w:val="24"/>
              </w:rPr>
            </w:pPr>
            <w:r w:rsidRPr="006E372F">
              <w:rPr>
                <w:rFonts w:ascii="Arial" w:hAnsi="Arial" w:cs="Arial"/>
                <w:color w:val="000000" w:themeColor="text1"/>
                <w:sz w:val="24"/>
                <w:szCs w:val="24"/>
              </w:rPr>
              <w:t xml:space="preserve">Per capita annual emissions for people in UWE activities (excluding lifestyle) ≈ </w:t>
            </w:r>
            <w:r w:rsidR="006E372F" w:rsidRPr="006E372F">
              <w:rPr>
                <w:rFonts w:ascii="Arial" w:hAnsi="Arial" w:cs="Arial"/>
                <w:color w:val="000000" w:themeColor="text1"/>
                <w:sz w:val="24"/>
                <w:szCs w:val="24"/>
              </w:rPr>
              <w:t>2.9</w:t>
            </w:r>
            <w:r w:rsidRPr="006E372F">
              <w:rPr>
                <w:rFonts w:ascii="Arial" w:hAnsi="Arial" w:cs="Arial"/>
                <w:color w:val="000000" w:themeColor="text1"/>
                <w:sz w:val="24"/>
                <w:szCs w:val="24"/>
              </w:rPr>
              <w:t xml:space="preserve"> t</w:t>
            </w:r>
            <w:r w:rsidRPr="006E372F">
              <w:rPr>
                <w:rFonts w:ascii="Arial" w:hAnsi="Arial" w:cs="Arial"/>
                <w:bCs/>
                <w:color w:val="000000" w:themeColor="text1"/>
                <w:sz w:val="24"/>
                <w:szCs w:val="24"/>
              </w:rPr>
              <w:t>CO</w:t>
            </w:r>
            <w:r w:rsidRPr="006E372F">
              <w:rPr>
                <w:rFonts w:ascii="Arial" w:hAnsi="Arial" w:cs="Arial"/>
                <w:bCs/>
                <w:color w:val="000000" w:themeColor="text1"/>
                <w:sz w:val="24"/>
                <w:szCs w:val="24"/>
                <w:vertAlign w:val="subscript"/>
              </w:rPr>
              <w:t>2</w:t>
            </w:r>
            <w:r w:rsidRPr="006E372F">
              <w:rPr>
                <w:rFonts w:ascii="Arial" w:hAnsi="Arial" w:cs="Arial"/>
                <w:bCs/>
                <w:color w:val="000000" w:themeColor="text1"/>
                <w:sz w:val="24"/>
                <w:szCs w:val="24"/>
              </w:rPr>
              <w:t>/person</w:t>
            </w:r>
          </w:p>
          <w:p w14:paraId="6FFA9131" w14:textId="0279E9CE" w:rsidR="006926D5" w:rsidRDefault="006E372F" w:rsidP="006926D5">
            <w:pPr>
              <w:pStyle w:val="ListParagraph"/>
              <w:numPr>
                <w:ilvl w:val="0"/>
                <w:numId w:val="5"/>
              </w:numPr>
              <w:rPr>
                <w:rFonts w:ascii="Arial" w:hAnsi="Arial" w:cs="Arial"/>
                <w:bCs/>
                <w:sz w:val="24"/>
                <w:szCs w:val="24"/>
              </w:rPr>
            </w:pPr>
            <w:r w:rsidRPr="006E372F">
              <w:rPr>
                <w:rFonts w:ascii="Arial" w:hAnsi="Arial" w:cs="Arial"/>
                <w:color w:val="000000" w:themeColor="text1"/>
                <w:sz w:val="24"/>
                <w:szCs w:val="24"/>
              </w:rPr>
              <w:t>81,311</w:t>
            </w:r>
            <w:r w:rsidR="006926D5" w:rsidRPr="006E372F">
              <w:rPr>
                <w:rFonts w:ascii="Arial" w:hAnsi="Arial" w:cs="Arial"/>
                <w:color w:val="000000" w:themeColor="text1"/>
                <w:sz w:val="24"/>
                <w:szCs w:val="24"/>
              </w:rPr>
              <w:t xml:space="preserve"> t</w:t>
            </w:r>
            <w:r w:rsidR="006926D5" w:rsidRPr="006E372F">
              <w:rPr>
                <w:rFonts w:ascii="Arial" w:hAnsi="Arial" w:cs="Arial"/>
                <w:bCs/>
                <w:color w:val="000000" w:themeColor="text1"/>
                <w:sz w:val="24"/>
                <w:szCs w:val="24"/>
              </w:rPr>
              <w:t>CO</w:t>
            </w:r>
            <w:r w:rsidR="006926D5" w:rsidRPr="006E372F">
              <w:rPr>
                <w:rFonts w:ascii="Arial" w:hAnsi="Arial" w:cs="Arial"/>
                <w:bCs/>
                <w:color w:val="000000" w:themeColor="text1"/>
                <w:sz w:val="24"/>
                <w:szCs w:val="24"/>
                <w:vertAlign w:val="subscript"/>
              </w:rPr>
              <w:t>2</w:t>
            </w:r>
            <w:r w:rsidR="006926D5" w:rsidRPr="006E372F">
              <w:rPr>
                <w:rFonts w:ascii="Arial" w:hAnsi="Arial" w:cs="Arial"/>
                <w:bCs/>
                <w:color w:val="000000" w:themeColor="text1"/>
                <w:sz w:val="24"/>
                <w:szCs w:val="24"/>
              </w:rPr>
              <w:t xml:space="preserve">e </w:t>
            </w:r>
            <w:r w:rsidR="006926D5" w:rsidRPr="006E372F">
              <w:rPr>
                <w:rFonts w:ascii="Arial" w:hAnsi="Arial" w:cs="Arial"/>
                <w:color w:val="000000" w:themeColor="text1"/>
                <w:sz w:val="24"/>
                <w:szCs w:val="24"/>
                <w:lang w:val="en"/>
              </w:rPr>
              <w:t>÷</w:t>
            </w:r>
            <w:r w:rsidR="006926D5" w:rsidRPr="006E372F">
              <w:rPr>
                <w:rFonts w:ascii="Arial" w:hAnsi="Arial" w:cs="Arial"/>
                <w:bCs/>
                <w:color w:val="000000" w:themeColor="text1"/>
                <w:sz w:val="24"/>
                <w:szCs w:val="24"/>
              </w:rPr>
              <w:t xml:space="preserve"> </w:t>
            </w:r>
            <w:r w:rsidR="006926D5" w:rsidRPr="006E372F">
              <w:rPr>
                <w:rFonts w:ascii="Arial" w:eastAsia="Times New Roman" w:hAnsi="Arial" w:cs="Arial"/>
                <w:color w:val="000000" w:themeColor="text1"/>
                <w:sz w:val="24"/>
                <w:szCs w:val="24"/>
                <w:lang w:eastAsia="en-GB"/>
              </w:rPr>
              <w:t xml:space="preserve">27,750 people = </w:t>
            </w:r>
            <w:r w:rsidRPr="006E372F">
              <w:rPr>
                <w:rFonts w:ascii="Arial" w:eastAsia="Times New Roman" w:hAnsi="Arial" w:cs="Arial"/>
                <w:color w:val="000000" w:themeColor="text1"/>
                <w:sz w:val="24"/>
                <w:szCs w:val="24"/>
                <w:lang w:eastAsia="en-GB"/>
              </w:rPr>
              <w:t>2.930</w:t>
            </w:r>
            <w:r w:rsidR="006926D5" w:rsidRPr="006E372F">
              <w:rPr>
                <w:rFonts w:ascii="Arial" w:eastAsia="Times New Roman" w:hAnsi="Arial" w:cs="Arial"/>
                <w:color w:val="000000" w:themeColor="text1"/>
                <w:sz w:val="24"/>
                <w:szCs w:val="24"/>
                <w:lang w:eastAsia="en-GB"/>
              </w:rPr>
              <w:t xml:space="preserve"> </w:t>
            </w:r>
            <w:r w:rsidR="006926D5" w:rsidRPr="00B06585">
              <w:rPr>
                <w:rFonts w:ascii="Arial" w:hAnsi="Arial" w:cs="Arial"/>
                <w:sz w:val="24"/>
                <w:szCs w:val="24"/>
              </w:rPr>
              <w:t>t</w:t>
            </w:r>
            <w:r w:rsidR="006926D5" w:rsidRPr="00B06585">
              <w:rPr>
                <w:rFonts w:ascii="Arial" w:hAnsi="Arial" w:cs="Arial"/>
                <w:bCs/>
                <w:sz w:val="24"/>
                <w:szCs w:val="24"/>
              </w:rPr>
              <w:t>CO</w:t>
            </w:r>
            <w:r w:rsidR="006926D5" w:rsidRPr="00B06585">
              <w:rPr>
                <w:rFonts w:ascii="Arial" w:hAnsi="Arial" w:cs="Arial"/>
                <w:bCs/>
                <w:sz w:val="24"/>
                <w:szCs w:val="24"/>
                <w:vertAlign w:val="subscript"/>
              </w:rPr>
              <w:t>2</w:t>
            </w:r>
            <w:r w:rsidR="006926D5">
              <w:rPr>
                <w:rFonts w:ascii="Arial" w:hAnsi="Arial" w:cs="Arial"/>
                <w:bCs/>
                <w:sz w:val="24"/>
                <w:szCs w:val="24"/>
              </w:rPr>
              <w:t>e/</w:t>
            </w:r>
            <w:r w:rsidR="006926D5" w:rsidRPr="00B06585">
              <w:rPr>
                <w:rFonts w:ascii="Arial" w:hAnsi="Arial" w:cs="Arial"/>
                <w:bCs/>
                <w:sz w:val="24"/>
                <w:szCs w:val="24"/>
              </w:rPr>
              <w:t>person</w:t>
            </w:r>
          </w:p>
          <w:p w14:paraId="7AA0F8DD" w14:textId="77777777" w:rsidR="006926D5" w:rsidRDefault="006926D5" w:rsidP="006926D5">
            <w:pPr>
              <w:rPr>
                <w:rFonts w:ascii="Arial" w:hAnsi="Arial" w:cs="Arial"/>
                <w:bCs/>
                <w:sz w:val="24"/>
                <w:szCs w:val="24"/>
              </w:rPr>
            </w:pPr>
          </w:p>
          <w:p w14:paraId="0C781E10" w14:textId="3B306B6B" w:rsidR="006926D5" w:rsidRPr="006E372F" w:rsidRDefault="006926D5" w:rsidP="006926D5">
            <w:pPr>
              <w:rPr>
                <w:rFonts w:ascii="Arial" w:hAnsi="Arial" w:cs="Arial"/>
                <w:color w:val="000000" w:themeColor="text1"/>
                <w:sz w:val="24"/>
                <w:szCs w:val="24"/>
              </w:rPr>
            </w:pPr>
            <w:r>
              <w:rPr>
                <w:rFonts w:ascii="Arial" w:hAnsi="Arial" w:cs="Arial"/>
                <w:sz w:val="24"/>
                <w:szCs w:val="24"/>
              </w:rPr>
              <w:t xml:space="preserve">Cumulative carbon dioxide emissions over a century, assuming 2014/15 emissions are maintained (overlooking likely </w:t>
            </w:r>
            <w:r w:rsidRPr="002A1762">
              <w:rPr>
                <w:rFonts w:ascii="Arial" w:hAnsi="Arial" w:cs="Arial"/>
                <w:sz w:val="24"/>
                <w:szCs w:val="24"/>
              </w:rPr>
              <w:t>fluctu</w:t>
            </w:r>
            <w:r w:rsidRPr="006E372F">
              <w:rPr>
                <w:rFonts w:ascii="Arial" w:hAnsi="Arial" w:cs="Arial"/>
                <w:color w:val="000000" w:themeColor="text1"/>
                <w:sz w:val="24"/>
                <w:szCs w:val="24"/>
              </w:rPr>
              <w:t xml:space="preserve">ations in numbers of people and per capita emissions) = </w:t>
            </w:r>
            <w:r w:rsidR="006E372F" w:rsidRPr="006E372F">
              <w:rPr>
                <w:rFonts w:ascii="Arial" w:hAnsi="Arial" w:cs="Arial"/>
                <w:color w:val="000000" w:themeColor="text1"/>
                <w:sz w:val="24"/>
                <w:szCs w:val="24"/>
              </w:rPr>
              <w:t>8,131,100</w:t>
            </w:r>
            <w:r w:rsidRPr="006E372F">
              <w:rPr>
                <w:rFonts w:ascii="Arial" w:hAnsi="Arial" w:cs="Arial"/>
                <w:bCs/>
                <w:color w:val="000000" w:themeColor="text1"/>
                <w:sz w:val="24"/>
                <w:szCs w:val="24"/>
              </w:rPr>
              <w:t xml:space="preserve"> tCO</w:t>
            </w:r>
            <w:r w:rsidRPr="006E372F">
              <w:rPr>
                <w:rFonts w:ascii="Arial" w:hAnsi="Arial" w:cs="Arial"/>
                <w:bCs/>
                <w:color w:val="000000" w:themeColor="text1"/>
                <w:sz w:val="24"/>
                <w:szCs w:val="24"/>
                <w:vertAlign w:val="subscript"/>
              </w:rPr>
              <w:t>2</w:t>
            </w:r>
            <w:r w:rsidRPr="006E372F">
              <w:rPr>
                <w:rFonts w:ascii="Arial" w:hAnsi="Arial" w:cs="Arial"/>
                <w:color w:val="000000" w:themeColor="text1"/>
                <w:sz w:val="24"/>
                <w:szCs w:val="24"/>
              </w:rPr>
              <w:t>e, accounted for by:</w:t>
            </w:r>
          </w:p>
          <w:p w14:paraId="77261550" w14:textId="4B1E35D3" w:rsidR="006926D5" w:rsidRPr="006E372F" w:rsidRDefault="006926D5" w:rsidP="006926D5">
            <w:pPr>
              <w:pStyle w:val="ListParagraph"/>
              <w:numPr>
                <w:ilvl w:val="0"/>
                <w:numId w:val="5"/>
              </w:numPr>
              <w:rPr>
                <w:rFonts w:ascii="Arial" w:hAnsi="Arial" w:cs="Arial"/>
                <w:color w:val="000000" w:themeColor="text1"/>
                <w:sz w:val="24"/>
                <w:szCs w:val="24"/>
              </w:rPr>
            </w:pPr>
            <w:r w:rsidRPr="006E372F">
              <w:rPr>
                <w:rFonts w:ascii="Arial" w:hAnsi="Arial" w:cs="Arial"/>
                <w:color w:val="000000" w:themeColor="text1"/>
                <w:sz w:val="24"/>
                <w:szCs w:val="24"/>
              </w:rPr>
              <w:t xml:space="preserve">100 x annual emission of </w:t>
            </w:r>
            <w:r w:rsidR="006E372F" w:rsidRPr="006E372F">
              <w:rPr>
                <w:rFonts w:ascii="Arial" w:hAnsi="Arial" w:cs="Arial"/>
                <w:color w:val="000000" w:themeColor="text1"/>
                <w:sz w:val="24"/>
                <w:szCs w:val="24"/>
              </w:rPr>
              <w:t>81,311</w:t>
            </w:r>
            <w:r w:rsidRPr="006E372F">
              <w:rPr>
                <w:rFonts w:ascii="Arial" w:hAnsi="Arial" w:cs="Arial"/>
                <w:bCs/>
                <w:color w:val="000000" w:themeColor="text1"/>
                <w:sz w:val="24"/>
                <w:szCs w:val="24"/>
              </w:rPr>
              <w:t xml:space="preserve"> tCO</w:t>
            </w:r>
            <w:r w:rsidRPr="006E372F">
              <w:rPr>
                <w:rFonts w:ascii="Arial" w:hAnsi="Arial" w:cs="Arial"/>
                <w:bCs/>
                <w:color w:val="000000" w:themeColor="text1"/>
                <w:sz w:val="24"/>
                <w:szCs w:val="24"/>
                <w:vertAlign w:val="subscript"/>
              </w:rPr>
              <w:t>2</w:t>
            </w:r>
            <w:r w:rsidRPr="006E372F">
              <w:rPr>
                <w:rFonts w:ascii="Arial" w:hAnsi="Arial" w:cs="Arial"/>
                <w:bCs/>
                <w:color w:val="000000" w:themeColor="text1"/>
                <w:sz w:val="24"/>
                <w:szCs w:val="24"/>
              </w:rPr>
              <w:t>e</w:t>
            </w:r>
          </w:p>
          <w:p w14:paraId="3CDCE70E" w14:textId="77777777" w:rsidR="006926D5" w:rsidRDefault="006926D5" w:rsidP="002A1762">
            <w:pPr>
              <w:contextualSpacing/>
              <w:rPr>
                <w:rFonts w:ascii="Arial" w:hAnsi="Arial" w:cs="Arial"/>
                <w:sz w:val="24"/>
                <w:szCs w:val="24"/>
              </w:rPr>
            </w:pPr>
          </w:p>
          <w:p w14:paraId="553F238B" w14:textId="6DC3DB3E" w:rsidR="00BD33CA" w:rsidRPr="006E372F" w:rsidRDefault="00BD33CA" w:rsidP="00EA3E7A">
            <w:pPr>
              <w:rPr>
                <w:rFonts w:ascii="Arial" w:hAnsi="Arial" w:cs="Arial"/>
                <w:color w:val="000000" w:themeColor="text1"/>
                <w:sz w:val="24"/>
                <w:szCs w:val="24"/>
              </w:rPr>
            </w:pPr>
            <w:r w:rsidRPr="00EA3E7A">
              <w:rPr>
                <w:rFonts w:ascii="Arial" w:hAnsi="Arial" w:cs="Arial"/>
                <w:bCs/>
                <w:sz w:val="24"/>
                <w:szCs w:val="24"/>
              </w:rPr>
              <w:t>Illustrative up-front cost to UWE of ‘offsetting’ century-long carbon dio</w:t>
            </w:r>
            <w:r w:rsidRPr="006E372F">
              <w:rPr>
                <w:rFonts w:ascii="Arial" w:hAnsi="Arial" w:cs="Arial"/>
                <w:bCs/>
                <w:color w:val="000000" w:themeColor="text1"/>
                <w:sz w:val="24"/>
                <w:szCs w:val="24"/>
              </w:rPr>
              <w:t>xide emissions by investment in wind turb</w:t>
            </w:r>
            <w:r w:rsidR="006E372F" w:rsidRPr="006E372F">
              <w:rPr>
                <w:rFonts w:ascii="Arial" w:hAnsi="Arial" w:cs="Arial"/>
                <w:bCs/>
                <w:color w:val="000000" w:themeColor="text1"/>
                <w:sz w:val="24"/>
                <w:szCs w:val="24"/>
              </w:rPr>
              <w:t>ine installation under the TCW m</w:t>
            </w:r>
            <w:r w:rsidRPr="006E372F">
              <w:rPr>
                <w:rFonts w:ascii="Arial" w:hAnsi="Arial" w:cs="Arial"/>
                <w:bCs/>
                <w:color w:val="000000" w:themeColor="text1"/>
                <w:sz w:val="24"/>
                <w:szCs w:val="24"/>
              </w:rPr>
              <w:t xml:space="preserve">odel </w:t>
            </w:r>
            <w:r w:rsidR="00EA3E7A" w:rsidRPr="006E372F">
              <w:rPr>
                <w:rFonts w:ascii="Arial" w:hAnsi="Arial" w:cs="Arial"/>
                <w:bCs/>
                <w:color w:val="000000" w:themeColor="text1"/>
                <w:sz w:val="24"/>
                <w:szCs w:val="24"/>
              </w:rPr>
              <w:t>≈ £47,000 (£</w:t>
            </w:r>
            <w:r w:rsidR="006E372F" w:rsidRPr="006E372F">
              <w:rPr>
                <w:rFonts w:ascii="Arial" w:hAnsi="Arial" w:cs="Arial"/>
                <w:bCs/>
                <w:color w:val="000000" w:themeColor="text1"/>
                <w:sz w:val="24"/>
                <w:szCs w:val="24"/>
              </w:rPr>
              <w:t>47,335:39</w:t>
            </w:r>
            <w:r w:rsidR="00EA3E7A" w:rsidRPr="006E372F">
              <w:rPr>
                <w:rFonts w:ascii="Arial" w:hAnsi="Arial" w:cs="Arial"/>
                <w:bCs/>
                <w:color w:val="000000" w:themeColor="text1"/>
                <w:sz w:val="24"/>
                <w:szCs w:val="24"/>
              </w:rPr>
              <w:t>), comprising:</w:t>
            </w:r>
          </w:p>
          <w:p w14:paraId="639D745E" w14:textId="421E5A8D" w:rsidR="00EA3E7A" w:rsidRPr="006E372F" w:rsidRDefault="00EA3E7A" w:rsidP="00B852C8">
            <w:pPr>
              <w:pStyle w:val="ListParagraph"/>
              <w:numPr>
                <w:ilvl w:val="0"/>
                <w:numId w:val="5"/>
              </w:numPr>
              <w:rPr>
                <w:rFonts w:ascii="Arial" w:hAnsi="Arial" w:cs="Arial"/>
                <w:color w:val="000000" w:themeColor="text1"/>
                <w:sz w:val="24"/>
                <w:szCs w:val="24"/>
              </w:rPr>
            </w:pPr>
            <w:r w:rsidRPr="006E372F">
              <w:rPr>
                <w:rFonts w:ascii="Arial" w:hAnsi="Arial" w:cs="Arial"/>
                <w:color w:val="000000" w:themeColor="text1"/>
                <w:sz w:val="24"/>
                <w:szCs w:val="24"/>
              </w:rPr>
              <w:t xml:space="preserve">£1,575,000 upfront cost of </w:t>
            </w:r>
            <w:r w:rsidR="006926D5" w:rsidRPr="006E372F">
              <w:rPr>
                <w:rFonts w:ascii="Arial" w:hAnsi="Arial" w:cs="Arial"/>
                <w:color w:val="000000" w:themeColor="text1"/>
                <w:sz w:val="24"/>
                <w:szCs w:val="24"/>
              </w:rPr>
              <w:t xml:space="preserve">2.1MW </w:t>
            </w:r>
            <w:r w:rsidRPr="006E372F">
              <w:rPr>
                <w:rFonts w:ascii="Arial" w:hAnsi="Arial" w:cs="Arial"/>
                <w:color w:val="000000" w:themeColor="text1"/>
                <w:sz w:val="24"/>
                <w:szCs w:val="24"/>
              </w:rPr>
              <w:t>wind turbine implementation in Tamil Nadu assuming year-on-year reinvestment in TDE</w:t>
            </w:r>
            <w:r w:rsidR="00A85E67" w:rsidRPr="006E372F">
              <w:rPr>
                <w:rFonts w:ascii="Arial" w:hAnsi="Arial" w:cs="Arial"/>
                <w:color w:val="000000" w:themeColor="text1"/>
                <w:sz w:val="24"/>
                <w:szCs w:val="24"/>
              </w:rPr>
              <w:t xml:space="preserve">F </w:t>
            </w:r>
            <w:r w:rsidR="006926D5" w:rsidRPr="006E372F">
              <w:rPr>
                <w:rFonts w:ascii="Arial" w:hAnsi="Arial" w:cs="Arial"/>
                <w:color w:val="000000" w:themeColor="text1"/>
                <w:sz w:val="24"/>
                <w:szCs w:val="24"/>
              </w:rPr>
              <w:t xml:space="preserve">over 20 years operational life </w:t>
            </w:r>
            <w:r w:rsidR="00A85E67" w:rsidRPr="006E372F">
              <w:rPr>
                <w:rFonts w:ascii="Arial" w:hAnsi="Arial" w:cs="Arial"/>
                <w:color w:val="000000" w:themeColor="text1"/>
                <w:sz w:val="24"/>
                <w:szCs w:val="24"/>
              </w:rPr>
              <w:t>consistent with the TCW model, multiplied by</w:t>
            </w:r>
          </w:p>
          <w:p w14:paraId="2F21169A" w14:textId="75DFF0CA" w:rsidR="00BD33CA" w:rsidRPr="006E372F" w:rsidRDefault="006E372F" w:rsidP="00B852C8">
            <w:pPr>
              <w:pStyle w:val="ListParagraph"/>
              <w:numPr>
                <w:ilvl w:val="0"/>
                <w:numId w:val="5"/>
              </w:numPr>
              <w:rPr>
                <w:rFonts w:ascii="Arial" w:hAnsi="Arial" w:cs="Arial"/>
                <w:bCs/>
                <w:color w:val="000000" w:themeColor="text1"/>
                <w:sz w:val="24"/>
                <w:szCs w:val="24"/>
              </w:rPr>
            </w:pPr>
            <w:r w:rsidRPr="006E372F">
              <w:rPr>
                <w:rFonts w:ascii="Arial" w:hAnsi="Arial" w:cs="Arial"/>
                <w:color w:val="000000" w:themeColor="text1"/>
                <w:sz w:val="24"/>
                <w:szCs w:val="24"/>
              </w:rPr>
              <w:t>8,13,100</w:t>
            </w:r>
            <w:r w:rsidR="00EA3E7A" w:rsidRPr="006E372F">
              <w:rPr>
                <w:rFonts w:ascii="Arial" w:hAnsi="Arial" w:cs="Arial"/>
                <w:color w:val="000000" w:themeColor="text1"/>
                <w:sz w:val="24"/>
                <w:szCs w:val="24"/>
              </w:rPr>
              <w:t xml:space="preserve"> (century-long UWE tCO</w:t>
            </w:r>
            <w:r w:rsidR="00EA3E7A" w:rsidRPr="006E372F">
              <w:rPr>
                <w:rFonts w:ascii="Arial" w:hAnsi="Arial" w:cs="Arial"/>
                <w:color w:val="000000" w:themeColor="text1"/>
                <w:sz w:val="24"/>
                <w:szCs w:val="24"/>
                <w:vertAlign w:val="subscript"/>
              </w:rPr>
              <w:t>2</w:t>
            </w:r>
            <w:r w:rsidR="00EA3E7A" w:rsidRPr="006E372F">
              <w:rPr>
                <w:rFonts w:ascii="Arial" w:hAnsi="Arial" w:cs="Arial"/>
                <w:color w:val="000000" w:themeColor="text1"/>
                <w:sz w:val="24"/>
                <w:szCs w:val="24"/>
              </w:rPr>
              <w:t>e</w:t>
            </w:r>
            <w:r w:rsidR="00DC0E60" w:rsidRPr="006E372F">
              <w:rPr>
                <w:rFonts w:ascii="Arial" w:hAnsi="Arial" w:cs="Arial"/>
                <w:color w:val="000000" w:themeColor="text1"/>
                <w:sz w:val="24"/>
                <w:szCs w:val="24"/>
              </w:rPr>
              <w:t xml:space="preserve"> e</w:t>
            </w:r>
            <w:r w:rsidR="00EA3E7A" w:rsidRPr="006E372F">
              <w:rPr>
                <w:rFonts w:ascii="Arial" w:hAnsi="Arial" w:cs="Arial"/>
                <w:color w:val="000000" w:themeColor="text1"/>
                <w:sz w:val="24"/>
                <w:szCs w:val="24"/>
              </w:rPr>
              <w:t xml:space="preserve">missions) </w:t>
            </w:r>
            <w:r w:rsidR="006926D5" w:rsidRPr="006E372F">
              <w:rPr>
                <w:rFonts w:ascii="Arial" w:hAnsi="Arial" w:cs="Arial"/>
                <w:color w:val="000000" w:themeColor="text1"/>
                <w:sz w:val="24"/>
                <w:szCs w:val="24"/>
                <w:lang w:val="en"/>
              </w:rPr>
              <w:t>÷</w:t>
            </w:r>
            <w:r w:rsidR="006926D5" w:rsidRPr="006E372F">
              <w:rPr>
                <w:rFonts w:ascii="Arial" w:hAnsi="Arial" w:cs="Arial"/>
                <w:bCs/>
                <w:color w:val="000000" w:themeColor="text1"/>
                <w:sz w:val="24"/>
                <w:szCs w:val="24"/>
              </w:rPr>
              <w:t xml:space="preserve"> </w:t>
            </w:r>
            <w:r w:rsidR="004638C0" w:rsidRPr="006E372F">
              <w:rPr>
                <w:rFonts w:ascii="Arial" w:hAnsi="Arial" w:cs="Arial"/>
                <w:color w:val="000000" w:themeColor="text1"/>
                <w:sz w:val="24"/>
                <w:szCs w:val="24"/>
              </w:rPr>
              <w:t>270,62</w:t>
            </w:r>
            <w:r w:rsidRPr="006E372F">
              <w:rPr>
                <w:rFonts w:ascii="Arial" w:hAnsi="Arial" w:cs="Arial"/>
                <w:color w:val="000000" w:themeColor="text1"/>
                <w:sz w:val="24"/>
                <w:szCs w:val="24"/>
              </w:rPr>
              <w:t>7</w:t>
            </w:r>
            <w:r w:rsidR="00A85E67" w:rsidRPr="006E372F">
              <w:rPr>
                <w:rFonts w:ascii="Arial" w:hAnsi="Arial" w:cs="Arial"/>
                <w:color w:val="000000" w:themeColor="text1"/>
                <w:sz w:val="24"/>
                <w:szCs w:val="24"/>
              </w:rPr>
              <w:t>,</w:t>
            </w:r>
            <w:r w:rsidRPr="006E372F">
              <w:rPr>
                <w:rFonts w:ascii="Arial" w:hAnsi="Arial" w:cs="Arial"/>
                <w:color w:val="000000" w:themeColor="text1"/>
                <w:sz w:val="24"/>
                <w:szCs w:val="24"/>
              </w:rPr>
              <w:t xml:space="preserve">756 </w:t>
            </w:r>
            <w:r w:rsidR="00EA3E7A" w:rsidRPr="006E372F">
              <w:rPr>
                <w:rFonts w:ascii="Arial" w:hAnsi="Arial" w:cs="Arial"/>
                <w:color w:val="000000" w:themeColor="text1"/>
                <w:sz w:val="24"/>
                <w:szCs w:val="24"/>
              </w:rPr>
              <w:t>(century-long tCO</w:t>
            </w:r>
            <w:r w:rsidR="00EA3E7A" w:rsidRPr="006E372F">
              <w:rPr>
                <w:rFonts w:ascii="Arial" w:hAnsi="Arial" w:cs="Arial"/>
                <w:color w:val="000000" w:themeColor="text1"/>
                <w:sz w:val="24"/>
                <w:szCs w:val="24"/>
                <w:vertAlign w:val="subscript"/>
              </w:rPr>
              <w:t>2</w:t>
            </w:r>
            <w:r w:rsidR="004638C0" w:rsidRPr="006E372F">
              <w:rPr>
                <w:rFonts w:ascii="Arial" w:hAnsi="Arial" w:cs="Arial"/>
                <w:color w:val="000000" w:themeColor="text1"/>
                <w:sz w:val="24"/>
                <w:szCs w:val="24"/>
              </w:rPr>
              <w:t xml:space="preserve">e </w:t>
            </w:r>
            <w:r w:rsidR="001D3376">
              <w:rPr>
                <w:rFonts w:ascii="Arial" w:hAnsi="Arial" w:cs="Arial"/>
                <w:color w:val="000000" w:themeColor="text1"/>
                <w:sz w:val="24"/>
                <w:szCs w:val="24"/>
              </w:rPr>
              <w:t>averted/</w:t>
            </w:r>
            <w:r w:rsidR="00BD33CA" w:rsidRPr="006E372F">
              <w:rPr>
                <w:rFonts w:ascii="Arial" w:hAnsi="Arial" w:cs="Arial"/>
                <w:color w:val="000000" w:themeColor="text1"/>
                <w:sz w:val="24"/>
                <w:szCs w:val="24"/>
              </w:rPr>
              <w:t>sequest</w:t>
            </w:r>
            <w:r w:rsidR="001D3376">
              <w:rPr>
                <w:rFonts w:ascii="Arial" w:hAnsi="Arial" w:cs="Arial"/>
                <w:color w:val="000000" w:themeColor="text1"/>
                <w:sz w:val="24"/>
                <w:szCs w:val="24"/>
              </w:rPr>
              <w:t xml:space="preserve">ered </w:t>
            </w:r>
            <w:r w:rsidR="00EA3E7A" w:rsidRPr="006E372F">
              <w:rPr>
                <w:rFonts w:ascii="Arial" w:hAnsi="Arial" w:cs="Arial"/>
                <w:color w:val="000000" w:themeColor="text1"/>
                <w:sz w:val="24"/>
                <w:szCs w:val="24"/>
              </w:rPr>
              <w:t>under the TCW model)</w:t>
            </w:r>
          </w:p>
          <w:p w14:paraId="54DC0E5C" w14:textId="62DD3C8B" w:rsidR="00A85E67" w:rsidRPr="00A85E67" w:rsidRDefault="00A85E67" w:rsidP="00A85E67">
            <w:pPr>
              <w:rPr>
                <w:rFonts w:ascii="Arial" w:hAnsi="Arial" w:cs="Arial"/>
                <w:bCs/>
                <w:sz w:val="24"/>
                <w:szCs w:val="24"/>
              </w:rPr>
            </w:pPr>
          </w:p>
        </w:tc>
      </w:tr>
    </w:tbl>
    <w:p w14:paraId="3D01E701" w14:textId="77777777" w:rsidR="00A21554" w:rsidRDefault="00A21554" w:rsidP="002A1762">
      <w:pPr>
        <w:spacing w:after="0" w:line="240" w:lineRule="auto"/>
        <w:contextualSpacing/>
        <w:rPr>
          <w:rFonts w:ascii="Arial" w:hAnsi="Arial" w:cs="Arial"/>
          <w:sz w:val="24"/>
          <w:szCs w:val="24"/>
        </w:rPr>
      </w:pPr>
    </w:p>
    <w:p w14:paraId="766E251A" w14:textId="4BA7AC26" w:rsidR="00A246CD" w:rsidRPr="00063AB2" w:rsidRDefault="00BC2B72" w:rsidP="00063AB2">
      <w:pPr>
        <w:spacing w:after="0" w:line="240" w:lineRule="auto"/>
        <w:contextualSpacing/>
        <w:rPr>
          <w:rFonts w:ascii="Arial" w:hAnsi="Arial" w:cs="Arial"/>
          <w:sz w:val="24"/>
          <w:szCs w:val="24"/>
        </w:rPr>
      </w:pPr>
      <w:r w:rsidRPr="00063AB2">
        <w:rPr>
          <w:rFonts w:ascii="Arial" w:hAnsi="Arial" w:cs="Arial"/>
          <w:sz w:val="24"/>
          <w:szCs w:val="24"/>
        </w:rPr>
        <w:t xml:space="preserve">Individuals too may have any of a range of reasons </w:t>
      </w:r>
      <w:r w:rsidR="00566037" w:rsidRPr="00063AB2">
        <w:rPr>
          <w:rFonts w:ascii="Arial" w:hAnsi="Arial" w:cs="Arial"/>
          <w:sz w:val="24"/>
          <w:szCs w:val="24"/>
        </w:rPr>
        <w:t>for wanting to invest transparent</w:t>
      </w:r>
      <w:r w:rsidR="006E372F">
        <w:rPr>
          <w:rFonts w:ascii="Arial" w:hAnsi="Arial" w:cs="Arial"/>
          <w:sz w:val="24"/>
          <w:szCs w:val="24"/>
        </w:rPr>
        <w:t>ly in</w:t>
      </w:r>
      <w:r w:rsidR="00566037" w:rsidRPr="00063AB2">
        <w:rPr>
          <w:rFonts w:ascii="Arial" w:hAnsi="Arial" w:cs="Arial"/>
          <w:sz w:val="24"/>
          <w:szCs w:val="24"/>
        </w:rPr>
        <w:t xml:space="preserve"> global climate change ecosystem services.</w:t>
      </w:r>
      <w:r w:rsidR="00A246CD" w:rsidRPr="00063AB2">
        <w:rPr>
          <w:rFonts w:ascii="Arial" w:hAnsi="Arial" w:cs="Arial"/>
          <w:sz w:val="24"/>
          <w:szCs w:val="24"/>
        </w:rPr>
        <w:t xml:space="preserve">  This may include, for example, </w:t>
      </w:r>
      <w:r w:rsidR="00A85E67">
        <w:rPr>
          <w:rFonts w:ascii="Arial" w:hAnsi="Arial" w:cs="Arial"/>
          <w:sz w:val="24"/>
          <w:szCs w:val="24"/>
        </w:rPr>
        <w:t xml:space="preserve">taking </w:t>
      </w:r>
      <w:r w:rsidR="00A85E67" w:rsidRPr="00063AB2">
        <w:rPr>
          <w:rFonts w:ascii="Arial" w:hAnsi="Arial" w:cs="Arial"/>
          <w:sz w:val="24"/>
          <w:szCs w:val="24"/>
        </w:rPr>
        <w:t xml:space="preserve">personal responsibility, wishing to </w:t>
      </w:r>
      <w:r w:rsidR="00A246CD" w:rsidRPr="00063AB2">
        <w:rPr>
          <w:rFonts w:ascii="Arial" w:hAnsi="Arial" w:cs="Arial"/>
          <w:sz w:val="24"/>
          <w:szCs w:val="24"/>
        </w:rPr>
        <w:t xml:space="preserve">‘switch off’ the carbon contributions of a </w:t>
      </w:r>
      <w:r w:rsidR="006E372F">
        <w:rPr>
          <w:rFonts w:ascii="Arial" w:hAnsi="Arial" w:cs="Arial"/>
          <w:sz w:val="24"/>
          <w:szCs w:val="24"/>
        </w:rPr>
        <w:t xml:space="preserve">descendent </w:t>
      </w:r>
      <w:r w:rsidR="00A246CD" w:rsidRPr="00063AB2">
        <w:rPr>
          <w:rFonts w:ascii="Arial" w:hAnsi="Arial" w:cs="Arial"/>
          <w:sz w:val="24"/>
          <w:szCs w:val="24"/>
        </w:rPr>
        <w:t>over their lifetime through a certificated contributory loan for investment in a turbine</w:t>
      </w:r>
      <w:r w:rsidR="00A85E67">
        <w:rPr>
          <w:rFonts w:ascii="Arial" w:hAnsi="Arial" w:cs="Arial"/>
          <w:sz w:val="24"/>
          <w:szCs w:val="24"/>
        </w:rPr>
        <w:t xml:space="preserve">, </w:t>
      </w:r>
      <w:r w:rsidR="00A85E67" w:rsidRPr="00063AB2">
        <w:rPr>
          <w:rFonts w:ascii="Arial" w:hAnsi="Arial" w:cs="Arial"/>
          <w:sz w:val="24"/>
          <w:szCs w:val="24"/>
        </w:rPr>
        <w:t>or other generally altruistic arguments</w:t>
      </w:r>
      <w:r w:rsidR="00A246CD" w:rsidRPr="00063AB2">
        <w:rPr>
          <w:rFonts w:ascii="Arial" w:hAnsi="Arial" w:cs="Arial"/>
          <w:sz w:val="24"/>
          <w:szCs w:val="24"/>
        </w:rPr>
        <w:t>.</w:t>
      </w:r>
      <w:r w:rsidR="00A85E67">
        <w:rPr>
          <w:rFonts w:ascii="Arial" w:hAnsi="Arial" w:cs="Arial"/>
          <w:sz w:val="24"/>
          <w:szCs w:val="24"/>
        </w:rPr>
        <w:t xml:space="preserve">  Assuming a 70-year lifespan at</w:t>
      </w:r>
      <w:r w:rsidR="00A246CD" w:rsidRPr="00063AB2">
        <w:rPr>
          <w:rFonts w:ascii="Arial" w:hAnsi="Arial" w:cs="Arial"/>
          <w:sz w:val="24"/>
          <w:szCs w:val="24"/>
        </w:rPr>
        <w:t xml:space="preserve"> the Bristol City average emission of 5.8 tCO</w:t>
      </w:r>
      <w:r w:rsidR="00A246CD" w:rsidRPr="00063AB2">
        <w:rPr>
          <w:rFonts w:ascii="Arial" w:hAnsi="Arial" w:cs="Arial"/>
          <w:sz w:val="24"/>
          <w:szCs w:val="24"/>
          <w:vertAlign w:val="subscript"/>
        </w:rPr>
        <w:t>2</w:t>
      </w:r>
      <w:r w:rsidR="00DC0E60">
        <w:rPr>
          <w:rFonts w:ascii="Arial" w:hAnsi="Arial" w:cs="Arial"/>
          <w:sz w:val="24"/>
          <w:szCs w:val="24"/>
        </w:rPr>
        <w:t xml:space="preserve">e </w:t>
      </w:r>
      <w:r w:rsidR="00A246CD" w:rsidRPr="00063AB2">
        <w:rPr>
          <w:rFonts w:ascii="Arial" w:hAnsi="Arial" w:cs="Arial"/>
          <w:sz w:val="24"/>
          <w:szCs w:val="24"/>
        </w:rPr>
        <w:t>per annum, average personal lifetime emission</w:t>
      </w:r>
      <w:r w:rsidR="00A85E67">
        <w:rPr>
          <w:rFonts w:ascii="Arial" w:hAnsi="Arial" w:cs="Arial"/>
          <w:sz w:val="24"/>
          <w:szCs w:val="24"/>
        </w:rPr>
        <w:t>s</w:t>
      </w:r>
      <w:r w:rsidR="00A246CD" w:rsidRPr="00063AB2">
        <w:rPr>
          <w:rFonts w:ascii="Arial" w:hAnsi="Arial" w:cs="Arial"/>
          <w:sz w:val="24"/>
          <w:szCs w:val="24"/>
        </w:rPr>
        <w:t xml:space="preserve"> </w:t>
      </w:r>
      <w:r w:rsidR="00A85E67">
        <w:rPr>
          <w:rFonts w:ascii="Arial" w:hAnsi="Arial" w:cs="Arial"/>
          <w:sz w:val="24"/>
          <w:szCs w:val="24"/>
        </w:rPr>
        <w:t xml:space="preserve">in the developed world region </w:t>
      </w:r>
      <w:r w:rsidR="00A246CD" w:rsidRPr="00063AB2">
        <w:rPr>
          <w:rFonts w:ascii="Arial" w:hAnsi="Arial" w:cs="Arial"/>
          <w:sz w:val="24"/>
          <w:szCs w:val="24"/>
        </w:rPr>
        <w:t>would be 406 tCO</w:t>
      </w:r>
      <w:r w:rsidR="00DC0E60">
        <w:rPr>
          <w:rFonts w:ascii="Arial" w:hAnsi="Arial" w:cs="Arial"/>
          <w:sz w:val="24"/>
          <w:szCs w:val="24"/>
          <w:vertAlign w:val="subscript"/>
        </w:rPr>
        <w:t>2</w:t>
      </w:r>
      <w:r w:rsidR="00DC0E60" w:rsidRPr="00DC0E60">
        <w:rPr>
          <w:rFonts w:ascii="Arial" w:hAnsi="Arial" w:cs="Arial"/>
          <w:sz w:val="24"/>
          <w:szCs w:val="24"/>
        </w:rPr>
        <w:t xml:space="preserve">e.  </w:t>
      </w:r>
      <w:r w:rsidR="00DC0E60">
        <w:rPr>
          <w:rFonts w:ascii="Arial" w:hAnsi="Arial" w:cs="Arial"/>
          <w:sz w:val="24"/>
          <w:szCs w:val="24"/>
        </w:rPr>
        <w:t>O</w:t>
      </w:r>
      <w:r w:rsidR="00A246CD" w:rsidRPr="00063AB2">
        <w:rPr>
          <w:rFonts w:ascii="Arial" w:hAnsi="Arial" w:cs="Arial"/>
          <w:sz w:val="24"/>
          <w:szCs w:val="24"/>
        </w:rPr>
        <w:t>n the basis of year-on-year reinvestment of renewable energy revenues into TDEF eco-</w:t>
      </w:r>
      <w:r w:rsidR="00A246CD" w:rsidRPr="006E372F">
        <w:rPr>
          <w:rFonts w:ascii="Arial" w:hAnsi="Arial" w:cs="Arial"/>
          <w:color w:val="000000" w:themeColor="text1"/>
          <w:sz w:val="24"/>
          <w:szCs w:val="24"/>
        </w:rPr>
        <w:t>restoration in the TCW model, this lifetime emission would represent 406/</w:t>
      </w:r>
      <w:r w:rsidR="00DC0E60" w:rsidRPr="006E372F">
        <w:rPr>
          <w:rFonts w:ascii="Arial" w:hAnsi="Arial" w:cs="Arial"/>
          <w:color w:val="000000" w:themeColor="text1"/>
          <w:sz w:val="24"/>
          <w:szCs w:val="24"/>
        </w:rPr>
        <w:t>270,62</w:t>
      </w:r>
      <w:r w:rsidR="006E372F" w:rsidRPr="006E372F">
        <w:rPr>
          <w:rFonts w:ascii="Arial" w:hAnsi="Arial" w:cs="Arial"/>
          <w:color w:val="000000" w:themeColor="text1"/>
          <w:sz w:val="24"/>
          <w:szCs w:val="24"/>
        </w:rPr>
        <w:t xml:space="preserve">7,756 </w:t>
      </w:r>
      <w:r w:rsidR="00A246CD" w:rsidRPr="006E372F">
        <w:rPr>
          <w:rFonts w:ascii="Arial" w:hAnsi="Arial" w:cs="Arial"/>
          <w:color w:val="000000" w:themeColor="text1"/>
          <w:sz w:val="24"/>
          <w:szCs w:val="24"/>
        </w:rPr>
        <w:t xml:space="preserve">of </w:t>
      </w:r>
      <w:r w:rsidR="00A246CD" w:rsidRPr="00063AB2">
        <w:rPr>
          <w:rFonts w:ascii="Arial" w:hAnsi="Arial" w:cs="Arial"/>
          <w:sz w:val="24"/>
          <w:szCs w:val="24"/>
        </w:rPr>
        <w:t xml:space="preserve">the net </w:t>
      </w:r>
      <w:r w:rsidR="006E372F">
        <w:rPr>
          <w:rFonts w:ascii="Arial" w:hAnsi="Arial" w:cs="Arial"/>
          <w:sz w:val="24"/>
          <w:szCs w:val="24"/>
        </w:rPr>
        <w:t>CO</w:t>
      </w:r>
      <w:r w:rsidR="006E372F" w:rsidRPr="006E372F">
        <w:rPr>
          <w:rFonts w:ascii="Arial" w:hAnsi="Arial" w:cs="Arial"/>
          <w:sz w:val="24"/>
          <w:szCs w:val="24"/>
          <w:vertAlign w:val="subscript"/>
        </w:rPr>
        <w:t>2</w:t>
      </w:r>
      <w:r w:rsidR="006E372F">
        <w:rPr>
          <w:rFonts w:ascii="Arial" w:hAnsi="Arial" w:cs="Arial"/>
          <w:sz w:val="24"/>
          <w:szCs w:val="24"/>
        </w:rPr>
        <w:t xml:space="preserve">e averted/sequestered </w:t>
      </w:r>
      <w:r w:rsidR="00A246CD" w:rsidRPr="00063AB2">
        <w:rPr>
          <w:rFonts w:ascii="Arial" w:hAnsi="Arial" w:cs="Arial"/>
          <w:sz w:val="24"/>
          <w:szCs w:val="24"/>
        </w:rPr>
        <w:t xml:space="preserve">benefit, and therefore the </w:t>
      </w:r>
      <w:r w:rsidR="00A246CD" w:rsidRPr="00063AB2">
        <w:rPr>
          <w:rFonts w:ascii="Arial" w:hAnsi="Arial" w:cs="Arial"/>
          <w:sz w:val="24"/>
          <w:szCs w:val="24"/>
        </w:rPr>
        <w:lastRenderedPageBreak/>
        <w:t xml:space="preserve">same proportion of the cost of up-front turbine implementation (£1,575,000).  This calculation yields an </w:t>
      </w:r>
      <w:r w:rsidR="006E372F">
        <w:rPr>
          <w:rFonts w:ascii="Arial" w:hAnsi="Arial" w:cs="Arial"/>
          <w:sz w:val="24"/>
          <w:szCs w:val="24"/>
        </w:rPr>
        <w:t xml:space="preserve">up-front </w:t>
      </w:r>
      <w:r w:rsidR="00A246CD" w:rsidRPr="00063AB2">
        <w:rPr>
          <w:rFonts w:ascii="Arial" w:hAnsi="Arial" w:cs="Arial"/>
          <w:sz w:val="24"/>
          <w:szCs w:val="24"/>
        </w:rPr>
        <w:t>investment value of approximately £2.3</w:t>
      </w:r>
      <w:r w:rsidR="00A85E67">
        <w:rPr>
          <w:rFonts w:ascii="Arial" w:hAnsi="Arial" w:cs="Arial"/>
          <w:sz w:val="24"/>
          <w:szCs w:val="24"/>
        </w:rPr>
        <w:t>6</w:t>
      </w:r>
      <w:r w:rsidR="00A246CD" w:rsidRPr="00063AB2">
        <w:rPr>
          <w:rFonts w:ascii="Arial" w:hAnsi="Arial" w:cs="Arial"/>
          <w:sz w:val="24"/>
          <w:szCs w:val="24"/>
        </w:rPr>
        <w:t xml:space="preserve"> to account for ‘offsetting’ the lifetime emissions of a person born into Bristol or similar settings.</w:t>
      </w:r>
    </w:p>
    <w:p w14:paraId="61FDAE04" w14:textId="77777777" w:rsidR="00063AB2" w:rsidRPr="00063AB2" w:rsidRDefault="00063AB2" w:rsidP="00063AB2">
      <w:pPr>
        <w:spacing w:after="0" w:line="240" w:lineRule="auto"/>
        <w:contextualSpacing/>
        <w:rPr>
          <w:rFonts w:ascii="Arial" w:hAnsi="Arial" w:cs="Arial"/>
          <w:sz w:val="24"/>
          <w:szCs w:val="24"/>
        </w:rPr>
      </w:pPr>
    </w:p>
    <w:p w14:paraId="713FC596" w14:textId="3AB87718" w:rsidR="00063AB2" w:rsidRPr="00E43332" w:rsidRDefault="00063AB2" w:rsidP="00063AB2">
      <w:pPr>
        <w:spacing w:after="0" w:line="240" w:lineRule="auto"/>
        <w:contextualSpacing/>
        <w:rPr>
          <w:rFonts w:ascii="Arial" w:hAnsi="Arial" w:cs="Arial"/>
          <w:sz w:val="24"/>
          <w:szCs w:val="24"/>
        </w:rPr>
      </w:pPr>
      <w:r w:rsidRPr="00063AB2">
        <w:rPr>
          <w:rFonts w:ascii="Arial" w:hAnsi="Arial" w:cs="Arial"/>
          <w:sz w:val="24"/>
          <w:szCs w:val="24"/>
        </w:rPr>
        <w:t>This type of market is a genuinely co-b</w:t>
      </w:r>
      <w:r w:rsidRPr="00E43332">
        <w:rPr>
          <w:rFonts w:ascii="Arial" w:hAnsi="Arial" w:cs="Arial"/>
          <w:sz w:val="24"/>
          <w:szCs w:val="24"/>
        </w:rPr>
        <w:t xml:space="preserve">eneficial between partner developed-developing world regions.  The TCW model is based on seeking optimally efficient gross carbon </w:t>
      </w:r>
      <w:r w:rsidR="006E372F" w:rsidRPr="00E43332">
        <w:rPr>
          <w:rFonts w:ascii="Arial" w:hAnsi="Arial" w:cs="Arial"/>
          <w:sz w:val="24"/>
          <w:szCs w:val="24"/>
        </w:rPr>
        <w:t xml:space="preserve">averting/sequestering processes </w:t>
      </w:r>
      <w:r w:rsidRPr="00E43332">
        <w:rPr>
          <w:rFonts w:ascii="Arial" w:hAnsi="Arial" w:cs="Arial"/>
          <w:sz w:val="24"/>
          <w:szCs w:val="24"/>
        </w:rPr>
        <w:t xml:space="preserve">as part of a notional conjoined Tamil Nadu/south-west England ‘nation’, achieved at lower cost compared </w:t>
      </w:r>
      <w:r w:rsidR="006F6DDC" w:rsidRPr="00E43332">
        <w:rPr>
          <w:rFonts w:ascii="Arial" w:hAnsi="Arial" w:cs="Arial"/>
          <w:sz w:val="24"/>
          <w:szCs w:val="24"/>
        </w:rPr>
        <w:t xml:space="preserve">with </w:t>
      </w:r>
      <w:r w:rsidRPr="00E43332">
        <w:rPr>
          <w:rFonts w:ascii="Arial" w:hAnsi="Arial" w:cs="Arial"/>
          <w:sz w:val="24"/>
          <w:szCs w:val="24"/>
        </w:rPr>
        <w:t xml:space="preserve">installing or restoring similar infrastructure within the developed world region.  However, the introduction of renewable energy into the Indian grid, promotion of a pathway of lower-carbon development, sequestration of carbon in TDEF and the wider suite of ecosystem service benefits </w:t>
      </w:r>
      <w:r w:rsidR="002E0BF7" w:rsidRPr="00E43332">
        <w:rPr>
          <w:rFonts w:ascii="Arial" w:hAnsi="Arial" w:cs="Arial"/>
          <w:sz w:val="24"/>
          <w:szCs w:val="24"/>
        </w:rPr>
        <w:t xml:space="preserve">and contributions to ecosystem functioning </w:t>
      </w:r>
      <w:r w:rsidRPr="00E43332">
        <w:rPr>
          <w:rFonts w:ascii="Arial" w:hAnsi="Arial" w:cs="Arial"/>
          <w:sz w:val="24"/>
          <w:szCs w:val="24"/>
        </w:rPr>
        <w:t xml:space="preserve">produced by both wind turbine generation and restored TDEF </w:t>
      </w:r>
      <w:r w:rsidR="002E0BF7" w:rsidRPr="00E43332">
        <w:rPr>
          <w:rFonts w:ascii="Arial" w:hAnsi="Arial" w:cs="Arial"/>
          <w:sz w:val="24"/>
          <w:szCs w:val="24"/>
        </w:rPr>
        <w:t xml:space="preserve">can enhance the security and wellbeing of </w:t>
      </w:r>
      <w:r w:rsidRPr="00E43332">
        <w:rPr>
          <w:rFonts w:ascii="Arial" w:hAnsi="Arial" w:cs="Arial"/>
          <w:sz w:val="24"/>
          <w:szCs w:val="24"/>
        </w:rPr>
        <w:t xml:space="preserve">a diversity of people in Tami Nadu state.  The ‘multiplier effect’ of reinvestment in TDEF eco-restoration does not merely amplify overall carbon abatement </w:t>
      </w:r>
      <w:r w:rsidR="006E372F" w:rsidRPr="00E43332">
        <w:rPr>
          <w:rFonts w:ascii="Arial" w:hAnsi="Arial" w:cs="Arial"/>
          <w:sz w:val="24"/>
          <w:szCs w:val="24"/>
        </w:rPr>
        <w:t>(99.97% of the overall total tCO</w:t>
      </w:r>
      <w:r w:rsidR="006E372F" w:rsidRPr="00E43332">
        <w:rPr>
          <w:rFonts w:ascii="Arial" w:hAnsi="Arial" w:cs="Arial"/>
          <w:sz w:val="24"/>
          <w:szCs w:val="24"/>
          <w:vertAlign w:val="subscript"/>
        </w:rPr>
        <w:t>2</w:t>
      </w:r>
      <w:r w:rsidR="006E372F" w:rsidRPr="00E43332">
        <w:rPr>
          <w:rFonts w:ascii="Arial" w:hAnsi="Arial" w:cs="Arial"/>
          <w:sz w:val="24"/>
          <w:szCs w:val="24"/>
        </w:rPr>
        <w:t xml:space="preserve">e benefit) </w:t>
      </w:r>
      <w:r w:rsidRPr="00E43332">
        <w:rPr>
          <w:rFonts w:ascii="Arial" w:hAnsi="Arial" w:cs="Arial"/>
          <w:sz w:val="24"/>
          <w:szCs w:val="24"/>
        </w:rPr>
        <w:t xml:space="preserve">but also generates multiple pro-poor development through additional ecosystem service benefits ranging from provision of forest-based food, fibre and medicinal resources, stabilisation of water and soil resources, enhancement of sites and landscapes of spiritual, traditional and other cultural benefits, </w:t>
      </w:r>
      <w:r w:rsidR="003B43D6" w:rsidRPr="00E43332">
        <w:rPr>
          <w:rFonts w:ascii="Arial" w:hAnsi="Arial" w:cs="Arial"/>
          <w:sz w:val="24"/>
          <w:szCs w:val="24"/>
        </w:rPr>
        <w:t xml:space="preserve">and enhanced ecosystem functioning through </w:t>
      </w:r>
      <w:r w:rsidRPr="00E43332">
        <w:rPr>
          <w:rFonts w:ascii="Arial" w:hAnsi="Arial" w:cs="Arial"/>
          <w:sz w:val="24"/>
          <w:szCs w:val="24"/>
        </w:rPr>
        <w:t xml:space="preserve">regeneration of biodiversity and </w:t>
      </w:r>
      <w:r w:rsidR="006F6DDC" w:rsidRPr="00E43332">
        <w:rPr>
          <w:rFonts w:ascii="Arial" w:hAnsi="Arial" w:cs="Arial"/>
          <w:sz w:val="24"/>
          <w:szCs w:val="24"/>
        </w:rPr>
        <w:t xml:space="preserve">enhancement of the </w:t>
      </w:r>
      <w:r w:rsidRPr="00E43332">
        <w:rPr>
          <w:rFonts w:ascii="Arial" w:hAnsi="Arial" w:cs="Arial"/>
          <w:sz w:val="24"/>
          <w:szCs w:val="24"/>
        </w:rPr>
        <w:t xml:space="preserve">overall resilience of the bioregion. </w:t>
      </w:r>
    </w:p>
    <w:p w14:paraId="49F75F94" w14:textId="77777777" w:rsidR="00A246CD" w:rsidRPr="00E43332" w:rsidRDefault="00A246CD" w:rsidP="00063AB2">
      <w:pPr>
        <w:spacing w:after="0" w:line="240" w:lineRule="auto"/>
        <w:contextualSpacing/>
        <w:rPr>
          <w:rFonts w:ascii="Arial" w:hAnsi="Arial" w:cs="Arial"/>
          <w:sz w:val="24"/>
          <w:szCs w:val="24"/>
        </w:rPr>
      </w:pPr>
    </w:p>
    <w:p w14:paraId="01CE7664" w14:textId="05087AB3" w:rsidR="002A1762" w:rsidRPr="00E43332" w:rsidRDefault="006F6DDC" w:rsidP="00063AB2">
      <w:pPr>
        <w:spacing w:after="0" w:line="240" w:lineRule="auto"/>
        <w:contextualSpacing/>
        <w:rPr>
          <w:rFonts w:ascii="Arial" w:hAnsi="Arial" w:cs="Arial"/>
          <w:sz w:val="24"/>
          <w:szCs w:val="24"/>
        </w:rPr>
      </w:pPr>
      <w:r w:rsidRPr="00E43332">
        <w:rPr>
          <w:rFonts w:ascii="Arial" w:hAnsi="Arial" w:cs="Arial"/>
          <w:sz w:val="24"/>
          <w:szCs w:val="24"/>
        </w:rPr>
        <w:t>T</w:t>
      </w:r>
      <w:r w:rsidR="00A246CD" w:rsidRPr="00E43332">
        <w:rPr>
          <w:rFonts w:ascii="Arial" w:hAnsi="Arial" w:cs="Arial"/>
          <w:sz w:val="24"/>
          <w:szCs w:val="24"/>
        </w:rPr>
        <w:t xml:space="preserve">hese </w:t>
      </w:r>
      <w:r w:rsidRPr="00E43332">
        <w:rPr>
          <w:rFonts w:ascii="Arial" w:hAnsi="Arial" w:cs="Arial"/>
          <w:sz w:val="24"/>
          <w:szCs w:val="24"/>
        </w:rPr>
        <w:t xml:space="preserve">up-front </w:t>
      </w:r>
      <w:r w:rsidR="00A246CD" w:rsidRPr="00E43332">
        <w:rPr>
          <w:rFonts w:ascii="Arial" w:hAnsi="Arial" w:cs="Arial"/>
          <w:sz w:val="24"/>
          <w:szCs w:val="24"/>
        </w:rPr>
        <w:t xml:space="preserve">cash contributions </w:t>
      </w:r>
      <w:r w:rsidRPr="00E43332">
        <w:rPr>
          <w:rFonts w:ascii="Arial" w:hAnsi="Arial" w:cs="Arial"/>
          <w:sz w:val="24"/>
          <w:szCs w:val="24"/>
        </w:rPr>
        <w:t xml:space="preserve">could </w:t>
      </w:r>
      <w:r>
        <w:rPr>
          <w:rFonts w:ascii="Arial" w:hAnsi="Arial" w:cs="Arial"/>
          <w:sz w:val="24"/>
          <w:szCs w:val="24"/>
        </w:rPr>
        <w:t>take the form of loans rather than payments</w:t>
      </w:r>
      <w:r w:rsidR="00A246CD" w:rsidRPr="00063AB2">
        <w:rPr>
          <w:rFonts w:ascii="Arial" w:hAnsi="Arial" w:cs="Arial"/>
          <w:sz w:val="24"/>
          <w:szCs w:val="24"/>
        </w:rPr>
        <w:t xml:space="preserve">, </w:t>
      </w:r>
      <w:r>
        <w:rPr>
          <w:rFonts w:ascii="Arial" w:hAnsi="Arial" w:cs="Arial"/>
          <w:sz w:val="24"/>
          <w:szCs w:val="24"/>
        </w:rPr>
        <w:t xml:space="preserve">for example </w:t>
      </w:r>
      <w:r w:rsidR="00A246CD" w:rsidRPr="00063AB2">
        <w:rPr>
          <w:rFonts w:ascii="Arial" w:hAnsi="Arial" w:cs="Arial"/>
          <w:sz w:val="24"/>
          <w:szCs w:val="24"/>
        </w:rPr>
        <w:t>constitut</w:t>
      </w:r>
      <w:r>
        <w:rPr>
          <w:rFonts w:ascii="Arial" w:hAnsi="Arial" w:cs="Arial"/>
          <w:sz w:val="24"/>
          <w:szCs w:val="24"/>
        </w:rPr>
        <w:t xml:space="preserve">ing </w:t>
      </w:r>
      <w:r w:rsidR="00A246CD" w:rsidRPr="00063AB2">
        <w:rPr>
          <w:rFonts w:ascii="Arial" w:hAnsi="Arial" w:cs="Arial"/>
          <w:sz w:val="24"/>
          <w:szCs w:val="24"/>
        </w:rPr>
        <w:t xml:space="preserve">‘zero </w:t>
      </w:r>
      <w:r>
        <w:rPr>
          <w:rFonts w:ascii="Arial" w:hAnsi="Arial" w:cs="Arial"/>
          <w:sz w:val="24"/>
          <w:szCs w:val="24"/>
        </w:rPr>
        <w:t xml:space="preserve">carbon </w:t>
      </w:r>
      <w:r w:rsidR="00A246CD" w:rsidRPr="00063AB2">
        <w:rPr>
          <w:rFonts w:ascii="Arial" w:hAnsi="Arial" w:cs="Arial"/>
          <w:sz w:val="24"/>
          <w:szCs w:val="24"/>
        </w:rPr>
        <w:t xml:space="preserve">fund’ loans taken out in the name of </w:t>
      </w:r>
      <w:r w:rsidR="001E49EB" w:rsidRPr="00063AB2">
        <w:rPr>
          <w:rFonts w:ascii="Arial" w:hAnsi="Arial" w:cs="Arial"/>
          <w:sz w:val="24"/>
          <w:szCs w:val="24"/>
        </w:rPr>
        <w:t>an individual, institution or</w:t>
      </w:r>
      <w:r w:rsidR="001E49EB" w:rsidRPr="00E43332">
        <w:rPr>
          <w:rFonts w:ascii="Arial" w:hAnsi="Arial" w:cs="Arial"/>
          <w:sz w:val="24"/>
          <w:szCs w:val="24"/>
        </w:rPr>
        <w:t xml:space="preserve"> cause.  At </w:t>
      </w:r>
      <w:r w:rsidR="002A1762" w:rsidRPr="00E43332">
        <w:rPr>
          <w:rFonts w:ascii="Arial" w:hAnsi="Arial" w:cs="Arial"/>
          <w:sz w:val="24"/>
          <w:szCs w:val="24"/>
        </w:rPr>
        <w:t>maturation of the investment period</w:t>
      </w:r>
      <w:r w:rsidR="001E49EB" w:rsidRPr="00E43332">
        <w:rPr>
          <w:rFonts w:ascii="Arial" w:hAnsi="Arial" w:cs="Arial"/>
          <w:sz w:val="24"/>
          <w:szCs w:val="24"/>
        </w:rPr>
        <w:t xml:space="preserve"> (recalling the operational/depreciation lifetime of a wind turbine), the cash can be returned to the named beneficiary</w:t>
      </w:r>
      <w:r w:rsidR="002A1762" w:rsidRPr="00E43332">
        <w:rPr>
          <w:rFonts w:ascii="Arial" w:hAnsi="Arial" w:cs="Arial"/>
          <w:sz w:val="24"/>
          <w:szCs w:val="24"/>
        </w:rPr>
        <w:t>.  Alternatively, the loan may be reinvested into new schemes</w:t>
      </w:r>
      <w:r w:rsidR="001E49EB" w:rsidRPr="00E43332">
        <w:rPr>
          <w:rFonts w:ascii="Arial" w:hAnsi="Arial" w:cs="Arial"/>
          <w:sz w:val="24"/>
          <w:szCs w:val="24"/>
        </w:rPr>
        <w:t xml:space="preserve"> with the same set of linked ecosystem service benefits, or else cancelled</w:t>
      </w:r>
      <w:r w:rsidR="002A1762" w:rsidRPr="00E43332">
        <w:rPr>
          <w:rFonts w:ascii="Arial" w:hAnsi="Arial" w:cs="Arial"/>
          <w:sz w:val="24"/>
          <w:szCs w:val="24"/>
        </w:rPr>
        <w:t>.</w:t>
      </w:r>
      <w:r w:rsidR="006E372F" w:rsidRPr="00E43332">
        <w:rPr>
          <w:rFonts w:ascii="Arial" w:hAnsi="Arial" w:cs="Arial"/>
          <w:sz w:val="24"/>
          <w:szCs w:val="24"/>
        </w:rPr>
        <w:t xml:space="preserve">  No conclusions are drawn about optimal financial models.</w:t>
      </w:r>
    </w:p>
    <w:p w14:paraId="4EEFEE21" w14:textId="77777777" w:rsidR="001E49EB" w:rsidRPr="00E43332" w:rsidRDefault="001E49EB" w:rsidP="00063AB2">
      <w:pPr>
        <w:spacing w:after="0" w:line="240" w:lineRule="auto"/>
        <w:contextualSpacing/>
        <w:rPr>
          <w:rFonts w:ascii="Arial" w:hAnsi="Arial" w:cs="Arial"/>
          <w:sz w:val="24"/>
          <w:szCs w:val="24"/>
        </w:rPr>
      </w:pPr>
    </w:p>
    <w:p w14:paraId="71F69AFD" w14:textId="77777777" w:rsidR="005A4EBA" w:rsidRPr="00E43332" w:rsidRDefault="005A4EBA" w:rsidP="005A4EBA">
      <w:pPr>
        <w:spacing w:after="0" w:line="240" w:lineRule="auto"/>
        <w:contextualSpacing/>
        <w:rPr>
          <w:rFonts w:ascii="Arial" w:hAnsi="Arial" w:cs="Arial"/>
          <w:sz w:val="24"/>
          <w:szCs w:val="24"/>
        </w:rPr>
      </w:pPr>
    </w:p>
    <w:p w14:paraId="1CA4CDE1" w14:textId="77777777" w:rsidR="005A4EBA" w:rsidRPr="00E43332" w:rsidRDefault="005A4EBA" w:rsidP="005A4EBA">
      <w:pPr>
        <w:spacing w:after="0" w:line="240" w:lineRule="auto"/>
        <w:contextualSpacing/>
        <w:rPr>
          <w:rFonts w:ascii="Arial" w:hAnsi="Arial" w:cs="Arial"/>
          <w:i/>
          <w:sz w:val="24"/>
          <w:szCs w:val="24"/>
        </w:rPr>
      </w:pPr>
      <w:r w:rsidRPr="00E43332">
        <w:rPr>
          <w:rFonts w:ascii="Arial" w:hAnsi="Arial" w:cs="Arial"/>
          <w:i/>
          <w:sz w:val="24"/>
          <w:szCs w:val="24"/>
        </w:rPr>
        <w:t>Valuation of ecosystem service co-benefits</w:t>
      </w:r>
    </w:p>
    <w:p w14:paraId="797AEEDA" w14:textId="77777777" w:rsidR="005A4EBA" w:rsidRPr="00E43332" w:rsidRDefault="005A4EBA" w:rsidP="005A4EBA">
      <w:pPr>
        <w:spacing w:after="0" w:line="240" w:lineRule="auto"/>
        <w:contextualSpacing/>
        <w:rPr>
          <w:rFonts w:ascii="Arial" w:hAnsi="Arial" w:cs="Arial"/>
          <w:sz w:val="24"/>
          <w:szCs w:val="24"/>
        </w:rPr>
      </w:pPr>
    </w:p>
    <w:p w14:paraId="0DF1CB1C" w14:textId="2D8F8144" w:rsidR="00DD2B79" w:rsidRPr="00E43332" w:rsidRDefault="00EA66AE" w:rsidP="006E372F">
      <w:pPr>
        <w:spacing w:after="0" w:line="240" w:lineRule="auto"/>
        <w:contextualSpacing/>
        <w:rPr>
          <w:rFonts w:ascii="Arial" w:hAnsi="Arial" w:cs="Arial"/>
          <w:sz w:val="24"/>
          <w:szCs w:val="24"/>
        </w:rPr>
      </w:pPr>
      <w:r w:rsidRPr="00E43332">
        <w:rPr>
          <w:rFonts w:ascii="Arial" w:hAnsi="Arial" w:cs="Arial"/>
          <w:sz w:val="24"/>
          <w:szCs w:val="24"/>
        </w:rPr>
        <w:t xml:space="preserve">In addition to the ‘anchor service’ </w:t>
      </w:r>
      <w:r w:rsidR="005918BC" w:rsidRPr="00E43332">
        <w:rPr>
          <w:rFonts w:ascii="Arial" w:hAnsi="Arial" w:cs="Arial"/>
          <w:sz w:val="24"/>
          <w:szCs w:val="24"/>
        </w:rPr>
        <w:t>of global climate regulation</w:t>
      </w:r>
      <w:r w:rsidRPr="00E43332">
        <w:rPr>
          <w:rFonts w:ascii="Arial" w:hAnsi="Arial" w:cs="Arial"/>
          <w:sz w:val="24"/>
          <w:szCs w:val="24"/>
        </w:rPr>
        <w:t xml:space="preserve">, Everard </w:t>
      </w:r>
      <w:r w:rsidRPr="00E43332">
        <w:rPr>
          <w:rFonts w:ascii="Arial" w:hAnsi="Arial" w:cs="Arial"/>
          <w:i/>
          <w:sz w:val="24"/>
          <w:szCs w:val="24"/>
        </w:rPr>
        <w:t>et al</w:t>
      </w:r>
      <w:r w:rsidRPr="00E43332">
        <w:rPr>
          <w:rFonts w:ascii="Arial" w:hAnsi="Arial" w:cs="Arial"/>
          <w:sz w:val="24"/>
          <w:szCs w:val="24"/>
        </w:rPr>
        <w:t>. (</w:t>
      </w:r>
      <w:r w:rsidR="00AE49F3" w:rsidRPr="00E43332">
        <w:rPr>
          <w:rFonts w:ascii="Arial" w:hAnsi="Arial" w:cs="Arial"/>
          <w:sz w:val="24"/>
          <w:szCs w:val="24"/>
        </w:rPr>
        <w:t>submitted</w:t>
      </w:r>
      <w:r w:rsidRPr="00E43332">
        <w:rPr>
          <w:rFonts w:ascii="Arial" w:hAnsi="Arial" w:cs="Arial"/>
          <w:sz w:val="24"/>
          <w:szCs w:val="24"/>
        </w:rPr>
        <w:t>) and Everard (2015</w:t>
      </w:r>
      <w:r w:rsidR="00FF659F" w:rsidRPr="00E43332">
        <w:rPr>
          <w:rFonts w:ascii="Arial" w:hAnsi="Arial" w:cs="Arial"/>
          <w:sz w:val="24"/>
          <w:szCs w:val="24"/>
        </w:rPr>
        <w:t>a</w:t>
      </w:r>
      <w:r w:rsidRPr="00E43332">
        <w:rPr>
          <w:rFonts w:ascii="Arial" w:hAnsi="Arial" w:cs="Arial"/>
          <w:sz w:val="24"/>
          <w:szCs w:val="24"/>
        </w:rPr>
        <w:t xml:space="preserve">) also identify a diversity of </w:t>
      </w:r>
      <w:r w:rsidR="003B43D6" w:rsidRPr="00E43332">
        <w:rPr>
          <w:rFonts w:ascii="Arial" w:hAnsi="Arial" w:cs="Arial"/>
          <w:sz w:val="24"/>
          <w:szCs w:val="24"/>
        </w:rPr>
        <w:t xml:space="preserve">potential </w:t>
      </w:r>
      <w:r w:rsidRPr="00E43332">
        <w:rPr>
          <w:rFonts w:ascii="Arial" w:hAnsi="Arial" w:cs="Arial"/>
          <w:sz w:val="24"/>
          <w:szCs w:val="24"/>
        </w:rPr>
        <w:t>benefi</w:t>
      </w:r>
      <w:r w:rsidR="003B43D6" w:rsidRPr="00E43332">
        <w:rPr>
          <w:rFonts w:ascii="Arial" w:hAnsi="Arial" w:cs="Arial"/>
          <w:sz w:val="24"/>
          <w:szCs w:val="24"/>
        </w:rPr>
        <w:t xml:space="preserve">ts </w:t>
      </w:r>
      <w:r w:rsidRPr="00E43332">
        <w:rPr>
          <w:rFonts w:ascii="Arial" w:hAnsi="Arial" w:cs="Arial"/>
          <w:sz w:val="24"/>
          <w:szCs w:val="24"/>
        </w:rPr>
        <w:t xml:space="preserve">arising from measures in </w:t>
      </w:r>
      <w:r w:rsidR="006E372F" w:rsidRPr="00E43332">
        <w:rPr>
          <w:rFonts w:ascii="Arial" w:hAnsi="Arial" w:cs="Arial"/>
          <w:sz w:val="24"/>
          <w:szCs w:val="24"/>
        </w:rPr>
        <w:t xml:space="preserve">the </w:t>
      </w:r>
      <w:r w:rsidRPr="00E43332">
        <w:rPr>
          <w:rFonts w:ascii="Arial" w:hAnsi="Arial" w:cs="Arial"/>
          <w:sz w:val="24"/>
          <w:szCs w:val="24"/>
        </w:rPr>
        <w:t>TCW programme, particularly those stemming from habitat restoration.</w:t>
      </w:r>
      <w:r w:rsidR="005918BC" w:rsidRPr="00E43332">
        <w:rPr>
          <w:rFonts w:ascii="Arial" w:hAnsi="Arial" w:cs="Arial"/>
          <w:sz w:val="24"/>
          <w:szCs w:val="24"/>
        </w:rPr>
        <w:t xml:space="preserve">  </w:t>
      </w:r>
      <w:r w:rsidR="003B43D6" w:rsidRPr="00E43332">
        <w:rPr>
          <w:rFonts w:ascii="Arial" w:hAnsi="Arial" w:cs="Arial"/>
          <w:sz w:val="24"/>
          <w:szCs w:val="24"/>
        </w:rPr>
        <w:t xml:space="preserve">There benefits span direct benefits in the form of provisioning, regulatory and cultural and indirect contributions to benefits in the form of functions classified by the Millennium Ecosystem Assessment as supporting services.  </w:t>
      </w:r>
      <w:r w:rsidR="00532F56" w:rsidRPr="00E43332">
        <w:rPr>
          <w:rFonts w:ascii="Arial" w:hAnsi="Arial" w:cs="Arial"/>
          <w:sz w:val="24"/>
          <w:szCs w:val="24"/>
        </w:rPr>
        <w:t xml:space="preserve">Valuation of the diversity of ecosystem service </w:t>
      </w:r>
      <w:r w:rsidR="0011282D" w:rsidRPr="00E43332">
        <w:rPr>
          <w:rFonts w:ascii="Arial" w:hAnsi="Arial" w:cs="Arial"/>
          <w:sz w:val="24"/>
          <w:szCs w:val="24"/>
        </w:rPr>
        <w:t>co-</w:t>
      </w:r>
      <w:r w:rsidR="00532F56" w:rsidRPr="00E43332">
        <w:rPr>
          <w:rFonts w:ascii="Arial" w:hAnsi="Arial" w:cs="Arial"/>
          <w:sz w:val="24"/>
          <w:szCs w:val="24"/>
        </w:rPr>
        <w:t xml:space="preserve">benefits is clearly important </w:t>
      </w:r>
      <w:r w:rsidR="00DD5020" w:rsidRPr="00E43332">
        <w:rPr>
          <w:rFonts w:ascii="Arial" w:hAnsi="Arial" w:cs="Arial"/>
          <w:sz w:val="24"/>
          <w:szCs w:val="24"/>
        </w:rPr>
        <w:t xml:space="preserve">not merely as they augment the already compelling case for investment in linked renewable energy generation and habitat restoration, but also because it is important that </w:t>
      </w:r>
      <w:r w:rsidR="003B43D6" w:rsidRPr="00E43332">
        <w:rPr>
          <w:rFonts w:ascii="Arial" w:hAnsi="Arial" w:cs="Arial"/>
          <w:sz w:val="24"/>
          <w:szCs w:val="24"/>
        </w:rPr>
        <w:t xml:space="preserve">this diversity of benefits and the functions that secure them </w:t>
      </w:r>
      <w:r w:rsidR="00DD5020" w:rsidRPr="00E43332">
        <w:rPr>
          <w:rFonts w:ascii="Arial" w:hAnsi="Arial" w:cs="Arial"/>
          <w:sz w:val="24"/>
          <w:szCs w:val="24"/>
        </w:rPr>
        <w:t xml:space="preserve">are </w:t>
      </w:r>
      <w:r w:rsidR="00532F56" w:rsidRPr="00E43332">
        <w:rPr>
          <w:rFonts w:ascii="Arial" w:hAnsi="Arial" w:cs="Arial"/>
          <w:sz w:val="24"/>
          <w:szCs w:val="24"/>
        </w:rPr>
        <w:t>recognised and weighted in decision-making</w:t>
      </w:r>
      <w:r w:rsidR="00DD5020" w:rsidRPr="00E43332">
        <w:rPr>
          <w:rFonts w:ascii="Arial" w:hAnsi="Arial" w:cs="Arial"/>
          <w:sz w:val="24"/>
          <w:szCs w:val="24"/>
        </w:rPr>
        <w:t xml:space="preserve"> if externalities are to be avoided.  </w:t>
      </w:r>
      <w:r w:rsidR="00A96260" w:rsidRPr="00E43332">
        <w:rPr>
          <w:rFonts w:ascii="Arial" w:hAnsi="Arial" w:cs="Arial"/>
          <w:sz w:val="24"/>
          <w:szCs w:val="24"/>
        </w:rPr>
        <w:t xml:space="preserve">Recognition of the multiplicity of benefits – those that can be more readily quantified and monetised but also those that are more deeply held and less readily measured and valued financially </w:t>
      </w:r>
      <w:r w:rsidR="003B43D6" w:rsidRPr="00E43332">
        <w:rPr>
          <w:rFonts w:ascii="Arial" w:hAnsi="Arial" w:cs="Arial"/>
          <w:sz w:val="24"/>
          <w:szCs w:val="24"/>
        </w:rPr>
        <w:t xml:space="preserve">or contributory to other direct benefits </w:t>
      </w:r>
      <w:r w:rsidR="00A96260" w:rsidRPr="00E43332">
        <w:rPr>
          <w:rFonts w:ascii="Arial" w:hAnsi="Arial" w:cs="Arial"/>
          <w:sz w:val="24"/>
          <w:szCs w:val="24"/>
        </w:rPr>
        <w:t xml:space="preserve">– is important for engaging all interests in society in collectively beneficial interventions.  </w:t>
      </w:r>
      <w:r w:rsidR="00DD5020" w:rsidRPr="00E43332">
        <w:rPr>
          <w:rFonts w:ascii="Arial" w:hAnsi="Arial" w:cs="Arial"/>
          <w:sz w:val="24"/>
          <w:szCs w:val="24"/>
        </w:rPr>
        <w:t xml:space="preserve">Services of particular significance to some stakeholders, for example inherently non-monetisable services </w:t>
      </w:r>
      <w:r w:rsidR="0011282D" w:rsidRPr="00E43332">
        <w:rPr>
          <w:rFonts w:ascii="Arial" w:hAnsi="Arial" w:cs="Arial"/>
          <w:sz w:val="24"/>
          <w:szCs w:val="24"/>
        </w:rPr>
        <w:t xml:space="preserve">of </w:t>
      </w:r>
      <w:r w:rsidR="00DD5020" w:rsidRPr="00E43332">
        <w:rPr>
          <w:rFonts w:ascii="Arial" w:hAnsi="Arial" w:cs="Arial"/>
          <w:sz w:val="24"/>
          <w:szCs w:val="24"/>
        </w:rPr>
        <w:t>spiritual</w:t>
      </w:r>
      <w:r w:rsidR="003B43D6" w:rsidRPr="00E43332">
        <w:rPr>
          <w:rFonts w:ascii="Arial" w:hAnsi="Arial" w:cs="Arial"/>
          <w:sz w:val="24"/>
          <w:szCs w:val="24"/>
        </w:rPr>
        <w:t xml:space="preserve"> or other </w:t>
      </w:r>
      <w:r w:rsidR="00DD5020" w:rsidRPr="00E43332">
        <w:rPr>
          <w:rFonts w:ascii="Arial" w:hAnsi="Arial" w:cs="Arial"/>
          <w:sz w:val="24"/>
          <w:szCs w:val="24"/>
        </w:rPr>
        <w:t xml:space="preserve">cultural significance, may make a compelling case for sectors of </w:t>
      </w:r>
      <w:r w:rsidR="00DD5020" w:rsidRPr="00E43332">
        <w:rPr>
          <w:rFonts w:ascii="Arial" w:hAnsi="Arial" w:cs="Arial"/>
          <w:sz w:val="24"/>
          <w:szCs w:val="24"/>
        </w:rPr>
        <w:lastRenderedPageBreak/>
        <w:t>local society to engage</w:t>
      </w:r>
      <w:r w:rsidR="0011282D" w:rsidRPr="00E43332">
        <w:rPr>
          <w:rFonts w:ascii="Arial" w:hAnsi="Arial" w:cs="Arial"/>
          <w:sz w:val="24"/>
          <w:szCs w:val="24"/>
        </w:rPr>
        <w:t>,</w:t>
      </w:r>
      <w:r w:rsidR="00DD5020" w:rsidRPr="00E43332">
        <w:rPr>
          <w:rFonts w:ascii="Arial" w:hAnsi="Arial" w:cs="Arial"/>
          <w:sz w:val="24"/>
          <w:szCs w:val="24"/>
        </w:rPr>
        <w:t xml:space="preserve"> or to accept management action as active players</w:t>
      </w:r>
      <w:r w:rsidR="0011282D" w:rsidRPr="00E43332">
        <w:rPr>
          <w:rFonts w:ascii="Arial" w:hAnsi="Arial" w:cs="Arial"/>
          <w:sz w:val="24"/>
          <w:szCs w:val="24"/>
        </w:rPr>
        <w:t>,</w:t>
      </w:r>
      <w:r w:rsidR="00DD5020" w:rsidRPr="00E43332">
        <w:rPr>
          <w:rFonts w:ascii="Arial" w:hAnsi="Arial" w:cs="Arial"/>
          <w:sz w:val="24"/>
          <w:szCs w:val="24"/>
        </w:rPr>
        <w:t xml:space="preserve"> in landscape management.</w:t>
      </w:r>
    </w:p>
    <w:p w14:paraId="660A65AB" w14:textId="77777777" w:rsidR="0011282D" w:rsidRDefault="0011282D" w:rsidP="006E372F">
      <w:pPr>
        <w:spacing w:after="0" w:line="240" w:lineRule="auto"/>
        <w:contextualSpacing/>
        <w:rPr>
          <w:rFonts w:ascii="Arial" w:hAnsi="Arial" w:cs="Arial"/>
          <w:sz w:val="24"/>
          <w:szCs w:val="24"/>
        </w:rPr>
      </w:pPr>
    </w:p>
    <w:p w14:paraId="38E9AF0C" w14:textId="77777777" w:rsidR="006E372F" w:rsidRDefault="006E372F" w:rsidP="006E372F">
      <w:pPr>
        <w:spacing w:after="0" w:line="240" w:lineRule="auto"/>
        <w:contextualSpacing/>
        <w:rPr>
          <w:rFonts w:ascii="Arial" w:hAnsi="Arial" w:cs="Arial"/>
          <w:sz w:val="24"/>
          <w:szCs w:val="24"/>
        </w:rPr>
      </w:pPr>
    </w:p>
    <w:p w14:paraId="1009AEFE" w14:textId="5E8AF421" w:rsidR="00DD2B79" w:rsidRPr="00DD2B79" w:rsidRDefault="00DD2B79" w:rsidP="006E372F">
      <w:pPr>
        <w:spacing w:after="0" w:line="240" w:lineRule="auto"/>
        <w:contextualSpacing/>
        <w:rPr>
          <w:rFonts w:ascii="Arial" w:hAnsi="Arial" w:cs="Arial"/>
          <w:b/>
          <w:sz w:val="24"/>
          <w:szCs w:val="24"/>
        </w:rPr>
      </w:pPr>
      <w:r>
        <w:rPr>
          <w:rFonts w:ascii="Arial" w:hAnsi="Arial" w:cs="Arial"/>
          <w:b/>
          <w:sz w:val="24"/>
          <w:szCs w:val="24"/>
        </w:rPr>
        <w:t>Discussion</w:t>
      </w:r>
    </w:p>
    <w:p w14:paraId="00AA55AB" w14:textId="1E3B1F87" w:rsidR="00AE52DD" w:rsidRDefault="00AE52DD" w:rsidP="006E372F">
      <w:pPr>
        <w:spacing w:after="0" w:line="240" w:lineRule="auto"/>
        <w:contextualSpacing/>
        <w:rPr>
          <w:rFonts w:ascii="Arial" w:hAnsi="Arial" w:cs="Arial"/>
          <w:sz w:val="24"/>
          <w:szCs w:val="24"/>
        </w:rPr>
      </w:pPr>
    </w:p>
    <w:p w14:paraId="381A7023" w14:textId="768680AF" w:rsidR="00DA4BC4" w:rsidRDefault="00DD63B0" w:rsidP="00DA4BC4">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The economic case developed in this paper </w:t>
      </w:r>
      <w:r w:rsidR="00E612AD">
        <w:rPr>
          <w:rFonts w:ascii="Arial" w:hAnsi="Arial" w:cs="Arial"/>
          <w:sz w:val="24"/>
          <w:szCs w:val="24"/>
        </w:rPr>
        <w:t xml:space="preserve">revolves </w:t>
      </w:r>
      <w:r>
        <w:rPr>
          <w:rFonts w:ascii="Arial" w:hAnsi="Arial" w:cs="Arial"/>
          <w:sz w:val="24"/>
          <w:szCs w:val="24"/>
        </w:rPr>
        <w:t xml:space="preserve">primarily </w:t>
      </w:r>
      <w:r w:rsidR="00E612AD">
        <w:rPr>
          <w:rFonts w:ascii="Arial" w:hAnsi="Arial" w:cs="Arial"/>
          <w:sz w:val="24"/>
          <w:szCs w:val="24"/>
        </w:rPr>
        <w:t xml:space="preserve">around </w:t>
      </w:r>
      <w:r>
        <w:rPr>
          <w:rFonts w:ascii="Arial" w:hAnsi="Arial" w:cs="Arial"/>
          <w:sz w:val="24"/>
          <w:szCs w:val="24"/>
        </w:rPr>
        <w:t xml:space="preserve">the ‘anchor service’ </w:t>
      </w:r>
      <w:r w:rsidR="0011282D">
        <w:rPr>
          <w:rFonts w:ascii="Arial" w:hAnsi="Arial" w:cs="Arial"/>
          <w:sz w:val="24"/>
          <w:szCs w:val="24"/>
        </w:rPr>
        <w:t xml:space="preserve">global climate regulation </w:t>
      </w:r>
      <w:r>
        <w:rPr>
          <w:rFonts w:ascii="Arial" w:hAnsi="Arial" w:cs="Arial"/>
          <w:sz w:val="24"/>
          <w:szCs w:val="24"/>
        </w:rPr>
        <w:t xml:space="preserve">within the TCW developed-developing world partnership model of low-carbon development and </w:t>
      </w:r>
      <w:r w:rsidR="0011282D">
        <w:rPr>
          <w:rFonts w:ascii="Arial" w:hAnsi="Arial" w:cs="Arial"/>
          <w:sz w:val="24"/>
          <w:szCs w:val="24"/>
        </w:rPr>
        <w:t xml:space="preserve">linked </w:t>
      </w:r>
      <w:r>
        <w:rPr>
          <w:rFonts w:ascii="Arial" w:hAnsi="Arial" w:cs="Arial"/>
          <w:sz w:val="24"/>
          <w:szCs w:val="24"/>
        </w:rPr>
        <w:t>eco-restoration</w:t>
      </w:r>
      <w:r w:rsidR="0011282D">
        <w:rPr>
          <w:rFonts w:ascii="Arial" w:hAnsi="Arial" w:cs="Arial"/>
          <w:sz w:val="24"/>
          <w:szCs w:val="24"/>
        </w:rPr>
        <w:t xml:space="preserve">, assisting both </w:t>
      </w:r>
      <w:r>
        <w:rPr>
          <w:rFonts w:ascii="Arial" w:hAnsi="Arial" w:cs="Arial"/>
          <w:sz w:val="24"/>
          <w:szCs w:val="24"/>
        </w:rPr>
        <w:t xml:space="preserve">south-west England </w:t>
      </w:r>
      <w:r w:rsidR="0011282D">
        <w:rPr>
          <w:rFonts w:ascii="Arial" w:hAnsi="Arial" w:cs="Arial"/>
          <w:sz w:val="24"/>
          <w:szCs w:val="24"/>
        </w:rPr>
        <w:t xml:space="preserve">and Tamil Nadu on a low-carbon transition </w:t>
      </w:r>
      <w:r>
        <w:rPr>
          <w:rFonts w:ascii="Arial" w:hAnsi="Arial" w:cs="Arial"/>
          <w:sz w:val="24"/>
          <w:szCs w:val="24"/>
        </w:rPr>
        <w:t>in a cost-efficient way.</w:t>
      </w:r>
      <w:r w:rsidR="00E612AD">
        <w:rPr>
          <w:rFonts w:ascii="Arial" w:hAnsi="Arial" w:cs="Arial"/>
          <w:sz w:val="24"/>
          <w:szCs w:val="24"/>
        </w:rPr>
        <w:t xml:space="preserve">  The ‘multiplier effect’ of reinvestment of a proportion of revenues from renewable energy generation </w:t>
      </w:r>
      <w:r w:rsidR="0011282D">
        <w:rPr>
          <w:rFonts w:ascii="Arial" w:hAnsi="Arial" w:cs="Arial"/>
          <w:sz w:val="24"/>
          <w:szCs w:val="24"/>
        </w:rPr>
        <w:t xml:space="preserve">into habitat restoration </w:t>
      </w:r>
      <w:r w:rsidR="00E612AD">
        <w:rPr>
          <w:rFonts w:ascii="Arial" w:hAnsi="Arial" w:cs="Arial"/>
          <w:sz w:val="24"/>
          <w:szCs w:val="24"/>
        </w:rPr>
        <w:t xml:space="preserve">makes a substantial contribution </w:t>
      </w:r>
      <w:r w:rsidR="006E372F">
        <w:rPr>
          <w:rFonts w:ascii="Arial" w:hAnsi="Arial" w:cs="Arial"/>
          <w:sz w:val="24"/>
          <w:szCs w:val="24"/>
        </w:rPr>
        <w:t>(99.97%) to overall lifetime tCO</w:t>
      </w:r>
      <w:r w:rsidR="006E372F" w:rsidRPr="006E372F">
        <w:rPr>
          <w:rFonts w:ascii="Arial" w:hAnsi="Arial" w:cs="Arial"/>
          <w:sz w:val="24"/>
          <w:szCs w:val="24"/>
          <w:vertAlign w:val="subscript"/>
        </w:rPr>
        <w:t>2</w:t>
      </w:r>
      <w:r w:rsidR="006E372F">
        <w:rPr>
          <w:rFonts w:ascii="Arial" w:hAnsi="Arial" w:cs="Arial"/>
          <w:sz w:val="24"/>
          <w:szCs w:val="24"/>
        </w:rPr>
        <w:t>e averted/sequestered</w:t>
      </w:r>
      <w:r w:rsidR="00E612AD">
        <w:rPr>
          <w:rFonts w:ascii="Arial" w:hAnsi="Arial" w:cs="Arial"/>
          <w:sz w:val="24"/>
          <w:szCs w:val="24"/>
        </w:rPr>
        <w:t>, with significant implications for the cost-</w:t>
      </w:r>
      <w:r w:rsidR="00E612AD" w:rsidRPr="006E372F">
        <w:rPr>
          <w:rFonts w:ascii="Arial" w:hAnsi="Arial" w:cs="Arial"/>
          <w:color w:val="000000" w:themeColor="text1"/>
          <w:sz w:val="24"/>
          <w:szCs w:val="24"/>
        </w:rPr>
        <w:t>effectiveness of global climate regulation</w:t>
      </w:r>
      <w:r w:rsidR="005660EA">
        <w:rPr>
          <w:rFonts w:ascii="Arial" w:hAnsi="Arial" w:cs="Arial"/>
          <w:color w:val="000000" w:themeColor="text1"/>
          <w:sz w:val="24"/>
          <w:szCs w:val="24"/>
        </w:rPr>
        <w:t xml:space="preserve">.  Values calculated are </w:t>
      </w:r>
      <w:r w:rsidR="0011282D" w:rsidRPr="006E372F">
        <w:rPr>
          <w:rFonts w:ascii="Arial" w:hAnsi="Arial" w:cs="Arial"/>
          <w:color w:val="000000" w:themeColor="text1"/>
          <w:sz w:val="24"/>
          <w:szCs w:val="24"/>
        </w:rPr>
        <w:t xml:space="preserve">tentative </w:t>
      </w:r>
      <w:r w:rsidR="005660EA">
        <w:rPr>
          <w:rFonts w:ascii="Arial" w:hAnsi="Arial" w:cs="Arial"/>
          <w:color w:val="000000" w:themeColor="text1"/>
          <w:sz w:val="24"/>
          <w:szCs w:val="24"/>
        </w:rPr>
        <w:t xml:space="preserve">at </w:t>
      </w:r>
      <w:r w:rsidR="006E372F" w:rsidRPr="006E372F">
        <w:rPr>
          <w:rFonts w:ascii="Arial" w:hAnsi="Arial" w:cs="Arial"/>
          <w:color w:val="000000" w:themeColor="text1"/>
          <w:sz w:val="24"/>
          <w:szCs w:val="24"/>
        </w:rPr>
        <w:t xml:space="preserve">only </w:t>
      </w:r>
      <w:r w:rsidR="0011282D" w:rsidRPr="006E372F">
        <w:rPr>
          <w:rFonts w:ascii="Arial" w:hAnsi="Arial" w:cs="Arial"/>
          <w:color w:val="000000" w:themeColor="text1"/>
          <w:sz w:val="24"/>
          <w:szCs w:val="24"/>
        </w:rPr>
        <w:t>£0.0058 £ per tCO</w:t>
      </w:r>
      <w:r w:rsidR="0011282D" w:rsidRPr="006E372F">
        <w:rPr>
          <w:rFonts w:ascii="Arial" w:hAnsi="Arial" w:cs="Arial"/>
          <w:color w:val="000000" w:themeColor="text1"/>
          <w:sz w:val="24"/>
          <w:szCs w:val="24"/>
          <w:vertAlign w:val="subscript"/>
        </w:rPr>
        <w:t>2</w:t>
      </w:r>
      <w:r w:rsidR="00DC0E60" w:rsidRPr="006E372F">
        <w:rPr>
          <w:rFonts w:ascii="Arial" w:hAnsi="Arial" w:cs="Arial"/>
          <w:color w:val="000000" w:themeColor="text1"/>
          <w:sz w:val="24"/>
          <w:szCs w:val="24"/>
        </w:rPr>
        <w:t xml:space="preserve">e </w:t>
      </w:r>
      <w:r w:rsidR="0011282D" w:rsidRPr="006E372F">
        <w:rPr>
          <w:rFonts w:ascii="Arial" w:hAnsi="Arial" w:cs="Arial"/>
          <w:color w:val="000000" w:themeColor="text1"/>
          <w:sz w:val="24"/>
          <w:szCs w:val="24"/>
        </w:rPr>
        <w:t>(</w:t>
      </w:r>
      <w:r w:rsidR="00DC0E60" w:rsidRPr="006E372F">
        <w:rPr>
          <w:rFonts w:ascii="Arial" w:hAnsi="Arial" w:cs="Arial"/>
          <w:color w:val="000000" w:themeColor="text1"/>
          <w:sz w:val="24"/>
          <w:szCs w:val="24"/>
        </w:rPr>
        <w:t xml:space="preserve">$US0.01 </w:t>
      </w:r>
      <w:r w:rsidR="0011282D" w:rsidRPr="006E372F">
        <w:rPr>
          <w:rFonts w:ascii="Arial" w:hAnsi="Arial" w:cs="Arial"/>
          <w:color w:val="000000" w:themeColor="text1"/>
          <w:sz w:val="24"/>
          <w:szCs w:val="24"/>
        </w:rPr>
        <w:t>per tCO</w:t>
      </w:r>
      <w:r w:rsidR="0011282D" w:rsidRPr="006E372F">
        <w:rPr>
          <w:rFonts w:ascii="Arial" w:hAnsi="Arial" w:cs="Arial"/>
          <w:color w:val="000000" w:themeColor="text1"/>
          <w:sz w:val="24"/>
          <w:szCs w:val="24"/>
          <w:vertAlign w:val="subscript"/>
        </w:rPr>
        <w:t>2</w:t>
      </w:r>
      <w:r w:rsidR="00DC0E60" w:rsidRPr="006E372F">
        <w:rPr>
          <w:rFonts w:ascii="Arial" w:hAnsi="Arial" w:cs="Arial"/>
          <w:color w:val="000000" w:themeColor="text1"/>
          <w:sz w:val="24"/>
          <w:szCs w:val="24"/>
        </w:rPr>
        <w:t>e)</w:t>
      </w:r>
      <w:r w:rsidR="006E372F" w:rsidRPr="006E372F">
        <w:rPr>
          <w:rFonts w:ascii="Arial" w:hAnsi="Arial" w:cs="Arial"/>
          <w:color w:val="000000" w:themeColor="text1"/>
          <w:sz w:val="24"/>
          <w:szCs w:val="24"/>
        </w:rPr>
        <w:t xml:space="preserve">, </w:t>
      </w:r>
      <w:r w:rsidR="00E612AD" w:rsidRPr="006E372F">
        <w:rPr>
          <w:rFonts w:ascii="Arial" w:hAnsi="Arial" w:cs="Arial"/>
          <w:color w:val="000000" w:themeColor="text1"/>
          <w:sz w:val="24"/>
          <w:szCs w:val="24"/>
        </w:rPr>
        <w:t xml:space="preserve">given the sparse data </w:t>
      </w:r>
      <w:r w:rsidR="0011282D" w:rsidRPr="006E372F">
        <w:rPr>
          <w:rFonts w:ascii="Arial" w:hAnsi="Arial" w:cs="Arial"/>
          <w:color w:val="000000" w:themeColor="text1"/>
          <w:sz w:val="24"/>
          <w:szCs w:val="24"/>
        </w:rPr>
        <w:t>and broad assumptions used in calculations</w:t>
      </w:r>
      <w:r w:rsidR="005660EA">
        <w:rPr>
          <w:rFonts w:ascii="Arial" w:hAnsi="Arial" w:cs="Arial"/>
          <w:color w:val="000000" w:themeColor="text1"/>
          <w:sz w:val="24"/>
          <w:szCs w:val="24"/>
        </w:rPr>
        <w:t xml:space="preserve">.  They are </w:t>
      </w:r>
      <w:r w:rsidR="00FC6AED" w:rsidRPr="006E372F">
        <w:rPr>
          <w:rFonts w:ascii="Arial" w:hAnsi="Arial" w:cs="Arial"/>
          <w:color w:val="000000" w:themeColor="text1"/>
          <w:sz w:val="24"/>
          <w:szCs w:val="24"/>
        </w:rPr>
        <w:t xml:space="preserve">nevertheless </w:t>
      </w:r>
      <w:r w:rsidR="00E612AD" w:rsidRPr="00DA4BC4">
        <w:rPr>
          <w:rFonts w:ascii="Arial" w:hAnsi="Arial" w:cs="Arial"/>
          <w:sz w:val="24"/>
          <w:szCs w:val="24"/>
        </w:rPr>
        <w:t>indicative of the scale of benefits</w:t>
      </w:r>
      <w:r w:rsidR="00FC6AED" w:rsidRPr="00DA4BC4">
        <w:rPr>
          <w:rFonts w:ascii="Arial" w:hAnsi="Arial" w:cs="Arial"/>
          <w:sz w:val="24"/>
          <w:szCs w:val="24"/>
        </w:rPr>
        <w:t xml:space="preserve"> arising from the TCW develop</w:t>
      </w:r>
      <w:r w:rsidR="006E372F">
        <w:rPr>
          <w:rFonts w:ascii="Arial" w:hAnsi="Arial" w:cs="Arial"/>
          <w:sz w:val="24"/>
          <w:szCs w:val="24"/>
        </w:rPr>
        <w:t>ed</w:t>
      </w:r>
      <w:r w:rsidR="00FC6AED" w:rsidRPr="00DA4BC4">
        <w:rPr>
          <w:rFonts w:ascii="Arial" w:hAnsi="Arial" w:cs="Arial"/>
          <w:sz w:val="24"/>
          <w:szCs w:val="24"/>
        </w:rPr>
        <w:t xml:space="preserve">-developing world partnership </w:t>
      </w:r>
      <w:r w:rsidR="006E372F">
        <w:rPr>
          <w:rFonts w:ascii="Arial" w:hAnsi="Arial" w:cs="Arial"/>
          <w:sz w:val="24"/>
          <w:szCs w:val="24"/>
        </w:rPr>
        <w:t xml:space="preserve">model </w:t>
      </w:r>
      <w:r w:rsidR="00FC6AED" w:rsidRPr="00DA4BC4">
        <w:rPr>
          <w:rFonts w:ascii="Arial" w:hAnsi="Arial" w:cs="Arial"/>
          <w:sz w:val="24"/>
          <w:szCs w:val="24"/>
        </w:rPr>
        <w:t>for low-carbon development.</w:t>
      </w:r>
      <w:r w:rsidR="00C369CE" w:rsidRPr="00DA4BC4">
        <w:rPr>
          <w:rFonts w:ascii="Arial" w:hAnsi="Arial" w:cs="Arial"/>
          <w:sz w:val="24"/>
          <w:szCs w:val="24"/>
        </w:rPr>
        <w:t xml:space="preserve">  </w:t>
      </w:r>
      <w:r w:rsidR="0096781D" w:rsidRPr="00DA4BC4">
        <w:rPr>
          <w:rFonts w:ascii="Arial" w:hAnsi="Arial" w:cs="Arial"/>
          <w:sz w:val="24"/>
          <w:szCs w:val="24"/>
        </w:rPr>
        <w:t xml:space="preserve">Compared with other mechanisms for pricing carbon </w:t>
      </w:r>
      <w:r w:rsidR="0011282D" w:rsidRPr="00DA4BC4">
        <w:rPr>
          <w:rFonts w:ascii="Arial" w:hAnsi="Arial" w:cs="Arial"/>
          <w:sz w:val="24"/>
          <w:szCs w:val="24"/>
        </w:rPr>
        <w:t xml:space="preserve">and their inherent volatility </w:t>
      </w:r>
      <w:r w:rsidR="005660EA">
        <w:rPr>
          <w:rFonts w:ascii="Arial" w:hAnsi="Arial" w:cs="Arial"/>
          <w:sz w:val="24"/>
          <w:szCs w:val="24"/>
        </w:rPr>
        <w:t xml:space="preserve">(for example see Box 4), </w:t>
      </w:r>
      <w:r w:rsidR="00C369CE" w:rsidRPr="00DA4BC4">
        <w:rPr>
          <w:rFonts w:ascii="Arial" w:hAnsi="Arial" w:cs="Arial"/>
          <w:sz w:val="24"/>
          <w:szCs w:val="24"/>
        </w:rPr>
        <w:t>CO</w:t>
      </w:r>
      <w:r w:rsidR="00C369CE" w:rsidRPr="00DA4BC4">
        <w:rPr>
          <w:rFonts w:ascii="Arial" w:hAnsi="Arial" w:cs="Arial"/>
          <w:sz w:val="24"/>
          <w:szCs w:val="24"/>
          <w:vertAlign w:val="subscript"/>
        </w:rPr>
        <w:t>2</w:t>
      </w:r>
      <w:r w:rsidR="00DC0E60">
        <w:rPr>
          <w:rFonts w:ascii="Arial" w:hAnsi="Arial" w:cs="Arial"/>
          <w:sz w:val="24"/>
          <w:szCs w:val="24"/>
        </w:rPr>
        <w:t xml:space="preserve">e </w:t>
      </w:r>
      <w:r w:rsidR="006E372F">
        <w:rPr>
          <w:rFonts w:ascii="Arial" w:hAnsi="Arial" w:cs="Arial"/>
          <w:sz w:val="24"/>
          <w:szCs w:val="24"/>
        </w:rPr>
        <w:t xml:space="preserve">averted/sequestered </w:t>
      </w:r>
      <w:r w:rsidR="00C369CE" w:rsidRPr="00DA4BC4">
        <w:rPr>
          <w:rFonts w:ascii="Arial" w:hAnsi="Arial" w:cs="Arial"/>
          <w:sz w:val="24"/>
          <w:szCs w:val="24"/>
        </w:rPr>
        <w:t xml:space="preserve">through investment in </w:t>
      </w:r>
      <w:r w:rsidR="00DA4BC4" w:rsidRPr="00DA4BC4">
        <w:rPr>
          <w:rFonts w:ascii="Arial" w:hAnsi="Arial" w:cs="Arial"/>
          <w:sz w:val="24"/>
          <w:szCs w:val="24"/>
        </w:rPr>
        <w:t xml:space="preserve">linked </w:t>
      </w:r>
      <w:r w:rsidR="00C369CE" w:rsidRPr="00DA4BC4">
        <w:rPr>
          <w:rFonts w:ascii="Arial" w:hAnsi="Arial" w:cs="Arial"/>
          <w:sz w:val="24"/>
          <w:szCs w:val="24"/>
        </w:rPr>
        <w:t xml:space="preserve">TDEF </w:t>
      </w:r>
      <w:r w:rsidR="00DA4BC4" w:rsidRPr="00DA4BC4">
        <w:rPr>
          <w:rFonts w:ascii="Arial" w:hAnsi="Arial" w:cs="Arial"/>
          <w:sz w:val="24"/>
          <w:szCs w:val="24"/>
        </w:rPr>
        <w:t xml:space="preserve">renewable generation and </w:t>
      </w:r>
      <w:r w:rsidR="00C369CE" w:rsidRPr="00DA4BC4">
        <w:rPr>
          <w:rFonts w:ascii="Arial" w:hAnsi="Arial" w:cs="Arial"/>
          <w:sz w:val="24"/>
          <w:szCs w:val="24"/>
        </w:rPr>
        <w:t>eco-restoration is highly cost-efficient from a carbon perspective alone.</w:t>
      </w:r>
    </w:p>
    <w:p w14:paraId="3C25FFDF" w14:textId="77777777" w:rsidR="005660EA" w:rsidRDefault="005660EA" w:rsidP="00DA4BC4">
      <w:pPr>
        <w:autoSpaceDE w:val="0"/>
        <w:autoSpaceDN w:val="0"/>
        <w:adjustRightInd w:val="0"/>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660EA" w14:paraId="14D3DB5D" w14:textId="77777777" w:rsidTr="005660EA">
        <w:tc>
          <w:tcPr>
            <w:tcW w:w="9016" w:type="dxa"/>
          </w:tcPr>
          <w:p w14:paraId="5B313C20" w14:textId="116A772A" w:rsidR="005660EA" w:rsidRPr="002D1C50" w:rsidRDefault="005660EA" w:rsidP="00DA4BC4">
            <w:pPr>
              <w:autoSpaceDE w:val="0"/>
              <w:autoSpaceDN w:val="0"/>
              <w:adjustRightInd w:val="0"/>
              <w:contextualSpacing/>
              <w:rPr>
                <w:rFonts w:ascii="Arial" w:hAnsi="Arial" w:cs="Arial"/>
                <w:b/>
                <w:sz w:val="24"/>
                <w:szCs w:val="24"/>
              </w:rPr>
            </w:pPr>
            <w:r w:rsidRPr="002D1C50">
              <w:rPr>
                <w:rFonts w:ascii="Arial" w:hAnsi="Arial" w:cs="Arial"/>
                <w:b/>
                <w:sz w:val="24"/>
                <w:szCs w:val="24"/>
              </w:rPr>
              <w:t>Box 4: Example mechanisms for pricing carbon emissions and abatement</w:t>
            </w:r>
          </w:p>
          <w:p w14:paraId="021464D5" w14:textId="636CF04E" w:rsidR="005660EA" w:rsidRDefault="005660EA" w:rsidP="00DA4BC4">
            <w:pPr>
              <w:autoSpaceDE w:val="0"/>
              <w:autoSpaceDN w:val="0"/>
              <w:adjustRightInd w:val="0"/>
              <w:contextualSpacing/>
              <w:rPr>
                <w:rFonts w:ascii="Arial" w:hAnsi="Arial" w:cs="Arial"/>
                <w:sz w:val="24"/>
                <w:szCs w:val="24"/>
              </w:rPr>
            </w:pPr>
          </w:p>
          <w:p w14:paraId="69C24600" w14:textId="093EE988" w:rsidR="005660EA" w:rsidRDefault="005660EA" w:rsidP="00DA4BC4">
            <w:pPr>
              <w:autoSpaceDE w:val="0"/>
              <w:autoSpaceDN w:val="0"/>
              <w:adjustRightInd w:val="0"/>
              <w:contextualSpacing/>
              <w:rPr>
                <w:rFonts w:ascii="Arial" w:hAnsi="Arial" w:cs="Arial"/>
                <w:sz w:val="24"/>
                <w:szCs w:val="24"/>
              </w:rPr>
            </w:pPr>
            <w:r>
              <w:rPr>
                <w:rFonts w:ascii="Arial" w:hAnsi="Arial" w:cs="Arial"/>
                <w:sz w:val="24"/>
                <w:szCs w:val="24"/>
              </w:rPr>
              <w:t>The following are examples of formalised methods for pricing carbon emissions and abatement:</w:t>
            </w:r>
          </w:p>
          <w:p w14:paraId="54298148" w14:textId="71EB2309" w:rsidR="005660EA" w:rsidRPr="002D1C50" w:rsidRDefault="005660EA" w:rsidP="002D1C50">
            <w:pPr>
              <w:pStyle w:val="ListParagraph"/>
              <w:numPr>
                <w:ilvl w:val="0"/>
                <w:numId w:val="5"/>
              </w:numPr>
              <w:autoSpaceDE w:val="0"/>
              <w:autoSpaceDN w:val="0"/>
              <w:adjustRightInd w:val="0"/>
              <w:rPr>
                <w:rFonts w:ascii="Arial" w:hAnsi="Arial" w:cs="Arial"/>
                <w:sz w:val="24"/>
                <w:szCs w:val="24"/>
              </w:rPr>
            </w:pPr>
            <w:r w:rsidRPr="002D1C50">
              <w:rPr>
                <w:rFonts w:ascii="Arial" w:hAnsi="Arial" w:cs="Arial"/>
                <w:sz w:val="24"/>
                <w:szCs w:val="24"/>
              </w:rPr>
              <w:t>‘Social cost of carbon’ (SCC) of approximately £20/tCO</w:t>
            </w:r>
            <w:r w:rsidRPr="002D1C50">
              <w:rPr>
                <w:rFonts w:ascii="Arial" w:hAnsi="Arial" w:cs="Arial"/>
                <w:sz w:val="24"/>
                <w:szCs w:val="24"/>
                <w:vertAlign w:val="subscript"/>
              </w:rPr>
              <w:t>2</w:t>
            </w:r>
            <w:r w:rsidRPr="002D1C50">
              <w:rPr>
                <w:rFonts w:ascii="Arial" w:hAnsi="Arial" w:cs="Arial"/>
                <w:sz w:val="24"/>
                <w:szCs w:val="24"/>
              </w:rPr>
              <w:t>e (Defra, 2007);</w:t>
            </w:r>
          </w:p>
          <w:p w14:paraId="3D8D8C41" w14:textId="77777777" w:rsidR="005660EA" w:rsidRDefault="005660EA" w:rsidP="002D1C50">
            <w:pPr>
              <w:pStyle w:val="ListParagraph"/>
              <w:numPr>
                <w:ilvl w:val="0"/>
                <w:numId w:val="5"/>
              </w:numPr>
              <w:autoSpaceDE w:val="0"/>
              <w:autoSpaceDN w:val="0"/>
              <w:adjustRightInd w:val="0"/>
              <w:rPr>
                <w:rFonts w:ascii="Arial" w:hAnsi="Arial" w:cs="Arial"/>
                <w:sz w:val="24"/>
                <w:szCs w:val="24"/>
              </w:rPr>
            </w:pPr>
            <w:r w:rsidRPr="002D1C50">
              <w:rPr>
                <w:rFonts w:ascii="Arial" w:hAnsi="Arial" w:cs="Arial"/>
                <w:sz w:val="24"/>
                <w:szCs w:val="24"/>
              </w:rPr>
              <w:t>‘</w:t>
            </w:r>
            <w:r>
              <w:rPr>
                <w:rFonts w:ascii="Arial" w:hAnsi="Arial" w:cs="Arial"/>
                <w:sz w:val="24"/>
                <w:szCs w:val="24"/>
              </w:rPr>
              <w:t>S</w:t>
            </w:r>
            <w:r w:rsidRPr="002D1C50">
              <w:rPr>
                <w:rFonts w:ascii="Arial" w:hAnsi="Arial" w:cs="Arial"/>
                <w:sz w:val="24"/>
                <w:szCs w:val="24"/>
              </w:rPr>
              <w:t>hadow price of carbon’ (SPC) of around £25/tCO</w:t>
            </w:r>
            <w:r w:rsidRPr="002D1C50">
              <w:rPr>
                <w:rFonts w:ascii="Arial" w:hAnsi="Arial" w:cs="Arial"/>
                <w:sz w:val="24"/>
                <w:szCs w:val="24"/>
                <w:vertAlign w:val="subscript"/>
              </w:rPr>
              <w:t>2</w:t>
            </w:r>
            <w:r w:rsidRPr="002D1C50">
              <w:rPr>
                <w:rFonts w:ascii="Arial" w:hAnsi="Arial" w:cs="Arial"/>
                <w:sz w:val="24"/>
                <w:szCs w:val="24"/>
              </w:rPr>
              <w:t>e (Defra, 2007)</w:t>
            </w:r>
            <w:r>
              <w:rPr>
                <w:rFonts w:ascii="Arial" w:hAnsi="Arial" w:cs="Arial"/>
                <w:sz w:val="24"/>
                <w:szCs w:val="24"/>
              </w:rPr>
              <w:t>;</w:t>
            </w:r>
          </w:p>
          <w:p w14:paraId="56CE0B87" w14:textId="77777777" w:rsidR="005660EA" w:rsidRDefault="005660EA" w:rsidP="002D1C50">
            <w:pPr>
              <w:pStyle w:val="ListParagraph"/>
              <w:numPr>
                <w:ilvl w:val="0"/>
                <w:numId w:val="5"/>
              </w:numPr>
              <w:autoSpaceDE w:val="0"/>
              <w:autoSpaceDN w:val="0"/>
              <w:adjustRightInd w:val="0"/>
              <w:rPr>
                <w:rFonts w:ascii="Arial" w:hAnsi="Arial" w:cs="Arial"/>
                <w:sz w:val="24"/>
                <w:szCs w:val="24"/>
              </w:rPr>
            </w:pPr>
            <w:r w:rsidRPr="005660EA">
              <w:rPr>
                <w:rFonts w:ascii="Arial" w:hAnsi="Arial" w:cs="Arial"/>
                <w:sz w:val="24"/>
                <w:szCs w:val="24"/>
              </w:rPr>
              <w:t>‘M</w:t>
            </w:r>
            <w:r w:rsidRPr="002D1C50">
              <w:rPr>
                <w:rFonts w:ascii="Arial" w:hAnsi="Arial" w:cs="Arial"/>
                <w:sz w:val="24"/>
                <w:szCs w:val="24"/>
              </w:rPr>
              <w:t>arginal abatement cost’ (MAC) reflecting the cost of reducing emissions</w:t>
            </w:r>
            <w:r>
              <w:rPr>
                <w:rFonts w:ascii="Arial" w:hAnsi="Arial" w:cs="Arial"/>
                <w:sz w:val="24"/>
                <w:szCs w:val="24"/>
              </w:rPr>
              <w:t>;</w:t>
            </w:r>
          </w:p>
          <w:p w14:paraId="63ECB201" w14:textId="77777777" w:rsidR="005660EA" w:rsidRPr="005660EA" w:rsidRDefault="005660EA" w:rsidP="002D1C50">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T</w:t>
            </w:r>
            <w:r w:rsidRPr="002D1C50">
              <w:rPr>
                <w:rFonts w:ascii="Arial" w:hAnsi="Arial" w:cs="Arial"/>
                <w:sz w:val="24"/>
                <w:szCs w:val="24"/>
              </w:rPr>
              <w:t>he UK’s ‘carbon floor price’ at around £16/tCO</w:t>
            </w:r>
            <w:r w:rsidRPr="002D1C50">
              <w:rPr>
                <w:rFonts w:ascii="Arial" w:hAnsi="Arial" w:cs="Arial"/>
                <w:sz w:val="24"/>
                <w:szCs w:val="24"/>
                <w:vertAlign w:val="subscript"/>
              </w:rPr>
              <w:t>2</w:t>
            </w:r>
            <w:r w:rsidRPr="002D1C50">
              <w:rPr>
                <w:rFonts w:ascii="Arial" w:hAnsi="Arial" w:cs="Arial"/>
                <w:sz w:val="24"/>
                <w:szCs w:val="24"/>
              </w:rPr>
              <w:t xml:space="preserve">e </w:t>
            </w:r>
            <w:r w:rsidRPr="005660EA">
              <w:rPr>
                <w:rFonts w:ascii="Arial" w:hAnsi="Arial" w:cs="Arial"/>
                <w:sz w:val="24"/>
                <w:szCs w:val="24"/>
              </w:rPr>
              <w:t>(HM Treasury and HMRC, 2010); and</w:t>
            </w:r>
          </w:p>
          <w:p w14:paraId="5431B145" w14:textId="77777777" w:rsidR="005660EA" w:rsidRPr="005660EA" w:rsidRDefault="005660EA" w:rsidP="002D1C50">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T</w:t>
            </w:r>
            <w:r w:rsidRPr="002D1C50">
              <w:rPr>
                <w:rFonts w:ascii="Arial" w:hAnsi="Arial" w:cs="Arial"/>
                <w:sz w:val="24"/>
                <w:szCs w:val="24"/>
              </w:rPr>
              <w:t>he EU carbon price of around €5/tCO</w:t>
            </w:r>
            <w:r w:rsidRPr="002D1C50">
              <w:rPr>
                <w:rFonts w:ascii="Arial" w:hAnsi="Arial" w:cs="Arial"/>
                <w:sz w:val="24"/>
                <w:szCs w:val="24"/>
                <w:vertAlign w:val="subscript"/>
              </w:rPr>
              <w:t>2</w:t>
            </w:r>
            <w:r w:rsidRPr="002D1C50">
              <w:rPr>
                <w:rFonts w:ascii="Arial" w:hAnsi="Arial" w:cs="Arial"/>
                <w:sz w:val="24"/>
                <w:szCs w:val="24"/>
              </w:rPr>
              <w:t xml:space="preserve">e </w:t>
            </w:r>
            <w:r w:rsidRPr="005660EA">
              <w:rPr>
                <w:rFonts w:ascii="Arial" w:hAnsi="Arial" w:cs="Arial"/>
                <w:sz w:val="24"/>
                <w:szCs w:val="24"/>
              </w:rPr>
              <w:t>(Carbon TradeXchange, 2015).</w:t>
            </w:r>
          </w:p>
          <w:p w14:paraId="15847046" w14:textId="78DD1313" w:rsidR="005660EA" w:rsidRPr="002D1C50" w:rsidRDefault="005660EA" w:rsidP="002D1C50">
            <w:pPr>
              <w:autoSpaceDE w:val="0"/>
              <w:autoSpaceDN w:val="0"/>
              <w:adjustRightInd w:val="0"/>
              <w:rPr>
                <w:rFonts w:ascii="Arial" w:hAnsi="Arial" w:cs="Arial"/>
                <w:sz w:val="24"/>
                <w:szCs w:val="24"/>
              </w:rPr>
            </w:pPr>
          </w:p>
        </w:tc>
      </w:tr>
    </w:tbl>
    <w:p w14:paraId="18D5DA24" w14:textId="77777777" w:rsidR="005660EA" w:rsidRPr="00DA4BC4" w:rsidRDefault="005660EA" w:rsidP="00DA4BC4">
      <w:pPr>
        <w:autoSpaceDE w:val="0"/>
        <w:autoSpaceDN w:val="0"/>
        <w:adjustRightInd w:val="0"/>
        <w:spacing w:after="0" w:line="240" w:lineRule="auto"/>
        <w:contextualSpacing/>
        <w:rPr>
          <w:rFonts w:ascii="Arial" w:hAnsi="Arial" w:cs="Arial"/>
          <w:sz w:val="24"/>
          <w:szCs w:val="24"/>
        </w:rPr>
      </w:pPr>
    </w:p>
    <w:p w14:paraId="40D96B37" w14:textId="77777777" w:rsidR="00DA4BC4" w:rsidRPr="00E43332" w:rsidRDefault="00DA4BC4" w:rsidP="00DA4BC4">
      <w:pPr>
        <w:autoSpaceDE w:val="0"/>
        <w:autoSpaceDN w:val="0"/>
        <w:adjustRightInd w:val="0"/>
        <w:spacing w:after="0" w:line="240" w:lineRule="auto"/>
        <w:contextualSpacing/>
        <w:rPr>
          <w:rFonts w:ascii="Arial" w:hAnsi="Arial" w:cs="Arial"/>
          <w:sz w:val="24"/>
          <w:szCs w:val="24"/>
        </w:rPr>
      </w:pPr>
    </w:p>
    <w:p w14:paraId="77BD619B" w14:textId="6792078E" w:rsidR="0068407A" w:rsidRDefault="006E372F" w:rsidP="00DA4BC4">
      <w:pPr>
        <w:spacing w:after="0" w:line="240" w:lineRule="auto"/>
        <w:contextualSpacing/>
        <w:rPr>
          <w:rFonts w:ascii="Arial" w:hAnsi="Arial" w:cs="Arial"/>
          <w:sz w:val="24"/>
          <w:szCs w:val="24"/>
        </w:rPr>
      </w:pPr>
      <w:r w:rsidRPr="00E43332">
        <w:rPr>
          <w:rFonts w:ascii="Arial" w:hAnsi="Arial" w:cs="Arial"/>
          <w:sz w:val="24"/>
          <w:szCs w:val="24"/>
        </w:rPr>
        <w:t xml:space="preserve">However, a further important consideration is that the financial values generated in this study, illustrative as they are, only relate to the ‘anchor service’ of global climate regulation.  The linked set of co-beneficial ecosystem services </w:t>
      </w:r>
      <w:r w:rsidR="003B43D6" w:rsidRPr="00E43332">
        <w:rPr>
          <w:rFonts w:ascii="Arial" w:hAnsi="Arial" w:cs="Arial"/>
          <w:sz w:val="24"/>
          <w:szCs w:val="24"/>
        </w:rPr>
        <w:t xml:space="preserve">and functions </w:t>
      </w:r>
      <w:r w:rsidR="00E47BBC" w:rsidRPr="00E43332">
        <w:rPr>
          <w:rFonts w:ascii="Arial" w:hAnsi="Arial" w:cs="Arial"/>
          <w:sz w:val="24"/>
          <w:szCs w:val="24"/>
        </w:rPr>
        <w:t xml:space="preserve">characterised qualitatively by Everard </w:t>
      </w:r>
      <w:r w:rsidR="00E47BBC" w:rsidRPr="00E43332">
        <w:rPr>
          <w:rFonts w:ascii="Arial" w:hAnsi="Arial" w:cs="Arial"/>
          <w:i/>
          <w:sz w:val="24"/>
          <w:szCs w:val="24"/>
        </w:rPr>
        <w:t>et al</w:t>
      </w:r>
      <w:r w:rsidR="00E47BBC" w:rsidRPr="00E43332">
        <w:rPr>
          <w:rFonts w:ascii="Arial" w:hAnsi="Arial" w:cs="Arial"/>
          <w:sz w:val="24"/>
          <w:szCs w:val="24"/>
        </w:rPr>
        <w:t xml:space="preserve">. (submitted) and Everard (2015a) </w:t>
      </w:r>
      <w:r w:rsidRPr="00E43332">
        <w:rPr>
          <w:rFonts w:ascii="Arial" w:hAnsi="Arial" w:cs="Arial"/>
          <w:sz w:val="24"/>
          <w:szCs w:val="24"/>
        </w:rPr>
        <w:t xml:space="preserve">are diverse and significant for a range of stakeholder groups, contributing to </w:t>
      </w:r>
      <w:r w:rsidR="00E47BBC" w:rsidRPr="00E43332">
        <w:rPr>
          <w:rFonts w:ascii="Arial" w:hAnsi="Arial" w:cs="Arial"/>
          <w:sz w:val="24"/>
          <w:szCs w:val="24"/>
        </w:rPr>
        <w:t>important</w:t>
      </w:r>
      <w:r w:rsidR="00E47BBC" w:rsidRPr="00E43332" w:rsidDel="00E47BBC">
        <w:rPr>
          <w:rFonts w:ascii="Arial" w:hAnsi="Arial" w:cs="Arial"/>
          <w:sz w:val="24"/>
          <w:szCs w:val="24"/>
        </w:rPr>
        <w:t xml:space="preserve"> </w:t>
      </w:r>
      <w:r w:rsidRPr="00E43332">
        <w:rPr>
          <w:rFonts w:ascii="Arial" w:hAnsi="Arial" w:cs="Arial"/>
          <w:sz w:val="24"/>
          <w:szCs w:val="24"/>
        </w:rPr>
        <w:t xml:space="preserve">aims such as addressing all 17 of the UN Sustainable Development Goals.  </w:t>
      </w:r>
      <w:r w:rsidR="001D3376" w:rsidRPr="00E43332">
        <w:rPr>
          <w:rFonts w:ascii="Arial" w:hAnsi="Arial" w:cs="Arial"/>
          <w:sz w:val="24"/>
          <w:szCs w:val="24"/>
        </w:rPr>
        <w:t xml:space="preserve">Recognition </w:t>
      </w:r>
      <w:r w:rsidR="001D3376">
        <w:rPr>
          <w:rFonts w:ascii="Arial" w:hAnsi="Arial" w:cs="Arial"/>
          <w:sz w:val="24"/>
          <w:szCs w:val="24"/>
        </w:rPr>
        <w:t xml:space="preserve">of this multiplicity of linked ecosystem service co-benefits therefore </w:t>
      </w:r>
      <w:r w:rsidR="001D3376" w:rsidRPr="00A96260">
        <w:rPr>
          <w:rFonts w:ascii="Arial" w:hAnsi="Arial" w:cs="Arial"/>
          <w:sz w:val="24"/>
          <w:szCs w:val="24"/>
        </w:rPr>
        <w:t>ha</w:t>
      </w:r>
      <w:r w:rsidR="001D3376">
        <w:rPr>
          <w:rFonts w:ascii="Arial" w:hAnsi="Arial" w:cs="Arial"/>
          <w:sz w:val="24"/>
          <w:szCs w:val="24"/>
        </w:rPr>
        <w:t>s</w:t>
      </w:r>
      <w:r w:rsidR="001D3376" w:rsidRPr="00A96260">
        <w:rPr>
          <w:rFonts w:ascii="Arial" w:hAnsi="Arial" w:cs="Arial"/>
          <w:sz w:val="24"/>
          <w:szCs w:val="24"/>
        </w:rPr>
        <w:t xml:space="preserve"> cumulative significance </w:t>
      </w:r>
      <w:r w:rsidR="001D3376">
        <w:rPr>
          <w:rFonts w:ascii="Arial" w:hAnsi="Arial" w:cs="Arial"/>
          <w:sz w:val="24"/>
          <w:szCs w:val="24"/>
        </w:rPr>
        <w:t xml:space="preserve">for </w:t>
      </w:r>
      <w:r w:rsidR="001D3376" w:rsidRPr="00A96260">
        <w:rPr>
          <w:rFonts w:ascii="Arial" w:hAnsi="Arial" w:cs="Arial"/>
          <w:sz w:val="24"/>
          <w:szCs w:val="24"/>
        </w:rPr>
        <w:t xml:space="preserve">the overall social return on investment (SROI) in </w:t>
      </w:r>
      <w:r w:rsidR="001D3376">
        <w:rPr>
          <w:rFonts w:ascii="Arial" w:hAnsi="Arial" w:cs="Arial"/>
          <w:sz w:val="24"/>
          <w:szCs w:val="24"/>
        </w:rPr>
        <w:t xml:space="preserve">the TCW partnership programme.  </w:t>
      </w:r>
      <w:r w:rsidR="005660EA" w:rsidRPr="00012F00">
        <w:rPr>
          <w:rFonts w:ascii="Arial" w:hAnsi="Arial" w:cs="Arial"/>
          <w:sz w:val="24"/>
          <w:szCs w:val="24"/>
        </w:rPr>
        <w:t xml:space="preserve">Many ecosystem service studies fail to address </w:t>
      </w:r>
      <w:r w:rsidR="001D3376">
        <w:rPr>
          <w:rFonts w:ascii="Arial" w:hAnsi="Arial" w:cs="Arial"/>
          <w:sz w:val="24"/>
          <w:szCs w:val="24"/>
        </w:rPr>
        <w:t xml:space="preserve">more deeply held values less readily elucidated by conventional survey techniques (Kenter </w:t>
      </w:r>
      <w:r w:rsidR="001D3376" w:rsidRPr="00A75E6E">
        <w:rPr>
          <w:rFonts w:ascii="Arial" w:hAnsi="Arial" w:cs="Arial"/>
          <w:i/>
          <w:sz w:val="24"/>
          <w:szCs w:val="24"/>
        </w:rPr>
        <w:t>et al</w:t>
      </w:r>
      <w:r w:rsidR="001D3376">
        <w:rPr>
          <w:rFonts w:ascii="Arial" w:hAnsi="Arial" w:cs="Arial"/>
          <w:sz w:val="24"/>
          <w:szCs w:val="24"/>
        </w:rPr>
        <w:t>., 2015)</w:t>
      </w:r>
      <w:r w:rsidR="001D3376" w:rsidRPr="00A75E6E">
        <w:rPr>
          <w:rFonts w:ascii="Arial" w:hAnsi="Arial" w:cs="Arial"/>
          <w:sz w:val="24"/>
          <w:szCs w:val="24"/>
        </w:rPr>
        <w:t xml:space="preserve"> </w:t>
      </w:r>
      <w:r w:rsidR="005660EA">
        <w:rPr>
          <w:rFonts w:ascii="Arial" w:hAnsi="Arial" w:cs="Arial"/>
          <w:sz w:val="24"/>
          <w:szCs w:val="24"/>
        </w:rPr>
        <w:t xml:space="preserve">as well as </w:t>
      </w:r>
      <w:r w:rsidR="001D3376" w:rsidRPr="00012F00">
        <w:rPr>
          <w:rFonts w:ascii="Arial" w:hAnsi="Arial" w:cs="Arial"/>
          <w:sz w:val="24"/>
          <w:szCs w:val="24"/>
        </w:rPr>
        <w:t>cultural services</w:t>
      </w:r>
      <w:r w:rsidR="005660EA">
        <w:rPr>
          <w:rFonts w:ascii="Arial" w:hAnsi="Arial" w:cs="Arial"/>
          <w:sz w:val="24"/>
          <w:szCs w:val="24"/>
        </w:rPr>
        <w:t xml:space="preserve"> that may contribute </w:t>
      </w:r>
      <w:r w:rsidR="001D3376" w:rsidRPr="00012F00">
        <w:rPr>
          <w:rFonts w:ascii="Arial" w:hAnsi="Arial" w:cs="Arial"/>
          <w:sz w:val="24"/>
          <w:szCs w:val="24"/>
        </w:rPr>
        <w:t>significant</w:t>
      </w:r>
      <w:r w:rsidR="005660EA">
        <w:rPr>
          <w:rFonts w:ascii="Arial" w:hAnsi="Arial" w:cs="Arial"/>
          <w:sz w:val="24"/>
          <w:szCs w:val="24"/>
        </w:rPr>
        <w:t>ly</w:t>
      </w:r>
      <w:r w:rsidR="001D3376" w:rsidRPr="00012F00">
        <w:rPr>
          <w:rFonts w:ascii="Arial" w:hAnsi="Arial" w:cs="Arial"/>
          <w:sz w:val="24"/>
          <w:szCs w:val="24"/>
        </w:rPr>
        <w:t xml:space="preserve"> to scheme success and net societal benefit (Tengberg </w:t>
      </w:r>
      <w:r w:rsidR="001D3376" w:rsidRPr="00012F00">
        <w:rPr>
          <w:rFonts w:ascii="Arial" w:hAnsi="Arial" w:cs="Arial"/>
          <w:i/>
          <w:sz w:val="24"/>
          <w:szCs w:val="24"/>
        </w:rPr>
        <w:t>et al</w:t>
      </w:r>
      <w:r w:rsidR="001D3376" w:rsidRPr="00012F00">
        <w:rPr>
          <w:rFonts w:ascii="Arial" w:hAnsi="Arial" w:cs="Arial"/>
          <w:sz w:val="24"/>
          <w:szCs w:val="24"/>
        </w:rPr>
        <w:t>., 2012)</w:t>
      </w:r>
      <w:r w:rsidR="001D3376" w:rsidRPr="00A6609C">
        <w:rPr>
          <w:rFonts w:ascii="Arial" w:hAnsi="Arial" w:cs="Arial"/>
          <w:sz w:val="24"/>
          <w:szCs w:val="24"/>
        </w:rPr>
        <w:t>.</w:t>
      </w:r>
      <w:r w:rsidR="001D3376">
        <w:rPr>
          <w:rFonts w:ascii="Arial" w:hAnsi="Arial" w:cs="Arial"/>
          <w:sz w:val="24"/>
          <w:szCs w:val="24"/>
        </w:rPr>
        <w:t xml:space="preserve">  </w:t>
      </w:r>
      <w:r w:rsidR="005660EA">
        <w:rPr>
          <w:rFonts w:ascii="Arial" w:hAnsi="Arial" w:cs="Arial"/>
          <w:sz w:val="24"/>
          <w:szCs w:val="24"/>
        </w:rPr>
        <w:t>Key messages arising from c</w:t>
      </w:r>
      <w:r w:rsidR="001D3376" w:rsidRPr="00A6609C">
        <w:rPr>
          <w:rFonts w:ascii="Arial" w:hAnsi="Arial" w:cs="Arial"/>
          <w:sz w:val="24"/>
          <w:szCs w:val="24"/>
        </w:rPr>
        <w:t xml:space="preserve">ommunity and livelihood aspects of Millennium Ecosystem Assessment </w:t>
      </w:r>
      <w:r w:rsidR="005660EA" w:rsidRPr="00A6609C">
        <w:rPr>
          <w:rFonts w:ascii="Arial" w:hAnsi="Arial" w:cs="Arial"/>
          <w:sz w:val="24"/>
          <w:szCs w:val="24"/>
        </w:rPr>
        <w:t xml:space="preserve">sub-global assessments </w:t>
      </w:r>
      <w:r w:rsidR="005660EA">
        <w:rPr>
          <w:rFonts w:ascii="Arial" w:hAnsi="Arial" w:cs="Arial"/>
          <w:sz w:val="24"/>
          <w:szCs w:val="24"/>
        </w:rPr>
        <w:t>(</w:t>
      </w:r>
      <w:r w:rsidR="001D3376" w:rsidRPr="00A6609C">
        <w:rPr>
          <w:rFonts w:ascii="Arial" w:hAnsi="Arial" w:cs="Arial"/>
          <w:sz w:val="24"/>
          <w:szCs w:val="24"/>
        </w:rPr>
        <w:t xml:space="preserve">Folke </w:t>
      </w:r>
      <w:r w:rsidR="001D3376" w:rsidRPr="00A6609C">
        <w:rPr>
          <w:rFonts w:ascii="Arial" w:hAnsi="Arial" w:cs="Arial"/>
          <w:i/>
          <w:sz w:val="24"/>
          <w:szCs w:val="24"/>
        </w:rPr>
        <w:t>et al</w:t>
      </w:r>
      <w:r w:rsidR="001D3376" w:rsidRPr="00A6609C">
        <w:rPr>
          <w:rFonts w:ascii="Arial" w:hAnsi="Arial" w:cs="Arial"/>
          <w:sz w:val="24"/>
          <w:szCs w:val="24"/>
        </w:rPr>
        <w:t>.</w:t>
      </w:r>
      <w:r w:rsidR="005660EA">
        <w:rPr>
          <w:rFonts w:ascii="Arial" w:hAnsi="Arial" w:cs="Arial"/>
          <w:sz w:val="24"/>
          <w:szCs w:val="24"/>
        </w:rPr>
        <w:t xml:space="preserve">, </w:t>
      </w:r>
      <w:r w:rsidR="001D3376" w:rsidRPr="00A6609C">
        <w:rPr>
          <w:rFonts w:ascii="Arial" w:hAnsi="Arial" w:cs="Arial"/>
          <w:sz w:val="24"/>
          <w:szCs w:val="24"/>
        </w:rPr>
        <w:t>2005)</w:t>
      </w:r>
      <w:r w:rsidR="002D1C50">
        <w:rPr>
          <w:rFonts w:ascii="Arial" w:hAnsi="Arial" w:cs="Arial"/>
          <w:sz w:val="24"/>
          <w:szCs w:val="24"/>
        </w:rPr>
        <w:t xml:space="preserve"> </w:t>
      </w:r>
      <w:r w:rsidR="005660EA">
        <w:rPr>
          <w:rFonts w:ascii="Arial" w:hAnsi="Arial" w:cs="Arial"/>
          <w:sz w:val="24"/>
          <w:szCs w:val="24"/>
        </w:rPr>
        <w:t xml:space="preserve">emphasise that </w:t>
      </w:r>
      <w:r w:rsidR="001D3376" w:rsidRPr="00A6609C">
        <w:rPr>
          <w:rFonts w:ascii="Arial" w:hAnsi="Arial" w:cs="Arial"/>
          <w:sz w:val="24"/>
          <w:szCs w:val="24"/>
        </w:rPr>
        <w:t xml:space="preserve">local communities are not mere spectators, but are active </w:t>
      </w:r>
      <w:r w:rsidR="001D3376">
        <w:rPr>
          <w:rFonts w:ascii="Arial" w:hAnsi="Arial" w:cs="Arial"/>
          <w:sz w:val="24"/>
          <w:szCs w:val="24"/>
        </w:rPr>
        <w:t xml:space="preserve">participants in and </w:t>
      </w:r>
      <w:r w:rsidR="001D3376" w:rsidRPr="00A6609C">
        <w:rPr>
          <w:rFonts w:ascii="Arial" w:hAnsi="Arial" w:cs="Arial"/>
          <w:sz w:val="24"/>
          <w:szCs w:val="24"/>
        </w:rPr>
        <w:t xml:space="preserve">managers of ecosystems and their </w:t>
      </w:r>
      <w:r w:rsidR="001D3376" w:rsidRPr="00A6609C">
        <w:rPr>
          <w:rFonts w:ascii="Arial" w:hAnsi="Arial" w:cs="Arial"/>
          <w:sz w:val="24"/>
          <w:szCs w:val="24"/>
        </w:rPr>
        <w:lastRenderedPageBreak/>
        <w:t xml:space="preserve">capacities to deliver services.  Diversity in ecosystems is important in reducing the vulnerability of communities.  </w:t>
      </w:r>
      <w:r w:rsidR="005660EA">
        <w:rPr>
          <w:rFonts w:ascii="Arial" w:hAnsi="Arial" w:cs="Arial"/>
          <w:sz w:val="24"/>
          <w:szCs w:val="24"/>
        </w:rPr>
        <w:t xml:space="preserve">Ecosystem services with </w:t>
      </w:r>
      <w:r w:rsidR="001D3376" w:rsidRPr="00A6609C">
        <w:rPr>
          <w:rFonts w:ascii="Arial" w:hAnsi="Arial" w:cs="Arial"/>
          <w:sz w:val="24"/>
          <w:szCs w:val="24"/>
        </w:rPr>
        <w:t xml:space="preserve">spiritual and cultural values </w:t>
      </w:r>
      <w:r w:rsidR="00E47BBC">
        <w:rPr>
          <w:rFonts w:ascii="Arial" w:hAnsi="Arial" w:cs="Arial"/>
          <w:sz w:val="24"/>
          <w:szCs w:val="24"/>
        </w:rPr>
        <w:t xml:space="preserve">arising from them </w:t>
      </w:r>
      <w:r w:rsidR="005660EA">
        <w:rPr>
          <w:rFonts w:ascii="Arial" w:hAnsi="Arial" w:cs="Arial"/>
          <w:sz w:val="24"/>
          <w:szCs w:val="24"/>
        </w:rPr>
        <w:t xml:space="preserve">may be </w:t>
      </w:r>
      <w:r w:rsidR="001D3376" w:rsidRPr="00A6609C">
        <w:rPr>
          <w:rFonts w:ascii="Arial" w:hAnsi="Arial" w:cs="Arial"/>
          <w:sz w:val="24"/>
          <w:szCs w:val="24"/>
        </w:rPr>
        <w:t xml:space="preserve">as important as </w:t>
      </w:r>
      <w:r w:rsidR="001D3376">
        <w:rPr>
          <w:rFonts w:ascii="Arial" w:hAnsi="Arial" w:cs="Arial"/>
          <w:sz w:val="24"/>
          <w:szCs w:val="24"/>
        </w:rPr>
        <w:t xml:space="preserve">more immediately exploitable </w:t>
      </w:r>
      <w:r w:rsidR="001D3376" w:rsidRPr="00A6609C">
        <w:rPr>
          <w:rFonts w:ascii="Arial" w:hAnsi="Arial" w:cs="Arial"/>
          <w:sz w:val="24"/>
          <w:szCs w:val="24"/>
        </w:rPr>
        <w:t>services for many local communities, providing a sense of place and identity, aesthetic and recreational values</w:t>
      </w:r>
      <w:r w:rsidR="00E47BBC">
        <w:rPr>
          <w:rFonts w:ascii="Arial" w:hAnsi="Arial" w:cs="Arial"/>
          <w:sz w:val="24"/>
          <w:szCs w:val="24"/>
        </w:rPr>
        <w:t xml:space="preserve">.  The </w:t>
      </w:r>
      <w:r w:rsidR="00E47BBC" w:rsidRPr="00532F56">
        <w:rPr>
          <w:rFonts w:ascii="Arial" w:hAnsi="Arial" w:cs="Arial"/>
          <w:sz w:val="24"/>
          <w:szCs w:val="24"/>
        </w:rPr>
        <w:t xml:space="preserve">global poor </w:t>
      </w:r>
      <w:r w:rsidR="00E47BBC">
        <w:rPr>
          <w:rFonts w:ascii="Arial" w:hAnsi="Arial" w:cs="Arial"/>
          <w:sz w:val="24"/>
          <w:szCs w:val="24"/>
        </w:rPr>
        <w:t>are often the most disadvantaged by decisions founded on the narrow, often commercial priorities of privileged sectors of society</w:t>
      </w:r>
      <w:r w:rsidR="00E47BBC" w:rsidRPr="00A6609C">
        <w:rPr>
          <w:rFonts w:ascii="Arial" w:hAnsi="Arial" w:cs="Arial"/>
          <w:sz w:val="24"/>
          <w:szCs w:val="24"/>
        </w:rPr>
        <w:t xml:space="preserve">, </w:t>
      </w:r>
      <w:r w:rsidR="00E47BBC">
        <w:rPr>
          <w:rFonts w:ascii="Arial" w:hAnsi="Arial" w:cs="Arial"/>
          <w:sz w:val="24"/>
          <w:szCs w:val="24"/>
        </w:rPr>
        <w:t xml:space="preserve">yet these less readily deduced, non-commercial ecosystem service values with local meaning are nevertheless integral to formation and maintenance of </w:t>
      </w:r>
      <w:r w:rsidR="001D3376">
        <w:rPr>
          <w:rFonts w:ascii="Arial" w:hAnsi="Arial" w:cs="Arial"/>
          <w:sz w:val="24"/>
          <w:szCs w:val="24"/>
        </w:rPr>
        <w:t>‘</w:t>
      </w:r>
      <w:r w:rsidR="00E47BBC">
        <w:rPr>
          <w:rFonts w:ascii="Arial" w:hAnsi="Arial" w:cs="Arial"/>
          <w:sz w:val="24"/>
          <w:szCs w:val="24"/>
        </w:rPr>
        <w:t>c</w:t>
      </w:r>
      <w:r w:rsidR="001D3376" w:rsidRPr="00252DAB">
        <w:rPr>
          <w:rFonts w:ascii="Arial" w:hAnsi="Arial" w:cs="Arial"/>
          <w:sz w:val="24"/>
          <w:szCs w:val="24"/>
        </w:rPr>
        <w:t xml:space="preserve">ultural landscapes’ characterised by biodiversity and </w:t>
      </w:r>
      <w:r w:rsidR="001D3376" w:rsidRPr="00012F00">
        <w:rPr>
          <w:rFonts w:ascii="Arial" w:hAnsi="Arial" w:cs="Arial"/>
          <w:sz w:val="24"/>
          <w:szCs w:val="24"/>
        </w:rPr>
        <w:t>ecosystem services shaped by a complex, extended history of settlement and land use (Antrop, 1997 and 2005; Jones-Walters, 2008</w:t>
      </w:r>
      <w:r w:rsidR="00E47BBC">
        <w:rPr>
          <w:rFonts w:ascii="Arial" w:hAnsi="Arial" w:cs="Arial"/>
          <w:sz w:val="24"/>
          <w:szCs w:val="24"/>
        </w:rPr>
        <w:t xml:space="preserve">; </w:t>
      </w:r>
      <w:r w:rsidR="00E47BBC" w:rsidRPr="00252DAB">
        <w:rPr>
          <w:rFonts w:ascii="Arial" w:hAnsi="Arial" w:cs="Arial"/>
          <w:sz w:val="24"/>
          <w:szCs w:val="24"/>
        </w:rPr>
        <w:t xml:space="preserve">Schaich </w:t>
      </w:r>
      <w:r w:rsidR="00E47BBC" w:rsidRPr="00252DAB">
        <w:rPr>
          <w:rFonts w:ascii="Arial" w:hAnsi="Arial" w:cs="Arial"/>
          <w:i/>
          <w:sz w:val="24"/>
          <w:szCs w:val="24"/>
        </w:rPr>
        <w:t>et al</w:t>
      </w:r>
      <w:r w:rsidR="00E47BBC">
        <w:rPr>
          <w:rFonts w:ascii="Arial" w:hAnsi="Arial" w:cs="Arial"/>
          <w:sz w:val="24"/>
          <w:szCs w:val="24"/>
        </w:rPr>
        <w:t xml:space="preserve">., </w:t>
      </w:r>
      <w:r w:rsidR="00E47BBC" w:rsidRPr="00252DAB">
        <w:rPr>
          <w:rFonts w:ascii="Arial" w:hAnsi="Arial" w:cs="Arial"/>
          <w:sz w:val="24"/>
          <w:szCs w:val="24"/>
        </w:rPr>
        <w:t>2010</w:t>
      </w:r>
      <w:r w:rsidR="001D3376" w:rsidRPr="00012F00">
        <w:rPr>
          <w:rFonts w:ascii="Arial" w:hAnsi="Arial" w:cs="Arial"/>
          <w:sz w:val="24"/>
          <w:szCs w:val="24"/>
        </w:rPr>
        <w:t xml:space="preserve">).  </w:t>
      </w:r>
      <w:r w:rsidR="00FC6AED" w:rsidRPr="00DA4BC4">
        <w:rPr>
          <w:rFonts w:ascii="Arial" w:hAnsi="Arial" w:cs="Arial"/>
          <w:sz w:val="24"/>
          <w:szCs w:val="24"/>
        </w:rPr>
        <w:t xml:space="preserve">Further research is required to quantify, and ideally </w:t>
      </w:r>
      <w:r w:rsidR="0068407A">
        <w:rPr>
          <w:rFonts w:ascii="Arial" w:hAnsi="Arial" w:cs="Arial"/>
          <w:sz w:val="24"/>
          <w:szCs w:val="24"/>
        </w:rPr>
        <w:t xml:space="preserve">to </w:t>
      </w:r>
      <w:r w:rsidR="00FC6AED" w:rsidRPr="00DA4BC4">
        <w:rPr>
          <w:rFonts w:ascii="Arial" w:hAnsi="Arial" w:cs="Arial"/>
          <w:sz w:val="24"/>
          <w:szCs w:val="24"/>
        </w:rPr>
        <w:t xml:space="preserve">monetise </w:t>
      </w:r>
      <w:r w:rsidR="0068407A">
        <w:rPr>
          <w:rFonts w:ascii="Arial" w:hAnsi="Arial" w:cs="Arial"/>
          <w:sz w:val="24"/>
          <w:szCs w:val="24"/>
        </w:rPr>
        <w:t xml:space="preserve">or </w:t>
      </w:r>
      <w:r w:rsidR="00FC6AED" w:rsidRPr="00DA4BC4">
        <w:rPr>
          <w:rFonts w:ascii="Arial" w:hAnsi="Arial" w:cs="Arial"/>
          <w:sz w:val="24"/>
          <w:szCs w:val="24"/>
        </w:rPr>
        <w:t xml:space="preserve">capture in other </w:t>
      </w:r>
      <w:r w:rsidR="00E47BBC">
        <w:rPr>
          <w:rFonts w:ascii="Arial" w:hAnsi="Arial" w:cs="Arial"/>
          <w:sz w:val="24"/>
          <w:szCs w:val="24"/>
        </w:rPr>
        <w:t>non-monetary means</w:t>
      </w:r>
      <w:r w:rsidR="00DD5020" w:rsidRPr="00DA4BC4">
        <w:rPr>
          <w:rFonts w:ascii="Arial" w:hAnsi="Arial" w:cs="Arial"/>
          <w:sz w:val="24"/>
          <w:szCs w:val="24"/>
        </w:rPr>
        <w:t>, th</w:t>
      </w:r>
      <w:r w:rsidR="00E47BBC">
        <w:rPr>
          <w:rFonts w:ascii="Arial" w:hAnsi="Arial" w:cs="Arial"/>
          <w:sz w:val="24"/>
          <w:szCs w:val="24"/>
        </w:rPr>
        <w:t>e</w:t>
      </w:r>
      <w:r w:rsidR="00DD5020" w:rsidRPr="00DA4BC4">
        <w:rPr>
          <w:rFonts w:ascii="Arial" w:hAnsi="Arial" w:cs="Arial"/>
          <w:sz w:val="24"/>
          <w:szCs w:val="24"/>
        </w:rPr>
        <w:t xml:space="preserve"> diversity of potential </w:t>
      </w:r>
      <w:r w:rsidR="0068407A">
        <w:rPr>
          <w:rFonts w:ascii="Arial" w:hAnsi="Arial" w:cs="Arial"/>
          <w:sz w:val="24"/>
          <w:szCs w:val="24"/>
        </w:rPr>
        <w:t xml:space="preserve">ecosystem service </w:t>
      </w:r>
      <w:r w:rsidR="00DD5020" w:rsidRPr="00DA4BC4">
        <w:rPr>
          <w:rFonts w:ascii="Arial" w:hAnsi="Arial" w:cs="Arial"/>
          <w:sz w:val="24"/>
          <w:szCs w:val="24"/>
        </w:rPr>
        <w:t xml:space="preserve">co-benefits </w:t>
      </w:r>
      <w:r w:rsidR="00E47BBC">
        <w:rPr>
          <w:rFonts w:ascii="Arial" w:hAnsi="Arial" w:cs="Arial"/>
          <w:sz w:val="24"/>
          <w:szCs w:val="24"/>
        </w:rPr>
        <w:t>generated by restored TDEF</w:t>
      </w:r>
      <w:r w:rsidR="0068407A">
        <w:rPr>
          <w:rFonts w:ascii="Arial" w:hAnsi="Arial" w:cs="Arial"/>
          <w:sz w:val="24"/>
          <w:szCs w:val="24"/>
        </w:rPr>
        <w:t>.</w:t>
      </w:r>
    </w:p>
    <w:p w14:paraId="0BBDA822" w14:textId="77777777" w:rsidR="0068407A" w:rsidRDefault="0068407A" w:rsidP="00DA4BC4">
      <w:pPr>
        <w:spacing w:after="0" w:line="240" w:lineRule="auto"/>
        <w:contextualSpacing/>
        <w:rPr>
          <w:rFonts w:ascii="Arial" w:hAnsi="Arial" w:cs="Arial"/>
          <w:sz w:val="24"/>
          <w:szCs w:val="24"/>
        </w:rPr>
      </w:pPr>
    </w:p>
    <w:p w14:paraId="1375F22F" w14:textId="25A45D6F" w:rsidR="00337498" w:rsidRPr="00012F00" w:rsidRDefault="00DD5020" w:rsidP="00D267F1">
      <w:pPr>
        <w:pStyle w:val="FootnoteText"/>
        <w:contextualSpacing/>
        <w:rPr>
          <w:rFonts w:ascii="Arial" w:hAnsi="Arial" w:cs="Arial"/>
          <w:sz w:val="24"/>
          <w:szCs w:val="24"/>
        </w:rPr>
      </w:pPr>
      <w:r w:rsidRPr="00012F00">
        <w:rPr>
          <w:rFonts w:ascii="Arial" w:hAnsi="Arial" w:cs="Arial"/>
          <w:sz w:val="24"/>
          <w:szCs w:val="24"/>
        </w:rPr>
        <w:t xml:space="preserve">The focus of benefit assessment from habitat restoration in this paper has </w:t>
      </w:r>
      <w:r w:rsidR="00A75D47">
        <w:rPr>
          <w:rFonts w:ascii="Arial" w:hAnsi="Arial" w:cs="Arial"/>
          <w:sz w:val="24"/>
          <w:szCs w:val="24"/>
        </w:rPr>
        <w:t xml:space="preserve">been on </w:t>
      </w:r>
      <w:r w:rsidRPr="00012F00">
        <w:rPr>
          <w:rFonts w:ascii="Arial" w:hAnsi="Arial" w:cs="Arial"/>
          <w:sz w:val="24"/>
          <w:szCs w:val="24"/>
        </w:rPr>
        <w:t xml:space="preserve">TDEF, </w:t>
      </w:r>
      <w:r w:rsidR="00A75D47">
        <w:rPr>
          <w:rFonts w:ascii="Arial" w:hAnsi="Arial" w:cs="Arial"/>
          <w:sz w:val="24"/>
          <w:szCs w:val="24"/>
        </w:rPr>
        <w:t xml:space="preserve">the </w:t>
      </w:r>
      <w:r w:rsidRPr="00012F00">
        <w:rPr>
          <w:rFonts w:ascii="Arial" w:hAnsi="Arial" w:cs="Arial"/>
          <w:sz w:val="24"/>
          <w:szCs w:val="24"/>
        </w:rPr>
        <w:t>priority degraded, locally representative forest type that has been the initial focus for TCW/</w:t>
      </w:r>
      <w:r w:rsidR="00337498" w:rsidRPr="00012F00">
        <w:rPr>
          <w:rFonts w:ascii="Arial" w:hAnsi="Arial" w:cs="Arial"/>
          <w:sz w:val="24"/>
          <w:szCs w:val="24"/>
        </w:rPr>
        <w:t xml:space="preserve">Pitchandikulam Forest and Bio-Resource Centre restoration efforts.  However, the </w:t>
      </w:r>
      <w:r w:rsidRPr="00012F00">
        <w:rPr>
          <w:rFonts w:ascii="Arial" w:hAnsi="Arial" w:cs="Arial"/>
          <w:sz w:val="24"/>
          <w:szCs w:val="24"/>
        </w:rPr>
        <w:t xml:space="preserve">water system </w:t>
      </w:r>
      <w:r w:rsidR="00337498" w:rsidRPr="00012F00">
        <w:rPr>
          <w:rFonts w:ascii="Arial" w:hAnsi="Arial" w:cs="Arial"/>
          <w:sz w:val="24"/>
          <w:szCs w:val="24"/>
        </w:rPr>
        <w:t xml:space="preserve">in the catchments in which these forests </w:t>
      </w:r>
      <w:r w:rsidR="00431F24">
        <w:rPr>
          <w:rFonts w:ascii="Arial" w:hAnsi="Arial" w:cs="Arial"/>
          <w:sz w:val="24"/>
          <w:szCs w:val="24"/>
        </w:rPr>
        <w:t xml:space="preserve">currently lie, or formerly lay, </w:t>
      </w:r>
      <w:r w:rsidRPr="00012F00">
        <w:rPr>
          <w:rFonts w:ascii="Arial" w:hAnsi="Arial" w:cs="Arial"/>
          <w:sz w:val="24"/>
          <w:szCs w:val="24"/>
        </w:rPr>
        <w:t xml:space="preserve">is of particular importance not </w:t>
      </w:r>
      <w:r w:rsidRPr="0080573D">
        <w:rPr>
          <w:rFonts w:ascii="Arial" w:hAnsi="Arial" w:cs="Arial"/>
          <w:sz w:val="24"/>
          <w:szCs w:val="24"/>
        </w:rPr>
        <w:t xml:space="preserve">merely due to its close interaction with forestry but as it is a major contributor to the vitality of ecosystems of inherent worth and also supporting a diversity of human needs including poverty alleviation.  </w:t>
      </w:r>
      <w:r w:rsidR="00A75E6E" w:rsidRPr="0080573D">
        <w:rPr>
          <w:rFonts w:ascii="Arial" w:hAnsi="Arial" w:cs="Arial"/>
          <w:sz w:val="24"/>
          <w:szCs w:val="24"/>
        </w:rPr>
        <w:t xml:space="preserve">Sustainable water management is a priority </w:t>
      </w:r>
      <w:r w:rsidR="00194664" w:rsidRPr="0080573D">
        <w:rPr>
          <w:rFonts w:ascii="Arial" w:hAnsi="Arial" w:cs="Arial"/>
          <w:sz w:val="24"/>
          <w:szCs w:val="24"/>
        </w:rPr>
        <w:t xml:space="preserve">for Tamil Nadu </w:t>
      </w:r>
      <w:r w:rsidR="00A75E6E" w:rsidRPr="0080573D">
        <w:rPr>
          <w:rFonts w:ascii="Arial" w:hAnsi="Arial" w:cs="Arial"/>
          <w:sz w:val="24"/>
          <w:szCs w:val="24"/>
        </w:rPr>
        <w:t xml:space="preserve">as </w:t>
      </w:r>
      <w:r w:rsidR="00194664" w:rsidRPr="0080573D">
        <w:rPr>
          <w:rFonts w:ascii="Arial" w:hAnsi="Arial" w:cs="Arial"/>
          <w:sz w:val="24"/>
          <w:szCs w:val="24"/>
          <w:lang w:val="en"/>
        </w:rPr>
        <w:t>the climate ranges from dry sub-humid to semi-arid, the greater part of the state falling under the ‘Tropical savanna climate’ category with a smaller proportion of the state falling under the ‘Humid subtropical climate’ category under the Köppen climate classification (</w:t>
      </w:r>
      <w:r w:rsidR="00194664" w:rsidRPr="0080573D">
        <w:rPr>
          <w:rFonts w:ascii="Arial" w:hAnsi="Arial" w:cs="Arial"/>
          <w:sz w:val="24"/>
          <w:szCs w:val="24"/>
        </w:rPr>
        <w:t>Köppen and Wegener, 1924)</w:t>
      </w:r>
      <w:r w:rsidR="00194664" w:rsidRPr="0080573D">
        <w:rPr>
          <w:rFonts w:ascii="Arial" w:hAnsi="Arial" w:cs="Arial"/>
          <w:sz w:val="24"/>
          <w:szCs w:val="24"/>
          <w:lang w:val="en"/>
        </w:rPr>
        <w:t xml:space="preserve">.  Tamil Nadu is heavily dependent on monsoon rains, and is prone therefore to droughts when monsoons fail as well as severe episodic floods (as for example </w:t>
      </w:r>
      <w:r w:rsidR="00431F24">
        <w:rPr>
          <w:rFonts w:ascii="Arial" w:hAnsi="Arial" w:cs="Arial"/>
          <w:sz w:val="24"/>
          <w:szCs w:val="24"/>
          <w:lang w:val="en"/>
        </w:rPr>
        <w:t xml:space="preserve">catastrophic </w:t>
      </w:r>
      <w:r w:rsidR="00194664" w:rsidRPr="0080573D">
        <w:rPr>
          <w:rFonts w:ascii="Arial" w:hAnsi="Arial" w:cs="Arial"/>
          <w:sz w:val="24"/>
          <w:szCs w:val="24"/>
          <w:lang w:val="en"/>
        </w:rPr>
        <w:t xml:space="preserve">flooding in Chennai in November/December 2015: Sandhu, 2015).  </w:t>
      </w:r>
      <w:r w:rsidR="00337498" w:rsidRPr="0080573D">
        <w:rPr>
          <w:rFonts w:ascii="Arial" w:hAnsi="Arial" w:cs="Arial"/>
          <w:sz w:val="24"/>
          <w:szCs w:val="24"/>
        </w:rPr>
        <w:t>T</w:t>
      </w:r>
      <w:r w:rsidRPr="0080573D">
        <w:rPr>
          <w:rFonts w:ascii="Arial" w:hAnsi="Arial" w:cs="Arial"/>
          <w:sz w:val="24"/>
          <w:szCs w:val="24"/>
        </w:rPr>
        <w:t xml:space="preserve">he Kaliveli system in which </w:t>
      </w:r>
      <w:r w:rsidR="00337498" w:rsidRPr="0080573D">
        <w:rPr>
          <w:rFonts w:ascii="Arial" w:hAnsi="Arial" w:cs="Arial"/>
          <w:sz w:val="24"/>
          <w:szCs w:val="24"/>
        </w:rPr>
        <w:t xml:space="preserve">the Nadukuppam forest area </w:t>
      </w:r>
      <w:r w:rsidR="00431F24">
        <w:rPr>
          <w:rFonts w:ascii="Arial" w:hAnsi="Arial" w:cs="Arial"/>
          <w:sz w:val="24"/>
          <w:szCs w:val="24"/>
        </w:rPr>
        <w:t>is situated</w:t>
      </w:r>
      <w:r w:rsidR="00337498" w:rsidRPr="0080573D">
        <w:rPr>
          <w:rFonts w:ascii="Arial" w:hAnsi="Arial" w:cs="Arial"/>
          <w:sz w:val="24"/>
          <w:szCs w:val="24"/>
        </w:rPr>
        <w:t xml:space="preserve">, </w:t>
      </w:r>
      <w:r w:rsidR="00431F24">
        <w:rPr>
          <w:rFonts w:ascii="Arial" w:hAnsi="Arial" w:cs="Arial"/>
          <w:sz w:val="24"/>
          <w:szCs w:val="24"/>
        </w:rPr>
        <w:t xml:space="preserve">as is part of the </w:t>
      </w:r>
      <w:r w:rsidR="00337498" w:rsidRPr="0080573D">
        <w:rPr>
          <w:rFonts w:ascii="Arial" w:hAnsi="Arial" w:cs="Arial"/>
          <w:sz w:val="24"/>
          <w:szCs w:val="24"/>
        </w:rPr>
        <w:t xml:space="preserve">long-restored Pitchandikulam Forest on the Auroville Plateau, </w:t>
      </w:r>
      <w:r w:rsidR="0080573D" w:rsidRPr="0080573D">
        <w:rPr>
          <w:rFonts w:ascii="Arial" w:hAnsi="Arial" w:cs="Arial"/>
          <w:sz w:val="24"/>
          <w:szCs w:val="24"/>
        </w:rPr>
        <w:t xml:space="preserve">is a water-driven ecosystem with substantial ecological and livelihood support importance.  The Kaliveli system </w:t>
      </w:r>
      <w:r w:rsidR="00337498" w:rsidRPr="0080573D">
        <w:rPr>
          <w:rFonts w:ascii="Arial" w:hAnsi="Arial" w:cs="Arial"/>
          <w:sz w:val="24"/>
          <w:szCs w:val="24"/>
        </w:rPr>
        <w:t xml:space="preserve">spans </w:t>
      </w:r>
      <w:r w:rsidRPr="0080573D">
        <w:rPr>
          <w:rFonts w:ascii="Arial" w:hAnsi="Arial" w:cs="Arial"/>
          <w:sz w:val="24"/>
          <w:szCs w:val="24"/>
        </w:rPr>
        <w:t>an area of 740 km</w:t>
      </w:r>
      <w:r w:rsidRPr="0080573D">
        <w:rPr>
          <w:rFonts w:ascii="Arial" w:hAnsi="Arial" w:cs="Arial"/>
          <w:sz w:val="24"/>
          <w:szCs w:val="24"/>
          <w:vertAlign w:val="superscript"/>
        </w:rPr>
        <w:t>2</w:t>
      </w:r>
      <w:r w:rsidRPr="0080573D">
        <w:rPr>
          <w:rFonts w:ascii="Arial" w:hAnsi="Arial" w:cs="Arial"/>
          <w:sz w:val="24"/>
          <w:szCs w:val="24"/>
        </w:rPr>
        <w:t xml:space="preserve"> (</w:t>
      </w:r>
      <w:r w:rsidR="003F531F">
        <w:rPr>
          <w:rFonts w:ascii="Arial" w:hAnsi="Arial" w:cs="Arial"/>
          <w:sz w:val="24"/>
          <w:szCs w:val="24"/>
        </w:rPr>
        <w:t>74</w:t>
      </w:r>
      <w:r w:rsidR="00862315">
        <w:rPr>
          <w:rFonts w:ascii="Arial" w:hAnsi="Arial" w:cs="Arial"/>
          <w:sz w:val="24"/>
          <w:szCs w:val="24"/>
        </w:rPr>
        <w:t>,</w:t>
      </w:r>
      <w:r w:rsidR="00862315" w:rsidRPr="00862315">
        <w:rPr>
          <w:rFonts w:ascii="Arial" w:hAnsi="Arial" w:cs="Arial"/>
          <w:sz w:val="24"/>
          <w:szCs w:val="24"/>
        </w:rPr>
        <w:t>000</w:t>
      </w:r>
      <w:r w:rsidRPr="0080573D">
        <w:rPr>
          <w:rFonts w:ascii="Arial" w:hAnsi="Arial" w:cs="Arial"/>
          <w:sz w:val="24"/>
          <w:szCs w:val="24"/>
        </w:rPr>
        <w:t xml:space="preserve"> ha)</w:t>
      </w:r>
      <w:r w:rsidR="00337498" w:rsidRPr="0080573D">
        <w:rPr>
          <w:rFonts w:ascii="Arial" w:hAnsi="Arial" w:cs="Arial"/>
          <w:sz w:val="24"/>
          <w:szCs w:val="24"/>
        </w:rPr>
        <w:t xml:space="preserve"> including at its coastal end linked creeks, floodplain, mudflat, mangroves and estuary important for ecological and livelihood purposes.  Direct restoration of these functional habitats, and of the currently degraded hilltops and hill slopes, wetlands and tanks contributing to the functioning of the wider catchment,</w:t>
      </w:r>
      <w:r w:rsidR="00337498" w:rsidRPr="00012F00">
        <w:rPr>
          <w:rFonts w:ascii="Arial" w:hAnsi="Arial" w:cs="Arial"/>
          <w:sz w:val="24"/>
          <w:szCs w:val="24"/>
        </w:rPr>
        <w:t xml:space="preserve"> all represent potential priorities for restoration</w:t>
      </w:r>
      <w:r w:rsidR="00C369CE" w:rsidRPr="00012F00">
        <w:rPr>
          <w:rFonts w:ascii="Arial" w:hAnsi="Arial" w:cs="Arial"/>
          <w:sz w:val="24"/>
          <w:szCs w:val="24"/>
        </w:rPr>
        <w:t xml:space="preserve"> </w:t>
      </w:r>
      <w:r w:rsidR="00337498" w:rsidRPr="00012F00">
        <w:rPr>
          <w:rFonts w:ascii="Arial" w:hAnsi="Arial" w:cs="Arial"/>
          <w:sz w:val="24"/>
          <w:szCs w:val="24"/>
        </w:rPr>
        <w:t xml:space="preserve">with a host of climate regulation, water security, ecological, livelihood support and other linked ecosystem service benefits.  </w:t>
      </w:r>
      <w:r w:rsidR="00C369CE" w:rsidRPr="00012F00">
        <w:rPr>
          <w:rFonts w:ascii="Arial" w:hAnsi="Arial" w:cs="Arial"/>
          <w:sz w:val="24"/>
          <w:szCs w:val="24"/>
        </w:rPr>
        <w:t xml:space="preserve">Tamil Nadu’s tank systems’ local adaptations to achieving water security in this semi-arid region of episodic water availability, have suffered the same kinds of long-term decline in quality, extent and loss of traditional collaborative management as witnessed across much of the rest of India and indeed the tropical world (Everard, 2015b), as mechanised pumping technologies have both depressed groundwater levels and suppressing incentives for community-based management of common water capture technologies that have persisted for centuries as an adaptation to local conditions (Bardhan, 2000; Kajisa </w:t>
      </w:r>
      <w:r w:rsidR="00C369CE" w:rsidRPr="00012F00">
        <w:rPr>
          <w:rFonts w:ascii="Arial" w:hAnsi="Arial" w:cs="Arial"/>
          <w:i/>
          <w:sz w:val="24"/>
          <w:szCs w:val="24"/>
        </w:rPr>
        <w:t>et al</w:t>
      </w:r>
      <w:r w:rsidR="00C369CE" w:rsidRPr="00012F00">
        <w:rPr>
          <w:rFonts w:ascii="Arial" w:hAnsi="Arial" w:cs="Arial"/>
          <w:sz w:val="24"/>
          <w:szCs w:val="24"/>
        </w:rPr>
        <w:t>., 2004).  Rehabilitation of traditional groundwater recharge and other water harvesting techniques and the social infrastructure that supports them, including effective community-level agreements to avert symmetric access to groundwater resources that deprives others, is a necessary condition for the recovery of ecosystems and intimately linked socio-</w:t>
      </w:r>
      <w:r w:rsidR="00C369CE" w:rsidRPr="00012F00">
        <w:rPr>
          <w:rFonts w:ascii="Arial" w:hAnsi="Arial" w:cs="Arial"/>
          <w:sz w:val="24"/>
          <w:szCs w:val="24"/>
        </w:rPr>
        <w:lastRenderedPageBreak/>
        <w:t xml:space="preserve">economic security and progress (Palanisami, 2000; Everard, 2013).  Given the critical role of water in arid and semi-arid environments, water management will have many additional co-benefits.  Threats to poverty and equity arising from the decline in collective tank irrigation management have been identified as a particular threat in Tamil Nadu (Kajisa, 2007).  </w:t>
      </w:r>
      <w:r w:rsidR="00337498" w:rsidRPr="00012F00">
        <w:rPr>
          <w:rFonts w:ascii="Arial" w:hAnsi="Arial" w:cs="Arial"/>
          <w:sz w:val="24"/>
          <w:szCs w:val="24"/>
        </w:rPr>
        <w:t xml:space="preserve">Characterising </w:t>
      </w:r>
      <w:r w:rsidR="00C369CE" w:rsidRPr="00012F00">
        <w:rPr>
          <w:rFonts w:ascii="Arial" w:hAnsi="Arial" w:cs="Arial"/>
          <w:sz w:val="24"/>
          <w:szCs w:val="24"/>
        </w:rPr>
        <w:t xml:space="preserve">ecosystem service contributions </w:t>
      </w:r>
      <w:r w:rsidR="00431F24">
        <w:rPr>
          <w:rFonts w:ascii="Arial" w:hAnsi="Arial" w:cs="Arial"/>
          <w:sz w:val="24"/>
          <w:szCs w:val="24"/>
        </w:rPr>
        <w:t xml:space="preserve">from a range of regional habitat types, </w:t>
      </w:r>
      <w:r w:rsidR="00337498" w:rsidRPr="00012F00">
        <w:rPr>
          <w:rFonts w:ascii="Arial" w:hAnsi="Arial" w:cs="Arial"/>
          <w:sz w:val="24"/>
          <w:szCs w:val="24"/>
        </w:rPr>
        <w:t xml:space="preserve">and prioritising restoration opportunities </w:t>
      </w:r>
      <w:r w:rsidR="00431F24">
        <w:rPr>
          <w:rFonts w:ascii="Arial" w:hAnsi="Arial" w:cs="Arial"/>
          <w:sz w:val="24"/>
          <w:szCs w:val="24"/>
        </w:rPr>
        <w:t xml:space="preserve">on the basis of optimal benefit realisation, </w:t>
      </w:r>
      <w:r w:rsidR="00337498" w:rsidRPr="00012F00">
        <w:rPr>
          <w:rFonts w:ascii="Arial" w:hAnsi="Arial" w:cs="Arial"/>
          <w:sz w:val="24"/>
          <w:szCs w:val="24"/>
        </w:rPr>
        <w:t xml:space="preserve">would be a useful focus for further research, optimising the societal benefits of reinvestment beyond the </w:t>
      </w:r>
      <w:r w:rsidR="00431F24">
        <w:rPr>
          <w:rFonts w:ascii="Arial" w:hAnsi="Arial" w:cs="Arial"/>
          <w:sz w:val="24"/>
          <w:szCs w:val="24"/>
        </w:rPr>
        <w:t xml:space="preserve">initial </w:t>
      </w:r>
      <w:r w:rsidR="00337498" w:rsidRPr="00012F00">
        <w:rPr>
          <w:rFonts w:ascii="Arial" w:hAnsi="Arial" w:cs="Arial"/>
          <w:sz w:val="24"/>
          <w:szCs w:val="24"/>
        </w:rPr>
        <w:t>focus on TDEF.</w:t>
      </w:r>
    </w:p>
    <w:p w14:paraId="5D29462C" w14:textId="77777777" w:rsidR="00337498" w:rsidRPr="00012F00" w:rsidRDefault="00337498" w:rsidP="00D267F1">
      <w:pPr>
        <w:spacing w:after="0" w:line="240" w:lineRule="auto"/>
        <w:contextualSpacing/>
        <w:rPr>
          <w:rFonts w:ascii="Arial" w:hAnsi="Arial" w:cs="Arial"/>
          <w:sz w:val="24"/>
          <w:szCs w:val="24"/>
        </w:rPr>
      </w:pPr>
    </w:p>
    <w:p w14:paraId="46D3F52E" w14:textId="6855BAFD" w:rsidR="00D267F1" w:rsidRPr="003F531F" w:rsidRDefault="00C369CE" w:rsidP="002D1C50">
      <w:pPr>
        <w:spacing w:after="0" w:line="240" w:lineRule="auto"/>
        <w:rPr>
          <w:rFonts w:ascii="Arial" w:hAnsi="Arial" w:cs="Arial"/>
          <w:sz w:val="24"/>
          <w:szCs w:val="24"/>
        </w:rPr>
      </w:pPr>
      <w:r w:rsidRPr="003F531F">
        <w:rPr>
          <w:rFonts w:ascii="Arial" w:hAnsi="Arial" w:cs="Arial"/>
          <w:sz w:val="24"/>
          <w:szCs w:val="24"/>
        </w:rPr>
        <w:t>A further research need is identif</w:t>
      </w:r>
      <w:r w:rsidR="00DA4BC4" w:rsidRPr="003F531F">
        <w:rPr>
          <w:rFonts w:ascii="Arial" w:hAnsi="Arial" w:cs="Arial"/>
          <w:sz w:val="24"/>
          <w:szCs w:val="24"/>
        </w:rPr>
        <w:t xml:space="preserve">y </w:t>
      </w:r>
      <w:r w:rsidRPr="003F531F">
        <w:rPr>
          <w:rFonts w:ascii="Arial" w:hAnsi="Arial" w:cs="Arial"/>
          <w:sz w:val="24"/>
          <w:szCs w:val="24"/>
        </w:rPr>
        <w:t xml:space="preserve">means to </w:t>
      </w:r>
      <w:bookmarkStart w:id="1" w:name="_Toc436932504"/>
      <w:r w:rsidRPr="003F531F">
        <w:rPr>
          <w:rFonts w:ascii="Arial" w:hAnsi="Arial" w:cs="Arial"/>
          <w:sz w:val="24"/>
          <w:szCs w:val="24"/>
        </w:rPr>
        <w:t>secur</w:t>
      </w:r>
      <w:r w:rsidR="00431F24" w:rsidRPr="003F531F">
        <w:rPr>
          <w:rFonts w:ascii="Arial" w:hAnsi="Arial" w:cs="Arial"/>
          <w:sz w:val="24"/>
          <w:szCs w:val="24"/>
        </w:rPr>
        <w:t xml:space="preserve">e </w:t>
      </w:r>
      <w:r w:rsidRPr="003F531F">
        <w:rPr>
          <w:rFonts w:ascii="Arial" w:hAnsi="Arial" w:cs="Arial"/>
          <w:sz w:val="24"/>
          <w:szCs w:val="24"/>
        </w:rPr>
        <w:t xml:space="preserve">the benefits of </w:t>
      </w:r>
      <w:r w:rsidR="001D3376" w:rsidRPr="003F531F">
        <w:rPr>
          <w:rFonts w:ascii="Arial" w:hAnsi="Arial" w:cs="Arial"/>
          <w:sz w:val="24"/>
          <w:szCs w:val="24"/>
        </w:rPr>
        <w:t>CO</w:t>
      </w:r>
      <w:r w:rsidR="001D3376" w:rsidRPr="003F531F">
        <w:rPr>
          <w:rFonts w:ascii="Arial" w:hAnsi="Arial" w:cs="Arial"/>
          <w:sz w:val="24"/>
          <w:szCs w:val="24"/>
          <w:vertAlign w:val="subscript"/>
        </w:rPr>
        <w:t>2</w:t>
      </w:r>
      <w:r w:rsidR="001D3376" w:rsidRPr="003F531F">
        <w:rPr>
          <w:rFonts w:ascii="Arial" w:hAnsi="Arial" w:cs="Arial"/>
          <w:sz w:val="24"/>
          <w:szCs w:val="24"/>
        </w:rPr>
        <w:t xml:space="preserve">e averted/sequestered </w:t>
      </w:r>
      <w:bookmarkEnd w:id="1"/>
      <w:r w:rsidRPr="003F531F">
        <w:rPr>
          <w:rFonts w:ascii="Arial" w:hAnsi="Arial" w:cs="Arial"/>
          <w:sz w:val="24"/>
          <w:szCs w:val="24"/>
        </w:rPr>
        <w:t xml:space="preserve">and other linked ecosystem services </w:t>
      </w:r>
      <w:r w:rsidR="00DA4BC4" w:rsidRPr="003F531F">
        <w:rPr>
          <w:rFonts w:ascii="Arial" w:hAnsi="Arial" w:cs="Arial"/>
          <w:sz w:val="24"/>
          <w:szCs w:val="24"/>
        </w:rPr>
        <w:t xml:space="preserve">in perpetuity </w:t>
      </w:r>
      <w:r w:rsidRPr="003F531F">
        <w:rPr>
          <w:rFonts w:ascii="Arial" w:hAnsi="Arial" w:cs="Arial"/>
          <w:sz w:val="24"/>
          <w:szCs w:val="24"/>
        </w:rPr>
        <w:t>(</w:t>
      </w:r>
      <w:r w:rsidR="00431F24" w:rsidRPr="003F531F">
        <w:rPr>
          <w:rFonts w:ascii="Arial" w:hAnsi="Arial" w:cs="Arial"/>
          <w:sz w:val="24"/>
          <w:szCs w:val="24"/>
        </w:rPr>
        <w:t>‘ensure permanence’ in the PES-related principles summarised in Box 1</w:t>
      </w:r>
      <w:r w:rsidRPr="003F531F">
        <w:rPr>
          <w:rFonts w:ascii="Arial" w:hAnsi="Arial" w:cs="Arial"/>
          <w:sz w:val="24"/>
          <w:szCs w:val="24"/>
        </w:rPr>
        <w:t>)</w:t>
      </w:r>
      <w:r w:rsidR="00DA4BC4" w:rsidRPr="003F531F">
        <w:rPr>
          <w:rFonts w:ascii="Arial" w:hAnsi="Arial" w:cs="Arial"/>
          <w:sz w:val="24"/>
          <w:szCs w:val="24"/>
        </w:rPr>
        <w:t>.  The current TCW model is to vest o</w:t>
      </w:r>
      <w:r w:rsidRPr="003F531F">
        <w:rPr>
          <w:rFonts w:ascii="Arial" w:hAnsi="Arial" w:cs="Arial"/>
          <w:sz w:val="24"/>
          <w:szCs w:val="24"/>
        </w:rPr>
        <w:t>wnership of land purchased for eco-restoration in Indian Trust</w:t>
      </w:r>
      <w:r w:rsidR="003F531F">
        <w:rPr>
          <w:rFonts w:ascii="Arial" w:hAnsi="Arial" w:cs="Arial"/>
          <w:sz w:val="24"/>
          <w:szCs w:val="24"/>
        </w:rPr>
        <w:t>s</w:t>
      </w:r>
      <w:r w:rsidR="003F531F" w:rsidRPr="003F531F">
        <w:rPr>
          <w:rFonts w:ascii="Arial" w:hAnsi="Arial" w:cs="Arial"/>
          <w:sz w:val="24"/>
          <w:szCs w:val="24"/>
        </w:rPr>
        <w:t xml:space="preserve">.  </w:t>
      </w:r>
      <w:r w:rsidR="003F531F">
        <w:rPr>
          <w:rFonts w:ascii="Arial" w:hAnsi="Arial" w:cs="Arial"/>
          <w:sz w:val="24"/>
          <w:szCs w:val="24"/>
        </w:rPr>
        <w:t xml:space="preserve">Ownership of </w:t>
      </w:r>
      <w:r w:rsidR="003F531F" w:rsidRPr="003F531F">
        <w:rPr>
          <w:rFonts w:ascii="Arial" w:hAnsi="Arial" w:cs="Arial"/>
          <w:sz w:val="24"/>
          <w:szCs w:val="24"/>
        </w:rPr>
        <w:t xml:space="preserve">Nadukuppam Forest </w:t>
      </w:r>
      <w:r w:rsidR="003F531F">
        <w:rPr>
          <w:rFonts w:ascii="Arial" w:hAnsi="Arial" w:cs="Arial"/>
          <w:sz w:val="24"/>
          <w:szCs w:val="24"/>
        </w:rPr>
        <w:t xml:space="preserve">is </w:t>
      </w:r>
      <w:r w:rsidR="003F531F" w:rsidRPr="003F531F">
        <w:rPr>
          <w:rFonts w:ascii="Arial" w:hAnsi="Arial" w:cs="Arial"/>
          <w:sz w:val="24"/>
          <w:szCs w:val="24"/>
        </w:rPr>
        <w:t xml:space="preserve">by the Kaluveli Environment Education </w:t>
      </w:r>
      <w:r w:rsidR="003F531F">
        <w:rPr>
          <w:rFonts w:ascii="Arial" w:hAnsi="Arial" w:cs="Arial"/>
          <w:sz w:val="24"/>
          <w:szCs w:val="24"/>
        </w:rPr>
        <w:t>T</w:t>
      </w:r>
      <w:r w:rsidR="003F531F" w:rsidRPr="003F531F">
        <w:rPr>
          <w:rFonts w:ascii="Arial" w:hAnsi="Arial" w:cs="Arial"/>
          <w:sz w:val="24"/>
          <w:szCs w:val="24"/>
        </w:rPr>
        <w:t xml:space="preserve">rust (KEET) with Trustees comprising a range of local community and other representatives directing matters consistently with the </w:t>
      </w:r>
      <w:r w:rsidRPr="003F531F">
        <w:rPr>
          <w:rFonts w:ascii="Arial" w:hAnsi="Arial" w:cs="Arial"/>
          <w:sz w:val="24"/>
          <w:szCs w:val="24"/>
        </w:rPr>
        <w:t>inter-regional partnership.</w:t>
      </w:r>
      <w:r w:rsidR="003F531F" w:rsidRPr="003F531F">
        <w:rPr>
          <w:rFonts w:ascii="Arial" w:hAnsi="Arial" w:cs="Arial"/>
          <w:sz w:val="24"/>
          <w:szCs w:val="24"/>
        </w:rPr>
        <w:t xml:space="preserve">  Loan </w:t>
      </w:r>
      <w:r w:rsidR="00D267F1" w:rsidRPr="003F531F">
        <w:rPr>
          <w:rFonts w:ascii="Arial" w:hAnsi="Arial" w:cs="Arial"/>
          <w:sz w:val="24"/>
          <w:szCs w:val="24"/>
        </w:rPr>
        <w:t xml:space="preserve">payments </w:t>
      </w:r>
      <w:r w:rsidR="00DD2120">
        <w:rPr>
          <w:rFonts w:ascii="Arial" w:hAnsi="Arial" w:cs="Arial"/>
          <w:sz w:val="24"/>
          <w:szCs w:val="24"/>
        </w:rPr>
        <w:t xml:space="preserve">made up front to enable </w:t>
      </w:r>
      <w:r w:rsidR="003F531F">
        <w:rPr>
          <w:rFonts w:ascii="Arial" w:hAnsi="Arial" w:cs="Arial"/>
          <w:sz w:val="24"/>
          <w:szCs w:val="24"/>
        </w:rPr>
        <w:t>install</w:t>
      </w:r>
      <w:r w:rsidR="00DD2120">
        <w:rPr>
          <w:rFonts w:ascii="Arial" w:hAnsi="Arial" w:cs="Arial"/>
          <w:sz w:val="24"/>
          <w:szCs w:val="24"/>
        </w:rPr>
        <w:t>ation of</w:t>
      </w:r>
      <w:r w:rsidR="003F531F">
        <w:rPr>
          <w:rFonts w:ascii="Arial" w:hAnsi="Arial" w:cs="Arial"/>
          <w:sz w:val="24"/>
          <w:szCs w:val="24"/>
        </w:rPr>
        <w:t xml:space="preserve"> wind turbines </w:t>
      </w:r>
      <w:r w:rsidR="00D267F1" w:rsidRPr="003F531F">
        <w:rPr>
          <w:rFonts w:ascii="Arial" w:hAnsi="Arial" w:cs="Arial"/>
          <w:sz w:val="24"/>
          <w:szCs w:val="24"/>
        </w:rPr>
        <w:t>can be repaid to named holders at the conclusion of their term, reinvested to achieve further societally beneficial outcomes, or surrendered effectively to remove sequestered/av</w:t>
      </w:r>
      <w:r w:rsidR="001D3376" w:rsidRPr="003F531F">
        <w:rPr>
          <w:rFonts w:ascii="Arial" w:hAnsi="Arial" w:cs="Arial"/>
          <w:sz w:val="24"/>
          <w:szCs w:val="24"/>
        </w:rPr>
        <w:t>ert</w:t>
      </w:r>
      <w:r w:rsidR="00D267F1" w:rsidRPr="003F531F">
        <w:rPr>
          <w:rFonts w:ascii="Arial" w:hAnsi="Arial" w:cs="Arial"/>
          <w:sz w:val="24"/>
          <w:szCs w:val="24"/>
        </w:rPr>
        <w:t>ed carbon from the market.  There are administrative efficiencies entailed in this form of up-front investment, relative to annual payments.</w:t>
      </w:r>
    </w:p>
    <w:p w14:paraId="6A227449" w14:textId="77777777" w:rsidR="00D267F1" w:rsidRPr="003F531F" w:rsidRDefault="00D267F1" w:rsidP="00D267F1">
      <w:pPr>
        <w:spacing w:after="0" w:line="240" w:lineRule="auto"/>
        <w:contextualSpacing/>
        <w:rPr>
          <w:rFonts w:ascii="Arial" w:hAnsi="Arial" w:cs="Arial"/>
          <w:sz w:val="24"/>
          <w:szCs w:val="24"/>
        </w:rPr>
      </w:pPr>
    </w:p>
    <w:p w14:paraId="4F45AD50" w14:textId="43B5B68B" w:rsidR="00012F00" w:rsidRPr="006822C5" w:rsidRDefault="0050626A" w:rsidP="00D267F1">
      <w:pPr>
        <w:spacing w:after="0" w:line="240" w:lineRule="auto"/>
        <w:contextualSpacing/>
        <w:rPr>
          <w:rFonts w:ascii="Arial" w:hAnsi="Arial" w:cs="Arial"/>
          <w:sz w:val="24"/>
          <w:szCs w:val="24"/>
        </w:rPr>
      </w:pPr>
      <w:r>
        <w:rPr>
          <w:rFonts w:ascii="Arial" w:hAnsi="Arial" w:cs="Arial"/>
          <w:sz w:val="24"/>
          <w:szCs w:val="24"/>
        </w:rPr>
        <w:t>T</w:t>
      </w:r>
      <w:r w:rsidR="00DA4BC4" w:rsidRPr="00012F00">
        <w:rPr>
          <w:rFonts w:ascii="Arial" w:hAnsi="Arial" w:cs="Arial"/>
          <w:sz w:val="24"/>
          <w:szCs w:val="24"/>
        </w:rPr>
        <w:t xml:space="preserve">he investment model, </w:t>
      </w:r>
      <w:r>
        <w:rPr>
          <w:rFonts w:ascii="Arial" w:hAnsi="Arial" w:cs="Arial"/>
          <w:sz w:val="24"/>
          <w:szCs w:val="24"/>
        </w:rPr>
        <w:t xml:space="preserve">though </w:t>
      </w:r>
      <w:r w:rsidR="00DA4BC4" w:rsidRPr="00012F00">
        <w:rPr>
          <w:rFonts w:ascii="Arial" w:hAnsi="Arial" w:cs="Arial"/>
          <w:sz w:val="24"/>
          <w:szCs w:val="24"/>
        </w:rPr>
        <w:t xml:space="preserve">market-based, is founded </w:t>
      </w:r>
      <w:r>
        <w:rPr>
          <w:rFonts w:ascii="Arial" w:hAnsi="Arial" w:cs="Arial"/>
          <w:sz w:val="24"/>
          <w:szCs w:val="24"/>
        </w:rPr>
        <w:t>on a different kind of economic paradigm to the established norm of investment primarily for private profit-</w:t>
      </w:r>
      <w:r w:rsidR="001D3376">
        <w:rPr>
          <w:rFonts w:ascii="Arial" w:hAnsi="Arial" w:cs="Arial"/>
          <w:sz w:val="24"/>
          <w:szCs w:val="24"/>
        </w:rPr>
        <w:t>generation</w:t>
      </w:r>
      <w:r w:rsidR="000078ED">
        <w:rPr>
          <w:rFonts w:ascii="Arial" w:hAnsi="Arial" w:cs="Arial"/>
          <w:sz w:val="24"/>
          <w:szCs w:val="24"/>
        </w:rPr>
        <w:t>.  It seeks instead to deliver SROI founded initially on the ‘anchor service’ of climate regulation but acknowledging scope for future markets based on other ecosystem services</w:t>
      </w:r>
      <w:r w:rsidR="00DA4BC4" w:rsidRPr="00012F00">
        <w:rPr>
          <w:rFonts w:ascii="Arial" w:hAnsi="Arial" w:cs="Arial"/>
          <w:sz w:val="24"/>
          <w:szCs w:val="24"/>
        </w:rPr>
        <w:t xml:space="preserve">.  The initial phase of TCW investment in wind turbines has </w:t>
      </w:r>
      <w:r>
        <w:rPr>
          <w:rFonts w:ascii="Arial" w:hAnsi="Arial" w:cs="Arial"/>
          <w:sz w:val="24"/>
          <w:szCs w:val="24"/>
        </w:rPr>
        <w:t>r</w:t>
      </w:r>
      <w:r w:rsidR="00DA4BC4" w:rsidRPr="00012F00">
        <w:rPr>
          <w:rFonts w:ascii="Arial" w:hAnsi="Arial" w:cs="Arial"/>
          <w:sz w:val="24"/>
          <w:szCs w:val="24"/>
        </w:rPr>
        <w:t>elie</w:t>
      </w:r>
      <w:r>
        <w:rPr>
          <w:rFonts w:ascii="Arial" w:hAnsi="Arial" w:cs="Arial"/>
          <w:sz w:val="24"/>
          <w:szCs w:val="24"/>
        </w:rPr>
        <w:t>d</w:t>
      </w:r>
      <w:r w:rsidR="00DA4BC4" w:rsidRPr="00012F00">
        <w:rPr>
          <w:rFonts w:ascii="Arial" w:hAnsi="Arial" w:cs="Arial"/>
          <w:sz w:val="24"/>
          <w:szCs w:val="24"/>
        </w:rPr>
        <w:t xml:space="preserve"> on</w:t>
      </w:r>
      <w:r w:rsidR="001D3376">
        <w:rPr>
          <w:rFonts w:ascii="Arial" w:hAnsi="Arial" w:cs="Arial"/>
          <w:sz w:val="24"/>
          <w:szCs w:val="24"/>
        </w:rPr>
        <w:t xml:space="preserve"> </w:t>
      </w:r>
      <w:r w:rsidR="00DA4BC4" w:rsidRPr="00012F00">
        <w:rPr>
          <w:rFonts w:ascii="Arial" w:hAnsi="Arial" w:cs="Arial"/>
          <w:sz w:val="24"/>
          <w:szCs w:val="24"/>
        </w:rPr>
        <w:t>bank loans at commercial rates, limit</w:t>
      </w:r>
      <w:r w:rsidR="001D3376">
        <w:rPr>
          <w:rFonts w:ascii="Arial" w:hAnsi="Arial" w:cs="Arial"/>
          <w:sz w:val="24"/>
          <w:szCs w:val="24"/>
        </w:rPr>
        <w:t>ing</w:t>
      </w:r>
      <w:r w:rsidR="00DA4BC4" w:rsidRPr="00012F00">
        <w:rPr>
          <w:rFonts w:ascii="Arial" w:hAnsi="Arial" w:cs="Arial"/>
          <w:sz w:val="24"/>
          <w:szCs w:val="24"/>
        </w:rPr>
        <w:t xml:space="preserve"> </w:t>
      </w:r>
      <w:r>
        <w:rPr>
          <w:rFonts w:ascii="Arial" w:hAnsi="Arial" w:cs="Arial"/>
          <w:sz w:val="24"/>
          <w:szCs w:val="24"/>
        </w:rPr>
        <w:t xml:space="preserve">surplus </w:t>
      </w:r>
      <w:r w:rsidR="00DA4BC4" w:rsidRPr="00012F00">
        <w:rPr>
          <w:rFonts w:ascii="Arial" w:hAnsi="Arial" w:cs="Arial"/>
          <w:sz w:val="24"/>
          <w:szCs w:val="24"/>
        </w:rPr>
        <w:t>funds available for reinvestment in TDEF eco-restoration and other elements of the TCW programme of support for regional development.  T</w:t>
      </w:r>
      <w:r>
        <w:rPr>
          <w:rFonts w:ascii="Arial" w:hAnsi="Arial" w:cs="Arial"/>
          <w:sz w:val="24"/>
          <w:szCs w:val="24"/>
        </w:rPr>
        <w:t xml:space="preserve">CW’s </w:t>
      </w:r>
      <w:r w:rsidR="00DA4BC4" w:rsidRPr="00012F00">
        <w:rPr>
          <w:rFonts w:ascii="Arial" w:hAnsi="Arial" w:cs="Arial"/>
          <w:sz w:val="24"/>
          <w:szCs w:val="24"/>
        </w:rPr>
        <w:t xml:space="preserve">aspiration is to </w:t>
      </w:r>
      <w:r>
        <w:rPr>
          <w:rFonts w:ascii="Arial" w:hAnsi="Arial" w:cs="Arial"/>
          <w:sz w:val="24"/>
          <w:szCs w:val="24"/>
        </w:rPr>
        <w:t xml:space="preserve">migrate investment </w:t>
      </w:r>
      <w:r w:rsidR="00DA4BC4" w:rsidRPr="00012F00">
        <w:rPr>
          <w:rFonts w:ascii="Arial" w:hAnsi="Arial" w:cs="Arial"/>
          <w:sz w:val="24"/>
          <w:szCs w:val="24"/>
        </w:rPr>
        <w:t>to a more substantial extent o</w:t>
      </w:r>
      <w:r>
        <w:rPr>
          <w:rFonts w:ascii="Arial" w:hAnsi="Arial" w:cs="Arial"/>
          <w:sz w:val="24"/>
          <w:szCs w:val="24"/>
        </w:rPr>
        <w:t>n</w:t>
      </w:r>
      <w:r w:rsidR="00DA4BC4" w:rsidRPr="00012F00">
        <w:rPr>
          <w:rFonts w:ascii="Arial" w:hAnsi="Arial" w:cs="Arial"/>
          <w:sz w:val="24"/>
          <w:szCs w:val="24"/>
        </w:rPr>
        <w:t xml:space="preserve"> </w:t>
      </w:r>
      <w:r>
        <w:rPr>
          <w:rFonts w:ascii="Arial" w:hAnsi="Arial" w:cs="Arial"/>
          <w:sz w:val="24"/>
          <w:szCs w:val="24"/>
        </w:rPr>
        <w:t xml:space="preserve">zero-interest or low-interest </w:t>
      </w:r>
      <w:r w:rsidR="00DA4BC4" w:rsidRPr="00012F00">
        <w:rPr>
          <w:rFonts w:ascii="Arial" w:hAnsi="Arial" w:cs="Arial"/>
          <w:sz w:val="24"/>
          <w:szCs w:val="24"/>
        </w:rPr>
        <w:t xml:space="preserve">loans, and possibly also grants, that are offered with the aim of generating profit not </w:t>
      </w:r>
      <w:r>
        <w:rPr>
          <w:rFonts w:ascii="Arial" w:hAnsi="Arial" w:cs="Arial"/>
          <w:sz w:val="24"/>
          <w:szCs w:val="24"/>
        </w:rPr>
        <w:t xml:space="preserve">simply in terms of </w:t>
      </w:r>
      <w:r w:rsidR="00DA4BC4" w:rsidRPr="00012F00">
        <w:rPr>
          <w:rFonts w:ascii="Arial" w:hAnsi="Arial" w:cs="Arial"/>
          <w:sz w:val="24"/>
          <w:szCs w:val="24"/>
        </w:rPr>
        <w:t xml:space="preserve">private </w:t>
      </w:r>
      <w:r>
        <w:rPr>
          <w:rFonts w:ascii="Arial" w:hAnsi="Arial" w:cs="Arial"/>
          <w:sz w:val="24"/>
          <w:szCs w:val="24"/>
        </w:rPr>
        <w:t xml:space="preserve">profit but as SROI focusing on </w:t>
      </w:r>
      <w:r w:rsidR="00DA4BC4" w:rsidRPr="00012F00">
        <w:rPr>
          <w:rFonts w:ascii="Arial" w:hAnsi="Arial" w:cs="Arial"/>
          <w:sz w:val="24"/>
          <w:szCs w:val="24"/>
        </w:rPr>
        <w:t xml:space="preserve">public benefit.  This model of SROI forming the </w:t>
      </w:r>
      <w:r>
        <w:rPr>
          <w:rFonts w:ascii="Arial" w:hAnsi="Arial" w:cs="Arial"/>
          <w:sz w:val="24"/>
          <w:szCs w:val="24"/>
        </w:rPr>
        <w:t xml:space="preserve">primary </w:t>
      </w:r>
      <w:r w:rsidR="00DA4BC4" w:rsidRPr="00012F00">
        <w:rPr>
          <w:rFonts w:ascii="Arial" w:hAnsi="Arial" w:cs="Arial"/>
          <w:sz w:val="24"/>
          <w:szCs w:val="24"/>
        </w:rPr>
        <w:t>interest o</w:t>
      </w:r>
      <w:r w:rsidR="00552D88" w:rsidRPr="00012F00">
        <w:rPr>
          <w:rFonts w:ascii="Arial" w:hAnsi="Arial" w:cs="Arial"/>
          <w:sz w:val="24"/>
          <w:szCs w:val="24"/>
        </w:rPr>
        <w:t>n</w:t>
      </w:r>
      <w:r w:rsidR="00DA4BC4" w:rsidRPr="00012F00">
        <w:rPr>
          <w:rFonts w:ascii="Arial" w:hAnsi="Arial" w:cs="Arial"/>
          <w:sz w:val="24"/>
          <w:szCs w:val="24"/>
        </w:rPr>
        <w:t xml:space="preserve"> loans </w:t>
      </w:r>
      <w:r w:rsidR="00552D88" w:rsidRPr="00012F00">
        <w:rPr>
          <w:rFonts w:ascii="Arial" w:hAnsi="Arial" w:cs="Arial"/>
          <w:sz w:val="24"/>
          <w:szCs w:val="24"/>
        </w:rPr>
        <w:t xml:space="preserve">– benefits arising to society as a form of ‘collateral virtue’ rather than narrow maximisation of personal financial returns achieved often by means generating uncounted ‘collateral damage’ – harks back to the origins of money as a medium of exchange of skills and goods as society first differentiated roles as settled civilisations were founded (Everard, 2011).  Money was a social connector, enabling the creation of benefits rather than serving the more contemporary purpose of </w:t>
      </w:r>
      <w:r w:rsidR="00DA4BC4" w:rsidRPr="00012F00">
        <w:rPr>
          <w:rFonts w:ascii="Arial" w:hAnsi="Arial" w:cs="Arial"/>
          <w:sz w:val="24"/>
          <w:szCs w:val="24"/>
        </w:rPr>
        <w:t>accumulatin</w:t>
      </w:r>
      <w:r w:rsidR="00552D88" w:rsidRPr="00012F00">
        <w:rPr>
          <w:rFonts w:ascii="Arial" w:hAnsi="Arial" w:cs="Arial"/>
          <w:sz w:val="24"/>
          <w:szCs w:val="24"/>
        </w:rPr>
        <w:t>g</w:t>
      </w:r>
      <w:r w:rsidR="00DA4BC4" w:rsidRPr="00012F00">
        <w:rPr>
          <w:rFonts w:ascii="Arial" w:hAnsi="Arial" w:cs="Arial"/>
          <w:sz w:val="24"/>
          <w:szCs w:val="24"/>
        </w:rPr>
        <w:t xml:space="preserve"> personal wealth, and later corporate wealth</w:t>
      </w:r>
      <w:r w:rsidR="00552D88" w:rsidRPr="00012F00">
        <w:rPr>
          <w:rFonts w:ascii="Arial" w:hAnsi="Arial" w:cs="Arial"/>
          <w:sz w:val="24"/>
          <w:szCs w:val="24"/>
        </w:rPr>
        <w:t xml:space="preserve">, on a competitive basis.  This contemporary competitive model often results in </w:t>
      </w:r>
      <w:r w:rsidR="00DA4BC4" w:rsidRPr="00012F00">
        <w:rPr>
          <w:rFonts w:ascii="Arial" w:hAnsi="Arial" w:cs="Arial"/>
          <w:sz w:val="24"/>
          <w:szCs w:val="24"/>
        </w:rPr>
        <w:t xml:space="preserve">international loans </w:t>
      </w:r>
      <w:r>
        <w:rPr>
          <w:rFonts w:ascii="Arial" w:hAnsi="Arial" w:cs="Arial"/>
          <w:sz w:val="24"/>
          <w:szCs w:val="24"/>
        </w:rPr>
        <w:t xml:space="preserve">from developed-world interests to </w:t>
      </w:r>
      <w:r w:rsidR="00DA4BC4" w:rsidRPr="00012F00">
        <w:rPr>
          <w:rFonts w:ascii="Arial" w:hAnsi="Arial" w:cs="Arial"/>
          <w:sz w:val="24"/>
          <w:szCs w:val="24"/>
        </w:rPr>
        <w:t xml:space="preserve">developing nations </w:t>
      </w:r>
      <w:r w:rsidR="00552D88" w:rsidRPr="00012F00">
        <w:rPr>
          <w:rFonts w:ascii="Arial" w:hAnsi="Arial" w:cs="Arial"/>
          <w:sz w:val="24"/>
          <w:szCs w:val="24"/>
        </w:rPr>
        <w:t>that result in poorer nations battling against mounting interest</w:t>
      </w:r>
      <w:r>
        <w:rPr>
          <w:rFonts w:ascii="Arial" w:hAnsi="Arial" w:cs="Arial"/>
          <w:sz w:val="24"/>
          <w:szCs w:val="24"/>
        </w:rPr>
        <w:t xml:space="preserve">, the developing world </w:t>
      </w:r>
      <w:r w:rsidR="00552D88" w:rsidRPr="00012F00">
        <w:rPr>
          <w:rFonts w:ascii="Arial" w:hAnsi="Arial" w:cs="Arial"/>
          <w:sz w:val="24"/>
          <w:szCs w:val="24"/>
        </w:rPr>
        <w:t xml:space="preserve">effectively </w:t>
      </w:r>
      <w:r w:rsidR="00DA4BC4" w:rsidRPr="00012F00">
        <w:rPr>
          <w:rFonts w:ascii="Arial" w:hAnsi="Arial" w:cs="Arial"/>
          <w:sz w:val="24"/>
          <w:szCs w:val="24"/>
        </w:rPr>
        <w:t>subsidis</w:t>
      </w:r>
      <w:r>
        <w:rPr>
          <w:rFonts w:ascii="Arial" w:hAnsi="Arial" w:cs="Arial"/>
          <w:sz w:val="24"/>
          <w:szCs w:val="24"/>
        </w:rPr>
        <w:t xml:space="preserve">ing </w:t>
      </w:r>
      <w:r w:rsidR="00DA4BC4" w:rsidRPr="00012F00">
        <w:rPr>
          <w:rFonts w:ascii="Arial" w:hAnsi="Arial" w:cs="Arial"/>
          <w:sz w:val="24"/>
          <w:szCs w:val="24"/>
        </w:rPr>
        <w:t>rich</w:t>
      </w:r>
      <w:r>
        <w:rPr>
          <w:rFonts w:ascii="Arial" w:hAnsi="Arial" w:cs="Arial"/>
          <w:sz w:val="24"/>
          <w:szCs w:val="24"/>
        </w:rPr>
        <w:t>er interests</w:t>
      </w:r>
      <w:r w:rsidR="00552D88" w:rsidRPr="00012F00">
        <w:rPr>
          <w:rFonts w:ascii="Arial" w:hAnsi="Arial" w:cs="Arial"/>
          <w:sz w:val="24"/>
          <w:szCs w:val="24"/>
        </w:rPr>
        <w:t xml:space="preserve"> </w:t>
      </w:r>
      <w:r>
        <w:rPr>
          <w:rFonts w:ascii="Arial" w:hAnsi="Arial" w:cs="Arial"/>
          <w:sz w:val="24"/>
          <w:szCs w:val="24"/>
        </w:rPr>
        <w:t xml:space="preserve">that have </w:t>
      </w:r>
      <w:r w:rsidR="00552D88" w:rsidRPr="00012F00">
        <w:rPr>
          <w:rFonts w:ascii="Arial" w:hAnsi="Arial" w:cs="Arial"/>
          <w:sz w:val="24"/>
          <w:szCs w:val="24"/>
        </w:rPr>
        <w:t>assets to spare and invest (Shah, 2007).  Eisenstein (2011) highlights how, f</w:t>
      </w:r>
      <w:r w:rsidR="00DA4BC4" w:rsidRPr="00012F00">
        <w:rPr>
          <w:rFonts w:ascii="Arial" w:hAnsi="Arial" w:cs="Arial"/>
          <w:sz w:val="24"/>
          <w:szCs w:val="24"/>
        </w:rPr>
        <w:t>or the investor</w:t>
      </w:r>
      <w:r w:rsidR="00552D88" w:rsidRPr="00012F00">
        <w:rPr>
          <w:rFonts w:ascii="Arial" w:hAnsi="Arial" w:cs="Arial"/>
          <w:sz w:val="24"/>
          <w:szCs w:val="24"/>
        </w:rPr>
        <w:t xml:space="preserve"> in the modern competitive model</w:t>
      </w:r>
      <w:r w:rsidR="00DA4BC4" w:rsidRPr="00012F00">
        <w:rPr>
          <w:rFonts w:ascii="Arial" w:hAnsi="Arial" w:cs="Arial"/>
          <w:sz w:val="24"/>
          <w:szCs w:val="24"/>
        </w:rPr>
        <w:t>, profit no longer bears the ‘history’ of social and environmental implications entailed in its generation</w:t>
      </w:r>
      <w:r>
        <w:rPr>
          <w:rFonts w:ascii="Arial" w:hAnsi="Arial" w:cs="Arial"/>
          <w:sz w:val="24"/>
          <w:szCs w:val="24"/>
        </w:rPr>
        <w:t>,</w:t>
      </w:r>
      <w:r w:rsidR="00552D88" w:rsidRPr="00012F00">
        <w:rPr>
          <w:rFonts w:ascii="Arial" w:hAnsi="Arial" w:cs="Arial"/>
          <w:sz w:val="24"/>
          <w:szCs w:val="24"/>
        </w:rPr>
        <w:t xml:space="preserve"> </w:t>
      </w:r>
      <w:r>
        <w:rPr>
          <w:rFonts w:ascii="Arial" w:hAnsi="Arial" w:cs="Arial"/>
          <w:sz w:val="24"/>
          <w:szCs w:val="24"/>
        </w:rPr>
        <w:t>with</w:t>
      </w:r>
      <w:r w:rsidR="00552D88" w:rsidRPr="00012F00">
        <w:rPr>
          <w:rFonts w:ascii="Arial" w:hAnsi="Arial" w:cs="Arial"/>
          <w:sz w:val="24"/>
          <w:szCs w:val="24"/>
        </w:rPr>
        <w:t xml:space="preserve">in an </w:t>
      </w:r>
      <w:r w:rsidR="00DA4BC4" w:rsidRPr="00012F00">
        <w:rPr>
          <w:rFonts w:ascii="Arial" w:hAnsi="Arial" w:cs="Arial"/>
          <w:sz w:val="24"/>
          <w:szCs w:val="24"/>
        </w:rPr>
        <w:t xml:space="preserve">essentially amoral market economy </w:t>
      </w:r>
      <w:r>
        <w:rPr>
          <w:rFonts w:ascii="Arial" w:hAnsi="Arial" w:cs="Arial"/>
          <w:sz w:val="24"/>
          <w:szCs w:val="24"/>
        </w:rPr>
        <w:t xml:space="preserve">only </w:t>
      </w:r>
      <w:r w:rsidR="00DA4BC4" w:rsidRPr="00012F00">
        <w:rPr>
          <w:rFonts w:ascii="Arial" w:hAnsi="Arial" w:cs="Arial"/>
          <w:sz w:val="24"/>
          <w:szCs w:val="24"/>
        </w:rPr>
        <w:t>partially constrained by regulation but still largely failing to account for its consequences for the long-term wellbeing of supporting ecosystems and distributional impacts on people.</w:t>
      </w:r>
      <w:r w:rsidR="00552D88" w:rsidRPr="00012F00">
        <w:rPr>
          <w:rFonts w:ascii="Arial" w:hAnsi="Arial" w:cs="Arial"/>
          <w:sz w:val="24"/>
          <w:szCs w:val="24"/>
        </w:rPr>
        <w:t xml:space="preserve">  </w:t>
      </w:r>
      <w:r w:rsidR="00DA4BC4" w:rsidRPr="00012F00">
        <w:rPr>
          <w:rFonts w:ascii="Arial" w:hAnsi="Arial" w:cs="Arial"/>
          <w:sz w:val="24"/>
          <w:szCs w:val="24"/>
        </w:rPr>
        <w:t xml:space="preserve">Eisenstein </w:t>
      </w:r>
      <w:r w:rsidR="00012F00" w:rsidRPr="00012F00">
        <w:rPr>
          <w:rFonts w:ascii="Arial" w:hAnsi="Arial" w:cs="Arial"/>
          <w:sz w:val="24"/>
          <w:szCs w:val="24"/>
        </w:rPr>
        <w:t xml:space="preserve">(2007) </w:t>
      </w:r>
      <w:r w:rsidR="00DA4BC4" w:rsidRPr="00012F00">
        <w:rPr>
          <w:rFonts w:ascii="Arial" w:hAnsi="Arial" w:cs="Arial"/>
          <w:sz w:val="24"/>
          <w:szCs w:val="24"/>
        </w:rPr>
        <w:t xml:space="preserve">posits a different sort of ‘sacred economics’, harking back to historic ‘gift economies’, </w:t>
      </w:r>
      <w:r w:rsidR="00DA4BC4" w:rsidRPr="00012F00">
        <w:rPr>
          <w:rFonts w:ascii="Arial" w:hAnsi="Arial" w:cs="Arial"/>
          <w:sz w:val="24"/>
          <w:szCs w:val="24"/>
        </w:rPr>
        <w:lastRenderedPageBreak/>
        <w:t>recognising how money can and should be used to help people address needs across society.  Th</w:t>
      </w:r>
      <w:r w:rsidR="00552D88" w:rsidRPr="00012F00">
        <w:rPr>
          <w:rFonts w:ascii="Arial" w:hAnsi="Arial" w:cs="Arial"/>
          <w:sz w:val="24"/>
          <w:szCs w:val="24"/>
        </w:rPr>
        <w:t>e</w:t>
      </w:r>
      <w:r w:rsidR="00DA4BC4" w:rsidRPr="00012F00">
        <w:rPr>
          <w:rFonts w:ascii="Arial" w:hAnsi="Arial" w:cs="Arial"/>
          <w:sz w:val="24"/>
          <w:szCs w:val="24"/>
        </w:rPr>
        <w:t xml:space="preserve"> ‘sacred economics’ approach </w:t>
      </w:r>
      <w:r w:rsidR="00552D88" w:rsidRPr="00012F00">
        <w:rPr>
          <w:rFonts w:ascii="Arial" w:hAnsi="Arial" w:cs="Arial"/>
          <w:sz w:val="24"/>
          <w:szCs w:val="24"/>
        </w:rPr>
        <w:t xml:space="preserve">is envisaged as </w:t>
      </w:r>
      <w:r w:rsidR="00DA4BC4" w:rsidRPr="00012F00">
        <w:rPr>
          <w:rFonts w:ascii="Arial" w:hAnsi="Arial" w:cs="Arial"/>
          <w:sz w:val="24"/>
          <w:szCs w:val="24"/>
        </w:rPr>
        <w:t xml:space="preserve">a driving force in the transition to a more connected, ecological and sustainable </w:t>
      </w:r>
      <w:r w:rsidR="00D267F1">
        <w:rPr>
          <w:rFonts w:ascii="Arial" w:hAnsi="Arial" w:cs="Arial"/>
          <w:sz w:val="24"/>
          <w:szCs w:val="24"/>
        </w:rPr>
        <w:t>model</w:t>
      </w:r>
      <w:r w:rsidR="00DA4BC4" w:rsidRPr="00012F00">
        <w:rPr>
          <w:rFonts w:ascii="Arial" w:hAnsi="Arial" w:cs="Arial"/>
          <w:sz w:val="24"/>
          <w:szCs w:val="24"/>
        </w:rPr>
        <w:t xml:space="preserve"> </w:t>
      </w:r>
      <w:r w:rsidR="00D267F1">
        <w:rPr>
          <w:rFonts w:ascii="Arial" w:hAnsi="Arial" w:cs="Arial"/>
          <w:sz w:val="24"/>
          <w:szCs w:val="24"/>
        </w:rPr>
        <w:t xml:space="preserve">in which </w:t>
      </w:r>
      <w:r w:rsidR="00DA4BC4" w:rsidRPr="00012F00">
        <w:rPr>
          <w:rFonts w:ascii="Arial" w:hAnsi="Arial" w:cs="Arial"/>
          <w:sz w:val="24"/>
          <w:szCs w:val="24"/>
        </w:rPr>
        <w:t>outcomes are measured not in terms of personal wealth accumulation</w:t>
      </w:r>
      <w:r w:rsidR="00012F00" w:rsidRPr="00012F00">
        <w:rPr>
          <w:rFonts w:ascii="Arial" w:hAnsi="Arial" w:cs="Arial"/>
          <w:sz w:val="24"/>
          <w:szCs w:val="24"/>
        </w:rPr>
        <w:t>,</w:t>
      </w:r>
      <w:r w:rsidR="00DA4BC4" w:rsidRPr="00012F00">
        <w:rPr>
          <w:rFonts w:ascii="Arial" w:hAnsi="Arial" w:cs="Arial"/>
          <w:sz w:val="24"/>
          <w:szCs w:val="24"/>
        </w:rPr>
        <w:t xml:space="preserve"> founded on little more than usury, but instead in societal enrichment and ecological resilience.</w:t>
      </w:r>
      <w:r w:rsidR="00012F00" w:rsidRPr="00012F00">
        <w:rPr>
          <w:rFonts w:ascii="Arial" w:hAnsi="Arial" w:cs="Arial"/>
          <w:sz w:val="24"/>
          <w:szCs w:val="24"/>
        </w:rPr>
        <w:t xml:space="preserve">  The idea of loans that do not repay in narrow financial terms</w:t>
      </w:r>
      <w:r w:rsidR="00D267F1">
        <w:rPr>
          <w:rFonts w:ascii="Arial" w:hAnsi="Arial" w:cs="Arial"/>
          <w:sz w:val="24"/>
          <w:szCs w:val="24"/>
        </w:rPr>
        <w:t>, or that do so only at a low rate,</w:t>
      </w:r>
      <w:r w:rsidR="00012F00" w:rsidRPr="00012F00">
        <w:rPr>
          <w:rFonts w:ascii="Arial" w:hAnsi="Arial" w:cs="Arial"/>
          <w:sz w:val="24"/>
          <w:szCs w:val="24"/>
        </w:rPr>
        <w:t xml:space="preserve"> but which generate public and ecological benefits </w:t>
      </w:r>
      <w:r w:rsidR="00D267F1">
        <w:rPr>
          <w:rFonts w:ascii="Arial" w:hAnsi="Arial" w:cs="Arial"/>
          <w:sz w:val="24"/>
          <w:szCs w:val="24"/>
        </w:rPr>
        <w:t xml:space="preserve">as priority returns </w:t>
      </w:r>
      <w:r w:rsidR="00012F00" w:rsidRPr="00012F00">
        <w:rPr>
          <w:rFonts w:ascii="Arial" w:hAnsi="Arial" w:cs="Arial"/>
          <w:sz w:val="24"/>
          <w:szCs w:val="24"/>
        </w:rPr>
        <w:t>are underpinning aspirations of the TCW programme.</w:t>
      </w:r>
      <w:r w:rsidR="00D267F1">
        <w:rPr>
          <w:rFonts w:ascii="Arial" w:hAnsi="Arial" w:cs="Arial"/>
          <w:sz w:val="24"/>
          <w:szCs w:val="24"/>
        </w:rPr>
        <w:t xml:space="preserve">  I</w:t>
      </w:r>
      <w:r w:rsidR="00012F00" w:rsidRPr="00012F00">
        <w:rPr>
          <w:rFonts w:ascii="Arial" w:hAnsi="Arial" w:cs="Arial"/>
          <w:sz w:val="24"/>
          <w:szCs w:val="24"/>
        </w:rPr>
        <w:t xml:space="preserve">n the light of the substantial, tangible and transparent contributions of the TCW programme to cost-effective carbon management, and potentially to a range of connected though currently unquantified ecosystem service co-benefits of direct relevance to addressing high-profile targets such as the UN Sustainable Development Goals, these loans are clearly far more than altruistic.  </w:t>
      </w:r>
      <w:r w:rsidR="00DA4BC4" w:rsidRPr="00012F00">
        <w:rPr>
          <w:rFonts w:ascii="Arial" w:hAnsi="Arial" w:cs="Arial"/>
          <w:sz w:val="24"/>
          <w:szCs w:val="24"/>
        </w:rPr>
        <w:t>The potential investor community</w:t>
      </w:r>
      <w:r w:rsidR="00012F00" w:rsidRPr="00012F00">
        <w:rPr>
          <w:rFonts w:ascii="Arial" w:hAnsi="Arial" w:cs="Arial"/>
          <w:sz w:val="24"/>
          <w:szCs w:val="24"/>
        </w:rPr>
        <w:t xml:space="preserve"> – corporate, government, institutional, donor, private or other – has evidence of a wide spectrum of </w:t>
      </w:r>
      <w:r w:rsidR="00D267F1">
        <w:rPr>
          <w:rFonts w:ascii="Arial" w:hAnsi="Arial" w:cs="Arial"/>
          <w:sz w:val="24"/>
          <w:szCs w:val="24"/>
        </w:rPr>
        <w:t xml:space="preserve">ecosystem service </w:t>
      </w:r>
      <w:r w:rsidR="00012F00" w:rsidRPr="00012F00">
        <w:rPr>
          <w:rFonts w:ascii="Arial" w:hAnsi="Arial" w:cs="Arial"/>
          <w:sz w:val="24"/>
          <w:szCs w:val="24"/>
        </w:rPr>
        <w:t xml:space="preserve">benefit </w:t>
      </w:r>
      <w:r w:rsidR="00012F00" w:rsidRPr="006822C5">
        <w:rPr>
          <w:rFonts w:ascii="Arial" w:hAnsi="Arial" w:cs="Arial"/>
          <w:sz w:val="24"/>
          <w:szCs w:val="24"/>
        </w:rPr>
        <w:t>delivery through this linked development-developing world partnership programme.</w:t>
      </w:r>
    </w:p>
    <w:p w14:paraId="63AF0ADD" w14:textId="77777777" w:rsidR="00012F00" w:rsidRDefault="00012F00" w:rsidP="00012F00">
      <w:pPr>
        <w:spacing w:after="0" w:line="240" w:lineRule="auto"/>
        <w:contextualSpacing/>
        <w:rPr>
          <w:rFonts w:ascii="Arial" w:hAnsi="Arial" w:cs="Arial"/>
          <w:sz w:val="24"/>
          <w:szCs w:val="24"/>
        </w:rPr>
      </w:pPr>
    </w:p>
    <w:p w14:paraId="5E1C867E" w14:textId="77777777" w:rsidR="00012F00" w:rsidRPr="006822C5" w:rsidRDefault="00012F00" w:rsidP="00012F00">
      <w:pPr>
        <w:spacing w:after="0" w:line="240" w:lineRule="auto"/>
        <w:contextualSpacing/>
        <w:rPr>
          <w:rFonts w:ascii="Arial" w:hAnsi="Arial" w:cs="Arial"/>
          <w:sz w:val="24"/>
          <w:szCs w:val="24"/>
        </w:rPr>
      </w:pPr>
    </w:p>
    <w:p w14:paraId="19ABF1B7" w14:textId="77777777" w:rsidR="008E1F93" w:rsidRPr="006822C5" w:rsidRDefault="008E1F93" w:rsidP="00012F00">
      <w:pPr>
        <w:spacing w:after="0" w:line="240" w:lineRule="auto"/>
        <w:contextualSpacing/>
        <w:rPr>
          <w:rFonts w:ascii="Arial" w:hAnsi="Arial" w:cs="Arial"/>
          <w:b/>
          <w:sz w:val="24"/>
          <w:szCs w:val="24"/>
        </w:rPr>
      </w:pPr>
      <w:r w:rsidRPr="006822C5">
        <w:rPr>
          <w:rFonts w:ascii="Arial" w:hAnsi="Arial" w:cs="Arial"/>
          <w:b/>
          <w:sz w:val="24"/>
          <w:szCs w:val="24"/>
        </w:rPr>
        <w:t>Conclusions</w:t>
      </w:r>
    </w:p>
    <w:p w14:paraId="7464B605" w14:textId="77777777" w:rsidR="008E1F93" w:rsidRPr="006822C5" w:rsidRDefault="008E1F93" w:rsidP="008E1F93">
      <w:pPr>
        <w:spacing w:after="0" w:line="240" w:lineRule="auto"/>
        <w:contextualSpacing/>
        <w:rPr>
          <w:rFonts w:ascii="Arial" w:hAnsi="Arial" w:cs="Arial"/>
          <w:sz w:val="24"/>
          <w:szCs w:val="24"/>
        </w:rPr>
      </w:pPr>
    </w:p>
    <w:p w14:paraId="53973430" w14:textId="3EC20DA5" w:rsidR="00283D52" w:rsidRPr="006634CD" w:rsidRDefault="008E1F93" w:rsidP="00DD2120">
      <w:pPr>
        <w:pStyle w:val="ListParagraph"/>
        <w:numPr>
          <w:ilvl w:val="0"/>
          <w:numId w:val="4"/>
        </w:numPr>
        <w:spacing w:after="0" w:line="240" w:lineRule="auto"/>
        <w:ind w:left="426" w:hanging="284"/>
        <w:rPr>
          <w:rFonts w:ascii="Arial" w:hAnsi="Arial" w:cs="Arial"/>
          <w:sz w:val="24"/>
          <w:szCs w:val="24"/>
        </w:rPr>
      </w:pPr>
      <w:r w:rsidRPr="006634CD">
        <w:rPr>
          <w:rFonts w:ascii="Arial" w:hAnsi="Arial" w:cs="Arial"/>
          <w:sz w:val="24"/>
          <w:szCs w:val="24"/>
        </w:rPr>
        <w:t xml:space="preserve">The </w:t>
      </w:r>
      <w:r w:rsidR="00012F00" w:rsidRPr="006634CD">
        <w:rPr>
          <w:rFonts w:ascii="Arial" w:hAnsi="Arial" w:cs="Arial"/>
          <w:sz w:val="24"/>
          <w:szCs w:val="24"/>
        </w:rPr>
        <w:t>TCW model represents a robust, cost-effective and efficient developed-developing world partnership approach to addressing global climate change goals in a mutually beneficial way between partner regions</w:t>
      </w:r>
      <w:r w:rsidR="006634CD" w:rsidRPr="006634CD">
        <w:rPr>
          <w:rFonts w:ascii="Arial" w:hAnsi="Arial" w:cs="Arial"/>
          <w:sz w:val="24"/>
          <w:szCs w:val="24"/>
        </w:rPr>
        <w:t xml:space="preserve">, incorporating a </w:t>
      </w:r>
      <w:r w:rsidR="006634CD">
        <w:rPr>
          <w:rFonts w:ascii="Arial" w:hAnsi="Arial" w:cs="Arial"/>
          <w:sz w:val="24"/>
          <w:szCs w:val="24"/>
        </w:rPr>
        <w:t>s</w:t>
      </w:r>
      <w:r w:rsidR="00283D52" w:rsidRPr="006634CD">
        <w:rPr>
          <w:rFonts w:ascii="Arial" w:hAnsi="Arial" w:cs="Arial"/>
          <w:sz w:val="24"/>
          <w:szCs w:val="24"/>
        </w:rPr>
        <w:t xml:space="preserve">ubstantial ‘multiplier effect’ </w:t>
      </w:r>
      <w:r w:rsidR="006634CD">
        <w:rPr>
          <w:rFonts w:ascii="Arial" w:hAnsi="Arial" w:cs="Arial"/>
          <w:sz w:val="24"/>
          <w:szCs w:val="24"/>
        </w:rPr>
        <w:t xml:space="preserve">through </w:t>
      </w:r>
      <w:r w:rsidR="00283D52" w:rsidRPr="006634CD">
        <w:rPr>
          <w:rFonts w:ascii="Arial" w:hAnsi="Arial" w:cs="Arial"/>
          <w:sz w:val="24"/>
          <w:szCs w:val="24"/>
        </w:rPr>
        <w:t xml:space="preserve">reinvestment of </w:t>
      </w:r>
      <w:r w:rsidR="006634CD">
        <w:rPr>
          <w:rFonts w:ascii="Arial" w:hAnsi="Arial" w:cs="Arial"/>
          <w:sz w:val="24"/>
          <w:szCs w:val="24"/>
        </w:rPr>
        <w:t xml:space="preserve">operating surpluses from </w:t>
      </w:r>
      <w:r w:rsidR="00283D52" w:rsidRPr="006634CD">
        <w:rPr>
          <w:rFonts w:ascii="Arial" w:hAnsi="Arial" w:cs="Arial"/>
          <w:sz w:val="24"/>
          <w:szCs w:val="24"/>
        </w:rPr>
        <w:t xml:space="preserve">renewable energy </w:t>
      </w:r>
      <w:r w:rsidR="006634CD">
        <w:rPr>
          <w:rFonts w:ascii="Arial" w:hAnsi="Arial" w:cs="Arial"/>
          <w:sz w:val="24"/>
          <w:szCs w:val="24"/>
        </w:rPr>
        <w:t>generated by wind turbines into restoration of tropical dry evergreen forest (TDEF)</w:t>
      </w:r>
      <w:r w:rsidR="00283D52" w:rsidRPr="006634CD">
        <w:rPr>
          <w:rFonts w:ascii="Arial" w:hAnsi="Arial" w:cs="Arial"/>
          <w:sz w:val="24"/>
          <w:szCs w:val="24"/>
        </w:rPr>
        <w:t>.</w:t>
      </w:r>
    </w:p>
    <w:p w14:paraId="6ABA0035" w14:textId="77777777" w:rsidR="00283D52" w:rsidRPr="006822C5" w:rsidRDefault="00283D52" w:rsidP="00283D52">
      <w:pPr>
        <w:pStyle w:val="ListParagraph"/>
        <w:spacing w:after="0" w:line="240" w:lineRule="auto"/>
        <w:ind w:left="426"/>
        <w:rPr>
          <w:rFonts w:ascii="Arial" w:hAnsi="Arial" w:cs="Arial"/>
          <w:sz w:val="24"/>
          <w:szCs w:val="24"/>
        </w:rPr>
      </w:pPr>
    </w:p>
    <w:p w14:paraId="1F4AB0E6" w14:textId="28933318" w:rsidR="00012F00" w:rsidRDefault="006634CD" w:rsidP="00B852C8">
      <w:pPr>
        <w:pStyle w:val="ListParagraph"/>
        <w:numPr>
          <w:ilvl w:val="0"/>
          <w:numId w:val="4"/>
        </w:numPr>
        <w:spacing w:after="0" w:line="240" w:lineRule="auto"/>
        <w:ind w:left="426" w:hanging="284"/>
        <w:rPr>
          <w:rFonts w:ascii="Arial" w:hAnsi="Arial" w:cs="Arial"/>
          <w:sz w:val="24"/>
          <w:szCs w:val="24"/>
        </w:rPr>
      </w:pPr>
      <w:r>
        <w:rPr>
          <w:rFonts w:ascii="Arial" w:hAnsi="Arial" w:cs="Arial"/>
          <w:sz w:val="24"/>
          <w:szCs w:val="24"/>
        </w:rPr>
        <w:t>The 20-year operating life of a 2.1MW wind turbine in Tamil Nadu may avert 80,000 tCO</w:t>
      </w:r>
      <w:r w:rsidRPr="006634CD">
        <w:rPr>
          <w:rFonts w:ascii="Arial" w:hAnsi="Arial" w:cs="Arial"/>
          <w:sz w:val="24"/>
          <w:szCs w:val="24"/>
          <w:vertAlign w:val="subscript"/>
        </w:rPr>
        <w:t>2</w:t>
      </w:r>
      <w:r>
        <w:rPr>
          <w:rFonts w:ascii="Arial" w:hAnsi="Arial" w:cs="Arial"/>
          <w:sz w:val="24"/>
          <w:szCs w:val="24"/>
        </w:rPr>
        <w:t>e compared to equivalent generation using India’s conventional energy mix, but annual reinvestment of £100,000 of operating surpluses into TDEF restoration can generate 123 ha of new forest sequestering 270,547,725 tCO</w:t>
      </w:r>
      <w:r w:rsidRPr="006634CD">
        <w:rPr>
          <w:rFonts w:ascii="Arial" w:hAnsi="Arial" w:cs="Arial"/>
          <w:sz w:val="24"/>
          <w:szCs w:val="24"/>
          <w:vertAlign w:val="subscript"/>
        </w:rPr>
        <w:t>2</w:t>
      </w:r>
      <w:r>
        <w:rPr>
          <w:rFonts w:ascii="Arial" w:hAnsi="Arial" w:cs="Arial"/>
          <w:sz w:val="24"/>
          <w:szCs w:val="24"/>
        </w:rPr>
        <w:t xml:space="preserve"> as it progresses to climax community</w:t>
      </w:r>
      <w:r w:rsidR="00283D52" w:rsidRPr="006822C5">
        <w:rPr>
          <w:rFonts w:ascii="Arial" w:hAnsi="Arial" w:cs="Arial"/>
          <w:sz w:val="24"/>
          <w:szCs w:val="24"/>
        </w:rPr>
        <w:t>.</w:t>
      </w:r>
      <w:r w:rsidR="009D6838">
        <w:rPr>
          <w:rFonts w:ascii="Arial" w:hAnsi="Arial" w:cs="Arial"/>
          <w:sz w:val="24"/>
          <w:szCs w:val="24"/>
        </w:rPr>
        <w:t xml:space="preserve">  Averted carbon from renewable energy sales account for just 0.03% of total CO2e averted/sequestered.</w:t>
      </w:r>
    </w:p>
    <w:p w14:paraId="107320CF" w14:textId="77777777" w:rsidR="006634CD" w:rsidRPr="006634CD" w:rsidRDefault="006634CD" w:rsidP="006634CD">
      <w:pPr>
        <w:pStyle w:val="ListParagraph"/>
        <w:rPr>
          <w:rFonts w:ascii="Arial" w:hAnsi="Arial" w:cs="Arial"/>
          <w:sz w:val="24"/>
          <w:szCs w:val="24"/>
        </w:rPr>
      </w:pPr>
    </w:p>
    <w:p w14:paraId="25CAAF47" w14:textId="77777777" w:rsidR="006634CD" w:rsidRPr="006634CD" w:rsidRDefault="006634CD" w:rsidP="006634CD">
      <w:pPr>
        <w:pStyle w:val="ListParagraph"/>
        <w:numPr>
          <w:ilvl w:val="0"/>
          <w:numId w:val="4"/>
        </w:numPr>
        <w:spacing w:after="0" w:line="240" w:lineRule="auto"/>
        <w:ind w:left="426" w:hanging="284"/>
        <w:rPr>
          <w:rFonts w:ascii="Arial" w:hAnsi="Arial" w:cs="Arial"/>
          <w:sz w:val="24"/>
          <w:szCs w:val="24"/>
        </w:rPr>
      </w:pPr>
      <w:r w:rsidRPr="006634CD">
        <w:rPr>
          <w:rFonts w:ascii="Arial" w:hAnsi="Arial" w:cs="Arial"/>
          <w:sz w:val="24"/>
          <w:szCs w:val="24"/>
        </w:rPr>
        <w:t xml:space="preserve">This represents a highly efficient means to address climate change, with a theoretical </w:t>
      </w:r>
      <w:r w:rsidRPr="006634CD">
        <w:rPr>
          <w:rFonts w:ascii="Arial" w:hAnsi="Arial" w:cs="Arial"/>
          <w:color w:val="000000" w:themeColor="text1"/>
          <w:sz w:val="24"/>
          <w:szCs w:val="24"/>
        </w:rPr>
        <w:t>cost per unit tCO</w:t>
      </w:r>
      <w:r w:rsidRPr="006634CD">
        <w:rPr>
          <w:rFonts w:ascii="Arial" w:hAnsi="Arial" w:cs="Arial"/>
          <w:color w:val="000000" w:themeColor="text1"/>
          <w:sz w:val="24"/>
          <w:szCs w:val="24"/>
          <w:vertAlign w:val="subscript"/>
        </w:rPr>
        <w:t>2</w:t>
      </w:r>
      <w:r w:rsidRPr="006634CD">
        <w:rPr>
          <w:rFonts w:ascii="Arial" w:hAnsi="Arial" w:cs="Arial"/>
          <w:color w:val="000000" w:themeColor="text1"/>
          <w:sz w:val="24"/>
          <w:szCs w:val="24"/>
        </w:rPr>
        <w:t xml:space="preserve">e sequestered/averted </w:t>
      </w:r>
      <w:r>
        <w:rPr>
          <w:rFonts w:ascii="Arial" w:hAnsi="Arial" w:cs="Arial"/>
          <w:color w:val="000000" w:themeColor="text1"/>
          <w:sz w:val="24"/>
          <w:szCs w:val="24"/>
        </w:rPr>
        <w:t xml:space="preserve">– admittedly based on sparse source data and hence with significant uncertainties – of </w:t>
      </w:r>
      <w:r w:rsidRPr="006634CD">
        <w:rPr>
          <w:rFonts w:ascii="Arial" w:hAnsi="Arial" w:cs="Arial"/>
          <w:color w:val="000000" w:themeColor="text1"/>
          <w:sz w:val="24"/>
          <w:szCs w:val="24"/>
        </w:rPr>
        <w:t>£0.0058 £ per tCO</w:t>
      </w:r>
      <w:r w:rsidRPr="006634CD">
        <w:rPr>
          <w:rFonts w:ascii="Arial" w:hAnsi="Arial" w:cs="Arial"/>
          <w:color w:val="000000" w:themeColor="text1"/>
          <w:sz w:val="24"/>
          <w:szCs w:val="24"/>
          <w:vertAlign w:val="subscript"/>
        </w:rPr>
        <w:t>2</w:t>
      </w:r>
      <w:r w:rsidRPr="006634CD">
        <w:rPr>
          <w:rFonts w:ascii="Arial" w:hAnsi="Arial" w:cs="Arial"/>
          <w:color w:val="000000" w:themeColor="text1"/>
          <w:sz w:val="24"/>
          <w:szCs w:val="24"/>
        </w:rPr>
        <w:t>e (≈ $US0.01 per tCO</w:t>
      </w:r>
      <w:r w:rsidRPr="006634CD">
        <w:rPr>
          <w:rFonts w:ascii="Arial" w:hAnsi="Arial" w:cs="Arial"/>
          <w:color w:val="000000" w:themeColor="text1"/>
          <w:sz w:val="24"/>
          <w:szCs w:val="24"/>
          <w:vertAlign w:val="subscript"/>
        </w:rPr>
        <w:t>2</w:t>
      </w:r>
      <w:r w:rsidRPr="006634CD">
        <w:rPr>
          <w:rFonts w:ascii="Arial" w:hAnsi="Arial" w:cs="Arial"/>
          <w:color w:val="000000" w:themeColor="text1"/>
          <w:sz w:val="24"/>
          <w:szCs w:val="24"/>
        </w:rPr>
        <w:t>e).</w:t>
      </w:r>
    </w:p>
    <w:p w14:paraId="4A50A50C" w14:textId="77777777" w:rsidR="006634CD" w:rsidRPr="006634CD" w:rsidRDefault="006634CD" w:rsidP="006634CD">
      <w:pPr>
        <w:pStyle w:val="ListParagraph"/>
        <w:rPr>
          <w:rFonts w:ascii="Arial" w:hAnsi="Arial" w:cs="Arial"/>
          <w:sz w:val="24"/>
          <w:szCs w:val="24"/>
        </w:rPr>
      </w:pPr>
    </w:p>
    <w:p w14:paraId="67ED2382" w14:textId="1B573B2F" w:rsidR="00907BF5" w:rsidRDefault="006634CD" w:rsidP="006634CD">
      <w:pPr>
        <w:pStyle w:val="ListParagraph"/>
        <w:numPr>
          <w:ilvl w:val="0"/>
          <w:numId w:val="4"/>
        </w:numPr>
        <w:spacing w:after="0" w:line="240" w:lineRule="auto"/>
        <w:ind w:left="426" w:hanging="284"/>
        <w:rPr>
          <w:rFonts w:ascii="Arial" w:hAnsi="Arial" w:cs="Arial"/>
          <w:sz w:val="24"/>
          <w:szCs w:val="24"/>
        </w:rPr>
      </w:pPr>
      <w:r>
        <w:rPr>
          <w:rFonts w:ascii="Arial" w:hAnsi="Arial" w:cs="Arial"/>
          <w:sz w:val="24"/>
          <w:szCs w:val="24"/>
        </w:rPr>
        <w:t xml:space="preserve">Applying these values to the English </w:t>
      </w:r>
      <w:r w:rsidRPr="006634CD">
        <w:rPr>
          <w:rFonts w:ascii="Arial" w:hAnsi="Arial" w:cs="Arial"/>
          <w:sz w:val="24"/>
          <w:szCs w:val="24"/>
        </w:rPr>
        <w:t>statutory unitary authority area of Bristol City and County of Bristol</w:t>
      </w:r>
      <w:r>
        <w:rPr>
          <w:rFonts w:ascii="Arial" w:hAnsi="Arial" w:cs="Arial"/>
          <w:sz w:val="24"/>
          <w:szCs w:val="24"/>
        </w:rPr>
        <w:t xml:space="preserve">, </w:t>
      </w:r>
      <w:r w:rsidRPr="006634CD">
        <w:rPr>
          <w:rFonts w:ascii="Arial" w:hAnsi="Arial" w:cs="Arial"/>
          <w:sz w:val="24"/>
          <w:szCs w:val="24"/>
        </w:rPr>
        <w:t xml:space="preserve">cumulative city-wide </w:t>
      </w:r>
      <w:r>
        <w:rPr>
          <w:rFonts w:ascii="Arial" w:hAnsi="Arial" w:cs="Arial"/>
          <w:sz w:val="24"/>
          <w:szCs w:val="24"/>
        </w:rPr>
        <w:t>CO</w:t>
      </w:r>
      <w:r w:rsidRPr="006634CD">
        <w:rPr>
          <w:rFonts w:ascii="Arial" w:hAnsi="Arial" w:cs="Arial"/>
          <w:sz w:val="24"/>
          <w:szCs w:val="24"/>
          <w:vertAlign w:val="subscript"/>
        </w:rPr>
        <w:t>2</w:t>
      </w:r>
      <w:r>
        <w:rPr>
          <w:rFonts w:ascii="Arial" w:hAnsi="Arial" w:cs="Arial"/>
          <w:sz w:val="24"/>
          <w:szCs w:val="24"/>
        </w:rPr>
        <w:t xml:space="preserve">e </w:t>
      </w:r>
      <w:r w:rsidRPr="006634CD">
        <w:rPr>
          <w:rFonts w:ascii="Arial" w:hAnsi="Arial" w:cs="Arial"/>
          <w:sz w:val="24"/>
          <w:szCs w:val="24"/>
        </w:rPr>
        <w:t xml:space="preserve">emissions </w:t>
      </w:r>
      <w:r>
        <w:rPr>
          <w:rFonts w:ascii="Arial" w:hAnsi="Arial" w:cs="Arial"/>
          <w:sz w:val="24"/>
          <w:szCs w:val="24"/>
        </w:rPr>
        <w:t xml:space="preserve">over the coming century, assuming unchanged population and per capita emissions, </w:t>
      </w:r>
      <w:r w:rsidRPr="006634CD">
        <w:rPr>
          <w:rFonts w:ascii="Arial" w:hAnsi="Arial" w:cs="Arial"/>
          <w:sz w:val="24"/>
          <w:szCs w:val="24"/>
        </w:rPr>
        <w:t>would total 256,550,000 tCO</w:t>
      </w:r>
      <w:r w:rsidRPr="006634CD">
        <w:rPr>
          <w:rFonts w:ascii="Arial" w:hAnsi="Arial" w:cs="Arial"/>
          <w:color w:val="000000" w:themeColor="text1"/>
          <w:sz w:val="24"/>
          <w:szCs w:val="24"/>
          <w:vertAlign w:val="subscript"/>
        </w:rPr>
        <w:t>2</w:t>
      </w:r>
      <w:r w:rsidRPr="006634CD">
        <w:rPr>
          <w:rFonts w:ascii="Arial" w:hAnsi="Arial" w:cs="Arial"/>
          <w:color w:val="000000" w:themeColor="text1"/>
          <w:sz w:val="24"/>
          <w:szCs w:val="24"/>
        </w:rPr>
        <w:t>e over a century.  In simplistic terms, this approximates to the 270,627,756 tCO</w:t>
      </w:r>
      <w:r w:rsidRPr="006634CD">
        <w:rPr>
          <w:rFonts w:ascii="Arial" w:hAnsi="Arial" w:cs="Arial"/>
          <w:color w:val="000000" w:themeColor="text1"/>
          <w:sz w:val="24"/>
          <w:szCs w:val="24"/>
          <w:vertAlign w:val="subscript"/>
        </w:rPr>
        <w:t>2</w:t>
      </w:r>
      <w:r w:rsidRPr="006634CD">
        <w:rPr>
          <w:rFonts w:ascii="Arial" w:hAnsi="Arial" w:cs="Arial"/>
          <w:color w:val="000000" w:themeColor="text1"/>
          <w:sz w:val="24"/>
          <w:szCs w:val="24"/>
        </w:rPr>
        <w:t>e l</w:t>
      </w:r>
      <w:r w:rsidRPr="006634CD">
        <w:rPr>
          <w:rFonts w:ascii="Arial" w:hAnsi="Arial" w:cs="Arial"/>
          <w:sz w:val="24"/>
          <w:szCs w:val="24"/>
        </w:rPr>
        <w:t>ifetime averted/sequestered CO</w:t>
      </w:r>
      <w:r w:rsidRPr="006634CD">
        <w:rPr>
          <w:rFonts w:ascii="Arial" w:hAnsi="Arial" w:cs="Arial"/>
          <w:sz w:val="24"/>
          <w:szCs w:val="24"/>
          <w:vertAlign w:val="subscript"/>
        </w:rPr>
        <w:t>2</w:t>
      </w:r>
      <w:r>
        <w:rPr>
          <w:rFonts w:ascii="Arial" w:hAnsi="Arial" w:cs="Arial"/>
          <w:sz w:val="24"/>
          <w:szCs w:val="24"/>
        </w:rPr>
        <w:t xml:space="preserve">e </w:t>
      </w:r>
      <w:r w:rsidRPr="006634CD">
        <w:rPr>
          <w:rFonts w:ascii="Arial" w:hAnsi="Arial" w:cs="Arial"/>
          <w:sz w:val="24"/>
          <w:szCs w:val="24"/>
        </w:rPr>
        <w:t xml:space="preserve">achieved from the sum of renewable electricity generated and annual reinvestment in TDEF eco-restoration from </w:t>
      </w:r>
      <w:r>
        <w:rPr>
          <w:rFonts w:ascii="Arial" w:hAnsi="Arial" w:cs="Arial"/>
          <w:sz w:val="24"/>
          <w:szCs w:val="24"/>
        </w:rPr>
        <w:t xml:space="preserve">a single </w:t>
      </w:r>
      <w:r w:rsidRPr="006634CD">
        <w:rPr>
          <w:rFonts w:ascii="Arial" w:hAnsi="Arial" w:cs="Arial"/>
          <w:sz w:val="24"/>
          <w:szCs w:val="24"/>
        </w:rPr>
        <w:t xml:space="preserve">2.1MW wind turbine in Tamil Nadu.  This </w:t>
      </w:r>
      <w:r w:rsidR="00907BF5">
        <w:rPr>
          <w:rFonts w:ascii="Arial" w:hAnsi="Arial" w:cs="Arial"/>
          <w:sz w:val="24"/>
          <w:szCs w:val="24"/>
        </w:rPr>
        <w:t xml:space="preserve">could represent one-off </w:t>
      </w:r>
      <w:r w:rsidRPr="006634CD">
        <w:rPr>
          <w:rFonts w:ascii="Arial" w:hAnsi="Arial" w:cs="Arial"/>
          <w:sz w:val="24"/>
          <w:szCs w:val="24"/>
        </w:rPr>
        <w:t>investment in an initial year of £3:56 for each of Bristol City’s 442,500 population.</w:t>
      </w:r>
    </w:p>
    <w:p w14:paraId="0F0B9077" w14:textId="77777777" w:rsidR="00907BF5" w:rsidRPr="00907BF5" w:rsidRDefault="00907BF5" w:rsidP="00907BF5">
      <w:pPr>
        <w:pStyle w:val="ListParagraph"/>
        <w:rPr>
          <w:rFonts w:ascii="Arial" w:hAnsi="Arial" w:cs="Arial"/>
          <w:sz w:val="24"/>
          <w:szCs w:val="24"/>
        </w:rPr>
      </w:pPr>
    </w:p>
    <w:p w14:paraId="2732141B" w14:textId="2519C2DF" w:rsidR="009D6838" w:rsidRDefault="00907BF5" w:rsidP="006634CD">
      <w:pPr>
        <w:pStyle w:val="ListParagraph"/>
        <w:numPr>
          <w:ilvl w:val="0"/>
          <w:numId w:val="4"/>
        </w:numPr>
        <w:spacing w:after="0" w:line="240" w:lineRule="auto"/>
        <w:ind w:left="426" w:hanging="284"/>
        <w:rPr>
          <w:rFonts w:ascii="Arial" w:hAnsi="Arial" w:cs="Arial"/>
          <w:sz w:val="24"/>
          <w:szCs w:val="24"/>
        </w:rPr>
      </w:pPr>
      <w:r w:rsidRPr="00E46A67">
        <w:rPr>
          <w:rFonts w:ascii="Arial" w:hAnsi="Arial" w:cs="Arial"/>
          <w:sz w:val="24"/>
          <w:szCs w:val="24"/>
        </w:rPr>
        <w:lastRenderedPageBreak/>
        <w:t xml:space="preserve">Similar </w:t>
      </w:r>
      <w:r w:rsidR="00E46A67" w:rsidRPr="00E46A67">
        <w:rPr>
          <w:rFonts w:ascii="Arial" w:hAnsi="Arial" w:cs="Arial"/>
          <w:sz w:val="24"/>
          <w:szCs w:val="24"/>
        </w:rPr>
        <w:t xml:space="preserve">calculation apply at </w:t>
      </w:r>
      <w:r w:rsidR="00E46A67">
        <w:rPr>
          <w:rFonts w:ascii="Arial" w:hAnsi="Arial" w:cs="Arial"/>
          <w:sz w:val="24"/>
          <w:szCs w:val="24"/>
        </w:rPr>
        <w:t>i</w:t>
      </w:r>
      <w:r w:rsidR="006634CD" w:rsidRPr="00E46A67">
        <w:rPr>
          <w:rFonts w:ascii="Arial" w:hAnsi="Arial" w:cs="Arial"/>
          <w:sz w:val="24"/>
          <w:szCs w:val="24"/>
        </w:rPr>
        <w:t>nstitutional level</w:t>
      </w:r>
      <w:r w:rsidR="00E46A67">
        <w:rPr>
          <w:rFonts w:ascii="Arial" w:hAnsi="Arial" w:cs="Arial"/>
          <w:sz w:val="24"/>
          <w:szCs w:val="24"/>
        </w:rPr>
        <w:t>.  T</w:t>
      </w:r>
      <w:r w:rsidR="006634CD" w:rsidRPr="00E46A67">
        <w:rPr>
          <w:rFonts w:ascii="Arial" w:hAnsi="Arial" w:cs="Arial"/>
          <w:sz w:val="24"/>
          <w:szCs w:val="24"/>
        </w:rPr>
        <w:t xml:space="preserve">he University of the West of England (UWE), a </w:t>
      </w:r>
      <w:r w:rsidR="003511E3">
        <w:rPr>
          <w:rFonts w:ascii="Arial" w:hAnsi="Arial" w:cs="Arial"/>
          <w:sz w:val="24"/>
          <w:szCs w:val="24"/>
        </w:rPr>
        <w:t>higher</w:t>
      </w:r>
      <w:r w:rsidR="006634CD" w:rsidRPr="00E46A67">
        <w:rPr>
          <w:rFonts w:ascii="Arial" w:hAnsi="Arial" w:cs="Arial"/>
          <w:sz w:val="24"/>
          <w:szCs w:val="24"/>
        </w:rPr>
        <w:t xml:space="preserve"> education institution based in Bristol</w:t>
      </w:r>
      <w:r w:rsidR="00E46A67">
        <w:rPr>
          <w:rFonts w:ascii="Arial" w:hAnsi="Arial" w:cs="Arial"/>
          <w:sz w:val="24"/>
          <w:szCs w:val="24"/>
        </w:rPr>
        <w:t xml:space="preserve"> with </w:t>
      </w:r>
      <w:r w:rsidR="00E46A67" w:rsidRPr="00E46A67">
        <w:rPr>
          <w:rFonts w:ascii="Arial" w:hAnsi="Arial" w:cs="Arial"/>
          <w:sz w:val="24"/>
          <w:szCs w:val="24"/>
        </w:rPr>
        <w:t>published CO</w:t>
      </w:r>
      <w:r w:rsidR="00E46A67" w:rsidRPr="00E46A67">
        <w:rPr>
          <w:rFonts w:ascii="Arial" w:hAnsi="Arial" w:cs="Arial"/>
          <w:sz w:val="24"/>
          <w:szCs w:val="24"/>
          <w:vertAlign w:val="subscript"/>
        </w:rPr>
        <w:t>2</w:t>
      </w:r>
      <w:r w:rsidR="00E46A67" w:rsidRPr="00E46A67">
        <w:rPr>
          <w:rFonts w:ascii="Arial" w:hAnsi="Arial" w:cs="Arial"/>
          <w:sz w:val="24"/>
          <w:szCs w:val="24"/>
        </w:rPr>
        <w:t>e emissions</w:t>
      </w:r>
      <w:r w:rsidR="00E46A67">
        <w:rPr>
          <w:rFonts w:ascii="Arial" w:hAnsi="Arial" w:cs="Arial"/>
          <w:sz w:val="24"/>
          <w:szCs w:val="24"/>
        </w:rPr>
        <w:t xml:space="preserve">, is used as a case study of an </w:t>
      </w:r>
      <w:r w:rsidR="00E46A67" w:rsidRPr="00E46A67">
        <w:rPr>
          <w:rFonts w:ascii="Arial" w:hAnsi="Arial" w:cs="Arial"/>
          <w:sz w:val="24"/>
          <w:szCs w:val="24"/>
        </w:rPr>
        <w:t xml:space="preserve">institution </w:t>
      </w:r>
      <w:r w:rsidR="00E46A67">
        <w:rPr>
          <w:rFonts w:ascii="Arial" w:hAnsi="Arial" w:cs="Arial"/>
          <w:sz w:val="24"/>
          <w:szCs w:val="24"/>
        </w:rPr>
        <w:t xml:space="preserve">with carbon management commitments </w:t>
      </w:r>
      <w:r w:rsidR="00E46A67" w:rsidRPr="00E46A67">
        <w:rPr>
          <w:rFonts w:ascii="Arial" w:hAnsi="Arial" w:cs="Arial"/>
          <w:sz w:val="24"/>
          <w:szCs w:val="24"/>
        </w:rPr>
        <w:t xml:space="preserve">as </w:t>
      </w:r>
      <w:r w:rsidR="00E46A67">
        <w:rPr>
          <w:rFonts w:ascii="Arial" w:hAnsi="Arial" w:cs="Arial"/>
          <w:sz w:val="24"/>
          <w:szCs w:val="24"/>
        </w:rPr>
        <w:t xml:space="preserve">a </w:t>
      </w:r>
      <w:r w:rsidR="00E46A67" w:rsidRPr="00E46A67">
        <w:rPr>
          <w:rFonts w:ascii="Arial" w:hAnsi="Arial" w:cs="Arial"/>
          <w:sz w:val="24"/>
          <w:szCs w:val="24"/>
        </w:rPr>
        <w:t>large emitter of climate-active gases</w:t>
      </w:r>
      <w:r w:rsidR="009D6838">
        <w:rPr>
          <w:rFonts w:ascii="Arial" w:hAnsi="Arial" w:cs="Arial"/>
          <w:sz w:val="24"/>
          <w:szCs w:val="24"/>
        </w:rPr>
        <w:t xml:space="preserve">.  </w:t>
      </w:r>
      <w:r w:rsidR="006634CD" w:rsidRPr="00E46A67">
        <w:rPr>
          <w:rFonts w:ascii="Arial" w:hAnsi="Arial" w:cs="Arial"/>
          <w:sz w:val="24"/>
          <w:szCs w:val="24"/>
        </w:rPr>
        <w:t xml:space="preserve">Overlooking likely fluctuations in numbers of people and per capita emissions relative to 2014/15 data, cumulative UWE emissions of over a century would equal approximately 8 million </w:t>
      </w:r>
      <w:r w:rsidR="006634CD" w:rsidRPr="00E46A67">
        <w:rPr>
          <w:rFonts w:ascii="Arial" w:hAnsi="Arial" w:cs="Arial"/>
          <w:bCs/>
          <w:sz w:val="24"/>
          <w:szCs w:val="24"/>
        </w:rPr>
        <w:t>tCO</w:t>
      </w:r>
      <w:r w:rsidR="006634CD" w:rsidRPr="00E46A67">
        <w:rPr>
          <w:rFonts w:ascii="Arial" w:hAnsi="Arial" w:cs="Arial"/>
          <w:bCs/>
          <w:sz w:val="24"/>
          <w:szCs w:val="24"/>
          <w:vertAlign w:val="subscript"/>
        </w:rPr>
        <w:t>2</w:t>
      </w:r>
      <w:r w:rsidR="006634CD" w:rsidRPr="00E46A67">
        <w:rPr>
          <w:rFonts w:ascii="Arial" w:hAnsi="Arial" w:cs="Arial"/>
          <w:sz w:val="24"/>
          <w:szCs w:val="24"/>
        </w:rPr>
        <w:t>e</w:t>
      </w:r>
      <w:r w:rsidR="009D6838">
        <w:rPr>
          <w:rFonts w:ascii="Arial" w:hAnsi="Arial" w:cs="Arial"/>
          <w:sz w:val="24"/>
          <w:szCs w:val="24"/>
        </w:rPr>
        <w:t xml:space="preserve">, which could be matched </w:t>
      </w:r>
      <w:r w:rsidR="006634CD" w:rsidRPr="00E46A67">
        <w:rPr>
          <w:rFonts w:ascii="Arial" w:hAnsi="Arial" w:cs="Arial"/>
          <w:sz w:val="24"/>
          <w:szCs w:val="24"/>
        </w:rPr>
        <w:t>by an up-front investment of approximately £47,000 represent</w:t>
      </w:r>
      <w:r w:rsidR="009D6838">
        <w:rPr>
          <w:rFonts w:ascii="Arial" w:hAnsi="Arial" w:cs="Arial"/>
          <w:sz w:val="24"/>
          <w:szCs w:val="24"/>
        </w:rPr>
        <w:t xml:space="preserve">ing </w:t>
      </w:r>
      <w:r w:rsidR="006634CD" w:rsidRPr="00E46A67">
        <w:rPr>
          <w:rFonts w:ascii="Arial" w:hAnsi="Arial" w:cs="Arial"/>
          <w:sz w:val="24"/>
          <w:szCs w:val="24"/>
        </w:rPr>
        <w:t>a 3% contribution to the £1,575,000 cost of commissioning a new 2.1MW wind turbine in Tamil Nadu</w:t>
      </w:r>
      <w:r w:rsidR="009D6838">
        <w:rPr>
          <w:rFonts w:ascii="Arial" w:hAnsi="Arial" w:cs="Arial"/>
          <w:sz w:val="24"/>
          <w:szCs w:val="24"/>
        </w:rPr>
        <w:t xml:space="preserve">.  This has </w:t>
      </w:r>
      <w:r w:rsidR="006634CD" w:rsidRPr="00E46A67">
        <w:rPr>
          <w:rFonts w:ascii="Arial" w:hAnsi="Arial" w:cs="Arial"/>
          <w:sz w:val="24"/>
          <w:szCs w:val="24"/>
        </w:rPr>
        <w:t xml:space="preserve">the added </w:t>
      </w:r>
      <w:r w:rsidR="009D6838">
        <w:rPr>
          <w:rFonts w:ascii="Arial" w:hAnsi="Arial" w:cs="Arial"/>
          <w:sz w:val="24"/>
          <w:szCs w:val="24"/>
        </w:rPr>
        <w:t xml:space="preserve">management </w:t>
      </w:r>
      <w:r w:rsidR="006634CD" w:rsidRPr="00E46A67">
        <w:rPr>
          <w:rFonts w:ascii="Arial" w:hAnsi="Arial" w:cs="Arial"/>
          <w:sz w:val="24"/>
          <w:szCs w:val="24"/>
        </w:rPr>
        <w:t xml:space="preserve">advantage of </w:t>
      </w:r>
      <w:r w:rsidR="009D6838">
        <w:rPr>
          <w:rFonts w:ascii="Arial" w:hAnsi="Arial" w:cs="Arial"/>
          <w:sz w:val="24"/>
          <w:szCs w:val="24"/>
        </w:rPr>
        <w:t xml:space="preserve">being </w:t>
      </w:r>
      <w:r w:rsidR="006634CD" w:rsidRPr="00E46A67">
        <w:rPr>
          <w:rFonts w:ascii="Arial" w:hAnsi="Arial" w:cs="Arial"/>
          <w:sz w:val="24"/>
          <w:szCs w:val="24"/>
        </w:rPr>
        <w:t>a one-off</w:t>
      </w:r>
      <w:r w:rsidR="009D6838">
        <w:rPr>
          <w:rFonts w:ascii="Arial" w:hAnsi="Arial" w:cs="Arial"/>
          <w:sz w:val="24"/>
          <w:szCs w:val="24"/>
        </w:rPr>
        <w:t>,</w:t>
      </w:r>
      <w:r w:rsidR="006634CD" w:rsidRPr="00E46A67">
        <w:rPr>
          <w:rFonts w:ascii="Arial" w:hAnsi="Arial" w:cs="Arial"/>
          <w:sz w:val="24"/>
          <w:szCs w:val="24"/>
        </w:rPr>
        <w:t xml:space="preserve"> up-front payment rather than a recurring annual charge.</w:t>
      </w:r>
    </w:p>
    <w:p w14:paraId="1A2F1B94" w14:textId="77777777" w:rsidR="009D6838" w:rsidRPr="009D6838" w:rsidRDefault="009D6838" w:rsidP="009D6838">
      <w:pPr>
        <w:pStyle w:val="ListParagraph"/>
        <w:rPr>
          <w:rFonts w:ascii="Arial" w:hAnsi="Arial" w:cs="Arial"/>
          <w:sz w:val="24"/>
          <w:szCs w:val="24"/>
        </w:rPr>
      </w:pPr>
    </w:p>
    <w:p w14:paraId="236D6FC9" w14:textId="77777777" w:rsidR="009D6838" w:rsidRDefault="009D6838" w:rsidP="006634CD">
      <w:pPr>
        <w:pStyle w:val="ListParagraph"/>
        <w:numPr>
          <w:ilvl w:val="0"/>
          <w:numId w:val="4"/>
        </w:numPr>
        <w:spacing w:after="0" w:line="240" w:lineRule="auto"/>
        <w:ind w:left="426" w:hanging="284"/>
        <w:rPr>
          <w:rFonts w:ascii="Arial" w:hAnsi="Arial" w:cs="Arial"/>
          <w:sz w:val="24"/>
          <w:szCs w:val="24"/>
        </w:rPr>
      </w:pPr>
      <w:r w:rsidRPr="009D6838">
        <w:rPr>
          <w:rFonts w:ascii="Arial" w:hAnsi="Arial" w:cs="Arial"/>
          <w:sz w:val="24"/>
          <w:szCs w:val="24"/>
        </w:rPr>
        <w:t xml:space="preserve">These </w:t>
      </w:r>
      <w:r>
        <w:rPr>
          <w:rFonts w:ascii="Arial" w:hAnsi="Arial" w:cs="Arial"/>
          <w:sz w:val="24"/>
          <w:szCs w:val="24"/>
        </w:rPr>
        <w:t xml:space="preserve">illustrative </w:t>
      </w:r>
      <w:r w:rsidR="006634CD" w:rsidRPr="009D6838">
        <w:rPr>
          <w:rFonts w:ascii="Arial" w:hAnsi="Arial" w:cs="Arial"/>
          <w:sz w:val="24"/>
          <w:szCs w:val="24"/>
        </w:rPr>
        <w:t>financial values</w:t>
      </w:r>
      <w:r>
        <w:rPr>
          <w:rFonts w:ascii="Arial" w:hAnsi="Arial" w:cs="Arial"/>
          <w:sz w:val="24"/>
          <w:szCs w:val="24"/>
        </w:rPr>
        <w:t xml:space="preserve"> </w:t>
      </w:r>
      <w:r w:rsidR="006634CD" w:rsidRPr="009D6838">
        <w:rPr>
          <w:rFonts w:ascii="Arial" w:hAnsi="Arial" w:cs="Arial"/>
          <w:sz w:val="24"/>
          <w:szCs w:val="24"/>
        </w:rPr>
        <w:t xml:space="preserve">relate </w:t>
      </w:r>
      <w:r>
        <w:rPr>
          <w:rFonts w:ascii="Arial" w:hAnsi="Arial" w:cs="Arial"/>
          <w:sz w:val="24"/>
          <w:szCs w:val="24"/>
        </w:rPr>
        <w:t xml:space="preserve">only </w:t>
      </w:r>
      <w:r w:rsidR="006634CD" w:rsidRPr="009D6838">
        <w:rPr>
          <w:rFonts w:ascii="Arial" w:hAnsi="Arial" w:cs="Arial"/>
          <w:sz w:val="24"/>
          <w:szCs w:val="24"/>
        </w:rPr>
        <w:t xml:space="preserve">to the ‘anchor service’ of global climate regulation.  </w:t>
      </w:r>
      <w:r>
        <w:rPr>
          <w:rFonts w:ascii="Arial" w:hAnsi="Arial" w:cs="Arial"/>
          <w:sz w:val="24"/>
          <w:szCs w:val="24"/>
        </w:rPr>
        <w:t>However, t</w:t>
      </w:r>
      <w:r w:rsidR="006634CD" w:rsidRPr="009D6838">
        <w:rPr>
          <w:rFonts w:ascii="Arial" w:hAnsi="Arial" w:cs="Arial"/>
          <w:sz w:val="24"/>
          <w:szCs w:val="24"/>
        </w:rPr>
        <w:t xml:space="preserve">he </w:t>
      </w:r>
      <w:r>
        <w:rPr>
          <w:rFonts w:ascii="Arial" w:hAnsi="Arial" w:cs="Arial"/>
          <w:sz w:val="24"/>
          <w:szCs w:val="24"/>
        </w:rPr>
        <w:t xml:space="preserve">diverse </w:t>
      </w:r>
      <w:r w:rsidR="006634CD" w:rsidRPr="009D6838">
        <w:rPr>
          <w:rFonts w:ascii="Arial" w:hAnsi="Arial" w:cs="Arial"/>
          <w:sz w:val="24"/>
          <w:szCs w:val="24"/>
        </w:rPr>
        <w:t>linked set of c</w:t>
      </w:r>
      <w:r>
        <w:rPr>
          <w:rFonts w:ascii="Arial" w:hAnsi="Arial" w:cs="Arial"/>
          <w:sz w:val="24"/>
          <w:szCs w:val="24"/>
        </w:rPr>
        <w:t xml:space="preserve">o-beneficial ecosystem services, principally from TDEF restoration, are </w:t>
      </w:r>
      <w:r w:rsidR="006634CD" w:rsidRPr="009D6838">
        <w:rPr>
          <w:rFonts w:ascii="Arial" w:hAnsi="Arial" w:cs="Arial"/>
          <w:sz w:val="24"/>
          <w:szCs w:val="24"/>
        </w:rPr>
        <w:t>significant for a range of stakeholder groups</w:t>
      </w:r>
      <w:r>
        <w:rPr>
          <w:rFonts w:ascii="Arial" w:hAnsi="Arial" w:cs="Arial"/>
          <w:sz w:val="24"/>
          <w:szCs w:val="24"/>
        </w:rPr>
        <w:t xml:space="preserve"> and also make </w:t>
      </w:r>
      <w:r w:rsidR="006634CD" w:rsidRPr="009D6838">
        <w:rPr>
          <w:rFonts w:ascii="Arial" w:hAnsi="Arial" w:cs="Arial"/>
          <w:sz w:val="24"/>
          <w:szCs w:val="24"/>
        </w:rPr>
        <w:t xml:space="preserve">contributions to addressing all 17 of the UN Sustainable Development Goals.  </w:t>
      </w:r>
      <w:r>
        <w:rPr>
          <w:rFonts w:ascii="Arial" w:hAnsi="Arial" w:cs="Arial"/>
          <w:sz w:val="24"/>
          <w:szCs w:val="24"/>
        </w:rPr>
        <w:t>As l</w:t>
      </w:r>
      <w:r w:rsidR="006634CD" w:rsidRPr="009D6838">
        <w:rPr>
          <w:rFonts w:ascii="Arial" w:hAnsi="Arial" w:cs="Arial"/>
          <w:sz w:val="24"/>
          <w:szCs w:val="24"/>
        </w:rPr>
        <w:t>ocal communities are active participants in and managers of ecosystems and their capacities to deliver services</w:t>
      </w:r>
      <w:r>
        <w:rPr>
          <w:rFonts w:ascii="Arial" w:hAnsi="Arial" w:cs="Arial"/>
          <w:sz w:val="24"/>
          <w:szCs w:val="24"/>
        </w:rPr>
        <w:t xml:space="preserve"> within </w:t>
      </w:r>
      <w:r w:rsidR="006634CD" w:rsidRPr="009D6838">
        <w:rPr>
          <w:rFonts w:ascii="Arial" w:hAnsi="Arial" w:cs="Arial"/>
          <w:sz w:val="24"/>
          <w:szCs w:val="24"/>
        </w:rPr>
        <w:t>‘</w:t>
      </w:r>
      <w:r>
        <w:rPr>
          <w:rFonts w:ascii="Arial" w:hAnsi="Arial" w:cs="Arial"/>
          <w:sz w:val="24"/>
          <w:szCs w:val="24"/>
        </w:rPr>
        <w:t>c</w:t>
      </w:r>
      <w:r w:rsidR="006634CD" w:rsidRPr="009D6838">
        <w:rPr>
          <w:rFonts w:ascii="Arial" w:hAnsi="Arial" w:cs="Arial"/>
          <w:sz w:val="24"/>
          <w:szCs w:val="24"/>
        </w:rPr>
        <w:t>ultural landscapes’</w:t>
      </w:r>
      <w:r>
        <w:rPr>
          <w:rFonts w:ascii="Arial" w:hAnsi="Arial" w:cs="Arial"/>
          <w:sz w:val="24"/>
          <w:szCs w:val="24"/>
        </w:rPr>
        <w:t>, f</w:t>
      </w:r>
      <w:r w:rsidR="006634CD" w:rsidRPr="009D6838">
        <w:rPr>
          <w:rFonts w:ascii="Arial" w:hAnsi="Arial" w:cs="Arial"/>
          <w:sz w:val="24"/>
          <w:szCs w:val="24"/>
        </w:rPr>
        <w:t>urther research is required to value</w:t>
      </w:r>
      <w:r>
        <w:rPr>
          <w:rFonts w:ascii="Arial" w:hAnsi="Arial" w:cs="Arial"/>
          <w:sz w:val="24"/>
          <w:szCs w:val="24"/>
        </w:rPr>
        <w:t xml:space="preserve"> </w:t>
      </w:r>
      <w:r w:rsidR="006634CD" w:rsidRPr="009D6838">
        <w:rPr>
          <w:rFonts w:ascii="Arial" w:hAnsi="Arial" w:cs="Arial"/>
          <w:sz w:val="24"/>
          <w:szCs w:val="24"/>
        </w:rPr>
        <w:t xml:space="preserve">this diversity of </w:t>
      </w:r>
      <w:r>
        <w:rPr>
          <w:rFonts w:ascii="Arial" w:hAnsi="Arial" w:cs="Arial"/>
          <w:sz w:val="24"/>
          <w:szCs w:val="24"/>
        </w:rPr>
        <w:t xml:space="preserve">societal </w:t>
      </w:r>
      <w:r w:rsidR="006634CD" w:rsidRPr="009D6838">
        <w:rPr>
          <w:rFonts w:ascii="Arial" w:hAnsi="Arial" w:cs="Arial"/>
          <w:sz w:val="24"/>
          <w:szCs w:val="24"/>
        </w:rPr>
        <w:t>co-benefits.</w:t>
      </w:r>
    </w:p>
    <w:p w14:paraId="43265A62" w14:textId="77777777" w:rsidR="009D6838" w:rsidRPr="009D6838" w:rsidRDefault="009D6838" w:rsidP="009D6838">
      <w:pPr>
        <w:pStyle w:val="ListParagraph"/>
        <w:rPr>
          <w:rFonts w:ascii="Arial" w:hAnsi="Arial" w:cs="Arial"/>
          <w:sz w:val="24"/>
          <w:szCs w:val="24"/>
        </w:rPr>
      </w:pPr>
    </w:p>
    <w:p w14:paraId="5F1679B7" w14:textId="77777777" w:rsidR="009D6838" w:rsidRDefault="006634CD" w:rsidP="006634CD">
      <w:pPr>
        <w:pStyle w:val="ListParagraph"/>
        <w:numPr>
          <w:ilvl w:val="0"/>
          <w:numId w:val="4"/>
        </w:numPr>
        <w:spacing w:after="0" w:line="240" w:lineRule="auto"/>
        <w:ind w:left="426" w:hanging="284"/>
        <w:rPr>
          <w:rFonts w:ascii="Arial" w:hAnsi="Arial" w:cs="Arial"/>
          <w:sz w:val="24"/>
          <w:szCs w:val="24"/>
        </w:rPr>
      </w:pPr>
      <w:r w:rsidRPr="009D6838">
        <w:rPr>
          <w:rFonts w:ascii="Arial" w:hAnsi="Arial" w:cs="Arial"/>
          <w:sz w:val="24"/>
          <w:szCs w:val="24"/>
        </w:rPr>
        <w:t>T</w:t>
      </w:r>
      <w:r w:rsidR="009D6838">
        <w:rPr>
          <w:rFonts w:ascii="Arial" w:hAnsi="Arial" w:cs="Arial"/>
          <w:sz w:val="24"/>
          <w:szCs w:val="24"/>
        </w:rPr>
        <w:t>DEF is just one of a range of degraded bioregional habitat types that can deliver a range of ecosystem services, including climate regulation but also significantly regenerating the water system of the Kaliveli catchment</w:t>
      </w:r>
      <w:r w:rsidRPr="009D6838">
        <w:rPr>
          <w:rFonts w:ascii="Arial" w:hAnsi="Arial" w:cs="Arial"/>
          <w:sz w:val="24"/>
          <w:szCs w:val="24"/>
        </w:rPr>
        <w:t>.</w:t>
      </w:r>
    </w:p>
    <w:p w14:paraId="7C770F2B" w14:textId="77777777" w:rsidR="009D6838" w:rsidRPr="009D6838" w:rsidRDefault="009D6838" w:rsidP="009D6838">
      <w:pPr>
        <w:pStyle w:val="ListParagraph"/>
        <w:rPr>
          <w:rFonts w:ascii="Arial" w:hAnsi="Arial" w:cs="Arial"/>
          <w:sz w:val="24"/>
          <w:szCs w:val="24"/>
        </w:rPr>
      </w:pPr>
    </w:p>
    <w:p w14:paraId="1E0C315B" w14:textId="0DD124EE" w:rsidR="008E1F93" w:rsidRPr="00ED7A84" w:rsidRDefault="006634CD" w:rsidP="00DD2120">
      <w:pPr>
        <w:pStyle w:val="ListParagraph"/>
        <w:numPr>
          <w:ilvl w:val="0"/>
          <w:numId w:val="4"/>
        </w:numPr>
        <w:spacing w:after="0" w:line="240" w:lineRule="auto"/>
        <w:ind w:left="426" w:hanging="284"/>
        <w:rPr>
          <w:rFonts w:ascii="Arial" w:hAnsi="Arial" w:cs="Arial"/>
          <w:sz w:val="24"/>
          <w:szCs w:val="24"/>
        </w:rPr>
      </w:pPr>
      <w:r w:rsidRPr="00ED7A84">
        <w:rPr>
          <w:rFonts w:ascii="Arial" w:hAnsi="Arial" w:cs="Arial"/>
          <w:sz w:val="24"/>
          <w:szCs w:val="24"/>
        </w:rPr>
        <w:t xml:space="preserve">The </w:t>
      </w:r>
      <w:r w:rsidR="009D6838" w:rsidRPr="00ED7A84">
        <w:rPr>
          <w:rFonts w:ascii="Arial" w:hAnsi="Arial" w:cs="Arial"/>
          <w:sz w:val="24"/>
          <w:szCs w:val="24"/>
        </w:rPr>
        <w:t xml:space="preserve">desired </w:t>
      </w:r>
      <w:r w:rsidRPr="00ED7A84">
        <w:rPr>
          <w:rFonts w:ascii="Arial" w:hAnsi="Arial" w:cs="Arial"/>
          <w:sz w:val="24"/>
          <w:szCs w:val="24"/>
        </w:rPr>
        <w:t xml:space="preserve">investment model, </w:t>
      </w:r>
      <w:r w:rsidR="009D6838" w:rsidRPr="00ED7A84">
        <w:rPr>
          <w:rFonts w:ascii="Arial" w:hAnsi="Arial" w:cs="Arial"/>
          <w:sz w:val="24"/>
          <w:szCs w:val="24"/>
        </w:rPr>
        <w:t>once initial traditional banking loans are repaid,</w:t>
      </w:r>
      <w:r w:rsidR="00ED7A84" w:rsidRPr="00ED7A84">
        <w:rPr>
          <w:rFonts w:ascii="Arial" w:hAnsi="Arial" w:cs="Arial"/>
          <w:sz w:val="24"/>
          <w:szCs w:val="24"/>
        </w:rPr>
        <w:t xml:space="preserve"> regards social return on investment (</w:t>
      </w:r>
      <w:r w:rsidRPr="00ED7A84">
        <w:rPr>
          <w:rFonts w:ascii="Arial" w:hAnsi="Arial" w:cs="Arial"/>
          <w:sz w:val="24"/>
          <w:szCs w:val="24"/>
        </w:rPr>
        <w:t>SROI</w:t>
      </w:r>
      <w:r w:rsidR="00ED7A84" w:rsidRPr="00ED7A84">
        <w:rPr>
          <w:rFonts w:ascii="Arial" w:hAnsi="Arial" w:cs="Arial"/>
          <w:sz w:val="24"/>
          <w:szCs w:val="24"/>
        </w:rPr>
        <w:t>) as the primary form of interest rather than the simple maximisation of financial profit to investors.</w:t>
      </w:r>
    </w:p>
    <w:p w14:paraId="54CE263B" w14:textId="77777777" w:rsidR="008E1F93" w:rsidRPr="006822C5" w:rsidRDefault="008E1F93" w:rsidP="008E1F93">
      <w:pPr>
        <w:spacing w:after="0" w:line="240" w:lineRule="auto"/>
        <w:contextualSpacing/>
        <w:rPr>
          <w:rFonts w:ascii="Arial" w:hAnsi="Arial" w:cs="Arial"/>
          <w:sz w:val="24"/>
          <w:szCs w:val="24"/>
        </w:rPr>
      </w:pPr>
    </w:p>
    <w:p w14:paraId="039D8BCA" w14:textId="77777777" w:rsidR="008E1F93" w:rsidRPr="006822C5" w:rsidRDefault="008E1F93" w:rsidP="008E1F93">
      <w:pPr>
        <w:spacing w:after="0" w:line="240" w:lineRule="auto"/>
        <w:contextualSpacing/>
        <w:rPr>
          <w:rFonts w:ascii="Arial" w:hAnsi="Arial" w:cs="Arial"/>
          <w:sz w:val="24"/>
          <w:szCs w:val="24"/>
        </w:rPr>
      </w:pPr>
    </w:p>
    <w:p w14:paraId="4E087C81" w14:textId="77777777" w:rsidR="008E1F93" w:rsidRPr="006822C5" w:rsidRDefault="008E1F93" w:rsidP="008E1F93">
      <w:pPr>
        <w:spacing w:after="0" w:line="240" w:lineRule="auto"/>
        <w:contextualSpacing/>
        <w:rPr>
          <w:rFonts w:ascii="Arial" w:hAnsi="Arial" w:cs="Arial"/>
          <w:b/>
          <w:sz w:val="24"/>
          <w:szCs w:val="24"/>
        </w:rPr>
      </w:pPr>
      <w:r w:rsidRPr="006822C5">
        <w:rPr>
          <w:rFonts w:ascii="Arial" w:hAnsi="Arial" w:cs="Arial"/>
          <w:b/>
          <w:sz w:val="24"/>
          <w:szCs w:val="24"/>
        </w:rPr>
        <w:t>Acknowledgements</w:t>
      </w:r>
    </w:p>
    <w:p w14:paraId="369D3C94" w14:textId="77777777" w:rsidR="008E1F93" w:rsidRPr="008E1F93" w:rsidRDefault="008E1F93" w:rsidP="008E1F93">
      <w:pPr>
        <w:spacing w:after="0" w:line="240" w:lineRule="auto"/>
        <w:contextualSpacing/>
        <w:rPr>
          <w:rFonts w:ascii="Arial" w:hAnsi="Arial" w:cs="Arial"/>
          <w:sz w:val="24"/>
          <w:szCs w:val="24"/>
        </w:rPr>
      </w:pPr>
    </w:p>
    <w:p w14:paraId="4929B9D4" w14:textId="04C77FE1" w:rsidR="008E1F93" w:rsidRPr="008E1F93" w:rsidRDefault="008E1F93" w:rsidP="008E1F93">
      <w:pPr>
        <w:spacing w:after="0" w:line="240" w:lineRule="auto"/>
        <w:contextualSpacing/>
        <w:rPr>
          <w:rFonts w:ascii="Arial" w:hAnsi="Arial" w:cs="Arial"/>
          <w:sz w:val="24"/>
          <w:szCs w:val="24"/>
        </w:rPr>
      </w:pPr>
      <w:r w:rsidRPr="008E1F93">
        <w:rPr>
          <w:rFonts w:ascii="Arial" w:hAnsi="Arial" w:cs="Arial"/>
          <w:sz w:val="24"/>
          <w:szCs w:val="24"/>
        </w:rPr>
        <w:t xml:space="preserve">This study was </w:t>
      </w:r>
      <w:r w:rsidR="0014464C">
        <w:rPr>
          <w:rFonts w:ascii="Arial" w:hAnsi="Arial" w:cs="Arial"/>
          <w:sz w:val="24"/>
          <w:szCs w:val="24"/>
        </w:rPr>
        <w:t xml:space="preserve">principally </w:t>
      </w:r>
      <w:r w:rsidRPr="008E1F93">
        <w:rPr>
          <w:rFonts w:ascii="Arial" w:hAnsi="Arial" w:cs="Arial"/>
          <w:sz w:val="24"/>
          <w:szCs w:val="24"/>
        </w:rPr>
        <w:t>supported by the John Pontin Trust (JPT), to which the author</w:t>
      </w:r>
      <w:r w:rsidR="00E132EA">
        <w:rPr>
          <w:rFonts w:ascii="Arial" w:hAnsi="Arial" w:cs="Arial"/>
          <w:sz w:val="24"/>
          <w:szCs w:val="24"/>
        </w:rPr>
        <w:t>s</w:t>
      </w:r>
      <w:r w:rsidRPr="008E1F93">
        <w:rPr>
          <w:rFonts w:ascii="Arial" w:hAnsi="Arial" w:cs="Arial"/>
          <w:sz w:val="24"/>
          <w:szCs w:val="24"/>
        </w:rPr>
        <w:t xml:space="preserve"> express their sincere gratitude</w:t>
      </w:r>
      <w:r w:rsidR="0014464C" w:rsidRPr="006C0242">
        <w:rPr>
          <w:rFonts w:ascii="Arial" w:hAnsi="Arial" w:cs="Arial"/>
          <w:sz w:val="24"/>
          <w:szCs w:val="24"/>
        </w:rPr>
        <w:t>.</w:t>
      </w:r>
      <w:r w:rsidR="0014464C">
        <w:rPr>
          <w:rFonts w:ascii="Arial" w:hAnsi="Arial" w:cs="Arial"/>
          <w:sz w:val="24"/>
          <w:szCs w:val="24"/>
        </w:rPr>
        <w:t xml:space="preserve">  The authors are grateful for co-funding </w:t>
      </w:r>
      <w:r w:rsidR="0014464C" w:rsidRPr="00EB747C">
        <w:rPr>
          <w:rFonts w:ascii="Arial" w:hAnsi="Arial" w:cs="Arial"/>
          <w:sz w:val="24"/>
          <w:szCs w:val="24"/>
        </w:rPr>
        <w:t>by Lloyd’s Register Foundation, a charitable foundation helping to protect life and property by supporting engineering-related education, public engagement and the application of research</w:t>
      </w:r>
      <w:r w:rsidRPr="008E1F93">
        <w:rPr>
          <w:rFonts w:ascii="Arial" w:hAnsi="Arial" w:cs="Arial"/>
          <w:sz w:val="24"/>
          <w:szCs w:val="24"/>
        </w:rPr>
        <w:t>.</w:t>
      </w:r>
    </w:p>
    <w:p w14:paraId="60CADF78" w14:textId="77777777" w:rsidR="008E1F93" w:rsidRPr="008E1F93" w:rsidRDefault="008E1F93" w:rsidP="008E1F93">
      <w:pPr>
        <w:spacing w:after="0" w:line="240" w:lineRule="auto"/>
        <w:contextualSpacing/>
        <w:rPr>
          <w:rFonts w:ascii="Arial" w:hAnsi="Arial" w:cs="Arial"/>
          <w:sz w:val="24"/>
          <w:szCs w:val="24"/>
        </w:rPr>
      </w:pPr>
    </w:p>
    <w:p w14:paraId="61EBD62F" w14:textId="77777777" w:rsidR="008E1F93" w:rsidRPr="008E1F93" w:rsidRDefault="008E1F93" w:rsidP="008E1F93">
      <w:pPr>
        <w:spacing w:after="0" w:line="240" w:lineRule="auto"/>
        <w:contextualSpacing/>
        <w:rPr>
          <w:rFonts w:ascii="Arial" w:hAnsi="Arial" w:cs="Arial"/>
          <w:sz w:val="24"/>
          <w:szCs w:val="24"/>
        </w:rPr>
      </w:pPr>
    </w:p>
    <w:p w14:paraId="2F84AFE1" w14:textId="77777777" w:rsidR="008E1F93" w:rsidRPr="008E1F93" w:rsidRDefault="008E1F93" w:rsidP="008E1F93">
      <w:pPr>
        <w:spacing w:after="0" w:line="240" w:lineRule="auto"/>
        <w:contextualSpacing/>
        <w:rPr>
          <w:rFonts w:ascii="Arial" w:hAnsi="Arial" w:cs="Arial"/>
          <w:b/>
          <w:sz w:val="24"/>
          <w:szCs w:val="24"/>
        </w:rPr>
      </w:pPr>
      <w:r w:rsidRPr="008E1F93">
        <w:rPr>
          <w:rFonts w:ascii="Arial" w:hAnsi="Arial" w:cs="Arial"/>
          <w:b/>
          <w:sz w:val="24"/>
          <w:szCs w:val="24"/>
        </w:rPr>
        <w:t>References</w:t>
      </w:r>
    </w:p>
    <w:p w14:paraId="105C064F" w14:textId="77777777" w:rsidR="008E1F93" w:rsidRPr="008E1F93" w:rsidRDefault="008E1F93" w:rsidP="008E1F93">
      <w:pPr>
        <w:spacing w:after="0" w:line="240" w:lineRule="auto"/>
        <w:contextualSpacing/>
        <w:rPr>
          <w:rFonts w:ascii="Arial" w:hAnsi="Arial" w:cs="Arial"/>
          <w:sz w:val="24"/>
          <w:szCs w:val="24"/>
        </w:rPr>
      </w:pPr>
    </w:p>
    <w:p w14:paraId="6BC84D00" w14:textId="77777777" w:rsidR="005A4EBA" w:rsidRPr="0032381A" w:rsidRDefault="005A4EBA" w:rsidP="005A4EBA">
      <w:pPr>
        <w:spacing w:after="0" w:line="240" w:lineRule="auto"/>
        <w:rPr>
          <w:rFonts w:ascii="Arial" w:hAnsi="Arial" w:cs="Arial"/>
          <w:sz w:val="24"/>
          <w:szCs w:val="24"/>
        </w:rPr>
      </w:pPr>
      <w:r w:rsidRPr="0032381A">
        <w:rPr>
          <w:rFonts w:ascii="Arial" w:hAnsi="Arial" w:cs="Arial"/>
          <w:sz w:val="24"/>
          <w:szCs w:val="24"/>
        </w:rPr>
        <w:t xml:space="preserve">Antrop, M. (1997). The concept of traditional landscapes as a base for landscape evaluation and planning: the example of Flanders Region. </w:t>
      </w:r>
      <w:r w:rsidRPr="0032381A">
        <w:rPr>
          <w:rFonts w:ascii="Arial" w:hAnsi="Arial" w:cs="Arial"/>
          <w:i/>
          <w:sz w:val="24"/>
          <w:szCs w:val="24"/>
        </w:rPr>
        <w:t>Landscape and Urban Planning</w:t>
      </w:r>
      <w:r w:rsidRPr="0032381A">
        <w:rPr>
          <w:rFonts w:ascii="Arial" w:hAnsi="Arial" w:cs="Arial"/>
          <w:sz w:val="24"/>
          <w:szCs w:val="24"/>
        </w:rPr>
        <w:t>, 38, pp.105-117.</w:t>
      </w:r>
    </w:p>
    <w:p w14:paraId="7E3EF35B" w14:textId="77777777" w:rsidR="005A4EBA" w:rsidRDefault="005A4EBA" w:rsidP="005A4EBA">
      <w:pPr>
        <w:spacing w:after="0" w:line="240" w:lineRule="auto"/>
        <w:rPr>
          <w:rFonts w:ascii="Arial" w:hAnsi="Arial" w:cs="Arial"/>
          <w:sz w:val="24"/>
          <w:szCs w:val="24"/>
        </w:rPr>
      </w:pPr>
    </w:p>
    <w:p w14:paraId="500ADBB9" w14:textId="77777777" w:rsidR="005A4EBA" w:rsidRPr="0032381A" w:rsidRDefault="005A4EBA" w:rsidP="005A4EBA">
      <w:pPr>
        <w:spacing w:after="0" w:line="240" w:lineRule="auto"/>
        <w:rPr>
          <w:rFonts w:ascii="Arial" w:hAnsi="Arial" w:cs="Arial"/>
          <w:sz w:val="24"/>
          <w:szCs w:val="24"/>
        </w:rPr>
      </w:pPr>
      <w:r w:rsidRPr="0032381A">
        <w:rPr>
          <w:rFonts w:ascii="Arial" w:hAnsi="Arial" w:cs="Arial"/>
          <w:sz w:val="24"/>
          <w:szCs w:val="24"/>
        </w:rPr>
        <w:t xml:space="preserve">Antrop, M. (2005). Why landscapes of the past are important for the future. </w:t>
      </w:r>
      <w:r w:rsidRPr="0032381A">
        <w:rPr>
          <w:rFonts w:ascii="Arial" w:hAnsi="Arial" w:cs="Arial"/>
          <w:i/>
          <w:sz w:val="24"/>
          <w:szCs w:val="24"/>
        </w:rPr>
        <w:t>Landscape and Urban Planning</w:t>
      </w:r>
      <w:r w:rsidRPr="0032381A">
        <w:rPr>
          <w:rFonts w:ascii="Arial" w:hAnsi="Arial" w:cs="Arial"/>
          <w:sz w:val="24"/>
          <w:szCs w:val="24"/>
        </w:rPr>
        <w:t>, 70(1-2), pp.21-34.</w:t>
      </w:r>
    </w:p>
    <w:p w14:paraId="4B9C372D" w14:textId="77777777" w:rsidR="005A4EBA" w:rsidRPr="006822C5" w:rsidRDefault="005A4EBA" w:rsidP="005A4EBA">
      <w:pPr>
        <w:spacing w:after="0" w:line="240" w:lineRule="auto"/>
        <w:rPr>
          <w:rFonts w:ascii="Arial" w:hAnsi="Arial" w:cs="Arial"/>
          <w:sz w:val="24"/>
          <w:szCs w:val="24"/>
        </w:rPr>
      </w:pPr>
    </w:p>
    <w:p w14:paraId="061B0094"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lastRenderedPageBreak/>
        <w:t xml:space="preserve">Bardhan, P. (2000). Irrigation and cooperation: an empirical analysis of 48 irrigation communities in South India. </w:t>
      </w:r>
      <w:r w:rsidRPr="006822C5">
        <w:rPr>
          <w:rFonts w:ascii="Arial" w:hAnsi="Arial" w:cs="Arial"/>
          <w:i/>
          <w:sz w:val="24"/>
          <w:szCs w:val="24"/>
        </w:rPr>
        <w:t>Economic Development and Cultural Change</w:t>
      </w:r>
      <w:r w:rsidRPr="006822C5">
        <w:rPr>
          <w:rFonts w:ascii="Arial" w:hAnsi="Arial" w:cs="Arial"/>
          <w:sz w:val="24"/>
          <w:szCs w:val="24"/>
        </w:rPr>
        <w:t>, 48(4), 847-65.</w:t>
      </w:r>
    </w:p>
    <w:p w14:paraId="54F1D673" w14:textId="77777777" w:rsidR="008E1F93" w:rsidRPr="006822C5" w:rsidRDefault="008E1F93" w:rsidP="008E1F93">
      <w:pPr>
        <w:spacing w:after="0" w:line="240" w:lineRule="auto"/>
        <w:contextualSpacing/>
        <w:rPr>
          <w:rFonts w:ascii="Arial" w:hAnsi="Arial" w:cs="Arial"/>
          <w:sz w:val="24"/>
          <w:szCs w:val="24"/>
        </w:rPr>
      </w:pPr>
    </w:p>
    <w:p w14:paraId="006672D3" w14:textId="77777777" w:rsidR="00BD33CA" w:rsidRPr="006822C5" w:rsidRDefault="00BD33CA" w:rsidP="00BD33CA">
      <w:pPr>
        <w:spacing w:after="0" w:line="240" w:lineRule="auto"/>
        <w:contextualSpacing/>
        <w:rPr>
          <w:rFonts w:ascii="Arial" w:hAnsi="Arial" w:cs="Arial"/>
          <w:sz w:val="24"/>
          <w:szCs w:val="24"/>
        </w:rPr>
      </w:pPr>
      <w:r w:rsidRPr="00BD33CA">
        <w:rPr>
          <w:rFonts w:ascii="Arial" w:hAnsi="Arial" w:cs="Arial"/>
          <w:sz w:val="24"/>
          <w:szCs w:val="24"/>
        </w:rPr>
        <w:t>Bristol City Council</w:t>
      </w:r>
      <w:r>
        <w:rPr>
          <w:rFonts w:ascii="Arial" w:hAnsi="Arial" w:cs="Arial"/>
          <w:sz w:val="24"/>
          <w:szCs w:val="24"/>
        </w:rPr>
        <w:t>. (</w:t>
      </w:r>
      <w:r w:rsidRPr="00BD33CA">
        <w:rPr>
          <w:rFonts w:ascii="Arial" w:hAnsi="Arial" w:cs="Arial"/>
          <w:sz w:val="24"/>
          <w:szCs w:val="24"/>
        </w:rPr>
        <w:t>2016</w:t>
      </w:r>
      <w:r>
        <w:rPr>
          <w:rFonts w:ascii="Arial" w:hAnsi="Arial" w:cs="Arial"/>
          <w:sz w:val="24"/>
          <w:szCs w:val="24"/>
        </w:rPr>
        <w:t>a</w:t>
      </w:r>
      <w:r w:rsidRPr="00BD33CA">
        <w:rPr>
          <w:rFonts w:ascii="Arial" w:hAnsi="Arial" w:cs="Arial"/>
          <w:sz w:val="24"/>
          <w:szCs w:val="24"/>
        </w:rPr>
        <w:t xml:space="preserve">). </w:t>
      </w:r>
      <w:r w:rsidRPr="00BD33CA">
        <w:rPr>
          <w:rFonts w:ascii="Arial" w:hAnsi="Arial" w:cs="Arial"/>
          <w:i/>
          <w:sz w:val="24"/>
          <w:szCs w:val="24"/>
        </w:rPr>
        <w:t>The population of Bristol</w:t>
      </w:r>
      <w:r>
        <w:rPr>
          <w:rFonts w:ascii="Arial" w:hAnsi="Arial" w:cs="Arial"/>
          <w:sz w:val="24"/>
          <w:szCs w:val="24"/>
        </w:rPr>
        <w:t>. Bristol City Council. (</w:t>
      </w:r>
      <w:hyperlink r:id="rId10" w:history="1">
        <w:r w:rsidRPr="004A1B51">
          <w:rPr>
            <w:rStyle w:val="Hyperlink"/>
            <w:rFonts w:ascii="Arial" w:hAnsi="Arial" w:cs="Arial"/>
            <w:sz w:val="24"/>
            <w:szCs w:val="24"/>
          </w:rPr>
          <w:t>https://www.bristol.gov.uk/statistics-census-information/the-population-of-bristol</w:t>
        </w:r>
      </w:hyperlink>
      <w:r>
        <w:rPr>
          <w:rFonts w:ascii="Arial" w:hAnsi="Arial" w:cs="Arial"/>
          <w:sz w:val="24"/>
          <w:szCs w:val="24"/>
        </w:rPr>
        <w:t>, accessed 3</w:t>
      </w:r>
      <w:r w:rsidRPr="00BD33CA">
        <w:rPr>
          <w:rFonts w:ascii="Arial" w:hAnsi="Arial" w:cs="Arial"/>
          <w:sz w:val="24"/>
          <w:szCs w:val="24"/>
          <w:vertAlign w:val="superscript"/>
        </w:rPr>
        <w:t>rd</w:t>
      </w:r>
      <w:r>
        <w:rPr>
          <w:rFonts w:ascii="Arial" w:hAnsi="Arial" w:cs="Arial"/>
          <w:sz w:val="24"/>
          <w:szCs w:val="24"/>
        </w:rPr>
        <w:t xml:space="preserve"> February 2016.)</w:t>
      </w:r>
    </w:p>
    <w:p w14:paraId="754FC09F" w14:textId="77777777" w:rsidR="00BD33CA" w:rsidRPr="006822C5" w:rsidRDefault="00BD33CA" w:rsidP="00BD33CA">
      <w:pPr>
        <w:spacing w:after="0" w:line="240" w:lineRule="auto"/>
        <w:contextualSpacing/>
        <w:rPr>
          <w:rFonts w:ascii="Arial" w:hAnsi="Arial" w:cs="Arial"/>
          <w:sz w:val="24"/>
          <w:szCs w:val="24"/>
        </w:rPr>
      </w:pPr>
    </w:p>
    <w:p w14:paraId="17ABE4D9" w14:textId="1847B75F" w:rsidR="0041530B" w:rsidRDefault="0041530B" w:rsidP="008E1F93">
      <w:pPr>
        <w:spacing w:after="0" w:line="240" w:lineRule="auto"/>
        <w:contextualSpacing/>
        <w:rPr>
          <w:rFonts w:ascii="Arial" w:hAnsi="Arial" w:cs="Arial"/>
          <w:sz w:val="24"/>
          <w:szCs w:val="24"/>
        </w:rPr>
      </w:pPr>
      <w:r w:rsidRPr="006822C5">
        <w:rPr>
          <w:rFonts w:ascii="Arial" w:hAnsi="Arial" w:cs="Arial"/>
          <w:sz w:val="24"/>
          <w:szCs w:val="24"/>
        </w:rPr>
        <w:t>Bristol City Council. (2016</w:t>
      </w:r>
      <w:r w:rsidR="00BD33CA">
        <w:rPr>
          <w:rFonts w:ascii="Arial" w:hAnsi="Arial" w:cs="Arial"/>
          <w:sz w:val="24"/>
          <w:szCs w:val="24"/>
        </w:rPr>
        <w:t>b</w:t>
      </w:r>
      <w:r w:rsidRPr="006822C5">
        <w:rPr>
          <w:rFonts w:ascii="Arial" w:hAnsi="Arial" w:cs="Arial"/>
          <w:sz w:val="24"/>
          <w:szCs w:val="24"/>
        </w:rPr>
        <w:t xml:space="preserve">). </w:t>
      </w:r>
      <w:r w:rsidRPr="006822C5">
        <w:rPr>
          <w:rFonts w:ascii="Arial" w:hAnsi="Arial" w:cs="Arial"/>
          <w:i/>
          <w:sz w:val="24"/>
          <w:szCs w:val="24"/>
        </w:rPr>
        <w:t>Reducing the carbon emissions of the council</w:t>
      </w:r>
      <w:r w:rsidRPr="006822C5">
        <w:rPr>
          <w:rFonts w:ascii="Arial" w:hAnsi="Arial" w:cs="Arial"/>
          <w:sz w:val="24"/>
          <w:szCs w:val="24"/>
        </w:rPr>
        <w:t>. Bristol City Council. (</w:t>
      </w:r>
      <w:hyperlink r:id="rId11" w:history="1">
        <w:r w:rsidR="006822C5" w:rsidRPr="005003DA">
          <w:rPr>
            <w:rStyle w:val="Hyperlink"/>
            <w:rFonts w:ascii="Arial" w:hAnsi="Arial" w:cs="Arial"/>
            <w:sz w:val="24"/>
            <w:szCs w:val="24"/>
          </w:rPr>
          <w:t>https://www.bristol.gov.uk/policies-plans-strategies/reducing-the-carbon-emissions-of-the-council</w:t>
        </w:r>
      </w:hyperlink>
      <w:r w:rsidRPr="006822C5">
        <w:rPr>
          <w:rFonts w:ascii="Arial" w:hAnsi="Arial" w:cs="Arial"/>
          <w:sz w:val="24"/>
          <w:szCs w:val="24"/>
        </w:rPr>
        <w:t>, accessed 1</w:t>
      </w:r>
      <w:r w:rsidRPr="006822C5">
        <w:rPr>
          <w:rFonts w:ascii="Arial" w:hAnsi="Arial" w:cs="Arial"/>
          <w:sz w:val="24"/>
          <w:szCs w:val="24"/>
          <w:vertAlign w:val="superscript"/>
        </w:rPr>
        <w:t>st</w:t>
      </w:r>
      <w:r w:rsidRPr="006822C5">
        <w:rPr>
          <w:rFonts w:ascii="Arial" w:hAnsi="Arial" w:cs="Arial"/>
          <w:sz w:val="24"/>
          <w:szCs w:val="24"/>
        </w:rPr>
        <w:t xml:space="preserve"> February 2016.)</w:t>
      </w:r>
    </w:p>
    <w:p w14:paraId="31069AA5" w14:textId="77777777" w:rsidR="00BD33CA" w:rsidRDefault="00BD33CA" w:rsidP="008E1F93">
      <w:pPr>
        <w:spacing w:after="0" w:line="240" w:lineRule="auto"/>
        <w:contextualSpacing/>
        <w:rPr>
          <w:rFonts w:ascii="Arial" w:hAnsi="Arial" w:cs="Arial"/>
          <w:sz w:val="24"/>
          <w:szCs w:val="24"/>
        </w:rPr>
      </w:pPr>
    </w:p>
    <w:p w14:paraId="30E8B81C" w14:textId="4CA05FD0" w:rsidR="0096781D" w:rsidRPr="006822C5" w:rsidRDefault="0096781D" w:rsidP="0096781D">
      <w:pPr>
        <w:spacing w:after="0" w:line="240" w:lineRule="auto"/>
        <w:contextualSpacing/>
        <w:rPr>
          <w:rFonts w:ascii="Arial" w:hAnsi="Arial" w:cs="Arial"/>
          <w:sz w:val="24"/>
          <w:szCs w:val="24"/>
        </w:rPr>
      </w:pPr>
      <w:r w:rsidRPr="006822C5">
        <w:rPr>
          <w:rFonts w:ascii="Arial" w:hAnsi="Arial" w:cs="Arial"/>
          <w:sz w:val="24"/>
          <w:szCs w:val="24"/>
        </w:rPr>
        <w:t>Carbon TradeXchange (2015). The new way to trade environmental commodities. Carbon TradeXchange. (</w:t>
      </w:r>
      <w:hyperlink r:id="rId12" w:history="1">
        <w:r w:rsidR="006822C5" w:rsidRPr="005003DA">
          <w:rPr>
            <w:rStyle w:val="Hyperlink"/>
            <w:rFonts w:ascii="Arial" w:hAnsi="Arial" w:cs="Arial"/>
            <w:sz w:val="24"/>
            <w:szCs w:val="24"/>
          </w:rPr>
          <w:t>http://ctxglobal.com/</w:t>
        </w:r>
      </w:hyperlink>
      <w:r w:rsidRPr="006822C5">
        <w:rPr>
          <w:rFonts w:ascii="Arial" w:hAnsi="Arial" w:cs="Arial"/>
          <w:sz w:val="24"/>
          <w:szCs w:val="24"/>
        </w:rPr>
        <w:t>, accessed 1</w:t>
      </w:r>
      <w:r w:rsidRPr="006822C5">
        <w:rPr>
          <w:rFonts w:ascii="Arial" w:hAnsi="Arial" w:cs="Arial"/>
          <w:sz w:val="24"/>
          <w:szCs w:val="24"/>
          <w:vertAlign w:val="superscript"/>
        </w:rPr>
        <w:t>st</w:t>
      </w:r>
      <w:r w:rsidRPr="006822C5">
        <w:rPr>
          <w:rFonts w:ascii="Arial" w:hAnsi="Arial" w:cs="Arial"/>
          <w:sz w:val="24"/>
          <w:szCs w:val="24"/>
        </w:rPr>
        <w:t xml:space="preserve"> February 2016.) </w:t>
      </w:r>
    </w:p>
    <w:p w14:paraId="2FFE510F" w14:textId="77777777" w:rsidR="008E1F93" w:rsidRPr="006822C5" w:rsidRDefault="008E1F93" w:rsidP="008E1F93">
      <w:pPr>
        <w:spacing w:after="0" w:line="240" w:lineRule="auto"/>
        <w:contextualSpacing/>
        <w:rPr>
          <w:rFonts w:ascii="Arial" w:hAnsi="Arial" w:cs="Arial"/>
          <w:sz w:val="24"/>
          <w:szCs w:val="24"/>
        </w:rPr>
      </w:pPr>
    </w:p>
    <w:p w14:paraId="307C12D1" w14:textId="1B7B24D4" w:rsidR="0096781D" w:rsidRPr="006822C5" w:rsidRDefault="0096781D" w:rsidP="008E1F93">
      <w:pPr>
        <w:spacing w:after="0" w:line="240" w:lineRule="auto"/>
        <w:contextualSpacing/>
        <w:rPr>
          <w:rFonts w:ascii="Arial" w:hAnsi="Arial" w:cs="Arial"/>
          <w:sz w:val="24"/>
          <w:szCs w:val="24"/>
        </w:rPr>
      </w:pPr>
      <w:r w:rsidRPr="006822C5">
        <w:rPr>
          <w:rFonts w:ascii="Arial" w:hAnsi="Arial" w:cs="Arial"/>
          <w:sz w:val="24"/>
          <w:szCs w:val="24"/>
        </w:rPr>
        <w:t xml:space="preserve">Defra. (2007). </w:t>
      </w:r>
      <w:r w:rsidRPr="006822C5">
        <w:rPr>
          <w:rFonts w:ascii="Arial" w:hAnsi="Arial" w:cs="Arial"/>
          <w:i/>
          <w:sz w:val="24"/>
          <w:szCs w:val="24"/>
        </w:rPr>
        <w:t>The Social Cost Of Carbon And The Shadow Price Of Carbon: What They Are, And How To Use Them In Economic Appraisal In The UK</w:t>
      </w:r>
      <w:r w:rsidRPr="006822C5">
        <w:rPr>
          <w:rFonts w:ascii="Arial" w:hAnsi="Arial" w:cs="Arial"/>
          <w:sz w:val="24"/>
          <w:szCs w:val="24"/>
        </w:rPr>
        <w:t>. Economics Group, Department for Environment, Food and Rural Affairs, London. (</w:t>
      </w:r>
      <w:hyperlink r:id="rId13" w:history="1">
        <w:r w:rsidR="006822C5" w:rsidRPr="005003DA">
          <w:rPr>
            <w:rStyle w:val="Hyperlink"/>
            <w:rFonts w:ascii="Arial" w:hAnsi="Arial" w:cs="Arial"/>
            <w:sz w:val="24"/>
            <w:szCs w:val="24"/>
          </w:rPr>
          <w:t>https://www.gov.uk/government/uploads/system/uploads/attachment_data/file/243825/background.pdf</w:t>
        </w:r>
      </w:hyperlink>
      <w:r w:rsidRPr="006822C5">
        <w:rPr>
          <w:rFonts w:ascii="Arial" w:hAnsi="Arial" w:cs="Arial"/>
          <w:sz w:val="24"/>
          <w:szCs w:val="24"/>
        </w:rPr>
        <w:t>, accessed 1</w:t>
      </w:r>
      <w:r w:rsidRPr="006822C5">
        <w:rPr>
          <w:rFonts w:ascii="Arial" w:hAnsi="Arial" w:cs="Arial"/>
          <w:sz w:val="24"/>
          <w:szCs w:val="24"/>
          <w:vertAlign w:val="superscript"/>
        </w:rPr>
        <w:t>st</w:t>
      </w:r>
      <w:r w:rsidRPr="006822C5">
        <w:rPr>
          <w:rFonts w:ascii="Arial" w:hAnsi="Arial" w:cs="Arial"/>
          <w:sz w:val="24"/>
          <w:szCs w:val="24"/>
        </w:rPr>
        <w:t xml:space="preserve"> February 2016.)</w:t>
      </w:r>
    </w:p>
    <w:p w14:paraId="03E80288" w14:textId="77777777" w:rsidR="00552D88" w:rsidRPr="006822C5" w:rsidRDefault="00552D88" w:rsidP="008E1F93">
      <w:pPr>
        <w:spacing w:after="0" w:line="240" w:lineRule="auto"/>
        <w:contextualSpacing/>
        <w:rPr>
          <w:rFonts w:ascii="Arial" w:hAnsi="Arial" w:cs="Arial"/>
          <w:sz w:val="24"/>
          <w:szCs w:val="24"/>
        </w:rPr>
      </w:pPr>
    </w:p>
    <w:p w14:paraId="76B5D9F8" w14:textId="281E1673" w:rsidR="00552D88" w:rsidRPr="006822C5" w:rsidRDefault="00FF659F" w:rsidP="008E1F93">
      <w:pPr>
        <w:spacing w:after="0" w:line="240" w:lineRule="auto"/>
        <w:contextualSpacing/>
        <w:rPr>
          <w:rFonts w:ascii="Arial" w:hAnsi="Arial" w:cs="Arial"/>
          <w:sz w:val="24"/>
          <w:szCs w:val="24"/>
        </w:rPr>
      </w:pPr>
      <w:r>
        <w:rPr>
          <w:rFonts w:ascii="Arial" w:hAnsi="Arial" w:cs="Arial"/>
          <w:sz w:val="24"/>
          <w:szCs w:val="24"/>
        </w:rPr>
        <w:t>Eisenstein, C</w:t>
      </w:r>
      <w:r w:rsidR="00552D88" w:rsidRPr="006822C5">
        <w:rPr>
          <w:rFonts w:ascii="Arial" w:hAnsi="Arial" w:cs="Arial"/>
          <w:sz w:val="24"/>
          <w:szCs w:val="24"/>
        </w:rPr>
        <w:t xml:space="preserve">. (2011). </w:t>
      </w:r>
      <w:r w:rsidR="00552D88" w:rsidRPr="006822C5">
        <w:rPr>
          <w:rFonts w:ascii="Arial" w:hAnsi="Arial" w:cs="Arial"/>
          <w:i/>
          <w:sz w:val="24"/>
          <w:szCs w:val="24"/>
        </w:rPr>
        <w:t>Sacred Economics: Money, Gift, and Society in the Age of Transition</w:t>
      </w:r>
      <w:r w:rsidR="00552D88" w:rsidRPr="006822C5">
        <w:rPr>
          <w:rFonts w:ascii="Arial" w:hAnsi="Arial" w:cs="Arial"/>
          <w:sz w:val="24"/>
          <w:szCs w:val="24"/>
        </w:rPr>
        <w:t>. Evolver Editions, New York.</w:t>
      </w:r>
    </w:p>
    <w:p w14:paraId="02BE0475" w14:textId="77777777" w:rsidR="00012F00" w:rsidRPr="006822C5" w:rsidRDefault="00012F00" w:rsidP="008E1F93">
      <w:pPr>
        <w:spacing w:after="0" w:line="240" w:lineRule="auto"/>
        <w:contextualSpacing/>
        <w:rPr>
          <w:rFonts w:ascii="Arial" w:hAnsi="Arial" w:cs="Arial"/>
          <w:sz w:val="24"/>
          <w:szCs w:val="24"/>
        </w:rPr>
      </w:pPr>
    </w:p>
    <w:p w14:paraId="4EBDBE84" w14:textId="29FEA4D9" w:rsidR="00012F00" w:rsidRPr="006822C5" w:rsidRDefault="00012F00" w:rsidP="008E1F93">
      <w:pPr>
        <w:spacing w:after="0" w:line="240" w:lineRule="auto"/>
        <w:contextualSpacing/>
        <w:rPr>
          <w:rFonts w:ascii="Arial" w:hAnsi="Arial" w:cs="Arial"/>
          <w:sz w:val="24"/>
          <w:szCs w:val="24"/>
        </w:rPr>
      </w:pPr>
      <w:r w:rsidRPr="006822C5">
        <w:rPr>
          <w:rFonts w:ascii="Arial" w:hAnsi="Arial" w:cs="Arial"/>
          <w:sz w:val="24"/>
          <w:szCs w:val="24"/>
        </w:rPr>
        <w:t xml:space="preserve">Eisenstein, C. (2007). </w:t>
      </w:r>
      <w:r w:rsidRPr="006822C5">
        <w:rPr>
          <w:rFonts w:ascii="Arial" w:hAnsi="Arial" w:cs="Arial"/>
          <w:i/>
          <w:sz w:val="24"/>
          <w:szCs w:val="24"/>
        </w:rPr>
        <w:t>The Ascent of Humanity</w:t>
      </w:r>
      <w:r w:rsidRPr="006822C5">
        <w:rPr>
          <w:rFonts w:ascii="Arial" w:hAnsi="Arial" w:cs="Arial"/>
          <w:sz w:val="24"/>
          <w:szCs w:val="24"/>
        </w:rPr>
        <w:t>. Panenthea Productions, Harrisburg, PA.</w:t>
      </w:r>
    </w:p>
    <w:p w14:paraId="60AA9CAA" w14:textId="77777777" w:rsidR="008E1F93" w:rsidRPr="006822C5" w:rsidRDefault="008E1F93" w:rsidP="008E1F93">
      <w:pPr>
        <w:spacing w:after="0" w:line="240" w:lineRule="auto"/>
        <w:contextualSpacing/>
        <w:rPr>
          <w:rFonts w:ascii="Arial" w:hAnsi="Arial" w:cs="Arial"/>
          <w:sz w:val="24"/>
          <w:szCs w:val="24"/>
        </w:rPr>
      </w:pPr>
    </w:p>
    <w:p w14:paraId="533EABED" w14:textId="2CEF402C" w:rsidR="00552D88" w:rsidRPr="006822C5" w:rsidRDefault="00552D88" w:rsidP="008E1F93">
      <w:pPr>
        <w:spacing w:after="0" w:line="240" w:lineRule="auto"/>
        <w:contextualSpacing/>
        <w:rPr>
          <w:rFonts w:ascii="Arial" w:hAnsi="Arial" w:cs="Arial"/>
          <w:sz w:val="24"/>
          <w:szCs w:val="24"/>
        </w:rPr>
      </w:pPr>
      <w:r w:rsidRPr="006822C5">
        <w:rPr>
          <w:rFonts w:ascii="Arial" w:hAnsi="Arial" w:cs="Arial"/>
          <w:sz w:val="24"/>
          <w:szCs w:val="24"/>
        </w:rPr>
        <w:t xml:space="preserve">Everard, M. (2011). </w:t>
      </w:r>
      <w:r w:rsidRPr="006822C5">
        <w:rPr>
          <w:rFonts w:ascii="Arial" w:hAnsi="Arial" w:cs="Arial"/>
          <w:i/>
          <w:sz w:val="24"/>
          <w:szCs w:val="24"/>
        </w:rPr>
        <w:t>Common Ground: The Sharing of Land and Landscapes for Sustainability</w:t>
      </w:r>
      <w:r w:rsidRPr="006822C5">
        <w:rPr>
          <w:rFonts w:ascii="Arial" w:hAnsi="Arial" w:cs="Arial"/>
          <w:sz w:val="24"/>
          <w:szCs w:val="24"/>
        </w:rPr>
        <w:t>. Zed Books, London. 214pp.</w:t>
      </w:r>
    </w:p>
    <w:p w14:paraId="67DB7E3E" w14:textId="77777777" w:rsidR="008E1F93" w:rsidRPr="006822C5" w:rsidRDefault="008E1F93" w:rsidP="008E1F93">
      <w:pPr>
        <w:spacing w:after="0" w:line="240" w:lineRule="auto"/>
        <w:contextualSpacing/>
        <w:rPr>
          <w:rFonts w:ascii="Arial" w:hAnsi="Arial" w:cs="Arial"/>
          <w:sz w:val="24"/>
          <w:szCs w:val="24"/>
        </w:rPr>
      </w:pPr>
    </w:p>
    <w:p w14:paraId="6A87039C"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 xml:space="preserve">Everard, M. (2013). </w:t>
      </w:r>
      <w:r w:rsidRPr="006822C5">
        <w:rPr>
          <w:rFonts w:ascii="Arial" w:hAnsi="Arial" w:cs="Arial"/>
          <w:i/>
          <w:sz w:val="24"/>
          <w:szCs w:val="24"/>
        </w:rPr>
        <w:t>The Hydropolitics of Dams: Engineering or Ecosystems?</w:t>
      </w:r>
      <w:r w:rsidRPr="006822C5">
        <w:rPr>
          <w:rFonts w:ascii="Arial" w:hAnsi="Arial" w:cs="Arial"/>
          <w:sz w:val="24"/>
          <w:szCs w:val="24"/>
        </w:rPr>
        <w:t xml:space="preserve"> Zed Books, London.</w:t>
      </w:r>
    </w:p>
    <w:p w14:paraId="58A277DF" w14:textId="77777777" w:rsidR="008E1F93" w:rsidRPr="006822C5" w:rsidRDefault="008E1F93" w:rsidP="008E1F93">
      <w:pPr>
        <w:spacing w:after="0" w:line="240" w:lineRule="auto"/>
        <w:contextualSpacing/>
        <w:rPr>
          <w:rFonts w:ascii="Arial" w:hAnsi="Arial" w:cs="Arial"/>
          <w:sz w:val="24"/>
          <w:szCs w:val="24"/>
        </w:rPr>
      </w:pPr>
    </w:p>
    <w:p w14:paraId="2DBAD6C8" w14:textId="77777777" w:rsidR="00FF659F" w:rsidRPr="0032381A" w:rsidRDefault="00FF659F" w:rsidP="00FF659F">
      <w:pPr>
        <w:spacing w:after="0" w:line="240" w:lineRule="auto"/>
        <w:rPr>
          <w:rFonts w:ascii="Arial" w:hAnsi="Arial" w:cs="Arial"/>
          <w:sz w:val="24"/>
          <w:szCs w:val="24"/>
        </w:rPr>
      </w:pPr>
      <w:r w:rsidRPr="0032381A">
        <w:rPr>
          <w:rFonts w:ascii="Arial" w:hAnsi="Arial" w:cs="Arial"/>
          <w:sz w:val="24"/>
          <w:szCs w:val="24"/>
        </w:rPr>
        <w:t xml:space="preserve">Everard, M. (2014). Nature’s marketplace. </w:t>
      </w:r>
      <w:r w:rsidRPr="0032381A">
        <w:rPr>
          <w:rFonts w:ascii="Arial" w:hAnsi="Arial" w:cs="Arial"/>
          <w:i/>
          <w:sz w:val="24"/>
          <w:szCs w:val="24"/>
        </w:rPr>
        <w:t>The Environmentalist</w:t>
      </w:r>
      <w:r w:rsidRPr="0032381A">
        <w:rPr>
          <w:rFonts w:ascii="Arial" w:hAnsi="Arial" w:cs="Arial"/>
          <w:sz w:val="24"/>
          <w:szCs w:val="24"/>
        </w:rPr>
        <w:t>, March 2014, pp.21-23.</w:t>
      </w:r>
    </w:p>
    <w:p w14:paraId="73CE94EA" w14:textId="77777777" w:rsidR="00FF659F" w:rsidRDefault="00FF659F" w:rsidP="00FF659F">
      <w:pPr>
        <w:spacing w:after="0" w:line="240" w:lineRule="auto"/>
        <w:rPr>
          <w:rFonts w:ascii="Arial" w:hAnsi="Arial" w:cs="Arial"/>
          <w:sz w:val="24"/>
          <w:szCs w:val="24"/>
        </w:rPr>
      </w:pPr>
    </w:p>
    <w:p w14:paraId="6BDD9E0B" w14:textId="7A29B0A6"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 xml:space="preserve">Everard, M. (2015a). </w:t>
      </w:r>
      <w:r w:rsidRPr="006822C5">
        <w:rPr>
          <w:rFonts w:ascii="Arial" w:hAnsi="Arial" w:cs="Arial"/>
          <w:i/>
          <w:sz w:val="24"/>
          <w:szCs w:val="24"/>
        </w:rPr>
        <w:t>The Converging World: The social and environmental impact of convergence</w:t>
      </w:r>
      <w:r w:rsidRPr="006822C5">
        <w:rPr>
          <w:rFonts w:ascii="Arial" w:hAnsi="Arial" w:cs="Arial"/>
          <w:sz w:val="24"/>
          <w:szCs w:val="24"/>
        </w:rPr>
        <w:t>. Research report UWE-JPT#01 by the University of the West of England (UWE Bristol) for the John Pontin Trust. (</w:t>
      </w:r>
      <w:hyperlink r:id="rId14" w:history="1">
        <w:r w:rsidR="006822C5" w:rsidRPr="005003DA">
          <w:rPr>
            <w:rStyle w:val="Hyperlink"/>
            <w:rFonts w:ascii="Arial" w:hAnsi="Arial" w:cs="Arial"/>
            <w:sz w:val="24"/>
            <w:szCs w:val="24"/>
          </w:rPr>
          <w:t>http://eprints.uwe.ac.uk/27646/</w:t>
        </w:r>
      </w:hyperlink>
      <w:r w:rsidRPr="006822C5">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2016</w:t>
      </w:r>
      <w:r w:rsidRPr="006822C5">
        <w:rPr>
          <w:rFonts w:ascii="Arial" w:hAnsi="Arial" w:cs="Arial"/>
          <w:sz w:val="24"/>
          <w:szCs w:val="24"/>
        </w:rPr>
        <w:t>.)</w:t>
      </w:r>
    </w:p>
    <w:p w14:paraId="30050BC0" w14:textId="77777777" w:rsidR="008E1F93" w:rsidRPr="006822C5" w:rsidRDefault="008E1F93" w:rsidP="008E1F93">
      <w:pPr>
        <w:spacing w:after="0" w:line="240" w:lineRule="auto"/>
        <w:contextualSpacing/>
        <w:rPr>
          <w:rFonts w:ascii="Arial" w:hAnsi="Arial" w:cs="Arial"/>
          <w:sz w:val="24"/>
          <w:szCs w:val="24"/>
        </w:rPr>
      </w:pPr>
    </w:p>
    <w:p w14:paraId="4CA0930D"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Everard, M. (2015b). Community-based groundwater and ecosystem restoration in semi-arid north Rajasthan (1): socio-economic progress and lessons for groundwater-dependent areas.  Ecosystem Services, 16, pp.125–135.</w:t>
      </w:r>
    </w:p>
    <w:p w14:paraId="47362C72" w14:textId="77777777" w:rsidR="008E1F93" w:rsidRPr="006822C5" w:rsidRDefault="008E1F93" w:rsidP="008E1F93">
      <w:pPr>
        <w:spacing w:after="0" w:line="240" w:lineRule="auto"/>
        <w:contextualSpacing/>
        <w:rPr>
          <w:rFonts w:ascii="Arial" w:hAnsi="Arial" w:cs="Arial"/>
          <w:sz w:val="24"/>
          <w:szCs w:val="24"/>
        </w:rPr>
      </w:pPr>
    </w:p>
    <w:p w14:paraId="09191FA7" w14:textId="6C206529" w:rsidR="00AE49F3" w:rsidRPr="006822C5" w:rsidRDefault="00AE49F3" w:rsidP="00AE49F3">
      <w:pPr>
        <w:spacing w:after="0" w:line="240" w:lineRule="auto"/>
        <w:contextualSpacing/>
        <w:rPr>
          <w:rFonts w:ascii="Arial" w:hAnsi="Arial" w:cs="Arial"/>
          <w:sz w:val="24"/>
          <w:szCs w:val="24"/>
        </w:rPr>
      </w:pPr>
      <w:r w:rsidRPr="006822C5">
        <w:rPr>
          <w:rFonts w:ascii="Arial" w:hAnsi="Arial" w:cs="Arial"/>
          <w:sz w:val="24"/>
          <w:szCs w:val="24"/>
        </w:rPr>
        <w:t>Everard, M. (</w:t>
      </w:r>
      <w:r>
        <w:rPr>
          <w:rFonts w:ascii="Arial" w:hAnsi="Arial" w:cs="Arial"/>
          <w:sz w:val="24"/>
          <w:szCs w:val="24"/>
        </w:rPr>
        <w:t>Submitted</w:t>
      </w:r>
      <w:r w:rsidRPr="006822C5">
        <w:rPr>
          <w:rFonts w:ascii="Arial" w:hAnsi="Arial" w:cs="Arial"/>
          <w:sz w:val="24"/>
          <w:szCs w:val="24"/>
        </w:rPr>
        <w:t xml:space="preserve">). </w:t>
      </w:r>
      <w:r w:rsidRPr="00AE49F3">
        <w:rPr>
          <w:rFonts w:ascii="Arial" w:hAnsi="Arial" w:cs="Arial"/>
          <w:sz w:val="24"/>
          <w:szCs w:val="24"/>
        </w:rPr>
        <w:t>Tropical dry evergreen forest (TDEF): a characteristic forest type of the Coromandel Coast?</w:t>
      </w:r>
      <w:r>
        <w:rPr>
          <w:rFonts w:ascii="Arial" w:hAnsi="Arial" w:cs="Arial"/>
          <w:sz w:val="24"/>
          <w:szCs w:val="24"/>
        </w:rPr>
        <w:t xml:space="preserve"> </w:t>
      </w:r>
      <w:r w:rsidRPr="002D1C50">
        <w:rPr>
          <w:rFonts w:ascii="Arial" w:hAnsi="Arial" w:cs="Arial"/>
          <w:i/>
          <w:sz w:val="24"/>
          <w:szCs w:val="24"/>
        </w:rPr>
        <w:t>Journal of Threatened Taxa</w:t>
      </w:r>
      <w:r w:rsidRPr="006822C5">
        <w:rPr>
          <w:rFonts w:ascii="Arial" w:hAnsi="Arial" w:cs="Arial"/>
          <w:sz w:val="24"/>
          <w:szCs w:val="24"/>
        </w:rPr>
        <w:t>.</w:t>
      </w:r>
    </w:p>
    <w:p w14:paraId="23E00204" w14:textId="77777777" w:rsidR="00AE49F3" w:rsidRPr="006822C5" w:rsidRDefault="00AE49F3" w:rsidP="00AE49F3">
      <w:pPr>
        <w:spacing w:after="0" w:line="240" w:lineRule="auto"/>
        <w:contextualSpacing/>
        <w:rPr>
          <w:rFonts w:ascii="Arial" w:hAnsi="Arial" w:cs="Arial"/>
          <w:sz w:val="24"/>
          <w:szCs w:val="24"/>
        </w:rPr>
      </w:pPr>
    </w:p>
    <w:p w14:paraId="0453D946"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lastRenderedPageBreak/>
        <w:t>Everard, M. and McInnes, R.J. (2013). Systemic solutions for multi-benefit water and environmental management. The Science of the Total Environment, 461-62. pp.170-179. ISSN 0048-9697.</w:t>
      </w:r>
    </w:p>
    <w:p w14:paraId="1FC30D53" w14:textId="77777777" w:rsidR="008E1F93" w:rsidRPr="006822C5" w:rsidRDefault="008E1F93" w:rsidP="008E1F93">
      <w:pPr>
        <w:spacing w:after="0" w:line="240" w:lineRule="auto"/>
        <w:contextualSpacing/>
        <w:rPr>
          <w:rFonts w:ascii="Arial" w:hAnsi="Arial" w:cs="Arial"/>
          <w:sz w:val="24"/>
          <w:szCs w:val="24"/>
        </w:rPr>
      </w:pPr>
    </w:p>
    <w:p w14:paraId="612C2C8D" w14:textId="1F272D71" w:rsidR="005A4EBA" w:rsidRDefault="00ED6087" w:rsidP="005A4EBA">
      <w:pPr>
        <w:spacing w:after="0" w:line="240" w:lineRule="auto"/>
        <w:contextualSpacing/>
        <w:rPr>
          <w:rFonts w:ascii="Arial" w:hAnsi="Arial" w:cs="Arial"/>
          <w:color w:val="FF0000"/>
          <w:sz w:val="24"/>
          <w:szCs w:val="24"/>
        </w:rPr>
      </w:pPr>
      <w:r>
        <w:rPr>
          <w:rFonts w:ascii="Arial" w:hAnsi="Arial" w:cs="Arial"/>
          <w:color w:val="FF0000"/>
          <w:sz w:val="24"/>
          <w:szCs w:val="24"/>
        </w:rPr>
        <w:t>Everard, M., Longhurst, J.W.S., Pontin, J., Stephenson, W. and Brooks, J.</w:t>
      </w:r>
      <w:r w:rsidRPr="00ED6087">
        <w:rPr>
          <w:rFonts w:ascii="Arial" w:hAnsi="Arial" w:cs="Arial"/>
          <w:color w:val="FF0000"/>
          <w:sz w:val="24"/>
          <w:szCs w:val="24"/>
        </w:rPr>
        <w:t xml:space="preserve"> </w:t>
      </w:r>
      <w:r w:rsidR="005A4EBA" w:rsidRPr="00ED6087">
        <w:rPr>
          <w:rFonts w:ascii="Arial" w:hAnsi="Arial" w:cs="Arial"/>
          <w:color w:val="FF0000"/>
          <w:sz w:val="24"/>
          <w:szCs w:val="24"/>
        </w:rPr>
        <w:t>(</w:t>
      </w:r>
      <w:r w:rsidR="00AE49F3" w:rsidRPr="002D1C50">
        <w:rPr>
          <w:rFonts w:ascii="Arial" w:hAnsi="Arial" w:cs="Arial"/>
          <w:color w:val="FF0000"/>
          <w:sz w:val="24"/>
          <w:szCs w:val="24"/>
        </w:rPr>
        <w:t>submitted</w:t>
      </w:r>
      <w:r w:rsidR="005A4EBA" w:rsidRPr="00ED6087">
        <w:rPr>
          <w:rFonts w:ascii="Arial" w:hAnsi="Arial" w:cs="Arial"/>
          <w:color w:val="FF0000"/>
          <w:sz w:val="24"/>
          <w:szCs w:val="24"/>
        </w:rPr>
        <w:t>). Developed-developing world partnerships for sustainable development (1): an ecosystem services perspective.</w:t>
      </w:r>
    </w:p>
    <w:p w14:paraId="76B5FDBA" w14:textId="77777777" w:rsidR="005A4EBA" w:rsidRPr="006822C5" w:rsidRDefault="005A4EBA" w:rsidP="005A4EBA">
      <w:pPr>
        <w:spacing w:after="0" w:line="240" w:lineRule="auto"/>
        <w:contextualSpacing/>
        <w:rPr>
          <w:rFonts w:ascii="Arial" w:hAnsi="Arial" w:cs="Arial"/>
          <w:sz w:val="24"/>
          <w:szCs w:val="24"/>
        </w:rPr>
      </w:pPr>
    </w:p>
    <w:p w14:paraId="10FB01B2" w14:textId="77777777" w:rsidR="005A4EBA" w:rsidRPr="0032381A" w:rsidRDefault="005A4EBA" w:rsidP="005A4EBA">
      <w:pPr>
        <w:spacing w:after="0" w:line="240" w:lineRule="auto"/>
        <w:rPr>
          <w:rFonts w:ascii="Arial" w:hAnsi="Arial" w:cs="Arial"/>
          <w:sz w:val="24"/>
          <w:szCs w:val="24"/>
        </w:rPr>
      </w:pPr>
      <w:r w:rsidRPr="0032381A">
        <w:rPr>
          <w:rFonts w:ascii="Arial" w:hAnsi="Arial" w:cs="Arial"/>
          <w:sz w:val="24"/>
          <w:szCs w:val="24"/>
        </w:rPr>
        <w:t xml:space="preserve">Folke, C., Fabricius, C., Cundill, G., Schultz, L., Queiroz, C., Gokhale, Y., Marín, A., Camac-Ramirez, E., Chandola, S., Ahmed, M.T., Talukdar, B., Argumedo, A. and Torres, F.C. (2005). Chapter 11: Communities, Ecosystems, and Livelihoods. In: by Capistrano, D., Samper, C., Lee, M.J. and Raudsepp-Hearne, C. (Eds.) </w:t>
      </w:r>
      <w:r w:rsidRPr="0032381A">
        <w:rPr>
          <w:rFonts w:ascii="Arial" w:hAnsi="Arial" w:cs="Arial"/>
          <w:i/>
          <w:sz w:val="24"/>
          <w:szCs w:val="24"/>
        </w:rPr>
        <w:t>Ecosystems and Human Well-Being: Findings of the Sub-Global Assessments Working Group v.4: Multiscale Assessments (Millennium Ecosystem Assessment)</w:t>
      </w:r>
      <w:r w:rsidRPr="0032381A">
        <w:rPr>
          <w:rFonts w:ascii="Arial" w:hAnsi="Arial" w:cs="Arial"/>
          <w:sz w:val="24"/>
          <w:szCs w:val="24"/>
        </w:rPr>
        <w:t>. Island Press, Washington D.C.</w:t>
      </w:r>
    </w:p>
    <w:p w14:paraId="087CCDED" w14:textId="77777777" w:rsidR="005A4EBA" w:rsidRPr="006822C5" w:rsidRDefault="005A4EBA" w:rsidP="005A4EBA">
      <w:pPr>
        <w:spacing w:after="0" w:line="240" w:lineRule="auto"/>
        <w:rPr>
          <w:rFonts w:ascii="Arial" w:hAnsi="Arial" w:cs="Arial"/>
          <w:sz w:val="24"/>
          <w:szCs w:val="24"/>
        </w:rPr>
      </w:pPr>
    </w:p>
    <w:p w14:paraId="6D0A975B" w14:textId="2A922EA4" w:rsidR="00E5535D" w:rsidRPr="00E5535D" w:rsidRDefault="00E5535D" w:rsidP="00E5535D">
      <w:pPr>
        <w:spacing w:after="0" w:line="240" w:lineRule="auto"/>
        <w:contextualSpacing/>
        <w:rPr>
          <w:rFonts w:ascii="Arial" w:hAnsi="Arial" w:cs="Arial"/>
          <w:sz w:val="24"/>
          <w:szCs w:val="24"/>
        </w:rPr>
      </w:pPr>
      <w:r w:rsidRPr="00E5535D">
        <w:rPr>
          <w:rFonts w:ascii="Arial" w:hAnsi="Arial" w:cs="Arial"/>
          <w:sz w:val="24"/>
          <w:szCs w:val="24"/>
        </w:rPr>
        <w:t xml:space="preserve">Gadgil, M. </w:t>
      </w:r>
      <w:r>
        <w:rPr>
          <w:rFonts w:ascii="Arial" w:hAnsi="Arial" w:cs="Arial"/>
          <w:sz w:val="24"/>
          <w:szCs w:val="24"/>
        </w:rPr>
        <w:t>and</w:t>
      </w:r>
      <w:r w:rsidRPr="00E5535D">
        <w:rPr>
          <w:rFonts w:ascii="Arial" w:hAnsi="Arial" w:cs="Arial"/>
          <w:sz w:val="24"/>
          <w:szCs w:val="24"/>
        </w:rPr>
        <w:t xml:space="preserve"> Meher-Homji, V.M. (1986). Localities of great significance to conservation of India's biological diversity. </w:t>
      </w:r>
      <w:r w:rsidRPr="00E5535D">
        <w:rPr>
          <w:rFonts w:ascii="Arial" w:hAnsi="Arial" w:cs="Arial"/>
          <w:i/>
          <w:sz w:val="24"/>
          <w:szCs w:val="24"/>
        </w:rPr>
        <w:t>Proceedings of the Indian Academy of Science (Animal Science/Plant Science) Supplement</w:t>
      </w:r>
      <w:r>
        <w:rPr>
          <w:rFonts w:ascii="Arial" w:hAnsi="Arial" w:cs="Arial"/>
          <w:sz w:val="24"/>
          <w:szCs w:val="24"/>
        </w:rPr>
        <w:t xml:space="preserve">, </w:t>
      </w:r>
      <w:r w:rsidRPr="00E5535D">
        <w:rPr>
          <w:rFonts w:ascii="Arial" w:hAnsi="Arial" w:cs="Arial"/>
          <w:sz w:val="24"/>
          <w:szCs w:val="24"/>
        </w:rPr>
        <w:t>1986</w:t>
      </w:r>
      <w:r>
        <w:rPr>
          <w:rFonts w:ascii="Arial" w:hAnsi="Arial" w:cs="Arial"/>
          <w:sz w:val="24"/>
          <w:szCs w:val="24"/>
        </w:rPr>
        <w:t>, pp.</w:t>
      </w:r>
      <w:r w:rsidRPr="00E5535D">
        <w:rPr>
          <w:rFonts w:ascii="Arial" w:hAnsi="Arial" w:cs="Arial"/>
          <w:sz w:val="24"/>
          <w:szCs w:val="24"/>
        </w:rPr>
        <w:t>165–180.</w:t>
      </w:r>
    </w:p>
    <w:p w14:paraId="4A5D74AB" w14:textId="77777777" w:rsidR="00E5535D" w:rsidRPr="00E5535D" w:rsidRDefault="00E5535D" w:rsidP="00E5535D">
      <w:pPr>
        <w:spacing w:after="0" w:line="240" w:lineRule="auto"/>
        <w:contextualSpacing/>
        <w:rPr>
          <w:rFonts w:ascii="Arial" w:hAnsi="Arial" w:cs="Arial"/>
          <w:sz w:val="24"/>
          <w:szCs w:val="24"/>
        </w:rPr>
      </w:pPr>
    </w:p>
    <w:p w14:paraId="70821FFC" w14:textId="1E4147AB" w:rsidR="0096781D" w:rsidRPr="006822C5" w:rsidRDefault="0096781D" w:rsidP="0096781D">
      <w:pPr>
        <w:spacing w:after="0" w:line="240" w:lineRule="auto"/>
        <w:contextualSpacing/>
        <w:rPr>
          <w:rFonts w:ascii="Arial" w:hAnsi="Arial" w:cs="Arial"/>
          <w:b/>
          <w:sz w:val="24"/>
          <w:szCs w:val="24"/>
        </w:rPr>
      </w:pPr>
      <w:r w:rsidRPr="006822C5">
        <w:rPr>
          <w:rFonts w:ascii="Arial" w:hAnsi="Arial" w:cs="Arial"/>
          <w:sz w:val="24"/>
          <w:szCs w:val="24"/>
        </w:rPr>
        <w:t xml:space="preserve">HM Treasury and HMRC. (2010). </w:t>
      </w:r>
      <w:r w:rsidRPr="006822C5">
        <w:rPr>
          <w:rFonts w:ascii="Arial" w:hAnsi="Arial" w:cs="Arial"/>
          <w:i/>
          <w:sz w:val="24"/>
          <w:szCs w:val="24"/>
        </w:rPr>
        <w:t>Carbon price floor: support and certainty for low-carbon investment</w:t>
      </w:r>
      <w:r w:rsidRPr="006822C5">
        <w:rPr>
          <w:rFonts w:ascii="Arial" w:hAnsi="Arial" w:cs="Arial"/>
          <w:sz w:val="24"/>
          <w:szCs w:val="24"/>
        </w:rPr>
        <w:t>. HM Treasury and HM Revenue and Customs, London. (</w:t>
      </w:r>
      <w:hyperlink r:id="rId15" w:history="1">
        <w:r w:rsidR="006822C5" w:rsidRPr="005003DA">
          <w:rPr>
            <w:rStyle w:val="Hyperlink"/>
            <w:rFonts w:ascii="Arial" w:hAnsi="Arial" w:cs="Arial"/>
            <w:sz w:val="24"/>
            <w:szCs w:val="24"/>
          </w:rPr>
          <w:t>https://www.gov.uk/government/uploads/system/uploads/attachment_data/file/81273/consult_carbon_price_support_condoc.pdf</w:t>
        </w:r>
      </w:hyperlink>
      <w:r w:rsidRPr="006822C5">
        <w:rPr>
          <w:rFonts w:ascii="Arial" w:hAnsi="Arial" w:cs="Arial"/>
          <w:sz w:val="24"/>
          <w:szCs w:val="24"/>
        </w:rPr>
        <w:t>, accessed 1</w:t>
      </w:r>
      <w:r w:rsidRPr="006822C5">
        <w:rPr>
          <w:rFonts w:ascii="Arial" w:hAnsi="Arial" w:cs="Arial"/>
          <w:sz w:val="24"/>
          <w:szCs w:val="24"/>
          <w:vertAlign w:val="superscript"/>
        </w:rPr>
        <w:t>st</w:t>
      </w:r>
      <w:r w:rsidRPr="006822C5">
        <w:rPr>
          <w:rFonts w:ascii="Arial" w:hAnsi="Arial" w:cs="Arial"/>
          <w:sz w:val="24"/>
          <w:szCs w:val="24"/>
        </w:rPr>
        <w:t xml:space="preserve"> February 2016.)</w:t>
      </w:r>
    </w:p>
    <w:p w14:paraId="45396B31" w14:textId="77777777" w:rsidR="008E1F93" w:rsidRPr="006822C5" w:rsidRDefault="008E1F93" w:rsidP="008E1F93">
      <w:pPr>
        <w:spacing w:after="0" w:line="240" w:lineRule="auto"/>
        <w:contextualSpacing/>
        <w:rPr>
          <w:rFonts w:ascii="Arial" w:hAnsi="Arial" w:cs="Arial"/>
          <w:sz w:val="24"/>
          <w:szCs w:val="24"/>
        </w:rPr>
      </w:pPr>
    </w:p>
    <w:p w14:paraId="6BD33AB8" w14:textId="77777777" w:rsidR="005A4EBA" w:rsidRDefault="005A4EBA" w:rsidP="005A4EBA">
      <w:pPr>
        <w:spacing w:after="0" w:line="240" w:lineRule="auto"/>
        <w:rPr>
          <w:rFonts w:ascii="Arial" w:hAnsi="Arial" w:cs="Arial"/>
          <w:sz w:val="24"/>
          <w:szCs w:val="24"/>
        </w:rPr>
      </w:pPr>
      <w:r w:rsidRPr="0032381A">
        <w:rPr>
          <w:rFonts w:ascii="Arial" w:hAnsi="Arial" w:cs="Arial"/>
          <w:sz w:val="24"/>
          <w:szCs w:val="24"/>
        </w:rPr>
        <w:t xml:space="preserve">Jones-Walters, L. (2008). Biodiversity in multifunctional landscapes. </w:t>
      </w:r>
      <w:r w:rsidRPr="0032381A">
        <w:rPr>
          <w:rFonts w:ascii="Arial" w:hAnsi="Arial" w:cs="Arial"/>
          <w:i/>
          <w:sz w:val="24"/>
          <w:szCs w:val="24"/>
        </w:rPr>
        <w:t>Journal for Nature Conservation</w:t>
      </w:r>
      <w:r w:rsidRPr="0032381A">
        <w:rPr>
          <w:rFonts w:ascii="Arial" w:hAnsi="Arial" w:cs="Arial"/>
          <w:sz w:val="24"/>
          <w:szCs w:val="24"/>
        </w:rPr>
        <w:t>, 16, pp.117-119.</w:t>
      </w:r>
    </w:p>
    <w:p w14:paraId="2180A7BF" w14:textId="77777777" w:rsidR="005A4EBA" w:rsidRDefault="005A4EBA" w:rsidP="005A4EBA">
      <w:pPr>
        <w:spacing w:after="0" w:line="240" w:lineRule="auto"/>
        <w:rPr>
          <w:rFonts w:ascii="Arial" w:hAnsi="Arial" w:cs="Arial"/>
          <w:sz w:val="24"/>
          <w:szCs w:val="24"/>
        </w:rPr>
      </w:pPr>
    </w:p>
    <w:p w14:paraId="54BB984A"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 xml:space="preserve">Kajisa, K., Palanisami, K., and Sakurai, T. (2004). </w:t>
      </w:r>
      <w:r w:rsidRPr="006822C5">
        <w:rPr>
          <w:rFonts w:ascii="Arial" w:hAnsi="Arial" w:cs="Arial"/>
          <w:i/>
          <w:sz w:val="24"/>
          <w:szCs w:val="24"/>
        </w:rPr>
        <w:t>Declines in the collective management of tank irrigation and their impacts on income distribution and poverty in Tamil Nadu, India</w:t>
      </w:r>
      <w:r w:rsidRPr="006822C5">
        <w:rPr>
          <w:rFonts w:ascii="Arial" w:hAnsi="Arial" w:cs="Arial"/>
          <w:sz w:val="24"/>
          <w:szCs w:val="24"/>
        </w:rPr>
        <w:t>. FASID Discussion Paper Series on International Development Strategies, No. 2004-08-005, Tokyo, Foundation for Advanced Studies on International Development.</w:t>
      </w:r>
    </w:p>
    <w:p w14:paraId="3BCE40A0" w14:textId="77777777" w:rsidR="008E1F93" w:rsidRPr="006822C5" w:rsidRDefault="008E1F93" w:rsidP="008E1F93">
      <w:pPr>
        <w:spacing w:after="0" w:line="240" w:lineRule="auto"/>
        <w:contextualSpacing/>
        <w:rPr>
          <w:rFonts w:ascii="Arial" w:hAnsi="Arial" w:cs="Arial"/>
          <w:sz w:val="24"/>
          <w:szCs w:val="24"/>
        </w:rPr>
      </w:pPr>
    </w:p>
    <w:p w14:paraId="03F31F62" w14:textId="77777777" w:rsidR="00C369CE" w:rsidRDefault="00C369CE" w:rsidP="008E1F93">
      <w:pPr>
        <w:spacing w:after="0" w:line="240" w:lineRule="auto"/>
        <w:contextualSpacing/>
        <w:rPr>
          <w:rFonts w:ascii="Arial" w:hAnsi="Arial" w:cs="Arial"/>
          <w:sz w:val="24"/>
          <w:szCs w:val="24"/>
        </w:rPr>
      </w:pPr>
      <w:r w:rsidRPr="00C369CE">
        <w:rPr>
          <w:rFonts w:ascii="Arial" w:hAnsi="Arial" w:cs="Arial"/>
          <w:sz w:val="24"/>
          <w:szCs w:val="24"/>
        </w:rPr>
        <w:t xml:space="preserve">Kajisa, K., Palanisami, K. and Sakurai, T. (2007). Effects on poverty and equity of the decline in collective tank irrigation management in Tamil Nadu, India. </w:t>
      </w:r>
      <w:r w:rsidRPr="00C369CE">
        <w:rPr>
          <w:rFonts w:ascii="Arial" w:hAnsi="Arial" w:cs="Arial"/>
          <w:i/>
          <w:sz w:val="24"/>
          <w:szCs w:val="24"/>
        </w:rPr>
        <w:t>Agricultural Economics</w:t>
      </w:r>
      <w:r w:rsidRPr="00C369CE">
        <w:rPr>
          <w:rFonts w:ascii="Arial" w:hAnsi="Arial" w:cs="Arial"/>
          <w:sz w:val="24"/>
          <w:szCs w:val="24"/>
        </w:rPr>
        <w:t>, 36(3), pp.347-362.</w:t>
      </w:r>
    </w:p>
    <w:p w14:paraId="61DF641A" w14:textId="77777777" w:rsidR="009C5632" w:rsidRDefault="009C5632" w:rsidP="008E1F93">
      <w:pPr>
        <w:spacing w:after="0" w:line="240" w:lineRule="auto"/>
        <w:contextualSpacing/>
        <w:rPr>
          <w:rFonts w:ascii="Arial" w:hAnsi="Arial" w:cs="Arial"/>
          <w:sz w:val="24"/>
          <w:szCs w:val="24"/>
        </w:rPr>
      </w:pPr>
    </w:p>
    <w:p w14:paraId="52101C93" w14:textId="061BDB3F" w:rsidR="009C5632" w:rsidRDefault="009C5632" w:rsidP="008E1F93">
      <w:pPr>
        <w:spacing w:after="0" w:line="240" w:lineRule="auto"/>
        <w:contextualSpacing/>
        <w:rPr>
          <w:rFonts w:ascii="Arial" w:hAnsi="Arial" w:cs="Arial"/>
          <w:sz w:val="24"/>
          <w:szCs w:val="24"/>
        </w:rPr>
      </w:pPr>
      <w:r w:rsidRPr="009C5632">
        <w:rPr>
          <w:rFonts w:ascii="Arial" w:hAnsi="Arial" w:cs="Arial"/>
          <w:sz w:val="24"/>
          <w:szCs w:val="24"/>
        </w:rPr>
        <w:t xml:space="preserve">Kenter, J.O., O'Brien, E., Hockley, N., Ravenscroft, N., Fazey, I., Irvine, K.N., Reed, M.S., Christie, M., Brady, E., Bryce, R., Church, A., Cooper, N., Davies, A., Evely, A., Everard, M., Fish, R.D., Fisher, J.A., Jobstvogt, N., Molloy, C., Orchard-Webb, J., Ranger, S., Ryan, M., Watson, V. and Williams, S. (2015). What are shared and social values of ecosystems? </w:t>
      </w:r>
      <w:r w:rsidRPr="009C5632">
        <w:rPr>
          <w:rFonts w:ascii="Arial" w:hAnsi="Arial" w:cs="Arial"/>
          <w:i/>
          <w:sz w:val="24"/>
          <w:szCs w:val="24"/>
        </w:rPr>
        <w:t>Ecological Economics</w:t>
      </w:r>
      <w:r w:rsidRPr="009C5632">
        <w:rPr>
          <w:rFonts w:ascii="Arial" w:hAnsi="Arial" w:cs="Arial"/>
          <w:sz w:val="24"/>
          <w:szCs w:val="24"/>
        </w:rPr>
        <w:t>, 111, pp.86–99.</w:t>
      </w:r>
    </w:p>
    <w:p w14:paraId="3980FB64" w14:textId="77777777" w:rsidR="00DA7E80" w:rsidRDefault="00DA7E80" w:rsidP="008E1F93">
      <w:pPr>
        <w:spacing w:after="0" w:line="240" w:lineRule="auto"/>
        <w:contextualSpacing/>
        <w:rPr>
          <w:rFonts w:ascii="Arial" w:hAnsi="Arial" w:cs="Arial"/>
          <w:sz w:val="24"/>
          <w:szCs w:val="24"/>
        </w:rPr>
      </w:pPr>
    </w:p>
    <w:p w14:paraId="2438FE0D" w14:textId="5F664A2B" w:rsidR="00DA7E80" w:rsidRPr="00C369CE" w:rsidRDefault="00DA7E80" w:rsidP="008E1F93">
      <w:pPr>
        <w:spacing w:after="0" w:line="240" w:lineRule="auto"/>
        <w:contextualSpacing/>
        <w:rPr>
          <w:rFonts w:ascii="Arial" w:hAnsi="Arial" w:cs="Arial"/>
          <w:sz w:val="24"/>
          <w:szCs w:val="24"/>
        </w:rPr>
      </w:pPr>
      <w:r w:rsidRPr="00DA7E80">
        <w:rPr>
          <w:rFonts w:ascii="Arial" w:hAnsi="Arial" w:cs="Arial"/>
          <w:sz w:val="24"/>
          <w:szCs w:val="24"/>
        </w:rPr>
        <w:t>Köppen, W</w:t>
      </w:r>
      <w:r>
        <w:rPr>
          <w:rFonts w:ascii="Arial" w:hAnsi="Arial" w:cs="Arial"/>
          <w:sz w:val="24"/>
          <w:szCs w:val="24"/>
        </w:rPr>
        <w:t xml:space="preserve">. </w:t>
      </w:r>
      <w:r w:rsidRPr="00DA7E80">
        <w:rPr>
          <w:rFonts w:ascii="Arial" w:hAnsi="Arial" w:cs="Arial"/>
          <w:sz w:val="24"/>
          <w:szCs w:val="24"/>
        </w:rPr>
        <w:t>and Wegener, A</w:t>
      </w:r>
      <w:r>
        <w:rPr>
          <w:rFonts w:ascii="Arial" w:hAnsi="Arial" w:cs="Arial"/>
          <w:sz w:val="24"/>
          <w:szCs w:val="24"/>
        </w:rPr>
        <w:t xml:space="preserve">. </w:t>
      </w:r>
      <w:r w:rsidRPr="00DA7E80">
        <w:rPr>
          <w:rFonts w:ascii="Arial" w:hAnsi="Arial" w:cs="Arial"/>
          <w:sz w:val="24"/>
          <w:szCs w:val="24"/>
        </w:rPr>
        <w:t>(1924)</w:t>
      </w:r>
      <w:r>
        <w:rPr>
          <w:rFonts w:ascii="Arial" w:hAnsi="Arial" w:cs="Arial"/>
          <w:sz w:val="24"/>
          <w:szCs w:val="24"/>
        </w:rPr>
        <w:t>.</w:t>
      </w:r>
      <w:r w:rsidRPr="00DA7E80">
        <w:rPr>
          <w:rFonts w:ascii="Arial" w:hAnsi="Arial" w:cs="Arial"/>
          <w:sz w:val="24"/>
          <w:szCs w:val="24"/>
        </w:rPr>
        <w:t xml:space="preserve"> </w:t>
      </w:r>
      <w:r w:rsidRPr="00DA7E80">
        <w:rPr>
          <w:rFonts w:ascii="Arial" w:hAnsi="Arial" w:cs="Arial"/>
          <w:i/>
          <w:sz w:val="24"/>
          <w:szCs w:val="24"/>
        </w:rPr>
        <w:t>Die Klimate der Geologischen Vorzeit</w:t>
      </w:r>
      <w:r>
        <w:rPr>
          <w:rFonts w:ascii="Arial" w:hAnsi="Arial" w:cs="Arial"/>
          <w:sz w:val="24"/>
          <w:szCs w:val="24"/>
        </w:rPr>
        <w:t xml:space="preserve">. </w:t>
      </w:r>
      <w:r w:rsidRPr="00DA7E80">
        <w:rPr>
          <w:rFonts w:ascii="Arial" w:hAnsi="Arial" w:cs="Arial"/>
          <w:sz w:val="24"/>
          <w:szCs w:val="24"/>
        </w:rPr>
        <w:t>Berlin, Stuttgart: Gebr. Borntraeger</w:t>
      </w:r>
      <w:r>
        <w:rPr>
          <w:rFonts w:ascii="Arial" w:hAnsi="Arial" w:cs="Arial"/>
          <w:sz w:val="24"/>
          <w:szCs w:val="24"/>
        </w:rPr>
        <w:t>.</w:t>
      </w:r>
    </w:p>
    <w:p w14:paraId="3CAC2840" w14:textId="77777777" w:rsidR="00C369CE" w:rsidRPr="00C369CE" w:rsidRDefault="00C369CE" w:rsidP="00E5535D">
      <w:pPr>
        <w:spacing w:after="0" w:line="240" w:lineRule="auto"/>
        <w:contextualSpacing/>
        <w:rPr>
          <w:rFonts w:ascii="Arial" w:hAnsi="Arial" w:cs="Arial"/>
          <w:sz w:val="24"/>
          <w:szCs w:val="24"/>
        </w:rPr>
      </w:pPr>
    </w:p>
    <w:p w14:paraId="06DA281D" w14:textId="0FEB4237" w:rsidR="00E5535D" w:rsidRPr="000674E2" w:rsidRDefault="00E5535D" w:rsidP="00E5535D">
      <w:pPr>
        <w:spacing w:after="0" w:line="240" w:lineRule="auto"/>
        <w:contextualSpacing/>
        <w:rPr>
          <w:rFonts w:ascii="Arial" w:hAnsi="Arial" w:cs="Arial"/>
          <w:sz w:val="24"/>
          <w:szCs w:val="24"/>
        </w:rPr>
      </w:pPr>
      <w:r w:rsidRPr="00E5535D">
        <w:rPr>
          <w:rFonts w:ascii="Arial" w:hAnsi="Arial" w:cs="Arial"/>
          <w:sz w:val="24"/>
          <w:szCs w:val="24"/>
        </w:rPr>
        <w:t xml:space="preserve">Meher-Homji, V.M. (1974). On the origin of the tropical dry evergreen forest of south </w:t>
      </w:r>
      <w:r w:rsidRPr="000674E2">
        <w:rPr>
          <w:rFonts w:ascii="Arial" w:hAnsi="Arial" w:cs="Arial"/>
          <w:sz w:val="24"/>
          <w:szCs w:val="24"/>
        </w:rPr>
        <w:t xml:space="preserve">India. </w:t>
      </w:r>
      <w:r w:rsidRPr="000674E2">
        <w:rPr>
          <w:rFonts w:ascii="Arial" w:hAnsi="Arial" w:cs="Arial"/>
          <w:i/>
          <w:sz w:val="24"/>
          <w:szCs w:val="24"/>
        </w:rPr>
        <w:t>International Journal of Ecology and Environmental Sciences</w:t>
      </w:r>
      <w:r>
        <w:rPr>
          <w:rFonts w:ascii="Arial" w:hAnsi="Arial" w:cs="Arial"/>
          <w:sz w:val="24"/>
          <w:szCs w:val="24"/>
        </w:rPr>
        <w:t xml:space="preserve">, </w:t>
      </w:r>
      <w:r w:rsidRPr="000674E2">
        <w:rPr>
          <w:rFonts w:ascii="Arial" w:hAnsi="Arial" w:cs="Arial"/>
          <w:sz w:val="24"/>
          <w:szCs w:val="24"/>
        </w:rPr>
        <w:t>1</w:t>
      </w:r>
      <w:r>
        <w:rPr>
          <w:rFonts w:ascii="Arial" w:hAnsi="Arial" w:cs="Arial"/>
          <w:sz w:val="24"/>
          <w:szCs w:val="24"/>
        </w:rPr>
        <w:t>, pp.</w:t>
      </w:r>
      <w:r w:rsidRPr="000674E2">
        <w:rPr>
          <w:rFonts w:ascii="Arial" w:hAnsi="Arial" w:cs="Arial"/>
          <w:sz w:val="24"/>
          <w:szCs w:val="24"/>
        </w:rPr>
        <w:t>19-39.</w:t>
      </w:r>
    </w:p>
    <w:p w14:paraId="7A419C8D" w14:textId="77777777" w:rsidR="00E5535D" w:rsidRDefault="00E5535D" w:rsidP="008E1F93">
      <w:pPr>
        <w:spacing w:after="0" w:line="240" w:lineRule="auto"/>
        <w:contextualSpacing/>
        <w:rPr>
          <w:rFonts w:ascii="Arial" w:hAnsi="Arial" w:cs="Arial"/>
          <w:sz w:val="24"/>
          <w:szCs w:val="24"/>
        </w:rPr>
      </w:pPr>
    </w:p>
    <w:p w14:paraId="02F5D7AB"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lastRenderedPageBreak/>
        <w:t>OECD. (2010). Paying for Biodiversity: Enhancing the Cost-Effectiveness of Payments for Ecosystem Services. Organisation for Economic Cooperation and Development, Paris. 196pp.</w:t>
      </w:r>
    </w:p>
    <w:p w14:paraId="2C5F7318" w14:textId="77777777" w:rsidR="008E1F93" w:rsidRPr="006822C5" w:rsidRDefault="008E1F93" w:rsidP="008E1F93">
      <w:pPr>
        <w:spacing w:after="0" w:line="240" w:lineRule="auto"/>
        <w:contextualSpacing/>
        <w:rPr>
          <w:rFonts w:ascii="Arial" w:hAnsi="Arial" w:cs="Arial"/>
          <w:sz w:val="24"/>
          <w:szCs w:val="24"/>
        </w:rPr>
      </w:pPr>
    </w:p>
    <w:p w14:paraId="64CF2D7F" w14:textId="77777777" w:rsidR="008E1F93" w:rsidRDefault="008E1F93" w:rsidP="008E1F93">
      <w:pPr>
        <w:spacing w:after="0" w:line="240" w:lineRule="auto"/>
        <w:contextualSpacing/>
        <w:rPr>
          <w:rFonts w:ascii="Arial" w:hAnsi="Arial" w:cs="Arial"/>
          <w:sz w:val="24"/>
          <w:szCs w:val="24"/>
        </w:rPr>
      </w:pPr>
      <w:r w:rsidRPr="006822C5">
        <w:rPr>
          <w:rFonts w:ascii="Arial" w:hAnsi="Arial" w:cs="Arial"/>
          <w:sz w:val="24"/>
          <w:szCs w:val="24"/>
        </w:rPr>
        <w:t xml:space="preserve">Palanisami, K. (2000). </w:t>
      </w:r>
      <w:r w:rsidRPr="006822C5">
        <w:rPr>
          <w:rFonts w:ascii="Arial" w:hAnsi="Arial" w:cs="Arial"/>
          <w:i/>
          <w:sz w:val="24"/>
          <w:szCs w:val="24"/>
        </w:rPr>
        <w:t>Tank irrigation: revival for prosperity</w:t>
      </w:r>
      <w:r w:rsidRPr="006822C5">
        <w:rPr>
          <w:rFonts w:ascii="Arial" w:hAnsi="Arial" w:cs="Arial"/>
          <w:sz w:val="24"/>
          <w:szCs w:val="24"/>
        </w:rPr>
        <w:t>. New Delhi, Asian Publishing Service.</w:t>
      </w:r>
    </w:p>
    <w:p w14:paraId="3073D62E" w14:textId="77777777" w:rsidR="00C24CBC" w:rsidRDefault="00C24CBC" w:rsidP="008E1F93">
      <w:pPr>
        <w:spacing w:after="0" w:line="240" w:lineRule="auto"/>
        <w:contextualSpacing/>
        <w:rPr>
          <w:rFonts w:ascii="Arial" w:hAnsi="Arial" w:cs="Arial"/>
          <w:sz w:val="24"/>
          <w:szCs w:val="24"/>
        </w:rPr>
      </w:pPr>
    </w:p>
    <w:p w14:paraId="66EC69BE" w14:textId="321CD280" w:rsidR="00C24CBC" w:rsidRDefault="00C24CBC" w:rsidP="008E1F93">
      <w:pPr>
        <w:spacing w:after="0" w:line="240" w:lineRule="auto"/>
        <w:contextualSpacing/>
        <w:rPr>
          <w:rFonts w:ascii="Arial" w:hAnsi="Arial" w:cs="Arial"/>
          <w:sz w:val="24"/>
          <w:szCs w:val="24"/>
        </w:rPr>
      </w:pPr>
      <w:r w:rsidRPr="00C24CBC">
        <w:rPr>
          <w:rFonts w:ascii="Arial" w:hAnsi="Arial" w:cs="Arial"/>
          <w:sz w:val="24"/>
          <w:szCs w:val="24"/>
        </w:rPr>
        <w:t>Pitchandikulam Forest and Bio-Resource Centre</w:t>
      </w:r>
      <w:r>
        <w:rPr>
          <w:rFonts w:ascii="Arial" w:hAnsi="Arial" w:cs="Arial"/>
          <w:sz w:val="24"/>
          <w:szCs w:val="24"/>
        </w:rPr>
        <w:t xml:space="preserve">. (undated). </w:t>
      </w:r>
      <w:r w:rsidRPr="00C24CBC">
        <w:rPr>
          <w:rFonts w:ascii="Arial" w:hAnsi="Arial" w:cs="Arial"/>
          <w:i/>
          <w:sz w:val="24"/>
          <w:szCs w:val="24"/>
        </w:rPr>
        <w:t>Pitchandikulam Forest and Bio-Resource Centre</w:t>
      </w:r>
      <w:r>
        <w:rPr>
          <w:rFonts w:ascii="Arial" w:hAnsi="Arial" w:cs="Arial"/>
          <w:sz w:val="24"/>
          <w:szCs w:val="24"/>
        </w:rPr>
        <w:t>. Auroville: City of Dawn. (</w:t>
      </w:r>
      <w:hyperlink r:id="rId16" w:history="1">
        <w:r w:rsidRPr="00B27C7C">
          <w:rPr>
            <w:rStyle w:val="Hyperlink"/>
            <w:rFonts w:ascii="Arial" w:hAnsi="Arial" w:cs="Arial"/>
            <w:sz w:val="24"/>
            <w:szCs w:val="24"/>
          </w:rPr>
          <w:t>http://www.auroville.org/contents/794</w:t>
        </w:r>
      </w:hyperlink>
      <w:r>
        <w:rPr>
          <w:rFonts w:ascii="Arial" w:hAnsi="Arial" w:cs="Arial"/>
          <w:sz w:val="24"/>
          <w:szCs w:val="24"/>
        </w:rPr>
        <w:t>, accessed 4</w:t>
      </w:r>
      <w:r w:rsidRPr="00C24CBC">
        <w:rPr>
          <w:rFonts w:ascii="Arial" w:hAnsi="Arial" w:cs="Arial"/>
          <w:sz w:val="24"/>
          <w:szCs w:val="24"/>
          <w:vertAlign w:val="superscript"/>
        </w:rPr>
        <w:t>th</w:t>
      </w:r>
      <w:r>
        <w:rPr>
          <w:rFonts w:ascii="Arial" w:hAnsi="Arial" w:cs="Arial"/>
          <w:sz w:val="24"/>
          <w:szCs w:val="24"/>
        </w:rPr>
        <w:t xml:space="preserve"> February 2016.)</w:t>
      </w:r>
    </w:p>
    <w:p w14:paraId="06788843" w14:textId="77777777" w:rsidR="00ED6087" w:rsidRDefault="00ED6087" w:rsidP="008E1F93">
      <w:pPr>
        <w:spacing w:after="0" w:line="240" w:lineRule="auto"/>
        <w:contextualSpacing/>
        <w:rPr>
          <w:rFonts w:ascii="Arial" w:hAnsi="Arial" w:cs="Arial"/>
          <w:sz w:val="24"/>
          <w:szCs w:val="24"/>
        </w:rPr>
      </w:pPr>
    </w:p>
    <w:p w14:paraId="47D44A61" w14:textId="7330CD2A" w:rsidR="00194664" w:rsidRDefault="00194664" w:rsidP="00194664">
      <w:pPr>
        <w:spacing w:after="0" w:line="240" w:lineRule="auto"/>
        <w:contextualSpacing/>
        <w:rPr>
          <w:rFonts w:ascii="Arial" w:hAnsi="Arial" w:cs="Arial"/>
          <w:sz w:val="24"/>
          <w:szCs w:val="24"/>
        </w:rPr>
      </w:pPr>
      <w:r>
        <w:rPr>
          <w:rFonts w:ascii="Arial" w:hAnsi="Arial" w:cs="Arial"/>
          <w:sz w:val="24"/>
          <w:szCs w:val="24"/>
        </w:rPr>
        <w:t xml:space="preserve">Sandhu, S. (2015). </w:t>
      </w:r>
      <w:r w:rsidRPr="00194664">
        <w:rPr>
          <w:rFonts w:ascii="Arial" w:hAnsi="Arial" w:cs="Arial"/>
          <w:sz w:val="24"/>
          <w:szCs w:val="24"/>
        </w:rPr>
        <w:t>Chennai floods: Torrential downpours in Indian state Tamil Nadu to continue</w:t>
      </w:r>
      <w:r>
        <w:rPr>
          <w:rFonts w:ascii="Arial" w:hAnsi="Arial" w:cs="Arial"/>
          <w:sz w:val="24"/>
          <w:szCs w:val="24"/>
        </w:rPr>
        <w:t xml:space="preserve"> - </w:t>
      </w:r>
      <w:r w:rsidRPr="00194664">
        <w:rPr>
          <w:rFonts w:ascii="Arial" w:hAnsi="Arial" w:cs="Arial"/>
          <w:sz w:val="24"/>
          <w:szCs w:val="24"/>
        </w:rPr>
        <w:t>'There will be no respite'</w:t>
      </w:r>
      <w:r>
        <w:rPr>
          <w:rFonts w:ascii="Arial" w:hAnsi="Arial" w:cs="Arial"/>
          <w:sz w:val="24"/>
          <w:szCs w:val="24"/>
        </w:rPr>
        <w:t xml:space="preserve">. </w:t>
      </w:r>
      <w:r w:rsidRPr="00194664">
        <w:rPr>
          <w:rFonts w:ascii="Arial" w:hAnsi="Arial" w:cs="Arial"/>
          <w:i/>
          <w:sz w:val="24"/>
          <w:szCs w:val="24"/>
        </w:rPr>
        <w:t>The Independent</w:t>
      </w:r>
      <w:r>
        <w:rPr>
          <w:rFonts w:ascii="Arial" w:hAnsi="Arial" w:cs="Arial"/>
          <w:sz w:val="24"/>
          <w:szCs w:val="24"/>
        </w:rPr>
        <w:t xml:space="preserve">, </w:t>
      </w:r>
      <w:r w:rsidRPr="00194664">
        <w:rPr>
          <w:rFonts w:ascii="Arial" w:hAnsi="Arial" w:cs="Arial"/>
          <w:sz w:val="24"/>
          <w:szCs w:val="24"/>
        </w:rPr>
        <w:t>2</w:t>
      </w:r>
      <w:r w:rsidRPr="00194664">
        <w:rPr>
          <w:rFonts w:ascii="Arial" w:hAnsi="Arial" w:cs="Arial"/>
          <w:sz w:val="24"/>
          <w:szCs w:val="24"/>
          <w:vertAlign w:val="superscript"/>
        </w:rPr>
        <w:t>nd</w:t>
      </w:r>
      <w:r>
        <w:rPr>
          <w:rFonts w:ascii="Arial" w:hAnsi="Arial" w:cs="Arial"/>
          <w:sz w:val="24"/>
          <w:szCs w:val="24"/>
        </w:rPr>
        <w:t xml:space="preserve"> </w:t>
      </w:r>
      <w:r w:rsidRPr="00194664">
        <w:rPr>
          <w:rFonts w:ascii="Arial" w:hAnsi="Arial" w:cs="Arial"/>
          <w:sz w:val="24"/>
          <w:szCs w:val="24"/>
        </w:rPr>
        <w:t>December 2015</w:t>
      </w:r>
      <w:r>
        <w:rPr>
          <w:rFonts w:ascii="Arial" w:hAnsi="Arial" w:cs="Arial"/>
          <w:sz w:val="24"/>
          <w:szCs w:val="24"/>
        </w:rPr>
        <w:t>. (</w:t>
      </w:r>
      <w:hyperlink r:id="rId17" w:history="1">
        <w:r w:rsidRPr="00B27C7C">
          <w:rPr>
            <w:rStyle w:val="Hyperlink"/>
            <w:rFonts w:ascii="Arial" w:hAnsi="Arial" w:cs="Arial"/>
            <w:sz w:val="24"/>
            <w:szCs w:val="24"/>
          </w:rPr>
          <w:t>http://www.independent.co.uk/news/world/asia/torrential-downpours-in-indian-state-tamil-nadu-to-continue-a6757261.html</w:t>
        </w:r>
      </w:hyperlink>
      <w:r>
        <w:rPr>
          <w:rFonts w:ascii="Arial" w:hAnsi="Arial" w:cs="Arial"/>
          <w:sz w:val="24"/>
          <w:szCs w:val="24"/>
        </w:rPr>
        <w:t>, accessed 4</w:t>
      </w:r>
      <w:r w:rsidRPr="00194664">
        <w:rPr>
          <w:rFonts w:ascii="Arial" w:hAnsi="Arial" w:cs="Arial"/>
          <w:sz w:val="24"/>
          <w:szCs w:val="24"/>
          <w:vertAlign w:val="superscript"/>
        </w:rPr>
        <w:t>th</w:t>
      </w:r>
      <w:r>
        <w:rPr>
          <w:rFonts w:ascii="Arial" w:hAnsi="Arial" w:cs="Arial"/>
          <w:sz w:val="24"/>
          <w:szCs w:val="24"/>
        </w:rPr>
        <w:t xml:space="preserve"> February 2016.)</w:t>
      </w:r>
    </w:p>
    <w:p w14:paraId="170C5050" w14:textId="77777777" w:rsidR="00C24CBC" w:rsidRDefault="00C24CBC" w:rsidP="00C24CBC">
      <w:pPr>
        <w:spacing w:after="0" w:line="240" w:lineRule="auto"/>
        <w:contextualSpacing/>
        <w:rPr>
          <w:rFonts w:ascii="Arial" w:hAnsi="Arial" w:cs="Arial"/>
          <w:sz w:val="24"/>
          <w:szCs w:val="24"/>
        </w:rPr>
      </w:pPr>
    </w:p>
    <w:p w14:paraId="7C878605" w14:textId="77777777" w:rsidR="005A4EBA" w:rsidRDefault="005A4EBA" w:rsidP="005A4EBA">
      <w:pPr>
        <w:spacing w:after="0" w:line="240" w:lineRule="auto"/>
        <w:rPr>
          <w:rFonts w:ascii="Arial" w:hAnsi="Arial" w:cs="Arial"/>
          <w:sz w:val="24"/>
          <w:szCs w:val="24"/>
        </w:rPr>
      </w:pPr>
      <w:r w:rsidRPr="0032381A">
        <w:rPr>
          <w:rFonts w:ascii="Arial" w:hAnsi="Arial" w:cs="Arial"/>
          <w:sz w:val="24"/>
          <w:szCs w:val="24"/>
        </w:rPr>
        <w:t xml:space="preserve">Schaich, H., Bieling, C. and Plieninger, T. (2010). Linking Ecosystem Services with Cultural Landscape Research. </w:t>
      </w:r>
      <w:r w:rsidRPr="0032381A">
        <w:rPr>
          <w:rFonts w:ascii="Arial" w:hAnsi="Arial" w:cs="Arial"/>
          <w:i/>
          <w:sz w:val="24"/>
          <w:szCs w:val="24"/>
        </w:rPr>
        <w:t>GAIA</w:t>
      </w:r>
      <w:r w:rsidRPr="0032381A">
        <w:rPr>
          <w:rFonts w:ascii="Arial" w:hAnsi="Arial" w:cs="Arial"/>
          <w:sz w:val="24"/>
          <w:szCs w:val="24"/>
        </w:rPr>
        <w:t>, 19(4), pp.269 – 277.</w:t>
      </w:r>
    </w:p>
    <w:p w14:paraId="2EFCC9E7" w14:textId="77777777" w:rsidR="00384B09" w:rsidRDefault="00384B09" w:rsidP="005A4EBA">
      <w:pPr>
        <w:spacing w:after="0" w:line="240" w:lineRule="auto"/>
        <w:rPr>
          <w:rFonts w:ascii="Arial" w:hAnsi="Arial" w:cs="Arial"/>
          <w:sz w:val="24"/>
          <w:szCs w:val="24"/>
        </w:rPr>
      </w:pPr>
    </w:p>
    <w:p w14:paraId="32DA727E" w14:textId="02064484" w:rsidR="00384B09" w:rsidRPr="0032381A" w:rsidRDefault="00384B09" w:rsidP="005A4EBA">
      <w:pPr>
        <w:spacing w:after="0" w:line="240" w:lineRule="auto"/>
        <w:rPr>
          <w:rFonts w:ascii="Arial" w:hAnsi="Arial" w:cs="Arial"/>
          <w:sz w:val="24"/>
          <w:szCs w:val="24"/>
        </w:rPr>
      </w:pPr>
      <w:r w:rsidRPr="00384B09">
        <w:rPr>
          <w:rFonts w:ascii="Arial" w:hAnsi="Arial" w:cs="Arial"/>
          <w:sz w:val="24"/>
          <w:szCs w:val="24"/>
        </w:rPr>
        <w:t xml:space="preserve">Scott, D. A. (1989). </w:t>
      </w:r>
      <w:r w:rsidRPr="002D1C50">
        <w:rPr>
          <w:rFonts w:ascii="Arial" w:hAnsi="Arial" w:cs="Arial"/>
          <w:i/>
          <w:sz w:val="24"/>
          <w:szCs w:val="24"/>
        </w:rPr>
        <w:t>A Directory of Asian Wetlands</w:t>
      </w:r>
      <w:r w:rsidRPr="00384B09">
        <w:rPr>
          <w:rFonts w:ascii="Arial" w:hAnsi="Arial" w:cs="Arial"/>
          <w:sz w:val="24"/>
          <w:szCs w:val="24"/>
        </w:rPr>
        <w:t>. IUCN, Gland, Switzerland.</w:t>
      </w:r>
    </w:p>
    <w:p w14:paraId="762D7B0E" w14:textId="77777777" w:rsidR="005A4EBA" w:rsidRDefault="005A4EBA" w:rsidP="005A4EBA">
      <w:pPr>
        <w:autoSpaceDE w:val="0"/>
        <w:autoSpaceDN w:val="0"/>
        <w:adjustRightInd w:val="0"/>
        <w:spacing w:after="0" w:line="240" w:lineRule="auto"/>
        <w:rPr>
          <w:rFonts w:ascii="Arial" w:hAnsi="Arial" w:cs="Arial"/>
          <w:sz w:val="24"/>
          <w:szCs w:val="24"/>
        </w:rPr>
      </w:pPr>
    </w:p>
    <w:p w14:paraId="62AC5A32" w14:textId="3D1A3EBF" w:rsidR="00552D88" w:rsidRPr="006822C5" w:rsidRDefault="00552D88" w:rsidP="008E1F93">
      <w:pPr>
        <w:spacing w:after="0" w:line="240" w:lineRule="auto"/>
        <w:contextualSpacing/>
        <w:rPr>
          <w:rFonts w:ascii="Arial" w:hAnsi="Arial" w:cs="Arial"/>
          <w:sz w:val="24"/>
          <w:szCs w:val="24"/>
        </w:rPr>
      </w:pPr>
      <w:r w:rsidRPr="006822C5">
        <w:rPr>
          <w:rFonts w:ascii="Arial" w:hAnsi="Arial" w:cs="Arial"/>
          <w:sz w:val="24"/>
          <w:szCs w:val="24"/>
        </w:rPr>
        <w:t xml:space="preserve">Shah, A. (2007). Causes of the Debt Crisis. </w:t>
      </w:r>
      <w:r w:rsidRPr="006822C5">
        <w:rPr>
          <w:rFonts w:ascii="Arial" w:hAnsi="Arial" w:cs="Arial"/>
          <w:i/>
          <w:sz w:val="24"/>
          <w:szCs w:val="24"/>
        </w:rPr>
        <w:t>Global Issues</w:t>
      </w:r>
      <w:r w:rsidRPr="006822C5">
        <w:rPr>
          <w:rFonts w:ascii="Arial" w:hAnsi="Arial" w:cs="Arial"/>
          <w:sz w:val="24"/>
          <w:szCs w:val="24"/>
        </w:rPr>
        <w:t>, 3rd June 2007. (</w:t>
      </w:r>
      <w:hyperlink r:id="rId18" w:history="1">
        <w:r w:rsidR="006822C5" w:rsidRPr="005003DA">
          <w:rPr>
            <w:rStyle w:val="Hyperlink"/>
            <w:rFonts w:ascii="Arial" w:hAnsi="Arial" w:cs="Arial"/>
            <w:sz w:val="24"/>
            <w:szCs w:val="24"/>
          </w:rPr>
          <w:t>http://www.globalissues.org/article/29/causes-of-the-debt-crisis</w:t>
        </w:r>
      </w:hyperlink>
      <w:r w:rsidRPr="006822C5">
        <w:rPr>
          <w:rFonts w:ascii="Arial" w:hAnsi="Arial" w:cs="Arial"/>
          <w:sz w:val="24"/>
          <w:szCs w:val="24"/>
        </w:rPr>
        <w:t>, accessed 1</w:t>
      </w:r>
      <w:r w:rsidRPr="006822C5">
        <w:rPr>
          <w:rFonts w:ascii="Arial" w:hAnsi="Arial" w:cs="Arial"/>
          <w:sz w:val="24"/>
          <w:szCs w:val="24"/>
          <w:vertAlign w:val="superscript"/>
        </w:rPr>
        <w:t>st</w:t>
      </w:r>
      <w:r w:rsidRPr="006822C5">
        <w:rPr>
          <w:rFonts w:ascii="Arial" w:hAnsi="Arial" w:cs="Arial"/>
          <w:sz w:val="24"/>
          <w:szCs w:val="24"/>
        </w:rPr>
        <w:t xml:space="preserve"> February 2016.)</w:t>
      </w:r>
    </w:p>
    <w:p w14:paraId="3EF2779D" w14:textId="77777777" w:rsidR="008E1F93" w:rsidRPr="006822C5" w:rsidRDefault="008E1F93" w:rsidP="008E1F93">
      <w:pPr>
        <w:spacing w:after="0" w:line="240" w:lineRule="auto"/>
        <w:contextualSpacing/>
        <w:rPr>
          <w:rFonts w:ascii="Arial" w:hAnsi="Arial" w:cs="Arial"/>
          <w:sz w:val="24"/>
          <w:szCs w:val="24"/>
        </w:rPr>
      </w:pPr>
    </w:p>
    <w:p w14:paraId="685FBDBA" w14:textId="77777777"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Smith, S., Rowcroft, P., Everard, M., Couldrick, L., Reed, M., Rogers, H., Quick, T.,</w:t>
      </w:r>
    </w:p>
    <w:p w14:paraId="3BFE6D46" w14:textId="4B55E585"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Eves, C. and White, C. (2013). Payments for Ecosystem Services: A Best Practice Guide. Defra, London. (</w:t>
      </w:r>
      <w:hyperlink r:id="rId19" w:history="1">
        <w:r w:rsidR="006822C5" w:rsidRPr="005003DA">
          <w:rPr>
            <w:rStyle w:val="Hyperlink"/>
            <w:rFonts w:ascii="Arial" w:hAnsi="Arial" w:cs="Arial"/>
            <w:sz w:val="24"/>
            <w:szCs w:val="24"/>
          </w:rPr>
          <w:t>https://www.gov.uk/government/uploads/system/uploads/attachment_data/file/200920/pb13932-pes-bestpractice-20130522.pdf</w:t>
        </w:r>
      </w:hyperlink>
      <w:r w:rsidRPr="006822C5">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6822C5">
        <w:rPr>
          <w:rFonts w:ascii="Arial" w:hAnsi="Arial" w:cs="Arial"/>
          <w:sz w:val="24"/>
          <w:szCs w:val="24"/>
        </w:rPr>
        <w:t>2016.)</w:t>
      </w:r>
    </w:p>
    <w:p w14:paraId="2AB2F511" w14:textId="77777777" w:rsidR="008E1F93" w:rsidRPr="006822C5" w:rsidRDefault="008E1F93" w:rsidP="008E1F93">
      <w:pPr>
        <w:spacing w:after="0" w:line="240" w:lineRule="auto"/>
        <w:contextualSpacing/>
        <w:rPr>
          <w:rFonts w:ascii="Arial" w:hAnsi="Arial" w:cs="Arial"/>
          <w:sz w:val="24"/>
          <w:szCs w:val="24"/>
        </w:rPr>
      </w:pPr>
    </w:p>
    <w:p w14:paraId="0F54E1EE" w14:textId="6772308A"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 xml:space="preserve">Stern, N. (2006). </w:t>
      </w:r>
      <w:r w:rsidRPr="006822C5">
        <w:rPr>
          <w:rFonts w:ascii="Arial" w:hAnsi="Arial" w:cs="Arial"/>
          <w:i/>
          <w:sz w:val="24"/>
          <w:szCs w:val="24"/>
        </w:rPr>
        <w:t>Stern Review on The Economics of Climate Change (pre-publication edition). Executive Summary</w:t>
      </w:r>
      <w:r w:rsidRPr="006822C5">
        <w:rPr>
          <w:rFonts w:ascii="Arial" w:hAnsi="Arial" w:cs="Arial"/>
          <w:sz w:val="24"/>
          <w:szCs w:val="24"/>
        </w:rPr>
        <w:t>. HM Treasury, London. (</w:t>
      </w:r>
      <w:hyperlink r:id="rId20" w:history="1">
        <w:r w:rsidR="006822C5" w:rsidRPr="005003DA">
          <w:rPr>
            <w:rStyle w:val="Hyperlink"/>
            <w:rFonts w:ascii="Arial" w:hAnsi="Arial" w:cs="Arial"/>
            <w:sz w:val="24"/>
            <w:szCs w:val="24"/>
          </w:rPr>
          <w:t>http://www.webcitation.org/5nCeyEYJr</w:t>
        </w:r>
      </w:hyperlink>
      <w:r w:rsidRPr="006822C5">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6822C5">
        <w:rPr>
          <w:rFonts w:ascii="Arial" w:hAnsi="Arial" w:cs="Arial"/>
          <w:sz w:val="24"/>
          <w:szCs w:val="24"/>
        </w:rPr>
        <w:t>2016.)</w:t>
      </w:r>
    </w:p>
    <w:p w14:paraId="466C11A5" w14:textId="77777777" w:rsidR="008E1F93" w:rsidRPr="006822C5" w:rsidRDefault="008E1F93" w:rsidP="008E1F93">
      <w:pPr>
        <w:spacing w:after="0" w:line="240" w:lineRule="auto"/>
        <w:contextualSpacing/>
        <w:rPr>
          <w:rFonts w:ascii="Arial" w:hAnsi="Arial" w:cs="Arial"/>
          <w:sz w:val="24"/>
          <w:szCs w:val="24"/>
        </w:rPr>
      </w:pPr>
    </w:p>
    <w:p w14:paraId="3B618BE3" w14:textId="77777777" w:rsidR="005A4EBA" w:rsidRPr="0032381A" w:rsidRDefault="005A4EBA" w:rsidP="005A4EBA">
      <w:pPr>
        <w:spacing w:after="0" w:line="240" w:lineRule="auto"/>
        <w:rPr>
          <w:rFonts w:ascii="Arial" w:hAnsi="Arial" w:cs="Arial"/>
          <w:sz w:val="24"/>
          <w:szCs w:val="24"/>
        </w:rPr>
      </w:pPr>
      <w:r w:rsidRPr="00243BF9">
        <w:rPr>
          <w:rFonts w:ascii="Arial" w:hAnsi="Arial" w:cs="Arial"/>
          <w:sz w:val="24"/>
          <w:szCs w:val="24"/>
        </w:rPr>
        <w:t xml:space="preserve">Tengberg, A., Fredholm, S. Eliasson, I., Knez, I., Saltzman, K. and Wetterberg, O. (2012). Cultural ecosystem services provided by landscapes: </w:t>
      </w:r>
      <w:r>
        <w:rPr>
          <w:rFonts w:ascii="Arial" w:hAnsi="Arial" w:cs="Arial"/>
          <w:sz w:val="24"/>
          <w:szCs w:val="24"/>
        </w:rPr>
        <w:t>a</w:t>
      </w:r>
      <w:r w:rsidRPr="00243BF9">
        <w:rPr>
          <w:rFonts w:ascii="Arial" w:hAnsi="Arial" w:cs="Arial"/>
          <w:sz w:val="24"/>
          <w:szCs w:val="24"/>
        </w:rPr>
        <w:t xml:space="preserve">ssessment of heritage values and identity. </w:t>
      </w:r>
      <w:r w:rsidRPr="00243BF9">
        <w:rPr>
          <w:rFonts w:ascii="Arial" w:hAnsi="Arial" w:cs="Arial"/>
          <w:i/>
          <w:sz w:val="24"/>
          <w:szCs w:val="24"/>
        </w:rPr>
        <w:t>Ecosystem Services</w:t>
      </w:r>
      <w:r w:rsidRPr="00243BF9">
        <w:rPr>
          <w:rFonts w:ascii="Arial" w:hAnsi="Arial" w:cs="Arial"/>
          <w:sz w:val="24"/>
          <w:szCs w:val="24"/>
        </w:rPr>
        <w:t>, 2, pp.14–26.</w:t>
      </w:r>
    </w:p>
    <w:p w14:paraId="28404A93" w14:textId="77777777" w:rsidR="005A4EBA" w:rsidRPr="006822C5" w:rsidRDefault="005A4EBA" w:rsidP="005A4EBA">
      <w:pPr>
        <w:spacing w:after="0" w:line="240" w:lineRule="auto"/>
        <w:rPr>
          <w:rFonts w:ascii="Arial" w:hAnsi="Arial" w:cs="Arial"/>
          <w:sz w:val="24"/>
          <w:szCs w:val="24"/>
        </w:rPr>
      </w:pPr>
    </w:p>
    <w:p w14:paraId="01A1AFE2" w14:textId="2725568B"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UNEP and IUCN. (undated). International Payments for Ecosystem Services (IPES). United Nations Environment Programme (UNEP) and International Union for Conservation of Nature (IUCN). (</w:t>
      </w:r>
      <w:hyperlink r:id="rId21" w:history="1">
        <w:r w:rsidR="006822C5" w:rsidRPr="005003DA">
          <w:rPr>
            <w:rStyle w:val="Hyperlink"/>
            <w:rFonts w:ascii="Arial" w:hAnsi="Arial" w:cs="Arial"/>
            <w:sz w:val="24"/>
            <w:szCs w:val="24"/>
          </w:rPr>
          <w:t>http://www.unep.ch/etb/events/IPES%20Side%20Event%20Bonn/IPES%20SUM%20FINAL.pdf</w:t>
        </w:r>
      </w:hyperlink>
      <w:r w:rsidRPr="006822C5">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6822C5">
        <w:rPr>
          <w:rFonts w:ascii="Arial" w:hAnsi="Arial" w:cs="Arial"/>
          <w:sz w:val="24"/>
          <w:szCs w:val="24"/>
        </w:rPr>
        <w:t>2016.)</w:t>
      </w:r>
    </w:p>
    <w:p w14:paraId="32E51B96" w14:textId="77777777" w:rsidR="008E1F93" w:rsidRPr="006822C5" w:rsidRDefault="008E1F93" w:rsidP="008E1F93">
      <w:pPr>
        <w:spacing w:after="0" w:line="240" w:lineRule="auto"/>
        <w:contextualSpacing/>
        <w:rPr>
          <w:rFonts w:ascii="Arial" w:hAnsi="Arial" w:cs="Arial"/>
          <w:sz w:val="24"/>
          <w:szCs w:val="24"/>
        </w:rPr>
      </w:pPr>
    </w:p>
    <w:p w14:paraId="1A6022F6" w14:textId="3669BD2D" w:rsidR="008E1F93" w:rsidRPr="006822C5" w:rsidRDefault="008E1F93" w:rsidP="008E1F93">
      <w:pPr>
        <w:spacing w:after="0" w:line="240" w:lineRule="auto"/>
        <w:contextualSpacing/>
        <w:rPr>
          <w:rFonts w:ascii="Arial" w:hAnsi="Arial" w:cs="Arial"/>
          <w:sz w:val="24"/>
          <w:szCs w:val="24"/>
        </w:rPr>
      </w:pPr>
      <w:r w:rsidRPr="006822C5">
        <w:rPr>
          <w:rFonts w:ascii="Arial" w:hAnsi="Arial" w:cs="Arial"/>
          <w:sz w:val="24"/>
          <w:szCs w:val="24"/>
        </w:rPr>
        <w:t>UNFCCC. (undated). Clean Development Mechanism (CDM). United Nations Framework Convention on Climate Change. (</w:t>
      </w:r>
      <w:hyperlink r:id="rId22" w:history="1">
        <w:r w:rsidR="006822C5" w:rsidRPr="005003DA">
          <w:rPr>
            <w:rStyle w:val="Hyperlink"/>
            <w:rFonts w:ascii="Arial" w:hAnsi="Arial" w:cs="Arial"/>
            <w:sz w:val="24"/>
            <w:szCs w:val="24"/>
          </w:rPr>
          <w:t>http://unfccc.int/kyoto_protocol/mechanisms/clean_development_mechanism/items/2718.php</w:t>
        </w:r>
      </w:hyperlink>
      <w:r w:rsidRPr="006822C5">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6822C5">
        <w:rPr>
          <w:rFonts w:ascii="Arial" w:hAnsi="Arial" w:cs="Arial"/>
          <w:sz w:val="24"/>
          <w:szCs w:val="24"/>
        </w:rPr>
        <w:t>2016.)</w:t>
      </w:r>
    </w:p>
    <w:p w14:paraId="7529F1B2" w14:textId="77777777" w:rsidR="008E1F93" w:rsidRPr="000F0D48" w:rsidRDefault="008E1F93" w:rsidP="008E1F93">
      <w:pPr>
        <w:spacing w:after="0" w:line="240" w:lineRule="auto"/>
        <w:contextualSpacing/>
        <w:rPr>
          <w:rFonts w:ascii="Arial" w:hAnsi="Arial" w:cs="Arial"/>
          <w:sz w:val="24"/>
          <w:szCs w:val="24"/>
        </w:rPr>
      </w:pPr>
    </w:p>
    <w:p w14:paraId="36A41117" w14:textId="761913E0" w:rsidR="008E1F93" w:rsidRPr="000F0D48" w:rsidRDefault="000F0D48" w:rsidP="008E1F93">
      <w:pPr>
        <w:spacing w:after="0" w:line="240" w:lineRule="auto"/>
        <w:contextualSpacing/>
        <w:rPr>
          <w:rFonts w:ascii="Arial" w:hAnsi="Arial" w:cs="Arial"/>
          <w:sz w:val="24"/>
          <w:szCs w:val="24"/>
        </w:rPr>
      </w:pPr>
      <w:r w:rsidRPr="000F0D48">
        <w:rPr>
          <w:rFonts w:ascii="Arial" w:hAnsi="Arial" w:cs="Arial"/>
          <w:sz w:val="24"/>
          <w:szCs w:val="24"/>
        </w:rPr>
        <w:lastRenderedPageBreak/>
        <w:t>United Nations. (2015</w:t>
      </w:r>
      <w:r w:rsidR="008E1F93" w:rsidRPr="000F0D48">
        <w:rPr>
          <w:rFonts w:ascii="Arial" w:hAnsi="Arial" w:cs="Arial"/>
          <w:sz w:val="24"/>
          <w:szCs w:val="24"/>
        </w:rPr>
        <w:t>). Resolution adopted by the General Assembly on 25 September 2015: 70/1. Transforming our world: the 2030 Agenda for</w:t>
      </w:r>
    </w:p>
    <w:p w14:paraId="4F307107" w14:textId="42EA5B29" w:rsidR="008E1F93" w:rsidRPr="000F0D48" w:rsidRDefault="008E1F93" w:rsidP="008E1F93">
      <w:pPr>
        <w:spacing w:after="0" w:line="240" w:lineRule="auto"/>
        <w:contextualSpacing/>
        <w:rPr>
          <w:rFonts w:ascii="Arial" w:hAnsi="Arial" w:cs="Arial"/>
          <w:sz w:val="24"/>
          <w:szCs w:val="24"/>
        </w:rPr>
      </w:pPr>
      <w:r w:rsidRPr="000F0D48">
        <w:rPr>
          <w:rFonts w:ascii="Arial" w:hAnsi="Arial" w:cs="Arial"/>
          <w:sz w:val="24"/>
          <w:szCs w:val="24"/>
        </w:rPr>
        <w:t>Sustainable Development. United Nations General assembly, New York. (</w:t>
      </w:r>
      <w:hyperlink r:id="rId23" w:history="1">
        <w:r w:rsidR="000F0D48" w:rsidRPr="005003DA">
          <w:rPr>
            <w:rStyle w:val="Hyperlink"/>
            <w:rFonts w:ascii="Arial" w:hAnsi="Arial" w:cs="Arial"/>
            <w:sz w:val="24"/>
            <w:szCs w:val="24"/>
          </w:rPr>
          <w:t>http://www.un.org/en/ga/search/view_doc.asp?symbol=A/RES/70/1&amp;Lang=E</w:t>
        </w:r>
      </w:hyperlink>
      <w:r w:rsidRPr="000F0D48">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0F0D48">
        <w:rPr>
          <w:rFonts w:ascii="Arial" w:hAnsi="Arial" w:cs="Arial"/>
          <w:sz w:val="24"/>
          <w:szCs w:val="24"/>
        </w:rPr>
        <w:t>2016.)</w:t>
      </w:r>
    </w:p>
    <w:p w14:paraId="106CF2F0" w14:textId="77777777" w:rsidR="008E1F93" w:rsidRPr="000F0D48" w:rsidRDefault="008E1F93" w:rsidP="008E1F93">
      <w:pPr>
        <w:spacing w:after="0" w:line="240" w:lineRule="auto"/>
        <w:contextualSpacing/>
        <w:rPr>
          <w:rFonts w:ascii="Arial" w:hAnsi="Arial" w:cs="Arial"/>
          <w:sz w:val="24"/>
          <w:szCs w:val="24"/>
        </w:rPr>
      </w:pPr>
    </w:p>
    <w:p w14:paraId="3EB0890D" w14:textId="0D7FECED" w:rsidR="008E1F93" w:rsidRDefault="008E1F93" w:rsidP="008E1F93">
      <w:pPr>
        <w:spacing w:after="0" w:line="240" w:lineRule="auto"/>
        <w:contextualSpacing/>
        <w:rPr>
          <w:rFonts w:ascii="Arial" w:hAnsi="Arial" w:cs="Arial"/>
          <w:sz w:val="24"/>
          <w:szCs w:val="24"/>
        </w:rPr>
      </w:pPr>
      <w:r w:rsidRPr="000F0D48">
        <w:rPr>
          <w:rFonts w:ascii="Arial" w:hAnsi="Arial" w:cs="Arial"/>
          <w:sz w:val="24"/>
          <w:szCs w:val="24"/>
        </w:rPr>
        <w:t>U</w:t>
      </w:r>
      <w:r w:rsidR="000F0D48" w:rsidRPr="000F0D48">
        <w:rPr>
          <w:rFonts w:ascii="Arial" w:hAnsi="Arial" w:cs="Arial"/>
          <w:sz w:val="24"/>
          <w:szCs w:val="24"/>
        </w:rPr>
        <w:t>N</w:t>
      </w:r>
      <w:r w:rsidRPr="000F0D48">
        <w:rPr>
          <w:rFonts w:ascii="Arial" w:hAnsi="Arial" w:cs="Arial"/>
          <w:sz w:val="24"/>
          <w:szCs w:val="24"/>
        </w:rPr>
        <w:t xml:space="preserve"> REDD Programme. (2014). REDD+. United Nations REDD Programme. (</w:t>
      </w:r>
      <w:hyperlink r:id="rId24" w:history="1">
        <w:r w:rsidR="000F0D48" w:rsidRPr="005003DA">
          <w:rPr>
            <w:rStyle w:val="Hyperlink"/>
            <w:rFonts w:ascii="Arial" w:hAnsi="Arial" w:cs="Arial"/>
            <w:sz w:val="24"/>
            <w:szCs w:val="24"/>
          </w:rPr>
          <w:t>http://un-redd.org/AboutREDD</w:t>
        </w:r>
      </w:hyperlink>
      <w:r w:rsidRPr="000F0D48">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0F0D48">
        <w:rPr>
          <w:rFonts w:ascii="Arial" w:hAnsi="Arial" w:cs="Arial"/>
          <w:sz w:val="24"/>
          <w:szCs w:val="24"/>
        </w:rPr>
        <w:t>2016.)</w:t>
      </w:r>
    </w:p>
    <w:p w14:paraId="60B3D1B2" w14:textId="77777777" w:rsidR="00A21554" w:rsidRPr="00A21554" w:rsidRDefault="00A21554" w:rsidP="008E1F93">
      <w:pPr>
        <w:spacing w:after="0" w:line="240" w:lineRule="auto"/>
        <w:contextualSpacing/>
        <w:rPr>
          <w:rFonts w:ascii="Arial" w:hAnsi="Arial" w:cs="Arial"/>
          <w:sz w:val="24"/>
          <w:szCs w:val="24"/>
        </w:rPr>
      </w:pPr>
    </w:p>
    <w:p w14:paraId="6D8074ED" w14:textId="5A7F5153" w:rsidR="00A21554" w:rsidRDefault="00A21554" w:rsidP="008E1F93">
      <w:pPr>
        <w:spacing w:after="0" w:line="240" w:lineRule="auto"/>
        <w:contextualSpacing/>
        <w:rPr>
          <w:rFonts w:ascii="Arial" w:hAnsi="Arial" w:cs="Arial"/>
          <w:sz w:val="24"/>
          <w:szCs w:val="24"/>
        </w:rPr>
      </w:pPr>
      <w:r w:rsidRPr="00A21554">
        <w:rPr>
          <w:rFonts w:ascii="Arial" w:hAnsi="Arial" w:cs="Arial"/>
          <w:sz w:val="24"/>
          <w:szCs w:val="24"/>
        </w:rPr>
        <w:t xml:space="preserve">UWE. (2016a). </w:t>
      </w:r>
      <w:r w:rsidRPr="00A21554">
        <w:rPr>
          <w:rFonts w:ascii="Arial" w:hAnsi="Arial" w:cs="Arial"/>
          <w:i/>
          <w:sz w:val="24"/>
          <w:szCs w:val="24"/>
        </w:rPr>
        <w:t>Student and staff numbers</w:t>
      </w:r>
      <w:r>
        <w:rPr>
          <w:rFonts w:ascii="Arial" w:hAnsi="Arial" w:cs="Arial"/>
          <w:sz w:val="24"/>
          <w:szCs w:val="24"/>
        </w:rPr>
        <w:t>. University of the West of England.</w:t>
      </w:r>
      <w:r w:rsidRPr="00A21554">
        <w:rPr>
          <w:rFonts w:ascii="Arial" w:hAnsi="Arial" w:cs="Arial"/>
          <w:sz w:val="24"/>
          <w:szCs w:val="24"/>
        </w:rPr>
        <w:t xml:space="preserve"> (</w:t>
      </w:r>
      <w:hyperlink r:id="rId25" w:history="1">
        <w:r w:rsidRPr="00A21554">
          <w:rPr>
            <w:rStyle w:val="Hyperlink"/>
            <w:rFonts w:ascii="Arial" w:hAnsi="Arial" w:cs="Arial"/>
            <w:sz w:val="24"/>
            <w:szCs w:val="24"/>
          </w:rPr>
          <w:t>http://www1.uwe.ac.uk/aboutus/factsandfigures/studentandstaffnumbers.aspx</w:t>
        </w:r>
      </w:hyperlink>
      <w:r w:rsidRPr="00A21554">
        <w:rPr>
          <w:rFonts w:ascii="Arial" w:hAnsi="Arial" w:cs="Arial"/>
          <w:sz w:val="24"/>
          <w:szCs w:val="24"/>
        </w:rPr>
        <w:t>, accessed 3</w:t>
      </w:r>
      <w:r w:rsidRPr="00A21554">
        <w:rPr>
          <w:rFonts w:ascii="Arial" w:hAnsi="Arial" w:cs="Arial"/>
          <w:sz w:val="24"/>
          <w:szCs w:val="24"/>
          <w:vertAlign w:val="superscript"/>
        </w:rPr>
        <w:t>rd</w:t>
      </w:r>
      <w:r w:rsidRPr="00A21554">
        <w:rPr>
          <w:rFonts w:ascii="Arial" w:hAnsi="Arial" w:cs="Arial"/>
          <w:sz w:val="24"/>
          <w:szCs w:val="24"/>
        </w:rPr>
        <w:t xml:space="preserve"> February 2016.) </w:t>
      </w:r>
    </w:p>
    <w:p w14:paraId="4EA1D368" w14:textId="77777777" w:rsidR="00B06585" w:rsidRDefault="00B06585" w:rsidP="008E1F93">
      <w:pPr>
        <w:spacing w:after="0" w:line="240" w:lineRule="auto"/>
        <w:contextualSpacing/>
        <w:rPr>
          <w:rFonts w:ascii="Arial" w:hAnsi="Arial" w:cs="Arial"/>
          <w:sz w:val="24"/>
          <w:szCs w:val="24"/>
        </w:rPr>
      </w:pPr>
    </w:p>
    <w:p w14:paraId="3138248F" w14:textId="33218E0E" w:rsidR="00B06585" w:rsidRPr="00A21554" w:rsidRDefault="00B06585" w:rsidP="008E1F93">
      <w:pPr>
        <w:spacing w:after="0" w:line="240" w:lineRule="auto"/>
        <w:contextualSpacing/>
        <w:rPr>
          <w:rFonts w:ascii="Arial" w:hAnsi="Arial" w:cs="Arial"/>
          <w:sz w:val="24"/>
          <w:szCs w:val="24"/>
        </w:rPr>
      </w:pPr>
      <w:r w:rsidRPr="00B06585">
        <w:rPr>
          <w:rFonts w:ascii="Arial" w:hAnsi="Arial" w:cs="Arial"/>
          <w:sz w:val="24"/>
          <w:szCs w:val="24"/>
        </w:rPr>
        <w:t>UWE</w:t>
      </w:r>
      <w:r w:rsidR="007F7D91">
        <w:rPr>
          <w:rFonts w:ascii="Arial" w:hAnsi="Arial" w:cs="Arial"/>
          <w:sz w:val="24"/>
          <w:szCs w:val="24"/>
        </w:rPr>
        <w:t>.</w:t>
      </w:r>
      <w:r w:rsidRPr="00B06585">
        <w:rPr>
          <w:rFonts w:ascii="Arial" w:hAnsi="Arial" w:cs="Arial"/>
          <w:sz w:val="24"/>
          <w:szCs w:val="24"/>
        </w:rPr>
        <w:t xml:space="preserve"> (2016b). </w:t>
      </w:r>
      <w:r w:rsidRPr="00B06585">
        <w:rPr>
          <w:rFonts w:ascii="Arial" w:hAnsi="Arial" w:cs="Arial"/>
          <w:i/>
          <w:sz w:val="24"/>
          <w:szCs w:val="24"/>
        </w:rPr>
        <w:t>2014/15 Annual Sustainability Report</w:t>
      </w:r>
      <w:r>
        <w:rPr>
          <w:rFonts w:ascii="Arial" w:hAnsi="Arial" w:cs="Arial"/>
          <w:sz w:val="24"/>
          <w:szCs w:val="24"/>
        </w:rPr>
        <w:t>.</w:t>
      </w:r>
      <w:r w:rsidRPr="00B06585">
        <w:rPr>
          <w:rFonts w:ascii="Arial" w:hAnsi="Arial" w:cs="Arial"/>
          <w:sz w:val="24"/>
          <w:szCs w:val="24"/>
        </w:rPr>
        <w:t xml:space="preserve"> </w:t>
      </w:r>
      <w:r>
        <w:rPr>
          <w:rFonts w:ascii="Arial" w:hAnsi="Arial" w:cs="Arial"/>
          <w:sz w:val="24"/>
          <w:szCs w:val="24"/>
        </w:rPr>
        <w:t>University of the West of England.</w:t>
      </w:r>
    </w:p>
    <w:p w14:paraId="1586837A" w14:textId="77777777" w:rsidR="008E1F93" w:rsidRPr="00A21554" w:rsidRDefault="008E1F93" w:rsidP="008E1F93">
      <w:pPr>
        <w:spacing w:after="0" w:line="240" w:lineRule="auto"/>
        <w:contextualSpacing/>
        <w:rPr>
          <w:rFonts w:ascii="Arial" w:hAnsi="Arial" w:cs="Arial"/>
          <w:sz w:val="24"/>
          <w:szCs w:val="24"/>
        </w:rPr>
      </w:pPr>
    </w:p>
    <w:p w14:paraId="312BAD4B" w14:textId="5B62238B" w:rsidR="008E1F93" w:rsidRPr="000F0D48" w:rsidRDefault="008E1F93" w:rsidP="008E1F93">
      <w:pPr>
        <w:spacing w:after="0" w:line="240" w:lineRule="auto"/>
        <w:contextualSpacing/>
        <w:rPr>
          <w:rFonts w:ascii="Arial" w:hAnsi="Arial" w:cs="Arial"/>
          <w:sz w:val="24"/>
          <w:szCs w:val="24"/>
        </w:rPr>
      </w:pPr>
      <w:r w:rsidRPr="00A21554">
        <w:rPr>
          <w:rFonts w:ascii="Arial" w:hAnsi="Arial" w:cs="Arial"/>
          <w:sz w:val="24"/>
          <w:szCs w:val="24"/>
        </w:rPr>
        <w:t>W</w:t>
      </w:r>
      <w:r w:rsidRPr="000F0D48">
        <w:rPr>
          <w:rFonts w:ascii="Arial" w:hAnsi="Arial" w:cs="Arial"/>
          <w:sz w:val="24"/>
          <w:szCs w:val="24"/>
        </w:rPr>
        <w:t>orld Bank. (undated). About the World Bank. World Bank. (</w:t>
      </w:r>
      <w:hyperlink r:id="rId26" w:history="1">
        <w:r w:rsidR="000F0D48" w:rsidRPr="005003DA">
          <w:rPr>
            <w:rStyle w:val="Hyperlink"/>
            <w:rFonts w:ascii="Arial" w:hAnsi="Arial" w:cs="Arial"/>
            <w:sz w:val="24"/>
            <w:szCs w:val="24"/>
          </w:rPr>
          <w:t>http://www.worldbank.org/en/about</w:t>
        </w:r>
      </w:hyperlink>
      <w:r w:rsidRPr="000F0D48">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0F0D48">
        <w:rPr>
          <w:rFonts w:ascii="Arial" w:hAnsi="Arial" w:cs="Arial"/>
          <w:sz w:val="24"/>
          <w:szCs w:val="24"/>
        </w:rPr>
        <w:t>2016.)</w:t>
      </w:r>
    </w:p>
    <w:p w14:paraId="73A3EBE3" w14:textId="77777777" w:rsidR="008E1F93" w:rsidRPr="000F0D48" w:rsidRDefault="008E1F93" w:rsidP="008E1F93">
      <w:pPr>
        <w:spacing w:after="0" w:line="240" w:lineRule="auto"/>
        <w:contextualSpacing/>
        <w:rPr>
          <w:rFonts w:ascii="Arial" w:hAnsi="Arial" w:cs="Arial"/>
          <w:sz w:val="24"/>
          <w:szCs w:val="24"/>
        </w:rPr>
      </w:pPr>
    </w:p>
    <w:p w14:paraId="5D6290C0" w14:textId="44D11BCF" w:rsidR="008E1F93" w:rsidRPr="000F0D48" w:rsidRDefault="008E1F93" w:rsidP="008E1F93">
      <w:pPr>
        <w:spacing w:after="0" w:line="240" w:lineRule="auto"/>
        <w:contextualSpacing/>
        <w:rPr>
          <w:rFonts w:ascii="Arial" w:hAnsi="Arial" w:cs="Arial"/>
          <w:sz w:val="24"/>
          <w:szCs w:val="24"/>
        </w:rPr>
      </w:pPr>
      <w:r w:rsidRPr="000F0D48">
        <w:rPr>
          <w:rFonts w:ascii="Arial" w:hAnsi="Arial" w:cs="Arial"/>
          <w:sz w:val="24"/>
          <w:szCs w:val="24"/>
        </w:rPr>
        <w:t>Wunder, S. (2005). Payments for environmental services: Some nuts and bolts. Center for International Forestry Research Occasional Paper No. 42. (</w:t>
      </w:r>
      <w:hyperlink r:id="rId27" w:history="1">
        <w:r w:rsidR="000F0D48" w:rsidRPr="005003DA">
          <w:rPr>
            <w:rStyle w:val="Hyperlink"/>
            <w:rFonts w:ascii="Arial" w:hAnsi="Arial" w:cs="Arial"/>
            <w:sz w:val="24"/>
            <w:szCs w:val="24"/>
          </w:rPr>
          <w:t>www.cifor.org/publications/pdf_files/OccPapers/OP-42.pdf</w:t>
        </w:r>
      </w:hyperlink>
      <w:r w:rsidRPr="000F0D48">
        <w:rPr>
          <w:rFonts w:ascii="Arial" w:hAnsi="Arial" w:cs="Arial"/>
          <w:sz w:val="24"/>
          <w:szCs w:val="24"/>
        </w:rPr>
        <w:t xml:space="preserve">, accessed </w:t>
      </w:r>
      <w:r w:rsidR="000F0D48">
        <w:rPr>
          <w:rFonts w:ascii="Arial" w:hAnsi="Arial" w:cs="Arial"/>
          <w:sz w:val="24"/>
          <w:szCs w:val="24"/>
        </w:rPr>
        <w:t>1</w:t>
      </w:r>
      <w:r w:rsidR="000F0D48" w:rsidRPr="000F0D48">
        <w:rPr>
          <w:rFonts w:ascii="Arial" w:hAnsi="Arial" w:cs="Arial"/>
          <w:sz w:val="24"/>
          <w:szCs w:val="24"/>
          <w:vertAlign w:val="superscript"/>
        </w:rPr>
        <w:t>st</w:t>
      </w:r>
      <w:r w:rsidR="000F0D48">
        <w:rPr>
          <w:rFonts w:ascii="Arial" w:hAnsi="Arial" w:cs="Arial"/>
          <w:sz w:val="24"/>
          <w:szCs w:val="24"/>
        </w:rPr>
        <w:t xml:space="preserve"> February </w:t>
      </w:r>
      <w:r w:rsidRPr="000F0D48">
        <w:rPr>
          <w:rFonts w:ascii="Arial" w:hAnsi="Arial" w:cs="Arial"/>
          <w:sz w:val="24"/>
          <w:szCs w:val="24"/>
        </w:rPr>
        <w:t>2016.)</w:t>
      </w:r>
    </w:p>
    <w:p w14:paraId="6E0B1CEC" w14:textId="77777777" w:rsidR="005A4EBA" w:rsidRPr="000F0D48" w:rsidRDefault="005A4EBA" w:rsidP="008E1F93">
      <w:pPr>
        <w:spacing w:after="0" w:line="240" w:lineRule="auto"/>
        <w:contextualSpacing/>
        <w:rPr>
          <w:rFonts w:ascii="Arial" w:hAnsi="Arial" w:cs="Arial"/>
          <w:sz w:val="24"/>
          <w:szCs w:val="24"/>
        </w:rPr>
      </w:pPr>
    </w:p>
    <w:sectPr w:rsidR="005A4EBA" w:rsidRPr="000F0D48" w:rsidSect="00ED671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58A4" w14:textId="77777777" w:rsidR="006C2FF9" w:rsidRDefault="006C2FF9" w:rsidP="00E95DF9">
      <w:pPr>
        <w:spacing w:after="0" w:line="240" w:lineRule="auto"/>
      </w:pPr>
      <w:r>
        <w:separator/>
      </w:r>
    </w:p>
  </w:endnote>
  <w:endnote w:type="continuationSeparator" w:id="0">
    <w:p w14:paraId="7C27FC5E" w14:textId="77777777" w:rsidR="006C2FF9" w:rsidRDefault="006C2FF9" w:rsidP="00E9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da Light">
    <w:altName w:val="Agenda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5273" w14:textId="77777777" w:rsidR="00DE7EDF" w:rsidRDefault="00DE7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98863940"/>
      <w:docPartObj>
        <w:docPartGallery w:val="Page Numbers (Bottom of Page)"/>
        <w:docPartUnique/>
      </w:docPartObj>
    </w:sdtPr>
    <w:sdtEndPr>
      <w:rPr>
        <w:noProof/>
      </w:rPr>
    </w:sdtEndPr>
    <w:sdtContent>
      <w:p w14:paraId="09896BF2" w14:textId="12EB84B7" w:rsidR="00DD2120" w:rsidRPr="006C0242" w:rsidRDefault="00DD2120" w:rsidP="008E1F93">
        <w:pPr>
          <w:spacing w:after="0" w:line="240" w:lineRule="auto"/>
          <w:jc w:val="center"/>
          <w:rPr>
            <w:rFonts w:ascii="Arial" w:hAnsi="Arial" w:cs="Arial"/>
          </w:rPr>
        </w:pPr>
        <w:r w:rsidRPr="006C0242">
          <w:rPr>
            <w:rFonts w:ascii="Arial" w:hAnsi="Arial" w:cs="Arial"/>
          </w:rPr>
          <w:t>Developed-</w:t>
        </w:r>
        <w:r>
          <w:rPr>
            <w:rFonts w:ascii="Arial" w:hAnsi="Arial" w:cs="Arial"/>
          </w:rPr>
          <w:t>developing world partnerships (2</w:t>
        </w:r>
        <w:r w:rsidRPr="006C0242">
          <w:rPr>
            <w:rFonts w:ascii="Arial" w:hAnsi="Arial" w:cs="Arial"/>
          </w:rPr>
          <w:t xml:space="preserve">): </w:t>
        </w:r>
        <w:r>
          <w:rPr>
            <w:rFonts w:ascii="Arial" w:hAnsi="Arial" w:cs="Arial"/>
          </w:rPr>
          <w:t>the PES case</w:t>
        </w:r>
        <w:r w:rsidRPr="006C0242">
          <w:rPr>
            <w:rFonts w:ascii="Arial" w:hAnsi="Arial" w:cs="Arial"/>
          </w:rPr>
          <w:t xml:space="preserve">; Page </w:t>
        </w:r>
        <w:r w:rsidRPr="006C0242">
          <w:rPr>
            <w:rFonts w:ascii="Arial" w:hAnsi="Arial" w:cs="Arial"/>
          </w:rPr>
          <w:fldChar w:fldCharType="begin"/>
        </w:r>
        <w:r w:rsidRPr="006C0242">
          <w:rPr>
            <w:rFonts w:ascii="Arial" w:hAnsi="Arial" w:cs="Arial"/>
          </w:rPr>
          <w:instrText xml:space="preserve"> PAGE   \* MERGEFORMAT </w:instrText>
        </w:r>
        <w:r w:rsidRPr="006C0242">
          <w:rPr>
            <w:rFonts w:ascii="Arial" w:hAnsi="Arial" w:cs="Arial"/>
          </w:rPr>
          <w:fldChar w:fldCharType="separate"/>
        </w:r>
        <w:r w:rsidR="00DE7EDF">
          <w:rPr>
            <w:rFonts w:ascii="Arial" w:hAnsi="Arial" w:cs="Arial"/>
            <w:noProof/>
          </w:rPr>
          <w:t>1</w:t>
        </w:r>
        <w:r w:rsidRPr="006C0242">
          <w:rPr>
            <w:rFonts w:ascii="Arial" w:hAnsi="Arial" w:cs="Arial"/>
            <w:noProof/>
          </w:rPr>
          <w:fldChar w:fldCharType="end"/>
        </w:r>
      </w:p>
    </w:sdtContent>
  </w:sdt>
  <w:p w14:paraId="11149C5A" w14:textId="73B53399" w:rsidR="00DD2120" w:rsidRPr="008E1F93" w:rsidRDefault="00DD2120" w:rsidP="008E1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3F2F" w14:textId="77777777" w:rsidR="00DE7EDF" w:rsidRDefault="00DE7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0C97" w14:textId="77777777" w:rsidR="006C2FF9" w:rsidRDefault="006C2FF9" w:rsidP="00E95DF9">
      <w:pPr>
        <w:spacing w:after="0" w:line="240" w:lineRule="auto"/>
      </w:pPr>
      <w:r>
        <w:separator/>
      </w:r>
    </w:p>
  </w:footnote>
  <w:footnote w:type="continuationSeparator" w:id="0">
    <w:p w14:paraId="71A666B2" w14:textId="77777777" w:rsidR="006C2FF9" w:rsidRDefault="006C2FF9" w:rsidP="00E9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DA66" w14:textId="77777777" w:rsidR="00DE7EDF" w:rsidRDefault="00DE7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D5F8" w14:textId="77777777" w:rsidR="00DE7EDF" w:rsidRPr="00434F9F" w:rsidRDefault="00DE7EDF" w:rsidP="00DE7EDF">
    <w:pPr>
      <w:pStyle w:val="Header"/>
    </w:pPr>
    <w:r>
      <w:rPr>
        <w:noProof/>
        <w:lang w:eastAsia="en-GB"/>
      </w:rPr>
      <mc:AlternateContent>
        <mc:Choice Requires="wps">
          <w:drawing>
            <wp:anchor distT="0" distB="0" distL="114300" distR="114300" simplePos="0" relativeHeight="251659264" behindDoc="0" locked="0" layoutInCell="1" allowOverlap="1" wp14:anchorId="12375786" wp14:editId="70256DA5">
              <wp:simplePos x="0" y="0"/>
              <wp:positionH relativeFrom="column">
                <wp:posOffset>9524</wp:posOffset>
              </wp:positionH>
              <wp:positionV relativeFrom="paragraph">
                <wp:posOffset>3723005</wp:posOffset>
              </wp:positionV>
              <wp:extent cx="6084777" cy="3512820"/>
              <wp:effectExtent l="1323975" t="466725" r="1335405" b="478155"/>
              <wp:wrapNone/>
              <wp:docPr id="3" name="Text Box 3"/>
              <wp:cNvGraphicFramePr/>
              <a:graphic xmlns:a="http://schemas.openxmlformats.org/drawingml/2006/main">
                <a:graphicData uri="http://schemas.microsoft.com/office/word/2010/wordprocessingShape">
                  <wps:wsp>
                    <wps:cNvSpPr txBox="1"/>
                    <wps:spPr>
                      <a:xfrm rot="18228300">
                        <a:off x="0" y="0"/>
                        <a:ext cx="6084777" cy="3512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2E14A" w14:textId="77777777" w:rsidR="00DE7EDF" w:rsidRPr="00434F9F" w:rsidRDefault="00DE7EDF" w:rsidP="00DE7EDF">
                          <w:pPr>
                            <w:jc w:val="center"/>
                            <w:rPr>
                              <w:b/>
                              <w:color w:val="BFBFBF" w:themeColor="background1" w:themeShade="BF"/>
                              <w:sz w:val="72"/>
                              <w:szCs w:val="72"/>
                            </w:rPr>
                          </w:pPr>
                          <w:r w:rsidRPr="00434F9F">
                            <w:rPr>
                              <w:b/>
                              <w:color w:val="BFBFBF" w:themeColor="background1" w:themeShade="BF"/>
                              <w:sz w:val="72"/>
                              <w:szCs w:val="72"/>
                            </w:rPr>
                            <w:t>FULL TEXT VERSION</w:t>
                          </w:r>
                        </w:p>
                        <w:p w14:paraId="4DD9BD3B" w14:textId="77777777" w:rsidR="00DE7EDF" w:rsidRPr="00434F9F" w:rsidRDefault="00DE7EDF" w:rsidP="00DE7EDF">
                          <w:pPr>
                            <w:jc w:val="center"/>
                            <w:rPr>
                              <w:b/>
                              <w:color w:val="BFBFBF" w:themeColor="background1" w:themeShade="BF"/>
                              <w:sz w:val="44"/>
                              <w:szCs w:val="44"/>
                            </w:rPr>
                          </w:pPr>
                          <w:r w:rsidRPr="00434F9F">
                            <w:rPr>
                              <w:b/>
                              <w:color w:val="BFBFBF" w:themeColor="background1" w:themeShade="BF"/>
                              <w:sz w:val="44"/>
                              <w:szCs w:val="44"/>
                            </w:rPr>
                            <w:t>of paper accepted for publication 27</w:t>
                          </w:r>
                          <w:r w:rsidRPr="00434F9F">
                            <w:rPr>
                              <w:b/>
                              <w:color w:val="BFBFBF" w:themeColor="background1" w:themeShade="BF"/>
                              <w:sz w:val="44"/>
                              <w:szCs w:val="44"/>
                              <w:vertAlign w:val="superscript"/>
                            </w:rPr>
                            <w:t>th</w:t>
                          </w:r>
                          <w:r w:rsidRPr="00434F9F">
                            <w:rPr>
                              <w:b/>
                              <w:color w:val="BFBFBF" w:themeColor="background1" w:themeShade="BF"/>
                              <w:sz w:val="44"/>
                              <w:szCs w:val="44"/>
                            </w:rPr>
                            <w:t xml:space="preserve"> September 2016</w:t>
                          </w:r>
                        </w:p>
                        <w:p w14:paraId="353D6942" w14:textId="77777777" w:rsidR="00DE7EDF" w:rsidRPr="00434F9F" w:rsidRDefault="00DE7EDF" w:rsidP="00DE7EDF">
                          <w:pPr>
                            <w:jc w:val="center"/>
                            <w:rPr>
                              <w:b/>
                              <w:color w:val="BFBFBF" w:themeColor="background1" w:themeShade="BF"/>
                              <w:sz w:val="52"/>
                              <w:szCs w:val="52"/>
                            </w:rPr>
                          </w:pPr>
                          <w:r w:rsidRPr="00434F9F">
                            <w:rPr>
                              <w:b/>
                              <w:color w:val="BFBFBF" w:themeColor="background1" w:themeShade="BF"/>
                              <w:sz w:val="52"/>
                              <w:szCs w:val="52"/>
                            </w:rPr>
                            <w:t xml:space="preserve">by the journal </w:t>
                          </w:r>
                          <w:r w:rsidRPr="00434F9F">
                            <w:rPr>
                              <w:b/>
                              <w:i/>
                              <w:color w:val="BFBFBF" w:themeColor="background1" w:themeShade="BF"/>
                              <w:sz w:val="52"/>
                              <w:szCs w:val="52"/>
                            </w:rPr>
                            <w:t>Ecosystem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75786" id="_x0000_t202" coordsize="21600,21600" o:spt="202" path="m,l,21600r21600,l21600,xe">
              <v:stroke joinstyle="miter"/>
              <v:path gradientshapeok="t" o:connecttype="rect"/>
            </v:shapetype>
            <v:shape id="Text Box 3" o:spid="_x0000_s1026" type="#_x0000_t202" style="position:absolute;margin-left:.75pt;margin-top:293.15pt;width:479.1pt;height:276.6pt;rotation:-368279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NylgIAAJoFAAAOAAAAZHJzL2Uyb0RvYy54bWysVE1vGyEQvVfqf0Dcm11/JHatrCM3UapK&#10;URLVqXLGLMSowFDA3nV/fQZ27bhpLql6QQM85uPNY84vWqPJVvigwFZ0cFJSIiyHWtmniv54uP40&#10;pSREZmumwYqK7kSgF/OPH84bNxNDWIOuhSfoxIZZ4yq6jtHNiiLwtTAsnIATFi8leMMibv1TUXvW&#10;oHeji2FZnhUN+Np54CIEPL3qLuk8+5dS8HgnZRCR6IpibjGvPq+rtBbzczZ78sytFe/TYP+QhWHK&#10;YtCDqysWGdl49Zcro7iHADKecDAFSKm4yDVgNYPyVTXLNXMi14LkBHegKfw/t/x2e++Jqis6osQy&#10;gy16EG0kX6Alo8RO48IMQUuHsNjiMXZ5fx7wMBXdSm+IByR3MB0Op6OyzFxgdQThSPvuQHXyzfHw&#10;rJyOJ5MJJRzvRqeD4XSYm1F03pJX50P8KsCQZFTUYy+zW7a9CREzQ+gekuABtKqvldZ5k/QjLrUn&#10;W4ad1zHnjC/+QGlLGkxldNrlayE97zxrm9yIrKA+XGKiqzhbcadFwmj7XUhkMFf6RmzGubCH+Bmd&#10;UBJDvedhj3/J6j2PuzrwRY4MNh4eG2XBZ1rzl3uhrP65p0x2eCT8qO5kxnbV9gpZQb1DgWQNYL+D&#10;49cKu3bDQrxnHn8UHuKUiHe4SA3IOvQWJWvwv986T3gUOt5S0uAPrWj4tWFeUKK/WfwCnwfjcfrS&#10;eTM+naCAiD++WR3f2I25BJTCIGeXzYSPem9KD+YRh8kiRcUrZjnGrmjcm5exmxs4jLhYLDIIP7Fj&#10;8cYuHU+uE71Jkw/tI/OuF25Ezd/C/i+z2Sv9dtj00sJiE0GqLO5EcMdqTzwOgKz5flilCXO8z6iX&#10;kTp/BgAA//8DAFBLAwQUAAYACAAAACEAU99+EeEAAAAMAQAADwAAAGRycy9kb3ducmV2LnhtbEyP&#10;wU7DMBBE70j8g7VI3KiDU0gV4lRVEeKEBC0Hjm68TULjdYidNPw9ywmOqx3NvFesZ9eJCYfQetJw&#10;u0hAIFXetlRreN8/3axAhGjIms4TavjGAOvy8qIwufVnesNpF2vBJRRyo6GJsc+lDFWDzoSF75H4&#10;d/SDM5HPoZZ2MGcud51USXIvnWmJFxrT47bB6rQbnYavTbZVx+dx/zp/4DSdHq3yny9aX1/NmwcQ&#10;Eef4F4ZffEaHkpkOfiQbRKdBJUt2iRrSVcoOnMjuMgXiwNF0qRKQZSH/S5Q/AAAA//8DAFBLAQIt&#10;ABQABgAIAAAAIQC2gziS/gAAAOEBAAATAAAAAAAAAAAAAAAAAAAAAABbQ29udGVudF9UeXBlc10u&#10;eG1sUEsBAi0AFAAGAAgAAAAhADj9If/WAAAAlAEAAAsAAAAAAAAAAAAAAAAALwEAAF9yZWxzLy5y&#10;ZWxzUEsBAi0AFAAGAAgAAAAhAIbAY3KWAgAAmgUAAA4AAAAAAAAAAAAAAAAALgIAAGRycy9lMm9E&#10;b2MueG1sUEsBAi0AFAAGAAgAAAAhAFPffhHhAAAADAEAAA8AAAAAAAAAAAAAAAAA8AQAAGRycy9k&#10;b3ducmV2LnhtbFBLBQYAAAAABAAEAPMAAAD+BQAAAAA=&#10;" fillcolor="white [3201]" stroked="f" strokeweight=".5pt">
              <v:textbox>
                <w:txbxContent>
                  <w:p w14:paraId="7092E14A" w14:textId="77777777" w:rsidR="00DE7EDF" w:rsidRPr="00434F9F" w:rsidRDefault="00DE7EDF" w:rsidP="00DE7EDF">
                    <w:pPr>
                      <w:jc w:val="center"/>
                      <w:rPr>
                        <w:b/>
                        <w:color w:val="BFBFBF" w:themeColor="background1" w:themeShade="BF"/>
                        <w:sz w:val="72"/>
                        <w:szCs w:val="72"/>
                      </w:rPr>
                    </w:pPr>
                    <w:r w:rsidRPr="00434F9F">
                      <w:rPr>
                        <w:b/>
                        <w:color w:val="BFBFBF" w:themeColor="background1" w:themeShade="BF"/>
                        <w:sz w:val="72"/>
                        <w:szCs w:val="72"/>
                      </w:rPr>
                      <w:t>FULL TEXT VERSION</w:t>
                    </w:r>
                  </w:p>
                  <w:p w14:paraId="4DD9BD3B" w14:textId="77777777" w:rsidR="00DE7EDF" w:rsidRPr="00434F9F" w:rsidRDefault="00DE7EDF" w:rsidP="00DE7EDF">
                    <w:pPr>
                      <w:jc w:val="center"/>
                      <w:rPr>
                        <w:b/>
                        <w:color w:val="BFBFBF" w:themeColor="background1" w:themeShade="BF"/>
                        <w:sz w:val="44"/>
                        <w:szCs w:val="44"/>
                      </w:rPr>
                    </w:pPr>
                    <w:r w:rsidRPr="00434F9F">
                      <w:rPr>
                        <w:b/>
                        <w:color w:val="BFBFBF" w:themeColor="background1" w:themeShade="BF"/>
                        <w:sz w:val="44"/>
                        <w:szCs w:val="44"/>
                      </w:rPr>
                      <w:t>of paper accepted for publication 27</w:t>
                    </w:r>
                    <w:r w:rsidRPr="00434F9F">
                      <w:rPr>
                        <w:b/>
                        <w:color w:val="BFBFBF" w:themeColor="background1" w:themeShade="BF"/>
                        <w:sz w:val="44"/>
                        <w:szCs w:val="44"/>
                        <w:vertAlign w:val="superscript"/>
                      </w:rPr>
                      <w:t>th</w:t>
                    </w:r>
                    <w:r w:rsidRPr="00434F9F">
                      <w:rPr>
                        <w:b/>
                        <w:color w:val="BFBFBF" w:themeColor="background1" w:themeShade="BF"/>
                        <w:sz w:val="44"/>
                        <w:szCs w:val="44"/>
                      </w:rPr>
                      <w:t xml:space="preserve"> September 2016</w:t>
                    </w:r>
                  </w:p>
                  <w:p w14:paraId="353D6942" w14:textId="77777777" w:rsidR="00DE7EDF" w:rsidRPr="00434F9F" w:rsidRDefault="00DE7EDF" w:rsidP="00DE7EDF">
                    <w:pPr>
                      <w:jc w:val="center"/>
                      <w:rPr>
                        <w:b/>
                        <w:color w:val="BFBFBF" w:themeColor="background1" w:themeShade="BF"/>
                        <w:sz w:val="52"/>
                        <w:szCs w:val="52"/>
                      </w:rPr>
                    </w:pPr>
                    <w:r w:rsidRPr="00434F9F">
                      <w:rPr>
                        <w:b/>
                        <w:color w:val="BFBFBF" w:themeColor="background1" w:themeShade="BF"/>
                        <w:sz w:val="52"/>
                        <w:szCs w:val="52"/>
                      </w:rPr>
                      <w:t xml:space="preserve">by the journal </w:t>
                    </w:r>
                    <w:r w:rsidRPr="00434F9F">
                      <w:rPr>
                        <w:b/>
                        <w:i/>
                        <w:color w:val="BFBFBF" w:themeColor="background1" w:themeShade="BF"/>
                        <w:sz w:val="52"/>
                        <w:szCs w:val="52"/>
                      </w:rPr>
                      <w:t>Ecosystem Services</w:t>
                    </w:r>
                  </w:p>
                </w:txbxContent>
              </v:textbox>
            </v:shape>
          </w:pict>
        </mc:Fallback>
      </mc:AlternateContent>
    </w:r>
  </w:p>
  <w:p w14:paraId="4D2F2006" w14:textId="77777777" w:rsidR="00DE7EDF" w:rsidRDefault="00DE7EDF">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345D" w14:textId="77777777" w:rsidR="00DE7EDF" w:rsidRDefault="00DE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14E"/>
    <w:multiLevelType w:val="hybridMultilevel"/>
    <w:tmpl w:val="A762F176"/>
    <w:lvl w:ilvl="0" w:tplc="C9FC83B2">
      <w:start w:val="1"/>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032A7F2F"/>
    <w:multiLevelType w:val="hybridMultilevel"/>
    <w:tmpl w:val="FAD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177A"/>
    <w:multiLevelType w:val="hybridMultilevel"/>
    <w:tmpl w:val="9952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1661B"/>
    <w:multiLevelType w:val="hybridMultilevel"/>
    <w:tmpl w:val="BD9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82ED4"/>
    <w:multiLevelType w:val="hybridMultilevel"/>
    <w:tmpl w:val="D0305C92"/>
    <w:lvl w:ilvl="0" w:tplc="FFFFFFFF">
      <w:start w:val="1"/>
      <w:numFmt w:val="bullet"/>
      <w:pStyle w:val="BulletPoints1"/>
      <w:lvlText w:val=""/>
      <w:lvlJc w:val="left"/>
      <w:pPr>
        <w:tabs>
          <w:tab w:val="num" w:pos="283"/>
        </w:tabs>
        <w:ind w:left="283" w:hanging="283"/>
      </w:pPr>
      <w:rPr>
        <w:rFonts w:ascii="Symbol" w:hAnsi="Symbol" w:hint="default"/>
      </w:rPr>
    </w:lvl>
    <w:lvl w:ilvl="1" w:tplc="FFFFFFFF">
      <w:start w:val="1"/>
      <w:numFmt w:val="bullet"/>
      <w:lvlText w:val="o"/>
      <w:lvlJc w:val="left"/>
      <w:pPr>
        <w:tabs>
          <w:tab w:val="num" w:pos="589"/>
        </w:tabs>
        <w:ind w:left="589" w:hanging="360"/>
      </w:pPr>
      <w:rPr>
        <w:rFonts w:ascii="Courier New" w:hAnsi="Courier New" w:cs="Courier New" w:hint="default"/>
      </w:rPr>
    </w:lvl>
    <w:lvl w:ilvl="2" w:tplc="FFFFFFFF">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cs="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65B1145C"/>
    <w:multiLevelType w:val="hybridMultilevel"/>
    <w:tmpl w:val="814489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25502C6"/>
    <w:multiLevelType w:val="hybridMultilevel"/>
    <w:tmpl w:val="90A6CE4A"/>
    <w:lvl w:ilvl="0" w:tplc="08090001">
      <w:start w:val="1"/>
      <w:numFmt w:val="bullet"/>
      <w:lvlText w:val=""/>
      <w:lvlJc w:val="left"/>
      <w:pPr>
        <w:ind w:left="468" w:hanging="360"/>
      </w:pPr>
      <w:rPr>
        <w:rFonts w:ascii="Symbol" w:hAnsi="Symbol"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0"/>
    <w:rsid w:val="00000258"/>
    <w:rsid w:val="00000E8D"/>
    <w:rsid w:val="00002DF3"/>
    <w:rsid w:val="00004370"/>
    <w:rsid w:val="00005B1A"/>
    <w:rsid w:val="00007519"/>
    <w:rsid w:val="000078ED"/>
    <w:rsid w:val="00012F00"/>
    <w:rsid w:val="00015AB1"/>
    <w:rsid w:val="00020498"/>
    <w:rsid w:val="0002261C"/>
    <w:rsid w:val="00026153"/>
    <w:rsid w:val="00027F4D"/>
    <w:rsid w:val="00032D2D"/>
    <w:rsid w:val="00033781"/>
    <w:rsid w:val="00033CB4"/>
    <w:rsid w:val="00034027"/>
    <w:rsid w:val="000350D8"/>
    <w:rsid w:val="0005314C"/>
    <w:rsid w:val="00053239"/>
    <w:rsid w:val="00054187"/>
    <w:rsid w:val="00060200"/>
    <w:rsid w:val="00063AB2"/>
    <w:rsid w:val="00063AC9"/>
    <w:rsid w:val="00063D84"/>
    <w:rsid w:val="00066C64"/>
    <w:rsid w:val="00066EFC"/>
    <w:rsid w:val="00071E5E"/>
    <w:rsid w:val="00075D9C"/>
    <w:rsid w:val="0007634C"/>
    <w:rsid w:val="00077BCE"/>
    <w:rsid w:val="00080289"/>
    <w:rsid w:val="0009062E"/>
    <w:rsid w:val="00091874"/>
    <w:rsid w:val="00092F83"/>
    <w:rsid w:val="000934E6"/>
    <w:rsid w:val="000943A7"/>
    <w:rsid w:val="00095B67"/>
    <w:rsid w:val="000963CE"/>
    <w:rsid w:val="00096DB0"/>
    <w:rsid w:val="00097FE2"/>
    <w:rsid w:val="000A35A0"/>
    <w:rsid w:val="000A42A2"/>
    <w:rsid w:val="000A4FA5"/>
    <w:rsid w:val="000A5942"/>
    <w:rsid w:val="000A71C0"/>
    <w:rsid w:val="000A75C4"/>
    <w:rsid w:val="000B1091"/>
    <w:rsid w:val="000B10A8"/>
    <w:rsid w:val="000B2BF5"/>
    <w:rsid w:val="000B3BD7"/>
    <w:rsid w:val="000B3FB7"/>
    <w:rsid w:val="000C2E1D"/>
    <w:rsid w:val="000C358E"/>
    <w:rsid w:val="000C3F05"/>
    <w:rsid w:val="000C7B5F"/>
    <w:rsid w:val="000D04AD"/>
    <w:rsid w:val="000D2D14"/>
    <w:rsid w:val="000D2DA5"/>
    <w:rsid w:val="000D6DB0"/>
    <w:rsid w:val="000E1C21"/>
    <w:rsid w:val="000E1C42"/>
    <w:rsid w:val="000E553A"/>
    <w:rsid w:val="000E7262"/>
    <w:rsid w:val="000F0D48"/>
    <w:rsid w:val="000F28B6"/>
    <w:rsid w:val="000F647E"/>
    <w:rsid w:val="000F7B13"/>
    <w:rsid w:val="001008A8"/>
    <w:rsid w:val="001010EC"/>
    <w:rsid w:val="00102B51"/>
    <w:rsid w:val="00105540"/>
    <w:rsid w:val="00106BF9"/>
    <w:rsid w:val="00107DDD"/>
    <w:rsid w:val="001104A6"/>
    <w:rsid w:val="00111C6F"/>
    <w:rsid w:val="0011282D"/>
    <w:rsid w:val="00112FAF"/>
    <w:rsid w:val="00122731"/>
    <w:rsid w:val="00131034"/>
    <w:rsid w:val="001331FE"/>
    <w:rsid w:val="00133771"/>
    <w:rsid w:val="00133A32"/>
    <w:rsid w:val="001341FD"/>
    <w:rsid w:val="00141855"/>
    <w:rsid w:val="00142ABD"/>
    <w:rsid w:val="0014464C"/>
    <w:rsid w:val="001517D4"/>
    <w:rsid w:val="00152828"/>
    <w:rsid w:val="00153D5D"/>
    <w:rsid w:val="00155A4D"/>
    <w:rsid w:val="00157F89"/>
    <w:rsid w:val="0016092C"/>
    <w:rsid w:val="00160B14"/>
    <w:rsid w:val="00161F48"/>
    <w:rsid w:val="001635BC"/>
    <w:rsid w:val="00163D07"/>
    <w:rsid w:val="0016407E"/>
    <w:rsid w:val="001701A5"/>
    <w:rsid w:val="0017608B"/>
    <w:rsid w:val="001764E1"/>
    <w:rsid w:val="00177492"/>
    <w:rsid w:val="00177E41"/>
    <w:rsid w:val="0018141A"/>
    <w:rsid w:val="00182150"/>
    <w:rsid w:val="00187F8F"/>
    <w:rsid w:val="00190D95"/>
    <w:rsid w:val="00192DB8"/>
    <w:rsid w:val="00192F44"/>
    <w:rsid w:val="00194664"/>
    <w:rsid w:val="001974F2"/>
    <w:rsid w:val="001A2C34"/>
    <w:rsid w:val="001B0A4C"/>
    <w:rsid w:val="001B0A68"/>
    <w:rsid w:val="001B1BB4"/>
    <w:rsid w:val="001B2C42"/>
    <w:rsid w:val="001C140C"/>
    <w:rsid w:val="001C1A7A"/>
    <w:rsid w:val="001C47F5"/>
    <w:rsid w:val="001D17A2"/>
    <w:rsid w:val="001D3376"/>
    <w:rsid w:val="001D3AD4"/>
    <w:rsid w:val="001D3EA6"/>
    <w:rsid w:val="001D6530"/>
    <w:rsid w:val="001D68A0"/>
    <w:rsid w:val="001E0C46"/>
    <w:rsid w:val="001E1F7C"/>
    <w:rsid w:val="001E2C76"/>
    <w:rsid w:val="001E49EB"/>
    <w:rsid w:val="001E7942"/>
    <w:rsid w:val="001F0E2D"/>
    <w:rsid w:val="001F2D33"/>
    <w:rsid w:val="001F356E"/>
    <w:rsid w:val="001F599A"/>
    <w:rsid w:val="00200A71"/>
    <w:rsid w:val="0020342E"/>
    <w:rsid w:val="002145AE"/>
    <w:rsid w:val="0021584F"/>
    <w:rsid w:val="00216071"/>
    <w:rsid w:val="0022463C"/>
    <w:rsid w:val="00224764"/>
    <w:rsid w:val="00224CCC"/>
    <w:rsid w:val="00232112"/>
    <w:rsid w:val="00233123"/>
    <w:rsid w:val="00235A6A"/>
    <w:rsid w:val="00243B4E"/>
    <w:rsid w:val="002446F6"/>
    <w:rsid w:val="00244A73"/>
    <w:rsid w:val="00245AAF"/>
    <w:rsid w:val="00255747"/>
    <w:rsid w:val="00256A09"/>
    <w:rsid w:val="00257AA2"/>
    <w:rsid w:val="00261ED6"/>
    <w:rsid w:val="0026409F"/>
    <w:rsid w:val="002650B5"/>
    <w:rsid w:val="00271F76"/>
    <w:rsid w:val="0027664C"/>
    <w:rsid w:val="00276D34"/>
    <w:rsid w:val="00277059"/>
    <w:rsid w:val="00281FAD"/>
    <w:rsid w:val="00282216"/>
    <w:rsid w:val="00283BC3"/>
    <w:rsid w:val="00283D52"/>
    <w:rsid w:val="002846A7"/>
    <w:rsid w:val="00284E30"/>
    <w:rsid w:val="00285721"/>
    <w:rsid w:val="00286292"/>
    <w:rsid w:val="002862F6"/>
    <w:rsid w:val="00293D56"/>
    <w:rsid w:val="00294ABF"/>
    <w:rsid w:val="0029722C"/>
    <w:rsid w:val="00297D19"/>
    <w:rsid w:val="002A1762"/>
    <w:rsid w:val="002A2208"/>
    <w:rsid w:val="002A36DB"/>
    <w:rsid w:val="002A4C0E"/>
    <w:rsid w:val="002A6A54"/>
    <w:rsid w:val="002B2189"/>
    <w:rsid w:val="002B430E"/>
    <w:rsid w:val="002B5F3E"/>
    <w:rsid w:val="002B641C"/>
    <w:rsid w:val="002C197F"/>
    <w:rsid w:val="002C4699"/>
    <w:rsid w:val="002C61A2"/>
    <w:rsid w:val="002D1C50"/>
    <w:rsid w:val="002D285E"/>
    <w:rsid w:val="002D3CA2"/>
    <w:rsid w:val="002E0BF7"/>
    <w:rsid w:val="002E4D66"/>
    <w:rsid w:val="002E522D"/>
    <w:rsid w:val="002E7090"/>
    <w:rsid w:val="002F0744"/>
    <w:rsid w:val="002F0C1D"/>
    <w:rsid w:val="002F46D6"/>
    <w:rsid w:val="0031230A"/>
    <w:rsid w:val="003136AC"/>
    <w:rsid w:val="00320ECD"/>
    <w:rsid w:val="00321C13"/>
    <w:rsid w:val="003230A2"/>
    <w:rsid w:val="003268C2"/>
    <w:rsid w:val="0033087F"/>
    <w:rsid w:val="00333F96"/>
    <w:rsid w:val="00335CF9"/>
    <w:rsid w:val="00337498"/>
    <w:rsid w:val="0034032A"/>
    <w:rsid w:val="00344D50"/>
    <w:rsid w:val="003457C2"/>
    <w:rsid w:val="0034778B"/>
    <w:rsid w:val="003511E3"/>
    <w:rsid w:val="00357CB0"/>
    <w:rsid w:val="00360CA5"/>
    <w:rsid w:val="003631A2"/>
    <w:rsid w:val="003642FB"/>
    <w:rsid w:val="003647F1"/>
    <w:rsid w:val="00364B6E"/>
    <w:rsid w:val="00366E18"/>
    <w:rsid w:val="003720FB"/>
    <w:rsid w:val="00376D42"/>
    <w:rsid w:val="00377D29"/>
    <w:rsid w:val="00384B09"/>
    <w:rsid w:val="003856A4"/>
    <w:rsid w:val="0038762A"/>
    <w:rsid w:val="003878E1"/>
    <w:rsid w:val="00390431"/>
    <w:rsid w:val="00390734"/>
    <w:rsid w:val="00391BA2"/>
    <w:rsid w:val="0039267F"/>
    <w:rsid w:val="00392C9B"/>
    <w:rsid w:val="0039502C"/>
    <w:rsid w:val="003A462F"/>
    <w:rsid w:val="003B29F7"/>
    <w:rsid w:val="003B3403"/>
    <w:rsid w:val="003B43D6"/>
    <w:rsid w:val="003B5645"/>
    <w:rsid w:val="003B5B72"/>
    <w:rsid w:val="003C2A9D"/>
    <w:rsid w:val="003D0B5B"/>
    <w:rsid w:val="003D71D0"/>
    <w:rsid w:val="003E0042"/>
    <w:rsid w:val="003E1852"/>
    <w:rsid w:val="003E1C11"/>
    <w:rsid w:val="003E2F66"/>
    <w:rsid w:val="003E6F84"/>
    <w:rsid w:val="003F4181"/>
    <w:rsid w:val="003F4F01"/>
    <w:rsid w:val="003F531F"/>
    <w:rsid w:val="003F6397"/>
    <w:rsid w:val="00400277"/>
    <w:rsid w:val="0040162B"/>
    <w:rsid w:val="004041FE"/>
    <w:rsid w:val="004054D2"/>
    <w:rsid w:val="0040551C"/>
    <w:rsid w:val="00406C55"/>
    <w:rsid w:val="0041139C"/>
    <w:rsid w:val="00411768"/>
    <w:rsid w:val="00414BFB"/>
    <w:rsid w:val="0041530B"/>
    <w:rsid w:val="00424DAD"/>
    <w:rsid w:val="00430CB5"/>
    <w:rsid w:val="004319BC"/>
    <w:rsid w:val="00431F24"/>
    <w:rsid w:val="004320F0"/>
    <w:rsid w:val="004328D1"/>
    <w:rsid w:val="00433D0A"/>
    <w:rsid w:val="0043688E"/>
    <w:rsid w:val="0043735E"/>
    <w:rsid w:val="00440D33"/>
    <w:rsid w:val="00442B00"/>
    <w:rsid w:val="00442E82"/>
    <w:rsid w:val="00454DCA"/>
    <w:rsid w:val="004562F3"/>
    <w:rsid w:val="00460EA1"/>
    <w:rsid w:val="004617D0"/>
    <w:rsid w:val="0046181F"/>
    <w:rsid w:val="004638C0"/>
    <w:rsid w:val="00471101"/>
    <w:rsid w:val="004739F1"/>
    <w:rsid w:val="0047563B"/>
    <w:rsid w:val="00475C01"/>
    <w:rsid w:val="004813C3"/>
    <w:rsid w:val="00483878"/>
    <w:rsid w:val="00490F19"/>
    <w:rsid w:val="00491834"/>
    <w:rsid w:val="004954F6"/>
    <w:rsid w:val="004976CA"/>
    <w:rsid w:val="00497C5F"/>
    <w:rsid w:val="004A7E58"/>
    <w:rsid w:val="004B08C9"/>
    <w:rsid w:val="004B0EC5"/>
    <w:rsid w:val="004B4A9F"/>
    <w:rsid w:val="004B4E73"/>
    <w:rsid w:val="004B4F8A"/>
    <w:rsid w:val="004C4D8F"/>
    <w:rsid w:val="004C7ECB"/>
    <w:rsid w:val="004D3D49"/>
    <w:rsid w:val="004D5640"/>
    <w:rsid w:val="004D7E8E"/>
    <w:rsid w:val="004E37CD"/>
    <w:rsid w:val="004E3EE3"/>
    <w:rsid w:val="004E66B8"/>
    <w:rsid w:val="004F5580"/>
    <w:rsid w:val="004F5822"/>
    <w:rsid w:val="00505916"/>
    <w:rsid w:val="0050626A"/>
    <w:rsid w:val="00507A84"/>
    <w:rsid w:val="00517B01"/>
    <w:rsid w:val="00517C74"/>
    <w:rsid w:val="00520543"/>
    <w:rsid w:val="005250E9"/>
    <w:rsid w:val="00525709"/>
    <w:rsid w:val="00530391"/>
    <w:rsid w:val="00532F56"/>
    <w:rsid w:val="00534AA8"/>
    <w:rsid w:val="00540ACA"/>
    <w:rsid w:val="005420AE"/>
    <w:rsid w:val="00544B10"/>
    <w:rsid w:val="00547235"/>
    <w:rsid w:val="00550AAA"/>
    <w:rsid w:val="0055146F"/>
    <w:rsid w:val="005517CA"/>
    <w:rsid w:val="00552D88"/>
    <w:rsid w:val="005610DF"/>
    <w:rsid w:val="00561929"/>
    <w:rsid w:val="00562D34"/>
    <w:rsid w:val="005633EA"/>
    <w:rsid w:val="005634E4"/>
    <w:rsid w:val="00564935"/>
    <w:rsid w:val="00566037"/>
    <w:rsid w:val="005660EA"/>
    <w:rsid w:val="00567AA4"/>
    <w:rsid w:val="00573DE7"/>
    <w:rsid w:val="00577672"/>
    <w:rsid w:val="00577B99"/>
    <w:rsid w:val="005800D1"/>
    <w:rsid w:val="005807F2"/>
    <w:rsid w:val="00580E92"/>
    <w:rsid w:val="005843C0"/>
    <w:rsid w:val="00586BAA"/>
    <w:rsid w:val="00587E62"/>
    <w:rsid w:val="005908A8"/>
    <w:rsid w:val="005918BC"/>
    <w:rsid w:val="00596B23"/>
    <w:rsid w:val="005A079C"/>
    <w:rsid w:val="005A3082"/>
    <w:rsid w:val="005A4EBA"/>
    <w:rsid w:val="005A52D6"/>
    <w:rsid w:val="005A59AC"/>
    <w:rsid w:val="005A6C02"/>
    <w:rsid w:val="005B07DA"/>
    <w:rsid w:val="005B0F24"/>
    <w:rsid w:val="005B3F35"/>
    <w:rsid w:val="005B4E97"/>
    <w:rsid w:val="005B4EFA"/>
    <w:rsid w:val="005B5910"/>
    <w:rsid w:val="005B692A"/>
    <w:rsid w:val="005B78FD"/>
    <w:rsid w:val="005B7CE7"/>
    <w:rsid w:val="005C3952"/>
    <w:rsid w:val="005C3AB7"/>
    <w:rsid w:val="005C594F"/>
    <w:rsid w:val="005C5B4D"/>
    <w:rsid w:val="005D08E3"/>
    <w:rsid w:val="005E25A9"/>
    <w:rsid w:val="005E37AF"/>
    <w:rsid w:val="005F0DDC"/>
    <w:rsid w:val="005F2574"/>
    <w:rsid w:val="006008EF"/>
    <w:rsid w:val="00604767"/>
    <w:rsid w:val="00611878"/>
    <w:rsid w:val="00613BF3"/>
    <w:rsid w:val="0062022A"/>
    <w:rsid w:val="00622977"/>
    <w:rsid w:val="006234D7"/>
    <w:rsid w:val="00630CF2"/>
    <w:rsid w:val="006340A2"/>
    <w:rsid w:val="00647C2E"/>
    <w:rsid w:val="0065234A"/>
    <w:rsid w:val="006528B8"/>
    <w:rsid w:val="00653390"/>
    <w:rsid w:val="006543E8"/>
    <w:rsid w:val="00656000"/>
    <w:rsid w:val="00660F7D"/>
    <w:rsid w:val="006610DF"/>
    <w:rsid w:val="006634CD"/>
    <w:rsid w:val="00671BF0"/>
    <w:rsid w:val="00674323"/>
    <w:rsid w:val="0067566C"/>
    <w:rsid w:val="0068046C"/>
    <w:rsid w:val="006822C5"/>
    <w:rsid w:val="0068407A"/>
    <w:rsid w:val="006903F1"/>
    <w:rsid w:val="00690ED2"/>
    <w:rsid w:val="006926D5"/>
    <w:rsid w:val="006932D5"/>
    <w:rsid w:val="00693C5C"/>
    <w:rsid w:val="00694BA4"/>
    <w:rsid w:val="00694CE9"/>
    <w:rsid w:val="00694FB9"/>
    <w:rsid w:val="00696A82"/>
    <w:rsid w:val="00697D61"/>
    <w:rsid w:val="006A0B8C"/>
    <w:rsid w:val="006A1479"/>
    <w:rsid w:val="006A1514"/>
    <w:rsid w:val="006A1969"/>
    <w:rsid w:val="006A68EE"/>
    <w:rsid w:val="006B03A0"/>
    <w:rsid w:val="006B26F9"/>
    <w:rsid w:val="006B4319"/>
    <w:rsid w:val="006B5ABA"/>
    <w:rsid w:val="006B60E9"/>
    <w:rsid w:val="006B7338"/>
    <w:rsid w:val="006B7AE3"/>
    <w:rsid w:val="006C2F9B"/>
    <w:rsid w:val="006C2FF9"/>
    <w:rsid w:val="006C3C1D"/>
    <w:rsid w:val="006D38B6"/>
    <w:rsid w:val="006D5F9E"/>
    <w:rsid w:val="006E2839"/>
    <w:rsid w:val="006E2C81"/>
    <w:rsid w:val="006E372F"/>
    <w:rsid w:val="006E7FD2"/>
    <w:rsid w:val="006F034E"/>
    <w:rsid w:val="006F250E"/>
    <w:rsid w:val="006F6DDC"/>
    <w:rsid w:val="00704923"/>
    <w:rsid w:val="00704D13"/>
    <w:rsid w:val="00706B9A"/>
    <w:rsid w:val="007070BE"/>
    <w:rsid w:val="00707AD3"/>
    <w:rsid w:val="00707C4C"/>
    <w:rsid w:val="00711CA9"/>
    <w:rsid w:val="007128EA"/>
    <w:rsid w:val="00713D1C"/>
    <w:rsid w:val="00713E27"/>
    <w:rsid w:val="007225F7"/>
    <w:rsid w:val="00734712"/>
    <w:rsid w:val="00735C0B"/>
    <w:rsid w:val="00744405"/>
    <w:rsid w:val="00746E5C"/>
    <w:rsid w:val="00750633"/>
    <w:rsid w:val="00751215"/>
    <w:rsid w:val="007515F1"/>
    <w:rsid w:val="00752306"/>
    <w:rsid w:val="00752E82"/>
    <w:rsid w:val="00757E1C"/>
    <w:rsid w:val="00761F86"/>
    <w:rsid w:val="00762802"/>
    <w:rsid w:val="007629D7"/>
    <w:rsid w:val="0076681D"/>
    <w:rsid w:val="007670D0"/>
    <w:rsid w:val="0077133D"/>
    <w:rsid w:val="00771476"/>
    <w:rsid w:val="007775BC"/>
    <w:rsid w:val="007810EA"/>
    <w:rsid w:val="00782B00"/>
    <w:rsid w:val="007875CA"/>
    <w:rsid w:val="00790A70"/>
    <w:rsid w:val="007925C9"/>
    <w:rsid w:val="00793E37"/>
    <w:rsid w:val="00796950"/>
    <w:rsid w:val="007A0910"/>
    <w:rsid w:val="007A33D4"/>
    <w:rsid w:val="007A3BE9"/>
    <w:rsid w:val="007A49E5"/>
    <w:rsid w:val="007A51FE"/>
    <w:rsid w:val="007A64F8"/>
    <w:rsid w:val="007A79DD"/>
    <w:rsid w:val="007B1E50"/>
    <w:rsid w:val="007B4B61"/>
    <w:rsid w:val="007B5CB8"/>
    <w:rsid w:val="007B5FB4"/>
    <w:rsid w:val="007C35F2"/>
    <w:rsid w:val="007C5BD6"/>
    <w:rsid w:val="007C72BB"/>
    <w:rsid w:val="007C7D97"/>
    <w:rsid w:val="007D42B9"/>
    <w:rsid w:val="007D43F4"/>
    <w:rsid w:val="007D62DB"/>
    <w:rsid w:val="007E1E13"/>
    <w:rsid w:val="007E32AB"/>
    <w:rsid w:val="007E4D69"/>
    <w:rsid w:val="007F1A76"/>
    <w:rsid w:val="007F38E9"/>
    <w:rsid w:val="007F3FBB"/>
    <w:rsid w:val="007F7A74"/>
    <w:rsid w:val="007F7D91"/>
    <w:rsid w:val="00800F9E"/>
    <w:rsid w:val="0080113A"/>
    <w:rsid w:val="00804EF9"/>
    <w:rsid w:val="0080573D"/>
    <w:rsid w:val="00811F96"/>
    <w:rsid w:val="008125ED"/>
    <w:rsid w:val="00812BB4"/>
    <w:rsid w:val="0081366B"/>
    <w:rsid w:val="0081453D"/>
    <w:rsid w:val="00816A34"/>
    <w:rsid w:val="008238D5"/>
    <w:rsid w:val="008252EB"/>
    <w:rsid w:val="00830E13"/>
    <w:rsid w:val="0083386D"/>
    <w:rsid w:val="00834C15"/>
    <w:rsid w:val="0083744E"/>
    <w:rsid w:val="008378D2"/>
    <w:rsid w:val="0084137D"/>
    <w:rsid w:val="00841B04"/>
    <w:rsid w:val="00842512"/>
    <w:rsid w:val="0084566C"/>
    <w:rsid w:val="00846F33"/>
    <w:rsid w:val="00847515"/>
    <w:rsid w:val="0085128F"/>
    <w:rsid w:val="00852380"/>
    <w:rsid w:val="00852DE3"/>
    <w:rsid w:val="0085346E"/>
    <w:rsid w:val="00857B0D"/>
    <w:rsid w:val="00860B14"/>
    <w:rsid w:val="00860BA6"/>
    <w:rsid w:val="00862315"/>
    <w:rsid w:val="00862ED9"/>
    <w:rsid w:val="008640AF"/>
    <w:rsid w:val="00871706"/>
    <w:rsid w:val="00872985"/>
    <w:rsid w:val="00875A6F"/>
    <w:rsid w:val="00875D02"/>
    <w:rsid w:val="00876FAA"/>
    <w:rsid w:val="00877D3C"/>
    <w:rsid w:val="00881A7C"/>
    <w:rsid w:val="0089013E"/>
    <w:rsid w:val="0089015B"/>
    <w:rsid w:val="00892E57"/>
    <w:rsid w:val="00895023"/>
    <w:rsid w:val="00896878"/>
    <w:rsid w:val="00897A02"/>
    <w:rsid w:val="008A3313"/>
    <w:rsid w:val="008A38FE"/>
    <w:rsid w:val="008A39BC"/>
    <w:rsid w:val="008A3C58"/>
    <w:rsid w:val="008C2F4B"/>
    <w:rsid w:val="008D3145"/>
    <w:rsid w:val="008D4CD1"/>
    <w:rsid w:val="008D5EB0"/>
    <w:rsid w:val="008D7A45"/>
    <w:rsid w:val="008D7EDE"/>
    <w:rsid w:val="008E0CFE"/>
    <w:rsid w:val="008E1F93"/>
    <w:rsid w:val="008E3FC2"/>
    <w:rsid w:val="008E51DF"/>
    <w:rsid w:val="008E630A"/>
    <w:rsid w:val="008F0EF9"/>
    <w:rsid w:val="008F5A85"/>
    <w:rsid w:val="008F7474"/>
    <w:rsid w:val="00905EF5"/>
    <w:rsid w:val="00907BF5"/>
    <w:rsid w:val="0091772F"/>
    <w:rsid w:val="009225DE"/>
    <w:rsid w:val="0093044C"/>
    <w:rsid w:val="009307EC"/>
    <w:rsid w:val="00930EDF"/>
    <w:rsid w:val="00933AF7"/>
    <w:rsid w:val="0093597C"/>
    <w:rsid w:val="0093708D"/>
    <w:rsid w:val="00941EA4"/>
    <w:rsid w:val="00944A89"/>
    <w:rsid w:val="00944C0F"/>
    <w:rsid w:val="00946138"/>
    <w:rsid w:val="00950C04"/>
    <w:rsid w:val="00952B0A"/>
    <w:rsid w:val="009554CB"/>
    <w:rsid w:val="00960908"/>
    <w:rsid w:val="009611C1"/>
    <w:rsid w:val="00961E6A"/>
    <w:rsid w:val="00962629"/>
    <w:rsid w:val="009627A5"/>
    <w:rsid w:val="00962904"/>
    <w:rsid w:val="0096331E"/>
    <w:rsid w:val="00964CB1"/>
    <w:rsid w:val="009657D1"/>
    <w:rsid w:val="00965855"/>
    <w:rsid w:val="0096781D"/>
    <w:rsid w:val="00975322"/>
    <w:rsid w:val="009764E2"/>
    <w:rsid w:val="009839C7"/>
    <w:rsid w:val="00983CAC"/>
    <w:rsid w:val="009871AB"/>
    <w:rsid w:val="00987B04"/>
    <w:rsid w:val="00990492"/>
    <w:rsid w:val="00990CDB"/>
    <w:rsid w:val="00991922"/>
    <w:rsid w:val="00991BCB"/>
    <w:rsid w:val="00993312"/>
    <w:rsid w:val="0099516C"/>
    <w:rsid w:val="009951AC"/>
    <w:rsid w:val="00995425"/>
    <w:rsid w:val="00995DDF"/>
    <w:rsid w:val="009B23F3"/>
    <w:rsid w:val="009B3A6E"/>
    <w:rsid w:val="009B68AE"/>
    <w:rsid w:val="009B6C31"/>
    <w:rsid w:val="009C0D22"/>
    <w:rsid w:val="009C3847"/>
    <w:rsid w:val="009C3D6F"/>
    <w:rsid w:val="009C5632"/>
    <w:rsid w:val="009D1D81"/>
    <w:rsid w:val="009D46E2"/>
    <w:rsid w:val="009D4B47"/>
    <w:rsid w:val="009D50CE"/>
    <w:rsid w:val="009D6838"/>
    <w:rsid w:val="009E22DF"/>
    <w:rsid w:val="009E29C5"/>
    <w:rsid w:val="009E568F"/>
    <w:rsid w:val="009E6C9A"/>
    <w:rsid w:val="009F0442"/>
    <w:rsid w:val="009F0DAC"/>
    <w:rsid w:val="009F52F4"/>
    <w:rsid w:val="009F6D88"/>
    <w:rsid w:val="00A010A4"/>
    <w:rsid w:val="00A021CA"/>
    <w:rsid w:val="00A10887"/>
    <w:rsid w:val="00A10AA2"/>
    <w:rsid w:val="00A128F7"/>
    <w:rsid w:val="00A14ED6"/>
    <w:rsid w:val="00A20456"/>
    <w:rsid w:val="00A21554"/>
    <w:rsid w:val="00A246CD"/>
    <w:rsid w:val="00A24977"/>
    <w:rsid w:val="00A24E9A"/>
    <w:rsid w:val="00A26BB8"/>
    <w:rsid w:val="00A27E50"/>
    <w:rsid w:val="00A31FFC"/>
    <w:rsid w:val="00A33DDB"/>
    <w:rsid w:val="00A340E4"/>
    <w:rsid w:val="00A43219"/>
    <w:rsid w:val="00A4378D"/>
    <w:rsid w:val="00A45F94"/>
    <w:rsid w:val="00A522B4"/>
    <w:rsid w:val="00A52F71"/>
    <w:rsid w:val="00A63F21"/>
    <w:rsid w:val="00A64907"/>
    <w:rsid w:val="00A66CF3"/>
    <w:rsid w:val="00A70F91"/>
    <w:rsid w:val="00A71330"/>
    <w:rsid w:val="00A71D51"/>
    <w:rsid w:val="00A73BFC"/>
    <w:rsid w:val="00A73E24"/>
    <w:rsid w:val="00A75D47"/>
    <w:rsid w:val="00A75E6E"/>
    <w:rsid w:val="00A80205"/>
    <w:rsid w:val="00A8158A"/>
    <w:rsid w:val="00A8230F"/>
    <w:rsid w:val="00A82400"/>
    <w:rsid w:val="00A85E67"/>
    <w:rsid w:val="00A8629C"/>
    <w:rsid w:val="00A87F95"/>
    <w:rsid w:val="00A96260"/>
    <w:rsid w:val="00AA2A83"/>
    <w:rsid w:val="00AA2C38"/>
    <w:rsid w:val="00AA31A9"/>
    <w:rsid w:val="00AA57BB"/>
    <w:rsid w:val="00AB01C2"/>
    <w:rsid w:val="00AB6DF2"/>
    <w:rsid w:val="00AB7AE9"/>
    <w:rsid w:val="00AC7353"/>
    <w:rsid w:val="00AD00A1"/>
    <w:rsid w:val="00AD077F"/>
    <w:rsid w:val="00AD2AB0"/>
    <w:rsid w:val="00AD52B6"/>
    <w:rsid w:val="00AE49F3"/>
    <w:rsid w:val="00AE52DD"/>
    <w:rsid w:val="00AF1B38"/>
    <w:rsid w:val="00AF3CC8"/>
    <w:rsid w:val="00B02853"/>
    <w:rsid w:val="00B02FF6"/>
    <w:rsid w:val="00B03D53"/>
    <w:rsid w:val="00B04802"/>
    <w:rsid w:val="00B0639A"/>
    <w:rsid w:val="00B06585"/>
    <w:rsid w:val="00B108CC"/>
    <w:rsid w:val="00B15A97"/>
    <w:rsid w:val="00B17433"/>
    <w:rsid w:val="00B214D5"/>
    <w:rsid w:val="00B21948"/>
    <w:rsid w:val="00B21AF4"/>
    <w:rsid w:val="00B223FF"/>
    <w:rsid w:val="00B231B5"/>
    <w:rsid w:val="00B32543"/>
    <w:rsid w:val="00B3294D"/>
    <w:rsid w:val="00B358B8"/>
    <w:rsid w:val="00B35CD7"/>
    <w:rsid w:val="00B3695B"/>
    <w:rsid w:val="00B36FCB"/>
    <w:rsid w:val="00B377BA"/>
    <w:rsid w:val="00B37EED"/>
    <w:rsid w:val="00B42398"/>
    <w:rsid w:val="00B423BB"/>
    <w:rsid w:val="00B46B13"/>
    <w:rsid w:val="00B476AB"/>
    <w:rsid w:val="00B47E4E"/>
    <w:rsid w:val="00B62284"/>
    <w:rsid w:val="00B660C7"/>
    <w:rsid w:val="00B66F5D"/>
    <w:rsid w:val="00B739D4"/>
    <w:rsid w:val="00B7517B"/>
    <w:rsid w:val="00B75498"/>
    <w:rsid w:val="00B754AF"/>
    <w:rsid w:val="00B75C3F"/>
    <w:rsid w:val="00B75D0F"/>
    <w:rsid w:val="00B83BE0"/>
    <w:rsid w:val="00B8437B"/>
    <w:rsid w:val="00B852C8"/>
    <w:rsid w:val="00B873EA"/>
    <w:rsid w:val="00B87E65"/>
    <w:rsid w:val="00B9072F"/>
    <w:rsid w:val="00B9324B"/>
    <w:rsid w:val="00B96EEB"/>
    <w:rsid w:val="00B9797A"/>
    <w:rsid w:val="00B9797C"/>
    <w:rsid w:val="00B97DD3"/>
    <w:rsid w:val="00BA7619"/>
    <w:rsid w:val="00BB0CC3"/>
    <w:rsid w:val="00BB1BDD"/>
    <w:rsid w:val="00BB3054"/>
    <w:rsid w:val="00BB5360"/>
    <w:rsid w:val="00BB5E68"/>
    <w:rsid w:val="00BB72B0"/>
    <w:rsid w:val="00BC0E49"/>
    <w:rsid w:val="00BC2B72"/>
    <w:rsid w:val="00BC75A6"/>
    <w:rsid w:val="00BD33CA"/>
    <w:rsid w:val="00BD4521"/>
    <w:rsid w:val="00BD4BD5"/>
    <w:rsid w:val="00BD6735"/>
    <w:rsid w:val="00BE09D2"/>
    <w:rsid w:val="00BE3C37"/>
    <w:rsid w:val="00BE53CE"/>
    <w:rsid w:val="00BF38A0"/>
    <w:rsid w:val="00BF4CCF"/>
    <w:rsid w:val="00C02462"/>
    <w:rsid w:val="00C03513"/>
    <w:rsid w:val="00C04EC1"/>
    <w:rsid w:val="00C07729"/>
    <w:rsid w:val="00C10670"/>
    <w:rsid w:val="00C1212E"/>
    <w:rsid w:val="00C12587"/>
    <w:rsid w:val="00C14EFB"/>
    <w:rsid w:val="00C21D19"/>
    <w:rsid w:val="00C23005"/>
    <w:rsid w:val="00C24CBC"/>
    <w:rsid w:val="00C33C83"/>
    <w:rsid w:val="00C34018"/>
    <w:rsid w:val="00C34154"/>
    <w:rsid w:val="00C354C6"/>
    <w:rsid w:val="00C369CE"/>
    <w:rsid w:val="00C4590C"/>
    <w:rsid w:val="00C46D1D"/>
    <w:rsid w:val="00C5002A"/>
    <w:rsid w:val="00C51A83"/>
    <w:rsid w:val="00C52B63"/>
    <w:rsid w:val="00C56080"/>
    <w:rsid w:val="00C56CF3"/>
    <w:rsid w:val="00C5736F"/>
    <w:rsid w:val="00C575A4"/>
    <w:rsid w:val="00C60A6E"/>
    <w:rsid w:val="00C60FDD"/>
    <w:rsid w:val="00C615A2"/>
    <w:rsid w:val="00C617DE"/>
    <w:rsid w:val="00C621A6"/>
    <w:rsid w:val="00C701A6"/>
    <w:rsid w:val="00C70DDD"/>
    <w:rsid w:val="00C836AD"/>
    <w:rsid w:val="00C84A4F"/>
    <w:rsid w:val="00C86213"/>
    <w:rsid w:val="00C9265A"/>
    <w:rsid w:val="00C956FF"/>
    <w:rsid w:val="00C95D56"/>
    <w:rsid w:val="00CA2A73"/>
    <w:rsid w:val="00CA4105"/>
    <w:rsid w:val="00CA4126"/>
    <w:rsid w:val="00CA6E3F"/>
    <w:rsid w:val="00CA7F98"/>
    <w:rsid w:val="00CB07ED"/>
    <w:rsid w:val="00CC0EAD"/>
    <w:rsid w:val="00CC25A8"/>
    <w:rsid w:val="00CC3547"/>
    <w:rsid w:val="00CC541F"/>
    <w:rsid w:val="00CC753D"/>
    <w:rsid w:val="00CD393E"/>
    <w:rsid w:val="00CE2BEA"/>
    <w:rsid w:val="00CE3CB3"/>
    <w:rsid w:val="00CE7090"/>
    <w:rsid w:val="00CF0DEF"/>
    <w:rsid w:val="00CF26B4"/>
    <w:rsid w:val="00CF27ED"/>
    <w:rsid w:val="00CF4125"/>
    <w:rsid w:val="00CF4902"/>
    <w:rsid w:val="00CF5402"/>
    <w:rsid w:val="00CF57FE"/>
    <w:rsid w:val="00CF5DEE"/>
    <w:rsid w:val="00D07B18"/>
    <w:rsid w:val="00D07FD1"/>
    <w:rsid w:val="00D07FE1"/>
    <w:rsid w:val="00D111C5"/>
    <w:rsid w:val="00D13AA8"/>
    <w:rsid w:val="00D13B57"/>
    <w:rsid w:val="00D147AB"/>
    <w:rsid w:val="00D20E7D"/>
    <w:rsid w:val="00D22FE0"/>
    <w:rsid w:val="00D24F7F"/>
    <w:rsid w:val="00D267F1"/>
    <w:rsid w:val="00D26A27"/>
    <w:rsid w:val="00D30C13"/>
    <w:rsid w:val="00D336F0"/>
    <w:rsid w:val="00D36AD2"/>
    <w:rsid w:val="00D37220"/>
    <w:rsid w:val="00D44FEC"/>
    <w:rsid w:val="00D450EB"/>
    <w:rsid w:val="00D50B52"/>
    <w:rsid w:val="00D51A4A"/>
    <w:rsid w:val="00D52833"/>
    <w:rsid w:val="00D53FA4"/>
    <w:rsid w:val="00D5425E"/>
    <w:rsid w:val="00D5544B"/>
    <w:rsid w:val="00D65BBA"/>
    <w:rsid w:val="00D66581"/>
    <w:rsid w:val="00D73E95"/>
    <w:rsid w:val="00D81B8F"/>
    <w:rsid w:val="00D82B8E"/>
    <w:rsid w:val="00D83D46"/>
    <w:rsid w:val="00D86378"/>
    <w:rsid w:val="00D874CE"/>
    <w:rsid w:val="00D970BA"/>
    <w:rsid w:val="00DA11D5"/>
    <w:rsid w:val="00DA1C9F"/>
    <w:rsid w:val="00DA4BC4"/>
    <w:rsid w:val="00DA4BC8"/>
    <w:rsid w:val="00DA679A"/>
    <w:rsid w:val="00DA7E80"/>
    <w:rsid w:val="00DB08CE"/>
    <w:rsid w:val="00DB2B8B"/>
    <w:rsid w:val="00DB3E7D"/>
    <w:rsid w:val="00DB6C04"/>
    <w:rsid w:val="00DC0E60"/>
    <w:rsid w:val="00DC14E9"/>
    <w:rsid w:val="00DC25AB"/>
    <w:rsid w:val="00DC4A77"/>
    <w:rsid w:val="00DD2120"/>
    <w:rsid w:val="00DD2B79"/>
    <w:rsid w:val="00DD4DDC"/>
    <w:rsid w:val="00DD5020"/>
    <w:rsid w:val="00DD63B0"/>
    <w:rsid w:val="00DD704D"/>
    <w:rsid w:val="00DE1DB7"/>
    <w:rsid w:val="00DE3444"/>
    <w:rsid w:val="00DE55A6"/>
    <w:rsid w:val="00DE581E"/>
    <w:rsid w:val="00DE7EDF"/>
    <w:rsid w:val="00DF39AD"/>
    <w:rsid w:val="00DF52F2"/>
    <w:rsid w:val="00DF66A2"/>
    <w:rsid w:val="00DF6984"/>
    <w:rsid w:val="00DF69FF"/>
    <w:rsid w:val="00DF7298"/>
    <w:rsid w:val="00DF7986"/>
    <w:rsid w:val="00E01B21"/>
    <w:rsid w:val="00E1174F"/>
    <w:rsid w:val="00E132EA"/>
    <w:rsid w:val="00E1587D"/>
    <w:rsid w:val="00E16C0F"/>
    <w:rsid w:val="00E202AF"/>
    <w:rsid w:val="00E22678"/>
    <w:rsid w:val="00E22BDF"/>
    <w:rsid w:val="00E24AFF"/>
    <w:rsid w:val="00E26BE8"/>
    <w:rsid w:val="00E30696"/>
    <w:rsid w:val="00E331D1"/>
    <w:rsid w:val="00E37927"/>
    <w:rsid w:val="00E43332"/>
    <w:rsid w:val="00E46792"/>
    <w:rsid w:val="00E46A67"/>
    <w:rsid w:val="00E47BBC"/>
    <w:rsid w:val="00E55126"/>
    <w:rsid w:val="00E5535D"/>
    <w:rsid w:val="00E559BA"/>
    <w:rsid w:val="00E559D7"/>
    <w:rsid w:val="00E612AD"/>
    <w:rsid w:val="00E634F9"/>
    <w:rsid w:val="00E63673"/>
    <w:rsid w:val="00E65E99"/>
    <w:rsid w:val="00E66299"/>
    <w:rsid w:val="00E678EA"/>
    <w:rsid w:val="00E7380A"/>
    <w:rsid w:val="00E74F8F"/>
    <w:rsid w:val="00E750E6"/>
    <w:rsid w:val="00E75F59"/>
    <w:rsid w:val="00E76D87"/>
    <w:rsid w:val="00E82538"/>
    <w:rsid w:val="00E86919"/>
    <w:rsid w:val="00E9389A"/>
    <w:rsid w:val="00E93FED"/>
    <w:rsid w:val="00E95DF9"/>
    <w:rsid w:val="00E971A2"/>
    <w:rsid w:val="00EA081D"/>
    <w:rsid w:val="00EA3E7A"/>
    <w:rsid w:val="00EA66AE"/>
    <w:rsid w:val="00EA714D"/>
    <w:rsid w:val="00EB07A3"/>
    <w:rsid w:val="00EB0A46"/>
    <w:rsid w:val="00EB2C3A"/>
    <w:rsid w:val="00EC004F"/>
    <w:rsid w:val="00EC016F"/>
    <w:rsid w:val="00EC0BDA"/>
    <w:rsid w:val="00EC1F59"/>
    <w:rsid w:val="00EC26A9"/>
    <w:rsid w:val="00EC3A5E"/>
    <w:rsid w:val="00EC4821"/>
    <w:rsid w:val="00EC64F8"/>
    <w:rsid w:val="00ED0583"/>
    <w:rsid w:val="00ED3399"/>
    <w:rsid w:val="00ED4130"/>
    <w:rsid w:val="00ED5F75"/>
    <w:rsid w:val="00ED6087"/>
    <w:rsid w:val="00ED671B"/>
    <w:rsid w:val="00ED7A84"/>
    <w:rsid w:val="00EE27AD"/>
    <w:rsid w:val="00EE3A59"/>
    <w:rsid w:val="00EE5382"/>
    <w:rsid w:val="00EE6551"/>
    <w:rsid w:val="00EE6CAC"/>
    <w:rsid w:val="00EE6E01"/>
    <w:rsid w:val="00EF1DF0"/>
    <w:rsid w:val="00EF4A84"/>
    <w:rsid w:val="00EF5410"/>
    <w:rsid w:val="00EF62D6"/>
    <w:rsid w:val="00EF7C3A"/>
    <w:rsid w:val="00F0161F"/>
    <w:rsid w:val="00F0393D"/>
    <w:rsid w:val="00F03DE6"/>
    <w:rsid w:val="00F068A6"/>
    <w:rsid w:val="00F06F50"/>
    <w:rsid w:val="00F10E1B"/>
    <w:rsid w:val="00F13177"/>
    <w:rsid w:val="00F14E03"/>
    <w:rsid w:val="00F17B6C"/>
    <w:rsid w:val="00F2059F"/>
    <w:rsid w:val="00F206D5"/>
    <w:rsid w:val="00F20C9D"/>
    <w:rsid w:val="00F21117"/>
    <w:rsid w:val="00F21F6E"/>
    <w:rsid w:val="00F238A0"/>
    <w:rsid w:val="00F3192D"/>
    <w:rsid w:val="00F36975"/>
    <w:rsid w:val="00F37CE4"/>
    <w:rsid w:val="00F37F78"/>
    <w:rsid w:val="00F4399A"/>
    <w:rsid w:val="00F46960"/>
    <w:rsid w:val="00F55105"/>
    <w:rsid w:val="00F57027"/>
    <w:rsid w:val="00F63BE5"/>
    <w:rsid w:val="00F6587C"/>
    <w:rsid w:val="00F70F99"/>
    <w:rsid w:val="00F750CB"/>
    <w:rsid w:val="00F818A6"/>
    <w:rsid w:val="00F8718E"/>
    <w:rsid w:val="00F87E96"/>
    <w:rsid w:val="00F87FBD"/>
    <w:rsid w:val="00F96B7A"/>
    <w:rsid w:val="00F97074"/>
    <w:rsid w:val="00FA0C00"/>
    <w:rsid w:val="00FA2445"/>
    <w:rsid w:val="00FA288B"/>
    <w:rsid w:val="00FA3EFD"/>
    <w:rsid w:val="00FB09E6"/>
    <w:rsid w:val="00FB0DD6"/>
    <w:rsid w:val="00FB7A19"/>
    <w:rsid w:val="00FC08D5"/>
    <w:rsid w:val="00FC0D24"/>
    <w:rsid w:val="00FC1AFD"/>
    <w:rsid w:val="00FC2A30"/>
    <w:rsid w:val="00FC2D52"/>
    <w:rsid w:val="00FC2EA9"/>
    <w:rsid w:val="00FC538A"/>
    <w:rsid w:val="00FC6AED"/>
    <w:rsid w:val="00FC75A3"/>
    <w:rsid w:val="00FC7968"/>
    <w:rsid w:val="00FD58F8"/>
    <w:rsid w:val="00FD6233"/>
    <w:rsid w:val="00FD6723"/>
    <w:rsid w:val="00FE5044"/>
    <w:rsid w:val="00FF0D2C"/>
    <w:rsid w:val="00FF2478"/>
    <w:rsid w:val="00FF350D"/>
    <w:rsid w:val="00FF4912"/>
    <w:rsid w:val="00FF659F"/>
    <w:rsid w:val="00FF6F0C"/>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2275"/>
  <w15:docId w15:val="{B70C3552-8278-4349-9B61-1B6CB06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6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9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00"/>
    <w:pPr>
      <w:ind w:left="720"/>
      <w:contextualSpacing/>
    </w:pPr>
  </w:style>
  <w:style w:type="table" w:styleId="TableGrid">
    <w:name w:val="Table Grid"/>
    <w:basedOn w:val="TableNormal"/>
    <w:uiPriority w:val="59"/>
    <w:rsid w:val="00E3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F9"/>
  </w:style>
  <w:style w:type="paragraph" w:styleId="Footer">
    <w:name w:val="footer"/>
    <w:basedOn w:val="Normal"/>
    <w:link w:val="FooterChar"/>
    <w:uiPriority w:val="99"/>
    <w:unhideWhenUsed/>
    <w:rsid w:val="00E9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F9"/>
  </w:style>
  <w:style w:type="paragraph" w:styleId="BalloonText">
    <w:name w:val="Balloon Text"/>
    <w:basedOn w:val="Normal"/>
    <w:link w:val="BalloonTextChar"/>
    <w:uiPriority w:val="99"/>
    <w:semiHidden/>
    <w:unhideWhenUsed/>
    <w:rsid w:val="00E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F9"/>
    <w:rPr>
      <w:rFonts w:ascii="Tahoma" w:hAnsi="Tahoma" w:cs="Tahoma"/>
      <w:sz w:val="16"/>
      <w:szCs w:val="16"/>
    </w:rPr>
  </w:style>
  <w:style w:type="paragraph" w:styleId="FootnoteText">
    <w:name w:val="footnote text"/>
    <w:aliases w:val="single space"/>
    <w:basedOn w:val="Normal"/>
    <w:link w:val="FootnoteTextChar"/>
    <w:unhideWhenUsed/>
    <w:rsid w:val="005C3AB7"/>
    <w:pPr>
      <w:spacing w:after="0" w:line="240" w:lineRule="auto"/>
    </w:pPr>
    <w:rPr>
      <w:sz w:val="20"/>
      <w:szCs w:val="20"/>
    </w:rPr>
  </w:style>
  <w:style w:type="character" w:customStyle="1" w:styleId="FootnoteTextChar">
    <w:name w:val="Footnote Text Char"/>
    <w:aliases w:val="single space Char"/>
    <w:basedOn w:val="DefaultParagraphFont"/>
    <w:link w:val="FootnoteText"/>
    <w:rsid w:val="005C3AB7"/>
    <w:rPr>
      <w:sz w:val="20"/>
      <w:szCs w:val="20"/>
    </w:rPr>
  </w:style>
  <w:style w:type="character" w:styleId="FootnoteReference">
    <w:name w:val="footnote reference"/>
    <w:aliases w:val="number"/>
    <w:basedOn w:val="DefaultParagraphFont"/>
    <w:uiPriority w:val="99"/>
    <w:semiHidden/>
    <w:unhideWhenUsed/>
    <w:rsid w:val="005C3AB7"/>
    <w:rPr>
      <w:vertAlign w:val="superscript"/>
    </w:rPr>
  </w:style>
  <w:style w:type="character" w:styleId="Hyperlink">
    <w:name w:val="Hyperlink"/>
    <w:basedOn w:val="DefaultParagraphFont"/>
    <w:uiPriority w:val="99"/>
    <w:unhideWhenUsed/>
    <w:rsid w:val="00E22678"/>
    <w:rPr>
      <w:color w:val="0000FF"/>
      <w:u w:val="single"/>
    </w:rPr>
  </w:style>
  <w:style w:type="character" w:styleId="Strong">
    <w:name w:val="Strong"/>
    <w:basedOn w:val="DefaultParagraphFont"/>
    <w:uiPriority w:val="22"/>
    <w:qFormat/>
    <w:rsid w:val="00E22678"/>
    <w:rPr>
      <w:b/>
      <w:bCs/>
    </w:rPr>
  </w:style>
  <w:style w:type="paragraph" w:styleId="EndnoteText">
    <w:name w:val="endnote text"/>
    <w:basedOn w:val="Normal"/>
    <w:link w:val="EndnoteTextChar"/>
    <w:uiPriority w:val="99"/>
    <w:semiHidden/>
    <w:unhideWhenUsed/>
    <w:rsid w:val="00A52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2B4"/>
    <w:rPr>
      <w:sz w:val="20"/>
      <w:szCs w:val="20"/>
    </w:rPr>
  </w:style>
  <w:style w:type="character" w:styleId="EndnoteReference">
    <w:name w:val="endnote reference"/>
    <w:basedOn w:val="DefaultParagraphFont"/>
    <w:uiPriority w:val="99"/>
    <w:semiHidden/>
    <w:unhideWhenUsed/>
    <w:rsid w:val="00A522B4"/>
    <w:rPr>
      <w:vertAlign w:val="superscript"/>
    </w:rPr>
  </w:style>
  <w:style w:type="paragraph" w:styleId="NormalWeb">
    <w:name w:val="Normal (Web)"/>
    <w:basedOn w:val="Normal"/>
    <w:uiPriority w:val="99"/>
    <w:unhideWhenUsed/>
    <w:rsid w:val="00C12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87F8F"/>
    <w:rPr>
      <w:sz w:val="16"/>
      <w:szCs w:val="16"/>
    </w:rPr>
  </w:style>
  <w:style w:type="paragraph" w:styleId="CommentText">
    <w:name w:val="annotation text"/>
    <w:basedOn w:val="Normal"/>
    <w:link w:val="CommentTextChar"/>
    <w:uiPriority w:val="99"/>
    <w:unhideWhenUsed/>
    <w:rsid w:val="00187F8F"/>
    <w:pPr>
      <w:spacing w:line="240" w:lineRule="auto"/>
    </w:pPr>
    <w:rPr>
      <w:sz w:val="20"/>
      <w:szCs w:val="20"/>
    </w:rPr>
  </w:style>
  <w:style w:type="character" w:customStyle="1" w:styleId="CommentTextChar">
    <w:name w:val="Comment Text Char"/>
    <w:basedOn w:val="DefaultParagraphFont"/>
    <w:link w:val="CommentText"/>
    <w:uiPriority w:val="99"/>
    <w:rsid w:val="00187F8F"/>
    <w:rPr>
      <w:sz w:val="20"/>
      <w:szCs w:val="20"/>
    </w:rPr>
  </w:style>
  <w:style w:type="paragraph" w:styleId="CommentSubject">
    <w:name w:val="annotation subject"/>
    <w:basedOn w:val="CommentText"/>
    <w:next w:val="CommentText"/>
    <w:link w:val="CommentSubjectChar"/>
    <w:uiPriority w:val="99"/>
    <w:semiHidden/>
    <w:unhideWhenUsed/>
    <w:rsid w:val="00187F8F"/>
    <w:rPr>
      <w:b/>
      <w:bCs/>
    </w:rPr>
  </w:style>
  <w:style w:type="character" w:customStyle="1" w:styleId="CommentSubjectChar">
    <w:name w:val="Comment Subject Char"/>
    <w:basedOn w:val="CommentTextChar"/>
    <w:link w:val="CommentSubject"/>
    <w:uiPriority w:val="99"/>
    <w:semiHidden/>
    <w:rsid w:val="00187F8F"/>
    <w:rPr>
      <w:b/>
      <w:bCs/>
      <w:sz w:val="20"/>
      <w:szCs w:val="20"/>
    </w:rPr>
  </w:style>
  <w:style w:type="character" w:customStyle="1" w:styleId="Heading2Char">
    <w:name w:val="Heading 2 Char"/>
    <w:basedOn w:val="DefaultParagraphFont"/>
    <w:link w:val="Heading2"/>
    <w:uiPriority w:val="9"/>
    <w:rsid w:val="00EF54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69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96950"/>
    <w:pPr>
      <w:outlineLvl w:val="9"/>
    </w:pPr>
    <w:rPr>
      <w:lang w:val="en-US" w:eastAsia="ja-JP"/>
    </w:rPr>
  </w:style>
  <w:style w:type="paragraph" w:styleId="TOC2">
    <w:name w:val="toc 2"/>
    <w:basedOn w:val="Normal"/>
    <w:next w:val="Normal"/>
    <w:autoRedefine/>
    <w:uiPriority w:val="39"/>
    <w:unhideWhenUsed/>
    <w:rsid w:val="00796950"/>
    <w:pPr>
      <w:spacing w:after="100"/>
      <w:ind w:left="220"/>
    </w:pPr>
  </w:style>
  <w:style w:type="character" w:customStyle="1" w:styleId="Heading3Char">
    <w:name w:val="Heading 3 Char"/>
    <w:basedOn w:val="DefaultParagraphFont"/>
    <w:link w:val="Heading3"/>
    <w:uiPriority w:val="9"/>
    <w:rsid w:val="007969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96950"/>
    <w:pPr>
      <w:spacing w:after="100"/>
      <w:ind w:left="440"/>
    </w:pPr>
  </w:style>
  <w:style w:type="character" w:customStyle="1" w:styleId="mw-headline">
    <w:name w:val="mw-headline"/>
    <w:basedOn w:val="DefaultParagraphFont"/>
    <w:rsid w:val="00066EFC"/>
  </w:style>
  <w:style w:type="character" w:styleId="FollowedHyperlink">
    <w:name w:val="FollowedHyperlink"/>
    <w:basedOn w:val="DefaultParagraphFont"/>
    <w:uiPriority w:val="99"/>
    <w:semiHidden/>
    <w:unhideWhenUsed/>
    <w:rsid w:val="002B2189"/>
    <w:rPr>
      <w:color w:val="800080" w:themeColor="followedHyperlink"/>
      <w:u w:val="single"/>
    </w:rPr>
  </w:style>
  <w:style w:type="character" w:customStyle="1" w:styleId="A7">
    <w:name w:val="A7"/>
    <w:uiPriority w:val="99"/>
    <w:rsid w:val="002B2189"/>
    <w:rPr>
      <w:rFonts w:cs="Agenda Light"/>
      <w:color w:val="404041"/>
      <w:sz w:val="18"/>
      <w:szCs w:val="18"/>
    </w:rPr>
  </w:style>
  <w:style w:type="character" w:customStyle="1" w:styleId="mb">
    <w:name w:val="mb"/>
    <w:basedOn w:val="DefaultParagraphFont"/>
    <w:rsid w:val="00A31FFC"/>
    <w:rPr>
      <w:rFonts w:ascii="Arial Unicode MS" w:hAnsi="Arial Unicode MS" w:hint="default"/>
    </w:rPr>
  </w:style>
  <w:style w:type="paragraph" w:customStyle="1" w:styleId="BulletPoints1">
    <w:name w:val="Bullet Points 1"/>
    <w:basedOn w:val="BodyText"/>
    <w:rsid w:val="009D50CE"/>
    <w:pPr>
      <w:numPr>
        <w:numId w:val="1"/>
      </w:numPr>
      <w:tabs>
        <w:tab w:val="clear" w:pos="283"/>
      </w:tabs>
      <w:spacing w:after="160" w:line="240" w:lineRule="auto"/>
      <w:ind w:left="456" w:hanging="360"/>
    </w:pPr>
    <w:rPr>
      <w:rFonts w:ascii="Arial" w:eastAsia="Times New Roman" w:hAnsi="Arial" w:cs="Times New Roman"/>
      <w:szCs w:val="20"/>
      <w:lang w:eastAsia="en-GB"/>
    </w:rPr>
  </w:style>
  <w:style w:type="paragraph" w:styleId="BodyText">
    <w:name w:val="Body Text"/>
    <w:basedOn w:val="Normal"/>
    <w:link w:val="BodyTextChar"/>
    <w:uiPriority w:val="99"/>
    <w:semiHidden/>
    <w:unhideWhenUsed/>
    <w:rsid w:val="009D50CE"/>
    <w:pPr>
      <w:spacing w:after="120"/>
    </w:pPr>
  </w:style>
  <w:style w:type="character" w:customStyle="1" w:styleId="BodyTextChar">
    <w:name w:val="Body Text Char"/>
    <w:basedOn w:val="DefaultParagraphFont"/>
    <w:link w:val="BodyText"/>
    <w:uiPriority w:val="99"/>
    <w:semiHidden/>
    <w:rsid w:val="009D50CE"/>
  </w:style>
  <w:style w:type="character" w:customStyle="1" w:styleId="Heading4Char">
    <w:name w:val="Heading 4 Char"/>
    <w:basedOn w:val="DefaultParagraphFont"/>
    <w:link w:val="Heading4"/>
    <w:uiPriority w:val="9"/>
    <w:semiHidden/>
    <w:rsid w:val="00152828"/>
    <w:rPr>
      <w:rFonts w:asciiTheme="majorHAnsi" w:eastAsiaTheme="majorEastAsia" w:hAnsiTheme="majorHAnsi" w:cstheme="majorBidi"/>
      <w:b/>
      <w:bCs/>
      <w:i/>
      <w:iCs/>
      <w:color w:val="4F81BD" w:themeColor="accent1"/>
    </w:rPr>
  </w:style>
  <w:style w:type="paragraph" w:customStyle="1" w:styleId="Default">
    <w:name w:val="Default"/>
    <w:rsid w:val="00ED0583"/>
    <w:pPr>
      <w:autoSpaceDE w:val="0"/>
      <w:autoSpaceDN w:val="0"/>
      <w:adjustRightInd w:val="0"/>
      <w:spacing w:after="0" w:line="240" w:lineRule="auto"/>
    </w:pPr>
    <w:rPr>
      <w:rFonts w:ascii="Arial" w:hAnsi="Arial" w:cs="Arial"/>
      <w:color w:val="000000"/>
      <w:sz w:val="24"/>
      <w:szCs w:val="24"/>
    </w:rPr>
  </w:style>
  <w:style w:type="paragraph" w:customStyle="1" w:styleId="Citation">
    <w:name w:val="Citation"/>
    <w:basedOn w:val="BodyText"/>
    <w:rsid w:val="00E86919"/>
    <w:pPr>
      <w:spacing w:after="160" w:line="240" w:lineRule="auto"/>
    </w:pPr>
    <w:rPr>
      <w:rFonts w:ascii="Arial" w:eastAsia="Times New Roman" w:hAnsi="Arial" w:cs="Times New Roman"/>
      <w:szCs w:val="20"/>
      <w:lang w:eastAsia="en-GB"/>
    </w:rPr>
  </w:style>
  <w:style w:type="character" w:customStyle="1" w:styleId="apple-converted-space">
    <w:name w:val="apple-converted-space"/>
    <w:basedOn w:val="DefaultParagraphFont"/>
    <w:rsid w:val="00E86919"/>
  </w:style>
  <w:style w:type="character" w:customStyle="1" w:styleId="ccrate">
    <w:name w:val="ccrate"/>
    <w:basedOn w:val="DefaultParagraphFont"/>
    <w:rsid w:val="006D38B6"/>
  </w:style>
  <w:style w:type="paragraph" w:customStyle="1" w:styleId="Pa6">
    <w:name w:val="Pa6"/>
    <w:basedOn w:val="Default"/>
    <w:next w:val="Default"/>
    <w:uiPriority w:val="99"/>
    <w:rsid w:val="00D81B8F"/>
    <w:pPr>
      <w:spacing w:line="201" w:lineRule="atLeast"/>
    </w:pPr>
    <w:rPr>
      <w:rFonts w:ascii="Helvetica" w:hAnsi="Helvetica" w:cs="Helvetica"/>
      <w:color w:val="auto"/>
    </w:rPr>
  </w:style>
  <w:style w:type="character" w:customStyle="1" w:styleId="A8">
    <w:name w:val="A8"/>
    <w:uiPriority w:val="99"/>
    <w:rsid w:val="00D81B8F"/>
    <w:rPr>
      <w:color w:val="211D1E"/>
      <w:sz w:val="11"/>
      <w:szCs w:val="11"/>
    </w:rPr>
  </w:style>
  <w:style w:type="character" w:customStyle="1" w:styleId="tgc">
    <w:name w:val="_tgc"/>
    <w:basedOn w:val="DefaultParagraphFont"/>
    <w:rsid w:val="0005314C"/>
  </w:style>
  <w:style w:type="paragraph" w:styleId="PlainText">
    <w:name w:val="Plain Text"/>
    <w:basedOn w:val="Normal"/>
    <w:link w:val="PlainTextChar"/>
    <w:uiPriority w:val="99"/>
    <w:unhideWhenUsed/>
    <w:rsid w:val="00DB6C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6C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458">
      <w:bodyDiv w:val="1"/>
      <w:marLeft w:val="0"/>
      <w:marRight w:val="0"/>
      <w:marTop w:val="0"/>
      <w:marBottom w:val="0"/>
      <w:divBdr>
        <w:top w:val="none" w:sz="0" w:space="0" w:color="auto"/>
        <w:left w:val="none" w:sz="0" w:space="0" w:color="auto"/>
        <w:bottom w:val="none" w:sz="0" w:space="0" w:color="auto"/>
        <w:right w:val="none" w:sz="0" w:space="0" w:color="auto"/>
      </w:divBdr>
    </w:div>
    <w:div w:id="227957880">
      <w:blockQuote w:val="1"/>
      <w:marLeft w:val="0"/>
      <w:marRight w:val="0"/>
      <w:marTop w:val="0"/>
      <w:marBottom w:val="300"/>
      <w:divBdr>
        <w:top w:val="none" w:sz="0" w:space="0" w:color="auto"/>
        <w:left w:val="single" w:sz="6" w:space="14" w:color="DDDDDD"/>
        <w:bottom w:val="none" w:sz="0" w:space="0" w:color="auto"/>
        <w:right w:val="none" w:sz="0" w:space="0" w:color="auto"/>
      </w:divBdr>
    </w:div>
    <w:div w:id="381633008">
      <w:bodyDiv w:val="1"/>
      <w:marLeft w:val="0"/>
      <w:marRight w:val="0"/>
      <w:marTop w:val="0"/>
      <w:marBottom w:val="0"/>
      <w:divBdr>
        <w:top w:val="none" w:sz="0" w:space="0" w:color="auto"/>
        <w:left w:val="none" w:sz="0" w:space="0" w:color="auto"/>
        <w:bottom w:val="none" w:sz="0" w:space="0" w:color="auto"/>
        <w:right w:val="none" w:sz="0" w:space="0" w:color="auto"/>
      </w:divBdr>
    </w:div>
    <w:div w:id="395052090">
      <w:bodyDiv w:val="1"/>
      <w:marLeft w:val="0"/>
      <w:marRight w:val="0"/>
      <w:marTop w:val="0"/>
      <w:marBottom w:val="0"/>
      <w:divBdr>
        <w:top w:val="none" w:sz="0" w:space="0" w:color="auto"/>
        <w:left w:val="none" w:sz="0" w:space="0" w:color="auto"/>
        <w:bottom w:val="none" w:sz="0" w:space="0" w:color="auto"/>
        <w:right w:val="none" w:sz="0" w:space="0" w:color="auto"/>
      </w:divBdr>
      <w:divsChild>
        <w:div w:id="1952004361">
          <w:marLeft w:val="0"/>
          <w:marRight w:val="0"/>
          <w:marTop w:val="0"/>
          <w:marBottom w:val="0"/>
          <w:divBdr>
            <w:top w:val="none" w:sz="0" w:space="0" w:color="auto"/>
            <w:left w:val="none" w:sz="0" w:space="0" w:color="auto"/>
            <w:bottom w:val="none" w:sz="0" w:space="0" w:color="auto"/>
            <w:right w:val="none" w:sz="0" w:space="0" w:color="auto"/>
          </w:divBdr>
          <w:divsChild>
            <w:div w:id="475878899">
              <w:marLeft w:val="0"/>
              <w:marRight w:val="0"/>
              <w:marTop w:val="0"/>
              <w:marBottom w:val="0"/>
              <w:divBdr>
                <w:top w:val="none" w:sz="0" w:space="0" w:color="auto"/>
                <w:left w:val="none" w:sz="0" w:space="0" w:color="auto"/>
                <w:bottom w:val="none" w:sz="0" w:space="0" w:color="auto"/>
                <w:right w:val="none" w:sz="0" w:space="0" w:color="auto"/>
              </w:divBdr>
              <w:divsChild>
                <w:div w:id="894924392">
                  <w:marLeft w:val="0"/>
                  <w:marRight w:val="0"/>
                  <w:marTop w:val="0"/>
                  <w:marBottom w:val="0"/>
                  <w:divBdr>
                    <w:top w:val="none" w:sz="0" w:space="0" w:color="auto"/>
                    <w:left w:val="none" w:sz="0" w:space="0" w:color="auto"/>
                    <w:bottom w:val="none" w:sz="0" w:space="0" w:color="auto"/>
                    <w:right w:val="none" w:sz="0" w:space="0" w:color="auto"/>
                  </w:divBdr>
                  <w:divsChild>
                    <w:div w:id="537544704">
                      <w:marLeft w:val="0"/>
                      <w:marRight w:val="0"/>
                      <w:marTop w:val="0"/>
                      <w:marBottom w:val="0"/>
                      <w:divBdr>
                        <w:top w:val="none" w:sz="0" w:space="0" w:color="auto"/>
                        <w:left w:val="none" w:sz="0" w:space="0" w:color="auto"/>
                        <w:bottom w:val="none" w:sz="0" w:space="0" w:color="auto"/>
                        <w:right w:val="none" w:sz="0" w:space="0" w:color="auto"/>
                      </w:divBdr>
                      <w:divsChild>
                        <w:div w:id="840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06">
      <w:bodyDiv w:val="1"/>
      <w:marLeft w:val="0"/>
      <w:marRight w:val="0"/>
      <w:marTop w:val="0"/>
      <w:marBottom w:val="0"/>
      <w:divBdr>
        <w:top w:val="none" w:sz="0" w:space="0" w:color="auto"/>
        <w:left w:val="none" w:sz="0" w:space="0" w:color="auto"/>
        <w:bottom w:val="none" w:sz="0" w:space="0" w:color="auto"/>
        <w:right w:val="none" w:sz="0" w:space="0" w:color="auto"/>
      </w:divBdr>
      <w:divsChild>
        <w:div w:id="1209948894">
          <w:marLeft w:val="0"/>
          <w:marRight w:val="0"/>
          <w:marTop w:val="0"/>
          <w:marBottom w:val="0"/>
          <w:divBdr>
            <w:top w:val="single" w:sz="2" w:space="0" w:color="2E2E2E"/>
            <w:left w:val="single" w:sz="2" w:space="0" w:color="2E2E2E"/>
            <w:bottom w:val="single" w:sz="2" w:space="0" w:color="2E2E2E"/>
            <w:right w:val="single" w:sz="2" w:space="0" w:color="2E2E2E"/>
          </w:divBdr>
          <w:divsChild>
            <w:div w:id="250550335">
              <w:marLeft w:val="0"/>
              <w:marRight w:val="0"/>
              <w:marTop w:val="0"/>
              <w:marBottom w:val="0"/>
              <w:divBdr>
                <w:top w:val="single" w:sz="6" w:space="0" w:color="C9C9C9"/>
                <w:left w:val="none" w:sz="0" w:space="0" w:color="auto"/>
                <w:bottom w:val="none" w:sz="0" w:space="0" w:color="auto"/>
                <w:right w:val="none" w:sz="0" w:space="0" w:color="auto"/>
              </w:divBdr>
              <w:divsChild>
                <w:div w:id="1668633606">
                  <w:marLeft w:val="0"/>
                  <w:marRight w:val="0"/>
                  <w:marTop w:val="0"/>
                  <w:marBottom w:val="0"/>
                  <w:divBdr>
                    <w:top w:val="none" w:sz="0" w:space="0" w:color="auto"/>
                    <w:left w:val="none" w:sz="0" w:space="0" w:color="auto"/>
                    <w:bottom w:val="none" w:sz="0" w:space="0" w:color="auto"/>
                    <w:right w:val="none" w:sz="0" w:space="0" w:color="auto"/>
                  </w:divBdr>
                  <w:divsChild>
                    <w:div w:id="1156917086">
                      <w:marLeft w:val="0"/>
                      <w:marRight w:val="0"/>
                      <w:marTop w:val="0"/>
                      <w:marBottom w:val="0"/>
                      <w:divBdr>
                        <w:top w:val="none" w:sz="0" w:space="0" w:color="auto"/>
                        <w:left w:val="none" w:sz="0" w:space="0" w:color="auto"/>
                        <w:bottom w:val="none" w:sz="0" w:space="0" w:color="auto"/>
                        <w:right w:val="none" w:sz="0" w:space="0" w:color="auto"/>
                      </w:divBdr>
                      <w:divsChild>
                        <w:div w:id="229272547">
                          <w:marLeft w:val="0"/>
                          <w:marRight w:val="0"/>
                          <w:marTop w:val="225"/>
                          <w:marBottom w:val="180"/>
                          <w:divBdr>
                            <w:top w:val="single" w:sz="6" w:space="0" w:color="D7D7D7"/>
                            <w:left w:val="single" w:sz="2" w:space="0" w:color="D7D7D7"/>
                            <w:bottom w:val="single" w:sz="6" w:space="0" w:color="D7D7D7"/>
                            <w:right w:val="single" w:sz="2" w:space="0" w:color="D7D7D7"/>
                          </w:divBdr>
                          <w:divsChild>
                            <w:div w:id="1416897012">
                              <w:marLeft w:val="0"/>
                              <w:marRight w:val="0"/>
                              <w:marTop w:val="0"/>
                              <w:marBottom w:val="0"/>
                              <w:divBdr>
                                <w:top w:val="none" w:sz="0" w:space="0" w:color="auto"/>
                                <w:left w:val="none" w:sz="0" w:space="0" w:color="auto"/>
                                <w:bottom w:val="none" w:sz="0" w:space="0" w:color="auto"/>
                                <w:right w:val="none" w:sz="0" w:space="0" w:color="auto"/>
                              </w:divBdr>
                              <w:divsChild>
                                <w:div w:id="1687441666">
                                  <w:marLeft w:val="0"/>
                                  <w:marRight w:val="0"/>
                                  <w:marTop w:val="0"/>
                                  <w:marBottom w:val="0"/>
                                  <w:divBdr>
                                    <w:top w:val="none" w:sz="0" w:space="0" w:color="auto"/>
                                    <w:left w:val="none" w:sz="0" w:space="0" w:color="auto"/>
                                    <w:bottom w:val="none" w:sz="0" w:space="0" w:color="auto"/>
                                    <w:right w:val="none" w:sz="0" w:space="0" w:color="auto"/>
                                  </w:divBdr>
                                </w:div>
                              </w:divsChild>
                            </w:div>
                            <w:div w:id="213859015">
                              <w:marLeft w:val="0"/>
                              <w:marRight w:val="0"/>
                              <w:marTop w:val="0"/>
                              <w:marBottom w:val="0"/>
                              <w:divBdr>
                                <w:top w:val="none" w:sz="0" w:space="0" w:color="auto"/>
                                <w:left w:val="none" w:sz="0" w:space="0" w:color="auto"/>
                                <w:bottom w:val="none" w:sz="0" w:space="0" w:color="auto"/>
                                <w:right w:val="none" w:sz="0" w:space="0" w:color="auto"/>
                              </w:divBdr>
                            </w:div>
                          </w:divsChild>
                        </w:div>
                        <w:div w:id="7183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6202">
      <w:bodyDiv w:val="1"/>
      <w:marLeft w:val="0"/>
      <w:marRight w:val="0"/>
      <w:marTop w:val="0"/>
      <w:marBottom w:val="0"/>
      <w:divBdr>
        <w:top w:val="none" w:sz="0" w:space="0" w:color="auto"/>
        <w:left w:val="none" w:sz="0" w:space="0" w:color="auto"/>
        <w:bottom w:val="none" w:sz="0" w:space="0" w:color="auto"/>
        <w:right w:val="none" w:sz="0" w:space="0" w:color="auto"/>
      </w:divBdr>
      <w:divsChild>
        <w:div w:id="471486064">
          <w:marLeft w:val="0"/>
          <w:marRight w:val="0"/>
          <w:marTop w:val="0"/>
          <w:marBottom w:val="0"/>
          <w:divBdr>
            <w:top w:val="none" w:sz="0" w:space="0" w:color="auto"/>
            <w:left w:val="none" w:sz="0" w:space="0" w:color="auto"/>
            <w:bottom w:val="none" w:sz="0" w:space="0" w:color="auto"/>
            <w:right w:val="none" w:sz="0" w:space="0" w:color="auto"/>
          </w:divBdr>
          <w:divsChild>
            <w:div w:id="1248997503">
              <w:marLeft w:val="0"/>
              <w:marRight w:val="0"/>
              <w:marTop w:val="0"/>
              <w:marBottom w:val="0"/>
              <w:divBdr>
                <w:top w:val="none" w:sz="0" w:space="0" w:color="auto"/>
                <w:left w:val="none" w:sz="0" w:space="0" w:color="auto"/>
                <w:bottom w:val="none" w:sz="0" w:space="0" w:color="auto"/>
                <w:right w:val="none" w:sz="0" w:space="0" w:color="auto"/>
              </w:divBdr>
              <w:divsChild>
                <w:div w:id="671567943">
                  <w:marLeft w:val="0"/>
                  <w:marRight w:val="0"/>
                  <w:marTop w:val="0"/>
                  <w:marBottom w:val="0"/>
                  <w:divBdr>
                    <w:top w:val="none" w:sz="0" w:space="0" w:color="auto"/>
                    <w:left w:val="none" w:sz="0" w:space="0" w:color="auto"/>
                    <w:bottom w:val="none" w:sz="0" w:space="0" w:color="auto"/>
                    <w:right w:val="none" w:sz="0" w:space="0" w:color="auto"/>
                  </w:divBdr>
                  <w:divsChild>
                    <w:div w:id="11370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9074">
      <w:bodyDiv w:val="1"/>
      <w:marLeft w:val="0"/>
      <w:marRight w:val="0"/>
      <w:marTop w:val="0"/>
      <w:marBottom w:val="0"/>
      <w:divBdr>
        <w:top w:val="none" w:sz="0" w:space="0" w:color="auto"/>
        <w:left w:val="none" w:sz="0" w:space="0" w:color="auto"/>
        <w:bottom w:val="none" w:sz="0" w:space="0" w:color="auto"/>
        <w:right w:val="none" w:sz="0" w:space="0" w:color="auto"/>
      </w:divBdr>
    </w:div>
    <w:div w:id="933171808">
      <w:bodyDiv w:val="1"/>
      <w:marLeft w:val="0"/>
      <w:marRight w:val="0"/>
      <w:marTop w:val="0"/>
      <w:marBottom w:val="0"/>
      <w:divBdr>
        <w:top w:val="none" w:sz="0" w:space="0" w:color="auto"/>
        <w:left w:val="none" w:sz="0" w:space="0" w:color="auto"/>
        <w:bottom w:val="none" w:sz="0" w:space="0" w:color="auto"/>
        <w:right w:val="none" w:sz="0" w:space="0" w:color="auto"/>
      </w:divBdr>
      <w:divsChild>
        <w:div w:id="1516534964">
          <w:marLeft w:val="0"/>
          <w:marRight w:val="0"/>
          <w:marTop w:val="0"/>
          <w:marBottom w:val="0"/>
          <w:divBdr>
            <w:top w:val="none" w:sz="0" w:space="0" w:color="auto"/>
            <w:left w:val="none" w:sz="0" w:space="0" w:color="auto"/>
            <w:bottom w:val="none" w:sz="0" w:space="0" w:color="auto"/>
            <w:right w:val="none" w:sz="0" w:space="0" w:color="auto"/>
          </w:divBdr>
          <w:divsChild>
            <w:div w:id="112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5598">
      <w:bodyDiv w:val="1"/>
      <w:marLeft w:val="0"/>
      <w:marRight w:val="0"/>
      <w:marTop w:val="0"/>
      <w:marBottom w:val="0"/>
      <w:divBdr>
        <w:top w:val="none" w:sz="0" w:space="0" w:color="auto"/>
        <w:left w:val="none" w:sz="0" w:space="0" w:color="auto"/>
        <w:bottom w:val="none" w:sz="0" w:space="0" w:color="auto"/>
        <w:right w:val="none" w:sz="0" w:space="0" w:color="auto"/>
      </w:divBdr>
      <w:divsChild>
        <w:div w:id="284971646">
          <w:marLeft w:val="0"/>
          <w:marRight w:val="0"/>
          <w:marTop w:val="0"/>
          <w:marBottom w:val="0"/>
          <w:divBdr>
            <w:top w:val="none" w:sz="0" w:space="0" w:color="auto"/>
            <w:left w:val="none" w:sz="0" w:space="0" w:color="auto"/>
            <w:bottom w:val="none" w:sz="0" w:space="0" w:color="auto"/>
            <w:right w:val="none" w:sz="0" w:space="0" w:color="auto"/>
          </w:divBdr>
          <w:divsChild>
            <w:div w:id="1906913467">
              <w:marLeft w:val="0"/>
              <w:marRight w:val="0"/>
              <w:marTop w:val="0"/>
              <w:marBottom w:val="0"/>
              <w:divBdr>
                <w:top w:val="none" w:sz="0" w:space="0" w:color="auto"/>
                <w:left w:val="none" w:sz="0" w:space="0" w:color="auto"/>
                <w:bottom w:val="none" w:sz="0" w:space="0" w:color="auto"/>
                <w:right w:val="none" w:sz="0" w:space="0" w:color="auto"/>
              </w:divBdr>
              <w:divsChild>
                <w:div w:id="1959219138">
                  <w:marLeft w:val="0"/>
                  <w:marRight w:val="0"/>
                  <w:marTop w:val="0"/>
                  <w:marBottom w:val="0"/>
                  <w:divBdr>
                    <w:top w:val="none" w:sz="0" w:space="0" w:color="auto"/>
                    <w:left w:val="none" w:sz="0" w:space="0" w:color="auto"/>
                    <w:bottom w:val="none" w:sz="0" w:space="0" w:color="auto"/>
                    <w:right w:val="none" w:sz="0" w:space="0" w:color="auto"/>
                  </w:divBdr>
                  <w:divsChild>
                    <w:div w:id="1714425720">
                      <w:marLeft w:val="0"/>
                      <w:marRight w:val="0"/>
                      <w:marTop w:val="0"/>
                      <w:marBottom w:val="0"/>
                      <w:divBdr>
                        <w:top w:val="none" w:sz="0" w:space="0" w:color="auto"/>
                        <w:left w:val="none" w:sz="0" w:space="0" w:color="auto"/>
                        <w:bottom w:val="none" w:sz="0" w:space="0" w:color="auto"/>
                        <w:right w:val="none" w:sz="0" w:space="0" w:color="auto"/>
                      </w:divBdr>
                      <w:divsChild>
                        <w:div w:id="1233781729">
                          <w:marLeft w:val="0"/>
                          <w:marRight w:val="0"/>
                          <w:marTop w:val="0"/>
                          <w:marBottom w:val="0"/>
                          <w:divBdr>
                            <w:top w:val="none" w:sz="0" w:space="0" w:color="auto"/>
                            <w:left w:val="none" w:sz="0" w:space="0" w:color="auto"/>
                            <w:bottom w:val="none" w:sz="0" w:space="0" w:color="auto"/>
                            <w:right w:val="none" w:sz="0" w:space="0" w:color="auto"/>
                          </w:divBdr>
                        </w:div>
                        <w:div w:id="16670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72259">
      <w:bodyDiv w:val="1"/>
      <w:marLeft w:val="0"/>
      <w:marRight w:val="0"/>
      <w:marTop w:val="0"/>
      <w:marBottom w:val="0"/>
      <w:divBdr>
        <w:top w:val="none" w:sz="0" w:space="0" w:color="auto"/>
        <w:left w:val="none" w:sz="0" w:space="0" w:color="auto"/>
        <w:bottom w:val="none" w:sz="0" w:space="0" w:color="auto"/>
        <w:right w:val="none" w:sz="0" w:space="0" w:color="auto"/>
      </w:divBdr>
    </w:div>
    <w:div w:id="1120807954">
      <w:marLeft w:val="0"/>
      <w:marRight w:val="0"/>
      <w:marTop w:val="0"/>
      <w:marBottom w:val="0"/>
      <w:divBdr>
        <w:top w:val="none" w:sz="0" w:space="0" w:color="auto"/>
        <w:left w:val="none" w:sz="0" w:space="0" w:color="auto"/>
        <w:bottom w:val="none" w:sz="0" w:space="0" w:color="auto"/>
        <w:right w:val="none" w:sz="0" w:space="0" w:color="auto"/>
      </w:divBdr>
      <w:divsChild>
        <w:div w:id="214968017">
          <w:marLeft w:val="0"/>
          <w:marRight w:val="0"/>
          <w:marTop w:val="0"/>
          <w:marBottom w:val="60"/>
          <w:divBdr>
            <w:top w:val="none" w:sz="0" w:space="0" w:color="auto"/>
            <w:left w:val="none" w:sz="0" w:space="0" w:color="auto"/>
            <w:bottom w:val="single" w:sz="6" w:space="3" w:color="999999"/>
            <w:right w:val="none" w:sz="0" w:space="0" w:color="auto"/>
          </w:divBdr>
        </w:div>
      </w:divsChild>
    </w:div>
    <w:div w:id="1132409901">
      <w:bodyDiv w:val="1"/>
      <w:marLeft w:val="0"/>
      <w:marRight w:val="0"/>
      <w:marTop w:val="0"/>
      <w:marBottom w:val="0"/>
      <w:divBdr>
        <w:top w:val="none" w:sz="0" w:space="0" w:color="auto"/>
        <w:left w:val="none" w:sz="0" w:space="0" w:color="auto"/>
        <w:bottom w:val="none" w:sz="0" w:space="0" w:color="auto"/>
        <w:right w:val="none" w:sz="0" w:space="0" w:color="auto"/>
      </w:divBdr>
    </w:div>
    <w:div w:id="1245337600">
      <w:bodyDiv w:val="1"/>
      <w:marLeft w:val="0"/>
      <w:marRight w:val="0"/>
      <w:marTop w:val="0"/>
      <w:marBottom w:val="0"/>
      <w:divBdr>
        <w:top w:val="none" w:sz="0" w:space="0" w:color="auto"/>
        <w:left w:val="none" w:sz="0" w:space="0" w:color="auto"/>
        <w:bottom w:val="none" w:sz="0" w:space="0" w:color="auto"/>
        <w:right w:val="none" w:sz="0" w:space="0" w:color="auto"/>
      </w:divBdr>
    </w:div>
    <w:div w:id="1302729244">
      <w:bodyDiv w:val="1"/>
      <w:marLeft w:val="0"/>
      <w:marRight w:val="0"/>
      <w:marTop w:val="0"/>
      <w:marBottom w:val="0"/>
      <w:divBdr>
        <w:top w:val="none" w:sz="0" w:space="0" w:color="auto"/>
        <w:left w:val="none" w:sz="0" w:space="0" w:color="auto"/>
        <w:bottom w:val="none" w:sz="0" w:space="0" w:color="auto"/>
        <w:right w:val="none" w:sz="0" w:space="0" w:color="auto"/>
      </w:divBdr>
    </w:div>
    <w:div w:id="1339574046">
      <w:bodyDiv w:val="1"/>
      <w:marLeft w:val="0"/>
      <w:marRight w:val="0"/>
      <w:marTop w:val="0"/>
      <w:marBottom w:val="0"/>
      <w:divBdr>
        <w:top w:val="none" w:sz="0" w:space="0" w:color="auto"/>
        <w:left w:val="none" w:sz="0" w:space="0" w:color="auto"/>
        <w:bottom w:val="none" w:sz="0" w:space="0" w:color="auto"/>
        <w:right w:val="none" w:sz="0" w:space="0" w:color="auto"/>
      </w:divBdr>
      <w:divsChild>
        <w:div w:id="669331668">
          <w:marLeft w:val="0"/>
          <w:marRight w:val="0"/>
          <w:marTop w:val="0"/>
          <w:marBottom w:val="0"/>
          <w:divBdr>
            <w:top w:val="none" w:sz="0" w:space="0" w:color="auto"/>
            <w:left w:val="none" w:sz="0" w:space="0" w:color="auto"/>
            <w:bottom w:val="none" w:sz="0" w:space="0" w:color="auto"/>
            <w:right w:val="none" w:sz="0" w:space="0" w:color="auto"/>
          </w:divBdr>
          <w:divsChild>
            <w:div w:id="210698728">
              <w:marLeft w:val="0"/>
              <w:marRight w:val="0"/>
              <w:marTop w:val="0"/>
              <w:marBottom w:val="0"/>
              <w:divBdr>
                <w:top w:val="none" w:sz="0" w:space="0" w:color="auto"/>
                <w:left w:val="none" w:sz="0" w:space="0" w:color="auto"/>
                <w:bottom w:val="none" w:sz="0" w:space="0" w:color="auto"/>
                <w:right w:val="none" w:sz="0" w:space="0" w:color="auto"/>
              </w:divBdr>
              <w:divsChild>
                <w:div w:id="727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0890">
      <w:bodyDiv w:val="1"/>
      <w:marLeft w:val="0"/>
      <w:marRight w:val="0"/>
      <w:marTop w:val="0"/>
      <w:marBottom w:val="0"/>
      <w:divBdr>
        <w:top w:val="none" w:sz="0" w:space="0" w:color="auto"/>
        <w:left w:val="none" w:sz="0" w:space="0" w:color="auto"/>
        <w:bottom w:val="none" w:sz="0" w:space="0" w:color="auto"/>
        <w:right w:val="none" w:sz="0" w:space="0" w:color="auto"/>
      </w:divBdr>
    </w:div>
    <w:div w:id="1454596207">
      <w:bodyDiv w:val="1"/>
      <w:marLeft w:val="0"/>
      <w:marRight w:val="0"/>
      <w:marTop w:val="0"/>
      <w:marBottom w:val="0"/>
      <w:divBdr>
        <w:top w:val="none" w:sz="0" w:space="0" w:color="auto"/>
        <w:left w:val="none" w:sz="0" w:space="0" w:color="auto"/>
        <w:bottom w:val="none" w:sz="0" w:space="0" w:color="auto"/>
        <w:right w:val="none" w:sz="0" w:space="0" w:color="auto"/>
      </w:divBdr>
    </w:div>
    <w:div w:id="1565867825">
      <w:bodyDiv w:val="1"/>
      <w:marLeft w:val="0"/>
      <w:marRight w:val="0"/>
      <w:marTop w:val="0"/>
      <w:marBottom w:val="0"/>
      <w:divBdr>
        <w:top w:val="none" w:sz="0" w:space="0" w:color="auto"/>
        <w:left w:val="none" w:sz="0" w:space="0" w:color="auto"/>
        <w:bottom w:val="none" w:sz="0" w:space="0" w:color="auto"/>
        <w:right w:val="none" w:sz="0" w:space="0" w:color="auto"/>
      </w:divBdr>
      <w:divsChild>
        <w:div w:id="756750463">
          <w:marLeft w:val="0"/>
          <w:marRight w:val="0"/>
          <w:marTop w:val="0"/>
          <w:marBottom w:val="0"/>
          <w:divBdr>
            <w:top w:val="none" w:sz="0" w:space="0" w:color="auto"/>
            <w:left w:val="none" w:sz="0" w:space="0" w:color="auto"/>
            <w:bottom w:val="none" w:sz="0" w:space="0" w:color="auto"/>
            <w:right w:val="none" w:sz="0" w:space="0" w:color="auto"/>
          </w:divBdr>
          <w:divsChild>
            <w:div w:id="1241331393">
              <w:marLeft w:val="0"/>
              <w:marRight w:val="0"/>
              <w:marTop w:val="0"/>
              <w:marBottom w:val="0"/>
              <w:divBdr>
                <w:top w:val="none" w:sz="0" w:space="0" w:color="auto"/>
                <w:left w:val="none" w:sz="0" w:space="0" w:color="auto"/>
                <w:bottom w:val="none" w:sz="0" w:space="0" w:color="auto"/>
                <w:right w:val="none" w:sz="0" w:space="0" w:color="auto"/>
              </w:divBdr>
              <w:divsChild>
                <w:div w:id="1057627226">
                  <w:marLeft w:val="0"/>
                  <w:marRight w:val="0"/>
                  <w:marTop w:val="0"/>
                  <w:marBottom w:val="0"/>
                  <w:divBdr>
                    <w:top w:val="none" w:sz="0" w:space="0" w:color="auto"/>
                    <w:left w:val="none" w:sz="0" w:space="0" w:color="auto"/>
                    <w:bottom w:val="none" w:sz="0" w:space="0" w:color="auto"/>
                    <w:right w:val="none" w:sz="0" w:space="0" w:color="auto"/>
                  </w:divBdr>
                  <w:divsChild>
                    <w:div w:id="527061533">
                      <w:marLeft w:val="0"/>
                      <w:marRight w:val="0"/>
                      <w:marTop w:val="0"/>
                      <w:marBottom w:val="0"/>
                      <w:divBdr>
                        <w:top w:val="none" w:sz="0" w:space="0" w:color="auto"/>
                        <w:left w:val="none" w:sz="0" w:space="0" w:color="auto"/>
                        <w:bottom w:val="none" w:sz="0" w:space="0" w:color="auto"/>
                        <w:right w:val="none" w:sz="0" w:space="0" w:color="auto"/>
                      </w:divBdr>
                      <w:divsChild>
                        <w:div w:id="137574288">
                          <w:marLeft w:val="0"/>
                          <w:marRight w:val="0"/>
                          <w:marTop w:val="0"/>
                          <w:marBottom w:val="0"/>
                          <w:divBdr>
                            <w:top w:val="none" w:sz="0" w:space="0" w:color="auto"/>
                            <w:left w:val="none" w:sz="0" w:space="0" w:color="auto"/>
                            <w:bottom w:val="none" w:sz="0" w:space="0" w:color="auto"/>
                            <w:right w:val="none" w:sz="0" w:space="0" w:color="auto"/>
                          </w:divBdr>
                          <w:divsChild>
                            <w:div w:id="487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03028">
      <w:bodyDiv w:val="1"/>
      <w:marLeft w:val="0"/>
      <w:marRight w:val="0"/>
      <w:marTop w:val="0"/>
      <w:marBottom w:val="0"/>
      <w:divBdr>
        <w:top w:val="none" w:sz="0" w:space="0" w:color="auto"/>
        <w:left w:val="none" w:sz="0" w:space="0" w:color="auto"/>
        <w:bottom w:val="none" w:sz="0" w:space="0" w:color="auto"/>
        <w:right w:val="none" w:sz="0" w:space="0" w:color="auto"/>
      </w:divBdr>
    </w:div>
    <w:div w:id="1601982543">
      <w:bodyDiv w:val="1"/>
      <w:marLeft w:val="0"/>
      <w:marRight w:val="0"/>
      <w:marTop w:val="0"/>
      <w:marBottom w:val="0"/>
      <w:divBdr>
        <w:top w:val="none" w:sz="0" w:space="0" w:color="auto"/>
        <w:left w:val="none" w:sz="0" w:space="0" w:color="auto"/>
        <w:bottom w:val="none" w:sz="0" w:space="0" w:color="auto"/>
        <w:right w:val="none" w:sz="0" w:space="0" w:color="auto"/>
      </w:divBdr>
    </w:div>
    <w:div w:id="1611353626">
      <w:bodyDiv w:val="1"/>
      <w:marLeft w:val="0"/>
      <w:marRight w:val="0"/>
      <w:marTop w:val="0"/>
      <w:marBottom w:val="0"/>
      <w:divBdr>
        <w:top w:val="none" w:sz="0" w:space="0" w:color="auto"/>
        <w:left w:val="none" w:sz="0" w:space="0" w:color="auto"/>
        <w:bottom w:val="none" w:sz="0" w:space="0" w:color="auto"/>
        <w:right w:val="none" w:sz="0" w:space="0" w:color="auto"/>
      </w:divBdr>
    </w:div>
    <w:div w:id="1638295676">
      <w:bodyDiv w:val="1"/>
      <w:marLeft w:val="0"/>
      <w:marRight w:val="0"/>
      <w:marTop w:val="0"/>
      <w:marBottom w:val="0"/>
      <w:divBdr>
        <w:top w:val="none" w:sz="0" w:space="0" w:color="auto"/>
        <w:left w:val="none" w:sz="0" w:space="0" w:color="auto"/>
        <w:bottom w:val="none" w:sz="0" w:space="0" w:color="auto"/>
        <w:right w:val="none" w:sz="0" w:space="0" w:color="auto"/>
      </w:divBdr>
      <w:divsChild>
        <w:div w:id="2002200524">
          <w:marLeft w:val="0"/>
          <w:marRight w:val="0"/>
          <w:marTop w:val="0"/>
          <w:marBottom w:val="0"/>
          <w:divBdr>
            <w:top w:val="none" w:sz="0" w:space="0" w:color="auto"/>
            <w:left w:val="none" w:sz="0" w:space="0" w:color="auto"/>
            <w:bottom w:val="none" w:sz="0" w:space="0" w:color="auto"/>
            <w:right w:val="none" w:sz="0" w:space="0" w:color="auto"/>
          </w:divBdr>
          <w:divsChild>
            <w:div w:id="952594573">
              <w:marLeft w:val="0"/>
              <w:marRight w:val="0"/>
              <w:marTop w:val="0"/>
              <w:marBottom w:val="0"/>
              <w:divBdr>
                <w:top w:val="none" w:sz="0" w:space="0" w:color="auto"/>
                <w:left w:val="none" w:sz="0" w:space="0" w:color="auto"/>
                <w:bottom w:val="none" w:sz="0" w:space="0" w:color="auto"/>
                <w:right w:val="none" w:sz="0" w:space="0" w:color="auto"/>
              </w:divBdr>
              <w:divsChild>
                <w:div w:id="17074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7875">
      <w:bodyDiv w:val="1"/>
      <w:marLeft w:val="0"/>
      <w:marRight w:val="0"/>
      <w:marTop w:val="0"/>
      <w:marBottom w:val="0"/>
      <w:divBdr>
        <w:top w:val="none" w:sz="0" w:space="0" w:color="auto"/>
        <w:left w:val="none" w:sz="0" w:space="0" w:color="auto"/>
        <w:bottom w:val="none" w:sz="0" w:space="0" w:color="auto"/>
        <w:right w:val="none" w:sz="0" w:space="0" w:color="auto"/>
      </w:divBdr>
    </w:div>
    <w:div w:id="1738823716">
      <w:bodyDiv w:val="1"/>
      <w:marLeft w:val="0"/>
      <w:marRight w:val="0"/>
      <w:marTop w:val="0"/>
      <w:marBottom w:val="0"/>
      <w:divBdr>
        <w:top w:val="none" w:sz="0" w:space="0" w:color="auto"/>
        <w:left w:val="none" w:sz="0" w:space="0" w:color="auto"/>
        <w:bottom w:val="none" w:sz="0" w:space="0" w:color="auto"/>
        <w:right w:val="none" w:sz="0" w:space="0" w:color="auto"/>
      </w:divBdr>
      <w:divsChild>
        <w:div w:id="930312990">
          <w:marLeft w:val="0"/>
          <w:marRight w:val="0"/>
          <w:marTop w:val="0"/>
          <w:marBottom w:val="0"/>
          <w:divBdr>
            <w:top w:val="none" w:sz="0" w:space="0" w:color="auto"/>
            <w:left w:val="none" w:sz="0" w:space="0" w:color="auto"/>
            <w:bottom w:val="none" w:sz="0" w:space="0" w:color="auto"/>
            <w:right w:val="none" w:sz="0" w:space="0" w:color="auto"/>
          </w:divBdr>
          <w:divsChild>
            <w:div w:id="686910409">
              <w:marLeft w:val="0"/>
              <w:marRight w:val="0"/>
              <w:marTop w:val="0"/>
              <w:marBottom w:val="0"/>
              <w:divBdr>
                <w:top w:val="none" w:sz="0" w:space="0" w:color="auto"/>
                <w:left w:val="none" w:sz="0" w:space="0" w:color="auto"/>
                <w:bottom w:val="none" w:sz="0" w:space="0" w:color="auto"/>
                <w:right w:val="none" w:sz="0" w:space="0" w:color="auto"/>
              </w:divBdr>
              <w:divsChild>
                <w:div w:id="1530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5618">
      <w:bodyDiv w:val="1"/>
      <w:marLeft w:val="0"/>
      <w:marRight w:val="0"/>
      <w:marTop w:val="0"/>
      <w:marBottom w:val="0"/>
      <w:divBdr>
        <w:top w:val="none" w:sz="0" w:space="0" w:color="auto"/>
        <w:left w:val="none" w:sz="0" w:space="0" w:color="auto"/>
        <w:bottom w:val="none" w:sz="0" w:space="0" w:color="auto"/>
        <w:right w:val="none" w:sz="0" w:space="0" w:color="auto"/>
      </w:divBdr>
      <w:divsChild>
        <w:div w:id="458761908">
          <w:marLeft w:val="0"/>
          <w:marRight w:val="0"/>
          <w:marTop w:val="0"/>
          <w:marBottom w:val="0"/>
          <w:divBdr>
            <w:top w:val="none" w:sz="0" w:space="0" w:color="auto"/>
            <w:left w:val="none" w:sz="0" w:space="0" w:color="auto"/>
            <w:bottom w:val="none" w:sz="0" w:space="0" w:color="auto"/>
            <w:right w:val="none" w:sz="0" w:space="0" w:color="auto"/>
          </w:divBdr>
        </w:div>
      </w:divsChild>
    </w:div>
    <w:div w:id="2019430126">
      <w:bodyDiv w:val="1"/>
      <w:marLeft w:val="0"/>
      <w:marRight w:val="0"/>
      <w:marTop w:val="0"/>
      <w:marBottom w:val="0"/>
      <w:divBdr>
        <w:top w:val="none" w:sz="0" w:space="0" w:color="auto"/>
        <w:left w:val="none" w:sz="0" w:space="0" w:color="auto"/>
        <w:bottom w:val="none" w:sz="0" w:space="0" w:color="auto"/>
        <w:right w:val="none" w:sz="0" w:space="0" w:color="auto"/>
      </w:divBdr>
      <w:divsChild>
        <w:div w:id="850535146">
          <w:marLeft w:val="0"/>
          <w:marRight w:val="0"/>
          <w:marTop w:val="0"/>
          <w:marBottom w:val="0"/>
          <w:divBdr>
            <w:top w:val="single" w:sz="2" w:space="0" w:color="2E2E2E"/>
            <w:left w:val="single" w:sz="2" w:space="0" w:color="2E2E2E"/>
            <w:bottom w:val="single" w:sz="2" w:space="0" w:color="2E2E2E"/>
            <w:right w:val="single" w:sz="2" w:space="0" w:color="2E2E2E"/>
          </w:divBdr>
          <w:divsChild>
            <w:div w:id="1669479066">
              <w:marLeft w:val="0"/>
              <w:marRight w:val="0"/>
              <w:marTop w:val="0"/>
              <w:marBottom w:val="0"/>
              <w:divBdr>
                <w:top w:val="single" w:sz="6" w:space="0" w:color="C9C9C9"/>
                <w:left w:val="none" w:sz="0" w:space="0" w:color="auto"/>
                <w:bottom w:val="none" w:sz="0" w:space="0" w:color="auto"/>
                <w:right w:val="none" w:sz="0" w:space="0" w:color="auto"/>
              </w:divBdr>
              <w:divsChild>
                <w:div w:id="521629453">
                  <w:marLeft w:val="0"/>
                  <w:marRight w:val="0"/>
                  <w:marTop w:val="0"/>
                  <w:marBottom w:val="0"/>
                  <w:divBdr>
                    <w:top w:val="none" w:sz="0" w:space="0" w:color="auto"/>
                    <w:left w:val="none" w:sz="0" w:space="0" w:color="auto"/>
                    <w:bottom w:val="none" w:sz="0" w:space="0" w:color="auto"/>
                    <w:right w:val="none" w:sz="0" w:space="0" w:color="auto"/>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1968973514">
                          <w:marLeft w:val="0"/>
                          <w:marRight w:val="0"/>
                          <w:marTop w:val="225"/>
                          <w:marBottom w:val="180"/>
                          <w:divBdr>
                            <w:top w:val="single" w:sz="6" w:space="0" w:color="D7D7D7"/>
                            <w:left w:val="single" w:sz="2" w:space="0" w:color="D7D7D7"/>
                            <w:bottom w:val="single" w:sz="6" w:space="0" w:color="D7D7D7"/>
                            <w:right w:val="single" w:sz="2" w:space="0" w:color="D7D7D7"/>
                          </w:divBdr>
                          <w:divsChild>
                            <w:div w:id="582179825">
                              <w:marLeft w:val="0"/>
                              <w:marRight w:val="0"/>
                              <w:marTop w:val="0"/>
                              <w:marBottom w:val="0"/>
                              <w:divBdr>
                                <w:top w:val="none" w:sz="0" w:space="0" w:color="auto"/>
                                <w:left w:val="none" w:sz="0" w:space="0" w:color="auto"/>
                                <w:bottom w:val="none" w:sz="0" w:space="0" w:color="auto"/>
                                <w:right w:val="none" w:sz="0" w:space="0" w:color="auto"/>
                              </w:divBdr>
                              <w:divsChild>
                                <w:div w:id="1522084157">
                                  <w:marLeft w:val="0"/>
                                  <w:marRight w:val="0"/>
                                  <w:marTop w:val="0"/>
                                  <w:marBottom w:val="0"/>
                                  <w:divBdr>
                                    <w:top w:val="none" w:sz="0" w:space="0" w:color="auto"/>
                                    <w:left w:val="none" w:sz="0" w:space="0" w:color="auto"/>
                                    <w:bottom w:val="none" w:sz="0" w:space="0" w:color="auto"/>
                                    <w:right w:val="none" w:sz="0" w:space="0" w:color="auto"/>
                                  </w:divBdr>
                                </w:div>
                              </w:divsChild>
                            </w:div>
                            <w:div w:id="1155800399">
                              <w:marLeft w:val="0"/>
                              <w:marRight w:val="0"/>
                              <w:marTop w:val="0"/>
                              <w:marBottom w:val="0"/>
                              <w:divBdr>
                                <w:top w:val="none" w:sz="0" w:space="0" w:color="auto"/>
                                <w:left w:val="none" w:sz="0" w:space="0" w:color="auto"/>
                                <w:bottom w:val="none" w:sz="0" w:space="0" w:color="auto"/>
                                <w:right w:val="none" w:sz="0" w:space="0" w:color="auto"/>
                              </w:divBdr>
                            </w:div>
                          </w:divsChild>
                        </w:div>
                        <w:div w:id="679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verard@uwe.ac.uk" TargetMode="External"/><Relationship Id="rId13" Type="http://schemas.openxmlformats.org/officeDocument/2006/relationships/hyperlink" Target="https://www.gov.uk/government/uploads/system/uploads/attachment_data/file/243825/background.pdf" TargetMode="External"/><Relationship Id="rId18" Type="http://schemas.openxmlformats.org/officeDocument/2006/relationships/hyperlink" Target="http://www.globalissues.org/article/29/causes-of-the-debt-crisis" TargetMode="External"/><Relationship Id="rId26" Type="http://schemas.openxmlformats.org/officeDocument/2006/relationships/hyperlink" Target="http://www.worldbank.org/en/about" TargetMode="External"/><Relationship Id="rId3" Type="http://schemas.openxmlformats.org/officeDocument/2006/relationships/styles" Target="styles.xml"/><Relationship Id="rId21" Type="http://schemas.openxmlformats.org/officeDocument/2006/relationships/hyperlink" Target="http://www.unep.ch/etb/events/IPES%20Side%20Event%20Bonn/IPES%20SUM%20FINA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txglobal.com/" TargetMode="External"/><Relationship Id="rId17" Type="http://schemas.openxmlformats.org/officeDocument/2006/relationships/hyperlink" Target="http://www.independent.co.uk/news/world/asia/torrential-downpours-in-indian-state-tamil-nadu-to-continue-a6757261.html" TargetMode="External"/><Relationship Id="rId25" Type="http://schemas.openxmlformats.org/officeDocument/2006/relationships/hyperlink" Target="http://www1.uwe.ac.uk/aboutus/factsandfigures/studentandstaffnumbers.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roville.org/contents/794" TargetMode="External"/><Relationship Id="rId20" Type="http://schemas.openxmlformats.org/officeDocument/2006/relationships/hyperlink" Target="http://www.webcitation.org/5nCeyEYJ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gov.uk/policies-plans-strategies/reducing-the-carbon-emissions-of-the-council" TargetMode="External"/><Relationship Id="rId24" Type="http://schemas.openxmlformats.org/officeDocument/2006/relationships/hyperlink" Target="http://un-redd.org/AboutRED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81273/consult_carbon_price_support_condoc.pdf" TargetMode="External"/><Relationship Id="rId23" Type="http://schemas.openxmlformats.org/officeDocument/2006/relationships/hyperlink" Target="http://www.un.org/en/ga/search/view_doc.asp?symbol=A/RES/70/1&amp;Lang=E" TargetMode="External"/><Relationship Id="rId28" Type="http://schemas.openxmlformats.org/officeDocument/2006/relationships/header" Target="header1.xml"/><Relationship Id="rId10" Type="http://schemas.openxmlformats.org/officeDocument/2006/relationships/hyperlink" Target="https://www.bristol.gov.uk/statistics-census-information/the-population-of-bristol" TargetMode="External"/><Relationship Id="rId19" Type="http://schemas.openxmlformats.org/officeDocument/2006/relationships/hyperlink" Target="https://www.gov.uk/government/uploads/system/uploads/attachment_data/file/200920/pb13932-pes-bestpractice-20130522.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prints.uwe.ac.uk/27646/" TargetMode="External"/><Relationship Id="rId22" Type="http://schemas.openxmlformats.org/officeDocument/2006/relationships/hyperlink" Target="http://unfccc.int/kyoto_protocol/mechanisms/clean_development_mechanism/items/2718.php" TargetMode="External"/><Relationship Id="rId27" Type="http://schemas.openxmlformats.org/officeDocument/2006/relationships/hyperlink" Target="http://www.cifor.org/publications/pdf_files/OccPapers/OP-42.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DB76-D072-4E33-94D5-CF86AF76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Confidential research proposal, Friday 3rd July 2015</vt:lpstr>
    </vt:vector>
  </TitlesOfParts>
  <Company>University of the West of England</Company>
  <LinksUpToDate>false</LinksUpToDate>
  <CharactersWithSpaces>58323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research proposal, Friday 3rd July 2015</dc:title>
  <dc:creator>Mark Everard</dc:creator>
  <cp:lastModifiedBy>Mark Everard</cp:lastModifiedBy>
  <cp:revision>2</cp:revision>
  <cp:lastPrinted>2015-11-25T08:50:00Z</cp:lastPrinted>
  <dcterms:created xsi:type="dcterms:W3CDTF">2016-09-27T14:00:00Z</dcterms:created>
  <dcterms:modified xsi:type="dcterms:W3CDTF">2016-09-27T14:00:00Z</dcterms:modified>
</cp:coreProperties>
</file>