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A3" w:rsidRPr="00B97694" w:rsidRDefault="003D05A3" w:rsidP="003D05A3">
      <w:pPr>
        <w:spacing w:after="0" w:line="360" w:lineRule="auto"/>
        <w:rPr>
          <w:rFonts w:cs="Times New Roman"/>
          <w:b/>
          <w:bCs/>
        </w:rPr>
      </w:pPr>
      <w:r w:rsidRPr="00B97694">
        <w:rPr>
          <w:rFonts w:cs="Times New Roman"/>
          <w:b/>
          <w:bCs/>
        </w:rPr>
        <w:t>Accuracy of NEXUS II head injury decision rule in children. A PREDICT prospective cohort study.</w:t>
      </w:r>
    </w:p>
    <w:p w:rsidR="003D05A3" w:rsidRPr="00B97694" w:rsidRDefault="003D05A3" w:rsidP="003D05A3">
      <w:pPr>
        <w:spacing w:line="276" w:lineRule="auto"/>
        <w:jc w:val="both"/>
        <w:rPr>
          <w:rFonts w:eastAsia="Times New Roman" w:cs="Arial"/>
          <w:lang w:eastAsia="en-AU"/>
        </w:rPr>
      </w:pPr>
      <w:r w:rsidRPr="00B97694">
        <w:rPr>
          <w:rFonts w:eastAsia="Times New Roman" w:cs="Arial"/>
          <w:lang w:val="de-DE" w:eastAsia="en-AU"/>
        </w:rPr>
        <w:t>Franz E Babl ,</w:t>
      </w:r>
      <w:r w:rsidRPr="00B97694">
        <w:rPr>
          <w:rFonts w:eastAsia="Times New Roman" w:cs="Arial"/>
          <w:lang w:eastAsia="en-AU"/>
        </w:rPr>
        <w:t xml:space="preserve"> Meredith Borland, Natalie Phillips, </w:t>
      </w:r>
      <w:proofErr w:type="spellStart"/>
      <w:r w:rsidRPr="00B97694">
        <w:rPr>
          <w:rFonts w:eastAsia="Times New Roman" w:cs="Arial"/>
          <w:lang w:eastAsia="en-AU"/>
        </w:rPr>
        <w:t>Amit</w:t>
      </w:r>
      <w:proofErr w:type="spellEnd"/>
      <w:r w:rsidRPr="00B97694">
        <w:rPr>
          <w:rFonts w:eastAsia="Times New Roman" w:cs="Arial"/>
          <w:lang w:eastAsia="en-AU"/>
        </w:rPr>
        <w:t xml:space="preserve"> </w:t>
      </w:r>
      <w:proofErr w:type="spellStart"/>
      <w:r w:rsidRPr="00B97694">
        <w:rPr>
          <w:rFonts w:eastAsia="Times New Roman" w:cs="Arial"/>
          <w:lang w:eastAsia="en-AU"/>
        </w:rPr>
        <w:t>Kochar</w:t>
      </w:r>
      <w:proofErr w:type="spellEnd"/>
      <w:r w:rsidRPr="00B97694">
        <w:rPr>
          <w:rFonts w:eastAsia="Times New Roman" w:cs="Arial"/>
          <w:lang w:eastAsia="en-AU"/>
        </w:rPr>
        <w:t xml:space="preserve">, Sarah Dalton, John A. Cheek, Yuri </w:t>
      </w:r>
      <w:proofErr w:type="spellStart"/>
      <w:r w:rsidRPr="00B97694">
        <w:rPr>
          <w:rFonts w:eastAsia="Times New Roman" w:cs="Arial"/>
          <w:lang w:eastAsia="en-AU"/>
        </w:rPr>
        <w:t>Gilhotra</w:t>
      </w:r>
      <w:proofErr w:type="spellEnd"/>
      <w:r w:rsidRPr="00B97694">
        <w:rPr>
          <w:rFonts w:eastAsia="Times New Roman" w:cs="Arial"/>
          <w:lang w:eastAsia="en-AU"/>
        </w:rPr>
        <w:t xml:space="preserve">, Jeremy </w:t>
      </w:r>
      <w:proofErr w:type="spellStart"/>
      <w:r w:rsidRPr="00B97694">
        <w:rPr>
          <w:rFonts w:eastAsia="Times New Roman" w:cs="Arial"/>
          <w:lang w:eastAsia="en-AU"/>
        </w:rPr>
        <w:t>Furyk</w:t>
      </w:r>
      <w:proofErr w:type="spellEnd"/>
      <w:r w:rsidRPr="00B97694">
        <w:rPr>
          <w:rFonts w:eastAsia="Times New Roman" w:cs="Arial"/>
          <w:lang w:eastAsia="en-AU"/>
        </w:rPr>
        <w:t xml:space="preserve">, Jocelyn </w:t>
      </w:r>
      <w:proofErr w:type="spellStart"/>
      <w:r w:rsidRPr="00B97694">
        <w:rPr>
          <w:rFonts w:eastAsia="Times New Roman" w:cs="Arial"/>
          <w:lang w:eastAsia="en-AU"/>
        </w:rPr>
        <w:t>Neutze</w:t>
      </w:r>
      <w:proofErr w:type="spellEnd"/>
      <w:r w:rsidRPr="00B97694">
        <w:rPr>
          <w:rFonts w:eastAsia="Times New Roman" w:cs="Arial"/>
          <w:lang w:eastAsia="en-AU"/>
        </w:rPr>
        <w:t xml:space="preserve">, Silvia </w:t>
      </w:r>
      <w:proofErr w:type="spellStart"/>
      <w:r w:rsidRPr="00B97694">
        <w:rPr>
          <w:rFonts w:eastAsia="Times New Roman" w:cs="Arial"/>
          <w:lang w:eastAsia="en-AU"/>
        </w:rPr>
        <w:t>Bressan</w:t>
      </w:r>
      <w:proofErr w:type="spellEnd"/>
      <w:r w:rsidRPr="00B97694">
        <w:rPr>
          <w:rFonts w:eastAsia="Times New Roman" w:cs="Arial"/>
          <w:lang w:eastAsia="en-AU"/>
        </w:rPr>
        <w:t xml:space="preserve">, Susan </w:t>
      </w:r>
      <w:proofErr w:type="spellStart"/>
      <w:r w:rsidRPr="00B97694">
        <w:rPr>
          <w:rFonts w:eastAsia="Times New Roman" w:cs="Arial"/>
          <w:lang w:eastAsia="en-AU"/>
        </w:rPr>
        <w:t>Donath</w:t>
      </w:r>
      <w:proofErr w:type="spellEnd"/>
      <w:r w:rsidRPr="00B97694">
        <w:rPr>
          <w:rFonts w:eastAsia="Times New Roman" w:cs="Arial"/>
          <w:lang w:eastAsia="en-AU"/>
        </w:rPr>
        <w:t xml:space="preserve">, Charlotte Molesworth, Louise Crowe, Stephen </w:t>
      </w:r>
      <w:proofErr w:type="spellStart"/>
      <w:r w:rsidRPr="00B97694">
        <w:rPr>
          <w:rFonts w:eastAsia="Times New Roman" w:cs="Arial"/>
          <w:lang w:eastAsia="en-AU"/>
        </w:rPr>
        <w:t>Hearps</w:t>
      </w:r>
      <w:proofErr w:type="spellEnd"/>
      <w:r w:rsidRPr="00B97694">
        <w:rPr>
          <w:rFonts w:eastAsia="Times New Roman" w:cs="Arial"/>
          <w:lang w:eastAsia="en-AU"/>
        </w:rPr>
        <w:t xml:space="preserve">, Marta </w:t>
      </w:r>
      <w:proofErr w:type="spellStart"/>
      <w:r w:rsidRPr="00B97694">
        <w:rPr>
          <w:rFonts w:eastAsia="Times New Roman" w:cs="Arial"/>
          <w:lang w:eastAsia="en-AU"/>
        </w:rPr>
        <w:t>Arpone</w:t>
      </w:r>
      <w:proofErr w:type="spellEnd"/>
      <w:r w:rsidRPr="00B97694">
        <w:rPr>
          <w:rFonts w:eastAsia="Times New Roman" w:cs="Arial"/>
          <w:lang w:eastAsia="en-AU"/>
        </w:rPr>
        <w:t xml:space="preserve">, Ed Oakley, Stuart R </w:t>
      </w:r>
      <w:proofErr w:type="spellStart"/>
      <w:r w:rsidRPr="00B97694">
        <w:rPr>
          <w:rFonts w:eastAsia="Times New Roman" w:cs="Arial"/>
          <w:lang w:eastAsia="en-AU"/>
        </w:rPr>
        <w:t>Dalziel</w:t>
      </w:r>
      <w:proofErr w:type="spellEnd"/>
      <w:r w:rsidRPr="00B97694">
        <w:rPr>
          <w:rFonts w:eastAsia="Times New Roman" w:cs="Arial"/>
          <w:lang w:eastAsia="en-AU"/>
        </w:rPr>
        <w:t>, Mark D Lyttle</w:t>
      </w:r>
      <w:r>
        <w:rPr>
          <w:rFonts w:eastAsia="Times New Roman" w:cs="Arial"/>
          <w:lang w:eastAsia="en-AU"/>
        </w:rPr>
        <w:t>.</w:t>
      </w:r>
    </w:p>
    <w:p w:rsidR="003D05A3" w:rsidRPr="00B97694" w:rsidRDefault="003D05A3" w:rsidP="003D05A3">
      <w:pPr>
        <w:shd w:val="clear" w:color="auto" w:fill="FFFFFF"/>
        <w:spacing w:after="0" w:line="360" w:lineRule="auto"/>
        <w:jc w:val="both"/>
        <w:rPr>
          <w:rFonts w:cs="Times New Roman"/>
          <w:b/>
        </w:rPr>
      </w:pPr>
      <w:r w:rsidRPr="00B97694">
        <w:rPr>
          <w:rFonts w:cs="Times New Roman"/>
          <w:b/>
          <w:bCs/>
        </w:rPr>
        <w:t>Aims:</w:t>
      </w:r>
    </w:p>
    <w:p w:rsidR="003D05A3" w:rsidRPr="00B97694" w:rsidRDefault="003D05A3" w:rsidP="003D05A3">
      <w:pPr>
        <w:shd w:val="clear" w:color="auto" w:fill="FFFFFF"/>
        <w:spacing w:line="360" w:lineRule="auto"/>
        <w:jc w:val="both"/>
        <w:rPr>
          <w:rFonts w:cs="Times New Roman"/>
        </w:rPr>
      </w:pPr>
      <w:r w:rsidRPr="00B97694">
        <w:rPr>
          <w:rFonts w:cs="Times New Roman"/>
        </w:rPr>
        <w:t xml:space="preserve">Clinical decision rules (CDRs) can be applied in Emergency Departments (EDs) to optimise the use of computed tomography (CT) in children with head trauma. The national Emergency X-Radiography utilization Study II (NEXUS II) CDR, as amended for children, has not been externally validated in a large paediatric cohort. </w:t>
      </w:r>
      <w:r>
        <w:rPr>
          <w:rFonts w:cs="Times New Roman"/>
        </w:rPr>
        <w:t xml:space="preserve"> </w:t>
      </w:r>
      <w:r w:rsidRPr="00B97694">
        <w:rPr>
          <w:rFonts w:cs="Times New Roman"/>
        </w:rPr>
        <w:t>The objective of the study was to conduct a multicentre external validation of NEXUS II CDR in children.</w:t>
      </w:r>
    </w:p>
    <w:p w:rsidR="003D05A3" w:rsidRPr="00B97694" w:rsidRDefault="003D05A3" w:rsidP="003D05A3">
      <w:pPr>
        <w:shd w:val="clear" w:color="auto" w:fill="FFFFFF"/>
        <w:spacing w:after="0" w:line="360" w:lineRule="auto"/>
        <w:jc w:val="both"/>
        <w:rPr>
          <w:rFonts w:cs="Times New Roman"/>
          <w:b/>
        </w:rPr>
      </w:pPr>
      <w:r w:rsidRPr="00B97694">
        <w:rPr>
          <w:rFonts w:cs="Times New Roman"/>
          <w:b/>
          <w:bCs/>
        </w:rPr>
        <w:t>Methods:</w:t>
      </w:r>
    </w:p>
    <w:p w:rsidR="003D05A3" w:rsidRPr="00B97694" w:rsidRDefault="003D05A3" w:rsidP="003D05A3">
      <w:pPr>
        <w:shd w:val="clear" w:color="auto" w:fill="FFFFFF"/>
        <w:spacing w:line="360" w:lineRule="auto"/>
        <w:jc w:val="both"/>
        <w:rPr>
          <w:rFonts w:cs="Times New Roman"/>
        </w:rPr>
      </w:pPr>
      <w:r w:rsidRPr="00B97694">
        <w:rPr>
          <w:rFonts w:cs="Times New Roman"/>
        </w:rPr>
        <w:t xml:space="preserve">We performed a prospective observational study of patients &lt; 18 years presenting with head trauma of any severity to 10 Australian/New Zealand EDs.  In a planned secondary analysis we assessed the performance of the NEXUS II CDR for its diagnostic accuracy (with 95% confidence intervals CI) of clinical important intracranial injury (ICI) as identified in CT scans performed in ED.  </w:t>
      </w:r>
    </w:p>
    <w:p w:rsidR="003D05A3" w:rsidRPr="00B97694" w:rsidRDefault="003D05A3" w:rsidP="003D05A3">
      <w:pPr>
        <w:shd w:val="clear" w:color="auto" w:fill="FFFFFF"/>
        <w:spacing w:after="0" w:line="360" w:lineRule="auto"/>
        <w:jc w:val="both"/>
        <w:rPr>
          <w:rFonts w:cs="Times New Roman"/>
          <w:b/>
        </w:rPr>
      </w:pPr>
      <w:r w:rsidRPr="00B97694">
        <w:rPr>
          <w:rFonts w:cs="Times New Roman"/>
          <w:b/>
        </w:rPr>
        <w:t>Results</w:t>
      </w:r>
      <w:r w:rsidRPr="00B97694">
        <w:rPr>
          <w:rFonts w:cs="Times New Roman"/>
          <w:b/>
          <w:bCs/>
        </w:rPr>
        <w:t>:</w:t>
      </w:r>
    </w:p>
    <w:p w:rsidR="003D05A3" w:rsidRPr="00B97694" w:rsidRDefault="003D05A3" w:rsidP="003D05A3">
      <w:pPr>
        <w:spacing w:line="360" w:lineRule="auto"/>
        <w:jc w:val="both"/>
        <w:rPr>
          <w:rFonts w:cs="Times New Roman"/>
        </w:rPr>
      </w:pPr>
      <w:r w:rsidRPr="00B97694">
        <w:rPr>
          <w:rFonts w:cs="Times New Roman"/>
        </w:rPr>
        <w:t xml:space="preserve">Of 20,137 total patients, we excluded 28 with suspected penetrating injury. Median age was 4.2 </w:t>
      </w:r>
      <w:proofErr w:type="gramStart"/>
      <w:r w:rsidRPr="00B97694">
        <w:rPr>
          <w:rFonts w:cs="Times New Roman"/>
        </w:rPr>
        <w:t>years</w:t>
      </w:r>
      <w:proofErr w:type="gramEnd"/>
      <w:r w:rsidRPr="00B97694">
        <w:rPr>
          <w:rFonts w:cs="Times New Roman"/>
        </w:rPr>
        <w:t>. CTs were obtained in ED for 1962 (9.8%), of whom 377 (19.2%) had a clinically important ICI as defined by NEXUS II. 74 (19.6%) patients underwent neurosurgery.</w:t>
      </w:r>
      <w:r>
        <w:rPr>
          <w:rFonts w:cs="Times New Roman"/>
        </w:rPr>
        <w:t xml:space="preserve">  </w:t>
      </w:r>
      <w:r w:rsidRPr="00B97694">
        <w:rPr>
          <w:rFonts w:cs="Times New Roman"/>
        </w:rPr>
        <w:t xml:space="preserve">Sensitivity for clinically important ICI based on the NEXUS II CDR was 373/377 (98.9%; 97.3%-99.7%) and specificity 156/1585 (9.8%; 8.4%-11.4%). Positive and negative predictive values were respectively 373/1802 (20.7%; 18.8%-22.6%) and 156/160 (97.5%; 93.7%-99.3%). Of the 18,147 children without CT 49.5% had at least one NEXUS II risk criterion. </w:t>
      </w:r>
    </w:p>
    <w:p w:rsidR="003D05A3" w:rsidRPr="00B97694" w:rsidRDefault="003D05A3" w:rsidP="003D05A3">
      <w:pPr>
        <w:shd w:val="clear" w:color="auto" w:fill="FFFFFF"/>
        <w:spacing w:after="0" w:line="360" w:lineRule="auto"/>
        <w:jc w:val="both"/>
        <w:rPr>
          <w:rFonts w:cs="Times New Roman"/>
          <w:b/>
        </w:rPr>
      </w:pPr>
      <w:r w:rsidRPr="00B97694">
        <w:rPr>
          <w:rFonts w:cs="Times New Roman"/>
          <w:b/>
          <w:bCs/>
        </w:rPr>
        <w:t>Conclusions:</w:t>
      </w:r>
    </w:p>
    <w:p w:rsidR="003D05A3" w:rsidRPr="00B97694" w:rsidRDefault="003D05A3" w:rsidP="003D05A3">
      <w:pPr>
        <w:spacing w:after="0" w:line="360" w:lineRule="auto"/>
        <w:jc w:val="both"/>
        <w:rPr>
          <w:rFonts w:cs="Arial"/>
        </w:rPr>
      </w:pPr>
      <w:r w:rsidRPr="00B97694">
        <w:rPr>
          <w:rFonts w:cs="Arial"/>
        </w:rPr>
        <w:t xml:space="preserve">NEXUS II had very high sensitivity when analysed with a focus on head injured patient who had a CT performed, similar to the derivation study. With half of </w:t>
      </w:r>
      <w:proofErr w:type="spellStart"/>
      <w:r w:rsidRPr="00B97694">
        <w:rPr>
          <w:rFonts w:cs="Arial"/>
        </w:rPr>
        <w:t>unimaged</w:t>
      </w:r>
      <w:proofErr w:type="spellEnd"/>
      <w:r w:rsidRPr="00B97694">
        <w:rPr>
          <w:rFonts w:cs="Arial"/>
        </w:rPr>
        <w:t xml:space="preserve"> patients positive for NEXUS II risk criteria the use of this rule has the potential to increase the number of CTs.</w:t>
      </w:r>
    </w:p>
    <w:p w:rsidR="003B600C" w:rsidRDefault="003B600C"/>
    <w:sectPr w:rsidR="003B600C" w:rsidSect="00EB4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3D05A3"/>
    <w:rsid w:val="000F4EE9"/>
    <w:rsid w:val="003B51F3"/>
    <w:rsid w:val="003B600C"/>
    <w:rsid w:val="003C73A9"/>
    <w:rsid w:val="003D05A3"/>
    <w:rsid w:val="00441B2D"/>
    <w:rsid w:val="004C4E9E"/>
    <w:rsid w:val="0076079C"/>
    <w:rsid w:val="00794C2C"/>
    <w:rsid w:val="007A0171"/>
    <w:rsid w:val="00BF0CE5"/>
    <w:rsid w:val="00BF4791"/>
    <w:rsid w:val="00C1005C"/>
    <w:rsid w:val="00CE53A4"/>
    <w:rsid w:val="00DE2E62"/>
    <w:rsid w:val="00EB4F3B"/>
    <w:rsid w:val="00F7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A3"/>
    <w:pPr>
      <w:spacing w:after="160" w:line="259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Burgle</dc:creator>
  <cp:lastModifiedBy>Burgle</cp:lastModifiedBy>
  <cp:revision>1</cp:revision>
  <dcterms:created xsi:type="dcterms:W3CDTF">2017-05-30T22:29:00Z</dcterms:created>
  <dcterms:modified xsi:type="dcterms:W3CDTF">2017-05-30T22:32:00Z</dcterms:modified>
</cp:coreProperties>
</file>