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DA064" w14:textId="05D7C056" w:rsidR="00E03DF1" w:rsidRPr="00C25862" w:rsidRDefault="00FE63B2" w:rsidP="00C74EDA">
      <w:pPr>
        <w:spacing w:line="480" w:lineRule="auto"/>
        <w:rPr>
          <w:b/>
          <w:sz w:val="36"/>
        </w:rPr>
      </w:pPr>
      <w:r w:rsidRPr="00C25862">
        <w:rPr>
          <w:b/>
          <w:sz w:val="36"/>
        </w:rPr>
        <w:t>Success and impact</w:t>
      </w:r>
      <w:r w:rsidR="00C25862" w:rsidRPr="00C25862">
        <w:rPr>
          <w:b/>
          <w:sz w:val="36"/>
        </w:rPr>
        <w:t xml:space="preserve"> in widening participation</w:t>
      </w:r>
      <w:r w:rsidR="00F859CB">
        <w:rPr>
          <w:b/>
          <w:sz w:val="36"/>
        </w:rPr>
        <w:t xml:space="preserve"> policy</w:t>
      </w:r>
      <w:r w:rsidRPr="00C25862">
        <w:rPr>
          <w:b/>
          <w:sz w:val="36"/>
        </w:rPr>
        <w:t xml:space="preserve">: what works and </w:t>
      </w:r>
      <w:r w:rsidR="00CC2CBB" w:rsidRPr="00C25862">
        <w:rPr>
          <w:b/>
          <w:sz w:val="36"/>
        </w:rPr>
        <w:t xml:space="preserve">how do we </w:t>
      </w:r>
      <w:r w:rsidRPr="00C25862">
        <w:rPr>
          <w:b/>
          <w:sz w:val="36"/>
        </w:rPr>
        <w:t>know?</w:t>
      </w:r>
    </w:p>
    <w:p w14:paraId="6D7EE215" w14:textId="311B7549" w:rsidR="00FE63B2" w:rsidRDefault="00FE63B2" w:rsidP="00C74EDA">
      <w:pPr>
        <w:spacing w:line="480" w:lineRule="auto"/>
        <w:rPr>
          <w:sz w:val="24"/>
        </w:rPr>
      </w:pPr>
    </w:p>
    <w:p w14:paraId="787B093B" w14:textId="20E833F3" w:rsidR="00E54CEA" w:rsidRPr="00E54CEA" w:rsidRDefault="00E54CEA" w:rsidP="00C74EDA">
      <w:pPr>
        <w:spacing w:line="480" w:lineRule="auto"/>
        <w:rPr>
          <w:b/>
          <w:sz w:val="24"/>
        </w:rPr>
      </w:pPr>
      <w:r w:rsidRPr="00E54CEA">
        <w:rPr>
          <w:b/>
          <w:sz w:val="24"/>
        </w:rPr>
        <w:t>Abstract</w:t>
      </w:r>
    </w:p>
    <w:p w14:paraId="554EAA2F" w14:textId="5A7E4463" w:rsidR="00E54CEA" w:rsidRDefault="00E54CEA" w:rsidP="00C74EDA">
      <w:pPr>
        <w:spacing w:line="480" w:lineRule="auto"/>
        <w:rPr>
          <w:sz w:val="24"/>
        </w:rPr>
      </w:pPr>
    </w:p>
    <w:p w14:paraId="391272DD" w14:textId="7F2B3F90" w:rsidR="00233E5B" w:rsidRDefault="00233E5B" w:rsidP="00C74EDA">
      <w:pPr>
        <w:spacing w:line="480" w:lineRule="auto"/>
        <w:rPr>
          <w:sz w:val="24"/>
        </w:rPr>
      </w:pPr>
      <w:r>
        <w:rPr>
          <w:sz w:val="24"/>
        </w:rPr>
        <w:t xml:space="preserve">Efforts to widen the participation in higher education for disadvantaged and under-represented groups are common to many countries.  In England, </w:t>
      </w:r>
      <w:r w:rsidR="007E4D58">
        <w:rPr>
          <w:sz w:val="24"/>
        </w:rPr>
        <w:t>higher education institutions</w:t>
      </w:r>
      <w:r>
        <w:rPr>
          <w:sz w:val="24"/>
        </w:rPr>
        <w:t xml:space="preserve"> are required by government to invest in </w:t>
      </w:r>
      <w:r w:rsidR="00104238">
        <w:rPr>
          <w:sz w:val="24"/>
        </w:rPr>
        <w:t xml:space="preserve">‘outreach’ </w:t>
      </w:r>
      <w:r>
        <w:rPr>
          <w:sz w:val="24"/>
        </w:rPr>
        <w:t xml:space="preserve">activities designed to encourage </w:t>
      </w:r>
      <w:r w:rsidR="00611EE1">
        <w:rPr>
          <w:sz w:val="24"/>
        </w:rPr>
        <w:t>such</w:t>
      </w:r>
      <w:r w:rsidR="00962B89">
        <w:rPr>
          <w:sz w:val="24"/>
        </w:rPr>
        <w:t xml:space="preserve"> groups</w:t>
      </w:r>
      <w:r>
        <w:rPr>
          <w:sz w:val="24"/>
        </w:rPr>
        <w:t xml:space="preserve">.  There is increasing policy and research interest around the effectiveness of these activities and how this might be evaluated.  This paper reports the results of a project designed to explore concepts of ‘success’ and ‘impact’ with </w:t>
      </w:r>
      <w:r w:rsidR="00104238">
        <w:rPr>
          <w:sz w:val="24"/>
        </w:rPr>
        <w:t>two generations of practitioner-</w:t>
      </w:r>
      <w:r>
        <w:rPr>
          <w:sz w:val="24"/>
        </w:rPr>
        <w:t>managers working in this field, including</w:t>
      </w:r>
      <w:r w:rsidR="00104238">
        <w:rPr>
          <w:sz w:val="24"/>
        </w:rPr>
        <w:t xml:space="preserve"> extended</w:t>
      </w:r>
      <w:r>
        <w:rPr>
          <w:sz w:val="24"/>
        </w:rPr>
        <w:t xml:space="preserve"> telephone interviews with ten active in the mid-2000s</w:t>
      </w:r>
      <w:r w:rsidR="007C23C5">
        <w:rPr>
          <w:sz w:val="24"/>
        </w:rPr>
        <w:t>,</w:t>
      </w:r>
      <w:r>
        <w:rPr>
          <w:sz w:val="24"/>
        </w:rPr>
        <w:t xml:space="preserve"> and online questionnaires from 57 </w:t>
      </w:r>
      <w:r w:rsidR="00104238">
        <w:rPr>
          <w:sz w:val="24"/>
        </w:rPr>
        <w:t>engaged in the mid-2010s</w:t>
      </w:r>
      <w:r>
        <w:rPr>
          <w:sz w:val="24"/>
        </w:rPr>
        <w:t>.</w:t>
      </w:r>
      <w:r w:rsidR="00104238">
        <w:rPr>
          <w:sz w:val="24"/>
        </w:rPr>
        <w:t xml:space="preserve">  The paper concludes that the drive to ‘measure the measurable’ may be undermining successful activities, while unhelpful inter-</w:t>
      </w:r>
      <w:r w:rsidR="007E4D58">
        <w:rPr>
          <w:sz w:val="24"/>
        </w:rPr>
        <w:t xml:space="preserve">institution </w:t>
      </w:r>
      <w:r w:rsidR="00104238">
        <w:rPr>
          <w:sz w:val="24"/>
        </w:rPr>
        <w:t xml:space="preserve">competition has replaced the co-operative ethos </w:t>
      </w:r>
      <w:r w:rsidR="00611EE1">
        <w:rPr>
          <w:sz w:val="24"/>
        </w:rPr>
        <w:t xml:space="preserve">and wider social justice aims </w:t>
      </w:r>
      <w:r w:rsidR="00104238">
        <w:rPr>
          <w:sz w:val="24"/>
        </w:rPr>
        <w:t>that dominated ten years ago.</w:t>
      </w:r>
    </w:p>
    <w:p w14:paraId="4C8C6DE4" w14:textId="4260A130" w:rsidR="00E54CEA" w:rsidRDefault="00E54CEA" w:rsidP="00C74EDA">
      <w:pPr>
        <w:spacing w:line="480" w:lineRule="auto"/>
        <w:rPr>
          <w:sz w:val="24"/>
        </w:rPr>
      </w:pPr>
    </w:p>
    <w:p w14:paraId="6FF63CA4" w14:textId="39328680" w:rsidR="0012728D" w:rsidRDefault="007A0AAC">
      <w:pPr>
        <w:rPr>
          <w:b/>
          <w:sz w:val="24"/>
        </w:rPr>
      </w:pPr>
      <w:r>
        <w:rPr>
          <w:b/>
          <w:sz w:val="24"/>
        </w:rPr>
        <w:t xml:space="preserve">Keywords: </w:t>
      </w:r>
      <w:r w:rsidR="00611EE1">
        <w:rPr>
          <w:sz w:val="24"/>
        </w:rPr>
        <w:t xml:space="preserve">participation, </w:t>
      </w:r>
      <w:r>
        <w:rPr>
          <w:sz w:val="24"/>
        </w:rPr>
        <w:t>access, England, partnerships, aspirations, attainment, targeting</w:t>
      </w:r>
      <w:r w:rsidR="0012728D">
        <w:rPr>
          <w:b/>
          <w:sz w:val="24"/>
        </w:rPr>
        <w:br w:type="page"/>
      </w:r>
    </w:p>
    <w:p w14:paraId="55ADC3ED" w14:textId="25FE0131" w:rsidR="00CB775C" w:rsidRDefault="00CB775C" w:rsidP="00C74EDA">
      <w:pPr>
        <w:spacing w:line="480" w:lineRule="auto"/>
        <w:rPr>
          <w:b/>
          <w:sz w:val="24"/>
        </w:rPr>
      </w:pPr>
      <w:r>
        <w:rPr>
          <w:b/>
          <w:sz w:val="24"/>
        </w:rPr>
        <w:lastRenderedPageBreak/>
        <w:t>Introduction</w:t>
      </w:r>
    </w:p>
    <w:p w14:paraId="356E676E" w14:textId="1C807072" w:rsidR="00CB775C" w:rsidRDefault="00CB775C" w:rsidP="00C74EDA">
      <w:pPr>
        <w:spacing w:line="480" w:lineRule="auto"/>
        <w:rPr>
          <w:b/>
          <w:sz w:val="24"/>
        </w:rPr>
      </w:pPr>
    </w:p>
    <w:p w14:paraId="06668F5F" w14:textId="4AA980BC" w:rsidR="00CB775C" w:rsidRDefault="00CB775C" w:rsidP="00C74EDA">
      <w:pPr>
        <w:spacing w:line="480" w:lineRule="auto"/>
        <w:rPr>
          <w:sz w:val="24"/>
        </w:rPr>
      </w:pPr>
      <w:r>
        <w:rPr>
          <w:sz w:val="24"/>
        </w:rPr>
        <w:t xml:space="preserve">This </w:t>
      </w:r>
      <w:r w:rsidR="009C0464">
        <w:rPr>
          <w:sz w:val="24"/>
        </w:rPr>
        <w:t>paper</w:t>
      </w:r>
      <w:r>
        <w:rPr>
          <w:sz w:val="24"/>
        </w:rPr>
        <w:t xml:space="preserve"> concerns itself with efforts over the last two decades in England</w:t>
      </w:r>
      <w:r>
        <w:rPr>
          <w:rStyle w:val="EndnoteReference"/>
          <w:sz w:val="24"/>
        </w:rPr>
        <w:endnoteReference w:id="1"/>
      </w:r>
      <w:r>
        <w:rPr>
          <w:sz w:val="24"/>
        </w:rPr>
        <w:t xml:space="preserve"> to increase participation in higher education among groups that have been historically under-represented.  We use the term ‘participation’ here to denote admission and entry into higher education, while recognising that an extended conceptualisation of the term to include later elements of the student experience </w:t>
      </w:r>
      <w:r w:rsidR="008D2ACB">
        <w:rPr>
          <w:sz w:val="24"/>
        </w:rPr>
        <w:t>also exists</w:t>
      </w:r>
      <w:r>
        <w:rPr>
          <w:sz w:val="24"/>
        </w:rPr>
        <w:t xml:space="preserve">.  </w:t>
      </w:r>
      <w:r w:rsidR="008D2ACB">
        <w:rPr>
          <w:sz w:val="24"/>
        </w:rPr>
        <w:t xml:space="preserve">‘Access’ </w:t>
      </w:r>
      <w:r w:rsidR="004A1FF8">
        <w:rPr>
          <w:sz w:val="24"/>
        </w:rPr>
        <w:t xml:space="preserve">is </w:t>
      </w:r>
      <w:r w:rsidR="008D2ACB">
        <w:rPr>
          <w:sz w:val="24"/>
        </w:rPr>
        <w:t>use</w:t>
      </w:r>
      <w:r w:rsidR="004A1FF8">
        <w:rPr>
          <w:sz w:val="24"/>
        </w:rPr>
        <w:t xml:space="preserve">d </w:t>
      </w:r>
      <w:r w:rsidR="008D2ACB">
        <w:rPr>
          <w:sz w:val="24"/>
        </w:rPr>
        <w:t>here more widely</w:t>
      </w:r>
      <w:r w:rsidR="004A1FF8">
        <w:rPr>
          <w:sz w:val="24"/>
        </w:rPr>
        <w:t xml:space="preserve"> – and in keeping with policy documents – </w:t>
      </w:r>
      <w:r>
        <w:rPr>
          <w:sz w:val="24"/>
        </w:rPr>
        <w:t xml:space="preserve">to refer to the ability to participate within a </w:t>
      </w:r>
      <w:r w:rsidR="008D2ACB">
        <w:rPr>
          <w:sz w:val="24"/>
        </w:rPr>
        <w:t xml:space="preserve">fair and open </w:t>
      </w:r>
      <w:r w:rsidR="004A1FF8">
        <w:rPr>
          <w:sz w:val="24"/>
        </w:rPr>
        <w:t xml:space="preserve">admissions </w:t>
      </w:r>
      <w:r w:rsidR="008D2ACB">
        <w:rPr>
          <w:sz w:val="24"/>
        </w:rPr>
        <w:t>system.</w:t>
      </w:r>
      <w:r w:rsidR="00086510">
        <w:rPr>
          <w:sz w:val="24"/>
        </w:rPr>
        <w:t xml:space="preserve">  It therefore reflects the structural barriers and constraints that may impede progression, for example, through educational disadvantage or the operation of the higher education sector.</w:t>
      </w:r>
    </w:p>
    <w:p w14:paraId="21C4EE3A" w14:textId="77777777" w:rsidR="00655E1C" w:rsidRDefault="00655E1C" w:rsidP="00C74EDA">
      <w:pPr>
        <w:spacing w:line="480" w:lineRule="auto"/>
        <w:rPr>
          <w:sz w:val="24"/>
        </w:rPr>
      </w:pPr>
    </w:p>
    <w:p w14:paraId="1B28ECCE" w14:textId="344DA591" w:rsidR="00CB775C" w:rsidRDefault="00655E1C" w:rsidP="00C74EDA">
      <w:pPr>
        <w:spacing w:line="480" w:lineRule="auto"/>
        <w:rPr>
          <w:sz w:val="24"/>
        </w:rPr>
      </w:pPr>
      <w:r>
        <w:rPr>
          <w:sz w:val="24"/>
        </w:rPr>
        <w:t xml:space="preserve">We begin with an overview of the relevant policy context before reporting the findings of a study that engaged with two generations </w:t>
      </w:r>
      <w:r w:rsidR="00250695">
        <w:rPr>
          <w:sz w:val="24"/>
        </w:rPr>
        <w:t xml:space="preserve">(from the mid-2000s and mid-2010s) </w:t>
      </w:r>
      <w:r>
        <w:rPr>
          <w:sz w:val="24"/>
        </w:rPr>
        <w:t>of practitioner-managers charged with improving participation rates.  These findings are then used to generate insight into some of the current tensions and challenges, before concluding with recommendations for future policy and practice.</w:t>
      </w:r>
    </w:p>
    <w:p w14:paraId="3A5D3CF4" w14:textId="77777777" w:rsidR="00655E1C" w:rsidRDefault="00655E1C" w:rsidP="00C74EDA">
      <w:pPr>
        <w:spacing w:line="480" w:lineRule="auto"/>
        <w:rPr>
          <w:b/>
          <w:sz w:val="24"/>
        </w:rPr>
      </w:pPr>
    </w:p>
    <w:p w14:paraId="6429E316" w14:textId="77777777" w:rsidR="00CB775C" w:rsidRDefault="00CB775C" w:rsidP="00C74EDA">
      <w:pPr>
        <w:spacing w:line="480" w:lineRule="auto"/>
        <w:rPr>
          <w:b/>
          <w:sz w:val="24"/>
        </w:rPr>
      </w:pPr>
    </w:p>
    <w:p w14:paraId="1F8C6BD8" w14:textId="6782ACB8" w:rsidR="00A25972" w:rsidRPr="00A25972" w:rsidRDefault="00A25972" w:rsidP="00C74EDA">
      <w:pPr>
        <w:spacing w:line="480" w:lineRule="auto"/>
        <w:rPr>
          <w:b/>
          <w:sz w:val="24"/>
        </w:rPr>
      </w:pPr>
      <w:r>
        <w:rPr>
          <w:b/>
          <w:sz w:val="24"/>
        </w:rPr>
        <w:t>Context</w:t>
      </w:r>
    </w:p>
    <w:p w14:paraId="6911F1B1" w14:textId="77777777" w:rsidR="00A25972" w:rsidRDefault="00A25972" w:rsidP="00C74EDA">
      <w:pPr>
        <w:spacing w:line="480" w:lineRule="auto"/>
        <w:rPr>
          <w:sz w:val="24"/>
        </w:rPr>
      </w:pPr>
    </w:p>
    <w:p w14:paraId="7072044A" w14:textId="6E596A3B" w:rsidR="00A25972" w:rsidRDefault="00DC00C8" w:rsidP="00C74EDA">
      <w:pPr>
        <w:spacing w:line="480" w:lineRule="auto"/>
        <w:rPr>
          <w:sz w:val="24"/>
        </w:rPr>
      </w:pPr>
      <w:r>
        <w:rPr>
          <w:sz w:val="24"/>
        </w:rPr>
        <w:t>The modern era of interest in access to higher education in England arguably begins with the publication of the Dearing Review in 1997 (</w:t>
      </w:r>
      <w:r w:rsidR="00DD5CA9">
        <w:rPr>
          <w:sz w:val="24"/>
        </w:rPr>
        <w:t>National Committee of Inquiry into Higher Education [NCHIE],</w:t>
      </w:r>
      <w:r>
        <w:rPr>
          <w:sz w:val="24"/>
        </w:rPr>
        <w:t xml:space="preserve"> 1997).</w:t>
      </w:r>
      <w:r w:rsidR="00A82FE3">
        <w:rPr>
          <w:sz w:val="24"/>
        </w:rPr>
        <w:t xml:space="preserve">  This put the many inequalities in participation into a sharper </w:t>
      </w:r>
      <w:r w:rsidR="00A82FE3">
        <w:rPr>
          <w:sz w:val="24"/>
        </w:rPr>
        <w:lastRenderedPageBreak/>
        <w:t xml:space="preserve">statistical focus than had previously been possible and coincided with the election of </w:t>
      </w:r>
      <w:r w:rsidR="00541DE4">
        <w:rPr>
          <w:sz w:val="24"/>
        </w:rPr>
        <w:t>a</w:t>
      </w:r>
      <w:r w:rsidR="00A82FE3">
        <w:rPr>
          <w:sz w:val="24"/>
        </w:rPr>
        <w:t xml:space="preserve"> Labour </w:t>
      </w:r>
      <w:r w:rsidR="00E831CF">
        <w:rPr>
          <w:sz w:val="24"/>
        </w:rPr>
        <w:t>g</w:t>
      </w:r>
      <w:r w:rsidR="00A82FE3">
        <w:rPr>
          <w:sz w:val="24"/>
        </w:rPr>
        <w:t>overnment which quickly committed itself (</w:t>
      </w:r>
      <w:r w:rsidR="00DD5CA9">
        <w:rPr>
          <w:sz w:val="24"/>
        </w:rPr>
        <w:t>Department for Education and Employment,</w:t>
      </w:r>
      <w:r w:rsidR="00A82FE3">
        <w:rPr>
          <w:sz w:val="24"/>
        </w:rPr>
        <w:t xml:space="preserve"> 2000) to closing the ‘social class gap’ in admissions, especially to elite universities where it was most marked.</w:t>
      </w:r>
    </w:p>
    <w:p w14:paraId="611B87C9" w14:textId="77777777" w:rsidR="004B350E" w:rsidRDefault="004B350E" w:rsidP="00C74EDA">
      <w:pPr>
        <w:spacing w:line="480" w:lineRule="auto"/>
        <w:rPr>
          <w:sz w:val="24"/>
        </w:rPr>
      </w:pPr>
    </w:p>
    <w:p w14:paraId="7835226D" w14:textId="7AABBF52" w:rsidR="00396B2A" w:rsidRDefault="00A82FE3" w:rsidP="00C74EDA">
      <w:pPr>
        <w:spacing w:line="480" w:lineRule="auto"/>
        <w:rPr>
          <w:sz w:val="24"/>
        </w:rPr>
      </w:pPr>
      <w:r>
        <w:rPr>
          <w:sz w:val="24"/>
        </w:rPr>
        <w:t xml:space="preserve">The main manifestation of the new policy direction was the Aimhigher programme, which ran from 2004 to 2011 with an overall expenditure </w:t>
      </w:r>
      <w:r w:rsidR="00337A64">
        <w:rPr>
          <w:sz w:val="24"/>
        </w:rPr>
        <w:t xml:space="preserve">in the region </w:t>
      </w:r>
      <w:r>
        <w:rPr>
          <w:sz w:val="24"/>
        </w:rPr>
        <w:t xml:space="preserve">of </w:t>
      </w:r>
      <w:r w:rsidR="00337A64">
        <w:rPr>
          <w:sz w:val="24"/>
        </w:rPr>
        <w:t xml:space="preserve">£650 million </w:t>
      </w:r>
      <w:r w:rsidRPr="00DA14FF">
        <w:rPr>
          <w:sz w:val="24"/>
        </w:rPr>
        <w:t>(</w:t>
      </w:r>
      <w:r w:rsidR="004001E4">
        <w:rPr>
          <w:sz w:val="24"/>
        </w:rPr>
        <w:t xml:space="preserve">Moore and Dunworth, 2011; </w:t>
      </w:r>
      <w:r w:rsidR="0085322D" w:rsidRPr="0085322D">
        <w:rPr>
          <w:sz w:val="24"/>
        </w:rPr>
        <w:t>Harrison, 2012</w:t>
      </w:r>
      <w:r w:rsidRPr="004D0A91">
        <w:rPr>
          <w:sz w:val="24"/>
        </w:rPr>
        <w:t xml:space="preserve">; Doyle </w:t>
      </w:r>
      <w:r w:rsidR="004001E4">
        <w:rPr>
          <w:sz w:val="24"/>
        </w:rPr>
        <w:t>and Griffin, 2012</w:t>
      </w:r>
      <w:r w:rsidRPr="00DA14FF">
        <w:rPr>
          <w:sz w:val="24"/>
        </w:rPr>
        <w:t>)</w:t>
      </w:r>
      <w:r>
        <w:rPr>
          <w:sz w:val="24"/>
        </w:rPr>
        <w:t xml:space="preserve">.  Aimhigher </w:t>
      </w:r>
      <w:r w:rsidR="004001E4">
        <w:rPr>
          <w:sz w:val="24"/>
        </w:rPr>
        <w:t xml:space="preserve">initially </w:t>
      </w:r>
      <w:r>
        <w:rPr>
          <w:sz w:val="24"/>
        </w:rPr>
        <w:t xml:space="preserve">operated on a three-tier basis, with national, regional and sub-regional </w:t>
      </w:r>
      <w:r w:rsidR="00541DE4">
        <w:rPr>
          <w:sz w:val="24"/>
        </w:rPr>
        <w:t>operations</w:t>
      </w:r>
      <w:r>
        <w:rPr>
          <w:sz w:val="24"/>
        </w:rPr>
        <w:t xml:space="preserve"> charged with organising and co-ordinating a </w:t>
      </w:r>
      <w:r w:rsidR="00541DE4">
        <w:rPr>
          <w:sz w:val="24"/>
        </w:rPr>
        <w:t>portfolio</w:t>
      </w:r>
      <w:r>
        <w:rPr>
          <w:sz w:val="24"/>
        </w:rPr>
        <w:t xml:space="preserve"> of activities targeted at groups that were </w:t>
      </w:r>
      <w:r w:rsidR="00845CD8">
        <w:rPr>
          <w:sz w:val="24"/>
        </w:rPr>
        <w:t>historically</w:t>
      </w:r>
      <w:r>
        <w:rPr>
          <w:sz w:val="24"/>
        </w:rPr>
        <w:t xml:space="preserve"> under-represented in higher education in order to incentivise them to apply</w:t>
      </w:r>
      <w:r w:rsidR="00CD495E">
        <w:rPr>
          <w:sz w:val="24"/>
        </w:rPr>
        <w:t xml:space="preserve"> – an agenda which became known as ‘widening participation’ (WP).</w:t>
      </w:r>
      <w:r w:rsidR="007F26AD">
        <w:rPr>
          <w:sz w:val="24"/>
        </w:rPr>
        <w:t xml:space="preserve">  </w:t>
      </w:r>
      <w:r w:rsidR="00396B2A">
        <w:rPr>
          <w:sz w:val="24"/>
        </w:rPr>
        <w:t xml:space="preserve">This </w:t>
      </w:r>
      <w:r w:rsidR="00CD6993">
        <w:rPr>
          <w:sz w:val="24"/>
        </w:rPr>
        <w:t>paper</w:t>
      </w:r>
      <w:r w:rsidR="00396B2A">
        <w:rPr>
          <w:sz w:val="24"/>
        </w:rPr>
        <w:t xml:space="preserve"> concentrates primarily on young people from low income households who came to be the main focus of WP activity, although </w:t>
      </w:r>
      <w:r w:rsidR="00637C2A">
        <w:rPr>
          <w:sz w:val="24"/>
        </w:rPr>
        <w:t xml:space="preserve">long-standing efforts to improve </w:t>
      </w:r>
      <w:r w:rsidR="00396B2A">
        <w:rPr>
          <w:sz w:val="24"/>
        </w:rPr>
        <w:t xml:space="preserve">access for adult learners </w:t>
      </w:r>
      <w:r w:rsidR="00637C2A">
        <w:rPr>
          <w:sz w:val="24"/>
        </w:rPr>
        <w:t>were also integrated into</w:t>
      </w:r>
      <w:r w:rsidR="00396B2A">
        <w:rPr>
          <w:sz w:val="24"/>
        </w:rPr>
        <w:t xml:space="preserve"> the original Aimhigher mission</w:t>
      </w:r>
      <w:r w:rsidR="004001E4">
        <w:rPr>
          <w:sz w:val="24"/>
        </w:rPr>
        <w:t xml:space="preserve"> (</w:t>
      </w:r>
      <w:r w:rsidR="008F3142">
        <w:rPr>
          <w:sz w:val="24"/>
        </w:rPr>
        <w:t>Higher Education Funding Council for England [HEFCE]</w:t>
      </w:r>
      <w:r w:rsidR="004001E4">
        <w:rPr>
          <w:sz w:val="24"/>
        </w:rPr>
        <w:t>, 2004)</w:t>
      </w:r>
      <w:r w:rsidR="00637C2A">
        <w:rPr>
          <w:sz w:val="24"/>
        </w:rPr>
        <w:t>.</w:t>
      </w:r>
    </w:p>
    <w:p w14:paraId="2976ABD5" w14:textId="77777777" w:rsidR="00A82FE3" w:rsidRDefault="00A82FE3" w:rsidP="00C74EDA">
      <w:pPr>
        <w:spacing w:line="480" w:lineRule="auto"/>
        <w:rPr>
          <w:sz w:val="24"/>
        </w:rPr>
      </w:pPr>
    </w:p>
    <w:p w14:paraId="2CF3057F" w14:textId="16E260B8" w:rsidR="006D759B" w:rsidRDefault="00CD495E" w:rsidP="00322EC0">
      <w:pPr>
        <w:spacing w:line="480" w:lineRule="auto"/>
        <w:rPr>
          <w:sz w:val="24"/>
        </w:rPr>
      </w:pPr>
      <w:r>
        <w:rPr>
          <w:sz w:val="24"/>
        </w:rPr>
        <w:t xml:space="preserve">Since </w:t>
      </w:r>
      <w:r w:rsidR="00A82FE3">
        <w:rPr>
          <w:sz w:val="24"/>
        </w:rPr>
        <w:t>2006, individual institutions</w:t>
      </w:r>
      <w:r w:rsidR="00541DE4">
        <w:rPr>
          <w:rStyle w:val="EndnoteReference"/>
          <w:sz w:val="24"/>
        </w:rPr>
        <w:endnoteReference w:id="2"/>
      </w:r>
      <w:r>
        <w:rPr>
          <w:sz w:val="24"/>
        </w:rPr>
        <w:t xml:space="preserve"> </w:t>
      </w:r>
      <w:r w:rsidR="00580183">
        <w:rPr>
          <w:sz w:val="24"/>
        </w:rPr>
        <w:t xml:space="preserve">charging tuition fees over a threshold (currently £6,000 a year) </w:t>
      </w:r>
      <w:r>
        <w:rPr>
          <w:sz w:val="24"/>
        </w:rPr>
        <w:t>have had a statutory obligation to undertake their own WP activities, monitored and approved by the Office for Fair Access</w:t>
      </w:r>
      <w:r w:rsidR="00845CD8">
        <w:rPr>
          <w:sz w:val="24"/>
        </w:rPr>
        <w:t xml:space="preserve"> (OFFA)</w:t>
      </w:r>
      <w:r w:rsidR="00BE48FF">
        <w:rPr>
          <w:sz w:val="24"/>
        </w:rPr>
        <w:t xml:space="preserve"> in the form of ‘Access Agreements’</w:t>
      </w:r>
      <w:r>
        <w:rPr>
          <w:sz w:val="24"/>
        </w:rPr>
        <w:t>.</w:t>
      </w:r>
      <w:r w:rsidR="00610399">
        <w:rPr>
          <w:sz w:val="24"/>
        </w:rPr>
        <w:t xml:space="preserve">  With the </w:t>
      </w:r>
      <w:r w:rsidR="009D46DB">
        <w:rPr>
          <w:sz w:val="24"/>
        </w:rPr>
        <w:t>reduction (</w:t>
      </w:r>
      <w:r w:rsidR="00845CD8">
        <w:rPr>
          <w:sz w:val="24"/>
        </w:rPr>
        <w:t xml:space="preserve">in </w:t>
      </w:r>
      <w:r w:rsidR="009D46DB">
        <w:rPr>
          <w:sz w:val="24"/>
        </w:rPr>
        <w:t xml:space="preserve">2008) and </w:t>
      </w:r>
      <w:r w:rsidR="0052592B">
        <w:rPr>
          <w:sz w:val="24"/>
        </w:rPr>
        <w:t xml:space="preserve">subsequent </w:t>
      </w:r>
      <w:r w:rsidR="00610399">
        <w:rPr>
          <w:sz w:val="24"/>
        </w:rPr>
        <w:t xml:space="preserve">cancellation </w:t>
      </w:r>
      <w:r w:rsidR="009D46DB">
        <w:rPr>
          <w:sz w:val="24"/>
        </w:rPr>
        <w:t>(</w:t>
      </w:r>
      <w:r w:rsidR="00845CD8">
        <w:rPr>
          <w:sz w:val="24"/>
        </w:rPr>
        <w:t xml:space="preserve">in </w:t>
      </w:r>
      <w:r w:rsidR="009D46DB">
        <w:rPr>
          <w:sz w:val="24"/>
        </w:rPr>
        <w:t xml:space="preserve">2011) </w:t>
      </w:r>
      <w:r w:rsidR="00610399">
        <w:rPr>
          <w:sz w:val="24"/>
        </w:rPr>
        <w:t xml:space="preserve">of Aimhigher as part of </w:t>
      </w:r>
      <w:r w:rsidR="009D46DB">
        <w:rPr>
          <w:sz w:val="24"/>
        </w:rPr>
        <w:t>successive</w:t>
      </w:r>
      <w:r w:rsidR="00610399">
        <w:rPr>
          <w:sz w:val="24"/>
        </w:rPr>
        <w:t xml:space="preserve"> governments</w:t>
      </w:r>
      <w:r w:rsidR="009D46DB">
        <w:rPr>
          <w:sz w:val="24"/>
        </w:rPr>
        <w:t>’</w:t>
      </w:r>
      <w:r w:rsidR="00610399">
        <w:rPr>
          <w:sz w:val="24"/>
        </w:rPr>
        <w:t xml:space="preserve"> austerity programme</w:t>
      </w:r>
      <w:r w:rsidR="009D46DB">
        <w:rPr>
          <w:sz w:val="24"/>
        </w:rPr>
        <w:t>s</w:t>
      </w:r>
      <w:r w:rsidR="00610399">
        <w:rPr>
          <w:sz w:val="24"/>
        </w:rPr>
        <w:t xml:space="preserve">, </w:t>
      </w:r>
      <w:r w:rsidR="009D46DB">
        <w:rPr>
          <w:sz w:val="24"/>
        </w:rPr>
        <w:t>institutional WP activities now form</w:t>
      </w:r>
      <w:r w:rsidR="00BA6A8D">
        <w:rPr>
          <w:sz w:val="24"/>
        </w:rPr>
        <w:t xml:space="preserve"> the mainstay, with £162</w:t>
      </w:r>
      <w:r w:rsidR="00610399">
        <w:rPr>
          <w:sz w:val="24"/>
        </w:rPr>
        <w:t xml:space="preserve"> million being collectively invested </w:t>
      </w:r>
      <w:r w:rsidR="00480F3E">
        <w:rPr>
          <w:sz w:val="24"/>
        </w:rPr>
        <w:t>in ‘outreach’ in 2013/14</w:t>
      </w:r>
      <w:r w:rsidR="00610399">
        <w:rPr>
          <w:sz w:val="24"/>
        </w:rPr>
        <w:t xml:space="preserve"> (OFFA</w:t>
      </w:r>
      <w:r w:rsidR="004001E4">
        <w:rPr>
          <w:sz w:val="24"/>
        </w:rPr>
        <w:t>,</w:t>
      </w:r>
      <w:r w:rsidR="00610399">
        <w:rPr>
          <w:sz w:val="24"/>
        </w:rPr>
        <w:t xml:space="preserve"> 2015).</w:t>
      </w:r>
      <w:r w:rsidR="00B710E1">
        <w:rPr>
          <w:sz w:val="24"/>
        </w:rPr>
        <w:t xml:space="preserve">  </w:t>
      </w:r>
      <w:r w:rsidR="00BE48FF">
        <w:rPr>
          <w:sz w:val="24"/>
        </w:rPr>
        <w:t xml:space="preserve">Institutions are now expected to set their own targets for the participation of disadvantaged </w:t>
      </w:r>
      <w:r w:rsidR="00BE48FF">
        <w:rPr>
          <w:sz w:val="24"/>
        </w:rPr>
        <w:lastRenderedPageBreak/>
        <w:t>groups within their Access Agreement, leading to a more atomised approach than during the Aimhigher period (McCaig, 2015).</w:t>
      </w:r>
      <w:r w:rsidR="005404FA">
        <w:rPr>
          <w:sz w:val="24"/>
        </w:rPr>
        <w:t xml:space="preserve"> </w:t>
      </w:r>
    </w:p>
    <w:p w14:paraId="3903D214" w14:textId="77777777" w:rsidR="006D759B" w:rsidRDefault="006D759B" w:rsidP="00322EC0">
      <w:pPr>
        <w:spacing w:line="480" w:lineRule="auto"/>
        <w:rPr>
          <w:sz w:val="24"/>
        </w:rPr>
      </w:pPr>
    </w:p>
    <w:p w14:paraId="48AAC426" w14:textId="01AA1068" w:rsidR="00A82FE3" w:rsidRDefault="005404FA" w:rsidP="00322EC0">
      <w:pPr>
        <w:spacing w:line="480" w:lineRule="auto"/>
        <w:rPr>
          <w:sz w:val="24"/>
        </w:rPr>
      </w:pPr>
      <w:r>
        <w:rPr>
          <w:sz w:val="24"/>
        </w:rPr>
        <w:t>D</w:t>
      </w:r>
      <w:r w:rsidR="00B710E1">
        <w:rPr>
          <w:sz w:val="24"/>
        </w:rPr>
        <w:t xml:space="preserve">espite the </w:t>
      </w:r>
      <w:r w:rsidR="009D46DB">
        <w:rPr>
          <w:sz w:val="24"/>
        </w:rPr>
        <w:t>demise of Aimhigher</w:t>
      </w:r>
      <w:r w:rsidR="00541DE4">
        <w:rPr>
          <w:sz w:val="24"/>
        </w:rPr>
        <w:t>,</w:t>
      </w:r>
      <w:r w:rsidR="009D46DB">
        <w:rPr>
          <w:sz w:val="24"/>
        </w:rPr>
        <w:t xml:space="preserve"> the Coalition (2010 to 2015) </w:t>
      </w:r>
      <w:r w:rsidR="006D759B">
        <w:rPr>
          <w:sz w:val="24"/>
        </w:rPr>
        <w:t xml:space="preserve">and Conservative (2015 to present) </w:t>
      </w:r>
      <w:r w:rsidR="00BE48FF">
        <w:rPr>
          <w:sz w:val="24"/>
        </w:rPr>
        <w:t>g</w:t>
      </w:r>
      <w:r w:rsidR="006D759B">
        <w:rPr>
          <w:sz w:val="24"/>
        </w:rPr>
        <w:t xml:space="preserve">overnments have </w:t>
      </w:r>
      <w:r w:rsidR="009D46DB">
        <w:rPr>
          <w:sz w:val="24"/>
        </w:rPr>
        <w:t xml:space="preserve">maintained the earlier policy </w:t>
      </w:r>
      <w:r w:rsidR="00845CD8">
        <w:rPr>
          <w:sz w:val="24"/>
        </w:rPr>
        <w:t>commitment</w:t>
      </w:r>
      <w:r w:rsidR="006D759B">
        <w:rPr>
          <w:sz w:val="24"/>
        </w:rPr>
        <w:t xml:space="preserve"> to WP</w:t>
      </w:r>
      <w:r w:rsidR="00845CD8">
        <w:rPr>
          <w:sz w:val="24"/>
        </w:rPr>
        <w:t>, albeit with a shift in tenor from s</w:t>
      </w:r>
      <w:r w:rsidR="004001E4">
        <w:rPr>
          <w:sz w:val="24"/>
        </w:rPr>
        <w:t>ocial justice to social mobility</w:t>
      </w:r>
      <w:r w:rsidR="00E831CF">
        <w:rPr>
          <w:sz w:val="24"/>
        </w:rPr>
        <w:t xml:space="preserve"> </w:t>
      </w:r>
      <w:r w:rsidR="004A1FF8">
        <w:rPr>
          <w:sz w:val="24"/>
        </w:rPr>
        <w:t xml:space="preserve"> – i.e. from a </w:t>
      </w:r>
      <w:r w:rsidR="00322EC0">
        <w:rPr>
          <w:sz w:val="24"/>
        </w:rPr>
        <w:t xml:space="preserve">broad </w:t>
      </w:r>
      <w:r w:rsidR="00655E1C">
        <w:rPr>
          <w:sz w:val="24"/>
        </w:rPr>
        <w:t xml:space="preserve">brief to </w:t>
      </w:r>
      <w:r w:rsidR="004A1FF8">
        <w:rPr>
          <w:sz w:val="24"/>
        </w:rPr>
        <w:t>tackl</w:t>
      </w:r>
      <w:r w:rsidR="00655E1C">
        <w:rPr>
          <w:sz w:val="24"/>
        </w:rPr>
        <w:t>e</w:t>
      </w:r>
      <w:r w:rsidR="004A1FF8">
        <w:rPr>
          <w:sz w:val="24"/>
        </w:rPr>
        <w:t xml:space="preserve"> </w:t>
      </w:r>
      <w:r w:rsidR="00322EC0">
        <w:rPr>
          <w:sz w:val="24"/>
        </w:rPr>
        <w:t xml:space="preserve">the origins and effects of </w:t>
      </w:r>
      <w:r w:rsidR="004A1FF8">
        <w:rPr>
          <w:sz w:val="24"/>
        </w:rPr>
        <w:t xml:space="preserve">structural </w:t>
      </w:r>
      <w:r w:rsidR="00322EC0">
        <w:rPr>
          <w:sz w:val="24"/>
        </w:rPr>
        <w:t>inequalities</w:t>
      </w:r>
      <w:r w:rsidR="004A1FF8">
        <w:rPr>
          <w:sz w:val="24"/>
        </w:rPr>
        <w:t xml:space="preserve"> </w:t>
      </w:r>
      <w:r w:rsidR="00322EC0">
        <w:rPr>
          <w:sz w:val="24"/>
        </w:rPr>
        <w:t xml:space="preserve">within the education system to a narrower </w:t>
      </w:r>
      <w:r w:rsidR="00655E1C">
        <w:rPr>
          <w:sz w:val="24"/>
        </w:rPr>
        <w:t>focus</w:t>
      </w:r>
      <w:r w:rsidR="00322EC0">
        <w:rPr>
          <w:sz w:val="24"/>
        </w:rPr>
        <w:t xml:space="preserve"> </w:t>
      </w:r>
      <w:r w:rsidR="00655E1C">
        <w:rPr>
          <w:sz w:val="24"/>
        </w:rPr>
        <w:t>encouraging</w:t>
      </w:r>
      <w:r w:rsidR="00322EC0">
        <w:rPr>
          <w:sz w:val="24"/>
        </w:rPr>
        <w:t xml:space="preserve"> disadvantaged young people to access </w:t>
      </w:r>
      <w:r w:rsidR="00655E1C">
        <w:rPr>
          <w:sz w:val="24"/>
        </w:rPr>
        <w:t xml:space="preserve">(especially elite) </w:t>
      </w:r>
      <w:r w:rsidR="00322EC0">
        <w:rPr>
          <w:sz w:val="24"/>
        </w:rPr>
        <w:t xml:space="preserve">higher education </w:t>
      </w:r>
      <w:r w:rsidR="00655E1C">
        <w:rPr>
          <w:sz w:val="24"/>
        </w:rPr>
        <w:t>as a route into</w:t>
      </w:r>
      <w:r w:rsidR="00322EC0">
        <w:rPr>
          <w:sz w:val="24"/>
        </w:rPr>
        <w:t xml:space="preserve"> professional careers </w:t>
      </w:r>
      <w:r w:rsidR="00C5014A">
        <w:rPr>
          <w:sz w:val="24"/>
        </w:rPr>
        <w:t>(</w:t>
      </w:r>
      <w:r w:rsidR="00655E1C">
        <w:rPr>
          <w:sz w:val="24"/>
        </w:rPr>
        <w:t xml:space="preserve">Milburn, 2012; </w:t>
      </w:r>
      <w:r w:rsidR="0085322D" w:rsidRPr="0085322D">
        <w:rPr>
          <w:sz w:val="24"/>
        </w:rPr>
        <w:t>Waller et al., 2015</w:t>
      </w:r>
      <w:r w:rsidR="00C5014A">
        <w:rPr>
          <w:sz w:val="24"/>
        </w:rPr>
        <w:t>)</w:t>
      </w:r>
      <w:r w:rsidR="00322EC0">
        <w:rPr>
          <w:sz w:val="24"/>
        </w:rPr>
        <w:t xml:space="preserve">.  </w:t>
      </w:r>
      <w:r>
        <w:rPr>
          <w:sz w:val="24"/>
        </w:rPr>
        <w:t xml:space="preserve">For example, the commitment </w:t>
      </w:r>
      <w:r w:rsidR="00391DB0">
        <w:rPr>
          <w:sz w:val="24"/>
        </w:rPr>
        <w:t>feature</w:t>
      </w:r>
      <w:r>
        <w:rPr>
          <w:sz w:val="24"/>
        </w:rPr>
        <w:t>s</w:t>
      </w:r>
      <w:r w:rsidR="00391DB0">
        <w:rPr>
          <w:sz w:val="24"/>
        </w:rPr>
        <w:t xml:space="preserve"> in the recently issued </w:t>
      </w:r>
      <w:r w:rsidR="00815BD5">
        <w:rPr>
          <w:sz w:val="24"/>
        </w:rPr>
        <w:t>White</w:t>
      </w:r>
      <w:r w:rsidR="00391DB0">
        <w:rPr>
          <w:sz w:val="24"/>
        </w:rPr>
        <w:t xml:space="preserve"> Paper (Department for Business, In</w:t>
      </w:r>
      <w:r w:rsidR="00815BD5">
        <w:rPr>
          <w:sz w:val="24"/>
        </w:rPr>
        <w:t>novation and Skills [BIS], 2016</w:t>
      </w:r>
      <w:r w:rsidR="000175FF">
        <w:rPr>
          <w:sz w:val="24"/>
        </w:rPr>
        <w:t xml:space="preserve">, </w:t>
      </w:r>
      <w:r w:rsidR="00965752">
        <w:rPr>
          <w:sz w:val="24"/>
        </w:rPr>
        <w:t>14):</w:t>
      </w:r>
    </w:p>
    <w:p w14:paraId="4C0449A5" w14:textId="5B8A13E9" w:rsidR="00965752" w:rsidRDefault="00965752" w:rsidP="00C74EDA">
      <w:pPr>
        <w:spacing w:line="480" w:lineRule="auto"/>
        <w:rPr>
          <w:sz w:val="24"/>
        </w:rPr>
      </w:pPr>
    </w:p>
    <w:p w14:paraId="5B2AAABC" w14:textId="23DEE45A" w:rsidR="00965752" w:rsidRDefault="00965752" w:rsidP="00C74EDA">
      <w:pPr>
        <w:spacing w:line="480" w:lineRule="auto"/>
        <w:ind w:left="720"/>
        <w:rPr>
          <w:sz w:val="24"/>
        </w:rPr>
      </w:pPr>
      <w:r>
        <w:rPr>
          <w:sz w:val="24"/>
        </w:rPr>
        <w:t>‘</w:t>
      </w:r>
      <w:r w:rsidRPr="00965752">
        <w:rPr>
          <w:sz w:val="24"/>
        </w:rPr>
        <w:t>The Prime Minister has set two specific, clear goals on widening participation in higher education: to double the proportion of people from disadvantaged backgrounds entering university in 2020 compared to 2009, and to increase the number of black and minority ethnic (BME) students going to university by 20% by 2020.  Our recent guidance to the Director of Fair Access to Higher Education (DFA) is clear that we expect significant progress on these two goals.  In addition, we have asked the DFA to focus access agreements on some other key challenges including increasing participation among young white males from lower socio-economic groups, who are five times less likely to go into higher education than the most advantaged white males, and supporting participation by students with disabilities.</w:t>
      </w:r>
      <w:r>
        <w:rPr>
          <w:sz w:val="24"/>
        </w:rPr>
        <w:t>’</w:t>
      </w:r>
    </w:p>
    <w:p w14:paraId="5A33C15E" w14:textId="77777777" w:rsidR="00396B2A" w:rsidRDefault="00396B2A" w:rsidP="00C74EDA">
      <w:pPr>
        <w:spacing w:line="480" w:lineRule="auto"/>
        <w:rPr>
          <w:sz w:val="24"/>
        </w:rPr>
      </w:pPr>
    </w:p>
    <w:p w14:paraId="0E8E0BA4" w14:textId="7E6C6096" w:rsidR="004B350E" w:rsidRDefault="007F26AD" w:rsidP="00C74EDA">
      <w:pPr>
        <w:spacing w:line="480" w:lineRule="auto"/>
        <w:rPr>
          <w:sz w:val="24"/>
        </w:rPr>
      </w:pPr>
      <w:r>
        <w:rPr>
          <w:sz w:val="24"/>
        </w:rPr>
        <w:lastRenderedPageBreak/>
        <w:t xml:space="preserve">Despite </w:t>
      </w:r>
      <w:r w:rsidR="004C1DB1">
        <w:rPr>
          <w:sz w:val="24"/>
        </w:rPr>
        <w:t>fifteen</w:t>
      </w:r>
      <w:r>
        <w:rPr>
          <w:sz w:val="24"/>
        </w:rPr>
        <w:t xml:space="preserve"> years of policy attention and </w:t>
      </w:r>
      <w:r w:rsidR="00580183">
        <w:rPr>
          <w:sz w:val="24"/>
        </w:rPr>
        <w:t xml:space="preserve">the </w:t>
      </w:r>
      <w:r>
        <w:rPr>
          <w:sz w:val="24"/>
        </w:rPr>
        <w:t>two significant funding streams</w:t>
      </w:r>
      <w:r w:rsidR="00580183">
        <w:rPr>
          <w:sz w:val="24"/>
        </w:rPr>
        <w:t xml:space="preserve"> outlined above</w:t>
      </w:r>
      <w:r>
        <w:rPr>
          <w:sz w:val="24"/>
        </w:rPr>
        <w:t xml:space="preserve">, progress </w:t>
      </w:r>
      <w:r w:rsidR="00396B2A">
        <w:rPr>
          <w:sz w:val="24"/>
        </w:rPr>
        <w:t>against</w:t>
      </w:r>
      <w:r>
        <w:rPr>
          <w:sz w:val="24"/>
        </w:rPr>
        <w:t xml:space="preserve"> the original aims has been mixed.  </w:t>
      </w:r>
      <w:r w:rsidR="00396B2A">
        <w:rPr>
          <w:sz w:val="24"/>
        </w:rPr>
        <w:t>As Figure 1 shows, there has been a steady growth in the propor</w:t>
      </w:r>
      <w:r w:rsidR="00580183">
        <w:rPr>
          <w:sz w:val="24"/>
        </w:rPr>
        <w:t>tion of young people receiving free school m</w:t>
      </w:r>
      <w:r w:rsidR="00396B2A">
        <w:rPr>
          <w:sz w:val="24"/>
        </w:rPr>
        <w:t>eals</w:t>
      </w:r>
      <w:r w:rsidR="007E4D58">
        <w:rPr>
          <w:rStyle w:val="EndnoteReference"/>
          <w:sz w:val="24"/>
        </w:rPr>
        <w:t xml:space="preserve"> </w:t>
      </w:r>
      <w:r w:rsidR="007E4D58">
        <w:rPr>
          <w:sz w:val="24"/>
        </w:rPr>
        <w:t xml:space="preserve">(a commonly-used marker for low income families, based on a standardised national means-test) </w:t>
      </w:r>
      <w:r w:rsidR="00541DE4">
        <w:rPr>
          <w:sz w:val="24"/>
        </w:rPr>
        <w:t>who</w:t>
      </w:r>
      <w:r w:rsidR="00396B2A">
        <w:rPr>
          <w:sz w:val="24"/>
        </w:rPr>
        <w:t xml:space="preserve"> have </w:t>
      </w:r>
      <w:r w:rsidR="00C5014A">
        <w:rPr>
          <w:sz w:val="24"/>
        </w:rPr>
        <w:t>participate</w:t>
      </w:r>
      <w:r w:rsidR="00655E1C">
        <w:rPr>
          <w:sz w:val="24"/>
        </w:rPr>
        <w:t>d</w:t>
      </w:r>
      <w:r w:rsidR="00C5014A">
        <w:rPr>
          <w:sz w:val="24"/>
        </w:rPr>
        <w:t xml:space="preserve"> in </w:t>
      </w:r>
      <w:r w:rsidR="00396B2A">
        <w:rPr>
          <w:sz w:val="24"/>
        </w:rPr>
        <w:t>higher education, from 13 percent in 2005 to 2</w:t>
      </w:r>
      <w:r w:rsidR="00A553FA">
        <w:rPr>
          <w:sz w:val="24"/>
        </w:rPr>
        <w:t>3</w:t>
      </w:r>
      <w:r w:rsidR="00396B2A">
        <w:rPr>
          <w:sz w:val="24"/>
        </w:rPr>
        <w:t xml:space="preserve"> percent in 201</w:t>
      </w:r>
      <w:r w:rsidR="00A553FA">
        <w:rPr>
          <w:sz w:val="24"/>
        </w:rPr>
        <w:t>2</w:t>
      </w:r>
      <w:r w:rsidR="00396B2A">
        <w:rPr>
          <w:sz w:val="24"/>
        </w:rPr>
        <w:t>.</w:t>
      </w:r>
      <w:r w:rsidR="0049536B">
        <w:rPr>
          <w:sz w:val="24"/>
        </w:rPr>
        <w:t xml:space="preserve">  However, this </w:t>
      </w:r>
      <w:r w:rsidR="00580183">
        <w:rPr>
          <w:sz w:val="24"/>
        </w:rPr>
        <w:t>has</w:t>
      </w:r>
      <w:r w:rsidR="0049536B">
        <w:rPr>
          <w:sz w:val="24"/>
        </w:rPr>
        <w:t xml:space="preserve"> mainly</w:t>
      </w:r>
      <w:r w:rsidR="00580183">
        <w:rPr>
          <w:sz w:val="24"/>
        </w:rPr>
        <w:t xml:space="preserve"> only</w:t>
      </w:r>
      <w:r w:rsidR="0049536B">
        <w:rPr>
          <w:sz w:val="24"/>
        </w:rPr>
        <w:t xml:space="preserve"> kept pace with the participation rate of their more affluent peers, such that the </w:t>
      </w:r>
      <w:r w:rsidR="00541DE4">
        <w:rPr>
          <w:sz w:val="24"/>
        </w:rPr>
        <w:t>gap</w:t>
      </w:r>
      <w:r w:rsidR="0049536B">
        <w:rPr>
          <w:sz w:val="24"/>
        </w:rPr>
        <w:t xml:space="preserve"> has declined f</w:t>
      </w:r>
      <w:r w:rsidR="00DE6555">
        <w:rPr>
          <w:sz w:val="24"/>
        </w:rPr>
        <w:t>rom 20 percent to 1</w:t>
      </w:r>
      <w:r w:rsidR="00A553FA">
        <w:rPr>
          <w:sz w:val="24"/>
        </w:rPr>
        <w:t>7</w:t>
      </w:r>
      <w:r w:rsidR="00DE6555">
        <w:rPr>
          <w:sz w:val="24"/>
        </w:rPr>
        <w:t xml:space="preserve"> percent.  In part, t</w:t>
      </w:r>
      <w:r w:rsidR="0049536B">
        <w:rPr>
          <w:sz w:val="24"/>
        </w:rPr>
        <w:t xml:space="preserve">his reflects </w:t>
      </w:r>
      <w:r w:rsidR="00541DE4">
        <w:rPr>
          <w:sz w:val="24"/>
        </w:rPr>
        <w:t>a</w:t>
      </w:r>
      <w:r w:rsidR="0049536B">
        <w:rPr>
          <w:sz w:val="24"/>
        </w:rPr>
        <w:t xml:space="preserve"> grow</w:t>
      </w:r>
      <w:r w:rsidR="00541DE4">
        <w:rPr>
          <w:sz w:val="24"/>
        </w:rPr>
        <w:t>ing</w:t>
      </w:r>
      <w:r w:rsidR="0049536B">
        <w:rPr>
          <w:sz w:val="24"/>
        </w:rPr>
        <w:t xml:space="preserve"> </w:t>
      </w:r>
      <w:r w:rsidR="00DE6555">
        <w:rPr>
          <w:sz w:val="24"/>
        </w:rPr>
        <w:t>supply</w:t>
      </w:r>
      <w:r w:rsidR="0049536B">
        <w:rPr>
          <w:sz w:val="24"/>
        </w:rPr>
        <w:t xml:space="preserve"> of </w:t>
      </w:r>
      <w:r w:rsidR="00A553FA">
        <w:rPr>
          <w:sz w:val="24"/>
        </w:rPr>
        <w:t xml:space="preserve">higher education </w:t>
      </w:r>
      <w:r w:rsidR="0049536B">
        <w:rPr>
          <w:sz w:val="24"/>
        </w:rPr>
        <w:t>places</w:t>
      </w:r>
      <w:r w:rsidR="00DE6555">
        <w:rPr>
          <w:sz w:val="24"/>
        </w:rPr>
        <w:t xml:space="preserve">, but it also reflects </w:t>
      </w:r>
      <w:r w:rsidR="00541DE4">
        <w:rPr>
          <w:sz w:val="24"/>
        </w:rPr>
        <w:t>an expansion</w:t>
      </w:r>
      <w:r w:rsidR="00DE6555">
        <w:rPr>
          <w:sz w:val="24"/>
        </w:rPr>
        <w:t xml:space="preserve"> in the pool of young people qualified to apply for those places</w:t>
      </w:r>
      <w:r w:rsidR="00E13985">
        <w:rPr>
          <w:sz w:val="24"/>
        </w:rPr>
        <w:t xml:space="preserve">.  </w:t>
      </w:r>
    </w:p>
    <w:p w14:paraId="7A6159E8" w14:textId="77777777" w:rsidR="00396B2A" w:rsidRDefault="00396B2A" w:rsidP="00C74EDA">
      <w:pPr>
        <w:spacing w:line="480" w:lineRule="auto"/>
        <w:rPr>
          <w:sz w:val="24"/>
        </w:rPr>
      </w:pPr>
    </w:p>
    <w:p w14:paraId="45B1F28C" w14:textId="7B6EA7A5" w:rsidR="00A4294A" w:rsidRDefault="00EF398D" w:rsidP="00C74EDA">
      <w:pPr>
        <w:spacing w:line="480" w:lineRule="auto"/>
        <w:rPr>
          <w:sz w:val="24"/>
        </w:rPr>
      </w:pPr>
      <w:r>
        <w:rPr>
          <w:sz w:val="24"/>
        </w:rPr>
        <w:t>[FIGURE 1 HERE]</w:t>
      </w:r>
    </w:p>
    <w:p w14:paraId="56B2C1BB" w14:textId="77777777" w:rsidR="00A4294A" w:rsidRDefault="00A4294A" w:rsidP="00C74EDA">
      <w:pPr>
        <w:spacing w:line="480" w:lineRule="auto"/>
        <w:rPr>
          <w:sz w:val="24"/>
        </w:rPr>
      </w:pPr>
    </w:p>
    <w:p w14:paraId="22BF156D" w14:textId="47DBC721" w:rsidR="00DE6555" w:rsidRDefault="00EA474B" w:rsidP="00C74EDA">
      <w:pPr>
        <w:spacing w:line="480" w:lineRule="auto"/>
        <w:rPr>
          <w:sz w:val="24"/>
        </w:rPr>
      </w:pPr>
      <w:r>
        <w:rPr>
          <w:sz w:val="24"/>
        </w:rPr>
        <w:t>W</w:t>
      </w:r>
      <w:r w:rsidR="00EA40DA">
        <w:rPr>
          <w:sz w:val="24"/>
        </w:rPr>
        <w:t xml:space="preserve">hile </w:t>
      </w:r>
      <w:r w:rsidR="00DB79FF">
        <w:rPr>
          <w:sz w:val="24"/>
        </w:rPr>
        <w:t xml:space="preserve">many </w:t>
      </w:r>
      <w:r w:rsidR="00EA40DA">
        <w:rPr>
          <w:sz w:val="24"/>
        </w:rPr>
        <w:t xml:space="preserve">more young people from low income homes </w:t>
      </w:r>
      <w:r w:rsidR="006F3EF7">
        <w:rPr>
          <w:sz w:val="24"/>
        </w:rPr>
        <w:t>are finding</w:t>
      </w:r>
      <w:r w:rsidR="00EA40DA">
        <w:rPr>
          <w:sz w:val="24"/>
        </w:rPr>
        <w:t xml:space="preserve"> their way into higher education, the ‘social class gap’ has not closed significantly and the change in participation rates </w:t>
      </w:r>
      <w:r>
        <w:rPr>
          <w:sz w:val="24"/>
        </w:rPr>
        <w:t>shows a</w:t>
      </w:r>
      <w:r w:rsidR="00EA40DA">
        <w:rPr>
          <w:sz w:val="24"/>
        </w:rPr>
        <w:t xml:space="preserve"> strong</w:t>
      </w:r>
      <w:r>
        <w:rPr>
          <w:sz w:val="24"/>
        </w:rPr>
        <w:t xml:space="preserve"> correlation with</w:t>
      </w:r>
      <w:r w:rsidR="00EA40DA">
        <w:rPr>
          <w:sz w:val="24"/>
        </w:rPr>
        <w:t xml:space="preserve"> improved </w:t>
      </w:r>
      <w:r w:rsidR="006B54C6">
        <w:rPr>
          <w:sz w:val="24"/>
        </w:rPr>
        <w:t xml:space="preserve">school </w:t>
      </w:r>
      <w:r w:rsidR="00EA40DA">
        <w:rPr>
          <w:sz w:val="24"/>
        </w:rPr>
        <w:t>qualification pas</w:t>
      </w:r>
      <w:r w:rsidR="004F61E8">
        <w:rPr>
          <w:sz w:val="24"/>
        </w:rPr>
        <w:t>s rates</w:t>
      </w:r>
      <w:r w:rsidR="00655E1C">
        <w:rPr>
          <w:sz w:val="24"/>
        </w:rPr>
        <w:t xml:space="preserve"> (</w:t>
      </w:r>
      <w:r w:rsidR="008F2FD1">
        <w:rPr>
          <w:sz w:val="24"/>
        </w:rPr>
        <w:t>Harrison, forthcoming</w:t>
      </w:r>
      <w:r w:rsidR="00655E1C">
        <w:rPr>
          <w:sz w:val="24"/>
        </w:rPr>
        <w:t>)</w:t>
      </w:r>
      <w:r w:rsidR="004F61E8">
        <w:rPr>
          <w:sz w:val="24"/>
        </w:rPr>
        <w:t>.  This is supported by</w:t>
      </w:r>
      <w:r w:rsidR="00EA40DA">
        <w:rPr>
          <w:sz w:val="24"/>
        </w:rPr>
        <w:t xml:space="preserve"> </w:t>
      </w:r>
      <w:r w:rsidR="00F52BD4">
        <w:rPr>
          <w:sz w:val="24"/>
        </w:rPr>
        <w:t xml:space="preserve">large-scale quantitative </w:t>
      </w:r>
      <w:r w:rsidR="004F61E8">
        <w:rPr>
          <w:sz w:val="24"/>
        </w:rPr>
        <w:t>studies (Chowdry et al 2013</w:t>
      </w:r>
      <w:r w:rsidR="00EA40DA">
        <w:rPr>
          <w:sz w:val="24"/>
        </w:rPr>
        <w:t xml:space="preserve">; Crawford 2014) that have analysed official data tracking young people from school into higher education.  For example, Crawford (2014) estimates that around 95 percent of the variation in </w:t>
      </w:r>
      <w:r w:rsidR="00297D4F">
        <w:rPr>
          <w:sz w:val="24"/>
        </w:rPr>
        <w:t xml:space="preserve">overall </w:t>
      </w:r>
      <w:r w:rsidR="00EA40DA">
        <w:rPr>
          <w:sz w:val="24"/>
        </w:rPr>
        <w:t xml:space="preserve">participation rates is defined by </w:t>
      </w:r>
      <w:r w:rsidR="00B5463E">
        <w:rPr>
          <w:sz w:val="24"/>
        </w:rPr>
        <w:t>attainment</w:t>
      </w:r>
      <w:r w:rsidR="00E00199">
        <w:rPr>
          <w:sz w:val="24"/>
        </w:rPr>
        <w:t xml:space="preserve"> at 16</w:t>
      </w:r>
      <w:r w:rsidR="00B5463E">
        <w:rPr>
          <w:sz w:val="24"/>
        </w:rPr>
        <w:t xml:space="preserve"> (i.e. formal qualifications gained</w:t>
      </w:r>
      <w:r w:rsidR="00297D4F">
        <w:rPr>
          <w:sz w:val="24"/>
        </w:rPr>
        <w:t xml:space="preserve"> at school</w:t>
      </w:r>
      <w:r w:rsidR="00B5463E">
        <w:rPr>
          <w:rStyle w:val="EndnoteReference"/>
          <w:sz w:val="24"/>
        </w:rPr>
        <w:endnoteReference w:id="3"/>
      </w:r>
      <w:r w:rsidR="00B5463E">
        <w:rPr>
          <w:sz w:val="24"/>
        </w:rPr>
        <w:t>)</w:t>
      </w:r>
      <w:r w:rsidR="00F52BD4">
        <w:rPr>
          <w:sz w:val="24"/>
        </w:rPr>
        <w:t xml:space="preserve"> and that this also holds true for entry into elite universities</w:t>
      </w:r>
      <w:r w:rsidR="00E00199">
        <w:rPr>
          <w:sz w:val="24"/>
        </w:rPr>
        <w:t>.  Coleman and Bekhradnia (2011) agree</w:t>
      </w:r>
      <w:r w:rsidR="00247BD6">
        <w:rPr>
          <w:sz w:val="24"/>
        </w:rPr>
        <w:t xml:space="preserve"> in their study of the demand for higher education</w:t>
      </w:r>
      <w:r w:rsidR="00E00199">
        <w:rPr>
          <w:sz w:val="24"/>
        </w:rPr>
        <w:t xml:space="preserve">, </w:t>
      </w:r>
      <w:r w:rsidR="004F61E8">
        <w:rPr>
          <w:sz w:val="24"/>
        </w:rPr>
        <w:t>marshalling data to demonstrate</w:t>
      </w:r>
      <w:r w:rsidR="00E00199">
        <w:rPr>
          <w:sz w:val="24"/>
        </w:rPr>
        <w:t xml:space="preserve"> that young people with a given </w:t>
      </w:r>
      <w:r w:rsidR="009C0464">
        <w:rPr>
          <w:sz w:val="24"/>
        </w:rPr>
        <w:t xml:space="preserve">level of attainment </w:t>
      </w:r>
      <w:r w:rsidR="00E00199">
        <w:rPr>
          <w:sz w:val="24"/>
        </w:rPr>
        <w:t xml:space="preserve">progress </w:t>
      </w:r>
      <w:r w:rsidR="00A553FA">
        <w:rPr>
          <w:sz w:val="24"/>
        </w:rPr>
        <w:t>at</w:t>
      </w:r>
      <w:r w:rsidR="00E00199">
        <w:rPr>
          <w:sz w:val="24"/>
        </w:rPr>
        <w:t xml:space="preserve"> </w:t>
      </w:r>
      <w:r w:rsidR="004F61E8">
        <w:rPr>
          <w:sz w:val="24"/>
        </w:rPr>
        <w:t>similar</w:t>
      </w:r>
      <w:r w:rsidR="00E00199">
        <w:rPr>
          <w:sz w:val="24"/>
        </w:rPr>
        <w:t xml:space="preserve"> rates </w:t>
      </w:r>
      <w:r w:rsidR="004F61E8">
        <w:rPr>
          <w:sz w:val="24"/>
        </w:rPr>
        <w:t>across</w:t>
      </w:r>
      <w:r>
        <w:rPr>
          <w:sz w:val="24"/>
        </w:rPr>
        <w:t xml:space="preserve"> socio-economic background</w:t>
      </w:r>
      <w:r w:rsidR="004F61E8">
        <w:rPr>
          <w:sz w:val="24"/>
        </w:rPr>
        <w:t>s</w:t>
      </w:r>
      <w:r>
        <w:rPr>
          <w:sz w:val="24"/>
        </w:rPr>
        <w:t>.</w:t>
      </w:r>
      <w:r w:rsidR="004F61E8">
        <w:rPr>
          <w:sz w:val="24"/>
        </w:rPr>
        <w:t xml:space="preserve">  Differences in higher education participation are</w:t>
      </w:r>
      <w:r w:rsidR="004618E6">
        <w:rPr>
          <w:sz w:val="24"/>
        </w:rPr>
        <w:t xml:space="preserve"> therefore</w:t>
      </w:r>
      <w:r w:rsidR="004F61E8">
        <w:rPr>
          <w:sz w:val="24"/>
        </w:rPr>
        <w:t xml:space="preserve">, in </w:t>
      </w:r>
      <w:r w:rsidR="00297D4F">
        <w:rPr>
          <w:sz w:val="24"/>
        </w:rPr>
        <w:t xml:space="preserve">very </w:t>
      </w:r>
      <w:r w:rsidR="004F61E8">
        <w:rPr>
          <w:sz w:val="24"/>
        </w:rPr>
        <w:t xml:space="preserve">large part, dictated by the propensity to </w:t>
      </w:r>
      <w:r w:rsidR="004F61E8">
        <w:rPr>
          <w:sz w:val="24"/>
        </w:rPr>
        <w:lastRenderedPageBreak/>
        <w:t>achieve well at school and to progress into qualifications that permit applications to higher education.</w:t>
      </w:r>
      <w:r w:rsidR="00A45BB0">
        <w:rPr>
          <w:sz w:val="24"/>
        </w:rPr>
        <w:t xml:space="preserve">  These are, of course, strongly related to socio-economic status and the accumulation of educational disadvantage over the young person’s lifecourse.</w:t>
      </w:r>
    </w:p>
    <w:p w14:paraId="17A5BF0E" w14:textId="77777777" w:rsidR="00DE6555" w:rsidRDefault="00DE6555" w:rsidP="00C74EDA">
      <w:pPr>
        <w:spacing w:line="480" w:lineRule="auto"/>
        <w:rPr>
          <w:sz w:val="24"/>
        </w:rPr>
      </w:pPr>
    </w:p>
    <w:p w14:paraId="4C9F485D" w14:textId="48235C4B" w:rsidR="00BD15D1" w:rsidRDefault="006B6B5E" w:rsidP="00C74EDA">
      <w:pPr>
        <w:spacing w:line="480" w:lineRule="auto"/>
        <w:rPr>
          <w:sz w:val="24"/>
        </w:rPr>
      </w:pPr>
      <w:r>
        <w:rPr>
          <w:sz w:val="24"/>
        </w:rPr>
        <w:t xml:space="preserve">Another particular component of progress on the WP agenda since 2000 has been that increased participation from disadvantaged young people </w:t>
      </w:r>
      <w:r w:rsidR="00105AFE">
        <w:rPr>
          <w:sz w:val="24"/>
        </w:rPr>
        <w:t xml:space="preserve">has been </w:t>
      </w:r>
      <w:r>
        <w:rPr>
          <w:sz w:val="24"/>
        </w:rPr>
        <w:t>focused almost exclusively in lower status institutions</w:t>
      </w:r>
      <w:r w:rsidR="00325454">
        <w:rPr>
          <w:sz w:val="24"/>
        </w:rPr>
        <w:t xml:space="preserve"> (</w:t>
      </w:r>
      <w:r w:rsidR="0085322D" w:rsidRPr="0085322D">
        <w:rPr>
          <w:sz w:val="24"/>
        </w:rPr>
        <w:t>Harrison, 2011</w:t>
      </w:r>
      <w:r w:rsidR="00325454">
        <w:rPr>
          <w:sz w:val="24"/>
        </w:rPr>
        <w:t xml:space="preserve">; </w:t>
      </w:r>
      <w:r w:rsidR="00BD15D1">
        <w:rPr>
          <w:sz w:val="24"/>
        </w:rPr>
        <w:t>Croxford and Raffe</w:t>
      </w:r>
      <w:r w:rsidR="00325454">
        <w:rPr>
          <w:sz w:val="24"/>
        </w:rPr>
        <w:t>, 2014</w:t>
      </w:r>
      <w:r w:rsidR="006B54C6">
        <w:rPr>
          <w:sz w:val="24"/>
        </w:rPr>
        <w:t>; Universities and Colleges Admissions Service, 2015</w:t>
      </w:r>
      <w:r w:rsidR="00BD15D1">
        <w:rPr>
          <w:sz w:val="24"/>
        </w:rPr>
        <w:t>), with clear differences in acceptance rates to elite universities even once application rates</w:t>
      </w:r>
      <w:r w:rsidR="00325454">
        <w:rPr>
          <w:sz w:val="24"/>
        </w:rPr>
        <w:t xml:space="preserve"> have been factored in (Boliver, </w:t>
      </w:r>
      <w:r w:rsidR="00BD15D1">
        <w:rPr>
          <w:sz w:val="24"/>
        </w:rPr>
        <w:t>2013).</w:t>
      </w:r>
      <w:r w:rsidR="00BD15D1" w:rsidRPr="00BD15D1">
        <w:rPr>
          <w:sz w:val="24"/>
        </w:rPr>
        <w:t xml:space="preserve"> </w:t>
      </w:r>
      <w:r w:rsidR="00BD15D1">
        <w:rPr>
          <w:sz w:val="24"/>
        </w:rPr>
        <w:t xml:space="preserve"> This may suggest that there </w:t>
      </w:r>
      <w:r w:rsidR="00EA474B">
        <w:rPr>
          <w:sz w:val="24"/>
        </w:rPr>
        <w:t>remain</w:t>
      </w:r>
      <w:r w:rsidR="00BD15D1">
        <w:rPr>
          <w:sz w:val="24"/>
        </w:rPr>
        <w:t xml:space="preserve"> barriers</w:t>
      </w:r>
      <w:r w:rsidR="00A45BB0">
        <w:rPr>
          <w:sz w:val="24"/>
        </w:rPr>
        <w:t xml:space="preserve"> impeding access</w:t>
      </w:r>
      <w:r w:rsidR="00BD15D1">
        <w:rPr>
          <w:sz w:val="24"/>
        </w:rPr>
        <w:t xml:space="preserve"> for some students</w:t>
      </w:r>
      <w:r w:rsidR="00325454">
        <w:rPr>
          <w:sz w:val="24"/>
        </w:rPr>
        <w:t xml:space="preserve">, for example, through </w:t>
      </w:r>
      <w:r w:rsidR="00EA21C4">
        <w:rPr>
          <w:sz w:val="24"/>
        </w:rPr>
        <w:t xml:space="preserve">fears about social integration (Reay et al., 2009), </w:t>
      </w:r>
      <w:r w:rsidR="00325454">
        <w:rPr>
          <w:sz w:val="24"/>
        </w:rPr>
        <w:t xml:space="preserve">the </w:t>
      </w:r>
      <w:r w:rsidR="00105AFE">
        <w:rPr>
          <w:sz w:val="24"/>
        </w:rPr>
        <w:t>(mis)</w:t>
      </w:r>
      <w:r w:rsidR="006B54C6">
        <w:rPr>
          <w:sz w:val="24"/>
        </w:rPr>
        <w:t>use</w:t>
      </w:r>
      <w:r w:rsidR="00325454">
        <w:rPr>
          <w:sz w:val="24"/>
        </w:rPr>
        <w:t xml:space="preserve"> of personal statements </w:t>
      </w:r>
      <w:r w:rsidR="006B54C6">
        <w:rPr>
          <w:sz w:val="24"/>
        </w:rPr>
        <w:t xml:space="preserve">within the application process </w:t>
      </w:r>
      <w:r w:rsidR="00325454">
        <w:rPr>
          <w:sz w:val="24"/>
        </w:rPr>
        <w:t>(Jones, 2012) or the geographical location of elite universities (Mangan et</w:t>
      </w:r>
      <w:r w:rsidR="001C39EA">
        <w:rPr>
          <w:sz w:val="24"/>
        </w:rPr>
        <w:t xml:space="preserve"> al.,</w:t>
      </w:r>
      <w:r w:rsidR="00325454">
        <w:rPr>
          <w:sz w:val="24"/>
        </w:rPr>
        <w:t xml:space="preserve"> 2010)</w:t>
      </w:r>
      <w:r w:rsidR="00BD15D1">
        <w:rPr>
          <w:sz w:val="24"/>
        </w:rPr>
        <w:t>.</w:t>
      </w:r>
      <w:r w:rsidR="00E24A82">
        <w:rPr>
          <w:sz w:val="24"/>
        </w:rPr>
        <w:t xml:space="preserve">  In other words, while improvements in qualifications might be driving participation </w:t>
      </w:r>
      <w:r w:rsidR="00E24A82">
        <w:rPr>
          <w:i/>
          <w:sz w:val="24"/>
        </w:rPr>
        <w:t>in general</w:t>
      </w:r>
      <w:r w:rsidR="00E24A82">
        <w:rPr>
          <w:sz w:val="24"/>
        </w:rPr>
        <w:t>, it is not shifting the established social order within higher</w:t>
      </w:r>
      <w:r w:rsidR="00EA21C4">
        <w:rPr>
          <w:sz w:val="24"/>
        </w:rPr>
        <w:t xml:space="preserve"> education, with relatively advantaged social groups dominating </w:t>
      </w:r>
      <w:r w:rsidR="006D759B">
        <w:rPr>
          <w:sz w:val="24"/>
        </w:rPr>
        <w:t>participation in</w:t>
      </w:r>
      <w:r w:rsidR="00EA21C4">
        <w:rPr>
          <w:sz w:val="24"/>
        </w:rPr>
        <w:t xml:space="preserve"> elite universities.</w:t>
      </w:r>
    </w:p>
    <w:p w14:paraId="66F2C35E" w14:textId="0A3DD408" w:rsidR="00105AFE" w:rsidRDefault="00105AFE" w:rsidP="00C74EDA">
      <w:pPr>
        <w:spacing w:line="480" w:lineRule="auto"/>
        <w:rPr>
          <w:sz w:val="24"/>
        </w:rPr>
      </w:pPr>
    </w:p>
    <w:p w14:paraId="00FBDE8C" w14:textId="26007045" w:rsidR="00105AFE" w:rsidRPr="00E24A82" w:rsidRDefault="0021041B" w:rsidP="00C74EDA">
      <w:pPr>
        <w:spacing w:line="480" w:lineRule="auto"/>
        <w:rPr>
          <w:sz w:val="24"/>
        </w:rPr>
      </w:pPr>
      <w:r>
        <w:rPr>
          <w:sz w:val="24"/>
        </w:rPr>
        <w:t xml:space="preserve">This is reflected in the different WP ‘missions’ that institutions conceptualise for themselves and which are </w:t>
      </w:r>
      <w:r w:rsidR="003854CE">
        <w:rPr>
          <w:sz w:val="24"/>
        </w:rPr>
        <w:t>explicated</w:t>
      </w:r>
      <w:r>
        <w:rPr>
          <w:sz w:val="24"/>
        </w:rPr>
        <w:t xml:space="preserve"> within their Access Agreements (McCaig, 2015).  </w:t>
      </w:r>
      <w:r w:rsidR="003854CE">
        <w:rPr>
          <w:sz w:val="24"/>
        </w:rPr>
        <w:t>For elite universities, their WP activities are generally focused on encouraging applications from high-attaining young people who would otherwise choose lower status institutions, placing them in competition with such institutions, as well as with other elite universities</w:t>
      </w:r>
      <w:r w:rsidR="00FA1BFD">
        <w:rPr>
          <w:sz w:val="24"/>
        </w:rPr>
        <w:t>; a mission to ‘reallocate’ participation rather than to widen it</w:t>
      </w:r>
      <w:r w:rsidR="003854CE">
        <w:rPr>
          <w:sz w:val="24"/>
        </w:rPr>
        <w:t xml:space="preserve">.  For lower status universities, which </w:t>
      </w:r>
      <w:r w:rsidR="009708DC">
        <w:rPr>
          <w:sz w:val="24"/>
        </w:rPr>
        <w:t>are often</w:t>
      </w:r>
      <w:r w:rsidR="00F52BD4">
        <w:rPr>
          <w:sz w:val="24"/>
        </w:rPr>
        <w:t xml:space="preserve"> located in more deprived areas and </w:t>
      </w:r>
      <w:r w:rsidR="009708DC">
        <w:rPr>
          <w:sz w:val="24"/>
        </w:rPr>
        <w:t xml:space="preserve">tend </w:t>
      </w:r>
      <w:r w:rsidR="00F52BD4">
        <w:rPr>
          <w:sz w:val="24"/>
        </w:rPr>
        <w:t xml:space="preserve">to recruit locally, their focus is generally on </w:t>
      </w:r>
      <w:r w:rsidR="00F52BD4">
        <w:rPr>
          <w:sz w:val="24"/>
        </w:rPr>
        <w:lastRenderedPageBreak/>
        <w:t>attract</w:t>
      </w:r>
      <w:r w:rsidR="00297D4F">
        <w:rPr>
          <w:sz w:val="24"/>
        </w:rPr>
        <w:t>ing</w:t>
      </w:r>
      <w:r w:rsidR="00F52BD4">
        <w:rPr>
          <w:sz w:val="24"/>
        </w:rPr>
        <w:t xml:space="preserve"> young people who might otherwise enter the labour market or other forms of education or training.</w:t>
      </w:r>
    </w:p>
    <w:p w14:paraId="15A7EE2E" w14:textId="77777777" w:rsidR="00BD15D1" w:rsidRDefault="00BD15D1" w:rsidP="00C74EDA">
      <w:pPr>
        <w:spacing w:line="480" w:lineRule="auto"/>
        <w:rPr>
          <w:sz w:val="24"/>
        </w:rPr>
      </w:pPr>
    </w:p>
    <w:p w14:paraId="748537D0" w14:textId="510E75AC" w:rsidR="00BF4D30" w:rsidRDefault="00E8121B" w:rsidP="00C74EDA">
      <w:pPr>
        <w:spacing w:line="480" w:lineRule="auto"/>
        <w:rPr>
          <w:sz w:val="24"/>
        </w:rPr>
      </w:pPr>
      <w:r>
        <w:rPr>
          <w:sz w:val="24"/>
        </w:rPr>
        <w:t xml:space="preserve">This </w:t>
      </w:r>
      <w:r w:rsidR="00FD0C12">
        <w:rPr>
          <w:sz w:val="24"/>
        </w:rPr>
        <w:t>paper</w:t>
      </w:r>
      <w:r>
        <w:rPr>
          <w:sz w:val="24"/>
        </w:rPr>
        <w:t xml:space="preserve"> </w:t>
      </w:r>
      <w:r w:rsidR="006572E6">
        <w:rPr>
          <w:sz w:val="24"/>
        </w:rPr>
        <w:t>explore</w:t>
      </w:r>
      <w:r w:rsidR="00EA474B">
        <w:rPr>
          <w:sz w:val="24"/>
        </w:rPr>
        <w:t>s</w:t>
      </w:r>
      <w:r>
        <w:rPr>
          <w:sz w:val="24"/>
        </w:rPr>
        <w:t xml:space="preserve"> </w:t>
      </w:r>
      <w:r w:rsidR="006572E6">
        <w:rPr>
          <w:sz w:val="24"/>
        </w:rPr>
        <w:t xml:space="preserve">possible reasons </w:t>
      </w:r>
      <w:r>
        <w:rPr>
          <w:sz w:val="24"/>
        </w:rPr>
        <w:t xml:space="preserve">why progress on the WP agenda has not been stronger by </w:t>
      </w:r>
      <w:r w:rsidR="006572E6">
        <w:rPr>
          <w:sz w:val="24"/>
        </w:rPr>
        <w:t>examin</w:t>
      </w:r>
      <w:r>
        <w:rPr>
          <w:sz w:val="24"/>
        </w:rPr>
        <w:t xml:space="preserve">ing practices through </w:t>
      </w:r>
      <w:r w:rsidR="00DB79FF">
        <w:rPr>
          <w:sz w:val="24"/>
        </w:rPr>
        <w:t xml:space="preserve">the eyes of </w:t>
      </w:r>
      <w:r w:rsidR="00EA474B">
        <w:rPr>
          <w:sz w:val="24"/>
        </w:rPr>
        <w:t xml:space="preserve">two generations of </w:t>
      </w:r>
      <w:r w:rsidR="00DB79FF">
        <w:rPr>
          <w:sz w:val="24"/>
        </w:rPr>
        <w:t xml:space="preserve">senior </w:t>
      </w:r>
      <w:r w:rsidR="009C0464">
        <w:rPr>
          <w:sz w:val="24"/>
        </w:rPr>
        <w:t>practitioner-</w:t>
      </w:r>
      <w:r w:rsidR="0062529F">
        <w:rPr>
          <w:sz w:val="24"/>
        </w:rPr>
        <w:t>managers</w:t>
      </w:r>
      <w:r>
        <w:rPr>
          <w:sz w:val="24"/>
        </w:rPr>
        <w:t xml:space="preserve">.  </w:t>
      </w:r>
      <w:r w:rsidR="00EA474B">
        <w:rPr>
          <w:sz w:val="24"/>
        </w:rPr>
        <w:t>T</w:t>
      </w:r>
      <w:r>
        <w:rPr>
          <w:sz w:val="24"/>
        </w:rPr>
        <w:t xml:space="preserve">he focus of </w:t>
      </w:r>
      <w:r w:rsidR="00A45BB0">
        <w:rPr>
          <w:sz w:val="24"/>
        </w:rPr>
        <w:t xml:space="preserve">activities </w:t>
      </w:r>
      <w:r>
        <w:rPr>
          <w:sz w:val="24"/>
        </w:rPr>
        <w:t>i</w:t>
      </w:r>
      <w:r w:rsidR="00D53027">
        <w:rPr>
          <w:sz w:val="24"/>
        </w:rPr>
        <w:t>s</w:t>
      </w:r>
      <w:r>
        <w:rPr>
          <w:sz w:val="24"/>
        </w:rPr>
        <w:t xml:space="preserve"> questioned, along with how the ‘right’ individuals are targeted and how the underpinning epistemologies influence ideas of success.</w:t>
      </w:r>
      <w:r w:rsidR="00BF4D30">
        <w:rPr>
          <w:sz w:val="24"/>
        </w:rPr>
        <w:t xml:space="preserve">  This is in the context of increasing firm guidance from government about the need for institutions to be confident that their money is well </w:t>
      </w:r>
      <w:r w:rsidR="006F3EF7">
        <w:rPr>
          <w:sz w:val="24"/>
        </w:rPr>
        <w:t>spent –</w:t>
      </w:r>
      <w:r w:rsidR="00BF4D30">
        <w:rPr>
          <w:sz w:val="24"/>
        </w:rPr>
        <w:t xml:space="preserve"> for example, </w:t>
      </w:r>
      <w:r w:rsidR="006F3EF7">
        <w:rPr>
          <w:sz w:val="24"/>
        </w:rPr>
        <w:t>within</w:t>
      </w:r>
      <w:r w:rsidR="00BF4D30">
        <w:rPr>
          <w:sz w:val="24"/>
        </w:rPr>
        <w:t xml:space="preserve"> the national widening partic</w:t>
      </w:r>
      <w:r w:rsidR="000175FF">
        <w:rPr>
          <w:sz w:val="24"/>
        </w:rPr>
        <w:t xml:space="preserve">ipation strategy (BIS, 2014, </w:t>
      </w:r>
      <w:r w:rsidR="00BF4D30">
        <w:rPr>
          <w:sz w:val="24"/>
        </w:rPr>
        <w:t>9)</w:t>
      </w:r>
    </w:p>
    <w:p w14:paraId="65865912" w14:textId="77777777" w:rsidR="00BF4D30" w:rsidRDefault="00BF4D30" w:rsidP="00C74EDA">
      <w:pPr>
        <w:spacing w:line="480" w:lineRule="auto"/>
        <w:rPr>
          <w:sz w:val="24"/>
        </w:rPr>
      </w:pPr>
    </w:p>
    <w:p w14:paraId="501298AE" w14:textId="41F7CD2B" w:rsidR="00BF4D30" w:rsidRPr="00BF4D30" w:rsidRDefault="00BF4D30" w:rsidP="00C74EDA">
      <w:pPr>
        <w:spacing w:line="480" w:lineRule="auto"/>
        <w:ind w:left="567"/>
        <w:rPr>
          <w:sz w:val="24"/>
        </w:rPr>
      </w:pPr>
      <w:r w:rsidRPr="00BF4D30">
        <w:rPr>
          <w:rFonts w:eastAsia="Times New Roman" w:cs="Times New Roman"/>
          <w:sz w:val="24"/>
          <w:szCs w:val="24"/>
          <w:lang w:eastAsia="en-GB"/>
        </w:rPr>
        <w:t>‘It is essential to understand which approaches and activities have the greatest impact, and why. An improved evidence base, and a robust approach to evaluation, are critical in helping the sector and partners to understand which of their activities are most effective and have the greatest impact on access, student success and progression, so enabling effort to be focused o</w:t>
      </w:r>
      <w:r>
        <w:rPr>
          <w:rFonts w:eastAsia="Times New Roman" w:cs="Times New Roman"/>
          <w:sz w:val="24"/>
          <w:szCs w:val="24"/>
          <w:lang w:eastAsia="en-GB"/>
        </w:rPr>
        <w:t>n these areas</w:t>
      </w:r>
      <w:r w:rsidRPr="00BF4D30">
        <w:rPr>
          <w:rFonts w:eastAsia="Times New Roman" w:cs="Times New Roman"/>
          <w:sz w:val="24"/>
          <w:szCs w:val="24"/>
          <w:lang w:eastAsia="en-GB"/>
        </w:rPr>
        <w:t>.</w:t>
      </w:r>
      <w:r>
        <w:rPr>
          <w:rFonts w:eastAsia="Times New Roman" w:cs="Times New Roman"/>
          <w:sz w:val="24"/>
          <w:szCs w:val="24"/>
          <w:lang w:eastAsia="en-GB"/>
        </w:rPr>
        <w:t>’</w:t>
      </w:r>
      <w:r w:rsidRPr="00BF4D30">
        <w:rPr>
          <w:rFonts w:eastAsia="Times New Roman" w:cs="Times New Roman"/>
          <w:sz w:val="24"/>
          <w:szCs w:val="24"/>
          <w:lang w:eastAsia="en-GB"/>
        </w:rPr>
        <w:t xml:space="preserve"> </w:t>
      </w:r>
    </w:p>
    <w:p w14:paraId="66691EBE" w14:textId="03BBBA67" w:rsidR="00DE6555" w:rsidRDefault="00D53027" w:rsidP="00C74EDA">
      <w:pPr>
        <w:spacing w:line="480" w:lineRule="auto"/>
        <w:rPr>
          <w:sz w:val="24"/>
        </w:rPr>
      </w:pPr>
      <w:r>
        <w:rPr>
          <w:sz w:val="24"/>
        </w:rPr>
        <w:t xml:space="preserve">  </w:t>
      </w:r>
    </w:p>
    <w:p w14:paraId="0856D4D5" w14:textId="77777777" w:rsidR="00BF4D30" w:rsidRDefault="00BF4D30" w:rsidP="00C74EDA">
      <w:pPr>
        <w:spacing w:line="480" w:lineRule="auto"/>
        <w:rPr>
          <w:b/>
          <w:sz w:val="24"/>
        </w:rPr>
      </w:pPr>
    </w:p>
    <w:p w14:paraId="33C13F5A" w14:textId="4DEA325A" w:rsidR="00FE63B2" w:rsidRDefault="0031032D" w:rsidP="00C74EDA">
      <w:pPr>
        <w:spacing w:line="480" w:lineRule="auto"/>
        <w:rPr>
          <w:sz w:val="24"/>
        </w:rPr>
      </w:pPr>
      <w:r>
        <w:rPr>
          <w:b/>
          <w:sz w:val="24"/>
        </w:rPr>
        <w:t>Methodology, methods and analytical approach</w:t>
      </w:r>
    </w:p>
    <w:p w14:paraId="17A82070" w14:textId="77777777" w:rsidR="00FE63B2" w:rsidRDefault="00FE63B2" w:rsidP="00C74EDA">
      <w:pPr>
        <w:spacing w:line="480" w:lineRule="auto"/>
        <w:rPr>
          <w:sz w:val="24"/>
        </w:rPr>
      </w:pPr>
    </w:p>
    <w:p w14:paraId="27F119C4" w14:textId="276D4BF9" w:rsidR="00DA14FF" w:rsidRDefault="00EA474B" w:rsidP="00C74EDA">
      <w:pPr>
        <w:spacing w:line="480" w:lineRule="auto"/>
        <w:rPr>
          <w:sz w:val="24"/>
        </w:rPr>
      </w:pPr>
      <w:r>
        <w:rPr>
          <w:sz w:val="24"/>
        </w:rPr>
        <w:t>T</w:t>
      </w:r>
      <w:r w:rsidR="00FE63B2">
        <w:rPr>
          <w:sz w:val="24"/>
        </w:rPr>
        <w:t xml:space="preserve">his </w:t>
      </w:r>
      <w:r w:rsidR="00FD0C12">
        <w:rPr>
          <w:sz w:val="24"/>
        </w:rPr>
        <w:t>paper</w:t>
      </w:r>
      <w:r w:rsidR="00FE63B2">
        <w:rPr>
          <w:sz w:val="24"/>
        </w:rPr>
        <w:t xml:space="preserve"> is </w:t>
      </w:r>
      <w:r>
        <w:rPr>
          <w:sz w:val="24"/>
        </w:rPr>
        <w:t>based around</w:t>
      </w:r>
      <w:r w:rsidR="00FE63B2">
        <w:rPr>
          <w:sz w:val="24"/>
        </w:rPr>
        <w:t xml:space="preserve"> data collected </w:t>
      </w:r>
      <w:r w:rsidR="006A6C98">
        <w:rPr>
          <w:sz w:val="24"/>
        </w:rPr>
        <w:t xml:space="preserve">through </w:t>
      </w:r>
      <w:r w:rsidR="00FE63B2">
        <w:rPr>
          <w:sz w:val="24"/>
        </w:rPr>
        <w:t xml:space="preserve">the </w:t>
      </w:r>
      <w:r w:rsidR="00FE63B2" w:rsidRPr="00DA14FF">
        <w:rPr>
          <w:i/>
          <w:sz w:val="24"/>
        </w:rPr>
        <w:t>Assessing Impact and Measuring Success</w:t>
      </w:r>
      <w:r w:rsidR="00FE63B2">
        <w:rPr>
          <w:sz w:val="24"/>
        </w:rPr>
        <w:t xml:space="preserve"> (AIMS) project</w:t>
      </w:r>
      <w:r w:rsidR="001E752A">
        <w:rPr>
          <w:sz w:val="24"/>
        </w:rPr>
        <w:t xml:space="preserve"> which was </w:t>
      </w:r>
      <w:r w:rsidR="00FE63B2">
        <w:rPr>
          <w:sz w:val="24"/>
        </w:rPr>
        <w:t>led by the authors</w:t>
      </w:r>
      <w:r w:rsidR="001E752A">
        <w:rPr>
          <w:sz w:val="24"/>
        </w:rPr>
        <w:t xml:space="preserve"> of this paper.  We </w:t>
      </w:r>
      <w:r w:rsidR="006A6C98">
        <w:rPr>
          <w:sz w:val="24"/>
        </w:rPr>
        <w:t>both served as</w:t>
      </w:r>
      <w:r w:rsidR="001E752A">
        <w:rPr>
          <w:sz w:val="24"/>
        </w:rPr>
        <w:t xml:space="preserve"> WP practitioners prior to becoming researchers in the field, enabling us to draw on </w:t>
      </w:r>
      <w:r w:rsidR="006A6C98">
        <w:rPr>
          <w:sz w:val="24"/>
        </w:rPr>
        <w:t>our own experiences in devising the project</w:t>
      </w:r>
      <w:r w:rsidR="0061117C">
        <w:rPr>
          <w:sz w:val="24"/>
        </w:rPr>
        <w:t xml:space="preserve">.  </w:t>
      </w:r>
      <w:r w:rsidR="00DA14FF">
        <w:rPr>
          <w:sz w:val="24"/>
        </w:rPr>
        <w:t xml:space="preserve">The </w:t>
      </w:r>
      <w:r w:rsidR="006A6C98">
        <w:rPr>
          <w:sz w:val="24"/>
        </w:rPr>
        <w:t xml:space="preserve">primary </w:t>
      </w:r>
      <w:r w:rsidR="00DA14FF">
        <w:rPr>
          <w:sz w:val="24"/>
        </w:rPr>
        <w:t xml:space="preserve">purpose was to explore the underlying </w:t>
      </w:r>
      <w:r w:rsidR="00DA14FF">
        <w:rPr>
          <w:sz w:val="24"/>
        </w:rPr>
        <w:lastRenderedPageBreak/>
        <w:t xml:space="preserve">epistemologies </w:t>
      </w:r>
      <w:r>
        <w:rPr>
          <w:sz w:val="24"/>
        </w:rPr>
        <w:t>around</w:t>
      </w:r>
      <w:r w:rsidR="00DB79FF">
        <w:rPr>
          <w:sz w:val="24"/>
        </w:rPr>
        <w:t xml:space="preserve"> WP </w:t>
      </w:r>
      <w:r w:rsidR="006A6C98">
        <w:rPr>
          <w:sz w:val="24"/>
        </w:rPr>
        <w:t xml:space="preserve">among senior practitioner-managers </w:t>
      </w:r>
      <w:r>
        <w:rPr>
          <w:sz w:val="24"/>
        </w:rPr>
        <w:t>and to make recommendations for future</w:t>
      </w:r>
      <w:r w:rsidR="006A6C98">
        <w:rPr>
          <w:sz w:val="24"/>
        </w:rPr>
        <w:t xml:space="preserve"> policy and</w:t>
      </w:r>
      <w:r>
        <w:rPr>
          <w:sz w:val="24"/>
        </w:rPr>
        <w:t xml:space="preserve"> practice</w:t>
      </w:r>
      <w:r w:rsidR="00DA14FF">
        <w:rPr>
          <w:sz w:val="24"/>
        </w:rPr>
        <w:t>.</w:t>
      </w:r>
      <w:r w:rsidR="00DB79FF">
        <w:rPr>
          <w:sz w:val="24"/>
        </w:rPr>
        <w:t xml:space="preserve">  </w:t>
      </w:r>
      <w:r w:rsidR="00DA14FF">
        <w:rPr>
          <w:sz w:val="24"/>
        </w:rPr>
        <w:t xml:space="preserve">The data </w:t>
      </w:r>
      <w:r w:rsidR="006B54C6">
        <w:rPr>
          <w:sz w:val="24"/>
        </w:rPr>
        <w:t xml:space="preserve">presented here </w:t>
      </w:r>
      <w:r w:rsidR="00DA14FF">
        <w:rPr>
          <w:sz w:val="24"/>
        </w:rPr>
        <w:t xml:space="preserve">are drawn from </w:t>
      </w:r>
      <w:r w:rsidR="006A6C98">
        <w:rPr>
          <w:sz w:val="24"/>
        </w:rPr>
        <w:t xml:space="preserve">both </w:t>
      </w:r>
      <w:r w:rsidR="00DA14FF">
        <w:rPr>
          <w:sz w:val="24"/>
        </w:rPr>
        <w:t>strands of the project:</w:t>
      </w:r>
    </w:p>
    <w:p w14:paraId="67764D11" w14:textId="77777777" w:rsidR="00DA14FF" w:rsidRDefault="00DA14FF" w:rsidP="00C74EDA">
      <w:pPr>
        <w:spacing w:line="480" w:lineRule="auto"/>
        <w:rPr>
          <w:sz w:val="24"/>
        </w:rPr>
      </w:pPr>
    </w:p>
    <w:p w14:paraId="40776F59" w14:textId="38876008" w:rsidR="00DB79FF" w:rsidRDefault="00DA14FF" w:rsidP="00C74EDA">
      <w:pPr>
        <w:pStyle w:val="ListParagraph"/>
        <w:numPr>
          <w:ilvl w:val="0"/>
          <w:numId w:val="1"/>
        </w:numPr>
        <w:spacing w:line="480" w:lineRule="auto"/>
        <w:rPr>
          <w:sz w:val="24"/>
        </w:rPr>
      </w:pPr>
      <w:r w:rsidRPr="005222C6">
        <w:rPr>
          <w:b/>
          <w:sz w:val="24"/>
        </w:rPr>
        <w:t>Strand 1</w:t>
      </w:r>
      <w:r w:rsidRPr="00DA14FF">
        <w:rPr>
          <w:sz w:val="24"/>
        </w:rPr>
        <w:t xml:space="preserve"> comprised </w:t>
      </w:r>
      <w:r w:rsidR="004C1DB1">
        <w:rPr>
          <w:sz w:val="24"/>
        </w:rPr>
        <w:t xml:space="preserve">semi-structured </w:t>
      </w:r>
      <w:r w:rsidR="00EA474B">
        <w:rPr>
          <w:sz w:val="24"/>
        </w:rPr>
        <w:t xml:space="preserve">telephone </w:t>
      </w:r>
      <w:r w:rsidR="00DB79FF">
        <w:rPr>
          <w:sz w:val="24"/>
        </w:rPr>
        <w:t xml:space="preserve">interviews with </w:t>
      </w:r>
      <w:r w:rsidR="00EA474B" w:rsidRPr="005222C6">
        <w:rPr>
          <w:sz w:val="24"/>
        </w:rPr>
        <w:t xml:space="preserve">former directors </w:t>
      </w:r>
      <w:r w:rsidR="00A45BB0">
        <w:rPr>
          <w:sz w:val="24"/>
        </w:rPr>
        <w:t xml:space="preserve">from all nine regions </w:t>
      </w:r>
      <w:r w:rsidR="00EA474B">
        <w:rPr>
          <w:sz w:val="24"/>
        </w:rPr>
        <w:t xml:space="preserve">of Aimhigher </w:t>
      </w:r>
      <w:r w:rsidR="00EA474B" w:rsidRPr="005222C6">
        <w:rPr>
          <w:sz w:val="24"/>
        </w:rPr>
        <w:t>and one former national director</w:t>
      </w:r>
      <w:r w:rsidR="004C1DB1">
        <w:rPr>
          <w:sz w:val="24"/>
        </w:rPr>
        <w:t>, undertaken in late 2014 and early 2015</w:t>
      </w:r>
      <w:r w:rsidR="00685200">
        <w:rPr>
          <w:sz w:val="24"/>
        </w:rPr>
        <w:t xml:space="preserve"> (see </w:t>
      </w:r>
      <w:r w:rsidR="0085322D">
        <w:rPr>
          <w:sz w:val="24"/>
        </w:rPr>
        <w:t>Waller, Harrison and Last, 2015</w:t>
      </w:r>
      <w:r w:rsidR="00685200">
        <w:rPr>
          <w:sz w:val="24"/>
        </w:rPr>
        <w:t xml:space="preserve"> for more details)</w:t>
      </w:r>
      <w:r w:rsidRPr="00DA14FF">
        <w:rPr>
          <w:sz w:val="24"/>
        </w:rPr>
        <w:t xml:space="preserve">.  </w:t>
      </w:r>
      <w:r w:rsidR="00EA474B">
        <w:rPr>
          <w:sz w:val="24"/>
        </w:rPr>
        <w:t>The</w:t>
      </w:r>
      <w:r w:rsidRPr="005222C6">
        <w:rPr>
          <w:sz w:val="24"/>
        </w:rPr>
        <w:t xml:space="preserve"> interviews last</w:t>
      </w:r>
      <w:r w:rsidR="00EA474B">
        <w:rPr>
          <w:sz w:val="24"/>
        </w:rPr>
        <w:t>ed</w:t>
      </w:r>
      <w:r w:rsidRPr="005222C6">
        <w:rPr>
          <w:sz w:val="24"/>
        </w:rPr>
        <w:t xml:space="preserve"> between 40 and 80 minutes </w:t>
      </w:r>
      <w:r w:rsidR="00EA474B">
        <w:rPr>
          <w:sz w:val="24"/>
        </w:rPr>
        <w:t>and</w:t>
      </w:r>
      <w:r w:rsidR="007E388E">
        <w:rPr>
          <w:sz w:val="24"/>
        </w:rPr>
        <w:t xml:space="preserve"> </w:t>
      </w:r>
      <w:r w:rsidR="004D0A91">
        <w:rPr>
          <w:sz w:val="24"/>
        </w:rPr>
        <w:t xml:space="preserve">were </w:t>
      </w:r>
      <w:r w:rsidR="00DB79FF">
        <w:rPr>
          <w:sz w:val="24"/>
        </w:rPr>
        <w:t xml:space="preserve">audio recorded.  Many of the participants had continued working </w:t>
      </w:r>
      <w:r w:rsidR="00EA474B">
        <w:rPr>
          <w:sz w:val="24"/>
        </w:rPr>
        <w:t>with</w:t>
      </w:r>
      <w:r w:rsidR="00DB79FF">
        <w:rPr>
          <w:sz w:val="24"/>
        </w:rPr>
        <w:t xml:space="preserve">in </w:t>
      </w:r>
      <w:r w:rsidR="00EA474B">
        <w:rPr>
          <w:sz w:val="24"/>
        </w:rPr>
        <w:t xml:space="preserve">the </w:t>
      </w:r>
      <w:r w:rsidR="00DB79FF">
        <w:rPr>
          <w:sz w:val="24"/>
        </w:rPr>
        <w:t xml:space="preserve">WP </w:t>
      </w:r>
      <w:r w:rsidR="00EA474B">
        <w:rPr>
          <w:sz w:val="24"/>
        </w:rPr>
        <w:t xml:space="preserve">agenda </w:t>
      </w:r>
      <w:r w:rsidR="00DB79FF">
        <w:rPr>
          <w:sz w:val="24"/>
        </w:rPr>
        <w:t>after their Aimhigher roles had ended</w:t>
      </w:r>
      <w:r w:rsidR="006C558F">
        <w:rPr>
          <w:sz w:val="24"/>
        </w:rPr>
        <w:t xml:space="preserve"> </w:t>
      </w:r>
      <w:r w:rsidR="00DB79FF">
        <w:rPr>
          <w:sz w:val="24"/>
        </w:rPr>
        <w:t xml:space="preserve">and so were able to give additional </w:t>
      </w:r>
      <w:r w:rsidR="00EA474B">
        <w:rPr>
          <w:sz w:val="24"/>
        </w:rPr>
        <w:t>insight</w:t>
      </w:r>
      <w:r w:rsidR="00637C2A">
        <w:rPr>
          <w:sz w:val="24"/>
        </w:rPr>
        <w:t xml:space="preserve"> over a lengthy time period</w:t>
      </w:r>
      <w:r w:rsidR="000A75E1">
        <w:rPr>
          <w:sz w:val="24"/>
        </w:rPr>
        <w:t>.</w:t>
      </w:r>
      <w:r w:rsidR="006A6C98">
        <w:rPr>
          <w:sz w:val="24"/>
        </w:rPr>
        <w:t xml:space="preserve">  However, it should also be noted that they were reflecting on events that were up to ten years distant and so their recollections may have been imperfect; indeed, several of the participants made comments to this effect.  Nevertheless, they gave rich and varied accounts of their period of service within Aimhigher, covering the activities they managed, their rationale, the process of partnership delivery and an assessment of success.</w:t>
      </w:r>
      <w:r w:rsidR="00F52834">
        <w:rPr>
          <w:sz w:val="24"/>
        </w:rPr>
        <w:t xml:space="preserve">  </w:t>
      </w:r>
    </w:p>
    <w:p w14:paraId="40F791EF" w14:textId="77777777" w:rsidR="005222C6" w:rsidRDefault="005222C6" w:rsidP="00C74EDA">
      <w:pPr>
        <w:pStyle w:val="ListParagraph"/>
        <w:spacing w:line="480" w:lineRule="auto"/>
        <w:rPr>
          <w:sz w:val="24"/>
        </w:rPr>
      </w:pPr>
    </w:p>
    <w:p w14:paraId="74A6472D" w14:textId="6D7C31C9" w:rsidR="005222C6" w:rsidRPr="00DF4814" w:rsidRDefault="005222C6" w:rsidP="00DF4814">
      <w:pPr>
        <w:pStyle w:val="ListParagraph"/>
        <w:numPr>
          <w:ilvl w:val="0"/>
          <w:numId w:val="1"/>
        </w:numPr>
        <w:spacing w:line="480" w:lineRule="auto"/>
        <w:rPr>
          <w:sz w:val="24"/>
        </w:rPr>
      </w:pPr>
      <w:r w:rsidRPr="00DF4814">
        <w:rPr>
          <w:b/>
          <w:sz w:val="24"/>
        </w:rPr>
        <w:t>Strand 2</w:t>
      </w:r>
      <w:r w:rsidRPr="00DF4814">
        <w:rPr>
          <w:sz w:val="24"/>
        </w:rPr>
        <w:t xml:space="preserve"> comprised an online questionnaire </w:t>
      </w:r>
      <w:r w:rsidR="001E752A" w:rsidRPr="00DF4814">
        <w:rPr>
          <w:sz w:val="24"/>
        </w:rPr>
        <w:t xml:space="preserve">prepared using the SurveyMonkey system </w:t>
      </w:r>
      <w:r w:rsidR="00B02898" w:rsidRPr="006856C7">
        <w:rPr>
          <w:sz w:val="24"/>
        </w:rPr>
        <w:t xml:space="preserve">with a mixture of </w:t>
      </w:r>
      <w:r w:rsidR="00DF4814" w:rsidRPr="006856C7">
        <w:rPr>
          <w:sz w:val="24"/>
        </w:rPr>
        <w:t xml:space="preserve">open qualitative and </w:t>
      </w:r>
      <w:r w:rsidR="00B02898" w:rsidRPr="0055100E">
        <w:rPr>
          <w:sz w:val="24"/>
        </w:rPr>
        <w:t>quantitative questions</w:t>
      </w:r>
      <w:r w:rsidR="00DF4814" w:rsidRPr="0055100E">
        <w:rPr>
          <w:sz w:val="24"/>
        </w:rPr>
        <w:t>; the latter</w:t>
      </w:r>
      <w:r w:rsidR="001E752A" w:rsidRPr="00250695">
        <w:rPr>
          <w:sz w:val="24"/>
        </w:rPr>
        <w:t xml:space="preserve"> </w:t>
      </w:r>
      <w:r w:rsidR="005F1584" w:rsidRPr="00250695">
        <w:rPr>
          <w:sz w:val="24"/>
        </w:rPr>
        <w:t xml:space="preserve">took a </w:t>
      </w:r>
      <w:r w:rsidR="00DF4814" w:rsidRPr="00962B89">
        <w:rPr>
          <w:sz w:val="24"/>
        </w:rPr>
        <w:t>variety</w:t>
      </w:r>
      <w:r w:rsidR="005F1584" w:rsidRPr="00962B89">
        <w:rPr>
          <w:sz w:val="24"/>
        </w:rPr>
        <w:t xml:space="preserve"> of forms, including tallies, ratings and ‘dilemmas’ where </w:t>
      </w:r>
      <w:r w:rsidR="00DF4814" w:rsidRPr="00275704">
        <w:rPr>
          <w:sz w:val="24"/>
        </w:rPr>
        <w:t xml:space="preserve">respondents were asked to choose between two options (see </w:t>
      </w:r>
      <w:r w:rsidR="0085322D">
        <w:rPr>
          <w:sz w:val="24"/>
        </w:rPr>
        <w:t>Harrison and Waller, 2015</w:t>
      </w:r>
      <w:r w:rsidR="00DF4814" w:rsidRPr="00275704">
        <w:rPr>
          <w:sz w:val="24"/>
        </w:rPr>
        <w:t xml:space="preserve"> for more details).  </w:t>
      </w:r>
      <w:r w:rsidR="001E752A" w:rsidRPr="002D50A5">
        <w:rPr>
          <w:sz w:val="24"/>
        </w:rPr>
        <w:t>A link to the survey was</w:t>
      </w:r>
      <w:r w:rsidR="00B02898" w:rsidRPr="002D50A5">
        <w:rPr>
          <w:sz w:val="24"/>
        </w:rPr>
        <w:t xml:space="preserve"> </w:t>
      </w:r>
      <w:r w:rsidRPr="002D50A5">
        <w:rPr>
          <w:sz w:val="24"/>
        </w:rPr>
        <w:t xml:space="preserve">distributed </w:t>
      </w:r>
      <w:r w:rsidR="001E752A" w:rsidRPr="002D50A5">
        <w:rPr>
          <w:sz w:val="24"/>
        </w:rPr>
        <w:t xml:space="preserve">by e-mail </w:t>
      </w:r>
      <w:r w:rsidRPr="002D50A5">
        <w:rPr>
          <w:sz w:val="24"/>
        </w:rPr>
        <w:t xml:space="preserve">to the named senior individuals responsible for </w:t>
      </w:r>
      <w:r w:rsidR="00872822" w:rsidRPr="00DF4814">
        <w:rPr>
          <w:sz w:val="24"/>
        </w:rPr>
        <w:t>WP</w:t>
      </w:r>
      <w:r w:rsidRPr="00DF4814">
        <w:rPr>
          <w:sz w:val="24"/>
        </w:rPr>
        <w:t xml:space="preserve"> policy and practice within English institutions in late 2014.  A total of 151 institutions were invited to participate and 57 did so, </w:t>
      </w:r>
      <w:r w:rsidRPr="00DF4814">
        <w:rPr>
          <w:sz w:val="24"/>
        </w:rPr>
        <w:lastRenderedPageBreak/>
        <w:t xml:space="preserve">comprising a 38 percent response rate.  </w:t>
      </w:r>
      <w:r w:rsidR="00EA474B" w:rsidRPr="00DF4814">
        <w:rPr>
          <w:sz w:val="24"/>
        </w:rPr>
        <w:t>R</w:t>
      </w:r>
      <w:r w:rsidR="007E388E" w:rsidRPr="00DF4814">
        <w:rPr>
          <w:sz w:val="24"/>
        </w:rPr>
        <w:t>esponses were categorised</w:t>
      </w:r>
      <w:r w:rsidRPr="00DF4814">
        <w:rPr>
          <w:sz w:val="24"/>
        </w:rPr>
        <w:t xml:space="preserve"> into three institutional types: </w:t>
      </w:r>
      <w:r w:rsidR="005476D4">
        <w:rPr>
          <w:sz w:val="24"/>
        </w:rPr>
        <w:t xml:space="preserve">19 </w:t>
      </w:r>
      <w:r w:rsidR="004C1DB1" w:rsidRPr="00DF4814">
        <w:rPr>
          <w:sz w:val="24"/>
        </w:rPr>
        <w:t>‘</w:t>
      </w:r>
      <w:r w:rsidR="004D0A91" w:rsidRPr="00DF4814">
        <w:rPr>
          <w:sz w:val="24"/>
        </w:rPr>
        <w:t>O</w:t>
      </w:r>
      <w:r w:rsidRPr="00DF4814">
        <w:rPr>
          <w:sz w:val="24"/>
        </w:rPr>
        <w:t>ld</w:t>
      </w:r>
      <w:r w:rsidR="004C1DB1" w:rsidRPr="00DF4814">
        <w:rPr>
          <w:sz w:val="24"/>
        </w:rPr>
        <w:t>’</w:t>
      </w:r>
      <w:r w:rsidRPr="00DF4814">
        <w:rPr>
          <w:sz w:val="24"/>
        </w:rPr>
        <w:t xml:space="preserve"> </w:t>
      </w:r>
      <w:r w:rsidR="00872822" w:rsidRPr="00DF4814">
        <w:rPr>
          <w:sz w:val="24"/>
        </w:rPr>
        <w:t>U</w:t>
      </w:r>
      <w:r w:rsidRPr="00DF4814">
        <w:rPr>
          <w:sz w:val="24"/>
        </w:rPr>
        <w:t xml:space="preserve">niversities (having this status prior to 1992), </w:t>
      </w:r>
      <w:r w:rsidR="005476D4">
        <w:rPr>
          <w:sz w:val="24"/>
        </w:rPr>
        <w:t xml:space="preserve">22 </w:t>
      </w:r>
      <w:r w:rsidR="004C1DB1" w:rsidRPr="00DF4814">
        <w:rPr>
          <w:sz w:val="24"/>
        </w:rPr>
        <w:t>‘</w:t>
      </w:r>
      <w:r w:rsidR="004D0A91" w:rsidRPr="00DF4814">
        <w:rPr>
          <w:sz w:val="24"/>
        </w:rPr>
        <w:t>N</w:t>
      </w:r>
      <w:r w:rsidRPr="00DF4814">
        <w:rPr>
          <w:sz w:val="24"/>
        </w:rPr>
        <w:t>ew</w:t>
      </w:r>
      <w:r w:rsidR="004C1DB1" w:rsidRPr="00DF4814">
        <w:rPr>
          <w:sz w:val="24"/>
        </w:rPr>
        <w:t>’</w:t>
      </w:r>
      <w:r w:rsidRPr="00DF4814">
        <w:rPr>
          <w:sz w:val="24"/>
        </w:rPr>
        <w:t xml:space="preserve"> </w:t>
      </w:r>
      <w:r w:rsidR="00872822" w:rsidRPr="00DF4814">
        <w:rPr>
          <w:sz w:val="24"/>
        </w:rPr>
        <w:t>U</w:t>
      </w:r>
      <w:r w:rsidRPr="00DF4814">
        <w:rPr>
          <w:sz w:val="24"/>
        </w:rPr>
        <w:t xml:space="preserve">niversities (gaining their status from 1992 onwards) and </w:t>
      </w:r>
      <w:r w:rsidR="005476D4">
        <w:rPr>
          <w:sz w:val="24"/>
        </w:rPr>
        <w:t xml:space="preserve">16 </w:t>
      </w:r>
      <w:r w:rsidR="004D0A91" w:rsidRPr="00DF4814">
        <w:rPr>
          <w:sz w:val="24"/>
        </w:rPr>
        <w:t>C</w:t>
      </w:r>
      <w:r w:rsidRPr="00DF4814">
        <w:rPr>
          <w:sz w:val="24"/>
        </w:rPr>
        <w:t xml:space="preserve">olleges (including specialist institutions </w:t>
      </w:r>
      <w:r w:rsidR="00EA474B" w:rsidRPr="00DF4814">
        <w:rPr>
          <w:sz w:val="24"/>
        </w:rPr>
        <w:t xml:space="preserve">[e.g. </w:t>
      </w:r>
      <w:r w:rsidRPr="00DF4814">
        <w:rPr>
          <w:sz w:val="24"/>
        </w:rPr>
        <w:t>in the arts</w:t>
      </w:r>
      <w:r w:rsidR="00EA474B" w:rsidRPr="00DF4814">
        <w:rPr>
          <w:sz w:val="24"/>
        </w:rPr>
        <w:t>]</w:t>
      </w:r>
      <w:r w:rsidRPr="00DF4814">
        <w:rPr>
          <w:sz w:val="24"/>
        </w:rPr>
        <w:t xml:space="preserve"> and further education colleges that offer higher education).</w:t>
      </w:r>
      <w:r w:rsidR="009C0464" w:rsidRPr="00DF4814">
        <w:rPr>
          <w:sz w:val="24"/>
        </w:rPr>
        <w:t xml:space="preserve">  The response rates for the three types were 44 percent, 37 percent and 33 percent respectively, such that the sample bore a good resemblance to the wider population of English institutions.</w:t>
      </w:r>
      <w:r w:rsidR="00836674" w:rsidRPr="00DF4814">
        <w:rPr>
          <w:sz w:val="24"/>
        </w:rPr>
        <w:t xml:space="preserve">  Engagement with the open qualitative questions was somewhat variable, with some respondents providing short answers, often in note form, while others provided longer and more detailed texts</w:t>
      </w:r>
      <w:r w:rsidR="0031032D" w:rsidRPr="00DF4814">
        <w:rPr>
          <w:sz w:val="24"/>
        </w:rPr>
        <w:t>; we have attempted to give equal weight to the accounts as far as possible.</w:t>
      </w:r>
    </w:p>
    <w:p w14:paraId="2A0582E2" w14:textId="77777777" w:rsidR="004D0A91" w:rsidRPr="00FD02BE" w:rsidRDefault="004D0A91" w:rsidP="00C74EDA">
      <w:pPr>
        <w:spacing w:line="480" w:lineRule="auto"/>
        <w:rPr>
          <w:sz w:val="24"/>
        </w:rPr>
      </w:pPr>
    </w:p>
    <w:p w14:paraId="6468B4C4" w14:textId="2E06E234" w:rsidR="00A45BB0" w:rsidRDefault="00B02898" w:rsidP="00C74EDA">
      <w:pPr>
        <w:spacing w:line="480" w:lineRule="auto"/>
        <w:rPr>
          <w:sz w:val="24"/>
        </w:rPr>
      </w:pPr>
      <w:r>
        <w:rPr>
          <w:sz w:val="24"/>
        </w:rPr>
        <w:t>The underpinning methodology was thus a pragmatic mixed methods approach</w:t>
      </w:r>
      <w:r w:rsidR="00685200">
        <w:rPr>
          <w:sz w:val="24"/>
        </w:rPr>
        <w:t>, blending qualitative data from Strand 1 with the mixed qualitative and quantitative data from Strand 2</w:t>
      </w:r>
      <w:r>
        <w:rPr>
          <w:sz w:val="24"/>
        </w:rPr>
        <w:t xml:space="preserve">.  </w:t>
      </w:r>
      <w:r w:rsidR="00685200">
        <w:rPr>
          <w:sz w:val="24"/>
        </w:rPr>
        <w:t>Analysis focused on synthesising key themes between the two strands, paying particular attention to communalities and changes over time.  Given the different forms of data</w:t>
      </w:r>
      <w:r w:rsidR="00B674DC">
        <w:rPr>
          <w:sz w:val="24"/>
        </w:rPr>
        <w:t>, diverse job roles</w:t>
      </w:r>
      <w:r w:rsidR="00685200">
        <w:rPr>
          <w:sz w:val="24"/>
        </w:rPr>
        <w:t xml:space="preserve"> and shifting nomenclature</w:t>
      </w:r>
      <w:r w:rsidR="00B674DC">
        <w:rPr>
          <w:sz w:val="24"/>
        </w:rPr>
        <w:t xml:space="preserve">, this was not unproblematic, </w:t>
      </w:r>
      <w:r w:rsidR="00685200">
        <w:rPr>
          <w:sz w:val="24"/>
        </w:rPr>
        <w:t xml:space="preserve">but we were able to draw on our own knowledge and the wider literature to contextualise the data and identify useful insights while respecting the variety of the (sometimes contradictory) views collected.  This paper therefore </w:t>
      </w:r>
      <w:r w:rsidR="004D0A91">
        <w:rPr>
          <w:sz w:val="24"/>
        </w:rPr>
        <w:t>combines illustrative quotes from the Strand 1 interviews with descriptive statistics and illustrative quotes from the Strand 2 questionnaires</w:t>
      </w:r>
      <w:r w:rsidR="0031032D">
        <w:rPr>
          <w:sz w:val="24"/>
        </w:rPr>
        <w:t xml:space="preserve">; we have also identified points of contrast or disagreement where relevant. </w:t>
      </w:r>
      <w:r w:rsidR="00A45BB0">
        <w:rPr>
          <w:sz w:val="24"/>
        </w:rPr>
        <w:t>To help to preserve the anonymity of the participants, we have not assigned quotes to individuals, even as pseudonyms.</w:t>
      </w:r>
      <w:r w:rsidR="0031032D">
        <w:rPr>
          <w:sz w:val="24"/>
        </w:rPr>
        <w:t xml:space="preserve"> </w:t>
      </w:r>
      <w:r w:rsidR="00A45BB0">
        <w:rPr>
          <w:sz w:val="24"/>
        </w:rPr>
        <w:t xml:space="preserve"> </w:t>
      </w:r>
    </w:p>
    <w:p w14:paraId="2F057456" w14:textId="77777777" w:rsidR="00A45BB0" w:rsidRDefault="00A45BB0" w:rsidP="00C74EDA">
      <w:pPr>
        <w:spacing w:line="480" w:lineRule="auto"/>
        <w:rPr>
          <w:sz w:val="24"/>
        </w:rPr>
      </w:pPr>
    </w:p>
    <w:p w14:paraId="7578950D" w14:textId="21623081" w:rsidR="0066043E" w:rsidRDefault="0031032D" w:rsidP="00C74EDA">
      <w:pPr>
        <w:spacing w:line="480" w:lineRule="auto"/>
        <w:rPr>
          <w:sz w:val="24"/>
        </w:rPr>
      </w:pPr>
      <w:r>
        <w:rPr>
          <w:sz w:val="24"/>
        </w:rPr>
        <w:lastRenderedPageBreak/>
        <w:t xml:space="preserve">The findings reported in this paper are therefore derived from subjective accounts from the two </w:t>
      </w:r>
      <w:r w:rsidR="00B674DC">
        <w:rPr>
          <w:sz w:val="24"/>
        </w:rPr>
        <w:t xml:space="preserve">contrasting </w:t>
      </w:r>
      <w:r>
        <w:rPr>
          <w:sz w:val="24"/>
        </w:rPr>
        <w:t>groups of participants, filtered through our own lens as experienced researchers and former practitioners.  As such, our claims to knowledge are limited and we are open to the possibility that others might draw different conclusions from the same data.</w:t>
      </w:r>
    </w:p>
    <w:p w14:paraId="4EEB89CC" w14:textId="77777777" w:rsidR="005A3B6F" w:rsidRDefault="005A3B6F" w:rsidP="00C74EDA">
      <w:pPr>
        <w:spacing w:line="480" w:lineRule="auto"/>
        <w:rPr>
          <w:sz w:val="24"/>
        </w:rPr>
      </w:pPr>
    </w:p>
    <w:p w14:paraId="2DFB0517" w14:textId="77777777" w:rsidR="0066043E" w:rsidRDefault="0066043E" w:rsidP="00C74EDA">
      <w:pPr>
        <w:spacing w:line="480" w:lineRule="auto"/>
        <w:rPr>
          <w:sz w:val="24"/>
        </w:rPr>
      </w:pPr>
    </w:p>
    <w:p w14:paraId="11FF1674" w14:textId="106553DF" w:rsidR="00F53744" w:rsidRPr="00C4592C" w:rsidRDefault="00D1250B" w:rsidP="00C74EDA">
      <w:pPr>
        <w:spacing w:line="480" w:lineRule="auto"/>
        <w:rPr>
          <w:b/>
          <w:sz w:val="24"/>
        </w:rPr>
      </w:pPr>
      <w:r>
        <w:rPr>
          <w:b/>
          <w:sz w:val="24"/>
        </w:rPr>
        <w:t xml:space="preserve">What </w:t>
      </w:r>
      <w:r w:rsidR="00F50E1C">
        <w:rPr>
          <w:b/>
          <w:sz w:val="24"/>
        </w:rPr>
        <w:t>works</w:t>
      </w:r>
      <w:r w:rsidR="00FD0C12">
        <w:rPr>
          <w:b/>
          <w:sz w:val="24"/>
        </w:rPr>
        <w:t xml:space="preserve"> in WP practice</w:t>
      </w:r>
      <w:r>
        <w:rPr>
          <w:b/>
          <w:sz w:val="24"/>
        </w:rPr>
        <w:t>?</w:t>
      </w:r>
    </w:p>
    <w:p w14:paraId="020D247B" w14:textId="77777777" w:rsidR="00F53744" w:rsidRDefault="00F53744" w:rsidP="00C74EDA">
      <w:pPr>
        <w:spacing w:line="480" w:lineRule="auto"/>
        <w:rPr>
          <w:sz w:val="24"/>
        </w:rPr>
      </w:pPr>
    </w:p>
    <w:p w14:paraId="4D3D28F9" w14:textId="77777777" w:rsidR="0066043E" w:rsidRDefault="0066043E" w:rsidP="00C74EDA">
      <w:pPr>
        <w:spacing w:line="480" w:lineRule="auto"/>
        <w:rPr>
          <w:sz w:val="24"/>
        </w:rPr>
      </w:pPr>
      <w:r>
        <w:rPr>
          <w:sz w:val="24"/>
        </w:rPr>
        <w:t xml:space="preserve">Participants in both Strand 1 and Strand 2 were asked, in </w:t>
      </w:r>
      <w:r w:rsidR="00FD02BE">
        <w:rPr>
          <w:sz w:val="24"/>
        </w:rPr>
        <w:t xml:space="preserve">somewhat </w:t>
      </w:r>
      <w:r>
        <w:rPr>
          <w:sz w:val="24"/>
        </w:rPr>
        <w:t>different ways, which specific WP activities th</w:t>
      </w:r>
      <w:r w:rsidR="00CB03B6">
        <w:rPr>
          <w:sz w:val="24"/>
        </w:rPr>
        <w:t xml:space="preserve">ey felt to be most successful; </w:t>
      </w:r>
      <w:r>
        <w:rPr>
          <w:sz w:val="24"/>
        </w:rPr>
        <w:t>our analysis h</w:t>
      </w:r>
      <w:r w:rsidR="00CB03B6">
        <w:rPr>
          <w:sz w:val="24"/>
        </w:rPr>
        <w:t>ere</w:t>
      </w:r>
      <w:r>
        <w:rPr>
          <w:sz w:val="24"/>
        </w:rPr>
        <w:t xml:space="preserve"> focuse</w:t>
      </w:r>
      <w:r w:rsidR="00CB03B6">
        <w:rPr>
          <w:sz w:val="24"/>
        </w:rPr>
        <w:t>s</w:t>
      </w:r>
      <w:r>
        <w:rPr>
          <w:sz w:val="24"/>
        </w:rPr>
        <w:t xml:space="preserve"> on differences in the conceptualisation of success and the principles believed to underpin it.</w:t>
      </w:r>
    </w:p>
    <w:p w14:paraId="3E59AB55" w14:textId="77777777" w:rsidR="0066043E" w:rsidRDefault="0066043E" w:rsidP="00C74EDA">
      <w:pPr>
        <w:spacing w:line="480" w:lineRule="auto"/>
        <w:rPr>
          <w:sz w:val="24"/>
        </w:rPr>
      </w:pPr>
    </w:p>
    <w:p w14:paraId="110EA251" w14:textId="13B6C085" w:rsidR="00E20E30" w:rsidRDefault="00C4592C" w:rsidP="00C74EDA">
      <w:pPr>
        <w:spacing w:line="480" w:lineRule="auto"/>
        <w:rPr>
          <w:sz w:val="24"/>
        </w:rPr>
      </w:pPr>
      <w:r>
        <w:rPr>
          <w:sz w:val="24"/>
        </w:rPr>
        <w:t>Aimhigher was originally con</w:t>
      </w:r>
      <w:r w:rsidR="009B40CC">
        <w:rPr>
          <w:sz w:val="24"/>
        </w:rPr>
        <w:t xml:space="preserve">ceived as </w:t>
      </w:r>
      <w:r w:rsidR="00CB03B6">
        <w:rPr>
          <w:sz w:val="24"/>
        </w:rPr>
        <w:t xml:space="preserve">a </w:t>
      </w:r>
      <w:r w:rsidR="009B40CC">
        <w:rPr>
          <w:sz w:val="24"/>
        </w:rPr>
        <w:t>programme for increasing applications</w:t>
      </w:r>
      <w:r>
        <w:rPr>
          <w:sz w:val="24"/>
        </w:rPr>
        <w:t xml:space="preserve"> </w:t>
      </w:r>
      <w:r w:rsidR="009B40CC">
        <w:rPr>
          <w:sz w:val="24"/>
        </w:rPr>
        <w:t>to</w:t>
      </w:r>
      <w:r>
        <w:rPr>
          <w:sz w:val="24"/>
        </w:rPr>
        <w:t xml:space="preserve"> higher education among </w:t>
      </w:r>
      <w:r w:rsidR="009B40CC">
        <w:rPr>
          <w:sz w:val="24"/>
        </w:rPr>
        <w:t xml:space="preserve">a variety of socio-economic and geo-demographic </w:t>
      </w:r>
      <w:r>
        <w:rPr>
          <w:sz w:val="24"/>
        </w:rPr>
        <w:t xml:space="preserve">groups that were </w:t>
      </w:r>
      <w:r w:rsidR="00CB03B6">
        <w:rPr>
          <w:sz w:val="24"/>
        </w:rPr>
        <w:t xml:space="preserve">generally </w:t>
      </w:r>
      <w:r w:rsidR="00CA6515">
        <w:rPr>
          <w:sz w:val="24"/>
        </w:rPr>
        <w:t xml:space="preserve">constructed </w:t>
      </w:r>
      <w:r w:rsidR="002C51A8">
        <w:rPr>
          <w:sz w:val="24"/>
        </w:rPr>
        <w:t xml:space="preserve">by government </w:t>
      </w:r>
      <w:r w:rsidR="00CA6515">
        <w:rPr>
          <w:sz w:val="24"/>
        </w:rPr>
        <w:t xml:space="preserve">as having </w:t>
      </w:r>
      <w:r w:rsidR="009B40CC">
        <w:rPr>
          <w:sz w:val="24"/>
        </w:rPr>
        <w:t xml:space="preserve">a </w:t>
      </w:r>
      <w:r w:rsidR="00CA6515">
        <w:rPr>
          <w:sz w:val="24"/>
        </w:rPr>
        <w:t>‘</w:t>
      </w:r>
      <w:r w:rsidR="009B40CC">
        <w:rPr>
          <w:sz w:val="24"/>
        </w:rPr>
        <w:t>poverty of aspirations’ that were preventing them from seeing education as a means of improving their lives (</w:t>
      </w:r>
      <w:r w:rsidR="00FD02BE">
        <w:rPr>
          <w:sz w:val="24"/>
        </w:rPr>
        <w:t xml:space="preserve">e.g. </w:t>
      </w:r>
      <w:r w:rsidR="0022521C">
        <w:rPr>
          <w:sz w:val="24"/>
        </w:rPr>
        <w:t>Department for Education and Employment</w:t>
      </w:r>
      <w:r w:rsidR="00FD02BE">
        <w:rPr>
          <w:sz w:val="24"/>
        </w:rPr>
        <w:t>,</w:t>
      </w:r>
      <w:r w:rsidR="009B40CC">
        <w:rPr>
          <w:sz w:val="24"/>
        </w:rPr>
        <w:t xml:space="preserve"> 2000; </w:t>
      </w:r>
      <w:r w:rsidR="008F3142">
        <w:rPr>
          <w:sz w:val="24"/>
        </w:rPr>
        <w:t>Department for Education and Skills</w:t>
      </w:r>
      <w:r w:rsidR="00FD02BE">
        <w:rPr>
          <w:sz w:val="24"/>
        </w:rPr>
        <w:t>,</w:t>
      </w:r>
      <w:r w:rsidR="009B40CC">
        <w:rPr>
          <w:sz w:val="24"/>
        </w:rPr>
        <w:t xml:space="preserve"> 2003</w:t>
      </w:r>
      <w:r w:rsidR="00FD02BE">
        <w:rPr>
          <w:sz w:val="24"/>
        </w:rPr>
        <w:t>a,b</w:t>
      </w:r>
      <w:r w:rsidR="009B40CC">
        <w:rPr>
          <w:sz w:val="24"/>
        </w:rPr>
        <w:t xml:space="preserve">).  </w:t>
      </w:r>
      <w:r w:rsidR="00637C2A">
        <w:rPr>
          <w:sz w:val="24"/>
        </w:rPr>
        <w:t>Within this deficit discourse, i</w:t>
      </w:r>
      <w:r w:rsidR="009B40CC">
        <w:rPr>
          <w:sz w:val="24"/>
        </w:rPr>
        <w:t>t was felt that these groups were likely to</w:t>
      </w:r>
      <w:r w:rsidR="00CA6515">
        <w:rPr>
          <w:sz w:val="24"/>
        </w:rPr>
        <w:t xml:space="preserve"> have negati</w:t>
      </w:r>
      <w:r w:rsidR="00FD02BE">
        <w:rPr>
          <w:sz w:val="24"/>
        </w:rPr>
        <w:t>ve perceptions about higher educ</w:t>
      </w:r>
      <w:r w:rsidR="00CA6515">
        <w:rPr>
          <w:sz w:val="24"/>
        </w:rPr>
        <w:t>ation,</w:t>
      </w:r>
      <w:r w:rsidR="009B40CC">
        <w:rPr>
          <w:sz w:val="24"/>
        </w:rPr>
        <w:t xml:space="preserve"> lack information about options and not to see HE as </w:t>
      </w:r>
      <w:r w:rsidR="00CA6515">
        <w:rPr>
          <w:sz w:val="24"/>
        </w:rPr>
        <w:t>an appropriate</w:t>
      </w:r>
      <w:r w:rsidR="009B40CC">
        <w:rPr>
          <w:sz w:val="24"/>
        </w:rPr>
        <w:t xml:space="preserve"> pathway, while being actively dissuaded by a variety of structu</w:t>
      </w:r>
      <w:r w:rsidR="004618E6">
        <w:rPr>
          <w:sz w:val="24"/>
        </w:rPr>
        <w:t>ral ‘barriers’ (Gorard et al</w:t>
      </w:r>
      <w:r w:rsidR="001C39EA">
        <w:rPr>
          <w:sz w:val="24"/>
        </w:rPr>
        <w:t>.</w:t>
      </w:r>
      <w:r w:rsidR="004618E6">
        <w:rPr>
          <w:sz w:val="24"/>
        </w:rPr>
        <w:t>, 2006</w:t>
      </w:r>
      <w:r w:rsidR="009B40CC">
        <w:rPr>
          <w:sz w:val="24"/>
        </w:rPr>
        <w:t>).</w:t>
      </w:r>
      <w:r w:rsidR="00E20E30">
        <w:rPr>
          <w:sz w:val="24"/>
        </w:rPr>
        <w:t xml:space="preserve">  </w:t>
      </w:r>
      <w:r w:rsidR="00EB5853">
        <w:rPr>
          <w:sz w:val="24"/>
        </w:rPr>
        <w:t>The</w:t>
      </w:r>
      <w:r w:rsidR="0060486D">
        <w:rPr>
          <w:sz w:val="24"/>
        </w:rPr>
        <w:t xml:space="preserve"> Strand 1 participants therefore described how t</w:t>
      </w:r>
      <w:r w:rsidR="009B40CC">
        <w:rPr>
          <w:sz w:val="24"/>
        </w:rPr>
        <w:t xml:space="preserve">he early Aimhigher period was marked by experimentation to determine a </w:t>
      </w:r>
      <w:r w:rsidR="002C51A8">
        <w:rPr>
          <w:sz w:val="24"/>
        </w:rPr>
        <w:t xml:space="preserve">successful </w:t>
      </w:r>
      <w:r w:rsidR="009B40CC">
        <w:rPr>
          <w:sz w:val="24"/>
        </w:rPr>
        <w:t xml:space="preserve">portfolio of activities that would </w:t>
      </w:r>
      <w:r w:rsidR="00B5463E">
        <w:rPr>
          <w:sz w:val="24"/>
        </w:rPr>
        <w:t xml:space="preserve">raise </w:t>
      </w:r>
      <w:r w:rsidR="009B40CC">
        <w:rPr>
          <w:sz w:val="24"/>
        </w:rPr>
        <w:t xml:space="preserve">aspirations </w:t>
      </w:r>
      <w:r w:rsidR="0060486D">
        <w:rPr>
          <w:sz w:val="24"/>
        </w:rPr>
        <w:t>(</w:t>
      </w:r>
      <w:r w:rsidR="002C51A8">
        <w:rPr>
          <w:sz w:val="24"/>
        </w:rPr>
        <w:t>see Moore and Dunworth, 2011 for examples of such activities</w:t>
      </w:r>
      <w:r w:rsidR="0060486D">
        <w:rPr>
          <w:sz w:val="24"/>
        </w:rPr>
        <w:t>)</w:t>
      </w:r>
      <w:r w:rsidR="009B40CC">
        <w:rPr>
          <w:sz w:val="24"/>
        </w:rPr>
        <w:t>.</w:t>
      </w:r>
    </w:p>
    <w:p w14:paraId="7975A702" w14:textId="77777777" w:rsidR="00E20E30" w:rsidRDefault="00E20E30" w:rsidP="00C74EDA">
      <w:pPr>
        <w:spacing w:line="480" w:lineRule="auto"/>
        <w:rPr>
          <w:sz w:val="24"/>
        </w:rPr>
      </w:pPr>
    </w:p>
    <w:p w14:paraId="75807936" w14:textId="0300C1A1" w:rsidR="000C2A44" w:rsidRDefault="00CB6750" w:rsidP="000C2A44">
      <w:pPr>
        <w:spacing w:line="480" w:lineRule="auto"/>
        <w:rPr>
          <w:sz w:val="24"/>
        </w:rPr>
      </w:pPr>
      <w:r>
        <w:rPr>
          <w:sz w:val="24"/>
        </w:rPr>
        <w:t>T</w:t>
      </w:r>
      <w:r w:rsidR="00EB5853">
        <w:rPr>
          <w:sz w:val="24"/>
        </w:rPr>
        <w:t>here was disagreement</w:t>
      </w:r>
      <w:r>
        <w:rPr>
          <w:sz w:val="24"/>
        </w:rPr>
        <w:t>, however,</w:t>
      </w:r>
      <w:r w:rsidR="00EB5853">
        <w:rPr>
          <w:sz w:val="24"/>
        </w:rPr>
        <w:t xml:space="preserve"> </w:t>
      </w:r>
      <w:r w:rsidR="00CB03B6">
        <w:rPr>
          <w:sz w:val="24"/>
        </w:rPr>
        <w:t>around</w:t>
      </w:r>
      <w:r w:rsidR="00EB5853">
        <w:rPr>
          <w:sz w:val="24"/>
        </w:rPr>
        <w:t xml:space="preserve"> the purpose of </w:t>
      </w:r>
      <w:r w:rsidR="000C2A44">
        <w:rPr>
          <w:sz w:val="24"/>
        </w:rPr>
        <w:t>raising aspirations</w:t>
      </w:r>
      <w:r w:rsidR="00EB5853">
        <w:rPr>
          <w:sz w:val="24"/>
        </w:rPr>
        <w:t>.  For some</w:t>
      </w:r>
      <w:r w:rsidR="00680D7F">
        <w:rPr>
          <w:sz w:val="24"/>
        </w:rPr>
        <w:t xml:space="preserve"> Strand 1 participants</w:t>
      </w:r>
      <w:r w:rsidR="00EB5853">
        <w:rPr>
          <w:sz w:val="24"/>
        </w:rPr>
        <w:t xml:space="preserve">, it was an end in itself and they saw Aimhigher’s role as providing </w:t>
      </w:r>
      <w:r w:rsidR="000C2A44">
        <w:rPr>
          <w:sz w:val="24"/>
        </w:rPr>
        <w:t xml:space="preserve">inspirational </w:t>
      </w:r>
      <w:r w:rsidR="00EB5853">
        <w:rPr>
          <w:sz w:val="24"/>
        </w:rPr>
        <w:t>experiences outside of the school curriculum to enable prospective students to overcome these social, economic and cultural barriers</w:t>
      </w:r>
      <w:r w:rsidR="00BE7728">
        <w:rPr>
          <w:sz w:val="24"/>
        </w:rPr>
        <w:t xml:space="preserve">, while attainment was </w:t>
      </w:r>
      <w:r w:rsidR="00107840">
        <w:rPr>
          <w:sz w:val="24"/>
        </w:rPr>
        <w:t xml:space="preserve">constructed as </w:t>
      </w:r>
      <w:r w:rsidR="00BE7728">
        <w:rPr>
          <w:sz w:val="24"/>
        </w:rPr>
        <w:t>a concern for schools or other organisations</w:t>
      </w:r>
      <w:r w:rsidR="00EB5853">
        <w:rPr>
          <w:sz w:val="24"/>
        </w:rPr>
        <w:t xml:space="preserve">.  Others had seen aspiration-raising </w:t>
      </w:r>
      <w:r w:rsidR="00F25A17">
        <w:rPr>
          <w:sz w:val="24"/>
        </w:rPr>
        <w:t xml:space="preserve">in a </w:t>
      </w:r>
      <w:r w:rsidR="003809F4">
        <w:rPr>
          <w:sz w:val="24"/>
        </w:rPr>
        <w:t xml:space="preserve">reciprocal </w:t>
      </w:r>
      <w:r w:rsidR="00F25A17">
        <w:rPr>
          <w:sz w:val="24"/>
        </w:rPr>
        <w:t>ca</w:t>
      </w:r>
      <w:r w:rsidR="00CB03B6">
        <w:rPr>
          <w:sz w:val="24"/>
        </w:rPr>
        <w:t>u</w:t>
      </w:r>
      <w:r w:rsidR="00F25A17">
        <w:rPr>
          <w:sz w:val="24"/>
        </w:rPr>
        <w:t>s</w:t>
      </w:r>
      <w:r w:rsidR="00CB03B6">
        <w:rPr>
          <w:sz w:val="24"/>
        </w:rPr>
        <w:t>al relationship</w:t>
      </w:r>
      <w:r w:rsidR="00EB5853">
        <w:rPr>
          <w:sz w:val="24"/>
        </w:rPr>
        <w:t xml:space="preserve"> with attainment, such that more positive attitudes towards higher education would fire motivation to work harder and to accumulate the essential credentials that provide a pathway to higher education</w:t>
      </w:r>
      <w:r w:rsidR="000C2A44">
        <w:rPr>
          <w:sz w:val="24"/>
        </w:rPr>
        <w:t>.</w:t>
      </w:r>
      <w:r w:rsidR="000C2A44" w:rsidRPr="000C2A44">
        <w:rPr>
          <w:sz w:val="24"/>
        </w:rPr>
        <w:t xml:space="preserve"> </w:t>
      </w:r>
      <w:r w:rsidR="000C2A44">
        <w:rPr>
          <w:sz w:val="24"/>
        </w:rPr>
        <w:t xml:space="preserve"> Similarly, improved school results made new opportunities appear achievable and increased aspirations further still.  Of this group of Strand 1 participants, some were explicit about this mutually reinforcing relationship, while others conceptualised it more in terms of aspirations and attainment being intertwined missions for Aimhigher.  Indeed, there was a clear shift in the language used within Aimhigher policy documents from a focus on aspirations to attainment (</w:t>
      </w:r>
      <w:r w:rsidR="0085322D" w:rsidRPr="0085322D">
        <w:rPr>
          <w:sz w:val="24"/>
        </w:rPr>
        <w:t>Harrison, 2012</w:t>
      </w:r>
      <w:r w:rsidR="000C2A44">
        <w:rPr>
          <w:sz w:val="24"/>
        </w:rPr>
        <w:t>).</w:t>
      </w:r>
    </w:p>
    <w:p w14:paraId="3A9E9928" w14:textId="16091875" w:rsidR="00E72624" w:rsidRDefault="00E72624" w:rsidP="00C74EDA">
      <w:pPr>
        <w:spacing w:line="480" w:lineRule="auto"/>
        <w:rPr>
          <w:sz w:val="24"/>
        </w:rPr>
      </w:pPr>
    </w:p>
    <w:p w14:paraId="71665551" w14:textId="6B6B74A4" w:rsidR="00EB5853" w:rsidRDefault="00BE7728" w:rsidP="00C74EDA">
      <w:pPr>
        <w:spacing w:line="480" w:lineRule="auto"/>
        <w:rPr>
          <w:sz w:val="24"/>
        </w:rPr>
      </w:pPr>
      <w:r>
        <w:rPr>
          <w:sz w:val="24"/>
        </w:rPr>
        <w:t xml:space="preserve">A </w:t>
      </w:r>
      <w:r w:rsidR="0079357F">
        <w:rPr>
          <w:sz w:val="24"/>
        </w:rPr>
        <w:t>common prerequisite for</w:t>
      </w:r>
      <w:r>
        <w:rPr>
          <w:sz w:val="24"/>
        </w:rPr>
        <w:t xml:space="preserve"> success </w:t>
      </w:r>
      <w:r w:rsidR="000C2A44">
        <w:rPr>
          <w:sz w:val="24"/>
        </w:rPr>
        <w:t xml:space="preserve">described by </w:t>
      </w:r>
      <w:r>
        <w:rPr>
          <w:sz w:val="24"/>
        </w:rPr>
        <w:t>Strand 1 participants was the need to engage with younger age groups</w:t>
      </w:r>
      <w:r w:rsidR="000C2A44">
        <w:rPr>
          <w:sz w:val="24"/>
        </w:rPr>
        <w:t>,</w:t>
      </w:r>
      <w:r>
        <w:rPr>
          <w:sz w:val="24"/>
        </w:rPr>
        <w:t xml:space="preserve"> given the </w:t>
      </w:r>
      <w:r w:rsidR="000C2A44">
        <w:rPr>
          <w:sz w:val="24"/>
        </w:rPr>
        <w:t xml:space="preserve">pervasive and </w:t>
      </w:r>
      <w:r>
        <w:rPr>
          <w:sz w:val="24"/>
        </w:rPr>
        <w:t>ingrained nature of educational disadvantage:</w:t>
      </w:r>
    </w:p>
    <w:p w14:paraId="7DE3F0B2" w14:textId="77777777" w:rsidR="00BE7728" w:rsidRDefault="00BE7728" w:rsidP="00C74EDA">
      <w:pPr>
        <w:spacing w:line="480" w:lineRule="auto"/>
        <w:rPr>
          <w:sz w:val="24"/>
        </w:rPr>
      </w:pPr>
    </w:p>
    <w:p w14:paraId="2C95C8A3" w14:textId="77777777" w:rsidR="00BE7728" w:rsidRDefault="00BE7728" w:rsidP="00C74EDA">
      <w:pPr>
        <w:spacing w:line="480" w:lineRule="auto"/>
        <w:ind w:left="720"/>
        <w:rPr>
          <w:sz w:val="24"/>
        </w:rPr>
      </w:pPr>
      <w:r>
        <w:rPr>
          <w:i/>
          <w:sz w:val="24"/>
        </w:rPr>
        <w:t>“</w:t>
      </w:r>
      <w:r w:rsidRPr="008C4A7B">
        <w:rPr>
          <w:i/>
          <w:sz w:val="24"/>
        </w:rPr>
        <w:t>It wasn’t even good enough to go and work with some 13-plus kids – a lot of these things that you’re dealing with are so deeply embedded that you need to be doing things from the very earliest years in primary school and maybe even before that.”</w:t>
      </w:r>
    </w:p>
    <w:p w14:paraId="093EE551" w14:textId="77777777" w:rsidR="00BE7728" w:rsidRDefault="00BE7728" w:rsidP="00C74EDA">
      <w:pPr>
        <w:spacing w:line="480" w:lineRule="auto"/>
        <w:rPr>
          <w:sz w:val="24"/>
        </w:rPr>
      </w:pPr>
    </w:p>
    <w:p w14:paraId="32F41C84" w14:textId="398F4E71" w:rsidR="0060486D" w:rsidRDefault="00BE7728" w:rsidP="000C2A44">
      <w:pPr>
        <w:spacing w:line="480" w:lineRule="auto"/>
        <w:rPr>
          <w:sz w:val="24"/>
        </w:rPr>
      </w:pPr>
      <w:r>
        <w:rPr>
          <w:sz w:val="24"/>
        </w:rPr>
        <w:lastRenderedPageBreak/>
        <w:t xml:space="preserve">This was seen as key area of activity for several Strand 1 participants, </w:t>
      </w:r>
      <w:r w:rsidR="0079357F">
        <w:rPr>
          <w:sz w:val="24"/>
        </w:rPr>
        <w:t>with some describing</w:t>
      </w:r>
      <w:r>
        <w:rPr>
          <w:sz w:val="24"/>
        </w:rPr>
        <w:t xml:space="preserve"> work with primary schools to broaden horizons </w:t>
      </w:r>
      <w:r w:rsidR="00596C55">
        <w:rPr>
          <w:sz w:val="24"/>
        </w:rPr>
        <w:t>around</w:t>
      </w:r>
      <w:r>
        <w:rPr>
          <w:sz w:val="24"/>
        </w:rPr>
        <w:t xml:space="preserve"> graduate careers through storytelling </w:t>
      </w:r>
      <w:r w:rsidR="00596C55">
        <w:rPr>
          <w:sz w:val="24"/>
        </w:rPr>
        <w:t xml:space="preserve">projects </w:t>
      </w:r>
      <w:r>
        <w:rPr>
          <w:sz w:val="24"/>
        </w:rPr>
        <w:t>and engagement of student mentors from their own communities</w:t>
      </w:r>
      <w:r w:rsidR="003809F4">
        <w:rPr>
          <w:sz w:val="24"/>
        </w:rPr>
        <w:t>.</w:t>
      </w:r>
    </w:p>
    <w:p w14:paraId="59F6BD28" w14:textId="77777777" w:rsidR="00C4592C" w:rsidRDefault="00C4592C" w:rsidP="00C74EDA">
      <w:pPr>
        <w:spacing w:line="480" w:lineRule="auto"/>
        <w:rPr>
          <w:sz w:val="24"/>
        </w:rPr>
      </w:pPr>
    </w:p>
    <w:p w14:paraId="67B2B9E1" w14:textId="691F22AF" w:rsidR="002F4B07" w:rsidRDefault="00303AAE" w:rsidP="00C74EDA">
      <w:pPr>
        <w:spacing w:line="480" w:lineRule="auto"/>
        <w:rPr>
          <w:sz w:val="24"/>
        </w:rPr>
      </w:pPr>
      <w:r>
        <w:rPr>
          <w:sz w:val="24"/>
        </w:rPr>
        <w:t>Th</w:t>
      </w:r>
      <w:r w:rsidR="000606C7">
        <w:rPr>
          <w:sz w:val="24"/>
        </w:rPr>
        <w:t>e</w:t>
      </w:r>
      <w:r>
        <w:rPr>
          <w:sz w:val="24"/>
        </w:rPr>
        <w:t xml:space="preserve"> </w:t>
      </w:r>
      <w:r w:rsidR="000606C7">
        <w:rPr>
          <w:sz w:val="24"/>
        </w:rPr>
        <w:t>tension</w:t>
      </w:r>
      <w:r>
        <w:rPr>
          <w:sz w:val="24"/>
        </w:rPr>
        <w:t xml:space="preserve"> between aspiration and attainment is also seen clearly within the Strand 2 data.  Participants were asked to </w:t>
      </w:r>
      <w:r w:rsidR="000C2A44">
        <w:rPr>
          <w:sz w:val="24"/>
        </w:rPr>
        <w:t xml:space="preserve">rate </w:t>
      </w:r>
      <w:r>
        <w:rPr>
          <w:sz w:val="24"/>
        </w:rPr>
        <w:t xml:space="preserve">how successful </w:t>
      </w:r>
      <w:r w:rsidR="000C2A44">
        <w:rPr>
          <w:sz w:val="24"/>
        </w:rPr>
        <w:t xml:space="preserve">they felt </w:t>
      </w:r>
      <w:r>
        <w:rPr>
          <w:sz w:val="24"/>
        </w:rPr>
        <w:t xml:space="preserve">their activities </w:t>
      </w:r>
      <w:r w:rsidR="000C2A44">
        <w:rPr>
          <w:sz w:val="24"/>
        </w:rPr>
        <w:t xml:space="preserve">had been </w:t>
      </w:r>
      <w:r>
        <w:rPr>
          <w:sz w:val="24"/>
        </w:rPr>
        <w:t>across a range of possible measures of impact</w:t>
      </w:r>
      <w:r w:rsidR="003809F4">
        <w:rPr>
          <w:sz w:val="24"/>
        </w:rPr>
        <w:t xml:space="preserve"> on a four-point scale (very successful/quite successful/rather unsuccessful/not applicable)</w:t>
      </w:r>
      <w:r>
        <w:rPr>
          <w:sz w:val="24"/>
        </w:rPr>
        <w:t xml:space="preserve">.  </w:t>
      </w:r>
      <w:r w:rsidR="0082051F">
        <w:rPr>
          <w:sz w:val="24"/>
        </w:rPr>
        <w:t>They</w:t>
      </w:r>
      <w:r>
        <w:rPr>
          <w:sz w:val="24"/>
        </w:rPr>
        <w:t xml:space="preserve"> were generally confident with respect to </w:t>
      </w:r>
      <w:r w:rsidR="0082051F">
        <w:rPr>
          <w:sz w:val="24"/>
        </w:rPr>
        <w:t xml:space="preserve">increasing </w:t>
      </w:r>
      <w:r>
        <w:rPr>
          <w:sz w:val="24"/>
        </w:rPr>
        <w:t xml:space="preserve">knowledge, </w:t>
      </w:r>
      <w:r w:rsidR="0082051F">
        <w:rPr>
          <w:sz w:val="24"/>
        </w:rPr>
        <w:t xml:space="preserve">raising </w:t>
      </w:r>
      <w:r>
        <w:rPr>
          <w:sz w:val="24"/>
        </w:rPr>
        <w:t>aspirations and challenging stereotypes about higher education</w:t>
      </w:r>
      <w:r w:rsidR="0082051F">
        <w:rPr>
          <w:sz w:val="24"/>
        </w:rPr>
        <w:t>, with over 50 percent believing that their institution had been very successful</w:t>
      </w:r>
      <w:r>
        <w:rPr>
          <w:sz w:val="24"/>
        </w:rPr>
        <w:t xml:space="preserve">.  However, very few felt that they had </w:t>
      </w:r>
      <w:r w:rsidR="002443FE">
        <w:rPr>
          <w:sz w:val="24"/>
        </w:rPr>
        <w:t xml:space="preserve">had similar impact </w:t>
      </w:r>
      <w:r>
        <w:rPr>
          <w:sz w:val="24"/>
        </w:rPr>
        <w:t>in terms of raising attainm</w:t>
      </w:r>
      <w:r w:rsidR="000606C7">
        <w:rPr>
          <w:sz w:val="24"/>
        </w:rPr>
        <w:t xml:space="preserve">ent at either </w:t>
      </w:r>
      <w:r w:rsidR="000C7AD4">
        <w:rPr>
          <w:sz w:val="24"/>
        </w:rPr>
        <w:t xml:space="preserve">16 or 18 </w:t>
      </w:r>
      <w:r w:rsidR="002443FE">
        <w:rPr>
          <w:sz w:val="24"/>
        </w:rPr>
        <w:t>– just 2 percent and 4 percent respectively</w:t>
      </w:r>
      <w:r w:rsidR="003809F4">
        <w:rPr>
          <w:sz w:val="24"/>
        </w:rPr>
        <w:t>, and Colleges in both instances</w:t>
      </w:r>
      <w:r>
        <w:rPr>
          <w:sz w:val="24"/>
        </w:rPr>
        <w:t>.  In fact, 38 percent</w:t>
      </w:r>
      <w:r w:rsidR="004F4599" w:rsidRPr="00303AAE">
        <w:rPr>
          <w:sz w:val="24"/>
        </w:rPr>
        <w:t xml:space="preserve"> felt that their institution was not concerned wit</w:t>
      </w:r>
      <w:r>
        <w:rPr>
          <w:sz w:val="24"/>
        </w:rPr>
        <w:t xml:space="preserve">h improving results at </w:t>
      </w:r>
      <w:r w:rsidR="000C7AD4">
        <w:rPr>
          <w:sz w:val="24"/>
        </w:rPr>
        <w:t xml:space="preserve">16 </w:t>
      </w:r>
      <w:r>
        <w:rPr>
          <w:sz w:val="24"/>
        </w:rPr>
        <w:t>and 26 percent</w:t>
      </w:r>
      <w:r w:rsidR="004F4599" w:rsidRPr="00303AAE">
        <w:rPr>
          <w:sz w:val="24"/>
        </w:rPr>
        <w:t xml:space="preserve"> held the same view about </w:t>
      </w:r>
      <w:r w:rsidR="000C7AD4">
        <w:rPr>
          <w:sz w:val="24"/>
        </w:rPr>
        <w:t>18</w:t>
      </w:r>
      <w:r w:rsidR="001D6066">
        <w:rPr>
          <w:sz w:val="24"/>
        </w:rPr>
        <w:t xml:space="preserve">; </w:t>
      </w:r>
      <w:r w:rsidR="00B61144">
        <w:rPr>
          <w:sz w:val="24"/>
        </w:rPr>
        <w:t>these outcomes</w:t>
      </w:r>
      <w:r>
        <w:rPr>
          <w:sz w:val="24"/>
        </w:rPr>
        <w:t xml:space="preserve"> were </w:t>
      </w:r>
      <w:r w:rsidR="001D6066">
        <w:rPr>
          <w:sz w:val="24"/>
        </w:rPr>
        <w:t xml:space="preserve">simply </w:t>
      </w:r>
      <w:r>
        <w:rPr>
          <w:sz w:val="24"/>
        </w:rPr>
        <w:t>cons</w:t>
      </w:r>
      <w:r w:rsidR="00B61144">
        <w:rPr>
          <w:sz w:val="24"/>
        </w:rPr>
        <w:t>tructed as being out-of-scope for their portfolio of activities</w:t>
      </w:r>
      <w:r w:rsidR="000C7AD4">
        <w:rPr>
          <w:sz w:val="24"/>
        </w:rPr>
        <w:t xml:space="preserve">, with little difference </w:t>
      </w:r>
      <w:r w:rsidR="003809F4">
        <w:rPr>
          <w:sz w:val="24"/>
        </w:rPr>
        <w:t xml:space="preserve">in responses </w:t>
      </w:r>
      <w:r w:rsidR="000C7AD4">
        <w:rPr>
          <w:sz w:val="24"/>
        </w:rPr>
        <w:t>between institutional types</w:t>
      </w:r>
      <w:r w:rsidR="00B61144">
        <w:rPr>
          <w:sz w:val="24"/>
        </w:rPr>
        <w:t>.</w:t>
      </w:r>
    </w:p>
    <w:p w14:paraId="4E91E90B" w14:textId="77777777" w:rsidR="002F4B07" w:rsidRDefault="002F4B07" w:rsidP="00C74EDA">
      <w:pPr>
        <w:spacing w:line="480" w:lineRule="auto"/>
        <w:rPr>
          <w:sz w:val="24"/>
        </w:rPr>
      </w:pPr>
    </w:p>
    <w:p w14:paraId="4EA631F2" w14:textId="578BBF0B" w:rsidR="00E30BE8" w:rsidRDefault="000C2A44" w:rsidP="00C74EDA">
      <w:pPr>
        <w:spacing w:line="480" w:lineRule="auto"/>
        <w:rPr>
          <w:sz w:val="24"/>
        </w:rPr>
      </w:pPr>
      <w:r>
        <w:rPr>
          <w:sz w:val="24"/>
        </w:rPr>
        <w:t>This tension, therefore, remains unresolved</w:t>
      </w:r>
      <w:r w:rsidR="0041708D">
        <w:rPr>
          <w:sz w:val="24"/>
        </w:rPr>
        <w:t xml:space="preserve">.  On the one hand, </w:t>
      </w:r>
      <w:r>
        <w:rPr>
          <w:sz w:val="24"/>
        </w:rPr>
        <w:t xml:space="preserve">quantitative </w:t>
      </w:r>
      <w:r w:rsidR="00147AFD">
        <w:rPr>
          <w:sz w:val="24"/>
        </w:rPr>
        <w:t>analysis suggests</w:t>
      </w:r>
      <w:r w:rsidR="0041708D">
        <w:rPr>
          <w:sz w:val="24"/>
        </w:rPr>
        <w:t xml:space="preserve"> that </w:t>
      </w:r>
      <w:r>
        <w:rPr>
          <w:sz w:val="24"/>
        </w:rPr>
        <w:t>attainment is</w:t>
      </w:r>
      <w:r w:rsidR="0041708D">
        <w:rPr>
          <w:sz w:val="24"/>
        </w:rPr>
        <w:t xml:space="preserve"> the key determinants of higher education </w:t>
      </w:r>
      <w:r w:rsidR="000606C7">
        <w:rPr>
          <w:sz w:val="24"/>
        </w:rPr>
        <w:t>participation (</w:t>
      </w:r>
      <w:r w:rsidR="002C51A8">
        <w:rPr>
          <w:sz w:val="24"/>
        </w:rPr>
        <w:t>e.g. Crawford, 2014</w:t>
      </w:r>
      <w:r w:rsidR="000606C7">
        <w:rPr>
          <w:sz w:val="24"/>
        </w:rPr>
        <w:t>)</w:t>
      </w:r>
      <w:r w:rsidR="00147AFD">
        <w:rPr>
          <w:sz w:val="24"/>
        </w:rPr>
        <w:t xml:space="preserve">, while </w:t>
      </w:r>
      <w:r w:rsidR="000606C7">
        <w:rPr>
          <w:sz w:val="24"/>
        </w:rPr>
        <w:t xml:space="preserve">there is mounting evidence </w:t>
      </w:r>
      <w:r w:rsidR="0041708D">
        <w:rPr>
          <w:sz w:val="24"/>
        </w:rPr>
        <w:t xml:space="preserve">that disadvantaged young people do not suffer from the low aspirations </w:t>
      </w:r>
      <w:r w:rsidR="000606C7">
        <w:rPr>
          <w:sz w:val="24"/>
        </w:rPr>
        <w:t>ascribed</w:t>
      </w:r>
      <w:r w:rsidR="0041708D">
        <w:rPr>
          <w:sz w:val="24"/>
        </w:rPr>
        <w:t xml:space="preserve"> to them </w:t>
      </w:r>
      <w:r w:rsidR="000606C7">
        <w:rPr>
          <w:sz w:val="24"/>
        </w:rPr>
        <w:t>in</w:t>
      </w:r>
      <w:r w:rsidR="0041708D">
        <w:rPr>
          <w:sz w:val="24"/>
        </w:rPr>
        <w:t xml:space="preserve"> the public discourse</w:t>
      </w:r>
      <w:r w:rsidR="000606C7">
        <w:rPr>
          <w:sz w:val="24"/>
        </w:rPr>
        <w:t xml:space="preserve"> (</w:t>
      </w:r>
      <w:r w:rsidR="00B85B31">
        <w:rPr>
          <w:sz w:val="24"/>
        </w:rPr>
        <w:t xml:space="preserve">Whitty, Hayton and </w:t>
      </w:r>
      <w:r w:rsidR="00C80060">
        <w:rPr>
          <w:sz w:val="24"/>
        </w:rPr>
        <w:t>Tang, 2015</w:t>
      </w:r>
      <w:r w:rsidR="000606C7">
        <w:rPr>
          <w:sz w:val="24"/>
        </w:rPr>
        <w:t>)</w:t>
      </w:r>
      <w:r w:rsidR="0041708D">
        <w:rPr>
          <w:sz w:val="24"/>
        </w:rPr>
        <w:t xml:space="preserve">.  On the other hand, </w:t>
      </w:r>
      <w:r w:rsidR="00E30BE8">
        <w:rPr>
          <w:sz w:val="24"/>
        </w:rPr>
        <w:t xml:space="preserve">the majority of </w:t>
      </w:r>
      <w:r w:rsidR="00461AAC">
        <w:rPr>
          <w:sz w:val="24"/>
        </w:rPr>
        <w:t xml:space="preserve">institutions </w:t>
      </w:r>
      <w:r w:rsidR="000C7AD4">
        <w:rPr>
          <w:sz w:val="24"/>
        </w:rPr>
        <w:t>reported</w:t>
      </w:r>
      <w:r w:rsidR="00461AAC">
        <w:rPr>
          <w:sz w:val="24"/>
        </w:rPr>
        <w:t xml:space="preserve"> focus</w:t>
      </w:r>
      <w:r w:rsidR="000C7AD4">
        <w:rPr>
          <w:sz w:val="24"/>
        </w:rPr>
        <w:t>ing</w:t>
      </w:r>
      <w:r w:rsidR="00461AAC">
        <w:rPr>
          <w:sz w:val="24"/>
        </w:rPr>
        <w:t xml:space="preserve"> on a relatively restricted range of aspiration-raising activities</w:t>
      </w:r>
      <w:r w:rsidR="00E70A6D">
        <w:rPr>
          <w:sz w:val="24"/>
        </w:rPr>
        <w:t xml:space="preserve">, with many seeing attainment-raising as being </w:t>
      </w:r>
      <w:r w:rsidR="00293EB4">
        <w:rPr>
          <w:sz w:val="24"/>
        </w:rPr>
        <w:t xml:space="preserve">explicitly </w:t>
      </w:r>
      <w:r w:rsidR="00E70A6D">
        <w:rPr>
          <w:sz w:val="24"/>
        </w:rPr>
        <w:t xml:space="preserve">outside their mission.  Indeed, </w:t>
      </w:r>
      <w:r w:rsidR="002443FE">
        <w:rPr>
          <w:sz w:val="24"/>
        </w:rPr>
        <w:t xml:space="preserve">it is unclear </w:t>
      </w:r>
      <w:r w:rsidR="000606C7">
        <w:rPr>
          <w:sz w:val="24"/>
        </w:rPr>
        <w:t xml:space="preserve">that aspirational gains </w:t>
      </w:r>
      <w:r w:rsidR="000606C7">
        <w:rPr>
          <w:sz w:val="24"/>
        </w:rPr>
        <w:lastRenderedPageBreak/>
        <w:t xml:space="preserve">translate </w:t>
      </w:r>
      <w:r w:rsidR="00E70A6D">
        <w:rPr>
          <w:sz w:val="24"/>
        </w:rPr>
        <w:t xml:space="preserve">simply </w:t>
      </w:r>
      <w:r w:rsidR="000606C7">
        <w:rPr>
          <w:sz w:val="24"/>
        </w:rPr>
        <w:t>into improved attainment</w:t>
      </w:r>
      <w:r w:rsidR="00E70A6D">
        <w:rPr>
          <w:sz w:val="24"/>
        </w:rPr>
        <w:t xml:space="preserve">, which may explain the </w:t>
      </w:r>
      <w:r w:rsidR="00147AFD">
        <w:rPr>
          <w:sz w:val="24"/>
        </w:rPr>
        <w:t>low</w:t>
      </w:r>
      <w:r w:rsidR="00E70A6D">
        <w:rPr>
          <w:sz w:val="24"/>
        </w:rPr>
        <w:t xml:space="preserve"> confidence </w:t>
      </w:r>
      <w:r w:rsidR="002443FE">
        <w:rPr>
          <w:sz w:val="24"/>
        </w:rPr>
        <w:t>from the Strand 2 participants</w:t>
      </w:r>
      <w:r w:rsidR="003006C8">
        <w:rPr>
          <w:sz w:val="24"/>
        </w:rPr>
        <w:t>; Gorard and See (2013, p.128) conclude from their systematic review that ‘there is insufficient evidence for a causal link to justify any intervention to raise aspirations in order to raise attainment’.</w:t>
      </w:r>
    </w:p>
    <w:p w14:paraId="58D700C8" w14:textId="77777777" w:rsidR="00760748" w:rsidRDefault="00760748" w:rsidP="00C74EDA">
      <w:pPr>
        <w:spacing w:line="480" w:lineRule="auto"/>
        <w:rPr>
          <w:sz w:val="24"/>
        </w:rPr>
      </w:pPr>
    </w:p>
    <w:p w14:paraId="4B45D9C3" w14:textId="77777777" w:rsidR="00760748" w:rsidRPr="00AB3714" w:rsidRDefault="00147AFD" w:rsidP="00C74EDA">
      <w:pPr>
        <w:spacing w:line="480" w:lineRule="auto"/>
        <w:rPr>
          <w:sz w:val="24"/>
        </w:rPr>
      </w:pPr>
      <w:r>
        <w:rPr>
          <w:sz w:val="24"/>
        </w:rPr>
        <w:t>T</w:t>
      </w:r>
      <w:r w:rsidR="00760748">
        <w:rPr>
          <w:sz w:val="24"/>
        </w:rPr>
        <w:t>he activities described as successful by Strand 2 participants tended to have a strong overlap with more traditional marke</w:t>
      </w:r>
      <w:r w:rsidR="007F5441">
        <w:rPr>
          <w:sz w:val="24"/>
        </w:rPr>
        <w:t>ting and recruitment activity</w:t>
      </w:r>
      <w:r w:rsidR="00A60865">
        <w:rPr>
          <w:sz w:val="24"/>
        </w:rPr>
        <w:t xml:space="preserve">, including taster days and school visits.  In many instances, the balance between raising aspirations for higher education and for individual institutions was unclear.  Interestingly, two Strand 1 participants </w:t>
      </w:r>
      <w:r>
        <w:rPr>
          <w:sz w:val="24"/>
        </w:rPr>
        <w:t>had reflected on the</w:t>
      </w:r>
      <w:r w:rsidR="00A60865">
        <w:rPr>
          <w:sz w:val="24"/>
        </w:rPr>
        <w:t xml:space="preserve"> dangers </w:t>
      </w:r>
      <w:r>
        <w:rPr>
          <w:sz w:val="24"/>
        </w:rPr>
        <w:t>of the</w:t>
      </w:r>
      <w:r w:rsidR="00AB3714">
        <w:rPr>
          <w:sz w:val="24"/>
        </w:rPr>
        <w:t xml:space="preserve"> almost inevitable competition</w:t>
      </w:r>
      <w:r w:rsidR="000F4F16">
        <w:rPr>
          <w:sz w:val="24"/>
        </w:rPr>
        <w:t xml:space="preserve"> between institutions for students targeted by WP activities:</w:t>
      </w:r>
    </w:p>
    <w:p w14:paraId="51BFF743" w14:textId="77777777" w:rsidR="00D4401D" w:rsidRDefault="00D4401D" w:rsidP="00C74EDA">
      <w:pPr>
        <w:spacing w:line="480" w:lineRule="auto"/>
        <w:rPr>
          <w:i/>
          <w:sz w:val="24"/>
        </w:rPr>
      </w:pPr>
    </w:p>
    <w:p w14:paraId="4C7DB4FC" w14:textId="77777777" w:rsidR="00D4401D" w:rsidRPr="00D4401D" w:rsidRDefault="00D4401D" w:rsidP="00C74EDA">
      <w:pPr>
        <w:spacing w:line="480" w:lineRule="auto"/>
        <w:ind w:left="720"/>
        <w:rPr>
          <w:i/>
          <w:sz w:val="24"/>
          <w:szCs w:val="24"/>
        </w:rPr>
      </w:pPr>
      <w:r>
        <w:rPr>
          <w:i/>
          <w:sz w:val="24"/>
          <w:szCs w:val="24"/>
        </w:rPr>
        <w:t>“</w:t>
      </w:r>
      <w:r w:rsidRPr="001B6F65">
        <w:rPr>
          <w:i/>
          <w:sz w:val="24"/>
          <w:szCs w:val="24"/>
        </w:rPr>
        <w:t xml:space="preserve">It </w:t>
      </w:r>
      <w:r>
        <w:rPr>
          <w:i/>
          <w:sz w:val="24"/>
          <w:szCs w:val="24"/>
        </w:rPr>
        <w:t xml:space="preserve">[aspiration-raising] </w:t>
      </w:r>
      <w:r w:rsidRPr="001B6F65">
        <w:rPr>
          <w:i/>
          <w:sz w:val="24"/>
          <w:szCs w:val="24"/>
        </w:rPr>
        <w:t>often became more of a recruitment activity with universities trying to prove why it was better to come to them than</w:t>
      </w:r>
      <w:r>
        <w:rPr>
          <w:i/>
          <w:sz w:val="24"/>
          <w:szCs w:val="24"/>
        </w:rPr>
        <w:t xml:space="preserve"> the one down the road.”</w:t>
      </w:r>
    </w:p>
    <w:p w14:paraId="0D94F3C1" w14:textId="77777777" w:rsidR="00D4401D" w:rsidRDefault="00D4401D" w:rsidP="00C74EDA">
      <w:pPr>
        <w:spacing w:line="480" w:lineRule="auto"/>
        <w:ind w:left="720"/>
        <w:rPr>
          <w:i/>
          <w:sz w:val="24"/>
        </w:rPr>
      </w:pPr>
    </w:p>
    <w:p w14:paraId="2657DC2D" w14:textId="77777777" w:rsidR="00760748" w:rsidRDefault="00760748" w:rsidP="00C74EDA">
      <w:pPr>
        <w:spacing w:line="480" w:lineRule="auto"/>
        <w:ind w:left="720"/>
        <w:rPr>
          <w:sz w:val="24"/>
        </w:rPr>
      </w:pPr>
      <w:r w:rsidRPr="007F5441">
        <w:rPr>
          <w:i/>
          <w:sz w:val="24"/>
        </w:rPr>
        <w:t xml:space="preserve">“I think that if you </w:t>
      </w:r>
      <w:r w:rsidR="007F5441" w:rsidRPr="007F5441">
        <w:rPr>
          <w:i/>
          <w:sz w:val="24"/>
        </w:rPr>
        <w:t>[…]</w:t>
      </w:r>
      <w:r w:rsidRPr="007F5441">
        <w:rPr>
          <w:i/>
          <w:sz w:val="24"/>
        </w:rPr>
        <w:t xml:space="preserve"> have several institutions falling over each other to do the same thing, then the chances are, you know, that it’s hardly going to motivate and it will actually become demotivating.”</w:t>
      </w:r>
    </w:p>
    <w:p w14:paraId="13A67282" w14:textId="77777777" w:rsidR="00AB3714" w:rsidRDefault="00AB3714" w:rsidP="00C74EDA">
      <w:pPr>
        <w:spacing w:line="480" w:lineRule="auto"/>
        <w:rPr>
          <w:sz w:val="24"/>
        </w:rPr>
      </w:pPr>
    </w:p>
    <w:p w14:paraId="738395A1" w14:textId="4628310C" w:rsidR="00AB3714" w:rsidRDefault="003809F4" w:rsidP="00C74EDA">
      <w:pPr>
        <w:spacing w:line="480" w:lineRule="auto"/>
        <w:rPr>
          <w:sz w:val="24"/>
        </w:rPr>
      </w:pPr>
      <w:r>
        <w:rPr>
          <w:sz w:val="24"/>
        </w:rPr>
        <w:t>There is, therefore, a</w:t>
      </w:r>
      <w:r w:rsidR="00AB3714">
        <w:rPr>
          <w:sz w:val="24"/>
        </w:rPr>
        <w:t xml:space="preserve"> risk that contemporary efforts will fail to influence the size of the overall pool of potential applicants and simply serve to reorganise the allocation of those already </w:t>
      </w:r>
      <w:r w:rsidR="00AB3714" w:rsidRPr="00A91928">
        <w:rPr>
          <w:i/>
          <w:sz w:val="24"/>
        </w:rPr>
        <w:t>en route</w:t>
      </w:r>
      <w:r w:rsidR="00147AFD">
        <w:rPr>
          <w:sz w:val="24"/>
        </w:rPr>
        <w:t xml:space="preserve"> to higher education; </w:t>
      </w:r>
      <w:r w:rsidR="00F968FB">
        <w:rPr>
          <w:sz w:val="24"/>
        </w:rPr>
        <w:t xml:space="preserve">in other words, </w:t>
      </w:r>
      <w:r w:rsidR="00147AFD">
        <w:rPr>
          <w:sz w:val="24"/>
        </w:rPr>
        <w:t>i</w:t>
      </w:r>
      <w:r w:rsidR="00AB3714">
        <w:rPr>
          <w:sz w:val="24"/>
        </w:rPr>
        <w:t xml:space="preserve">mproving one’s summer school or taster day </w:t>
      </w:r>
      <w:r w:rsidR="000C2A44">
        <w:rPr>
          <w:sz w:val="24"/>
        </w:rPr>
        <w:t xml:space="preserve">activities </w:t>
      </w:r>
      <w:r w:rsidR="00683271">
        <w:rPr>
          <w:sz w:val="24"/>
        </w:rPr>
        <w:t xml:space="preserve">may increase the </w:t>
      </w:r>
      <w:r w:rsidR="00A91928">
        <w:rPr>
          <w:sz w:val="24"/>
        </w:rPr>
        <w:t xml:space="preserve">institutional </w:t>
      </w:r>
      <w:r w:rsidR="00683271">
        <w:rPr>
          <w:sz w:val="24"/>
        </w:rPr>
        <w:t xml:space="preserve">intake from disadvantaged groups without shifting overall </w:t>
      </w:r>
      <w:r w:rsidR="000C2A44">
        <w:rPr>
          <w:sz w:val="24"/>
        </w:rPr>
        <w:t xml:space="preserve">participation </w:t>
      </w:r>
      <w:r w:rsidR="00CC49A3">
        <w:rPr>
          <w:sz w:val="24"/>
        </w:rPr>
        <w:t xml:space="preserve">rates </w:t>
      </w:r>
      <w:r w:rsidR="000C2A44">
        <w:rPr>
          <w:sz w:val="24"/>
        </w:rPr>
        <w:t>across the country</w:t>
      </w:r>
      <w:r w:rsidR="00683271">
        <w:rPr>
          <w:sz w:val="24"/>
        </w:rPr>
        <w:t>.</w:t>
      </w:r>
      <w:r w:rsidR="000C2A44">
        <w:rPr>
          <w:sz w:val="24"/>
        </w:rPr>
        <w:t xml:space="preserve"> In particular, the very modest </w:t>
      </w:r>
      <w:r w:rsidR="000C2A44">
        <w:rPr>
          <w:sz w:val="24"/>
        </w:rPr>
        <w:lastRenderedPageBreak/>
        <w:t xml:space="preserve">progress on WP made by elite universities may reflect an over-emphasis on securing applications from </w:t>
      </w:r>
      <w:r w:rsidR="009E1ED7">
        <w:rPr>
          <w:sz w:val="24"/>
        </w:rPr>
        <w:t xml:space="preserve">already </w:t>
      </w:r>
      <w:r w:rsidR="000C2A44">
        <w:rPr>
          <w:sz w:val="24"/>
        </w:rPr>
        <w:t>high-attaining</w:t>
      </w:r>
      <w:r w:rsidR="00BD185D">
        <w:rPr>
          <w:sz w:val="24"/>
        </w:rPr>
        <w:t xml:space="preserve"> </w:t>
      </w:r>
      <w:r w:rsidR="000C2A44">
        <w:rPr>
          <w:sz w:val="24"/>
        </w:rPr>
        <w:t xml:space="preserve">young people to the detriment of </w:t>
      </w:r>
      <w:r w:rsidR="00CC49A3">
        <w:rPr>
          <w:sz w:val="24"/>
        </w:rPr>
        <w:t>activities to increase</w:t>
      </w:r>
      <w:r w:rsidR="000C2A44">
        <w:rPr>
          <w:sz w:val="24"/>
        </w:rPr>
        <w:t xml:space="preserve"> the pool </w:t>
      </w:r>
      <w:r w:rsidR="009E1ED7">
        <w:rPr>
          <w:sz w:val="24"/>
        </w:rPr>
        <w:t xml:space="preserve">of those </w:t>
      </w:r>
      <w:r w:rsidR="000C2A44">
        <w:rPr>
          <w:sz w:val="24"/>
        </w:rPr>
        <w:t>attaining highly</w:t>
      </w:r>
      <w:r w:rsidR="00FA1BFD">
        <w:rPr>
          <w:sz w:val="24"/>
        </w:rPr>
        <w:t xml:space="preserve"> – i.e. a reallocation between elite universities rather than from lower status institutions.</w:t>
      </w:r>
    </w:p>
    <w:p w14:paraId="1A10285E" w14:textId="77777777" w:rsidR="004B350E" w:rsidRDefault="004B350E" w:rsidP="00C74EDA">
      <w:pPr>
        <w:spacing w:line="480" w:lineRule="auto"/>
        <w:rPr>
          <w:sz w:val="24"/>
        </w:rPr>
      </w:pPr>
    </w:p>
    <w:p w14:paraId="78E960C2" w14:textId="77777777" w:rsidR="004B350E" w:rsidRDefault="004B350E" w:rsidP="00C74EDA">
      <w:pPr>
        <w:spacing w:line="480" w:lineRule="auto"/>
        <w:rPr>
          <w:sz w:val="24"/>
        </w:rPr>
      </w:pPr>
    </w:p>
    <w:p w14:paraId="2C31DEAD" w14:textId="6E3F1C77" w:rsidR="004B350E" w:rsidRDefault="00D1250B" w:rsidP="00C74EDA">
      <w:pPr>
        <w:spacing w:line="480" w:lineRule="auto"/>
        <w:rPr>
          <w:sz w:val="24"/>
        </w:rPr>
      </w:pPr>
      <w:r>
        <w:rPr>
          <w:b/>
          <w:sz w:val="24"/>
        </w:rPr>
        <w:t xml:space="preserve">Who gets </w:t>
      </w:r>
      <w:r w:rsidR="009D6DAD">
        <w:rPr>
          <w:b/>
          <w:sz w:val="24"/>
        </w:rPr>
        <w:t>access</w:t>
      </w:r>
      <w:r w:rsidR="002443FE">
        <w:rPr>
          <w:b/>
          <w:sz w:val="24"/>
        </w:rPr>
        <w:t xml:space="preserve"> to WP activities</w:t>
      </w:r>
      <w:r>
        <w:rPr>
          <w:b/>
          <w:sz w:val="24"/>
        </w:rPr>
        <w:t>?</w:t>
      </w:r>
    </w:p>
    <w:p w14:paraId="1038516B" w14:textId="77777777" w:rsidR="004B350E" w:rsidRDefault="004B350E" w:rsidP="00C74EDA">
      <w:pPr>
        <w:spacing w:line="480" w:lineRule="auto"/>
        <w:rPr>
          <w:sz w:val="24"/>
        </w:rPr>
      </w:pPr>
    </w:p>
    <w:p w14:paraId="5B981CAF" w14:textId="77777777" w:rsidR="00DC00C8" w:rsidRDefault="00E76978" w:rsidP="00C74EDA">
      <w:pPr>
        <w:spacing w:line="480" w:lineRule="auto"/>
        <w:rPr>
          <w:sz w:val="24"/>
        </w:rPr>
      </w:pPr>
      <w:r>
        <w:rPr>
          <w:sz w:val="24"/>
        </w:rPr>
        <w:t xml:space="preserve">One of the Strand 1 participants </w:t>
      </w:r>
      <w:r w:rsidR="00071ECA">
        <w:rPr>
          <w:sz w:val="24"/>
        </w:rPr>
        <w:t>reflected on</w:t>
      </w:r>
      <w:r>
        <w:rPr>
          <w:sz w:val="24"/>
        </w:rPr>
        <w:t xml:space="preserve"> what they perceived to be </w:t>
      </w:r>
      <w:r w:rsidR="005C28C2">
        <w:rPr>
          <w:sz w:val="24"/>
        </w:rPr>
        <w:t>a lack of focus within Aimhigher</w:t>
      </w:r>
      <w:r w:rsidR="009513FD">
        <w:rPr>
          <w:sz w:val="24"/>
        </w:rPr>
        <w:t xml:space="preserve"> activities</w:t>
      </w:r>
      <w:r w:rsidR="005C28C2">
        <w:rPr>
          <w:sz w:val="24"/>
        </w:rPr>
        <w:t>:</w:t>
      </w:r>
    </w:p>
    <w:p w14:paraId="759142DB" w14:textId="77777777" w:rsidR="009C5383" w:rsidRDefault="009C5383" w:rsidP="00C74EDA">
      <w:pPr>
        <w:spacing w:line="480" w:lineRule="auto"/>
        <w:rPr>
          <w:sz w:val="24"/>
        </w:rPr>
      </w:pPr>
    </w:p>
    <w:p w14:paraId="60BED13B" w14:textId="77777777" w:rsidR="009C5383" w:rsidRDefault="00E76978" w:rsidP="00C74EDA">
      <w:pPr>
        <w:spacing w:line="480" w:lineRule="auto"/>
        <w:ind w:left="720"/>
        <w:rPr>
          <w:sz w:val="24"/>
        </w:rPr>
      </w:pPr>
      <w:r w:rsidRPr="00E76978">
        <w:rPr>
          <w:i/>
          <w:iCs/>
          <w:sz w:val="24"/>
        </w:rPr>
        <w:t xml:space="preserve">“We were targeting too many people in </w:t>
      </w:r>
      <w:r w:rsidR="009D6DAD">
        <w:rPr>
          <w:i/>
          <w:iCs/>
          <w:sz w:val="24"/>
        </w:rPr>
        <w:t>too many [schools/</w:t>
      </w:r>
      <w:r w:rsidRPr="00E76978">
        <w:rPr>
          <w:i/>
          <w:iCs/>
          <w:sz w:val="24"/>
        </w:rPr>
        <w:t>colleges] many of whom we didn’t need to – shouldn’t have been – targeting anyway</w:t>
      </w:r>
      <w:r w:rsidR="005C28C2">
        <w:rPr>
          <w:i/>
          <w:iCs/>
          <w:sz w:val="24"/>
        </w:rPr>
        <w:t>.</w:t>
      </w:r>
      <w:r w:rsidRPr="00E76978">
        <w:rPr>
          <w:i/>
          <w:iCs/>
          <w:sz w:val="24"/>
        </w:rPr>
        <w:t>”</w:t>
      </w:r>
    </w:p>
    <w:p w14:paraId="136DA013" w14:textId="77777777" w:rsidR="009C5383" w:rsidRDefault="009C5383" w:rsidP="00C74EDA">
      <w:pPr>
        <w:spacing w:line="480" w:lineRule="auto"/>
        <w:rPr>
          <w:sz w:val="24"/>
        </w:rPr>
      </w:pPr>
    </w:p>
    <w:p w14:paraId="6FA2B1FF" w14:textId="2743EEB5" w:rsidR="00805143" w:rsidRDefault="009D6DAD" w:rsidP="00C74EDA">
      <w:pPr>
        <w:spacing w:line="480" w:lineRule="auto"/>
        <w:rPr>
          <w:sz w:val="24"/>
        </w:rPr>
      </w:pPr>
      <w:r>
        <w:rPr>
          <w:sz w:val="24"/>
        </w:rPr>
        <w:t>This</w:t>
      </w:r>
      <w:r w:rsidR="005C28C2">
        <w:rPr>
          <w:sz w:val="24"/>
        </w:rPr>
        <w:t xml:space="preserve"> quote is </w:t>
      </w:r>
      <w:r>
        <w:rPr>
          <w:sz w:val="24"/>
        </w:rPr>
        <w:t xml:space="preserve">useful </w:t>
      </w:r>
      <w:r w:rsidR="00147AFD">
        <w:rPr>
          <w:sz w:val="24"/>
        </w:rPr>
        <w:t>as</w:t>
      </w:r>
      <w:r w:rsidR="005C28C2">
        <w:rPr>
          <w:sz w:val="24"/>
        </w:rPr>
        <w:t xml:space="preserve"> it </w:t>
      </w:r>
      <w:r>
        <w:rPr>
          <w:sz w:val="24"/>
        </w:rPr>
        <w:t>illustrates two</w:t>
      </w:r>
      <w:r w:rsidR="005C28C2">
        <w:rPr>
          <w:sz w:val="24"/>
        </w:rPr>
        <w:t xml:space="preserve"> key concepts in social policy analysis</w:t>
      </w:r>
      <w:r w:rsidR="00FD0C12">
        <w:rPr>
          <w:sz w:val="24"/>
        </w:rPr>
        <w:t xml:space="preserve"> (</w:t>
      </w:r>
      <w:r w:rsidR="0085322D" w:rsidRPr="0085322D">
        <w:rPr>
          <w:sz w:val="24"/>
        </w:rPr>
        <w:t>Harrison, 2012</w:t>
      </w:r>
      <w:r w:rsidR="00FD0C12">
        <w:rPr>
          <w:sz w:val="24"/>
        </w:rPr>
        <w:t>)</w:t>
      </w:r>
      <w:r w:rsidR="005C28C2">
        <w:rPr>
          <w:sz w:val="24"/>
        </w:rPr>
        <w:t xml:space="preserve">.  </w:t>
      </w:r>
      <w:r w:rsidR="0085578F">
        <w:rPr>
          <w:sz w:val="24"/>
        </w:rPr>
        <w:t xml:space="preserve">Firstly, there exists a group of people who </w:t>
      </w:r>
      <w:r w:rsidR="00147AFD" w:rsidRPr="00147AFD">
        <w:rPr>
          <w:i/>
          <w:sz w:val="24"/>
        </w:rPr>
        <w:t>“</w:t>
      </w:r>
      <w:r w:rsidR="0085578F" w:rsidRPr="00147AFD">
        <w:rPr>
          <w:i/>
          <w:sz w:val="24"/>
        </w:rPr>
        <w:t>didn’t need</w:t>
      </w:r>
      <w:r w:rsidR="009513FD" w:rsidRPr="00147AFD">
        <w:rPr>
          <w:i/>
          <w:sz w:val="24"/>
        </w:rPr>
        <w:t xml:space="preserve"> to</w:t>
      </w:r>
      <w:r w:rsidR="00147AFD" w:rsidRPr="00147AFD">
        <w:rPr>
          <w:i/>
          <w:sz w:val="24"/>
        </w:rPr>
        <w:t>”</w:t>
      </w:r>
      <w:r w:rsidR="0085578F">
        <w:rPr>
          <w:sz w:val="24"/>
        </w:rPr>
        <w:t xml:space="preserve"> </w:t>
      </w:r>
      <w:r w:rsidR="009513FD">
        <w:rPr>
          <w:sz w:val="24"/>
        </w:rPr>
        <w:t xml:space="preserve">be </w:t>
      </w:r>
      <w:r w:rsidR="0085578F">
        <w:rPr>
          <w:sz w:val="24"/>
        </w:rPr>
        <w:t>target</w:t>
      </w:r>
      <w:r w:rsidR="009513FD">
        <w:rPr>
          <w:sz w:val="24"/>
        </w:rPr>
        <w:t>ed</w:t>
      </w:r>
      <w:r w:rsidR="0085578F">
        <w:rPr>
          <w:sz w:val="24"/>
        </w:rPr>
        <w:t xml:space="preserve"> – those </w:t>
      </w:r>
      <w:r w:rsidR="0012123F">
        <w:rPr>
          <w:sz w:val="24"/>
        </w:rPr>
        <w:t xml:space="preserve">disadvantaged young people </w:t>
      </w:r>
      <w:r w:rsidR="0085578F">
        <w:rPr>
          <w:sz w:val="24"/>
        </w:rPr>
        <w:t xml:space="preserve">who were already on the pathway to higher education, even if they were not aware of it at the time.  These constitute ‘deadweight’: resources expended to change behaviour when the individual is already </w:t>
      </w:r>
      <w:r w:rsidR="00C61A4A">
        <w:rPr>
          <w:sz w:val="24"/>
        </w:rPr>
        <w:t>very likely to exhibit the desired behaviour</w:t>
      </w:r>
      <w:r w:rsidR="00147AFD">
        <w:rPr>
          <w:sz w:val="24"/>
        </w:rPr>
        <w:t xml:space="preserve"> in due course</w:t>
      </w:r>
      <w:r w:rsidR="00C61A4A">
        <w:rPr>
          <w:sz w:val="24"/>
        </w:rPr>
        <w:t>.  Deadweight represents a waste of limited resource</w:t>
      </w:r>
      <w:r w:rsidR="00BF0FCA">
        <w:rPr>
          <w:sz w:val="24"/>
        </w:rPr>
        <w:t>, with</w:t>
      </w:r>
      <w:r w:rsidR="00C61A4A">
        <w:rPr>
          <w:sz w:val="24"/>
        </w:rPr>
        <w:t xml:space="preserve"> little impact on </w:t>
      </w:r>
      <w:r w:rsidR="00BF0FCA">
        <w:rPr>
          <w:sz w:val="24"/>
        </w:rPr>
        <w:t>the phenomenon in question.</w:t>
      </w:r>
      <w:r w:rsidR="00265DA4">
        <w:rPr>
          <w:sz w:val="24"/>
        </w:rPr>
        <w:t xml:space="preserve">  </w:t>
      </w:r>
      <w:r w:rsidR="00BF0FCA">
        <w:rPr>
          <w:sz w:val="24"/>
        </w:rPr>
        <w:t xml:space="preserve">Secondly, there is a group of people who </w:t>
      </w:r>
      <w:r w:rsidR="00147AFD" w:rsidRPr="00147AFD">
        <w:rPr>
          <w:i/>
          <w:sz w:val="24"/>
        </w:rPr>
        <w:t>“</w:t>
      </w:r>
      <w:r w:rsidR="00BF0FCA" w:rsidRPr="00147AFD">
        <w:rPr>
          <w:i/>
          <w:sz w:val="24"/>
        </w:rPr>
        <w:t>shouldn’t have been</w:t>
      </w:r>
      <w:r w:rsidR="00147AFD" w:rsidRPr="00147AFD">
        <w:rPr>
          <w:i/>
          <w:sz w:val="24"/>
        </w:rPr>
        <w:t>”</w:t>
      </w:r>
      <w:r w:rsidR="00BF0FCA">
        <w:rPr>
          <w:sz w:val="24"/>
        </w:rPr>
        <w:t xml:space="preserve"> targeted – those </w:t>
      </w:r>
      <w:r w:rsidR="009513FD">
        <w:rPr>
          <w:sz w:val="24"/>
        </w:rPr>
        <w:t>in a</w:t>
      </w:r>
      <w:r w:rsidR="002B09BC">
        <w:rPr>
          <w:sz w:val="24"/>
        </w:rPr>
        <w:t xml:space="preserve"> position of relative advantage</w:t>
      </w:r>
      <w:r w:rsidR="009513FD">
        <w:rPr>
          <w:sz w:val="24"/>
        </w:rPr>
        <w:t xml:space="preserve">.  These constitute ‘leakage’: resources intended for a disadvantaged group that </w:t>
      </w:r>
      <w:r w:rsidR="002B09BC">
        <w:rPr>
          <w:sz w:val="24"/>
        </w:rPr>
        <w:t>end up supporting an a</w:t>
      </w:r>
      <w:r w:rsidR="00147AFD">
        <w:rPr>
          <w:sz w:val="24"/>
        </w:rPr>
        <w:t>dvantaged group.  Leakage is a double problem</w:t>
      </w:r>
      <w:r w:rsidR="002B09BC">
        <w:rPr>
          <w:sz w:val="24"/>
        </w:rPr>
        <w:t xml:space="preserve"> for social policy; not only are the resources </w:t>
      </w:r>
      <w:r w:rsidR="002B09BC">
        <w:rPr>
          <w:sz w:val="24"/>
        </w:rPr>
        <w:lastRenderedPageBreak/>
        <w:t>wasted but they reinforce the inequalities that they are intended to tackle</w:t>
      </w:r>
      <w:r w:rsidR="00805143">
        <w:rPr>
          <w:sz w:val="24"/>
        </w:rPr>
        <w:t xml:space="preserve">, as highlighted by another Strand 1 participant: </w:t>
      </w:r>
    </w:p>
    <w:p w14:paraId="4F936D36" w14:textId="77777777" w:rsidR="00805143" w:rsidRDefault="00805143" w:rsidP="00C74EDA">
      <w:pPr>
        <w:spacing w:line="480" w:lineRule="auto"/>
        <w:rPr>
          <w:sz w:val="24"/>
        </w:rPr>
      </w:pPr>
    </w:p>
    <w:p w14:paraId="65D187E8" w14:textId="77777777" w:rsidR="009C5383" w:rsidRPr="00805143" w:rsidRDefault="00805143" w:rsidP="00C74EDA">
      <w:pPr>
        <w:spacing w:line="480" w:lineRule="auto"/>
        <w:ind w:left="720"/>
        <w:rPr>
          <w:i/>
          <w:sz w:val="24"/>
        </w:rPr>
      </w:pPr>
      <w:r w:rsidRPr="00B86B90">
        <w:rPr>
          <w:i/>
          <w:sz w:val="24"/>
        </w:rPr>
        <w:t>“One of the [young people on a summer school] was the daughter of two professors.  It was a fantastic summer school, but I’m not sure it would have resulted in that person going to university as I suspected that they were going to go anyway – it was pointless.”</w:t>
      </w:r>
    </w:p>
    <w:p w14:paraId="3257C093" w14:textId="77777777" w:rsidR="00265DA4" w:rsidRDefault="00265DA4" w:rsidP="00C74EDA">
      <w:pPr>
        <w:spacing w:line="480" w:lineRule="auto"/>
        <w:rPr>
          <w:sz w:val="24"/>
        </w:rPr>
      </w:pPr>
    </w:p>
    <w:p w14:paraId="6B839374" w14:textId="6B678CFA" w:rsidR="00265DA4" w:rsidRDefault="0012123F" w:rsidP="00C74EDA">
      <w:pPr>
        <w:spacing w:line="480" w:lineRule="auto"/>
        <w:rPr>
          <w:sz w:val="24"/>
        </w:rPr>
      </w:pPr>
      <w:r>
        <w:rPr>
          <w:sz w:val="24"/>
        </w:rPr>
        <w:t>The ideal target group for WP activities is therefore those disadvantaged young people who have the potential to enter higher education</w:t>
      </w:r>
      <w:r w:rsidR="00147AFD">
        <w:rPr>
          <w:sz w:val="24"/>
        </w:rPr>
        <w:t xml:space="preserve"> (or </w:t>
      </w:r>
      <w:r w:rsidR="005F1584">
        <w:rPr>
          <w:sz w:val="24"/>
        </w:rPr>
        <w:t>an elite university</w:t>
      </w:r>
      <w:r w:rsidR="00147AFD">
        <w:rPr>
          <w:sz w:val="24"/>
        </w:rPr>
        <w:t>)</w:t>
      </w:r>
      <w:r>
        <w:rPr>
          <w:sz w:val="24"/>
        </w:rPr>
        <w:t xml:space="preserve">, but who would not do so without an additional intervention.  </w:t>
      </w:r>
      <w:r w:rsidR="006F3EF7">
        <w:rPr>
          <w:sz w:val="24"/>
        </w:rPr>
        <w:t>Concerns about deadweight and leakage date right back to the early days of the WP agenda (e.g. Thomas, 2001</w:t>
      </w:r>
      <w:r w:rsidR="0068503B">
        <w:rPr>
          <w:sz w:val="24"/>
        </w:rPr>
        <w:t xml:space="preserve">) and eventually </w:t>
      </w:r>
      <w:r w:rsidR="005F1584">
        <w:rPr>
          <w:sz w:val="24"/>
        </w:rPr>
        <w:t xml:space="preserve">spawned </w:t>
      </w:r>
      <w:r w:rsidR="0068503B">
        <w:rPr>
          <w:sz w:val="24"/>
        </w:rPr>
        <w:t>official guidance</w:t>
      </w:r>
      <w:r w:rsidR="006F3EF7">
        <w:rPr>
          <w:sz w:val="24"/>
        </w:rPr>
        <w:t xml:space="preserve"> </w:t>
      </w:r>
      <w:r w:rsidR="0068503B">
        <w:rPr>
          <w:sz w:val="24"/>
        </w:rPr>
        <w:t xml:space="preserve">(e.g. </w:t>
      </w:r>
      <w:r w:rsidR="006F3EF7">
        <w:rPr>
          <w:sz w:val="24"/>
        </w:rPr>
        <w:t>HEFCE, 2007).</w:t>
      </w:r>
    </w:p>
    <w:p w14:paraId="31BCB0FE" w14:textId="77777777" w:rsidR="009C5383" w:rsidRDefault="009C5383" w:rsidP="00C74EDA">
      <w:pPr>
        <w:spacing w:line="480" w:lineRule="auto"/>
        <w:rPr>
          <w:sz w:val="24"/>
        </w:rPr>
      </w:pPr>
    </w:p>
    <w:p w14:paraId="2EDED0D3" w14:textId="77777777" w:rsidR="0053300E" w:rsidRPr="00454485" w:rsidRDefault="00150D04" w:rsidP="00C74EDA">
      <w:pPr>
        <w:spacing w:line="480" w:lineRule="auto"/>
        <w:rPr>
          <w:sz w:val="24"/>
        </w:rPr>
      </w:pPr>
      <w:r>
        <w:rPr>
          <w:sz w:val="24"/>
        </w:rPr>
        <w:t>Many of the Strand 1 participants discussed Aimhigher</w:t>
      </w:r>
      <w:r w:rsidR="004B47B1">
        <w:rPr>
          <w:sz w:val="24"/>
        </w:rPr>
        <w:t>’s concerted efforts</w:t>
      </w:r>
      <w:r>
        <w:rPr>
          <w:sz w:val="24"/>
        </w:rPr>
        <w:t xml:space="preserve"> </w:t>
      </w:r>
      <w:r w:rsidR="00147AFD">
        <w:rPr>
          <w:sz w:val="24"/>
        </w:rPr>
        <w:t>to</w:t>
      </w:r>
      <w:r>
        <w:rPr>
          <w:sz w:val="24"/>
        </w:rPr>
        <w:t xml:space="preserve"> </w:t>
      </w:r>
      <w:r w:rsidR="004B47B1">
        <w:rPr>
          <w:sz w:val="24"/>
        </w:rPr>
        <w:t>us</w:t>
      </w:r>
      <w:r w:rsidR="00147AFD">
        <w:rPr>
          <w:sz w:val="24"/>
        </w:rPr>
        <w:t>e</w:t>
      </w:r>
      <w:r>
        <w:rPr>
          <w:sz w:val="24"/>
        </w:rPr>
        <w:t xml:space="preserve"> geo</w:t>
      </w:r>
      <w:r w:rsidR="00147AFD">
        <w:rPr>
          <w:sz w:val="24"/>
        </w:rPr>
        <w:t>-</w:t>
      </w:r>
      <w:r>
        <w:rPr>
          <w:sz w:val="24"/>
        </w:rPr>
        <w:t xml:space="preserve">demographic data to reliably </w:t>
      </w:r>
      <w:r w:rsidR="004B47B1">
        <w:rPr>
          <w:sz w:val="24"/>
        </w:rPr>
        <w:t>target</w:t>
      </w:r>
      <w:r>
        <w:rPr>
          <w:sz w:val="24"/>
        </w:rPr>
        <w:t xml:space="preserve"> disadvantaged communities and schools with which to work.  This was considered by </w:t>
      </w:r>
      <w:r w:rsidR="004B47B1">
        <w:rPr>
          <w:sz w:val="24"/>
        </w:rPr>
        <w:t>some</w:t>
      </w:r>
      <w:r>
        <w:rPr>
          <w:sz w:val="24"/>
        </w:rPr>
        <w:t xml:space="preserve"> to be a solved problem, although there were misgivings about the role of schools in identifying specific individuals</w:t>
      </w:r>
      <w:r w:rsidR="00147AFD">
        <w:rPr>
          <w:sz w:val="24"/>
        </w:rPr>
        <w:t xml:space="preserve"> </w:t>
      </w:r>
      <w:r w:rsidR="00454485">
        <w:rPr>
          <w:sz w:val="24"/>
        </w:rPr>
        <w:t xml:space="preserve">– what one participant called the </w:t>
      </w:r>
      <w:r w:rsidR="00454485">
        <w:rPr>
          <w:i/>
          <w:sz w:val="24"/>
        </w:rPr>
        <w:t>“problem of teacher judgement [which] includes more people who shouldn’t be there</w:t>
      </w:r>
      <w:r w:rsidR="00454485">
        <w:rPr>
          <w:sz w:val="24"/>
        </w:rPr>
        <w:t xml:space="preserve">.”  This theme was continued into Strand 2, with 32 percent of participants expressing concerns about the ability or willingness of schools to identify </w:t>
      </w:r>
      <w:r w:rsidR="00147AFD">
        <w:rPr>
          <w:sz w:val="24"/>
        </w:rPr>
        <w:t>the ‘right’</w:t>
      </w:r>
      <w:r w:rsidR="00454485">
        <w:rPr>
          <w:sz w:val="24"/>
        </w:rPr>
        <w:t xml:space="preserve"> young people, even once clear criteria had been set</w:t>
      </w:r>
      <w:r w:rsidR="007E571E">
        <w:rPr>
          <w:sz w:val="24"/>
        </w:rPr>
        <w:t>: “s</w:t>
      </w:r>
      <w:r w:rsidR="0053300E" w:rsidRPr="00454485">
        <w:rPr>
          <w:i/>
          <w:iCs/>
          <w:sz w:val="24"/>
        </w:rPr>
        <w:t>ometimes schools may have their own agendas as to who might benefit from interactions”</w:t>
      </w:r>
      <w:r w:rsidR="00454485">
        <w:rPr>
          <w:sz w:val="24"/>
        </w:rPr>
        <w:t xml:space="preserve">, with </w:t>
      </w:r>
      <w:r w:rsidR="00454485" w:rsidRPr="00454485">
        <w:rPr>
          <w:i/>
          <w:sz w:val="24"/>
        </w:rPr>
        <w:t>“unscrupulous”</w:t>
      </w:r>
      <w:r w:rsidR="00454485">
        <w:rPr>
          <w:sz w:val="24"/>
        </w:rPr>
        <w:t xml:space="preserve"> teachers who use WP activities to give additional input to high-flying pupils or those likely to portray the school in a good light.  </w:t>
      </w:r>
      <w:r w:rsidR="00454485">
        <w:rPr>
          <w:sz w:val="24"/>
        </w:rPr>
        <w:lastRenderedPageBreak/>
        <w:t xml:space="preserve">This was conceptualised in </w:t>
      </w:r>
      <w:r w:rsidR="00147AFD">
        <w:rPr>
          <w:sz w:val="24"/>
        </w:rPr>
        <w:t>respect</w:t>
      </w:r>
      <w:r w:rsidR="00454485">
        <w:rPr>
          <w:sz w:val="24"/>
        </w:rPr>
        <w:t xml:space="preserve"> of the pressures on schools to maximise their </w:t>
      </w:r>
      <w:r w:rsidR="00147AFD">
        <w:rPr>
          <w:sz w:val="24"/>
        </w:rPr>
        <w:t>standing</w:t>
      </w:r>
      <w:r w:rsidR="00454485">
        <w:rPr>
          <w:sz w:val="24"/>
        </w:rPr>
        <w:t>, which may be at odds with the WP agenda</w:t>
      </w:r>
      <w:r w:rsidR="004B47B1">
        <w:rPr>
          <w:sz w:val="24"/>
        </w:rPr>
        <w:t>.</w:t>
      </w:r>
      <w:r w:rsidR="00454485">
        <w:rPr>
          <w:sz w:val="24"/>
        </w:rPr>
        <w:t xml:space="preserve"> </w:t>
      </w:r>
      <w:r w:rsidR="004B47B1">
        <w:rPr>
          <w:sz w:val="24"/>
        </w:rPr>
        <w:t xml:space="preserve"> </w:t>
      </w:r>
      <w:r w:rsidR="00D23EE1">
        <w:rPr>
          <w:sz w:val="24"/>
        </w:rPr>
        <w:t>For example, o</w:t>
      </w:r>
      <w:r w:rsidR="00454485">
        <w:rPr>
          <w:sz w:val="24"/>
        </w:rPr>
        <w:t>ne Strand 2 participant explained that</w:t>
      </w:r>
    </w:p>
    <w:p w14:paraId="34FDEC3F" w14:textId="77777777" w:rsidR="00150D04" w:rsidRDefault="00150D04" w:rsidP="00C74EDA">
      <w:pPr>
        <w:spacing w:line="480" w:lineRule="auto"/>
        <w:rPr>
          <w:sz w:val="24"/>
        </w:rPr>
      </w:pPr>
    </w:p>
    <w:p w14:paraId="0C5CEC34" w14:textId="77777777" w:rsidR="009C5383" w:rsidRDefault="00454485" w:rsidP="00C74EDA">
      <w:pPr>
        <w:spacing w:line="480" w:lineRule="auto"/>
        <w:ind w:left="720"/>
        <w:rPr>
          <w:sz w:val="24"/>
        </w:rPr>
      </w:pPr>
      <w:r w:rsidRPr="00454485">
        <w:rPr>
          <w:i/>
          <w:iCs/>
          <w:sz w:val="24"/>
        </w:rPr>
        <w:t>“We have had instances where school coordinators have become angry when we have declined to offer an activity when they have refused to engage in targeting disadvantaged learners</w:t>
      </w:r>
      <w:r>
        <w:rPr>
          <w:i/>
          <w:iCs/>
          <w:sz w:val="24"/>
        </w:rPr>
        <w:t>.</w:t>
      </w:r>
      <w:r w:rsidRPr="00454485">
        <w:rPr>
          <w:i/>
          <w:iCs/>
          <w:sz w:val="24"/>
        </w:rPr>
        <w:t>”</w:t>
      </w:r>
    </w:p>
    <w:p w14:paraId="63DE4D06" w14:textId="77777777" w:rsidR="009C5383" w:rsidRDefault="009C5383" w:rsidP="00C74EDA">
      <w:pPr>
        <w:spacing w:line="480" w:lineRule="auto"/>
        <w:rPr>
          <w:sz w:val="24"/>
        </w:rPr>
      </w:pPr>
    </w:p>
    <w:p w14:paraId="623DB99E" w14:textId="60961D43" w:rsidR="00B86B90" w:rsidRPr="00DD6CC9" w:rsidRDefault="00B86B90" w:rsidP="00C74EDA">
      <w:pPr>
        <w:spacing w:line="480" w:lineRule="auto"/>
      </w:pPr>
      <w:r>
        <w:rPr>
          <w:sz w:val="24"/>
        </w:rPr>
        <w:t xml:space="preserve">Schools therefore add an extra layer where deadweight and leakage can undermine efforts to target WP activities </w:t>
      </w:r>
      <w:r w:rsidR="00147AFD">
        <w:rPr>
          <w:sz w:val="24"/>
        </w:rPr>
        <w:t>for maximum</w:t>
      </w:r>
      <w:r>
        <w:rPr>
          <w:sz w:val="24"/>
        </w:rPr>
        <w:t xml:space="preserve"> impact.  This is not a new problem and </w:t>
      </w:r>
      <w:r w:rsidR="00805143">
        <w:rPr>
          <w:sz w:val="24"/>
        </w:rPr>
        <w:t>several</w:t>
      </w:r>
      <w:r>
        <w:rPr>
          <w:sz w:val="24"/>
        </w:rPr>
        <w:t xml:space="preserve"> of the Strand 1 participants reflected on schools who received Aimhigher funding, but who used it for their own purposes </w:t>
      </w:r>
      <w:r w:rsidR="00107840">
        <w:rPr>
          <w:sz w:val="24"/>
        </w:rPr>
        <w:t xml:space="preserve">which had no relationship to WP (e.g. purchasing a new fish tank) – </w:t>
      </w:r>
      <w:r>
        <w:rPr>
          <w:sz w:val="24"/>
        </w:rPr>
        <w:t>or were even antithetical to it</w:t>
      </w:r>
      <w:r w:rsidR="00107840">
        <w:rPr>
          <w:sz w:val="24"/>
        </w:rPr>
        <w:t xml:space="preserve"> (e.g. extension classes for advantaged pupils)</w:t>
      </w:r>
      <w:r>
        <w:rPr>
          <w:sz w:val="24"/>
        </w:rPr>
        <w:t>.</w:t>
      </w:r>
      <w:r w:rsidR="00805143">
        <w:rPr>
          <w:sz w:val="24"/>
        </w:rPr>
        <w:t xml:space="preserve">  </w:t>
      </w:r>
      <w:r w:rsidR="00DD6CC9">
        <w:rPr>
          <w:sz w:val="24"/>
        </w:rPr>
        <w:t xml:space="preserve">One participant drew a strong distinction between schools with an ethos of ensuring their pupils progressed and those </w:t>
      </w:r>
      <w:r w:rsidR="00EA3D99">
        <w:rPr>
          <w:sz w:val="24"/>
        </w:rPr>
        <w:t>without</w:t>
      </w:r>
      <w:r w:rsidR="00DD6CC9">
        <w:rPr>
          <w:sz w:val="24"/>
        </w:rPr>
        <w:t>, while another suggested that high-achieving schools sometimes resented effort being placed in what they considered to be low-achieving</w:t>
      </w:r>
      <w:r w:rsidR="00DD6CC9" w:rsidRPr="00DD6CC9">
        <w:rPr>
          <w:sz w:val="24"/>
          <w:szCs w:val="24"/>
        </w:rPr>
        <w:t xml:space="preserve"> pupils.  These problems remain, with one Strand 2 participant stressing the </w:t>
      </w:r>
      <w:r w:rsidR="00DD6CC9" w:rsidRPr="00DD6CC9">
        <w:rPr>
          <w:i/>
          <w:sz w:val="24"/>
          <w:szCs w:val="24"/>
        </w:rPr>
        <w:t>“quality of partnership and shared agendas”</w:t>
      </w:r>
      <w:r w:rsidR="00DD6CC9" w:rsidRPr="00DD6CC9">
        <w:rPr>
          <w:sz w:val="24"/>
          <w:szCs w:val="24"/>
        </w:rPr>
        <w:t xml:space="preserve"> as vital components in ensuring that schools target appropriately.</w:t>
      </w:r>
      <w:r w:rsidR="00845C63">
        <w:rPr>
          <w:sz w:val="24"/>
          <w:szCs w:val="24"/>
        </w:rPr>
        <w:t xml:space="preserve">  Several Strand 1 participants noted that schools made less use of </w:t>
      </w:r>
      <w:r w:rsidR="005F1584">
        <w:rPr>
          <w:sz w:val="24"/>
          <w:szCs w:val="24"/>
        </w:rPr>
        <w:t xml:space="preserve">free school meals eligibility </w:t>
      </w:r>
      <w:r w:rsidR="00845C63">
        <w:rPr>
          <w:sz w:val="24"/>
          <w:szCs w:val="24"/>
        </w:rPr>
        <w:t>as a</w:t>
      </w:r>
      <w:r w:rsidR="00C4164D">
        <w:rPr>
          <w:sz w:val="24"/>
          <w:szCs w:val="24"/>
        </w:rPr>
        <w:t>n</w:t>
      </w:r>
      <w:r w:rsidR="00845C63">
        <w:rPr>
          <w:sz w:val="24"/>
          <w:szCs w:val="24"/>
        </w:rPr>
        <w:t xml:space="preserve"> </w:t>
      </w:r>
      <w:r w:rsidR="00EA3D99">
        <w:rPr>
          <w:sz w:val="24"/>
          <w:szCs w:val="24"/>
        </w:rPr>
        <w:t>individual marker of disadvantage</w:t>
      </w:r>
      <w:r w:rsidR="00845C63">
        <w:rPr>
          <w:sz w:val="24"/>
          <w:szCs w:val="24"/>
        </w:rPr>
        <w:t xml:space="preserve"> than they would have liked.</w:t>
      </w:r>
    </w:p>
    <w:p w14:paraId="7506C573" w14:textId="77777777" w:rsidR="00B86B90" w:rsidRDefault="00B86B90" w:rsidP="00C74EDA">
      <w:pPr>
        <w:spacing w:line="480" w:lineRule="auto"/>
        <w:rPr>
          <w:sz w:val="24"/>
        </w:rPr>
      </w:pPr>
    </w:p>
    <w:p w14:paraId="1FD1D1ED" w14:textId="4246CBEF" w:rsidR="0057747D" w:rsidRPr="00EA3D99" w:rsidRDefault="001B3140" w:rsidP="00C74EDA">
      <w:pPr>
        <w:spacing w:line="480" w:lineRule="auto"/>
        <w:rPr>
          <w:i/>
          <w:sz w:val="24"/>
          <w:szCs w:val="24"/>
        </w:rPr>
      </w:pPr>
      <w:r>
        <w:rPr>
          <w:sz w:val="24"/>
        </w:rPr>
        <w:t xml:space="preserve">One </w:t>
      </w:r>
      <w:r w:rsidR="001757E0">
        <w:rPr>
          <w:sz w:val="24"/>
        </w:rPr>
        <w:t>particular</w:t>
      </w:r>
      <w:r>
        <w:rPr>
          <w:sz w:val="24"/>
        </w:rPr>
        <w:t xml:space="preserve"> component in the </w:t>
      </w:r>
      <w:r w:rsidR="001757E0">
        <w:rPr>
          <w:sz w:val="24"/>
        </w:rPr>
        <w:t>English</w:t>
      </w:r>
      <w:r>
        <w:rPr>
          <w:sz w:val="24"/>
        </w:rPr>
        <w:t xml:space="preserve"> context is the use of </w:t>
      </w:r>
      <w:r w:rsidR="005B56CD">
        <w:rPr>
          <w:sz w:val="24"/>
        </w:rPr>
        <w:t>‘</w:t>
      </w:r>
      <w:r>
        <w:rPr>
          <w:sz w:val="24"/>
        </w:rPr>
        <w:t>low participation neighbourhoods</w:t>
      </w:r>
      <w:r w:rsidR="005B56CD">
        <w:rPr>
          <w:sz w:val="24"/>
        </w:rPr>
        <w:t xml:space="preserve">’ as a tool for targeting and monitoring activity.  This methodology </w:t>
      </w:r>
      <w:r w:rsidR="00D4401D">
        <w:rPr>
          <w:sz w:val="24"/>
        </w:rPr>
        <w:t xml:space="preserve">(known as POLAR) </w:t>
      </w:r>
      <w:r w:rsidR="005B56CD">
        <w:rPr>
          <w:sz w:val="24"/>
        </w:rPr>
        <w:t xml:space="preserve">uses historical data to define geographical areas where young people have had a </w:t>
      </w:r>
      <w:r w:rsidR="005B56CD">
        <w:rPr>
          <w:sz w:val="24"/>
        </w:rPr>
        <w:lastRenderedPageBreak/>
        <w:t>below average likelihood of attending</w:t>
      </w:r>
      <w:r w:rsidR="005B56CD" w:rsidRPr="005B56CD">
        <w:rPr>
          <w:sz w:val="24"/>
        </w:rPr>
        <w:t xml:space="preserve"> </w:t>
      </w:r>
      <w:r w:rsidR="005B56CD">
        <w:rPr>
          <w:sz w:val="24"/>
        </w:rPr>
        <w:t>higher education</w:t>
      </w:r>
      <w:r w:rsidR="00D4401D">
        <w:rPr>
          <w:sz w:val="24"/>
        </w:rPr>
        <w:t xml:space="preserve"> (</w:t>
      </w:r>
      <w:r w:rsidR="005855BD">
        <w:rPr>
          <w:sz w:val="24"/>
        </w:rPr>
        <w:t>HEFCE, 2005; 2010; 2012</w:t>
      </w:r>
      <w:r w:rsidR="00D4401D">
        <w:rPr>
          <w:sz w:val="24"/>
        </w:rPr>
        <w:t>)</w:t>
      </w:r>
      <w:r w:rsidR="005B56CD">
        <w:rPr>
          <w:sz w:val="24"/>
        </w:rPr>
        <w:t>.</w:t>
      </w:r>
      <w:r w:rsidR="00820916">
        <w:rPr>
          <w:sz w:val="24"/>
        </w:rPr>
        <w:t xml:space="preserve">  </w:t>
      </w:r>
      <w:r w:rsidR="003810D8">
        <w:rPr>
          <w:sz w:val="24"/>
        </w:rPr>
        <w:t>O</w:t>
      </w:r>
      <w:r w:rsidR="00406D4E">
        <w:rPr>
          <w:sz w:val="24"/>
        </w:rPr>
        <w:t xml:space="preserve">ver time, POLAR has accumulated other uses, including as a tool for </w:t>
      </w:r>
      <w:r w:rsidR="006711CE">
        <w:rPr>
          <w:sz w:val="24"/>
        </w:rPr>
        <w:t>comparing</w:t>
      </w:r>
      <w:r w:rsidR="00406D4E">
        <w:rPr>
          <w:sz w:val="24"/>
        </w:rPr>
        <w:t xml:space="preserve"> the performance of individual institutions or against the targets that institutions set for themselves in order to satis</w:t>
      </w:r>
      <w:r w:rsidR="0057747D">
        <w:rPr>
          <w:sz w:val="24"/>
        </w:rPr>
        <w:t xml:space="preserve">fy </w:t>
      </w:r>
      <w:r w:rsidR="006711CE">
        <w:rPr>
          <w:sz w:val="24"/>
        </w:rPr>
        <w:t>OFFA</w:t>
      </w:r>
      <w:r w:rsidR="005855BD">
        <w:rPr>
          <w:sz w:val="24"/>
        </w:rPr>
        <w:t xml:space="preserve"> (</w:t>
      </w:r>
      <w:r w:rsidR="008F2FD1" w:rsidRPr="008F2FD1">
        <w:rPr>
          <w:sz w:val="24"/>
        </w:rPr>
        <w:t>Harrison and McCaig, 2015</w:t>
      </w:r>
      <w:r w:rsidR="00147AFD">
        <w:rPr>
          <w:sz w:val="24"/>
        </w:rPr>
        <w:t>)</w:t>
      </w:r>
      <w:r w:rsidR="0057747D">
        <w:rPr>
          <w:sz w:val="24"/>
        </w:rPr>
        <w:t xml:space="preserve">. </w:t>
      </w:r>
    </w:p>
    <w:p w14:paraId="4F6F4265" w14:textId="77777777" w:rsidR="0057747D" w:rsidRDefault="0057747D" w:rsidP="00C74EDA">
      <w:pPr>
        <w:spacing w:line="480" w:lineRule="auto"/>
        <w:rPr>
          <w:sz w:val="24"/>
        </w:rPr>
      </w:pPr>
    </w:p>
    <w:p w14:paraId="7A52F999" w14:textId="79ED7664" w:rsidR="0053300E" w:rsidRPr="0057747D" w:rsidRDefault="00406D4E" w:rsidP="00C74EDA">
      <w:pPr>
        <w:spacing w:line="480" w:lineRule="auto"/>
        <w:rPr>
          <w:sz w:val="24"/>
        </w:rPr>
      </w:pPr>
      <w:r>
        <w:rPr>
          <w:sz w:val="24"/>
        </w:rPr>
        <w:t>Indeed, 9</w:t>
      </w:r>
      <w:r w:rsidR="00701399">
        <w:rPr>
          <w:sz w:val="24"/>
        </w:rPr>
        <w:t>3</w:t>
      </w:r>
      <w:r>
        <w:rPr>
          <w:sz w:val="24"/>
        </w:rPr>
        <w:t xml:space="preserve"> percent of </w:t>
      </w:r>
      <w:r w:rsidR="006711CE">
        <w:rPr>
          <w:sz w:val="24"/>
        </w:rPr>
        <w:t xml:space="preserve">Strand 2 </w:t>
      </w:r>
      <w:r>
        <w:rPr>
          <w:sz w:val="24"/>
        </w:rPr>
        <w:t xml:space="preserve">participants </w:t>
      </w:r>
      <w:r w:rsidR="00701399">
        <w:rPr>
          <w:sz w:val="24"/>
        </w:rPr>
        <w:t xml:space="preserve">reported that their institution used POLAR within </w:t>
      </w:r>
      <w:r w:rsidR="00147AFD">
        <w:rPr>
          <w:sz w:val="24"/>
        </w:rPr>
        <w:t>internal</w:t>
      </w:r>
      <w:r w:rsidR="00701399">
        <w:rPr>
          <w:sz w:val="24"/>
        </w:rPr>
        <w:t xml:space="preserve"> performance indicators </w:t>
      </w:r>
      <w:r w:rsidR="00147AFD">
        <w:rPr>
          <w:sz w:val="24"/>
        </w:rPr>
        <w:t>to</w:t>
      </w:r>
      <w:r w:rsidR="00701399">
        <w:rPr>
          <w:sz w:val="24"/>
        </w:rPr>
        <w:t xml:space="preserve"> measure how successful their WP activities had been at recruiting disadvantaged young people.</w:t>
      </w:r>
      <w:r w:rsidR="003810D8">
        <w:rPr>
          <w:sz w:val="24"/>
        </w:rPr>
        <w:t xml:space="preserve">  However, t</w:t>
      </w:r>
      <w:r w:rsidR="0057747D">
        <w:rPr>
          <w:sz w:val="24"/>
        </w:rPr>
        <w:t xml:space="preserve">he level of granularity within POLAR is such that many advantaged young people live within disadvantaged target areas, and </w:t>
      </w:r>
      <w:r w:rsidR="0057747D">
        <w:rPr>
          <w:i/>
          <w:sz w:val="24"/>
        </w:rPr>
        <w:t>vice versa</w:t>
      </w:r>
      <w:r w:rsidR="0057747D">
        <w:rPr>
          <w:sz w:val="24"/>
        </w:rPr>
        <w:t xml:space="preserve">.  There is </w:t>
      </w:r>
      <w:r w:rsidR="006711CE">
        <w:rPr>
          <w:sz w:val="24"/>
        </w:rPr>
        <w:t xml:space="preserve">some </w:t>
      </w:r>
      <w:r w:rsidR="0057747D">
        <w:rPr>
          <w:sz w:val="24"/>
        </w:rPr>
        <w:t xml:space="preserve">evidence </w:t>
      </w:r>
      <w:r w:rsidR="00773520">
        <w:rPr>
          <w:sz w:val="24"/>
        </w:rPr>
        <w:t xml:space="preserve">from dilemma-style questions </w:t>
      </w:r>
      <w:r w:rsidR="0057747D">
        <w:rPr>
          <w:sz w:val="24"/>
        </w:rPr>
        <w:t>that this use of POLAR is driving perverse incentives</w:t>
      </w:r>
      <w:r w:rsidR="00147AFD">
        <w:rPr>
          <w:sz w:val="24"/>
        </w:rPr>
        <w:t>, with</w:t>
      </w:r>
      <w:r w:rsidR="0057747D">
        <w:rPr>
          <w:sz w:val="24"/>
        </w:rPr>
        <w:t xml:space="preserve"> 60 percent</w:t>
      </w:r>
      <w:r w:rsidR="0053300E" w:rsidRPr="0057747D">
        <w:rPr>
          <w:sz w:val="24"/>
        </w:rPr>
        <w:t xml:space="preserve"> of respondents </w:t>
      </w:r>
      <w:r w:rsidR="00147AFD">
        <w:rPr>
          <w:sz w:val="24"/>
        </w:rPr>
        <w:t>feeling that</w:t>
      </w:r>
      <w:r w:rsidR="0053300E" w:rsidRPr="0057747D">
        <w:rPr>
          <w:sz w:val="24"/>
        </w:rPr>
        <w:t xml:space="preserve"> increasing applications from a disadvantaged area or school would be </w:t>
      </w:r>
      <w:r w:rsidR="0057747D">
        <w:rPr>
          <w:sz w:val="24"/>
        </w:rPr>
        <w:t xml:space="preserve">considered </w:t>
      </w:r>
      <w:r w:rsidR="0053300E" w:rsidRPr="0057747D">
        <w:rPr>
          <w:sz w:val="24"/>
        </w:rPr>
        <w:t xml:space="preserve">a success </w:t>
      </w:r>
      <w:r w:rsidR="0057747D">
        <w:rPr>
          <w:sz w:val="24"/>
        </w:rPr>
        <w:t>by</w:t>
      </w:r>
      <w:r w:rsidR="0053300E" w:rsidRPr="0057747D">
        <w:rPr>
          <w:sz w:val="24"/>
        </w:rPr>
        <w:t xml:space="preserve"> their institution, regardless of the </w:t>
      </w:r>
      <w:r w:rsidR="006C558F">
        <w:rPr>
          <w:sz w:val="24"/>
        </w:rPr>
        <w:t xml:space="preserve">individual </w:t>
      </w:r>
      <w:r w:rsidR="0053300E" w:rsidRPr="0057747D">
        <w:rPr>
          <w:sz w:val="24"/>
        </w:rPr>
        <w:t>applicants’ ow</w:t>
      </w:r>
      <w:r w:rsidR="0057747D">
        <w:rPr>
          <w:sz w:val="24"/>
        </w:rPr>
        <w:t>n situation.  Furthermore, 53 percent</w:t>
      </w:r>
      <w:r w:rsidR="0053300E" w:rsidRPr="0057747D">
        <w:rPr>
          <w:sz w:val="24"/>
        </w:rPr>
        <w:t xml:space="preserve"> believed </w:t>
      </w:r>
      <w:r w:rsidR="0057747D">
        <w:rPr>
          <w:sz w:val="24"/>
        </w:rPr>
        <w:t xml:space="preserve">that </w:t>
      </w:r>
      <w:r w:rsidR="0053300E" w:rsidRPr="0057747D">
        <w:rPr>
          <w:sz w:val="24"/>
        </w:rPr>
        <w:t>recruiting an advantaged student from a dis</w:t>
      </w:r>
      <w:r w:rsidR="0057747D">
        <w:rPr>
          <w:sz w:val="24"/>
        </w:rPr>
        <w:t>advantaged area was equally (39 percent) or more important (14 percent</w:t>
      </w:r>
      <w:r w:rsidR="0053300E" w:rsidRPr="0057747D">
        <w:rPr>
          <w:sz w:val="24"/>
        </w:rPr>
        <w:t>) to their institution than a disadvantaged student from an advantaged area</w:t>
      </w:r>
      <w:r w:rsidR="00264FF0">
        <w:rPr>
          <w:sz w:val="24"/>
        </w:rPr>
        <w:t xml:space="preserve">.  In other words, over half of the </w:t>
      </w:r>
      <w:r w:rsidR="00A678DD">
        <w:rPr>
          <w:sz w:val="24"/>
        </w:rPr>
        <w:t>practitioner-</w:t>
      </w:r>
      <w:r w:rsidR="00264FF0">
        <w:rPr>
          <w:sz w:val="24"/>
        </w:rPr>
        <w:t>managers res</w:t>
      </w:r>
      <w:r w:rsidR="0031667B">
        <w:rPr>
          <w:sz w:val="24"/>
        </w:rPr>
        <w:t xml:space="preserve">ponding to the survey felt that, for their institution, </w:t>
      </w:r>
      <w:r w:rsidR="00264FF0">
        <w:rPr>
          <w:sz w:val="24"/>
        </w:rPr>
        <w:t>recruiting from a target neighbourhood was the immediate goal</w:t>
      </w:r>
      <w:r w:rsidR="00A678DD">
        <w:rPr>
          <w:sz w:val="24"/>
        </w:rPr>
        <w:t xml:space="preserve"> (due to the targets set with OFFA)</w:t>
      </w:r>
      <w:r w:rsidR="00264FF0">
        <w:rPr>
          <w:sz w:val="24"/>
        </w:rPr>
        <w:t>, rather than recruiting disadvantaged young people</w:t>
      </w:r>
      <w:r w:rsidR="0099379C">
        <w:rPr>
          <w:sz w:val="24"/>
        </w:rPr>
        <w:t xml:space="preserve"> or changing </w:t>
      </w:r>
      <w:r w:rsidR="005F1584">
        <w:rPr>
          <w:sz w:val="24"/>
        </w:rPr>
        <w:t>application choices</w:t>
      </w:r>
      <w:r w:rsidR="0099379C">
        <w:rPr>
          <w:sz w:val="24"/>
        </w:rPr>
        <w:t>; the scope for leakage here is readily apparent.</w:t>
      </w:r>
    </w:p>
    <w:p w14:paraId="5C3E6BC6" w14:textId="77777777" w:rsidR="0053300E" w:rsidRPr="0057747D" w:rsidRDefault="0053300E" w:rsidP="00C74EDA">
      <w:pPr>
        <w:spacing w:line="480" w:lineRule="auto"/>
        <w:rPr>
          <w:sz w:val="24"/>
        </w:rPr>
      </w:pPr>
    </w:p>
    <w:p w14:paraId="61B97B3F" w14:textId="77777777" w:rsidR="0057747D" w:rsidRDefault="0057747D" w:rsidP="00C74EDA">
      <w:pPr>
        <w:spacing w:line="480" w:lineRule="auto"/>
        <w:rPr>
          <w:sz w:val="24"/>
        </w:rPr>
      </w:pPr>
    </w:p>
    <w:p w14:paraId="23BA0471" w14:textId="77777777" w:rsidR="0099379C" w:rsidRPr="0007524B" w:rsidRDefault="007A17A2" w:rsidP="00C74EDA">
      <w:pPr>
        <w:spacing w:line="480" w:lineRule="auto"/>
        <w:rPr>
          <w:b/>
          <w:sz w:val="24"/>
        </w:rPr>
      </w:pPr>
      <w:r>
        <w:rPr>
          <w:b/>
          <w:sz w:val="24"/>
        </w:rPr>
        <w:t>Working out what works</w:t>
      </w:r>
    </w:p>
    <w:p w14:paraId="324933C0" w14:textId="77777777" w:rsidR="008920D2" w:rsidRDefault="008920D2" w:rsidP="00C74EDA">
      <w:pPr>
        <w:spacing w:line="480" w:lineRule="auto"/>
        <w:rPr>
          <w:sz w:val="24"/>
        </w:rPr>
      </w:pPr>
    </w:p>
    <w:p w14:paraId="3D531847" w14:textId="46572E19" w:rsidR="00D66A10" w:rsidRPr="00D84203" w:rsidRDefault="00E01A7A" w:rsidP="00C74EDA">
      <w:pPr>
        <w:spacing w:line="480" w:lineRule="auto"/>
        <w:rPr>
          <w:iCs/>
          <w:sz w:val="24"/>
        </w:rPr>
      </w:pPr>
      <w:r>
        <w:rPr>
          <w:sz w:val="24"/>
        </w:rPr>
        <w:lastRenderedPageBreak/>
        <w:t>The evaluation of WP activities has vexed practitioners and policymakers from the outset, especially in the light of unreliabl</w:t>
      </w:r>
      <w:r w:rsidR="00B26763">
        <w:rPr>
          <w:sz w:val="24"/>
        </w:rPr>
        <w:t>e and unavailable data (Passy and Morris, 2010</w:t>
      </w:r>
      <w:r>
        <w:rPr>
          <w:sz w:val="24"/>
        </w:rPr>
        <w:t>).</w:t>
      </w:r>
      <w:r w:rsidR="00762F57">
        <w:rPr>
          <w:sz w:val="24"/>
        </w:rPr>
        <w:t xml:space="preserve">  However, there are </w:t>
      </w:r>
      <w:r w:rsidR="00AF4D99">
        <w:rPr>
          <w:sz w:val="24"/>
        </w:rPr>
        <w:t>other</w:t>
      </w:r>
      <w:r w:rsidR="00762F57">
        <w:rPr>
          <w:sz w:val="24"/>
        </w:rPr>
        <w:t xml:space="preserve"> important issues of epistemology </w:t>
      </w:r>
      <w:r w:rsidR="003E4885">
        <w:rPr>
          <w:sz w:val="24"/>
        </w:rPr>
        <w:t xml:space="preserve">that remain unresolved.  </w:t>
      </w:r>
      <w:r w:rsidR="00C90FB7">
        <w:rPr>
          <w:iCs/>
          <w:sz w:val="24"/>
        </w:rPr>
        <w:t xml:space="preserve">There is, perhaps, a natural desire to understand complex systems and to purposefully influence them.  </w:t>
      </w:r>
      <w:r w:rsidR="00D84203">
        <w:rPr>
          <w:iCs/>
          <w:sz w:val="24"/>
        </w:rPr>
        <w:t xml:space="preserve"> An individual’s progression through the education system and into adult life is one such system and it is vested with strong symbolic value by society due its roles in determining power hierarchies, economic competitiveness and personal liberties.</w:t>
      </w:r>
      <w:r w:rsidR="007C5F20">
        <w:rPr>
          <w:iCs/>
          <w:sz w:val="24"/>
        </w:rPr>
        <w:t xml:space="preserve">  This, along with an interest in value-for-money in a period of public austerity</w:t>
      </w:r>
      <w:r w:rsidR="00A678DD">
        <w:rPr>
          <w:iCs/>
          <w:sz w:val="24"/>
        </w:rPr>
        <w:t xml:space="preserve"> (BIS, 2014)</w:t>
      </w:r>
      <w:r w:rsidR="007C5F20">
        <w:rPr>
          <w:iCs/>
          <w:sz w:val="24"/>
        </w:rPr>
        <w:t>, may begin to explain the strong pressures applied to WP practitioners to prove ‘what works’ in terms of the activities they offer.</w:t>
      </w:r>
    </w:p>
    <w:p w14:paraId="37D7393B" w14:textId="77777777" w:rsidR="00E01A7A" w:rsidRDefault="00E01A7A" w:rsidP="00C74EDA">
      <w:pPr>
        <w:spacing w:line="480" w:lineRule="auto"/>
        <w:rPr>
          <w:sz w:val="24"/>
        </w:rPr>
      </w:pPr>
    </w:p>
    <w:p w14:paraId="56BB5351" w14:textId="77777777" w:rsidR="00E01A7A" w:rsidRDefault="0067252F" w:rsidP="00C74EDA">
      <w:pPr>
        <w:spacing w:line="480" w:lineRule="auto"/>
        <w:rPr>
          <w:sz w:val="24"/>
        </w:rPr>
      </w:pPr>
      <w:r>
        <w:rPr>
          <w:sz w:val="24"/>
        </w:rPr>
        <w:t xml:space="preserve">Proving impact was a key issue for Aimhigher across its lifespan.  The Strand 1 participants </w:t>
      </w:r>
      <w:r w:rsidR="00AF4D99">
        <w:rPr>
          <w:sz w:val="24"/>
        </w:rPr>
        <w:t>reported</w:t>
      </w:r>
      <w:r>
        <w:rPr>
          <w:sz w:val="24"/>
        </w:rPr>
        <w:t xml:space="preserve"> that a consensus on successful activities emerged naturally through the sharing of experiences and good practice within and between regions.  However, the practicalities </w:t>
      </w:r>
      <w:r w:rsidR="003F575F">
        <w:rPr>
          <w:sz w:val="24"/>
        </w:rPr>
        <w:t xml:space="preserve">of a complex </w:t>
      </w:r>
      <w:r w:rsidR="002246FA">
        <w:rPr>
          <w:sz w:val="24"/>
        </w:rPr>
        <w:t xml:space="preserve">organisational </w:t>
      </w:r>
      <w:r w:rsidR="001F7B3F">
        <w:rPr>
          <w:sz w:val="24"/>
        </w:rPr>
        <w:t>framework</w:t>
      </w:r>
      <w:r w:rsidR="003F575F">
        <w:rPr>
          <w:sz w:val="24"/>
        </w:rPr>
        <w:t xml:space="preserve"> often muddied the waters</w:t>
      </w:r>
      <w:r w:rsidR="001F7B3F">
        <w:rPr>
          <w:sz w:val="24"/>
        </w:rPr>
        <w:t xml:space="preserve"> and created a ‘partnership of least resistance’ where sub-optimal activities were tolerated to maintain harmony</w:t>
      </w:r>
      <w:r w:rsidR="003F575F">
        <w:rPr>
          <w:sz w:val="24"/>
        </w:rPr>
        <w:t>:</w:t>
      </w:r>
    </w:p>
    <w:p w14:paraId="6B781DD2" w14:textId="77777777" w:rsidR="00E01A7A" w:rsidRDefault="00E01A7A" w:rsidP="00C74EDA">
      <w:pPr>
        <w:spacing w:line="480" w:lineRule="auto"/>
        <w:rPr>
          <w:sz w:val="24"/>
        </w:rPr>
      </w:pPr>
    </w:p>
    <w:p w14:paraId="7A1CE17E" w14:textId="77777777" w:rsidR="00E01A7A" w:rsidRPr="003F575F" w:rsidRDefault="0067252F" w:rsidP="00C74EDA">
      <w:pPr>
        <w:spacing w:line="480" w:lineRule="auto"/>
        <w:ind w:left="720"/>
        <w:rPr>
          <w:i/>
          <w:sz w:val="28"/>
        </w:rPr>
      </w:pPr>
      <w:r w:rsidRPr="003F575F">
        <w:rPr>
          <w:i/>
          <w:sz w:val="24"/>
        </w:rPr>
        <w:t xml:space="preserve">“What was good value was pretty well known by 2006.  It didn’t influence behaviour terribly because you’ve always got enthusiasts who want to do the sorts of activities that they enjoy.”  </w:t>
      </w:r>
    </w:p>
    <w:p w14:paraId="4103A7AB" w14:textId="77777777" w:rsidR="00E01A7A" w:rsidRDefault="00E01A7A" w:rsidP="00C74EDA">
      <w:pPr>
        <w:spacing w:line="480" w:lineRule="auto"/>
        <w:rPr>
          <w:sz w:val="24"/>
        </w:rPr>
      </w:pPr>
    </w:p>
    <w:p w14:paraId="44441F91" w14:textId="77777777" w:rsidR="0067252F" w:rsidRDefault="0067252F" w:rsidP="00C74EDA">
      <w:pPr>
        <w:spacing w:line="480" w:lineRule="auto"/>
        <w:ind w:left="720"/>
        <w:rPr>
          <w:i/>
          <w:sz w:val="24"/>
          <w:szCs w:val="24"/>
        </w:rPr>
      </w:pPr>
      <w:r>
        <w:rPr>
          <w:i/>
          <w:sz w:val="24"/>
          <w:szCs w:val="24"/>
        </w:rPr>
        <w:t>“</w:t>
      </w:r>
      <w:r w:rsidRPr="001B6F65">
        <w:rPr>
          <w:i/>
          <w:sz w:val="24"/>
          <w:szCs w:val="24"/>
        </w:rPr>
        <w:t>Some things go down well because they fit in better with the school timetable and ethos and that makes them popular, rather than because they are necessarily effective</w:t>
      </w:r>
      <w:r>
        <w:rPr>
          <w:i/>
          <w:sz w:val="24"/>
          <w:szCs w:val="24"/>
        </w:rPr>
        <w:t>.”</w:t>
      </w:r>
    </w:p>
    <w:p w14:paraId="047BCC5B" w14:textId="77777777" w:rsidR="00E01A7A" w:rsidRDefault="00E01A7A" w:rsidP="00C74EDA">
      <w:pPr>
        <w:spacing w:line="480" w:lineRule="auto"/>
        <w:rPr>
          <w:sz w:val="24"/>
        </w:rPr>
      </w:pPr>
    </w:p>
    <w:p w14:paraId="1C5B67E6" w14:textId="77777777" w:rsidR="003F575F" w:rsidRDefault="00060D29" w:rsidP="00C74EDA">
      <w:pPr>
        <w:spacing w:line="480" w:lineRule="auto"/>
        <w:rPr>
          <w:sz w:val="24"/>
        </w:rPr>
      </w:pPr>
      <w:r>
        <w:rPr>
          <w:sz w:val="24"/>
        </w:rPr>
        <w:t xml:space="preserve">Strand 1 participants tended to report a shift over time towards a reduced </w:t>
      </w:r>
      <w:r w:rsidR="002246FA">
        <w:rPr>
          <w:sz w:val="24"/>
        </w:rPr>
        <w:t>palette</w:t>
      </w:r>
      <w:r>
        <w:rPr>
          <w:sz w:val="24"/>
        </w:rPr>
        <w:t xml:space="preserve"> of activities that were easy to evaluate (at least in simplistic terms) over those that might offer particular opportunities for </w:t>
      </w:r>
      <w:r w:rsidR="002246FA">
        <w:rPr>
          <w:sz w:val="24"/>
        </w:rPr>
        <w:t xml:space="preserve">personal </w:t>
      </w:r>
      <w:r>
        <w:rPr>
          <w:sz w:val="24"/>
        </w:rPr>
        <w:t xml:space="preserve">transformation or behavioural change.  </w:t>
      </w:r>
      <w:r w:rsidR="00821759">
        <w:rPr>
          <w:sz w:val="24"/>
        </w:rPr>
        <w:t xml:space="preserve">Indeed, it was found that as the pressure to evaluate activities and hone the Aimhigher ‘offer’ was increased, it led to </w:t>
      </w:r>
      <w:r>
        <w:rPr>
          <w:sz w:val="24"/>
        </w:rPr>
        <w:t>a falling-away</w:t>
      </w:r>
      <w:r w:rsidR="00821759">
        <w:rPr>
          <w:sz w:val="24"/>
        </w:rPr>
        <w:t xml:space="preserve"> of the </w:t>
      </w:r>
      <w:r w:rsidR="0053300E">
        <w:rPr>
          <w:sz w:val="24"/>
        </w:rPr>
        <w:t xml:space="preserve">broad-based </w:t>
      </w:r>
      <w:r w:rsidR="00821759">
        <w:rPr>
          <w:sz w:val="24"/>
        </w:rPr>
        <w:t xml:space="preserve">partnerships that had characterised Aimhigher in the </w:t>
      </w:r>
      <w:r w:rsidR="0053300E">
        <w:rPr>
          <w:sz w:val="24"/>
        </w:rPr>
        <w:t>first place:</w:t>
      </w:r>
    </w:p>
    <w:p w14:paraId="79AD95CD" w14:textId="77777777" w:rsidR="00060D29" w:rsidRDefault="00060D29" w:rsidP="00C74EDA">
      <w:pPr>
        <w:spacing w:line="480" w:lineRule="auto"/>
        <w:rPr>
          <w:sz w:val="24"/>
        </w:rPr>
      </w:pPr>
    </w:p>
    <w:p w14:paraId="1358E2F8" w14:textId="77777777" w:rsidR="00060D29" w:rsidRPr="0067252F" w:rsidRDefault="00060D29" w:rsidP="00C74EDA">
      <w:pPr>
        <w:spacing w:line="480" w:lineRule="auto"/>
        <w:ind w:left="720"/>
        <w:rPr>
          <w:sz w:val="24"/>
        </w:rPr>
      </w:pPr>
      <w:r w:rsidRPr="0067252F">
        <w:rPr>
          <w:i/>
          <w:iCs/>
          <w:sz w:val="24"/>
        </w:rPr>
        <w:t>“[The pressure to evaluate] went on and on and the diversity of the types of activities went down and down as people just started trying to meet the targets or only do things that could easily be measured</w:t>
      </w:r>
      <w:r w:rsidR="00D61F3C">
        <w:rPr>
          <w:i/>
          <w:iCs/>
          <w:sz w:val="24"/>
        </w:rPr>
        <w:t>.</w:t>
      </w:r>
      <w:r w:rsidRPr="0067252F">
        <w:rPr>
          <w:i/>
          <w:iCs/>
          <w:sz w:val="24"/>
        </w:rPr>
        <w:t xml:space="preserve">” </w:t>
      </w:r>
    </w:p>
    <w:p w14:paraId="5408038F" w14:textId="77777777" w:rsidR="00060D29" w:rsidRDefault="00060D29" w:rsidP="00C74EDA">
      <w:pPr>
        <w:spacing w:line="480" w:lineRule="auto"/>
        <w:ind w:left="720"/>
        <w:rPr>
          <w:i/>
          <w:iCs/>
          <w:sz w:val="24"/>
        </w:rPr>
      </w:pPr>
    </w:p>
    <w:p w14:paraId="527D5905" w14:textId="77777777" w:rsidR="00060D29" w:rsidRDefault="0053300E" w:rsidP="00C74EDA">
      <w:pPr>
        <w:spacing w:line="480" w:lineRule="auto"/>
        <w:ind w:left="720"/>
        <w:rPr>
          <w:sz w:val="24"/>
        </w:rPr>
      </w:pPr>
      <w:r w:rsidRPr="0067252F">
        <w:rPr>
          <w:i/>
          <w:iCs/>
          <w:sz w:val="24"/>
        </w:rPr>
        <w:t xml:space="preserve">“There was a definite drop-off in attendance [from </w:t>
      </w:r>
      <w:r w:rsidR="00AF4D99">
        <w:rPr>
          <w:i/>
          <w:iCs/>
          <w:sz w:val="24"/>
        </w:rPr>
        <w:t>partners</w:t>
      </w:r>
      <w:r w:rsidRPr="0067252F">
        <w:rPr>
          <w:i/>
          <w:iCs/>
          <w:sz w:val="24"/>
        </w:rPr>
        <w:t>] as time and the tinkering went on and people realised there was not going to be so much it in for them</w:t>
      </w:r>
      <w:r w:rsidR="00D61F3C">
        <w:rPr>
          <w:i/>
          <w:iCs/>
          <w:sz w:val="24"/>
        </w:rPr>
        <w:t>.</w:t>
      </w:r>
      <w:r w:rsidRPr="0067252F">
        <w:rPr>
          <w:i/>
          <w:iCs/>
          <w:sz w:val="24"/>
        </w:rPr>
        <w:t>”</w:t>
      </w:r>
      <w:r w:rsidRPr="0067252F">
        <w:rPr>
          <w:sz w:val="24"/>
        </w:rPr>
        <w:t xml:space="preserve"> </w:t>
      </w:r>
    </w:p>
    <w:p w14:paraId="2DCCE704" w14:textId="77777777" w:rsidR="00821759" w:rsidRDefault="00821759" w:rsidP="00C74EDA">
      <w:pPr>
        <w:spacing w:line="480" w:lineRule="auto"/>
        <w:rPr>
          <w:sz w:val="24"/>
        </w:rPr>
      </w:pPr>
    </w:p>
    <w:p w14:paraId="28C741E5" w14:textId="77777777" w:rsidR="00E37853" w:rsidRDefault="0046786F" w:rsidP="00C74EDA">
      <w:pPr>
        <w:spacing w:line="480" w:lineRule="auto"/>
        <w:rPr>
          <w:sz w:val="24"/>
        </w:rPr>
      </w:pPr>
      <w:r>
        <w:rPr>
          <w:sz w:val="24"/>
        </w:rPr>
        <w:t>The pressure was generally felt to be towards identifying individual activities that were going to change a young person’s trajectory towards higher education – a ‘</w:t>
      </w:r>
      <w:r w:rsidR="00680D7F">
        <w:rPr>
          <w:sz w:val="24"/>
        </w:rPr>
        <w:t>silver</w:t>
      </w:r>
      <w:r>
        <w:rPr>
          <w:sz w:val="24"/>
        </w:rPr>
        <w:t xml:space="preserve"> bullet’ that would increase their aspirations (or, </w:t>
      </w:r>
      <w:r w:rsidR="00C4164D">
        <w:rPr>
          <w:sz w:val="24"/>
        </w:rPr>
        <w:t xml:space="preserve">much </w:t>
      </w:r>
      <w:r>
        <w:rPr>
          <w:sz w:val="24"/>
        </w:rPr>
        <w:t xml:space="preserve">more rarely, attainment) sufficiently to create a demand when none previously existed.  </w:t>
      </w:r>
      <w:r w:rsidR="00BE569F">
        <w:rPr>
          <w:sz w:val="24"/>
        </w:rPr>
        <w:t xml:space="preserve">However, some </w:t>
      </w:r>
      <w:r w:rsidR="00E37853">
        <w:rPr>
          <w:sz w:val="24"/>
        </w:rPr>
        <w:t xml:space="preserve">Aimhigher </w:t>
      </w:r>
      <w:r w:rsidR="00AF4D99">
        <w:rPr>
          <w:sz w:val="24"/>
        </w:rPr>
        <w:t>directors</w:t>
      </w:r>
      <w:r w:rsidR="00BE569F">
        <w:rPr>
          <w:sz w:val="24"/>
        </w:rPr>
        <w:t xml:space="preserve"> </w:t>
      </w:r>
      <w:r w:rsidR="00E75740">
        <w:rPr>
          <w:sz w:val="24"/>
        </w:rPr>
        <w:t>resisted</w:t>
      </w:r>
      <w:r w:rsidR="00BE569F">
        <w:rPr>
          <w:sz w:val="24"/>
        </w:rPr>
        <w:t xml:space="preserve"> this approach</w:t>
      </w:r>
      <w:r w:rsidR="00E75740">
        <w:rPr>
          <w:sz w:val="24"/>
        </w:rPr>
        <w:t>, at least in part</w:t>
      </w:r>
      <w:r w:rsidR="00E37853">
        <w:rPr>
          <w:sz w:val="24"/>
        </w:rPr>
        <w:t>, arguing instead for a structured programme operating over a long</w:t>
      </w:r>
      <w:r w:rsidR="00680D7F">
        <w:rPr>
          <w:sz w:val="24"/>
        </w:rPr>
        <w:t>er</w:t>
      </w:r>
      <w:r w:rsidR="00E37853">
        <w:rPr>
          <w:sz w:val="24"/>
        </w:rPr>
        <w:t xml:space="preserve"> time period:</w:t>
      </w:r>
    </w:p>
    <w:p w14:paraId="7F37C5EE" w14:textId="77777777" w:rsidR="00BE569F" w:rsidRDefault="00BE569F" w:rsidP="00C74EDA">
      <w:pPr>
        <w:spacing w:line="480" w:lineRule="auto"/>
        <w:rPr>
          <w:sz w:val="24"/>
        </w:rPr>
      </w:pPr>
    </w:p>
    <w:p w14:paraId="19B13034" w14:textId="77777777" w:rsidR="00E75740" w:rsidRPr="00BE7728" w:rsidRDefault="00E37853" w:rsidP="00C74EDA">
      <w:pPr>
        <w:spacing w:line="480" w:lineRule="auto"/>
        <w:ind w:left="720"/>
        <w:rPr>
          <w:sz w:val="24"/>
        </w:rPr>
      </w:pPr>
      <w:r>
        <w:rPr>
          <w:i/>
          <w:sz w:val="24"/>
        </w:rPr>
        <w:lastRenderedPageBreak/>
        <w:t>“</w:t>
      </w:r>
      <w:r w:rsidRPr="00E37853">
        <w:rPr>
          <w:i/>
          <w:sz w:val="24"/>
        </w:rPr>
        <w:t>We needed to put together a whole series […] of different activities which had progression built into them and which went across institutions and which offered different things for kids at different stages right the way from primary to the transition into higher educatio</w:t>
      </w:r>
      <w:r w:rsidR="00BE7728">
        <w:rPr>
          <w:i/>
          <w:sz w:val="24"/>
        </w:rPr>
        <w:t>n.</w:t>
      </w:r>
      <w:r w:rsidR="00BE7728">
        <w:rPr>
          <w:sz w:val="24"/>
        </w:rPr>
        <w:t>”</w:t>
      </w:r>
    </w:p>
    <w:p w14:paraId="3D92EE5E" w14:textId="77777777" w:rsidR="00E75740" w:rsidRPr="00E75740" w:rsidRDefault="00E75740" w:rsidP="00C74EDA">
      <w:pPr>
        <w:spacing w:line="480" w:lineRule="auto"/>
        <w:rPr>
          <w:sz w:val="24"/>
        </w:rPr>
      </w:pPr>
    </w:p>
    <w:p w14:paraId="48CF5DD2" w14:textId="77777777" w:rsidR="00E37853" w:rsidRDefault="00E37853" w:rsidP="00C74EDA">
      <w:pPr>
        <w:spacing w:line="480" w:lineRule="auto"/>
        <w:rPr>
          <w:sz w:val="24"/>
        </w:rPr>
      </w:pPr>
      <w:r>
        <w:rPr>
          <w:sz w:val="24"/>
        </w:rPr>
        <w:t xml:space="preserve">Part of the rationale for this was the inherent unpredictability of activities and their individual outcomes, which could be dependent on </w:t>
      </w:r>
      <w:r w:rsidR="00D36A55">
        <w:rPr>
          <w:sz w:val="24"/>
        </w:rPr>
        <w:t>organisers, attendees or location:</w:t>
      </w:r>
    </w:p>
    <w:p w14:paraId="564F1AAD" w14:textId="77777777" w:rsidR="00E37853" w:rsidRDefault="00E37853" w:rsidP="00C74EDA">
      <w:pPr>
        <w:spacing w:line="480" w:lineRule="auto"/>
        <w:rPr>
          <w:sz w:val="24"/>
        </w:rPr>
      </w:pPr>
    </w:p>
    <w:p w14:paraId="33BF5370" w14:textId="77777777" w:rsidR="00BE569F" w:rsidRPr="00E3548B" w:rsidRDefault="00BE569F" w:rsidP="00C74EDA">
      <w:pPr>
        <w:spacing w:line="480" w:lineRule="auto"/>
        <w:ind w:left="720"/>
        <w:rPr>
          <w:i/>
          <w:sz w:val="28"/>
        </w:rPr>
      </w:pPr>
      <w:r w:rsidRPr="00E3548B">
        <w:rPr>
          <w:i/>
          <w:sz w:val="24"/>
        </w:rPr>
        <w:t>“You could put on a bespoke activity that you think worked fantastically and you could put another one a week later that you thought was a miserable failure.”</w:t>
      </w:r>
    </w:p>
    <w:p w14:paraId="4DF0BB71" w14:textId="77777777" w:rsidR="00BE569F" w:rsidRDefault="00BE569F" w:rsidP="00C74EDA">
      <w:pPr>
        <w:spacing w:line="480" w:lineRule="auto"/>
        <w:rPr>
          <w:sz w:val="24"/>
        </w:rPr>
      </w:pPr>
    </w:p>
    <w:p w14:paraId="2753AA08" w14:textId="77777777" w:rsidR="00BE569F" w:rsidRDefault="00D36A55" w:rsidP="00C74EDA">
      <w:pPr>
        <w:spacing w:line="480" w:lineRule="auto"/>
        <w:ind w:left="720"/>
        <w:rPr>
          <w:sz w:val="24"/>
        </w:rPr>
      </w:pPr>
      <w:r>
        <w:rPr>
          <w:i/>
          <w:sz w:val="24"/>
          <w:szCs w:val="24"/>
        </w:rPr>
        <w:t>“A master</w:t>
      </w:r>
      <w:r w:rsidRPr="001B6F65">
        <w:rPr>
          <w:i/>
          <w:sz w:val="24"/>
          <w:szCs w:val="24"/>
        </w:rPr>
        <w:t>class in Lancaster would not be the same as a master</w:t>
      </w:r>
      <w:r>
        <w:rPr>
          <w:i/>
          <w:sz w:val="24"/>
          <w:szCs w:val="24"/>
        </w:rPr>
        <w:t xml:space="preserve"> </w:t>
      </w:r>
      <w:r w:rsidRPr="001B6F65">
        <w:rPr>
          <w:i/>
          <w:sz w:val="24"/>
          <w:szCs w:val="24"/>
        </w:rPr>
        <w:t>class in Plymouth</w:t>
      </w:r>
      <w:r>
        <w:rPr>
          <w:i/>
          <w:sz w:val="24"/>
          <w:szCs w:val="24"/>
        </w:rPr>
        <w:t>,</w:t>
      </w:r>
      <w:r w:rsidRPr="001B6F65">
        <w:rPr>
          <w:i/>
          <w:sz w:val="24"/>
          <w:szCs w:val="24"/>
        </w:rPr>
        <w:t xml:space="preserve"> for argument’s sake. There are so many influencing factors that impact on the young people.  Unless you are making a comparison of individual </w:t>
      </w:r>
      <w:r>
        <w:rPr>
          <w:i/>
          <w:sz w:val="24"/>
          <w:szCs w:val="24"/>
        </w:rPr>
        <w:t>master</w:t>
      </w:r>
      <w:r w:rsidRPr="001B6F65">
        <w:rPr>
          <w:i/>
          <w:sz w:val="24"/>
          <w:szCs w:val="24"/>
        </w:rPr>
        <w:t>classes it is very difficult to determine the impact in general</w:t>
      </w:r>
      <w:r>
        <w:rPr>
          <w:i/>
          <w:sz w:val="24"/>
          <w:szCs w:val="24"/>
        </w:rPr>
        <w:t>.”</w:t>
      </w:r>
    </w:p>
    <w:p w14:paraId="4FAEAF6D" w14:textId="77777777" w:rsidR="00BE569F" w:rsidRDefault="00BE569F" w:rsidP="00C74EDA">
      <w:pPr>
        <w:spacing w:line="480" w:lineRule="auto"/>
        <w:rPr>
          <w:sz w:val="24"/>
        </w:rPr>
      </w:pPr>
    </w:p>
    <w:p w14:paraId="7B8CBD1D" w14:textId="77777777" w:rsidR="00845C63" w:rsidRDefault="00CD6409" w:rsidP="00C74EDA">
      <w:pPr>
        <w:spacing w:line="480" w:lineRule="auto"/>
        <w:rPr>
          <w:sz w:val="24"/>
        </w:rPr>
      </w:pPr>
      <w:r>
        <w:rPr>
          <w:sz w:val="24"/>
        </w:rPr>
        <w:t xml:space="preserve">Furthermore, it was felt that </w:t>
      </w:r>
      <w:r w:rsidR="00D61F3C">
        <w:rPr>
          <w:sz w:val="24"/>
        </w:rPr>
        <w:t xml:space="preserve">some of the most effective activities were bound closely into the work of the school.  This presented problems in terms of the reductive form of evaluation that Aimhigher </w:t>
      </w:r>
      <w:r w:rsidR="00AF4D99">
        <w:rPr>
          <w:sz w:val="24"/>
        </w:rPr>
        <w:t>was</w:t>
      </w:r>
      <w:r w:rsidR="00D61F3C">
        <w:rPr>
          <w:sz w:val="24"/>
        </w:rPr>
        <w:t xml:space="preserve"> being asked to work within</w:t>
      </w:r>
      <w:r w:rsidR="00616155">
        <w:rPr>
          <w:sz w:val="24"/>
        </w:rPr>
        <w:t>; t</w:t>
      </w:r>
      <w:r w:rsidR="00845C63">
        <w:rPr>
          <w:sz w:val="24"/>
        </w:rPr>
        <w:t>he lines between school and WP activity were blurred</w:t>
      </w:r>
      <w:r w:rsidR="00616155">
        <w:rPr>
          <w:sz w:val="24"/>
        </w:rPr>
        <w:t xml:space="preserve">, while </w:t>
      </w:r>
      <w:r w:rsidR="00845C63">
        <w:rPr>
          <w:sz w:val="24"/>
        </w:rPr>
        <w:t xml:space="preserve">the school was </w:t>
      </w:r>
      <w:r w:rsidR="00616155">
        <w:rPr>
          <w:sz w:val="24"/>
        </w:rPr>
        <w:t>likely to protect its own interests</w:t>
      </w:r>
      <w:r w:rsidR="00845C63">
        <w:rPr>
          <w:sz w:val="24"/>
        </w:rPr>
        <w:t xml:space="preserve">: </w:t>
      </w:r>
    </w:p>
    <w:p w14:paraId="613FFD8A" w14:textId="77777777" w:rsidR="00845C63" w:rsidRDefault="00845C63" w:rsidP="00C74EDA">
      <w:pPr>
        <w:spacing w:line="480" w:lineRule="auto"/>
        <w:rPr>
          <w:sz w:val="24"/>
        </w:rPr>
      </w:pPr>
    </w:p>
    <w:p w14:paraId="6EEE88A6" w14:textId="77777777" w:rsidR="00D70EFC" w:rsidRDefault="001455EB" w:rsidP="00C74EDA">
      <w:pPr>
        <w:spacing w:line="480" w:lineRule="auto"/>
        <w:ind w:left="720"/>
        <w:rPr>
          <w:iCs/>
          <w:sz w:val="24"/>
        </w:rPr>
      </w:pPr>
      <w:r>
        <w:rPr>
          <w:i/>
          <w:iCs/>
          <w:sz w:val="24"/>
        </w:rPr>
        <w:t>“</w:t>
      </w:r>
      <w:r w:rsidR="00845C63">
        <w:rPr>
          <w:i/>
          <w:iCs/>
          <w:sz w:val="24"/>
        </w:rPr>
        <w:t>T</w:t>
      </w:r>
      <w:r w:rsidR="0053300E" w:rsidRPr="0067252F">
        <w:rPr>
          <w:i/>
          <w:iCs/>
          <w:sz w:val="24"/>
        </w:rPr>
        <w:t>he more successful we were at integrating in school programmes</w:t>
      </w:r>
      <w:r w:rsidR="00845C63">
        <w:rPr>
          <w:i/>
          <w:iCs/>
          <w:sz w:val="24"/>
        </w:rPr>
        <w:t xml:space="preserve"> […]</w:t>
      </w:r>
      <w:r>
        <w:rPr>
          <w:i/>
          <w:iCs/>
          <w:sz w:val="24"/>
        </w:rPr>
        <w:t xml:space="preserve"> </w:t>
      </w:r>
      <w:r w:rsidR="0053300E" w:rsidRPr="0067252F">
        <w:rPr>
          <w:i/>
          <w:iCs/>
          <w:sz w:val="24"/>
        </w:rPr>
        <w:t>the harder it became to disaggregate the Aimhigher effect</w:t>
      </w:r>
      <w:r>
        <w:rPr>
          <w:i/>
          <w:iCs/>
          <w:sz w:val="24"/>
        </w:rPr>
        <w:t>.”</w:t>
      </w:r>
    </w:p>
    <w:p w14:paraId="4FFD2943" w14:textId="77777777" w:rsidR="00D70EFC" w:rsidRDefault="00D70EFC" w:rsidP="00C74EDA">
      <w:pPr>
        <w:spacing w:line="480" w:lineRule="auto"/>
        <w:ind w:left="720"/>
        <w:rPr>
          <w:iCs/>
          <w:sz w:val="24"/>
        </w:rPr>
      </w:pPr>
    </w:p>
    <w:p w14:paraId="3E24CAFA" w14:textId="77777777" w:rsidR="00E01A7A" w:rsidRPr="00D70EFC" w:rsidRDefault="00D70EFC" w:rsidP="00C74EDA">
      <w:pPr>
        <w:spacing w:line="480" w:lineRule="auto"/>
        <w:ind w:left="720"/>
        <w:rPr>
          <w:iCs/>
          <w:sz w:val="24"/>
        </w:rPr>
      </w:pPr>
      <w:r w:rsidRPr="00D70EFC">
        <w:rPr>
          <w:i/>
          <w:sz w:val="24"/>
        </w:rPr>
        <w:lastRenderedPageBreak/>
        <w:t>“O</w:t>
      </w:r>
      <w:r w:rsidR="00845C63" w:rsidRPr="00D70EFC">
        <w:rPr>
          <w:i/>
          <w:sz w:val="24"/>
        </w:rPr>
        <w:t xml:space="preserve">f course, it’s much more difficult to justify that you’ve done, as schools – and headteachers in particular – will never want to give you the credit for raising attainment in their </w:t>
      </w:r>
      <w:r w:rsidR="00C4164D">
        <w:rPr>
          <w:i/>
          <w:sz w:val="24"/>
        </w:rPr>
        <w:t xml:space="preserve">school as they want the credit </w:t>
      </w:r>
      <w:r w:rsidR="00845C63" w:rsidRPr="00D70EFC">
        <w:rPr>
          <w:i/>
          <w:sz w:val="24"/>
        </w:rPr>
        <w:t>for themselves.  So it’s even harder to measure.”</w:t>
      </w:r>
    </w:p>
    <w:p w14:paraId="248BB848" w14:textId="77777777" w:rsidR="00E01A7A" w:rsidRDefault="00E01A7A" w:rsidP="00C74EDA">
      <w:pPr>
        <w:spacing w:line="480" w:lineRule="auto"/>
        <w:rPr>
          <w:sz w:val="24"/>
        </w:rPr>
      </w:pPr>
    </w:p>
    <w:p w14:paraId="2F321372" w14:textId="4D459ED7" w:rsidR="00107840" w:rsidRPr="00433F29" w:rsidRDefault="00D13B29" w:rsidP="00C74EDA">
      <w:pPr>
        <w:spacing w:line="480" w:lineRule="auto"/>
        <w:rPr>
          <w:sz w:val="24"/>
        </w:rPr>
      </w:pPr>
      <w:r>
        <w:rPr>
          <w:sz w:val="24"/>
        </w:rPr>
        <w:t xml:space="preserve">In particular, several Strand 1 participants talked about a reduction </w:t>
      </w:r>
      <w:r w:rsidR="00AF4D99">
        <w:rPr>
          <w:sz w:val="24"/>
        </w:rPr>
        <w:t xml:space="preserve">over time </w:t>
      </w:r>
      <w:r>
        <w:rPr>
          <w:sz w:val="24"/>
        </w:rPr>
        <w:t xml:space="preserve">in activities with younger children and their parents, as these were particularly difficult to evaluate given the timescales involved </w:t>
      </w:r>
      <w:r w:rsidR="00AF4D99">
        <w:rPr>
          <w:sz w:val="24"/>
        </w:rPr>
        <w:t xml:space="preserve">(which could be up to ten years) </w:t>
      </w:r>
      <w:r>
        <w:rPr>
          <w:sz w:val="24"/>
        </w:rPr>
        <w:t xml:space="preserve">and the indirect </w:t>
      </w:r>
      <w:r w:rsidR="004F1996">
        <w:rPr>
          <w:sz w:val="24"/>
        </w:rPr>
        <w:t xml:space="preserve">nature of the </w:t>
      </w:r>
      <w:r>
        <w:rPr>
          <w:sz w:val="24"/>
        </w:rPr>
        <w:t>intervention being made.</w:t>
      </w:r>
      <w:r w:rsidR="008C4A7B">
        <w:rPr>
          <w:sz w:val="24"/>
        </w:rPr>
        <w:t xml:space="preserve"> </w:t>
      </w:r>
    </w:p>
    <w:p w14:paraId="2F20B848" w14:textId="77777777" w:rsidR="006A0072" w:rsidRDefault="006A0072" w:rsidP="00C74EDA">
      <w:pPr>
        <w:pStyle w:val="ListParagraph"/>
        <w:spacing w:line="480" w:lineRule="auto"/>
        <w:rPr>
          <w:sz w:val="24"/>
        </w:rPr>
      </w:pPr>
    </w:p>
    <w:p w14:paraId="75A6DD2A" w14:textId="32011C9E" w:rsidR="003219AE" w:rsidRDefault="00BA0989" w:rsidP="00C74EDA">
      <w:pPr>
        <w:spacing w:line="480" w:lineRule="auto"/>
        <w:rPr>
          <w:sz w:val="24"/>
        </w:rPr>
      </w:pPr>
      <w:r>
        <w:rPr>
          <w:sz w:val="24"/>
        </w:rPr>
        <w:t>Turning</w:t>
      </w:r>
      <w:r w:rsidR="003219AE">
        <w:rPr>
          <w:sz w:val="24"/>
        </w:rPr>
        <w:t xml:space="preserve"> to the Strand 2 data, it is readily apparent that the evaluation of WP activities and programmes continues to be an unsolved problem.  </w:t>
      </w:r>
      <w:r w:rsidR="00C04ABA">
        <w:rPr>
          <w:sz w:val="24"/>
        </w:rPr>
        <w:t xml:space="preserve">Only 10 percent of </w:t>
      </w:r>
      <w:r w:rsidR="00773520">
        <w:rPr>
          <w:sz w:val="24"/>
        </w:rPr>
        <w:t xml:space="preserve">respondents </w:t>
      </w:r>
      <w:r w:rsidR="00F257FD">
        <w:rPr>
          <w:sz w:val="24"/>
        </w:rPr>
        <w:t xml:space="preserve">rated themselves as </w:t>
      </w:r>
      <w:r w:rsidR="00C04ABA">
        <w:rPr>
          <w:sz w:val="24"/>
        </w:rPr>
        <w:t>‘very confident’ in the evidence base underpinning their activities, although another 58 percent were ‘generally confident’</w:t>
      </w:r>
      <w:r w:rsidR="00F257FD">
        <w:rPr>
          <w:sz w:val="24"/>
        </w:rPr>
        <w:t>; the remainder were ‘quite confident’ with the exception of one respondent who was ‘not confident’</w:t>
      </w:r>
      <w:r w:rsidR="00C04ABA">
        <w:rPr>
          <w:sz w:val="24"/>
        </w:rPr>
        <w:t xml:space="preserve">.  </w:t>
      </w:r>
      <w:r w:rsidR="00FC4D37">
        <w:rPr>
          <w:sz w:val="24"/>
        </w:rPr>
        <w:t xml:space="preserve">As a result, </w:t>
      </w:r>
      <w:r w:rsidR="003219AE">
        <w:rPr>
          <w:sz w:val="24"/>
        </w:rPr>
        <w:t>91 percent were looking to improve their evaluation practices.</w:t>
      </w:r>
    </w:p>
    <w:p w14:paraId="0E11ACA9" w14:textId="35C621FE" w:rsidR="00FD40C2" w:rsidRDefault="00FD40C2" w:rsidP="00C74EDA">
      <w:pPr>
        <w:spacing w:line="480" w:lineRule="auto"/>
        <w:rPr>
          <w:sz w:val="24"/>
        </w:rPr>
      </w:pPr>
    </w:p>
    <w:p w14:paraId="0D12D150" w14:textId="337778F4" w:rsidR="00EF398D" w:rsidRDefault="00EF398D" w:rsidP="00C74EDA">
      <w:pPr>
        <w:spacing w:line="480" w:lineRule="auto"/>
        <w:rPr>
          <w:sz w:val="24"/>
        </w:rPr>
      </w:pPr>
      <w:r>
        <w:rPr>
          <w:sz w:val="24"/>
        </w:rPr>
        <w:t>[FIGURE 2 here]</w:t>
      </w:r>
    </w:p>
    <w:p w14:paraId="57197AC7" w14:textId="77777777" w:rsidR="00FD40C2" w:rsidRDefault="00FD40C2" w:rsidP="00C74EDA">
      <w:pPr>
        <w:spacing w:line="480" w:lineRule="auto"/>
        <w:rPr>
          <w:sz w:val="24"/>
        </w:rPr>
      </w:pPr>
    </w:p>
    <w:p w14:paraId="078804A8" w14:textId="76F1FAD0" w:rsidR="00C04ABA" w:rsidRDefault="005E6483" w:rsidP="00C74EDA">
      <w:pPr>
        <w:spacing w:line="480" w:lineRule="auto"/>
        <w:rPr>
          <w:sz w:val="24"/>
        </w:rPr>
      </w:pPr>
      <w:r>
        <w:rPr>
          <w:sz w:val="24"/>
        </w:rPr>
        <w:t xml:space="preserve">As shown in Figure </w:t>
      </w:r>
      <w:r w:rsidR="00906EAF">
        <w:rPr>
          <w:sz w:val="24"/>
        </w:rPr>
        <w:t>2</w:t>
      </w:r>
      <w:r>
        <w:rPr>
          <w:sz w:val="24"/>
        </w:rPr>
        <w:t xml:space="preserve">, pupil questionnaires </w:t>
      </w:r>
      <w:r w:rsidR="00BA0989">
        <w:rPr>
          <w:sz w:val="24"/>
        </w:rPr>
        <w:t>we</w:t>
      </w:r>
      <w:r>
        <w:rPr>
          <w:sz w:val="24"/>
        </w:rPr>
        <w:t>re the most widely used forms of evaluation, followed by time series analyses, questionnaires with teachers and longitudinal tracking</w:t>
      </w:r>
      <w:r w:rsidR="00723317">
        <w:rPr>
          <w:sz w:val="24"/>
        </w:rPr>
        <w:t xml:space="preserve">, all of which provide </w:t>
      </w:r>
      <w:r w:rsidR="00236773">
        <w:rPr>
          <w:sz w:val="24"/>
        </w:rPr>
        <w:t xml:space="preserve">simple and </w:t>
      </w:r>
      <w:r w:rsidR="00723317">
        <w:rPr>
          <w:sz w:val="24"/>
        </w:rPr>
        <w:t>readily-quantifiable data</w:t>
      </w:r>
      <w:r>
        <w:rPr>
          <w:sz w:val="24"/>
        </w:rPr>
        <w:t>.  Interviews with pupils and teachers were generally only on an ‘occasional’ or ‘rare’ basis, which was surprising given the rich lifecourse data that they can yield.</w:t>
      </w:r>
      <w:r w:rsidR="001B3521">
        <w:rPr>
          <w:sz w:val="24"/>
        </w:rPr>
        <w:t xml:space="preserve">  The least likely to be used were the most rigorous </w:t>
      </w:r>
      <w:r w:rsidR="003C2DA4">
        <w:rPr>
          <w:sz w:val="24"/>
        </w:rPr>
        <w:lastRenderedPageBreak/>
        <w:t xml:space="preserve">quantitative </w:t>
      </w:r>
      <w:r w:rsidR="001B3521">
        <w:rPr>
          <w:sz w:val="24"/>
        </w:rPr>
        <w:t>approaches</w:t>
      </w:r>
      <w:r w:rsidR="003C2DA4">
        <w:rPr>
          <w:sz w:val="24"/>
        </w:rPr>
        <w:t xml:space="preserve"> and those most likely to illuminate causal relationships</w:t>
      </w:r>
      <w:r w:rsidR="001B3521">
        <w:rPr>
          <w:sz w:val="24"/>
        </w:rPr>
        <w:t>.</w:t>
      </w:r>
      <w:r w:rsidR="00723317">
        <w:rPr>
          <w:sz w:val="24"/>
        </w:rPr>
        <w:t xml:space="preserve">  </w:t>
      </w:r>
      <w:r w:rsidR="00062007">
        <w:rPr>
          <w:sz w:val="24"/>
        </w:rPr>
        <w:t xml:space="preserve">Colleges were more likely to rely on pupil questionnaires than universities, while New </w:t>
      </w:r>
      <w:r w:rsidR="00255DA3">
        <w:rPr>
          <w:sz w:val="24"/>
        </w:rPr>
        <w:t>U</w:t>
      </w:r>
      <w:r w:rsidR="00062007">
        <w:rPr>
          <w:sz w:val="24"/>
        </w:rPr>
        <w:t>niversities made a greater use of time</w:t>
      </w:r>
      <w:r w:rsidR="00982F21">
        <w:rPr>
          <w:sz w:val="24"/>
        </w:rPr>
        <w:t xml:space="preserve"> series analysis, </w:t>
      </w:r>
      <w:r w:rsidR="00BA0989">
        <w:rPr>
          <w:sz w:val="24"/>
        </w:rPr>
        <w:t xml:space="preserve">presumably </w:t>
      </w:r>
      <w:r w:rsidR="007012C1">
        <w:rPr>
          <w:sz w:val="24"/>
        </w:rPr>
        <w:t xml:space="preserve">focused </w:t>
      </w:r>
      <w:r w:rsidR="00BA0989">
        <w:rPr>
          <w:sz w:val="24"/>
        </w:rPr>
        <w:t>on</w:t>
      </w:r>
      <w:r w:rsidR="005B5967">
        <w:rPr>
          <w:sz w:val="24"/>
        </w:rPr>
        <w:t xml:space="preserve"> </w:t>
      </w:r>
      <w:r w:rsidR="007012C1">
        <w:rPr>
          <w:sz w:val="24"/>
        </w:rPr>
        <w:t>around monitoring applications from particular schools</w:t>
      </w:r>
      <w:r w:rsidR="00BA0989">
        <w:rPr>
          <w:sz w:val="24"/>
        </w:rPr>
        <w:t>/areas</w:t>
      </w:r>
      <w:r w:rsidR="007012C1">
        <w:rPr>
          <w:sz w:val="24"/>
        </w:rPr>
        <w:t>.</w:t>
      </w:r>
    </w:p>
    <w:p w14:paraId="082744C7" w14:textId="77777777" w:rsidR="00C04ABA" w:rsidRDefault="00C04ABA" w:rsidP="00C74EDA">
      <w:pPr>
        <w:spacing w:line="480" w:lineRule="auto"/>
        <w:rPr>
          <w:sz w:val="24"/>
        </w:rPr>
      </w:pPr>
    </w:p>
    <w:p w14:paraId="65862C0E" w14:textId="132E62EE" w:rsidR="00214F31" w:rsidRDefault="00255DA3" w:rsidP="00C74EDA">
      <w:pPr>
        <w:spacing w:line="480" w:lineRule="auto"/>
        <w:rPr>
          <w:sz w:val="24"/>
        </w:rPr>
      </w:pPr>
      <w:r>
        <w:rPr>
          <w:sz w:val="24"/>
        </w:rPr>
        <w:t xml:space="preserve">Strand 2 participants were also asked which form of evaluation they felt to be the most reliable in terms of evidence produced and there was overwhelming support for longitudinal studies, with 58 percent choosing this option.  </w:t>
      </w:r>
      <w:r w:rsidR="00214F31">
        <w:rPr>
          <w:sz w:val="24"/>
        </w:rPr>
        <w:t>The qualitative comments suggested that th</w:t>
      </w:r>
      <w:r w:rsidR="00BF25EF">
        <w:rPr>
          <w:sz w:val="24"/>
        </w:rPr>
        <w:t>is</w:t>
      </w:r>
      <w:r w:rsidR="00214F31">
        <w:rPr>
          <w:sz w:val="24"/>
        </w:rPr>
        <w:t xml:space="preserve"> enthusiasm for longitudinal studies was grounded in approaches that tracked individual young people through school and towards higher education</w:t>
      </w:r>
      <w:r w:rsidR="009249DD">
        <w:rPr>
          <w:sz w:val="24"/>
        </w:rPr>
        <w:t xml:space="preserve"> (although they did not know if the person went to another institution)</w:t>
      </w:r>
      <w:r w:rsidR="00B50C6D">
        <w:rPr>
          <w:sz w:val="24"/>
        </w:rPr>
        <w:t>, collating information on their attendance at WP activities, their qualification attainment and data from questionnaires.</w:t>
      </w:r>
      <w:r w:rsidR="0087523D">
        <w:rPr>
          <w:sz w:val="24"/>
        </w:rPr>
        <w:t xml:space="preserve">  </w:t>
      </w:r>
      <w:r w:rsidR="00094597">
        <w:rPr>
          <w:sz w:val="24"/>
        </w:rPr>
        <w:t xml:space="preserve">Such a tracking approach was pioneered </w:t>
      </w:r>
      <w:r w:rsidR="00107840">
        <w:rPr>
          <w:sz w:val="24"/>
        </w:rPr>
        <w:t>during the Aimhigher era and several</w:t>
      </w:r>
      <w:r w:rsidR="00094597">
        <w:rPr>
          <w:sz w:val="24"/>
        </w:rPr>
        <w:t xml:space="preserve"> of the Strand 1 participants saw this as </w:t>
      </w:r>
      <w:r w:rsidR="000625C0">
        <w:rPr>
          <w:sz w:val="24"/>
        </w:rPr>
        <w:t xml:space="preserve">an enduring </w:t>
      </w:r>
      <w:r w:rsidR="000625C0" w:rsidRPr="007E4D58">
        <w:rPr>
          <w:sz w:val="24"/>
          <w:szCs w:val="24"/>
        </w:rPr>
        <w:t>contribution</w:t>
      </w:r>
      <w:r w:rsidR="00094597" w:rsidRPr="007E4D58">
        <w:rPr>
          <w:sz w:val="24"/>
          <w:szCs w:val="24"/>
        </w:rPr>
        <w:t xml:space="preserve"> to the </w:t>
      </w:r>
      <w:r w:rsidR="000625C0" w:rsidRPr="007E4D58">
        <w:rPr>
          <w:sz w:val="24"/>
          <w:szCs w:val="24"/>
        </w:rPr>
        <w:t>sector</w:t>
      </w:r>
      <w:r w:rsidR="00094597" w:rsidRPr="007E4D58">
        <w:rPr>
          <w:sz w:val="24"/>
          <w:szCs w:val="24"/>
        </w:rPr>
        <w:t xml:space="preserve"> – indeed, the software </w:t>
      </w:r>
      <w:r w:rsidR="0087523D" w:rsidRPr="007E4D58">
        <w:rPr>
          <w:sz w:val="24"/>
          <w:szCs w:val="24"/>
        </w:rPr>
        <w:t>developed</w:t>
      </w:r>
      <w:r w:rsidR="00094597" w:rsidRPr="007E4D58">
        <w:rPr>
          <w:sz w:val="24"/>
          <w:szCs w:val="24"/>
        </w:rPr>
        <w:t xml:space="preserve"> under their stewardship is now available nationally</w:t>
      </w:r>
      <w:r w:rsidR="007E4D58" w:rsidRPr="007E4D58">
        <w:rPr>
          <w:sz w:val="24"/>
          <w:szCs w:val="24"/>
        </w:rPr>
        <w:t xml:space="preserve"> (</w:t>
      </w:r>
      <w:r w:rsidR="00A678DD">
        <w:rPr>
          <w:sz w:val="24"/>
          <w:szCs w:val="24"/>
        </w:rPr>
        <w:t>s</w:t>
      </w:r>
      <w:r w:rsidR="007E4D58" w:rsidRPr="007E4D58">
        <w:rPr>
          <w:sz w:val="24"/>
          <w:szCs w:val="24"/>
        </w:rPr>
        <w:t>ee</w:t>
      </w:r>
      <w:r w:rsidR="007E4D58" w:rsidRPr="007E4D58">
        <w:rPr>
          <w:i/>
          <w:sz w:val="24"/>
          <w:szCs w:val="24"/>
        </w:rPr>
        <w:t xml:space="preserve"> </w:t>
      </w:r>
      <w:r w:rsidR="007E4D58" w:rsidRPr="007E4D58">
        <w:rPr>
          <w:rStyle w:val="HTMLCite"/>
          <w:i w:val="0"/>
          <w:sz w:val="24"/>
          <w:szCs w:val="24"/>
        </w:rPr>
        <w:t>www.highereducationaccess</w:t>
      </w:r>
      <w:r w:rsidR="007E4D58" w:rsidRPr="007E4D58">
        <w:rPr>
          <w:rStyle w:val="HTMLCite"/>
          <w:bCs/>
          <w:i w:val="0"/>
          <w:sz w:val="24"/>
          <w:szCs w:val="24"/>
        </w:rPr>
        <w:t>tracker</w:t>
      </w:r>
      <w:r w:rsidR="007E4D58" w:rsidRPr="007E4D58">
        <w:rPr>
          <w:rStyle w:val="HTMLCite"/>
          <w:i w:val="0"/>
          <w:sz w:val="24"/>
          <w:szCs w:val="24"/>
        </w:rPr>
        <w:t>.org.uk)</w:t>
      </w:r>
      <w:r w:rsidR="0087523D" w:rsidRPr="007E4D58">
        <w:rPr>
          <w:sz w:val="24"/>
          <w:szCs w:val="24"/>
        </w:rPr>
        <w:t xml:space="preserve">, </w:t>
      </w:r>
      <w:r w:rsidR="00BA0989" w:rsidRPr="007E4D58">
        <w:rPr>
          <w:sz w:val="24"/>
          <w:szCs w:val="24"/>
        </w:rPr>
        <w:t>and</w:t>
      </w:r>
      <w:r w:rsidR="00BA0989">
        <w:rPr>
          <w:sz w:val="24"/>
        </w:rPr>
        <w:t xml:space="preserve"> referred to by </w:t>
      </w:r>
      <w:r w:rsidR="0087523D">
        <w:rPr>
          <w:sz w:val="24"/>
        </w:rPr>
        <w:t>around a fifth of the Strand 2 participants as part of their existing or future evaluation plans.</w:t>
      </w:r>
    </w:p>
    <w:p w14:paraId="675503E7" w14:textId="77777777" w:rsidR="00214F31" w:rsidRDefault="00214F31" w:rsidP="00C74EDA">
      <w:pPr>
        <w:spacing w:line="480" w:lineRule="auto"/>
        <w:rPr>
          <w:sz w:val="24"/>
        </w:rPr>
      </w:pPr>
    </w:p>
    <w:p w14:paraId="4383A78F" w14:textId="714A8135" w:rsidR="0087523D" w:rsidRDefault="0087523D" w:rsidP="00C74EDA">
      <w:pPr>
        <w:spacing w:line="480" w:lineRule="auto"/>
        <w:rPr>
          <w:sz w:val="24"/>
        </w:rPr>
      </w:pPr>
      <w:r>
        <w:rPr>
          <w:sz w:val="24"/>
        </w:rPr>
        <w:t xml:space="preserve">This approach clearly has a useful role to play in enabling institutions to collate information about their target group(s) and to potentially identify </w:t>
      </w:r>
      <w:r w:rsidR="00F43560">
        <w:rPr>
          <w:sz w:val="24"/>
        </w:rPr>
        <w:t xml:space="preserve">a </w:t>
      </w:r>
      <w:r>
        <w:rPr>
          <w:sz w:val="24"/>
        </w:rPr>
        <w:t xml:space="preserve">critical </w:t>
      </w:r>
      <w:r w:rsidR="00BA0989">
        <w:rPr>
          <w:sz w:val="24"/>
        </w:rPr>
        <w:t>episode</w:t>
      </w:r>
      <w:r>
        <w:rPr>
          <w:sz w:val="24"/>
        </w:rPr>
        <w:t xml:space="preserve"> where the young person’s aspirations or attainment shifted.  However, there are also several epistemological dangers:</w:t>
      </w:r>
    </w:p>
    <w:p w14:paraId="2CBFEF58" w14:textId="77777777" w:rsidR="0087523D" w:rsidRDefault="0087523D" w:rsidP="00C74EDA">
      <w:pPr>
        <w:spacing w:line="480" w:lineRule="auto"/>
        <w:rPr>
          <w:sz w:val="24"/>
        </w:rPr>
      </w:pPr>
    </w:p>
    <w:p w14:paraId="5A4DC701" w14:textId="3C9DCABF" w:rsidR="0087523D" w:rsidRDefault="00D05F64" w:rsidP="00C74EDA">
      <w:pPr>
        <w:pStyle w:val="ListParagraph"/>
        <w:numPr>
          <w:ilvl w:val="0"/>
          <w:numId w:val="8"/>
        </w:numPr>
        <w:spacing w:line="480" w:lineRule="auto"/>
        <w:rPr>
          <w:sz w:val="24"/>
        </w:rPr>
      </w:pPr>
      <w:r>
        <w:rPr>
          <w:sz w:val="24"/>
        </w:rPr>
        <w:lastRenderedPageBreak/>
        <w:t xml:space="preserve">If an attitudinal </w:t>
      </w:r>
      <w:r w:rsidR="0087523D" w:rsidRPr="00376A6B">
        <w:rPr>
          <w:sz w:val="24"/>
        </w:rPr>
        <w:t>shift for the young person is contemporaneous with a WP activity, it is not necessarily due to that activity</w:t>
      </w:r>
      <w:r w:rsidR="00376A6B">
        <w:rPr>
          <w:sz w:val="24"/>
        </w:rPr>
        <w:t>, especially as the data points are likely to be widely spaced in time</w:t>
      </w:r>
      <w:r w:rsidR="0087523D" w:rsidRPr="00376A6B">
        <w:rPr>
          <w:sz w:val="24"/>
        </w:rPr>
        <w:t xml:space="preserve"> </w:t>
      </w:r>
      <w:r w:rsidR="00376A6B">
        <w:rPr>
          <w:sz w:val="24"/>
        </w:rPr>
        <w:t>– a correlation/causation issue.</w:t>
      </w:r>
      <w:r w:rsidR="00853BF8">
        <w:rPr>
          <w:sz w:val="24"/>
        </w:rPr>
        <w:t xml:space="preserve"> </w:t>
      </w:r>
      <w:r w:rsidR="007F3915">
        <w:rPr>
          <w:sz w:val="24"/>
        </w:rPr>
        <w:t xml:space="preserve"> Conversely, if the change is delayed, it may be missed.</w:t>
      </w:r>
    </w:p>
    <w:p w14:paraId="74D84881" w14:textId="77777777" w:rsidR="00376A6B" w:rsidRDefault="00376A6B" w:rsidP="00C74EDA">
      <w:pPr>
        <w:pStyle w:val="ListParagraph"/>
        <w:spacing w:line="480" w:lineRule="auto"/>
        <w:rPr>
          <w:sz w:val="24"/>
        </w:rPr>
      </w:pPr>
    </w:p>
    <w:p w14:paraId="28626038" w14:textId="6FB3B64F" w:rsidR="00376A6B" w:rsidRDefault="00D05F64" w:rsidP="00C74EDA">
      <w:pPr>
        <w:pStyle w:val="ListParagraph"/>
        <w:numPr>
          <w:ilvl w:val="0"/>
          <w:numId w:val="8"/>
        </w:numPr>
        <w:spacing w:line="480" w:lineRule="auto"/>
        <w:rPr>
          <w:sz w:val="24"/>
        </w:rPr>
      </w:pPr>
      <w:r>
        <w:rPr>
          <w:sz w:val="24"/>
        </w:rPr>
        <w:t>W</w:t>
      </w:r>
      <w:r w:rsidR="00376A6B">
        <w:rPr>
          <w:sz w:val="24"/>
        </w:rPr>
        <w:t xml:space="preserve">ithout information about young people outside of the target group, it is impossible to assess any unique contribution deriving from the WP activities.  This is particular </w:t>
      </w:r>
      <w:r w:rsidR="00376A6B" w:rsidRPr="009249DD">
        <w:rPr>
          <w:sz w:val="24"/>
          <w:szCs w:val="24"/>
        </w:rPr>
        <w:t>problematic given that the target group are likely to be deriving additional interventions through the Pupil Premium</w:t>
      </w:r>
      <w:r w:rsidR="009249DD" w:rsidRPr="009249DD">
        <w:rPr>
          <w:sz w:val="24"/>
          <w:szCs w:val="24"/>
        </w:rPr>
        <w:t xml:space="preserve"> (the main national policy tool since 2011 for addressing unequal attainment </w:t>
      </w:r>
      <w:r w:rsidR="00F257FD">
        <w:rPr>
          <w:sz w:val="24"/>
          <w:szCs w:val="24"/>
        </w:rPr>
        <w:t xml:space="preserve">in schools </w:t>
      </w:r>
      <w:r w:rsidR="009249DD" w:rsidRPr="009249DD">
        <w:rPr>
          <w:sz w:val="24"/>
          <w:szCs w:val="24"/>
        </w:rPr>
        <w:t xml:space="preserve">by providing additional funding for children from low income and other disadvantaged backgrounds) </w:t>
      </w:r>
      <w:r w:rsidR="00376A6B" w:rsidRPr="009249DD">
        <w:rPr>
          <w:sz w:val="24"/>
          <w:szCs w:val="24"/>
        </w:rPr>
        <w:t xml:space="preserve">and Gifted and Talented </w:t>
      </w:r>
      <w:r w:rsidR="009249DD" w:rsidRPr="009249DD">
        <w:rPr>
          <w:sz w:val="24"/>
          <w:szCs w:val="24"/>
        </w:rPr>
        <w:t xml:space="preserve">(enrichment activities to develop notable abilities, whether academic, sporting or artistic) </w:t>
      </w:r>
      <w:r w:rsidR="00376A6B" w:rsidRPr="009249DD">
        <w:rPr>
          <w:sz w:val="24"/>
          <w:szCs w:val="24"/>
        </w:rPr>
        <w:t xml:space="preserve">schemes, as well as other social justice </w:t>
      </w:r>
      <w:r w:rsidR="00B3582A" w:rsidRPr="009249DD">
        <w:rPr>
          <w:sz w:val="24"/>
          <w:szCs w:val="24"/>
        </w:rPr>
        <w:t>initiatives</w:t>
      </w:r>
      <w:r w:rsidR="00376A6B" w:rsidRPr="009249DD">
        <w:rPr>
          <w:sz w:val="24"/>
          <w:szCs w:val="24"/>
        </w:rPr>
        <w:t>.</w:t>
      </w:r>
    </w:p>
    <w:p w14:paraId="611218C9" w14:textId="77777777" w:rsidR="00B3582A" w:rsidRPr="00B3582A" w:rsidRDefault="00B3582A" w:rsidP="00C74EDA">
      <w:pPr>
        <w:pStyle w:val="ListParagraph"/>
        <w:spacing w:line="480" w:lineRule="auto"/>
        <w:rPr>
          <w:sz w:val="24"/>
        </w:rPr>
      </w:pPr>
    </w:p>
    <w:p w14:paraId="0E4DCC10" w14:textId="77777777" w:rsidR="00B3582A" w:rsidRDefault="00D05F64" w:rsidP="00C74EDA">
      <w:pPr>
        <w:pStyle w:val="ListParagraph"/>
        <w:numPr>
          <w:ilvl w:val="0"/>
          <w:numId w:val="8"/>
        </w:numPr>
        <w:spacing w:line="480" w:lineRule="auto"/>
        <w:rPr>
          <w:sz w:val="24"/>
        </w:rPr>
      </w:pPr>
      <w:r>
        <w:rPr>
          <w:sz w:val="24"/>
        </w:rPr>
        <w:t>Y</w:t>
      </w:r>
      <w:r w:rsidR="00351E3F">
        <w:rPr>
          <w:sz w:val="24"/>
        </w:rPr>
        <w:t>oung people are targeted by institutions on the basis of their perceived potential to attend higher education – it is not a random process</w:t>
      </w:r>
      <w:r w:rsidR="00097CB9">
        <w:rPr>
          <w:sz w:val="24"/>
        </w:rPr>
        <w:t xml:space="preserve"> and</w:t>
      </w:r>
      <w:r w:rsidR="00351E3F">
        <w:rPr>
          <w:sz w:val="24"/>
        </w:rPr>
        <w:t xml:space="preserve"> introduces a very strong </w:t>
      </w:r>
      <w:r w:rsidR="00A67C3E">
        <w:rPr>
          <w:sz w:val="24"/>
        </w:rPr>
        <w:t xml:space="preserve">selection bias into the data.  There </w:t>
      </w:r>
      <w:r>
        <w:rPr>
          <w:sz w:val="24"/>
        </w:rPr>
        <w:t>may be</w:t>
      </w:r>
      <w:r w:rsidR="00A67C3E">
        <w:rPr>
          <w:sz w:val="24"/>
        </w:rPr>
        <w:t xml:space="preserve"> a temptation to compare the target group with background aspiration, attainment or progression statistics for the</w:t>
      </w:r>
      <w:r>
        <w:rPr>
          <w:sz w:val="24"/>
        </w:rPr>
        <w:t xml:space="preserve"> school/</w:t>
      </w:r>
      <w:r w:rsidR="00A67C3E">
        <w:rPr>
          <w:sz w:val="24"/>
        </w:rPr>
        <w:t xml:space="preserve">area, leading to </w:t>
      </w:r>
      <w:r w:rsidR="00287654">
        <w:rPr>
          <w:sz w:val="24"/>
        </w:rPr>
        <w:t xml:space="preserve">form of </w:t>
      </w:r>
      <w:r w:rsidR="00A67C3E">
        <w:rPr>
          <w:sz w:val="24"/>
        </w:rPr>
        <w:t>a self-fulfilling prophecy.</w:t>
      </w:r>
    </w:p>
    <w:p w14:paraId="599A2AA6" w14:textId="77777777" w:rsidR="00A67C3E" w:rsidRPr="00A67C3E" w:rsidRDefault="00A67C3E" w:rsidP="00C74EDA">
      <w:pPr>
        <w:pStyle w:val="ListParagraph"/>
        <w:spacing w:line="480" w:lineRule="auto"/>
        <w:rPr>
          <w:sz w:val="24"/>
        </w:rPr>
      </w:pPr>
    </w:p>
    <w:p w14:paraId="0A62FBEC" w14:textId="1A3BD968" w:rsidR="00A67C3E" w:rsidRPr="00376A6B" w:rsidRDefault="00287654" w:rsidP="00C74EDA">
      <w:pPr>
        <w:pStyle w:val="ListParagraph"/>
        <w:numPr>
          <w:ilvl w:val="0"/>
          <w:numId w:val="8"/>
        </w:numPr>
        <w:spacing w:line="480" w:lineRule="auto"/>
        <w:rPr>
          <w:sz w:val="24"/>
        </w:rPr>
      </w:pPr>
      <w:r>
        <w:rPr>
          <w:sz w:val="24"/>
        </w:rPr>
        <w:t xml:space="preserve">Finally, </w:t>
      </w:r>
      <w:r w:rsidR="009015A4">
        <w:rPr>
          <w:sz w:val="24"/>
        </w:rPr>
        <w:t>simple tracking</w:t>
      </w:r>
      <w:r>
        <w:rPr>
          <w:sz w:val="24"/>
        </w:rPr>
        <w:t xml:space="preserve"> studies cannot address the deadweight issue </w:t>
      </w:r>
      <w:r w:rsidR="00257304">
        <w:rPr>
          <w:sz w:val="24"/>
        </w:rPr>
        <w:t xml:space="preserve">outlined above.  Our collective knowledge about young people’s trajectories into higher education is not yet sufficiently nuanced to be able to predict which need intervention to help them to join the pool </w:t>
      </w:r>
      <w:r w:rsidR="00507021">
        <w:rPr>
          <w:sz w:val="24"/>
        </w:rPr>
        <w:t xml:space="preserve">of potential applicants and which are already on the conveyer </w:t>
      </w:r>
      <w:r w:rsidR="00507021">
        <w:rPr>
          <w:sz w:val="24"/>
        </w:rPr>
        <w:lastRenderedPageBreak/>
        <w:t>belt, even if they are not yet aware of it.</w:t>
      </w:r>
      <w:r w:rsidR="00463723">
        <w:rPr>
          <w:sz w:val="24"/>
        </w:rPr>
        <w:t xml:space="preserve">  Targeting the highest achieving children from disadvantaged schools </w:t>
      </w:r>
      <w:r w:rsidR="00A77359">
        <w:rPr>
          <w:sz w:val="24"/>
        </w:rPr>
        <w:t>is</w:t>
      </w:r>
      <w:r w:rsidR="00463723">
        <w:rPr>
          <w:sz w:val="24"/>
        </w:rPr>
        <w:t xml:space="preserve"> unlikely to </w:t>
      </w:r>
      <w:r w:rsidR="005246B1">
        <w:rPr>
          <w:sz w:val="24"/>
        </w:rPr>
        <w:t xml:space="preserve">shift overall progression figures </w:t>
      </w:r>
      <w:r w:rsidR="00A77359">
        <w:rPr>
          <w:sz w:val="24"/>
        </w:rPr>
        <w:t xml:space="preserve">if </w:t>
      </w:r>
      <w:r w:rsidR="00D05F64">
        <w:rPr>
          <w:sz w:val="24"/>
        </w:rPr>
        <w:t>these represent</w:t>
      </w:r>
      <w:r w:rsidR="00A77359">
        <w:rPr>
          <w:sz w:val="24"/>
        </w:rPr>
        <w:t xml:space="preserve"> the 23 percent already reach</w:t>
      </w:r>
      <w:r w:rsidR="00A24BB8">
        <w:rPr>
          <w:sz w:val="24"/>
        </w:rPr>
        <w:t>ing higher education</w:t>
      </w:r>
      <w:r w:rsidR="00815BD5">
        <w:rPr>
          <w:sz w:val="24"/>
        </w:rPr>
        <w:t xml:space="preserve"> (BIS, 2015</w:t>
      </w:r>
      <w:r w:rsidR="00906EAF">
        <w:rPr>
          <w:sz w:val="24"/>
        </w:rPr>
        <w:t>)</w:t>
      </w:r>
      <w:r w:rsidR="00A24BB8">
        <w:rPr>
          <w:sz w:val="24"/>
        </w:rPr>
        <w:t xml:space="preserve">, although it may impact on </w:t>
      </w:r>
      <w:r w:rsidR="00680D7F">
        <w:rPr>
          <w:sz w:val="24"/>
        </w:rPr>
        <w:t>where they apply</w:t>
      </w:r>
      <w:r w:rsidR="00A24BB8">
        <w:rPr>
          <w:sz w:val="24"/>
        </w:rPr>
        <w:t>.</w:t>
      </w:r>
    </w:p>
    <w:p w14:paraId="12674981" w14:textId="77777777" w:rsidR="00214F31" w:rsidRDefault="00214F31" w:rsidP="00C74EDA">
      <w:pPr>
        <w:spacing w:line="480" w:lineRule="auto"/>
        <w:rPr>
          <w:sz w:val="24"/>
        </w:rPr>
      </w:pPr>
    </w:p>
    <w:p w14:paraId="1F7B9941" w14:textId="216AFE36" w:rsidR="00C764E9" w:rsidRDefault="00C764E9" w:rsidP="00C74EDA">
      <w:pPr>
        <w:spacing w:line="480" w:lineRule="auto"/>
        <w:rPr>
          <w:sz w:val="24"/>
        </w:rPr>
      </w:pPr>
      <w:r>
        <w:rPr>
          <w:sz w:val="24"/>
        </w:rPr>
        <w:t>While the value of longitudinal tracking studies was widely promoted among the Strand 2 participants</w:t>
      </w:r>
      <w:r w:rsidR="00853BF8">
        <w:rPr>
          <w:sz w:val="24"/>
        </w:rPr>
        <w:t xml:space="preserve"> for monitoring their activities</w:t>
      </w:r>
      <w:r>
        <w:rPr>
          <w:sz w:val="24"/>
        </w:rPr>
        <w:t xml:space="preserve">, there were </w:t>
      </w:r>
      <w:r w:rsidR="00D05F64">
        <w:rPr>
          <w:sz w:val="24"/>
        </w:rPr>
        <w:t xml:space="preserve">thoughtful </w:t>
      </w:r>
      <w:r>
        <w:rPr>
          <w:sz w:val="24"/>
        </w:rPr>
        <w:t>dissenting voices.</w:t>
      </w:r>
      <w:r w:rsidR="00F05105">
        <w:rPr>
          <w:sz w:val="24"/>
        </w:rPr>
        <w:t xml:space="preserve">  </w:t>
      </w:r>
      <w:r>
        <w:rPr>
          <w:sz w:val="24"/>
        </w:rPr>
        <w:t xml:space="preserve">For some, it was important to develop more rigorous </w:t>
      </w:r>
      <w:r w:rsidR="00F257FD">
        <w:rPr>
          <w:sz w:val="24"/>
        </w:rPr>
        <w:t xml:space="preserve">quantitative </w:t>
      </w:r>
      <w:r>
        <w:rPr>
          <w:sz w:val="24"/>
        </w:rPr>
        <w:t>approaches to overcome some of the epistemological problems outlined above, although the practicalities of these were acknowledged</w:t>
      </w:r>
      <w:r w:rsidR="008C30BC">
        <w:rPr>
          <w:sz w:val="24"/>
        </w:rPr>
        <w:t>, such as by this participant from an Old University</w:t>
      </w:r>
      <w:r>
        <w:rPr>
          <w:sz w:val="24"/>
        </w:rPr>
        <w:t xml:space="preserve">: </w:t>
      </w:r>
    </w:p>
    <w:p w14:paraId="63B31FB6" w14:textId="77777777" w:rsidR="00C764E9" w:rsidRDefault="00C764E9" w:rsidP="00C74EDA">
      <w:pPr>
        <w:spacing w:line="480" w:lineRule="auto"/>
        <w:rPr>
          <w:sz w:val="24"/>
        </w:rPr>
      </w:pPr>
      <w:r>
        <w:rPr>
          <w:sz w:val="24"/>
        </w:rPr>
        <w:t xml:space="preserve"> </w:t>
      </w:r>
    </w:p>
    <w:p w14:paraId="69D485CC" w14:textId="77777777" w:rsidR="00C764E9" w:rsidRDefault="00C764E9" w:rsidP="00C74EDA">
      <w:pPr>
        <w:spacing w:line="480" w:lineRule="auto"/>
        <w:ind w:left="720"/>
        <w:rPr>
          <w:sz w:val="24"/>
        </w:rPr>
      </w:pPr>
      <w:r>
        <w:rPr>
          <w:i/>
          <w:sz w:val="24"/>
        </w:rPr>
        <w:t>“R</w:t>
      </w:r>
      <w:r w:rsidRPr="008F3B01">
        <w:rPr>
          <w:i/>
          <w:sz w:val="24"/>
        </w:rPr>
        <w:t>andomised controlled trials [are best] in theory but isolating from other influences is challenging</w:t>
      </w:r>
      <w:r w:rsidR="00F05105">
        <w:rPr>
          <w:i/>
          <w:sz w:val="24"/>
        </w:rPr>
        <w:t>.</w:t>
      </w:r>
      <w:r>
        <w:rPr>
          <w:i/>
          <w:sz w:val="24"/>
        </w:rPr>
        <w:t>”</w:t>
      </w:r>
    </w:p>
    <w:p w14:paraId="191DC68B" w14:textId="77777777" w:rsidR="00F05105" w:rsidRDefault="00F05105" w:rsidP="00C74EDA">
      <w:pPr>
        <w:spacing w:line="480" w:lineRule="auto"/>
        <w:rPr>
          <w:sz w:val="24"/>
        </w:rPr>
      </w:pPr>
    </w:p>
    <w:p w14:paraId="26567766" w14:textId="2D50EBA2" w:rsidR="00DE524A" w:rsidRDefault="00045813" w:rsidP="00C74EDA">
      <w:pPr>
        <w:spacing w:line="480" w:lineRule="auto"/>
        <w:rPr>
          <w:sz w:val="24"/>
        </w:rPr>
      </w:pPr>
      <w:r>
        <w:rPr>
          <w:sz w:val="24"/>
        </w:rPr>
        <w:t xml:space="preserve">Two participants </w:t>
      </w:r>
      <w:r w:rsidR="00D05F64">
        <w:rPr>
          <w:sz w:val="24"/>
        </w:rPr>
        <w:t>reflected on</w:t>
      </w:r>
      <w:r>
        <w:rPr>
          <w:sz w:val="24"/>
        </w:rPr>
        <w:t xml:space="preserve"> the growing pressure </w:t>
      </w:r>
      <w:r w:rsidR="00BF4D30">
        <w:rPr>
          <w:sz w:val="24"/>
        </w:rPr>
        <w:t>(BIS, 2014)</w:t>
      </w:r>
      <w:r>
        <w:rPr>
          <w:sz w:val="24"/>
        </w:rPr>
        <w:t xml:space="preserve"> to use these sort of </w:t>
      </w:r>
      <w:r w:rsidR="0025258A">
        <w:rPr>
          <w:sz w:val="24"/>
        </w:rPr>
        <w:t xml:space="preserve">‘robust’ </w:t>
      </w:r>
      <w:r>
        <w:rPr>
          <w:sz w:val="24"/>
        </w:rPr>
        <w:t xml:space="preserve">methods and their own epistemological and ethical misgivings that were leading them to resist that pressure.  </w:t>
      </w:r>
      <w:r w:rsidR="00D05F64">
        <w:rPr>
          <w:sz w:val="24"/>
        </w:rPr>
        <w:t>O</w:t>
      </w:r>
      <w:r w:rsidR="00F05105">
        <w:rPr>
          <w:sz w:val="24"/>
        </w:rPr>
        <w:t xml:space="preserve">thers were moving in the opposite direction and seeking to develop qualitative and case study </w:t>
      </w:r>
      <w:r w:rsidR="00853BF8">
        <w:rPr>
          <w:sz w:val="24"/>
        </w:rPr>
        <w:t xml:space="preserve">techniques in order to answer questions around </w:t>
      </w:r>
      <w:r w:rsidR="00853BF8" w:rsidRPr="00C528BC">
        <w:rPr>
          <w:i/>
          <w:sz w:val="24"/>
        </w:rPr>
        <w:t>why</w:t>
      </w:r>
      <w:r w:rsidR="00853BF8">
        <w:rPr>
          <w:sz w:val="24"/>
        </w:rPr>
        <w:t xml:space="preserve"> particular activities were or were not effective, including both with non-applicants and with </w:t>
      </w:r>
      <w:r w:rsidR="00D9529B">
        <w:rPr>
          <w:sz w:val="24"/>
        </w:rPr>
        <w:t>current</w:t>
      </w:r>
      <w:r w:rsidR="00853BF8">
        <w:rPr>
          <w:sz w:val="24"/>
        </w:rPr>
        <w:t xml:space="preserve"> students who had been members of a target group.</w:t>
      </w:r>
    </w:p>
    <w:p w14:paraId="5E2F40AC" w14:textId="77777777" w:rsidR="00DE524A" w:rsidRDefault="00DE524A" w:rsidP="00C74EDA">
      <w:pPr>
        <w:spacing w:line="480" w:lineRule="auto"/>
        <w:rPr>
          <w:sz w:val="24"/>
        </w:rPr>
      </w:pPr>
    </w:p>
    <w:p w14:paraId="55D0DE4D" w14:textId="77777777" w:rsidR="00F05105" w:rsidRDefault="00C528BC" w:rsidP="00C74EDA">
      <w:pPr>
        <w:spacing w:line="480" w:lineRule="auto"/>
        <w:rPr>
          <w:sz w:val="24"/>
        </w:rPr>
      </w:pPr>
      <w:r>
        <w:rPr>
          <w:sz w:val="24"/>
        </w:rPr>
        <w:t xml:space="preserve">Indeed, the most </w:t>
      </w:r>
      <w:r w:rsidR="00071353">
        <w:rPr>
          <w:sz w:val="24"/>
        </w:rPr>
        <w:t>considered</w:t>
      </w:r>
      <w:r>
        <w:rPr>
          <w:sz w:val="24"/>
        </w:rPr>
        <w:t xml:space="preserve"> comments from the Strand 2 participants stressed the need for multiple approaches and for more confidence in asserting the value of qualitative data</w:t>
      </w:r>
      <w:r w:rsidR="00D9529B">
        <w:rPr>
          <w:sz w:val="24"/>
        </w:rPr>
        <w:t>,</w:t>
      </w:r>
      <w:r>
        <w:rPr>
          <w:sz w:val="24"/>
        </w:rPr>
        <w:t xml:space="preserve"> as demonstrated by these quotes from Old and New Universities respectively:</w:t>
      </w:r>
    </w:p>
    <w:p w14:paraId="48ED0551" w14:textId="77777777" w:rsidR="00C764E9" w:rsidRPr="00C764E9" w:rsidRDefault="00C764E9" w:rsidP="00C74EDA">
      <w:pPr>
        <w:spacing w:line="480" w:lineRule="auto"/>
        <w:rPr>
          <w:sz w:val="24"/>
        </w:rPr>
      </w:pPr>
    </w:p>
    <w:p w14:paraId="47F1C9FE" w14:textId="52941D28" w:rsidR="00E3548B" w:rsidRPr="00C528BC" w:rsidRDefault="00C764E9" w:rsidP="00C74EDA">
      <w:pPr>
        <w:spacing w:line="480" w:lineRule="auto"/>
        <w:ind w:left="720"/>
        <w:rPr>
          <w:i/>
          <w:sz w:val="24"/>
        </w:rPr>
      </w:pPr>
      <w:r w:rsidRPr="00C528BC">
        <w:rPr>
          <w:i/>
          <w:sz w:val="24"/>
        </w:rPr>
        <w:t xml:space="preserve">“We think it depends on the success measures you are using and the objectives of a particular activity and programme. Where possible we adopt a flexible methodological approach to allow us to investigate the specificities of particular activities.  Across a broad range of </w:t>
      </w:r>
      <w:r w:rsidR="00452D13" w:rsidRPr="00C528BC">
        <w:rPr>
          <w:i/>
          <w:sz w:val="24"/>
        </w:rPr>
        <w:t>activities,</w:t>
      </w:r>
      <w:r w:rsidRPr="00C528BC">
        <w:rPr>
          <w:i/>
          <w:sz w:val="24"/>
        </w:rPr>
        <w:t xml:space="preserve"> we have found a combination of questionnaires and focus groups / interviews to provide an effective core base of evidence.</w:t>
      </w:r>
      <w:r w:rsidR="00C528BC" w:rsidRPr="00C528BC">
        <w:rPr>
          <w:i/>
          <w:sz w:val="24"/>
        </w:rPr>
        <w:t>”</w:t>
      </w:r>
    </w:p>
    <w:p w14:paraId="21DEFFC0" w14:textId="77777777" w:rsidR="00C764E9" w:rsidRDefault="00C764E9" w:rsidP="00C74EDA">
      <w:pPr>
        <w:spacing w:line="480" w:lineRule="auto"/>
        <w:ind w:left="720"/>
        <w:rPr>
          <w:sz w:val="24"/>
        </w:rPr>
      </w:pPr>
    </w:p>
    <w:p w14:paraId="03062080" w14:textId="77777777" w:rsidR="00C528BC" w:rsidRDefault="00C764E9" w:rsidP="00C74EDA">
      <w:pPr>
        <w:spacing w:line="480" w:lineRule="auto"/>
        <w:ind w:left="720"/>
        <w:rPr>
          <w:i/>
          <w:sz w:val="24"/>
        </w:rPr>
      </w:pPr>
      <w:r>
        <w:rPr>
          <w:i/>
          <w:sz w:val="24"/>
        </w:rPr>
        <w:t>“</w:t>
      </w:r>
      <w:r w:rsidR="00C528BC">
        <w:rPr>
          <w:i/>
          <w:sz w:val="24"/>
        </w:rPr>
        <w:t>W</w:t>
      </w:r>
      <w:r w:rsidRPr="00394079">
        <w:rPr>
          <w:i/>
          <w:sz w:val="24"/>
        </w:rPr>
        <w:t>e might too readily go on to the back foot when we are challenged on the evidence. Perhaps we have plenty of evidence but too little analysis of what it tells us and too little articulation between the various data sets we have</w:t>
      </w:r>
      <w:r w:rsidR="00C528BC">
        <w:rPr>
          <w:i/>
          <w:sz w:val="24"/>
        </w:rPr>
        <w:t>.</w:t>
      </w:r>
      <w:r>
        <w:rPr>
          <w:i/>
          <w:sz w:val="24"/>
        </w:rPr>
        <w:t>”</w:t>
      </w:r>
    </w:p>
    <w:p w14:paraId="1D19875F" w14:textId="77777777" w:rsidR="00C528BC" w:rsidRDefault="00C528BC" w:rsidP="00C74EDA">
      <w:pPr>
        <w:spacing w:line="480" w:lineRule="auto"/>
        <w:rPr>
          <w:sz w:val="24"/>
        </w:rPr>
      </w:pPr>
    </w:p>
    <w:p w14:paraId="776B1C2E" w14:textId="5C65D787" w:rsidR="00A64C0A" w:rsidRDefault="00DE524A" w:rsidP="00C74EDA">
      <w:pPr>
        <w:spacing w:line="480" w:lineRule="auto"/>
        <w:rPr>
          <w:sz w:val="24"/>
        </w:rPr>
      </w:pPr>
      <w:r>
        <w:rPr>
          <w:sz w:val="24"/>
        </w:rPr>
        <w:t xml:space="preserve">Several </w:t>
      </w:r>
      <w:r w:rsidR="00F257FD">
        <w:rPr>
          <w:sz w:val="24"/>
        </w:rPr>
        <w:t xml:space="preserve">Strand 2 </w:t>
      </w:r>
      <w:r>
        <w:rPr>
          <w:sz w:val="24"/>
        </w:rPr>
        <w:t xml:space="preserve">participants </w:t>
      </w:r>
      <w:r w:rsidR="00396DC7">
        <w:rPr>
          <w:sz w:val="24"/>
        </w:rPr>
        <w:t>reiterated</w:t>
      </w:r>
      <w:r>
        <w:rPr>
          <w:sz w:val="24"/>
        </w:rPr>
        <w:t xml:space="preserve"> concerns aired </w:t>
      </w:r>
      <w:r w:rsidR="00F257FD">
        <w:rPr>
          <w:sz w:val="24"/>
        </w:rPr>
        <w:t xml:space="preserve">by </w:t>
      </w:r>
      <w:r>
        <w:rPr>
          <w:sz w:val="24"/>
        </w:rPr>
        <w:t xml:space="preserve">Strand 1 </w:t>
      </w:r>
      <w:r w:rsidR="00F257FD">
        <w:rPr>
          <w:sz w:val="24"/>
        </w:rPr>
        <w:t xml:space="preserve">participants </w:t>
      </w:r>
      <w:r w:rsidR="00071353">
        <w:rPr>
          <w:sz w:val="24"/>
        </w:rPr>
        <w:t>around</w:t>
      </w:r>
      <w:r>
        <w:rPr>
          <w:sz w:val="24"/>
        </w:rPr>
        <w:t xml:space="preserve"> the difficulties of </w:t>
      </w:r>
      <w:r w:rsidR="00071353">
        <w:rPr>
          <w:sz w:val="24"/>
        </w:rPr>
        <w:t xml:space="preserve">measuring impact over long timescales </w:t>
      </w:r>
      <w:r>
        <w:rPr>
          <w:sz w:val="24"/>
        </w:rPr>
        <w:t xml:space="preserve">or </w:t>
      </w:r>
      <w:r w:rsidR="00597FCD">
        <w:rPr>
          <w:sz w:val="24"/>
        </w:rPr>
        <w:t xml:space="preserve">of individual activities within a structured programme, where their evidence base suggested that the </w:t>
      </w:r>
      <w:r w:rsidR="00071353">
        <w:rPr>
          <w:sz w:val="24"/>
        </w:rPr>
        <w:t>effect</w:t>
      </w:r>
      <w:r w:rsidR="00597FCD">
        <w:rPr>
          <w:sz w:val="24"/>
        </w:rPr>
        <w:t xml:space="preserve"> was cumulative </w:t>
      </w:r>
      <w:r w:rsidR="00791A04">
        <w:rPr>
          <w:sz w:val="24"/>
        </w:rPr>
        <w:t>and/</w:t>
      </w:r>
      <w:r w:rsidR="00597FCD">
        <w:rPr>
          <w:sz w:val="24"/>
        </w:rPr>
        <w:t xml:space="preserve">or </w:t>
      </w:r>
      <w:r w:rsidR="00071353">
        <w:rPr>
          <w:sz w:val="24"/>
        </w:rPr>
        <w:t>unpredictable</w:t>
      </w:r>
      <w:r w:rsidR="00791A04">
        <w:rPr>
          <w:sz w:val="24"/>
        </w:rPr>
        <w:t xml:space="preserve"> at the individual level</w:t>
      </w:r>
      <w:r w:rsidR="00597FCD">
        <w:rPr>
          <w:sz w:val="24"/>
        </w:rPr>
        <w:t>.</w:t>
      </w:r>
    </w:p>
    <w:p w14:paraId="63250B4B" w14:textId="77777777" w:rsidR="00A64C0A" w:rsidRDefault="00A64C0A" w:rsidP="00C74EDA">
      <w:pPr>
        <w:spacing w:line="480" w:lineRule="auto"/>
        <w:rPr>
          <w:sz w:val="24"/>
        </w:rPr>
      </w:pPr>
    </w:p>
    <w:p w14:paraId="1F2F1C62" w14:textId="073A1BFB" w:rsidR="00FD40C2" w:rsidRDefault="00071353" w:rsidP="00C74EDA">
      <w:pPr>
        <w:spacing w:line="480" w:lineRule="auto"/>
        <w:rPr>
          <w:sz w:val="24"/>
        </w:rPr>
      </w:pPr>
      <w:r>
        <w:rPr>
          <w:sz w:val="24"/>
        </w:rPr>
        <w:t>More broadly, t</w:t>
      </w:r>
      <w:r w:rsidR="00A64C0A">
        <w:rPr>
          <w:sz w:val="24"/>
        </w:rPr>
        <w:t xml:space="preserve">he qualitative comments from Strand 2 suggested that there was some conflation </w:t>
      </w:r>
      <w:r w:rsidR="007F3915">
        <w:rPr>
          <w:sz w:val="24"/>
        </w:rPr>
        <w:t xml:space="preserve">of </w:t>
      </w:r>
      <w:r w:rsidR="00A64C0A">
        <w:rPr>
          <w:sz w:val="24"/>
        </w:rPr>
        <w:t xml:space="preserve">monitoring (e.g. checking targeting algorithms or investigating the proportion of targeted young people progressing) and evaluation (i.e. </w:t>
      </w:r>
      <w:r w:rsidR="00E67F89">
        <w:rPr>
          <w:sz w:val="24"/>
        </w:rPr>
        <w:t>attempt</w:t>
      </w:r>
      <w:r w:rsidR="00433F29">
        <w:rPr>
          <w:sz w:val="24"/>
        </w:rPr>
        <w:t>ing to uncover which activities or programmes are effective</w:t>
      </w:r>
      <w:r w:rsidR="00E67F89">
        <w:rPr>
          <w:sz w:val="24"/>
        </w:rPr>
        <w:t xml:space="preserve"> </w:t>
      </w:r>
      <w:r w:rsidR="00433F29">
        <w:rPr>
          <w:sz w:val="24"/>
        </w:rPr>
        <w:t xml:space="preserve">– </w:t>
      </w:r>
      <w:r w:rsidR="00E67F89">
        <w:rPr>
          <w:sz w:val="24"/>
        </w:rPr>
        <w:t>and why).  This harks back to the Aimhigher experience</w:t>
      </w:r>
      <w:r w:rsidR="007F3915">
        <w:rPr>
          <w:sz w:val="24"/>
        </w:rPr>
        <w:t xml:space="preserve"> cited earlier</w:t>
      </w:r>
      <w:r w:rsidR="00E67F89">
        <w:rPr>
          <w:sz w:val="24"/>
        </w:rPr>
        <w:t xml:space="preserve">, where enumeration was privileged and the easily </w:t>
      </w:r>
      <w:r w:rsidR="007F3915">
        <w:rPr>
          <w:sz w:val="24"/>
        </w:rPr>
        <w:t>measurable</w:t>
      </w:r>
      <w:r w:rsidR="00E67F89">
        <w:rPr>
          <w:sz w:val="24"/>
        </w:rPr>
        <w:t xml:space="preserve"> given priority.</w:t>
      </w:r>
      <w:r>
        <w:rPr>
          <w:sz w:val="24"/>
        </w:rPr>
        <w:t xml:space="preserve">  </w:t>
      </w:r>
      <w:r w:rsidR="003219AE">
        <w:rPr>
          <w:sz w:val="24"/>
        </w:rPr>
        <w:t xml:space="preserve">The </w:t>
      </w:r>
      <w:r>
        <w:rPr>
          <w:sz w:val="24"/>
        </w:rPr>
        <w:t>result</w:t>
      </w:r>
      <w:r w:rsidR="003219AE">
        <w:rPr>
          <w:sz w:val="24"/>
        </w:rPr>
        <w:t xml:space="preserve"> of this pressure to codify ‘what works’ continue</w:t>
      </w:r>
      <w:r w:rsidR="00433F29">
        <w:rPr>
          <w:sz w:val="24"/>
        </w:rPr>
        <w:t>s</w:t>
      </w:r>
      <w:r w:rsidR="003219AE">
        <w:rPr>
          <w:sz w:val="24"/>
        </w:rPr>
        <w:t xml:space="preserve"> to </w:t>
      </w:r>
      <w:r>
        <w:rPr>
          <w:sz w:val="24"/>
        </w:rPr>
        <w:t>unfold</w:t>
      </w:r>
      <w:r w:rsidR="003219AE">
        <w:rPr>
          <w:sz w:val="24"/>
        </w:rPr>
        <w:t xml:space="preserve">.  Within the Strand 2 responses, only a </w:t>
      </w:r>
      <w:r w:rsidR="00433F29">
        <w:rPr>
          <w:sz w:val="24"/>
        </w:rPr>
        <w:t>small</w:t>
      </w:r>
      <w:r w:rsidR="003219AE">
        <w:rPr>
          <w:sz w:val="24"/>
        </w:rPr>
        <w:t xml:space="preserve"> minority described </w:t>
      </w:r>
      <w:r w:rsidR="00FE6850">
        <w:rPr>
          <w:sz w:val="24"/>
        </w:rPr>
        <w:t xml:space="preserve">some of the </w:t>
      </w:r>
      <w:r w:rsidR="003219AE">
        <w:rPr>
          <w:sz w:val="24"/>
        </w:rPr>
        <w:t xml:space="preserve">activities </w:t>
      </w:r>
      <w:r w:rsidR="007365E3">
        <w:rPr>
          <w:sz w:val="24"/>
        </w:rPr>
        <w:t xml:space="preserve">that the Strand 1 </w:t>
      </w:r>
      <w:r w:rsidR="007365E3">
        <w:rPr>
          <w:sz w:val="24"/>
        </w:rPr>
        <w:lastRenderedPageBreak/>
        <w:t>participants had identified as importan</w:t>
      </w:r>
      <w:r w:rsidR="00847001">
        <w:rPr>
          <w:sz w:val="24"/>
        </w:rPr>
        <w:t>t in challenging inequalities</w:t>
      </w:r>
      <w:r>
        <w:rPr>
          <w:sz w:val="24"/>
        </w:rPr>
        <w:t xml:space="preserve"> </w:t>
      </w:r>
      <w:r w:rsidR="00BD185D">
        <w:rPr>
          <w:sz w:val="24"/>
        </w:rPr>
        <w:t xml:space="preserve">within a wider social justice context </w:t>
      </w:r>
      <w:r w:rsidR="00847001">
        <w:rPr>
          <w:sz w:val="24"/>
        </w:rPr>
        <w:t>– e.g. working with younger children, engaging parents, providing careers/qualification advice or integrat</w:t>
      </w:r>
      <w:r w:rsidR="00CB1FEC">
        <w:rPr>
          <w:sz w:val="24"/>
        </w:rPr>
        <w:t>ing</w:t>
      </w:r>
      <w:r w:rsidR="00847001">
        <w:rPr>
          <w:sz w:val="24"/>
        </w:rPr>
        <w:t xml:space="preserve"> work-based elements</w:t>
      </w:r>
      <w:r w:rsidR="00CB1FEC">
        <w:rPr>
          <w:sz w:val="24"/>
        </w:rPr>
        <w:t>.</w:t>
      </w:r>
      <w:r w:rsidR="003219AE">
        <w:rPr>
          <w:sz w:val="24"/>
        </w:rPr>
        <w:t xml:space="preserve"> </w:t>
      </w:r>
      <w:r w:rsidR="00CB1FEC">
        <w:rPr>
          <w:sz w:val="24"/>
        </w:rPr>
        <w:t xml:space="preserve"> </w:t>
      </w:r>
      <w:r w:rsidR="003219AE">
        <w:rPr>
          <w:sz w:val="24"/>
        </w:rPr>
        <w:t xml:space="preserve">It is possible that </w:t>
      </w:r>
      <w:r w:rsidR="00CB1FEC">
        <w:rPr>
          <w:sz w:val="24"/>
        </w:rPr>
        <w:t>these</w:t>
      </w:r>
      <w:r w:rsidR="003219AE">
        <w:rPr>
          <w:sz w:val="24"/>
        </w:rPr>
        <w:t xml:space="preserve"> have been evaluated and found wanting, but it seem</w:t>
      </w:r>
      <w:r>
        <w:rPr>
          <w:sz w:val="24"/>
        </w:rPr>
        <w:t>s</w:t>
      </w:r>
      <w:r w:rsidR="003219AE">
        <w:rPr>
          <w:sz w:val="24"/>
        </w:rPr>
        <w:t xml:space="preserve"> more likely that in most instances they have been abandoned due to </w:t>
      </w:r>
      <w:r w:rsidR="00107840">
        <w:rPr>
          <w:sz w:val="24"/>
        </w:rPr>
        <w:t xml:space="preserve">the </w:t>
      </w:r>
      <w:r>
        <w:rPr>
          <w:sz w:val="24"/>
        </w:rPr>
        <w:t>epistemological challenges</w:t>
      </w:r>
      <w:r w:rsidR="00107840">
        <w:rPr>
          <w:sz w:val="24"/>
        </w:rPr>
        <w:t xml:space="preserve"> outlined above</w:t>
      </w:r>
      <w:r>
        <w:rPr>
          <w:sz w:val="24"/>
        </w:rPr>
        <w:t>.</w:t>
      </w:r>
    </w:p>
    <w:p w14:paraId="6D6090CC" w14:textId="77777777" w:rsidR="00CB1FEC" w:rsidRDefault="00CB1FEC" w:rsidP="00C74EDA">
      <w:pPr>
        <w:spacing w:line="480" w:lineRule="auto"/>
        <w:rPr>
          <w:sz w:val="24"/>
        </w:rPr>
      </w:pPr>
    </w:p>
    <w:p w14:paraId="2C9FE0F7" w14:textId="66F99D25" w:rsidR="00CB1FEC" w:rsidRDefault="00046F18" w:rsidP="00C74EDA">
      <w:pPr>
        <w:spacing w:line="480" w:lineRule="auto"/>
        <w:rPr>
          <w:sz w:val="24"/>
        </w:rPr>
      </w:pPr>
      <w:r>
        <w:rPr>
          <w:sz w:val="24"/>
        </w:rPr>
        <w:t xml:space="preserve">Far more common were activities </w:t>
      </w:r>
      <w:r w:rsidR="00D876AD">
        <w:rPr>
          <w:sz w:val="24"/>
        </w:rPr>
        <w:t>span</w:t>
      </w:r>
      <w:r w:rsidR="00071353">
        <w:rPr>
          <w:sz w:val="24"/>
        </w:rPr>
        <w:t>ning</w:t>
      </w:r>
      <w:r w:rsidR="00D876AD">
        <w:rPr>
          <w:sz w:val="24"/>
        </w:rPr>
        <w:t xml:space="preserve"> a conceptual space between </w:t>
      </w:r>
      <w:r w:rsidR="00071353">
        <w:rPr>
          <w:sz w:val="24"/>
        </w:rPr>
        <w:t>access</w:t>
      </w:r>
      <w:r w:rsidR="00D876AD">
        <w:rPr>
          <w:sz w:val="24"/>
        </w:rPr>
        <w:t xml:space="preserve"> and recruitment</w:t>
      </w:r>
      <w:r w:rsidR="001F57A5">
        <w:rPr>
          <w:sz w:val="24"/>
        </w:rPr>
        <w:t xml:space="preserve">, </w:t>
      </w:r>
      <w:r w:rsidR="00433F29">
        <w:rPr>
          <w:sz w:val="24"/>
        </w:rPr>
        <w:t xml:space="preserve">notably </w:t>
      </w:r>
      <w:r w:rsidR="001F57A5">
        <w:rPr>
          <w:sz w:val="24"/>
        </w:rPr>
        <w:t xml:space="preserve">including </w:t>
      </w:r>
      <w:r w:rsidR="00071353">
        <w:rPr>
          <w:sz w:val="24"/>
        </w:rPr>
        <w:t>the</w:t>
      </w:r>
      <w:r w:rsidR="001F57A5">
        <w:rPr>
          <w:sz w:val="24"/>
        </w:rPr>
        <w:t xml:space="preserve"> school visits and taster days that the Strand 1 participants had generally concluded were of limited value.  This perhaps reflects the shift in </w:t>
      </w:r>
      <w:r w:rsidR="00071353">
        <w:rPr>
          <w:sz w:val="24"/>
        </w:rPr>
        <w:t>government</w:t>
      </w:r>
      <w:r w:rsidR="001F57A5">
        <w:rPr>
          <w:sz w:val="24"/>
        </w:rPr>
        <w:t xml:space="preserve"> terminology from 2010 onwards, which reintroduced the idea of ‘outreach’</w:t>
      </w:r>
      <w:r w:rsidR="000D1E68">
        <w:rPr>
          <w:sz w:val="24"/>
        </w:rPr>
        <w:t>,</w:t>
      </w:r>
      <w:r w:rsidR="001F57A5">
        <w:rPr>
          <w:sz w:val="24"/>
        </w:rPr>
        <w:t xml:space="preserve"> as the prime responsibility </w:t>
      </w:r>
      <w:r w:rsidR="00071353">
        <w:rPr>
          <w:sz w:val="24"/>
        </w:rPr>
        <w:t xml:space="preserve">for the WP agenda </w:t>
      </w:r>
      <w:r w:rsidR="001F57A5">
        <w:rPr>
          <w:sz w:val="24"/>
        </w:rPr>
        <w:t xml:space="preserve">shifted from Aimhigher to individual institutions.  </w:t>
      </w:r>
      <w:r w:rsidR="000D1E68">
        <w:rPr>
          <w:sz w:val="24"/>
        </w:rPr>
        <w:t xml:space="preserve">This blurring was particularly marked among New Universities, where the qualitative comments often stressed concepts such as </w:t>
      </w:r>
      <w:r w:rsidR="000D1E68" w:rsidRPr="000D1E68">
        <w:rPr>
          <w:i/>
          <w:sz w:val="24"/>
        </w:rPr>
        <w:t>“equality of access”</w:t>
      </w:r>
      <w:r w:rsidR="000D1E68">
        <w:rPr>
          <w:i/>
          <w:sz w:val="24"/>
        </w:rPr>
        <w:t xml:space="preserve"> </w:t>
      </w:r>
      <w:r w:rsidR="000D1E68">
        <w:rPr>
          <w:sz w:val="24"/>
        </w:rPr>
        <w:t>to their activities</w:t>
      </w:r>
      <w:r w:rsidR="00BD185D">
        <w:rPr>
          <w:sz w:val="24"/>
        </w:rPr>
        <w:t xml:space="preserve"> (i.e. that all young people could take part)</w:t>
      </w:r>
      <w:r w:rsidR="000D1E68">
        <w:rPr>
          <w:sz w:val="24"/>
        </w:rPr>
        <w:t>, rather than targeted provision.  In contrast to Aimhigher’s mission around challenging structural inequalities, this would appear to have more to do with maximising admissions – indeed, 48 percent of Strand 2 participants felt that application</w:t>
      </w:r>
      <w:r w:rsidR="00071353">
        <w:rPr>
          <w:sz w:val="24"/>
        </w:rPr>
        <w:t>s</w:t>
      </w:r>
      <w:r w:rsidR="000D1E68">
        <w:rPr>
          <w:sz w:val="24"/>
        </w:rPr>
        <w:t xml:space="preserve"> to their own institution </w:t>
      </w:r>
      <w:r w:rsidR="00071353">
        <w:rPr>
          <w:sz w:val="24"/>
        </w:rPr>
        <w:t>were</w:t>
      </w:r>
      <w:r w:rsidR="000D1E68">
        <w:rPr>
          <w:sz w:val="24"/>
        </w:rPr>
        <w:t xml:space="preserve"> more important </w:t>
      </w:r>
      <w:r w:rsidR="00071353">
        <w:rPr>
          <w:sz w:val="24"/>
        </w:rPr>
        <w:t xml:space="preserve">to their institution </w:t>
      </w:r>
      <w:r w:rsidR="000D1E68">
        <w:rPr>
          <w:sz w:val="24"/>
        </w:rPr>
        <w:t>than applications to higher education in general</w:t>
      </w:r>
      <w:r w:rsidR="006372BF">
        <w:rPr>
          <w:sz w:val="24"/>
        </w:rPr>
        <w:t xml:space="preserve">; </w:t>
      </w:r>
      <w:r w:rsidR="008E0B9B">
        <w:rPr>
          <w:sz w:val="24"/>
        </w:rPr>
        <w:t xml:space="preserve">the new world of </w:t>
      </w:r>
      <w:r w:rsidR="00AC559C">
        <w:rPr>
          <w:sz w:val="24"/>
        </w:rPr>
        <w:t xml:space="preserve">competitive </w:t>
      </w:r>
      <w:r w:rsidR="008E0B9B">
        <w:rPr>
          <w:sz w:val="24"/>
        </w:rPr>
        <w:t>outreach</w:t>
      </w:r>
      <w:r w:rsidR="006372BF">
        <w:rPr>
          <w:sz w:val="24"/>
        </w:rPr>
        <w:t xml:space="preserve"> </w:t>
      </w:r>
      <w:r w:rsidR="00071353">
        <w:rPr>
          <w:sz w:val="24"/>
        </w:rPr>
        <w:t>stands in stark contrast to the collaborative ethos of Aimhigher.</w:t>
      </w:r>
    </w:p>
    <w:p w14:paraId="0C862B24" w14:textId="77777777" w:rsidR="00CB1FEC" w:rsidRDefault="00CB1FEC" w:rsidP="00C74EDA">
      <w:pPr>
        <w:spacing w:line="480" w:lineRule="auto"/>
        <w:rPr>
          <w:sz w:val="24"/>
        </w:rPr>
      </w:pPr>
    </w:p>
    <w:p w14:paraId="1231BB87" w14:textId="77777777" w:rsidR="00CB1FEC" w:rsidRDefault="00CB1FEC" w:rsidP="00C74EDA">
      <w:pPr>
        <w:spacing w:line="480" w:lineRule="auto"/>
        <w:rPr>
          <w:sz w:val="24"/>
        </w:rPr>
      </w:pPr>
    </w:p>
    <w:p w14:paraId="18F3ED68" w14:textId="77777777" w:rsidR="00CB1FEC" w:rsidRDefault="00B90979" w:rsidP="00C74EDA">
      <w:pPr>
        <w:spacing w:line="480" w:lineRule="auto"/>
        <w:rPr>
          <w:sz w:val="24"/>
        </w:rPr>
      </w:pPr>
      <w:r>
        <w:rPr>
          <w:b/>
          <w:sz w:val="24"/>
        </w:rPr>
        <w:t>Conclusion</w:t>
      </w:r>
    </w:p>
    <w:p w14:paraId="60E76D92" w14:textId="77777777" w:rsidR="00B90979" w:rsidRDefault="00B90979" w:rsidP="00C74EDA">
      <w:pPr>
        <w:spacing w:line="480" w:lineRule="auto"/>
        <w:rPr>
          <w:sz w:val="24"/>
        </w:rPr>
      </w:pPr>
    </w:p>
    <w:p w14:paraId="29635C1F" w14:textId="5B501684" w:rsidR="00B90979" w:rsidRDefault="00E13239" w:rsidP="00C74EDA">
      <w:pPr>
        <w:spacing w:line="480" w:lineRule="auto"/>
        <w:rPr>
          <w:sz w:val="24"/>
        </w:rPr>
      </w:pPr>
      <w:r>
        <w:rPr>
          <w:sz w:val="24"/>
        </w:rPr>
        <w:lastRenderedPageBreak/>
        <w:t xml:space="preserve">This </w:t>
      </w:r>
      <w:r w:rsidR="00D43F38">
        <w:rPr>
          <w:sz w:val="24"/>
        </w:rPr>
        <w:t>paper</w:t>
      </w:r>
      <w:r>
        <w:rPr>
          <w:sz w:val="24"/>
        </w:rPr>
        <w:t xml:space="preserve"> </w:t>
      </w:r>
      <w:r w:rsidR="007026C5">
        <w:rPr>
          <w:sz w:val="24"/>
        </w:rPr>
        <w:t>has used data collected from past and present practitioners</w:t>
      </w:r>
      <w:r w:rsidR="00F257FD">
        <w:rPr>
          <w:sz w:val="24"/>
        </w:rPr>
        <w:t>-managers</w:t>
      </w:r>
      <w:r w:rsidR="007026C5">
        <w:rPr>
          <w:sz w:val="24"/>
        </w:rPr>
        <w:t xml:space="preserve"> working within the field of higher education </w:t>
      </w:r>
      <w:r w:rsidR="005E7FBF">
        <w:rPr>
          <w:sz w:val="24"/>
        </w:rPr>
        <w:t xml:space="preserve">access and used these data </w:t>
      </w:r>
      <w:r w:rsidR="00D601B4">
        <w:rPr>
          <w:sz w:val="24"/>
        </w:rPr>
        <w:t xml:space="preserve">as a lens </w:t>
      </w:r>
      <w:r w:rsidR="005E7FBF">
        <w:rPr>
          <w:sz w:val="24"/>
        </w:rPr>
        <w:t>to examine the limited national progress on closing the ‘social gap’ in England.</w:t>
      </w:r>
      <w:r w:rsidR="00D601B4">
        <w:rPr>
          <w:sz w:val="24"/>
        </w:rPr>
        <w:t xml:space="preserve">  As noted earlier, while the proportion of young people from lower socio-economic groups progressing to higher education has increased quite rapidly, this is in the context of a general expansion of the sector and improvements in school qualifications offering entry to higher education.</w:t>
      </w:r>
    </w:p>
    <w:p w14:paraId="63D1E22F" w14:textId="77777777" w:rsidR="005E7FBF" w:rsidRDefault="005E7FBF" w:rsidP="00C74EDA">
      <w:pPr>
        <w:spacing w:line="480" w:lineRule="auto"/>
        <w:rPr>
          <w:sz w:val="24"/>
        </w:rPr>
      </w:pPr>
    </w:p>
    <w:p w14:paraId="05DF0583" w14:textId="0DA5B6E8" w:rsidR="004435DB" w:rsidRDefault="00C766A2" w:rsidP="00C74EDA">
      <w:pPr>
        <w:spacing w:line="480" w:lineRule="auto"/>
        <w:rPr>
          <w:sz w:val="24"/>
        </w:rPr>
      </w:pPr>
      <w:r>
        <w:rPr>
          <w:sz w:val="24"/>
        </w:rPr>
        <w:t xml:space="preserve">We have noted that issues with targeting the ‘right’ young people have persisted over many years and </w:t>
      </w:r>
      <w:r w:rsidR="00797B08">
        <w:rPr>
          <w:sz w:val="24"/>
        </w:rPr>
        <w:t xml:space="preserve">argued </w:t>
      </w:r>
      <w:r>
        <w:rPr>
          <w:sz w:val="24"/>
        </w:rPr>
        <w:t>that there is now a danger that this is worsening through pressure to recruit from certain geographic areas rather than from lower socio-economic gr</w:t>
      </w:r>
      <w:r w:rsidR="00DA2208">
        <w:rPr>
          <w:sz w:val="24"/>
        </w:rPr>
        <w:t xml:space="preserve">oups, as well as </w:t>
      </w:r>
      <w:r>
        <w:rPr>
          <w:sz w:val="24"/>
        </w:rPr>
        <w:t xml:space="preserve">through a blurring of the lines between access activity and recruitment activity – </w:t>
      </w:r>
      <w:r w:rsidR="00F257FD">
        <w:rPr>
          <w:sz w:val="24"/>
        </w:rPr>
        <w:t xml:space="preserve">a </w:t>
      </w:r>
      <w:r>
        <w:rPr>
          <w:sz w:val="24"/>
        </w:rPr>
        <w:t xml:space="preserve">new world </w:t>
      </w:r>
      <w:r w:rsidR="00F257FD">
        <w:rPr>
          <w:sz w:val="24"/>
        </w:rPr>
        <w:t>where</w:t>
      </w:r>
      <w:r w:rsidR="007F3915">
        <w:rPr>
          <w:sz w:val="24"/>
        </w:rPr>
        <w:t xml:space="preserve"> measurable</w:t>
      </w:r>
      <w:r w:rsidR="00F257FD">
        <w:rPr>
          <w:sz w:val="24"/>
        </w:rPr>
        <w:t xml:space="preserve"> </w:t>
      </w:r>
      <w:r>
        <w:rPr>
          <w:sz w:val="24"/>
        </w:rPr>
        <w:t>‘outreach’</w:t>
      </w:r>
      <w:r w:rsidR="00F257FD">
        <w:rPr>
          <w:sz w:val="24"/>
        </w:rPr>
        <w:t xml:space="preserve"> has replaced</w:t>
      </w:r>
      <w:r w:rsidR="007F3915">
        <w:rPr>
          <w:sz w:val="24"/>
        </w:rPr>
        <w:t xml:space="preserve"> complex and vexed</w:t>
      </w:r>
      <w:r w:rsidR="00F257FD">
        <w:rPr>
          <w:sz w:val="24"/>
        </w:rPr>
        <w:t xml:space="preserve"> ‘WP’</w:t>
      </w:r>
      <w:r>
        <w:rPr>
          <w:sz w:val="24"/>
        </w:rPr>
        <w:t>.</w:t>
      </w:r>
      <w:r w:rsidR="00B27845">
        <w:rPr>
          <w:sz w:val="24"/>
        </w:rPr>
        <w:t xml:space="preserve">  There continues to be a strong emphasis on raising aspirations rather than addressing inequalities in attainment directly, as well as a falling away of activities that had, during the 2000s, aimed at broader social justice issues.</w:t>
      </w:r>
      <w:r w:rsidR="004435DB">
        <w:rPr>
          <w:sz w:val="24"/>
        </w:rPr>
        <w:t xml:space="preserve">  We conclude, therefore, that there are continuing questions about the portfolio of activities offered by universities and their targeting.</w:t>
      </w:r>
    </w:p>
    <w:p w14:paraId="57E31D4C" w14:textId="77777777" w:rsidR="004435DB" w:rsidRDefault="004435DB" w:rsidP="00C74EDA">
      <w:pPr>
        <w:spacing w:line="480" w:lineRule="auto"/>
        <w:rPr>
          <w:sz w:val="24"/>
        </w:rPr>
      </w:pPr>
    </w:p>
    <w:p w14:paraId="3EE7DAFB" w14:textId="2966A92A" w:rsidR="00AD0139" w:rsidRDefault="004435DB" w:rsidP="00C74EDA">
      <w:pPr>
        <w:spacing w:line="480" w:lineRule="auto"/>
        <w:rPr>
          <w:sz w:val="24"/>
        </w:rPr>
      </w:pPr>
      <w:r>
        <w:rPr>
          <w:sz w:val="24"/>
        </w:rPr>
        <w:t>Furthermore, there is generally an absence of a</w:t>
      </w:r>
      <w:r w:rsidR="00DA2208">
        <w:rPr>
          <w:sz w:val="24"/>
        </w:rPr>
        <w:t xml:space="preserve"> clear epistemology for assessing</w:t>
      </w:r>
      <w:r>
        <w:rPr>
          <w:sz w:val="24"/>
        </w:rPr>
        <w:t xml:space="preserve"> success.  This is partly due to the complexity of undertaking – identifying activities that ‘work’ over a period of years with </w:t>
      </w:r>
      <w:r w:rsidR="00F257FD">
        <w:rPr>
          <w:sz w:val="24"/>
        </w:rPr>
        <w:t>myriad</w:t>
      </w:r>
      <w:r>
        <w:rPr>
          <w:sz w:val="24"/>
        </w:rPr>
        <w:t xml:space="preserve"> confounding factors, and where successful partnership working </w:t>
      </w:r>
      <w:r w:rsidR="006C558F">
        <w:rPr>
          <w:sz w:val="24"/>
        </w:rPr>
        <w:t xml:space="preserve">further </w:t>
      </w:r>
      <w:r>
        <w:rPr>
          <w:sz w:val="24"/>
        </w:rPr>
        <w:t>compromises the ability to attribute success to a single agency or activity.</w:t>
      </w:r>
      <w:r w:rsidR="00E5659B">
        <w:rPr>
          <w:sz w:val="24"/>
        </w:rPr>
        <w:t xml:space="preserve">  However, it is also partly due to various misalignments of epistemology, including a conflation of ‘monitoring’ with ‘evaluation’, a desire to </w:t>
      </w:r>
      <w:r w:rsidR="00AF6A1F">
        <w:rPr>
          <w:sz w:val="24"/>
        </w:rPr>
        <w:t>‘</w:t>
      </w:r>
      <w:r w:rsidR="00E5659B">
        <w:rPr>
          <w:sz w:val="24"/>
        </w:rPr>
        <w:t>measure the measurable</w:t>
      </w:r>
      <w:r w:rsidR="000747EC">
        <w:rPr>
          <w:sz w:val="24"/>
        </w:rPr>
        <w:t xml:space="preserve">’ and a lack of familiarity or </w:t>
      </w:r>
      <w:r w:rsidR="006C558F">
        <w:rPr>
          <w:sz w:val="24"/>
        </w:rPr>
        <w:t xml:space="preserve">confidence </w:t>
      </w:r>
      <w:r w:rsidR="00AF6A1F">
        <w:rPr>
          <w:sz w:val="24"/>
        </w:rPr>
        <w:t>with more advanced quantitative techniques.</w:t>
      </w:r>
      <w:r w:rsidR="007261A8" w:rsidRPr="007261A8">
        <w:rPr>
          <w:sz w:val="24"/>
        </w:rPr>
        <w:t xml:space="preserve"> </w:t>
      </w:r>
      <w:r w:rsidR="007261A8">
        <w:rPr>
          <w:sz w:val="24"/>
        </w:rPr>
        <w:t xml:space="preserve"> Practitioners appear to be in </w:t>
      </w:r>
      <w:r w:rsidR="007261A8">
        <w:rPr>
          <w:sz w:val="24"/>
        </w:rPr>
        <w:lastRenderedPageBreak/>
        <w:t>something of a bind, feeling that they must conform to the ‘what works’ agenda or actively resist it, rather than developing an appropriate epistemology that allows for robust evaluations</w:t>
      </w:r>
      <w:r w:rsidR="00F257FD">
        <w:rPr>
          <w:sz w:val="24"/>
        </w:rPr>
        <w:t xml:space="preserve"> (of various types)</w:t>
      </w:r>
      <w:r w:rsidR="007261A8">
        <w:rPr>
          <w:sz w:val="24"/>
        </w:rPr>
        <w:t xml:space="preserve"> in complex social fields.</w:t>
      </w:r>
    </w:p>
    <w:p w14:paraId="74F92635" w14:textId="153BC5D4" w:rsidR="00D601B4" w:rsidRDefault="00D601B4" w:rsidP="00C74EDA">
      <w:pPr>
        <w:spacing w:line="480" w:lineRule="auto"/>
        <w:rPr>
          <w:sz w:val="24"/>
        </w:rPr>
      </w:pPr>
    </w:p>
    <w:p w14:paraId="2D7C9A36" w14:textId="35D5D8CF" w:rsidR="009B6E5D" w:rsidRDefault="009B6E5D" w:rsidP="00C74EDA">
      <w:pPr>
        <w:spacing w:line="480" w:lineRule="auto"/>
        <w:rPr>
          <w:sz w:val="24"/>
        </w:rPr>
      </w:pPr>
      <w:r>
        <w:rPr>
          <w:sz w:val="24"/>
        </w:rPr>
        <w:t xml:space="preserve">Based on these data, we conclude that there are a number of risks confronting </w:t>
      </w:r>
      <w:r w:rsidR="000616BD">
        <w:rPr>
          <w:sz w:val="24"/>
        </w:rPr>
        <w:t>government policy</w:t>
      </w:r>
      <w:r>
        <w:rPr>
          <w:sz w:val="24"/>
        </w:rPr>
        <w:t xml:space="preserve"> in England at the current time</w:t>
      </w:r>
      <w:r w:rsidR="007261A8">
        <w:rPr>
          <w:sz w:val="24"/>
        </w:rPr>
        <w:t>, as well as a key confusion</w:t>
      </w:r>
      <w:r>
        <w:rPr>
          <w:sz w:val="24"/>
        </w:rPr>
        <w:t>.</w:t>
      </w:r>
      <w:r w:rsidR="001020F8">
        <w:rPr>
          <w:sz w:val="24"/>
        </w:rPr>
        <w:t xml:space="preserve">  </w:t>
      </w:r>
      <w:r w:rsidR="000616BD">
        <w:rPr>
          <w:sz w:val="24"/>
        </w:rPr>
        <w:t>While there is a stated objective to challenge inequalities in access</w:t>
      </w:r>
      <w:r w:rsidR="00F257FD">
        <w:rPr>
          <w:sz w:val="24"/>
        </w:rPr>
        <w:t xml:space="preserve"> and participation</w:t>
      </w:r>
      <w:r w:rsidR="000616BD">
        <w:rPr>
          <w:sz w:val="24"/>
        </w:rPr>
        <w:t>, especially to elite universities, the means of achieving this is large</w:t>
      </w:r>
      <w:r w:rsidR="007261A8">
        <w:rPr>
          <w:sz w:val="24"/>
        </w:rPr>
        <w:t>ly</w:t>
      </w:r>
      <w:r w:rsidR="000616BD">
        <w:rPr>
          <w:sz w:val="24"/>
        </w:rPr>
        <w:t xml:space="preserve"> delegated to individual institutions.</w:t>
      </w:r>
      <w:r w:rsidR="007261A8">
        <w:rPr>
          <w:sz w:val="24"/>
        </w:rPr>
        <w:t xml:space="preserve">  T</w:t>
      </w:r>
      <w:r w:rsidR="005C482E">
        <w:rPr>
          <w:sz w:val="24"/>
        </w:rPr>
        <w:t>here is a danger that the current portfolio of activities is not fit-for-purpose, but</w:t>
      </w:r>
      <w:r w:rsidR="00107840">
        <w:rPr>
          <w:sz w:val="24"/>
        </w:rPr>
        <w:t xml:space="preserve"> it</w:t>
      </w:r>
      <w:r w:rsidR="005C482E">
        <w:rPr>
          <w:sz w:val="24"/>
        </w:rPr>
        <w:t xml:space="preserve"> is privileged because of its measurability and its congruency with recruitment activity in a competitive marketplace.</w:t>
      </w:r>
      <w:r w:rsidR="00DF2586">
        <w:rPr>
          <w:sz w:val="24"/>
        </w:rPr>
        <w:t xml:space="preserve">  Inter-institutional competition for disadvantaged young people does not increase the overall numbers progressing</w:t>
      </w:r>
      <w:r w:rsidR="007261A8">
        <w:rPr>
          <w:sz w:val="24"/>
        </w:rPr>
        <w:t>; it</w:t>
      </w:r>
      <w:r w:rsidR="007F3915">
        <w:rPr>
          <w:sz w:val="24"/>
        </w:rPr>
        <w:t xml:space="preserve"> risks falling into a ‘zero sum</w:t>
      </w:r>
      <w:r w:rsidR="007261A8">
        <w:rPr>
          <w:sz w:val="24"/>
        </w:rPr>
        <w:t xml:space="preserve"> game</w:t>
      </w:r>
      <w:r w:rsidR="007F3915">
        <w:rPr>
          <w:sz w:val="24"/>
        </w:rPr>
        <w:t>’</w:t>
      </w:r>
      <w:r w:rsidR="007261A8">
        <w:rPr>
          <w:sz w:val="24"/>
        </w:rPr>
        <w:t xml:space="preserve"> where the quality of </w:t>
      </w:r>
      <w:r w:rsidR="007F3915">
        <w:rPr>
          <w:sz w:val="24"/>
        </w:rPr>
        <w:t>an institution’s</w:t>
      </w:r>
      <w:r w:rsidR="007261A8">
        <w:rPr>
          <w:sz w:val="24"/>
        </w:rPr>
        <w:t xml:space="preserve"> WP activities relate</w:t>
      </w:r>
      <w:r w:rsidR="007F3915">
        <w:rPr>
          <w:sz w:val="24"/>
        </w:rPr>
        <w:t>s</w:t>
      </w:r>
      <w:r w:rsidR="007261A8">
        <w:rPr>
          <w:sz w:val="24"/>
        </w:rPr>
        <w:t xml:space="preserve"> to their ability to secure </w:t>
      </w:r>
      <w:r w:rsidR="0075506B">
        <w:rPr>
          <w:sz w:val="24"/>
        </w:rPr>
        <w:t xml:space="preserve">entrants from </w:t>
      </w:r>
      <w:r w:rsidR="007261A8">
        <w:rPr>
          <w:sz w:val="24"/>
        </w:rPr>
        <w:t>a finite pool of applicants, rather than increasing the size of that pool.</w:t>
      </w:r>
      <w:r w:rsidR="0075506B">
        <w:rPr>
          <w:sz w:val="24"/>
        </w:rPr>
        <w:t xml:space="preserve">  This appears to be particularly marked among elite universities where social inequalities are most stark and where individual</w:t>
      </w:r>
      <w:r w:rsidR="00D47FF9">
        <w:rPr>
          <w:sz w:val="24"/>
        </w:rPr>
        <w:t xml:space="preserve"> Access Agreement</w:t>
      </w:r>
      <w:r w:rsidR="0075506B">
        <w:rPr>
          <w:sz w:val="24"/>
        </w:rPr>
        <w:t xml:space="preserve"> targets </w:t>
      </w:r>
      <w:r w:rsidR="00D47FF9">
        <w:rPr>
          <w:sz w:val="24"/>
        </w:rPr>
        <w:t>are most likely to</w:t>
      </w:r>
      <w:r w:rsidR="0075506B">
        <w:rPr>
          <w:sz w:val="24"/>
        </w:rPr>
        <w:t xml:space="preserve"> lead to competition.</w:t>
      </w:r>
    </w:p>
    <w:p w14:paraId="2034CB68" w14:textId="4E28895E" w:rsidR="00F90A64" w:rsidRDefault="00F90A64" w:rsidP="00C74EDA">
      <w:pPr>
        <w:spacing w:line="480" w:lineRule="auto"/>
        <w:rPr>
          <w:sz w:val="24"/>
        </w:rPr>
      </w:pPr>
    </w:p>
    <w:p w14:paraId="042AAB7A" w14:textId="2748DCE8" w:rsidR="002561B9" w:rsidRDefault="002561B9" w:rsidP="00C74EDA">
      <w:pPr>
        <w:spacing w:line="480" w:lineRule="auto"/>
        <w:rPr>
          <w:sz w:val="24"/>
        </w:rPr>
      </w:pPr>
      <w:r>
        <w:rPr>
          <w:sz w:val="24"/>
        </w:rPr>
        <w:t xml:space="preserve">Based on the findings described in this paper, we recommend that the government focuses more attention on seeding </w:t>
      </w:r>
      <w:r w:rsidR="00965752">
        <w:rPr>
          <w:sz w:val="24"/>
        </w:rPr>
        <w:t xml:space="preserve">the </w:t>
      </w:r>
      <w:r>
        <w:rPr>
          <w:sz w:val="24"/>
        </w:rPr>
        <w:t>active collaboration between institutions</w:t>
      </w:r>
      <w:r w:rsidR="00965752">
        <w:rPr>
          <w:sz w:val="24"/>
        </w:rPr>
        <w:t xml:space="preserve"> that was lost with the demise of Aimhigher</w:t>
      </w:r>
      <w:r w:rsidR="001E040A">
        <w:rPr>
          <w:sz w:val="24"/>
        </w:rPr>
        <w:t xml:space="preserve">, </w:t>
      </w:r>
      <w:r w:rsidR="00965752">
        <w:rPr>
          <w:sz w:val="24"/>
        </w:rPr>
        <w:t xml:space="preserve">while </w:t>
      </w:r>
      <w:r w:rsidR="001E040A">
        <w:rPr>
          <w:sz w:val="24"/>
        </w:rPr>
        <w:t xml:space="preserve">recognising the </w:t>
      </w:r>
      <w:r w:rsidR="001E1095">
        <w:rPr>
          <w:sz w:val="24"/>
        </w:rPr>
        <w:t xml:space="preserve">recently-convened </w:t>
      </w:r>
      <w:r w:rsidR="006856C7">
        <w:rPr>
          <w:sz w:val="24"/>
        </w:rPr>
        <w:t>outreach networks (HEFCE, 2014</w:t>
      </w:r>
      <w:r w:rsidR="00D47FF9">
        <w:rPr>
          <w:sz w:val="24"/>
        </w:rPr>
        <w:t>) and</w:t>
      </w:r>
      <w:r w:rsidR="001E1095">
        <w:rPr>
          <w:sz w:val="24"/>
        </w:rPr>
        <w:t xml:space="preserve"> the </w:t>
      </w:r>
      <w:r w:rsidR="001E040A">
        <w:rPr>
          <w:sz w:val="24"/>
        </w:rPr>
        <w:t xml:space="preserve">newly-announced funding </w:t>
      </w:r>
      <w:r w:rsidR="00126BE3">
        <w:rPr>
          <w:sz w:val="24"/>
        </w:rPr>
        <w:t>focused on areas with lower-than-predicted participation (HEFCE, 2016)</w:t>
      </w:r>
      <w:r w:rsidR="00D439FF">
        <w:rPr>
          <w:sz w:val="24"/>
        </w:rPr>
        <w:t>.  Attention should also be given to lessening the perverse incentives of area-based targets, potentially by setting share</w:t>
      </w:r>
      <w:r w:rsidR="001911A0">
        <w:rPr>
          <w:sz w:val="24"/>
        </w:rPr>
        <w:t>d</w:t>
      </w:r>
      <w:r w:rsidR="00D439FF">
        <w:rPr>
          <w:sz w:val="24"/>
        </w:rPr>
        <w:t xml:space="preserve"> sub-regional targets</w:t>
      </w:r>
      <w:r w:rsidR="00965752">
        <w:rPr>
          <w:sz w:val="24"/>
        </w:rPr>
        <w:t>, in order to reduce leakage and deadweight</w:t>
      </w:r>
      <w:r w:rsidR="00D439FF">
        <w:rPr>
          <w:sz w:val="24"/>
        </w:rPr>
        <w:t xml:space="preserve">.  Finally, </w:t>
      </w:r>
      <w:r w:rsidR="002D50A5">
        <w:rPr>
          <w:sz w:val="24"/>
        </w:rPr>
        <w:t xml:space="preserve">we find the accounts of earlier </w:t>
      </w:r>
      <w:r w:rsidR="002D50A5">
        <w:rPr>
          <w:sz w:val="24"/>
        </w:rPr>
        <w:lastRenderedPageBreak/>
        <w:t xml:space="preserve">practitioner-managers convincing with respect to the need for earlier and wider efforts to engage with educational disadvantage, especially given growing evidence for the pivotal role of attainment in participation, although we acknowledge that these activities are similarly vexed with respect to demonstrating impact.  Nevertheless, we therefore </w:t>
      </w:r>
      <w:r w:rsidR="00D439FF">
        <w:rPr>
          <w:sz w:val="24"/>
        </w:rPr>
        <w:t xml:space="preserve">recommend that more directive guidance or regulation is required </w:t>
      </w:r>
      <w:r w:rsidR="002D50A5">
        <w:rPr>
          <w:sz w:val="24"/>
        </w:rPr>
        <w:t xml:space="preserve">from government </w:t>
      </w:r>
      <w:r w:rsidR="00D439FF">
        <w:rPr>
          <w:sz w:val="24"/>
        </w:rPr>
        <w:t xml:space="preserve">to </w:t>
      </w:r>
      <w:r w:rsidR="001911A0">
        <w:rPr>
          <w:sz w:val="24"/>
        </w:rPr>
        <w:t>shift</w:t>
      </w:r>
      <w:r w:rsidR="00D439FF">
        <w:rPr>
          <w:sz w:val="24"/>
        </w:rPr>
        <w:t xml:space="preserve"> institutions </w:t>
      </w:r>
      <w:r w:rsidR="001911A0">
        <w:rPr>
          <w:sz w:val="24"/>
        </w:rPr>
        <w:t xml:space="preserve">towards </w:t>
      </w:r>
      <w:r w:rsidR="00D439FF">
        <w:rPr>
          <w:sz w:val="24"/>
        </w:rPr>
        <w:t xml:space="preserve">directing their activities towards </w:t>
      </w:r>
      <w:r w:rsidR="00F257FD">
        <w:rPr>
          <w:sz w:val="24"/>
        </w:rPr>
        <w:t xml:space="preserve">raising </w:t>
      </w:r>
      <w:r w:rsidR="00D439FF">
        <w:rPr>
          <w:sz w:val="24"/>
        </w:rPr>
        <w:t xml:space="preserve">attainment, towards younger age groups and towards career-led activities as these are more likely to challenge social inequalities and lead to a </w:t>
      </w:r>
      <w:r w:rsidR="00D47FF9">
        <w:rPr>
          <w:sz w:val="24"/>
        </w:rPr>
        <w:t xml:space="preserve">long-term </w:t>
      </w:r>
      <w:r w:rsidR="00D439FF">
        <w:rPr>
          <w:sz w:val="24"/>
        </w:rPr>
        <w:t>widening of the pool of young people from lower socio-economic groups qualified to demand higher education.</w:t>
      </w:r>
    </w:p>
    <w:p w14:paraId="67CFE867" w14:textId="2E13A2F1" w:rsidR="002561B9" w:rsidRDefault="002561B9" w:rsidP="00C74EDA">
      <w:pPr>
        <w:spacing w:line="480" w:lineRule="auto"/>
        <w:rPr>
          <w:sz w:val="24"/>
        </w:rPr>
      </w:pPr>
    </w:p>
    <w:p w14:paraId="246C1AB1" w14:textId="4F05B6B7" w:rsidR="00F90A64" w:rsidRDefault="00F90A64" w:rsidP="00C74EDA">
      <w:pPr>
        <w:spacing w:line="480" w:lineRule="auto"/>
        <w:rPr>
          <w:sz w:val="24"/>
        </w:rPr>
      </w:pPr>
    </w:p>
    <w:p w14:paraId="293F7C86" w14:textId="7C69AE96" w:rsidR="0061117C" w:rsidRPr="0061117C" w:rsidRDefault="0061117C" w:rsidP="00C74EDA">
      <w:pPr>
        <w:spacing w:line="480" w:lineRule="auto"/>
        <w:rPr>
          <w:b/>
          <w:sz w:val="24"/>
        </w:rPr>
      </w:pPr>
      <w:r w:rsidRPr="0061117C">
        <w:rPr>
          <w:b/>
          <w:sz w:val="24"/>
        </w:rPr>
        <w:t xml:space="preserve">Acknowledgements </w:t>
      </w:r>
    </w:p>
    <w:p w14:paraId="3EC7CEBE" w14:textId="77777777" w:rsidR="0061117C" w:rsidRDefault="0061117C" w:rsidP="00C74EDA">
      <w:pPr>
        <w:spacing w:line="480" w:lineRule="auto"/>
        <w:rPr>
          <w:b/>
          <w:sz w:val="24"/>
        </w:rPr>
      </w:pPr>
    </w:p>
    <w:p w14:paraId="0727468C" w14:textId="44F0972C" w:rsidR="00562A61" w:rsidRDefault="0061117C" w:rsidP="00C74EDA">
      <w:pPr>
        <w:spacing w:line="480" w:lineRule="auto"/>
        <w:rPr>
          <w:b/>
          <w:sz w:val="24"/>
        </w:rPr>
      </w:pPr>
      <w:r>
        <w:rPr>
          <w:sz w:val="24"/>
        </w:rPr>
        <w:t xml:space="preserve">The authors would like to acknowledge the kind support of the </w:t>
      </w:r>
      <w:r>
        <w:rPr>
          <w:i/>
          <w:sz w:val="24"/>
        </w:rPr>
        <w:t>Society for Research into Higher Education</w:t>
      </w:r>
      <w:r w:rsidR="0018180C">
        <w:t xml:space="preserve"> </w:t>
      </w:r>
      <w:r w:rsidR="0018180C">
        <w:rPr>
          <w:sz w:val="24"/>
        </w:rPr>
        <w:t>who funded th</w:t>
      </w:r>
      <w:r w:rsidR="00ED021F">
        <w:rPr>
          <w:sz w:val="24"/>
        </w:rPr>
        <w:t>e AIMS</w:t>
      </w:r>
      <w:r w:rsidR="0018180C">
        <w:rPr>
          <w:sz w:val="24"/>
        </w:rPr>
        <w:t xml:space="preserve"> project through their annual research awards programme</w:t>
      </w:r>
      <w:r w:rsidR="000616BD">
        <w:rPr>
          <w:sz w:val="24"/>
        </w:rPr>
        <w:t xml:space="preserve"> (December 2013)</w:t>
      </w:r>
      <w:r w:rsidR="0018180C">
        <w:rPr>
          <w:sz w:val="24"/>
        </w:rPr>
        <w:t>.</w:t>
      </w:r>
    </w:p>
    <w:p w14:paraId="4B15B347" w14:textId="77777777" w:rsidR="00562A61" w:rsidRDefault="00562A61">
      <w:pPr>
        <w:rPr>
          <w:b/>
          <w:sz w:val="24"/>
        </w:rPr>
      </w:pPr>
      <w:r>
        <w:rPr>
          <w:b/>
          <w:sz w:val="24"/>
        </w:rPr>
        <w:br w:type="page"/>
      </w:r>
    </w:p>
    <w:p w14:paraId="047806C6" w14:textId="08CA11B3" w:rsidR="00DD5CA9" w:rsidRPr="00841F99" w:rsidRDefault="00DD5CA9" w:rsidP="00C74EDA">
      <w:pPr>
        <w:spacing w:line="480" w:lineRule="auto"/>
        <w:rPr>
          <w:b/>
          <w:sz w:val="24"/>
        </w:rPr>
      </w:pPr>
      <w:r w:rsidRPr="00841F99">
        <w:rPr>
          <w:b/>
          <w:sz w:val="24"/>
        </w:rPr>
        <w:lastRenderedPageBreak/>
        <w:t>References</w:t>
      </w:r>
    </w:p>
    <w:p w14:paraId="0BA88F5B" w14:textId="77777777" w:rsidR="00DD5CA9" w:rsidRDefault="00DD5CA9" w:rsidP="00C74EDA">
      <w:pPr>
        <w:spacing w:line="480" w:lineRule="auto"/>
        <w:rPr>
          <w:sz w:val="24"/>
        </w:rPr>
      </w:pPr>
    </w:p>
    <w:p w14:paraId="29501CB0" w14:textId="77777777" w:rsidR="00DD5CA9" w:rsidRDefault="00DD5CA9" w:rsidP="00C74EDA">
      <w:pPr>
        <w:spacing w:line="480" w:lineRule="auto"/>
        <w:ind w:left="426" w:hanging="426"/>
        <w:rPr>
          <w:rFonts w:cs="Arial"/>
          <w:color w:val="000000"/>
          <w:sz w:val="24"/>
          <w:szCs w:val="24"/>
        </w:rPr>
      </w:pPr>
      <w:r w:rsidRPr="00C21314">
        <w:rPr>
          <w:rFonts w:cs="Arial"/>
          <w:color w:val="000000"/>
          <w:sz w:val="24"/>
          <w:szCs w:val="24"/>
        </w:rPr>
        <w:t xml:space="preserve">Boliver, V. 2013. How fair is access to more prestigious UK universities? </w:t>
      </w:r>
      <w:r w:rsidRPr="00C21314">
        <w:rPr>
          <w:rFonts w:cs="Arial"/>
          <w:i/>
          <w:color w:val="000000"/>
          <w:sz w:val="24"/>
          <w:szCs w:val="24"/>
        </w:rPr>
        <w:t>British Journal of Sociology</w:t>
      </w:r>
      <w:r w:rsidRPr="00C21314">
        <w:rPr>
          <w:rFonts w:cs="Arial"/>
          <w:color w:val="000000"/>
          <w:sz w:val="24"/>
          <w:szCs w:val="24"/>
        </w:rPr>
        <w:t xml:space="preserve"> 64(2): 344-364</w:t>
      </w:r>
      <w:r>
        <w:rPr>
          <w:rFonts w:cs="Arial"/>
          <w:color w:val="000000"/>
          <w:sz w:val="24"/>
          <w:szCs w:val="24"/>
        </w:rPr>
        <w:t>.</w:t>
      </w:r>
    </w:p>
    <w:p w14:paraId="016963E8" w14:textId="77777777" w:rsidR="004F61E8" w:rsidRPr="004F61E8" w:rsidRDefault="00766403" w:rsidP="00C74EDA">
      <w:pPr>
        <w:autoSpaceDE w:val="0"/>
        <w:autoSpaceDN w:val="0"/>
        <w:adjustRightInd w:val="0"/>
        <w:spacing w:line="480" w:lineRule="auto"/>
        <w:ind w:left="426" w:hanging="426"/>
        <w:rPr>
          <w:rFonts w:eastAsia="Calibri" w:cs="Arial"/>
          <w:sz w:val="24"/>
          <w:szCs w:val="20"/>
        </w:rPr>
      </w:pPr>
      <w:r w:rsidRPr="00766403">
        <w:rPr>
          <w:rFonts w:eastAsia="Calibri" w:cs="Arial"/>
          <w:sz w:val="24"/>
          <w:szCs w:val="20"/>
        </w:rPr>
        <w:t>Chowdry, H., C. Crawford, L. Dearden, A. Goodman and A. Vignoles. 20</w:t>
      </w:r>
      <w:r w:rsidR="004F61E8">
        <w:rPr>
          <w:rFonts w:eastAsia="Calibri" w:cs="Arial"/>
          <w:sz w:val="24"/>
          <w:szCs w:val="20"/>
        </w:rPr>
        <w:t>13</w:t>
      </w:r>
      <w:r w:rsidRPr="00766403">
        <w:rPr>
          <w:rFonts w:eastAsia="Calibri" w:cs="Arial"/>
          <w:sz w:val="24"/>
          <w:szCs w:val="20"/>
        </w:rPr>
        <w:t xml:space="preserve">. </w:t>
      </w:r>
      <w:r w:rsidRPr="004F61E8">
        <w:rPr>
          <w:rFonts w:eastAsia="Calibri" w:cs="Arial"/>
          <w:sz w:val="24"/>
          <w:szCs w:val="20"/>
        </w:rPr>
        <w:t>Widening participation in higher education</w:t>
      </w:r>
      <w:r w:rsidR="004F61E8" w:rsidRPr="004F61E8">
        <w:rPr>
          <w:rFonts w:eastAsia="Calibri" w:cs="Arial"/>
          <w:sz w:val="24"/>
          <w:szCs w:val="20"/>
        </w:rPr>
        <w:t>: analysis</w:t>
      </w:r>
      <w:r w:rsidRPr="004F61E8">
        <w:rPr>
          <w:rFonts w:eastAsia="Calibri" w:cs="Arial"/>
          <w:sz w:val="24"/>
          <w:szCs w:val="20"/>
        </w:rPr>
        <w:t xml:space="preserve"> using linked administrative data</w:t>
      </w:r>
      <w:r w:rsidR="004F61E8">
        <w:rPr>
          <w:rFonts w:eastAsia="Calibri" w:cs="Arial"/>
          <w:sz w:val="24"/>
          <w:szCs w:val="20"/>
        </w:rPr>
        <w:t xml:space="preserve">, </w:t>
      </w:r>
      <w:r w:rsidR="004F61E8">
        <w:rPr>
          <w:rFonts w:eastAsia="Calibri" w:cs="Arial"/>
          <w:i/>
          <w:sz w:val="24"/>
          <w:szCs w:val="20"/>
        </w:rPr>
        <w:t>Journal of the Royal Statistical Society: Series A (Statistics in Society)</w:t>
      </w:r>
      <w:r w:rsidR="004F61E8">
        <w:rPr>
          <w:rFonts w:eastAsia="Calibri" w:cs="Arial"/>
          <w:sz w:val="24"/>
          <w:szCs w:val="20"/>
        </w:rPr>
        <w:t xml:space="preserve"> 176 (2): 431-457.</w:t>
      </w:r>
    </w:p>
    <w:p w14:paraId="432A7833" w14:textId="77777777" w:rsidR="00DD5CA9" w:rsidRDefault="00DD5CA9" w:rsidP="00C74EDA">
      <w:pPr>
        <w:autoSpaceDE w:val="0"/>
        <w:autoSpaceDN w:val="0"/>
        <w:adjustRightInd w:val="0"/>
        <w:spacing w:line="480" w:lineRule="auto"/>
        <w:ind w:left="426" w:hanging="426"/>
        <w:rPr>
          <w:color w:val="000000"/>
          <w:sz w:val="24"/>
          <w:szCs w:val="20"/>
        </w:rPr>
      </w:pPr>
      <w:r w:rsidRPr="004B780A">
        <w:rPr>
          <w:color w:val="000000"/>
          <w:sz w:val="24"/>
          <w:szCs w:val="20"/>
        </w:rPr>
        <w:t>Coleman, R</w:t>
      </w:r>
      <w:r>
        <w:rPr>
          <w:color w:val="000000"/>
          <w:sz w:val="24"/>
          <w:szCs w:val="20"/>
        </w:rPr>
        <w:t>.</w:t>
      </w:r>
      <w:r w:rsidRPr="004B780A">
        <w:rPr>
          <w:color w:val="000000"/>
          <w:sz w:val="24"/>
          <w:szCs w:val="20"/>
        </w:rPr>
        <w:t xml:space="preserve"> and </w:t>
      </w:r>
      <w:r>
        <w:rPr>
          <w:color w:val="000000"/>
          <w:sz w:val="24"/>
          <w:szCs w:val="20"/>
        </w:rPr>
        <w:t>B. Bekhradnia. 2011.</w:t>
      </w:r>
      <w:r w:rsidRPr="004B780A">
        <w:rPr>
          <w:color w:val="000000"/>
          <w:sz w:val="24"/>
          <w:szCs w:val="20"/>
        </w:rPr>
        <w:t xml:space="preserve"> </w:t>
      </w:r>
      <w:r w:rsidRPr="004B780A">
        <w:rPr>
          <w:i/>
          <w:iCs/>
          <w:color w:val="000000"/>
          <w:sz w:val="24"/>
          <w:szCs w:val="20"/>
        </w:rPr>
        <w:t>Higher education supply and demand to 2020</w:t>
      </w:r>
      <w:r>
        <w:rPr>
          <w:color w:val="000000"/>
          <w:sz w:val="24"/>
          <w:szCs w:val="20"/>
        </w:rPr>
        <w:t>.</w:t>
      </w:r>
      <w:r w:rsidRPr="004B780A">
        <w:rPr>
          <w:color w:val="000000"/>
          <w:sz w:val="24"/>
          <w:szCs w:val="20"/>
        </w:rPr>
        <w:t xml:space="preserve"> Oxford: Higher Education Policy Institute.</w:t>
      </w:r>
    </w:p>
    <w:p w14:paraId="4F5209DB" w14:textId="77777777" w:rsidR="00DD5CA9" w:rsidRDefault="00DD5CA9" w:rsidP="00C74EDA">
      <w:pPr>
        <w:autoSpaceDE w:val="0"/>
        <w:autoSpaceDN w:val="0"/>
        <w:adjustRightInd w:val="0"/>
        <w:spacing w:line="480" w:lineRule="auto"/>
        <w:ind w:left="284" w:hanging="284"/>
        <w:rPr>
          <w:color w:val="000000"/>
          <w:sz w:val="24"/>
          <w:szCs w:val="20"/>
        </w:rPr>
      </w:pPr>
      <w:r>
        <w:rPr>
          <w:color w:val="000000"/>
          <w:sz w:val="24"/>
          <w:szCs w:val="20"/>
        </w:rPr>
        <w:t>Crawford, C. 2014.</w:t>
      </w:r>
      <w:r w:rsidRPr="000276EB">
        <w:rPr>
          <w:color w:val="000000"/>
          <w:sz w:val="24"/>
          <w:szCs w:val="20"/>
        </w:rPr>
        <w:t xml:space="preserve"> </w:t>
      </w:r>
      <w:r w:rsidRPr="000276EB">
        <w:rPr>
          <w:i/>
          <w:iCs/>
          <w:color w:val="000000"/>
          <w:sz w:val="24"/>
          <w:szCs w:val="20"/>
        </w:rPr>
        <w:t>The link between secondary school characteristics and university participation and outcomes</w:t>
      </w:r>
      <w:r w:rsidRPr="000276EB">
        <w:rPr>
          <w:color w:val="000000"/>
          <w:sz w:val="24"/>
          <w:szCs w:val="20"/>
        </w:rPr>
        <w:t>.  London: DFE.</w:t>
      </w:r>
    </w:p>
    <w:p w14:paraId="45E693D3" w14:textId="77777777" w:rsidR="0025258A" w:rsidRDefault="00DD5CA9" w:rsidP="00C74EDA">
      <w:pPr>
        <w:spacing w:line="480" w:lineRule="auto"/>
        <w:ind w:left="426" w:hanging="426"/>
        <w:rPr>
          <w:color w:val="000000"/>
          <w:sz w:val="24"/>
          <w:szCs w:val="24"/>
        </w:rPr>
      </w:pPr>
      <w:r w:rsidRPr="000A39EE">
        <w:rPr>
          <w:color w:val="000000"/>
          <w:sz w:val="24"/>
          <w:szCs w:val="24"/>
        </w:rPr>
        <w:t>Croxford</w:t>
      </w:r>
      <w:r>
        <w:rPr>
          <w:color w:val="000000"/>
          <w:sz w:val="24"/>
          <w:szCs w:val="24"/>
        </w:rPr>
        <w:t>, L.</w:t>
      </w:r>
      <w:r w:rsidRPr="000A39EE">
        <w:rPr>
          <w:color w:val="000000"/>
          <w:sz w:val="24"/>
          <w:szCs w:val="24"/>
        </w:rPr>
        <w:t xml:space="preserve"> and D. Raffe. 2015. The iron law of hierarchy? Institutional differentiation in UK higher education. </w:t>
      </w:r>
      <w:r w:rsidRPr="000A39EE">
        <w:rPr>
          <w:i/>
          <w:color w:val="000000"/>
          <w:sz w:val="24"/>
          <w:szCs w:val="24"/>
        </w:rPr>
        <w:t>Studies in Higher Education</w:t>
      </w:r>
      <w:r w:rsidR="0025258A">
        <w:rPr>
          <w:color w:val="000000"/>
          <w:sz w:val="24"/>
          <w:szCs w:val="24"/>
        </w:rPr>
        <w:t xml:space="preserve"> 40 (9): 1625-1640.</w:t>
      </w:r>
    </w:p>
    <w:p w14:paraId="29A89DEB" w14:textId="48497A53" w:rsidR="0025258A" w:rsidRPr="0025258A" w:rsidRDefault="0025258A" w:rsidP="00C74EDA">
      <w:pPr>
        <w:spacing w:line="480" w:lineRule="auto"/>
        <w:ind w:left="426" w:hanging="426"/>
        <w:rPr>
          <w:color w:val="000000"/>
          <w:sz w:val="24"/>
          <w:szCs w:val="24"/>
        </w:rPr>
      </w:pPr>
      <w:r w:rsidRPr="0025258A">
        <w:rPr>
          <w:rFonts w:eastAsia="Times New Roman" w:cs="Times New Roman"/>
          <w:sz w:val="24"/>
          <w:szCs w:val="24"/>
          <w:lang w:eastAsia="en-GB"/>
        </w:rPr>
        <w:t xml:space="preserve">Department for Business, Innovation and Skills [BIS]. 2014. National strategy for access and student success in higher education. London: BIS. </w:t>
      </w:r>
    </w:p>
    <w:p w14:paraId="1D0812D9" w14:textId="2C783CB2" w:rsidR="00DD5CA9" w:rsidRDefault="00DD5CA9" w:rsidP="00C74EDA">
      <w:pPr>
        <w:spacing w:line="480" w:lineRule="auto"/>
        <w:ind w:left="426" w:hanging="426"/>
        <w:rPr>
          <w:color w:val="000000"/>
          <w:sz w:val="24"/>
          <w:szCs w:val="24"/>
        </w:rPr>
      </w:pPr>
      <w:r w:rsidRPr="00907F52">
        <w:rPr>
          <w:color w:val="000000"/>
          <w:sz w:val="24"/>
          <w:szCs w:val="24"/>
        </w:rPr>
        <w:t xml:space="preserve">Department for Business, Innovation and Skills [BIS]. 2015.  </w:t>
      </w:r>
      <w:r w:rsidR="00DB48F0">
        <w:rPr>
          <w:i/>
          <w:color w:val="000000"/>
          <w:sz w:val="24"/>
          <w:szCs w:val="24"/>
        </w:rPr>
        <w:t>Widening participation in higher education</w:t>
      </w:r>
      <w:r>
        <w:rPr>
          <w:i/>
          <w:color w:val="000000"/>
          <w:sz w:val="24"/>
          <w:szCs w:val="24"/>
        </w:rPr>
        <w:t xml:space="preserve">: </w:t>
      </w:r>
      <w:r w:rsidR="00DB48F0">
        <w:rPr>
          <w:i/>
          <w:color w:val="000000"/>
          <w:sz w:val="24"/>
          <w:szCs w:val="24"/>
        </w:rPr>
        <w:t>July</w:t>
      </w:r>
      <w:r>
        <w:rPr>
          <w:i/>
          <w:color w:val="000000"/>
          <w:sz w:val="24"/>
          <w:szCs w:val="24"/>
        </w:rPr>
        <w:t xml:space="preserve"> 2015</w:t>
      </w:r>
      <w:r w:rsidRPr="00907F52">
        <w:rPr>
          <w:i/>
          <w:color w:val="000000"/>
          <w:sz w:val="24"/>
          <w:szCs w:val="24"/>
        </w:rPr>
        <w:t>.</w:t>
      </w:r>
      <w:r w:rsidRPr="00907F52">
        <w:rPr>
          <w:color w:val="000000"/>
          <w:sz w:val="24"/>
          <w:szCs w:val="24"/>
        </w:rPr>
        <w:t xml:space="preserve">  London: BIS.</w:t>
      </w:r>
    </w:p>
    <w:p w14:paraId="05ABD788" w14:textId="26018623" w:rsidR="0025258A" w:rsidRPr="00C27DBE" w:rsidRDefault="0025258A" w:rsidP="00C74EDA">
      <w:pPr>
        <w:spacing w:line="480" w:lineRule="auto"/>
        <w:ind w:left="426" w:hanging="426"/>
        <w:rPr>
          <w:color w:val="000000"/>
          <w:sz w:val="24"/>
          <w:szCs w:val="24"/>
        </w:rPr>
      </w:pPr>
      <w:r>
        <w:rPr>
          <w:color w:val="000000"/>
          <w:sz w:val="24"/>
          <w:szCs w:val="24"/>
        </w:rPr>
        <w:t xml:space="preserve">Department for Business, Innovation and Skills [BIS]. 2016. </w:t>
      </w:r>
      <w:r>
        <w:rPr>
          <w:rStyle w:val="Emphasis"/>
          <w:bCs/>
          <w:sz w:val="24"/>
        </w:rPr>
        <w:t>Success as a k</w:t>
      </w:r>
      <w:r w:rsidRPr="0025258A">
        <w:rPr>
          <w:rStyle w:val="Emphasis"/>
          <w:bCs/>
          <w:sz w:val="24"/>
        </w:rPr>
        <w:t xml:space="preserve">nowledge </w:t>
      </w:r>
      <w:r>
        <w:rPr>
          <w:rStyle w:val="Emphasis"/>
          <w:bCs/>
          <w:sz w:val="24"/>
        </w:rPr>
        <w:t>economy: teaching e</w:t>
      </w:r>
      <w:r w:rsidRPr="0025258A">
        <w:rPr>
          <w:rStyle w:val="Emphasis"/>
          <w:bCs/>
          <w:sz w:val="24"/>
        </w:rPr>
        <w:t xml:space="preserve">xcellence, </w:t>
      </w:r>
      <w:r>
        <w:rPr>
          <w:rStyle w:val="Emphasis"/>
          <w:bCs/>
          <w:sz w:val="24"/>
        </w:rPr>
        <w:t>social m</w:t>
      </w:r>
      <w:r w:rsidRPr="0025258A">
        <w:rPr>
          <w:rStyle w:val="Emphasis"/>
          <w:bCs/>
          <w:sz w:val="24"/>
        </w:rPr>
        <w:t xml:space="preserve">obility and </w:t>
      </w:r>
      <w:r>
        <w:rPr>
          <w:rStyle w:val="Emphasis"/>
          <w:bCs/>
          <w:sz w:val="24"/>
        </w:rPr>
        <w:t>s</w:t>
      </w:r>
      <w:r w:rsidRPr="0025258A">
        <w:rPr>
          <w:rStyle w:val="Emphasis"/>
          <w:bCs/>
          <w:sz w:val="24"/>
        </w:rPr>
        <w:t xml:space="preserve">tudent </w:t>
      </w:r>
      <w:r>
        <w:rPr>
          <w:rStyle w:val="Emphasis"/>
          <w:bCs/>
          <w:sz w:val="24"/>
        </w:rPr>
        <w:t>c</w:t>
      </w:r>
      <w:r w:rsidRPr="0025258A">
        <w:rPr>
          <w:rStyle w:val="Emphasis"/>
          <w:bCs/>
          <w:sz w:val="24"/>
        </w:rPr>
        <w:t>hoice.</w:t>
      </w:r>
      <w:r>
        <w:rPr>
          <w:color w:val="000000"/>
          <w:sz w:val="24"/>
          <w:szCs w:val="24"/>
        </w:rPr>
        <w:t xml:space="preserve"> London: BIS.</w:t>
      </w:r>
    </w:p>
    <w:p w14:paraId="07129B1C" w14:textId="1F490543" w:rsidR="00FE3634" w:rsidRPr="00907F52" w:rsidRDefault="00DD5CA9" w:rsidP="00FE3634">
      <w:pPr>
        <w:spacing w:line="480" w:lineRule="auto"/>
        <w:ind w:left="426" w:hanging="426"/>
        <w:rPr>
          <w:color w:val="000000"/>
          <w:sz w:val="24"/>
          <w:szCs w:val="24"/>
        </w:rPr>
      </w:pPr>
      <w:r>
        <w:rPr>
          <w:color w:val="000000"/>
          <w:sz w:val="24"/>
          <w:szCs w:val="24"/>
        </w:rPr>
        <w:t>Depa</w:t>
      </w:r>
      <w:r w:rsidR="00FE3634">
        <w:rPr>
          <w:color w:val="000000"/>
          <w:sz w:val="24"/>
          <w:szCs w:val="24"/>
        </w:rPr>
        <w:t>rtment for Education [DFE]. 2016</w:t>
      </w:r>
      <w:r>
        <w:rPr>
          <w:color w:val="000000"/>
          <w:sz w:val="24"/>
          <w:szCs w:val="24"/>
        </w:rPr>
        <w:t xml:space="preserve">. </w:t>
      </w:r>
      <w:r w:rsidR="00FE3634">
        <w:rPr>
          <w:i/>
          <w:color w:val="000000"/>
          <w:sz w:val="24"/>
          <w:szCs w:val="24"/>
        </w:rPr>
        <w:t xml:space="preserve">Widening participation in higher education: </w:t>
      </w:r>
      <w:bookmarkStart w:id="0" w:name="_GoBack"/>
      <w:bookmarkEnd w:id="0"/>
      <w:r w:rsidR="00FE3634">
        <w:rPr>
          <w:i/>
          <w:color w:val="000000"/>
          <w:sz w:val="24"/>
          <w:szCs w:val="24"/>
        </w:rPr>
        <w:t>2016</w:t>
      </w:r>
      <w:r>
        <w:rPr>
          <w:color w:val="000000"/>
          <w:sz w:val="24"/>
          <w:szCs w:val="24"/>
        </w:rPr>
        <w:t>. London: DFE.</w:t>
      </w:r>
    </w:p>
    <w:p w14:paraId="1E6E3A52" w14:textId="77777777" w:rsidR="00DD5CA9" w:rsidRPr="00C6017C" w:rsidRDefault="00DD5CA9" w:rsidP="00C74EDA">
      <w:pPr>
        <w:spacing w:line="480" w:lineRule="auto"/>
        <w:ind w:left="426" w:hanging="426"/>
        <w:rPr>
          <w:bCs/>
          <w:color w:val="000000"/>
          <w:sz w:val="24"/>
          <w:szCs w:val="24"/>
          <w:lang w:eastAsia="en-GB"/>
        </w:rPr>
      </w:pPr>
      <w:r w:rsidRPr="00C6017C">
        <w:rPr>
          <w:rFonts w:cs="TimesNewRomanPS"/>
          <w:color w:val="000000"/>
          <w:sz w:val="24"/>
          <w:szCs w:val="24"/>
          <w:lang w:eastAsia="en-GB"/>
        </w:rPr>
        <w:t xml:space="preserve">Department for Education and Employment [DFEE]. 2000. </w:t>
      </w:r>
      <w:r w:rsidRPr="00C6017C">
        <w:rPr>
          <w:rFonts w:cs="TimesNewRomanPS-Italic"/>
          <w:i/>
          <w:iCs/>
          <w:color w:val="000000"/>
          <w:sz w:val="24"/>
          <w:szCs w:val="24"/>
          <w:lang w:eastAsia="en-GB"/>
        </w:rPr>
        <w:t>The excellence challenge.</w:t>
      </w:r>
      <w:r w:rsidRPr="00C6017C">
        <w:rPr>
          <w:bCs/>
          <w:color w:val="000000"/>
          <w:sz w:val="24"/>
          <w:szCs w:val="24"/>
          <w:lang w:eastAsia="en-GB"/>
        </w:rPr>
        <w:t xml:space="preserve"> </w:t>
      </w:r>
      <w:r w:rsidRPr="00C6017C">
        <w:rPr>
          <w:rFonts w:cs="TimesNewRomanPS"/>
          <w:color w:val="000000"/>
          <w:sz w:val="24"/>
          <w:szCs w:val="24"/>
          <w:lang w:eastAsia="en-GB"/>
        </w:rPr>
        <w:t>London: DFEE.</w:t>
      </w:r>
    </w:p>
    <w:p w14:paraId="05C00E98" w14:textId="77777777" w:rsidR="00DD5CA9" w:rsidRPr="00E67DED" w:rsidRDefault="00DD5CA9" w:rsidP="00C74EDA">
      <w:pPr>
        <w:spacing w:line="480" w:lineRule="auto"/>
        <w:ind w:left="426" w:hanging="426"/>
        <w:rPr>
          <w:bCs/>
          <w:color w:val="000000"/>
          <w:sz w:val="24"/>
          <w:szCs w:val="24"/>
          <w:lang w:eastAsia="en-GB"/>
        </w:rPr>
      </w:pPr>
      <w:r w:rsidRPr="00C6017C">
        <w:rPr>
          <w:rFonts w:cs="TimesNewRomanPS"/>
          <w:color w:val="000000"/>
          <w:sz w:val="24"/>
          <w:szCs w:val="24"/>
          <w:lang w:eastAsia="en-GB"/>
        </w:rPr>
        <w:lastRenderedPageBreak/>
        <w:t>Department for Education an</w:t>
      </w:r>
      <w:r>
        <w:rPr>
          <w:rFonts w:cs="TimesNewRomanPS"/>
          <w:color w:val="000000"/>
          <w:sz w:val="24"/>
          <w:szCs w:val="24"/>
          <w:lang w:eastAsia="en-GB"/>
        </w:rPr>
        <w:t>d Skills [DfES].  2003a</w:t>
      </w:r>
      <w:r w:rsidRPr="00C6017C">
        <w:rPr>
          <w:rFonts w:cs="TimesNewRomanPS"/>
          <w:color w:val="000000"/>
          <w:sz w:val="24"/>
          <w:szCs w:val="24"/>
          <w:lang w:eastAsia="en-GB"/>
        </w:rPr>
        <w:t xml:space="preserve">.  </w:t>
      </w:r>
      <w:r w:rsidRPr="00C6017C">
        <w:rPr>
          <w:rFonts w:cs="TimesNewRomanPS-Italic"/>
          <w:i/>
          <w:iCs/>
          <w:color w:val="000000"/>
          <w:sz w:val="24"/>
          <w:szCs w:val="24"/>
          <w:lang w:eastAsia="en-GB"/>
        </w:rPr>
        <w:t xml:space="preserve">The future of higher education. </w:t>
      </w:r>
      <w:r w:rsidRPr="00C6017C">
        <w:rPr>
          <w:rFonts w:cs="TimesNewRomanPS"/>
          <w:color w:val="000000"/>
          <w:sz w:val="24"/>
          <w:szCs w:val="24"/>
          <w:lang w:eastAsia="en-GB"/>
        </w:rPr>
        <w:t>Norwich: HMSO.</w:t>
      </w:r>
    </w:p>
    <w:p w14:paraId="33FC968A" w14:textId="77777777" w:rsidR="00DD5CA9" w:rsidRDefault="00DD5CA9" w:rsidP="00C74EDA">
      <w:pPr>
        <w:spacing w:line="480" w:lineRule="auto"/>
        <w:ind w:left="426" w:hanging="426"/>
        <w:rPr>
          <w:rFonts w:cs="Arial"/>
          <w:color w:val="000000"/>
          <w:sz w:val="24"/>
          <w:szCs w:val="24"/>
        </w:rPr>
      </w:pPr>
      <w:r w:rsidRPr="00C6017C">
        <w:rPr>
          <w:rFonts w:cs="TimesNewRomanPS"/>
          <w:color w:val="000000"/>
          <w:sz w:val="24"/>
          <w:szCs w:val="24"/>
          <w:lang w:eastAsia="en-GB"/>
        </w:rPr>
        <w:t xml:space="preserve">Department for Education and Skills [DfES].  </w:t>
      </w:r>
      <w:r w:rsidRPr="00C6017C">
        <w:rPr>
          <w:rFonts w:cs="Arial"/>
          <w:color w:val="000000"/>
          <w:sz w:val="24"/>
          <w:szCs w:val="24"/>
        </w:rPr>
        <w:t>2003</w:t>
      </w:r>
      <w:r>
        <w:rPr>
          <w:rFonts w:cs="Arial"/>
          <w:color w:val="000000"/>
          <w:sz w:val="24"/>
          <w:szCs w:val="24"/>
        </w:rPr>
        <w:t>b</w:t>
      </w:r>
      <w:r w:rsidRPr="00C6017C">
        <w:rPr>
          <w:rFonts w:cs="Arial"/>
          <w:color w:val="000000"/>
          <w:sz w:val="24"/>
          <w:szCs w:val="24"/>
        </w:rPr>
        <w:t xml:space="preserve">.  </w:t>
      </w:r>
      <w:r w:rsidRPr="00C6017C">
        <w:rPr>
          <w:rFonts w:cs="Arial"/>
          <w:i/>
          <w:color w:val="000000"/>
          <w:sz w:val="24"/>
          <w:szCs w:val="24"/>
        </w:rPr>
        <w:t>Widening participation in higher education</w:t>
      </w:r>
      <w:r w:rsidRPr="00C6017C">
        <w:rPr>
          <w:rFonts w:cs="Arial"/>
          <w:color w:val="000000"/>
          <w:sz w:val="24"/>
          <w:szCs w:val="24"/>
        </w:rPr>
        <w:t>, London: Depart</w:t>
      </w:r>
      <w:r>
        <w:rPr>
          <w:rFonts w:cs="Arial"/>
          <w:color w:val="000000"/>
          <w:sz w:val="24"/>
          <w:szCs w:val="24"/>
        </w:rPr>
        <w:t xml:space="preserve">ment for Education and Skills. </w:t>
      </w:r>
    </w:p>
    <w:p w14:paraId="7C28043F" w14:textId="77777777" w:rsidR="00DD5CA9" w:rsidRDefault="00DD5CA9" w:rsidP="00C74EDA">
      <w:pPr>
        <w:spacing w:line="480" w:lineRule="auto"/>
        <w:ind w:left="426" w:hanging="426"/>
        <w:rPr>
          <w:color w:val="000000" w:themeColor="text1"/>
          <w:sz w:val="24"/>
          <w:szCs w:val="24"/>
        </w:rPr>
      </w:pPr>
      <w:r w:rsidRPr="009B285E">
        <w:rPr>
          <w:color w:val="000000" w:themeColor="text1"/>
          <w:sz w:val="24"/>
          <w:szCs w:val="24"/>
        </w:rPr>
        <w:t>Doyle, M</w:t>
      </w:r>
      <w:r>
        <w:rPr>
          <w:color w:val="000000" w:themeColor="text1"/>
          <w:sz w:val="24"/>
          <w:szCs w:val="24"/>
        </w:rPr>
        <w:t>. and M. Griffin. 2012.</w:t>
      </w:r>
      <w:r w:rsidRPr="009B285E">
        <w:rPr>
          <w:color w:val="000000" w:themeColor="text1"/>
          <w:sz w:val="24"/>
          <w:szCs w:val="24"/>
        </w:rPr>
        <w:t xml:space="preserve"> Raised aspirations and attainment?  A review of the impact of Aimhigher (2004-2011) on widening participation in higher education in England.  </w:t>
      </w:r>
      <w:r w:rsidRPr="009B285E">
        <w:rPr>
          <w:i/>
          <w:color w:val="000000" w:themeColor="text1"/>
          <w:sz w:val="24"/>
          <w:szCs w:val="24"/>
        </w:rPr>
        <w:t>London Review of Education</w:t>
      </w:r>
      <w:r>
        <w:rPr>
          <w:color w:val="000000" w:themeColor="text1"/>
          <w:sz w:val="24"/>
          <w:szCs w:val="24"/>
        </w:rPr>
        <w:t xml:space="preserve"> 10 (1): 75-88.</w:t>
      </w:r>
    </w:p>
    <w:p w14:paraId="471D8EF8" w14:textId="77777777" w:rsidR="004618E6" w:rsidRDefault="004618E6" w:rsidP="00C74EDA">
      <w:pPr>
        <w:spacing w:line="480" w:lineRule="auto"/>
        <w:ind w:left="426" w:hanging="426"/>
        <w:rPr>
          <w:rFonts w:cs="Times New Roman"/>
          <w:sz w:val="24"/>
          <w:szCs w:val="24"/>
        </w:rPr>
      </w:pPr>
      <w:r w:rsidRPr="004618E6">
        <w:rPr>
          <w:rFonts w:cs="Times New Roman"/>
          <w:sz w:val="24"/>
          <w:szCs w:val="24"/>
        </w:rPr>
        <w:t xml:space="preserve">Gorard, S., </w:t>
      </w:r>
      <w:r>
        <w:rPr>
          <w:rFonts w:cs="Times New Roman"/>
          <w:sz w:val="24"/>
          <w:szCs w:val="24"/>
        </w:rPr>
        <w:t xml:space="preserve">N. </w:t>
      </w:r>
      <w:r w:rsidRPr="004618E6">
        <w:rPr>
          <w:rFonts w:cs="Times New Roman"/>
          <w:sz w:val="24"/>
          <w:szCs w:val="24"/>
        </w:rPr>
        <w:t>Adnett</w:t>
      </w:r>
      <w:r>
        <w:rPr>
          <w:rFonts w:cs="Times New Roman"/>
          <w:sz w:val="24"/>
          <w:szCs w:val="24"/>
        </w:rPr>
        <w:t xml:space="preserve">, H. </w:t>
      </w:r>
      <w:r w:rsidRPr="004618E6">
        <w:rPr>
          <w:rFonts w:cs="Times New Roman"/>
          <w:sz w:val="24"/>
          <w:szCs w:val="24"/>
        </w:rPr>
        <w:t xml:space="preserve">May, </w:t>
      </w:r>
      <w:r>
        <w:rPr>
          <w:rFonts w:cs="Times New Roman"/>
          <w:sz w:val="24"/>
          <w:szCs w:val="24"/>
        </w:rPr>
        <w:t>K.</w:t>
      </w:r>
      <w:r w:rsidRPr="004618E6">
        <w:rPr>
          <w:rFonts w:cs="Times New Roman"/>
          <w:sz w:val="24"/>
          <w:szCs w:val="24"/>
        </w:rPr>
        <w:t xml:space="preserve"> Slack, </w:t>
      </w:r>
      <w:r>
        <w:rPr>
          <w:rFonts w:cs="Times New Roman"/>
          <w:sz w:val="24"/>
          <w:szCs w:val="24"/>
        </w:rPr>
        <w:t>E.</w:t>
      </w:r>
      <w:r w:rsidRPr="004618E6">
        <w:rPr>
          <w:rFonts w:cs="Times New Roman"/>
          <w:sz w:val="24"/>
          <w:szCs w:val="24"/>
        </w:rPr>
        <w:t xml:space="preserve"> Smith</w:t>
      </w:r>
      <w:r>
        <w:rPr>
          <w:rFonts w:cs="Times New Roman"/>
          <w:sz w:val="24"/>
          <w:szCs w:val="24"/>
        </w:rPr>
        <w:t xml:space="preserve"> and L. </w:t>
      </w:r>
      <w:r w:rsidRPr="004618E6">
        <w:rPr>
          <w:rFonts w:cs="Times New Roman"/>
          <w:sz w:val="24"/>
          <w:szCs w:val="24"/>
        </w:rPr>
        <w:t>Thomas</w:t>
      </w:r>
      <w:r>
        <w:rPr>
          <w:rFonts w:cs="Times New Roman"/>
          <w:sz w:val="24"/>
          <w:szCs w:val="24"/>
        </w:rPr>
        <w:t>. 2006.</w:t>
      </w:r>
      <w:r w:rsidRPr="004618E6">
        <w:rPr>
          <w:rFonts w:cs="Times New Roman"/>
          <w:sz w:val="24"/>
          <w:szCs w:val="24"/>
        </w:rPr>
        <w:t xml:space="preserve"> </w:t>
      </w:r>
      <w:r>
        <w:rPr>
          <w:rFonts w:cs="Times New Roman"/>
          <w:i/>
          <w:sz w:val="24"/>
          <w:szCs w:val="24"/>
        </w:rPr>
        <w:t>Overcoming the b</w:t>
      </w:r>
      <w:r w:rsidRPr="004618E6">
        <w:rPr>
          <w:rFonts w:cs="Times New Roman"/>
          <w:i/>
          <w:sz w:val="24"/>
          <w:szCs w:val="24"/>
        </w:rPr>
        <w:t xml:space="preserve">arriers to </w:t>
      </w:r>
      <w:r>
        <w:rPr>
          <w:rFonts w:cs="Times New Roman"/>
          <w:i/>
          <w:sz w:val="24"/>
          <w:szCs w:val="24"/>
        </w:rPr>
        <w:t>h</w:t>
      </w:r>
      <w:r w:rsidRPr="004618E6">
        <w:rPr>
          <w:rFonts w:cs="Times New Roman"/>
          <w:i/>
          <w:sz w:val="24"/>
          <w:szCs w:val="24"/>
        </w:rPr>
        <w:t xml:space="preserve">igher </w:t>
      </w:r>
      <w:r>
        <w:rPr>
          <w:rFonts w:cs="Times New Roman"/>
          <w:i/>
          <w:sz w:val="24"/>
          <w:szCs w:val="24"/>
        </w:rPr>
        <w:t>e</w:t>
      </w:r>
      <w:r w:rsidRPr="004618E6">
        <w:rPr>
          <w:rFonts w:cs="Times New Roman"/>
          <w:i/>
          <w:sz w:val="24"/>
          <w:szCs w:val="24"/>
        </w:rPr>
        <w:t>ducation</w:t>
      </w:r>
      <w:r w:rsidRPr="004618E6">
        <w:rPr>
          <w:rFonts w:cs="Times New Roman"/>
          <w:sz w:val="24"/>
          <w:szCs w:val="24"/>
        </w:rPr>
        <w:t>. Stoke-on-Trent: Trentham.</w:t>
      </w:r>
    </w:p>
    <w:p w14:paraId="1633548B" w14:textId="5573255D" w:rsidR="006B54C6" w:rsidRDefault="003006C8" w:rsidP="00C74EDA">
      <w:pPr>
        <w:spacing w:line="480" w:lineRule="auto"/>
        <w:ind w:left="426" w:hanging="426"/>
        <w:rPr>
          <w:rFonts w:cs="Times New Roman"/>
          <w:sz w:val="24"/>
          <w:szCs w:val="24"/>
        </w:rPr>
      </w:pPr>
      <w:r>
        <w:rPr>
          <w:rFonts w:cs="Times New Roman"/>
          <w:sz w:val="24"/>
          <w:szCs w:val="24"/>
        </w:rPr>
        <w:t xml:space="preserve">Gorard, S. and B.H. See. 2013. </w:t>
      </w:r>
      <w:r>
        <w:rPr>
          <w:rFonts w:cs="Times New Roman"/>
          <w:i/>
          <w:sz w:val="24"/>
          <w:szCs w:val="24"/>
        </w:rPr>
        <w:t>Overcoming disadvantage in education</w:t>
      </w:r>
      <w:r>
        <w:rPr>
          <w:rFonts w:cs="Times New Roman"/>
          <w:sz w:val="24"/>
          <w:szCs w:val="24"/>
        </w:rPr>
        <w:t>. Abingdon: Routledge.</w:t>
      </w:r>
    </w:p>
    <w:p w14:paraId="7729C65B" w14:textId="4AB6EC18" w:rsidR="00ED021F" w:rsidRDefault="00ED021F" w:rsidP="00ED021F">
      <w:pPr>
        <w:spacing w:line="480" w:lineRule="auto"/>
        <w:ind w:left="426" w:hanging="426"/>
        <w:rPr>
          <w:rFonts w:cs="Times New Roman"/>
          <w:sz w:val="24"/>
          <w:szCs w:val="24"/>
        </w:rPr>
      </w:pPr>
      <w:r>
        <w:rPr>
          <w:rFonts w:cs="Times New Roman"/>
          <w:sz w:val="24"/>
          <w:szCs w:val="24"/>
        </w:rPr>
        <w:t xml:space="preserve">Harrison, N. 2011. Have the changes introduced by the 2004 Higher Education Act made higher education admissions in England wider and fairer? </w:t>
      </w:r>
      <w:r>
        <w:rPr>
          <w:rFonts w:cs="Times New Roman"/>
          <w:i/>
          <w:iCs/>
          <w:sz w:val="24"/>
          <w:szCs w:val="24"/>
        </w:rPr>
        <w:t>Journal of Education Policy</w:t>
      </w:r>
      <w:r>
        <w:rPr>
          <w:rFonts w:cs="Times New Roman"/>
          <w:sz w:val="24"/>
          <w:szCs w:val="24"/>
        </w:rPr>
        <w:t xml:space="preserve"> </w:t>
      </w:r>
      <w:r>
        <w:rPr>
          <w:rFonts w:cs="Times New Roman"/>
          <w:iCs/>
          <w:sz w:val="24"/>
          <w:szCs w:val="24"/>
        </w:rPr>
        <w:t>26</w:t>
      </w:r>
      <w:r>
        <w:rPr>
          <w:rFonts w:cs="Times New Roman"/>
          <w:i/>
          <w:iCs/>
          <w:sz w:val="24"/>
          <w:szCs w:val="24"/>
        </w:rPr>
        <w:t xml:space="preserve"> </w:t>
      </w:r>
      <w:r>
        <w:rPr>
          <w:rFonts w:cs="Times New Roman"/>
          <w:sz w:val="24"/>
          <w:szCs w:val="24"/>
        </w:rPr>
        <w:t>(3): 449-468.</w:t>
      </w:r>
    </w:p>
    <w:p w14:paraId="7349189E" w14:textId="77777777" w:rsidR="008F2FD1" w:rsidRDefault="00ED021F" w:rsidP="008F2FD1">
      <w:pPr>
        <w:spacing w:line="480" w:lineRule="auto"/>
        <w:ind w:left="426" w:hanging="426"/>
        <w:rPr>
          <w:sz w:val="24"/>
        </w:rPr>
      </w:pPr>
      <w:r>
        <w:rPr>
          <w:rStyle w:val="personname"/>
          <w:sz w:val="24"/>
        </w:rPr>
        <w:t>Harrison, N.</w:t>
      </w:r>
      <w:r>
        <w:rPr>
          <w:sz w:val="24"/>
        </w:rPr>
        <w:t xml:space="preserve"> 2012. The mismeasure of participation: how choosing the ‘wrong’ statistic helped seal the fate of Aimhigher. </w:t>
      </w:r>
      <w:r>
        <w:rPr>
          <w:rStyle w:val="Emphasis"/>
          <w:sz w:val="24"/>
        </w:rPr>
        <w:t>Higher Education Review</w:t>
      </w:r>
      <w:r>
        <w:rPr>
          <w:sz w:val="24"/>
        </w:rPr>
        <w:t xml:space="preserve"> 45 (1): 30-61.</w:t>
      </w:r>
    </w:p>
    <w:p w14:paraId="25D89953" w14:textId="4661D934" w:rsidR="008F2FD1" w:rsidRPr="008F2FD1" w:rsidRDefault="008F2FD1" w:rsidP="008F2FD1">
      <w:pPr>
        <w:spacing w:line="480" w:lineRule="auto"/>
        <w:ind w:left="426" w:hanging="426"/>
        <w:rPr>
          <w:sz w:val="24"/>
        </w:rPr>
      </w:pPr>
      <w:r w:rsidRPr="008F2FD1">
        <w:rPr>
          <w:rFonts w:cs="Times New Roman"/>
          <w:sz w:val="24"/>
          <w:szCs w:val="24"/>
        </w:rPr>
        <w:t xml:space="preserve">Harrison, N. Forthcoming. Exploring social trends in higher education participation: 2000 to 2015. In </w:t>
      </w:r>
      <w:r w:rsidRPr="008F2FD1">
        <w:rPr>
          <w:sz w:val="24"/>
          <w:szCs w:val="24"/>
        </w:rPr>
        <w:t xml:space="preserve">R. </w:t>
      </w:r>
      <w:r w:rsidRPr="008F2FD1">
        <w:rPr>
          <w:rFonts w:cs="Arial"/>
          <w:sz w:val="24"/>
          <w:szCs w:val="24"/>
        </w:rPr>
        <w:t xml:space="preserve">Waller, N. Ingram and M. Ward (eds.) </w:t>
      </w:r>
      <w:r w:rsidRPr="008F2FD1">
        <w:rPr>
          <w:rFonts w:cs="Arial"/>
          <w:i/>
          <w:iCs/>
          <w:sz w:val="24"/>
          <w:szCs w:val="24"/>
        </w:rPr>
        <w:t>Higher education and social inequalities: Getting in, getting on and getting out</w:t>
      </w:r>
      <w:r w:rsidRPr="008F2FD1">
        <w:rPr>
          <w:rFonts w:cs="Arial"/>
          <w:iCs/>
          <w:sz w:val="24"/>
          <w:szCs w:val="24"/>
        </w:rPr>
        <w:t>.</w:t>
      </w:r>
      <w:r w:rsidRPr="008F2FD1">
        <w:rPr>
          <w:rFonts w:cs="Arial"/>
          <w:sz w:val="24"/>
          <w:szCs w:val="24"/>
        </w:rPr>
        <w:t xml:space="preserve"> Abingdon: Routledge/BSA</w:t>
      </w:r>
      <w:r w:rsidRPr="008F2FD1">
        <w:rPr>
          <w:sz w:val="24"/>
          <w:szCs w:val="24"/>
        </w:rPr>
        <w:t>.</w:t>
      </w:r>
    </w:p>
    <w:p w14:paraId="0A355A67" w14:textId="77777777" w:rsidR="00ED021F" w:rsidRDefault="00ED021F" w:rsidP="00ED021F">
      <w:pPr>
        <w:spacing w:line="480" w:lineRule="auto"/>
        <w:ind w:left="426" w:hanging="426"/>
        <w:rPr>
          <w:rFonts w:eastAsia="Times New Roman" w:cs="Times New Roman"/>
          <w:sz w:val="24"/>
          <w:szCs w:val="24"/>
          <w:lang w:eastAsia="en-GB"/>
        </w:rPr>
      </w:pPr>
      <w:r>
        <w:rPr>
          <w:rFonts w:eastAsia="Times New Roman" w:cs="Times New Roman"/>
          <w:sz w:val="24"/>
          <w:szCs w:val="24"/>
          <w:lang w:eastAsia="en-GB"/>
        </w:rPr>
        <w:t xml:space="preserve">Harrison, N. and C. McCaig. 2015. An ecological fallacy in higher education policy: the use, overuse and misuse of ‘low participation neighbourhoods’. </w:t>
      </w:r>
      <w:r>
        <w:rPr>
          <w:rFonts w:eastAsia="Times New Roman" w:cs="Times New Roman"/>
          <w:i/>
          <w:sz w:val="24"/>
          <w:szCs w:val="24"/>
          <w:lang w:eastAsia="en-GB"/>
        </w:rPr>
        <w:t>Journal of Further and Higher Education</w:t>
      </w:r>
      <w:r>
        <w:rPr>
          <w:rFonts w:eastAsia="Times New Roman" w:cs="Times New Roman"/>
          <w:sz w:val="24"/>
          <w:szCs w:val="24"/>
          <w:lang w:eastAsia="en-GB"/>
        </w:rPr>
        <w:t xml:space="preserve"> 39 (6): 793-817.</w:t>
      </w:r>
    </w:p>
    <w:p w14:paraId="6DB97EA6" w14:textId="03C585FE" w:rsidR="00ED021F" w:rsidRPr="00FE3634" w:rsidRDefault="00ED021F" w:rsidP="00FE3634">
      <w:pPr>
        <w:spacing w:line="480" w:lineRule="auto"/>
        <w:ind w:left="426" w:hanging="426"/>
        <w:rPr>
          <w:rFonts w:eastAsia="Times New Roman" w:cs="Times New Roman"/>
          <w:sz w:val="24"/>
          <w:szCs w:val="24"/>
          <w:lang w:eastAsia="en-GB"/>
        </w:rPr>
      </w:pPr>
      <w:r>
        <w:rPr>
          <w:rFonts w:eastAsia="Times New Roman" w:cs="Times New Roman"/>
          <w:sz w:val="24"/>
          <w:szCs w:val="24"/>
          <w:lang w:eastAsia="en-GB"/>
        </w:rPr>
        <w:t xml:space="preserve">Harrison, N. and R. Waller. 2015. </w:t>
      </w:r>
      <w:r>
        <w:rPr>
          <w:rFonts w:eastAsia="Times New Roman" w:cs="Times New Roman"/>
          <w:i/>
          <w:sz w:val="24"/>
          <w:szCs w:val="24"/>
          <w:lang w:eastAsia="en-GB"/>
        </w:rPr>
        <w:t>The evaluation of widening participation activities in higher education: a survey of institutional leaders in England.</w:t>
      </w:r>
      <w:r>
        <w:rPr>
          <w:rFonts w:eastAsia="Times New Roman" w:cs="Times New Roman"/>
          <w:sz w:val="24"/>
          <w:szCs w:val="24"/>
          <w:lang w:eastAsia="en-GB"/>
        </w:rPr>
        <w:t xml:space="preserve"> Bristol: UWE.</w:t>
      </w:r>
    </w:p>
    <w:p w14:paraId="4A8E471F" w14:textId="77777777" w:rsidR="008F3142" w:rsidRPr="002E4338" w:rsidRDefault="008F3142" w:rsidP="00C74EDA">
      <w:pPr>
        <w:spacing w:line="480" w:lineRule="auto"/>
        <w:ind w:left="426" w:hanging="426"/>
        <w:rPr>
          <w:rFonts w:eastAsia="Times New Roman" w:cs="Times New Roman"/>
          <w:sz w:val="24"/>
          <w:szCs w:val="24"/>
          <w:lang w:eastAsia="en-GB"/>
        </w:rPr>
      </w:pPr>
      <w:r w:rsidRPr="00ED7370">
        <w:rPr>
          <w:color w:val="000000" w:themeColor="text1"/>
          <w:sz w:val="24"/>
          <w:szCs w:val="24"/>
        </w:rPr>
        <w:lastRenderedPageBreak/>
        <w:t>Higher Education Fundi</w:t>
      </w:r>
      <w:r>
        <w:rPr>
          <w:color w:val="000000" w:themeColor="text1"/>
          <w:sz w:val="24"/>
          <w:szCs w:val="24"/>
        </w:rPr>
        <w:t>ng Council for England [HEFCE]. 2004.</w:t>
      </w:r>
      <w:r w:rsidRPr="00ED7370">
        <w:rPr>
          <w:color w:val="000000" w:themeColor="text1"/>
          <w:sz w:val="24"/>
          <w:szCs w:val="24"/>
        </w:rPr>
        <w:t xml:space="preserve"> </w:t>
      </w:r>
      <w:r>
        <w:rPr>
          <w:i/>
          <w:color w:val="000000" w:themeColor="text1"/>
          <w:sz w:val="24"/>
          <w:szCs w:val="24"/>
        </w:rPr>
        <w:t>Aimhigher: guidance notes for integration</w:t>
      </w:r>
      <w:r>
        <w:rPr>
          <w:color w:val="000000" w:themeColor="text1"/>
          <w:sz w:val="24"/>
          <w:szCs w:val="24"/>
        </w:rPr>
        <w:t>.</w:t>
      </w:r>
      <w:r w:rsidRPr="00ED7370">
        <w:rPr>
          <w:color w:val="000000" w:themeColor="text1"/>
          <w:sz w:val="24"/>
          <w:szCs w:val="24"/>
        </w:rPr>
        <w:t xml:space="preserve"> Bristol: HEFCE.</w:t>
      </w:r>
    </w:p>
    <w:p w14:paraId="4F4B44C8" w14:textId="77777777" w:rsidR="00DD5CA9" w:rsidRPr="00ED7370" w:rsidRDefault="00DD5CA9" w:rsidP="00C74EDA">
      <w:pPr>
        <w:spacing w:line="480" w:lineRule="auto"/>
        <w:ind w:left="426" w:hanging="426"/>
        <w:rPr>
          <w:color w:val="000000" w:themeColor="text1"/>
          <w:sz w:val="24"/>
          <w:szCs w:val="24"/>
        </w:rPr>
      </w:pPr>
      <w:r w:rsidRPr="00ED7370">
        <w:rPr>
          <w:color w:val="000000" w:themeColor="text1"/>
          <w:sz w:val="24"/>
          <w:szCs w:val="24"/>
        </w:rPr>
        <w:t>Higher Education Fundi</w:t>
      </w:r>
      <w:r>
        <w:rPr>
          <w:color w:val="000000" w:themeColor="text1"/>
          <w:sz w:val="24"/>
          <w:szCs w:val="24"/>
        </w:rPr>
        <w:t>ng Council for England [HEFCE]. 2005.</w:t>
      </w:r>
      <w:r w:rsidRPr="00ED7370">
        <w:rPr>
          <w:color w:val="000000" w:themeColor="text1"/>
          <w:sz w:val="24"/>
          <w:szCs w:val="24"/>
        </w:rPr>
        <w:t xml:space="preserve"> </w:t>
      </w:r>
      <w:r w:rsidRPr="00ED7370">
        <w:rPr>
          <w:i/>
          <w:color w:val="000000" w:themeColor="text1"/>
          <w:sz w:val="24"/>
          <w:szCs w:val="24"/>
        </w:rPr>
        <w:t>Young pa</w:t>
      </w:r>
      <w:r>
        <w:rPr>
          <w:i/>
          <w:color w:val="000000" w:themeColor="text1"/>
          <w:sz w:val="24"/>
          <w:szCs w:val="24"/>
        </w:rPr>
        <w:t>rticipation in higher education</w:t>
      </w:r>
      <w:r w:rsidRPr="00ED7370">
        <w:rPr>
          <w:color w:val="000000" w:themeColor="text1"/>
          <w:sz w:val="24"/>
          <w:szCs w:val="24"/>
        </w:rPr>
        <w:t xml:space="preserve"> </w:t>
      </w:r>
      <w:r>
        <w:rPr>
          <w:color w:val="000000" w:themeColor="text1"/>
          <w:sz w:val="24"/>
          <w:szCs w:val="24"/>
        </w:rPr>
        <w:t>(</w:t>
      </w:r>
      <w:r w:rsidRPr="00ED7370">
        <w:rPr>
          <w:color w:val="000000" w:themeColor="text1"/>
          <w:sz w:val="24"/>
          <w:szCs w:val="24"/>
        </w:rPr>
        <w:t>Report 2005/03</w:t>
      </w:r>
      <w:r>
        <w:rPr>
          <w:color w:val="000000" w:themeColor="text1"/>
          <w:sz w:val="24"/>
          <w:szCs w:val="24"/>
        </w:rPr>
        <w:t>).</w:t>
      </w:r>
      <w:r w:rsidRPr="00ED7370">
        <w:rPr>
          <w:color w:val="000000" w:themeColor="text1"/>
          <w:sz w:val="24"/>
          <w:szCs w:val="24"/>
        </w:rPr>
        <w:t xml:space="preserve"> Bristol: HEFCE.</w:t>
      </w:r>
    </w:p>
    <w:p w14:paraId="159A824D" w14:textId="77777777" w:rsidR="00DD5CA9" w:rsidRDefault="00DD5CA9" w:rsidP="00C74EDA">
      <w:pPr>
        <w:spacing w:line="480" w:lineRule="auto"/>
        <w:ind w:left="426" w:hanging="426"/>
        <w:rPr>
          <w:color w:val="000000" w:themeColor="text1"/>
          <w:sz w:val="24"/>
          <w:szCs w:val="24"/>
        </w:rPr>
      </w:pPr>
      <w:r w:rsidRPr="00ED7370">
        <w:rPr>
          <w:color w:val="000000" w:themeColor="text1"/>
          <w:sz w:val="24"/>
          <w:szCs w:val="24"/>
        </w:rPr>
        <w:t>Higher Education Funding Co</w:t>
      </w:r>
      <w:r>
        <w:rPr>
          <w:color w:val="000000" w:themeColor="text1"/>
          <w:sz w:val="24"/>
          <w:szCs w:val="24"/>
        </w:rPr>
        <w:t>uncil for England [HEFCE]. 2007.</w:t>
      </w:r>
      <w:r w:rsidRPr="00ED7370">
        <w:rPr>
          <w:color w:val="000000" w:themeColor="text1"/>
          <w:sz w:val="24"/>
          <w:szCs w:val="24"/>
        </w:rPr>
        <w:t xml:space="preserve"> </w:t>
      </w:r>
      <w:r w:rsidRPr="00ED7370">
        <w:rPr>
          <w:i/>
          <w:color w:val="000000" w:themeColor="text1"/>
          <w:sz w:val="24"/>
          <w:szCs w:val="24"/>
        </w:rPr>
        <w:t>Higher education outreach: targeting disadvantaged learners</w:t>
      </w:r>
      <w:r>
        <w:rPr>
          <w:color w:val="000000" w:themeColor="text1"/>
          <w:sz w:val="24"/>
          <w:szCs w:val="24"/>
        </w:rPr>
        <w:t xml:space="preserve"> (Report 2007/12).</w:t>
      </w:r>
      <w:r w:rsidRPr="00ED7370">
        <w:rPr>
          <w:color w:val="000000" w:themeColor="text1"/>
          <w:sz w:val="24"/>
          <w:szCs w:val="24"/>
        </w:rPr>
        <w:t xml:space="preserve"> Bristol: HEFCE</w:t>
      </w:r>
      <w:r>
        <w:rPr>
          <w:color w:val="000000" w:themeColor="text1"/>
          <w:sz w:val="24"/>
          <w:szCs w:val="24"/>
        </w:rPr>
        <w:t>.</w:t>
      </w:r>
    </w:p>
    <w:p w14:paraId="63858F0D" w14:textId="77777777" w:rsidR="00DD5CA9" w:rsidRDefault="00DD5CA9" w:rsidP="00C74EDA">
      <w:pPr>
        <w:spacing w:line="480" w:lineRule="auto"/>
        <w:ind w:left="426" w:hanging="426"/>
        <w:rPr>
          <w:color w:val="000000" w:themeColor="text1"/>
          <w:sz w:val="24"/>
          <w:szCs w:val="24"/>
        </w:rPr>
      </w:pPr>
      <w:r w:rsidRPr="00ED7370">
        <w:rPr>
          <w:color w:val="000000" w:themeColor="text1"/>
          <w:sz w:val="24"/>
          <w:szCs w:val="24"/>
        </w:rPr>
        <w:t>Higher Education Funding Co</w:t>
      </w:r>
      <w:r>
        <w:rPr>
          <w:color w:val="000000" w:themeColor="text1"/>
          <w:sz w:val="24"/>
          <w:szCs w:val="24"/>
        </w:rPr>
        <w:t>uncil for England [HEFCE]. 2010.</w:t>
      </w:r>
      <w:r w:rsidRPr="00ED7370">
        <w:rPr>
          <w:color w:val="000000" w:themeColor="text1"/>
          <w:sz w:val="24"/>
          <w:szCs w:val="24"/>
        </w:rPr>
        <w:t xml:space="preserve"> </w:t>
      </w:r>
      <w:r w:rsidRPr="00ED7370">
        <w:rPr>
          <w:i/>
          <w:color w:val="000000" w:themeColor="text1"/>
          <w:sz w:val="24"/>
          <w:szCs w:val="24"/>
        </w:rPr>
        <w:t>Trends in young participation in higher education: core results for England</w:t>
      </w:r>
      <w:r>
        <w:rPr>
          <w:color w:val="000000" w:themeColor="text1"/>
          <w:sz w:val="24"/>
          <w:szCs w:val="24"/>
        </w:rPr>
        <w:t xml:space="preserve"> (Report 2010/03).</w:t>
      </w:r>
      <w:r w:rsidRPr="00ED7370">
        <w:rPr>
          <w:color w:val="000000" w:themeColor="text1"/>
          <w:sz w:val="24"/>
          <w:szCs w:val="24"/>
        </w:rPr>
        <w:t xml:space="preserve"> Bristol: HEFCE</w:t>
      </w:r>
      <w:r>
        <w:rPr>
          <w:color w:val="000000" w:themeColor="text1"/>
          <w:sz w:val="24"/>
          <w:szCs w:val="24"/>
        </w:rPr>
        <w:t>.</w:t>
      </w:r>
    </w:p>
    <w:p w14:paraId="15CDBFB7" w14:textId="59566034" w:rsidR="00DD5CA9" w:rsidRDefault="00DD5CA9" w:rsidP="00C74EDA">
      <w:pPr>
        <w:spacing w:line="480" w:lineRule="auto"/>
        <w:ind w:left="426" w:hanging="426"/>
        <w:rPr>
          <w:color w:val="000000" w:themeColor="text1"/>
          <w:sz w:val="24"/>
          <w:szCs w:val="24"/>
        </w:rPr>
      </w:pPr>
      <w:r w:rsidRPr="00ED7370">
        <w:rPr>
          <w:color w:val="000000" w:themeColor="text1"/>
          <w:sz w:val="24"/>
          <w:szCs w:val="24"/>
        </w:rPr>
        <w:t>Higher Education Funding Co</w:t>
      </w:r>
      <w:r>
        <w:rPr>
          <w:color w:val="000000" w:themeColor="text1"/>
          <w:sz w:val="24"/>
          <w:szCs w:val="24"/>
        </w:rPr>
        <w:t>uncil for England [HEFCE]. 2012.</w:t>
      </w:r>
      <w:r w:rsidRPr="00ED7370">
        <w:rPr>
          <w:color w:val="000000" w:themeColor="text1"/>
          <w:sz w:val="24"/>
          <w:szCs w:val="24"/>
        </w:rPr>
        <w:t xml:space="preserve"> </w:t>
      </w:r>
      <w:r>
        <w:rPr>
          <w:i/>
          <w:color w:val="000000" w:themeColor="text1"/>
          <w:sz w:val="24"/>
          <w:szCs w:val="24"/>
        </w:rPr>
        <w:t>POLAR3: Y</w:t>
      </w:r>
      <w:r w:rsidRPr="00ED7370">
        <w:rPr>
          <w:i/>
          <w:color w:val="000000" w:themeColor="text1"/>
          <w:sz w:val="24"/>
          <w:szCs w:val="24"/>
        </w:rPr>
        <w:t>oung participation in higher education</w:t>
      </w:r>
      <w:r>
        <w:rPr>
          <w:color w:val="000000" w:themeColor="text1"/>
          <w:sz w:val="24"/>
          <w:szCs w:val="24"/>
        </w:rPr>
        <w:t xml:space="preserve"> (Report 2012/26).</w:t>
      </w:r>
      <w:r w:rsidRPr="00ED7370">
        <w:rPr>
          <w:color w:val="000000" w:themeColor="text1"/>
          <w:sz w:val="24"/>
          <w:szCs w:val="24"/>
        </w:rPr>
        <w:t xml:space="preserve"> Bristol: HEFCE</w:t>
      </w:r>
      <w:r>
        <w:rPr>
          <w:color w:val="000000" w:themeColor="text1"/>
          <w:sz w:val="24"/>
          <w:szCs w:val="24"/>
        </w:rPr>
        <w:t>.</w:t>
      </w:r>
    </w:p>
    <w:p w14:paraId="61B58B8C" w14:textId="6619A655" w:rsidR="00F257FD" w:rsidRDefault="006856C7" w:rsidP="006856C7">
      <w:pPr>
        <w:spacing w:line="480" w:lineRule="auto"/>
        <w:ind w:left="426" w:hanging="426"/>
        <w:rPr>
          <w:color w:val="000000" w:themeColor="text1"/>
          <w:sz w:val="24"/>
          <w:szCs w:val="24"/>
        </w:rPr>
      </w:pPr>
      <w:r w:rsidRPr="00ED7370">
        <w:rPr>
          <w:color w:val="000000" w:themeColor="text1"/>
          <w:sz w:val="24"/>
          <w:szCs w:val="24"/>
        </w:rPr>
        <w:t>Higher Education Funding Co</w:t>
      </w:r>
      <w:r>
        <w:rPr>
          <w:color w:val="000000" w:themeColor="text1"/>
          <w:sz w:val="24"/>
          <w:szCs w:val="24"/>
        </w:rPr>
        <w:t>uncil for England [HEFCE]. 2014.</w:t>
      </w:r>
      <w:r w:rsidRPr="00ED7370">
        <w:rPr>
          <w:color w:val="000000" w:themeColor="text1"/>
          <w:sz w:val="24"/>
          <w:szCs w:val="24"/>
        </w:rPr>
        <w:t xml:space="preserve"> </w:t>
      </w:r>
      <w:r>
        <w:rPr>
          <w:i/>
          <w:color w:val="000000" w:themeColor="text1"/>
          <w:sz w:val="24"/>
          <w:szCs w:val="24"/>
        </w:rPr>
        <w:t>Guidance for national networks for collaborative outreach</w:t>
      </w:r>
      <w:r>
        <w:rPr>
          <w:color w:val="000000" w:themeColor="text1"/>
          <w:sz w:val="24"/>
          <w:szCs w:val="24"/>
        </w:rPr>
        <w:t>.</w:t>
      </w:r>
      <w:r w:rsidRPr="00ED7370">
        <w:rPr>
          <w:color w:val="000000" w:themeColor="text1"/>
          <w:sz w:val="24"/>
          <w:szCs w:val="24"/>
        </w:rPr>
        <w:t xml:space="preserve"> Bristol: HEFCE</w:t>
      </w:r>
      <w:r>
        <w:rPr>
          <w:color w:val="000000" w:themeColor="text1"/>
          <w:sz w:val="24"/>
          <w:szCs w:val="24"/>
        </w:rPr>
        <w:t>.</w:t>
      </w:r>
    </w:p>
    <w:p w14:paraId="1A705AD8" w14:textId="60D269E7" w:rsidR="001E040A" w:rsidRDefault="001E040A" w:rsidP="00C74EDA">
      <w:pPr>
        <w:spacing w:line="480" w:lineRule="auto"/>
        <w:ind w:left="426" w:hanging="426"/>
        <w:rPr>
          <w:color w:val="000000" w:themeColor="text1"/>
          <w:sz w:val="24"/>
          <w:szCs w:val="24"/>
        </w:rPr>
      </w:pPr>
      <w:r w:rsidRPr="00ED7370">
        <w:rPr>
          <w:color w:val="000000" w:themeColor="text1"/>
          <w:sz w:val="24"/>
          <w:szCs w:val="24"/>
        </w:rPr>
        <w:t>Higher Education Funding Co</w:t>
      </w:r>
      <w:r>
        <w:rPr>
          <w:color w:val="000000" w:themeColor="text1"/>
          <w:sz w:val="24"/>
          <w:szCs w:val="24"/>
        </w:rPr>
        <w:t>uncil for England [HEFCE]. 2016.</w:t>
      </w:r>
      <w:r w:rsidRPr="00ED7370">
        <w:rPr>
          <w:color w:val="000000" w:themeColor="text1"/>
          <w:sz w:val="24"/>
          <w:szCs w:val="24"/>
        </w:rPr>
        <w:t xml:space="preserve"> </w:t>
      </w:r>
      <w:r>
        <w:rPr>
          <w:i/>
          <w:color w:val="000000" w:themeColor="text1"/>
          <w:sz w:val="24"/>
          <w:szCs w:val="24"/>
        </w:rPr>
        <w:t>National collaborative outreach programme: invitation to submit proposals for funding</w:t>
      </w:r>
      <w:r>
        <w:rPr>
          <w:color w:val="000000" w:themeColor="text1"/>
          <w:sz w:val="24"/>
          <w:szCs w:val="24"/>
        </w:rPr>
        <w:t>.</w:t>
      </w:r>
      <w:r w:rsidRPr="00ED7370">
        <w:rPr>
          <w:color w:val="000000" w:themeColor="text1"/>
          <w:sz w:val="24"/>
          <w:szCs w:val="24"/>
        </w:rPr>
        <w:t xml:space="preserve"> Bristol: HEFCE</w:t>
      </w:r>
      <w:r>
        <w:rPr>
          <w:color w:val="000000" w:themeColor="text1"/>
          <w:sz w:val="24"/>
          <w:szCs w:val="24"/>
        </w:rPr>
        <w:t>.</w:t>
      </w:r>
    </w:p>
    <w:p w14:paraId="114088BB" w14:textId="77777777" w:rsidR="00DD5CA9" w:rsidRDefault="00DD5CA9" w:rsidP="00C74EDA">
      <w:pPr>
        <w:spacing w:line="480" w:lineRule="auto"/>
        <w:ind w:left="426" w:hanging="426"/>
        <w:rPr>
          <w:sz w:val="24"/>
        </w:rPr>
      </w:pPr>
      <w:r w:rsidRPr="00C23B8F">
        <w:rPr>
          <w:bCs/>
          <w:sz w:val="24"/>
        </w:rPr>
        <w:t>Jones</w:t>
      </w:r>
      <w:r>
        <w:rPr>
          <w:sz w:val="24"/>
        </w:rPr>
        <w:t>, S. 2012</w:t>
      </w:r>
      <w:r w:rsidRPr="00C23B8F">
        <w:rPr>
          <w:sz w:val="24"/>
        </w:rPr>
        <w:t xml:space="preserve">. </w:t>
      </w:r>
      <w:r w:rsidRPr="00C23B8F">
        <w:rPr>
          <w:i/>
          <w:sz w:val="24"/>
        </w:rPr>
        <w:t xml:space="preserve">The </w:t>
      </w:r>
      <w:r w:rsidRPr="00C23B8F">
        <w:rPr>
          <w:bCs/>
          <w:i/>
          <w:sz w:val="24"/>
        </w:rPr>
        <w:t>personal</w:t>
      </w:r>
      <w:r w:rsidRPr="00C23B8F">
        <w:rPr>
          <w:i/>
          <w:sz w:val="24"/>
        </w:rPr>
        <w:t xml:space="preserve"> </w:t>
      </w:r>
      <w:r w:rsidRPr="00C23B8F">
        <w:rPr>
          <w:bCs/>
          <w:i/>
          <w:sz w:val="24"/>
        </w:rPr>
        <w:t>statement</w:t>
      </w:r>
      <w:r w:rsidRPr="00C23B8F">
        <w:rPr>
          <w:i/>
          <w:sz w:val="24"/>
        </w:rPr>
        <w:t xml:space="preserve">: </w:t>
      </w:r>
      <w:r>
        <w:rPr>
          <w:i/>
          <w:sz w:val="24"/>
        </w:rPr>
        <w:t>a</w:t>
      </w:r>
      <w:r w:rsidRPr="00C23B8F">
        <w:rPr>
          <w:i/>
          <w:sz w:val="24"/>
        </w:rPr>
        <w:t xml:space="preserve"> fair way to assess university applicants?</w:t>
      </w:r>
      <w:r w:rsidRPr="00C23B8F">
        <w:rPr>
          <w:sz w:val="24"/>
        </w:rPr>
        <w:t xml:space="preserve"> London:</w:t>
      </w:r>
      <w:r w:rsidRPr="00C23B8F">
        <w:rPr>
          <w:sz w:val="24"/>
        </w:rPr>
        <w:br/>
        <w:t>Sutton Trust.</w:t>
      </w:r>
    </w:p>
    <w:p w14:paraId="73CA18B7" w14:textId="6562C39F" w:rsidR="00DD5CA9" w:rsidRDefault="00DD5CA9" w:rsidP="00C74EDA">
      <w:pPr>
        <w:spacing w:line="480" w:lineRule="auto"/>
        <w:ind w:left="426" w:hanging="426"/>
        <w:rPr>
          <w:rFonts w:eastAsia="Times New Roman" w:cs="Times New Roman"/>
          <w:sz w:val="24"/>
          <w:szCs w:val="24"/>
          <w:lang w:eastAsia="en-GB"/>
        </w:rPr>
      </w:pPr>
      <w:r w:rsidRPr="00956E10">
        <w:rPr>
          <w:rFonts w:eastAsia="Times New Roman" w:cs="Times New Roman"/>
          <w:sz w:val="24"/>
          <w:szCs w:val="24"/>
          <w:lang w:eastAsia="en-GB"/>
        </w:rPr>
        <w:t xml:space="preserve">Mangan, J., </w:t>
      </w:r>
      <w:r>
        <w:rPr>
          <w:rFonts w:eastAsia="Times New Roman" w:cs="Times New Roman"/>
          <w:sz w:val="24"/>
          <w:szCs w:val="24"/>
          <w:lang w:eastAsia="en-GB"/>
        </w:rPr>
        <w:t xml:space="preserve">A. </w:t>
      </w:r>
      <w:r w:rsidRPr="00956E10">
        <w:rPr>
          <w:rFonts w:eastAsia="Times New Roman" w:cs="Times New Roman"/>
          <w:sz w:val="24"/>
          <w:szCs w:val="24"/>
          <w:lang w:eastAsia="en-GB"/>
        </w:rPr>
        <w:t xml:space="preserve">Hughes, </w:t>
      </w:r>
      <w:r>
        <w:rPr>
          <w:rFonts w:eastAsia="Times New Roman" w:cs="Times New Roman"/>
          <w:sz w:val="24"/>
          <w:szCs w:val="24"/>
          <w:lang w:eastAsia="en-GB"/>
        </w:rPr>
        <w:t xml:space="preserve">P. </w:t>
      </w:r>
      <w:r w:rsidRPr="00956E10">
        <w:rPr>
          <w:rFonts w:eastAsia="Times New Roman" w:cs="Times New Roman"/>
          <w:sz w:val="24"/>
          <w:szCs w:val="24"/>
          <w:lang w:eastAsia="en-GB"/>
        </w:rPr>
        <w:t>Davies</w:t>
      </w:r>
      <w:r>
        <w:rPr>
          <w:rFonts w:eastAsia="Times New Roman" w:cs="Times New Roman"/>
          <w:sz w:val="24"/>
          <w:szCs w:val="24"/>
          <w:lang w:eastAsia="en-GB"/>
        </w:rPr>
        <w:t xml:space="preserve"> and K.</w:t>
      </w:r>
      <w:r w:rsidRPr="00956E10">
        <w:rPr>
          <w:rFonts w:eastAsia="Times New Roman" w:cs="Times New Roman"/>
          <w:sz w:val="24"/>
          <w:szCs w:val="24"/>
          <w:lang w:eastAsia="en-GB"/>
        </w:rPr>
        <w:t xml:space="preserve"> </w:t>
      </w:r>
      <w:r>
        <w:rPr>
          <w:rFonts w:eastAsia="Times New Roman" w:cs="Times New Roman"/>
          <w:sz w:val="24"/>
          <w:szCs w:val="24"/>
          <w:lang w:eastAsia="en-GB"/>
        </w:rPr>
        <w:t>Slack. 2010.</w:t>
      </w:r>
      <w:r w:rsidRPr="00956E10">
        <w:rPr>
          <w:rFonts w:eastAsia="Times New Roman" w:cs="Times New Roman"/>
          <w:sz w:val="24"/>
          <w:szCs w:val="24"/>
          <w:lang w:eastAsia="en-GB"/>
        </w:rPr>
        <w:t xml:space="preserve"> Fair </w:t>
      </w:r>
      <w:r>
        <w:rPr>
          <w:rFonts w:eastAsia="Times New Roman" w:cs="Times New Roman"/>
          <w:sz w:val="24"/>
          <w:szCs w:val="24"/>
          <w:lang w:eastAsia="en-GB"/>
        </w:rPr>
        <w:t>a</w:t>
      </w:r>
      <w:r w:rsidRPr="00956E10">
        <w:rPr>
          <w:rFonts w:eastAsia="Times New Roman" w:cs="Times New Roman"/>
          <w:sz w:val="24"/>
          <w:szCs w:val="24"/>
          <w:lang w:eastAsia="en-GB"/>
        </w:rPr>
        <w:t xml:space="preserve">ccess, </w:t>
      </w:r>
      <w:r>
        <w:rPr>
          <w:rFonts w:eastAsia="Times New Roman" w:cs="Times New Roman"/>
          <w:sz w:val="24"/>
          <w:szCs w:val="24"/>
          <w:lang w:eastAsia="en-GB"/>
        </w:rPr>
        <w:t>a</w:t>
      </w:r>
      <w:r w:rsidRPr="00956E10">
        <w:rPr>
          <w:rFonts w:eastAsia="Times New Roman" w:cs="Times New Roman"/>
          <w:sz w:val="24"/>
          <w:szCs w:val="24"/>
          <w:lang w:eastAsia="en-GB"/>
        </w:rPr>
        <w:t>chievement and</w:t>
      </w:r>
      <w:r w:rsidRPr="00956E10">
        <w:rPr>
          <w:sz w:val="24"/>
        </w:rPr>
        <w:t xml:space="preserve"> </w:t>
      </w:r>
      <w:r>
        <w:rPr>
          <w:rFonts w:eastAsia="Times New Roman" w:cs="Times New Roman"/>
          <w:sz w:val="24"/>
          <w:szCs w:val="24"/>
          <w:lang w:eastAsia="en-GB"/>
        </w:rPr>
        <w:t>g</w:t>
      </w:r>
      <w:r w:rsidRPr="00956E10">
        <w:rPr>
          <w:rFonts w:eastAsia="Times New Roman" w:cs="Times New Roman"/>
          <w:sz w:val="24"/>
          <w:szCs w:val="24"/>
          <w:lang w:eastAsia="en-GB"/>
        </w:rPr>
        <w:t xml:space="preserve">eography: </w:t>
      </w:r>
      <w:r>
        <w:rPr>
          <w:rFonts w:eastAsia="Times New Roman" w:cs="Times New Roman"/>
          <w:sz w:val="24"/>
          <w:szCs w:val="24"/>
          <w:lang w:eastAsia="en-GB"/>
        </w:rPr>
        <w:t>e</w:t>
      </w:r>
      <w:r w:rsidRPr="00956E10">
        <w:rPr>
          <w:rFonts w:eastAsia="Times New Roman" w:cs="Times New Roman"/>
          <w:sz w:val="24"/>
          <w:szCs w:val="24"/>
          <w:lang w:eastAsia="en-GB"/>
        </w:rPr>
        <w:t xml:space="preserve">xplaining the </w:t>
      </w:r>
      <w:r>
        <w:rPr>
          <w:rFonts w:eastAsia="Times New Roman" w:cs="Times New Roman"/>
          <w:sz w:val="24"/>
          <w:szCs w:val="24"/>
          <w:lang w:eastAsia="en-GB"/>
        </w:rPr>
        <w:t>a</w:t>
      </w:r>
      <w:r w:rsidRPr="00956E10">
        <w:rPr>
          <w:rFonts w:eastAsia="Times New Roman" w:cs="Times New Roman"/>
          <w:sz w:val="24"/>
          <w:szCs w:val="24"/>
          <w:lang w:eastAsia="en-GB"/>
        </w:rPr>
        <w:t xml:space="preserve">ssociation between </w:t>
      </w:r>
      <w:r>
        <w:rPr>
          <w:rFonts w:eastAsia="Times New Roman" w:cs="Times New Roman"/>
          <w:sz w:val="24"/>
          <w:szCs w:val="24"/>
          <w:lang w:eastAsia="en-GB"/>
        </w:rPr>
        <w:t>s</w:t>
      </w:r>
      <w:r w:rsidRPr="00956E10">
        <w:rPr>
          <w:rFonts w:eastAsia="Times New Roman" w:cs="Times New Roman"/>
          <w:sz w:val="24"/>
          <w:szCs w:val="24"/>
          <w:lang w:eastAsia="en-GB"/>
        </w:rPr>
        <w:t xml:space="preserve">ocial </w:t>
      </w:r>
      <w:r>
        <w:rPr>
          <w:rFonts w:eastAsia="Times New Roman" w:cs="Times New Roman"/>
          <w:sz w:val="24"/>
          <w:szCs w:val="24"/>
          <w:lang w:eastAsia="en-GB"/>
        </w:rPr>
        <w:t>c</w:t>
      </w:r>
      <w:r w:rsidRPr="00956E10">
        <w:rPr>
          <w:rFonts w:eastAsia="Times New Roman" w:cs="Times New Roman"/>
          <w:sz w:val="24"/>
          <w:szCs w:val="24"/>
          <w:lang w:eastAsia="en-GB"/>
        </w:rPr>
        <w:t xml:space="preserve">lass and </w:t>
      </w:r>
      <w:r>
        <w:rPr>
          <w:rFonts w:eastAsia="Times New Roman" w:cs="Times New Roman"/>
          <w:sz w:val="24"/>
          <w:szCs w:val="24"/>
          <w:lang w:eastAsia="en-GB"/>
        </w:rPr>
        <w:t>c</w:t>
      </w:r>
      <w:r w:rsidRPr="00956E10">
        <w:rPr>
          <w:rFonts w:eastAsia="Times New Roman" w:cs="Times New Roman"/>
          <w:sz w:val="24"/>
          <w:szCs w:val="24"/>
          <w:lang w:eastAsia="en-GB"/>
        </w:rPr>
        <w:t xml:space="preserve">hoice of </w:t>
      </w:r>
      <w:r>
        <w:rPr>
          <w:rFonts w:eastAsia="Times New Roman" w:cs="Times New Roman"/>
          <w:sz w:val="24"/>
          <w:szCs w:val="24"/>
          <w:lang w:eastAsia="en-GB"/>
        </w:rPr>
        <w:t>u</w:t>
      </w:r>
      <w:r w:rsidRPr="00956E10">
        <w:rPr>
          <w:rFonts w:eastAsia="Times New Roman" w:cs="Times New Roman"/>
          <w:sz w:val="24"/>
          <w:szCs w:val="24"/>
          <w:lang w:eastAsia="en-GB"/>
        </w:rPr>
        <w:t>niversity.</w:t>
      </w:r>
      <w:r w:rsidRPr="00956E10">
        <w:rPr>
          <w:sz w:val="24"/>
        </w:rPr>
        <w:t xml:space="preserve"> </w:t>
      </w:r>
      <w:r w:rsidRPr="00956E10">
        <w:rPr>
          <w:rFonts w:eastAsia="Times New Roman" w:cs="Times New Roman"/>
          <w:i/>
          <w:sz w:val="24"/>
          <w:szCs w:val="24"/>
          <w:lang w:eastAsia="en-GB"/>
        </w:rPr>
        <w:t>Studies in Higher Education</w:t>
      </w:r>
      <w:r w:rsidRPr="00956E10">
        <w:rPr>
          <w:rFonts w:eastAsia="Times New Roman" w:cs="Times New Roman"/>
          <w:sz w:val="24"/>
          <w:szCs w:val="24"/>
          <w:lang w:eastAsia="en-GB"/>
        </w:rPr>
        <w:t xml:space="preserve"> 15 (3)</w:t>
      </w:r>
      <w:r>
        <w:rPr>
          <w:rFonts w:eastAsia="Times New Roman" w:cs="Times New Roman"/>
          <w:sz w:val="24"/>
          <w:szCs w:val="24"/>
          <w:lang w:eastAsia="en-GB"/>
        </w:rPr>
        <w:t xml:space="preserve">: </w:t>
      </w:r>
      <w:r w:rsidRPr="00956E10">
        <w:rPr>
          <w:rFonts w:eastAsia="Times New Roman" w:cs="Times New Roman"/>
          <w:sz w:val="24"/>
          <w:szCs w:val="24"/>
          <w:lang w:eastAsia="en-GB"/>
        </w:rPr>
        <w:t>335–</w:t>
      </w:r>
      <w:r w:rsidR="0055100E">
        <w:rPr>
          <w:rFonts w:eastAsia="Times New Roman" w:cs="Times New Roman"/>
          <w:sz w:val="24"/>
          <w:szCs w:val="24"/>
          <w:lang w:eastAsia="en-GB"/>
        </w:rPr>
        <w:t>3</w:t>
      </w:r>
      <w:r w:rsidRPr="00956E10">
        <w:rPr>
          <w:rFonts w:eastAsia="Times New Roman" w:cs="Times New Roman"/>
          <w:sz w:val="24"/>
          <w:szCs w:val="24"/>
          <w:lang w:eastAsia="en-GB"/>
        </w:rPr>
        <w:t>50.</w:t>
      </w:r>
    </w:p>
    <w:p w14:paraId="56152AA3" w14:textId="77777777" w:rsidR="008F2FD1" w:rsidRDefault="0055100E" w:rsidP="008F2FD1">
      <w:pPr>
        <w:spacing w:line="480" w:lineRule="auto"/>
        <w:ind w:left="426" w:hanging="426"/>
        <w:rPr>
          <w:sz w:val="24"/>
          <w:szCs w:val="24"/>
        </w:rPr>
      </w:pPr>
      <w:r>
        <w:rPr>
          <w:rFonts w:eastAsia="Times New Roman" w:cs="Times New Roman"/>
          <w:sz w:val="24"/>
          <w:szCs w:val="24"/>
          <w:lang w:eastAsia="en-GB"/>
        </w:rPr>
        <w:t xml:space="preserve">McCaig, C. 2015. Marketisation and widening participation in English higher education: a critical discourse analysis of institutional access policy documents. </w:t>
      </w:r>
      <w:r>
        <w:rPr>
          <w:rFonts w:eastAsia="Times New Roman" w:cs="Times New Roman"/>
          <w:i/>
          <w:sz w:val="24"/>
          <w:szCs w:val="24"/>
          <w:lang w:eastAsia="en-GB"/>
        </w:rPr>
        <w:t xml:space="preserve">Higher Education </w:t>
      </w:r>
      <w:r w:rsidRPr="0055100E">
        <w:rPr>
          <w:rFonts w:eastAsia="Times New Roman" w:cs="Times New Roman"/>
          <w:i/>
          <w:sz w:val="24"/>
          <w:szCs w:val="24"/>
          <w:lang w:eastAsia="en-GB"/>
        </w:rPr>
        <w:t>Review</w:t>
      </w:r>
      <w:r w:rsidRPr="0055100E">
        <w:rPr>
          <w:sz w:val="24"/>
          <w:szCs w:val="24"/>
        </w:rPr>
        <w:t xml:space="preserve"> 48 (1): 6-24.</w:t>
      </w:r>
    </w:p>
    <w:p w14:paraId="69EBE263" w14:textId="57E3B7F6" w:rsidR="008F2FD1" w:rsidRPr="008F2FD1" w:rsidRDefault="008F2FD1" w:rsidP="008F2FD1">
      <w:pPr>
        <w:spacing w:line="480" w:lineRule="auto"/>
        <w:ind w:left="426" w:hanging="426"/>
        <w:rPr>
          <w:sz w:val="28"/>
          <w:szCs w:val="24"/>
        </w:rPr>
      </w:pPr>
      <w:r w:rsidRPr="008F2FD1">
        <w:rPr>
          <w:rFonts w:cs="Arial"/>
          <w:color w:val="000000"/>
          <w:sz w:val="24"/>
          <w:szCs w:val="24"/>
        </w:rPr>
        <w:t xml:space="preserve">Milburn, A. 2012. </w:t>
      </w:r>
      <w:r w:rsidRPr="008F2FD1">
        <w:rPr>
          <w:rFonts w:cs="Arial"/>
          <w:i/>
          <w:color w:val="000000"/>
          <w:sz w:val="24"/>
          <w:szCs w:val="24"/>
        </w:rPr>
        <w:t>University challenge: how higher education can advance social mobility</w:t>
      </w:r>
      <w:r w:rsidRPr="008F2FD1">
        <w:rPr>
          <w:rFonts w:cs="Arial"/>
          <w:color w:val="000000"/>
          <w:sz w:val="24"/>
          <w:szCs w:val="24"/>
        </w:rPr>
        <w:t>. London: Cabinet Office.</w:t>
      </w:r>
    </w:p>
    <w:p w14:paraId="2B2319D2" w14:textId="77777777" w:rsidR="00DD5CA9" w:rsidRDefault="00DD5CA9" w:rsidP="00C74EDA">
      <w:pPr>
        <w:spacing w:line="480" w:lineRule="auto"/>
        <w:ind w:left="426" w:hanging="426"/>
        <w:rPr>
          <w:rFonts w:eastAsia="Times New Roman" w:cs="Arial"/>
          <w:color w:val="000000" w:themeColor="text1"/>
          <w:sz w:val="24"/>
          <w:szCs w:val="24"/>
        </w:rPr>
      </w:pPr>
      <w:r w:rsidRPr="009B285E">
        <w:rPr>
          <w:rFonts w:eastAsia="Times New Roman" w:cs="Arial"/>
          <w:color w:val="000000" w:themeColor="text1"/>
          <w:sz w:val="24"/>
          <w:szCs w:val="24"/>
        </w:rPr>
        <w:lastRenderedPageBreak/>
        <w:t>Moore, J</w:t>
      </w:r>
      <w:r>
        <w:rPr>
          <w:rFonts w:eastAsia="Times New Roman" w:cs="Arial"/>
          <w:color w:val="000000" w:themeColor="text1"/>
          <w:sz w:val="24"/>
          <w:szCs w:val="24"/>
        </w:rPr>
        <w:t>.</w:t>
      </w:r>
      <w:r w:rsidRPr="009B285E">
        <w:rPr>
          <w:rFonts w:eastAsia="Times New Roman" w:cs="Arial"/>
          <w:color w:val="000000" w:themeColor="text1"/>
          <w:sz w:val="24"/>
          <w:szCs w:val="24"/>
        </w:rPr>
        <w:t xml:space="preserve"> and </w:t>
      </w:r>
      <w:r>
        <w:rPr>
          <w:rFonts w:eastAsia="Times New Roman" w:cs="Arial"/>
          <w:color w:val="000000" w:themeColor="text1"/>
          <w:sz w:val="24"/>
          <w:szCs w:val="24"/>
        </w:rPr>
        <w:t>F. Dunworth. 2011.</w:t>
      </w:r>
      <w:r w:rsidRPr="009B285E">
        <w:rPr>
          <w:rFonts w:eastAsia="Times New Roman" w:cs="Arial"/>
          <w:color w:val="000000" w:themeColor="text1"/>
          <w:sz w:val="24"/>
          <w:szCs w:val="24"/>
        </w:rPr>
        <w:t xml:space="preserve"> </w:t>
      </w:r>
      <w:r w:rsidRPr="009B285E">
        <w:rPr>
          <w:rFonts w:eastAsia="Times New Roman" w:cs="Arial"/>
          <w:i/>
          <w:color w:val="000000" w:themeColor="text1"/>
          <w:sz w:val="24"/>
          <w:szCs w:val="24"/>
        </w:rPr>
        <w:t>Review of evidence from Aimhigher Area Partnerships of the impact of Aim</w:t>
      </w:r>
      <w:r>
        <w:rPr>
          <w:rFonts w:eastAsia="Times New Roman" w:cs="Arial"/>
          <w:i/>
          <w:color w:val="000000" w:themeColor="text1"/>
          <w:sz w:val="24"/>
          <w:szCs w:val="24"/>
        </w:rPr>
        <w:t>h</w:t>
      </w:r>
      <w:r w:rsidRPr="009B285E">
        <w:rPr>
          <w:rFonts w:eastAsia="Times New Roman" w:cs="Arial"/>
          <w:i/>
          <w:color w:val="000000" w:themeColor="text1"/>
          <w:sz w:val="24"/>
          <w:szCs w:val="24"/>
        </w:rPr>
        <w:t>igher</w:t>
      </w:r>
      <w:r w:rsidRPr="009B285E">
        <w:rPr>
          <w:rFonts w:eastAsia="Times New Roman" w:cs="Arial"/>
          <w:color w:val="000000" w:themeColor="text1"/>
          <w:sz w:val="24"/>
          <w:szCs w:val="24"/>
        </w:rPr>
        <w:t xml:space="preserve">.  </w:t>
      </w:r>
      <w:r>
        <w:rPr>
          <w:rFonts w:eastAsia="Times New Roman" w:cs="Arial"/>
          <w:color w:val="000000" w:themeColor="text1"/>
          <w:sz w:val="24"/>
          <w:szCs w:val="24"/>
        </w:rPr>
        <w:t>Bristol: Aimhigher/HEFCE.</w:t>
      </w:r>
    </w:p>
    <w:p w14:paraId="7CA25225" w14:textId="77777777" w:rsidR="00DD5CA9" w:rsidRDefault="00DD5CA9" w:rsidP="00C74EDA">
      <w:pPr>
        <w:spacing w:line="480" w:lineRule="auto"/>
        <w:ind w:left="426" w:hanging="426"/>
        <w:rPr>
          <w:rFonts w:cs="TimesNewRomanPS"/>
          <w:color w:val="000000"/>
          <w:sz w:val="24"/>
          <w:szCs w:val="24"/>
          <w:lang w:eastAsia="en-GB"/>
        </w:rPr>
      </w:pPr>
      <w:r w:rsidRPr="00C6017C">
        <w:rPr>
          <w:rFonts w:cs="TimesNewRomanPS"/>
          <w:color w:val="000000"/>
          <w:sz w:val="24"/>
          <w:szCs w:val="24"/>
          <w:lang w:eastAsia="en-GB"/>
        </w:rPr>
        <w:t>National Committee of Inquiry in</w:t>
      </w:r>
      <w:r>
        <w:rPr>
          <w:rFonts w:cs="TimesNewRomanPS"/>
          <w:color w:val="000000"/>
          <w:sz w:val="24"/>
          <w:szCs w:val="24"/>
          <w:lang w:eastAsia="en-GB"/>
        </w:rPr>
        <w:t>to Higher Education [NCIHE]</w:t>
      </w:r>
      <w:r w:rsidRPr="00C6017C">
        <w:rPr>
          <w:rFonts w:cs="TimesNewRomanPS"/>
          <w:color w:val="000000"/>
          <w:sz w:val="24"/>
          <w:szCs w:val="24"/>
          <w:lang w:eastAsia="en-GB"/>
        </w:rPr>
        <w:t xml:space="preserve">. </w:t>
      </w:r>
      <w:r>
        <w:rPr>
          <w:rFonts w:cs="TimesNewRomanPS"/>
          <w:color w:val="000000"/>
          <w:sz w:val="24"/>
          <w:szCs w:val="24"/>
          <w:lang w:eastAsia="en-GB"/>
        </w:rPr>
        <w:t xml:space="preserve"> </w:t>
      </w:r>
      <w:r w:rsidRPr="00C6017C">
        <w:rPr>
          <w:rFonts w:cs="TimesNewRomanPS"/>
          <w:color w:val="000000"/>
          <w:sz w:val="24"/>
          <w:szCs w:val="24"/>
          <w:lang w:eastAsia="en-GB"/>
        </w:rPr>
        <w:t xml:space="preserve">1997. </w:t>
      </w:r>
      <w:r>
        <w:rPr>
          <w:rFonts w:cs="TimesNewRomanPS"/>
          <w:color w:val="000000"/>
          <w:sz w:val="24"/>
          <w:szCs w:val="24"/>
          <w:lang w:eastAsia="en-GB"/>
        </w:rPr>
        <w:t xml:space="preserve"> </w:t>
      </w:r>
      <w:r w:rsidRPr="00C6017C">
        <w:rPr>
          <w:rFonts w:cs="TimesNewRomanPS-Italic"/>
          <w:i/>
          <w:iCs/>
          <w:color w:val="000000"/>
          <w:sz w:val="24"/>
          <w:szCs w:val="24"/>
          <w:lang w:eastAsia="en-GB"/>
        </w:rPr>
        <w:t xml:space="preserve">Higher education in the learning society </w:t>
      </w:r>
      <w:r w:rsidRPr="00C6017C">
        <w:rPr>
          <w:rFonts w:cs="TimesNewRomanPS"/>
          <w:color w:val="000000"/>
          <w:sz w:val="24"/>
          <w:szCs w:val="24"/>
          <w:lang w:eastAsia="en-GB"/>
        </w:rPr>
        <w:t>(known as the Dearing Report). Norwich: HMSO.</w:t>
      </w:r>
    </w:p>
    <w:p w14:paraId="7A3652DE" w14:textId="77777777" w:rsidR="00061D4D" w:rsidRPr="00061D4D" w:rsidRDefault="00061D4D" w:rsidP="00C74EDA">
      <w:pPr>
        <w:spacing w:line="480" w:lineRule="auto"/>
        <w:ind w:left="426" w:hanging="426"/>
        <w:rPr>
          <w:rFonts w:cs="TimesNewRomanPS"/>
          <w:color w:val="000000"/>
          <w:sz w:val="24"/>
          <w:szCs w:val="24"/>
          <w:lang w:eastAsia="en-GB"/>
        </w:rPr>
      </w:pPr>
      <w:r>
        <w:rPr>
          <w:rFonts w:cs="TimesNewRomanPS"/>
          <w:color w:val="000000"/>
          <w:sz w:val="24"/>
          <w:szCs w:val="24"/>
          <w:lang w:eastAsia="en-GB"/>
        </w:rPr>
        <w:t xml:space="preserve">Office for Fair Access [OFFA]. 2015. </w:t>
      </w:r>
      <w:r>
        <w:rPr>
          <w:rFonts w:cs="TimesNewRomanPS"/>
          <w:i/>
          <w:color w:val="000000"/>
          <w:sz w:val="24"/>
          <w:szCs w:val="24"/>
          <w:lang w:eastAsia="en-GB"/>
        </w:rPr>
        <w:t>Outcomes of access agreement monitoring for 2013-14</w:t>
      </w:r>
      <w:r>
        <w:rPr>
          <w:rFonts w:cs="TimesNewRomanPS"/>
          <w:color w:val="000000"/>
          <w:sz w:val="24"/>
          <w:szCs w:val="24"/>
          <w:lang w:eastAsia="en-GB"/>
        </w:rPr>
        <w:t>.  Bristol: OFFA.</w:t>
      </w:r>
    </w:p>
    <w:p w14:paraId="1116118D" w14:textId="42083C15" w:rsidR="00DD5CA9" w:rsidRDefault="00DD5CA9" w:rsidP="00C74EDA">
      <w:pPr>
        <w:spacing w:line="480" w:lineRule="auto"/>
        <w:ind w:left="426" w:hanging="426"/>
        <w:rPr>
          <w:bCs/>
          <w:color w:val="000000" w:themeColor="text1"/>
          <w:sz w:val="24"/>
          <w:szCs w:val="24"/>
        </w:rPr>
      </w:pPr>
      <w:r w:rsidRPr="009B285E">
        <w:rPr>
          <w:color w:val="000000" w:themeColor="text1"/>
          <w:sz w:val="24"/>
          <w:szCs w:val="24"/>
        </w:rPr>
        <w:t>Passy, R</w:t>
      </w:r>
      <w:r>
        <w:rPr>
          <w:color w:val="000000" w:themeColor="text1"/>
          <w:sz w:val="24"/>
          <w:szCs w:val="24"/>
        </w:rPr>
        <w:t>.</w:t>
      </w:r>
      <w:r w:rsidRPr="009B285E">
        <w:rPr>
          <w:color w:val="000000" w:themeColor="text1"/>
          <w:sz w:val="24"/>
          <w:szCs w:val="24"/>
        </w:rPr>
        <w:t xml:space="preserve"> and </w:t>
      </w:r>
      <w:r>
        <w:rPr>
          <w:color w:val="000000" w:themeColor="text1"/>
          <w:sz w:val="24"/>
          <w:szCs w:val="24"/>
        </w:rPr>
        <w:t>M. Morris. 2010.</w:t>
      </w:r>
      <w:r w:rsidRPr="009B285E">
        <w:rPr>
          <w:color w:val="000000" w:themeColor="text1"/>
          <w:sz w:val="24"/>
          <w:szCs w:val="24"/>
        </w:rPr>
        <w:t xml:space="preserve"> </w:t>
      </w:r>
      <w:r w:rsidRPr="009B285E">
        <w:rPr>
          <w:bCs/>
          <w:i/>
          <w:color w:val="000000" w:themeColor="text1"/>
          <w:sz w:val="24"/>
          <w:szCs w:val="24"/>
        </w:rPr>
        <w:t>Evaluation of Aimhigher: learner attainment and progression</w:t>
      </w:r>
      <w:r w:rsidRPr="009B285E">
        <w:rPr>
          <w:bCs/>
          <w:color w:val="000000" w:themeColor="text1"/>
          <w:sz w:val="24"/>
          <w:szCs w:val="24"/>
        </w:rPr>
        <w:t>.  Slough: NfER.</w:t>
      </w:r>
    </w:p>
    <w:p w14:paraId="50F5BD88" w14:textId="07A1EEAB" w:rsidR="00EA21C4" w:rsidRPr="00EA21C4" w:rsidRDefault="00EA21C4" w:rsidP="00C74EDA">
      <w:pPr>
        <w:spacing w:line="480" w:lineRule="auto"/>
        <w:ind w:left="426" w:hanging="426"/>
        <w:rPr>
          <w:bCs/>
          <w:color w:val="000000" w:themeColor="text1"/>
          <w:sz w:val="24"/>
          <w:szCs w:val="24"/>
        </w:rPr>
      </w:pPr>
      <w:r>
        <w:rPr>
          <w:bCs/>
          <w:color w:val="000000" w:themeColor="text1"/>
          <w:sz w:val="24"/>
          <w:szCs w:val="24"/>
        </w:rPr>
        <w:t xml:space="preserve">Reay, D., G. Crozier and J. Clayton. 2009. ‘Strangers in paradise’? Working-class students in elite universities, </w:t>
      </w:r>
      <w:r>
        <w:rPr>
          <w:bCs/>
          <w:i/>
          <w:color w:val="000000" w:themeColor="text1"/>
          <w:sz w:val="24"/>
          <w:szCs w:val="24"/>
        </w:rPr>
        <w:t>Sociology</w:t>
      </w:r>
      <w:r>
        <w:rPr>
          <w:bCs/>
          <w:color w:val="000000" w:themeColor="text1"/>
          <w:sz w:val="24"/>
          <w:szCs w:val="24"/>
        </w:rPr>
        <w:t xml:space="preserve"> 43 (6): 1103-1121.</w:t>
      </w:r>
    </w:p>
    <w:p w14:paraId="3F3CC17A" w14:textId="77777777" w:rsidR="006B54C6" w:rsidRDefault="00967BB7" w:rsidP="00C74EDA">
      <w:pPr>
        <w:spacing w:line="480" w:lineRule="auto"/>
        <w:ind w:left="426" w:hanging="426"/>
        <w:rPr>
          <w:bCs/>
          <w:color w:val="000000" w:themeColor="text1"/>
          <w:sz w:val="24"/>
          <w:szCs w:val="24"/>
        </w:rPr>
      </w:pPr>
      <w:r>
        <w:rPr>
          <w:bCs/>
          <w:color w:val="000000" w:themeColor="text1"/>
          <w:sz w:val="24"/>
          <w:szCs w:val="24"/>
        </w:rPr>
        <w:t xml:space="preserve">Thomas, L. 2001. Power, assumptions and prescriptions: a critique of widening participation policy-making, </w:t>
      </w:r>
      <w:r>
        <w:rPr>
          <w:bCs/>
          <w:i/>
          <w:color w:val="000000" w:themeColor="text1"/>
          <w:sz w:val="24"/>
          <w:szCs w:val="24"/>
        </w:rPr>
        <w:t>Higher Education Policy</w:t>
      </w:r>
      <w:r>
        <w:rPr>
          <w:bCs/>
          <w:color w:val="000000" w:themeColor="text1"/>
          <w:sz w:val="24"/>
          <w:szCs w:val="24"/>
        </w:rPr>
        <w:t xml:space="preserve"> 14 (4): 361-376.</w:t>
      </w:r>
    </w:p>
    <w:p w14:paraId="4C766E76" w14:textId="08596368" w:rsidR="006B54C6" w:rsidRDefault="006B54C6" w:rsidP="00C74EDA">
      <w:pPr>
        <w:spacing w:line="480" w:lineRule="auto"/>
        <w:ind w:left="426" w:hanging="426"/>
        <w:rPr>
          <w:rFonts w:cs="Times New Roman"/>
          <w:color w:val="000000"/>
          <w:sz w:val="24"/>
          <w:szCs w:val="24"/>
        </w:rPr>
      </w:pPr>
      <w:r w:rsidRPr="006B54C6">
        <w:rPr>
          <w:rFonts w:cs="Times New Roman"/>
          <w:color w:val="000000"/>
          <w:sz w:val="24"/>
          <w:szCs w:val="24"/>
        </w:rPr>
        <w:t>Universities and Colleges Admissions Service [UCAS]</w:t>
      </w:r>
      <w:r>
        <w:rPr>
          <w:rFonts w:cs="Times New Roman"/>
          <w:color w:val="000000"/>
          <w:sz w:val="24"/>
          <w:szCs w:val="24"/>
        </w:rPr>
        <w:t>. 2015</w:t>
      </w:r>
      <w:r w:rsidRPr="006B54C6">
        <w:rPr>
          <w:rFonts w:cs="Times New Roman"/>
          <w:color w:val="000000"/>
          <w:sz w:val="24"/>
          <w:szCs w:val="24"/>
        </w:rPr>
        <w:t xml:space="preserve">. </w:t>
      </w:r>
      <w:r>
        <w:rPr>
          <w:rFonts w:cs="Times New Roman"/>
          <w:i/>
          <w:color w:val="000000"/>
          <w:sz w:val="24"/>
          <w:szCs w:val="24"/>
        </w:rPr>
        <w:t>End of cycle report 2015</w:t>
      </w:r>
      <w:r w:rsidRPr="006B54C6">
        <w:rPr>
          <w:rFonts w:cs="Times New Roman"/>
          <w:color w:val="000000"/>
          <w:sz w:val="24"/>
          <w:szCs w:val="24"/>
        </w:rPr>
        <w:t>. Cheltenham: UCAS.</w:t>
      </w:r>
    </w:p>
    <w:p w14:paraId="46FA00D4" w14:textId="77777777" w:rsidR="00ED021F" w:rsidRDefault="00ED021F" w:rsidP="00ED021F">
      <w:pPr>
        <w:spacing w:line="480" w:lineRule="auto"/>
        <w:ind w:left="426" w:hanging="426"/>
        <w:rPr>
          <w:sz w:val="24"/>
        </w:rPr>
      </w:pPr>
      <w:r>
        <w:rPr>
          <w:sz w:val="24"/>
        </w:rPr>
        <w:t xml:space="preserve">Waller, R., N. Harrison and K. Last. 2015. </w:t>
      </w:r>
      <w:r>
        <w:rPr>
          <w:i/>
          <w:sz w:val="24"/>
        </w:rPr>
        <w:t>Building a culture of participation: interviews with the former directors of the national Aimhigher programme.</w:t>
      </w:r>
      <w:r>
        <w:rPr>
          <w:sz w:val="24"/>
        </w:rPr>
        <w:t xml:space="preserve">  Bristol: UWE.</w:t>
      </w:r>
    </w:p>
    <w:p w14:paraId="684753E3" w14:textId="1E33BCDB" w:rsidR="00ED021F" w:rsidRPr="00ED021F" w:rsidRDefault="00ED021F" w:rsidP="00ED021F">
      <w:pPr>
        <w:spacing w:line="480" w:lineRule="auto"/>
        <w:ind w:left="426" w:hanging="426"/>
        <w:rPr>
          <w:sz w:val="24"/>
        </w:rPr>
      </w:pPr>
      <w:r>
        <w:rPr>
          <w:sz w:val="24"/>
        </w:rPr>
        <w:t xml:space="preserve">Waller, R., J. Holford, P. Jarvis, M. Milana and S. Webb. 2015. Neo-liberalism and the shifting discourse of 'educational fairness'. </w:t>
      </w:r>
      <w:r>
        <w:rPr>
          <w:i/>
          <w:sz w:val="24"/>
        </w:rPr>
        <w:t>International Journal of Lifelong Education</w:t>
      </w:r>
      <w:r>
        <w:rPr>
          <w:sz w:val="24"/>
        </w:rPr>
        <w:t xml:space="preserve"> 34 (6): 619-622.</w:t>
      </w:r>
    </w:p>
    <w:p w14:paraId="41E5870C" w14:textId="77777777" w:rsidR="00B85B31" w:rsidRPr="002E39DC" w:rsidRDefault="00B85B31" w:rsidP="00C74EDA">
      <w:pPr>
        <w:spacing w:line="480" w:lineRule="auto"/>
        <w:ind w:left="426" w:hanging="426"/>
        <w:rPr>
          <w:sz w:val="20"/>
          <w:szCs w:val="20"/>
        </w:rPr>
      </w:pPr>
      <w:r w:rsidRPr="00B85B31">
        <w:rPr>
          <w:sz w:val="24"/>
          <w:szCs w:val="20"/>
        </w:rPr>
        <w:t>Whit</w:t>
      </w:r>
      <w:r>
        <w:rPr>
          <w:sz w:val="24"/>
          <w:szCs w:val="20"/>
        </w:rPr>
        <w:t>ty, G., A. Hayton and S. Tang. 2015.</w:t>
      </w:r>
      <w:r w:rsidRPr="00B85B31">
        <w:rPr>
          <w:sz w:val="24"/>
          <w:szCs w:val="20"/>
        </w:rPr>
        <w:t xml:space="preserve"> Who you know, what you know and knowing the ropes: a review of evidence about access to higher education institutions in England.  </w:t>
      </w:r>
      <w:r w:rsidRPr="00B85B31">
        <w:rPr>
          <w:i/>
          <w:sz w:val="24"/>
          <w:szCs w:val="20"/>
        </w:rPr>
        <w:t>Review of Education</w:t>
      </w:r>
      <w:r w:rsidRPr="00B85B31">
        <w:rPr>
          <w:sz w:val="24"/>
          <w:szCs w:val="20"/>
        </w:rPr>
        <w:t xml:space="preserve"> 3</w:t>
      </w:r>
      <w:r>
        <w:rPr>
          <w:sz w:val="24"/>
          <w:szCs w:val="20"/>
        </w:rPr>
        <w:t xml:space="preserve"> </w:t>
      </w:r>
      <w:r w:rsidRPr="00B85B31">
        <w:rPr>
          <w:sz w:val="24"/>
          <w:szCs w:val="20"/>
        </w:rPr>
        <w:t>(1): 27-67.</w:t>
      </w:r>
    </w:p>
    <w:p w14:paraId="1D7ABE2A" w14:textId="18953A5B" w:rsidR="00EF398D" w:rsidRDefault="00EF398D">
      <w:pPr>
        <w:rPr>
          <w:rFonts w:cs="Arial"/>
          <w:color w:val="000000"/>
          <w:sz w:val="32"/>
          <w:szCs w:val="24"/>
        </w:rPr>
      </w:pPr>
      <w:r>
        <w:rPr>
          <w:rFonts w:cs="Arial"/>
          <w:color w:val="000000"/>
          <w:sz w:val="32"/>
          <w:szCs w:val="24"/>
        </w:rPr>
        <w:br w:type="page"/>
      </w:r>
    </w:p>
    <w:p w14:paraId="6DD22B7E" w14:textId="2A2B625B" w:rsidR="00EF398D" w:rsidRPr="00B463FF" w:rsidRDefault="00EF398D" w:rsidP="00EF398D">
      <w:pPr>
        <w:spacing w:line="480" w:lineRule="auto"/>
        <w:rPr>
          <w:i/>
          <w:sz w:val="24"/>
        </w:rPr>
      </w:pPr>
      <w:r w:rsidRPr="00B463FF">
        <w:rPr>
          <w:i/>
          <w:sz w:val="24"/>
        </w:rPr>
        <w:lastRenderedPageBreak/>
        <w:t xml:space="preserve">Figure 1: Higher education </w:t>
      </w:r>
      <w:r w:rsidR="00DE3F46">
        <w:rPr>
          <w:i/>
          <w:sz w:val="24"/>
        </w:rPr>
        <w:t>participation rates</w:t>
      </w:r>
      <w:r w:rsidRPr="00B463FF">
        <w:rPr>
          <w:i/>
          <w:sz w:val="24"/>
        </w:rPr>
        <w:t xml:space="preserve"> for young people, by free school meals eligibility (Source: </w:t>
      </w:r>
      <w:r>
        <w:rPr>
          <w:i/>
          <w:sz w:val="24"/>
        </w:rPr>
        <w:t>BIS, 2015</w:t>
      </w:r>
      <w:r w:rsidR="00DE3F46">
        <w:rPr>
          <w:i/>
          <w:sz w:val="24"/>
        </w:rPr>
        <w:t>; DFE, 2016</w:t>
      </w:r>
      <w:r w:rsidRPr="00B463FF">
        <w:rPr>
          <w:i/>
          <w:sz w:val="24"/>
        </w:rPr>
        <w:t>)</w:t>
      </w:r>
    </w:p>
    <w:p w14:paraId="257A9BFC" w14:textId="255B4B21" w:rsidR="00EF398D" w:rsidRDefault="00EF398D" w:rsidP="00EF398D">
      <w:pPr>
        <w:spacing w:line="480" w:lineRule="auto"/>
        <w:rPr>
          <w:sz w:val="24"/>
        </w:rPr>
      </w:pPr>
    </w:p>
    <w:p w14:paraId="6BBEEC4F" w14:textId="7EBCEEDC" w:rsidR="00EF398D" w:rsidRDefault="00DE3F46" w:rsidP="00EF398D">
      <w:pPr>
        <w:spacing w:line="480" w:lineRule="auto"/>
        <w:rPr>
          <w:sz w:val="24"/>
        </w:rPr>
      </w:pPr>
      <w:r w:rsidRPr="00DE3F46">
        <w:rPr>
          <w:noProof/>
          <w:sz w:val="24"/>
          <w:lang w:eastAsia="en-GB"/>
        </w:rPr>
        <mc:AlternateContent>
          <mc:Choice Requires="wps">
            <w:drawing>
              <wp:anchor distT="0" distB="0" distL="114300" distR="114300" simplePos="0" relativeHeight="251663360" behindDoc="0" locked="0" layoutInCell="1" allowOverlap="1" wp14:anchorId="08DA4FC0" wp14:editId="217EBF24">
                <wp:simplePos x="0" y="0"/>
                <wp:positionH relativeFrom="column">
                  <wp:posOffset>4342765</wp:posOffset>
                </wp:positionH>
                <wp:positionV relativeFrom="paragraph">
                  <wp:posOffset>535940</wp:posOffset>
                </wp:positionV>
                <wp:extent cx="9525" cy="863600"/>
                <wp:effectExtent l="95250" t="38100" r="66675" b="508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863600"/>
                        </a:xfrm>
                        <a:prstGeom prst="straightConnector1">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20607C" id="_x0000_t32" coordsize="21600,21600" o:spt="32" o:oned="t" path="m,l21600,21600e" filled="f">
                <v:path arrowok="t" fillok="f" o:connecttype="none"/>
                <o:lock v:ext="edit" shapetype="t"/>
              </v:shapetype>
              <v:shape id="AutoShape 3" o:spid="_x0000_s1026" type="#_x0000_t32" style="position:absolute;margin-left:341.95pt;margin-top:42.2pt;width:.75pt;height:68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" strokeweight="3pt">
                <v:stroke startarrow="block" endarrow="block"/>
              </v:shape>
            </w:pict>
          </mc:Fallback>
        </mc:AlternateContent>
      </w:r>
      <w:r w:rsidRPr="00DE3F46">
        <w:rPr>
          <w:noProof/>
          <w:sz w:val="24"/>
          <w:lang w:eastAsia="en-GB"/>
        </w:rPr>
        <mc:AlternateContent>
          <mc:Choice Requires="wps">
            <w:drawing>
              <wp:anchor distT="0" distB="0" distL="114300" distR="114300" simplePos="0" relativeHeight="251664384" behindDoc="0" locked="0" layoutInCell="1" allowOverlap="1" wp14:anchorId="2FACB7B4" wp14:editId="45CB6A9C">
                <wp:simplePos x="0" y="0"/>
                <wp:positionH relativeFrom="column">
                  <wp:posOffset>4429125</wp:posOffset>
                </wp:positionH>
                <wp:positionV relativeFrom="paragraph">
                  <wp:posOffset>704215</wp:posOffset>
                </wp:positionV>
                <wp:extent cx="920750" cy="376555"/>
                <wp:effectExtent l="0" t="635" r="3810"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37655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3D136" w14:textId="77777777" w:rsidR="00DE3F46" w:rsidRPr="00F42974" w:rsidRDefault="00DE3F46" w:rsidP="00DE3F46">
                            <w:pPr>
                              <w:rPr>
                                <w:b/>
                                <w:sz w:val="32"/>
                              </w:rPr>
                            </w:pPr>
                            <w:r>
                              <w:rPr>
                                <w:b/>
                                <w:sz w:val="32"/>
                              </w:rPr>
                              <w:t>17</w:t>
                            </w:r>
                            <w:r w:rsidRPr="00F42974">
                              <w:rPr>
                                <w:b/>
                                <w:sz w:val="32"/>
                              </w:rPr>
                              <w:t>% gap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FACB7B4" id="_x0000_t202" coordsize="21600,21600" o:spt="202" path="m,l,21600r21600,l21600,xe">
                <v:stroke joinstyle="miter"/>
                <v:path gradientshapeok="t" o:connecttype="rect"/>
              </v:shapetype>
              <v:shape id="Text Box 5" o:spid="_x0000_s1026" type="#_x0000_t202" style="position:absolute;margin-left:348.75pt;margin-top:55.45pt;width:72.5pt;height:29.6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" filled="f" fillcolor="yellow" stroked="f">
                <v:textbox style="mso-fit-shape-to-text:t">
                  <w:txbxContent>
                    <w:p w14:paraId="0BC3D136" w14:textId="77777777" w:rsidR="00DE3F46" w:rsidRPr="00F42974" w:rsidRDefault="00DE3F46" w:rsidP="00DE3F46">
                      <w:pPr>
                        <w:rPr>
                          <w:b/>
                          <w:sz w:val="32"/>
                        </w:rPr>
                      </w:pPr>
                      <w:r>
                        <w:rPr>
                          <w:b/>
                          <w:sz w:val="32"/>
                        </w:rPr>
                        <w:t>17</w:t>
                      </w:r>
                      <w:r w:rsidRPr="00F42974">
                        <w:rPr>
                          <w:b/>
                          <w:sz w:val="32"/>
                        </w:rPr>
                        <w:t>% gap</w:t>
                      </w:r>
                    </w:p>
                  </w:txbxContent>
                </v:textbox>
              </v:shape>
            </w:pict>
          </mc:Fallback>
        </mc:AlternateContent>
      </w:r>
      <w:r>
        <w:rPr>
          <w:noProof/>
          <w:sz w:val="24"/>
          <w:lang w:eastAsia="en-GB"/>
        </w:rPr>
        <mc:AlternateContent>
          <mc:Choice Requires="wps">
            <w:drawing>
              <wp:anchor distT="0" distB="0" distL="114300" distR="114300" simplePos="0" relativeHeight="251659264" behindDoc="0" locked="0" layoutInCell="1" allowOverlap="1" wp14:anchorId="56B3D10B" wp14:editId="59771C85">
                <wp:simplePos x="0" y="0"/>
                <wp:positionH relativeFrom="column">
                  <wp:posOffset>640080</wp:posOffset>
                </wp:positionH>
                <wp:positionV relativeFrom="paragraph">
                  <wp:posOffset>1196975</wp:posOffset>
                </wp:positionV>
                <wp:extent cx="920750" cy="376555"/>
                <wp:effectExtent l="0" t="0" r="0" b="444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37655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4D361" w14:textId="77777777" w:rsidR="003809F4" w:rsidRPr="00F42974" w:rsidRDefault="003809F4" w:rsidP="00EF398D">
                            <w:pPr>
                              <w:rPr>
                                <w:b/>
                                <w:sz w:val="32"/>
                              </w:rPr>
                            </w:pPr>
                            <w:r w:rsidRPr="00F42974">
                              <w:rPr>
                                <w:b/>
                                <w:sz w:val="32"/>
                              </w:rPr>
                              <w:t>20% gap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B3D10B" id="Text Box 4" o:spid="_x0000_s1027" type="#_x0000_t202" style="position:absolute;margin-left:50.4pt;margin-top:94.25pt;width:72.5pt;height:29.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" filled="f" fillcolor="yellow" stroked="f">
                <v:textbox style="mso-fit-shape-to-text:t">
                  <w:txbxContent>
                    <w:p w14:paraId="4C24D361" w14:textId="77777777" w:rsidR="003809F4" w:rsidRPr="00F42974" w:rsidRDefault="003809F4" w:rsidP="00EF398D">
                      <w:pPr>
                        <w:rPr>
                          <w:b/>
                          <w:sz w:val="32"/>
                        </w:rPr>
                      </w:pPr>
                      <w:r w:rsidRPr="00F42974">
                        <w:rPr>
                          <w:b/>
                          <w:sz w:val="32"/>
                        </w:rPr>
                        <w:t>20% gap</w:t>
                      </w:r>
                    </w:p>
                  </w:txbxContent>
                </v:textbox>
              </v:shape>
            </w:pict>
          </mc:Fallback>
        </mc:AlternateContent>
      </w:r>
      <w:r>
        <w:rPr>
          <w:noProof/>
          <w:sz w:val="24"/>
          <w:lang w:eastAsia="en-GB"/>
        </w:rPr>
        <mc:AlternateContent>
          <mc:Choice Requires="wps">
            <w:drawing>
              <wp:anchor distT="0" distB="0" distL="114300" distR="114300" simplePos="0" relativeHeight="251656192" behindDoc="0" locked="0" layoutInCell="1" allowOverlap="1" wp14:anchorId="5945C53C" wp14:editId="498E07B6">
                <wp:simplePos x="0" y="0"/>
                <wp:positionH relativeFrom="column">
                  <wp:posOffset>647065</wp:posOffset>
                </wp:positionH>
                <wp:positionV relativeFrom="paragraph">
                  <wp:posOffset>916940</wp:posOffset>
                </wp:positionV>
                <wp:extent cx="9525" cy="934720"/>
                <wp:effectExtent l="95250" t="38100" r="66675" b="5588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934720"/>
                        </a:xfrm>
                        <a:prstGeom prst="straightConnector1">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4B69B1" id="AutoShape 2" o:spid="_x0000_s1026" type="#_x0000_t32" style="position:absolute;margin-left:50.95pt;margin-top:72.2pt;width:.75pt;height:73.6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" strokeweight="3pt">
                <v:stroke startarrow="block" endarrow="block"/>
              </v:shape>
            </w:pict>
          </mc:Fallback>
        </mc:AlternateContent>
      </w:r>
      <w:r>
        <w:rPr>
          <w:noProof/>
          <w:lang w:eastAsia="en-GB"/>
        </w:rPr>
        <w:drawing>
          <wp:inline distT="0" distB="0" distL="0" distR="0" wp14:anchorId="40D19890" wp14:editId="68CAB272">
            <wp:extent cx="5731510" cy="3269615"/>
            <wp:effectExtent l="0" t="0" r="2540" b="698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5FC621D" w14:textId="77777777" w:rsidR="00EF398D" w:rsidRDefault="00EF398D">
      <w:pPr>
        <w:rPr>
          <w:i/>
          <w:sz w:val="24"/>
        </w:rPr>
      </w:pPr>
      <w:r>
        <w:rPr>
          <w:i/>
          <w:sz w:val="24"/>
        </w:rPr>
        <w:br w:type="page"/>
      </w:r>
    </w:p>
    <w:p w14:paraId="167C83C5" w14:textId="7340BF6B" w:rsidR="00EF398D" w:rsidRPr="009242A4" w:rsidRDefault="00EF398D" w:rsidP="00EF398D">
      <w:pPr>
        <w:spacing w:line="480" w:lineRule="auto"/>
        <w:rPr>
          <w:i/>
          <w:sz w:val="24"/>
        </w:rPr>
      </w:pPr>
      <w:r w:rsidRPr="009242A4">
        <w:rPr>
          <w:i/>
          <w:sz w:val="24"/>
        </w:rPr>
        <w:lastRenderedPageBreak/>
        <w:t xml:space="preserve">Figure </w:t>
      </w:r>
      <w:r>
        <w:rPr>
          <w:i/>
          <w:sz w:val="24"/>
        </w:rPr>
        <w:t>2</w:t>
      </w:r>
      <w:r w:rsidRPr="009242A4">
        <w:rPr>
          <w:i/>
          <w:sz w:val="24"/>
        </w:rPr>
        <w:t>: frequency of use of different forms of evaluation</w:t>
      </w:r>
    </w:p>
    <w:p w14:paraId="41D7D3CA" w14:textId="77777777" w:rsidR="00EF398D" w:rsidRDefault="00EF398D" w:rsidP="00EF398D">
      <w:pPr>
        <w:spacing w:line="480" w:lineRule="auto"/>
        <w:rPr>
          <w:sz w:val="24"/>
        </w:rPr>
      </w:pPr>
      <w:r w:rsidRPr="00563856">
        <w:rPr>
          <w:noProof/>
          <w:sz w:val="24"/>
          <w:lang w:eastAsia="en-GB"/>
        </w:rPr>
        <w:drawing>
          <wp:inline distT="0" distB="0" distL="0" distR="0" wp14:anchorId="35831C55" wp14:editId="01E2C233">
            <wp:extent cx="5943600" cy="3172460"/>
            <wp:effectExtent l="19050" t="0" r="19050" b="889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FE4C134" w14:textId="77777777" w:rsidR="00EF398D" w:rsidRDefault="00EF398D" w:rsidP="00EF398D"/>
    <w:p w14:paraId="2FEC6F6E" w14:textId="77777777" w:rsidR="00B85B31" w:rsidRPr="005663F0" w:rsidRDefault="00B85B31" w:rsidP="00C74EDA">
      <w:pPr>
        <w:spacing w:line="480" w:lineRule="auto"/>
        <w:ind w:left="426" w:hanging="426"/>
        <w:rPr>
          <w:rFonts w:cs="Arial"/>
          <w:color w:val="000000"/>
          <w:sz w:val="32"/>
          <w:szCs w:val="24"/>
        </w:rPr>
      </w:pPr>
    </w:p>
    <w:p w14:paraId="08DE0CD4" w14:textId="77777777" w:rsidR="00DD5CA9" w:rsidRDefault="00DD5CA9" w:rsidP="00C74EDA">
      <w:pPr>
        <w:spacing w:line="480" w:lineRule="auto"/>
        <w:rPr>
          <w:sz w:val="24"/>
        </w:rPr>
      </w:pPr>
    </w:p>
    <w:p w14:paraId="499EE400" w14:textId="77777777" w:rsidR="00AD0139" w:rsidRPr="004B350E" w:rsidRDefault="00AD0139" w:rsidP="00C74EDA">
      <w:pPr>
        <w:spacing w:line="480" w:lineRule="auto"/>
        <w:rPr>
          <w:sz w:val="24"/>
        </w:rPr>
      </w:pPr>
    </w:p>
    <w:sectPr w:rsidR="00AD0139" w:rsidRPr="004B350E" w:rsidSect="00C74EDA">
      <w:endnotePr>
        <w:numFmt w:val="decimal"/>
      </w:endnotePr>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7D29B" w14:textId="77777777" w:rsidR="0060573C" w:rsidRDefault="0060573C" w:rsidP="00DC00C8">
      <w:pPr>
        <w:spacing w:line="240" w:lineRule="auto"/>
      </w:pPr>
      <w:r>
        <w:separator/>
      </w:r>
    </w:p>
  </w:endnote>
  <w:endnote w:type="continuationSeparator" w:id="0">
    <w:p w14:paraId="4CECEAD3" w14:textId="77777777" w:rsidR="0060573C" w:rsidRDefault="0060573C" w:rsidP="00DC00C8">
      <w:pPr>
        <w:spacing w:line="240" w:lineRule="auto"/>
      </w:pPr>
      <w:r>
        <w:continuationSeparator/>
      </w:r>
    </w:p>
  </w:endnote>
  <w:endnote w:id="1">
    <w:p w14:paraId="4CB468A2" w14:textId="77777777" w:rsidR="003809F4" w:rsidRDefault="003809F4" w:rsidP="00CB775C">
      <w:pPr>
        <w:pStyle w:val="EndnoteText"/>
      </w:pPr>
      <w:r>
        <w:rPr>
          <w:rStyle w:val="EndnoteReference"/>
        </w:rPr>
        <w:endnoteRef/>
      </w:r>
      <w:r>
        <w:t xml:space="preserve"> Within the UK, policy responsibility for higher education is partly or wholly devolved to the four constituent nations.  This paper will focus on England, although much of the evidence will have wider applicability.</w:t>
      </w:r>
    </w:p>
  </w:endnote>
  <w:endnote w:id="2">
    <w:p w14:paraId="2A28EC67" w14:textId="77777777" w:rsidR="003809F4" w:rsidRDefault="003809F4" w:rsidP="00541DE4">
      <w:pPr>
        <w:pStyle w:val="EndnoteText"/>
      </w:pPr>
      <w:r>
        <w:rPr>
          <w:rStyle w:val="EndnoteReference"/>
        </w:rPr>
        <w:endnoteRef/>
      </w:r>
      <w:r>
        <w:t xml:space="preserve"> In England, higher education is mainly offered by universities, but there are also a number of specialist and further education colleges that offer higher education in their own right, so the inclusive term ‘institution’ is used herein. </w:t>
      </w:r>
    </w:p>
  </w:endnote>
  <w:endnote w:id="3">
    <w:p w14:paraId="12AAC641" w14:textId="5DD994CB" w:rsidR="003809F4" w:rsidRDefault="003809F4" w:rsidP="00B5463E">
      <w:pPr>
        <w:pStyle w:val="EndnoteText"/>
      </w:pPr>
      <w:r>
        <w:rPr>
          <w:rStyle w:val="EndnoteReference"/>
        </w:rPr>
        <w:endnoteRef/>
      </w:r>
      <w:r>
        <w:t xml:space="preserve"> Most English students qualify for entry to higher education through two or more A Levels which are taken at the age of 18, although vocational alternatives (e.g. BTECs and apprenticeships) also exist.  GCSE examinations taken at 16 are a strong predictor for the propensity to progress to A Levels and therefore to participate in higher education.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NewRomanPS">
    <w:panose1 w:val="00000000000000000000"/>
    <w:charset w:val="00"/>
    <w:family w:val="roman"/>
    <w:notTrueType/>
    <w:pitch w:val="default"/>
    <w:sig w:usb0="00000003" w:usb1="00000000" w:usb2="00000000" w:usb3="00000000" w:csb0="00000001" w:csb1="00000000"/>
  </w:font>
  <w:font w:name="TimesNewRomanP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66353" w14:textId="77777777" w:rsidR="0060573C" w:rsidRDefault="0060573C" w:rsidP="00DC00C8">
      <w:pPr>
        <w:spacing w:line="240" w:lineRule="auto"/>
      </w:pPr>
      <w:r>
        <w:separator/>
      </w:r>
    </w:p>
  </w:footnote>
  <w:footnote w:type="continuationSeparator" w:id="0">
    <w:p w14:paraId="0BE2F670" w14:textId="77777777" w:rsidR="0060573C" w:rsidRDefault="0060573C" w:rsidP="00DC00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2FC8"/>
    <w:multiLevelType w:val="hybridMultilevel"/>
    <w:tmpl w:val="753881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AB41A1"/>
    <w:multiLevelType w:val="hybridMultilevel"/>
    <w:tmpl w:val="0646F496"/>
    <w:lvl w:ilvl="0" w:tplc="A776E038">
      <w:start w:val="1"/>
      <w:numFmt w:val="bullet"/>
      <w:lvlText w:val=""/>
      <w:lvlJc w:val="left"/>
      <w:pPr>
        <w:tabs>
          <w:tab w:val="num" w:pos="720"/>
        </w:tabs>
        <w:ind w:left="720" w:hanging="360"/>
      </w:pPr>
      <w:rPr>
        <w:rFonts w:ascii="Wingdings 2" w:hAnsi="Wingdings 2" w:hint="default"/>
      </w:rPr>
    </w:lvl>
    <w:lvl w:ilvl="1" w:tplc="3EC0C712">
      <w:start w:val="1"/>
      <w:numFmt w:val="bullet"/>
      <w:lvlText w:val=""/>
      <w:lvlJc w:val="left"/>
      <w:pPr>
        <w:tabs>
          <w:tab w:val="num" w:pos="1440"/>
        </w:tabs>
        <w:ind w:left="1440" w:hanging="360"/>
      </w:pPr>
      <w:rPr>
        <w:rFonts w:ascii="Wingdings 2" w:hAnsi="Wingdings 2" w:hint="default"/>
      </w:rPr>
    </w:lvl>
    <w:lvl w:ilvl="2" w:tplc="AAD2EC26" w:tentative="1">
      <w:start w:val="1"/>
      <w:numFmt w:val="bullet"/>
      <w:lvlText w:val=""/>
      <w:lvlJc w:val="left"/>
      <w:pPr>
        <w:tabs>
          <w:tab w:val="num" w:pos="2160"/>
        </w:tabs>
        <w:ind w:left="2160" w:hanging="360"/>
      </w:pPr>
      <w:rPr>
        <w:rFonts w:ascii="Wingdings 2" w:hAnsi="Wingdings 2" w:hint="default"/>
      </w:rPr>
    </w:lvl>
    <w:lvl w:ilvl="3" w:tplc="0EF2B38A" w:tentative="1">
      <w:start w:val="1"/>
      <w:numFmt w:val="bullet"/>
      <w:lvlText w:val=""/>
      <w:lvlJc w:val="left"/>
      <w:pPr>
        <w:tabs>
          <w:tab w:val="num" w:pos="2880"/>
        </w:tabs>
        <w:ind w:left="2880" w:hanging="360"/>
      </w:pPr>
      <w:rPr>
        <w:rFonts w:ascii="Wingdings 2" w:hAnsi="Wingdings 2" w:hint="default"/>
      </w:rPr>
    </w:lvl>
    <w:lvl w:ilvl="4" w:tplc="5106C0B0" w:tentative="1">
      <w:start w:val="1"/>
      <w:numFmt w:val="bullet"/>
      <w:lvlText w:val=""/>
      <w:lvlJc w:val="left"/>
      <w:pPr>
        <w:tabs>
          <w:tab w:val="num" w:pos="3600"/>
        </w:tabs>
        <w:ind w:left="3600" w:hanging="360"/>
      </w:pPr>
      <w:rPr>
        <w:rFonts w:ascii="Wingdings 2" w:hAnsi="Wingdings 2" w:hint="default"/>
      </w:rPr>
    </w:lvl>
    <w:lvl w:ilvl="5" w:tplc="C8FC1620" w:tentative="1">
      <w:start w:val="1"/>
      <w:numFmt w:val="bullet"/>
      <w:lvlText w:val=""/>
      <w:lvlJc w:val="left"/>
      <w:pPr>
        <w:tabs>
          <w:tab w:val="num" w:pos="4320"/>
        </w:tabs>
        <w:ind w:left="4320" w:hanging="360"/>
      </w:pPr>
      <w:rPr>
        <w:rFonts w:ascii="Wingdings 2" w:hAnsi="Wingdings 2" w:hint="default"/>
      </w:rPr>
    </w:lvl>
    <w:lvl w:ilvl="6" w:tplc="16A28CDA" w:tentative="1">
      <w:start w:val="1"/>
      <w:numFmt w:val="bullet"/>
      <w:lvlText w:val=""/>
      <w:lvlJc w:val="left"/>
      <w:pPr>
        <w:tabs>
          <w:tab w:val="num" w:pos="5040"/>
        </w:tabs>
        <w:ind w:left="5040" w:hanging="360"/>
      </w:pPr>
      <w:rPr>
        <w:rFonts w:ascii="Wingdings 2" w:hAnsi="Wingdings 2" w:hint="default"/>
      </w:rPr>
    </w:lvl>
    <w:lvl w:ilvl="7" w:tplc="1AA6D5B2" w:tentative="1">
      <w:start w:val="1"/>
      <w:numFmt w:val="bullet"/>
      <w:lvlText w:val=""/>
      <w:lvlJc w:val="left"/>
      <w:pPr>
        <w:tabs>
          <w:tab w:val="num" w:pos="5760"/>
        </w:tabs>
        <w:ind w:left="5760" w:hanging="360"/>
      </w:pPr>
      <w:rPr>
        <w:rFonts w:ascii="Wingdings 2" w:hAnsi="Wingdings 2" w:hint="default"/>
      </w:rPr>
    </w:lvl>
    <w:lvl w:ilvl="8" w:tplc="A9E0A2EE"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24336169"/>
    <w:multiLevelType w:val="hybridMultilevel"/>
    <w:tmpl w:val="93E68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9F7A60"/>
    <w:multiLevelType w:val="hybridMultilevel"/>
    <w:tmpl w:val="1D48C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D6687"/>
    <w:multiLevelType w:val="hybridMultilevel"/>
    <w:tmpl w:val="350A4202"/>
    <w:lvl w:ilvl="0" w:tplc="99BA13FE">
      <w:start w:val="1"/>
      <w:numFmt w:val="bullet"/>
      <w:lvlText w:val=""/>
      <w:lvlJc w:val="left"/>
      <w:pPr>
        <w:tabs>
          <w:tab w:val="num" w:pos="720"/>
        </w:tabs>
        <w:ind w:left="720" w:hanging="360"/>
      </w:pPr>
      <w:rPr>
        <w:rFonts w:ascii="Wingdings 2" w:hAnsi="Wingdings 2" w:hint="default"/>
      </w:rPr>
    </w:lvl>
    <w:lvl w:ilvl="1" w:tplc="43629114">
      <w:start w:val="1"/>
      <w:numFmt w:val="bullet"/>
      <w:lvlText w:val=""/>
      <w:lvlJc w:val="left"/>
      <w:pPr>
        <w:tabs>
          <w:tab w:val="num" w:pos="1440"/>
        </w:tabs>
        <w:ind w:left="1440" w:hanging="360"/>
      </w:pPr>
      <w:rPr>
        <w:rFonts w:ascii="Wingdings 2" w:hAnsi="Wingdings 2" w:hint="default"/>
      </w:rPr>
    </w:lvl>
    <w:lvl w:ilvl="2" w:tplc="2280D548" w:tentative="1">
      <w:start w:val="1"/>
      <w:numFmt w:val="bullet"/>
      <w:lvlText w:val=""/>
      <w:lvlJc w:val="left"/>
      <w:pPr>
        <w:tabs>
          <w:tab w:val="num" w:pos="2160"/>
        </w:tabs>
        <w:ind w:left="2160" w:hanging="360"/>
      </w:pPr>
      <w:rPr>
        <w:rFonts w:ascii="Wingdings 2" w:hAnsi="Wingdings 2" w:hint="default"/>
      </w:rPr>
    </w:lvl>
    <w:lvl w:ilvl="3" w:tplc="CD328CCC" w:tentative="1">
      <w:start w:val="1"/>
      <w:numFmt w:val="bullet"/>
      <w:lvlText w:val=""/>
      <w:lvlJc w:val="left"/>
      <w:pPr>
        <w:tabs>
          <w:tab w:val="num" w:pos="2880"/>
        </w:tabs>
        <w:ind w:left="2880" w:hanging="360"/>
      </w:pPr>
      <w:rPr>
        <w:rFonts w:ascii="Wingdings 2" w:hAnsi="Wingdings 2" w:hint="default"/>
      </w:rPr>
    </w:lvl>
    <w:lvl w:ilvl="4" w:tplc="E66075E4" w:tentative="1">
      <w:start w:val="1"/>
      <w:numFmt w:val="bullet"/>
      <w:lvlText w:val=""/>
      <w:lvlJc w:val="left"/>
      <w:pPr>
        <w:tabs>
          <w:tab w:val="num" w:pos="3600"/>
        </w:tabs>
        <w:ind w:left="3600" w:hanging="360"/>
      </w:pPr>
      <w:rPr>
        <w:rFonts w:ascii="Wingdings 2" w:hAnsi="Wingdings 2" w:hint="default"/>
      </w:rPr>
    </w:lvl>
    <w:lvl w:ilvl="5" w:tplc="25B04ECE" w:tentative="1">
      <w:start w:val="1"/>
      <w:numFmt w:val="bullet"/>
      <w:lvlText w:val=""/>
      <w:lvlJc w:val="left"/>
      <w:pPr>
        <w:tabs>
          <w:tab w:val="num" w:pos="4320"/>
        </w:tabs>
        <w:ind w:left="4320" w:hanging="360"/>
      </w:pPr>
      <w:rPr>
        <w:rFonts w:ascii="Wingdings 2" w:hAnsi="Wingdings 2" w:hint="default"/>
      </w:rPr>
    </w:lvl>
    <w:lvl w:ilvl="6" w:tplc="8CC4E322" w:tentative="1">
      <w:start w:val="1"/>
      <w:numFmt w:val="bullet"/>
      <w:lvlText w:val=""/>
      <w:lvlJc w:val="left"/>
      <w:pPr>
        <w:tabs>
          <w:tab w:val="num" w:pos="5040"/>
        </w:tabs>
        <w:ind w:left="5040" w:hanging="360"/>
      </w:pPr>
      <w:rPr>
        <w:rFonts w:ascii="Wingdings 2" w:hAnsi="Wingdings 2" w:hint="default"/>
      </w:rPr>
    </w:lvl>
    <w:lvl w:ilvl="7" w:tplc="24C4FD12" w:tentative="1">
      <w:start w:val="1"/>
      <w:numFmt w:val="bullet"/>
      <w:lvlText w:val=""/>
      <w:lvlJc w:val="left"/>
      <w:pPr>
        <w:tabs>
          <w:tab w:val="num" w:pos="5760"/>
        </w:tabs>
        <w:ind w:left="5760" w:hanging="360"/>
      </w:pPr>
      <w:rPr>
        <w:rFonts w:ascii="Wingdings 2" w:hAnsi="Wingdings 2" w:hint="default"/>
      </w:rPr>
    </w:lvl>
    <w:lvl w:ilvl="8" w:tplc="24F2BD5A"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408742C3"/>
    <w:multiLevelType w:val="hybridMultilevel"/>
    <w:tmpl w:val="C6A8BBE8"/>
    <w:lvl w:ilvl="0" w:tplc="3BBE5DF6">
      <w:start w:val="1"/>
      <w:numFmt w:val="bullet"/>
      <w:lvlText w:val=""/>
      <w:lvlJc w:val="left"/>
      <w:pPr>
        <w:tabs>
          <w:tab w:val="num" w:pos="720"/>
        </w:tabs>
        <w:ind w:left="720" w:hanging="360"/>
      </w:pPr>
      <w:rPr>
        <w:rFonts w:ascii="Wingdings 2" w:hAnsi="Wingdings 2" w:hint="default"/>
      </w:rPr>
    </w:lvl>
    <w:lvl w:ilvl="1" w:tplc="0B3422CE">
      <w:start w:val="1"/>
      <w:numFmt w:val="bullet"/>
      <w:lvlText w:val=""/>
      <w:lvlJc w:val="left"/>
      <w:pPr>
        <w:tabs>
          <w:tab w:val="num" w:pos="1440"/>
        </w:tabs>
        <w:ind w:left="1440" w:hanging="360"/>
      </w:pPr>
      <w:rPr>
        <w:rFonts w:ascii="Wingdings 2" w:hAnsi="Wingdings 2" w:hint="default"/>
      </w:rPr>
    </w:lvl>
    <w:lvl w:ilvl="2" w:tplc="992E197C" w:tentative="1">
      <w:start w:val="1"/>
      <w:numFmt w:val="bullet"/>
      <w:lvlText w:val=""/>
      <w:lvlJc w:val="left"/>
      <w:pPr>
        <w:tabs>
          <w:tab w:val="num" w:pos="2160"/>
        </w:tabs>
        <w:ind w:left="2160" w:hanging="360"/>
      </w:pPr>
      <w:rPr>
        <w:rFonts w:ascii="Wingdings 2" w:hAnsi="Wingdings 2" w:hint="default"/>
      </w:rPr>
    </w:lvl>
    <w:lvl w:ilvl="3" w:tplc="EBF6C1D2" w:tentative="1">
      <w:start w:val="1"/>
      <w:numFmt w:val="bullet"/>
      <w:lvlText w:val=""/>
      <w:lvlJc w:val="left"/>
      <w:pPr>
        <w:tabs>
          <w:tab w:val="num" w:pos="2880"/>
        </w:tabs>
        <w:ind w:left="2880" w:hanging="360"/>
      </w:pPr>
      <w:rPr>
        <w:rFonts w:ascii="Wingdings 2" w:hAnsi="Wingdings 2" w:hint="default"/>
      </w:rPr>
    </w:lvl>
    <w:lvl w:ilvl="4" w:tplc="2B1E8F78" w:tentative="1">
      <w:start w:val="1"/>
      <w:numFmt w:val="bullet"/>
      <w:lvlText w:val=""/>
      <w:lvlJc w:val="left"/>
      <w:pPr>
        <w:tabs>
          <w:tab w:val="num" w:pos="3600"/>
        </w:tabs>
        <w:ind w:left="3600" w:hanging="360"/>
      </w:pPr>
      <w:rPr>
        <w:rFonts w:ascii="Wingdings 2" w:hAnsi="Wingdings 2" w:hint="default"/>
      </w:rPr>
    </w:lvl>
    <w:lvl w:ilvl="5" w:tplc="906E64DE" w:tentative="1">
      <w:start w:val="1"/>
      <w:numFmt w:val="bullet"/>
      <w:lvlText w:val=""/>
      <w:lvlJc w:val="left"/>
      <w:pPr>
        <w:tabs>
          <w:tab w:val="num" w:pos="4320"/>
        </w:tabs>
        <w:ind w:left="4320" w:hanging="360"/>
      </w:pPr>
      <w:rPr>
        <w:rFonts w:ascii="Wingdings 2" w:hAnsi="Wingdings 2" w:hint="default"/>
      </w:rPr>
    </w:lvl>
    <w:lvl w:ilvl="6" w:tplc="EE90A8B2" w:tentative="1">
      <w:start w:val="1"/>
      <w:numFmt w:val="bullet"/>
      <w:lvlText w:val=""/>
      <w:lvlJc w:val="left"/>
      <w:pPr>
        <w:tabs>
          <w:tab w:val="num" w:pos="5040"/>
        </w:tabs>
        <w:ind w:left="5040" w:hanging="360"/>
      </w:pPr>
      <w:rPr>
        <w:rFonts w:ascii="Wingdings 2" w:hAnsi="Wingdings 2" w:hint="default"/>
      </w:rPr>
    </w:lvl>
    <w:lvl w:ilvl="7" w:tplc="4BBCD8B4" w:tentative="1">
      <w:start w:val="1"/>
      <w:numFmt w:val="bullet"/>
      <w:lvlText w:val=""/>
      <w:lvlJc w:val="left"/>
      <w:pPr>
        <w:tabs>
          <w:tab w:val="num" w:pos="5760"/>
        </w:tabs>
        <w:ind w:left="5760" w:hanging="360"/>
      </w:pPr>
      <w:rPr>
        <w:rFonts w:ascii="Wingdings 2" w:hAnsi="Wingdings 2" w:hint="default"/>
      </w:rPr>
    </w:lvl>
    <w:lvl w:ilvl="8" w:tplc="0C5C8D3A"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40EB33F9"/>
    <w:multiLevelType w:val="hybridMultilevel"/>
    <w:tmpl w:val="18EA3862"/>
    <w:lvl w:ilvl="0" w:tplc="66F08AF6">
      <w:start w:val="1"/>
      <w:numFmt w:val="bullet"/>
      <w:lvlText w:val=""/>
      <w:lvlJc w:val="left"/>
      <w:pPr>
        <w:tabs>
          <w:tab w:val="num" w:pos="720"/>
        </w:tabs>
        <w:ind w:left="720" w:hanging="360"/>
      </w:pPr>
      <w:rPr>
        <w:rFonts w:ascii="Wingdings 2" w:hAnsi="Wingdings 2" w:hint="default"/>
      </w:rPr>
    </w:lvl>
    <w:lvl w:ilvl="1" w:tplc="7054C688" w:tentative="1">
      <w:start w:val="1"/>
      <w:numFmt w:val="bullet"/>
      <w:lvlText w:val=""/>
      <w:lvlJc w:val="left"/>
      <w:pPr>
        <w:tabs>
          <w:tab w:val="num" w:pos="1440"/>
        </w:tabs>
        <w:ind w:left="1440" w:hanging="360"/>
      </w:pPr>
      <w:rPr>
        <w:rFonts w:ascii="Wingdings 2" w:hAnsi="Wingdings 2" w:hint="default"/>
      </w:rPr>
    </w:lvl>
    <w:lvl w:ilvl="2" w:tplc="C2FAAA5C" w:tentative="1">
      <w:start w:val="1"/>
      <w:numFmt w:val="bullet"/>
      <w:lvlText w:val=""/>
      <w:lvlJc w:val="left"/>
      <w:pPr>
        <w:tabs>
          <w:tab w:val="num" w:pos="2160"/>
        </w:tabs>
        <w:ind w:left="2160" w:hanging="360"/>
      </w:pPr>
      <w:rPr>
        <w:rFonts w:ascii="Wingdings 2" w:hAnsi="Wingdings 2" w:hint="default"/>
      </w:rPr>
    </w:lvl>
    <w:lvl w:ilvl="3" w:tplc="FCF83952" w:tentative="1">
      <w:start w:val="1"/>
      <w:numFmt w:val="bullet"/>
      <w:lvlText w:val=""/>
      <w:lvlJc w:val="left"/>
      <w:pPr>
        <w:tabs>
          <w:tab w:val="num" w:pos="2880"/>
        </w:tabs>
        <w:ind w:left="2880" w:hanging="360"/>
      </w:pPr>
      <w:rPr>
        <w:rFonts w:ascii="Wingdings 2" w:hAnsi="Wingdings 2" w:hint="default"/>
      </w:rPr>
    </w:lvl>
    <w:lvl w:ilvl="4" w:tplc="70B08896" w:tentative="1">
      <w:start w:val="1"/>
      <w:numFmt w:val="bullet"/>
      <w:lvlText w:val=""/>
      <w:lvlJc w:val="left"/>
      <w:pPr>
        <w:tabs>
          <w:tab w:val="num" w:pos="3600"/>
        </w:tabs>
        <w:ind w:left="3600" w:hanging="360"/>
      </w:pPr>
      <w:rPr>
        <w:rFonts w:ascii="Wingdings 2" w:hAnsi="Wingdings 2" w:hint="default"/>
      </w:rPr>
    </w:lvl>
    <w:lvl w:ilvl="5" w:tplc="599E9828" w:tentative="1">
      <w:start w:val="1"/>
      <w:numFmt w:val="bullet"/>
      <w:lvlText w:val=""/>
      <w:lvlJc w:val="left"/>
      <w:pPr>
        <w:tabs>
          <w:tab w:val="num" w:pos="4320"/>
        </w:tabs>
        <w:ind w:left="4320" w:hanging="360"/>
      </w:pPr>
      <w:rPr>
        <w:rFonts w:ascii="Wingdings 2" w:hAnsi="Wingdings 2" w:hint="default"/>
      </w:rPr>
    </w:lvl>
    <w:lvl w:ilvl="6" w:tplc="CCAC77C4" w:tentative="1">
      <w:start w:val="1"/>
      <w:numFmt w:val="bullet"/>
      <w:lvlText w:val=""/>
      <w:lvlJc w:val="left"/>
      <w:pPr>
        <w:tabs>
          <w:tab w:val="num" w:pos="5040"/>
        </w:tabs>
        <w:ind w:left="5040" w:hanging="360"/>
      </w:pPr>
      <w:rPr>
        <w:rFonts w:ascii="Wingdings 2" w:hAnsi="Wingdings 2" w:hint="default"/>
      </w:rPr>
    </w:lvl>
    <w:lvl w:ilvl="7" w:tplc="0E8A49C8" w:tentative="1">
      <w:start w:val="1"/>
      <w:numFmt w:val="bullet"/>
      <w:lvlText w:val=""/>
      <w:lvlJc w:val="left"/>
      <w:pPr>
        <w:tabs>
          <w:tab w:val="num" w:pos="5760"/>
        </w:tabs>
        <w:ind w:left="5760" w:hanging="360"/>
      </w:pPr>
      <w:rPr>
        <w:rFonts w:ascii="Wingdings 2" w:hAnsi="Wingdings 2" w:hint="default"/>
      </w:rPr>
    </w:lvl>
    <w:lvl w:ilvl="8" w:tplc="CA5CCC8A"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6D400DFC"/>
    <w:multiLevelType w:val="hybridMultilevel"/>
    <w:tmpl w:val="3BDCCBFC"/>
    <w:lvl w:ilvl="0" w:tplc="02E8F650">
      <w:start w:val="1"/>
      <w:numFmt w:val="bullet"/>
      <w:lvlText w:val=""/>
      <w:lvlJc w:val="left"/>
      <w:pPr>
        <w:tabs>
          <w:tab w:val="num" w:pos="720"/>
        </w:tabs>
        <w:ind w:left="720" w:hanging="360"/>
      </w:pPr>
      <w:rPr>
        <w:rFonts w:ascii="Wingdings 2" w:hAnsi="Wingdings 2" w:hint="default"/>
      </w:rPr>
    </w:lvl>
    <w:lvl w:ilvl="1" w:tplc="07A00028">
      <w:start w:val="1"/>
      <w:numFmt w:val="bullet"/>
      <w:lvlText w:val=""/>
      <w:lvlJc w:val="left"/>
      <w:pPr>
        <w:tabs>
          <w:tab w:val="num" w:pos="1440"/>
        </w:tabs>
        <w:ind w:left="1440" w:hanging="360"/>
      </w:pPr>
      <w:rPr>
        <w:rFonts w:ascii="Wingdings 2" w:hAnsi="Wingdings 2" w:hint="default"/>
      </w:rPr>
    </w:lvl>
    <w:lvl w:ilvl="2" w:tplc="61F0C182" w:tentative="1">
      <w:start w:val="1"/>
      <w:numFmt w:val="bullet"/>
      <w:lvlText w:val=""/>
      <w:lvlJc w:val="left"/>
      <w:pPr>
        <w:tabs>
          <w:tab w:val="num" w:pos="2160"/>
        </w:tabs>
        <w:ind w:left="2160" w:hanging="360"/>
      </w:pPr>
      <w:rPr>
        <w:rFonts w:ascii="Wingdings 2" w:hAnsi="Wingdings 2" w:hint="default"/>
      </w:rPr>
    </w:lvl>
    <w:lvl w:ilvl="3" w:tplc="2C9CA884" w:tentative="1">
      <w:start w:val="1"/>
      <w:numFmt w:val="bullet"/>
      <w:lvlText w:val=""/>
      <w:lvlJc w:val="left"/>
      <w:pPr>
        <w:tabs>
          <w:tab w:val="num" w:pos="2880"/>
        </w:tabs>
        <w:ind w:left="2880" w:hanging="360"/>
      </w:pPr>
      <w:rPr>
        <w:rFonts w:ascii="Wingdings 2" w:hAnsi="Wingdings 2" w:hint="default"/>
      </w:rPr>
    </w:lvl>
    <w:lvl w:ilvl="4" w:tplc="744E78BA" w:tentative="1">
      <w:start w:val="1"/>
      <w:numFmt w:val="bullet"/>
      <w:lvlText w:val=""/>
      <w:lvlJc w:val="left"/>
      <w:pPr>
        <w:tabs>
          <w:tab w:val="num" w:pos="3600"/>
        </w:tabs>
        <w:ind w:left="3600" w:hanging="360"/>
      </w:pPr>
      <w:rPr>
        <w:rFonts w:ascii="Wingdings 2" w:hAnsi="Wingdings 2" w:hint="default"/>
      </w:rPr>
    </w:lvl>
    <w:lvl w:ilvl="5" w:tplc="0E68E68C" w:tentative="1">
      <w:start w:val="1"/>
      <w:numFmt w:val="bullet"/>
      <w:lvlText w:val=""/>
      <w:lvlJc w:val="left"/>
      <w:pPr>
        <w:tabs>
          <w:tab w:val="num" w:pos="4320"/>
        </w:tabs>
        <w:ind w:left="4320" w:hanging="360"/>
      </w:pPr>
      <w:rPr>
        <w:rFonts w:ascii="Wingdings 2" w:hAnsi="Wingdings 2" w:hint="default"/>
      </w:rPr>
    </w:lvl>
    <w:lvl w:ilvl="6" w:tplc="27348046" w:tentative="1">
      <w:start w:val="1"/>
      <w:numFmt w:val="bullet"/>
      <w:lvlText w:val=""/>
      <w:lvlJc w:val="left"/>
      <w:pPr>
        <w:tabs>
          <w:tab w:val="num" w:pos="5040"/>
        </w:tabs>
        <w:ind w:left="5040" w:hanging="360"/>
      </w:pPr>
      <w:rPr>
        <w:rFonts w:ascii="Wingdings 2" w:hAnsi="Wingdings 2" w:hint="default"/>
      </w:rPr>
    </w:lvl>
    <w:lvl w:ilvl="7" w:tplc="645A2B66" w:tentative="1">
      <w:start w:val="1"/>
      <w:numFmt w:val="bullet"/>
      <w:lvlText w:val=""/>
      <w:lvlJc w:val="left"/>
      <w:pPr>
        <w:tabs>
          <w:tab w:val="num" w:pos="5760"/>
        </w:tabs>
        <w:ind w:left="5760" w:hanging="360"/>
      </w:pPr>
      <w:rPr>
        <w:rFonts w:ascii="Wingdings 2" w:hAnsi="Wingdings 2" w:hint="default"/>
      </w:rPr>
    </w:lvl>
    <w:lvl w:ilvl="8" w:tplc="51884B02" w:tentative="1">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6"/>
  </w:num>
  <w:num w:numId="3">
    <w:abstractNumId w:val="4"/>
  </w:num>
  <w:num w:numId="4">
    <w:abstractNumId w:val="1"/>
  </w:num>
  <w:num w:numId="5">
    <w:abstractNumId w:val="7"/>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3B2"/>
    <w:rsid w:val="000102D3"/>
    <w:rsid w:val="000175FF"/>
    <w:rsid w:val="00041D9B"/>
    <w:rsid w:val="000431E7"/>
    <w:rsid w:val="00045813"/>
    <w:rsid w:val="00046F18"/>
    <w:rsid w:val="0004759E"/>
    <w:rsid w:val="000606C7"/>
    <w:rsid w:val="00060D29"/>
    <w:rsid w:val="000616BD"/>
    <w:rsid w:val="00061D4D"/>
    <w:rsid w:val="00062007"/>
    <w:rsid w:val="000625C0"/>
    <w:rsid w:val="00071353"/>
    <w:rsid w:val="00071ECA"/>
    <w:rsid w:val="000747EC"/>
    <w:rsid w:val="0007524B"/>
    <w:rsid w:val="00086510"/>
    <w:rsid w:val="00094597"/>
    <w:rsid w:val="00097CB9"/>
    <w:rsid w:val="000A75E1"/>
    <w:rsid w:val="000B4B40"/>
    <w:rsid w:val="000C2A44"/>
    <w:rsid w:val="000C7AD4"/>
    <w:rsid w:val="000D1E68"/>
    <w:rsid w:val="000D477E"/>
    <w:rsid w:val="000F4F16"/>
    <w:rsid w:val="00101761"/>
    <w:rsid w:val="00101FEF"/>
    <w:rsid w:val="001020F8"/>
    <w:rsid w:val="00104238"/>
    <w:rsid w:val="00105AFE"/>
    <w:rsid w:val="00107840"/>
    <w:rsid w:val="0012123F"/>
    <w:rsid w:val="001265E6"/>
    <w:rsid w:val="00126BE3"/>
    <w:rsid w:val="0012728D"/>
    <w:rsid w:val="001275EE"/>
    <w:rsid w:val="001455EB"/>
    <w:rsid w:val="00147AFD"/>
    <w:rsid w:val="00150D04"/>
    <w:rsid w:val="00153770"/>
    <w:rsid w:val="0017085F"/>
    <w:rsid w:val="001757E0"/>
    <w:rsid w:val="0018180C"/>
    <w:rsid w:val="00182631"/>
    <w:rsid w:val="0018423B"/>
    <w:rsid w:val="001911A0"/>
    <w:rsid w:val="00197E52"/>
    <w:rsid w:val="001A5EC5"/>
    <w:rsid w:val="001B2756"/>
    <w:rsid w:val="001B3140"/>
    <w:rsid w:val="001B3521"/>
    <w:rsid w:val="001C31DB"/>
    <w:rsid w:val="001C39EA"/>
    <w:rsid w:val="001D6066"/>
    <w:rsid w:val="001E040A"/>
    <w:rsid w:val="001E0EE5"/>
    <w:rsid w:val="001E1095"/>
    <w:rsid w:val="001E10A8"/>
    <w:rsid w:val="001E752A"/>
    <w:rsid w:val="001F57A5"/>
    <w:rsid w:val="001F7B3F"/>
    <w:rsid w:val="0021041B"/>
    <w:rsid w:val="00214F31"/>
    <w:rsid w:val="002246FA"/>
    <w:rsid w:val="0022521C"/>
    <w:rsid w:val="00226786"/>
    <w:rsid w:val="00233E5B"/>
    <w:rsid w:val="00236773"/>
    <w:rsid w:val="002443FE"/>
    <w:rsid w:val="00245530"/>
    <w:rsid w:val="0024712B"/>
    <w:rsid w:val="00247BD6"/>
    <w:rsid w:val="00250695"/>
    <w:rsid w:val="0025258A"/>
    <w:rsid w:val="00255DA3"/>
    <w:rsid w:val="002561B9"/>
    <w:rsid w:val="00257304"/>
    <w:rsid w:val="00264FF0"/>
    <w:rsid w:val="00265DA4"/>
    <w:rsid w:val="002704BC"/>
    <w:rsid w:val="002707DB"/>
    <w:rsid w:val="00275704"/>
    <w:rsid w:val="00287654"/>
    <w:rsid w:val="00293EB4"/>
    <w:rsid w:val="00297D4F"/>
    <w:rsid w:val="002A0B1F"/>
    <w:rsid w:val="002B09BC"/>
    <w:rsid w:val="002C51A8"/>
    <w:rsid w:val="002D1250"/>
    <w:rsid w:val="002D50A5"/>
    <w:rsid w:val="002D54C1"/>
    <w:rsid w:val="002E4338"/>
    <w:rsid w:val="002F4B07"/>
    <w:rsid w:val="003006C8"/>
    <w:rsid w:val="00303AAE"/>
    <w:rsid w:val="00305C6F"/>
    <w:rsid w:val="0031032D"/>
    <w:rsid w:val="00310EBD"/>
    <w:rsid w:val="0031667B"/>
    <w:rsid w:val="003215F1"/>
    <w:rsid w:val="003219AE"/>
    <w:rsid w:val="00322EC0"/>
    <w:rsid w:val="00325454"/>
    <w:rsid w:val="0032628C"/>
    <w:rsid w:val="00337A64"/>
    <w:rsid w:val="00351E3F"/>
    <w:rsid w:val="003544C7"/>
    <w:rsid w:val="00357F34"/>
    <w:rsid w:val="00363EB6"/>
    <w:rsid w:val="00371AF8"/>
    <w:rsid w:val="00376A6B"/>
    <w:rsid w:val="003809F4"/>
    <w:rsid w:val="003810D8"/>
    <w:rsid w:val="003854CE"/>
    <w:rsid w:val="00391DB0"/>
    <w:rsid w:val="00396B2A"/>
    <w:rsid w:val="00396DC7"/>
    <w:rsid w:val="003A6215"/>
    <w:rsid w:val="003A691D"/>
    <w:rsid w:val="003A70D7"/>
    <w:rsid w:val="003B352B"/>
    <w:rsid w:val="003C2DA4"/>
    <w:rsid w:val="003C6EE2"/>
    <w:rsid w:val="003D4E49"/>
    <w:rsid w:val="003E4885"/>
    <w:rsid w:val="003F1A58"/>
    <w:rsid w:val="003F575F"/>
    <w:rsid w:val="003F7EB5"/>
    <w:rsid w:val="004001E4"/>
    <w:rsid w:val="004034EB"/>
    <w:rsid w:val="00406D4E"/>
    <w:rsid w:val="00412759"/>
    <w:rsid w:val="0041656E"/>
    <w:rsid w:val="0041708D"/>
    <w:rsid w:val="004209B0"/>
    <w:rsid w:val="004256DE"/>
    <w:rsid w:val="00433F29"/>
    <w:rsid w:val="004435DB"/>
    <w:rsid w:val="00450ADD"/>
    <w:rsid w:val="00452D13"/>
    <w:rsid w:val="00454485"/>
    <w:rsid w:val="004618E6"/>
    <w:rsid w:val="00461AAC"/>
    <w:rsid w:val="004632E8"/>
    <w:rsid w:val="00463723"/>
    <w:rsid w:val="0046786F"/>
    <w:rsid w:val="00480F3E"/>
    <w:rsid w:val="00493BF5"/>
    <w:rsid w:val="00495115"/>
    <w:rsid w:val="0049536B"/>
    <w:rsid w:val="004A1FF8"/>
    <w:rsid w:val="004B350E"/>
    <w:rsid w:val="004B47B1"/>
    <w:rsid w:val="004C0C76"/>
    <w:rsid w:val="004C1DB1"/>
    <w:rsid w:val="004C2CDD"/>
    <w:rsid w:val="004D0A91"/>
    <w:rsid w:val="004D7B9E"/>
    <w:rsid w:val="004F1996"/>
    <w:rsid w:val="004F4599"/>
    <w:rsid w:val="004F5035"/>
    <w:rsid w:val="004F61E8"/>
    <w:rsid w:val="00507021"/>
    <w:rsid w:val="005222C6"/>
    <w:rsid w:val="005246B1"/>
    <w:rsid w:val="0052592B"/>
    <w:rsid w:val="0053300E"/>
    <w:rsid w:val="005404FA"/>
    <w:rsid w:val="00541DE4"/>
    <w:rsid w:val="00545A52"/>
    <w:rsid w:val="005476D4"/>
    <w:rsid w:val="0055100E"/>
    <w:rsid w:val="00555385"/>
    <w:rsid w:val="00562A61"/>
    <w:rsid w:val="00563856"/>
    <w:rsid w:val="00567493"/>
    <w:rsid w:val="0057747D"/>
    <w:rsid w:val="00580183"/>
    <w:rsid w:val="005807BB"/>
    <w:rsid w:val="005855BD"/>
    <w:rsid w:val="00596C55"/>
    <w:rsid w:val="00597FCD"/>
    <w:rsid w:val="005A3B6F"/>
    <w:rsid w:val="005A5113"/>
    <w:rsid w:val="005B2A18"/>
    <w:rsid w:val="005B56CD"/>
    <w:rsid w:val="005B5967"/>
    <w:rsid w:val="005C28C2"/>
    <w:rsid w:val="005C482E"/>
    <w:rsid w:val="005D58DE"/>
    <w:rsid w:val="005E11C7"/>
    <w:rsid w:val="005E6483"/>
    <w:rsid w:val="005E7FBF"/>
    <w:rsid w:val="005F1584"/>
    <w:rsid w:val="0060486D"/>
    <w:rsid w:val="0060573C"/>
    <w:rsid w:val="00610399"/>
    <w:rsid w:val="0061117C"/>
    <w:rsid w:val="00611EE1"/>
    <w:rsid w:val="00616155"/>
    <w:rsid w:val="0062529F"/>
    <w:rsid w:val="006319F6"/>
    <w:rsid w:val="006372BF"/>
    <w:rsid w:val="00637C2A"/>
    <w:rsid w:val="00640C14"/>
    <w:rsid w:val="00655E1C"/>
    <w:rsid w:val="006572E6"/>
    <w:rsid w:val="0066043E"/>
    <w:rsid w:val="006711CE"/>
    <w:rsid w:val="0067252F"/>
    <w:rsid w:val="00680D7F"/>
    <w:rsid w:val="00682F4A"/>
    <w:rsid w:val="00683271"/>
    <w:rsid w:val="00684D39"/>
    <w:rsid w:val="0068503B"/>
    <w:rsid w:val="00685200"/>
    <w:rsid w:val="006856C7"/>
    <w:rsid w:val="006A0072"/>
    <w:rsid w:val="006A6C98"/>
    <w:rsid w:val="006B54C6"/>
    <w:rsid w:val="006B6B5E"/>
    <w:rsid w:val="006C496E"/>
    <w:rsid w:val="006C558F"/>
    <w:rsid w:val="006C5924"/>
    <w:rsid w:val="006C7383"/>
    <w:rsid w:val="006D544C"/>
    <w:rsid w:val="006D759B"/>
    <w:rsid w:val="006F3EF7"/>
    <w:rsid w:val="007012C1"/>
    <w:rsid w:val="00701399"/>
    <w:rsid w:val="007026C5"/>
    <w:rsid w:val="0070597E"/>
    <w:rsid w:val="00723317"/>
    <w:rsid w:val="007261A8"/>
    <w:rsid w:val="007365E3"/>
    <w:rsid w:val="0075506B"/>
    <w:rsid w:val="00760748"/>
    <w:rsid w:val="00762F57"/>
    <w:rsid w:val="00766403"/>
    <w:rsid w:val="00766F33"/>
    <w:rsid w:val="00773520"/>
    <w:rsid w:val="007830CA"/>
    <w:rsid w:val="00791A04"/>
    <w:rsid w:val="0079357F"/>
    <w:rsid w:val="00797B08"/>
    <w:rsid w:val="007A0AAC"/>
    <w:rsid w:val="007A17A2"/>
    <w:rsid w:val="007B5BCF"/>
    <w:rsid w:val="007C23C5"/>
    <w:rsid w:val="007C5F20"/>
    <w:rsid w:val="007D77F0"/>
    <w:rsid w:val="007E388E"/>
    <w:rsid w:val="007E4D58"/>
    <w:rsid w:val="007E571E"/>
    <w:rsid w:val="007F26AD"/>
    <w:rsid w:val="007F3915"/>
    <w:rsid w:val="007F5441"/>
    <w:rsid w:val="00805143"/>
    <w:rsid w:val="0081440B"/>
    <w:rsid w:val="00815BD5"/>
    <w:rsid w:val="0082051F"/>
    <w:rsid w:val="00820916"/>
    <w:rsid w:val="00821759"/>
    <w:rsid w:val="00827BAE"/>
    <w:rsid w:val="00836674"/>
    <w:rsid w:val="008408E2"/>
    <w:rsid w:val="00845C63"/>
    <w:rsid w:val="00845CD8"/>
    <w:rsid w:val="00847001"/>
    <w:rsid w:val="00851507"/>
    <w:rsid w:val="0085322D"/>
    <w:rsid w:val="00853BF8"/>
    <w:rsid w:val="0085578F"/>
    <w:rsid w:val="00856312"/>
    <w:rsid w:val="0085729F"/>
    <w:rsid w:val="0086119A"/>
    <w:rsid w:val="008662C0"/>
    <w:rsid w:val="00872822"/>
    <w:rsid w:val="0087523D"/>
    <w:rsid w:val="0088294E"/>
    <w:rsid w:val="0088396D"/>
    <w:rsid w:val="008920D2"/>
    <w:rsid w:val="008B10AB"/>
    <w:rsid w:val="008B7930"/>
    <w:rsid w:val="008C1839"/>
    <w:rsid w:val="008C26A4"/>
    <w:rsid w:val="008C30BC"/>
    <w:rsid w:val="008C4A7B"/>
    <w:rsid w:val="008D2ACB"/>
    <w:rsid w:val="008E0B9B"/>
    <w:rsid w:val="008F2FD1"/>
    <w:rsid w:val="008F3142"/>
    <w:rsid w:val="009015A4"/>
    <w:rsid w:val="00906EAF"/>
    <w:rsid w:val="009242A4"/>
    <w:rsid w:val="009249DD"/>
    <w:rsid w:val="0093088D"/>
    <w:rsid w:val="00930CD0"/>
    <w:rsid w:val="00933742"/>
    <w:rsid w:val="00937302"/>
    <w:rsid w:val="00944CD4"/>
    <w:rsid w:val="0095137C"/>
    <w:rsid w:val="009513FD"/>
    <w:rsid w:val="00955A01"/>
    <w:rsid w:val="00962B89"/>
    <w:rsid w:val="00965752"/>
    <w:rsid w:val="00967BB7"/>
    <w:rsid w:val="009708DC"/>
    <w:rsid w:val="00982F21"/>
    <w:rsid w:val="00985D53"/>
    <w:rsid w:val="0099379C"/>
    <w:rsid w:val="0099439C"/>
    <w:rsid w:val="009B40CC"/>
    <w:rsid w:val="009B6E5D"/>
    <w:rsid w:val="009C0464"/>
    <w:rsid w:val="009C5383"/>
    <w:rsid w:val="009D46DB"/>
    <w:rsid w:val="009D6DAD"/>
    <w:rsid w:val="009E1ED7"/>
    <w:rsid w:val="009F193A"/>
    <w:rsid w:val="00A05AAE"/>
    <w:rsid w:val="00A24BB8"/>
    <w:rsid w:val="00A25972"/>
    <w:rsid w:val="00A4294A"/>
    <w:rsid w:val="00A43847"/>
    <w:rsid w:val="00A45BB0"/>
    <w:rsid w:val="00A553FA"/>
    <w:rsid w:val="00A60865"/>
    <w:rsid w:val="00A64C0A"/>
    <w:rsid w:val="00A678DD"/>
    <w:rsid w:val="00A67C3E"/>
    <w:rsid w:val="00A77359"/>
    <w:rsid w:val="00A82FE3"/>
    <w:rsid w:val="00A91928"/>
    <w:rsid w:val="00A96256"/>
    <w:rsid w:val="00AB3714"/>
    <w:rsid w:val="00AC222F"/>
    <w:rsid w:val="00AC559C"/>
    <w:rsid w:val="00AD0139"/>
    <w:rsid w:val="00AF4D99"/>
    <w:rsid w:val="00AF6A1F"/>
    <w:rsid w:val="00B01B97"/>
    <w:rsid w:val="00B02898"/>
    <w:rsid w:val="00B02F9F"/>
    <w:rsid w:val="00B03D63"/>
    <w:rsid w:val="00B21BD6"/>
    <w:rsid w:val="00B26763"/>
    <w:rsid w:val="00B27845"/>
    <w:rsid w:val="00B3582A"/>
    <w:rsid w:val="00B36B7C"/>
    <w:rsid w:val="00B401E9"/>
    <w:rsid w:val="00B420BB"/>
    <w:rsid w:val="00B463FF"/>
    <w:rsid w:val="00B50C6D"/>
    <w:rsid w:val="00B5463E"/>
    <w:rsid w:val="00B55C67"/>
    <w:rsid w:val="00B61144"/>
    <w:rsid w:val="00B61B89"/>
    <w:rsid w:val="00B674DC"/>
    <w:rsid w:val="00B710E1"/>
    <w:rsid w:val="00B76195"/>
    <w:rsid w:val="00B85B31"/>
    <w:rsid w:val="00B86B90"/>
    <w:rsid w:val="00B87D72"/>
    <w:rsid w:val="00B90979"/>
    <w:rsid w:val="00BA0989"/>
    <w:rsid w:val="00BA6A8D"/>
    <w:rsid w:val="00BC184A"/>
    <w:rsid w:val="00BD15D1"/>
    <w:rsid w:val="00BD185D"/>
    <w:rsid w:val="00BE48FF"/>
    <w:rsid w:val="00BE569F"/>
    <w:rsid w:val="00BE7728"/>
    <w:rsid w:val="00BF0FCA"/>
    <w:rsid w:val="00BF25EF"/>
    <w:rsid w:val="00BF4D30"/>
    <w:rsid w:val="00C04ABA"/>
    <w:rsid w:val="00C10A8E"/>
    <w:rsid w:val="00C17EDF"/>
    <w:rsid w:val="00C25862"/>
    <w:rsid w:val="00C27DBE"/>
    <w:rsid w:val="00C30018"/>
    <w:rsid w:val="00C4164D"/>
    <w:rsid w:val="00C4592C"/>
    <w:rsid w:val="00C5014A"/>
    <w:rsid w:val="00C528BC"/>
    <w:rsid w:val="00C61A4A"/>
    <w:rsid w:val="00C7147A"/>
    <w:rsid w:val="00C74EDA"/>
    <w:rsid w:val="00C764E9"/>
    <w:rsid w:val="00C766A2"/>
    <w:rsid w:val="00C80060"/>
    <w:rsid w:val="00C90FB7"/>
    <w:rsid w:val="00C977CE"/>
    <w:rsid w:val="00CA6515"/>
    <w:rsid w:val="00CB03B6"/>
    <w:rsid w:val="00CB1589"/>
    <w:rsid w:val="00CB1FEC"/>
    <w:rsid w:val="00CB466A"/>
    <w:rsid w:val="00CB6750"/>
    <w:rsid w:val="00CB775C"/>
    <w:rsid w:val="00CC2CBB"/>
    <w:rsid w:val="00CC49A3"/>
    <w:rsid w:val="00CC57EE"/>
    <w:rsid w:val="00CD495E"/>
    <w:rsid w:val="00CD6409"/>
    <w:rsid w:val="00CD6993"/>
    <w:rsid w:val="00D00F32"/>
    <w:rsid w:val="00D0413A"/>
    <w:rsid w:val="00D05F64"/>
    <w:rsid w:val="00D1250B"/>
    <w:rsid w:val="00D13B29"/>
    <w:rsid w:val="00D23EE1"/>
    <w:rsid w:val="00D33100"/>
    <w:rsid w:val="00D36A55"/>
    <w:rsid w:val="00D439FF"/>
    <w:rsid w:val="00D43F38"/>
    <w:rsid w:val="00D4401D"/>
    <w:rsid w:val="00D47FF9"/>
    <w:rsid w:val="00D53027"/>
    <w:rsid w:val="00D601B4"/>
    <w:rsid w:val="00D61F3C"/>
    <w:rsid w:val="00D66A10"/>
    <w:rsid w:val="00D70EFC"/>
    <w:rsid w:val="00D7219B"/>
    <w:rsid w:val="00D84203"/>
    <w:rsid w:val="00D85165"/>
    <w:rsid w:val="00D876AD"/>
    <w:rsid w:val="00D90CA8"/>
    <w:rsid w:val="00D9529B"/>
    <w:rsid w:val="00DA14FF"/>
    <w:rsid w:val="00DA2208"/>
    <w:rsid w:val="00DB48F0"/>
    <w:rsid w:val="00DB79FF"/>
    <w:rsid w:val="00DC00C8"/>
    <w:rsid w:val="00DC380E"/>
    <w:rsid w:val="00DD5CA9"/>
    <w:rsid w:val="00DD6CC9"/>
    <w:rsid w:val="00DE3F46"/>
    <w:rsid w:val="00DE524A"/>
    <w:rsid w:val="00DE6555"/>
    <w:rsid w:val="00DF21EE"/>
    <w:rsid w:val="00DF2586"/>
    <w:rsid w:val="00DF2FBE"/>
    <w:rsid w:val="00DF4814"/>
    <w:rsid w:val="00E00199"/>
    <w:rsid w:val="00E01A7A"/>
    <w:rsid w:val="00E03DF1"/>
    <w:rsid w:val="00E13187"/>
    <w:rsid w:val="00E13239"/>
    <w:rsid w:val="00E13985"/>
    <w:rsid w:val="00E20E30"/>
    <w:rsid w:val="00E24A82"/>
    <w:rsid w:val="00E30BE8"/>
    <w:rsid w:val="00E3548B"/>
    <w:rsid w:val="00E36CFE"/>
    <w:rsid w:val="00E37853"/>
    <w:rsid w:val="00E440F4"/>
    <w:rsid w:val="00E54CEA"/>
    <w:rsid w:val="00E5659B"/>
    <w:rsid w:val="00E66130"/>
    <w:rsid w:val="00E67F89"/>
    <w:rsid w:val="00E70A6D"/>
    <w:rsid w:val="00E72624"/>
    <w:rsid w:val="00E72A3B"/>
    <w:rsid w:val="00E75740"/>
    <w:rsid w:val="00E76978"/>
    <w:rsid w:val="00E8121B"/>
    <w:rsid w:val="00E831CF"/>
    <w:rsid w:val="00E96800"/>
    <w:rsid w:val="00EA21C4"/>
    <w:rsid w:val="00EA3D99"/>
    <w:rsid w:val="00EA40DA"/>
    <w:rsid w:val="00EA474B"/>
    <w:rsid w:val="00EB5853"/>
    <w:rsid w:val="00EC6BD6"/>
    <w:rsid w:val="00ED021F"/>
    <w:rsid w:val="00EF398D"/>
    <w:rsid w:val="00EF58E5"/>
    <w:rsid w:val="00F05105"/>
    <w:rsid w:val="00F0527F"/>
    <w:rsid w:val="00F1598A"/>
    <w:rsid w:val="00F17878"/>
    <w:rsid w:val="00F257FD"/>
    <w:rsid w:val="00F25A17"/>
    <w:rsid w:val="00F42974"/>
    <w:rsid w:val="00F43560"/>
    <w:rsid w:val="00F50E1C"/>
    <w:rsid w:val="00F52834"/>
    <w:rsid w:val="00F52BD4"/>
    <w:rsid w:val="00F53744"/>
    <w:rsid w:val="00F648A5"/>
    <w:rsid w:val="00F6531C"/>
    <w:rsid w:val="00F859CB"/>
    <w:rsid w:val="00F90A64"/>
    <w:rsid w:val="00F92905"/>
    <w:rsid w:val="00F968FB"/>
    <w:rsid w:val="00FA1BFD"/>
    <w:rsid w:val="00FC4D37"/>
    <w:rsid w:val="00FD02BE"/>
    <w:rsid w:val="00FD0C12"/>
    <w:rsid w:val="00FD40C2"/>
    <w:rsid w:val="00FE2DA2"/>
    <w:rsid w:val="00FE3634"/>
    <w:rsid w:val="00FE63B2"/>
    <w:rsid w:val="00FE6850"/>
    <w:rsid w:val="00FF105F"/>
    <w:rsid w:val="00FF7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B3095"/>
  <w15:docId w15:val="{250782D0-C19E-4958-B4F5-329CD913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03D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4FF"/>
    <w:pPr>
      <w:ind w:left="720"/>
      <w:contextualSpacing/>
    </w:pPr>
  </w:style>
  <w:style w:type="paragraph" w:styleId="BalloonText">
    <w:name w:val="Balloon Text"/>
    <w:basedOn w:val="Normal"/>
    <w:link w:val="BalloonTextChar"/>
    <w:uiPriority w:val="99"/>
    <w:semiHidden/>
    <w:unhideWhenUsed/>
    <w:rsid w:val="009F19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93A"/>
    <w:rPr>
      <w:rFonts w:ascii="Tahoma" w:hAnsi="Tahoma" w:cs="Tahoma"/>
      <w:sz w:val="16"/>
      <w:szCs w:val="16"/>
    </w:rPr>
  </w:style>
  <w:style w:type="paragraph" w:styleId="NormalWeb">
    <w:name w:val="Normal (Web)"/>
    <w:basedOn w:val="Normal"/>
    <w:uiPriority w:val="99"/>
    <w:semiHidden/>
    <w:unhideWhenUsed/>
    <w:rsid w:val="00303A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DC00C8"/>
    <w:pPr>
      <w:spacing w:line="240" w:lineRule="auto"/>
    </w:pPr>
    <w:rPr>
      <w:sz w:val="20"/>
      <w:szCs w:val="20"/>
    </w:rPr>
  </w:style>
  <w:style w:type="character" w:customStyle="1" w:styleId="EndnoteTextChar">
    <w:name w:val="Endnote Text Char"/>
    <w:basedOn w:val="DefaultParagraphFont"/>
    <w:link w:val="EndnoteText"/>
    <w:uiPriority w:val="99"/>
    <w:semiHidden/>
    <w:rsid w:val="00DC00C8"/>
    <w:rPr>
      <w:sz w:val="20"/>
      <w:szCs w:val="20"/>
    </w:rPr>
  </w:style>
  <w:style w:type="character" w:styleId="EndnoteReference">
    <w:name w:val="endnote reference"/>
    <w:basedOn w:val="DefaultParagraphFont"/>
    <w:uiPriority w:val="99"/>
    <w:semiHidden/>
    <w:unhideWhenUsed/>
    <w:rsid w:val="00DC00C8"/>
    <w:rPr>
      <w:vertAlign w:val="superscript"/>
    </w:rPr>
  </w:style>
  <w:style w:type="character" w:styleId="CommentReference">
    <w:name w:val="annotation reference"/>
    <w:basedOn w:val="DefaultParagraphFont"/>
    <w:uiPriority w:val="99"/>
    <w:semiHidden/>
    <w:unhideWhenUsed/>
    <w:rsid w:val="00D4401D"/>
    <w:rPr>
      <w:sz w:val="16"/>
      <w:szCs w:val="16"/>
    </w:rPr>
  </w:style>
  <w:style w:type="paragraph" w:styleId="CommentText">
    <w:name w:val="annotation text"/>
    <w:basedOn w:val="Normal"/>
    <w:link w:val="CommentTextChar"/>
    <w:uiPriority w:val="99"/>
    <w:semiHidden/>
    <w:unhideWhenUsed/>
    <w:rsid w:val="00D4401D"/>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D4401D"/>
    <w:rPr>
      <w:sz w:val="20"/>
      <w:szCs w:val="20"/>
    </w:rPr>
  </w:style>
  <w:style w:type="character" w:styleId="HTMLCite">
    <w:name w:val="HTML Cite"/>
    <w:basedOn w:val="DefaultParagraphFont"/>
    <w:uiPriority w:val="99"/>
    <w:semiHidden/>
    <w:unhideWhenUsed/>
    <w:rsid w:val="00094597"/>
    <w:rPr>
      <w:i/>
      <w:iCs/>
    </w:rPr>
  </w:style>
  <w:style w:type="character" w:customStyle="1" w:styleId="personname">
    <w:name w:val="person_name"/>
    <w:basedOn w:val="DefaultParagraphFont"/>
    <w:rsid w:val="00DD5CA9"/>
  </w:style>
  <w:style w:type="character" w:styleId="Emphasis">
    <w:name w:val="Emphasis"/>
    <w:basedOn w:val="DefaultParagraphFont"/>
    <w:uiPriority w:val="20"/>
    <w:qFormat/>
    <w:rsid w:val="00DD5CA9"/>
    <w:rPr>
      <w:i/>
      <w:iCs/>
    </w:rPr>
  </w:style>
  <w:style w:type="paragraph" w:styleId="CommentSubject">
    <w:name w:val="annotation subject"/>
    <w:basedOn w:val="CommentText"/>
    <w:next w:val="CommentText"/>
    <w:link w:val="CommentSubjectChar"/>
    <w:uiPriority w:val="99"/>
    <w:semiHidden/>
    <w:unhideWhenUsed/>
    <w:rsid w:val="00CC2CBB"/>
    <w:pPr>
      <w:spacing w:after="0"/>
    </w:pPr>
    <w:rPr>
      <w:b/>
      <w:bCs/>
    </w:rPr>
  </w:style>
  <w:style w:type="character" w:customStyle="1" w:styleId="CommentSubjectChar">
    <w:name w:val="Comment Subject Char"/>
    <w:basedOn w:val="CommentTextChar"/>
    <w:link w:val="CommentSubject"/>
    <w:uiPriority w:val="99"/>
    <w:semiHidden/>
    <w:rsid w:val="00CC2C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46415">
      <w:bodyDiv w:val="1"/>
      <w:marLeft w:val="0"/>
      <w:marRight w:val="0"/>
      <w:marTop w:val="0"/>
      <w:marBottom w:val="0"/>
      <w:divBdr>
        <w:top w:val="none" w:sz="0" w:space="0" w:color="auto"/>
        <w:left w:val="none" w:sz="0" w:space="0" w:color="auto"/>
        <w:bottom w:val="none" w:sz="0" w:space="0" w:color="auto"/>
        <w:right w:val="none" w:sz="0" w:space="0" w:color="auto"/>
      </w:divBdr>
    </w:div>
    <w:div w:id="350912248">
      <w:bodyDiv w:val="1"/>
      <w:marLeft w:val="0"/>
      <w:marRight w:val="0"/>
      <w:marTop w:val="0"/>
      <w:marBottom w:val="0"/>
      <w:divBdr>
        <w:top w:val="none" w:sz="0" w:space="0" w:color="auto"/>
        <w:left w:val="none" w:sz="0" w:space="0" w:color="auto"/>
        <w:bottom w:val="none" w:sz="0" w:space="0" w:color="auto"/>
        <w:right w:val="none" w:sz="0" w:space="0" w:color="auto"/>
      </w:divBdr>
    </w:div>
    <w:div w:id="403378250">
      <w:bodyDiv w:val="1"/>
      <w:marLeft w:val="0"/>
      <w:marRight w:val="0"/>
      <w:marTop w:val="0"/>
      <w:marBottom w:val="0"/>
      <w:divBdr>
        <w:top w:val="none" w:sz="0" w:space="0" w:color="auto"/>
        <w:left w:val="none" w:sz="0" w:space="0" w:color="auto"/>
        <w:bottom w:val="none" w:sz="0" w:space="0" w:color="auto"/>
        <w:right w:val="none" w:sz="0" w:space="0" w:color="auto"/>
      </w:divBdr>
    </w:div>
    <w:div w:id="455635171">
      <w:bodyDiv w:val="1"/>
      <w:marLeft w:val="0"/>
      <w:marRight w:val="0"/>
      <w:marTop w:val="0"/>
      <w:marBottom w:val="0"/>
      <w:divBdr>
        <w:top w:val="none" w:sz="0" w:space="0" w:color="auto"/>
        <w:left w:val="none" w:sz="0" w:space="0" w:color="auto"/>
        <w:bottom w:val="none" w:sz="0" w:space="0" w:color="auto"/>
        <w:right w:val="none" w:sz="0" w:space="0" w:color="auto"/>
      </w:divBdr>
      <w:divsChild>
        <w:div w:id="287202438">
          <w:marLeft w:val="1008"/>
          <w:marRight w:val="0"/>
          <w:marTop w:val="115"/>
          <w:marBottom w:val="0"/>
          <w:divBdr>
            <w:top w:val="none" w:sz="0" w:space="0" w:color="auto"/>
            <w:left w:val="none" w:sz="0" w:space="0" w:color="auto"/>
            <w:bottom w:val="none" w:sz="0" w:space="0" w:color="auto"/>
            <w:right w:val="none" w:sz="0" w:space="0" w:color="auto"/>
          </w:divBdr>
        </w:div>
      </w:divsChild>
    </w:div>
    <w:div w:id="690492605">
      <w:bodyDiv w:val="1"/>
      <w:marLeft w:val="0"/>
      <w:marRight w:val="0"/>
      <w:marTop w:val="0"/>
      <w:marBottom w:val="0"/>
      <w:divBdr>
        <w:top w:val="none" w:sz="0" w:space="0" w:color="auto"/>
        <w:left w:val="none" w:sz="0" w:space="0" w:color="auto"/>
        <w:bottom w:val="none" w:sz="0" w:space="0" w:color="auto"/>
        <w:right w:val="none" w:sz="0" w:space="0" w:color="auto"/>
      </w:divBdr>
    </w:div>
    <w:div w:id="737944983">
      <w:bodyDiv w:val="1"/>
      <w:marLeft w:val="0"/>
      <w:marRight w:val="0"/>
      <w:marTop w:val="0"/>
      <w:marBottom w:val="0"/>
      <w:divBdr>
        <w:top w:val="none" w:sz="0" w:space="0" w:color="auto"/>
        <w:left w:val="none" w:sz="0" w:space="0" w:color="auto"/>
        <w:bottom w:val="none" w:sz="0" w:space="0" w:color="auto"/>
        <w:right w:val="none" w:sz="0" w:space="0" w:color="auto"/>
      </w:divBdr>
      <w:divsChild>
        <w:div w:id="903562756">
          <w:marLeft w:val="432"/>
          <w:marRight w:val="0"/>
          <w:marTop w:val="134"/>
          <w:marBottom w:val="0"/>
          <w:divBdr>
            <w:top w:val="none" w:sz="0" w:space="0" w:color="auto"/>
            <w:left w:val="none" w:sz="0" w:space="0" w:color="auto"/>
            <w:bottom w:val="none" w:sz="0" w:space="0" w:color="auto"/>
            <w:right w:val="none" w:sz="0" w:space="0" w:color="auto"/>
          </w:divBdr>
        </w:div>
      </w:divsChild>
    </w:div>
    <w:div w:id="805270644">
      <w:bodyDiv w:val="1"/>
      <w:marLeft w:val="0"/>
      <w:marRight w:val="0"/>
      <w:marTop w:val="0"/>
      <w:marBottom w:val="0"/>
      <w:divBdr>
        <w:top w:val="none" w:sz="0" w:space="0" w:color="auto"/>
        <w:left w:val="none" w:sz="0" w:space="0" w:color="auto"/>
        <w:bottom w:val="none" w:sz="0" w:space="0" w:color="auto"/>
        <w:right w:val="none" w:sz="0" w:space="0" w:color="auto"/>
      </w:divBdr>
      <w:divsChild>
        <w:div w:id="263733167">
          <w:marLeft w:val="1008"/>
          <w:marRight w:val="0"/>
          <w:marTop w:val="115"/>
          <w:marBottom w:val="0"/>
          <w:divBdr>
            <w:top w:val="none" w:sz="0" w:space="0" w:color="auto"/>
            <w:left w:val="none" w:sz="0" w:space="0" w:color="auto"/>
            <w:bottom w:val="none" w:sz="0" w:space="0" w:color="auto"/>
            <w:right w:val="none" w:sz="0" w:space="0" w:color="auto"/>
          </w:divBdr>
        </w:div>
      </w:divsChild>
    </w:div>
    <w:div w:id="1107701896">
      <w:bodyDiv w:val="1"/>
      <w:marLeft w:val="0"/>
      <w:marRight w:val="0"/>
      <w:marTop w:val="0"/>
      <w:marBottom w:val="0"/>
      <w:divBdr>
        <w:top w:val="none" w:sz="0" w:space="0" w:color="auto"/>
        <w:left w:val="none" w:sz="0" w:space="0" w:color="auto"/>
        <w:bottom w:val="none" w:sz="0" w:space="0" w:color="auto"/>
        <w:right w:val="none" w:sz="0" w:space="0" w:color="auto"/>
      </w:divBdr>
    </w:div>
    <w:div w:id="1116296870">
      <w:bodyDiv w:val="1"/>
      <w:marLeft w:val="0"/>
      <w:marRight w:val="0"/>
      <w:marTop w:val="0"/>
      <w:marBottom w:val="0"/>
      <w:divBdr>
        <w:top w:val="none" w:sz="0" w:space="0" w:color="auto"/>
        <w:left w:val="none" w:sz="0" w:space="0" w:color="auto"/>
        <w:bottom w:val="none" w:sz="0" w:space="0" w:color="auto"/>
        <w:right w:val="none" w:sz="0" w:space="0" w:color="auto"/>
      </w:divBdr>
      <w:divsChild>
        <w:div w:id="1339886137">
          <w:marLeft w:val="1008"/>
          <w:marRight w:val="0"/>
          <w:marTop w:val="115"/>
          <w:marBottom w:val="0"/>
          <w:divBdr>
            <w:top w:val="none" w:sz="0" w:space="0" w:color="auto"/>
            <w:left w:val="none" w:sz="0" w:space="0" w:color="auto"/>
            <w:bottom w:val="none" w:sz="0" w:space="0" w:color="auto"/>
            <w:right w:val="none" w:sz="0" w:space="0" w:color="auto"/>
          </w:divBdr>
        </w:div>
      </w:divsChild>
    </w:div>
    <w:div w:id="1391270420">
      <w:bodyDiv w:val="1"/>
      <w:marLeft w:val="0"/>
      <w:marRight w:val="0"/>
      <w:marTop w:val="0"/>
      <w:marBottom w:val="0"/>
      <w:divBdr>
        <w:top w:val="none" w:sz="0" w:space="0" w:color="auto"/>
        <w:left w:val="none" w:sz="0" w:space="0" w:color="auto"/>
        <w:bottom w:val="none" w:sz="0" w:space="0" w:color="auto"/>
        <w:right w:val="none" w:sz="0" w:space="0" w:color="auto"/>
      </w:divBdr>
    </w:div>
    <w:div w:id="1537891088">
      <w:bodyDiv w:val="1"/>
      <w:marLeft w:val="0"/>
      <w:marRight w:val="0"/>
      <w:marTop w:val="0"/>
      <w:marBottom w:val="0"/>
      <w:divBdr>
        <w:top w:val="none" w:sz="0" w:space="0" w:color="auto"/>
        <w:left w:val="none" w:sz="0" w:space="0" w:color="auto"/>
        <w:bottom w:val="none" w:sz="0" w:space="0" w:color="auto"/>
        <w:right w:val="none" w:sz="0" w:space="0" w:color="auto"/>
      </w:divBdr>
      <w:divsChild>
        <w:div w:id="861624333">
          <w:marLeft w:val="1008"/>
          <w:marRight w:val="0"/>
          <w:marTop w:val="115"/>
          <w:marBottom w:val="0"/>
          <w:divBdr>
            <w:top w:val="none" w:sz="0" w:space="0" w:color="auto"/>
            <w:left w:val="none" w:sz="0" w:space="0" w:color="auto"/>
            <w:bottom w:val="none" w:sz="0" w:space="0" w:color="auto"/>
            <w:right w:val="none" w:sz="0" w:space="0" w:color="auto"/>
          </w:divBdr>
        </w:div>
        <w:div w:id="498354917">
          <w:marLeft w:val="1008"/>
          <w:marRight w:val="0"/>
          <w:marTop w:val="115"/>
          <w:marBottom w:val="0"/>
          <w:divBdr>
            <w:top w:val="none" w:sz="0" w:space="0" w:color="auto"/>
            <w:left w:val="none" w:sz="0" w:space="0" w:color="auto"/>
            <w:bottom w:val="none" w:sz="0" w:space="0" w:color="auto"/>
            <w:right w:val="none" w:sz="0" w:space="0" w:color="auto"/>
          </w:divBdr>
        </w:div>
        <w:div w:id="1148938423">
          <w:marLeft w:val="1008"/>
          <w:marRight w:val="0"/>
          <w:marTop w:val="115"/>
          <w:marBottom w:val="0"/>
          <w:divBdr>
            <w:top w:val="none" w:sz="0" w:space="0" w:color="auto"/>
            <w:left w:val="none" w:sz="0" w:space="0" w:color="auto"/>
            <w:bottom w:val="none" w:sz="0" w:space="0" w:color="auto"/>
            <w:right w:val="none" w:sz="0" w:space="0" w:color="auto"/>
          </w:divBdr>
        </w:div>
      </w:divsChild>
    </w:div>
    <w:div w:id="204559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eil\Desktop\UWE\AIMS\GCSE%20pass%20rat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eil%20Harrison\Desktop\UWE\AIMS\Survey%20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Sheet1!$B$112</c:f>
              <c:strCache>
                <c:ptCount val="1"/>
                <c:pt idx="0">
                  <c:v>FSM</c:v>
                </c:pt>
              </c:strCache>
            </c:strRef>
          </c:tx>
          <c:spPr>
            <a:ln>
              <a:solidFill>
                <a:schemeClr val="tx1"/>
              </a:solidFill>
              <a:prstDash val="sysDot"/>
            </a:ln>
          </c:spPr>
          <c:marker>
            <c:symbol val="none"/>
          </c:marker>
          <c:cat>
            <c:strRef>
              <c:f>Sheet1!$A$113:$A$121</c:f>
              <c:strCache>
                <c:ptCount val="9"/>
                <c:pt idx="0">
                  <c:v>2005/06</c:v>
                </c:pt>
                <c:pt idx="1">
                  <c:v>2006/07</c:v>
                </c:pt>
                <c:pt idx="2">
                  <c:v>2007/08</c:v>
                </c:pt>
                <c:pt idx="3">
                  <c:v>2008/09</c:v>
                </c:pt>
                <c:pt idx="4">
                  <c:v>2009/10</c:v>
                </c:pt>
                <c:pt idx="5">
                  <c:v>2010/11</c:v>
                </c:pt>
                <c:pt idx="6">
                  <c:v>2011/12</c:v>
                </c:pt>
                <c:pt idx="7">
                  <c:v>2012/13</c:v>
                </c:pt>
                <c:pt idx="8">
                  <c:v>2013/14</c:v>
                </c:pt>
              </c:strCache>
            </c:strRef>
          </c:cat>
          <c:val>
            <c:numRef>
              <c:f>Sheet1!$B$113:$B$121</c:f>
              <c:numCache>
                <c:formatCode>0%</c:formatCode>
                <c:ptCount val="9"/>
                <c:pt idx="0">
                  <c:v>0.13</c:v>
                </c:pt>
                <c:pt idx="1">
                  <c:v>0.14000000000000001</c:v>
                </c:pt>
                <c:pt idx="2">
                  <c:v>0.15</c:v>
                </c:pt>
                <c:pt idx="3">
                  <c:v>0.17</c:v>
                </c:pt>
                <c:pt idx="4">
                  <c:v>0.18</c:v>
                </c:pt>
                <c:pt idx="5">
                  <c:v>0.2</c:v>
                </c:pt>
                <c:pt idx="6">
                  <c:v>0.21</c:v>
                </c:pt>
                <c:pt idx="7">
                  <c:v>0.23</c:v>
                </c:pt>
                <c:pt idx="8">
                  <c:v>0.22</c:v>
                </c:pt>
              </c:numCache>
            </c:numRef>
          </c:val>
          <c:smooth val="0"/>
          <c:extLst>
            <c:ext xmlns:c16="http://schemas.microsoft.com/office/drawing/2014/chart" uri="{C3380CC4-5D6E-409C-BE32-E72D297353CC}">
              <c16:uniqueId val="{00000000-413C-44E9-9FFD-CC0394870587}"/>
            </c:ext>
          </c:extLst>
        </c:ser>
        <c:ser>
          <c:idx val="1"/>
          <c:order val="1"/>
          <c:tx>
            <c:strRef>
              <c:f>Sheet1!$C$112</c:f>
              <c:strCache>
                <c:ptCount val="1"/>
                <c:pt idx="0">
                  <c:v>Non-FSM</c:v>
                </c:pt>
              </c:strCache>
            </c:strRef>
          </c:tx>
          <c:spPr>
            <a:ln>
              <a:solidFill>
                <a:schemeClr val="tx1"/>
              </a:solidFill>
            </a:ln>
          </c:spPr>
          <c:marker>
            <c:symbol val="none"/>
          </c:marker>
          <c:cat>
            <c:strRef>
              <c:f>Sheet1!$A$113:$A$121</c:f>
              <c:strCache>
                <c:ptCount val="9"/>
                <c:pt idx="0">
                  <c:v>2005/06</c:v>
                </c:pt>
                <c:pt idx="1">
                  <c:v>2006/07</c:v>
                </c:pt>
                <c:pt idx="2">
                  <c:v>2007/08</c:v>
                </c:pt>
                <c:pt idx="3">
                  <c:v>2008/09</c:v>
                </c:pt>
                <c:pt idx="4">
                  <c:v>2009/10</c:v>
                </c:pt>
                <c:pt idx="5">
                  <c:v>2010/11</c:v>
                </c:pt>
                <c:pt idx="6">
                  <c:v>2011/12</c:v>
                </c:pt>
                <c:pt idx="7">
                  <c:v>2012/13</c:v>
                </c:pt>
                <c:pt idx="8">
                  <c:v>2013/14</c:v>
                </c:pt>
              </c:strCache>
            </c:strRef>
          </c:cat>
          <c:val>
            <c:numRef>
              <c:f>Sheet1!$C$113:$C$121</c:f>
              <c:numCache>
                <c:formatCode>0%</c:formatCode>
                <c:ptCount val="9"/>
                <c:pt idx="0">
                  <c:v>0.33</c:v>
                </c:pt>
                <c:pt idx="1">
                  <c:v>0.33</c:v>
                </c:pt>
                <c:pt idx="2">
                  <c:v>0.33</c:v>
                </c:pt>
                <c:pt idx="3">
                  <c:v>0.35</c:v>
                </c:pt>
                <c:pt idx="4">
                  <c:v>0.36</c:v>
                </c:pt>
                <c:pt idx="5">
                  <c:v>0.38</c:v>
                </c:pt>
                <c:pt idx="6">
                  <c:v>0.39</c:v>
                </c:pt>
                <c:pt idx="7">
                  <c:v>0.4</c:v>
                </c:pt>
                <c:pt idx="8">
                  <c:v>0.39</c:v>
                </c:pt>
              </c:numCache>
            </c:numRef>
          </c:val>
          <c:smooth val="0"/>
          <c:extLst>
            <c:ext xmlns:c16="http://schemas.microsoft.com/office/drawing/2014/chart" uri="{C3380CC4-5D6E-409C-BE32-E72D297353CC}">
              <c16:uniqueId val="{00000001-413C-44E9-9FFD-CC0394870587}"/>
            </c:ext>
          </c:extLst>
        </c:ser>
        <c:dLbls>
          <c:showLegendKey val="0"/>
          <c:showVal val="0"/>
          <c:showCatName val="0"/>
          <c:showSerName val="0"/>
          <c:showPercent val="0"/>
          <c:showBubbleSize val="0"/>
        </c:dLbls>
        <c:smooth val="0"/>
        <c:axId val="83867136"/>
        <c:axId val="84150144"/>
      </c:lineChart>
      <c:catAx>
        <c:axId val="83867136"/>
        <c:scaling>
          <c:orientation val="minMax"/>
        </c:scaling>
        <c:delete val="0"/>
        <c:axPos val="b"/>
        <c:numFmt formatCode="General" sourceLinked="0"/>
        <c:majorTickMark val="out"/>
        <c:minorTickMark val="none"/>
        <c:tickLblPos val="low"/>
        <c:txPr>
          <a:bodyPr rot="-2700000" vert="horz"/>
          <a:lstStyle/>
          <a:p>
            <a:pPr>
              <a:defRPr/>
            </a:pPr>
            <a:endParaRPr lang="en-US"/>
          </a:p>
        </c:txPr>
        <c:crossAx val="84150144"/>
        <c:crosses val="autoZero"/>
        <c:auto val="1"/>
        <c:lblAlgn val="ctr"/>
        <c:lblOffset val="100"/>
        <c:noMultiLvlLbl val="0"/>
      </c:catAx>
      <c:valAx>
        <c:axId val="84150144"/>
        <c:scaling>
          <c:orientation val="minMax"/>
        </c:scaling>
        <c:delete val="0"/>
        <c:axPos val="l"/>
        <c:numFmt formatCode="0%" sourceLinked="1"/>
        <c:majorTickMark val="out"/>
        <c:minorTickMark val="none"/>
        <c:tickLblPos val="nextTo"/>
        <c:crossAx val="8386713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Sheet1!$B$124</c:f>
              <c:strCache>
                <c:ptCount val="1"/>
                <c:pt idx="0">
                  <c:v>Never</c:v>
                </c:pt>
              </c:strCache>
            </c:strRef>
          </c:tx>
          <c:spPr>
            <a:solidFill>
              <a:schemeClr val="dk1">
                <a:tint val="88500"/>
              </a:schemeClr>
            </a:solidFill>
            <a:ln>
              <a:noFill/>
            </a:ln>
            <a:effectLst/>
          </c:spPr>
          <c:invertIfNegative val="0"/>
          <c:cat>
            <c:strRef>
              <c:f>Sheet1!$A$125:$A$132</c:f>
              <c:strCache>
                <c:ptCount val="8"/>
                <c:pt idx="0">
                  <c:v>Questionnaire - pupils</c:v>
                </c:pt>
                <c:pt idx="1">
                  <c:v>Questionnaire - teachers</c:v>
                </c:pt>
                <c:pt idx="2">
                  <c:v>Interviews - pupils</c:v>
                </c:pt>
                <c:pt idx="3">
                  <c:v>Interviews - teachers</c:v>
                </c:pt>
                <c:pt idx="4">
                  <c:v>Longitudinal tracking</c:v>
                </c:pt>
                <c:pt idx="5">
                  <c:v>Time series analysis</c:v>
                </c:pt>
                <c:pt idx="6">
                  <c:v>Pseudo-experiment</c:v>
                </c:pt>
                <c:pt idx="7">
                  <c:v>Randomised controlled trials</c:v>
                </c:pt>
              </c:strCache>
            </c:strRef>
          </c:cat>
          <c:val>
            <c:numRef>
              <c:f>Sheet1!$B$125:$B$132</c:f>
              <c:numCache>
                <c:formatCode>0%</c:formatCode>
                <c:ptCount val="8"/>
                <c:pt idx="0">
                  <c:v>2.0000000000000011E-2</c:v>
                </c:pt>
                <c:pt idx="1">
                  <c:v>9.0000000000000024E-2</c:v>
                </c:pt>
                <c:pt idx="2">
                  <c:v>0.05</c:v>
                </c:pt>
                <c:pt idx="3">
                  <c:v>0.12000000000000002</c:v>
                </c:pt>
                <c:pt idx="4">
                  <c:v>7.0000000000000021E-2</c:v>
                </c:pt>
                <c:pt idx="5">
                  <c:v>9.0000000000000024E-2</c:v>
                </c:pt>
                <c:pt idx="6">
                  <c:v>0.45</c:v>
                </c:pt>
                <c:pt idx="7">
                  <c:v>0.67000000000000415</c:v>
                </c:pt>
              </c:numCache>
            </c:numRef>
          </c:val>
          <c:extLst>
            <c:ext xmlns:c16="http://schemas.microsoft.com/office/drawing/2014/chart" uri="{C3380CC4-5D6E-409C-BE32-E72D297353CC}">
              <c16:uniqueId val="{00000000-7927-45C1-B703-A31D635BF3AB}"/>
            </c:ext>
          </c:extLst>
        </c:ser>
        <c:ser>
          <c:idx val="1"/>
          <c:order val="1"/>
          <c:tx>
            <c:strRef>
              <c:f>Sheet1!$C$124</c:f>
              <c:strCache>
                <c:ptCount val="1"/>
                <c:pt idx="0">
                  <c:v>Rarely</c:v>
                </c:pt>
              </c:strCache>
            </c:strRef>
          </c:tx>
          <c:spPr>
            <a:solidFill>
              <a:schemeClr val="dk1">
                <a:tint val="55000"/>
              </a:schemeClr>
            </a:solidFill>
            <a:ln>
              <a:noFill/>
            </a:ln>
            <a:effectLst/>
          </c:spPr>
          <c:invertIfNegative val="0"/>
          <c:cat>
            <c:strRef>
              <c:f>Sheet1!$A$125:$A$132</c:f>
              <c:strCache>
                <c:ptCount val="8"/>
                <c:pt idx="0">
                  <c:v>Questionnaire - pupils</c:v>
                </c:pt>
                <c:pt idx="1">
                  <c:v>Questionnaire - teachers</c:v>
                </c:pt>
                <c:pt idx="2">
                  <c:v>Interviews - pupils</c:v>
                </c:pt>
                <c:pt idx="3">
                  <c:v>Interviews - teachers</c:v>
                </c:pt>
                <c:pt idx="4">
                  <c:v>Longitudinal tracking</c:v>
                </c:pt>
                <c:pt idx="5">
                  <c:v>Time series analysis</c:v>
                </c:pt>
                <c:pt idx="6">
                  <c:v>Pseudo-experiment</c:v>
                </c:pt>
                <c:pt idx="7">
                  <c:v>Randomised controlled trials</c:v>
                </c:pt>
              </c:strCache>
            </c:strRef>
          </c:cat>
          <c:val>
            <c:numRef>
              <c:f>Sheet1!$C$125:$C$132</c:f>
              <c:numCache>
                <c:formatCode>0%</c:formatCode>
                <c:ptCount val="8"/>
                <c:pt idx="0">
                  <c:v>7.0000000000000021E-2</c:v>
                </c:pt>
                <c:pt idx="1">
                  <c:v>0.18000000000000024</c:v>
                </c:pt>
                <c:pt idx="2">
                  <c:v>0.30000000000000032</c:v>
                </c:pt>
                <c:pt idx="3">
                  <c:v>0.30000000000000032</c:v>
                </c:pt>
                <c:pt idx="4">
                  <c:v>0.23</c:v>
                </c:pt>
                <c:pt idx="5">
                  <c:v>0.19</c:v>
                </c:pt>
                <c:pt idx="6">
                  <c:v>0.27</c:v>
                </c:pt>
                <c:pt idx="7">
                  <c:v>0.2</c:v>
                </c:pt>
              </c:numCache>
            </c:numRef>
          </c:val>
          <c:extLst>
            <c:ext xmlns:c16="http://schemas.microsoft.com/office/drawing/2014/chart" uri="{C3380CC4-5D6E-409C-BE32-E72D297353CC}">
              <c16:uniqueId val="{00000001-7927-45C1-B703-A31D635BF3AB}"/>
            </c:ext>
          </c:extLst>
        </c:ser>
        <c:ser>
          <c:idx val="2"/>
          <c:order val="2"/>
          <c:tx>
            <c:strRef>
              <c:f>Sheet1!$D$124</c:f>
              <c:strCache>
                <c:ptCount val="1"/>
                <c:pt idx="0">
                  <c:v>Occasionally</c:v>
                </c:pt>
              </c:strCache>
            </c:strRef>
          </c:tx>
          <c:spPr>
            <a:solidFill>
              <a:schemeClr val="dk1">
                <a:tint val="75000"/>
              </a:schemeClr>
            </a:solidFill>
            <a:ln>
              <a:noFill/>
            </a:ln>
            <a:effectLst/>
          </c:spPr>
          <c:invertIfNegative val="0"/>
          <c:cat>
            <c:strRef>
              <c:f>Sheet1!$A$125:$A$132</c:f>
              <c:strCache>
                <c:ptCount val="8"/>
                <c:pt idx="0">
                  <c:v>Questionnaire - pupils</c:v>
                </c:pt>
                <c:pt idx="1">
                  <c:v>Questionnaire - teachers</c:v>
                </c:pt>
                <c:pt idx="2">
                  <c:v>Interviews - pupils</c:v>
                </c:pt>
                <c:pt idx="3">
                  <c:v>Interviews - teachers</c:v>
                </c:pt>
                <c:pt idx="4">
                  <c:v>Longitudinal tracking</c:v>
                </c:pt>
                <c:pt idx="5">
                  <c:v>Time series analysis</c:v>
                </c:pt>
                <c:pt idx="6">
                  <c:v>Pseudo-experiment</c:v>
                </c:pt>
                <c:pt idx="7">
                  <c:v>Randomised controlled trials</c:v>
                </c:pt>
              </c:strCache>
            </c:strRef>
          </c:cat>
          <c:val>
            <c:numRef>
              <c:f>Sheet1!$D$125:$D$132</c:f>
              <c:numCache>
                <c:formatCode>0%</c:formatCode>
                <c:ptCount val="8"/>
                <c:pt idx="0">
                  <c:v>0.19</c:v>
                </c:pt>
                <c:pt idx="1">
                  <c:v>0.26</c:v>
                </c:pt>
                <c:pt idx="2">
                  <c:v>0.41000000000000031</c:v>
                </c:pt>
                <c:pt idx="3">
                  <c:v>0.4</c:v>
                </c:pt>
                <c:pt idx="4">
                  <c:v>0.25</c:v>
                </c:pt>
                <c:pt idx="5">
                  <c:v>0.19</c:v>
                </c:pt>
                <c:pt idx="6">
                  <c:v>0.23</c:v>
                </c:pt>
                <c:pt idx="7">
                  <c:v>0.13</c:v>
                </c:pt>
              </c:numCache>
            </c:numRef>
          </c:val>
          <c:extLst>
            <c:ext xmlns:c16="http://schemas.microsoft.com/office/drawing/2014/chart" uri="{C3380CC4-5D6E-409C-BE32-E72D297353CC}">
              <c16:uniqueId val="{00000002-7927-45C1-B703-A31D635BF3AB}"/>
            </c:ext>
          </c:extLst>
        </c:ser>
        <c:ser>
          <c:idx val="3"/>
          <c:order val="3"/>
          <c:tx>
            <c:strRef>
              <c:f>Sheet1!$E$124</c:f>
              <c:strCache>
                <c:ptCount val="1"/>
                <c:pt idx="0">
                  <c:v>Frequently</c:v>
                </c:pt>
              </c:strCache>
            </c:strRef>
          </c:tx>
          <c:spPr>
            <a:solidFill>
              <a:schemeClr val="dk1">
                <a:tint val="98500"/>
              </a:schemeClr>
            </a:solidFill>
            <a:ln>
              <a:noFill/>
            </a:ln>
            <a:effectLst/>
          </c:spPr>
          <c:invertIfNegative val="0"/>
          <c:cat>
            <c:strRef>
              <c:f>Sheet1!$A$125:$A$132</c:f>
              <c:strCache>
                <c:ptCount val="8"/>
                <c:pt idx="0">
                  <c:v>Questionnaire - pupils</c:v>
                </c:pt>
                <c:pt idx="1">
                  <c:v>Questionnaire - teachers</c:v>
                </c:pt>
                <c:pt idx="2">
                  <c:v>Interviews - pupils</c:v>
                </c:pt>
                <c:pt idx="3">
                  <c:v>Interviews - teachers</c:v>
                </c:pt>
                <c:pt idx="4">
                  <c:v>Longitudinal tracking</c:v>
                </c:pt>
                <c:pt idx="5">
                  <c:v>Time series analysis</c:v>
                </c:pt>
                <c:pt idx="6">
                  <c:v>Pseudo-experiment</c:v>
                </c:pt>
                <c:pt idx="7">
                  <c:v>Randomised controlled trials</c:v>
                </c:pt>
              </c:strCache>
            </c:strRef>
          </c:cat>
          <c:val>
            <c:numRef>
              <c:f>Sheet1!$E$125:$E$132</c:f>
              <c:numCache>
                <c:formatCode>0%</c:formatCode>
                <c:ptCount val="8"/>
                <c:pt idx="0">
                  <c:v>0.72000000000000064</c:v>
                </c:pt>
                <c:pt idx="1">
                  <c:v>0.47000000000000008</c:v>
                </c:pt>
                <c:pt idx="2">
                  <c:v>0.23</c:v>
                </c:pt>
                <c:pt idx="3">
                  <c:v>0.13</c:v>
                </c:pt>
                <c:pt idx="4">
                  <c:v>0.45</c:v>
                </c:pt>
                <c:pt idx="5">
                  <c:v>0.53</c:v>
                </c:pt>
                <c:pt idx="6">
                  <c:v>0.05</c:v>
                </c:pt>
                <c:pt idx="7">
                  <c:v>0</c:v>
                </c:pt>
              </c:numCache>
            </c:numRef>
          </c:val>
          <c:extLst>
            <c:ext xmlns:c16="http://schemas.microsoft.com/office/drawing/2014/chart" uri="{C3380CC4-5D6E-409C-BE32-E72D297353CC}">
              <c16:uniqueId val="{00000003-7927-45C1-B703-A31D635BF3AB}"/>
            </c:ext>
          </c:extLst>
        </c:ser>
        <c:dLbls>
          <c:showLegendKey val="0"/>
          <c:showVal val="0"/>
          <c:showCatName val="0"/>
          <c:showSerName val="0"/>
          <c:showPercent val="0"/>
          <c:showBubbleSize val="0"/>
        </c:dLbls>
        <c:gapWidth val="150"/>
        <c:axId val="297942864"/>
        <c:axId val="297943256"/>
      </c:barChart>
      <c:catAx>
        <c:axId val="297942864"/>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297943256"/>
        <c:crosses val="autoZero"/>
        <c:auto val="1"/>
        <c:lblAlgn val="ctr"/>
        <c:lblOffset val="100"/>
        <c:noMultiLvlLbl val="0"/>
      </c:catAx>
      <c:valAx>
        <c:axId val="297943256"/>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0%"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97942864"/>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FD2E5400-78D5-43EA-BEC7-E8784BE91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35</Pages>
  <Words>7943</Words>
  <Characters>45281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Neil Harrison</dc:creator>
  <cp:lastModifiedBy>Neil Harrison</cp:lastModifiedBy>
  <cp:revision>5</cp:revision>
  <cp:lastPrinted>2016-05-30T09:15:00Z</cp:lastPrinted>
  <dcterms:created xsi:type="dcterms:W3CDTF">2016-08-12T07:09:00Z</dcterms:created>
  <dcterms:modified xsi:type="dcterms:W3CDTF">2016-08-12T07:55:00Z</dcterms:modified>
</cp:coreProperties>
</file>