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8AD7" w14:textId="4C8A75E9" w:rsidR="00C8188F" w:rsidRDefault="00280B9D" w:rsidP="00304535">
      <w:pPr>
        <w:spacing w:line="480" w:lineRule="auto"/>
        <w:ind w:left="1701" w:right="1701"/>
        <w:jc w:val="both"/>
        <w:rPr>
          <w:rFonts w:ascii="Arial" w:hAnsi="Arial" w:cs="Arial"/>
          <w:b/>
          <w:sz w:val="24"/>
        </w:rPr>
      </w:pPr>
      <w:r w:rsidRPr="00942CD3">
        <w:rPr>
          <w:rFonts w:ascii="Arial" w:hAnsi="Arial" w:cs="Arial"/>
          <w:b/>
          <w:sz w:val="24"/>
        </w:rPr>
        <w:t>Why</w:t>
      </w:r>
      <w:r w:rsidR="00C8188F" w:rsidRPr="00942CD3">
        <w:rPr>
          <w:rFonts w:ascii="Arial" w:hAnsi="Arial" w:cs="Arial"/>
          <w:b/>
          <w:sz w:val="24"/>
        </w:rPr>
        <w:t xml:space="preserve"> </w:t>
      </w:r>
      <w:r w:rsidRPr="00942CD3">
        <w:rPr>
          <w:rFonts w:ascii="Arial" w:hAnsi="Arial" w:cs="Arial"/>
          <w:b/>
          <w:sz w:val="24"/>
        </w:rPr>
        <w:t>is it</w:t>
      </w:r>
      <w:r w:rsidR="00C8188F" w:rsidRPr="00942CD3">
        <w:rPr>
          <w:rFonts w:ascii="Arial" w:hAnsi="Arial" w:cs="Arial"/>
          <w:b/>
          <w:sz w:val="24"/>
        </w:rPr>
        <w:t xml:space="preserve"> difficult to evaluate the effectiveness and cost-effectiveness of complex public health</w:t>
      </w:r>
      <w:r w:rsidRPr="00942CD3">
        <w:rPr>
          <w:rFonts w:ascii="Arial" w:hAnsi="Arial" w:cs="Arial"/>
          <w:b/>
          <w:sz w:val="24"/>
        </w:rPr>
        <w:t xml:space="preserve"> interventions in the community?</w:t>
      </w:r>
      <w:r w:rsidR="00942CD3">
        <w:rPr>
          <w:rFonts w:ascii="Arial" w:hAnsi="Arial" w:cs="Arial"/>
          <w:b/>
          <w:sz w:val="24"/>
        </w:rPr>
        <w:t xml:space="preserve"> A Health Economics Perspective</w:t>
      </w:r>
      <w:r w:rsidR="00304535">
        <w:rPr>
          <w:rFonts w:ascii="Arial" w:hAnsi="Arial" w:cs="Arial"/>
          <w:b/>
          <w:sz w:val="24"/>
        </w:rPr>
        <w:t>.</w:t>
      </w:r>
    </w:p>
    <w:p w14:paraId="76DA3DEA" w14:textId="77777777" w:rsidR="00304535" w:rsidRDefault="00304535" w:rsidP="00304535">
      <w:pPr>
        <w:spacing w:line="480" w:lineRule="auto"/>
        <w:ind w:left="1701" w:right="1701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3DCF9FC0" w14:textId="5E93DB5E" w:rsidR="00304535" w:rsidRDefault="00304535" w:rsidP="00304535">
      <w:pPr>
        <w:spacing w:line="480" w:lineRule="auto"/>
        <w:ind w:left="1701" w:right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Nasrul Ismail</w:t>
      </w:r>
    </w:p>
    <w:p w14:paraId="695397C9" w14:textId="3DA9AEC5" w:rsidR="00304535" w:rsidRPr="00304535" w:rsidRDefault="00304535" w:rsidP="00304535">
      <w:pPr>
        <w:spacing w:line="480" w:lineRule="auto"/>
        <w:ind w:left="1701" w:right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University of the West of England, Bristol.</w:t>
      </w:r>
    </w:p>
    <w:p w14:paraId="2C85A03E" w14:textId="77777777" w:rsidR="00304535" w:rsidRDefault="00304535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</w:p>
    <w:p w14:paraId="2FA42A6E" w14:textId="4163CB93" w:rsidR="00C8188F" w:rsidRDefault="00C8188F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metamorphosis of health economics has been traced as far back as the 1</w:t>
      </w:r>
      <w:r w:rsidR="00280B9D">
        <w:rPr>
          <w:rFonts w:ascii="Arial" w:hAnsi="Arial" w:cs="Arial"/>
          <w:sz w:val="24"/>
        </w:rPr>
        <w:t>940s</w:t>
      </w:r>
      <w:r w:rsidR="00E64C4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to improve </w:t>
      </w:r>
      <w:r w:rsidR="00764209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 xml:space="preserve">allocation </w:t>
      </w:r>
      <w:r w:rsidR="00764209">
        <w:rPr>
          <w:rFonts w:ascii="Arial" w:hAnsi="Arial" w:cs="Arial"/>
          <w:sz w:val="24"/>
        </w:rPr>
        <w:t xml:space="preserve">of health resources </w:t>
      </w:r>
      <w:r>
        <w:rPr>
          <w:rFonts w:ascii="Arial" w:hAnsi="Arial" w:cs="Arial"/>
          <w:sz w:val="24"/>
        </w:rPr>
        <w:t>whilst mediating the struggle between efficient production and the equitable distribution of health</w:t>
      </w:r>
      <w:r w:rsidR="00280B9D">
        <w:rPr>
          <w:rFonts w:ascii="Arial" w:hAnsi="Arial" w:cs="Arial"/>
          <w:sz w:val="24"/>
        </w:rPr>
        <w:t>.</w:t>
      </w:r>
    </w:p>
    <w:p w14:paraId="47FC8D03" w14:textId="77777777" w:rsidR="00C8188F" w:rsidRDefault="00C8188F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article seeks to articulate why it is difficult to evaluate the effectiveness and cost-effectiveness of complex public health interventions in communit</w:t>
      </w:r>
      <w:r w:rsidR="00764209">
        <w:rPr>
          <w:rFonts w:ascii="Arial" w:hAnsi="Arial" w:cs="Arial"/>
          <w:sz w:val="24"/>
        </w:rPr>
        <w:t>ies</w:t>
      </w:r>
      <w:r w:rsidR="00280B9D">
        <w:rPr>
          <w:rFonts w:ascii="Arial" w:hAnsi="Arial" w:cs="Arial"/>
          <w:sz w:val="24"/>
        </w:rPr>
        <w:t xml:space="preserve"> from a </w:t>
      </w:r>
      <w:r w:rsidR="00764209">
        <w:rPr>
          <w:rFonts w:ascii="Arial" w:hAnsi="Arial" w:cs="Arial"/>
          <w:sz w:val="24"/>
        </w:rPr>
        <w:t>h</w:t>
      </w:r>
      <w:r w:rsidR="00280B9D">
        <w:rPr>
          <w:rFonts w:ascii="Arial" w:hAnsi="Arial" w:cs="Arial"/>
          <w:sz w:val="24"/>
        </w:rPr>
        <w:t xml:space="preserve">ealth </w:t>
      </w:r>
      <w:r w:rsidR="00764209">
        <w:rPr>
          <w:rFonts w:ascii="Arial" w:hAnsi="Arial" w:cs="Arial"/>
          <w:sz w:val="24"/>
        </w:rPr>
        <w:t>e</w:t>
      </w:r>
      <w:r w:rsidR="00280B9D">
        <w:rPr>
          <w:rFonts w:ascii="Arial" w:hAnsi="Arial" w:cs="Arial"/>
          <w:sz w:val="24"/>
        </w:rPr>
        <w:t>conomics perspective</w:t>
      </w:r>
      <w:r>
        <w:rPr>
          <w:rFonts w:ascii="Arial" w:hAnsi="Arial" w:cs="Arial"/>
          <w:sz w:val="24"/>
        </w:rPr>
        <w:t xml:space="preserve">. </w:t>
      </w:r>
      <w:r w:rsidR="00764209">
        <w:rPr>
          <w:rFonts w:ascii="Arial" w:hAnsi="Arial" w:cs="Arial"/>
          <w:sz w:val="24"/>
        </w:rPr>
        <w:t>I will operationalise t</w:t>
      </w:r>
      <w:r w:rsidR="003520AC">
        <w:rPr>
          <w:rFonts w:ascii="Arial" w:hAnsi="Arial" w:cs="Arial"/>
          <w:sz w:val="24"/>
        </w:rPr>
        <w:t>he</w:t>
      </w:r>
      <w:r>
        <w:rPr>
          <w:rFonts w:ascii="Arial" w:hAnsi="Arial" w:cs="Arial"/>
          <w:sz w:val="24"/>
        </w:rPr>
        <w:t xml:space="preserve"> complexit</w:t>
      </w:r>
      <w:r w:rsidR="003520AC">
        <w:rPr>
          <w:rFonts w:ascii="Arial" w:hAnsi="Arial" w:cs="Arial"/>
          <w:sz w:val="24"/>
        </w:rPr>
        <w:t>ies</w:t>
      </w:r>
      <w:r>
        <w:rPr>
          <w:rFonts w:ascii="Arial" w:hAnsi="Arial" w:cs="Arial"/>
          <w:sz w:val="24"/>
        </w:rPr>
        <w:t xml:space="preserve"> of interventions, evaluation processes, </w:t>
      </w:r>
      <w:r w:rsidR="003520AC">
        <w:rPr>
          <w:rFonts w:ascii="Arial" w:hAnsi="Arial" w:cs="Arial"/>
          <w:sz w:val="24"/>
        </w:rPr>
        <w:t>and outcomes</w:t>
      </w:r>
      <w:r>
        <w:rPr>
          <w:rFonts w:ascii="Arial" w:hAnsi="Arial" w:cs="Arial"/>
          <w:sz w:val="24"/>
        </w:rPr>
        <w:t xml:space="preserve"> </w:t>
      </w:r>
      <w:r w:rsidR="00764209">
        <w:rPr>
          <w:rFonts w:ascii="Arial" w:hAnsi="Arial" w:cs="Arial"/>
          <w:sz w:val="24"/>
        </w:rPr>
        <w:t xml:space="preserve">as well as </w:t>
      </w:r>
      <w:r>
        <w:rPr>
          <w:rFonts w:ascii="Arial" w:hAnsi="Arial" w:cs="Arial"/>
          <w:sz w:val="24"/>
        </w:rPr>
        <w:t xml:space="preserve">why, </w:t>
      </w:r>
      <w:r>
        <w:rPr>
          <w:rFonts w:ascii="Arial" w:hAnsi="Arial" w:cs="Arial"/>
          <w:sz w:val="24"/>
        </w:rPr>
        <w:lastRenderedPageBreak/>
        <w:t>despite various limitations in appraising effectiveness and cost effectiveness in health economics, continuous improvement in the field remains the way forward.</w:t>
      </w:r>
    </w:p>
    <w:p w14:paraId="66657F73" w14:textId="77777777" w:rsidR="00304535" w:rsidRDefault="00304535" w:rsidP="00304535">
      <w:pPr>
        <w:spacing w:line="480" w:lineRule="auto"/>
        <w:ind w:left="1701" w:right="1701"/>
        <w:jc w:val="both"/>
        <w:rPr>
          <w:rFonts w:ascii="Arial" w:hAnsi="Arial" w:cs="Arial"/>
          <w:b/>
          <w:sz w:val="24"/>
        </w:rPr>
      </w:pPr>
    </w:p>
    <w:p w14:paraId="3EBA77C5" w14:textId="56A08043" w:rsidR="00C8188F" w:rsidRPr="00C8188F" w:rsidRDefault="00C8188F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C8188F">
        <w:rPr>
          <w:rFonts w:ascii="Arial" w:hAnsi="Arial" w:cs="Arial"/>
          <w:b/>
          <w:sz w:val="24"/>
        </w:rPr>
        <w:t>Complexity of Interventions</w:t>
      </w:r>
    </w:p>
    <w:p w14:paraId="12918594" w14:textId="77777777" w:rsidR="00C8188F" w:rsidRDefault="00C8188F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First, </w:t>
      </w:r>
      <w:r w:rsidR="00764209">
        <w:rPr>
          <w:rFonts w:ascii="Arial" w:hAnsi="Arial" w:cs="Arial"/>
          <w:sz w:val="24"/>
        </w:rPr>
        <w:t xml:space="preserve">common wisdom says that </w:t>
      </w:r>
      <w:r>
        <w:rPr>
          <w:rFonts w:ascii="Arial" w:hAnsi="Arial" w:cs="Arial"/>
          <w:sz w:val="24"/>
        </w:rPr>
        <w:t xml:space="preserve">public health interventions incur inflated upfront costs </w:t>
      </w:r>
      <w:r w:rsidR="00764209">
        <w:rPr>
          <w:rFonts w:ascii="Arial" w:hAnsi="Arial" w:cs="Arial"/>
          <w:sz w:val="24"/>
        </w:rPr>
        <w:t xml:space="preserve">and only provide </w:t>
      </w:r>
      <w:r>
        <w:rPr>
          <w:rFonts w:ascii="Arial" w:hAnsi="Arial" w:cs="Arial"/>
          <w:sz w:val="24"/>
        </w:rPr>
        <w:t xml:space="preserve">benefits at a later date. Perhaps tellingly, the costs emanate from </w:t>
      </w:r>
      <w:r w:rsidR="00C07560">
        <w:rPr>
          <w:rFonts w:ascii="Arial" w:hAnsi="Arial" w:cs="Arial"/>
          <w:sz w:val="24"/>
        </w:rPr>
        <w:t>extensive</w:t>
      </w:r>
      <w:r>
        <w:rPr>
          <w:rFonts w:ascii="Arial" w:hAnsi="Arial" w:cs="Arial"/>
          <w:sz w:val="24"/>
        </w:rPr>
        <w:t xml:space="preserve"> implemen</w:t>
      </w:r>
      <w:r w:rsidR="00942CD3">
        <w:rPr>
          <w:rFonts w:ascii="Arial" w:hAnsi="Arial" w:cs="Arial"/>
          <w:sz w:val="24"/>
        </w:rPr>
        <w:t>tation and monitoring,</w:t>
      </w:r>
      <w:r>
        <w:rPr>
          <w:rFonts w:ascii="Arial" w:hAnsi="Arial" w:cs="Arial"/>
          <w:sz w:val="24"/>
        </w:rPr>
        <w:t xml:space="preserve"> whilst requiring a lengthy period of time to distinguish environmental and individual behavioural changes</w:t>
      </w:r>
      <w:r w:rsidR="00764209" w:rsidRPr="00764209">
        <w:rPr>
          <w:rFonts w:ascii="Arial" w:hAnsi="Arial" w:cs="Arial"/>
          <w:sz w:val="24"/>
        </w:rPr>
        <w:t xml:space="preserve"> </w:t>
      </w:r>
      <w:r w:rsidR="00764209">
        <w:rPr>
          <w:rFonts w:ascii="Arial" w:hAnsi="Arial" w:cs="Arial"/>
          <w:sz w:val="24"/>
        </w:rPr>
        <w:t>attributable to the intervention</w:t>
      </w:r>
      <w:r>
        <w:rPr>
          <w:rFonts w:ascii="Arial" w:hAnsi="Arial" w:cs="Arial"/>
          <w:sz w:val="24"/>
        </w:rPr>
        <w:t>.</w:t>
      </w:r>
      <w:r w:rsidR="003520AC">
        <w:rPr>
          <w:rFonts w:ascii="Arial" w:hAnsi="Arial" w:cs="Arial"/>
          <w:sz w:val="24"/>
          <w:vertAlign w:val="superscript"/>
        </w:rPr>
        <w:t>1</w:t>
      </w:r>
      <w:r>
        <w:rPr>
          <w:rFonts w:ascii="Arial" w:hAnsi="Arial" w:cs="Arial"/>
          <w:sz w:val="24"/>
        </w:rPr>
        <w:t xml:space="preserve"> </w:t>
      </w:r>
      <w:r w:rsidR="00764209">
        <w:rPr>
          <w:rFonts w:ascii="Arial" w:hAnsi="Arial" w:cs="Arial"/>
          <w:sz w:val="24"/>
        </w:rPr>
        <w:t>M</w:t>
      </w:r>
      <w:r w:rsidR="00942CD3">
        <w:rPr>
          <w:rFonts w:ascii="Arial" w:hAnsi="Arial" w:cs="Arial"/>
          <w:sz w:val="24"/>
        </w:rPr>
        <w:t>yopic</w:t>
      </w:r>
      <w:r w:rsidR="00764209">
        <w:rPr>
          <w:rFonts w:ascii="Arial" w:hAnsi="Arial" w:cs="Arial"/>
          <w:sz w:val="24"/>
        </w:rPr>
        <w:t>, impatient</w:t>
      </w:r>
      <w:r>
        <w:rPr>
          <w:rFonts w:ascii="Arial" w:hAnsi="Arial" w:cs="Arial"/>
          <w:sz w:val="24"/>
        </w:rPr>
        <w:t xml:space="preserve"> decision-makers </w:t>
      </w:r>
      <w:r w:rsidR="00942CD3">
        <w:rPr>
          <w:rFonts w:ascii="Arial" w:hAnsi="Arial" w:cs="Arial"/>
          <w:sz w:val="24"/>
        </w:rPr>
        <w:t xml:space="preserve">who </w:t>
      </w:r>
      <w:r w:rsidR="00764209">
        <w:rPr>
          <w:rFonts w:ascii="Arial" w:hAnsi="Arial" w:cs="Arial"/>
          <w:sz w:val="24"/>
        </w:rPr>
        <w:t>sub</w:t>
      </w:r>
      <w:r>
        <w:rPr>
          <w:rFonts w:ascii="Arial" w:hAnsi="Arial" w:cs="Arial"/>
          <w:sz w:val="24"/>
        </w:rPr>
        <w:t>scribe to ‘living here-and-now’ thinking</w:t>
      </w:r>
      <w:r w:rsidR="00764209">
        <w:rPr>
          <w:rFonts w:ascii="Arial" w:hAnsi="Arial" w:cs="Arial"/>
          <w:sz w:val="24"/>
        </w:rPr>
        <w:t xml:space="preserve"> can </w:t>
      </w:r>
      <w:r w:rsidR="00D84712">
        <w:rPr>
          <w:rFonts w:ascii="Arial" w:hAnsi="Arial" w:cs="Arial"/>
          <w:sz w:val="24"/>
        </w:rPr>
        <w:t>exacerbate</w:t>
      </w:r>
      <w:r w:rsidR="00764209">
        <w:rPr>
          <w:rFonts w:ascii="Arial" w:hAnsi="Arial" w:cs="Arial"/>
          <w:sz w:val="24"/>
        </w:rPr>
        <w:t xml:space="preserve"> these issues</w:t>
      </w:r>
      <w:r>
        <w:rPr>
          <w:rFonts w:ascii="Arial" w:hAnsi="Arial" w:cs="Arial"/>
          <w:sz w:val="24"/>
        </w:rPr>
        <w:t xml:space="preserve">, yet </w:t>
      </w:r>
      <w:r w:rsidR="00D84712">
        <w:rPr>
          <w:rFonts w:ascii="Arial" w:hAnsi="Arial" w:cs="Arial"/>
          <w:sz w:val="24"/>
        </w:rPr>
        <w:t>such a short-term view</w:t>
      </w:r>
      <w:r>
        <w:rPr>
          <w:rFonts w:ascii="Arial" w:hAnsi="Arial" w:cs="Arial"/>
          <w:sz w:val="24"/>
        </w:rPr>
        <w:t xml:space="preserve"> </w:t>
      </w:r>
      <w:r w:rsidR="00D84712">
        <w:rPr>
          <w:rFonts w:ascii="Arial" w:hAnsi="Arial" w:cs="Arial"/>
          <w:sz w:val="24"/>
        </w:rPr>
        <w:t>is a</w:t>
      </w:r>
      <w:r>
        <w:rPr>
          <w:rFonts w:ascii="Arial" w:hAnsi="Arial" w:cs="Arial"/>
          <w:sz w:val="24"/>
        </w:rPr>
        <w:t xml:space="preserve"> legitimate perspective in economics.</w:t>
      </w:r>
      <w:r w:rsidR="003520AC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</w:t>
      </w:r>
    </w:p>
    <w:p w14:paraId="73BE3D67" w14:textId="032E4C38" w:rsidR="003520AC" w:rsidRDefault="00764209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order to implement interventions, </w:t>
      </w:r>
      <w:r w:rsidR="00C8188F">
        <w:rPr>
          <w:rFonts w:ascii="Arial" w:hAnsi="Arial" w:cs="Arial"/>
          <w:sz w:val="24"/>
        </w:rPr>
        <w:t xml:space="preserve">researchers </w:t>
      </w:r>
      <w:r>
        <w:rPr>
          <w:rFonts w:ascii="Arial" w:hAnsi="Arial" w:cs="Arial"/>
          <w:sz w:val="24"/>
        </w:rPr>
        <w:t xml:space="preserve">must convince </w:t>
      </w:r>
      <w:r w:rsidR="00C8188F">
        <w:rPr>
          <w:rFonts w:ascii="Arial" w:hAnsi="Arial" w:cs="Arial"/>
          <w:sz w:val="24"/>
        </w:rPr>
        <w:t xml:space="preserve">decision-makers </w:t>
      </w:r>
      <w:r w:rsidR="00942CD3">
        <w:rPr>
          <w:rFonts w:ascii="Arial" w:hAnsi="Arial" w:cs="Arial"/>
          <w:sz w:val="24"/>
        </w:rPr>
        <w:t xml:space="preserve">to </w:t>
      </w:r>
      <w:r w:rsidR="00C8188F">
        <w:rPr>
          <w:rFonts w:ascii="Arial" w:hAnsi="Arial" w:cs="Arial"/>
          <w:sz w:val="24"/>
        </w:rPr>
        <w:t xml:space="preserve">mainstream </w:t>
      </w:r>
      <w:r w:rsidR="00C8188F">
        <w:rPr>
          <w:rFonts w:ascii="Arial" w:hAnsi="Arial" w:cs="Arial"/>
          <w:sz w:val="24"/>
        </w:rPr>
        <w:lastRenderedPageBreak/>
        <w:t>interventions on a greater scale within the community</w:t>
      </w:r>
      <w:r w:rsidR="00996F19">
        <w:rPr>
          <w:rFonts w:ascii="Arial" w:hAnsi="Arial" w:cs="Arial"/>
          <w:sz w:val="24"/>
        </w:rPr>
        <w:t>,</w:t>
      </w:r>
      <w:r w:rsidR="00C8188F">
        <w:rPr>
          <w:rFonts w:ascii="Arial" w:hAnsi="Arial" w:cs="Arial"/>
          <w:sz w:val="24"/>
        </w:rPr>
        <w:t xml:space="preserve"> </w:t>
      </w:r>
      <w:r w:rsidR="00996F19">
        <w:rPr>
          <w:rFonts w:ascii="Arial" w:hAnsi="Arial" w:cs="Arial"/>
          <w:sz w:val="24"/>
        </w:rPr>
        <w:t>which</w:t>
      </w:r>
      <w:r w:rsidR="00C8188F">
        <w:rPr>
          <w:rFonts w:ascii="Arial" w:hAnsi="Arial" w:cs="Arial"/>
          <w:sz w:val="24"/>
        </w:rPr>
        <w:t xml:space="preserve"> will reduce developmental costs</w:t>
      </w:r>
      <w:r>
        <w:rPr>
          <w:rFonts w:ascii="Arial" w:hAnsi="Arial" w:cs="Arial"/>
          <w:sz w:val="24"/>
        </w:rPr>
        <w:t xml:space="preserve"> through </w:t>
      </w:r>
      <w:r w:rsidR="00C8188F">
        <w:rPr>
          <w:rFonts w:ascii="Arial" w:hAnsi="Arial" w:cs="Arial"/>
          <w:sz w:val="24"/>
        </w:rPr>
        <w:t>economies of scale</w:t>
      </w:r>
      <w:r w:rsidR="00C8188F" w:rsidRPr="00EA7D75">
        <w:rPr>
          <w:rFonts w:ascii="Arial" w:hAnsi="Arial" w:cs="Arial"/>
          <w:sz w:val="24"/>
        </w:rPr>
        <w:t>.</w:t>
      </w:r>
      <w:r w:rsidR="003520AC">
        <w:rPr>
          <w:rFonts w:ascii="Arial" w:hAnsi="Arial" w:cs="Arial"/>
          <w:sz w:val="24"/>
          <w:vertAlign w:val="superscript"/>
        </w:rPr>
        <w:t>3</w:t>
      </w:r>
      <w:r w:rsidR="00C8188F" w:rsidRPr="00EA7D75">
        <w:rPr>
          <w:rFonts w:ascii="Arial" w:hAnsi="Arial" w:cs="Arial"/>
          <w:sz w:val="24"/>
        </w:rPr>
        <w:t xml:space="preserve"> </w:t>
      </w:r>
      <w:r w:rsidR="00C8188F">
        <w:rPr>
          <w:rFonts w:ascii="Arial" w:hAnsi="Arial" w:cs="Arial"/>
          <w:sz w:val="24"/>
        </w:rPr>
        <w:t>Furthermore, convincing stories need to be articulated</w:t>
      </w:r>
      <w:r>
        <w:rPr>
          <w:rFonts w:ascii="Arial" w:hAnsi="Arial" w:cs="Arial"/>
          <w:sz w:val="24"/>
        </w:rPr>
        <w:t xml:space="preserve"> to convince decision-makers that </w:t>
      </w:r>
      <w:r w:rsidR="00C8188F">
        <w:rPr>
          <w:rFonts w:ascii="Arial" w:hAnsi="Arial" w:cs="Arial"/>
          <w:sz w:val="24"/>
        </w:rPr>
        <w:t xml:space="preserve">the delayed benefit will be worthwhile </w:t>
      </w:r>
      <w:r>
        <w:rPr>
          <w:rFonts w:ascii="Arial" w:hAnsi="Arial" w:cs="Arial"/>
          <w:sz w:val="24"/>
        </w:rPr>
        <w:t xml:space="preserve">in light of pervasive </w:t>
      </w:r>
      <w:r w:rsidR="00C8188F">
        <w:rPr>
          <w:rFonts w:ascii="Arial" w:hAnsi="Arial" w:cs="Arial"/>
          <w:sz w:val="24"/>
        </w:rPr>
        <w:t>evidence that investing in public health interventions ensures a more sustainable use of resources of the public sector</w:t>
      </w:r>
      <w:r>
        <w:rPr>
          <w:rFonts w:ascii="Arial" w:hAnsi="Arial" w:cs="Arial"/>
          <w:sz w:val="24"/>
        </w:rPr>
        <w:t>.</w:t>
      </w:r>
      <w:r w:rsidR="00C8188F">
        <w:rPr>
          <w:rFonts w:ascii="Arial" w:hAnsi="Arial" w:cs="Arial"/>
          <w:sz w:val="24"/>
        </w:rPr>
        <w:t xml:space="preserve"> </w:t>
      </w:r>
      <w:r w:rsidR="003520AC">
        <w:rPr>
          <w:rFonts w:ascii="Arial" w:hAnsi="Arial" w:cs="Arial"/>
          <w:sz w:val="24"/>
        </w:rPr>
        <w:t xml:space="preserve">For instance, as the cost </w:t>
      </w:r>
      <w:r>
        <w:rPr>
          <w:rFonts w:ascii="Arial" w:hAnsi="Arial" w:cs="Arial"/>
          <w:sz w:val="24"/>
        </w:rPr>
        <w:t>of depression</w:t>
      </w:r>
      <w:r w:rsidR="00AA7332">
        <w:rPr>
          <w:rFonts w:ascii="Arial" w:hAnsi="Arial" w:cs="Arial"/>
          <w:sz w:val="24"/>
        </w:rPr>
        <w:t xml:space="preserve"> treatment is</w:t>
      </w:r>
      <w:r w:rsidR="003520AC">
        <w:rPr>
          <w:rFonts w:ascii="Arial" w:hAnsi="Arial" w:cs="Arial"/>
          <w:sz w:val="24"/>
        </w:rPr>
        <w:t xml:space="preserve"> expected to </w:t>
      </w:r>
      <w:r>
        <w:rPr>
          <w:rFonts w:ascii="Arial" w:hAnsi="Arial" w:cs="Arial"/>
          <w:sz w:val="24"/>
        </w:rPr>
        <w:t xml:space="preserve">increase </w:t>
      </w:r>
      <w:r w:rsidR="003520AC">
        <w:rPr>
          <w:rFonts w:ascii="Arial" w:hAnsi="Arial" w:cs="Arial"/>
          <w:sz w:val="24"/>
        </w:rPr>
        <w:t>£1bn in the next 20 years, opting for preventive health measures such as social prescribing can be more sustainable for t</w:t>
      </w:r>
      <w:r w:rsidR="000224CB">
        <w:rPr>
          <w:rFonts w:ascii="Arial" w:hAnsi="Arial" w:cs="Arial"/>
          <w:sz w:val="24"/>
        </w:rPr>
        <w:t>he health and social care purse.</w:t>
      </w:r>
      <w:r w:rsidR="000224CB" w:rsidRPr="000224CB">
        <w:rPr>
          <w:rFonts w:ascii="Arial" w:hAnsi="Arial" w:cs="Arial"/>
          <w:sz w:val="24"/>
          <w:vertAlign w:val="superscript"/>
        </w:rPr>
        <w:t>4</w:t>
      </w:r>
      <w:r>
        <w:rPr>
          <w:rFonts w:ascii="Arial" w:hAnsi="Arial" w:cs="Arial"/>
          <w:sz w:val="24"/>
          <w:vertAlign w:val="superscript"/>
        </w:rPr>
        <w:t xml:space="preserve"> </w:t>
      </w:r>
      <w:r>
        <w:rPr>
          <w:rFonts w:ascii="Arial" w:hAnsi="Arial" w:cs="Arial"/>
          <w:sz w:val="24"/>
        </w:rPr>
        <w:t xml:space="preserve">The </w:t>
      </w:r>
      <w:r w:rsidRPr="00F42F94">
        <w:rPr>
          <w:rFonts w:ascii="Arial" w:hAnsi="Arial" w:cs="Arial"/>
          <w:sz w:val="24"/>
        </w:rPr>
        <w:t>neoliberal politics of austerity</w:t>
      </w:r>
      <w:r>
        <w:rPr>
          <w:rFonts w:ascii="Arial" w:hAnsi="Arial" w:cs="Arial"/>
          <w:sz w:val="24"/>
        </w:rPr>
        <w:t xml:space="preserve"> creates a complex environment for these discussions.</w:t>
      </w:r>
    </w:p>
    <w:p w14:paraId="12AE05EB" w14:textId="77777777" w:rsidR="00304535" w:rsidRDefault="00304535" w:rsidP="00304535">
      <w:pPr>
        <w:spacing w:line="480" w:lineRule="auto"/>
        <w:ind w:left="1701" w:right="1701"/>
        <w:jc w:val="both"/>
        <w:rPr>
          <w:rFonts w:ascii="Arial" w:hAnsi="Arial" w:cs="Arial"/>
          <w:b/>
          <w:sz w:val="24"/>
        </w:rPr>
      </w:pPr>
    </w:p>
    <w:p w14:paraId="644692ED" w14:textId="313328B9" w:rsidR="00C8188F" w:rsidRPr="00C8188F" w:rsidRDefault="00C8188F" w:rsidP="00304535">
      <w:pPr>
        <w:spacing w:line="480" w:lineRule="auto"/>
        <w:ind w:left="1701" w:right="1701"/>
        <w:jc w:val="both"/>
        <w:rPr>
          <w:rFonts w:ascii="Arial" w:hAnsi="Arial" w:cs="Arial"/>
          <w:b/>
          <w:sz w:val="24"/>
        </w:rPr>
      </w:pPr>
      <w:r w:rsidRPr="00C8188F">
        <w:rPr>
          <w:rFonts w:ascii="Arial" w:hAnsi="Arial" w:cs="Arial"/>
          <w:b/>
          <w:sz w:val="24"/>
        </w:rPr>
        <w:t>Complexity of Evaluation Processes</w:t>
      </w:r>
    </w:p>
    <w:p w14:paraId="027F6757" w14:textId="77777777" w:rsidR="00AD2A42" w:rsidRDefault="00C8188F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Second, the challenge of evaluating effectiveness and cost-effectiveness stems from the </w:t>
      </w:r>
      <w:r w:rsidR="009343FA">
        <w:rPr>
          <w:rFonts w:ascii="Arial" w:hAnsi="Arial" w:cs="Arial"/>
          <w:sz w:val="24"/>
        </w:rPr>
        <w:t xml:space="preserve">impetus </w:t>
      </w:r>
      <w:r>
        <w:rPr>
          <w:rFonts w:ascii="Arial" w:hAnsi="Arial" w:cs="Arial"/>
          <w:sz w:val="24"/>
        </w:rPr>
        <w:t xml:space="preserve">to generalise complex health interventions to another </w:t>
      </w:r>
      <w:r>
        <w:rPr>
          <w:rFonts w:ascii="Arial" w:hAnsi="Arial" w:cs="Arial"/>
          <w:sz w:val="24"/>
        </w:rPr>
        <w:lastRenderedPageBreak/>
        <w:t xml:space="preserve">setting. </w:t>
      </w:r>
      <w:r w:rsidR="009343FA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he heterogeneity of the target population</w:t>
      </w:r>
      <w:r w:rsidR="009343FA">
        <w:rPr>
          <w:rFonts w:ascii="Arial" w:hAnsi="Arial" w:cs="Arial"/>
          <w:sz w:val="24"/>
        </w:rPr>
        <w:t xml:space="preserve"> can hamper the achievement of this goal, however</w:t>
      </w:r>
      <w:r>
        <w:rPr>
          <w:rFonts w:ascii="Arial" w:hAnsi="Arial" w:cs="Arial"/>
          <w:sz w:val="24"/>
        </w:rPr>
        <w:t>. Often, interventions are applied within a variable social setting and a one-size-fits-all approach does not guarantee Pareto-optimal resource allocations</w:t>
      </w:r>
      <w:r w:rsidR="00AD2A42">
        <w:rPr>
          <w:rFonts w:ascii="Arial" w:hAnsi="Arial" w:cs="Arial"/>
          <w:sz w:val="24"/>
        </w:rPr>
        <w:t>.</w:t>
      </w:r>
      <w:r w:rsidR="000224CB">
        <w:rPr>
          <w:rFonts w:ascii="Arial" w:hAnsi="Arial" w:cs="Arial"/>
          <w:sz w:val="24"/>
          <w:vertAlign w:val="superscript"/>
        </w:rPr>
        <w:t>5</w:t>
      </w:r>
      <w:r>
        <w:rPr>
          <w:rFonts w:ascii="Arial" w:hAnsi="Arial" w:cs="Arial"/>
          <w:sz w:val="24"/>
        </w:rPr>
        <w:t xml:space="preserve"> </w:t>
      </w:r>
    </w:p>
    <w:p w14:paraId="6CAC34E4" w14:textId="77777777" w:rsidR="00C8188F" w:rsidRDefault="00C8188F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Innovative tools such as Diffusion of Innovations Theory</w:t>
      </w:r>
      <w:r w:rsidR="000224CB">
        <w:rPr>
          <w:rFonts w:ascii="Arial" w:hAnsi="Arial" w:cs="Arial"/>
          <w:sz w:val="24"/>
          <w:vertAlign w:val="superscript"/>
        </w:rPr>
        <w:t>6</w:t>
      </w:r>
      <w:r>
        <w:rPr>
          <w:rFonts w:ascii="Arial" w:hAnsi="Arial" w:cs="Arial"/>
          <w:sz w:val="24"/>
        </w:rPr>
        <w:t xml:space="preserve"> have been devised to support decision-makers and practitioners by determining factors such as </w:t>
      </w:r>
      <w:r w:rsidR="00385296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 xml:space="preserve">comparability of the interventions with the prevailing values and the communities. Here, adapting to the context of the target community is critical to successful implementation. Furthermore, researchers </w:t>
      </w:r>
      <w:r w:rsidR="00385296">
        <w:rPr>
          <w:rFonts w:ascii="Arial" w:hAnsi="Arial" w:cs="Arial"/>
          <w:sz w:val="24"/>
        </w:rPr>
        <w:t xml:space="preserve">who </w:t>
      </w:r>
      <w:r w:rsidRPr="00E676CC">
        <w:rPr>
          <w:rFonts w:ascii="Arial" w:hAnsi="Arial" w:cs="Arial"/>
          <w:sz w:val="24"/>
        </w:rPr>
        <w:t>publish</w:t>
      </w:r>
      <w:r>
        <w:rPr>
          <w:rFonts w:ascii="Arial" w:hAnsi="Arial" w:cs="Arial"/>
          <w:sz w:val="24"/>
        </w:rPr>
        <w:t xml:space="preserve"> both the </w:t>
      </w:r>
      <w:r w:rsidRPr="00E676CC">
        <w:rPr>
          <w:rFonts w:ascii="Arial" w:hAnsi="Arial" w:cs="Arial"/>
          <w:sz w:val="24"/>
        </w:rPr>
        <w:t xml:space="preserve">details </w:t>
      </w:r>
      <w:r>
        <w:rPr>
          <w:rFonts w:ascii="Arial" w:hAnsi="Arial" w:cs="Arial"/>
          <w:sz w:val="24"/>
        </w:rPr>
        <w:t>of</w:t>
      </w:r>
      <w:r w:rsidRPr="00E676CC">
        <w:rPr>
          <w:rFonts w:ascii="Arial" w:hAnsi="Arial" w:cs="Arial"/>
          <w:sz w:val="24"/>
        </w:rPr>
        <w:t xml:space="preserve"> intervention development</w:t>
      </w:r>
      <w:r>
        <w:rPr>
          <w:rFonts w:ascii="Arial" w:hAnsi="Arial" w:cs="Arial"/>
          <w:sz w:val="24"/>
        </w:rPr>
        <w:t xml:space="preserve"> </w:t>
      </w:r>
      <w:r w:rsidR="00385296">
        <w:rPr>
          <w:rFonts w:ascii="Arial" w:hAnsi="Arial" w:cs="Arial"/>
          <w:sz w:val="24"/>
        </w:rPr>
        <w:t xml:space="preserve">and </w:t>
      </w:r>
      <w:r w:rsidRPr="00E676CC">
        <w:rPr>
          <w:rFonts w:ascii="Arial" w:hAnsi="Arial" w:cs="Arial"/>
          <w:sz w:val="24"/>
        </w:rPr>
        <w:t>study outcomes</w:t>
      </w:r>
      <w:r w:rsidR="00385296">
        <w:rPr>
          <w:rFonts w:ascii="Arial" w:hAnsi="Arial" w:cs="Arial"/>
          <w:sz w:val="24"/>
        </w:rPr>
        <w:t xml:space="preserve"> may have more success in influencing policy.</w:t>
      </w:r>
      <w:r w:rsidR="000224CB">
        <w:rPr>
          <w:rFonts w:ascii="Arial" w:hAnsi="Arial" w:cs="Arial"/>
          <w:sz w:val="24"/>
          <w:vertAlign w:val="superscript"/>
        </w:rPr>
        <w:t>7</w:t>
      </w:r>
      <w:r w:rsidR="00942CD3">
        <w:rPr>
          <w:rFonts w:ascii="Arial" w:hAnsi="Arial" w:cs="Arial"/>
          <w:sz w:val="24"/>
        </w:rPr>
        <w:t xml:space="preserve"> </w:t>
      </w:r>
      <w:r w:rsidR="00385296">
        <w:rPr>
          <w:rFonts w:ascii="Arial" w:hAnsi="Arial" w:cs="Arial"/>
          <w:sz w:val="24"/>
        </w:rPr>
        <w:t xml:space="preserve">Similarly, if </w:t>
      </w:r>
      <w:r>
        <w:rPr>
          <w:rFonts w:ascii="Arial" w:hAnsi="Arial" w:cs="Arial"/>
          <w:sz w:val="24"/>
        </w:rPr>
        <w:t>the epistemic community develop</w:t>
      </w:r>
      <w:r w:rsidR="00385296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taxonomies to precipitate standardisation of a vocabulary framework of public health interventions</w:t>
      </w:r>
      <w:r w:rsidR="00385296">
        <w:rPr>
          <w:rFonts w:ascii="Arial" w:hAnsi="Arial" w:cs="Arial"/>
          <w:sz w:val="24"/>
        </w:rPr>
        <w:t>, this may support a greater number of public health interventions</w:t>
      </w:r>
      <w:r>
        <w:rPr>
          <w:rFonts w:ascii="Arial" w:hAnsi="Arial" w:cs="Arial"/>
          <w:sz w:val="24"/>
        </w:rPr>
        <w:t>.</w:t>
      </w:r>
      <w:r w:rsidR="000224CB">
        <w:rPr>
          <w:rFonts w:ascii="Arial" w:hAnsi="Arial" w:cs="Arial"/>
          <w:sz w:val="24"/>
          <w:vertAlign w:val="superscript"/>
        </w:rPr>
        <w:t>8</w:t>
      </w:r>
      <w:r w:rsidRPr="00AD2A42">
        <w:rPr>
          <w:rFonts w:ascii="Arial" w:hAnsi="Arial" w:cs="Arial"/>
          <w:sz w:val="24"/>
          <w:vertAlign w:val="superscript"/>
        </w:rPr>
        <w:t xml:space="preserve"> </w:t>
      </w:r>
      <w:r>
        <w:rPr>
          <w:rFonts w:ascii="Arial" w:hAnsi="Arial" w:cs="Arial"/>
          <w:sz w:val="24"/>
        </w:rPr>
        <w:t xml:space="preserve">Such quality assurance mechanisms </w:t>
      </w:r>
      <w:r>
        <w:rPr>
          <w:rFonts w:ascii="Arial" w:hAnsi="Arial" w:cs="Arial"/>
          <w:sz w:val="24"/>
        </w:rPr>
        <w:lastRenderedPageBreak/>
        <w:t xml:space="preserve">can </w:t>
      </w:r>
      <w:r w:rsidR="00385296">
        <w:rPr>
          <w:rFonts w:ascii="Arial" w:hAnsi="Arial" w:cs="Arial"/>
          <w:sz w:val="24"/>
        </w:rPr>
        <w:t xml:space="preserve">support </w:t>
      </w:r>
      <w:r>
        <w:rPr>
          <w:rFonts w:ascii="Arial" w:hAnsi="Arial" w:cs="Arial"/>
          <w:sz w:val="24"/>
        </w:rPr>
        <w:t>greater generalisability of interventions from one setting to another through enhanced transparency in reporting.</w:t>
      </w:r>
    </w:p>
    <w:p w14:paraId="25760931" w14:textId="473013C8" w:rsidR="00942CD3" w:rsidRDefault="00385296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Effectiveness and cost-effectiveness evaluation should consider </w:t>
      </w:r>
      <w:r w:rsidR="00C8188F">
        <w:rPr>
          <w:rFonts w:ascii="Arial" w:hAnsi="Arial" w:cs="Arial"/>
          <w:sz w:val="24"/>
        </w:rPr>
        <w:t xml:space="preserve">broader socio-economic outcomes and inter-sectoral impacts. The conventional parameters such as </w:t>
      </w:r>
      <w:r>
        <w:rPr>
          <w:rFonts w:ascii="Arial" w:hAnsi="Arial" w:cs="Arial"/>
          <w:sz w:val="24"/>
        </w:rPr>
        <w:t xml:space="preserve">the number of </w:t>
      </w:r>
      <w:r w:rsidR="00C8188F">
        <w:rPr>
          <w:rFonts w:ascii="Arial" w:hAnsi="Arial" w:cs="Arial"/>
          <w:sz w:val="24"/>
        </w:rPr>
        <w:t>disease cases prevented or quality-adjusted-life-years (QALYs) do not readily incorporate outcomes beyond health.</w:t>
      </w:r>
      <w:r w:rsidR="000224CB">
        <w:rPr>
          <w:rFonts w:ascii="Arial" w:hAnsi="Arial" w:cs="Arial"/>
          <w:sz w:val="24"/>
          <w:vertAlign w:val="superscript"/>
        </w:rPr>
        <w:t>9</w:t>
      </w:r>
      <w:r w:rsidR="00C818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Thus confining evaluations to pecuniary values represents </w:t>
      </w:r>
      <w:r w:rsidR="00C8188F">
        <w:rPr>
          <w:rFonts w:ascii="Arial" w:hAnsi="Arial" w:cs="Arial"/>
          <w:sz w:val="24"/>
        </w:rPr>
        <w:t xml:space="preserve">false economy, especially when maximising health is not the </w:t>
      </w:r>
      <w:r>
        <w:rPr>
          <w:rFonts w:ascii="Arial" w:hAnsi="Arial" w:cs="Arial"/>
          <w:sz w:val="24"/>
        </w:rPr>
        <w:t xml:space="preserve">sole </w:t>
      </w:r>
      <w:r w:rsidR="00C8188F">
        <w:rPr>
          <w:rFonts w:ascii="Arial" w:hAnsi="Arial" w:cs="Arial"/>
          <w:sz w:val="24"/>
        </w:rPr>
        <w:t xml:space="preserve">goal of public health interventions. </w:t>
      </w:r>
      <w:r>
        <w:rPr>
          <w:rFonts w:ascii="Arial" w:hAnsi="Arial" w:cs="Arial"/>
          <w:sz w:val="24"/>
        </w:rPr>
        <w:t>C</w:t>
      </w:r>
      <w:r w:rsidR="00E64C44">
        <w:rPr>
          <w:rFonts w:ascii="Arial" w:hAnsi="Arial" w:cs="Arial"/>
          <w:sz w:val="24"/>
        </w:rPr>
        <w:t xml:space="preserve">onsidering </w:t>
      </w:r>
      <w:r w:rsidR="00E64C44" w:rsidRPr="00E64C44">
        <w:rPr>
          <w:rFonts w:ascii="Arial" w:hAnsi="Arial" w:cs="Arial"/>
          <w:sz w:val="24"/>
        </w:rPr>
        <w:t xml:space="preserve">interventions are often funded by stakeholders outside health, particularly </w:t>
      </w:r>
      <w:r>
        <w:rPr>
          <w:rFonts w:ascii="Arial" w:hAnsi="Arial" w:cs="Arial"/>
          <w:sz w:val="24"/>
        </w:rPr>
        <w:t xml:space="preserve">since the transference of </w:t>
      </w:r>
      <w:r w:rsidR="00E64C44" w:rsidRPr="00E64C44">
        <w:rPr>
          <w:rFonts w:ascii="Arial" w:hAnsi="Arial" w:cs="Arial"/>
          <w:sz w:val="24"/>
        </w:rPr>
        <w:t>public health functions into local authorities following the Health and Social Care Act 2012</w:t>
      </w:r>
      <w:r>
        <w:rPr>
          <w:rFonts w:ascii="Arial" w:hAnsi="Arial" w:cs="Arial"/>
          <w:sz w:val="24"/>
        </w:rPr>
        <w:t xml:space="preserve">, it is indefensible to </w:t>
      </w:r>
      <w:r w:rsidR="00D84712">
        <w:rPr>
          <w:rFonts w:ascii="Arial" w:hAnsi="Arial" w:cs="Arial"/>
          <w:sz w:val="24"/>
        </w:rPr>
        <w:t>confine</w:t>
      </w:r>
      <w:r>
        <w:rPr>
          <w:rFonts w:ascii="Arial" w:hAnsi="Arial" w:cs="Arial"/>
          <w:sz w:val="24"/>
        </w:rPr>
        <w:t xml:space="preserve"> public health interventions to health outcomes</w:t>
      </w:r>
      <w:r w:rsidR="00E64C44" w:rsidRPr="00E64C44">
        <w:rPr>
          <w:rFonts w:ascii="Arial" w:hAnsi="Arial" w:cs="Arial"/>
          <w:sz w:val="24"/>
        </w:rPr>
        <w:t>.</w:t>
      </w:r>
    </w:p>
    <w:p w14:paraId="3C4B58AB" w14:textId="71086C61" w:rsidR="00C8188F" w:rsidRDefault="000A59F0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It</w:t>
      </w:r>
      <w:r w:rsidR="00C8188F">
        <w:rPr>
          <w:rFonts w:ascii="Arial" w:hAnsi="Arial" w:cs="Arial"/>
          <w:sz w:val="24"/>
        </w:rPr>
        <w:t xml:space="preserve"> is important for researchers to broaden the evaluation horizon to </w:t>
      </w:r>
      <w:r w:rsidR="003520AC">
        <w:rPr>
          <w:rFonts w:ascii="Arial" w:hAnsi="Arial" w:cs="Arial"/>
          <w:sz w:val="24"/>
        </w:rPr>
        <w:t>include socio-economic outcomes, which</w:t>
      </w:r>
      <w:r>
        <w:rPr>
          <w:rFonts w:ascii="Arial" w:hAnsi="Arial" w:cs="Arial"/>
          <w:sz w:val="24"/>
        </w:rPr>
        <w:t xml:space="preserve"> may include </w:t>
      </w:r>
      <w:r w:rsidR="00C8188F">
        <w:rPr>
          <w:rFonts w:ascii="Arial" w:hAnsi="Arial" w:cs="Arial"/>
          <w:sz w:val="24"/>
        </w:rPr>
        <w:t>improved social inter</w:t>
      </w:r>
      <w:r>
        <w:rPr>
          <w:rFonts w:ascii="Arial" w:hAnsi="Arial" w:cs="Arial"/>
          <w:sz w:val="24"/>
        </w:rPr>
        <w:t>act</w:t>
      </w:r>
      <w:r w:rsidR="00AD2A42">
        <w:rPr>
          <w:rFonts w:ascii="Arial" w:hAnsi="Arial" w:cs="Arial"/>
          <w:sz w:val="24"/>
        </w:rPr>
        <w:t xml:space="preserve">ions </w:t>
      </w:r>
      <w:r w:rsidR="00C8188F">
        <w:rPr>
          <w:rFonts w:ascii="Arial" w:hAnsi="Arial" w:cs="Arial"/>
          <w:sz w:val="24"/>
        </w:rPr>
        <w:t xml:space="preserve">and increased support for family members and concerned others. </w:t>
      </w:r>
      <w:r w:rsidR="00942CD3">
        <w:rPr>
          <w:rFonts w:ascii="Arial" w:hAnsi="Arial" w:cs="Arial"/>
          <w:sz w:val="24"/>
        </w:rPr>
        <w:t>Additionally</w:t>
      </w:r>
      <w:r>
        <w:rPr>
          <w:rFonts w:ascii="Arial" w:hAnsi="Arial" w:cs="Arial"/>
          <w:sz w:val="24"/>
        </w:rPr>
        <w:t>,</w:t>
      </w:r>
      <w:r w:rsidR="00C8188F">
        <w:rPr>
          <w:rFonts w:ascii="Arial" w:hAnsi="Arial" w:cs="Arial"/>
          <w:sz w:val="24"/>
        </w:rPr>
        <w:t xml:space="preserve"> the</w:t>
      </w:r>
      <w:r>
        <w:rPr>
          <w:rFonts w:ascii="Arial" w:hAnsi="Arial" w:cs="Arial"/>
          <w:sz w:val="24"/>
        </w:rPr>
        <w:t xml:space="preserve"> use of</w:t>
      </w:r>
      <w:r w:rsidR="00BC73F0">
        <w:rPr>
          <w:rFonts w:ascii="Arial" w:hAnsi="Arial" w:cs="Arial"/>
          <w:sz w:val="24"/>
        </w:rPr>
        <w:t xml:space="preserve"> Social Return on Investment</w:t>
      </w:r>
      <w:r w:rsidR="00C8188F">
        <w:rPr>
          <w:rFonts w:ascii="Arial" w:hAnsi="Arial" w:cs="Arial"/>
          <w:sz w:val="24"/>
        </w:rPr>
        <w:t xml:space="preserve">, which </w:t>
      </w:r>
      <w:r w:rsidR="00942CD3">
        <w:rPr>
          <w:rFonts w:ascii="Arial" w:hAnsi="Arial" w:cs="Arial"/>
          <w:sz w:val="24"/>
        </w:rPr>
        <w:t>incorporates</w:t>
      </w:r>
      <w:r w:rsidR="00C8188F">
        <w:rPr>
          <w:rFonts w:ascii="Arial" w:hAnsi="Arial" w:cs="Arial"/>
          <w:sz w:val="24"/>
        </w:rPr>
        <w:t xml:space="preserve"> social, environmental, and economic costs and benefits</w:t>
      </w:r>
      <w:r w:rsidR="00385296">
        <w:rPr>
          <w:rFonts w:ascii="Arial" w:hAnsi="Arial" w:cs="Arial"/>
          <w:sz w:val="24"/>
        </w:rPr>
        <w:t>, is emerging</w:t>
      </w:r>
      <w:r w:rsidR="00C8188F">
        <w:rPr>
          <w:rFonts w:ascii="Arial" w:hAnsi="Arial" w:cs="Arial"/>
          <w:sz w:val="24"/>
        </w:rPr>
        <w:t>.</w:t>
      </w:r>
      <w:r w:rsidR="000224CB">
        <w:rPr>
          <w:rFonts w:ascii="Arial" w:hAnsi="Arial" w:cs="Arial"/>
          <w:sz w:val="24"/>
          <w:vertAlign w:val="superscript"/>
        </w:rPr>
        <w:t>10</w:t>
      </w:r>
      <w:r w:rsidR="00C8188F">
        <w:rPr>
          <w:rFonts w:ascii="Arial" w:hAnsi="Arial" w:cs="Arial"/>
          <w:sz w:val="24"/>
        </w:rPr>
        <w:t xml:space="preserve"> Whilst </w:t>
      </w:r>
      <w:r w:rsidR="00385296">
        <w:rPr>
          <w:rFonts w:ascii="Arial" w:hAnsi="Arial" w:cs="Arial"/>
          <w:sz w:val="24"/>
        </w:rPr>
        <w:t xml:space="preserve">the </w:t>
      </w:r>
      <w:r w:rsidR="00C8188F">
        <w:rPr>
          <w:rFonts w:ascii="Arial" w:hAnsi="Arial" w:cs="Arial"/>
          <w:sz w:val="24"/>
        </w:rPr>
        <w:t xml:space="preserve">technique is still </w:t>
      </w:r>
      <w:r w:rsidR="00385296">
        <w:rPr>
          <w:rFonts w:ascii="Arial" w:hAnsi="Arial" w:cs="Arial"/>
          <w:sz w:val="24"/>
        </w:rPr>
        <w:t xml:space="preserve">in </w:t>
      </w:r>
      <w:r w:rsidR="00C8188F">
        <w:rPr>
          <w:rFonts w:ascii="Arial" w:hAnsi="Arial" w:cs="Arial"/>
          <w:sz w:val="24"/>
        </w:rPr>
        <w:t>its infancy, its capability in gauging broader socio-economic outcomes and converging views of multiple stakeholders</w:t>
      </w:r>
      <w:r w:rsidR="00280B9D">
        <w:rPr>
          <w:rFonts w:ascii="Arial" w:hAnsi="Arial" w:cs="Arial"/>
          <w:sz w:val="24"/>
        </w:rPr>
        <w:t xml:space="preserve"> into a single financial metric</w:t>
      </w:r>
      <w:r w:rsidR="00385296">
        <w:rPr>
          <w:rFonts w:ascii="Arial" w:hAnsi="Arial" w:cs="Arial"/>
          <w:sz w:val="24"/>
        </w:rPr>
        <w:t xml:space="preserve"> suggests its potential to transform the field</w:t>
      </w:r>
      <w:r w:rsidR="00280B9D">
        <w:rPr>
          <w:rFonts w:ascii="Arial" w:hAnsi="Arial" w:cs="Arial"/>
          <w:sz w:val="24"/>
        </w:rPr>
        <w:t>.</w:t>
      </w:r>
    </w:p>
    <w:p w14:paraId="72D7330F" w14:textId="77777777" w:rsidR="00304535" w:rsidRDefault="00304535" w:rsidP="00304535">
      <w:pPr>
        <w:spacing w:line="480" w:lineRule="auto"/>
        <w:ind w:left="1701" w:right="1701"/>
        <w:jc w:val="both"/>
        <w:rPr>
          <w:rFonts w:ascii="Arial" w:hAnsi="Arial" w:cs="Arial"/>
          <w:b/>
          <w:sz w:val="24"/>
        </w:rPr>
      </w:pPr>
    </w:p>
    <w:p w14:paraId="319576FB" w14:textId="6CF0F440" w:rsidR="00C8188F" w:rsidRPr="00C8188F" w:rsidRDefault="00C8188F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C8188F">
        <w:rPr>
          <w:rFonts w:ascii="Arial" w:hAnsi="Arial" w:cs="Arial"/>
          <w:b/>
          <w:sz w:val="24"/>
        </w:rPr>
        <w:t xml:space="preserve">Complexity of Outcomes </w:t>
      </w:r>
    </w:p>
    <w:p w14:paraId="4E025360" w14:textId="77777777" w:rsidR="000A59F0" w:rsidRDefault="00C8188F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Finally, researchers often confront the efficiency and equity dilemma when evaluating public health interventions. </w:t>
      </w:r>
      <w:r w:rsidR="00385296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ormative economics are concerned with maximising benefit from the available resources to achieve efficiency, following adoption of </w:t>
      </w:r>
      <w:r w:rsidR="00AD2A42">
        <w:rPr>
          <w:rFonts w:ascii="Arial" w:hAnsi="Arial" w:cs="Arial"/>
          <w:sz w:val="24"/>
        </w:rPr>
        <w:t xml:space="preserve">the </w:t>
      </w:r>
      <w:r w:rsidR="00AD2A42">
        <w:rPr>
          <w:rFonts w:ascii="Arial" w:hAnsi="Arial" w:cs="Arial"/>
          <w:sz w:val="24"/>
        </w:rPr>
        <w:lastRenderedPageBreak/>
        <w:t>welfarist stance</w:t>
      </w:r>
      <w:r>
        <w:rPr>
          <w:rFonts w:ascii="Arial" w:hAnsi="Arial" w:cs="Arial"/>
          <w:sz w:val="24"/>
        </w:rPr>
        <w:t>.</w:t>
      </w:r>
      <w:r w:rsidR="00AD2A42" w:rsidRPr="00AD2A42">
        <w:rPr>
          <w:rFonts w:ascii="Arial" w:hAnsi="Arial" w:cs="Arial"/>
          <w:sz w:val="24"/>
          <w:vertAlign w:val="superscript"/>
        </w:rPr>
        <w:t>1</w:t>
      </w:r>
      <w:r w:rsidR="000224CB">
        <w:rPr>
          <w:rFonts w:ascii="Arial" w:hAnsi="Arial" w:cs="Arial"/>
          <w:sz w:val="24"/>
          <w:vertAlign w:val="superscript"/>
        </w:rPr>
        <w:t>1</w:t>
      </w:r>
      <w:r>
        <w:rPr>
          <w:rFonts w:ascii="Arial" w:hAnsi="Arial" w:cs="Arial"/>
          <w:sz w:val="24"/>
        </w:rPr>
        <w:t xml:space="preserve"> </w:t>
      </w:r>
      <w:r w:rsidR="00E06F8D">
        <w:rPr>
          <w:rFonts w:ascii="Arial" w:hAnsi="Arial" w:cs="Arial"/>
          <w:sz w:val="24"/>
        </w:rPr>
        <w:t xml:space="preserve">Proponents pursue </w:t>
      </w:r>
      <w:r>
        <w:rPr>
          <w:rFonts w:ascii="Arial" w:hAnsi="Arial" w:cs="Arial"/>
          <w:sz w:val="24"/>
        </w:rPr>
        <w:t>the Paretian theoretical basis through consumer choice theory by amassing individual preference using a social welfare ordering</w:t>
      </w:r>
      <w:r w:rsidR="00AD2A42">
        <w:rPr>
          <w:rFonts w:ascii="Arial" w:hAnsi="Arial" w:cs="Arial"/>
          <w:sz w:val="24"/>
        </w:rPr>
        <w:t>.</w:t>
      </w:r>
      <w:r w:rsidR="00AD2A42" w:rsidRPr="00AD2A42">
        <w:rPr>
          <w:rFonts w:ascii="Arial" w:hAnsi="Arial" w:cs="Arial"/>
          <w:sz w:val="24"/>
          <w:vertAlign w:val="superscript"/>
        </w:rPr>
        <w:t>1</w:t>
      </w:r>
      <w:r w:rsidR="000224CB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</w:t>
      </w:r>
    </w:p>
    <w:p w14:paraId="4A455BB2" w14:textId="77777777" w:rsidR="00C8188F" w:rsidRDefault="00C8188F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However, adopting a welfarist outlook within a public health context is aspirational. </w:t>
      </w:r>
      <w:r w:rsidR="00E06F8D">
        <w:rPr>
          <w:rFonts w:ascii="Arial" w:hAnsi="Arial" w:cs="Arial"/>
          <w:sz w:val="24"/>
        </w:rPr>
        <w:t xml:space="preserve">This </w:t>
      </w:r>
      <w:r>
        <w:rPr>
          <w:rFonts w:ascii="Arial" w:hAnsi="Arial" w:cs="Arial"/>
          <w:sz w:val="24"/>
        </w:rPr>
        <w:t>view has been criticised as</w:t>
      </w:r>
      <w:r w:rsidR="003520AC">
        <w:rPr>
          <w:rFonts w:ascii="Arial" w:hAnsi="Arial" w:cs="Arial"/>
          <w:sz w:val="24"/>
        </w:rPr>
        <w:t xml:space="preserve"> remote from the real-world context</w:t>
      </w:r>
      <w:r w:rsidR="00E06F8D">
        <w:rPr>
          <w:rFonts w:ascii="Arial" w:hAnsi="Arial" w:cs="Arial"/>
          <w:sz w:val="24"/>
        </w:rPr>
        <w:t>;</w:t>
      </w:r>
      <w:r w:rsidR="003520AC">
        <w:rPr>
          <w:rFonts w:ascii="Arial" w:hAnsi="Arial" w:cs="Arial"/>
          <w:sz w:val="24"/>
        </w:rPr>
        <w:t xml:space="preserve"> </w:t>
      </w:r>
      <w:r w:rsidR="00E06F8D" w:rsidRPr="00E06F8D">
        <w:rPr>
          <w:rFonts w:ascii="Arial" w:hAnsi="Arial" w:cs="Arial"/>
          <w:sz w:val="24"/>
        </w:rPr>
        <w:t xml:space="preserve">Mooney </w:t>
      </w:r>
      <w:r w:rsidR="00E06F8D">
        <w:rPr>
          <w:rFonts w:ascii="Arial" w:hAnsi="Arial" w:cs="Arial"/>
          <w:sz w:val="24"/>
        </w:rPr>
        <w:t xml:space="preserve">and </w:t>
      </w:r>
      <w:r w:rsidR="00E06F8D" w:rsidRPr="00E06F8D">
        <w:rPr>
          <w:rFonts w:ascii="Arial" w:hAnsi="Arial" w:cs="Arial"/>
          <w:sz w:val="24"/>
        </w:rPr>
        <w:t xml:space="preserve">Russell </w:t>
      </w:r>
      <w:r w:rsidR="00E06F8D">
        <w:rPr>
          <w:rFonts w:ascii="Arial" w:hAnsi="Arial" w:cs="Arial"/>
          <w:sz w:val="24"/>
        </w:rPr>
        <w:t xml:space="preserve">charge that it </w:t>
      </w:r>
      <w:r>
        <w:rPr>
          <w:rFonts w:ascii="Arial" w:hAnsi="Arial" w:cs="Arial"/>
          <w:sz w:val="24"/>
        </w:rPr>
        <w:t>“cannot cope with mixed outcomes…because its assessment is [purely] based traditionally on the individual’s utility from consump</w:t>
      </w:r>
      <w:r w:rsidR="00AD2A42">
        <w:rPr>
          <w:rFonts w:ascii="Arial" w:hAnsi="Arial" w:cs="Arial"/>
          <w:sz w:val="24"/>
        </w:rPr>
        <w:t>tion”</w:t>
      </w:r>
      <w:r>
        <w:rPr>
          <w:rFonts w:ascii="Arial" w:hAnsi="Arial" w:cs="Arial"/>
          <w:sz w:val="24"/>
        </w:rPr>
        <w:t>.</w:t>
      </w:r>
      <w:r w:rsidR="000224CB">
        <w:rPr>
          <w:rFonts w:ascii="Arial" w:hAnsi="Arial" w:cs="Arial"/>
          <w:sz w:val="24"/>
          <w:vertAlign w:val="superscript"/>
        </w:rPr>
        <w:t>13</w:t>
      </w:r>
    </w:p>
    <w:p w14:paraId="61DBA2FD" w14:textId="77777777" w:rsidR="00C8188F" w:rsidRDefault="00C8188F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Adopting extra-welfarism from the equity standpoint is perhaps more pragmatic. It takes into account, for instance, a broader public health impact such as caring externalities where utility is a joint function between oneself and ot</w:t>
      </w:r>
      <w:r w:rsidR="00AD2A42">
        <w:rPr>
          <w:rFonts w:ascii="Arial" w:hAnsi="Arial" w:cs="Arial"/>
          <w:sz w:val="24"/>
        </w:rPr>
        <w:t>hers’ consumption</w:t>
      </w:r>
      <w:r>
        <w:rPr>
          <w:rFonts w:ascii="Arial" w:hAnsi="Arial" w:cs="Arial"/>
          <w:sz w:val="24"/>
        </w:rPr>
        <w:t>,</w:t>
      </w:r>
      <w:r w:rsidR="000224CB">
        <w:rPr>
          <w:rFonts w:ascii="Arial" w:hAnsi="Arial" w:cs="Arial"/>
          <w:sz w:val="24"/>
          <w:vertAlign w:val="superscript"/>
        </w:rPr>
        <w:t>14</w:t>
      </w:r>
      <w:r>
        <w:rPr>
          <w:rFonts w:ascii="Arial" w:hAnsi="Arial" w:cs="Arial"/>
          <w:sz w:val="24"/>
        </w:rPr>
        <w:t xml:space="preserve"> for instance, through vaccination or health education messages on sexual health. </w:t>
      </w:r>
    </w:p>
    <w:p w14:paraId="19137518" w14:textId="77777777" w:rsidR="00304535" w:rsidRDefault="00304535" w:rsidP="00304535">
      <w:pPr>
        <w:spacing w:line="480" w:lineRule="auto"/>
        <w:ind w:left="1701" w:right="1701"/>
        <w:jc w:val="both"/>
        <w:rPr>
          <w:rFonts w:ascii="Arial" w:hAnsi="Arial" w:cs="Arial"/>
          <w:b/>
          <w:sz w:val="24"/>
        </w:rPr>
      </w:pPr>
    </w:p>
    <w:p w14:paraId="4208B042" w14:textId="416D4C43" w:rsidR="00C8188F" w:rsidRPr="00C8188F" w:rsidRDefault="00D84712" w:rsidP="00304535">
      <w:pPr>
        <w:spacing w:line="480" w:lineRule="auto"/>
        <w:ind w:left="1701" w:right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 Confluence of Factors</w:t>
      </w:r>
    </w:p>
    <w:p w14:paraId="625EA07A" w14:textId="77777777" w:rsidR="00C8188F" w:rsidRDefault="00C8188F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article has identified difficulties</w:t>
      </w:r>
      <w:r w:rsidR="00942CD3">
        <w:rPr>
          <w:rFonts w:ascii="Arial" w:hAnsi="Arial" w:cs="Arial"/>
          <w:sz w:val="24"/>
        </w:rPr>
        <w:t xml:space="preserve"> in evaluating effectiveness and cost-effectiveness of community public health interventions</w:t>
      </w:r>
      <w:r>
        <w:rPr>
          <w:rFonts w:ascii="Arial" w:hAnsi="Arial" w:cs="Arial"/>
          <w:sz w:val="24"/>
        </w:rPr>
        <w:t xml:space="preserve">. </w:t>
      </w:r>
      <w:r w:rsidR="00942CD3">
        <w:rPr>
          <w:rFonts w:ascii="Arial" w:hAnsi="Arial" w:cs="Arial"/>
          <w:sz w:val="24"/>
        </w:rPr>
        <w:t xml:space="preserve">Considering the upfront costs and the delayed benefits, </w:t>
      </w:r>
      <w:r w:rsidR="00213A16">
        <w:rPr>
          <w:rFonts w:ascii="Arial" w:hAnsi="Arial" w:cs="Arial"/>
          <w:sz w:val="24"/>
        </w:rPr>
        <w:t xml:space="preserve">making </w:t>
      </w:r>
      <w:r>
        <w:rPr>
          <w:rFonts w:ascii="Arial" w:hAnsi="Arial" w:cs="Arial"/>
          <w:sz w:val="24"/>
        </w:rPr>
        <w:t xml:space="preserve">decision-makers </w:t>
      </w:r>
      <w:r w:rsidR="00213A16">
        <w:rPr>
          <w:rFonts w:ascii="Arial" w:hAnsi="Arial" w:cs="Arial"/>
          <w:sz w:val="24"/>
        </w:rPr>
        <w:t xml:space="preserve">realise </w:t>
      </w:r>
      <w:r>
        <w:rPr>
          <w:rFonts w:ascii="Arial" w:hAnsi="Arial" w:cs="Arial"/>
          <w:sz w:val="24"/>
        </w:rPr>
        <w:t xml:space="preserve">that mainstreaming interventions, over time, will achieve greater economies of scale, whilst pointing to the existing evidence </w:t>
      </w:r>
      <w:r w:rsidR="00213A16">
        <w:rPr>
          <w:rFonts w:ascii="Arial" w:hAnsi="Arial" w:cs="Arial"/>
          <w:sz w:val="24"/>
        </w:rPr>
        <w:t xml:space="preserve">that </w:t>
      </w:r>
      <w:r>
        <w:rPr>
          <w:rFonts w:ascii="Arial" w:hAnsi="Arial" w:cs="Arial"/>
          <w:sz w:val="24"/>
        </w:rPr>
        <w:t xml:space="preserve">preventive measures can </w:t>
      </w:r>
      <w:r w:rsidR="00213A16">
        <w:rPr>
          <w:rFonts w:ascii="Arial" w:hAnsi="Arial" w:cs="Arial"/>
          <w:sz w:val="24"/>
        </w:rPr>
        <w:t xml:space="preserve">improve </w:t>
      </w:r>
      <w:r>
        <w:rPr>
          <w:rFonts w:ascii="Arial" w:hAnsi="Arial" w:cs="Arial"/>
          <w:sz w:val="24"/>
        </w:rPr>
        <w:t xml:space="preserve">resource management </w:t>
      </w:r>
      <w:r w:rsidR="00213A16">
        <w:rPr>
          <w:rFonts w:ascii="Arial" w:hAnsi="Arial" w:cs="Arial"/>
          <w:sz w:val="24"/>
        </w:rPr>
        <w:t xml:space="preserve">in </w:t>
      </w:r>
      <w:r>
        <w:rPr>
          <w:rFonts w:ascii="Arial" w:hAnsi="Arial" w:cs="Arial"/>
          <w:sz w:val="24"/>
        </w:rPr>
        <w:t>a time of austerity</w:t>
      </w:r>
      <w:r w:rsidR="000A59F0">
        <w:rPr>
          <w:rFonts w:ascii="Arial" w:hAnsi="Arial" w:cs="Arial"/>
          <w:sz w:val="24"/>
        </w:rPr>
        <w:t>, should be the way forward</w:t>
      </w:r>
      <w:r>
        <w:rPr>
          <w:rFonts w:ascii="Arial" w:hAnsi="Arial" w:cs="Arial"/>
          <w:sz w:val="24"/>
        </w:rPr>
        <w:t xml:space="preserve">. </w:t>
      </w:r>
    </w:p>
    <w:p w14:paraId="633F539E" w14:textId="243E549A" w:rsidR="00C8188F" w:rsidRDefault="00213A16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C8188F">
        <w:rPr>
          <w:rFonts w:ascii="Arial" w:hAnsi="Arial" w:cs="Arial"/>
          <w:sz w:val="24"/>
        </w:rPr>
        <w:t>nnovative</w:t>
      </w:r>
      <w:r w:rsidR="00942CD3">
        <w:rPr>
          <w:rFonts w:ascii="Arial" w:hAnsi="Arial" w:cs="Arial"/>
          <w:sz w:val="24"/>
        </w:rPr>
        <w:t xml:space="preserve"> evaluation</w:t>
      </w:r>
      <w:r w:rsidR="00C8188F">
        <w:rPr>
          <w:rFonts w:ascii="Arial" w:hAnsi="Arial" w:cs="Arial"/>
          <w:sz w:val="24"/>
        </w:rPr>
        <w:t xml:space="preserve"> tools can be used to </w:t>
      </w:r>
      <w:r>
        <w:rPr>
          <w:rFonts w:ascii="Arial" w:hAnsi="Arial" w:cs="Arial"/>
          <w:sz w:val="24"/>
        </w:rPr>
        <w:t xml:space="preserve">promote the </w:t>
      </w:r>
      <w:r w:rsidR="00C8188F">
        <w:rPr>
          <w:rFonts w:ascii="Arial" w:hAnsi="Arial" w:cs="Arial"/>
          <w:sz w:val="24"/>
        </w:rPr>
        <w:t xml:space="preserve">generalisability of findings to another context, </w:t>
      </w:r>
      <w:r>
        <w:rPr>
          <w:rFonts w:ascii="Arial" w:hAnsi="Arial" w:cs="Arial"/>
          <w:sz w:val="24"/>
        </w:rPr>
        <w:t xml:space="preserve">as can </w:t>
      </w:r>
      <w:r w:rsidR="00C8188F">
        <w:rPr>
          <w:rFonts w:ascii="Arial" w:hAnsi="Arial" w:cs="Arial"/>
          <w:sz w:val="24"/>
        </w:rPr>
        <w:t>greater transparency in reporting</w:t>
      </w:r>
      <w:r w:rsidR="00280B9D">
        <w:rPr>
          <w:rFonts w:ascii="Arial" w:hAnsi="Arial" w:cs="Arial"/>
          <w:sz w:val="24"/>
        </w:rPr>
        <w:t xml:space="preserve"> and priority setting,</w:t>
      </w:r>
      <w:r w:rsidR="00C8188F">
        <w:rPr>
          <w:rFonts w:ascii="Arial" w:hAnsi="Arial" w:cs="Arial"/>
          <w:sz w:val="24"/>
        </w:rPr>
        <w:t xml:space="preserve"> standard</w:t>
      </w:r>
      <w:r w:rsidR="00942CD3">
        <w:rPr>
          <w:rFonts w:ascii="Arial" w:hAnsi="Arial" w:cs="Arial"/>
          <w:sz w:val="24"/>
        </w:rPr>
        <w:t>ising</w:t>
      </w:r>
      <w:r w:rsidR="00F30ADE">
        <w:rPr>
          <w:rFonts w:ascii="Arial" w:hAnsi="Arial" w:cs="Arial"/>
          <w:sz w:val="24"/>
        </w:rPr>
        <w:t xml:space="preserve"> intervention terminologies, and capitalising upon the development</w:t>
      </w:r>
      <w:r w:rsidR="00C8188F">
        <w:rPr>
          <w:rFonts w:ascii="Arial" w:hAnsi="Arial" w:cs="Arial"/>
          <w:sz w:val="24"/>
        </w:rPr>
        <w:t xml:space="preserve"> of S</w:t>
      </w:r>
      <w:r w:rsidR="00BC73F0">
        <w:rPr>
          <w:rFonts w:ascii="Arial" w:hAnsi="Arial" w:cs="Arial"/>
          <w:sz w:val="24"/>
        </w:rPr>
        <w:t>ocial Return on Investment</w:t>
      </w:r>
      <w:r w:rsidR="00C8188F">
        <w:rPr>
          <w:rFonts w:ascii="Arial" w:hAnsi="Arial" w:cs="Arial"/>
          <w:sz w:val="24"/>
        </w:rPr>
        <w:t xml:space="preserve"> in assessing effectiveness and cost-effectiveness of health interventions. </w:t>
      </w:r>
    </w:p>
    <w:p w14:paraId="0F77B270" w14:textId="222EC282" w:rsidR="00C8188F" w:rsidRDefault="00C8188F" w:rsidP="00304535">
      <w:p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has been nearly 7</w:t>
      </w:r>
      <w:r w:rsidR="0000499A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years since the </w:t>
      </w:r>
      <w:r w:rsidR="00213A16"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 xml:space="preserve">ealth </w:t>
      </w:r>
      <w:r w:rsidR="00213A16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conomics discipline was first developed and the </w:t>
      </w:r>
      <w:r>
        <w:rPr>
          <w:rFonts w:ascii="Arial" w:hAnsi="Arial" w:cs="Arial"/>
          <w:sz w:val="24"/>
        </w:rPr>
        <w:lastRenderedPageBreak/>
        <w:t xml:space="preserve">field has </w:t>
      </w:r>
      <w:r w:rsidR="006C6B1A">
        <w:rPr>
          <w:rFonts w:ascii="Arial" w:hAnsi="Arial" w:cs="Arial"/>
          <w:sz w:val="24"/>
        </w:rPr>
        <w:t xml:space="preserve">since </w:t>
      </w:r>
      <w:r>
        <w:rPr>
          <w:rFonts w:ascii="Arial" w:hAnsi="Arial" w:cs="Arial"/>
          <w:sz w:val="24"/>
        </w:rPr>
        <w:t>undergone extensive transformation. Despite the complexities in appraising effectiveness and cost effectiveness, the field should continue to evolve</w:t>
      </w:r>
      <w:r w:rsidR="00213A16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213A16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s </w:t>
      </w:r>
      <w:r w:rsidR="00AD2A42">
        <w:rPr>
          <w:rFonts w:ascii="Arial" w:hAnsi="Arial" w:cs="Arial"/>
          <w:sz w:val="24"/>
        </w:rPr>
        <w:t>Williams</w:t>
      </w:r>
      <w:r w:rsidRPr="003C3796">
        <w:rPr>
          <w:rFonts w:ascii="Arial" w:hAnsi="Arial" w:cs="Arial"/>
          <w:sz w:val="24"/>
        </w:rPr>
        <w:t xml:space="preserve"> rightly comment</w:t>
      </w:r>
      <w:r w:rsidR="00213A16">
        <w:rPr>
          <w:rFonts w:ascii="Arial" w:hAnsi="Arial" w:cs="Arial"/>
          <w:sz w:val="24"/>
        </w:rPr>
        <w:t>s</w:t>
      </w:r>
      <w:r w:rsidRPr="003C3796">
        <w:rPr>
          <w:rFonts w:ascii="Arial" w:hAnsi="Arial" w:cs="Arial"/>
          <w:sz w:val="24"/>
        </w:rPr>
        <w:t xml:space="preserve">, </w:t>
      </w:r>
      <w:r w:rsidR="00213A16">
        <w:rPr>
          <w:rFonts w:ascii="Arial" w:hAnsi="Arial" w:cs="Arial"/>
          <w:sz w:val="24"/>
        </w:rPr>
        <w:t xml:space="preserve">health economists </w:t>
      </w:r>
      <w:r w:rsidRPr="003C3796">
        <w:rPr>
          <w:rFonts w:ascii="Arial" w:hAnsi="Arial" w:cs="Arial"/>
          <w:sz w:val="24"/>
        </w:rPr>
        <w:t xml:space="preserve">“are not defeatist prophets of gloom and doom, obsessed with deaths and taxes, but active workers for improvement, concerned </w:t>
      </w:r>
      <w:r w:rsidR="00213A16">
        <w:rPr>
          <w:rFonts w:ascii="Arial" w:hAnsi="Arial" w:cs="Arial"/>
          <w:sz w:val="24"/>
        </w:rPr>
        <w:t xml:space="preserve">with </w:t>
      </w:r>
      <w:r w:rsidRPr="003C3796">
        <w:rPr>
          <w:rFonts w:ascii="Arial" w:hAnsi="Arial" w:cs="Arial"/>
          <w:sz w:val="24"/>
        </w:rPr>
        <w:t>improv</w:t>
      </w:r>
      <w:r w:rsidR="00213A16">
        <w:rPr>
          <w:rFonts w:ascii="Arial" w:hAnsi="Arial" w:cs="Arial"/>
          <w:sz w:val="24"/>
        </w:rPr>
        <w:t>ing</w:t>
      </w:r>
      <w:r w:rsidRPr="003C3796">
        <w:rPr>
          <w:rFonts w:ascii="Arial" w:hAnsi="Arial" w:cs="Arial"/>
          <w:sz w:val="24"/>
        </w:rPr>
        <w:t xml:space="preserve"> the quality of people’s lives to the maximum feasible extent.”</w:t>
      </w:r>
      <w:r w:rsidR="000224CB">
        <w:rPr>
          <w:rFonts w:ascii="Arial" w:hAnsi="Arial" w:cs="Arial"/>
          <w:sz w:val="24"/>
          <w:vertAlign w:val="superscript"/>
        </w:rPr>
        <w:t>15</w:t>
      </w:r>
      <w:r w:rsidR="00AD2A42">
        <w:rPr>
          <w:rFonts w:ascii="Arial" w:hAnsi="Arial" w:cs="Arial"/>
          <w:sz w:val="24"/>
          <w:vertAlign w:val="superscript"/>
        </w:rPr>
        <w:t>(p1)</w:t>
      </w:r>
    </w:p>
    <w:p w14:paraId="7C3429DA" w14:textId="77777777" w:rsidR="00304535" w:rsidRDefault="00304535" w:rsidP="00304535">
      <w:pPr>
        <w:spacing w:line="480" w:lineRule="auto"/>
        <w:ind w:left="1701" w:right="1701"/>
        <w:jc w:val="both"/>
        <w:rPr>
          <w:rFonts w:ascii="Arial" w:hAnsi="Arial" w:cs="Arial"/>
          <w:b/>
          <w:sz w:val="24"/>
        </w:rPr>
      </w:pPr>
    </w:p>
    <w:p w14:paraId="572C2A77" w14:textId="5797F8E4" w:rsidR="005636D3" w:rsidRPr="002D7212" w:rsidRDefault="005636D3" w:rsidP="00304535">
      <w:pPr>
        <w:spacing w:line="480" w:lineRule="auto"/>
        <w:ind w:left="1701" w:right="1701"/>
        <w:jc w:val="both"/>
        <w:rPr>
          <w:rFonts w:ascii="Arial" w:hAnsi="Arial" w:cs="Arial"/>
          <w:b/>
          <w:sz w:val="24"/>
        </w:rPr>
      </w:pPr>
      <w:r w:rsidRPr="002D7212">
        <w:rPr>
          <w:rFonts w:ascii="Arial" w:hAnsi="Arial" w:cs="Arial"/>
          <w:b/>
          <w:sz w:val="24"/>
        </w:rPr>
        <w:t>References</w:t>
      </w:r>
    </w:p>
    <w:p w14:paraId="5465F38B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t xml:space="preserve">Tchouaket E, Brousselle A. Using the results of economic evaluations of public health interventions: Challenges and proposals. </w:t>
      </w:r>
      <w:r w:rsidRPr="002D7212">
        <w:rPr>
          <w:rFonts w:ascii="Arial" w:hAnsi="Arial" w:cs="Arial"/>
          <w:i/>
          <w:sz w:val="24"/>
        </w:rPr>
        <w:t>The Canadian Journal of Program Evaluation</w:t>
      </w:r>
      <w:r w:rsidRPr="002D7212">
        <w:rPr>
          <w:rFonts w:ascii="Arial" w:hAnsi="Arial" w:cs="Arial"/>
          <w:sz w:val="24"/>
        </w:rPr>
        <w:t xml:space="preserve"> 2013; 28(1): 43–66.  </w:t>
      </w:r>
    </w:p>
    <w:p w14:paraId="663CECF1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t xml:space="preserve">Morris S, Devlin N, Parkin D, Spencer A. </w:t>
      </w:r>
      <w:r w:rsidRPr="002D7212">
        <w:rPr>
          <w:rFonts w:ascii="Arial" w:hAnsi="Arial" w:cs="Arial"/>
          <w:i/>
          <w:sz w:val="24"/>
        </w:rPr>
        <w:t>Economic Analysis in Health Care</w:t>
      </w:r>
      <w:r w:rsidRPr="002D7212">
        <w:rPr>
          <w:rFonts w:ascii="Arial" w:hAnsi="Arial" w:cs="Arial"/>
          <w:sz w:val="24"/>
        </w:rPr>
        <w:t>. 2</w:t>
      </w:r>
      <w:r w:rsidRPr="002D7212">
        <w:rPr>
          <w:rFonts w:ascii="Arial" w:hAnsi="Arial" w:cs="Arial"/>
          <w:sz w:val="24"/>
          <w:vertAlign w:val="superscript"/>
        </w:rPr>
        <w:t>nd</w:t>
      </w:r>
      <w:r w:rsidRPr="002D7212">
        <w:rPr>
          <w:rFonts w:ascii="Arial" w:hAnsi="Arial" w:cs="Arial"/>
          <w:sz w:val="24"/>
        </w:rPr>
        <w:t xml:space="preserve"> Edition. West Sussex: John Wiley &amp; Sons, 2012.</w:t>
      </w:r>
    </w:p>
    <w:p w14:paraId="4A5AC466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t xml:space="preserve">Powell JE, Carroll FE, Sebire SJ, Haase AM, Jago R. Bristol Girls Dance Project feasibility study: Using </w:t>
      </w:r>
      <w:r w:rsidRPr="002D7212">
        <w:rPr>
          <w:rFonts w:ascii="Arial" w:hAnsi="Arial" w:cs="Arial"/>
          <w:sz w:val="24"/>
        </w:rPr>
        <w:lastRenderedPageBreak/>
        <w:t xml:space="preserve">a pilot economic evaluation to inform design of a full trial, 2013. Available online at: </w:t>
      </w:r>
      <w:hyperlink r:id="rId8" w:history="1">
        <w:r w:rsidRPr="002D7212">
          <w:rPr>
            <w:rStyle w:val="Hyperlink"/>
            <w:rFonts w:ascii="Arial" w:hAnsi="Arial" w:cs="Arial"/>
            <w:sz w:val="24"/>
          </w:rPr>
          <w:t>http://bmjopen.bmj.com/content/3/12/e003726.full</w:t>
        </w:r>
      </w:hyperlink>
      <w:r w:rsidRPr="002D7212">
        <w:rPr>
          <w:rFonts w:ascii="Arial" w:hAnsi="Arial" w:cs="Arial"/>
          <w:sz w:val="24"/>
        </w:rPr>
        <w:t xml:space="preserve"> (Last accessed 16</w:t>
      </w:r>
      <w:r w:rsidRPr="002D7212">
        <w:rPr>
          <w:rFonts w:ascii="Arial" w:hAnsi="Arial" w:cs="Arial"/>
          <w:sz w:val="24"/>
          <w:vertAlign w:val="superscript"/>
        </w:rPr>
        <w:t xml:space="preserve">th </w:t>
      </w:r>
      <w:r w:rsidRPr="002D7212">
        <w:rPr>
          <w:rFonts w:ascii="Arial" w:hAnsi="Arial" w:cs="Arial"/>
          <w:sz w:val="24"/>
        </w:rPr>
        <w:t>February 2017).</w:t>
      </w:r>
    </w:p>
    <w:p w14:paraId="172D57A5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t xml:space="preserve">Kimberlee R. What is social prescribing? </w:t>
      </w:r>
      <w:r w:rsidRPr="002D7212">
        <w:rPr>
          <w:rFonts w:ascii="Arial" w:hAnsi="Arial" w:cs="Arial"/>
          <w:i/>
          <w:sz w:val="24"/>
        </w:rPr>
        <w:t>Advances in Social Sciences Research Journal</w:t>
      </w:r>
      <w:r w:rsidRPr="002D7212">
        <w:rPr>
          <w:rFonts w:ascii="Arial" w:hAnsi="Arial" w:cs="Arial"/>
          <w:sz w:val="24"/>
        </w:rPr>
        <w:t xml:space="preserve"> 2015; 2(1): 102–10. </w:t>
      </w:r>
    </w:p>
    <w:p w14:paraId="41881F92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t xml:space="preserve">Garber AM, Phelps CE. Economic foundations of cost-effectiveness analysis. </w:t>
      </w:r>
      <w:r w:rsidRPr="002D7212">
        <w:rPr>
          <w:rFonts w:ascii="Arial" w:hAnsi="Arial" w:cs="Arial"/>
          <w:i/>
          <w:sz w:val="24"/>
        </w:rPr>
        <w:t>Journal of Health Economics</w:t>
      </w:r>
      <w:r w:rsidRPr="002D7212">
        <w:rPr>
          <w:rFonts w:ascii="Arial" w:hAnsi="Arial" w:cs="Arial"/>
          <w:sz w:val="24"/>
        </w:rPr>
        <w:t xml:space="preserve"> 1997; 16(1): 1–31.</w:t>
      </w:r>
    </w:p>
    <w:p w14:paraId="1E2FFA95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t xml:space="preserve">Rogers EM. </w:t>
      </w:r>
      <w:r w:rsidRPr="002D7212">
        <w:rPr>
          <w:rFonts w:ascii="Arial" w:hAnsi="Arial" w:cs="Arial"/>
          <w:i/>
          <w:sz w:val="24"/>
        </w:rPr>
        <w:t>Diffusion of Innovations</w:t>
      </w:r>
      <w:r w:rsidRPr="002D7212">
        <w:rPr>
          <w:rFonts w:ascii="Arial" w:hAnsi="Arial" w:cs="Arial"/>
          <w:sz w:val="24"/>
        </w:rPr>
        <w:t>. 4</w:t>
      </w:r>
      <w:r w:rsidRPr="002D7212">
        <w:rPr>
          <w:rFonts w:ascii="Arial" w:hAnsi="Arial" w:cs="Arial"/>
          <w:sz w:val="24"/>
          <w:vertAlign w:val="superscript"/>
        </w:rPr>
        <w:t>th</w:t>
      </w:r>
      <w:r w:rsidRPr="002D7212">
        <w:rPr>
          <w:rFonts w:ascii="Arial" w:hAnsi="Arial" w:cs="Arial"/>
          <w:sz w:val="24"/>
        </w:rPr>
        <w:t xml:space="preserve"> Edition. New York: Free Press, 1995. </w:t>
      </w:r>
    </w:p>
    <w:p w14:paraId="31ACF81A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t xml:space="preserve">Bird EL, Baker G, Mutrie N, Ogilvie D, Sahlqvist S, Powell J. Behaviour change techniques used to promote walking and cycling: A systematic review. </w:t>
      </w:r>
      <w:r w:rsidRPr="002D7212">
        <w:rPr>
          <w:rFonts w:ascii="Arial" w:hAnsi="Arial" w:cs="Arial"/>
          <w:i/>
          <w:sz w:val="24"/>
        </w:rPr>
        <w:t>Health Psychology</w:t>
      </w:r>
      <w:r w:rsidRPr="002D7212">
        <w:rPr>
          <w:rFonts w:ascii="Arial" w:hAnsi="Arial" w:cs="Arial"/>
          <w:sz w:val="24"/>
        </w:rPr>
        <w:t xml:space="preserve"> 2013; 32(8): 829–38.</w:t>
      </w:r>
    </w:p>
    <w:p w14:paraId="53B6CC58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t xml:space="preserve">Abraham C, Michie S. A taxonomy of behaviour change techniques used in interventions. </w:t>
      </w:r>
      <w:r w:rsidRPr="002D7212">
        <w:rPr>
          <w:rFonts w:ascii="Arial" w:hAnsi="Arial" w:cs="Arial"/>
          <w:i/>
          <w:sz w:val="24"/>
        </w:rPr>
        <w:t>Health Psychology</w:t>
      </w:r>
      <w:r w:rsidRPr="002D7212">
        <w:rPr>
          <w:rFonts w:ascii="Arial" w:hAnsi="Arial" w:cs="Arial"/>
          <w:sz w:val="24"/>
        </w:rPr>
        <w:t xml:space="preserve"> 2008; 27: 379–87.</w:t>
      </w:r>
    </w:p>
    <w:p w14:paraId="26CA3013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lastRenderedPageBreak/>
        <w:t xml:space="preserve">Benning TM, Alayli-Goebbels AFG, Aarts M, Stolk E, de Wit GA, Prenger R </w:t>
      </w:r>
      <w:r w:rsidRPr="002D7212">
        <w:rPr>
          <w:rFonts w:ascii="Arial" w:hAnsi="Arial" w:cs="Arial"/>
          <w:i/>
          <w:sz w:val="24"/>
        </w:rPr>
        <w:t>et al.</w:t>
      </w:r>
      <w:r w:rsidRPr="002D7212">
        <w:rPr>
          <w:rFonts w:ascii="Arial" w:hAnsi="Arial" w:cs="Arial"/>
          <w:sz w:val="24"/>
        </w:rPr>
        <w:t xml:space="preserve"> Exploring outcomes to consider in economic evaluations of health promotion programs: What broader non-health outcomes matter most? </w:t>
      </w:r>
      <w:r w:rsidRPr="002D7212">
        <w:rPr>
          <w:rFonts w:ascii="Arial" w:hAnsi="Arial" w:cs="Arial"/>
          <w:i/>
          <w:sz w:val="24"/>
        </w:rPr>
        <w:t>BMC Health Services Research</w:t>
      </w:r>
      <w:r w:rsidRPr="002D7212">
        <w:rPr>
          <w:rFonts w:ascii="Arial" w:hAnsi="Arial" w:cs="Arial"/>
          <w:sz w:val="24"/>
        </w:rPr>
        <w:t xml:space="preserve"> 2015; 15: 266–74.</w:t>
      </w:r>
    </w:p>
    <w:p w14:paraId="35A31628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t xml:space="preserve">Cabinet Office. </w:t>
      </w:r>
      <w:r w:rsidRPr="002D7212">
        <w:rPr>
          <w:rFonts w:ascii="Arial" w:hAnsi="Arial" w:cs="Arial"/>
          <w:i/>
          <w:sz w:val="24"/>
        </w:rPr>
        <w:t>A Guide to Social Return on Investment</w:t>
      </w:r>
      <w:r w:rsidRPr="002D7212">
        <w:rPr>
          <w:rFonts w:ascii="Arial" w:hAnsi="Arial" w:cs="Arial"/>
          <w:sz w:val="24"/>
        </w:rPr>
        <w:t>. London: Office of the Third Sector, 2010.</w:t>
      </w:r>
    </w:p>
    <w:p w14:paraId="4C95BA6C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t xml:space="preserve">Sen A. Social choice theory: A re-examination. </w:t>
      </w:r>
      <w:r w:rsidRPr="002D7212">
        <w:rPr>
          <w:rFonts w:ascii="Arial" w:hAnsi="Arial" w:cs="Arial"/>
          <w:i/>
          <w:sz w:val="24"/>
        </w:rPr>
        <w:t>Econometrica</w:t>
      </w:r>
      <w:r w:rsidRPr="002D7212">
        <w:rPr>
          <w:rFonts w:ascii="Arial" w:hAnsi="Arial" w:cs="Arial"/>
          <w:sz w:val="24"/>
        </w:rPr>
        <w:t xml:space="preserve"> 1977; 45: 53–90.</w:t>
      </w:r>
    </w:p>
    <w:p w14:paraId="271D9C6D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t xml:space="preserve">Busino G., Pareto V. </w:t>
      </w:r>
      <w:r w:rsidRPr="002D7212">
        <w:rPr>
          <w:rFonts w:ascii="Arial" w:hAnsi="Arial" w:cs="Arial"/>
          <w:i/>
          <w:sz w:val="24"/>
        </w:rPr>
        <w:t>The New Palgrave Dictionary of Economics, Vol. 3.</w:t>
      </w:r>
      <w:r w:rsidRPr="002D7212">
        <w:rPr>
          <w:rFonts w:ascii="Arial" w:hAnsi="Arial" w:cs="Arial"/>
          <w:sz w:val="24"/>
        </w:rPr>
        <w:t xml:space="preserve"> London: Palgrave, 1987.</w:t>
      </w:r>
    </w:p>
    <w:p w14:paraId="3606B73F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t xml:space="preserve">Mooney G, Russell E. Equity in health care: The need for a new economics paradigm? In A Scott, B Elliott (eds) </w:t>
      </w:r>
      <w:r w:rsidRPr="002D7212">
        <w:rPr>
          <w:rFonts w:ascii="Arial" w:hAnsi="Arial" w:cs="Arial"/>
          <w:i/>
          <w:sz w:val="24"/>
        </w:rPr>
        <w:t>Advances in Health Economics</w:t>
      </w:r>
      <w:r w:rsidRPr="002D7212">
        <w:rPr>
          <w:rFonts w:ascii="Arial" w:hAnsi="Arial" w:cs="Arial"/>
          <w:sz w:val="24"/>
        </w:rPr>
        <w:t>. London: John Wiley &amp; Sons, 2003.</w:t>
      </w:r>
    </w:p>
    <w:p w14:paraId="3AB0C7D3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t xml:space="preserve">Culyer AJ. </w:t>
      </w:r>
      <w:r w:rsidRPr="002D7212">
        <w:rPr>
          <w:rFonts w:ascii="Arial" w:hAnsi="Arial" w:cs="Arial"/>
          <w:i/>
          <w:sz w:val="24"/>
        </w:rPr>
        <w:t>Need and the National Health Service</w:t>
      </w:r>
      <w:r w:rsidRPr="002D7212">
        <w:rPr>
          <w:rFonts w:ascii="Arial" w:hAnsi="Arial" w:cs="Arial"/>
          <w:sz w:val="24"/>
        </w:rPr>
        <w:t>. Oxford: Martin Robertson, 1976.</w:t>
      </w:r>
    </w:p>
    <w:p w14:paraId="2AEEBE9F" w14:textId="77777777" w:rsidR="005636D3" w:rsidRPr="002D7212" w:rsidRDefault="005636D3" w:rsidP="00304535">
      <w:pPr>
        <w:pStyle w:val="ListParagraph"/>
        <w:numPr>
          <w:ilvl w:val="0"/>
          <w:numId w:val="4"/>
        </w:numPr>
        <w:spacing w:line="480" w:lineRule="auto"/>
        <w:ind w:left="1701" w:right="1701"/>
        <w:jc w:val="both"/>
        <w:rPr>
          <w:rFonts w:ascii="Arial" w:hAnsi="Arial" w:cs="Arial"/>
          <w:sz w:val="24"/>
        </w:rPr>
      </w:pPr>
      <w:r w:rsidRPr="002D7212">
        <w:rPr>
          <w:rFonts w:ascii="Arial" w:hAnsi="Arial" w:cs="Arial"/>
          <w:sz w:val="24"/>
        </w:rPr>
        <w:lastRenderedPageBreak/>
        <w:t xml:space="preserve">Williams A. </w:t>
      </w:r>
      <w:r w:rsidRPr="002D7212">
        <w:rPr>
          <w:rFonts w:ascii="Arial" w:hAnsi="Arial" w:cs="Arial"/>
          <w:i/>
          <w:sz w:val="24"/>
        </w:rPr>
        <w:t>Health and Economics</w:t>
      </w:r>
      <w:r w:rsidRPr="002D7212">
        <w:rPr>
          <w:rFonts w:ascii="Arial" w:hAnsi="Arial" w:cs="Arial"/>
          <w:sz w:val="24"/>
        </w:rPr>
        <w:t>. Basingstoke: Macmillan, 1987.</w:t>
      </w:r>
    </w:p>
    <w:p w14:paraId="3B53EA02" w14:textId="1CC31C65" w:rsidR="00023349" w:rsidRPr="00AA7332" w:rsidRDefault="00023349" w:rsidP="00AA7332">
      <w:pPr>
        <w:jc w:val="both"/>
        <w:rPr>
          <w:rFonts w:ascii="Arial" w:hAnsi="Arial" w:cs="Arial"/>
          <w:b/>
          <w:sz w:val="24"/>
        </w:rPr>
      </w:pPr>
    </w:p>
    <w:sectPr w:rsidR="00023349" w:rsidRPr="00AA7332" w:rsidSect="00304535">
      <w:headerReference w:type="default" r:id="rId9"/>
      <w:footerReference w:type="default" r:id="rId10"/>
      <w:pgSz w:w="11906" w:h="16838"/>
      <w:pgMar w:top="2835" w:right="1440" w:bottom="26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5127F" w14:textId="77777777" w:rsidR="004B76F3" w:rsidRDefault="004B76F3" w:rsidP="001A1FBA">
      <w:pPr>
        <w:spacing w:after="0" w:line="240" w:lineRule="auto"/>
      </w:pPr>
      <w:r>
        <w:separator/>
      </w:r>
    </w:p>
  </w:endnote>
  <w:endnote w:type="continuationSeparator" w:id="0">
    <w:p w14:paraId="0E444AAC" w14:textId="77777777" w:rsidR="004B76F3" w:rsidRDefault="004B76F3" w:rsidP="001A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1687404897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75257592"/>
          <w:docPartObj>
            <w:docPartGallery w:val="Page Numbers (Top of Page)"/>
            <w:docPartUnique/>
          </w:docPartObj>
        </w:sdtPr>
        <w:sdtEndPr/>
        <w:sdtContent>
          <w:p w14:paraId="452AAF05" w14:textId="73C858F6" w:rsidR="00E06F8D" w:rsidRPr="001A1FBA" w:rsidRDefault="00E06F8D">
            <w:pPr>
              <w:pStyle w:val="Footer"/>
              <w:jc w:val="right"/>
              <w:rPr>
                <w:sz w:val="24"/>
              </w:rPr>
            </w:pPr>
            <w:r w:rsidRPr="001A1FBA">
              <w:rPr>
                <w:rFonts w:ascii="Arial" w:hAnsi="Arial" w:cs="Arial"/>
                <w:szCs w:val="20"/>
              </w:rPr>
              <w:t xml:space="preserve">Page </w:t>
            </w:r>
            <w:r w:rsidRPr="001A1FBA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1A1FBA">
              <w:rPr>
                <w:rFonts w:ascii="Arial" w:hAnsi="Arial" w:cs="Arial"/>
                <w:bCs/>
                <w:szCs w:val="20"/>
              </w:rPr>
              <w:instrText xml:space="preserve"> PAGE </w:instrText>
            </w:r>
            <w:r w:rsidRPr="001A1FBA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7A1CFB">
              <w:rPr>
                <w:rFonts w:ascii="Arial" w:hAnsi="Arial" w:cs="Arial"/>
                <w:bCs/>
                <w:noProof/>
                <w:szCs w:val="20"/>
              </w:rPr>
              <w:t>12</w:t>
            </w:r>
            <w:r w:rsidRPr="001A1FBA">
              <w:rPr>
                <w:rFonts w:ascii="Arial" w:hAnsi="Arial" w:cs="Arial"/>
                <w:bCs/>
                <w:szCs w:val="20"/>
              </w:rPr>
              <w:fldChar w:fldCharType="end"/>
            </w:r>
            <w:r w:rsidRPr="001A1FBA">
              <w:rPr>
                <w:rFonts w:ascii="Arial" w:hAnsi="Arial" w:cs="Arial"/>
                <w:szCs w:val="20"/>
              </w:rPr>
              <w:t xml:space="preserve"> of </w:t>
            </w:r>
            <w:r w:rsidRPr="001A1FBA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1A1FBA">
              <w:rPr>
                <w:rFonts w:ascii="Arial" w:hAnsi="Arial" w:cs="Arial"/>
                <w:bCs/>
                <w:szCs w:val="20"/>
              </w:rPr>
              <w:instrText xml:space="preserve"> NUMPAGES  </w:instrText>
            </w:r>
            <w:r w:rsidRPr="001A1FBA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7A1CFB">
              <w:rPr>
                <w:rFonts w:ascii="Arial" w:hAnsi="Arial" w:cs="Arial"/>
                <w:bCs/>
                <w:noProof/>
                <w:szCs w:val="20"/>
              </w:rPr>
              <w:t>12</w:t>
            </w:r>
            <w:r w:rsidRPr="001A1FBA">
              <w:rPr>
                <w:rFonts w:ascii="Arial" w:hAnsi="Arial" w:cs="Arial"/>
                <w:bCs/>
                <w:szCs w:val="20"/>
              </w:rPr>
              <w:fldChar w:fldCharType="end"/>
            </w:r>
          </w:p>
        </w:sdtContent>
      </w:sdt>
    </w:sdtContent>
  </w:sdt>
  <w:p w14:paraId="11893A38" w14:textId="77777777" w:rsidR="00E06F8D" w:rsidRDefault="00E06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0F5C1" w14:textId="77777777" w:rsidR="004B76F3" w:rsidRDefault="004B76F3" w:rsidP="001A1FBA">
      <w:pPr>
        <w:spacing w:after="0" w:line="240" w:lineRule="auto"/>
      </w:pPr>
      <w:r>
        <w:separator/>
      </w:r>
    </w:p>
  </w:footnote>
  <w:footnote w:type="continuationSeparator" w:id="0">
    <w:p w14:paraId="3BA4151D" w14:textId="77777777" w:rsidR="004B76F3" w:rsidRDefault="004B76F3" w:rsidP="001A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BEAAC" w14:textId="77777777" w:rsidR="00E06F8D" w:rsidRDefault="00E06F8D">
    <w:pPr>
      <w:pStyle w:val="Header"/>
    </w:pPr>
    <w:r>
      <w:ptab w:relativeTo="margin" w:alignment="center" w:leader="none"/>
    </w:r>
    <w:r w:rsidRPr="001A1FBA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9B4"/>
    <w:multiLevelType w:val="hybridMultilevel"/>
    <w:tmpl w:val="AAF02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74D5"/>
    <w:multiLevelType w:val="hybridMultilevel"/>
    <w:tmpl w:val="60447B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37C21"/>
    <w:multiLevelType w:val="hybridMultilevel"/>
    <w:tmpl w:val="8BA6D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6901"/>
    <w:multiLevelType w:val="hybridMultilevel"/>
    <w:tmpl w:val="8CA046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64CDB"/>
    <w:multiLevelType w:val="hybridMultilevel"/>
    <w:tmpl w:val="539C15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3C"/>
    <w:rsid w:val="0000499A"/>
    <w:rsid w:val="000056FA"/>
    <w:rsid w:val="000224CB"/>
    <w:rsid w:val="00023349"/>
    <w:rsid w:val="00050970"/>
    <w:rsid w:val="000A59F0"/>
    <w:rsid w:val="001273F9"/>
    <w:rsid w:val="00157801"/>
    <w:rsid w:val="001A1FBA"/>
    <w:rsid w:val="001C600B"/>
    <w:rsid w:val="00213A16"/>
    <w:rsid w:val="00280B9D"/>
    <w:rsid w:val="002C273C"/>
    <w:rsid w:val="002D7212"/>
    <w:rsid w:val="00304535"/>
    <w:rsid w:val="00336ECB"/>
    <w:rsid w:val="003520AC"/>
    <w:rsid w:val="00385296"/>
    <w:rsid w:val="004026D1"/>
    <w:rsid w:val="004775F5"/>
    <w:rsid w:val="004B0DCA"/>
    <w:rsid w:val="004B76F3"/>
    <w:rsid w:val="004D16CD"/>
    <w:rsid w:val="00525E8E"/>
    <w:rsid w:val="005621B7"/>
    <w:rsid w:val="005636D3"/>
    <w:rsid w:val="005C5867"/>
    <w:rsid w:val="00616FA2"/>
    <w:rsid w:val="006A2C9D"/>
    <w:rsid w:val="006C6B1A"/>
    <w:rsid w:val="006F4064"/>
    <w:rsid w:val="00751A5E"/>
    <w:rsid w:val="00764209"/>
    <w:rsid w:val="007702F2"/>
    <w:rsid w:val="00784437"/>
    <w:rsid w:val="007A1CFB"/>
    <w:rsid w:val="00810D97"/>
    <w:rsid w:val="00874825"/>
    <w:rsid w:val="008F01BD"/>
    <w:rsid w:val="009343FA"/>
    <w:rsid w:val="009364A3"/>
    <w:rsid w:val="00942CD3"/>
    <w:rsid w:val="00996F19"/>
    <w:rsid w:val="00A3171B"/>
    <w:rsid w:val="00A93B44"/>
    <w:rsid w:val="00AA7332"/>
    <w:rsid w:val="00AD2A42"/>
    <w:rsid w:val="00AE164C"/>
    <w:rsid w:val="00B44DD6"/>
    <w:rsid w:val="00B51A4B"/>
    <w:rsid w:val="00B734EB"/>
    <w:rsid w:val="00BB36B4"/>
    <w:rsid w:val="00BC73F0"/>
    <w:rsid w:val="00C07560"/>
    <w:rsid w:val="00C45B20"/>
    <w:rsid w:val="00C8188F"/>
    <w:rsid w:val="00CD69D6"/>
    <w:rsid w:val="00D7100C"/>
    <w:rsid w:val="00D84712"/>
    <w:rsid w:val="00DA61F7"/>
    <w:rsid w:val="00DB4A87"/>
    <w:rsid w:val="00E06F8D"/>
    <w:rsid w:val="00E07B8D"/>
    <w:rsid w:val="00E141A9"/>
    <w:rsid w:val="00E64C44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D838"/>
  <w15:docId w15:val="{D6BEB761-34FD-4FA6-9A20-3FD15B0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A2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3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8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BA"/>
  </w:style>
  <w:style w:type="paragraph" w:styleId="Footer">
    <w:name w:val="footer"/>
    <w:basedOn w:val="Normal"/>
    <w:link w:val="FooterChar"/>
    <w:uiPriority w:val="99"/>
    <w:unhideWhenUsed/>
    <w:rsid w:val="001A1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BA"/>
  </w:style>
  <w:style w:type="paragraph" w:styleId="BalloonText">
    <w:name w:val="Balloon Text"/>
    <w:basedOn w:val="Normal"/>
    <w:link w:val="BalloonTextChar"/>
    <w:uiPriority w:val="99"/>
    <w:semiHidden/>
    <w:unhideWhenUsed/>
    <w:rsid w:val="00F3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A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209"/>
    <w:rPr>
      <w:b/>
      <w:bCs/>
      <w:sz w:val="20"/>
      <w:szCs w:val="20"/>
    </w:rPr>
  </w:style>
  <w:style w:type="paragraph" w:customStyle="1" w:styleId="Default">
    <w:name w:val="Default"/>
    <w:rsid w:val="0002334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jopen.bmj.com/content/3/12/e003726.fu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DF91-7298-434C-AFD0-95986CFD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Nasrul Ismail</dc:creator>
  <cp:keywords/>
  <dc:description/>
  <cp:lastModifiedBy>Nasrul</cp:lastModifiedBy>
  <cp:revision>2</cp:revision>
  <cp:lastPrinted>2017-02-16T14:10:00Z</cp:lastPrinted>
  <dcterms:created xsi:type="dcterms:W3CDTF">2017-02-24T22:19:00Z</dcterms:created>
  <dcterms:modified xsi:type="dcterms:W3CDTF">2017-02-24T22:19:00Z</dcterms:modified>
</cp:coreProperties>
</file>