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651FF" w14:textId="335BE0D0" w:rsidR="00894399" w:rsidRPr="00357B96" w:rsidRDefault="00AF3958" w:rsidP="00F307BB">
      <w:pPr>
        <w:spacing w:after="0" w:line="240" w:lineRule="auto"/>
        <w:jc w:val="both"/>
        <w:rPr>
          <w:rFonts w:ascii="Times New Roman" w:hAnsi="Times New Roman" w:cs="Times New Roman"/>
          <w:b/>
          <w:sz w:val="48"/>
          <w:szCs w:val="48"/>
        </w:rPr>
      </w:pPr>
      <w:r w:rsidRPr="00822F5E">
        <w:rPr>
          <w:rFonts w:ascii="Times New Roman" w:hAnsi="Times New Roman" w:cs="Times New Roman"/>
          <w:noProof/>
          <w:sz w:val="48"/>
          <w:szCs w:val="48"/>
          <w:lang w:val="en-GB" w:eastAsia="en-GB"/>
        </w:rPr>
        <w:drawing>
          <wp:inline distT="0" distB="0" distL="0" distR="0" wp14:anchorId="51659B93" wp14:editId="420E265A">
            <wp:extent cx="1301750" cy="1301750"/>
            <wp:effectExtent l="0" t="0" r="0" b="0"/>
            <wp:docPr id="1" name="Picture 6" descr="20080817_96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20080817_9601.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inline>
        </w:drawing>
      </w:r>
      <w:bookmarkStart w:id="0" w:name="_Hlk482809045"/>
      <w:r w:rsidR="00357B96" w:rsidRPr="00357B96">
        <w:rPr>
          <w:rFonts w:ascii="Times New Roman" w:hAnsi="Times New Roman" w:cs="Times New Roman"/>
          <w:b/>
          <w:sz w:val="52"/>
          <w:szCs w:val="52"/>
          <w:lang w:val="en-GB"/>
        </w:rPr>
        <w:t xml:space="preserve">Non-Financial Risk Disclosure: The Case </w:t>
      </w:r>
      <w:r w:rsidR="00AF416E" w:rsidRPr="00357B96">
        <w:rPr>
          <w:rFonts w:ascii="Times New Roman" w:hAnsi="Times New Roman" w:cs="Times New Roman"/>
          <w:b/>
          <w:sz w:val="52"/>
          <w:szCs w:val="52"/>
          <w:lang w:val="en-GB"/>
        </w:rPr>
        <w:t xml:space="preserve">of </w:t>
      </w:r>
      <w:r w:rsidR="00AF416E">
        <w:rPr>
          <w:rFonts w:ascii="Times New Roman" w:hAnsi="Times New Roman" w:cs="Times New Roman"/>
          <w:b/>
          <w:sz w:val="52"/>
          <w:szCs w:val="52"/>
          <w:lang w:val="en-GB"/>
        </w:rPr>
        <w:t xml:space="preserve">the </w:t>
      </w:r>
      <w:r w:rsidR="00357B96" w:rsidRPr="00357B96">
        <w:rPr>
          <w:rFonts w:ascii="Times New Roman" w:hAnsi="Times New Roman" w:cs="Times New Roman"/>
          <w:b/>
          <w:sz w:val="52"/>
          <w:szCs w:val="52"/>
          <w:lang w:val="en-GB"/>
        </w:rPr>
        <w:t>UK</w:t>
      </w:r>
      <w:r w:rsidR="00AF416E">
        <w:rPr>
          <w:rFonts w:ascii="Times New Roman" w:hAnsi="Times New Roman" w:cs="Times New Roman"/>
          <w:b/>
          <w:sz w:val="52"/>
          <w:szCs w:val="52"/>
          <w:lang w:val="en-GB"/>
        </w:rPr>
        <w:t>’s</w:t>
      </w:r>
      <w:r w:rsidR="00357B96" w:rsidRPr="00357B96">
        <w:rPr>
          <w:rFonts w:ascii="Times New Roman" w:hAnsi="Times New Roman" w:cs="Times New Roman"/>
          <w:b/>
          <w:sz w:val="52"/>
          <w:szCs w:val="52"/>
          <w:lang w:val="en-GB"/>
        </w:rPr>
        <w:t xml:space="preserve"> Distressed Banks</w:t>
      </w:r>
      <w:bookmarkEnd w:id="0"/>
    </w:p>
    <w:p w14:paraId="74D490CE" w14:textId="77777777" w:rsidR="00883A0C" w:rsidRPr="00822F5E" w:rsidRDefault="00883A0C" w:rsidP="00F307BB">
      <w:pPr>
        <w:spacing w:after="0"/>
        <w:jc w:val="both"/>
        <w:rPr>
          <w:rFonts w:ascii="Times New Roman" w:hAnsi="Times New Roman" w:cs="Times New Roman"/>
          <w:b/>
          <w:sz w:val="24"/>
          <w:szCs w:val="24"/>
        </w:rPr>
      </w:pPr>
    </w:p>
    <w:p w14:paraId="19C421B4" w14:textId="77777777" w:rsidR="00290592" w:rsidRPr="00357B96" w:rsidRDefault="00B70AB7" w:rsidP="00F307BB">
      <w:pPr>
        <w:spacing w:after="0"/>
        <w:jc w:val="both"/>
        <w:rPr>
          <w:rFonts w:ascii="Times New Roman" w:hAnsi="Times New Roman" w:cs="Times New Roman"/>
          <w:b/>
          <w:sz w:val="24"/>
          <w:szCs w:val="24"/>
        </w:rPr>
      </w:pPr>
      <w:hyperlink r:id="rId10" w:history="1">
        <w:r w:rsidR="00357B96" w:rsidRPr="00357B96">
          <w:rPr>
            <w:rStyle w:val="Hyperlink"/>
            <w:rFonts w:ascii="Times New Roman" w:hAnsi="Times New Roman" w:cs="Times New Roman"/>
            <w:b/>
            <w:color w:val="auto"/>
            <w:sz w:val="24"/>
            <w:szCs w:val="24"/>
            <w:u w:val="none"/>
          </w:rPr>
          <w:t>Ismail Adelopo</w:t>
        </w:r>
      </w:hyperlink>
      <w:r w:rsidR="00357B96" w:rsidRPr="00357B96">
        <w:rPr>
          <w:rStyle w:val="FootnoteReference"/>
          <w:rFonts w:ascii="Times New Roman" w:hAnsi="Times New Roman" w:cs="Times New Roman"/>
          <w:b/>
          <w:sz w:val="24"/>
          <w:szCs w:val="24"/>
        </w:rPr>
        <w:footnoteReference w:id="1"/>
      </w:r>
      <w:r w:rsidR="00357B96" w:rsidRPr="00357B96">
        <w:rPr>
          <w:rFonts w:ascii="Times New Roman" w:hAnsi="Times New Roman" w:cs="Times New Roman"/>
          <w:b/>
          <w:sz w:val="24"/>
          <w:szCs w:val="24"/>
        </w:rPr>
        <w:t xml:space="preserve"> </w:t>
      </w:r>
    </w:p>
    <w:p w14:paraId="144DBB67" w14:textId="77777777" w:rsidR="00822F5E" w:rsidRDefault="00822F5E" w:rsidP="00F307BB">
      <w:pPr>
        <w:spacing w:after="0"/>
        <w:jc w:val="both"/>
        <w:rPr>
          <w:rFonts w:ascii="Times New Roman" w:hAnsi="Times New Roman" w:cs="Times New Roman"/>
          <w:b/>
          <w:sz w:val="24"/>
          <w:szCs w:val="24"/>
        </w:rPr>
      </w:pPr>
    </w:p>
    <w:p w14:paraId="051B1D10" w14:textId="77777777" w:rsidR="00AF3958" w:rsidRPr="00822F5E" w:rsidRDefault="00AF3958" w:rsidP="00F307BB">
      <w:pPr>
        <w:spacing w:after="0"/>
        <w:jc w:val="both"/>
        <w:rPr>
          <w:rFonts w:ascii="Times New Roman" w:hAnsi="Times New Roman" w:cs="Times New Roman"/>
          <w:b/>
          <w:sz w:val="24"/>
          <w:szCs w:val="24"/>
        </w:rPr>
      </w:pPr>
      <w:r w:rsidRPr="00822F5E">
        <w:rPr>
          <w:rFonts w:ascii="Times New Roman" w:hAnsi="Times New Roman" w:cs="Times New Roman"/>
          <w:b/>
          <w:sz w:val="24"/>
          <w:szCs w:val="24"/>
        </w:rPr>
        <w:t>Abstract</w:t>
      </w:r>
    </w:p>
    <w:p w14:paraId="7C369C97" w14:textId="0CBFC76A" w:rsidR="00357B96" w:rsidRPr="00357B96" w:rsidRDefault="00357B96" w:rsidP="00F307BB">
      <w:pPr>
        <w:autoSpaceDE w:val="0"/>
        <w:autoSpaceDN w:val="0"/>
        <w:adjustRightInd w:val="0"/>
        <w:spacing w:after="0" w:line="240" w:lineRule="auto"/>
        <w:jc w:val="both"/>
        <w:rPr>
          <w:rFonts w:ascii="Times New Roman" w:eastAsiaTheme="minorHAnsi" w:hAnsi="Times New Roman" w:cs="Times New Roman"/>
          <w:sz w:val="24"/>
          <w:szCs w:val="24"/>
        </w:rPr>
      </w:pPr>
      <w:r w:rsidRPr="00357B96">
        <w:rPr>
          <w:rFonts w:ascii="Times New Roman" w:eastAsiaTheme="minorHAnsi" w:hAnsi="Times New Roman" w:cs="Times New Roman"/>
          <w:sz w:val="24"/>
          <w:szCs w:val="24"/>
        </w:rPr>
        <w:t>This study investigates the narratives risk disclosure</w:t>
      </w:r>
      <w:r w:rsidR="00B2060F">
        <w:rPr>
          <w:rFonts w:ascii="Times New Roman" w:eastAsiaTheme="minorHAnsi" w:hAnsi="Times New Roman" w:cs="Times New Roman"/>
          <w:sz w:val="24"/>
          <w:szCs w:val="24"/>
        </w:rPr>
        <w:t>s</w:t>
      </w:r>
      <w:r w:rsidRPr="00357B96">
        <w:rPr>
          <w:rFonts w:ascii="Times New Roman" w:eastAsiaTheme="minorHAnsi" w:hAnsi="Times New Roman" w:cs="Times New Roman"/>
          <w:sz w:val="24"/>
          <w:szCs w:val="24"/>
        </w:rPr>
        <w:t xml:space="preserve"> of the four British financial institutions that were adversely affected during the </w:t>
      </w:r>
      <w:r w:rsidR="00B2060F">
        <w:rPr>
          <w:rFonts w:ascii="Times New Roman" w:eastAsiaTheme="minorHAnsi" w:hAnsi="Times New Roman" w:cs="Times New Roman"/>
          <w:sz w:val="24"/>
          <w:szCs w:val="24"/>
        </w:rPr>
        <w:t>2008</w:t>
      </w:r>
      <w:r w:rsidRPr="00357B96">
        <w:rPr>
          <w:rFonts w:ascii="Times New Roman" w:eastAsiaTheme="minorHAnsi" w:hAnsi="Times New Roman" w:cs="Times New Roman"/>
          <w:sz w:val="24"/>
          <w:szCs w:val="24"/>
        </w:rPr>
        <w:t xml:space="preserve"> banking cris</w:t>
      </w:r>
      <w:r w:rsidR="003709CC">
        <w:rPr>
          <w:rFonts w:ascii="Times New Roman" w:eastAsiaTheme="minorHAnsi" w:hAnsi="Times New Roman" w:cs="Times New Roman"/>
          <w:sz w:val="24"/>
          <w:szCs w:val="24"/>
        </w:rPr>
        <w:t>i</w:t>
      </w:r>
      <w:r w:rsidRPr="00357B96">
        <w:rPr>
          <w:rFonts w:ascii="Times New Roman" w:eastAsiaTheme="minorHAnsi" w:hAnsi="Times New Roman" w:cs="Times New Roman"/>
          <w:sz w:val="24"/>
          <w:szCs w:val="24"/>
        </w:rPr>
        <w:t>s. This investigation uses content analysis with the aid of the Concordance software to explore the risk disclosure of these companies for period 1998-2008.</w:t>
      </w:r>
      <w:r w:rsidR="00B2060F">
        <w:rPr>
          <w:rFonts w:ascii="Times New Roman" w:eastAsiaTheme="minorHAnsi" w:hAnsi="Times New Roman" w:cs="Times New Roman"/>
          <w:sz w:val="24"/>
          <w:szCs w:val="24"/>
        </w:rPr>
        <w:t>R</w:t>
      </w:r>
      <w:r w:rsidRPr="00357B96">
        <w:rPr>
          <w:rFonts w:ascii="Times New Roman" w:eastAsiaTheme="minorHAnsi" w:hAnsi="Times New Roman" w:cs="Times New Roman"/>
          <w:sz w:val="24"/>
          <w:szCs w:val="24"/>
        </w:rPr>
        <w:t>isk disclosures</w:t>
      </w:r>
      <w:r w:rsidR="00B2060F">
        <w:rPr>
          <w:rFonts w:ascii="Times New Roman" w:eastAsiaTheme="minorHAnsi" w:hAnsi="Times New Roman" w:cs="Times New Roman"/>
          <w:sz w:val="24"/>
          <w:szCs w:val="24"/>
        </w:rPr>
        <w:t xml:space="preserve"> in </w:t>
      </w:r>
      <w:r w:rsidR="00DD48C1">
        <w:rPr>
          <w:rFonts w:ascii="Times New Roman" w:eastAsiaTheme="minorHAnsi" w:hAnsi="Times New Roman" w:cs="Times New Roman"/>
          <w:sz w:val="24"/>
          <w:szCs w:val="24"/>
        </w:rPr>
        <w:t xml:space="preserve">the </w:t>
      </w:r>
      <w:r w:rsidR="00DD48C1" w:rsidRPr="00357B96">
        <w:rPr>
          <w:rFonts w:ascii="Times New Roman" w:eastAsiaTheme="minorHAnsi" w:hAnsi="Times New Roman" w:cs="Times New Roman"/>
          <w:sz w:val="24"/>
          <w:szCs w:val="24"/>
        </w:rPr>
        <w:t>Business</w:t>
      </w:r>
      <w:r w:rsidR="00B2060F">
        <w:rPr>
          <w:rFonts w:ascii="Times New Roman" w:eastAsiaTheme="minorHAnsi" w:hAnsi="Times New Roman" w:cs="Times New Roman"/>
          <w:sz w:val="24"/>
          <w:szCs w:val="24"/>
        </w:rPr>
        <w:t xml:space="preserve"> Review </w:t>
      </w:r>
      <w:bookmarkStart w:id="1" w:name="_GoBack"/>
      <w:bookmarkEnd w:id="1"/>
      <w:r w:rsidR="00DD48C1">
        <w:rPr>
          <w:rFonts w:ascii="Times New Roman" w:eastAsiaTheme="minorHAnsi" w:hAnsi="Times New Roman" w:cs="Times New Roman"/>
          <w:sz w:val="24"/>
          <w:szCs w:val="24"/>
        </w:rPr>
        <w:t>sections of</w:t>
      </w:r>
      <w:r w:rsidR="00B2060F">
        <w:rPr>
          <w:rFonts w:ascii="Times New Roman" w:eastAsiaTheme="minorHAnsi" w:hAnsi="Times New Roman" w:cs="Times New Roman"/>
          <w:sz w:val="24"/>
          <w:szCs w:val="24"/>
        </w:rPr>
        <w:t xml:space="preserve"> the annual reports of the banks </w:t>
      </w:r>
      <w:r w:rsidRPr="00357B96">
        <w:rPr>
          <w:rFonts w:ascii="Times New Roman" w:eastAsiaTheme="minorHAnsi" w:hAnsi="Times New Roman" w:cs="Times New Roman"/>
          <w:sz w:val="24"/>
          <w:szCs w:val="24"/>
        </w:rPr>
        <w:t>were analysed into their historic and forward looking content</w:t>
      </w:r>
      <w:r w:rsidR="00B2060F">
        <w:rPr>
          <w:rFonts w:ascii="Times New Roman" w:eastAsiaTheme="minorHAnsi" w:hAnsi="Times New Roman" w:cs="Times New Roman"/>
          <w:sz w:val="24"/>
          <w:szCs w:val="24"/>
        </w:rPr>
        <w:t>s,</w:t>
      </w:r>
      <w:r w:rsidRPr="00357B96">
        <w:rPr>
          <w:rFonts w:ascii="Times New Roman" w:eastAsiaTheme="minorHAnsi" w:hAnsi="Times New Roman" w:cs="Times New Roman"/>
          <w:sz w:val="24"/>
          <w:szCs w:val="24"/>
        </w:rPr>
        <w:t xml:space="preserve"> and current firm performance was measured with respect to earnings per share and dividend while future performance was measured by growth in EPS and positive time lag in EPS.</w:t>
      </w:r>
    </w:p>
    <w:p w14:paraId="56224C62" w14:textId="026B7257" w:rsidR="00357B96" w:rsidRPr="00357B96" w:rsidRDefault="00357B96" w:rsidP="00F307BB">
      <w:pPr>
        <w:autoSpaceDE w:val="0"/>
        <w:autoSpaceDN w:val="0"/>
        <w:adjustRightInd w:val="0"/>
        <w:spacing w:after="0" w:line="240" w:lineRule="auto"/>
        <w:ind w:firstLine="720"/>
        <w:jc w:val="both"/>
        <w:rPr>
          <w:rFonts w:ascii="Times New Roman" w:eastAsiaTheme="minorHAnsi" w:hAnsi="Times New Roman" w:cs="Times New Roman"/>
          <w:sz w:val="24"/>
          <w:szCs w:val="24"/>
        </w:rPr>
      </w:pPr>
      <w:r w:rsidRPr="00357B96">
        <w:rPr>
          <w:rFonts w:ascii="Times New Roman" w:eastAsiaTheme="minorHAnsi" w:hAnsi="Times New Roman" w:cs="Times New Roman"/>
          <w:sz w:val="24"/>
          <w:szCs w:val="24"/>
        </w:rPr>
        <w:t>Consistent with its prediction</w:t>
      </w:r>
      <w:r w:rsidR="00B2060F">
        <w:rPr>
          <w:rFonts w:ascii="Times New Roman" w:eastAsiaTheme="minorHAnsi" w:hAnsi="Times New Roman" w:cs="Times New Roman"/>
          <w:sz w:val="24"/>
          <w:szCs w:val="24"/>
        </w:rPr>
        <w:t>s</w:t>
      </w:r>
      <w:r w:rsidRPr="00357B96">
        <w:rPr>
          <w:rFonts w:ascii="Times New Roman" w:eastAsiaTheme="minorHAnsi" w:hAnsi="Times New Roman" w:cs="Times New Roman"/>
          <w:sz w:val="24"/>
          <w:szCs w:val="24"/>
        </w:rPr>
        <w:t>, the study found significant negative relationship between extent of historic narrative disclosures and current and future firm performance, and a significant positive relationship between forward looking narrative risk disclosures and both current and future firm performance. Additional analysis shows that optimistic and pessimistic narrative risk disclosures are not significant in explaining current and future firm performance for these firms.</w:t>
      </w:r>
    </w:p>
    <w:p w14:paraId="7CD92B6E" w14:textId="5AF523E5" w:rsidR="00AF3958" w:rsidRPr="00822F5E" w:rsidRDefault="00357B96" w:rsidP="00F307BB">
      <w:pPr>
        <w:autoSpaceDE w:val="0"/>
        <w:autoSpaceDN w:val="0"/>
        <w:adjustRightInd w:val="0"/>
        <w:spacing w:after="0" w:line="240" w:lineRule="auto"/>
        <w:ind w:firstLine="720"/>
        <w:jc w:val="both"/>
        <w:rPr>
          <w:rFonts w:ascii="Times New Roman" w:hAnsi="Times New Roman" w:cs="Times New Roman"/>
          <w:sz w:val="24"/>
          <w:szCs w:val="24"/>
        </w:rPr>
      </w:pPr>
      <w:r w:rsidRPr="00357B96">
        <w:rPr>
          <w:rFonts w:ascii="Times New Roman" w:eastAsiaTheme="minorHAnsi" w:hAnsi="Times New Roman" w:cs="Times New Roman"/>
          <w:sz w:val="24"/>
          <w:szCs w:val="24"/>
        </w:rPr>
        <w:t xml:space="preserve">Findings from this study are important for users of </w:t>
      </w:r>
      <w:r w:rsidR="00B2060F">
        <w:rPr>
          <w:rFonts w:ascii="Times New Roman" w:eastAsiaTheme="minorHAnsi" w:hAnsi="Times New Roman" w:cs="Times New Roman"/>
          <w:sz w:val="24"/>
          <w:szCs w:val="24"/>
        </w:rPr>
        <w:t xml:space="preserve">the </w:t>
      </w:r>
      <w:r w:rsidRPr="00357B96">
        <w:rPr>
          <w:rFonts w:ascii="Times New Roman" w:eastAsiaTheme="minorHAnsi" w:hAnsi="Times New Roman" w:cs="Times New Roman"/>
          <w:sz w:val="24"/>
          <w:szCs w:val="24"/>
        </w:rPr>
        <w:t xml:space="preserve">financial statements and regulator because </w:t>
      </w:r>
      <w:r w:rsidR="00540B9B">
        <w:rPr>
          <w:rFonts w:ascii="Times New Roman" w:eastAsiaTheme="minorHAnsi" w:hAnsi="Times New Roman" w:cs="Times New Roman"/>
          <w:sz w:val="24"/>
          <w:szCs w:val="24"/>
        </w:rPr>
        <w:t>they</w:t>
      </w:r>
      <w:r w:rsidRPr="00357B96">
        <w:rPr>
          <w:rFonts w:ascii="Times New Roman" w:eastAsiaTheme="minorHAnsi" w:hAnsi="Times New Roman" w:cs="Times New Roman"/>
          <w:sz w:val="24"/>
          <w:szCs w:val="24"/>
        </w:rPr>
        <w:t xml:space="preserve"> </w:t>
      </w:r>
      <w:r w:rsidR="00DD48C1" w:rsidRPr="00357B96">
        <w:rPr>
          <w:rFonts w:ascii="Times New Roman" w:eastAsiaTheme="minorHAnsi" w:hAnsi="Times New Roman" w:cs="Times New Roman"/>
          <w:sz w:val="24"/>
          <w:szCs w:val="24"/>
        </w:rPr>
        <w:t>highlight opportunity</w:t>
      </w:r>
      <w:r w:rsidRPr="00357B96">
        <w:rPr>
          <w:rFonts w:ascii="Times New Roman" w:eastAsiaTheme="minorHAnsi" w:hAnsi="Times New Roman" w:cs="Times New Roman"/>
          <w:sz w:val="24"/>
          <w:szCs w:val="24"/>
        </w:rPr>
        <w:t xml:space="preserve"> to detect warning signals for companies at risk of collapse. The study adds to the growing number of empirical investigations that provide alternative approach to understanding business failures</w:t>
      </w:r>
      <w:r w:rsidR="00540B9B">
        <w:rPr>
          <w:rFonts w:ascii="Times New Roman" w:eastAsiaTheme="minorHAnsi" w:hAnsi="Times New Roman" w:cs="Times New Roman"/>
          <w:sz w:val="24"/>
          <w:szCs w:val="24"/>
        </w:rPr>
        <w:t>.</w:t>
      </w:r>
      <w:r w:rsidRPr="00357B96">
        <w:rPr>
          <w:rFonts w:ascii="Times New Roman" w:eastAsiaTheme="minorHAnsi" w:hAnsi="Times New Roman" w:cs="Times New Roman"/>
          <w:sz w:val="24"/>
          <w:szCs w:val="24"/>
        </w:rPr>
        <w:t xml:space="preserve"> </w:t>
      </w:r>
    </w:p>
    <w:p w14:paraId="32642761" w14:textId="77777777" w:rsidR="00822F5E" w:rsidRPr="00822F5E" w:rsidRDefault="00822F5E" w:rsidP="00F307BB">
      <w:pPr>
        <w:spacing w:after="0" w:line="240" w:lineRule="auto"/>
        <w:jc w:val="both"/>
        <w:rPr>
          <w:rFonts w:ascii="Times New Roman" w:eastAsia="Times New Roman" w:hAnsi="Times New Roman" w:cs="Times New Roman"/>
          <w:b/>
          <w:color w:val="000000"/>
          <w:sz w:val="24"/>
          <w:szCs w:val="24"/>
          <w:lang w:val="en-GB"/>
        </w:rPr>
      </w:pPr>
    </w:p>
    <w:p w14:paraId="47477700" w14:textId="77777777" w:rsidR="00AF3958" w:rsidRPr="00822F5E" w:rsidRDefault="00AF3958" w:rsidP="00F307BB">
      <w:pPr>
        <w:spacing w:after="0" w:line="240" w:lineRule="auto"/>
        <w:jc w:val="both"/>
        <w:rPr>
          <w:rFonts w:ascii="Times New Roman" w:eastAsia="Times New Roman" w:hAnsi="Times New Roman" w:cs="Times New Roman"/>
          <w:color w:val="000000"/>
          <w:sz w:val="24"/>
          <w:szCs w:val="24"/>
          <w:lang w:val="en-GB"/>
        </w:rPr>
      </w:pPr>
      <w:r w:rsidRPr="00822F5E">
        <w:rPr>
          <w:rFonts w:ascii="Times New Roman" w:eastAsia="Times New Roman" w:hAnsi="Times New Roman" w:cs="Times New Roman"/>
          <w:b/>
          <w:color w:val="000000"/>
          <w:sz w:val="24"/>
          <w:szCs w:val="24"/>
          <w:lang w:val="en-GB"/>
        </w:rPr>
        <w:t>JEL Classification:</w:t>
      </w:r>
      <w:r w:rsidR="0051776F" w:rsidRPr="00822F5E">
        <w:rPr>
          <w:rFonts w:ascii="Times New Roman" w:eastAsia="Times New Roman" w:hAnsi="Times New Roman" w:cs="Times New Roman"/>
          <w:color w:val="000000"/>
          <w:sz w:val="24"/>
          <w:szCs w:val="24"/>
          <w:lang w:val="en-GB"/>
        </w:rPr>
        <w:t xml:space="preserve"> </w:t>
      </w:r>
      <w:r w:rsidR="00357B96">
        <w:rPr>
          <w:rFonts w:ascii="Times New Roman" w:eastAsia="Times New Roman" w:hAnsi="Times New Roman" w:cs="Times New Roman"/>
          <w:color w:val="000000"/>
          <w:sz w:val="24"/>
          <w:szCs w:val="24"/>
          <w:lang w:val="en-GB"/>
        </w:rPr>
        <w:t>M40</w:t>
      </w:r>
    </w:p>
    <w:p w14:paraId="1BAD0EC6" w14:textId="77777777" w:rsidR="00AF3958" w:rsidRPr="00822F5E" w:rsidRDefault="00AF3958" w:rsidP="00F307BB">
      <w:pPr>
        <w:spacing w:after="0" w:line="240" w:lineRule="auto"/>
        <w:jc w:val="both"/>
        <w:rPr>
          <w:rFonts w:ascii="Times New Roman" w:eastAsia="Times New Roman" w:hAnsi="Times New Roman" w:cs="Times New Roman"/>
          <w:color w:val="000000"/>
          <w:sz w:val="24"/>
          <w:szCs w:val="24"/>
          <w:lang w:val="en-GB"/>
        </w:rPr>
      </w:pPr>
    </w:p>
    <w:p w14:paraId="591C7840" w14:textId="77777777" w:rsidR="00AF3958" w:rsidRDefault="00AF3958" w:rsidP="00F307BB">
      <w:pPr>
        <w:spacing w:after="0"/>
        <w:jc w:val="both"/>
        <w:rPr>
          <w:rFonts w:ascii="Times New Roman" w:hAnsi="Times New Roman" w:cs="Times New Roman"/>
          <w:sz w:val="24"/>
          <w:szCs w:val="24"/>
        </w:rPr>
      </w:pPr>
      <w:r w:rsidRPr="00822F5E">
        <w:rPr>
          <w:rFonts w:ascii="Times New Roman" w:eastAsia="Times New Roman" w:hAnsi="Times New Roman" w:cs="Times New Roman"/>
          <w:b/>
          <w:color w:val="000000"/>
          <w:sz w:val="24"/>
          <w:szCs w:val="24"/>
          <w:lang w:val="en-GB"/>
        </w:rPr>
        <w:t>Keywords:</w:t>
      </w:r>
      <w:r w:rsidR="00A7102F" w:rsidRPr="00822F5E">
        <w:rPr>
          <w:rFonts w:ascii="Times New Roman" w:hAnsi="Times New Roman" w:cs="Times New Roman"/>
          <w:sz w:val="24"/>
          <w:szCs w:val="24"/>
        </w:rPr>
        <w:t xml:space="preserve"> </w:t>
      </w:r>
      <w:r w:rsidR="00357B96" w:rsidRPr="00357B96">
        <w:rPr>
          <w:rFonts w:ascii="Times New Roman" w:hAnsi="Times New Roman" w:cs="Times New Roman"/>
          <w:sz w:val="24"/>
          <w:szCs w:val="24"/>
        </w:rPr>
        <w:t>Risk Disclosure; Narratives; Business failures; Content Analysis; Panel Approach</w:t>
      </w:r>
      <w:r w:rsidR="00F307BB">
        <w:rPr>
          <w:rFonts w:ascii="Times New Roman" w:hAnsi="Times New Roman" w:cs="Times New Roman"/>
          <w:sz w:val="24"/>
          <w:szCs w:val="24"/>
        </w:rPr>
        <w:t xml:space="preserve">, </w:t>
      </w:r>
      <w:proofErr w:type="spellStart"/>
      <w:r w:rsidR="00F307BB">
        <w:rPr>
          <w:rFonts w:ascii="Times New Roman" w:hAnsi="Times New Roman" w:cs="Times New Roman"/>
          <w:sz w:val="24"/>
          <w:szCs w:val="24"/>
        </w:rPr>
        <w:t>Nothern</w:t>
      </w:r>
      <w:proofErr w:type="spellEnd"/>
      <w:r w:rsidR="00F307BB">
        <w:rPr>
          <w:rFonts w:ascii="Times New Roman" w:hAnsi="Times New Roman" w:cs="Times New Roman"/>
          <w:sz w:val="24"/>
          <w:szCs w:val="24"/>
        </w:rPr>
        <w:t xml:space="preserve"> Rock; Bradford and Bingley; Royal Bank of Scotland; Halifax Bank of Scotland</w:t>
      </w:r>
      <w:r w:rsidR="00357B96" w:rsidRPr="00357B96">
        <w:rPr>
          <w:rFonts w:ascii="Times New Roman" w:hAnsi="Times New Roman" w:cs="Times New Roman"/>
          <w:sz w:val="24"/>
          <w:szCs w:val="24"/>
        </w:rPr>
        <w:t xml:space="preserve"> </w:t>
      </w:r>
    </w:p>
    <w:p w14:paraId="343E238A" w14:textId="77777777" w:rsidR="00F307BB" w:rsidRDefault="00F307BB" w:rsidP="00F307BB">
      <w:pPr>
        <w:spacing w:after="0"/>
        <w:jc w:val="both"/>
        <w:rPr>
          <w:rFonts w:ascii="Times New Roman" w:hAnsi="Times New Roman" w:cs="Times New Roman"/>
          <w:sz w:val="24"/>
          <w:szCs w:val="24"/>
        </w:rPr>
      </w:pPr>
    </w:p>
    <w:p w14:paraId="4EE63B60" w14:textId="77777777" w:rsidR="00F307BB" w:rsidRPr="00822F5E" w:rsidRDefault="00F307BB" w:rsidP="00F307BB">
      <w:pPr>
        <w:spacing w:after="0"/>
        <w:jc w:val="both"/>
        <w:rPr>
          <w:rFonts w:ascii="Times New Roman" w:hAnsi="Times New Roman" w:cs="Times New Roman"/>
          <w:sz w:val="24"/>
          <w:szCs w:val="24"/>
        </w:rPr>
      </w:pPr>
    </w:p>
    <w:p w14:paraId="7180AE55" w14:textId="77777777" w:rsidR="00822F5E" w:rsidRPr="00822F5E" w:rsidRDefault="00822F5E" w:rsidP="00F307BB">
      <w:pPr>
        <w:spacing w:after="0" w:line="259" w:lineRule="auto"/>
        <w:rPr>
          <w:rFonts w:ascii="Times New Roman" w:eastAsiaTheme="majorEastAsia" w:hAnsi="Times New Roman" w:cs="Times New Roman"/>
          <w:b/>
          <w:bCs/>
          <w:color w:val="2E74B5" w:themeColor="accent1" w:themeShade="BF"/>
          <w:sz w:val="28"/>
          <w:szCs w:val="28"/>
        </w:rPr>
      </w:pPr>
    </w:p>
    <w:p w14:paraId="70ACF8A0" w14:textId="77777777" w:rsidR="00357B96" w:rsidRPr="00357B96" w:rsidRDefault="00357B96" w:rsidP="00F307BB">
      <w:pPr>
        <w:numPr>
          <w:ilvl w:val="0"/>
          <w:numId w:val="35"/>
        </w:numPr>
        <w:spacing w:after="0" w:line="240" w:lineRule="auto"/>
        <w:jc w:val="both"/>
        <w:rPr>
          <w:rFonts w:ascii="Times New Roman" w:eastAsia="Calibri" w:hAnsi="Times New Roman" w:cs="Times New Roman"/>
          <w:b/>
          <w:i/>
          <w:sz w:val="24"/>
          <w:szCs w:val="24"/>
          <w:lang w:val="en-GB"/>
        </w:rPr>
      </w:pPr>
      <w:r w:rsidRPr="00357B96">
        <w:rPr>
          <w:rFonts w:ascii="Times New Roman" w:eastAsia="Calibri" w:hAnsi="Times New Roman" w:cs="Times New Roman"/>
          <w:b/>
          <w:sz w:val="24"/>
          <w:szCs w:val="24"/>
          <w:lang w:val="en-GB"/>
        </w:rPr>
        <w:t xml:space="preserve">Introduction </w:t>
      </w:r>
    </w:p>
    <w:p w14:paraId="36CAF4CE" w14:textId="77777777" w:rsidR="00F307BB" w:rsidRDefault="00F307BB" w:rsidP="00F307BB">
      <w:pPr>
        <w:spacing w:after="0" w:line="240" w:lineRule="auto"/>
        <w:jc w:val="both"/>
        <w:rPr>
          <w:rFonts w:ascii="Times New Roman" w:eastAsia="Calibri" w:hAnsi="Times New Roman" w:cs="Times New Roman"/>
          <w:sz w:val="24"/>
          <w:szCs w:val="24"/>
          <w:lang w:val="en-GB"/>
        </w:rPr>
      </w:pPr>
    </w:p>
    <w:p w14:paraId="231E6538" w14:textId="024D6ABD"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There are increasing number of studies addressing behavioural finance issues including for example, impress</w:t>
      </w:r>
      <w:r w:rsidR="00F307BB">
        <w:rPr>
          <w:rFonts w:ascii="Times New Roman" w:eastAsia="Calibri" w:hAnsi="Times New Roman" w:cs="Times New Roman"/>
          <w:sz w:val="24"/>
          <w:szCs w:val="24"/>
          <w:lang w:val="en-GB"/>
        </w:rPr>
        <w:t xml:space="preserve">ion management (Garcia Osman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Guillamon-Saorin</w:t>
      </w:r>
      <w:proofErr w:type="spellEnd"/>
      <w:r w:rsidRPr="00357B96">
        <w:rPr>
          <w:rFonts w:ascii="Times New Roman" w:eastAsia="Calibri" w:hAnsi="Times New Roman" w:cs="Times New Roman"/>
          <w:sz w:val="24"/>
          <w:szCs w:val="24"/>
          <w:lang w:val="en-GB"/>
        </w:rPr>
        <w:t xml:space="preserve">, 2011; Godfrey et al., 2003; </w:t>
      </w:r>
      <w:proofErr w:type="spellStart"/>
      <w:r w:rsidRPr="00357B96">
        <w:rPr>
          <w:rFonts w:ascii="Times New Roman" w:eastAsia="Calibri" w:hAnsi="Times New Roman" w:cs="Times New Roman"/>
          <w:sz w:val="24"/>
          <w:szCs w:val="24"/>
          <w:lang w:val="en-GB"/>
        </w:rPr>
        <w:t>Aerts</w:t>
      </w:r>
      <w:proofErr w:type="spellEnd"/>
      <w:r w:rsidRPr="00357B96">
        <w:rPr>
          <w:rFonts w:ascii="Times New Roman" w:eastAsia="Calibri" w:hAnsi="Times New Roman" w:cs="Times New Roman"/>
          <w:sz w:val="24"/>
          <w:szCs w:val="24"/>
          <w:lang w:val="en-GB"/>
        </w:rPr>
        <w:t>, 2005), narrative tones (</w:t>
      </w:r>
      <w:proofErr w:type="spellStart"/>
      <w:r w:rsidRPr="00357B96">
        <w:rPr>
          <w:rFonts w:ascii="Times New Roman" w:eastAsia="Calibri" w:hAnsi="Times New Roman" w:cs="Times New Roman"/>
          <w:sz w:val="24"/>
          <w:szCs w:val="24"/>
          <w:lang w:val="en-GB"/>
        </w:rPr>
        <w:t>Clatw</w:t>
      </w:r>
      <w:r w:rsidR="00F307BB">
        <w:rPr>
          <w:rFonts w:ascii="Times New Roman" w:eastAsia="Calibri" w:hAnsi="Times New Roman" w:cs="Times New Roman"/>
          <w:sz w:val="24"/>
          <w:szCs w:val="24"/>
          <w:lang w:val="en-GB"/>
        </w:rPr>
        <w:t>orthy</w:t>
      </w:r>
      <w:proofErr w:type="spellEnd"/>
      <w:r w:rsidR="00F307BB">
        <w:rPr>
          <w:rFonts w:ascii="Times New Roman" w:eastAsia="Calibri" w:hAnsi="Times New Roman" w:cs="Times New Roman"/>
          <w:sz w:val="24"/>
          <w:szCs w:val="24"/>
          <w:lang w:val="en-GB"/>
        </w:rPr>
        <w:t xml:space="preserve"> and Jones, 2003; Smith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Taffler</w:t>
      </w:r>
      <w:proofErr w:type="spellEnd"/>
      <w:r w:rsidRPr="00357B96">
        <w:rPr>
          <w:rFonts w:ascii="Times New Roman" w:eastAsia="Calibri" w:hAnsi="Times New Roman" w:cs="Times New Roman"/>
          <w:sz w:val="24"/>
          <w:szCs w:val="24"/>
          <w:lang w:val="en-GB"/>
        </w:rPr>
        <w:t xml:space="preserve">, 2000; </w:t>
      </w:r>
      <w:proofErr w:type="spellStart"/>
      <w:r w:rsidRPr="00357B96">
        <w:rPr>
          <w:rFonts w:ascii="Times New Roman" w:eastAsia="Calibri" w:hAnsi="Times New Roman" w:cs="Times New Roman"/>
          <w:sz w:val="24"/>
          <w:szCs w:val="24"/>
          <w:lang w:val="en-GB"/>
        </w:rPr>
        <w:t>Hooghiemstra</w:t>
      </w:r>
      <w:proofErr w:type="spellEnd"/>
      <w:r w:rsidRPr="00357B96">
        <w:rPr>
          <w:rFonts w:ascii="Times New Roman" w:eastAsia="Calibri" w:hAnsi="Times New Roman" w:cs="Times New Roman"/>
          <w:sz w:val="24"/>
          <w:szCs w:val="24"/>
          <w:lang w:val="en-GB"/>
        </w:rPr>
        <w:t>, 2000), management optimism and overconfidence (C</w:t>
      </w:r>
      <w:r w:rsidR="00F307BB">
        <w:rPr>
          <w:rFonts w:ascii="Times New Roman" w:eastAsia="Calibri" w:hAnsi="Times New Roman" w:cs="Times New Roman"/>
          <w:sz w:val="24"/>
          <w:szCs w:val="24"/>
          <w:lang w:val="en-GB"/>
        </w:rPr>
        <w:t xml:space="preserve">ampbell et al., 2011; </w:t>
      </w:r>
      <w:proofErr w:type="spellStart"/>
      <w:r w:rsidR="00F307BB">
        <w:rPr>
          <w:rFonts w:ascii="Times New Roman" w:eastAsia="Calibri" w:hAnsi="Times New Roman" w:cs="Times New Roman"/>
          <w:sz w:val="24"/>
          <w:szCs w:val="24"/>
          <w:lang w:val="en-GB"/>
        </w:rPr>
        <w:t>Doukas</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lastRenderedPageBreak/>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Petmezas</w:t>
      </w:r>
      <w:proofErr w:type="spellEnd"/>
      <w:r w:rsidRPr="00357B96">
        <w:rPr>
          <w:rFonts w:ascii="Times New Roman" w:eastAsia="Calibri" w:hAnsi="Times New Roman" w:cs="Times New Roman"/>
          <w:sz w:val="24"/>
          <w:szCs w:val="24"/>
          <w:lang w:val="en-GB"/>
        </w:rPr>
        <w:t xml:space="preserve">, 2007; Trevelyan, 2008;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xml:space="preserve"> et al., 2003). These areas of finance research are receiving increased attention as it is becoming obvious that non-financial information is also important in understanding management intentions and decision making. Although the financial crisis has been the focus on many studies, no recent study has considered the risk disclosure dimensions of this period and their information content, especially the performance related signals in the risk disclosure of the distressed UK banks.  </w:t>
      </w:r>
    </w:p>
    <w:p w14:paraId="601DDBC6" w14:textId="77777777" w:rsidR="00F307BB" w:rsidRDefault="00F307BB" w:rsidP="00F307BB">
      <w:pPr>
        <w:spacing w:after="0" w:line="240" w:lineRule="auto"/>
        <w:ind w:firstLine="720"/>
        <w:jc w:val="both"/>
        <w:rPr>
          <w:rFonts w:ascii="Times New Roman" w:eastAsia="Calibri" w:hAnsi="Times New Roman" w:cs="Times New Roman"/>
          <w:sz w:val="24"/>
          <w:szCs w:val="24"/>
          <w:lang w:val="en-GB"/>
        </w:rPr>
      </w:pPr>
    </w:p>
    <w:p w14:paraId="7485313D" w14:textId="6F04830A"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This study examined the case of the four UK banks that were distressed during the rare and relatively (since 1866; run on </w:t>
      </w:r>
      <w:proofErr w:type="spellStart"/>
      <w:r w:rsidRPr="00357B96">
        <w:rPr>
          <w:rFonts w:ascii="Times New Roman" w:eastAsia="Calibri" w:hAnsi="Times New Roman" w:cs="Times New Roman"/>
          <w:sz w:val="24"/>
          <w:szCs w:val="24"/>
          <w:lang w:val="en-GB"/>
        </w:rPr>
        <w:t>Overend</w:t>
      </w:r>
      <w:proofErr w:type="spellEnd"/>
      <w:r w:rsidRPr="00357B96">
        <w:rPr>
          <w:rFonts w:ascii="Times New Roman" w:eastAsia="Calibri" w:hAnsi="Times New Roman" w:cs="Times New Roman"/>
          <w:sz w:val="24"/>
          <w:szCs w:val="24"/>
          <w:lang w:val="en-GB"/>
        </w:rPr>
        <w:t xml:space="preserve"> Gurney) unprecedented events of the banking crisis and the symbolic Banking run of 2007 in the UK. The financial crisis has had far reaching implications on various aspects of finance and financial managements including for example, banking and financial regulation, investment and financing decisions, and risk management (House of Commons, 2009). Consistent with previous studies that have addressed the recent financial crisis (Shin, 2009; Congdon et al., 2009; Hall, 2008; Chick, 2008; </w:t>
      </w:r>
      <w:proofErr w:type="spellStart"/>
      <w:r w:rsidRPr="00357B96">
        <w:rPr>
          <w:rFonts w:ascii="Times New Roman" w:eastAsia="Calibri" w:hAnsi="Times New Roman" w:cs="Times New Roman"/>
          <w:sz w:val="24"/>
          <w:szCs w:val="24"/>
          <w:lang w:val="en-GB"/>
        </w:rPr>
        <w:t>Lastra</w:t>
      </w:r>
      <w:proofErr w:type="spellEnd"/>
      <w:r w:rsidRPr="00357B96">
        <w:rPr>
          <w:rFonts w:ascii="Times New Roman" w:eastAsia="Calibri" w:hAnsi="Times New Roman" w:cs="Times New Roman"/>
          <w:sz w:val="24"/>
          <w:szCs w:val="24"/>
          <w:lang w:val="en-GB"/>
        </w:rPr>
        <w:t>, 2008; Acharya et al., 2009; Goddard et al., 2009), this study adopts a case study approach which necessarily restricts the observation</w:t>
      </w:r>
      <w:r w:rsidR="00B2060F">
        <w:rPr>
          <w:rFonts w:ascii="Times New Roman" w:eastAsia="Calibri" w:hAnsi="Times New Roman" w:cs="Times New Roman"/>
          <w:sz w:val="24"/>
          <w:szCs w:val="24"/>
          <w:lang w:val="en-GB"/>
        </w:rPr>
        <w:t>s</w:t>
      </w:r>
      <w:r w:rsidRPr="00357B96">
        <w:rPr>
          <w:rFonts w:ascii="Times New Roman" w:eastAsia="Calibri" w:hAnsi="Times New Roman" w:cs="Times New Roman"/>
          <w:sz w:val="24"/>
          <w:szCs w:val="24"/>
          <w:lang w:val="en-GB"/>
        </w:rPr>
        <w:t xml:space="preserve"> for the investigation although it may not prevent meaningful empirical analysis as it allows an in-depth analysis of limited number of observations (</w:t>
      </w:r>
      <w:proofErr w:type="spellStart"/>
      <w:r w:rsidRPr="00357B96">
        <w:rPr>
          <w:rFonts w:ascii="Times New Roman" w:eastAsia="Calibri" w:hAnsi="Times New Roman" w:cs="Times New Roman"/>
          <w:sz w:val="24"/>
          <w:szCs w:val="24"/>
          <w:lang w:val="en-GB"/>
        </w:rPr>
        <w:t>Seawri</w:t>
      </w:r>
      <w:r w:rsidR="00F307BB">
        <w:rPr>
          <w:rFonts w:ascii="Times New Roman" w:eastAsia="Calibri" w:hAnsi="Times New Roman" w:cs="Times New Roman"/>
          <w:sz w:val="24"/>
          <w:szCs w:val="24"/>
          <w:lang w:val="en-GB"/>
        </w:rPr>
        <w:t>ght</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Gerring</w:t>
      </w:r>
      <w:proofErr w:type="spellEnd"/>
      <w:r w:rsidRPr="00357B96">
        <w:rPr>
          <w:rFonts w:ascii="Times New Roman" w:eastAsia="Calibri" w:hAnsi="Times New Roman" w:cs="Times New Roman"/>
          <w:sz w:val="24"/>
          <w:szCs w:val="24"/>
          <w:lang w:val="en-GB"/>
        </w:rPr>
        <w:t xml:space="preserve">, 2008).  </w:t>
      </w:r>
    </w:p>
    <w:p w14:paraId="34BEEA18" w14:textId="77777777" w:rsidR="00F307BB" w:rsidRDefault="00F307BB" w:rsidP="00F307BB">
      <w:pPr>
        <w:spacing w:after="0" w:line="240" w:lineRule="auto"/>
        <w:ind w:firstLine="360"/>
        <w:jc w:val="both"/>
        <w:rPr>
          <w:rFonts w:ascii="Times New Roman" w:eastAsia="Calibri" w:hAnsi="Times New Roman" w:cs="Times New Roman"/>
          <w:sz w:val="24"/>
          <w:szCs w:val="24"/>
          <w:lang w:val="en-GB"/>
        </w:rPr>
      </w:pPr>
    </w:p>
    <w:p w14:paraId="1B277B27" w14:textId="1B240130" w:rsidR="00357B96" w:rsidRPr="00357B96" w:rsidRDefault="00357B96" w:rsidP="00F307BB">
      <w:pPr>
        <w:spacing w:after="0" w:line="240" w:lineRule="auto"/>
        <w:ind w:firstLine="36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The focus of analysis in this investigation is on the non-financial narrative information in the risk disclosure contained in the Business Review section of the annual reports of Northern Rock, Bradford and Bingley, Halifax Bank of Scotland and Royal Bank of Scotland. The main issue addressed in this paper is </w:t>
      </w:r>
      <w:r w:rsidR="00B2060F">
        <w:rPr>
          <w:rFonts w:ascii="Times New Roman" w:eastAsia="Calibri" w:hAnsi="Times New Roman" w:cs="Times New Roman"/>
          <w:sz w:val="24"/>
          <w:szCs w:val="24"/>
          <w:lang w:val="en-GB"/>
        </w:rPr>
        <w:t xml:space="preserve">the </w:t>
      </w:r>
      <w:r w:rsidRPr="00357B96">
        <w:rPr>
          <w:rFonts w:ascii="Times New Roman" w:eastAsia="Calibri" w:hAnsi="Times New Roman" w:cs="Times New Roman"/>
          <w:sz w:val="24"/>
          <w:szCs w:val="24"/>
          <w:lang w:val="en-GB"/>
        </w:rPr>
        <w:t>features of the risk disclosure by these banks and whether there are credible signals about their distress in the non-financial narratives in their annual reports. The rest of the paper is structured as follow; section 2 discusses the Banking Crises in the UK. Section 3 presents the literature review and hypotheses. Section 4 presents the methodology. Section 5 presents results and analys</w:t>
      </w:r>
      <w:r w:rsidR="003709CC">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of findings. Section 6 concludes the paper and identifies opportunities for future research</w:t>
      </w:r>
    </w:p>
    <w:p w14:paraId="54AC583D"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p w14:paraId="72C20A87" w14:textId="4F4E3DDE" w:rsidR="00357B96" w:rsidRPr="00357B96" w:rsidRDefault="00357B96" w:rsidP="00F307BB">
      <w:pPr>
        <w:numPr>
          <w:ilvl w:val="0"/>
          <w:numId w:val="35"/>
        </w:num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The UK Banking Cris</w:t>
      </w:r>
      <w:r w:rsidR="003709CC">
        <w:rPr>
          <w:rFonts w:ascii="Times New Roman" w:eastAsia="Calibri" w:hAnsi="Times New Roman" w:cs="Times New Roman"/>
          <w:b/>
          <w:sz w:val="24"/>
          <w:szCs w:val="24"/>
          <w:lang w:val="en-GB"/>
        </w:rPr>
        <w:t>i</w:t>
      </w:r>
      <w:r w:rsidRPr="00357B96">
        <w:rPr>
          <w:rFonts w:ascii="Times New Roman" w:eastAsia="Calibri" w:hAnsi="Times New Roman" w:cs="Times New Roman"/>
          <w:b/>
          <w:sz w:val="24"/>
          <w:szCs w:val="24"/>
          <w:lang w:val="en-GB"/>
        </w:rPr>
        <w:t xml:space="preserve">s </w:t>
      </w:r>
    </w:p>
    <w:p w14:paraId="191ACC3D" w14:textId="77777777" w:rsidR="00F307BB" w:rsidRDefault="00F307BB" w:rsidP="00F307BB">
      <w:pPr>
        <w:spacing w:after="0" w:line="240" w:lineRule="auto"/>
        <w:jc w:val="both"/>
        <w:rPr>
          <w:rFonts w:ascii="Times New Roman" w:eastAsia="Calibri" w:hAnsi="Times New Roman" w:cs="Times New Roman"/>
          <w:sz w:val="24"/>
          <w:szCs w:val="24"/>
        </w:rPr>
      </w:pPr>
    </w:p>
    <w:p w14:paraId="341A08EB" w14:textId="77777777" w:rsidR="00D40B3A" w:rsidRDefault="00357B96" w:rsidP="00F307BB">
      <w:pPr>
        <w:spacing w:after="0" w:line="240" w:lineRule="auto"/>
        <w:jc w:val="both"/>
        <w:rPr>
          <w:rFonts w:ascii="Times New Roman" w:eastAsia="Calibri" w:hAnsi="Times New Roman" w:cs="Times New Roman"/>
          <w:sz w:val="24"/>
          <w:szCs w:val="24"/>
        </w:rPr>
      </w:pPr>
      <w:r w:rsidRPr="00357B96">
        <w:rPr>
          <w:rFonts w:ascii="Times New Roman" w:eastAsia="Calibri" w:hAnsi="Times New Roman" w:cs="Times New Roman"/>
          <w:sz w:val="24"/>
          <w:szCs w:val="24"/>
        </w:rPr>
        <w:t>The UK has a long and well-established banking history that dates back centuries and one of the most concentrated banking sectors with the four biggest banks accounting for about 85% of the small lending market (</w:t>
      </w:r>
      <w:proofErr w:type="spellStart"/>
      <w:r w:rsidRPr="00357B96">
        <w:rPr>
          <w:rFonts w:ascii="Times New Roman" w:eastAsia="Calibri" w:hAnsi="Times New Roman" w:cs="Times New Roman"/>
          <w:sz w:val="24"/>
          <w:szCs w:val="24"/>
        </w:rPr>
        <w:t>Liikanen</w:t>
      </w:r>
      <w:proofErr w:type="spellEnd"/>
      <w:r w:rsidRPr="00357B96">
        <w:rPr>
          <w:rFonts w:ascii="Times New Roman" w:eastAsia="Calibri" w:hAnsi="Times New Roman" w:cs="Times New Roman"/>
          <w:sz w:val="24"/>
          <w:szCs w:val="24"/>
        </w:rPr>
        <w:t>, 2012). Table 1 below shows the market capitalisations of the UK banks in the FTSE 100 index during and after the financial crisis. The FTSE 100 represents 85% of the total market capitalisation of the companies listed on the London Stock Exchange.  The five biggest banks (which used to be 10 biggest Major British Banking Group and used to consist of the nine institutions in Table 1 below plus Abbey National but now essentially consist of the five that survived the banking crisis; (HSBC, Barclays, RBS, Lloyds Banking Group and Standard Chartered) account for roughly 25% of this total.</w:t>
      </w:r>
    </w:p>
    <w:p w14:paraId="65D4E128"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Table</w:t>
      </w:r>
      <w:r>
        <w:rPr>
          <w:rFonts w:ascii="Times New Roman" w:eastAsia="Calibri" w:hAnsi="Times New Roman" w:cs="Times New Roman"/>
          <w:b/>
          <w:sz w:val="24"/>
          <w:szCs w:val="24"/>
          <w:lang w:val="en-GB"/>
        </w:rPr>
        <w:t xml:space="preserve"> </w:t>
      </w:r>
      <w:r w:rsidRPr="00357B96">
        <w:rPr>
          <w:rFonts w:ascii="Times New Roman" w:eastAsia="Calibri" w:hAnsi="Times New Roman" w:cs="Times New Roman"/>
          <w:b/>
          <w:sz w:val="24"/>
          <w:szCs w:val="24"/>
          <w:lang w:val="en-GB"/>
        </w:rPr>
        <w:t>1: Market Capitalisation of Banks in the FTSE100 (2007-2009) (£Billion)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276"/>
        <w:gridCol w:w="1276"/>
        <w:gridCol w:w="1276"/>
        <w:gridCol w:w="1337"/>
      </w:tblGrid>
      <w:tr w:rsidR="00357B96" w:rsidRPr="00357B96" w14:paraId="542463F1" w14:textId="77777777" w:rsidTr="00AF10A4">
        <w:tc>
          <w:tcPr>
            <w:tcW w:w="4077" w:type="dxa"/>
            <w:shd w:val="clear" w:color="auto" w:fill="auto"/>
          </w:tcPr>
          <w:p w14:paraId="32CEA7CE"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Banks in the FTSE 100</w:t>
            </w:r>
          </w:p>
        </w:tc>
        <w:tc>
          <w:tcPr>
            <w:tcW w:w="1276" w:type="dxa"/>
            <w:shd w:val="clear" w:color="auto" w:fill="auto"/>
          </w:tcPr>
          <w:p w14:paraId="3D084F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 April 2007</w:t>
            </w:r>
          </w:p>
        </w:tc>
        <w:tc>
          <w:tcPr>
            <w:tcW w:w="1276" w:type="dxa"/>
            <w:shd w:val="clear" w:color="auto" w:fill="auto"/>
          </w:tcPr>
          <w:p w14:paraId="02D9B8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07 April 2008</w:t>
            </w:r>
          </w:p>
        </w:tc>
        <w:tc>
          <w:tcPr>
            <w:tcW w:w="1276" w:type="dxa"/>
            <w:shd w:val="clear" w:color="auto" w:fill="auto"/>
          </w:tcPr>
          <w:p w14:paraId="758A70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06April 2009</w:t>
            </w:r>
          </w:p>
        </w:tc>
        <w:tc>
          <w:tcPr>
            <w:tcW w:w="1337" w:type="dxa"/>
          </w:tcPr>
          <w:p w14:paraId="5B046F0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21 April 2014</w:t>
            </w:r>
          </w:p>
        </w:tc>
      </w:tr>
      <w:tr w:rsidR="00357B96" w:rsidRPr="00357B96" w14:paraId="4FF37A6B" w14:textId="77777777" w:rsidTr="00AF10A4">
        <w:tc>
          <w:tcPr>
            <w:tcW w:w="4077" w:type="dxa"/>
            <w:shd w:val="clear" w:color="auto" w:fill="auto"/>
          </w:tcPr>
          <w:p w14:paraId="131AEC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Alliance and Leicester </w:t>
            </w:r>
          </w:p>
        </w:tc>
        <w:tc>
          <w:tcPr>
            <w:tcW w:w="1276" w:type="dxa"/>
            <w:shd w:val="clear" w:color="auto" w:fill="auto"/>
          </w:tcPr>
          <w:p w14:paraId="0AFBE6B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5.0</w:t>
            </w:r>
          </w:p>
        </w:tc>
        <w:tc>
          <w:tcPr>
            <w:tcW w:w="1276" w:type="dxa"/>
            <w:shd w:val="clear" w:color="auto" w:fill="auto"/>
          </w:tcPr>
          <w:p w14:paraId="7CCEDDA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2.2</w:t>
            </w:r>
          </w:p>
        </w:tc>
        <w:tc>
          <w:tcPr>
            <w:tcW w:w="1276" w:type="dxa"/>
            <w:shd w:val="clear" w:color="auto" w:fill="auto"/>
          </w:tcPr>
          <w:p w14:paraId="271B6F4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337" w:type="dxa"/>
          </w:tcPr>
          <w:p w14:paraId="62897F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59953510" w14:textId="77777777" w:rsidTr="00AF10A4">
        <w:tc>
          <w:tcPr>
            <w:tcW w:w="4077" w:type="dxa"/>
            <w:shd w:val="clear" w:color="auto" w:fill="auto"/>
          </w:tcPr>
          <w:p w14:paraId="4AAC36A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Barclays </w:t>
            </w:r>
          </w:p>
        </w:tc>
        <w:tc>
          <w:tcPr>
            <w:tcW w:w="1276" w:type="dxa"/>
            <w:shd w:val="clear" w:color="auto" w:fill="auto"/>
          </w:tcPr>
          <w:p w14:paraId="4BB9B86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47.1</w:t>
            </w:r>
          </w:p>
        </w:tc>
        <w:tc>
          <w:tcPr>
            <w:tcW w:w="1276" w:type="dxa"/>
            <w:shd w:val="clear" w:color="auto" w:fill="auto"/>
          </w:tcPr>
          <w:p w14:paraId="2EE50E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32.1</w:t>
            </w:r>
          </w:p>
        </w:tc>
        <w:tc>
          <w:tcPr>
            <w:tcW w:w="1276" w:type="dxa"/>
            <w:shd w:val="clear" w:color="auto" w:fill="auto"/>
          </w:tcPr>
          <w:p w14:paraId="247A986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14.3</w:t>
            </w:r>
          </w:p>
        </w:tc>
        <w:tc>
          <w:tcPr>
            <w:tcW w:w="1337" w:type="dxa"/>
          </w:tcPr>
          <w:p w14:paraId="0E3670E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39.7</w:t>
            </w:r>
          </w:p>
        </w:tc>
      </w:tr>
      <w:tr w:rsidR="00357B96" w:rsidRPr="00357B96" w14:paraId="680955E7" w14:textId="77777777" w:rsidTr="00AF10A4">
        <w:tc>
          <w:tcPr>
            <w:tcW w:w="4077" w:type="dxa"/>
            <w:shd w:val="clear" w:color="auto" w:fill="auto"/>
          </w:tcPr>
          <w:p w14:paraId="4C21920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Bradford and Bingley</w:t>
            </w:r>
          </w:p>
        </w:tc>
        <w:tc>
          <w:tcPr>
            <w:tcW w:w="1276" w:type="dxa"/>
            <w:shd w:val="clear" w:color="auto" w:fill="auto"/>
          </w:tcPr>
          <w:p w14:paraId="3EEC3A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2.9</w:t>
            </w:r>
          </w:p>
        </w:tc>
        <w:tc>
          <w:tcPr>
            <w:tcW w:w="1276" w:type="dxa"/>
            <w:shd w:val="clear" w:color="auto" w:fill="auto"/>
          </w:tcPr>
          <w:p w14:paraId="0786D1A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276" w:type="dxa"/>
            <w:shd w:val="clear" w:color="auto" w:fill="auto"/>
          </w:tcPr>
          <w:p w14:paraId="5A24E5E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337" w:type="dxa"/>
          </w:tcPr>
          <w:p w14:paraId="5494B5A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0BBE122C" w14:textId="77777777" w:rsidTr="00AF10A4">
        <w:tc>
          <w:tcPr>
            <w:tcW w:w="4077" w:type="dxa"/>
            <w:shd w:val="clear" w:color="auto" w:fill="auto"/>
          </w:tcPr>
          <w:p w14:paraId="49316C6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lastRenderedPageBreak/>
              <w:t>HBOS</w:t>
            </w:r>
          </w:p>
        </w:tc>
        <w:tc>
          <w:tcPr>
            <w:tcW w:w="1276" w:type="dxa"/>
            <w:shd w:val="clear" w:color="auto" w:fill="auto"/>
          </w:tcPr>
          <w:p w14:paraId="0817FA4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39.3</w:t>
            </w:r>
          </w:p>
        </w:tc>
        <w:tc>
          <w:tcPr>
            <w:tcW w:w="1276" w:type="dxa"/>
            <w:shd w:val="clear" w:color="auto" w:fill="auto"/>
          </w:tcPr>
          <w:p w14:paraId="1AE8D68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21.5</w:t>
            </w:r>
          </w:p>
        </w:tc>
        <w:tc>
          <w:tcPr>
            <w:tcW w:w="1276" w:type="dxa"/>
            <w:shd w:val="clear" w:color="auto" w:fill="auto"/>
          </w:tcPr>
          <w:p w14:paraId="717B9C8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337" w:type="dxa"/>
          </w:tcPr>
          <w:p w14:paraId="2E303DC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306266AB" w14:textId="77777777" w:rsidTr="00AF10A4">
        <w:tc>
          <w:tcPr>
            <w:tcW w:w="4077" w:type="dxa"/>
            <w:shd w:val="clear" w:color="auto" w:fill="auto"/>
          </w:tcPr>
          <w:p w14:paraId="15CBDB8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HSBC</w:t>
            </w:r>
          </w:p>
        </w:tc>
        <w:tc>
          <w:tcPr>
            <w:tcW w:w="1276" w:type="dxa"/>
            <w:shd w:val="clear" w:color="auto" w:fill="auto"/>
          </w:tcPr>
          <w:p w14:paraId="48B1B71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103.1</w:t>
            </w:r>
          </w:p>
        </w:tc>
        <w:tc>
          <w:tcPr>
            <w:tcW w:w="1276" w:type="dxa"/>
            <w:shd w:val="clear" w:color="auto" w:fill="auto"/>
          </w:tcPr>
          <w:p w14:paraId="64C8C5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100.9</w:t>
            </w:r>
          </w:p>
        </w:tc>
        <w:tc>
          <w:tcPr>
            <w:tcW w:w="1276" w:type="dxa"/>
            <w:shd w:val="clear" w:color="auto" w:fill="auto"/>
          </w:tcPr>
          <w:p w14:paraId="0553F7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74.8</w:t>
            </w:r>
          </w:p>
        </w:tc>
        <w:tc>
          <w:tcPr>
            <w:tcW w:w="1337" w:type="dxa"/>
          </w:tcPr>
          <w:p w14:paraId="014432E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195.2</w:t>
            </w:r>
          </w:p>
        </w:tc>
      </w:tr>
      <w:tr w:rsidR="00357B96" w:rsidRPr="00357B96" w14:paraId="16AF5559" w14:textId="77777777" w:rsidTr="00AF10A4">
        <w:tc>
          <w:tcPr>
            <w:tcW w:w="4077" w:type="dxa"/>
            <w:shd w:val="clear" w:color="auto" w:fill="auto"/>
          </w:tcPr>
          <w:p w14:paraId="4A098D4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Lloyds TSB/Lloyds Banking Group </w:t>
            </w:r>
          </w:p>
        </w:tc>
        <w:tc>
          <w:tcPr>
            <w:tcW w:w="1276" w:type="dxa"/>
            <w:shd w:val="clear" w:color="auto" w:fill="auto"/>
          </w:tcPr>
          <w:p w14:paraId="6B7DDC5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31.6</w:t>
            </w:r>
          </w:p>
        </w:tc>
        <w:tc>
          <w:tcPr>
            <w:tcW w:w="1276" w:type="dxa"/>
            <w:shd w:val="clear" w:color="auto" w:fill="auto"/>
          </w:tcPr>
          <w:p w14:paraId="567B857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25.8</w:t>
            </w:r>
          </w:p>
        </w:tc>
        <w:tc>
          <w:tcPr>
            <w:tcW w:w="1276" w:type="dxa"/>
            <w:shd w:val="clear" w:color="auto" w:fill="auto"/>
          </w:tcPr>
          <w:p w14:paraId="5BBB3FF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12.9</w:t>
            </w:r>
          </w:p>
        </w:tc>
        <w:tc>
          <w:tcPr>
            <w:tcW w:w="1337" w:type="dxa"/>
          </w:tcPr>
          <w:p w14:paraId="39914FC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52.5</w:t>
            </w:r>
          </w:p>
        </w:tc>
      </w:tr>
      <w:tr w:rsidR="00357B96" w:rsidRPr="00357B96" w14:paraId="72E23A52" w14:textId="77777777" w:rsidTr="00AF10A4">
        <w:tc>
          <w:tcPr>
            <w:tcW w:w="4077" w:type="dxa"/>
            <w:shd w:val="clear" w:color="auto" w:fill="auto"/>
          </w:tcPr>
          <w:p w14:paraId="5F6A040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Northern Rock</w:t>
            </w:r>
          </w:p>
        </w:tc>
        <w:tc>
          <w:tcPr>
            <w:tcW w:w="1276" w:type="dxa"/>
            <w:shd w:val="clear" w:color="auto" w:fill="auto"/>
          </w:tcPr>
          <w:p w14:paraId="012A8D4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4.8</w:t>
            </w:r>
          </w:p>
        </w:tc>
        <w:tc>
          <w:tcPr>
            <w:tcW w:w="1276" w:type="dxa"/>
            <w:shd w:val="clear" w:color="auto" w:fill="auto"/>
          </w:tcPr>
          <w:p w14:paraId="587B218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276" w:type="dxa"/>
            <w:shd w:val="clear" w:color="auto" w:fill="auto"/>
          </w:tcPr>
          <w:p w14:paraId="06C31DF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337" w:type="dxa"/>
          </w:tcPr>
          <w:p w14:paraId="0661D98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6B6FFCFE" w14:textId="77777777" w:rsidTr="00AF10A4">
        <w:tc>
          <w:tcPr>
            <w:tcW w:w="4077" w:type="dxa"/>
            <w:shd w:val="clear" w:color="auto" w:fill="auto"/>
          </w:tcPr>
          <w:p w14:paraId="6BE463C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RBS</w:t>
            </w:r>
          </w:p>
        </w:tc>
        <w:tc>
          <w:tcPr>
            <w:tcW w:w="1276" w:type="dxa"/>
            <w:shd w:val="clear" w:color="auto" w:fill="auto"/>
          </w:tcPr>
          <w:p w14:paraId="33D4E3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62.8</w:t>
            </w:r>
          </w:p>
        </w:tc>
        <w:tc>
          <w:tcPr>
            <w:tcW w:w="1276" w:type="dxa"/>
            <w:shd w:val="clear" w:color="auto" w:fill="auto"/>
          </w:tcPr>
          <w:p w14:paraId="092B31E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37.1</w:t>
            </w:r>
          </w:p>
        </w:tc>
        <w:tc>
          <w:tcPr>
            <w:tcW w:w="1276" w:type="dxa"/>
            <w:shd w:val="clear" w:color="auto" w:fill="auto"/>
          </w:tcPr>
          <w:p w14:paraId="5925566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17.2</w:t>
            </w:r>
          </w:p>
        </w:tc>
        <w:tc>
          <w:tcPr>
            <w:tcW w:w="1337" w:type="dxa"/>
          </w:tcPr>
          <w:p w14:paraId="0870D38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34.1</w:t>
            </w:r>
          </w:p>
        </w:tc>
      </w:tr>
      <w:tr w:rsidR="00357B96" w:rsidRPr="00357B96" w14:paraId="7ADF1EE8" w14:textId="77777777" w:rsidTr="00AF10A4">
        <w:tc>
          <w:tcPr>
            <w:tcW w:w="4077" w:type="dxa"/>
            <w:shd w:val="clear" w:color="auto" w:fill="auto"/>
          </w:tcPr>
          <w:p w14:paraId="42498E6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Standard Chartered</w:t>
            </w:r>
          </w:p>
        </w:tc>
        <w:tc>
          <w:tcPr>
            <w:tcW w:w="1276" w:type="dxa"/>
            <w:shd w:val="clear" w:color="auto" w:fill="auto"/>
          </w:tcPr>
          <w:p w14:paraId="1AE85E6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20.3</w:t>
            </w:r>
          </w:p>
        </w:tc>
        <w:tc>
          <w:tcPr>
            <w:tcW w:w="1276" w:type="dxa"/>
            <w:shd w:val="clear" w:color="auto" w:fill="auto"/>
          </w:tcPr>
          <w:p w14:paraId="5F79971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25.5</w:t>
            </w:r>
          </w:p>
        </w:tc>
        <w:tc>
          <w:tcPr>
            <w:tcW w:w="1276" w:type="dxa"/>
            <w:shd w:val="clear" w:color="auto" w:fill="auto"/>
          </w:tcPr>
          <w:p w14:paraId="56A61DC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18.9</w:t>
            </w:r>
          </w:p>
        </w:tc>
        <w:tc>
          <w:tcPr>
            <w:tcW w:w="1337" w:type="dxa"/>
          </w:tcPr>
          <w:p w14:paraId="3DD04B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32.1</w:t>
            </w:r>
          </w:p>
        </w:tc>
      </w:tr>
      <w:tr w:rsidR="00357B96" w:rsidRPr="00357B96" w14:paraId="5B862F14" w14:textId="77777777" w:rsidTr="00AF10A4">
        <w:tc>
          <w:tcPr>
            <w:tcW w:w="4077" w:type="dxa"/>
            <w:shd w:val="clear" w:color="auto" w:fill="auto"/>
          </w:tcPr>
          <w:p w14:paraId="5CB1960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Total </w:t>
            </w:r>
          </w:p>
        </w:tc>
        <w:tc>
          <w:tcPr>
            <w:tcW w:w="1276" w:type="dxa"/>
            <w:shd w:val="clear" w:color="auto" w:fill="auto"/>
          </w:tcPr>
          <w:p w14:paraId="23D56C2D"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316.9</w:t>
            </w:r>
          </w:p>
        </w:tc>
        <w:tc>
          <w:tcPr>
            <w:tcW w:w="1276" w:type="dxa"/>
            <w:shd w:val="clear" w:color="auto" w:fill="auto"/>
          </w:tcPr>
          <w:p w14:paraId="4DA3C7D3"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245.1</w:t>
            </w:r>
          </w:p>
        </w:tc>
        <w:tc>
          <w:tcPr>
            <w:tcW w:w="1276" w:type="dxa"/>
            <w:shd w:val="clear" w:color="auto" w:fill="auto"/>
          </w:tcPr>
          <w:p w14:paraId="1F35BC73"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138.1</w:t>
            </w:r>
          </w:p>
        </w:tc>
        <w:tc>
          <w:tcPr>
            <w:tcW w:w="1337" w:type="dxa"/>
          </w:tcPr>
          <w:p w14:paraId="6B8B5699"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353.6</w:t>
            </w:r>
          </w:p>
        </w:tc>
      </w:tr>
    </w:tbl>
    <w:p w14:paraId="45C90A13" w14:textId="77777777" w:rsidR="00357B96" w:rsidRPr="00357B96" w:rsidRDefault="00357B96" w:rsidP="00F307BB">
      <w:pPr>
        <w:spacing w:after="0" w:line="240" w:lineRule="auto"/>
        <w:jc w:val="both"/>
        <w:rPr>
          <w:rFonts w:ascii="Times New Roman" w:eastAsia="Calibri" w:hAnsi="Times New Roman" w:cs="Times New Roman"/>
          <w:lang w:val="en-GB"/>
        </w:rPr>
      </w:pPr>
      <w:r w:rsidRPr="00357B96">
        <w:rPr>
          <w:rFonts w:ascii="Times New Roman" w:eastAsia="Calibri" w:hAnsi="Times New Roman" w:cs="Times New Roman"/>
          <w:lang w:val="en-GB"/>
        </w:rPr>
        <w:t xml:space="preserve">Source: House of Commons Treasury Committee Report on Banking Crisis: dealing with the failure of the UK banks (2009). NB: Information on 2014 are based on figures collected from Yahoo Finance on the date. </w:t>
      </w:r>
    </w:p>
    <w:p w14:paraId="4C9465C0" w14:textId="77777777" w:rsidR="00F307BB" w:rsidRDefault="00F307BB" w:rsidP="00F307BB">
      <w:pPr>
        <w:spacing w:after="0" w:line="240" w:lineRule="auto"/>
        <w:jc w:val="both"/>
        <w:rPr>
          <w:rFonts w:ascii="Times New Roman" w:eastAsia="Calibri" w:hAnsi="Times New Roman" w:cs="Times New Roman"/>
          <w:sz w:val="24"/>
          <w:szCs w:val="24"/>
          <w:lang w:val="en-GB"/>
        </w:rPr>
      </w:pPr>
    </w:p>
    <w:p w14:paraId="741051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Table 2 below reports a number of important statistics about the UK banking sector and based on the </w:t>
      </w:r>
      <w:proofErr w:type="spellStart"/>
      <w:r w:rsidRPr="00357B96">
        <w:rPr>
          <w:rFonts w:ascii="Times New Roman" w:eastAsia="Calibri" w:hAnsi="Times New Roman" w:cs="Times New Roman"/>
          <w:sz w:val="24"/>
          <w:szCs w:val="24"/>
          <w:lang w:val="en-GB"/>
        </w:rPr>
        <w:t>Liikanen</w:t>
      </w:r>
      <w:proofErr w:type="spellEnd"/>
      <w:r w:rsidRPr="00357B96">
        <w:rPr>
          <w:rFonts w:ascii="Times New Roman" w:eastAsia="Calibri" w:hAnsi="Times New Roman" w:cs="Times New Roman"/>
          <w:sz w:val="24"/>
          <w:szCs w:val="24"/>
          <w:lang w:val="en-GB"/>
        </w:rPr>
        <w:t xml:space="preserve"> report (2012) puts the total assets values of the four biggest banks in the UK at over 500% of its Gross Domestic Product, this is the highest in Western European countries.  </w:t>
      </w:r>
    </w:p>
    <w:p w14:paraId="310D413C" w14:textId="77777777" w:rsidR="00F307BB" w:rsidRDefault="00F307BB" w:rsidP="00F307BB">
      <w:pPr>
        <w:spacing w:after="0" w:line="240" w:lineRule="auto"/>
        <w:jc w:val="both"/>
        <w:rPr>
          <w:rFonts w:ascii="Times New Roman" w:eastAsia="Calibri" w:hAnsi="Times New Roman" w:cs="Times New Roman"/>
          <w:b/>
          <w:sz w:val="24"/>
          <w:szCs w:val="24"/>
          <w:lang w:val="en-GB"/>
        </w:rPr>
      </w:pPr>
    </w:p>
    <w:p w14:paraId="648C7156"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Table 2: Indicators of the size of UK banks</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1236"/>
        <w:gridCol w:w="1108"/>
        <w:gridCol w:w="1017"/>
        <w:gridCol w:w="1190"/>
        <w:gridCol w:w="1136"/>
        <w:gridCol w:w="1467"/>
      </w:tblGrid>
      <w:tr w:rsidR="00357B96" w:rsidRPr="00357B96" w14:paraId="3DFE104F" w14:textId="77777777" w:rsidTr="00AF10A4">
        <w:tc>
          <w:tcPr>
            <w:tcW w:w="1526" w:type="dxa"/>
            <w:shd w:val="clear" w:color="auto" w:fill="auto"/>
          </w:tcPr>
          <w:p w14:paraId="7AE4E89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Banks</w:t>
            </w:r>
          </w:p>
        </w:tc>
        <w:tc>
          <w:tcPr>
            <w:tcW w:w="1276" w:type="dxa"/>
            <w:shd w:val="clear" w:color="auto" w:fill="auto"/>
          </w:tcPr>
          <w:p w14:paraId="3ABB44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Total assets(€ million)</w:t>
            </w:r>
          </w:p>
        </w:tc>
        <w:tc>
          <w:tcPr>
            <w:tcW w:w="1134" w:type="dxa"/>
            <w:shd w:val="clear" w:color="auto" w:fill="auto"/>
          </w:tcPr>
          <w:p w14:paraId="3D4611F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Total assets/</w:t>
            </w:r>
          </w:p>
          <w:p w14:paraId="442AF86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national GDP</w:t>
            </w:r>
          </w:p>
          <w:p w14:paraId="3F888DE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
        </w:tc>
        <w:tc>
          <w:tcPr>
            <w:tcW w:w="992" w:type="dxa"/>
            <w:shd w:val="clear" w:color="auto" w:fill="auto"/>
          </w:tcPr>
          <w:p w14:paraId="74B9259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Total assets/</w:t>
            </w:r>
          </w:p>
          <w:p w14:paraId="7DE32A8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EUGDP</w:t>
            </w:r>
          </w:p>
          <w:p w14:paraId="0EE36AD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
        </w:tc>
        <w:tc>
          <w:tcPr>
            <w:tcW w:w="1129" w:type="dxa"/>
            <w:shd w:val="clear" w:color="auto" w:fill="auto"/>
          </w:tcPr>
          <w:p w14:paraId="45858B7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FTE</w:t>
            </w:r>
          </w:p>
          <w:p w14:paraId="2F43851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Employee</w:t>
            </w:r>
          </w:p>
          <w:p w14:paraId="4C563DD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2011</w:t>
            </w:r>
          </w:p>
        </w:tc>
        <w:tc>
          <w:tcPr>
            <w:tcW w:w="997" w:type="dxa"/>
            <w:shd w:val="clear" w:color="auto" w:fill="auto"/>
          </w:tcPr>
          <w:p w14:paraId="238F439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No. of European Branches</w:t>
            </w:r>
          </w:p>
        </w:tc>
        <w:tc>
          <w:tcPr>
            <w:tcW w:w="1559" w:type="dxa"/>
            <w:shd w:val="clear" w:color="auto" w:fill="auto"/>
          </w:tcPr>
          <w:p w14:paraId="4A1FB8B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in total assets(% change 2007-2011)</w:t>
            </w:r>
          </w:p>
        </w:tc>
      </w:tr>
      <w:tr w:rsidR="00357B96" w:rsidRPr="00357B96" w14:paraId="692F52F1" w14:textId="77777777" w:rsidTr="00AF10A4">
        <w:tc>
          <w:tcPr>
            <w:tcW w:w="1526" w:type="dxa"/>
            <w:shd w:val="clear" w:color="auto" w:fill="auto"/>
          </w:tcPr>
          <w:p w14:paraId="56C479A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HSBC</w:t>
            </w:r>
          </w:p>
        </w:tc>
        <w:tc>
          <w:tcPr>
            <w:tcW w:w="1276" w:type="dxa"/>
            <w:shd w:val="clear" w:color="auto" w:fill="auto"/>
          </w:tcPr>
          <w:p w14:paraId="4A7B8BB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1967796</w:t>
            </w:r>
          </w:p>
        </w:tc>
        <w:tc>
          <w:tcPr>
            <w:tcW w:w="1134" w:type="dxa"/>
            <w:shd w:val="clear" w:color="auto" w:fill="auto"/>
          </w:tcPr>
          <w:p w14:paraId="00AB4D4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119.8</w:t>
            </w:r>
          </w:p>
        </w:tc>
        <w:tc>
          <w:tcPr>
            <w:tcW w:w="992" w:type="dxa"/>
            <w:shd w:val="clear" w:color="auto" w:fill="auto"/>
          </w:tcPr>
          <w:p w14:paraId="46C0BBA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15.8</w:t>
            </w:r>
          </w:p>
        </w:tc>
        <w:tc>
          <w:tcPr>
            <w:tcW w:w="1129" w:type="dxa"/>
            <w:shd w:val="clear" w:color="auto" w:fill="auto"/>
          </w:tcPr>
          <w:p w14:paraId="6AEB5F6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288316</w:t>
            </w:r>
          </w:p>
        </w:tc>
        <w:tc>
          <w:tcPr>
            <w:tcW w:w="997" w:type="dxa"/>
            <w:shd w:val="clear" w:color="auto" w:fill="auto"/>
          </w:tcPr>
          <w:p w14:paraId="62B84CD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1984</w:t>
            </w:r>
          </w:p>
        </w:tc>
        <w:tc>
          <w:tcPr>
            <w:tcW w:w="1559" w:type="dxa"/>
            <w:shd w:val="clear" w:color="auto" w:fill="auto"/>
          </w:tcPr>
          <w:p w14:paraId="536873C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22.2</w:t>
            </w:r>
          </w:p>
        </w:tc>
      </w:tr>
      <w:tr w:rsidR="00357B96" w:rsidRPr="00357B96" w14:paraId="34C8DA29" w14:textId="77777777" w:rsidTr="00AF10A4">
        <w:tc>
          <w:tcPr>
            <w:tcW w:w="1526" w:type="dxa"/>
            <w:shd w:val="clear" w:color="auto" w:fill="auto"/>
          </w:tcPr>
          <w:p w14:paraId="578DCEB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Barclays</w:t>
            </w:r>
          </w:p>
        </w:tc>
        <w:tc>
          <w:tcPr>
            <w:tcW w:w="1276" w:type="dxa"/>
            <w:shd w:val="clear" w:color="auto" w:fill="auto"/>
          </w:tcPr>
          <w:p w14:paraId="764093F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1871469</w:t>
            </w:r>
          </w:p>
        </w:tc>
        <w:tc>
          <w:tcPr>
            <w:tcW w:w="1134" w:type="dxa"/>
            <w:shd w:val="clear" w:color="auto" w:fill="auto"/>
          </w:tcPr>
          <w:p w14:paraId="2679D8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113.9</w:t>
            </w:r>
          </w:p>
        </w:tc>
        <w:tc>
          <w:tcPr>
            <w:tcW w:w="992" w:type="dxa"/>
            <w:shd w:val="clear" w:color="auto" w:fill="auto"/>
          </w:tcPr>
          <w:p w14:paraId="2B83E6B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15.0</w:t>
            </w:r>
          </w:p>
        </w:tc>
        <w:tc>
          <w:tcPr>
            <w:tcW w:w="1129" w:type="dxa"/>
            <w:shd w:val="clear" w:color="auto" w:fill="auto"/>
          </w:tcPr>
          <w:p w14:paraId="7E370CE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141100</w:t>
            </w:r>
          </w:p>
        </w:tc>
        <w:tc>
          <w:tcPr>
            <w:tcW w:w="997" w:type="dxa"/>
            <w:shd w:val="clear" w:color="auto" w:fill="auto"/>
          </w:tcPr>
          <w:p w14:paraId="20F65D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2602</w:t>
            </w:r>
          </w:p>
        </w:tc>
        <w:tc>
          <w:tcPr>
            <w:tcW w:w="1559" w:type="dxa"/>
            <w:shd w:val="clear" w:color="auto" w:fill="auto"/>
          </w:tcPr>
          <w:p w14:paraId="267A16C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12.0</w:t>
            </w:r>
          </w:p>
        </w:tc>
      </w:tr>
      <w:tr w:rsidR="00357B96" w:rsidRPr="00357B96" w14:paraId="3437D837" w14:textId="77777777" w:rsidTr="00AF10A4">
        <w:tc>
          <w:tcPr>
            <w:tcW w:w="1526" w:type="dxa"/>
            <w:shd w:val="clear" w:color="auto" w:fill="auto"/>
          </w:tcPr>
          <w:p w14:paraId="1866392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RBS</w:t>
            </w:r>
          </w:p>
        </w:tc>
        <w:tc>
          <w:tcPr>
            <w:tcW w:w="1276" w:type="dxa"/>
            <w:shd w:val="clear" w:color="auto" w:fill="auto"/>
          </w:tcPr>
          <w:p w14:paraId="24AA5F7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1803649</w:t>
            </w:r>
          </w:p>
        </w:tc>
        <w:tc>
          <w:tcPr>
            <w:tcW w:w="1134" w:type="dxa"/>
            <w:shd w:val="clear" w:color="auto" w:fill="auto"/>
          </w:tcPr>
          <w:p w14:paraId="371DF03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109.8</w:t>
            </w:r>
          </w:p>
        </w:tc>
        <w:tc>
          <w:tcPr>
            <w:tcW w:w="992" w:type="dxa"/>
            <w:shd w:val="clear" w:color="auto" w:fill="auto"/>
          </w:tcPr>
          <w:p w14:paraId="129625F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14.5</w:t>
            </w:r>
          </w:p>
        </w:tc>
        <w:tc>
          <w:tcPr>
            <w:tcW w:w="1129" w:type="dxa"/>
            <w:shd w:val="clear" w:color="auto" w:fill="auto"/>
          </w:tcPr>
          <w:p w14:paraId="253BF58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146800</w:t>
            </w:r>
          </w:p>
        </w:tc>
        <w:tc>
          <w:tcPr>
            <w:tcW w:w="997" w:type="dxa"/>
            <w:shd w:val="clear" w:color="auto" w:fill="auto"/>
          </w:tcPr>
          <w:p w14:paraId="0846689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2477</w:t>
            </w:r>
          </w:p>
        </w:tc>
        <w:tc>
          <w:tcPr>
            <w:tcW w:w="1559" w:type="dxa"/>
            <w:shd w:val="clear" w:color="auto" w:fill="auto"/>
          </w:tcPr>
          <w:p w14:paraId="10269BE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-28.0</w:t>
            </w:r>
          </w:p>
        </w:tc>
      </w:tr>
      <w:tr w:rsidR="00357B96" w:rsidRPr="00357B96" w14:paraId="1F7272B3" w14:textId="77777777" w:rsidTr="00AF10A4">
        <w:tc>
          <w:tcPr>
            <w:tcW w:w="1526" w:type="dxa"/>
            <w:shd w:val="clear" w:color="auto" w:fill="auto"/>
          </w:tcPr>
          <w:p w14:paraId="5D6E940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Lloyds Banking Group</w:t>
            </w:r>
          </w:p>
        </w:tc>
        <w:tc>
          <w:tcPr>
            <w:tcW w:w="1276" w:type="dxa"/>
            <w:shd w:val="clear" w:color="auto" w:fill="auto"/>
          </w:tcPr>
          <w:p w14:paraId="763135B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1161698</w:t>
            </w:r>
          </w:p>
        </w:tc>
        <w:tc>
          <w:tcPr>
            <w:tcW w:w="1134" w:type="dxa"/>
            <w:shd w:val="clear" w:color="auto" w:fill="auto"/>
          </w:tcPr>
          <w:p w14:paraId="58E6ACA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70.7</w:t>
            </w:r>
          </w:p>
        </w:tc>
        <w:tc>
          <w:tcPr>
            <w:tcW w:w="992" w:type="dxa"/>
            <w:shd w:val="clear" w:color="auto" w:fill="auto"/>
          </w:tcPr>
          <w:p w14:paraId="2479A6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9.3</w:t>
            </w:r>
          </w:p>
        </w:tc>
        <w:tc>
          <w:tcPr>
            <w:tcW w:w="1129" w:type="dxa"/>
            <w:shd w:val="clear" w:color="auto" w:fill="auto"/>
          </w:tcPr>
          <w:p w14:paraId="69E733A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98538</w:t>
            </w:r>
          </w:p>
        </w:tc>
        <w:tc>
          <w:tcPr>
            <w:tcW w:w="997" w:type="dxa"/>
            <w:shd w:val="clear" w:color="auto" w:fill="auto"/>
          </w:tcPr>
          <w:p w14:paraId="65B65F1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2956</w:t>
            </w:r>
          </w:p>
        </w:tc>
        <w:tc>
          <w:tcPr>
            <w:tcW w:w="1559" w:type="dxa"/>
            <w:shd w:val="clear" w:color="auto" w:fill="auto"/>
          </w:tcPr>
          <w:p w14:paraId="206A0C9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141.5</w:t>
            </w:r>
          </w:p>
        </w:tc>
      </w:tr>
      <w:tr w:rsidR="00357B96" w:rsidRPr="00357B96" w14:paraId="55A0F4E2" w14:textId="77777777" w:rsidTr="00AF10A4">
        <w:tc>
          <w:tcPr>
            <w:tcW w:w="1526" w:type="dxa"/>
            <w:shd w:val="clear" w:color="auto" w:fill="auto"/>
          </w:tcPr>
          <w:p w14:paraId="04A6EF1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Standard Chartered</w:t>
            </w:r>
          </w:p>
        </w:tc>
        <w:tc>
          <w:tcPr>
            <w:tcW w:w="1276" w:type="dxa"/>
            <w:shd w:val="clear" w:color="auto" w:fill="auto"/>
          </w:tcPr>
          <w:p w14:paraId="132EB8F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461284</w:t>
            </w:r>
          </w:p>
        </w:tc>
        <w:tc>
          <w:tcPr>
            <w:tcW w:w="1134" w:type="dxa"/>
            <w:shd w:val="clear" w:color="auto" w:fill="auto"/>
          </w:tcPr>
          <w:p w14:paraId="027BC33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28.1</w:t>
            </w:r>
          </w:p>
        </w:tc>
        <w:tc>
          <w:tcPr>
            <w:tcW w:w="992" w:type="dxa"/>
            <w:shd w:val="clear" w:color="auto" w:fill="auto"/>
          </w:tcPr>
          <w:p w14:paraId="60FDC24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3.7</w:t>
            </w:r>
          </w:p>
        </w:tc>
        <w:tc>
          <w:tcPr>
            <w:tcW w:w="1129" w:type="dxa"/>
            <w:shd w:val="clear" w:color="auto" w:fill="auto"/>
          </w:tcPr>
          <w:p w14:paraId="0212930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86865</w:t>
            </w:r>
          </w:p>
        </w:tc>
        <w:tc>
          <w:tcPr>
            <w:tcW w:w="997" w:type="dxa"/>
            <w:shd w:val="clear" w:color="auto" w:fill="auto"/>
          </w:tcPr>
          <w:p w14:paraId="1D9E783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w:t>
            </w:r>
          </w:p>
        </w:tc>
        <w:tc>
          <w:tcPr>
            <w:tcW w:w="1559" w:type="dxa"/>
            <w:shd w:val="clear" w:color="auto" w:fill="auto"/>
          </w:tcPr>
          <w:p w14:paraId="63768A3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104.5</w:t>
            </w:r>
          </w:p>
        </w:tc>
      </w:tr>
    </w:tbl>
    <w:p w14:paraId="1ADF75F1" w14:textId="77777777" w:rsidR="00357B96" w:rsidRPr="00AF10A4" w:rsidRDefault="00357B96" w:rsidP="00F307BB">
      <w:pPr>
        <w:spacing w:after="0" w:line="240" w:lineRule="auto"/>
        <w:jc w:val="both"/>
        <w:rPr>
          <w:rFonts w:ascii="Times New Roman" w:eastAsia="Calibri" w:hAnsi="Times New Roman" w:cs="Times New Roman"/>
          <w:b/>
          <w:lang w:val="en-GB"/>
        </w:rPr>
      </w:pPr>
      <w:r w:rsidRPr="00AF10A4">
        <w:rPr>
          <w:rFonts w:ascii="Times New Roman" w:eastAsia="Calibri" w:hAnsi="Times New Roman" w:cs="Times New Roman"/>
          <w:b/>
          <w:lang w:val="en-GB"/>
        </w:rPr>
        <w:t xml:space="preserve">Source: </w:t>
      </w:r>
      <w:proofErr w:type="spellStart"/>
      <w:r w:rsidRPr="00AF10A4">
        <w:rPr>
          <w:rFonts w:ascii="Times New Roman" w:eastAsia="Calibri" w:hAnsi="Times New Roman" w:cs="Times New Roman"/>
          <w:b/>
          <w:lang w:val="en-GB"/>
        </w:rPr>
        <w:t>Liikanen</w:t>
      </w:r>
      <w:proofErr w:type="spellEnd"/>
      <w:r w:rsidRPr="00AF10A4">
        <w:rPr>
          <w:rFonts w:ascii="Times New Roman" w:eastAsia="Calibri" w:hAnsi="Times New Roman" w:cs="Times New Roman"/>
          <w:b/>
          <w:lang w:val="en-GB"/>
        </w:rPr>
        <w:t xml:space="preserve"> Report 2012</w:t>
      </w:r>
    </w:p>
    <w:p w14:paraId="09BC715A" w14:textId="77777777" w:rsidR="00F307BB" w:rsidRDefault="00F307BB" w:rsidP="00F307BB">
      <w:pPr>
        <w:spacing w:after="0" w:line="240" w:lineRule="auto"/>
        <w:ind w:firstLine="720"/>
        <w:jc w:val="both"/>
        <w:rPr>
          <w:rFonts w:ascii="Times New Roman" w:eastAsia="Calibri" w:hAnsi="Times New Roman" w:cs="Times New Roman"/>
          <w:sz w:val="24"/>
          <w:szCs w:val="24"/>
          <w:lang w:val="en-GB"/>
        </w:rPr>
      </w:pPr>
    </w:p>
    <w:p w14:paraId="1D553229" w14:textId="1FF86A39"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Banking crises are not new. Reinhart and Rogoff (2008) traced their history and found parallels between the current cris</w:t>
      </w:r>
      <w:r w:rsidR="003709CC">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and 18 earlier post-war banking crises in developed economies. However, the banking sector in the UK in 2007-2009 has been described as one of the worst cris</w:t>
      </w:r>
      <w:r w:rsidR="003709CC">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in its long history (Hall, 2008; Shin, 2009). Despite the financial crisis abating, there are anecdotal evidence that banks are still too cautious to lend to one another, let alone lend to the public and businesses for investment purposes, with adverse consequences on the productive and financing activit</w:t>
      </w:r>
      <w:r w:rsidR="00F307BB">
        <w:rPr>
          <w:rFonts w:ascii="Times New Roman" w:eastAsia="Calibri" w:hAnsi="Times New Roman" w:cs="Times New Roman"/>
          <w:sz w:val="24"/>
          <w:szCs w:val="24"/>
          <w:lang w:val="en-GB"/>
        </w:rPr>
        <w:t>ies in the economy (</w:t>
      </w:r>
      <w:proofErr w:type="spellStart"/>
      <w:r w:rsidR="00F307BB">
        <w:rPr>
          <w:rFonts w:ascii="Times New Roman" w:eastAsia="Calibri" w:hAnsi="Times New Roman" w:cs="Times New Roman"/>
          <w:sz w:val="24"/>
          <w:szCs w:val="24"/>
          <w:lang w:val="en-GB"/>
        </w:rPr>
        <w:t>Ivashina</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Scharfstein</w:t>
      </w:r>
      <w:proofErr w:type="spellEnd"/>
      <w:r w:rsidRPr="00357B96">
        <w:rPr>
          <w:rFonts w:ascii="Times New Roman" w:eastAsia="Calibri" w:hAnsi="Times New Roman" w:cs="Times New Roman"/>
          <w:sz w:val="24"/>
          <w:szCs w:val="24"/>
          <w:lang w:val="en-GB"/>
        </w:rPr>
        <w:t>, 2010; Shin, 2009).</w:t>
      </w:r>
    </w:p>
    <w:p w14:paraId="687205AA" w14:textId="77777777" w:rsidR="00F307BB" w:rsidRDefault="00F307BB" w:rsidP="00F307BB">
      <w:pPr>
        <w:spacing w:after="0" w:line="240" w:lineRule="auto"/>
        <w:ind w:firstLine="720"/>
        <w:jc w:val="both"/>
        <w:rPr>
          <w:rFonts w:ascii="Times New Roman" w:eastAsia="Calibri" w:hAnsi="Times New Roman" w:cs="Times New Roman"/>
          <w:sz w:val="24"/>
          <w:szCs w:val="24"/>
          <w:lang w:val="en-GB"/>
        </w:rPr>
      </w:pPr>
    </w:p>
    <w:p w14:paraId="7950427D" w14:textId="72A12F81"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The glimpse of the cris</w:t>
      </w:r>
      <w:r w:rsidR="008E4C86">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appeared in the late 2001 with wave of corporate collapse that affected the global economy. It was a surprise that the banking sector escaped unhurt, and there were predictions of the likely banking cris</w:t>
      </w:r>
      <w:r w:rsidR="008C4BA8">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if banks continued to use credit derivatives to offload their risks to the insurance and long term saving institutions (Hughes, 2002). Businesses continued as usual until the cris</w:t>
      </w:r>
      <w:r w:rsidR="008C4BA8">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in Northern Rock (Shin, 2009). The company’s troubles came to the fore when it sought support from the Bank of England to prop up its finances in the wake of its troubles from the US sub-prime market (Hall, 2008). The eventual collapse and bankruptcy filing was completed in 2007. Three other legendary UK financial institutions became significant </w:t>
      </w:r>
      <w:r w:rsidRPr="00357B96">
        <w:rPr>
          <w:rFonts w:ascii="Times New Roman" w:eastAsia="Calibri" w:hAnsi="Times New Roman" w:cs="Times New Roman"/>
          <w:sz w:val="24"/>
          <w:szCs w:val="24"/>
          <w:lang w:val="en-GB"/>
        </w:rPr>
        <w:lastRenderedPageBreak/>
        <w:t>victims of the banking cris</w:t>
      </w:r>
      <w:r w:rsidR="003067D5">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Bradford and Bingley, Halifax Bank of Scotland, Royal Bank of Scotland. The rest of th</w:t>
      </w:r>
      <w:r w:rsidR="003067D5">
        <w:rPr>
          <w:rFonts w:ascii="Times New Roman" w:eastAsia="Calibri" w:hAnsi="Times New Roman" w:cs="Times New Roman"/>
          <w:sz w:val="24"/>
          <w:szCs w:val="24"/>
          <w:lang w:val="en-GB"/>
        </w:rPr>
        <w:t>is</w:t>
      </w:r>
      <w:r w:rsidRPr="00357B96">
        <w:rPr>
          <w:rFonts w:ascii="Times New Roman" w:eastAsia="Calibri" w:hAnsi="Times New Roman" w:cs="Times New Roman"/>
          <w:sz w:val="24"/>
          <w:szCs w:val="24"/>
          <w:lang w:val="en-GB"/>
        </w:rPr>
        <w:t xml:space="preserve"> section presents an analysis of the alleged causes of </w:t>
      </w:r>
      <w:r w:rsidR="003067D5">
        <w:rPr>
          <w:rFonts w:ascii="Times New Roman" w:eastAsia="Calibri" w:hAnsi="Times New Roman" w:cs="Times New Roman"/>
          <w:sz w:val="24"/>
          <w:szCs w:val="24"/>
          <w:lang w:val="en-GB"/>
        </w:rPr>
        <w:t xml:space="preserve">the </w:t>
      </w:r>
      <w:r w:rsidRPr="00357B96">
        <w:rPr>
          <w:rFonts w:ascii="Times New Roman" w:eastAsia="Calibri" w:hAnsi="Times New Roman" w:cs="Times New Roman"/>
          <w:sz w:val="24"/>
          <w:szCs w:val="24"/>
          <w:lang w:val="en-GB"/>
        </w:rPr>
        <w:t xml:space="preserve">distress in each of the four identified financial institutions. This is useful in designing the research methodology to be used in this study.  </w:t>
      </w:r>
    </w:p>
    <w:p w14:paraId="1713BFA8" w14:textId="77777777" w:rsidR="00F307BB" w:rsidRDefault="00F307BB" w:rsidP="00F307BB">
      <w:pPr>
        <w:spacing w:after="0" w:line="240" w:lineRule="auto"/>
        <w:jc w:val="both"/>
        <w:rPr>
          <w:rFonts w:ascii="Times New Roman" w:eastAsia="Calibri" w:hAnsi="Times New Roman" w:cs="Times New Roman"/>
          <w:b/>
          <w:sz w:val="24"/>
          <w:szCs w:val="24"/>
          <w:lang w:val="en-GB"/>
        </w:rPr>
      </w:pPr>
    </w:p>
    <w:p w14:paraId="6BAC4873" w14:textId="2CA85243"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Causes of the Banking Cris</w:t>
      </w:r>
      <w:r w:rsidR="003067D5">
        <w:rPr>
          <w:rFonts w:ascii="Times New Roman" w:eastAsia="Calibri" w:hAnsi="Times New Roman" w:cs="Times New Roman"/>
          <w:b/>
          <w:sz w:val="24"/>
          <w:szCs w:val="24"/>
          <w:lang w:val="en-GB"/>
        </w:rPr>
        <w:t>i</w:t>
      </w:r>
      <w:r w:rsidRPr="00357B96">
        <w:rPr>
          <w:rFonts w:ascii="Times New Roman" w:eastAsia="Calibri" w:hAnsi="Times New Roman" w:cs="Times New Roman"/>
          <w:b/>
          <w:sz w:val="24"/>
          <w:szCs w:val="24"/>
          <w:lang w:val="en-GB"/>
        </w:rPr>
        <w:t>s</w:t>
      </w:r>
    </w:p>
    <w:p w14:paraId="4B645B5D" w14:textId="77777777" w:rsidR="00F307BB" w:rsidRDefault="00F307BB" w:rsidP="00F307BB">
      <w:pPr>
        <w:spacing w:after="0" w:line="240" w:lineRule="auto"/>
        <w:jc w:val="both"/>
        <w:rPr>
          <w:rFonts w:ascii="Times New Roman" w:eastAsia="Calibri" w:hAnsi="Times New Roman" w:cs="Times New Roman"/>
          <w:sz w:val="24"/>
          <w:szCs w:val="24"/>
          <w:lang w:val="en-GB"/>
        </w:rPr>
      </w:pPr>
    </w:p>
    <w:p w14:paraId="6411D4BA" w14:textId="77777777" w:rsid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Several causes have been adduced for the 2007 global financial crisis. Reinhart and Rogoff (2008) suggested that the crisis followed an historical pattern with initial housing market boom, increasing equity returns precipitating eventual market crash. These views have been re-echoed by the Governor of the Bank of England who said:  </w:t>
      </w:r>
    </w:p>
    <w:p w14:paraId="1B1ACA86" w14:textId="77777777" w:rsidR="00F307BB" w:rsidRPr="00357B96" w:rsidRDefault="00F307BB" w:rsidP="00F307BB">
      <w:pPr>
        <w:spacing w:after="0" w:line="240" w:lineRule="auto"/>
        <w:jc w:val="both"/>
        <w:rPr>
          <w:rFonts w:ascii="Times New Roman" w:eastAsia="Calibri" w:hAnsi="Times New Roman" w:cs="Times New Roman"/>
          <w:sz w:val="24"/>
          <w:szCs w:val="24"/>
          <w:lang w:val="en-GB"/>
        </w:rPr>
      </w:pPr>
    </w:p>
    <w:p w14:paraId="6DD8402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 Investors, including banks, overlooked the fact that higher returns could be generated only by taking higher risks. As a result, money was lent on easier terms. That helped to push up further asset prices that had already risen as real interest rates were falling. It also led to an explosion in the size of the financial sector as new instruments were created to satisfy the search for yield. As well as lending to households and businesses, banks lent to other banks which bought ever more exotic instruments created by the financial system itself. The effect was to replicate the original risky loans many times over. Over the past five years, the balance sheets of many of the world’s largest banks more than doubled” </w:t>
      </w:r>
    </w:p>
    <w:p w14:paraId="1C232C2F" w14:textId="77777777" w:rsidR="00357B96" w:rsidRPr="00F307BB" w:rsidRDefault="00357B96" w:rsidP="00F307BB">
      <w:pPr>
        <w:spacing w:after="0" w:line="240" w:lineRule="auto"/>
        <w:jc w:val="both"/>
        <w:rPr>
          <w:rFonts w:ascii="Times New Roman" w:eastAsia="Calibri" w:hAnsi="Times New Roman" w:cs="Times New Roman"/>
          <w:b/>
          <w:lang w:val="en-GB"/>
        </w:rPr>
      </w:pPr>
      <w:r w:rsidRPr="00F307BB">
        <w:rPr>
          <w:rFonts w:ascii="Times New Roman" w:eastAsia="Calibri" w:hAnsi="Times New Roman" w:cs="Times New Roman"/>
          <w:b/>
          <w:lang w:val="en-GB"/>
        </w:rPr>
        <w:t xml:space="preserve"> (House of Common Treasury Committee Report on the Banking Crises, 2009:15) </w:t>
      </w:r>
    </w:p>
    <w:p w14:paraId="0C62CA2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4F169FF" w14:textId="6A8F450C"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This quote summarises the core factors that may have led to the cris</w:t>
      </w:r>
      <w:r w:rsidR="003067D5">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Firstly, the chase for high yield that was pursued vigorously at the expense of proper and robust risk management procedures. International financial liberalisation meant that there was an abundance of investment capital coming from Asia and other part of the globe, aggravating the quest for yields to meet the expectations</w:t>
      </w:r>
      <w:r w:rsidR="00F307BB">
        <w:rPr>
          <w:rFonts w:ascii="Times New Roman" w:eastAsia="Calibri" w:hAnsi="Times New Roman" w:cs="Times New Roman"/>
          <w:sz w:val="24"/>
          <w:szCs w:val="24"/>
          <w:lang w:val="en-GB"/>
        </w:rPr>
        <w:t xml:space="preserve"> of the investors (Acharya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Richardson, 2009). So much so, that they extended credits to less credit worthy persons and purposes. The resulting debt payment default in one part of the global financial market was highly contagious leading to imported cre</w:t>
      </w:r>
      <w:r w:rsidR="00F307BB">
        <w:rPr>
          <w:rFonts w:ascii="Times New Roman" w:eastAsia="Calibri" w:hAnsi="Times New Roman" w:cs="Times New Roman"/>
          <w:sz w:val="24"/>
          <w:szCs w:val="24"/>
          <w:lang w:val="en-GB"/>
        </w:rPr>
        <w:t>dit cris</w:t>
      </w:r>
      <w:r w:rsidR="003067D5">
        <w:rPr>
          <w:rFonts w:ascii="Times New Roman" w:eastAsia="Calibri" w:hAnsi="Times New Roman" w:cs="Times New Roman"/>
          <w:sz w:val="24"/>
          <w:szCs w:val="24"/>
          <w:lang w:val="en-GB"/>
        </w:rPr>
        <w:t>i</w:t>
      </w:r>
      <w:r w:rsidR="00F307BB">
        <w:rPr>
          <w:rFonts w:ascii="Times New Roman" w:eastAsia="Calibri" w:hAnsi="Times New Roman" w:cs="Times New Roman"/>
          <w:sz w:val="24"/>
          <w:szCs w:val="24"/>
          <w:lang w:val="en-GB"/>
        </w:rPr>
        <w:t>s (</w:t>
      </w:r>
      <w:proofErr w:type="spellStart"/>
      <w:r w:rsidR="00F307BB">
        <w:rPr>
          <w:rFonts w:ascii="Times New Roman" w:eastAsia="Calibri" w:hAnsi="Times New Roman" w:cs="Times New Roman"/>
          <w:sz w:val="24"/>
          <w:szCs w:val="24"/>
          <w:lang w:val="en-GB"/>
        </w:rPr>
        <w:t>Barrell</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Holland, 2007).  Secondly, in order to meet the extreme level of expected return, a number of complicated financial engineering through the use of derivatives and financial instruments were devised which inflated the net worth of many of these companies without the underlying assets to back the exponential growth in </w:t>
      </w:r>
      <w:r w:rsidR="00F307BB">
        <w:rPr>
          <w:rFonts w:ascii="Times New Roman" w:eastAsia="Calibri" w:hAnsi="Times New Roman" w:cs="Times New Roman"/>
          <w:sz w:val="24"/>
          <w:szCs w:val="24"/>
          <w:lang w:val="en-GB"/>
        </w:rPr>
        <w:t xml:space="preserve">the balance sheets (Reinhart </w:t>
      </w:r>
      <w:r w:rsidR="008C4BA8">
        <w:rPr>
          <w:rFonts w:ascii="Times New Roman" w:eastAsia="Calibri" w:hAnsi="Times New Roman" w:cs="Times New Roman"/>
          <w:sz w:val="24"/>
          <w:szCs w:val="24"/>
          <w:lang w:val="en-GB"/>
        </w:rPr>
        <w:t>and</w:t>
      </w:r>
      <w:r w:rsidR="00F307BB">
        <w:rPr>
          <w:rFonts w:ascii="Times New Roman" w:eastAsia="Calibri" w:hAnsi="Times New Roman" w:cs="Times New Roman"/>
          <w:sz w:val="24"/>
          <w:szCs w:val="24"/>
          <w:lang w:val="en-GB"/>
        </w:rPr>
        <w:t xml:space="preserve"> Rogoff, 2008; Acharya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Richardson, 2009). A further complication in the system was the lack of clarity on the use and implications of these instruments making it difficult to regulate their use. Thirdly, and closely related to the earlier point, is the regulatory laxity and failures. The House of Common Treasury Committee report on the banking cris</w:t>
      </w:r>
      <w:r w:rsidR="003067D5">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criticised the regulatory authority for its failures and light touch approach to regulation of the financial sector. </w:t>
      </w:r>
    </w:p>
    <w:p w14:paraId="7C7C27D6" w14:textId="77777777" w:rsidR="00357B96" w:rsidRPr="00357B96" w:rsidRDefault="00F307BB" w:rsidP="00F307BB">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p>
    <w:p w14:paraId="42113288" w14:textId="09111ED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Buiter</w:t>
      </w:r>
      <w:proofErr w:type="spellEnd"/>
      <w:r w:rsidRPr="00357B96">
        <w:rPr>
          <w:rFonts w:ascii="Times New Roman" w:eastAsia="Calibri" w:hAnsi="Times New Roman" w:cs="Times New Roman"/>
          <w:sz w:val="24"/>
          <w:szCs w:val="24"/>
          <w:lang w:val="en-GB"/>
        </w:rPr>
        <w:t xml:space="preserve"> (2007) suggested that the failure of the tripartite financial stability arrangement between the Treasury, the Bank of England and the Financial Service Authority may have been responsible for the financial cris</w:t>
      </w:r>
      <w:r w:rsidR="003067D5">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in the UK along other causes which he categorised to be both microeconomic and macroeconomic causes. The microeconomic causes include securitisation, flaws in the rating agencies’ business model and pro-cyclical behaviour in the financial system. The author noted the excessive global liquidity creation, and ex ante saving gluts as part of the macroeconomic causes of the cris</w:t>
      </w:r>
      <w:r w:rsidR="003067D5">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w:t>
      </w:r>
      <w:r w:rsidR="003067D5">
        <w:rPr>
          <w:rFonts w:ascii="Times New Roman" w:eastAsia="Calibri" w:hAnsi="Times New Roman" w:cs="Times New Roman"/>
          <w:sz w:val="24"/>
          <w:szCs w:val="24"/>
          <w:lang w:val="en-GB"/>
        </w:rPr>
        <w:t>The next subsection presents a brief historical perspectives on the four banks focusing on their susceptibility to the crisis.</w:t>
      </w:r>
    </w:p>
    <w:p w14:paraId="28CC539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1AE9214"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Northern Rock (NR)</w:t>
      </w:r>
    </w:p>
    <w:p w14:paraId="6126F024" w14:textId="4E009463"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Northern Rock, was at a point before its collapse, the fifth largest mortgage lender in the UK (Hall, 2008), and was formed as a result of the merger between the Northern Counties Permanent Building Society and Rock Building Society in 1965 and became listed on the London Stock Exchange in the 1990s when it demutualised. Its main business model was built </w:t>
      </w:r>
      <w:r w:rsidR="003067D5">
        <w:rPr>
          <w:rFonts w:ascii="Times New Roman" w:eastAsia="Calibri" w:hAnsi="Times New Roman" w:cs="Times New Roman"/>
          <w:sz w:val="24"/>
          <w:szCs w:val="24"/>
          <w:lang w:val="en-GB"/>
        </w:rPr>
        <w:t>a</w:t>
      </w:r>
      <w:r w:rsidRPr="00357B96">
        <w:rPr>
          <w:rFonts w:ascii="Times New Roman" w:eastAsia="Calibri" w:hAnsi="Times New Roman" w:cs="Times New Roman"/>
          <w:sz w:val="24"/>
          <w:szCs w:val="24"/>
          <w:lang w:val="en-GB"/>
        </w:rPr>
        <w:t xml:space="preserve">round mortgage lending as well the traditional banking services. Its growth was more through acquisitions. The company had enjoyed a reasonable level of success in the mortgage lending business until the problems in the Sub-prime market forced it to seek financial support from the Bank of England as the lender of last resort having found it impossible securing lending from other financial institution even at a penal rate. </w:t>
      </w:r>
    </w:p>
    <w:p w14:paraId="2DD77DF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F08C50C" w14:textId="7777777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The decision to seek funding from the Bank of England sent a wrong signal to the market where depositors’ confidence was already low. This led to the first ‘run’ on any British bank in over a century (Shin, 2009). The excessive use of securitisation and reliance on the wholesale funding has been identified as part of the main causes of the bank’s problems couple with poor risk management procedures. Although the management of the company insisted that their business model was good and that they would have survived if they had got the lifeline sought from the Bank of England before the whole saga became a public knowledge (Hall, 2008). </w:t>
      </w:r>
    </w:p>
    <w:p w14:paraId="4E7C4669"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p w14:paraId="10A5F6F3"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Bradford and Bingley (BB) </w:t>
      </w:r>
    </w:p>
    <w:p w14:paraId="49FF82B9" w14:textId="70D8C763"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Bradford and Bingley started as a building society in 1851 and operated as such until 2000 when it demutualised and was transformed into a public limited company (Marshall, 2013; House of Common Treasury Committee Report on the Banking Cris</w:t>
      </w:r>
      <w:r w:rsidR="00D804B9">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2009). Its operations as a Public Limited Company ended on the 29</w:t>
      </w:r>
      <w:r w:rsidRPr="00357B96">
        <w:rPr>
          <w:rFonts w:ascii="Times New Roman" w:eastAsia="Calibri" w:hAnsi="Times New Roman" w:cs="Times New Roman"/>
          <w:sz w:val="24"/>
          <w:szCs w:val="24"/>
          <w:vertAlign w:val="superscript"/>
          <w:lang w:val="en-GB"/>
        </w:rPr>
        <w:t>th</w:t>
      </w:r>
      <w:r w:rsidRPr="00357B96">
        <w:rPr>
          <w:rFonts w:ascii="Times New Roman" w:eastAsia="Calibri" w:hAnsi="Times New Roman" w:cs="Times New Roman"/>
          <w:sz w:val="24"/>
          <w:szCs w:val="24"/>
          <w:lang w:val="en-GB"/>
        </w:rPr>
        <w:t xml:space="preserve"> September 2008. Two main factors have been identified as being crucial in its collapse. First was its business model that was hinged on the self-certified mortgage business. </w:t>
      </w:r>
    </w:p>
    <w:p w14:paraId="6A46C0C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75DAC3E" w14:textId="7777777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 self-certified mortgage is a riskier type of mortgage used by borrowers who do not have credit history. Mortgage contracts are entered without any formal credit checking or formal proof of financial ability to meet the obligations of the mortgage. The arrangement is very popular in the US and has been variously referred to as the sub-prime market. The incentive to the lender is that it offers a higher return on mortgage loans. </w:t>
      </w:r>
    </w:p>
    <w:p w14:paraId="1FA5913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DC13B95" w14:textId="47662464"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Although this business model had been instrumental in the growth of the company, it has also played a large part in its collapse. The other factor that has been identified as playing key part in the collapse of the company was the series of deals it entered with an American company- General Motor Acceptance Corporation (GMAC). These involved a mixed portfolio of around £650m that comprise buy-to let mortgages, self-certified and normal mortgages. The terms of the commitments were so restrictive that when the global economy turned on a backward slide, it was difficult for the management to renegotiate in response to the worsening global economic climate. With the slowdown in global economies, many borrowers were unable to meet up with their mortgage payments which brought significant strains on the company’s financial situation and eventually led to its collapse in September 2008 (House of Common Treasury Committee Report on the Banking Cris</w:t>
      </w:r>
      <w:r w:rsidR="003369BA">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2009) </w:t>
      </w:r>
    </w:p>
    <w:p w14:paraId="691790F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821BC75"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lastRenderedPageBreak/>
        <w:t xml:space="preserve">Halifax Bank of Scotland (HBOS)  </w:t>
      </w:r>
    </w:p>
    <w:p w14:paraId="5147B516" w14:textId="676FDFAC"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HBOS was formed in 2001 as a result of a merger between the oldest commercial bank in UK- the Bank of Scotland and Halifax, which was itself a product of another merger in 1997 between two demutualised building societies-the Halifax Benefit Building and Investment Societies (French et al., 2009). The company focuses on retail and corporate lending. However, management of the company admitted that the core model of the business was on the corporate lending. It emerged from the House Committee reports on the banking cris</w:t>
      </w:r>
      <w:r w:rsidR="00080556">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that while the retail part of the business was profitable, the company’s doom has been shaped more by over reliance on wholesale funding. Furthermore, the poor attitude to risk management within the organisation has also been identified as one of the key factors that led to its share of the banking cris</w:t>
      </w:r>
      <w:r w:rsidR="00080556">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w:t>
      </w:r>
    </w:p>
    <w:p w14:paraId="46FAEC0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33CA221"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Royal Bank of Scotland (RBS) </w:t>
      </w:r>
    </w:p>
    <w:p w14:paraId="68249591" w14:textId="49E4C5F1"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 RBS was founded in 1727 and had grown both organically and through series of acquisitions. In 2000, it acquired NatWest as well as the US mortgage lender Greenwich Capital which eventually exposed RBS to the US sub-prime mortgage market. The collapse of RBS was more to do with its purchase of the Dutch Bank ABN </w:t>
      </w:r>
      <w:proofErr w:type="spellStart"/>
      <w:r w:rsidRPr="00357B96">
        <w:rPr>
          <w:rFonts w:ascii="Times New Roman" w:eastAsia="Calibri" w:hAnsi="Times New Roman" w:cs="Times New Roman"/>
          <w:sz w:val="24"/>
          <w:szCs w:val="24"/>
          <w:lang w:val="en-GB"/>
        </w:rPr>
        <w:t>Amro</w:t>
      </w:r>
      <w:proofErr w:type="spellEnd"/>
      <w:r w:rsidRPr="00357B96">
        <w:rPr>
          <w:rFonts w:ascii="Times New Roman" w:eastAsia="Calibri" w:hAnsi="Times New Roman" w:cs="Times New Roman"/>
          <w:sz w:val="24"/>
          <w:szCs w:val="24"/>
          <w:lang w:val="en-GB"/>
        </w:rPr>
        <w:t xml:space="preserve"> in 2007 against all warnings from the Bank of England and concerns from within the organisation. The lack of due diligence on the purchase and over optimism of the economic climate and market trends were huge mistakes that have been admitted by the management in hindsight.  The overarching reason for the collapse of this banking giant was poor risk management and excessive leverage (House of Common Treasury Committee Report on the Banking Cris</w:t>
      </w:r>
      <w:r w:rsidR="00080556">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2009). </w:t>
      </w:r>
    </w:p>
    <w:p w14:paraId="5E8AC3C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   </w:t>
      </w:r>
    </w:p>
    <w:p w14:paraId="0C84820E" w14:textId="688A7D13" w:rsidR="00357B96" w:rsidRPr="00357B96" w:rsidRDefault="00357B96" w:rsidP="00F307BB">
      <w:pPr>
        <w:spacing w:after="0" w:line="240" w:lineRule="auto"/>
        <w:ind w:firstLine="36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An important point to draw from the analyses above is that poor business model, and more importantly, poor risk management approaches played significant part in the banking cris</w:t>
      </w:r>
      <w:r w:rsidR="00080556">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and specifically in the cases of the four financial institutions that were significantly affected. In the next section, the study presents the hypotheses and explains the methodology used.</w:t>
      </w:r>
    </w:p>
    <w:p w14:paraId="527E1CB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B216DB4" w14:textId="77777777" w:rsidR="00357B96" w:rsidRPr="00F307BB" w:rsidRDefault="00357B96" w:rsidP="00F307BB">
      <w:pPr>
        <w:pStyle w:val="ListParagraph"/>
        <w:numPr>
          <w:ilvl w:val="0"/>
          <w:numId w:val="35"/>
        </w:numPr>
        <w:spacing w:after="0" w:line="240" w:lineRule="auto"/>
        <w:jc w:val="both"/>
        <w:rPr>
          <w:rFonts w:ascii="Times New Roman" w:eastAsia="Calibri" w:hAnsi="Times New Roman" w:cs="Times New Roman"/>
          <w:b/>
          <w:sz w:val="24"/>
          <w:szCs w:val="24"/>
          <w:lang w:val="en-GB"/>
        </w:rPr>
      </w:pPr>
      <w:r w:rsidRPr="00F307BB">
        <w:rPr>
          <w:rFonts w:ascii="Times New Roman" w:eastAsia="Calibri" w:hAnsi="Times New Roman" w:cs="Times New Roman"/>
          <w:b/>
          <w:sz w:val="24"/>
          <w:szCs w:val="24"/>
          <w:lang w:val="en-GB"/>
        </w:rPr>
        <w:t xml:space="preserve">Literature review </w:t>
      </w:r>
    </w:p>
    <w:p w14:paraId="5C7A73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0B0986E" w14:textId="23ED2988"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Previous studies (Ab</w:t>
      </w:r>
      <w:r w:rsidR="00F307BB">
        <w:rPr>
          <w:rFonts w:ascii="Times New Roman" w:eastAsia="Calibri" w:hAnsi="Times New Roman" w:cs="Times New Roman"/>
          <w:sz w:val="24"/>
          <w:szCs w:val="24"/>
          <w:lang w:val="en-GB"/>
        </w:rPr>
        <w:t xml:space="preserve">rahamson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Amir, 1996; </w:t>
      </w: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et al., 2007) have shown that investors rely on the information in the annual report for investment decisions and for its predictive potentials. It is therefore important that information in the annual report is decision useful. This could be achieved by having more forward-looking information on which various users of the annual report can base their decisions (Beattie et al., 2004).</w:t>
      </w:r>
    </w:p>
    <w:p w14:paraId="71D49F7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04F724A1" w14:textId="43D8B6F0"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Studies have also examined specific parts of the annual report and their decision usefulness. For instance, </w:t>
      </w:r>
      <w:proofErr w:type="spellStart"/>
      <w:r w:rsidRPr="00357B96">
        <w:rPr>
          <w:rFonts w:ascii="Times New Roman" w:eastAsia="Calibri" w:hAnsi="Times New Roman" w:cs="Times New Roman"/>
          <w:sz w:val="24"/>
          <w:szCs w:val="24"/>
          <w:lang w:val="en-GB"/>
        </w:rPr>
        <w:t>Mayew</w:t>
      </w:r>
      <w:proofErr w:type="spellEnd"/>
      <w:r w:rsidRPr="00357B96">
        <w:rPr>
          <w:rFonts w:ascii="Times New Roman" w:eastAsia="Calibri" w:hAnsi="Times New Roman" w:cs="Times New Roman"/>
          <w:sz w:val="24"/>
          <w:szCs w:val="24"/>
          <w:lang w:val="en-GB"/>
        </w:rPr>
        <w:t xml:space="preserve"> et al. (2015) used textual disclosure in the Management Discussion and Analysis (</w:t>
      </w:r>
      <w:proofErr w:type="spellStart"/>
      <w:r w:rsidRPr="00357B96">
        <w:rPr>
          <w:rFonts w:ascii="Times New Roman" w:eastAsia="Calibri" w:hAnsi="Times New Roman" w:cs="Times New Roman"/>
          <w:sz w:val="24"/>
          <w:szCs w:val="24"/>
          <w:lang w:val="en-GB"/>
        </w:rPr>
        <w:t>MD</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A</w:t>
      </w:r>
      <w:proofErr w:type="spellEnd"/>
      <w:r w:rsidRPr="00357B96">
        <w:rPr>
          <w:rFonts w:ascii="Times New Roman" w:eastAsia="Calibri" w:hAnsi="Times New Roman" w:cs="Times New Roman"/>
          <w:sz w:val="24"/>
          <w:szCs w:val="24"/>
          <w:lang w:val="en-GB"/>
        </w:rPr>
        <w:t>) to predict firms’ ability to continue as a going concern for a sample of US listed companies. Bryan (1997) examined the information content of the Management Discussion and Analysis (</w:t>
      </w:r>
      <w:proofErr w:type="spellStart"/>
      <w:r w:rsidRPr="00357B96">
        <w:rPr>
          <w:rFonts w:ascii="Times New Roman" w:eastAsia="Calibri" w:hAnsi="Times New Roman" w:cs="Times New Roman"/>
          <w:sz w:val="24"/>
          <w:szCs w:val="24"/>
          <w:lang w:val="en-GB"/>
        </w:rPr>
        <w:t>MD</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A</w:t>
      </w:r>
      <w:proofErr w:type="spellEnd"/>
      <w:r w:rsidRPr="00357B96">
        <w:rPr>
          <w:rFonts w:ascii="Times New Roman" w:eastAsia="Calibri" w:hAnsi="Times New Roman" w:cs="Times New Roman"/>
          <w:sz w:val="24"/>
          <w:szCs w:val="24"/>
          <w:lang w:val="en-GB"/>
        </w:rPr>
        <w:t xml:space="preserve">) as a basis for predicting firms’ future short-term performance. Tennyson et al. (1990) used content analysis of narratives in the annual report for bankruptcy predictions. Smith and </w:t>
      </w:r>
      <w:proofErr w:type="spellStart"/>
      <w:r w:rsidRPr="00357B96">
        <w:rPr>
          <w:rFonts w:ascii="Times New Roman" w:eastAsia="Calibri" w:hAnsi="Times New Roman" w:cs="Times New Roman"/>
          <w:sz w:val="24"/>
          <w:szCs w:val="24"/>
          <w:lang w:val="en-GB"/>
        </w:rPr>
        <w:t>Taffler</w:t>
      </w:r>
      <w:proofErr w:type="spellEnd"/>
      <w:r w:rsidRPr="00357B96">
        <w:rPr>
          <w:rFonts w:ascii="Times New Roman" w:eastAsia="Calibri" w:hAnsi="Times New Roman" w:cs="Times New Roman"/>
          <w:sz w:val="24"/>
          <w:szCs w:val="24"/>
          <w:lang w:val="en-GB"/>
        </w:rPr>
        <w:t xml:space="preserve"> (2000) used content analysis to study the chairman’s statement in the annual report. They examined the relationship between the content of the chairman’s statement and incidence of firm failures. They found that the chairman’s statement is able to classify firm as subsequently bankrupt or non-failed with a very high degree of accuracy.</w:t>
      </w:r>
    </w:p>
    <w:p w14:paraId="1844DA2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472D833" w14:textId="7777777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Previous studies have also explored the use of non-quantitative and narrative information in the annual reports as a basis for business failures prediction models. </w:t>
      </w: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et al. (2007) reviewed the annual reports of a sample of UK companies for forward-looking disclosure that was used as a basis for understanding the relationship between narratives in the annual reports of loss making firms and share price anticipation of earnings. This is similar to Davis et al.’s (2006) study on whether managers use optimistic and pessimistic languages in earnings press releases to provide information about expected future performance to the market, and whether the market responds to such languages. They found positive association between optimistic language usage and future firm performance, and negative association between pessimistic language in earning releases and future firm performance. This implies that positive and optimistic languages are correlated with better performance and negative and pessimistic languages are correlated with poor performance.  </w:t>
      </w:r>
    </w:p>
    <w:p w14:paraId="64DCECE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0A7A161E" w14:textId="1D281A18"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Extant risk disclosure studies have focused, and rightly so, on risk disclosure orientation in terms of forward looking vs. historical (</w:t>
      </w:r>
      <w:proofErr w:type="spellStart"/>
      <w:r w:rsidRPr="00357B96">
        <w:rPr>
          <w:rFonts w:ascii="Times New Roman" w:eastAsia="Calibri" w:hAnsi="Times New Roman" w:cs="Times New Roman"/>
          <w:sz w:val="24"/>
          <w:szCs w:val="24"/>
          <w:lang w:val="en-GB"/>
        </w:rPr>
        <w:t>Dobbler</w:t>
      </w:r>
      <w:proofErr w:type="spellEnd"/>
      <w:r w:rsidRPr="00357B96">
        <w:rPr>
          <w:rFonts w:ascii="Times New Roman" w:eastAsia="Calibri" w:hAnsi="Times New Roman" w:cs="Times New Roman"/>
          <w:sz w:val="24"/>
          <w:szCs w:val="24"/>
          <w:lang w:val="en-GB"/>
        </w:rPr>
        <w:t xml:space="preserve"> et al.</w:t>
      </w:r>
      <w:r w:rsidR="00080556">
        <w:rPr>
          <w:rFonts w:ascii="Times New Roman" w:eastAsia="Calibri" w:hAnsi="Times New Roman" w:cs="Times New Roman"/>
          <w:sz w:val="24"/>
          <w:szCs w:val="24"/>
          <w:lang w:val="en-GB"/>
        </w:rPr>
        <w:t>,</w:t>
      </w:r>
      <w:r w:rsidRPr="00357B96">
        <w:rPr>
          <w:rFonts w:ascii="Times New Roman" w:eastAsia="Calibri" w:hAnsi="Times New Roman" w:cs="Times New Roman"/>
          <w:sz w:val="24"/>
          <w:szCs w:val="24"/>
          <w:lang w:val="en-GB"/>
        </w:rPr>
        <w:t xml:space="preserve"> 2011)</w:t>
      </w:r>
      <w:r w:rsidR="00F307BB">
        <w:rPr>
          <w:rFonts w:ascii="Times New Roman" w:eastAsia="Calibri" w:hAnsi="Times New Roman" w:cs="Times New Roman"/>
          <w:sz w:val="24"/>
          <w:szCs w:val="24"/>
          <w:lang w:val="en-GB"/>
        </w:rPr>
        <w:t>, good vs. bad news (</w:t>
      </w:r>
      <w:proofErr w:type="spellStart"/>
      <w:r w:rsidR="00F307BB">
        <w:rPr>
          <w:rFonts w:ascii="Times New Roman" w:eastAsia="Calibri" w:hAnsi="Times New Roman" w:cs="Times New Roman"/>
          <w:sz w:val="24"/>
          <w:szCs w:val="24"/>
          <w:lang w:val="en-GB"/>
        </w:rPr>
        <w:t>Linsley</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Shrives, 2006) and whether risk disclosure is volunt</w:t>
      </w:r>
      <w:r w:rsidR="00F307BB">
        <w:rPr>
          <w:rFonts w:ascii="Times New Roman" w:eastAsia="Calibri" w:hAnsi="Times New Roman" w:cs="Times New Roman"/>
          <w:sz w:val="24"/>
          <w:szCs w:val="24"/>
          <w:lang w:val="en-GB"/>
        </w:rPr>
        <w:t>ary or mandatory (</w:t>
      </w:r>
      <w:proofErr w:type="spellStart"/>
      <w:r w:rsidR="00F307BB">
        <w:rPr>
          <w:rFonts w:ascii="Times New Roman" w:eastAsia="Calibri" w:hAnsi="Times New Roman" w:cs="Times New Roman"/>
          <w:sz w:val="24"/>
          <w:szCs w:val="24"/>
          <w:lang w:val="en-GB"/>
        </w:rPr>
        <w:t>Elshandidy</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Neri</w:t>
      </w:r>
      <w:proofErr w:type="spellEnd"/>
      <w:r w:rsidRPr="00357B96">
        <w:rPr>
          <w:rFonts w:ascii="Times New Roman" w:eastAsia="Calibri" w:hAnsi="Times New Roman" w:cs="Times New Roman"/>
          <w:sz w:val="24"/>
          <w:szCs w:val="24"/>
          <w:lang w:val="en-GB"/>
        </w:rPr>
        <w:t>, 2015), and other have examined risk disclosure generally, including the impacts of corporate governance (</w:t>
      </w:r>
      <w:proofErr w:type="spellStart"/>
      <w:r w:rsidRPr="00357B96">
        <w:rPr>
          <w:rFonts w:ascii="Times New Roman" w:eastAsia="Calibri" w:hAnsi="Times New Roman" w:cs="Times New Roman"/>
          <w:sz w:val="24"/>
          <w:szCs w:val="24"/>
          <w:lang w:val="en-GB"/>
        </w:rPr>
        <w:t>Elshandidy</w:t>
      </w:r>
      <w:proofErr w:type="spellEnd"/>
      <w:r w:rsidRPr="00357B96">
        <w:rPr>
          <w:rFonts w:ascii="Times New Roman" w:eastAsia="Calibri" w:hAnsi="Times New Roman" w:cs="Times New Roman"/>
          <w:sz w:val="24"/>
          <w:szCs w:val="24"/>
          <w:lang w:val="en-GB"/>
        </w:rPr>
        <w:t xml:space="preserve"> e</w:t>
      </w:r>
      <w:r w:rsidR="00F307BB">
        <w:rPr>
          <w:rFonts w:ascii="Times New Roman" w:eastAsia="Calibri" w:hAnsi="Times New Roman" w:cs="Times New Roman"/>
          <w:sz w:val="24"/>
          <w:szCs w:val="24"/>
          <w:lang w:val="en-GB"/>
        </w:rPr>
        <w:t xml:space="preserve">t al., 2013; </w:t>
      </w:r>
      <w:proofErr w:type="spellStart"/>
      <w:r w:rsidR="00F307BB">
        <w:rPr>
          <w:rFonts w:ascii="Times New Roman" w:eastAsia="Calibri" w:hAnsi="Times New Roman" w:cs="Times New Roman"/>
          <w:sz w:val="24"/>
          <w:szCs w:val="24"/>
          <w:lang w:val="en-GB"/>
        </w:rPr>
        <w:t>Elzahar</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2012</w:t>
      </w:r>
      <w:proofErr w:type="gramStart"/>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Miihkinen</w:t>
      </w:r>
      <w:proofErr w:type="spellEnd"/>
      <w:proofErr w:type="gramEnd"/>
      <w:r w:rsidRPr="00357B96">
        <w:rPr>
          <w:rFonts w:ascii="Times New Roman" w:eastAsia="Calibri" w:hAnsi="Times New Roman" w:cs="Times New Roman"/>
          <w:sz w:val="24"/>
          <w:szCs w:val="24"/>
          <w:lang w:val="en-GB"/>
        </w:rPr>
        <w:t xml:space="preserve"> , 2012;  </w:t>
      </w:r>
      <w:proofErr w:type="spellStart"/>
      <w:r w:rsidRPr="00357B96">
        <w:rPr>
          <w:rFonts w:ascii="Times New Roman" w:eastAsia="Calibri" w:hAnsi="Times New Roman" w:cs="Times New Roman"/>
          <w:sz w:val="24"/>
          <w:szCs w:val="24"/>
          <w:lang w:val="en-GB"/>
        </w:rPr>
        <w:t>Ntim</w:t>
      </w:r>
      <w:proofErr w:type="spellEnd"/>
      <w:r w:rsidRPr="00357B96">
        <w:rPr>
          <w:rFonts w:ascii="Times New Roman" w:eastAsia="Calibri" w:hAnsi="Times New Roman" w:cs="Times New Roman"/>
          <w:sz w:val="24"/>
          <w:szCs w:val="24"/>
          <w:lang w:val="en-GB"/>
        </w:rPr>
        <w:t xml:space="preserve"> et al., 2013). However, not many studies have examined risk disclosures in the annual reports of UK banks and certainly not in the annual reports of the distressed banks during the recent financial crisis. This study examines the characteristics of the risk disclosures of four financial institutions that were distressed in the midst of the recent financial sector cris</w:t>
      </w:r>
      <w:r w:rsidR="00B57137">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Addressing risk, and especially non-financial, disclosures in these companies enhances our understanding of the causes of the financial crisis from a different perspective compared to the popular approach in the literature where focus has been more on the systemic causes of the crisis, with little emphasis on the internal risk management dimensions.  It is argued that there is a need to focus on how organisations manage their exposures to risks and how this is reflected in the annual reports. </w:t>
      </w:r>
    </w:p>
    <w:p w14:paraId="08AF447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6E201E3" w14:textId="7777777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Based on the explanations above, and following studies (Beattie et al., 2004) that argued that historical information might be less useful for investment and financing decisions. In the same vein, some studies have suggested that management disclose such information to mask poor firm performance (Cho et al., 2010; </w:t>
      </w:r>
      <w:proofErr w:type="spellStart"/>
      <w:r w:rsidRPr="00357B96">
        <w:rPr>
          <w:rFonts w:ascii="Times New Roman" w:eastAsia="Calibri" w:hAnsi="Times New Roman" w:cs="Times New Roman"/>
          <w:sz w:val="24"/>
          <w:szCs w:val="24"/>
          <w:lang w:val="en-GB"/>
        </w:rPr>
        <w:t>Clatworthy</w:t>
      </w:r>
      <w:proofErr w:type="spellEnd"/>
      <w:r w:rsidRPr="00357B96">
        <w:rPr>
          <w:rFonts w:ascii="Times New Roman" w:eastAsia="Calibri" w:hAnsi="Times New Roman" w:cs="Times New Roman"/>
          <w:sz w:val="24"/>
          <w:szCs w:val="24"/>
          <w:lang w:val="en-GB"/>
        </w:rPr>
        <w:t xml:space="preserve"> and Jones, 2001; Beattie and Jones, 2000), this study hypothesise that historical non-financial risk disclosures are negatively related to current and future firm performance. </w:t>
      </w:r>
    </w:p>
    <w:p w14:paraId="676F42F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26823D1" w14:textId="1BA37F4C"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Furthermore, based on previous studies </w:t>
      </w:r>
      <w:r w:rsidR="00F307BB">
        <w:rPr>
          <w:rFonts w:ascii="Times New Roman" w:eastAsia="Calibri" w:hAnsi="Times New Roman" w:cs="Times New Roman"/>
          <w:sz w:val="24"/>
          <w:szCs w:val="24"/>
          <w:lang w:val="en-GB"/>
        </w:rPr>
        <w:t xml:space="preserve">that have (Li, 2010; Beretta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Bozzolan</w:t>
      </w:r>
      <w:proofErr w:type="spellEnd"/>
      <w:r w:rsidRPr="00357B96">
        <w:rPr>
          <w:rFonts w:ascii="Times New Roman" w:eastAsia="Calibri" w:hAnsi="Times New Roman" w:cs="Times New Roman"/>
          <w:sz w:val="24"/>
          <w:szCs w:val="24"/>
          <w:lang w:val="en-GB"/>
        </w:rPr>
        <w:t>, 2008; Sm</w:t>
      </w:r>
      <w:r w:rsidR="00F307BB">
        <w:rPr>
          <w:rFonts w:ascii="Times New Roman" w:eastAsia="Calibri" w:hAnsi="Times New Roman" w:cs="Times New Roman"/>
          <w:sz w:val="24"/>
          <w:szCs w:val="24"/>
          <w:lang w:val="en-GB"/>
        </w:rPr>
        <w:t xml:space="preserve">ith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Taffler</w:t>
      </w:r>
      <w:proofErr w:type="spellEnd"/>
      <w:r w:rsidRPr="00357B96">
        <w:rPr>
          <w:rFonts w:ascii="Times New Roman" w:eastAsia="Calibri" w:hAnsi="Times New Roman" w:cs="Times New Roman"/>
          <w:sz w:val="24"/>
          <w:szCs w:val="24"/>
          <w:lang w:val="en-GB"/>
        </w:rPr>
        <w:t>, 2000) argued that more forward-looking information should be provided in the annual report. Thereby prevent management impression management given that previous studies have claimed that management are more forthright with good news rather than bad news (Koth</w:t>
      </w:r>
      <w:r w:rsidR="00F307BB">
        <w:rPr>
          <w:rFonts w:ascii="Times New Roman" w:eastAsia="Calibri" w:hAnsi="Times New Roman" w:cs="Times New Roman"/>
          <w:sz w:val="24"/>
          <w:szCs w:val="24"/>
          <w:lang w:val="en-GB"/>
        </w:rPr>
        <w:t xml:space="preserve">ari et al., 2009; </w:t>
      </w:r>
      <w:proofErr w:type="spellStart"/>
      <w:r w:rsidR="00F307BB">
        <w:rPr>
          <w:rFonts w:ascii="Times New Roman" w:eastAsia="Calibri" w:hAnsi="Times New Roman" w:cs="Times New Roman"/>
          <w:sz w:val="24"/>
          <w:szCs w:val="24"/>
          <w:lang w:val="en-GB"/>
        </w:rPr>
        <w:t>Clatworthy</w:t>
      </w:r>
      <w:proofErr w:type="spellEnd"/>
      <w:r w:rsidR="00F307BB">
        <w:rPr>
          <w:rFonts w:ascii="Times New Roman" w:eastAsia="Calibri" w:hAnsi="Times New Roman" w:cs="Times New Roman"/>
          <w:sz w:val="24"/>
          <w:szCs w:val="24"/>
          <w:lang w:val="en-GB"/>
        </w:rPr>
        <w:t xml:space="preserve">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Jones, 2003), this study hypothesise that forward-looking risk disclosures are positively related with current and future firm performance. These hypotheses are presented below: </w:t>
      </w:r>
    </w:p>
    <w:p w14:paraId="6032E3F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B6048CF"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p w14:paraId="57D5EB04"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Hypotheses</w:t>
      </w:r>
    </w:p>
    <w:p w14:paraId="44A5CCAC"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lastRenderedPageBreak/>
        <w:tab/>
      </w:r>
      <w:r w:rsidRPr="00357B96">
        <w:rPr>
          <w:rFonts w:ascii="Times New Roman" w:eastAsia="Calibri" w:hAnsi="Times New Roman" w:cs="Times New Roman"/>
          <w:sz w:val="24"/>
          <w:szCs w:val="24"/>
          <w:lang w:val="en-GB"/>
        </w:rPr>
        <w:t xml:space="preserve"> </w:t>
      </w:r>
    </w:p>
    <w:p w14:paraId="27A9C29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w:t>
      </w:r>
      <w:r w:rsidRPr="00357B96">
        <w:rPr>
          <w:rFonts w:ascii="Times New Roman" w:eastAsia="Calibri" w:hAnsi="Times New Roman" w:cs="Times New Roman"/>
          <w:sz w:val="24"/>
          <w:szCs w:val="24"/>
          <w:vertAlign w:val="subscript"/>
          <w:lang w:val="en-GB"/>
        </w:rPr>
        <w:t>1:</w:t>
      </w:r>
      <w:r w:rsidRPr="00357B96">
        <w:rPr>
          <w:rFonts w:ascii="Times New Roman" w:eastAsia="Calibri" w:hAnsi="Times New Roman" w:cs="Times New Roman"/>
          <w:sz w:val="24"/>
          <w:szCs w:val="24"/>
          <w:lang w:val="en-GB"/>
        </w:rPr>
        <w:tab/>
        <w:t xml:space="preserve">non-financial </w:t>
      </w:r>
      <w:r w:rsidRPr="00357B96">
        <w:rPr>
          <w:rFonts w:ascii="Times New Roman" w:eastAsia="Calibri" w:hAnsi="Times New Roman" w:cs="Times New Roman"/>
          <w:i/>
          <w:sz w:val="24"/>
          <w:szCs w:val="24"/>
          <w:lang w:val="en-GB"/>
        </w:rPr>
        <w:t>historical information in the risk disclosures are negatively related to current performance</w:t>
      </w:r>
      <w:r w:rsidRPr="00357B96">
        <w:rPr>
          <w:rFonts w:ascii="Times New Roman" w:eastAsia="Calibri" w:hAnsi="Times New Roman" w:cs="Times New Roman"/>
          <w:sz w:val="24"/>
          <w:szCs w:val="24"/>
          <w:lang w:val="en-GB"/>
        </w:rPr>
        <w:t xml:space="preserve"> </w:t>
      </w:r>
    </w:p>
    <w:p w14:paraId="369C02F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A2A6FDC" w14:textId="77777777" w:rsidR="00357B96" w:rsidRPr="00357B96" w:rsidRDefault="00357B96" w:rsidP="00F307BB">
      <w:pPr>
        <w:spacing w:after="0" w:line="240" w:lineRule="auto"/>
        <w:jc w:val="both"/>
        <w:rPr>
          <w:rFonts w:ascii="Times New Roman" w:eastAsia="Calibri" w:hAnsi="Times New Roman" w:cs="Times New Roman"/>
          <w:i/>
          <w:sz w:val="24"/>
          <w:szCs w:val="24"/>
          <w:lang w:val="en-GB"/>
        </w:rPr>
      </w:pPr>
      <w:r w:rsidRPr="00357B96">
        <w:rPr>
          <w:rFonts w:ascii="Times New Roman" w:eastAsia="Calibri" w:hAnsi="Times New Roman" w:cs="Times New Roman"/>
          <w:sz w:val="24"/>
          <w:szCs w:val="24"/>
          <w:lang w:val="en-GB"/>
        </w:rPr>
        <w:t>H</w:t>
      </w:r>
      <w:r w:rsidRPr="00357B96">
        <w:rPr>
          <w:rFonts w:ascii="Times New Roman" w:eastAsia="Calibri" w:hAnsi="Times New Roman" w:cs="Times New Roman"/>
          <w:sz w:val="24"/>
          <w:szCs w:val="24"/>
          <w:vertAlign w:val="subscript"/>
          <w:lang w:val="en-GB"/>
        </w:rPr>
        <w:t>2</w:t>
      </w:r>
      <w:r w:rsidRPr="00357B96">
        <w:rPr>
          <w:rFonts w:ascii="Times New Roman" w:eastAsia="Calibri" w:hAnsi="Times New Roman" w:cs="Times New Roman"/>
          <w:sz w:val="24"/>
          <w:szCs w:val="24"/>
          <w:vertAlign w:val="subscript"/>
          <w:lang w:val="en-GB"/>
        </w:rPr>
        <w:tab/>
      </w:r>
      <w:r w:rsidRPr="00357B96">
        <w:rPr>
          <w:rFonts w:ascii="Times New Roman" w:eastAsia="Calibri" w:hAnsi="Times New Roman" w:cs="Times New Roman"/>
          <w:sz w:val="24"/>
          <w:szCs w:val="24"/>
          <w:lang w:val="en-GB"/>
        </w:rPr>
        <w:t xml:space="preserve">non-financial </w:t>
      </w:r>
      <w:r w:rsidRPr="00357B96">
        <w:rPr>
          <w:rFonts w:ascii="Times New Roman" w:eastAsia="Calibri" w:hAnsi="Times New Roman" w:cs="Times New Roman"/>
          <w:i/>
          <w:sz w:val="24"/>
          <w:szCs w:val="24"/>
          <w:lang w:val="en-GB"/>
        </w:rPr>
        <w:t>forward looking information in the risk disclosures are positively related to current performance</w:t>
      </w:r>
    </w:p>
    <w:p w14:paraId="69121240" w14:textId="77777777" w:rsidR="00357B96" w:rsidRPr="00357B96" w:rsidRDefault="00357B96" w:rsidP="00F307BB">
      <w:pPr>
        <w:spacing w:after="0" w:line="240" w:lineRule="auto"/>
        <w:jc w:val="both"/>
        <w:rPr>
          <w:rFonts w:ascii="Times New Roman" w:eastAsia="Calibri" w:hAnsi="Times New Roman" w:cs="Times New Roman"/>
          <w:i/>
          <w:sz w:val="24"/>
          <w:szCs w:val="24"/>
          <w:lang w:val="en-GB"/>
        </w:rPr>
      </w:pPr>
    </w:p>
    <w:p w14:paraId="75531E74" w14:textId="77777777" w:rsidR="00357B96" w:rsidRPr="00357B96" w:rsidRDefault="00357B96" w:rsidP="00F307BB">
      <w:pPr>
        <w:spacing w:after="0" w:line="240" w:lineRule="auto"/>
        <w:jc w:val="both"/>
        <w:rPr>
          <w:rFonts w:ascii="Times New Roman" w:eastAsia="Calibri" w:hAnsi="Times New Roman" w:cs="Times New Roman"/>
          <w:i/>
          <w:sz w:val="24"/>
          <w:szCs w:val="24"/>
          <w:lang w:val="en-GB"/>
        </w:rPr>
      </w:pPr>
      <w:r w:rsidRPr="00357B96">
        <w:rPr>
          <w:rFonts w:ascii="Times New Roman" w:eastAsia="Calibri" w:hAnsi="Times New Roman" w:cs="Times New Roman"/>
          <w:sz w:val="24"/>
          <w:szCs w:val="24"/>
          <w:lang w:val="en-GB"/>
        </w:rPr>
        <w:t>H</w:t>
      </w:r>
      <w:r w:rsidRPr="00357B96">
        <w:rPr>
          <w:rFonts w:ascii="Times New Roman" w:eastAsia="Calibri" w:hAnsi="Times New Roman" w:cs="Times New Roman"/>
          <w:sz w:val="24"/>
          <w:szCs w:val="24"/>
          <w:vertAlign w:val="subscript"/>
          <w:lang w:val="en-GB"/>
        </w:rPr>
        <w:t>3</w:t>
      </w:r>
      <w:r w:rsidRPr="00357B96">
        <w:rPr>
          <w:rFonts w:ascii="Times New Roman" w:eastAsia="Calibri" w:hAnsi="Times New Roman" w:cs="Times New Roman"/>
          <w:sz w:val="24"/>
          <w:szCs w:val="24"/>
          <w:lang w:val="en-GB"/>
        </w:rPr>
        <w:tab/>
        <w:t xml:space="preserve">non-financial </w:t>
      </w:r>
      <w:r w:rsidRPr="00357B96">
        <w:rPr>
          <w:rFonts w:ascii="Times New Roman" w:eastAsia="Calibri" w:hAnsi="Times New Roman" w:cs="Times New Roman"/>
          <w:i/>
          <w:sz w:val="24"/>
          <w:szCs w:val="24"/>
          <w:lang w:val="en-GB"/>
        </w:rPr>
        <w:t>historical information in the risk disclosures are negatively related to future performance</w:t>
      </w:r>
    </w:p>
    <w:p w14:paraId="10C435F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5257E9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w:t>
      </w:r>
      <w:r w:rsidRPr="00357B96">
        <w:rPr>
          <w:rFonts w:ascii="Times New Roman" w:eastAsia="Calibri" w:hAnsi="Times New Roman" w:cs="Times New Roman"/>
          <w:sz w:val="24"/>
          <w:szCs w:val="24"/>
          <w:vertAlign w:val="subscript"/>
          <w:lang w:val="en-GB"/>
        </w:rPr>
        <w:t>4</w:t>
      </w:r>
      <w:r w:rsidRPr="00357B96">
        <w:rPr>
          <w:rFonts w:ascii="Times New Roman" w:eastAsia="Calibri" w:hAnsi="Times New Roman" w:cs="Times New Roman"/>
          <w:sz w:val="24"/>
          <w:szCs w:val="24"/>
          <w:lang w:val="en-GB"/>
        </w:rPr>
        <w:tab/>
        <w:t xml:space="preserve">non-financial </w:t>
      </w:r>
      <w:r w:rsidRPr="00357B96">
        <w:rPr>
          <w:rFonts w:ascii="Times New Roman" w:eastAsia="Calibri" w:hAnsi="Times New Roman" w:cs="Times New Roman"/>
          <w:i/>
          <w:sz w:val="24"/>
          <w:szCs w:val="24"/>
          <w:lang w:val="en-GB"/>
        </w:rPr>
        <w:t>forward looking information in the risk disclosures are positively related to future performance</w:t>
      </w:r>
    </w:p>
    <w:p w14:paraId="11A4BA8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7793776B" w14:textId="6A5741CD" w:rsidR="00357B96" w:rsidRPr="00357B96" w:rsidRDefault="00357B96" w:rsidP="00F307BB">
      <w:pPr>
        <w:spacing w:after="0" w:line="240" w:lineRule="auto"/>
        <w:ind w:firstLine="36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 testing these hypotheses, the study explores a multiple method approach that integrates content analys</w:t>
      </w:r>
      <w:r w:rsidR="00320924">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 xml:space="preserve">s in a case study context with a panel analysis of the annual reports of the UK banks that were caught up in the financial crisis. The combinations of these methods allow an in-depth analysis that would not have been possible if cross sectional or only time series were examined. The next section presents the methodology used in this study. </w:t>
      </w:r>
    </w:p>
    <w:p w14:paraId="6F59498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F6735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56E38E3" w14:textId="77777777" w:rsidR="00357B96" w:rsidRPr="00357B96" w:rsidRDefault="00357B96" w:rsidP="00F307BB">
      <w:pPr>
        <w:numPr>
          <w:ilvl w:val="0"/>
          <w:numId w:val="35"/>
        </w:num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b/>
          <w:sz w:val="24"/>
          <w:szCs w:val="24"/>
          <w:lang w:val="en-GB"/>
        </w:rPr>
        <w:t>Methodology</w:t>
      </w:r>
    </w:p>
    <w:p w14:paraId="308926A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89C5B0A" w14:textId="30844258"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 this section, the study provides a detailed explanation of the approach to content analysis. It is observed that there is a dearth of empirical study into narrative content of risk disclosure in annual reports. This study is the first to examine this for the four distressed banks in the UK. In order to test the hypotheses above, this study reviews the risk disclosure in the Business Review section of the annual reports of the four companies between 1998 and 2008. This provides a 34 firm-year sample. To enhance the analysis and reduced human errors, the Concordance software</w:t>
      </w:r>
      <w:r w:rsidRPr="00357B96">
        <w:rPr>
          <w:rFonts w:ascii="Times New Roman" w:eastAsia="Calibri" w:hAnsi="Times New Roman" w:cs="Times New Roman"/>
          <w:sz w:val="24"/>
          <w:szCs w:val="24"/>
          <w:vertAlign w:val="superscript"/>
          <w:lang w:val="en-GB"/>
        </w:rPr>
        <w:footnoteReference w:id="2"/>
      </w:r>
      <w:r w:rsidRPr="00357B96">
        <w:rPr>
          <w:rFonts w:ascii="Times New Roman" w:eastAsia="Calibri" w:hAnsi="Times New Roman" w:cs="Times New Roman"/>
          <w:sz w:val="24"/>
          <w:szCs w:val="24"/>
          <w:lang w:val="en-GB"/>
        </w:rPr>
        <w:t xml:space="preserve"> was used for textual analysis. This software is powerful in text-mining and analyses. Its main feature</w:t>
      </w:r>
      <w:r w:rsidR="00320924">
        <w:rPr>
          <w:rFonts w:ascii="Times New Roman" w:eastAsia="Calibri" w:hAnsi="Times New Roman" w:cs="Times New Roman"/>
          <w:sz w:val="24"/>
          <w:szCs w:val="24"/>
          <w:lang w:val="en-GB"/>
        </w:rPr>
        <w:t>s</w:t>
      </w:r>
      <w:r w:rsidRPr="00357B96">
        <w:rPr>
          <w:rFonts w:ascii="Times New Roman" w:eastAsia="Calibri" w:hAnsi="Times New Roman" w:cs="Times New Roman"/>
          <w:sz w:val="24"/>
          <w:szCs w:val="24"/>
          <w:lang w:val="en-GB"/>
        </w:rPr>
        <w:t xml:space="preserve"> include word counts, headwords manipulations, lemmatisation facility, </w:t>
      </w:r>
      <w:r w:rsidRPr="00357B96">
        <w:rPr>
          <w:rFonts w:ascii="Times New Roman" w:eastAsia="Calibri" w:hAnsi="Times New Roman" w:cs="Times New Roman"/>
          <w:b/>
          <w:sz w:val="24"/>
          <w:szCs w:val="24"/>
          <w:lang w:val="en-GB"/>
        </w:rPr>
        <w:t>K</w:t>
      </w:r>
      <w:r w:rsidRPr="00357B96">
        <w:rPr>
          <w:rFonts w:ascii="Times New Roman" w:eastAsia="Calibri" w:hAnsi="Times New Roman" w:cs="Times New Roman"/>
          <w:sz w:val="24"/>
          <w:szCs w:val="24"/>
          <w:lang w:val="en-GB"/>
        </w:rPr>
        <w:t xml:space="preserve">ey </w:t>
      </w:r>
      <w:r w:rsidRPr="00357B96">
        <w:rPr>
          <w:rFonts w:ascii="Times New Roman" w:eastAsia="Calibri" w:hAnsi="Times New Roman" w:cs="Times New Roman"/>
          <w:b/>
          <w:sz w:val="24"/>
          <w:szCs w:val="24"/>
          <w:lang w:val="en-GB"/>
        </w:rPr>
        <w:t>W</w:t>
      </w:r>
      <w:r w:rsidRPr="00357B96">
        <w:rPr>
          <w:rFonts w:ascii="Times New Roman" w:eastAsia="Calibri" w:hAnsi="Times New Roman" w:cs="Times New Roman"/>
          <w:sz w:val="24"/>
          <w:szCs w:val="24"/>
          <w:lang w:val="en-GB"/>
        </w:rPr>
        <w:t xml:space="preserve">ord </w:t>
      </w:r>
      <w:proofErr w:type="gramStart"/>
      <w:r w:rsidRPr="00357B96">
        <w:rPr>
          <w:rFonts w:ascii="Times New Roman" w:eastAsia="Calibri" w:hAnsi="Times New Roman" w:cs="Times New Roman"/>
          <w:b/>
          <w:sz w:val="24"/>
          <w:szCs w:val="24"/>
          <w:lang w:val="en-GB"/>
        </w:rPr>
        <w:t>I</w:t>
      </w:r>
      <w:r w:rsidRPr="00357B96">
        <w:rPr>
          <w:rFonts w:ascii="Times New Roman" w:eastAsia="Calibri" w:hAnsi="Times New Roman" w:cs="Times New Roman"/>
          <w:sz w:val="24"/>
          <w:szCs w:val="24"/>
          <w:lang w:val="en-GB"/>
        </w:rPr>
        <w:t>n</w:t>
      </w:r>
      <w:proofErr w:type="gramEnd"/>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b/>
          <w:sz w:val="24"/>
          <w:szCs w:val="24"/>
          <w:lang w:val="en-GB"/>
        </w:rPr>
        <w:t>C</w:t>
      </w:r>
      <w:r w:rsidRPr="00357B96">
        <w:rPr>
          <w:rFonts w:ascii="Times New Roman" w:eastAsia="Calibri" w:hAnsi="Times New Roman" w:cs="Times New Roman"/>
          <w:sz w:val="24"/>
          <w:szCs w:val="24"/>
          <w:lang w:val="en-GB"/>
        </w:rPr>
        <w:t>ontext (</w:t>
      </w:r>
      <w:r w:rsidRPr="00357B96">
        <w:rPr>
          <w:rFonts w:ascii="Times New Roman" w:eastAsia="Calibri" w:hAnsi="Times New Roman" w:cs="Times New Roman"/>
          <w:b/>
          <w:sz w:val="24"/>
          <w:szCs w:val="24"/>
          <w:lang w:val="en-GB"/>
        </w:rPr>
        <w:t>KWIC</w:t>
      </w:r>
      <w:r w:rsidRPr="00357B96">
        <w:rPr>
          <w:rFonts w:ascii="Times New Roman" w:eastAsia="Calibri" w:hAnsi="Times New Roman" w:cs="Times New Roman"/>
          <w:sz w:val="24"/>
          <w:szCs w:val="24"/>
          <w:lang w:val="en-GB"/>
        </w:rPr>
        <w:t xml:space="preserve">) analysis, stop list, and collocation. First, the ‘stop list’ device was used to remove words that are not relevant in the analysis. They include personal pronouns such as He, She, It </w:t>
      </w:r>
      <w:proofErr w:type="spellStart"/>
      <w:r w:rsidRPr="00357B96">
        <w:rPr>
          <w:rFonts w:ascii="Times New Roman" w:eastAsia="Calibri" w:hAnsi="Times New Roman" w:cs="Times New Roman"/>
          <w:sz w:val="24"/>
          <w:szCs w:val="24"/>
          <w:lang w:val="en-GB"/>
        </w:rPr>
        <w:t>etc</w:t>
      </w:r>
      <w:proofErr w:type="spellEnd"/>
      <w:r w:rsidRPr="00357B96">
        <w:rPr>
          <w:rFonts w:ascii="Times New Roman" w:eastAsia="Calibri" w:hAnsi="Times New Roman" w:cs="Times New Roman"/>
          <w:sz w:val="24"/>
          <w:szCs w:val="24"/>
          <w:lang w:val="en-GB"/>
        </w:rPr>
        <w:t xml:space="preserve">, and words that show articles e. A, An, The etc. </w:t>
      </w:r>
    </w:p>
    <w:p w14:paraId="415D52F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444C0BF" w14:textId="4B18D2EA"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Since the study objective relates to establishing relationship between firm performance and the content analys</w:t>
      </w:r>
      <w:r w:rsidR="00320924">
        <w:rPr>
          <w:rFonts w:ascii="Times New Roman" w:eastAsia="Calibri" w:hAnsi="Times New Roman" w:cs="Times New Roman"/>
          <w:sz w:val="24"/>
          <w:szCs w:val="24"/>
          <w:lang w:val="en-GB"/>
        </w:rPr>
        <w:t>i</w:t>
      </w:r>
      <w:r w:rsidRPr="00357B96">
        <w:rPr>
          <w:rFonts w:ascii="Times New Roman" w:eastAsia="Calibri" w:hAnsi="Times New Roman" w:cs="Times New Roman"/>
          <w:sz w:val="24"/>
          <w:szCs w:val="24"/>
          <w:lang w:val="en-GB"/>
        </w:rPr>
        <w:t>s of the narratives in the risk disclosures, time orientation dimension of disclosure was used. This involves analysing the narratives along their historical, forward-looking and other dimensions (Beattie et al., 2004). To analyse the content along historical dimension, the study explored the risk disclosures for keywords that suggested historical contexts. To facilitate this process, it used the ‘sort by ending word’ facility in the software. This arranged all the keywords so that the ending letters are alphabetically arranged. All words that end with letter ‘D’ were picked. The author ensured that they are verbs and are in their past tense. This is because most of the verbs in English language form their past tense by adding ‘</w:t>
      </w:r>
      <w:proofErr w:type="spellStart"/>
      <w:r w:rsidRPr="00357B96">
        <w:rPr>
          <w:rFonts w:ascii="Times New Roman" w:eastAsia="Calibri" w:hAnsi="Times New Roman" w:cs="Times New Roman"/>
          <w:sz w:val="24"/>
          <w:szCs w:val="24"/>
          <w:lang w:val="en-GB"/>
        </w:rPr>
        <w:t>ed</w:t>
      </w:r>
      <w:proofErr w:type="spellEnd"/>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sz w:val="24"/>
          <w:szCs w:val="24"/>
          <w:lang w:val="en-GB"/>
        </w:rPr>
        <w:lastRenderedPageBreak/>
        <w:t>at the end of the word.  It was observed that some words end in ‘D’ but are not past tense. All such words were deleted; words that form their past tense by changing their structure were also searched and</w:t>
      </w:r>
      <w:r w:rsidR="00320924">
        <w:rPr>
          <w:rFonts w:ascii="Times New Roman" w:eastAsia="Calibri" w:hAnsi="Times New Roman" w:cs="Times New Roman"/>
          <w:sz w:val="24"/>
          <w:szCs w:val="24"/>
          <w:lang w:val="en-GB"/>
        </w:rPr>
        <w:t xml:space="preserve"> included</w:t>
      </w:r>
      <w:r w:rsidRPr="00357B96">
        <w:rPr>
          <w:rFonts w:ascii="Times New Roman" w:eastAsia="Calibri" w:hAnsi="Times New Roman" w:cs="Times New Roman"/>
          <w:sz w:val="24"/>
          <w:szCs w:val="24"/>
          <w:lang w:val="en-GB"/>
        </w:rPr>
        <w:t xml:space="preserve">. This process enabled us to categorise all remaining words as historical. </w:t>
      </w:r>
    </w:p>
    <w:p w14:paraId="4CA3324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BCBE3C5" w14:textId="77777777"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Next, the study analysed the risk disclosures for forward-looking context.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xml:space="preserve"> et al. (2003) and </w:t>
      </w: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et al. (2007) suggested 35 words list that indicates a forward-looking context in a report. The current study builds on this by adding more words to this list. It generated a total of 46 forward-looking word lists that could indicate forward-looking context in a report. To enhance the analysis, these words were </w:t>
      </w:r>
      <w:proofErr w:type="spellStart"/>
      <w:r w:rsidRPr="00357B96">
        <w:rPr>
          <w:rFonts w:ascii="Times New Roman" w:eastAsia="Calibri" w:hAnsi="Times New Roman" w:cs="Times New Roman"/>
          <w:sz w:val="24"/>
          <w:szCs w:val="24"/>
          <w:lang w:val="en-GB"/>
        </w:rPr>
        <w:t>lammatised</w:t>
      </w:r>
      <w:proofErr w:type="spellEnd"/>
      <w:r w:rsidRPr="00357B96">
        <w:rPr>
          <w:rFonts w:ascii="Times New Roman" w:eastAsia="Calibri" w:hAnsi="Times New Roman" w:cs="Times New Roman"/>
          <w:sz w:val="24"/>
          <w:szCs w:val="24"/>
          <w:lang w:val="en-GB"/>
        </w:rPr>
        <w:t xml:space="preserve">. A lemmatising facility enhanced consistency in search and analysis process; this is because words could be brought together under a particular heading and keyword search could be undertaken for all the words under the heading. From this process the study was able to analyse the content of the risk disclosure in the annual reports of these companies along both historical and forward looking dimensions. </w:t>
      </w:r>
    </w:p>
    <w:p w14:paraId="47EDD59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0A2786E1" w14:textId="12603BAB" w:rsidR="00357B96" w:rsidRPr="00357B96" w:rsidRDefault="00357B96" w:rsidP="00AC64FC">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The study then calculated the rate of change in these pieces of information over the periods for which data are available. </w:t>
      </w:r>
      <w:r w:rsidR="00AC64FC">
        <w:rPr>
          <w:rFonts w:ascii="Times New Roman" w:eastAsia="Calibri" w:hAnsi="Times New Roman" w:cs="Times New Roman"/>
          <w:sz w:val="24"/>
          <w:szCs w:val="24"/>
          <w:lang w:val="en-GB"/>
        </w:rPr>
        <w:t>Studies (</w:t>
      </w:r>
      <w:proofErr w:type="spellStart"/>
      <w:r w:rsidR="00AC64FC">
        <w:rPr>
          <w:rFonts w:ascii="Times New Roman" w:eastAsia="Calibri" w:hAnsi="Times New Roman" w:cs="Times New Roman"/>
          <w:sz w:val="24"/>
          <w:szCs w:val="24"/>
          <w:lang w:val="en-GB"/>
        </w:rPr>
        <w:t>Korol</w:t>
      </w:r>
      <w:proofErr w:type="spellEnd"/>
      <w:r w:rsidR="00AC64FC">
        <w:rPr>
          <w:rFonts w:ascii="Times New Roman" w:eastAsia="Calibri" w:hAnsi="Times New Roman" w:cs="Times New Roman"/>
          <w:sz w:val="24"/>
          <w:szCs w:val="24"/>
          <w:lang w:val="en-GB"/>
        </w:rPr>
        <w:t xml:space="preserve">, 2013; Sharma </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 xml:space="preserve"> </w:t>
      </w:r>
      <w:proofErr w:type="spellStart"/>
      <w:r w:rsidRPr="00357B96">
        <w:rPr>
          <w:rFonts w:ascii="Times New Roman" w:eastAsia="Calibri" w:hAnsi="Times New Roman" w:cs="Times New Roman"/>
          <w:sz w:val="24"/>
          <w:szCs w:val="24"/>
          <w:lang w:val="en-GB"/>
        </w:rPr>
        <w:t>Mahjan</w:t>
      </w:r>
      <w:proofErr w:type="spellEnd"/>
      <w:r w:rsidRPr="00357B96">
        <w:rPr>
          <w:rFonts w:ascii="Times New Roman" w:eastAsia="Calibri" w:hAnsi="Times New Roman" w:cs="Times New Roman"/>
          <w:sz w:val="24"/>
          <w:szCs w:val="24"/>
          <w:lang w:val="en-GB"/>
        </w:rPr>
        <w:t xml:space="preserve">, 1980) have shown that failed businesses show sign of their hailing between a couple of (2-5) years before their failure and a year afterwards. This study therefore compares the rate of change in the pieces of information over these periods for each of the companies in this investigation.  Next, the study describes its measure of current and future firm performance. </w:t>
      </w:r>
      <w:proofErr w:type="spellStart"/>
      <w:r w:rsidRPr="00357B96">
        <w:rPr>
          <w:rFonts w:ascii="Times New Roman" w:eastAsia="Calibri" w:hAnsi="Times New Roman" w:cs="Times New Roman"/>
          <w:sz w:val="24"/>
          <w:szCs w:val="24"/>
          <w:lang w:val="en-GB"/>
        </w:rPr>
        <w:t>Qiu</w:t>
      </w:r>
      <w:proofErr w:type="spellEnd"/>
      <w:r w:rsidRPr="00357B96">
        <w:rPr>
          <w:rFonts w:ascii="Times New Roman" w:eastAsia="Calibri" w:hAnsi="Times New Roman" w:cs="Times New Roman"/>
          <w:sz w:val="24"/>
          <w:szCs w:val="24"/>
          <w:lang w:val="en-GB"/>
        </w:rPr>
        <w:t xml:space="preserve"> et el. (2006) defined their firm future performance with reference to Return on Equity, </w:t>
      </w: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et al. (2007) used share prices as the basis for defining a firm’s future performance. This study uses two measurement bases for current and future firm performance; Dividend (DVND) and Earnings Per Share (EPS). Information on these variables were collected from the annual reports. </w:t>
      </w:r>
    </w:p>
    <w:p w14:paraId="296E1FB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00C43968" w14:textId="77777777" w:rsidR="00357B96" w:rsidRPr="00357B96" w:rsidRDefault="00357B96" w:rsidP="00AC64FC">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To test the hypotheses, panel data approach with random model was used following confirmation of its suitability after </w:t>
      </w:r>
      <w:proofErr w:type="spellStart"/>
      <w:r w:rsidRPr="00357B96">
        <w:rPr>
          <w:rFonts w:ascii="Times New Roman" w:eastAsia="Calibri" w:hAnsi="Times New Roman" w:cs="Times New Roman"/>
          <w:sz w:val="24"/>
          <w:szCs w:val="24"/>
          <w:lang w:val="en-GB"/>
        </w:rPr>
        <w:t>Hausman</w:t>
      </w:r>
      <w:proofErr w:type="spellEnd"/>
      <w:r w:rsidRPr="00357B96">
        <w:rPr>
          <w:rFonts w:ascii="Times New Roman" w:eastAsia="Calibri" w:hAnsi="Times New Roman" w:cs="Times New Roman"/>
          <w:sz w:val="24"/>
          <w:szCs w:val="24"/>
          <w:lang w:val="en-GB"/>
        </w:rPr>
        <w:t xml:space="preserve"> test (</w:t>
      </w:r>
      <w:proofErr w:type="spellStart"/>
      <w:r w:rsidRPr="00357B96">
        <w:rPr>
          <w:rFonts w:ascii="Times New Roman" w:eastAsia="Calibri" w:hAnsi="Times New Roman" w:cs="Times New Roman"/>
          <w:sz w:val="24"/>
          <w:szCs w:val="24"/>
          <w:lang w:val="en-GB"/>
        </w:rPr>
        <w:t>Baltagi</w:t>
      </w:r>
      <w:proofErr w:type="spellEnd"/>
      <w:r w:rsidRPr="00357B96">
        <w:rPr>
          <w:rFonts w:ascii="Times New Roman" w:eastAsia="Calibri" w:hAnsi="Times New Roman" w:cs="Times New Roman"/>
          <w:sz w:val="24"/>
          <w:szCs w:val="24"/>
          <w:lang w:val="en-GB"/>
        </w:rPr>
        <w:t xml:space="preserve"> and Liu, 2008).  A panel data combines the advantage of the cross-sectional and time series dimensions of an investigation. Thus, this allows us to examine the same variables for the same set of companies over different time period. The panel data model is formally stated as:</w:t>
      </w:r>
    </w:p>
    <w:p w14:paraId="02DAF08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b/>
          <w:sz w:val="24"/>
          <w:szCs w:val="24"/>
          <w:lang w:val="en-GB"/>
        </w:rPr>
        <w:object w:dxaOrig="7860" w:dyaOrig="760" w14:anchorId="33E2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9.75pt" o:ole="">
            <v:imagedata r:id="rId11" o:title=""/>
          </v:shape>
          <o:OLEObject Type="Embed" ProgID="Equation.3" ShapeID="_x0000_i1025" DrawAspect="Content" ObjectID="_1556713131" r:id="rId12"/>
        </w:object>
      </w:r>
    </w:p>
    <w:p w14:paraId="244AF35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A65423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The current performance regression models are based on equation 1 above. Equation 2 below is used for the growth in future performance regression model. </w:t>
      </w:r>
    </w:p>
    <w:p w14:paraId="49A992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097681F1"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object w:dxaOrig="8080" w:dyaOrig="720" w14:anchorId="048999FD">
          <v:shape id="_x0000_i1026" type="#_x0000_t75" style="width:417.75pt;height:37.5pt" o:ole="">
            <v:imagedata r:id="rId13" o:title=""/>
          </v:shape>
          <o:OLEObject Type="Embed" ProgID="Equation.3" ShapeID="_x0000_i1026" DrawAspect="Content" ObjectID="_1556713132" r:id="rId14"/>
        </w:object>
      </w:r>
    </w:p>
    <w:p w14:paraId="2263A6F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The growths in each of the base measures for these periods were calculated as a proxy for future firm performance. This is formally stated as:</w:t>
      </w:r>
    </w:p>
    <w:p w14:paraId="6409E0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9F179A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                ΔX=     </w:t>
      </w:r>
      <w:r w:rsidRPr="00357B96">
        <w:rPr>
          <w:rFonts w:ascii="Times New Roman" w:eastAsia="Calibri" w:hAnsi="Times New Roman" w:cs="Times New Roman"/>
          <w:sz w:val="24"/>
          <w:szCs w:val="24"/>
          <w:lang w:val="en-GB"/>
        </w:rPr>
        <w:object w:dxaOrig="1040" w:dyaOrig="700" w14:anchorId="2DE5420C">
          <v:shape id="_x0000_i1027" type="#_x0000_t75" style="width:51.75pt;height:35.25pt" o:ole="">
            <v:imagedata r:id="rId15" o:title=""/>
          </v:shape>
          <o:OLEObject Type="Embed" ProgID="Equation.3" ShapeID="_x0000_i1027" DrawAspect="Content" ObjectID="_1556713133" r:id="rId16"/>
        </w:object>
      </w:r>
      <w:r w:rsidRPr="00357B96">
        <w:rPr>
          <w:rFonts w:ascii="Times New Roman" w:eastAsia="Calibri" w:hAnsi="Times New Roman" w:cs="Times New Roman"/>
          <w:sz w:val="24"/>
          <w:szCs w:val="24"/>
          <w:lang w:val="en-GB"/>
        </w:rPr>
        <w:t>…………………………………………</w:t>
      </w:r>
      <w:proofErr w:type="gramStart"/>
      <w:r w:rsidRPr="00357B96">
        <w:rPr>
          <w:rFonts w:ascii="Times New Roman" w:eastAsia="Calibri" w:hAnsi="Times New Roman" w:cs="Times New Roman"/>
          <w:sz w:val="24"/>
          <w:szCs w:val="24"/>
          <w:lang w:val="en-GB"/>
        </w:rPr>
        <w:t>…(</w:t>
      </w:r>
      <w:proofErr w:type="gramEnd"/>
      <w:r w:rsidRPr="00357B96">
        <w:rPr>
          <w:rFonts w:ascii="Times New Roman" w:eastAsia="Calibri" w:hAnsi="Times New Roman" w:cs="Times New Roman"/>
          <w:sz w:val="24"/>
          <w:szCs w:val="24"/>
          <w:lang w:val="en-GB"/>
        </w:rPr>
        <w:t>3)</w:t>
      </w:r>
    </w:p>
    <w:p w14:paraId="6FD4A6A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Where:</w:t>
      </w:r>
    </w:p>
    <w:p w14:paraId="4C0B1EB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lastRenderedPageBreak/>
        <w:t>X</w:t>
      </w:r>
      <w:r w:rsidRPr="00357B96">
        <w:rPr>
          <w:rFonts w:ascii="Times New Roman" w:eastAsia="Calibri" w:hAnsi="Times New Roman" w:cs="Times New Roman"/>
          <w:sz w:val="24"/>
          <w:szCs w:val="24"/>
          <w:vertAlign w:val="subscript"/>
          <w:lang w:val="en-GB"/>
        </w:rPr>
        <w:t>t</w:t>
      </w:r>
      <w:proofErr w:type="spellEnd"/>
      <w:r w:rsidRPr="00357B96">
        <w:rPr>
          <w:rFonts w:ascii="Times New Roman" w:eastAsia="Calibri" w:hAnsi="Times New Roman" w:cs="Times New Roman"/>
          <w:sz w:val="24"/>
          <w:szCs w:val="24"/>
          <w:lang w:val="en-GB"/>
        </w:rPr>
        <w:t>= represents our measure of performance for period t</w:t>
      </w:r>
    </w:p>
    <w:p w14:paraId="61A6A45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X</w:t>
      </w:r>
      <w:r w:rsidRPr="00357B96">
        <w:rPr>
          <w:rFonts w:ascii="Times New Roman" w:eastAsia="Calibri" w:hAnsi="Times New Roman" w:cs="Times New Roman"/>
          <w:sz w:val="24"/>
          <w:szCs w:val="24"/>
          <w:vertAlign w:val="subscript"/>
          <w:lang w:val="en-GB"/>
        </w:rPr>
        <w:t>t+1</w:t>
      </w:r>
      <w:r w:rsidRPr="00357B96">
        <w:rPr>
          <w:rFonts w:ascii="Times New Roman" w:eastAsia="Calibri" w:hAnsi="Times New Roman" w:cs="Times New Roman"/>
          <w:sz w:val="24"/>
          <w:szCs w:val="24"/>
          <w:lang w:val="en-GB"/>
        </w:rPr>
        <w:t>= represent our measure of performance in period t+1 (a year later)</w:t>
      </w:r>
    </w:p>
    <w:p w14:paraId="50FC084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FD6881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Equation 3 below is the basis of the positive time lag future performance regression model. </w:t>
      </w:r>
    </w:p>
    <w:p w14:paraId="14300E0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b/>
          <w:sz w:val="24"/>
          <w:szCs w:val="24"/>
          <w:lang w:val="en-GB"/>
        </w:rPr>
        <w:object w:dxaOrig="8260" w:dyaOrig="720" w14:anchorId="4F23969B">
          <v:shape id="_x0000_i1028" type="#_x0000_t75" style="width:426.75pt;height:37.5pt" o:ole="">
            <v:imagedata r:id="rId17" o:title=""/>
          </v:shape>
          <o:OLEObject Type="Embed" ProgID="Equation.3" ShapeID="_x0000_i1028" DrawAspect="Content" ObjectID="_1556713134" r:id="rId18"/>
        </w:object>
      </w:r>
    </w:p>
    <w:p w14:paraId="129738ED"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p w14:paraId="4E6FA4C7" w14:textId="77777777" w:rsidR="00357B96" w:rsidRPr="00357B96" w:rsidRDefault="00357B96" w:rsidP="00F307BB">
      <w:pPr>
        <w:numPr>
          <w:ilvl w:val="0"/>
          <w:numId w:val="35"/>
        </w:num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Results </w:t>
      </w:r>
    </w:p>
    <w:p w14:paraId="2C11477A" w14:textId="77777777" w:rsidR="00AC64FC" w:rsidRDefault="00AC64FC" w:rsidP="00F307BB">
      <w:pPr>
        <w:spacing w:after="0" w:line="240" w:lineRule="auto"/>
        <w:jc w:val="both"/>
        <w:rPr>
          <w:rFonts w:ascii="Times New Roman" w:eastAsia="Calibri" w:hAnsi="Times New Roman" w:cs="Times New Roman"/>
          <w:sz w:val="24"/>
          <w:szCs w:val="24"/>
          <w:lang w:val="en-GB"/>
        </w:rPr>
      </w:pPr>
    </w:p>
    <w:p w14:paraId="2DEFDD5A" w14:textId="77777777" w:rsid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Table 3 below presents the summary of the panel data profile. It shows the study is based on 34 firm years. </w:t>
      </w:r>
    </w:p>
    <w:p w14:paraId="660B8ADA" w14:textId="77777777" w:rsidR="00AC64FC" w:rsidRPr="00357B96" w:rsidRDefault="00AC64FC" w:rsidP="00F307BB">
      <w:pPr>
        <w:spacing w:after="0" w:line="240" w:lineRule="auto"/>
        <w:jc w:val="both"/>
        <w:rPr>
          <w:rFonts w:ascii="Times New Roman" w:eastAsia="Calibri" w:hAnsi="Times New Roman" w:cs="Times New Roman"/>
          <w:sz w:val="24"/>
          <w:szCs w:val="24"/>
          <w:lang w:val="en-GB"/>
        </w:rPr>
      </w:pPr>
    </w:p>
    <w:p w14:paraId="63DAC022"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3: Panel Data Profile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357B96" w:rsidRPr="00357B96" w14:paraId="092520AA" w14:textId="77777777" w:rsidTr="00AF10A4">
        <w:trPr>
          <w:jc w:val="center"/>
        </w:trPr>
        <w:tc>
          <w:tcPr>
            <w:tcW w:w="3080" w:type="dxa"/>
          </w:tcPr>
          <w:p w14:paraId="5A09CA9E"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Company</w:t>
            </w:r>
          </w:p>
        </w:tc>
        <w:tc>
          <w:tcPr>
            <w:tcW w:w="3081" w:type="dxa"/>
          </w:tcPr>
          <w:p w14:paraId="44AEE950"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Period</w:t>
            </w:r>
          </w:p>
        </w:tc>
        <w:tc>
          <w:tcPr>
            <w:tcW w:w="3081" w:type="dxa"/>
          </w:tcPr>
          <w:p w14:paraId="05397AB5"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Total</w:t>
            </w:r>
          </w:p>
        </w:tc>
      </w:tr>
      <w:tr w:rsidR="00357B96" w:rsidRPr="00357B96" w14:paraId="422F1F5B" w14:textId="77777777" w:rsidTr="00AF10A4">
        <w:trPr>
          <w:jc w:val="center"/>
        </w:trPr>
        <w:tc>
          <w:tcPr>
            <w:tcW w:w="3080" w:type="dxa"/>
          </w:tcPr>
          <w:p w14:paraId="7062C1F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HBOS</w:t>
            </w:r>
          </w:p>
        </w:tc>
        <w:tc>
          <w:tcPr>
            <w:tcW w:w="3081" w:type="dxa"/>
          </w:tcPr>
          <w:p w14:paraId="17B91BD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2001-2007</w:t>
            </w:r>
          </w:p>
        </w:tc>
        <w:tc>
          <w:tcPr>
            <w:tcW w:w="3081" w:type="dxa"/>
          </w:tcPr>
          <w:p w14:paraId="336EF16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7years</w:t>
            </w:r>
          </w:p>
        </w:tc>
      </w:tr>
      <w:tr w:rsidR="00357B96" w:rsidRPr="00357B96" w14:paraId="4E3134DD" w14:textId="77777777" w:rsidTr="00AF10A4">
        <w:trPr>
          <w:jc w:val="center"/>
        </w:trPr>
        <w:tc>
          <w:tcPr>
            <w:tcW w:w="3080" w:type="dxa"/>
          </w:tcPr>
          <w:p w14:paraId="24D2CF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RBS</w:t>
            </w:r>
          </w:p>
        </w:tc>
        <w:tc>
          <w:tcPr>
            <w:tcW w:w="3081" w:type="dxa"/>
          </w:tcPr>
          <w:p w14:paraId="4668D19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2001-2007</w:t>
            </w:r>
          </w:p>
        </w:tc>
        <w:tc>
          <w:tcPr>
            <w:tcW w:w="3081" w:type="dxa"/>
          </w:tcPr>
          <w:p w14:paraId="3E3D3BF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7years</w:t>
            </w:r>
          </w:p>
        </w:tc>
      </w:tr>
      <w:tr w:rsidR="00357B96" w:rsidRPr="00357B96" w14:paraId="180F0B6F" w14:textId="77777777" w:rsidTr="00AF10A4">
        <w:trPr>
          <w:jc w:val="center"/>
        </w:trPr>
        <w:tc>
          <w:tcPr>
            <w:tcW w:w="3080" w:type="dxa"/>
          </w:tcPr>
          <w:p w14:paraId="50C5D17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Northern Rock</w:t>
            </w:r>
          </w:p>
        </w:tc>
        <w:tc>
          <w:tcPr>
            <w:tcW w:w="3081" w:type="dxa"/>
          </w:tcPr>
          <w:p w14:paraId="50025BA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1998-2008</w:t>
            </w:r>
          </w:p>
        </w:tc>
        <w:tc>
          <w:tcPr>
            <w:tcW w:w="3081" w:type="dxa"/>
          </w:tcPr>
          <w:p w14:paraId="0583458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11years</w:t>
            </w:r>
          </w:p>
        </w:tc>
      </w:tr>
      <w:tr w:rsidR="00357B96" w:rsidRPr="00357B96" w14:paraId="166730F4" w14:textId="77777777" w:rsidTr="00AF10A4">
        <w:trPr>
          <w:jc w:val="center"/>
        </w:trPr>
        <w:tc>
          <w:tcPr>
            <w:tcW w:w="3080" w:type="dxa"/>
          </w:tcPr>
          <w:p w14:paraId="14366E6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Bradford and Bingley</w:t>
            </w:r>
          </w:p>
        </w:tc>
        <w:tc>
          <w:tcPr>
            <w:tcW w:w="3081" w:type="dxa"/>
          </w:tcPr>
          <w:p w14:paraId="073721E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2000-2008</w:t>
            </w:r>
          </w:p>
        </w:tc>
        <w:tc>
          <w:tcPr>
            <w:tcW w:w="3081" w:type="dxa"/>
          </w:tcPr>
          <w:p w14:paraId="691CF16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9years</w:t>
            </w:r>
          </w:p>
        </w:tc>
      </w:tr>
      <w:tr w:rsidR="00357B96" w:rsidRPr="00357B96" w14:paraId="490168EC" w14:textId="77777777" w:rsidTr="00AF10A4">
        <w:trPr>
          <w:jc w:val="center"/>
        </w:trPr>
        <w:tc>
          <w:tcPr>
            <w:tcW w:w="3080" w:type="dxa"/>
          </w:tcPr>
          <w:p w14:paraId="0FCDBD43"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tc>
        <w:tc>
          <w:tcPr>
            <w:tcW w:w="3081" w:type="dxa"/>
          </w:tcPr>
          <w:p w14:paraId="62E264CA"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tc>
        <w:tc>
          <w:tcPr>
            <w:tcW w:w="3081" w:type="dxa"/>
          </w:tcPr>
          <w:p w14:paraId="22419517"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34 years</w:t>
            </w:r>
          </w:p>
        </w:tc>
      </w:tr>
    </w:tbl>
    <w:p w14:paraId="5623103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A319F5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Table 4 presents the variables in the data and their definitions. Tables 5 and 6 present the descriptive statistics. Table 5 shows that on average there are more   historical information in the risk disclosure of the companies investigated than forward information.</w:t>
      </w:r>
    </w:p>
    <w:p w14:paraId="7CBB9204"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p>
    <w:p w14:paraId="42DD9E7C"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4: Variable Definition for all variables used in the study </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217"/>
        <w:gridCol w:w="709"/>
        <w:gridCol w:w="6582"/>
      </w:tblGrid>
      <w:tr w:rsidR="00357B96" w:rsidRPr="00357B96" w14:paraId="2A5E16CD" w14:textId="77777777" w:rsidTr="00AF10A4">
        <w:tc>
          <w:tcPr>
            <w:tcW w:w="1951" w:type="dxa"/>
            <w:tcBorders>
              <w:top w:val="single" w:sz="4" w:space="0" w:color="000000"/>
              <w:bottom w:val="single" w:sz="4" w:space="0" w:color="000000"/>
              <w:right w:val="nil"/>
            </w:tcBorders>
          </w:tcPr>
          <w:p w14:paraId="4B15DEC7"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Variable </w:t>
            </w:r>
          </w:p>
        </w:tc>
        <w:tc>
          <w:tcPr>
            <w:tcW w:w="709" w:type="dxa"/>
            <w:tcBorders>
              <w:top w:val="single" w:sz="4" w:space="0" w:color="000000"/>
              <w:bottom w:val="single" w:sz="4" w:space="0" w:color="000000"/>
              <w:right w:val="nil"/>
            </w:tcBorders>
          </w:tcPr>
          <w:p w14:paraId="21104911"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Sign</w:t>
            </w:r>
          </w:p>
        </w:tc>
        <w:tc>
          <w:tcPr>
            <w:tcW w:w="6582" w:type="dxa"/>
            <w:tcBorders>
              <w:top w:val="single" w:sz="4" w:space="0" w:color="000000"/>
              <w:left w:val="nil"/>
              <w:bottom w:val="single" w:sz="4" w:space="0" w:color="000000"/>
            </w:tcBorders>
          </w:tcPr>
          <w:p w14:paraId="08CFE3AD"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Definition </w:t>
            </w:r>
          </w:p>
        </w:tc>
      </w:tr>
      <w:tr w:rsidR="00357B96" w:rsidRPr="00357B96" w14:paraId="0602B4DB" w14:textId="77777777" w:rsidTr="00AF10A4">
        <w:tc>
          <w:tcPr>
            <w:tcW w:w="1951" w:type="dxa"/>
            <w:tcBorders>
              <w:top w:val="single" w:sz="4" w:space="0" w:color="000000"/>
            </w:tcBorders>
          </w:tcPr>
          <w:p w14:paraId="769D7DB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FP</w:t>
            </w:r>
          </w:p>
        </w:tc>
        <w:tc>
          <w:tcPr>
            <w:tcW w:w="709" w:type="dxa"/>
            <w:tcBorders>
              <w:top w:val="single" w:sz="4" w:space="0" w:color="000000"/>
            </w:tcBorders>
          </w:tcPr>
          <w:p w14:paraId="12ED3EC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582" w:type="dxa"/>
            <w:tcBorders>
              <w:top w:val="single" w:sz="4" w:space="0" w:color="000000"/>
            </w:tcBorders>
          </w:tcPr>
          <w:p w14:paraId="328F56F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Future performance in each of the years. Proxy with growth rate in:</w:t>
            </w:r>
          </w:p>
          <w:p w14:paraId="40079A9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DND= Dividend</w:t>
            </w:r>
          </w:p>
          <w:p w14:paraId="7EC3804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bCs/>
                <w:sz w:val="24"/>
                <w:szCs w:val="24"/>
                <w:lang w:val="en-GB"/>
              </w:rPr>
              <w:t xml:space="preserve">ΔDND= this is change in dividend and it is defined as the dividend for this year less last year’s dividend divided by last year’s dividend. </w:t>
            </w:r>
          </w:p>
          <w:p w14:paraId="2D1D1EA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EPS= Earnings Per Share which is given as net operating profit divided by outstanding shares in a firm. </w:t>
            </w:r>
          </w:p>
          <w:p w14:paraId="512EA87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bCs/>
                <w:sz w:val="24"/>
                <w:szCs w:val="24"/>
                <w:lang w:val="en-GB"/>
              </w:rPr>
              <w:t xml:space="preserve">ΔEPS= is the change in the in EPS and it is defined as the EPS for this year minus EPS last year divided by EPS last year. </w:t>
            </w:r>
          </w:p>
        </w:tc>
      </w:tr>
      <w:tr w:rsidR="00357B96" w:rsidRPr="00357B96" w14:paraId="05A4712F" w14:textId="77777777" w:rsidTr="00AF10A4">
        <w:tc>
          <w:tcPr>
            <w:tcW w:w="1951" w:type="dxa"/>
          </w:tcPr>
          <w:p w14:paraId="30E0E92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HRIC</w:t>
            </w:r>
          </w:p>
        </w:tc>
        <w:tc>
          <w:tcPr>
            <w:tcW w:w="709" w:type="dxa"/>
          </w:tcPr>
          <w:p w14:paraId="3F5E8FA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29BAFDB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Historical narratives information in the  risk disclosures in the annual reports </w:t>
            </w:r>
          </w:p>
        </w:tc>
      </w:tr>
      <w:tr w:rsidR="00357B96" w:rsidRPr="00357B96" w14:paraId="4FEC6BFD" w14:textId="77777777" w:rsidTr="00AF10A4">
        <w:tc>
          <w:tcPr>
            <w:tcW w:w="1951" w:type="dxa"/>
          </w:tcPr>
          <w:p w14:paraId="1096DCC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709" w:type="dxa"/>
          </w:tcPr>
          <w:p w14:paraId="06A0D42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62F79A6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Forward-looking narrative Information in the risk disclosure in the annual reports </w:t>
            </w:r>
          </w:p>
        </w:tc>
      </w:tr>
      <w:tr w:rsidR="00357B96" w:rsidRPr="00357B96" w14:paraId="0AB4BF4A" w14:textId="77777777" w:rsidTr="00AF10A4">
        <w:tc>
          <w:tcPr>
            <w:tcW w:w="1951" w:type="dxa"/>
          </w:tcPr>
          <w:p w14:paraId="3BF7B6A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w:t>
            </w:r>
          </w:p>
        </w:tc>
        <w:tc>
          <w:tcPr>
            <w:tcW w:w="709" w:type="dxa"/>
          </w:tcPr>
          <w:p w14:paraId="29280F0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00D51C8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Optimistic enhancing narrative information in the risk disclosures in the annual reports</w:t>
            </w:r>
          </w:p>
        </w:tc>
      </w:tr>
      <w:tr w:rsidR="00357B96" w:rsidRPr="00357B96" w14:paraId="6DFA82FB" w14:textId="77777777" w:rsidTr="00AF10A4">
        <w:tc>
          <w:tcPr>
            <w:tcW w:w="1951" w:type="dxa"/>
          </w:tcPr>
          <w:p w14:paraId="531B359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w:t>
            </w:r>
          </w:p>
        </w:tc>
        <w:tc>
          <w:tcPr>
            <w:tcW w:w="709" w:type="dxa"/>
          </w:tcPr>
          <w:p w14:paraId="55E4315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2E46D23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Pessimistic enhancing narratives information in the risk disclosures in the annual reports</w:t>
            </w:r>
          </w:p>
        </w:tc>
      </w:tr>
      <w:tr w:rsidR="00357B96" w:rsidRPr="00357B96" w14:paraId="61A4ADC0" w14:textId="77777777" w:rsidTr="00AF10A4">
        <w:tc>
          <w:tcPr>
            <w:tcW w:w="1951" w:type="dxa"/>
          </w:tcPr>
          <w:p w14:paraId="3E7FC79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WORD</w:t>
            </w:r>
          </w:p>
        </w:tc>
        <w:tc>
          <w:tcPr>
            <w:tcW w:w="709" w:type="dxa"/>
          </w:tcPr>
          <w:p w14:paraId="47183DE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080C79A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Total word count in the risk disclosure.</w:t>
            </w:r>
          </w:p>
        </w:tc>
      </w:tr>
      <w:tr w:rsidR="00357B96" w:rsidRPr="00357B96" w14:paraId="1C78DEE8" w14:textId="77777777" w:rsidTr="00AF10A4">
        <w:tc>
          <w:tcPr>
            <w:tcW w:w="1951" w:type="dxa"/>
          </w:tcPr>
          <w:p w14:paraId="05AA78A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lastRenderedPageBreak/>
              <w:t>FIRMSIZE</w:t>
            </w:r>
          </w:p>
        </w:tc>
        <w:tc>
          <w:tcPr>
            <w:tcW w:w="709" w:type="dxa"/>
          </w:tcPr>
          <w:p w14:paraId="77E3EA6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582" w:type="dxa"/>
          </w:tcPr>
          <w:p w14:paraId="7DA4205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Natural log of total assets</w:t>
            </w:r>
          </w:p>
        </w:tc>
      </w:tr>
      <w:tr w:rsidR="00357B96" w:rsidRPr="00357B96" w14:paraId="424056A8" w14:textId="77777777" w:rsidTr="00AF10A4">
        <w:tc>
          <w:tcPr>
            <w:tcW w:w="1951" w:type="dxa"/>
          </w:tcPr>
          <w:p w14:paraId="640C1A2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EQUITYTOASSET</w:t>
            </w:r>
          </w:p>
        </w:tc>
        <w:tc>
          <w:tcPr>
            <w:tcW w:w="709" w:type="dxa"/>
          </w:tcPr>
          <w:p w14:paraId="3F54735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582" w:type="dxa"/>
          </w:tcPr>
          <w:p w14:paraId="25DA497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Equity divided by total asset</w:t>
            </w:r>
          </w:p>
        </w:tc>
      </w:tr>
      <w:tr w:rsidR="00357B96" w:rsidRPr="00357B96" w14:paraId="2C2D1003" w14:textId="77777777" w:rsidTr="00AF10A4">
        <w:tc>
          <w:tcPr>
            <w:tcW w:w="1951" w:type="dxa"/>
          </w:tcPr>
          <w:p w14:paraId="394946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INCOMETOASSET</w:t>
            </w:r>
          </w:p>
        </w:tc>
        <w:tc>
          <w:tcPr>
            <w:tcW w:w="709" w:type="dxa"/>
          </w:tcPr>
          <w:p w14:paraId="4B1D6E1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582" w:type="dxa"/>
          </w:tcPr>
          <w:p w14:paraId="431588C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Natural log of Net income divided by total assets</w:t>
            </w:r>
          </w:p>
        </w:tc>
      </w:tr>
      <w:tr w:rsidR="00357B96" w:rsidRPr="00357B96" w14:paraId="2CED272A" w14:textId="77777777" w:rsidTr="00AF10A4">
        <w:tc>
          <w:tcPr>
            <w:tcW w:w="1951" w:type="dxa"/>
          </w:tcPr>
          <w:p w14:paraId="57CC152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709" w:type="dxa"/>
          </w:tcPr>
          <w:p w14:paraId="4B53B59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t>
            </w:r>
            <w:proofErr w:type="spellStart"/>
            <w:r w:rsidRPr="00357B96">
              <w:rPr>
                <w:rFonts w:ascii="Times New Roman" w:eastAsia="Calibri" w:hAnsi="Times New Roman" w:cs="Times New Roman"/>
                <w:sz w:val="24"/>
                <w:szCs w:val="24"/>
                <w:lang w:val="en-GB"/>
              </w:rPr>
              <w:t>ve</w:t>
            </w:r>
            <w:proofErr w:type="spellEnd"/>
          </w:p>
        </w:tc>
        <w:tc>
          <w:tcPr>
            <w:tcW w:w="6582" w:type="dxa"/>
          </w:tcPr>
          <w:p w14:paraId="6569F51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Natural log of total asset in a firm</w:t>
            </w:r>
          </w:p>
        </w:tc>
      </w:tr>
    </w:tbl>
    <w:p w14:paraId="210430A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8CA571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With historical information being 310 words on the average compared to 191 words for forward looking information. Historical information also has higher level of variations compared to forward looking information as shown by the standard deviation figures. Pessimistic enhancing words are more on the average in the risk disclosure for these companies compared to optimistic enhancing words. The average total word disclosure for the companies in the study was 1465 words with the lowest being 717 words compared to the highest of 2231 words. </w:t>
      </w:r>
    </w:p>
    <w:p w14:paraId="457B2B6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13DBEEE"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5: Descriptive Statistics for all variables used in the study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456"/>
        <w:gridCol w:w="1497"/>
        <w:gridCol w:w="1487"/>
        <w:gridCol w:w="1455"/>
        <w:gridCol w:w="1464"/>
      </w:tblGrid>
      <w:tr w:rsidR="00357B96" w:rsidRPr="00357B96" w14:paraId="1EC1A5BA" w14:textId="77777777" w:rsidTr="00AF10A4">
        <w:tc>
          <w:tcPr>
            <w:tcW w:w="1587" w:type="dxa"/>
          </w:tcPr>
          <w:p w14:paraId="58D26B21"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Variable</w:t>
            </w:r>
          </w:p>
        </w:tc>
        <w:tc>
          <w:tcPr>
            <w:tcW w:w="1528" w:type="dxa"/>
          </w:tcPr>
          <w:p w14:paraId="1B64B372"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Obs.</w:t>
            </w:r>
          </w:p>
        </w:tc>
        <w:tc>
          <w:tcPr>
            <w:tcW w:w="1533" w:type="dxa"/>
          </w:tcPr>
          <w:p w14:paraId="0144E9D2"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Mean</w:t>
            </w:r>
          </w:p>
        </w:tc>
        <w:tc>
          <w:tcPr>
            <w:tcW w:w="1533" w:type="dxa"/>
          </w:tcPr>
          <w:p w14:paraId="4BCAC2C1"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Std. Dev.</w:t>
            </w:r>
          </w:p>
        </w:tc>
        <w:tc>
          <w:tcPr>
            <w:tcW w:w="1531" w:type="dxa"/>
          </w:tcPr>
          <w:p w14:paraId="3C9E3910"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Min</w:t>
            </w:r>
          </w:p>
        </w:tc>
        <w:tc>
          <w:tcPr>
            <w:tcW w:w="1530" w:type="dxa"/>
          </w:tcPr>
          <w:p w14:paraId="1CFFDCAD"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Max</w:t>
            </w:r>
          </w:p>
        </w:tc>
      </w:tr>
      <w:tr w:rsidR="00357B96" w:rsidRPr="00357B96" w14:paraId="74604A25" w14:textId="77777777" w:rsidTr="00AF10A4">
        <w:tc>
          <w:tcPr>
            <w:tcW w:w="1587" w:type="dxa"/>
          </w:tcPr>
          <w:p w14:paraId="05FF91F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HRIC</w:t>
            </w:r>
          </w:p>
        </w:tc>
        <w:tc>
          <w:tcPr>
            <w:tcW w:w="1528" w:type="dxa"/>
          </w:tcPr>
          <w:p w14:paraId="389039F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100D05F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310.559</w:t>
            </w:r>
          </w:p>
        </w:tc>
        <w:tc>
          <w:tcPr>
            <w:tcW w:w="1533" w:type="dxa"/>
          </w:tcPr>
          <w:p w14:paraId="5EAA758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131.355</w:t>
            </w:r>
          </w:p>
        </w:tc>
        <w:tc>
          <w:tcPr>
            <w:tcW w:w="1531" w:type="dxa"/>
          </w:tcPr>
          <w:p w14:paraId="4C6C6B2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124</w:t>
            </w:r>
          </w:p>
        </w:tc>
        <w:tc>
          <w:tcPr>
            <w:tcW w:w="1530" w:type="dxa"/>
          </w:tcPr>
          <w:p w14:paraId="7656A0B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510</w:t>
            </w:r>
          </w:p>
        </w:tc>
      </w:tr>
      <w:tr w:rsidR="00357B96" w:rsidRPr="00357B96" w14:paraId="74E0E82E" w14:textId="77777777" w:rsidTr="00AF10A4">
        <w:tc>
          <w:tcPr>
            <w:tcW w:w="1587" w:type="dxa"/>
          </w:tcPr>
          <w:p w14:paraId="2D095A2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1528" w:type="dxa"/>
          </w:tcPr>
          <w:p w14:paraId="5AD4C6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2FC8C8B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191.000</w:t>
            </w:r>
          </w:p>
        </w:tc>
        <w:tc>
          <w:tcPr>
            <w:tcW w:w="1533" w:type="dxa"/>
          </w:tcPr>
          <w:p w14:paraId="44C93CF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117.821</w:t>
            </w:r>
          </w:p>
        </w:tc>
        <w:tc>
          <w:tcPr>
            <w:tcW w:w="1531" w:type="dxa"/>
          </w:tcPr>
          <w:p w14:paraId="7735C9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w:t>
            </w:r>
          </w:p>
        </w:tc>
        <w:tc>
          <w:tcPr>
            <w:tcW w:w="1530" w:type="dxa"/>
          </w:tcPr>
          <w:p w14:paraId="6586867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398</w:t>
            </w:r>
          </w:p>
        </w:tc>
      </w:tr>
      <w:tr w:rsidR="00357B96" w:rsidRPr="00357B96" w14:paraId="170CFB07" w14:textId="77777777" w:rsidTr="00AF10A4">
        <w:tc>
          <w:tcPr>
            <w:tcW w:w="1587" w:type="dxa"/>
          </w:tcPr>
          <w:p w14:paraId="733816F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w:t>
            </w:r>
          </w:p>
        </w:tc>
        <w:tc>
          <w:tcPr>
            <w:tcW w:w="1528" w:type="dxa"/>
          </w:tcPr>
          <w:p w14:paraId="49D5A4B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241D207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98.382</w:t>
            </w:r>
          </w:p>
        </w:tc>
        <w:tc>
          <w:tcPr>
            <w:tcW w:w="1533" w:type="dxa"/>
          </w:tcPr>
          <w:p w14:paraId="0C72D46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59.748</w:t>
            </w:r>
          </w:p>
        </w:tc>
        <w:tc>
          <w:tcPr>
            <w:tcW w:w="1531" w:type="dxa"/>
          </w:tcPr>
          <w:p w14:paraId="2C4BAAE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w:t>
            </w:r>
          </w:p>
        </w:tc>
        <w:tc>
          <w:tcPr>
            <w:tcW w:w="1530" w:type="dxa"/>
          </w:tcPr>
          <w:p w14:paraId="6DE8CCF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250</w:t>
            </w:r>
          </w:p>
        </w:tc>
      </w:tr>
      <w:tr w:rsidR="00357B96" w:rsidRPr="00357B96" w14:paraId="0FB5B89A" w14:textId="77777777" w:rsidTr="00AF10A4">
        <w:tc>
          <w:tcPr>
            <w:tcW w:w="1587" w:type="dxa"/>
          </w:tcPr>
          <w:p w14:paraId="6806EB6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w:t>
            </w:r>
          </w:p>
        </w:tc>
        <w:tc>
          <w:tcPr>
            <w:tcW w:w="1528" w:type="dxa"/>
          </w:tcPr>
          <w:p w14:paraId="6C826AB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62440E0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127.294</w:t>
            </w:r>
          </w:p>
        </w:tc>
        <w:tc>
          <w:tcPr>
            <w:tcW w:w="1533" w:type="dxa"/>
          </w:tcPr>
          <w:p w14:paraId="67DBC50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47.849</w:t>
            </w:r>
          </w:p>
        </w:tc>
        <w:tc>
          <w:tcPr>
            <w:tcW w:w="1531" w:type="dxa"/>
          </w:tcPr>
          <w:p w14:paraId="7522F2F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24</w:t>
            </w:r>
          </w:p>
        </w:tc>
        <w:tc>
          <w:tcPr>
            <w:tcW w:w="1530" w:type="dxa"/>
          </w:tcPr>
          <w:p w14:paraId="58CEC70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201</w:t>
            </w:r>
          </w:p>
        </w:tc>
      </w:tr>
      <w:tr w:rsidR="00357B96" w:rsidRPr="00357B96" w14:paraId="1CDD10B4" w14:textId="77777777" w:rsidTr="00AF10A4">
        <w:tc>
          <w:tcPr>
            <w:tcW w:w="1587" w:type="dxa"/>
          </w:tcPr>
          <w:p w14:paraId="49779EB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WORD</w:t>
            </w:r>
          </w:p>
        </w:tc>
        <w:tc>
          <w:tcPr>
            <w:tcW w:w="1528" w:type="dxa"/>
          </w:tcPr>
          <w:p w14:paraId="0D11E51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028DBBA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1464.824</w:t>
            </w:r>
          </w:p>
        </w:tc>
        <w:tc>
          <w:tcPr>
            <w:tcW w:w="1533" w:type="dxa"/>
          </w:tcPr>
          <w:p w14:paraId="1264E6E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478.152</w:t>
            </w:r>
          </w:p>
        </w:tc>
        <w:tc>
          <w:tcPr>
            <w:tcW w:w="1531" w:type="dxa"/>
          </w:tcPr>
          <w:p w14:paraId="43FA578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717</w:t>
            </w:r>
          </w:p>
        </w:tc>
        <w:tc>
          <w:tcPr>
            <w:tcW w:w="1530" w:type="dxa"/>
          </w:tcPr>
          <w:p w14:paraId="75FD98D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2231</w:t>
            </w:r>
          </w:p>
        </w:tc>
      </w:tr>
      <w:tr w:rsidR="00357B96" w:rsidRPr="00357B96" w14:paraId="35359B29" w14:textId="77777777" w:rsidTr="00AF10A4">
        <w:tc>
          <w:tcPr>
            <w:tcW w:w="1587" w:type="dxa"/>
          </w:tcPr>
          <w:p w14:paraId="67D67D7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DND</w:t>
            </w:r>
          </w:p>
        </w:tc>
        <w:tc>
          <w:tcPr>
            <w:tcW w:w="1528" w:type="dxa"/>
          </w:tcPr>
          <w:p w14:paraId="2A98214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2941CC4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23.791</w:t>
            </w:r>
          </w:p>
        </w:tc>
        <w:tc>
          <w:tcPr>
            <w:tcW w:w="1533" w:type="dxa"/>
          </w:tcPr>
          <w:p w14:paraId="5C479D8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14.632</w:t>
            </w:r>
          </w:p>
        </w:tc>
        <w:tc>
          <w:tcPr>
            <w:tcW w:w="1531" w:type="dxa"/>
          </w:tcPr>
          <w:p w14:paraId="42744CE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w:t>
            </w:r>
          </w:p>
        </w:tc>
        <w:tc>
          <w:tcPr>
            <w:tcW w:w="1530" w:type="dxa"/>
          </w:tcPr>
          <w:p w14:paraId="02B6ADC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52.5</w:t>
            </w:r>
          </w:p>
        </w:tc>
      </w:tr>
      <w:tr w:rsidR="00357B96" w:rsidRPr="00357B96" w14:paraId="450C6ADD" w14:textId="77777777" w:rsidTr="00AF10A4">
        <w:tc>
          <w:tcPr>
            <w:tcW w:w="1587" w:type="dxa"/>
          </w:tcPr>
          <w:p w14:paraId="648E550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ΔDND</w:t>
            </w:r>
          </w:p>
        </w:tc>
        <w:tc>
          <w:tcPr>
            <w:tcW w:w="1528" w:type="dxa"/>
          </w:tcPr>
          <w:p w14:paraId="435FE16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5057F92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0.065</w:t>
            </w:r>
          </w:p>
        </w:tc>
        <w:tc>
          <w:tcPr>
            <w:tcW w:w="1533" w:type="dxa"/>
          </w:tcPr>
          <w:p w14:paraId="59FF00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0.549</w:t>
            </w:r>
          </w:p>
        </w:tc>
        <w:tc>
          <w:tcPr>
            <w:tcW w:w="1531" w:type="dxa"/>
          </w:tcPr>
          <w:p w14:paraId="26BE323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w:t>
            </w:r>
          </w:p>
        </w:tc>
        <w:tc>
          <w:tcPr>
            <w:tcW w:w="1530" w:type="dxa"/>
          </w:tcPr>
          <w:p w14:paraId="69999C4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2.61</w:t>
            </w:r>
          </w:p>
        </w:tc>
      </w:tr>
      <w:tr w:rsidR="00357B96" w:rsidRPr="00357B96" w14:paraId="54F7CF79" w14:textId="77777777" w:rsidTr="00AF10A4">
        <w:tc>
          <w:tcPr>
            <w:tcW w:w="1587" w:type="dxa"/>
          </w:tcPr>
          <w:p w14:paraId="086C86C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EPS</w:t>
            </w:r>
          </w:p>
        </w:tc>
        <w:tc>
          <w:tcPr>
            <w:tcW w:w="1528" w:type="dxa"/>
          </w:tcPr>
          <w:p w14:paraId="467BB97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1385F78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57.176</w:t>
            </w:r>
          </w:p>
        </w:tc>
        <w:tc>
          <w:tcPr>
            <w:tcW w:w="1533" w:type="dxa"/>
          </w:tcPr>
          <w:p w14:paraId="1575907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48.183</w:t>
            </w:r>
          </w:p>
        </w:tc>
        <w:tc>
          <w:tcPr>
            <w:tcW w:w="1531" w:type="dxa"/>
          </w:tcPr>
          <w:p w14:paraId="5A35102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-65.6</w:t>
            </w:r>
          </w:p>
        </w:tc>
        <w:tc>
          <w:tcPr>
            <w:tcW w:w="1530" w:type="dxa"/>
          </w:tcPr>
          <w:p w14:paraId="40BAAF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159.3</w:t>
            </w:r>
          </w:p>
        </w:tc>
      </w:tr>
      <w:tr w:rsidR="00357B96" w:rsidRPr="00357B96" w14:paraId="6EC8F155" w14:textId="77777777" w:rsidTr="00AF10A4">
        <w:tc>
          <w:tcPr>
            <w:tcW w:w="1587" w:type="dxa"/>
          </w:tcPr>
          <w:p w14:paraId="41DF3A0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ΔEPS</w:t>
            </w:r>
          </w:p>
        </w:tc>
        <w:tc>
          <w:tcPr>
            <w:tcW w:w="1528" w:type="dxa"/>
          </w:tcPr>
          <w:p w14:paraId="2BC2466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5712F2A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0.115</w:t>
            </w:r>
          </w:p>
        </w:tc>
        <w:tc>
          <w:tcPr>
            <w:tcW w:w="1533" w:type="dxa"/>
          </w:tcPr>
          <w:p w14:paraId="0CF3840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1.097</w:t>
            </w:r>
          </w:p>
        </w:tc>
        <w:tc>
          <w:tcPr>
            <w:tcW w:w="1531" w:type="dxa"/>
          </w:tcPr>
          <w:p w14:paraId="751BC89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-1.69</w:t>
            </w:r>
          </w:p>
        </w:tc>
        <w:tc>
          <w:tcPr>
            <w:tcW w:w="1530" w:type="dxa"/>
          </w:tcPr>
          <w:p w14:paraId="45EB4BD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5.54</w:t>
            </w:r>
          </w:p>
        </w:tc>
      </w:tr>
      <w:tr w:rsidR="00357B96" w:rsidRPr="00357B96" w14:paraId="3A191B31" w14:textId="77777777" w:rsidTr="00AF10A4">
        <w:tc>
          <w:tcPr>
            <w:tcW w:w="1587" w:type="dxa"/>
          </w:tcPr>
          <w:p w14:paraId="2DDF4A9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1528" w:type="dxa"/>
          </w:tcPr>
          <w:p w14:paraId="6A3DF88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6674DD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7.39</w:t>
            </w:r>
          </w:p>
        </w:tc>
        <w:tc>
          <w:tcPr>
            <w:tcW w:w="1533" w:type="dxa"/>
          </w:tcPr>
          <w:p w14:paraId="2C5C1B3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6.36</w:t>
            </w:r>
          </w:p>
        </w:tc>
        <w:tc>
          <w:tcPr>
            <w:tcW w:w="1531" w:type="dxa"/>
          </w:tcPr>
          <w:p w14:paraId="648CC0D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w:t>
            </w:r>
          </w:p>
        </w:tc>
        <w:tc>
          <w:tcPr>
            <w:tcW w:w="1530" w:type="dxa"/>
          </w:tcPr>
          <w:p w14:paraId="06CE798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14.69</w:t>
            </w:r>
          </w:p>
        </w:tc>
      </w:tr>
      <w:tr w:rsidR="00357B96" w:rsidRPr="00357B96" w14:paraId="3632A421" w14:textId="77777777" w:rsidTr="00AF10A4">
        <w:tc>
          <w:tcPr>
            <w:tcW w:w="1587" w:type="dxa"/>
          </w:tcPr>
          <w:p w14:paraId="7034F6E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EQUITYTOASSET</w:t>
            </w:r>
          </w:p>
        </w:tc>
        <w:tc>
          <w:tcPr>
            <w:tcW w:w="1528" w:type="dxa"/>
          </w:tcPr>
          <w:p w14:paraId="3AF0B61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3F855BD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2.29</w:t>
            </w:r>
          </w:p>
        </w:tc>
        <w:tc>
          <w:tcPr>
            <w:tcW w:w="1533" w:type="dxa"/>
          </w:tcPr>
          <w:p w14:paraId="7A21A47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w:t>
            </w:r>
          </w:p>
        </w:tc>
        <w:tc>
          <w:tcPr>
            <w:tcW w:w="1531" w:type="dxa"/>
          </w:tcPr>
          <w:p w14:paraId="77AE729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0.46</w:t>
            </w:r>
          </w:p>
        </w:tc>
        <w:tc>
          <w:tcPr>
            <w:tcW w:w="1530" w:type="dxa"/>
          </w:tcPr>
          <w:p w14:paraId="7A70031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5.22</w:t>
            </w:r>
          </w:p>
        </w:tc>
      </w:tr>
      <w:tr w:rsidR="00357B96" w:rsidRPr="00357B96" w14:paraId="0FB404C0" w14:textId="77777777" w:rsidTr="00AF10A4">
        <w:tc>
          <w:tcPr>
            <w:tcW w:w="1587" w:type="dxa"/>
          </w:tcPr>
          <w:p w14:paraId="4FCF50B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INCOMETOASSET</w:t>
            </w:r>
          </w:p>
        </w:tc>
        <w:tc>
          <w:tcPr>
            <w:tcW w:w="1528" w:type="dxa"/>
          </w:tcPr>
          <w:p w14:paraId="5F5773C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33" w:type="dxa"/>
          </w:tcPr>
          <w:p w14:paraId="3902C06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2.58</w:t>
            </w:r>
          </w:p>
        </w:tc>
        <w:tc>
          <w:tcPr>
            <w:tcW w:w="1533" w:type="dxa"/>
          </w:tcPr>
          <w:p w14:paraId="399C71C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2.06</w:t>
            </w:r>
          </w:p>
        </w:tc>
        <w:tc>
          <w:tcPr>
            <w:tcW w:w="1531" w:type="dxa"/>
          </w:tcPr>
          <w:p w14:paraId="41C5E63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w:t>
            </w:r>
          </w:p>
        </w:tc>
        <w:tc>
          <w:tcPr>
            <w:tcW w:w="1530" w:type="dxa"/>
          </w:tcPr>
          <w:p w14:paraId="601E912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4.50</w:t>
            </w:r>
          </w:p>
        </w:tc>
      </w:tr>
    </w:tbl>
    <w:p w14:paraId="082703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5BB7959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Tables 6 shows that, on average, 21% of the content of the risk disclosure for the companies in this study are historical information, 12% are forward looking information, and 7% are optimistic enhancing words with 9% being pessimistic enhancing words.  </w:t>
      </w:r>
    </w:p>
    <w:p w14:paraId="2CF2A72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7403998C"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6: Percentage of Word Categories in the Risk Disclosures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0"/>
        <w:gridCol w:w="1541"/>
        <w:gridCol w:w="1541"/>
      </w:tblGrid>
      <w:tr w:rsidR="00357B96" w:rsidRPr="00357B96" w14:paraId="3530BC54" w14:textId="77777777" w:rsidTr="00AF10A4">
        <w:tc>
          <w:tcPr>
            <w:tcW w:w="1540" w:type="dxa"/>
          </w:tcPr>
          <w:p w14:paraId="49267EE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Variable </w:t>
            </w:r>
          </w:p>
        </w:tc>
        <w:tc>
          <w:tcPr>
            <w:tcW w:w="1540" w:type="dxa"/>
          </w:tcPr>
          <w:p w14:paraId="64DF453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Obs.</w:t>
            </w:r>
          </w:p>
        </w:tc>
        <w:tc>
          <w:tcPr>
            <w:tcW w:w="1540" w:type="dxa"/>
          </w:tcPr>
          <w:p w14:paraId="6470803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Mean</w:t>
            </w:r>
          </w:p>
        </w:tc>
        <w:tc>
          <w:tcPr>
            <w:tcW w:w="1540" w:type="dxa"/>
          </w:tcPr>
          <w:p w14:paraId="4AF3A14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Std. Dev.</w:t>
            </w:r>
          </w:p>
        </w:tc>
        <w:tc>
          <w:tcPr>
            <w:tcW w:w="1541" w:type="dxa"/>
          </w:tcPr>
          <w:p w14:paraId="7F7E54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Min</w:t>
            </w:r>
          </w:p>
        </w:tc>
        <w:tc>
          <w:tcPr>
            <w:tcW w:w="1541" w:type="dxa"/>
          </w:tcPr>
          <w:p w14:paraId="2C82E8F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Max</w:t>
            </w:r>
          </w:p>
        </w:tc>
      </w:tr>
      <w:tr w:rsidR="00357B96" w:rsidRPr="00357B96" w14:paraId="2CAE61AB" w14:textId="77777777" w:rsidTr="00AF10A4">
        <w:tc>
          <w:tcPr>
            <w:tcW w:w="1540" w:type="dxa"/>
          </w:tcPr>
          <w:p w14:paraId="29B59F8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HRIC</w:t>
            </w:r>
          </w:p>
        </w:tc>
        <w:tc>
          <w:tcPr>
            <w:tcW w:w="1540" w:type="dxa"/>
          </w:tcPr>
          <w:p w14:paraId="37B5128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40" w:type="dxa"/>
          </w:tcPr>
          <w:p w14:paraId="38945F6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20.683</w:t>
            </w:r>
          </w:p>
        </w:tc>
        <w:tc>
          <w:tcPr>
            <w:tcW w:w="1540" w:type="dxa"/>
          </w:tcPr>
          <w:p w14:paraId="2F1D63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3.610</w:t>
            </w:r>
          </w:p>
        </w:tc>
        <w:tc>
          <w:tcPr>
            <w:tcW w:w="1541" w:type="dxa"/>
          </w:tcPr>
          <w:p w14:paraId="1577CC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15.21</w:t>
            </w:r>
          </w:p>
        </w:tc>
        <w:tc>
          <w:tcPr>
            <w:tcW w:w="1541" w:type="dxa"/>
          </w:tcPr>
          <w:p w14:paraId="2FFD8A4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28.12</w:t>
            </w:r>
          </w:p>
        </w:tc>
      </w:tr>
      <w:tr w:rsidR="00357B96" w:rsidRPr="00357B96" w14:paraId="2EE2A44A" w14:textId="77777777" w:rsidTr="00AF10A4">
        <w:tc>
          <w:tcPr>
            <w:tcW w:w="1540" w:type="dxa"/>
          </w:tcPr>
          <w:p w14:paraId="38E5A67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1540" w:type="dxa"/>
          </w:tcPr>
          <w:p w14:paraId="5D30697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40" w:type="dxa"/>
          </w:tcPr>
          <w:p w14:paraId="254BD21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12.175</w:t>
            </w:r>
          </w:p>
        </w:tc>
        <w:tc>
          <w:tcPr>
            <w:tcW w:w="1540" w:type="dxa"/>
          </w:tcPr>
          <w:p w14:paraId="68C711C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5.240</w:t>
            </w:r>
          </w:p>
        </w:tc>
        <w:tc>
          <w:tcPr>
            <w:tcW w:w="1541" w:type="dxa"/>
          </w:tcPr>
          <w:p w14:paraId="3802925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4.97</w:t>
            </w:r>
          </w:p>
        </w:tc>
        <w:tc>
          <w:tcPr>
            <w:tcW w:w="1541" w:type="dxa"/>
          </w:tcPr>
          <w:p w14:paraId="55B57F5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26.40</w:t>
            </w:r>
          </w:p>
        </w:tc>
      </w:tr>
      <w:tr w:rsidR="00357B96" w:rsidRPr="00357B96" w14:paraId="28EEA1E6" w14:textId="77777777" w:rsidTr="00AF10A4">
        <w:tc>
          <w:tcPr>
            <w:tcW w:w="1540" w:type="dxa"/>
          </w:tcPr>
          <w:p w14:paraId="47C57E8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w:t>
            </w:r>
          </w:p>
        </w:tc>
        <w:tc>
          <w:tcPr>
            <w:tcW w:w="1540" w:type="dxa"/>
          </w:tcPr>
          <w:p w14:paraId="7E92E99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40" w:type="dxa"/>
          </w:tcPr>
          <w:p w14:paraId="6519023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7.330</w:t>
            </w:r>
          </w:p>
        </w:tc>
        <w:tc>
          <w:tcPr>
            <w:tcW w:w="1540" w:type="dxa"/>
          </w:tcPr>
          <w:p w14:paraId="0B765A8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4.163</w:t>
            </w:r>
          </w:p>
        </w:tc>
        <w:tc>
          <w:tcPr>
            <w:tcW w:w="1541" w:type="dxa"/>
          </w:tcPr>
          <w:p w14:paraId="567C04D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1.61</w:t>
            </w:r>
          </w:p>
        </w:tc>
        <w:tc>
          <w:tcPr>
            <w:tcW w:w="1541" w:type="dxa"/>
          </w:tcPr>
          <w:p w14:paraId="6ED2D2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15.96</w:t>
            </w:r>
          </w:p>
        </w:tc>
      </w:tr>
      <w:tr w:rsidR="00357B96" w:rsidRPr="00357B96" w14:paraId="48347E65" w14:textId="77777777" w:rsidTr="00AF10A4">
        <w:tc>
          <w:tcPr>
            <w:tcW w:w="1540" w:type="dxa"/>
          </w:tcPr>
          <w:p w14:paraId="65C5C5B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w:t>
            </w:r>
          </w:p>
        </w:tc>
        <w:tc>
          <w:tcPr>
            <w:tcW w:w="1540" w:type="dxa"/>
          </w:tcPr>
          <w:p w14:paraId="6F3E595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w:t>
            </w:r>
          </w:p>
        </w:tc>
        <w:tc>
          <w:tcPr>
            <w:tcW w:w="1540" w:type="dxa"/>
          </w:tcPr>
          <w:p w14:paraId="45F72FD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9.081</w:t>
            </w:r>
          </w:p>
        </w:tc>
        <w:tc>
          <w:tcPr>
            <w:tcW w:w="1540" w:type="dxa"/>
          </w:tcPr>
          <w:p w14:paraId="36F3D42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3.046</w:t>
            </w:r>
          </w:p>
        </w:tc>
        <w:tc>
          <w:tcPr>
            <w:tcW w:w="1541" w:type="dxa"/>
          </w:tcPr>
          <w:p w14:paraId="431DBB3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1.08</w:t>
            </w:r>
          </w:p>
        </w:tc>
        <w:tc>
          <w:tcPr>
            <w:tcW w:w="1541" w:type="dxa"/>
          </w:tcPr>
          <w:p w14:paraId="66A44D4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15.67</w:t>
            </w:r>
          </w:p>
        </w:tc>
      </w:tr>
    </w:tbl>
    <w:p w14:paraId="20E1C2F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001EC4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Table 7 below presents the correlation matrix for the variables in the investigation. The high correlation between the total risk disclosures and historical risk disclosures are expected as this constitutes the larger proportion of risk disclosure for these companies similarly is the correlation between net income as a function of total asset and equity as a function of total asset as both have common denominator. </w:t>
      </w:r>
    </w:p>
    <w:p w14:paraId="34D32D00" w14:textId="77777777" w:rsidR="00357B96" w:rsidRPr="00357B96" w:rsidRDefault="00357B96" w:rsidP="00F307BB">
      <w:pPr>
        <w:spacing w:after="0" w:line="240" w:lineRule="auto"/>
        <w:jc w:val="both"/>
        <w:rPr>
          <w:rFonts w:ascii="Times New Roman" w:eastAsia="Calibri" w:hAnsi="Times New Roman" w:cs="Times New Roman"/>
          <w:sz w:val="24"/>
          <w:szCs w:val="24"/>
          <w:vertAlign w:val="subscript"/>
          <w:lang w:val="en-GB"/>
        </w:rPr>
      </w:pPr>
    </w:p>
    <w:p w14:paraId="2472297A"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7: Correlation matrix for all variables used in the study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217"/>
        <w:gridCol w:w="715"/>
        <w:gridCol w:w="801"/>
        <w:gridCol w:w="726"/>
        <w:gridCol w:w="706"/>
        <w:gridCol w:w="636"/>
        <w:gridCol w:w="636"/>
        <w:gridCol w:w="636"/>
        <w:gridCol w:w="706"/>
        <w:gridCol w:w="705"/>
        <w:gridCol w:w="636"/>
      </w:tblGrid>
      <w:tr w:rsidR="00357B96" w:rsidRPr="00357B96" w14:paraId="46C0BC41" w14:textId="77777777" w:rsidTr="00AF10A4">
        <w:tc>
          <w:tcPr>
            <w:tcW w:w="417" w:type="dxa"/>
            <w:shd w:val="clear" w:color="auto" w:fill="auto"/>
          </w:tcPr>
          <w:p w14:paraId="4AADE3F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401" w:type="dxa"/>
            <w:shd w:val="clear" w:color="auto" w:fill="auto"/>
          </w:tcPr>
          <w:p w14:paraId="0C0E7E5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Variables </w:t>
            </w:r>
          </w:p>
        </w:tc>
        <w:tc>
          <w:tcPr>
            <w:tcW w:w="720" w:type="dxa"/>
            <w:shd w:val="clear" w:color="auto" w:fill="auto"/>
          </w:tcPr>
          <w:p w14:paraId="2312087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w:t>
            </w:r>
          </w:p>
        </w:tc>
        <w:tc>
          <w:tcPr>
            <w:tcW w:w="809" w:type="dxa"/>
            <w:shd w:val="clear" w:color="auto" w:fill="auto"/>
          </w:tcPr>
          <w:p w14:paraId="05DB281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w:t>
            </w:r>
          </w:p>
        </w:tc>
        <w:tc>
          <w:tcPr>
            <w:tcW w:w="730" w:type="dxa"/>
            <w:shd w:val="clear" w:color="auto" w:fill="auto"/>
          </w:tcPr>
          <w:p w14:paraId="439E3EB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w:t>
            </w:r>
          </w:p>
        </w:tc>
        <w:tc>
          <w:tcPr>
            <w:tcW w:w="709" w:type="dxa"/>
            <w:shd w:val="clear" w:color="auto" w:fill="auto"/>
          </w:tcPr>
          <w:p w14:paraId="28D9DBF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w:t>
            </w:r>
          </w:p>
        </w:tc>
        <w:tc>
          <w:tcPr>
            <w:tcW w:w="567" w:type="dxa"/>
            <w:shd w:val="clear" w:color="auto" w:fill="auto"/>
          </w:tcPr>
          <w:p w14:paraId="48D742A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w:t>
            </w:r>
          </w:p>
        </w:tc>
        <w:tc>
          <w:tcPr>
            <w:tcW w:w="567" w:type="dxa"/>
            <w:shd w:val="clear" w:color="auto" w:fill="auto"/>
          </w:tcPr>
          <w:p w14:paraId="0524F0E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w:t>
            </w:r>
          </w:p>
        </w:tc>
        <w:tc>
          <w:tcPr>
            <w:tcW w:w="567" w:type="dxa"/>
            <w:shd w:val="clear" w:color="auto" w:fill="auto"/>
          </w:tcPr>
          <w:p w14:paraId="753AF83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w:t>
            </w:r>
          </w:p>
        </w:tc>
        <w:tc>
          <w:tcPr>
            <w:tcW w:w="709" w:type="dxa"/>
            <w:shd w:val="clear" w:color="auto" w:fill="auto"/>
          </w:tcPr>
          <w:p w14:paraId="7251C44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8</w:t>
            </w:r>
          </w:p>
        </w:tc>
        <w:tc>
          <w:tcPr>
            <w:tcW w:w="708" w:type="dxa"/>
            <w:shd w:val="clear" w:color="auto" w:fill="auto"/>
          </w:tcPr>
          <w:p w14:paraId="45E2BCC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w:t>
            </w:r>
          </w:p>
        </w:tc>
        <w:tc>
          <w:tcPr>
            <w:tcW w:w="629" w:type="dxa"/>
            <w:shd w:val="clear" w:color="auto" w:fill="auto"/>
          </w:tcPr>
          <w:p w14:paraId="26708C3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w:t>
            </w:r>
          </w:p>
        </w:tc>
      </w:tr>
      <w:tr w:rsidR="00357B96" w:rsidRPr="00357B96" w14:paraId="592B9761" w14:textId="77777777" w:rsidTr="00AF10A4">
        <w:tc>
          <w:tcPr>
            <w:tcW w:w="417" w:type="dxa"/>
            <w:shd w:val="clear" w:color="auto" w:fill="auto"/>
          </w:tcPr>
          <w:p w14:paraId="6B02D70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lastRenderedPageBreak/>
              <w:t>1</w:t>
            </w:r>
          </w:p>
        </w:tc>
        <w:tc>
          <w:tcPr>
            <w:tcW w:w="1401" w:type="dxa"/>
            <w:shd w:val="clear" w:color="auto" w:fill="auto"/>
          </w:tcPr>
          <w:p w14:paraId="66FF804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HRIC </w:t>
            </w:r>
          </w:p>
        </w:tc>
        <w:tc>
          <w:tcPr>
            <w:tcW w:w="720" w:type="dxa"/>
            <w:shd w:val="clear" w:color="auto" w:fill="auto"/>
          </w:tcPr>
          <w:p w14:paraId="72E91D1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809" w:type="dxa"/>
            <w:shd w:val="clear" w:color="auto" w:fill="auto"/>
          </w:tcPr>
          <w:p w14:paraId="740E4B3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30" w:type="dxa"/>
            <w:shd w:val="clear" w:color="auto" w:fill="auto"/>
          </w:tcPr>
          <w:p w14:paraId="6368054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28A014B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2048989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1C128AF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0E6AACE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2D770A9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4ADDBD9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37BFEE7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27E39B09" w14:textId="77777777" w:rsidTr="00AF10A4">
        <w:tc>
          <w:tcPr>
            <w:tcW w:w="417" w:type="dxa"/>
            <w:shd w:val="clear" w:color="auto" w:fill="auto"/>
          </w:tcPr>
          <w:p w14:paraId="785B49C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w:t>
            </w:r>
          </w:p>
        </w:tc>
        <w:tc>
          <w:tcPr>
            <w:tcW w:w="1401" w:type="dxa"/>
            <w:shd w:val="clear" w:color="auto" w:fill="auto"/>
          </w:tcPr>
          <w:p w14:paraId="6129C2C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720" w:type="dxa"/>
            <w:shd w:val="clear" w:color="auto" w:fill="auto"/>
          </w:tcPr>
          <w:p w14:paraId="1A2195A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0.83</w:t>
            </w:r>
          </w:p>
        </w:tc>
        <w:tc>
          <w:tcPr>
            <w:tcW w:w="809" w:type="dxa"/>
            <w:shd w:val="clear" w:color="auto" w:fill="auto"/>
          </w:tcPr>
          <w:p w14:paraId="1577B15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730" w:type="dxa"/>
            <w:shd w:val="clear" w:color="auto" w:fill="auto"/>
          </w:tcPr>
          <w:p w14:paraId="2BDC1A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35EC83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4D771F0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6DEE56D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6B8737C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3D73788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11E3A58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6552787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11516BF9" w14:textId="77777777" w:rsidTr="00AF10A4">
        <w:tc>
          <w:tcPr>
            <w:tcW w:w="417" w:type="dxa"/>
            <w:shd w:val="clear" w:color="auto" w:fill="auto"/>
          </w:tcPr>
          <w:p w14:paraId="61BF782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w:t>
            </w:r>
          </w:p>
        </w:tc>
        <w:tc>
          <w:tcPr>
            <w:tcW w:w="1401" w:type="dxa"/>
            <w:shd w:val="clear" w:color="auto" w:fill="auto"/>
          </w:tcPr>
          <w:p w14:paraId="0970EF0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w:t>
            </w:r>
          </w:p>
        </w:tc>
        <w:tc>
          <w:tcPr>
            <w:tcW w:w="720" w:type="dxa"/>
            <w:shd w:val="clear" w:color="auto" w:fill="auto"/>
          </w:tcPr>
          <w:p w14:paraId="4C8F5D6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0.16</w:t>
            </w:r>
          </w:p>
        </w:tc>
        <w:tc>
          <w:tcPr>
            <w:tcW w:w="809" w:type="dxa"/>
            <w:shd w:val="clear" w:color="auto" w:fill="auto"/>
          </w:tcPr>
          <w:p w14:paraId="32FEFB2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-0.11</w:t>
            </w:r>
          </w:p>
        </w:tc>
        <w:tc>
          <w:tcPr>
            <w:tcW w:w="730" w:type="dxa"/>
            <w:shd w:val="clear" w:color="auto" w:fill="auto"/>
          </w:tcPr>
          <w:p w14:paraId="7AF6E77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709" w:type="dxa"/>
            <w:shd w:val="clear" w:color="auto" w:fill="auto"/>
          </w:tcPr>
          <w:p w14:paraId="6D1B365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4801A88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02AA86E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63051EA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5676FB3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2D903D1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118408C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2D981274" w14:textId="77777777" w:rsidTr="00AF10A4">
        <w:tc>
          <w:tcPr>
            <w:tcW w:w="417" w:type="dxa"/>
            <w:shd w:val="clear" w:color="auto" w:fill="auto"/>
          </w:tcPr>
          <w:p w14:paraId="7BA7F35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w:t>
            </w:r>
          </w:p>
        </w:tc>
        <w:tc>
          <w:tcPr>
            <w:tcW w:w="1401" w:type="dxa"/>
            <w:shd w:val="clear" w:color="auto" w:fill="auto"/>
          </w:tcPr>
          <w:p w14:paraId="752F402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w:t>
            </w:r>
          </w:p>
        </w:tc>
        <w:tc>
          <w:tcPr>
            <w:tcW w:w="720" w:type="dxa"/>
            <w:shd w:val="clear" w:color="auto" w:fill="auto"/>
          </w:tcPr>
          <w:p w14:paraId="30BDC3A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0.62</w:t>
            </w:r>
          </w:p>
        </w:tc>
        <w:tc>
          <w:tcPr>
            <w:tcW w:w="809" w:type="dxa"/>
            <w:shd w:val="clear" w:color="auto" w:fill="auto"/>
          </w:tcPr>
          <w:p w14:paraId="7B07DE9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0.24</w:t>
            </w:r>
          </w:p>
        </w:tc>
        <w:tc>
          <w:tcPr>
            <w:tcW w:w="730" w:type="dxa"/>
            <w:shd w:val="clear" w:color="auto" w:fill="auto"/>
          </w:tcPr>
          <w:p w14:paraId="77F4446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0.56</w:t>
            </w:r>
          </w:p>
        </w:tc>
        <w:tc>
          <w:tcPr>
            <w:tcW w:w="709" w:type="dxa"/>
            <w:shd w:val="clear" w:color="auto" w:fill="auto"/>
          </w:tcPr>
          <w:p w14:paraId="70F086D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567" w:type="dxa"/>
            <w:shd w:val="clear" w:color="auto" w:fill="auto"/>
          </w:tcPr>
          <w:p w14:paraId="5672EB0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11B0746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396E074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4D1A1EA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7E171A8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576089E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1AA79E8F" w14:textId="77777777" w:rsidTr="00AF10A4">
        <w:tc>
          <w:tcPr>
            <w:tcW w:w="417" w:type="dxa"/>
            <w:shd w:val="clear" w:color="auto" w:fill="auto"/>
          </w:tcPr>
          <w:p w14:paraId="3E08BF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w:t>
            </w:r>
          </w:p>
        </w:tc>
        <w:tc>
          <w:tcPr>
            <w:tcW w:w="1401" w:type="dxa"/>
            <w:shd w:val="clear" w:color="auto" w:fill="auto"/>
          </w:tcPr>
          <w:p w14:paraId="70A02B5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WORD</w:t>
            </w:r>
          </w:p>
        </w:tc>
        <w:tc>
          <w:tcPr>
            <w:tcW w:w="720" w:type="dxa"/>
            <w:shd w:val="clear" w:color="auto" w:fill="auto"/>
          </w:tcPr>
          <w:p w14:paraId="4BAC7DA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0.92</w:t>
            </w:r>
          </w:p>
        </w:tc>
        <w:tc>
          <w:tcPr>
            <w:tcW w:w="809" w:type="dxa"/>
            <w:shd w:val="clear" w:color="auto" w:fill="auto"/>
          </w:tcPr>
          <w:p w14:paraId="335E4F7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0.84</w:t>
            </w:r>
          </w:p>
        </w:tc>
        <w:tc>
          <w:tcPr>
            <w:tcW w:w="730" w:type="dxa"/>
            <w:shd w:val="clear" w:color="auto" w:fill="auto"/>
          </w:tcPr>
          <w:p w14:paraId="441B0DC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0.14</w:t>
            </w:r>
          </w:p>
        </w:tc>
        <w:tc>
          <w:tcPr>
            <w:tcW w:w="709" w:type="dxa"/>
            <w:shd w:val="clear" w:color="auto" w:fill="auto"/>
          </w:tcPr>
          <w:p w14:paraId="5CEC4FB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0.45</w:t>
            </w:r>
          </w:p>
        </w:tc>
        <w:tc>
          <w:tcPr>
            <w:tcW w:w="567" w:type="dxa"/>
            <w:shd w:val="clear" w:color="auto" w:fill="auto"/>
          </w:tcPr>
          <w:p w14:paraId="70BA800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567" w:type="dxa"/>
            <w:shd w:val="clear" w:color="auto" w:fill="auto"/>
          </w:tcPr>
          <w:p w14:paraId="3DCDC1D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567" w:type="dxa"/>
            <w:shd w:val="clear" w:color="auto" w:fill="auto"/>
          </w:tcPr>
          <w:p w14:paraId="19922B5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1795D1C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699E382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75DC2C9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582EDBFE" w14:textId="77777777" w:rsidTr="00AF10A4">
        <w:tc>
          <w:tcPr>
            <w:tcW w:w="417" w:type="dxa"/>
            <w:shd w:val="clear" w:color="auto" w:fill="auto"/>
          </w:tcPr>
          <w:p w14:paraId="2B7A979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w:t>
            </w:r>
          </w:p>
        </w:tc>
        <w:tc>
          <w:tcPr>
            <w:tcW w:w="1401" w:type="dxa"/>
            <w:shd w:val="clear" w:color="auto" w:fill="auto"/>
          </w:tcPr>
          <w:p w14:paraId="191716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DVND</w:t>
            </w:r>
          </w:p>
        </w:tc>
        <w:tc>
          <w:tcPr>
            <w:tcW w:w="720" w:type="dxa"/>
            <w:shd w:val="clear" w:color="auto" w:fill="auto"/>
          </w:tcPr>
          <w:p w14:paraId="25C0B2D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0.38</w:t>
            </w:r>
          </w:p>
        </w:tc>
        <w:tc>
          <w:tcPr>
            <w:tcW w:w="809" w:type="dxa"/>
            <w:shd w:val="clear" w:color="auto" w:fill="auto"/>
          </w:tcPr>
          <w:p w14:paraId="6C99B48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0.60</w:t>
            </w:r>
          </w:p>
        </w:tc>
        <w:tc>
          <w:tcPr>
            <w:tcW w:w="730" w:type="dxa"/>
            <w:shd w:val="clear" w:color="auto" w:fill="auto"/>
          </w:tcPr>
          <w:p w14:paraId="5FAF716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-0.25</w:t>
            </w:r>
          </w:p>
        </w:tc>
        <w:tc>
          <w:tcPr>
            <w:tcW w:w="709" w:type="dxa"/>
            <w:shd w:val="clear" w:color="auto" w:fill="auto"/>
          </w:tcPr>
          <w:p w14:paraId="689DD4C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-0.04</w:t>
            </w:r>
          </w:p>
        </w:tc>
        <w:tc>
          <w:tcPr>
            <w:tcW w:w="567" w:type="dxa"/>
            <w:shd w:val="clear" w:color="auto" w:fill="auto"/>
          </w:tcPr>
          <w:p w14:paraId="09F8D32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0.50</w:t>
            </w:r>
          </w:p>
        </w:tc>
        <w:tc>
          <w:tcPr>
            <w:tcW w:w="567" w:type="dxa"/>
            <w:shd w:val="clear" w:color="auto" w:fill="auto"/>
          </w:tcPr>
          <w:p w14:paraId="29C83DA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567" w:type="dxa"/>
            <w:shd w:val="clear" w:color="auto" w:fill="auto"/>
          </w:tcPr>
          <w:p w14:paraId="01F11C8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9" w:type="dxa"/>
            <w:shd w:val="clear" w:color="auto" w:fill="auto"/>
          </w:tcPr>
          <w:p w14:paraId="19DF8AF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2FE2A9C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259820C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46DEC221" w14:textId="77777777" w:rsidTr="00AF10A4">
        <w:tc>
          <w:tcPr>
            <w:tcW w:w="417" w:type="dxa"/>
            <w:shd w:val="clear" w:color="auto" w:fill="auto"/>
          </w:tcPr>
          <w:p w14:paraId="18BA8DB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w:t>
            </w:r>
          </w:p>
        </w:tc>
        <w:tc>
          <w:tcPr>
            <w:tcW w:w="1401" w:type="dxa"/>
            <w:shd w:val="clear" w:color="auto" w:fill="auto"/>
          </w:tcPr>
          <w:p w14:paraId="47DB9BA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EPS</w:t>
            </w:r>
          </w:p>
        </w:tc>
        <w:tc>
          <w:tcPr>
            <w:tcW w:w="720" w:type="dxa"/>
            <w:shd w:val="clear" w:color="auto" w:fill="auto"/>
          </w:tcPr>
          <w:p w14:paraId="4EEECD9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0.14</w:t>
            </w:r>
          </w:p>
        </w:tc>
        <w:tc>
          <w:tcPr>
            <w:tcW w:w="809" w:type="dxa"/>
            <w:shd w:val="clear" w:color="auto" w:fill="auto"/>
          </w:tcPr>
          <w:p w14:paraId="3A5168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0.39</w:t>
            </w:r>
          </w:p>
        </w:tc>
        <w:tc>
          <w:tcPr>
            <w:tcW w:w="730" w:type="dxa"/>
            <w:shd w:val="clear" w:color="auto" w:fill="auto"/>
          </w:tcPr>
          <w:p w14:paraId="603334D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-0.20</w:t>
            </w:r>
          </w:p>
        </w:tc>
        <w:tc>
          <w:tcPr>
            <w:tcW w:w="709" w:type="dxa"/>
            <w:shd w:val="clear" w:color="auto" w:fill="auto"/>
          </w:tcPr>
          <w:p w14:paraId="277F402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-0.14</w:t>
            </w:r>
          </w:p>
        </w:tc>
        <w:tc>
          <w:tcPr>
            <w:tcW w:w="567" w:type="dxa"/>
            <w:shd w:val="clear" w:color="auto" w:fill="auto"/>
          </w:tcPr>
          <w:p w14:paraId="57CBD68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0.29</w:t>
            </w:r>
          </w:p>
        </w:tc>
        <w:tc>
          <w:tcPr>
            <w:tcW w:w="567" w:type="dxa"/>
            <w:shd w:val="clear" w:color="auto" w:fill="auto"/>
          </w:tcPr>
          <w:p w14:paraId="41F2D1A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0.64</w:t>
            </w:r>
          </w:p>
        </w:tc>
        <w:tc>
          <w:tcPr>
            <w:tcW w:w="567" w:type="dxa"/>
            <w:shd w:val="clear" w:color="auto" w:fill="auto"/>
          </w:tcPr>
          <w:p w14:paraId="1B61421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709" w:type="dxa"/>
            <w:shd w:val="clear" w:color="auto" w:fill="auto"/>
          </w:tcPr>
          <w:p w14:paraId="7D3056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708" w:type="dxa"/>
            <w:shd w:val="clear" w:color="auto" w:fill="auto"/>
          </w:tcPr>
          <w:p w14:paraId="42761B6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4806C5C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55D826F3" w14:textId="77777777" w:rsidTr="00AF10A4">
        <w:tc>
          <w:tcPr>
            <w:tcW w:w="417" w:type="dxa"/>
            <w:shd w:val="clear" w:color="auto" w:fill="auto"/>
          </w:tcPr>
          <w:p w14:paraId="6ACA4D7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8</w:t>
            </w:r>
          </w:p>
        </w:tc>
        <w:tc>
          <w:tcPr>
            <w:tcW w:w="1401" w:type="dxa"/>
            <w:shd w:val="clear" w:color="auto" w:fill="auto"/>
          </w:tcPr>
          <w:p w14:paraId="6E0ADA7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720" w:type="dxa"/>
            <w:shd w:val="clear" w:color="auto" w:fill="auto"/>
          </w:tcPr>
          <w:p w14:paraId="316D152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0.29</w:t>
            </w:r>
          </w:p>
        </w:tc>
        <w:tc>
          <w:tcPr>
            <w:tcW w:w="809" w:type="dxa"/>
            <w:shd w:val="clear" w:color="auto" w:fill="auto"/>
          </w:tcPr>
          <w:p w14:paraId="40D22D8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0.21</w:t>
            </w:r>
          </w:p>
        </w:tc>
        <w:tc>
          <w:tcPr>
            <w:tcW w:w="730" w:type="dxa"/>
            <w:shd w:val="clear" w:color="auto" w:fill="auto"/>
          </w:tcPr>
          <w:p w14:paraId="5A284C4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-0.00</w:t>
            </w:r>
          </w:p>
        </w:tc>
        <w:tc>
          <w:tcPr>
            <w:tcW w:w="709" w:type="dxa"/>
            <w:shd w:val="clear" w:color="auto" w:fill="auto"/>
          </w:tcPr>
          <w:p w14:paraId="57035C9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0.12</w:t>
            </w:r>
          </w:p>
        </w:tc>
        <w:tc>
          <w:tcPr>
            <w:tcW w:w="567" w:type="dxa"/>
            <w:shd w:val="clear" w:color="auto" w:fill="auto"/>
          </w:tcPr>
          <w:p w14:paraId="3704F9E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0.31</w:t>
            </w:r>
          </w:p>
        </w:tc>
        <w:tc>
          <w:tcPr>
            <w:tcW w:w="567" w:type="dxa"/>
            <w:shd w:val="clear" w:color="auto" w:fill="auto"/>
          </w:tcPr>
          <w:p w14:paraId="54F4115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0.39</w:t>
            </w:r>
          </w:p>
        </w:tc>
        <w:tc>
          <w:tcPr>
            <w:tcW w:w="567" w:type="dxa"/>
            <w:shd w:val="clear" w:color="auto" w:fill="auto"/>
          </w:tcPr>
          <w:p w14:paraId="3249610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0.38</w:t>
            </w:r>
          </w:p>
        </w:tc>
        <w:tc>
          <w:tcPr>
            <w:tcW w:w="709" w:type="dxa"/>
            <w:shd w:val="clear" w:color="auto" w:fill="auto"/>
          </w:tcPr>
          <w:p w14:paraId="441C85D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708" w:type="dxa"/>
            <w:shd w:val="clear" w:color="auto" w:fill="auto"/>
          </w:tcPr>
          <w:p w14:paraId="15474E5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629" w:type="dxa"/>
            <w:shd w:val="clear" w:color="auto" w:fill="auto"/>
          </w:tcPr>
          <w:p w14:paraId="6B95332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22329719" w14:textId="77777777" w:rsidTr="00AF10A4">
        <w:tc>
          <w:tcPr>
            <w:tcW w:w="417" w:type="dxa"/>
            <w:shd w:val="clear" w:color="auto" w:fill="auto"/>
          </w:tcPr>
          <w:p w14:paraId="605B12B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9</w:t>
            </w:r>
          </w:p>
        </w:tc>
        <w:tc>
          <w:tcPr>
            <w:tcW w:w="1401" w:type="dxa"/>
            <w:shd w:val="clear" w:color="auto" w:fill="auto"/>
          </w:tcPr>
          <w:p w14:paraId="20E9D98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EQUITYTOASSET </w:t>
            </w:r>
          </w:p>
        </w:tc>
        <w:tc>
          <w:tcPr>
            <w:tcW w:w="720" w:type="dxa"/>
            <w:shd w:val="clear" w:color="auto" w:fill="auto"/>
          </w:tcPr>
          <w:p w14:paraId="464B3B8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0.06</w:t>
            </w:r>
          </w:p>
        </w:tc>
        <w:tc>
          <w:tcPr>
            <w:tcW w:w="809" w:type="dxa"/>
            <w:shd w:val="clear" w:color="auto" w:fill="auto"/>
          </w:tcPr>
          <w:p w14:paraId="4F3887C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w:t>
            </w:r>
          </w:p>
        </w:tc>
        <w:tc>
          <w:tcPr>
            <w:tcW w:w="730" w:type="dxa"/>
            <w:shd w:val="clear" w:color="auto" w:fill="auto"/>
          </w:tcPr>
          <w:p w14:paraId="46BEE62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0.04</w:t>
            </w:r>
          </w:p>
        </w:tc>
        <w:tc>
          <w:tcPr>
            <w:tcW w:w="709" w:type="dxa"/>
            <w:shd w:val="clear" w:color="auto" w:fill="auto"/>
          </w:tcPr>
          <w:p w14:paraId="248FDA0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0.00</w:t>
            </w:r>
          </w:p>
        </w:tc>
        <w:tc>
          <w:tcPr>
            <w:tcW w:w="567" w:type="dxa"/>
            <w:shd w:val="clear" w:color="auto" w:fill="auto"/>
          </w:tcPr>
          <w:p w14:paraId="3DAC2E6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0.10</w:t>
            </w:r>
          </w:p>
        </w:tc>
        <w:tc>
          <w:tcPr>
            <w:tcW w:w="567" w:type="dxa"/>
            <w:shd w:val="clear" w:color="auto" w:fill="auto"/>
          </w:tcPr>
          <w:p w14:paraId="117D534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0.16</w:t>
            </w:r>
          </w:p>
        </w:tc>
        <w:tc>
          <w:tcPr>
            <w:tcW w:w="567" w:type="dxa"/>
            <w:shd w:val="clear" w:color="auto" w:fill="auto"/>
          </w:tcPr>
          <w:p w14:paraId="0FEFA7A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0.29</w:t>
            </w:r>
          </w:p>
        </w:tc>
        <w:tc>
          <w:tcPr>
            <w:tcW w:w="709" w:type="dxa"/>
            <w:shd w:val="clear" w:color="auto" w:fill="auto"/>
          </w:tcPr>
          <w:p w14:paraId="7800612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0.78</w:t>
            </w:r>
          </w:p>
        </w:tc>
        <w:tc>
          <w:tcPr>
            <w:tcW w:w="708" w:type="dxa"/>
            <w:shd w:val="clear" w:color="auto" w:fill="auto"/>
          </w:tcPr>
          <w:p w14:paraId="419AFB3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c>
          <w:tcPr>
            <w:tcW w:w="629" w:type="dxa"/>
            <w:shd w:val="clear" w:color="auto" w:fill="auto"/>
          </w:tcPr>
          <w:p w14:paraId="71A3564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r w:rsidR="00357B96" w:rsidRPr="00357B96" w14:paraId="25F77286" w14:textId="77777777" w:rsidTr="00AF10A4">
        <w:tc>
          <w:tcPr>
            <w:tcW w:w="417" w:type="dxa"/>
            <w:shd w:val="clear" w:color="auto" w:fill="auto"/>
          </w:tcPr>
          <w:p w14:paraId="09DB6CB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w:t>
            </w:r>
          </w:p>
        </w:tc>
        <w:tc>
          <w:tcPr>
            <w:tcW w:w="1401" w:type="dxa"/>
            <w:shd w:val="clear" w:color="auto" w:fill="auto"/>
          </w:tcPr>
          <w:p w14:paraId="41E702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INCOMETOASSET </w:t>
            </w:r>
          </w:p>
        </w:tc>
        <w:tc>
          <w:tcPr>
            <w:tcW w:w="720" w:type="dxa"/>
            <w:shd w:val="clear" w:color="auto" w:fill="auto"/>
          </w:tcPr>
          <w:p w14:paraId="566417A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-0.02</w:t>
            </w:r>
          </w:p>
        </w:tc>
        <w:tc>
          <w:tcPr>
            <w:tcW w:w="809" w:type="dxa"/>
            <w:shd w:val="clear" w:color="auto" w:fill="auto"/>
          </w:tcPr>
          <w:p w14:paraId="58ECCBB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-0.12</w:t>
            </w:r>
          </w:p>
        </w:tc>
        <w:tc>
          <w:tcPr>
            <w:tcW w:w="730" w:type="dxa"/>
            <w:shd w:val="clear" w:color="auto" w:fill="auto"/>
          </w:tcPr>
          <w:p w14:paraId="0F5122F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0.16</w:t>
            </w:r>
          </w:p>
        </w:tc>
        <w:tc>
          <w:tcPr>
            <w:tcW w:w="709" w:type="dxa"/>
            <w:shd w:val="clear" w:color="auto" w:fill="auto"/>
          </w:tcPr>
          <w:p w14:paraId="36B67F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0.01</w:t>
            </w:r>
          </w:p>
        </w:tc>
        <w:tc>
          <w:tcPr>
            <w:tcW w:w="567" w:type="dxa"/>
            <w:shd w:val="clear" w:color="auto" w:fill="auto"/>
          </w:tcPr>
          <w:p w14:paraId="12450B7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0.00</w:t>
            </w:r>
          </w:p>
        </w:tc>
        <w:tc>
          <w:tcPr>
            <w:tcW w:w="567" w:type="dxa"/>
            <w:shd w:val="clear" w:color="auto" w:fill="auto"/>
          </w:tcPr>
          <w:p w14:paraId="7DD5AB2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0.00</w:t>
            </w:r>
          </w:p>
        </w:tc>
        <w:tc>
          <w:tcPr>
            <w:tcW w:w="567" w:type="dxa"/>
            <w:shd w:val="clear" w:color="auto" w:fill="auto"/>
          </w:tcPr>
          <w:p w14:paraId="09139F4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0.20</w:t>
            </w:r>
          </w:p>
        </w:tc>
        <w:tc>
          <w:tcPr>
            <w:tcW w:w="709" w:type="dxa"/>
            <w:shd w:val="clear" w:color="auto" w:fill="auto"/>
          </w:tcPr>
          <w:p w14:paraId="50D1615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0.66</w:t>
            </w:r>
          </w:p>
        </w:tc>
        <w:tc>
          <w:tcPr>
            <w:tcW w:w="708" w:type="dxa"/>
            <w:shd w:val="clear" w:color="auto" w:fill="auto"/>
          </w:tcPr>
          <w:p w14:paraId="0B9059E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0.96</w:t>
            </w:r>
          </w:p>
        </w:tc>
        <w:tc>
          <w:tcPr>
            <w:tcW w:w="629" w:type="dxa"/>
            <w:shd w:val="clear" w:color="auto" w:fill="auto"/>
          </w:tcPr>
          <w:p w14:paraId="3BD643E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r>
    </w:tbl>
    <w:p w14:paraId="20F1395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131EDC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Table 8 below presents the first set of regression results relating to current performance and non-financial risk disclosures. The regressions show high R</w:t>
      </w:r>
      <w:r w:rsidRPr="00357B96">
        <w:rPr>
          <w:rFonts w:ascii="Times New Roman" w:eastAsia="Calibri" w:hAnsi="Times New Roman" w:cs="Times New Roman"/>
          <w:sz w:val="24"/>
          <w:szCs w:val="24"/>
          <w:vertAlign w:val="superscript"/>
          <w:lang w:val="en-GB"/>
        </w:rPr>
        <w:t>2</w:t>
      </w:r>
      <w:r w:rsidRPr="00357B96">
        <w:rPr>
          <w:rFonts w:ascii="Times New Roman" w:eastAsia="Calibri" w:hAnsi="Times New Roman" w:cs="Times New Roman"/>
          <w:sz w:val="24"/>
          <w:szCs w:val="24"/>
          <w:lang w:val="en-GB"/>
        </w:rPr>
        <w:t xml:space="preserve"> at 71% and 69% respectively for model 1 and model 2. The results (model 1 and model 2) show a significant negative relationship between narrative historical information and current period performance. These results are consistent for both definition of current period performance measures (Dividend and EPS). This supports hypothesis H</w:t>
      </w:r>
      <w:r w:rsidRPr="00357B96">
        <w:rPr>
          <w:rFonts w:ascii="Times New Roman" w:eastAsia="Calibri" w:hAnsi="Times New Roman" w:cs="Times New Roman"/>
          <w:sz w:val="24"/>
          <w:szCs w:val="24"/>
          <w:vertAlign w:val="subscript"/>
          <w:lang w:val="en-GB"/>
        </w:rPr>
        <w:t>1</w:t>
      </w:r>
      <w:r w:rsidRPr="00357B96">
        <w:rPr>
          <w:rFonts w:ascii="Times New Roman" w:eastAsia="Calibri" w:hAnsi="Times New Roman" w:cs="Times New Roman"/>
          <w:sz w:val="24"/>
          <w:szCs w:val="24"/>
          <w:lang w:val="en-GB"/>
        </w:rPr>
        <w:t xml:space="preserve"> indicating that these banks had more historical information when they were having poor performance and less when their performances were positive. Hypothesis H</w:t>
      </w:r>
      <w:r w:rsidRPr="00357B96">
        <w:rPr>
          <w:rFonts w:ascii="Times New Roman" w:eastAsia="Calibri" w:hAnsi="Times New Roman" w:cs="Times New Roman"/>
          <w:sz w:val="24"/>
          <w:szCs w:val="24"/>
          <w:vertAlign w:val="subscript"/>
          <w:lang w:val="en-GB"/>
        </w:rPr>
        <w:t>2</w:t>
      </w:r>
      <w:r w:rsidRPr="00357B96">
        <w:rPr>
          <w:rFonts w:ascii="Times New Roman" w:eastAsia="Calibri" w:hAnsi="Times New Roman" w:cs="Times New Roman"/>
          <w:sz w:val="24"/>
          <w:szCs w:val="24"/>
          <w:lang w:val="en-GB"/>
        </w:rPr>
        <w:t xml:space="preserve"> regarding the relationship between forward-looking information and current performance, the results of the regression show a significant positive relationship consistent with the prediction of this study. These results indicate that firms with more forward looking information are more likely to report positive current performance, thus supporting H</w:t>
      </w:r>
      <w:r w:rsidRPr="00357B96">
        <w:rPr>
          <w:rFonts w:ascii="Times New Roman" w:eastAsia="Calibri" w:hAnsi="Times New Roman" w:cs="Times New Roman"/>
          <w:sz w:val="24"/>
          <w:szCs w:val="24"/>
          <w:vertAlign w:val="subscript"/>
          <w:lang w:val="en-GB"/>
        </w:rPr>
        <w:t>2</w:t>
      </w:r>
      <w:r w:rsidRPr="00357B96">
        <w:rPr>
          <w:rFonts w:ascii="Times New Roman" w:eastAsia="Calibri" w:hAnsi="Times New Roman" w:cs="Times New Roman"/>
          <w:sz w:val="24"/>
          <w:szCs w:val="24"/>
          <w:lang w:val="en-GB"/>
        </w:rPr>
        <w:t xml:space="preserve">. The regression results in Table 8 also show that firm size and equity over asset, which is a measure of efficiency in capital utilisation, are increasing functions of current period performance but net income as a proportion of total asset is decreasing in current period performance. </w:t>
      </w:r>
    </w:p>
    <w:p w14:paraId="537C2BC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5DA889D8"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8: Risk disclosure and current period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430"/>
        <w:gridCol w:w="1980"/>
      </w:tblGrid>
      <w:tr w:rsidR="00357B96" w:rsidRPr="00357B96" w14:paraId="1E147B4F" w14:textId="77777777" w:rsidTr="00AF10A4">
        <w:tc>
          <w:tcPr>
            <w:tcW w:w="3348" w:type="dxa"/>
            <w:shd w:val="clear" w:color="auto" w:fill="auto"/>
          </w:tcPr>
          <w:p w14:paraId="25BD1CC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Independent variable </w:t>
            </w:r>
          </w:p>
        </w:tc>
        <w:tc>
          <w:tcPr>
            <w:tcW w:w="2430" w:type="dxa"/>
            <w:shd w:val="clear" w:color="auto" w:fill="auto"/>
          </w:tcPr>
          <w:p w14:paraId="6305DB0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DVND</w:t>
            </w:r>
          </w:p>
        </w:tc>
        <w:tc>
          <w:tcPr>
            <w:tcW w:w="1980" w:type="dxa"/>
            <w:shd w:val="clear" w:color="auto" w:fill="auto"/>
          </w:tcPr>
          <w:p w14:paraId="72B17CF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EPS</w:t>
            </w:r>
          </w:p>
        </w:tc>
      </w:tr>
      <w:tr w:rsidR="00357B96" w:rsidRPr="00357B96" w14:paraId="38D40997" w14:textId="77777777" w:rsidTr="00AF10A4">
        <w:tc>
          <w:tcPr>
            <w:tcW w:w="3348" w:type="dxa"/>
            <w:shd w:val="clear" w:color="auto" w:fill="auto"/>
          </w:tcPr>
          <w:p w14:paraId="12CB3C2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2430" w:type="dxa"/>
            <w:shd w:val="clear" w:color="auto" w:fill="auto"/>
          </w:tcPr>
          <w:p w14:paraId="19D03FD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1</w:t>
            </w:r>
          </w:p>
        </w:tc>
        <w:tc>
          <w:tcPr>
            <w:tcW w:w="1980" w:type="dxa"/>
            <w:shd w:val="clear" w:color="auto" w:fill="auto"/>
          </w:tcPr>
          <w:p w14:paraId="652E35D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2</w:t>
            </w:r>
          </w:p>
        </w:tc>
      </w:tr>
      <w:tr w:rsidR="00357B96" w:rsidRPr="00357B96" w14:paraId="7B52EAA9" w14:textId="77777777" w:rsidTr="00AF10A4">
        <w:tc>
          <w:tcPr>
            <w:tcW w:w="3348" w:type="dxa"/>
            <w:shd w:val="clear" w:color="auto" w:fill="auto"/>
          </w:tcPr>
          <w:p w14:paraId="3980BE3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HRIC </w:t>
            </w:r>
          </w:p>
        </w:tc>
        <w:tc>
          <w:tcPr>
            <w:tcW w:w="2430" w:type="dxa"/>
            <w:shd w:val="clear" w:color="auto" w:fill="auto"/>
          </w:tcPr>
          <w:p w14:paraId="1B0D63E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-0.04</w:t>
            </w:r>
          </w:p>
          <w:p w14:paraId="6BBF33D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-1.98**</w:t>
            </w:r>
          </w:p>
        </w:tc>
        <w:tc>
          <w:tcPr>
            <w:tcW w:w="1980" w:type="dxa"/>
            <w:shd w:val="clear" w:color="auto" w:fill="auto"/>
          </w:tcPr>
          <w:p w14:paraId="2133C60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-0.17</w:t>
            </w:r>
          </w:p>
          <w:p w14:paraId="5A4099A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-2.43**</w:t>
            </w:r>
          </w:p>
        </w:tc>
      </w:tr>
      <w:tr w:rsidR="00357B96" w:rsidRPr="00357B96" w14:paraId="4C6B1B40" w14:textId="77777777" w:rsidTr="00AF10A4">
        <w:tc>
          <w:tcPr>
            <w:tcW w:w="3348" w:type="dxa"/>
            <w:shd w:val="clear" w:color="auto" w:fill="auto"/>
          </w:tcPr>
          <w:p w14:paraId="37015D8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2430" w:type="dxa"/>
            <w:shd w:val="clear" w:color="auto" w:fill="auto"/>
          </w:tcPr>
          <w:p w14:paraId="4A6E529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0.09</w:t>
            </w:r>
          </w:p>
          <w:p w14:paraId="05646F4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3.96***</w:t>
            </w:r>
          </w:p>
        </w:tc>
        <w:tc>
          <w:tcPr>
            <w:tcW w:w="1980" w:type="dxa"/>
            <w:shd w:val="clear" w:color="auto" w:fill="auto"/>
          </w:tcPr>
          <w:p w14:paraId="790E0EF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0.28</w:t>
            </w:r>
          </w:p>
          <w:p w14:paraId="2B613CE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3.60***</w:t>
            </w:r>
          </w:p>
        </w:tc>
      </w:tr>
      <w:tr w:rsidR="00357B96" w:rsidRPr="00357B96" w14:paraId="04352AE0" w14:textId="77777777" w:rsidTr="00AF10A4">
        <w:tc>
          <w:tcPr>
            <w:tcW w:w="3348" w:type="dxa"/>
            <w:shd w:val="clear" w:color="auto" w:fill="auto"/>
          </w:tcPr>
          <w:p w14:paraId="4401473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2430" w:type="dxa"/>
            <w:shd w:val="clear" w:color="auto" w:fill="auto"/>
          </w:tcPr>
          <w:p w14:paraId="001597B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1.14</w:t>
            </w:r>
          </w:p>
          <w:p w14:paraId="576B258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2.79**</w:t>
            </w:r>
          </w:p>
        </w:tc>
        <w:tc>
          <w:tcPr>
            <w:tcW w:w="1980" w:type="dxa"/>
            <w:shd w:val="clear" w:color="auto" w:fill="auto"/>
          </w:tcPr>
          <w:p w14:paraId="448C37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4.26</w:t>
            </w:r>
          </w:p>
          <w:p w14:paraId="5232DC2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3.07***</w:t>
            </w:r>
          </w:p>
        </w:tc>
      </w:tr>
      <w:tr w:rsidR="00357B96" w:rsidRPr="00357B96" w14:paraId="7D21A913" w14:textId="77777777" w:rsidTr="00AF10A4">
        <w:tc>
          <w:tcPr>
            <w:tcW w:w="3348" w:type="dxa"/>
            <w:shd w:val="clear" w:color="auto" w:fill="auto"/>
          </w:tcPr>
          <w:p w14:paraId="06BA914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EQUITYTOASSET </w:t>
            </w:r>
          </w:p>
        </w:tc>
        <w:tc>
          <w:tcPr>
            <w:tcW w:w="2430" w:type="dxa"/>
            <w:shd w:val="clear" w:color="auto" w:fill="auto"/>
          </w:tcPr>
          <w:p w14:paraId="3E63B8E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5.47</w:t>
            </w:r>
          </w:p>
          <w:p w14:paraId="12B8DED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4.23***</w:t>
            </w:r>
          </w:p>
          <w:p w14:paraId="5949BA0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980" w:type="dxa"/>
            <w:shd w:val="clear" w:color="auto" w:fill="auto"/>
          </w:tcPr>
          <w:p w14:paraId="7C730CF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18.99</w:t>
            </w:r>
          </w:p>
          <w:p w14:paraId="64C538D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4.31***</w:t>
            </w:r>
          </w:p>
        </w:tc>
      </w:tr>
      <w:tr w:rsidR="00357B96" w:rsidRPr="00357B96" w14:paraId="0EE6C717" w14:textId="77777777" w:rsidTr="00AF10A4">
        <w:tc>
          <w:tcPr>
            <w:tcW w:w="3348" w:type="dxa"/>
            <w:shd w:val="clear" w:color="auto" w:fill="auto"/>
          </w:tcPr>
          <w:p w14:paraId="0F6047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INCOMETOASSET </w:t>
            </w:r>
          </w:p>
        </w:tc>
        <w:tc>
          <w:tcPr>
            <w:tcW w:w="2430" w:type="dxa"/>
            <w:shd w:val="clear" w:color="auto" w:fill="auto"/>
          </w:tcPr>
          <w:p w14:paraId="7BA2B3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-3.02</w:t>
            </w:r>
          </w:p>
          <w:p w14:paraId="2BC5F36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-2.81**</w:t>
            </w:r>
          </w:p>
        </w:tc>
        <w:tc>
          <w:tcPr>
            <w:tcW w:w="1980" w:type="dxa"/>
            <w:shd w:val="clear" w:color="auto" w:fill="auto"/>
          </w:tcPr>
          <w:p w14:paraId="6417B39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-12.43</w:t>
            </w:r>
          </w:p>
          <w:p w14:paraId="7C52C89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-2.68**</w:t>
            </w:r>
          </w:p>
        </w:tc>
      </w:tr>
      <w:tr w:rsidR="00357B96" w:rsidRPr="00357B96" w14:paraId="1B34216B" w14:textId="77777777" w:rsidTr="00AF10A4">
        <w:tc>
          <w:tcPr>
            <w:tcW w:w="3348" w:type="dxa"/>
            <w:shd w:val="clear" w:color="auto" w:fill="auto"/>
          </w:tcPr>
          <w:p w14:paraId="46707CA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Constant </w:t>
            </w:r>
          </w:p>
        </w:tc>
        <w:tc>
          <w:tcPr>
            <w:tcW w:w="2430" w:type="dxa"/>
            <w:shd w:val="clear" w:color="auto" w:fill="auto"/>
          </w:tcPr>
          <w:p w14:paraId="646B989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2.41</w:t>
            </w:r>
          </w:p>
          <w:p w14:paraId="0ECABFD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0.426</w:t>
            </w:r>
          </w:p>
        </w:tc>
        <w:tc>
          <w:tcPr>
            <w:tcW w:w="1980" w:type="dxa"/>
            <w:shd w:val="clear" w:color="auto" w:fill="auto"/>
          </w:tcPr>
          <w:p w14:paraId="132E57C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2.61</w:t>
            </w:r>
          </w:p>
          <w:p w14:paraId="73EB0BE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0.145</w:t>
            </w:r>
          </w:p>
        </w:tc>
      </w:tr>
      <w:tr w:rsidR="00357B96" w:rsidRPr="00357B96" w14:paraId="5D9317CB" w14:textId="77777777" w:rsidTr="00AF10A4">
        <w:tc>
          <w:tcPr>
            <w:tcW w:w="3348" w:type="dxa"/>
            <w:shd w:val="clear" w:color="auto" w:fill="auto"/>
          </w:tcPr>
          <w:p w14:paraId="39F2B574" w14:textId="77777777" w:rsidR="00357B96" w:rsidRPr="00357B96" w:rsidRDefault="00357B96" w:rsidP="00F307BB">
            <w:pPr>
              <w:spacing w:after="0" w:line="240" w:lineRule="auto"/>
              <w:jc w:val="both"/>
              <w:rPr>
                <w:rFonts w:ascii="Times New Roman" w:eastAsia="Calibri" w:hAnsi="Times New Roman" w:cs="Times New Roman"/>
                <w:sz w:val="24"/>
                <w:szCs w:val="24"/>
                <w:vertAlign w:val="superscript"/>
                <w:lang w:val="en-GB"/>
              </w:rPr>
            </w:pPr>
            <w:r w:rsidRPr="00357B96">
              <w:rPr>
                <w:rFonts w:ascii="Times New Roman" w:eastAsia="Calibri" w:hAnsi="Times New Roman" w:cs="Times New Roman"/>
                <w:sz w:val="24"/>
                <w:szCs w:val="24"/>
                <w:lang w:val="en-GB"/>
              </w:rPr>
              <w:t>R</w:t>
            </w:r>
            <w:r w:rsidRPr="00357B96">
              <w:rPr>
                <w:rFonts w:ascii="Times New Roman" w:eastAsia="Calibri" w:hAnsi="Times New Roman" w:cs="Times New Roman"/>
                <w:sz w:val="24"/>
                <w:szCs w:val="24"/>
                <w:vertAlign w:val="superscript"/>
                <w:lang w:val="en-GB"/>
              </w:rPr>
              <w:t>2</w:t>
            </w:r>
          </w:p>
        </w:tc>
        <w:tc>
          <w:tcPr>
            <w:tcW w:w="2430" w:type="dxa"/>
            <w:shd w:val="clear" w:color="auto" w:fill="auto"/>
          </w:tcPr>
          <w:p w14:paraId="2F27E3B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71%</w:t>
            </w:r>
          </w:p>
        </w:tc>
        <w:tc>
          <w:tcPr>
            <w:tcW w:w="1980" w:type="dxa"/>
            <w:shd w:val="clear" w:color="auto" w:fill="auto"/>
          </w:tcPr>
          <w:p w14:paraId="2858467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69%</w:t>
            </w:r>
          </w:p>
        </w:tc>
      </w:tr>
      <w:tr w:rsidR="00357B96" w:rsidRPr="00357B96" w14:paraId="30627873" w14:textId="77777777" w:rsidTr="00AF10A4">
        <w:tc>
          <w:tcPr>
            <w:tcW w:w="3348" w:type="dxa"/>
            <w:shd w:val="clear" w:color="auto" w:fill="auto"/>
          </w:tcPr>
          <w:p w14:paraId="6F04B02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lastRenderedPageBreak/>
              <w:t xml:space="preserve">F-statistics </w:t>
            </w:r>
          </w:p>
        </w:tc>
        <w:tc>
          <w:tcPr>
            <w:tcW w:w="2430" w:type="dxa"/>
            <w:shd w:val="clear" w:color="auto" w:fill="auto"/>
          </w:tcPr>
          <w:p w14:paraId="21E7514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7.98***</w:t>
            </w:r>
          </w:p>
        </w:tc>
        <w:tc>
          <w:tcPr>
            <w:tcW w:w="1980" w:type="dxa"/>
            <w:shd w:val="clear" w:color="auto" w:fill="auto"/>
          </w:tcPr>
          <w:p w14:paraId="42256A0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8.83***</w:t>
            </w:r>
          </w:p>
        </w:tc>
      </w:tr>
    </w:tbl>
    <w:p w14:paraId="4CB393B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035C4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9CC65C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Table 9 below presents the results of the regression testing the relationship between narrative risk disclosures and measures of future performance. The results show that when future performance was measured by a positive lag performance (model 3) there was no significant relationship between narrative risk disclosures and future firm performance. However, when future firm performance was measured with respect to growth in earnings per share, there was a significant negative relationship between narrative risk disclosures and future firm performance, consistent with the prediction in the study. These results therefore support hypothesis H</w:t>
      </w:r>
      <w:r w:rsidRPr="00357B96">
        <w:rPr>
          <w:rFonts w:ascii="Times New Roman" w:eastAsia="Calibri" w:hAnsi="Times New Roman" w:cs="Times New Roman"/>
          <w:sz w:val="24"/>
          <w:szCs w:val="24"/>
          <w:vertAlign w:val="subscript"/>
          <w:lang w:val="en-GB"/>
        </w:rPr>
        <w:t xml:space="preserve">3 </w:t>
      </w:r>
      <w:r w:rsidRPr="00357B96">
        <w:rPr>
          <w:rFonts w:ascii="Times New Roman" w:eastAsia="Calibri" w:hAnsi="Times New Roman" w:cs="Times New Roman"/>
          <w:sz w:val="24"/>
          <w:szCs w:val="24"/>
          <w:lang w:val="en-GB"/>
        </w:rPr>
        <w:t>but only when future performance was defined in terms of growth. Similarly, the regression results in model 4 Table 9 support hypothesis H</w:t>
      </w:r>
      <w:r w:rsidRPr="00357B96">
        <w:rPr>
          <w:rFonts w:ascii="Times New Roman" w:eastAsia="Calibri" w:hAnsi="Times New Roman" w:cs="Times New Roman"/>
          <w:sz w:val="24"/>
          <w:szCs w:val="24"/>
          <w:vertAlign w:val="subscript"/>
          <w:lang w:val="en-GB"/>
        </w:rPr>
        <w:t>4</w:t>
      </w:r>
      <w:r w:rsidRPr="00357B96">
        <w:rPr>
          <w:rFonts w:ascii="Times New Roman" w:eastAsia="Calibri" w:hAnsi="Times New Roman" w:cs="Times New Roman"/>
          <w:sz w:val="24"/>
          <w:szCs w:val="24"/>
          <w:lang w:val="en-GB"/>
        </w:rPr>
        <w:t xml:space="preserve"> of a significant positive relationship between forward looking narrative risk disclosures and future firm performance for the distressed banks. These results simply indicate that current period narrative risk disclosures can predict future period performance when this is measured in terms of growth in earnings per share. The result was not supported when future performance was defined in terms of dividend or profit before tax. Unlike models 1 and 2, the control variables are not all significant in models 3 and 4. In model 3, future performance was only positively related to size of the firm and capital utilisation but not with net income as a fraction of total assets. In model 4, future performance was only marginally related to capital utilisation in the firm.  </w:t>
      </w:r>
    </w:p>
    <w:p w14:paraId="4168A98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673C8904"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9: Risk disclosure and future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2070"/>
        <w:gridCol w:w="1440"/>
      </w:tblGrid>
      <w:tr w:rsidR="00357B96" w:rsidRPr="00357B96" w14:paraId="55E7AEBE" w14:textId="77777777" w:rsidTr="00AF10A4">
        <w:tc>
          <w:tcPr>
            <w:tcW w:w="3528" w:type="dxa"/>
            <w:shd w:val="clear" w:color="auto" w:fill="auto"/>
          </w:tcPr>
          <w:p w14:paraId="18614AA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Dependent variable </w:t>
            </w:r>
          </w:p>
        </w:tc>
        <w:tc>
          <w:tcPr>
            <w:tcW w:w="2070" w:type="dxa"/>
            <w:shd w:val="clear" w:color="auto" w:fill="auto"/>
          </w:tcPr>
          <w:p w14:paraId="6779A73B" w14:textId="77777777" w:rsidR="00357B96" w:rsidRPr="00357B96" w:rsidRDefault="00357B96" w:rsidP="00F307BB">
            <w:pPr>
              <w:spacing w:after="0" w:line="240" w:lineRule="auto"/>
              <w:jc w:val="both"/>
              <w:rPr>
                <w:rFonts w:ascii="Times New Roman" w:eastAsia="Calibri" w:hAnsi="Times New Roman" w:cs="Times New Roman"/>
                <w:sz w:val="24"/>
                <w:szCs w:val="24"/>
                <w:vertAlign w:val="subscript"/>
                <w:lang w:val="en-GB"/>
              </w:rPr>
            </w:pPr>
            <w:r w:rsidRPr="00357B96">
              <w:rPr>
                <w:rFonts w:ascii="Times New Roman" w:eastAsia="Calibri" w:hAnsi="Times New Roman" w:cs="Times New Roman"/>
                <w:sz w:val="24"/>
                <w:szCs w:val="24"/>
                <w:lang w:val="en-GB"/>
              </w:rPr>
              <w:t>EPS</w:t>
            </w:r>
            <w:r w:rsidRPr="00357B96">
              <w:rPr>
                <w:rFonts w:ascii="Times New Roman" w:eastAsia="Calibri" w:hAnsi="Times New Roman" w:cs="Times New Roman"/>
                <w:sz w:val="24"/>
                <w:szCs w:val="24"/>
                <w:vertAlign w:val="subscript"/>
                <w:lang w:val="en-GB"/>
              </w:rPr>
              <w:t>t+1</w:t>
            </w:r>
          </w:p>
        </w:tc>
        <w:tc>
          <w:tcPr>
            <w:tcW w:w="1440" w:type="dxa"/>
            <w:shd w:val="clear" w:color="auto" w:fill="auto"/>
          </w:tcPr>
          <w:p w14:paraId="411175F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∆EPS</w:t>
            </w:r>
          </w:p>
        </w:tc>
      </w:tr>
      <w:tr w:rsidR="00357B96" w:rsidRPr="00357B96" w14:paraId="58C96EDE" w14:textId="77777777" w:rsidTr="00AF10A4">
        <w:tc>
          <w:tcPr>
            <w:tcW w:w="3528" w:type="dxa"/>
            <w:shd w:val="clear" w:color="auto" w:fill="auto"/>
          </w:tcPr>
          <w:p w14:paraId="34278E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Variables </w:t>
            </w:r>
          </w:p>
        </w:tc>
        <w:tc>
          <w:tcPr>
            <w:tcW w:w="2070" w:type="dxa"/>
            <w:shd w:val="clear" w:color="auto" w:fill="auto"/>
          </w:tcPr>
          <w:p w14:paraId="6C8C2E8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3</w:t>
            </w:r>
          </w:p>
        </w:tc>
        <w:tc>
          <w:tcPr>
            <w:tcW w:w="1440" w:type="dxa"/>
            <w:shd w:val="clear" w:color="auto" w:fill="auto"/>
          </w:tcPr>
          <w:p w14:paraId="58E15D6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4</w:t>
            </w:r>
          </w:p>
        </w:tc>
      </w:tr>
      <w:tr w:rsidR="00357B96" w:rsidRPr="00357B96" w14:paraId="0AC52F9A" w14:textId="77777777" w:rsidTr="00AF10A4">
        <w:tc>
          <w:tcPr>
            <w:tcW w:w="3528" w:type="dxa"/>
            <w:shd w:val="clear" w:color="auto" w:fill="auto"/>
          </w:tcPr>
          <w:p w14:paraId="42AF1FC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HRIC </w:t>
            </w:r>
          </w:p>
        </w:tc>
        <w:tc>
          <w:tcPr>
            <w:tcW w:w="2070" w:type="dxa"/>
            <w:shd w:val="clear" w:color="auto" w:fill="auto"/>
          </w:tcPr>
          <w:p w14:paraId="5363DD8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-0.15</w:t>
            </w:r>
          </w:p>
          <w:p w14:paraId="3937618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-0.61</w:t>
            </w:r>
          </w:p>
        </w:tc>
        <w:tc>
          <w:tcPr>
            <w:tcW w:w="1440" w:type="dxa"/>
            <w:shd w:val="clear" w:color="auto" w:fill="auto"/>
          </w:tcPr>
          <w:p w14:paraId="1CA498A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-1.96</w:t>
            </w:r>
          </w:p>
          <w:p w14:paraId="71815C7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-2.36**</w:t>
            </w:r>
          </w:p>
        </w:tc>
      </w:tr>
      <w:tr w:rsidR="00357B96" w:rsidRPr="00357B96" w14:paraId="4C073A4E" w14:textId="77777777" w:rsidTr="00AF10A4">
        <w:tc>
          <w:tcPr>
            <w:tcW w:w="3528" w:type="dxa"/>
            <w:shd w:val="clear" w:color="auto" w:fill="auto"/>
          </w:tcPr>
          <w:p w14:paraId="49BFEFD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2070" w:type="dxa"/>
            <w:shd w:val="clear" w:color="auto" w:fill="auto"/>
          </w:tcPr>
          <w:p w14:paraId="63614DE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0.15</w:t>
            </w:r>
          </w:p>
          <w:p w14:paraId="26F7146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0.80</w:t>
            </w:r>
          </w:p>
        </w:tc>
        <w:tc>
          <w:tcPr>
            <w:tcW w:w="1440" w:type="dxa"/>
            <w:shd w:val="clear" w:color="auto" w:fill="auto"/>
          </w:tcPr>
          <w:p w14:paraId="6FD679B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1.04</w:t>
            </w:r>
          </w:p>
          <w:p w14:paraId="1207B06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2.45**</w:t>
            </w:r>
          </w:p>
        </w:tc>
      </w:tr>
      <w:tr w:rsidR="00357B96" w:rsidRPr="00357B96" w14:paraId="097CA1CD" w14:textId="77777777" w:rsidTr="00AF10A4">
        <w:tc>
          <w:tcPr>
            <w:tcW w:w="3528" w:type="dxa"/>
            <w:shd w:val="clear" w:color="auto" w:fill="auto"/>
          </w:tcPr>
          <w:p w14:paraId="4C54A8D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2070" w:type="dxa"/>
            <w:shd w:val="clear" w:color="auto" w:fill="auto"/>
          </w:tcPr>
          <w:p w14:paraId="66DE062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3.59</w:t>
            </w:r>
          </w:p>
          <w:p w14:paraId="6E9F4CB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2.61**</w:t>
            </w:r>
          </w:p>
        </w:tc>
        <w:tc>
          <w:tcPr>
            <w:tcW w:w="1440" w:type="dxa"/>
            <w:shd w:val="clear" w:color="auto" w:fill="auto"/>
          </w:tcPr>
          <w:p w14:paraId="704F62B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0.02</w:t>
            </w:r>
          </w:p>
          <w:p w14:paraId="308C17D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0.92</w:t>
            </w:r>
          </w:p>
        </w:tc>
      </w:tr>
      <w:tr w:rsidR="00357B96" w:rsidRPr="00357B96" w14:paraId="1F3D488E" w14:textId="77777777" w:rsidTr="00AF10A4">
        <w:tc>
          <w:tcPr>
            <w:tcW w:w="3528" w:type="dxa"/>
            <w:shd w:val="clear" w:color="auto" w:fill="auto"/>
          </w:tcPr>
          <w:p w14:paraId="0D57FC8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EQUITYTOASSET </w:t>
            </w:r>
          </w:p>
        </w:tc>
        <w:tc>
          <w:tcPr>
            <w:tcW w:w="2070" w:type="dxa"/>
            <w:shd w:val="clear" w:color="auto" w:fill="auto"/>
          </w:tcPr>
          <w:p w14:paraId="037EC23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10.92</w:t>
            </w:r>
          </w:p>
          <w:p w14:paraId="30ECD0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2.17**</w:t>
            </w:r>
          </w:p>
        </w:tc>
        <w:tc>
          <w:tcPr>
            <w:tcW w:w="1440" w:type="dxa"/>
            <w:shd w:val="clear" w:color="auto" w:fill="auto"/>
          </w:tcPr>
          <w:p w14:paraId="07F9654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0.23</w:t>
            </w:r>
          </w:p>
          <w:p w14:paraId="05AED56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1.84*</w:t>
            </w:r>
          </w:p>
        </w:tc>
      </w:tr>
      <w:tr w:rsidR="00357B96" w:rsidRPr="00357B96" w14:paraId="6DC57F47" w14:textId="77777777" w:rsidTr="00AF10A4">
        <w:tc>
          <w:tcPr>
            <w:tcW w:w="3528" w:type="dxa"/>
            <w:shd w:val="clear" w:color="auto" w:fill="auto"/>
          </w:tcPr>
          <w:p w14:paraId="0D15204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INCOMETOASSET </w:t>
            </w:r>
          </w:p>
        </w:tc>
        <w:tc>
          <w:tcPr>
            <w:tcW w:w="2070" w:type="dxa"/>
            <w:shd w:val="clear" w:color="auto" w:fill="auto"/>
          </w:tcPr>
          <w:p w14:paraId="7E84934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-6.91</w:t>
            </w:r>
          </w:p>
          <w:p w14:paraId="3F12967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-1.50</w:t>
            </w:r>
          </w:p>
        </w:tc>
        <w:tc>
          <w:tcPr>
            <w:tcW w:w="1440" w:type="dxa"/>
            <w:shd w:val="clear" w:color="auto" w:fill="auto"/>
          </w:tcPr>
          <w:p w14:paraId="4723D36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-0.05</w:t>
            </w:r>
          </w:p>
          <w:p w14:paraId="44723E1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-0.54</w:t>
            </w:r>
          </w:p>
        </w:tc>
      </w:tr>
      <w:tr w:rsidR="00357B96" w:rsidRPr="00357B96" w14:paraId="780C13EC" w14:textId="77777777" w:rsidTr="00AF10A4">
        <w:tc>
          <w:tcPr>
            <w:tcW w:w="3528" w:type="dxa"/>
            <w:shd w:val="clear" w:color="auto" w:fill="auto"/>
          </w:tcPr>
          <w:p w14:paraId="4CB0AF1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Constant </w:t>
            </w:r>
          </w:p>
        </w:tc>
        <w:tc>
          <w:tcPr>
            <w:tcW w:w="2070" w:type="dxa"/>
            <w:shd w:val="clear" w:color="auto" w:fill="auto"/>
          </w:tcPr>
          <w:p w14:paraId="3139FF9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0.512</w:t>
            </w:r>
          </w:p>
          <w:p w14:paraId="190E1AF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1.69</w:t>
            </w:r>
          </w:p>
        </w:tc>
        <w:tc>
          <w:tcPr>
            <w:tcW w:w="1440" w:type="dxa"/>
            <w:shd w:val="clear" w:color="auto" w:fill="auto"/>
          </w:tcPr>
          <w:p w14:paraId="4D2D65E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0.33</w:t>
            </w:r>
          </w:p>
          <w:p w14:paraId="61AAFF2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0.411</w:t>
            </w:r>
          </w:p>
        </w:tc>
      </w:tr>
      <w:tr w:rsidR="00357B96" w:rsidRPr="00357B96" w14:paraId="57750664" w14:textId="77777777" w:rsidTr="00AF10A4">
        <w:tc>
          <w:tcPr>
            <w:tcW w:w="3528" w:type="dxa"/>
            <w:shd w:val="clear" w:color="auto" w:fill="auto"/>
          </w:tcPr>
          <w:p w14:paraId="026535E1" w14:textId="77777777" w:rsidR="00357B96" w:rsidRPr="00357B96" w:rsidRDefault="00357B96" w:rsidP="00F307BB">
            <w:pPr>
              <w:spacing w:after="0" w:line="240" w:lineRule="auto"/>
              <w:jc w:val="both"/>
              <w:rPr>
                <w:rFonts w:ascii="Times New Roman" w:eastAsia="Calibri" w:hAnsi="Times New Roman" w:cs="Times New Roman"/>
                <w:sz w:val="24"/>
                <w:szCs w:val="24"/>
                <w:vertAlign w:val="superscript"/>
                <w:lang w:val="en-GB"/>
              </w:rPr>
            </w:pPr>
            <w:r w:rsidRPr="00357B96">
              <w:rPr>
                <w:rFonts w:ascii="Times New Roman" w:eastAsia="Calibri" w:hAnsi="Times New Roman" w:cs="Times New Roman"/>
                <w:sz w:val="24"/>
                <w:szCs w:val="24"/>
                <w:lang w:val="en-GB"/>
              </w:rPr>
              <w:t>R</w:t>
            </w:r>
            <w:r w:rsidRPr="00357B96">
              <w:rPr>
                <w:rFonts w:ascii="Times New Roman" w:eastAsia="Calibri" w:hAnsi="Times New Roman" w:cs="Times New Roman"/>
                <w:sz w:val="24"/>
                <w:szCs w:val="24"/>
                <w:vertAlign w:val="superscript"/>
                <w:lang w:val="en-GB"/>
              </w:rPr>
              <w:t>2</w:t>
            </w:r>
          </w:p>
        </w:tc>
        <w:tc>
          <w:tcPr>
            <w:tcW w:w="2070" w:type="dxa"/>
            <w:shd w:val="clear" w:color="auto" w:fill="auto"/>
          </w:tcPr>
          <w:p w14:paraId="7FD0B70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60%</w:t>
            </w:r>
          </w:p>
        </w:tc>
        <w:tc>
          <w:tcPr>
            <w:tcW w:w="1440" w:type="dxa"/>
            <w:shd w:val="clear" w:color="auto" w:fill="auto"/>
          </w:tcPr>
          <w:p w14:paraId="0509790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19%</w:t>
            </w:r>
          </w:p>
        </w:tc>
      </w:tr>
      <w:tr w:rsidR="00357B96" w:rsidRPr="00357B96" w14:paraId="34E2BD83" w14:textId="77777777" w:rsidTr="00AF10A4">
        <w:tc>
          <w:tcPr>
            <w:tcW w:w="3528" w:type="dxa"/>
            <w:shd w:val="clear" w:color="auto" w:fill="auto"/>
          </w:tcPr>
          <w:p w14:paraId="3F83060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F-Statistics </w:t>
            </w:r>
          </w:p>
        </w:tc>
        <w:tc>
          <w:tcPr>
            <w:tcW w:w="2070" w:type="dxa"/>
            <w:shd w:val="clear" w:color="auto" w:fill="auto"/>
          </w:tcPr>
          <w:p w14:paraId="208B941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3.25***</w:t>
            </w:r>
          </w:p>
        </w:tc>
        <w:tc>
          <w:tcPr>
            <w:tcW w:w="1440" w:type="dxa"/>
            <w:shd w:val="clear" w:color="auto" w:fill="auto"/>
          </w:tcPr>
          <w:p w14:paraId="25BBE8E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2.56**</w:t>
            </w:r>
          </w:p>
        </w:tc>
      </w:tr>
    </w:tbl>
    <w:p w14:paraId="798D0B0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32ECED7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65F2462" w14:textId="77777777" w:rsidR="00AC64FC" w:rsidRDefault="00AC64FC" w:rsidP="00F307BB">
      <w:pPr>
        <w:spacing w:after="0" w:line="240" w:lineRule="auto"/>
        <w:jc w:val="both"/>
        <w:rPr>
          <w:rFonts w:ascii="Times New Roman" w:eastAsia="Calibri" w:hAnsi="Times New Roman" w:cs="Times New Roman"/>
          <w:b/>
          <w:sz w:val="24"/>
          <w:szCs w:val="24"/>
          <w:lang w:val="en-GB"/>
        </w:rPr>
      </w:pPr>
    </w:p>
    <w:p w14:paraId="4B038CE2"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Additional analysis: Optimistic and Pessimistic Tone in Risk Disclosure </w:t>
      </w:r>
    </w:p>
    <w:p w14:paraId="6240864D" w14:textId="77777777" w:rsidR="00AC64FC" w:rsidRDefault="00AC64FC" w:rsidP="00F307BB">
      <w:pPr>
        <w:spacing w:after="0" w:line="240" w:lineRule="auto"/>
        <w:jc w:val="both"/>
        <w:rPr>
          <w:rFonts w:ascii="Times New Roman" w:eastAsia="Calibri" w:hAnsi="Times New Roman" w:cs="Times New Roman"/>
          <w:sz w:val="24"/>
          <w:szCs w:val="24"/>
          <w:lang w:val="en-GB"/>
        </w:rPr>
      </w:pPr>
    </w:p>
    <w:p w14:paraId="606D2DC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Prasad and Mir (2002) argued that the annual report is a powerful tool that management uses to signal to the intended recipients of the information in it. Also Davis et al. (2008) analysed information in the annual reports to discover the optimistic and pessimistic languages which was </w:t>
      </w:r>
      <w:r w:rsidRPr="00357B96">
        <w:rPr>
          <w:rFonts w:ascii="Times New Roman" w:eastAsia="Calibri" w:hAnsi="Times New Roman" w:cs="Times New Roman"/>
          <w:sz w:val="24"/>
          <w:szCs w:val="24"/>
          <w:lang w:val="en-GB"/>
        </w:rPr>
        <w:lastRenderedPageBreak/>
        <w:t xml:space="preserve">then used as a predictive basis. In addition to the analysis above, this study followed this intuition and analysed the risk disclosures in the annual reports of the distressed banks in the UK to explore the potential that management overtly or covertly sent either optimistic or pessimistic signals to the users of the information contained in it. Davis et al. (2008) categorised words that are positive in nature as being optimistic enhancing and words that are intrinsically negative as pessimistic enhancing. For example, while words such as revenue, profit, income, increase, improve etc. were categorised as optimistic enhancing, words such as costs, taxes, decreasing, minimal, ineffective, not, fall, downwards were categorised as pessimistic enhancing words (see appendix 1). These words were lemmatised and headword search conducted. These produced two categories labelled as optimistic and pessimistic enhancing respectively. The regression results in Table 10 below show that optimistic and pessimistic languages in narrative risk disclosure were not determinants of current and future firm performance (result for future performance not reported). </w:t>
      </w:r>
    </w:p>
    <w:p w14:paraId="578159F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18666268"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Table 10: Optimistic and Pessimistic Tone in Narrative risk Disclosure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2430"/>
        <w:gridCol w:w="1710"/>
      </w:tblGrid>
      <w:tr w:rsidR="00357B96" w:rsidRPr="00357B96" w14:paraId="0B3EBF2D" w14:textId="77777777" w:rsidTr="00AF10A4">
        <w:tc>
          <w:tcPr>
            <w:tcW w:w="3438" w:type="dxa"/>
            <w:shd w:val="clear" w:color="auto" w:fill="auto"/>
          </w:tcPr>
          <w:p w14:paraId="2AD9F04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Dependent variable </w:t>
            </w:r>
          </w:p>
        </w:tc>
        <w:tc>
          <w:tcPr>
            <w:tcW w:w="2430" w:type="dxa"/>
            <w:shd w:val="clear" w:color="auto" w:fill="auto"/>
          </w:tcPr>
          <w:p w14:paraId="05E4562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DVND</w:t>
            </w:r>
          </w:p>
        </w:tc>
        <w:tc>
          <w:tcPr>
            <w:tcW w:w="1710" w:type="dxa"/>
            <w:shd w:val="clear" w:color="auto" w:fill="auto"/>
          </w:tcPr>
          <w:p w14:paraId="23C9AEA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EPS</w:t>
            </w:r>
          </w:p>
        </w:tc>
      </w:tr>
      <w:tr w:rsidR="00357B96" w:rsidRPr="00357B96" w14:paraId="5298C40E" w14:textId="77777777" w:rsidTr="00AF10A4">
        <w:tc>
          <w:tcPr>
            <w:tcW w:w="3438" w:type="dxa"/>
            <w:shd w:val="clear" w:color="auto" w:fill="auto"/>
          </w:tcPr>
          <w:p w14:paraId="0138C7C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Variables </w:t>
            </w:r>
          </w:p>
        </w:tc>
        <w:tc>
          <w:tcPr>
            <w:tcW w:w="2430" w:type="dxa"/>
            <w:shd w:val="clear" w:color="auto" w:fill="auto"/>
          </w:tcPr>
          <w:p w14:paraId="7A554AD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1</w:t>
            </w:r>
          </w:p>
        </w:tc>
        <w:tc>
          <w:tcPr>
            <w:tcW w:w="1710" w:type="dxa"/>
            <w:shd w:val="clear" w:color="auto" w:fill="auto"/>
          </w:tcPr>
          <w:p w14:paraId="352474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Model 2</w:t>
            </w:r>
          </w:p>
        </w:tc>
      </w:tr>
      <w:tr w:rsidR="00357B96" w:rsidRPr="00357B96" w14:paraId="69B7E4EC" w14:textId="77777777" w:rsidTr="00AF10A4">
        <w:tc>
          <w:tcPr>
            <w:tcW w:w="3438" w:type="dxa"/>
            <w:shd w:val="clear" w:color="auto" w:fill="auto"/>
          </w:tcPr>
          <w:p w14:paraId="49A61DB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HRIC </w:t>
            </w:r>
          </w:p>
        </w:tc>
        <w:tc>
          <w:tcPr>
            <w:tcW w:w="2430" w:type="dxa"/>
            <w:shd w:val="clear" w:color="auto" w:fill="auto"/>
          </w:tcPr>
          <w:p w14:paraId="04CE93A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-0.082</w:t>
            </w:r>
          </w:p>
          <w:p w14:paraId="0404356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-1.84*</w:t>
            </w:r>
          </w:p>
        </w:tc>
        <w:tc>
          <w:tcPr>
            <w:tcW w:w="1710" w:type="dxa"/>
            <w:shd w:val="clear" w:color="auto" w:fill="auto"/>
          </w:tcPr>
          <w:p w14:paraId="30819D4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-0.22</w:t>
            </w:r>
          </w:p>
          <w:p w14:paraId="777BF6C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-1.38</w:t>
            </w:r>
          </w:p>
        </w:tc>
      </w:tr>
      <w:tr w:rsidR="00357B96" w:rsidRPr="00357B96" w14:paraId="3FAEAB7D" w14:textId="77777777" w:rsidTr="00AF10A4">
        <w:tc>
          <w:tcPr>
            <w:tcW w:w="3438" w:type="dxa"/>
            <w:shd w:val="clear" w:color="auto" w:fill="auto"/>
          </w:tcPr>
          <w:p w14:paraId="4ED6127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FWD</w:t>
            </w:r>
          </w:p>
        </w:tc>
        <w:tc>
          <w:tcPr>
            <w:tcW w:w="2430" w:type="dxa"/>
            <w:shd w:val="clear" w:color="auto" w:fill="auto"/>
          </w:tcPr>
          <w:p w14:paraId="058F4C2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0.08</w:t>
            </w:r>
          </w:p>
          <w:p w14:paraId="656A383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3.41***</w:t>
            </w:r>
          </w:p>
        </w:tc>
        <w:tc>
          <w:tcPr>
            <w:tcW w:w="1710" w:type="dxa"/>
            <w:shd w:val="clear" w:color="auto" w:fill="auto"/>
          </w:tcPr>
          <w:p w14:paraId="36FC202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0.18</w:t>
            </w:r>
          </w:p>
          <w:p w14:paraId="01694CA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1.77*</w:t>
            </w:r>
          </w:p>
        </w:tc>
      </w:tr>
      <w:tr w:rsidR="00357B96" w:rsidRPr="00357B96" w14:paraId="5A842964" w14:textId="77777777" w:rsidTr="00AF10A4">
        <w:tc>
          <w:tcPr>
            <w:tcW w:w="3438" w:type="dxa"/>
            <w:shd w:val="clear" w:color="auto" w:fill="auto"/>
          </w:tcPr>
          <w:p w14:paraId="2AF5A7D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OPT</w:t>
            </w:r>
          </w:p>
        </w:tc>
        <w:tc>
          <w:tcPr>
            <w:tcW w:w="2430" w:type="dxa"/>
            <w:shd w:val="clear" w:color="auto" w:fill="auto"/>
          </w:tcPr>
          <w:p w14:paraId="2D33ADD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0.02</w:t>
            </w:r>
          </w:p>
          <w:p w14:paraId="32A1757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0.37</w:t>
            </w:r>
          </w:p>
        </w:tc>
        <w:tc>
          <w:tcPr>
            <w:tcW w:w="1710" w:type="dxa"/>
            <w:shd w:val="clear" w:color="auto" w:fill="auto"/>
          </w:tcPr>
          <w:p w14:paraId="7725087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0.06</w:t>
            </w:r>
          </w:p>
          <w:p w14:paraId="62C27EB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0.34</w:t>
            </w:r>
          </w:p>
        </w:tc>
      </w:tr>
      <w:tr w:rsidR="00357B96" w:rsidRPr="00357B96" w14:paraId="16C81830" w14:textId="77777777" w:rsidTr="00AF10A4">
        <w:tc>
          <w:tcPr>
            <w:tcW w:w="3438" w:type="dxa"/>
            <w:shd w:val="clear" w:color="auto" w:fill="auto"/>
          </w:tcPr>
          <w:p w14:paraId="1B34C54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PESS</w:t>
            </w:r>
          </w:p>
        </w:tc>
        <w:tc>
          <w:tcPr>
            <w:tcW w:w="2430" w:type="dxa"/>
            <w:shd w:val="clear" w:color="auto" w:fill="auto"/>
          </w:tcPr>
          <w:p w14:paraId="528140D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0.01</w:t>
            </w:r>
          </w:p>
          <w:p w14:paraId="43A117E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0.13</w:t>
            </w:r>
          </w:p>
        </w:tc>
        <w:tc>
          <w:tcPr>
            <w:tcW w:w="1710" w:type="dxa"/>
            <w:shd w:val="clear" w:color="auto" w:fill="auto"/>
          </w:tcPr>
          <w:p w14:paraId="161DC6D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-0.15</w:t>
            </w:r>
          </w:p>
          <w:p w14:paraId="0F60FC9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-1.00</w:t>
            </w:r>
          </w:p>
        </w:tc>
      </w:tr>
      <w:tr w:rsidR="00357B96" w:rsidRPr="00357B96" w14:paraId="4B090365" w14:textId="77777777" w:rsidTr="00AF10A4">
        <w:tc>
          <w:tcPr>
            <w:tcW w:w="3438" w:type="dxa"/>
            <w:shd w:val="clear" w:color="auto" w:fill="auto"/>
          </w:tcPr>
          <w:p w14:paraId="1554944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WORD</w:t>
            </w:r>
          </w:p>
        </w:tc>
        <w:tc>
          <w:tcPr>
            <w:tcW w:w="2430" w:type="dxa"/>
            <w:shd w:val="clear" w:color="auto" w:fill="auto"/>
          </w:tcPr>
          <w:p w14:paraId="68C9FD8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0.02</w:t>
            </w:r>
          </w:p>
          <w:p w14:paraId="2810F12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1.20</w:t>
            </w:r>
          </w:p>
        </w:tc>
        <w:tc>
          <w:tcPr>
            <w:tcW w:w="1710" w:type="dxa"/>
            <w:shd w:val="clear" w:color="auto" w:fill="auto"/>
          </w:tcPr>
          <w:p w14:paraId="2D0114D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0.04</w:t>
            </w:r>
          </w:p>
          <w:p w14:paraId="1D89D04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1.47</w:t>
            </w:r>
          </w:p>
        </w:tc>
      </w:tr>
      <w:tr w:rsidR="00357B96" w:rsidRPr="00357B96" w14:paraId="31B7F7B0" w14:textId="77777777" w:rsidTr="00AF10A4">
        <w:tc>
          <w:tcPr>
            <w:tcW w:w="3438" w:type="dxa"/>
            <w:shd w:val="clear" w:color="auto" w:fill="auto"/>
          </w:tcPr>
          <w:p w14:paraId="33D4295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LNASSET</w:t>
            </w:r>
          </w:p>
        </w:tc>
        <w:tc>
          <w:tcPr>
            <w:tcW w:w="2430" w:type="dxa"/>
            <w:shd w:val="clear" w:color="auto" w:fill="auto"/>
          </w:tcPr>
          <w:p w14:paraId="6D42947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0.21</w:t>
            </w:r>
          </w:p>
          <w:p w14:paraId="2E45A8D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0.23</w:t>
            </w:r>
          </w:p>
        </w:tc>
        <w:tc>
          <w:tcPr>
            <w:tcW w:w="1710" w:type="dxa"/>
            <w:shd w:val="clear" w:color="auto" w:fill="auto"/>
          </w:tcPr>
          <w:p w14:paraId="416B084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0.66</w:t>
            </w:r>
          </w:p>
          <w:p w14:paraId="4228C91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0.20</w:t>
            </w:r>
          </w:p>
        </w:tc>
      </w:tr>
      <w:tr w:rsidR="00357B96" w:rsidRPr="00357B96" w14:paraId="154DA0FB" w14:textId="77777777" w:rsidTr="00AF10A4">
        <w:trPr>
          <w:trHeight w:val="1051"/>
        </w:trPr>
        <w:tc>
          <w:tcPr>
            <w:tcW w:w="3438" w:type="dxa"/>
            <w:shd w:val="clear" w:color="auto" w:fill="auto"/>
          </w:tcPr>
          <w:p w14:paraId="79A5DD7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EQUITYTOASSET </w:t>
            </w:r>
          </w:p>
        </w:tc>
        <w:tc>
          <w:tcPr>
            <w:tcW w:w="2430" w:type="dxa"/>
            <w:shd w:val="clear" w:color="auto" w:fill="auto"/>
          </w:tcPr>
          <w:p w14:paraId="6B2E502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-0.72</w:t>
            </w:r>
          </w:p>
          <w:p w14:paraId="6AC7043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-1.53</w:t>
            </w:r>
          </w:p>
          <w:p w14:paraId="6FF8EC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710" w:type="dxa"/>
            <w:shd w:val="clear" w:color="auto" w:fill="auto"/>
          </w:tcPr>
          <w:p w14:paraId="3B90DC3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-2.75</w:t>
            </w:r>
          </w:p>
          <w:p w14:paraId="3F5E07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-1.66</w:t>
            </w:r>
          </w:p>
        </w:tc>
      </w:tr>
      <w:tr w:rsidR="00357B96" w:rsidRPr="00357B96" w14:paraId="77DB2942" w14:textId="77777777" w:rsidTr="00AF10A4">
        <w:tc>
          <w:tcPr>
            <w:tcW w:w="3438" w:type="dxa"/>
            <w:shd w:val="clear" w:color="auto" w:fill="auto"/>
          </w:tcPr>
          <w:p w14:paraId="5E256C0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INCOMETOASSET </w:t>
            </w:r>
          </w:p>
        </w:tc>
        <w:tc>
          <w:tcPr>
            <w:tcW w:w="2430" w:type="dxa"/>
            <w:shd w:val="clear" w:color="auto" w:fill="auto"/>
          </w:tcPr>
          <w:p w14:paraId="5CAD9D1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12.33</w:t>
            </w:r>
          </w:p>
          <w:p w14:paraId="0B70215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-1.33</w:t>
            </w:r>
          </w:p>
        </w:tc>
        <w:tc>
          <w:tcPr>
            <w:tcW w:w="1710" w:type="dxa"/>
            <w:shd w:val="clear" w:color="auto" w:fill="auto"/>
          </w:tcPr>
          <w:p w14:paraId="67BC0A5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48.4</w:t>
            </w:r>
          </w:p>
          <w:p w14:paraId="33E51EC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1.47</w:t>
            </w:r>
          </w:p>
        </w:tc>
      </w:tr>
      <w:tr w:rsidR="00357B96" w:rsidRPr="00357B96" w14:paraId="3FB29C59" w14:textId="77777777" w:rsidTr="00AF10A4">
        <w:tc>
          <w:tcPr>
            <w:tcW w:w="3438" w:type="dxa"/>
            <w:shd w:val="clear" w:color="auto" w:fill="auto"/>
          </w:tcPr>
          <w:p w14:paraId="2DCACF2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Constant </w:t>
            </w:r>
          </w:p>
        </w:tc>
        <w:tc>
          <w:tcPr>
            <w:tcW w:w="2430" w:type="dxa"/>
            <w:shd w:val="clear" w:color="auto" w:fill="auto"/>
          </w:tcPr>
          <w:p w14:paraId="587AB11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3.41</w:t>
            </w:r>
          </w:p>
          <w:p w14:paraId="75E96F1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0.636</w:t>
            </w:r>
          </w:p>
        </w:tc>
        <w:tc>
          <w:tcPr>
            <w:tcW w:w="1710" w:type="dxa"/>
            <w:shd w:val="clear" w:color="auto" w:fill="auto"/>
          </w:tcPr>
          <w:p w14:paraId="1758939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-10.6</w:t>
            </w:r>
          </w:p>
          <w:p w14:paraId="3C23AD0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0.661</w:t>
            </w:r>
          </w:p>
        </w:tc>
      </w:tr>
      <w:tr w:rsidR="00357B96" w:rsidRPr="00357B96" w14:paraId="4C82EEE0" w14:textId="77777777" w:rsidTr="00AF10A4">
        <w:tc>
          <w:tcPr>
            <w:tcW w:w="3438" w:type="dxa"/>
            <w:shd w:val="clear" w:color="auto" w:fill="auto"/>
          </w:tcPr>
          <w:p w14:paraId="4224C6E4" w14:textId="77777777" w:rsidR="00357B96" w:rsidRPr="00357B96" w:rsidRDefault="00357B96" w:rsidP="00F307BB">
            <w:pPr>
              <w:spacing w:after="0" w:line="240" w:lineRule="auto"/>
              <w:jc w:val="both"/>
              <w:rPr>
                <w:rFonts w:ascii="Times New Roman" w:eastAsia="Calibri" w:hAnsi="Times New Roman" w:cs="Times New Roman"/>
                <w:sz w:val="24"/>
                <w:szCs w:val="24"/>
                <w:vertAlign w:val="superscript"/>
                <w:lang w:val="en-GB"/>
              </w:rPr>
            </w:pPr>
            <w:r w:rsidRPr="00357B96">
              <w:rPr>
                <w:rFonts w:ascii="Times New Roman" w:eastAsia="Calibri" w:hAnsi="Times New Roman" w:cs="Times New Roman"/>
                <w:sz w:val="24"/>
                <w:szCs w:val="24"/>
                <w:lang w:val="en-GB"/>
              </w:rPr>
              <w:t>R</w:t>
            </w:r>
            <w:r w:rsidRPr="00357B96">
              <w:rPr>
                <w:rFonts w:ascii="Times New Roman" w:eastAsia="Calibri" w:hAnsi="Times New Roman" w:cs="Times New Roman"/>
                <w:sz w:val="24"/>
                <w:szCs w:val="24"/>
                <w:vertAlign w:val="superscript"/>
                <w:lang w:val="en-GB"/>
              </w:rPr>
              <w:t>2</w:t>
            </w:r>
          </w:p>
        </w:tc>
        <w:tc>
          <w:tcPr>
            <w:tcW w:w="2430" w:type="dxa"/>
            <w:shd w:val="clear" w:color="auto" w:fill="auto"/>
          </w:tcPr>
          <w:p w14:paraId="17EEFA6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62%</w:t>
            </w:r>
          </w:p>
        </w:tc>
        <w:tc>
          <w:tcPr>
            <w:tcW w:w="1710" w:type="dxa"/>
            <w:shd w:val="clear" w:color="auto" w:fill="auto"/>
          </w:tcPr>
          <w:p w14:paraId="46086E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63%</w:t>
            </w:r>
          </w:p>
        </w:tc>
      </w:tr>
      <w:tr w:rsidR="00357B96" w:rsidRPr="00357B96" w14:paraId="0383FADC" w14:textId="77777777" w:rsidTr="00AF10A4">
        <w:tc>
          <w:tcPr>
            <w:tcW w:w="3438" w:type="dxa"/>
            <w:shd w:val="clear" w:color="auto" w:fill="auto"/>
          </w:tcPr>
          <w:p w14:paraId="5612D5D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F-Statistics </w:t>
            </w:r>
          </w:p>
        </w:tc>
        <w:tc>
          <w:tcPr>
            <w:tcW w:w="2430" w:type="dxa"/>
            <w:shd w:val="clear" w:color="auto" w:fill="auto"/>
          </w:tcPr>
          <w:p w14:paraId="2BA1E05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41.02***</w:t>
            </w:r>
          </w:p>
        </w:tc>
        <w:tc>
          <w:tcPr>
            <w:tcW w:w="1710" w:type="dxa"/>
            <w:shd w:val="clear" w:color="auto" w:fill="auto"/>
          </w:tcPr>
          <w:p w14:paraId="7C271CA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39.2***</w:t>
            </w:r>
          </w:p>
        </w:tc>
      </w:tr>
    </w:tbl>
    <w:p w14:paraId="793B6D8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77E51F2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2BE89F4A" w14:textId="77777777" w:rsidR="00357B96" w:rsidRPr="00357B96" w:rsidRDefault="00357B96" w:rsidP="00F307BB">
      <w:pPr>
        <w:numPr>
          <w:ilvl w:val="0"/>
          <w:numId w:val="35"/>
        </w:num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Conclusion and Future Research</w:t>
      </w:r>
    </w:p>
    <w:p w14:paraId="1633B36D" w14:textId="77777777" w:rsidR="00AC64FC" w:rsidRDefault="00AC64FC" w:rsidP="00F307BB">
      <w:pPr>
        <w:spacing w:after="0" w:line="240" w:lineRule="auto"/>
        <w:jc w:val="both"/>
        <w:rPr>
          <w:rFonts w:ascii="Times New Roman" w:eastAsia="Calibri" w:hAnsi="Times New Roman" w:cs="Times New Roman"/>
          <w:sz w:val="24"/>
          <w:szCs w:val="24"/>
          <w:lang w:val="en-GB"/>
        </w:rPr>
      </w:pPr>
    </w:p>
    <w:p w14:paraId="58771265" w14:textId="10DDCEBD" w:rsid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This study explores the risk narratives disclosures in the </w:t>
      </w:r>
      <w:r w:rsidR="00342DEC">
        <w:rPr>
          <w:rFonts w:ascii="Times New Roman" w:eastAsia="Calibri" w:hAnsi="Times New Roman" w:cs="Times New Roman"/>
          <w:sz w:val="24"/>
          <w:szCs w:val="24"/>
          <w:lang w:val="en-GB"/>
        </w:rPr>
        <w:t xml:space="preserve">business review section of the </w:t>
      </w:r>
      <w:r w:rsidRPr="00357B96">
        <w:rPr>
          <w:rFonts w:ascii="Times New Roman" w:eastAsia="Calibri" w:hAnsi="Times New Roman" w:cs="Times New Roman"/>
          <w:sz w:val="24"/>
          <w:szCs w:val="24"/>
          <w:lang w:val="en-GB"/>
        </w:rPr>
        <w:t>annual reports of the four financial institutions in the UK that were significantly affected by the 200</w:t>
      </w:r>
      <w:r w:rsidR="00342DEC">
        <w:rPr>
          <w:rFonts w:ascii="Times New Roman" w:eastAsia="Calibri" w:hAnsi="Times New Roman" w:cs="Times New Roman"/>
          <w:sz w:val="24"/>
          <w:szCs w:val="24"/>
          <w:lang w:val="en-GB"/>
        </w:rPr>
        <w:t>7/8</w:t>
      </w:r>
      <w:r w:rsidRPr="00357B96">
        <w:rPr>
          <w:rFonts w:ascii="Times New Roman" w:eastAsia="Calibri" w:hAnsi="Times New Roman" w:cs="Times New Roman"/>
          <w:sz w:val="24"/>
          <w:szCs w:val="24"/>
          <w:lang w:val="en-GB"/>
        </w:rPr>
        <w:t xml:space="preserve">banking crisis. The study focused this </w:t>
      </w:r>
      <w:r w:rsidR="00342DEC">
        <w:rPr>
          <w:rFonts w:ascii="Times New Roman" w:eastAsia="Calibri" w:hAnsi="Times New Roman" w:cs="Times New Roman"/>
          <w:sz w:val="24"/>
          <w:szCs w:val="24"/>
          <w:lang w:val="en-GB"/>
        </w:rPr>
        <w:t xml:space="preserve">type of disclosure in this </w:t>
      </w:r>
      <w:r w:rsidRPr="00357B96">
        <w:rPr>
          <w:rFonts w:ascii="Times New Roman" w:eastAsia="Calibri" w:hAnsi="Times New Roman" w:cs="Times New Roman"/>
          <w:sz w:val="24"/>
          <w:szCs w:val="24"/>
          <w:lang w:val="en-GB"/>
        </w:rPr>
        <w:t xml:space="preserve">part of the annual report </w:t>
      </w:r>
      <w:r w:rsidRPr="00357B96">
        <w:rPr>
          <w:rFonts w:ascii="Times New Roman" w:eastAsia="Calibri" w:hAnsi="Times New Roman" w:cs="Times New Roman"/>
          <w:sz w:val="24"/>
          <w:szCs w:val="24"/>
          <w:lang w:val="en-GB"/>
        </w:rPr>
        <w:lastRenderedPageBreak/>
        <w:t xml:space="preserve">because it is under researched and also because one of the common cause of distress in these institutions was poor risk management. This study found that there is more historical than forward looking information in the annual reports of these companies. Future firm performance was proxy with growth in earning per share, and positive lag measure of EPS. Current period performance was proxy with dividend and earnings per share. The study found significant negative relationship between current period historical narrative risk disclosure and current period performance. The study also reports a significant positive relationship between forward looking narrative risk disclosure and current period performance. In terms of future performance, only growth in earnings per share showed significant relationship with narrative risk disclosures. Historical risk narrative showed significant negative relationship with future performance and forward looking risk narrative showed significant positive relationship with future performance proxy with growth in EPS.  Both historical and forward looking narrative disclosures are not related to future performance when performance was defined in terms of dividend, profit before tax (these reported were not reported) and positive lag of EPS. </w:t>
      </w:r>
    </w:p>
    <w:p w14:paraId="6B099690" w14:textId="77777777" w:rsidR="00AC64FC" w:rsidRPr="00357B96" w:rsidRDefault="00AC64FC" w:rsidP="00F307BB">
      <w:pPr>
        <w:spacing w:after="0" w:line="240" w:lineRule="auto"/>
        <w:jc w:val="both"/>
        <w:rPr>
          <w:rFonts w:ascii="Times New Roman" w:eastAsia="Calibri" w:hAnsi="Times New Roman" w:cs="Times New Roman"/>
          <w:sz w:val="24"/>
          <w:szCs w:val="24"/>
          <w:lang w:val="en-GB"/>
        </w:rPr>
      </w:pPr>
    </w:p>
    <w:p w14:paraId="69E20566" w14:textId="10EF5171" w:rsid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The results in this study show that narrative risk disclosure has decision usefulness for different stakeholders especially investors. It shows that current risk disclosures could be a veritable indicator of potential future performance of a company. Regulators should be interested in th</w:t>
      </w:r>
      <w:r w:rsidR="00953AEF">
        <w:rPr>
          <w:rFonts w:ascii="Times New Roman" w:eastAsia="Calibri" w:hAnsi="Times New Roman" w:cs="Times New Roman"/>
          <w:sz w:val="24"/>
          <w:szCs w:val="24"/>
          <w:lang w:val="en-GB"/>
        </w:rPr>
        <w:t>ese</w:t>
      </w:r>
      <w:r w:rsidRPr="00357B96">
        <w:rPr>
          <w:rFonts w:ascii="Times New Roman" w:eastAsia="Calibri" w:hAnsi="Times New Roman" w:cs="Times New Roman"/>
          <w:sz w:val="24"/>
          <w:szCs w:val="24"/>
          <w:lang w:val="en-GB"/>
        </w:rPr>
        <w:t xml:space="preserve"> result</w:t>
      </w:r>
      <w:r w:rsidR="00953AEF">
        <w:rPr>
          <w:rFonts w:ascii="Times New Roman" w:eastAsia="Calibri" w:hAnsi="Times New Roman" w:cs="Times New Roman"/>
          <w:sz w:val="24"/>
          <w:szCs w:val="24"/>
          <w:lang w:val="en-GB"/>
        </w:rPr>
        <w:t>s</w:t>
      </w:r>
      <w:r w:rsidRPr="00357B96">
        <w:rPr>
          <w:rFonts w:ascii="Times New Roman" w:eastAsia="Calibri" w:hAnsi="Times New Roman" w:cs="Times New Roman"/>
          <w:sz w:val="24"/>
          <w:szCs w:val="24"/>
          <w:lang w:val="en-GB"/>
        </w:rPr>
        <w:t xml:space="preserve"> because </w:t>
      </w:r>
      <w:r w:rsidR="00953AEF">
        <w:rPr>
          <w:rFonts w:ascii="Times New Roman" w:eastAsia="Calibri" w:hAnsi="Times New Roman" w:cs="Times New Roman"/>
          <w:sz w:val="24"/>
          <w:szCs w:val="24"/>
          <w:lang w:val="en-GB"/>
        </w:rPr>
        <w:t>they</w:t>
      </w:r>
      <w:r w:rsidRPr="00357B96">
        <w:rPr>
          <w:rFonts w:ascii="Times New Roman" w:eastAsia="Calibri" w:hAnsi="Times New Roman" w:cs="Times New Roman"/>
          <w:sz w:val="24"/>
          <w:szCs w:val="24"/>
          <w:lang w:val="en-GB"/>
        </w:rPr>
        <w:t xml:space="preserve"> show the value relevance of the narrative risk disclosures and thus consistent with the request for more forward looking disclosures by firms. The findings from this study also show that it is possible to pick warning signal in the narrative in annual reports and therefore the integrated reporting currently being proposed should include an integration of narrative disclosures.</w:t>
      </w:r>
    </w:p>
    <w:p w14:paraId="1EF61A42" w14:textId="77777777" w:rsidR="00AC64FC" w:rsidRPr="00357B96" w:rsidRDefault="00AC64FC" w:rsidP="00F307BB">
      <w:pPr>
        <w:spacing w:after="0" w:line="240" w:lineRule="auto"/>
        <w:ind w:firstLine="720"/>
        <w:jc w:val="both"/>
        <w:rPr>
          <w:rFonts w:ascii="Times New Roman" w:eastAsia="Calibri" w:hAnsi="Times New Roman" w:cs="Times New Roman"/>
          <w:sz w:val="24"/>
          <w:szCs w:val="24"/>
          <w:lang w:val="en-GB"/>
        </w:rPr>
      </w:pPr>
    </w:p>
    <w:p w14:paraId="625A27A6" w14:textId="48140663" w:rsidR="00357B96" w:rsidRPr="00357B96" w:rsidRDefault="00357B96" w:rsidP="00F307BB">
      <w:pPr>
        <w:spacing w:after="0" w:line="240" w:lineRule="auto"/>
        <w:ind w:firstLine="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Being exploratory research, the result from this study should be interpreted with caution because of the following limitations. First, the study adds to the number of studies attempting to provide an alternative approach to understanding business failures using narratives in the annual reports. This approach is evolving and therefore has inherent limitation. For example, the use of content analysis still needs further development to streamline its applications and reduce the subjectivity currently involved. The study adopts a case study approach that examines a specific event within a context; the UK banking sectors following the banking crisis. It is likely that the result would be different if a different approach was used. This may involve banks from other jurisdiction. Studies undertaking this type of investigation will need to control for country effects which this current study did not consider. It may then be possible to use bigger sample size and this may allow more general result</w:t>
      </w:r>
      <w:r w:rsidR="00953AEF">
        <w:rPr>
          <w:rFonts w:ascii="Times New Roman" w:eastAsia="Calibri" w:hAnsi="Times New Roman" w:cs="Times New Roman"/>
          <w:sz w:val="24"/>
          <w:szCs w:val="24"/>
          <w:lang w:val="en-GB"/>
        </w:rPr>
        <w:t>s</w:t>
      </w:r>
      <w:r w:rsidRPr="00357B96">
        <w:rPr>
          <w:rFonts w:ascii="Times New Roman" w:eastAsia="Calibri" w:hAnsi="Times New Roman" w:cs="Times New Roman"/>
          <w:sz w:val="24"/>
          <w:szCs w:val="24"/>
          <w:lang w:val="en-GB"/>
        </w:rPr>
        <w:t xml:space="preserve"> to be generated which could lead to generalisability of findings which is not possible with this study and is not the purpose with this current investigation. The use of words, phrases, themes and sentences frequency as indicators of subject importance could be criticised as being a soft approach to measurement. Furthermore, application of a panel data approach to a small sample size may have affected our result. However, this has been corrected by reducing the number of explanatory variables to avoid adverse effects on the degree of freedom.   This study was not about the quality of risk disclosure</w:t>
      </w:r>
      <w:r w:rsidR="00AC64FC">
        <w:rPr>
          <w:rFonts w:ascii="Times New Roman" w:eastAsia="Calibri" w:hAnsi="Times New Roman" w:cs="Times New Roman"/>
          <w:sz w:val="24"/>
          <w:szCs w:val="24"/>
          <w:lang w:val="en-GB"/>
        </w:rPr>
        <w:t>s,</w:t>
      </w:r>
      <w:r w:rsidRPr="00357B96">
        <w:rPr>
          <w:rFonts w:ascii="Times New Roman" w:eastAsia="Calibri" w:hAnsi="Times New Roman" w:cs="Times New Roman"/>
          <w:sz w:val="24"/>
          <w:szCs w:val="24"/>
          <w:lang w:val="en-GB"/>
        </w:rPr>
        <w:t xml:space="preserve"> but </w:t>
      </w:r>
      <w:r w:rsidR="00AC64FC">
        <w:rPr>
          <w:rFonts w:ascii="Times New Roman" w:eastAsia="Calibri" w:hAnsi="Times New Roman" w:cs="Times New Roman"/>
          <w:sz w:val="24"/>
          <w:szCs w:val="24"/>
          <w:lang w:val="en-GB"/>
        </w:rPr>
        <w:t xml:space="preserve">about </w:t>
      </w:r>
      <w:r w:rsidRPr="00357B96">
        <w:rPr>
          <w:rFonts w:ascii="Times New Roman" w:eastAsia="Calibri" w:hAnsi="Times New Roman" w:cs="Times New Roman"/>
          <w:sz w:val="24"/>
          <w:szCs w:val="24"/>
          <w:lang w:val="en-GB"/>
        </w:rPr>
        <w:t xml:space="preserve">their characteristics. This is an important area that is under researched. Future studies could focus on the disclosure practices of listed companies comparing profitable with non-profitable companies. </w:t>
      </w:r>
    </w:p>
    <w:p w14:paraId="37AFE4B2" w14:textId="77777777" w:rsidR="00AC64FC" w:rsidRDefault="00AC64FC" w:rsidP="00F307BB">
      <w:pPr>
        <w:spacing w:after="0" w:line="240" w:lineRule="auto"/>
        <w:jc w:val="both"/>
        <w:rPr>
          <w:rFonts w:ascii="Times New Roman" w:eastAsia="Calibri" w:hAnsi="Times New Roman" w:cs="Times New Roman"/>
          <w:b/>
          <w:sz w:val="24"/>
          <w:szCs w:val="24"/>
          <w:lang w:val="en-GB"/>
        </w:rPr>
      </w:pPr>
    </w:p>
    <w:p w14:paraId="71E54EE3"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References</w:t>
      </w:r>
    </w:p>
    <w:p w14:paraId="05104C96" w14:textId="77777777" w:rsidR="00AC64FC" w:rsidRDefault="00AC64FC" w:rsidP="00F307BB">
      <w:pPr>
        <w:spacing w:after="0" w:line="240" w:lineRule="auto"/>
        <w:ind w:left="777" w:hanging="720"/>
        <w:jc w:val="both"/>
        <w:rPr>
          <w:rFonts w:ascii="Times New Roman" w:eastAsia="Calibri" w:hAnsi="Times New Roman" w:cs="Times New Roman"/>
          <w:sz w:val="24"/>
          <w:szCs w:val="24"/>
          <w:lang w:val="en-GB"/>
        </w:rPr>
      </w:pPr>
    </w:p>
    <w:p w14:paraId="5D56BC2E"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Abrahamson, E. and Amir, E. (1996). The information content of the president's letter to shareholders, </w:t>
      </w:r>
      <w:r w:rsidRPr="00357B96">
        <w:rPr>
          <w:rFonts w:ascii="Times New Roman" w:eastAsia="Calibri" w:hAnsi="Times New Roman" w:cs="Times New Roman"/>
          <w:i/>
          <w:iCs/>
          <w:sz w:val="24"/>
          <w:szCs w:val="24"/>
          <w:lang w:val="en-GB"/>
        </w:rPr>
        <w:t>Journal of Business Finance and Accounting</w:t>
      </w:r>
      <w:r w:rsidRPr="00357B96">
        <w:rPr>
          <w:rFonts w:ascii="Times New Roman" w:eastAsia="Calibri" w:hAnsi="Times New Roman" w:cs="Times New Roman"/>
          <w:sz w:val="24"/>
          <w:szCs w:val="24"/>
          <w:lang w:val="en-GB"/>
        </w:rPr>
        <w:t>, 23(8), 1157-82.</w:t>
      </w:r>
    </w:p>
    <w:p w14:paraId="637E188F"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7811CB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Acharya, V., </w:t>
      </w:r>
      <w:proofErr w:type="spellStart"/>
      <w:r w:rsidRPr="00357B96">
        <w:rPr>
          <w:rFonts w:ascii="Times New Roman" w:eastAsia="Calibri" w:hAnsi="Times New Roman" w:cs="Times New Roman"/>
          <w:sz w:val="24"/>
          <w:szCs w:val="24"/>
          <w:lang w:val="en-GB"/>
        </w:rPr>
        <w:t>Philippon</w:t>
      </w:r>
      <w:proofErr w:type="spellEnd"/>
      <w:r w:rsidRPr="00357B96">
        <w:rPr>
          <w:rFonts w:ascii="Times New Roman" w:eastAsia="Calibri" w:hAnsi="Times New Roman" w:cs="Times New Roman"/>
          <w:sz w:val="24"/>
          <w:szCs w:val="24"/>
          <w:lang w:val="en-GB"/>
        </w:rPr>
        <w:t xml:space="preserve">, T., Richardson, M., and </w:t>
      </w:r>
      <w:proofErr w:type="spellStart"/>
      <w:r w:rsidRPr="00357B96">
        <w:rPr>
          <w:rFonts w:ascii="Times New Roman" w:eastAsia="Calibri" w:hAnsi="Times New Roman" w:cs="Times New Roman"/>
          <w:sz w:val="24"/>
          <w:szCs w:val="24"/>
          <w:lang w:val="en-GB"/>
        </w:rPr>
        <w:t>Roubini</w:t>
      </w:r>
      <w:proofErr w:type="spellEnd"/>
      <w:r w:rsidRPr="00357B96">
        <w:rPr>
          <w:rFonts w:ascii="Times New Roman" w:eastAsia="Calibri" w:hAnsi="Times New Roman" w:cs="Times New Roman"/>
          <w:sz w:val="24"/>
          <w:szCs w:val="24"/>
          <w:lang w:val="en-GB"/>
        </w:rPr>
        <w:t>, N. (2009). The financial crisis of 2007</w:t>
      </w:r>
      <w:r w:rsidRPr="00357B96">
        <w:rPr>
          <w:rFonts w:ascii="Cambria Math" w:eastAsia="Calibri" w:hAnsi="Cambria Math" w:cs="Cambria Math"/>
          <w:sz w:val="24"/>
          <w:szCs w:val="24"/>
          <w:lang w:val="en-GB"/>
        </w:rPr>
        <w:t>‐</w:t>
      </w:r>
      <w:r w:rsidRPr="00357B96">
        <w:rPr>
          <w:rFonts w:ascii="Times New Roman" w:eastAsia="Calibri" w:hAnsi="Times New Roman" w:cs="Times New Roman"/>
          <w:sz w:val="24"/>
          <w:szCs w:val="24"/>
          <w:lang w:val="en-GB"/>
        </w:rPr>
        <w:t>2009: Causes and remedies. </w:t>
      </w:r>
      <w:r w:rsidRPr="00357B96">
        <w:rPr>
          <w:rFonts w:ascii="Times New Roman" w:eastAsia="Calibri" w:hAnsi="Times New Roman" w:cs="Times New Roman"/>
          <w:i/>
          <w:iCs/>
          <w:sz w:val="24"/>
          <w:szCs w:val="24"/>
          <w:lang w:val="en-GB"/>
        </w:rPr>
        <w:t>Financial Markets, Institutions and Instruments</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18</w:t>
      </w:r>
      <w:r w:rsidRPr="00357B96">
        <w:rPr>
          <w:rFonts w:ascii="Times New Roman" w:eastAsia="Calibri" w:hAnsi="Times New Roman" w:cs="Times New Roman"/>
          <w:sz w:val="24"/>
          <w:szCs w:val="24"/>
          <w:lang w:val="en-GB"/>
        </w:rPr>
        <w:t>(2), 89-137.</w:t>
      </w:r>
    </w:p>
    <w:p w14:paraId="2F37482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6D72E4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Acharya, V. V., and Richardson, M. (2009). Causes of the financial crisis. </w:t>
      </w:r>
      <w:r w:rsidRPr="00357B96">
        <w:rPr>
          <w:rFonts w:ascii="Times New Roman" w:eastAsia="Calibri" w:hAnsi="Times New Roman" w:cs="Times New Roman"/>
          <w:i/>
          <w:iCs/>
          <w:sz w:val="24"/>
          <w:szCs w:val="24"/>
          <w:lang w:val="en-GB"/>
        </w:rPr>
        <w:t>Critical Review</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21</w:t>
      </w:r>
      <w:r w:rsidRPr="00357B96">
        <w:rPr>
          <w:rFonts w:ascii="Times New Roman" w:eastAsia="Calibri" w:hAnsi="Times New Roman" w:cs="Times New Roman"/>
          <w:sz w:val="24"/>
          <w:szCs w:val="24"/>
          <w:lang w:val="en-GB"/>
        </w:rPr>
        <w:t>(2-3), 195-210.</w:t>
      </w:r>
    </w:p>
    <w:p w14:paraId="3816F8D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64542531" w14:textId="77777777" w:rsidR="00357B96" w:rsidRPr="00357B96" w:rsidRDefault="00357B96" w:rsidP="00F307BB">
      <w:pPr>
        <w:spacing w:after="0" w:line="240" w:lineRule="auto"/>
        <w:ind w:left="777" w:hanging="720"/>
        <w:jc w:val="both"/>
        <w:rPr>
          <w:rFonts w:ascii="Times New Roman" w:eastAsia="Calibri" w:hAnsi="Times New Roman" w:cs="Times New Roman"/>
          <w:b/>
          <w:sz w:val="24"/>
          <w:szCs w:val="24"/>
          <w:lang w:val="en-GB"/>
        </w:rPr>
      </w:pPr>
      <w:proofErr w:type="spellStart"/>
      <w:r w:rsidRPr="00357B96">
        <w:rPr>
          <w:rFonts w:ascii="Times New Roman" w:eastAsia="Calibri" w:hAnsi="Times New Roman" w:cs="Times New Roman"/>
          <w:sz w:val="24"/>
          <w:szCs w:val="24"/>
          <w:lang w:val="en-GB"/>
        </w:rPr>
        <w:t>Aerts</w:t>
      </w:r>
      <w:proofErr w:type="spellEnd"/>
      <w:r w:rsidRPr="00357B96">
        <w:rPr>
          <w:rFonts w:ascii="Times New Roman" w:eastAsia="Calibri" w:hAnsi="Times New Roman" w:cs="Times New Roman"/>
          <w:sz w:val="24"/>
          <w:szCs w:val="24"/>
          <w:lang w:val="en-GB"/>
        </w:rPr>
        <w:t>, W. (2005). Picking up the pieces: impression management in the retrospective attributional framing of accounting outcomes. </w:t>
      </w:r>
      <w:r w:rsidRPr="00357B96">
        <w:rPr>
          <w:rFonts w:ascii="Times New Roman" w:eastAsia="Calibri" w:hAnsi="Times New Roman" w:cs="Times New Roman"/>
          <w:i/>
          <w:iCs/>
          <w:sz w:val="24"/>
          <w:szCs w:val="24"/>
          <w:lang w:val="en-GB"/>
        </w:rPr>
        <w:t>Accounting, organizations and society</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30</w:t>
      </w:r>
      <w:r w:rsidRPr="00357B96">
        <w:rPr>
          <w:rFonts w:ascii="Times New Roman" w:eastAsia="Calibri" w:hAnsi="Times New Roman" w:cs="Times New Roman"/>
          <w:sz w:val="24"/>
          <w:szCs w:val="24"/>
          <w:lang w:val="en-GB"/>
        </w:rPr>
        <w:t>(6), 493-517.</w:t>
      </w:r>
    </w:p>
    <w:p w14:paraId="0B23BCA5" w14:textId="4345CF7E"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Baltagi</w:t>
      </w:r>
      <w:proofErr w:type="spellEnd"/>
      <w:r w:rsidRPr="00357B96">
        <w:rPr>
          <w:rFonts w:ascii="Times New Roman" w:eastAsia="Calibri" w:hAnsi="Times New Roman" w:cs="Times New Roman"/>
          <w:sz w:val="24"/>
          <w:szCs w:val="24"/>
          <w:lang w:val="en-GB"/>
        </w:rPr>
        <w:t>, B. H., and Liu, L. (2008). Testing for random effects and spatial lag dependence in panel data models. </w:t>
      </w:r>
      <w:r w:rsidRPr="00357B96">
        <w:rPr>
          <w:rFonts w:ascii="Times New Roman" w:eastAsia="Calibri" w:hAnsi="Times New Roman" w:cs="Times New Roman"/>
          <w:i/>
          <w:iCs/>
          <w:sz w:val="24"/>
          <w:szCs w:val="24"/>
          <w:lang w:val="en-GB"/>
        </w:rPr>
        <w:t xml:space="preserve">Statistics </w:t>
      </w:r>
      <w:r w:rsidR="008C4BA8">
        <w:rPr>
          <w:rFonts w:ascii="Times New Roman" w:eastAsia="Calibri" w:hAnsi="Times New Roman" w:cs="Times New Roman"/>
          <w:i/>
          <w:iCs/>
          <w:sz w:val="24"/>
          <w:szCs w:val="24"/>
          <w:lang w:val="en-GB"/>
        </w:rPr>
        <w:t>and</w:t>
      </w:r>
      <w:r w:rsidRPr="00357B96">
        <w:rPr>
          <w:rFonts w:ascii="Times New Roman" w:eastAsia="Calibri" w:hAnsi="Times New Roman" w:cs="Times New Roman"/>
          <w:i/>
          <w:iCs/>
          <w:sz w:val="24"/>
          <w:szCs w:val="24"/>
          <w:lang w:val="en-GB"/>
        </w:rPr>
        <w:t xml:space="preserve"> Probability Letters</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78</w:t>
      </w:r>
      <w:r w:rsidRPr="00357B96">
        <w:rPr>
          <w:rFonts w:ascii="Times New Roman" w:eastAsia="Calibri" w:hAnsi="Times New Roman" w:cs="Times New Roman"/>
          <w:sz w:val="24"/>
          <w:szCs w:val="24"/>
          <w:lang w:val="en-GB"/>
        </w:rPr>
        <w:t>(18), 3304-3306.</w:t>
      </w:r>
    </w:p>
    <w:p w14:paraId="7508B25F"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Barrell</w:t>
      </w:r>
      <w:proofErr w:type="spellEnd"/>
      <w:r w:rsidRPr="00357B96">
        <w:rPr>
          <w:rFonts w:ascii="Times New Roman" w:eastAsia="Calibri" w:hAnsi="Times New Roman" w:cs="Times New Roman"/>
          <w:sz w:val="24"/>
          <w:szCs w:val="24"/>
          <w:lang w:val="en-GB"/>
        </w:rPr>
        <w:t>, R. and Holland, D. (2007). Banking Crises and Economic Growth, National Institute Economic Review No.202, 34- 41.</w:t>
      </w:r>
    </w:p>
    <w:p w14:paraId="69AFDBB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Beattie, V., </w:t>
      </w:r>
      <w:proofErr w:type="spellStart"/>
      <w:r w:rsidRPr="00357B96">
        <w:rPr>
          <w:rFonts w:ascii="Times New Roman" w:eastAsia="Calibri" w:hAnsi="Times New Roman" w:cs="Times New Roman"/>
          <w:sz w:val="24"/>
          <w:szCs w:val="24"/>
          <w:lang w:val="en-GB"/>
        </w:rPr>
        <w:t>McInnes</w:t>
      </w:r>
      <w:proofErr w:type="spellEnd"/>
      <w:r w:rsidRPr="00357B96">
        <w:rPr>
          <w:rFonts w:ascii="Times New Roman" w:eastAsia="Calibri" w:hAnsi="Times New Roman" w:cs="Times New Roman"/>
          <w:sz w:val="24"/>
          <w:szCs w:val="24"/>
          <w:lang w:val="en-GB"/>
        </w:rPr>
        <w:t xml:space="preserve">, B. and </w:t>
      </w:r>
      <w:proofErr w:type="spellStart"/>
      <w:r w:rsidRPr="00357B96">
        <w:rPr>
          <w:rFonts w:ascii="Times New Roman" w:eastAsia="Calibri" w:hAnsi="Times New Roman" w:cs="Times New Roman"/>
          <w:sz w:val="24"/>
          <w:szCs w:val="24"/>
          <w:lang w:val="en-GB"/>
        </w:rPr>
        <w:t>Fearnley</w:t>
      </w:r>
      <w:proofErr w:type="spellEnd"/>
      <w:r w:rsidRPr="00357B96">
        <w:rPr>
          <w:rFonts w:ascii="Times New Roman" w:eastAsia="Calibri" w:hAnsi="Times New Roman" w:cs="Times New Roman"/>
          <w:sz w:val="24"/>
          <w:szCs w:val="24"/>
          <w:lang w:val="en-GB"/>
        </w:rPr>
        <w:t xml:space="preserve">, S. (2004). A methodology for analysing and evaluating narratives in annual reports: a comprehensive descriptive profile and metrics for disclosure quality attributes. Accounting Forum, 28, 205-236. </w:t>
      </w:r>
    </w:p>
    <w:p w14:paraId="1A8C3F2A"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Beattie, V., and Jones, M. J. (2000). Impression management: the case of inter-country financial graphs. </w:t>
      </w:r>
      <w:r w:rsidRPr="00357B96">
        <w:rPr>
          <w:rFonts w:ascii="Times New Roman" w:eastAsia="Calibri" w:hAnsi="Times New Roman" w:cs="Times New Roman"/>
          <w:i/>
          <w:iCs/>
          <w:sz w:val="24"/>
          <w:szCs w:val="24"/>
          <w:lang w:val="en-GB"/>
        </w:rPr>
        <w:t>Journal of International Accounting, Auditing and Taxation</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9</w:t>
      </w:r>
      <w:r w:rsidRPr="00357B96">
        <w:rPr>
          <w:rFonts w:ascii="Times New Roman" w:eastAsia="Calibri" w:hAnsi="Times New Roman" w:cs="Times New Roman"/>
          <w:sz w:val="24"/>
          <w:szCs w:val="24"/>
          <w:lang w:val="en-GB"/>
        </w:rPr>
        <w:t>(2), 159-183</w:t>
      </w:r>
    </w:p>
    <w:p w14:paraId="115FFFA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2ADEA75F"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Beretta, S., and </w:t>
      </w:r>
      <w:proofErr w:type="spellStart"/>
      <w:r w:rsidRPr="00357B96">
        <w:rPr>
          <w:rFonts w:ascii="Times New Roman" w:eastAsia="Calibri" w:hAnsi="Times New Roman" w:cs="Times New Roman"/>
          <w:sz w:val="24"/>
          <w:szCs w:val="24"/>
          <w:lang w:val="en-GB"/>
        </w:rPr>
        <w:t>Bozzolan</w:t>
      </w:r>
      <w:proofErr w:type="spellEnd"/>
      <w:r w:rsidRPr="00357B96">
        <w:rPr>
          <w:rFonts w:ascii="Times New Roman" w:eastAsia="Calibri" w:hAnsi="Times New Roman" w:cs="Times New Roman"/>
          <w:sz w:val="24"/>
          <w:szCs w:val="24"/>
          <w:lang w:val="en-GB"/>
        </w:rPr>
        <w:t>, S. (2008). Quality versus quantity: the case of forward-looking disclosure. </w:t>
      </w:r>
      <w:r w:rsidRPr="00357B96">
        <w:rPr>
          <w:rFonts w:ascii="Times New Roman" w:eastAsia="Calibri" w:hAnsi="Times New Roman" w:cs="Times New Roman"/>
          <w:i/>
          <w:iCs/>
          <w:sz w:val="24"/>
          <w:szCs w:val="24"/>
          <w:lang w:val="en-GB"/>
        </w:rPr>
        <w:t>Journal of Accounting, Auditing and Finance</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23</w:t>
      </w:r>
      <w:r w:rsidRPr="00357B96">
        <w:rPr>
          <w:rFonts w:ascii="Times New Roman" w:eastAsia="Calibri" w:hAnsi="Times New Roman" w:cs="Times New Roman"/>
          <w:sz w:val="24"/>
          <w:szCs w:val="24"/>
          <w:lang w:val="en-GB"/>
        </w:rPr>
        <w:t>(3), 333-376.</w:t>
      </w:r>
    </w:p>
    <w:p w14:paraId="3AC79FD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174C852E"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Beynon, M.J., </w:t>
      </w:r>
      <w:proofErr w:type="spellStart"/>
      <w:r w:rsidRPr="00357B96">
        <w:rPr>
          <w:rFonts w:ascii="Times New Roman" w:eastAsia="Calibri" w:hAnsi="Times New Roman" w:cs="Times New Roman"/>
          <w:sz w:val="24"/>
          <w:szCs w:val="24"/>
          <w:lang w:val="en-GB"/>
        </w:rPr>
        <w:t>Clatworthy</w:t>
      </w:r>
      <w:proofErr w:type="spellEnd"/>
      <w:r w:rsidRPr="00357B96">
        <w:rPr>
          <w:rFonts w:ascii="Times New Roman" w:eastAsia="Calibri" w:hAnsi="Times New Roman" w:cs="Times New Roman"/>
          <w:sz w:val="24"/>
          <w:szCs w:val="24"/>
          <w:lang w:val="en-GB"/>
        </w:rPr>
        <w:t xml:space="preserve">, M.A. and Jones, M. J. (2004). Prediction of Profitability Using Accounting Narratives: A Variable – Precision Rough Set Approach, </w:t>
      </w:r>
      <w:proofErr w:type="spellStart"/>
      <w:r w:rsidRPr="00357B96">
        <w:rPr>
          <w:rFonts w:ascii="Times New Roman" w:eastAsia="Calibri" w:hAnsi="Times New Roman" w:cs="Times New Roman"/>
          <w:sz w:val="24"/>
          <w:szCs w:val="24"/>
          <w:lang w:val="en-GB"/>
        </w:rPr>
        <w:t>Intellingent</w:t>
      </w:r>
      <w:proofErr w:type="spellEnd"/>
      <w:r w:rsidRPr="00357B96">
        <w:rPr>
          <w:rFonts w:ascii="Times New Roman" w:eastAsia="Calibri" w:hAnsi="Times New Roman" w:cs="Times New Roman"/>
          <w:sz w:val="24"/>
          <w:szCs w:val="24"/>
          <w:lang w:val="en-GB"/>
        </w:rPr>
        <w:t xml:space="preserve"> Systems in Accounting, Finance and Management, 12(4), 227-242.</w:t>
      </w:r>
    </w:p>
    <w:p w14:paraId="6D9DE96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5E1047B8"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Bryan, S. H. (1997). Incremental information content of required disclosures contained in management discussion and analysis. </w:t>
      </w:r>
      <w:r w:rsidRPr="00357B96">
        <w:rPr>
          <w:rFonts w:ascii="Times New Roman" w:eastAsia="Calibri" w:hAnsi="Times New Roman" w:cs="Times New Roman"/>
          <w:i/>
          <w:iCs/>
          <w:sz w:val="24"/>
          <w:szCs w:val="24"/>
          <w:lang w:val="en-GB"/>
        </w:rPr>
        <w:t>Accounting Review</w:t>
      </w:r>
      <w:r w:rsidRPr="00357B96">
        <w:rPr>
          <w:rFonts w:ascii="Times New Roman" w:eastAsia="Calibri" w:hAnsi="Times New Roman" w:cs="Times New Roman"/>
          <w:sz w:val="24"/>
          <w:szCs w:val="24"/>
          <w:lang w:val="en-GB"/>
        </w:rPr>
        <w:t>, 72(2), 285-301.</w:t>
      </w:r>
    </w:p>
    <w:p w14:paraId="319C514F"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Buiter</w:t>
      </w:r>
      <w:proofErr w:type="spellEnd"/>
      <w:r w:rsidRPr="00357B96">
        <w:rPr>
          <w:rFonts w:ascii="Times New Roman" w:eastAsia="Calibri" w:hAnsi="Times New Roman" w:cs="Times New Roman"/>
          <w:sz w:val="24"/>
          <w:szCs w:val="24"/>
          <w:lang w:val="en-GB"/>
        </w:rPr>
        <w:t xml:space="preserve">, W.H. (2007), Lessons from the 2007 Financial Crises. A paper submitted to the UK Treasury Select Committee. </w:t>
      </w:r>
    </w:p>
    <w:p w14:paraId="54E81A0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673AEEE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Campbell, T. C., </w:t>
      </w:r>
      <w:proofErr w:type="spellStart"/>
      <w:r w:rsidRPr="00357B96">
        <w:rPr>
          <w:rFonts w:ascii="Times New Roman" w:eastAsia="Calibri" w:hAnsi="Times New Roman" w:cs="Times New Roman"/>
          <w:sz w:val="24"/>
          <w:szCs w:val="24"/>
          <w:lang w:val="en-GB"/>
        </w:rPr>
        <w:t>Gallmeyer</w:t>
      </w:r>
      <w:proofErr w:type="spellEnd"/>
      <w:r w:rsidRPr="00357B96">
        <w:rPr>
          <w:rFonts w:ascii="Times New Roman" w:eastAsia="Calibri" w:hAnsi="Times New Roman" w:cs="Times New Roman"/>
          <w:sz w:val="24"/>
          <w:szCs w:val="24"/>
          <w:lang w:val="en-GB"/>
        </w:rPr>
        <w:t>, M., Johnson, S. A., Rutherford, J., and Stanley, B. W. (2011). CEO optimism and forced turnover. </w:t>
      </w:r>
      <w:r w:rsidRPr="00357B96">
        <w:rPr>
          <w:rFonts w:ascii="Times New Roman" w:eastAsia="Calibri" w:hAnsi="Times New Roman" w:cs="Times New Roman"/>
          <w:i/>
          <w:iCs/>
          <w:sz w:val="24"/>
          <w:szCs w:val="24"/>
          <w:lang w:val="en-GB"/>
        </w:rPr>
        <w:t>Journal of Financial Economics</w:t>
      </w:r>
      <w:r w:rsidRPr="00357B96">
        <w:rPr>
          <w:rFonts w:ascii="Times New Roman" w:eastAsia="Calibri" w:hAnsi="Times New Roman" w:cs="Times New Roman"/>
          <w:sz w:val="24"/>
          <w:szCs w:val="24"/>
          <w:lang w:val="en-GB"/>
        </w:rPr>
        <w:t>,</w:t>
      </w:r>
      <w:r w:rsidRPr="00357B96">
        <w:rPr>
          <w:rFonts w:ascii="Times New Roman" w:eastAsia="Calibri" w:hAnsi="Times New Roman" w:cs="Times New Roman"/>
          <w:i/>
          <w:iCs/>
          <w:sz w:val="24"/>
          <w:szCs w:val="24"/>
          <w:lang w:val="en-GB"/>
        </w:rPr>
        <w:t>101</w:t>
      </w:r>
      <w:r w:rsidRPr="00357B96">
        <w:rPr>
          <w:rFonts w:ascii="Times New Roman" w:eastAsia="Calibri" w:hAnsi="Times New Roman" w:cs="Times New Roman"/>
          <w:sz w:val="24"/>
          <w:szCs w:val="24"/>
          <w:lang w:val="en-GB"/>
        </w:rPr>
        <w:t>(3), 695-712.</w:t>
      </w:r>
    </w:p>
    <w:p w14:paraId="5AEB2F5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B84E5C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Chick, V. (2008). Could the crisis at Northern Rock have been predicted?: An evolutionary approach,. </w:t>
      </w:r>
      <w:r w:rsidRPr="00357B96">
        <w:rPr>
          <w:rFonts w:ascii="Times New Roman" w:eastAsia="Calibri" w:hAnsi="Times New Roman" w:cs="Times New Roman"/>
          <w:i/>
          <w:iCs/>
          <w:sz w:val="24"/>
          <w:szCs w:val="24"/>
          <w:lang w:val="en-GB"/>
        </w:rPr>
        <w:t>Contributions to Political Economy</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27</w:t>
      </w:r>
      <w:r w:rsidRPr="00357B96">
        <w:rPr>
          <w:rFonts w:ascii="Times New Roman" w:eastAsia="Calibri" w:hAnsi="Times New Roman" w:cs="Times New Roman"/>
          <w:sz w:val="24"/>
          <w:szCs w:val="24"/>
          <w:lang w:val="en-GB"/>
        </w:rPr>
        <w:t>(1), 115-124.</w:t>
      </w:r>
    </w:p>
    <w:p w14:paraId="046F6806"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40F65D2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Cho, C. H., Roberts, R. W., and Patten, D. M. (2010). The language of US corporate environmental disclosure. </w:t>
      </w:r>
      <w:r w:rsidRPr="00357B96">
        <w:rPr>
          <w:rFonts w:ascii="Times New Roman" w:eastAsia="Calibri" w:hAnsi="Times New Roman" w:cs="Times New Roman"/>
          <w:i/>
          <w:iCs/>
          <w:sz w:val="24"/>
          <w:szCs w:val="24"/>
          <w:lang w:val="en-GB"/>
        </w:rPr>
        <w:t>Accounting, Organizations and Society</w:t>
      </w:r>
      <w:r w:rsidRPr="00357B96">
        <w:rPr>
          <w:rFonts w:ascii="Times New Roman" w:eastAsia="Calibri" w:hAnsi="Times New Roman" w:cs="Times New Roman"/>
          <w:sz w:val="24"/>
          <w:szCs w:val="24"/>
          <w:lang w:val="en-GB"/>
        </w:rPr>
        <w:t>,</w:t>
      </w:r>
      <w:r w:rsidRPr="00357B96">
        <w:rPr>
          <w:rFonts w:ascii="Times New Roman" w:eastAsia="Calibri" w:hAnsi="Times New Roman" w:cs="Times New Roman"/>
          <w:i/>
          <w:iCs/>
          <w:sz w:val="24"/>
          <w:szCs w:val="24"/>
          <w:lang w:val="en-GB"/>
        </w:rPr>
        <w:t>35</w:t>
      </w:r>
      <w:r w:rsidRPr="00357B96">
        <w:rPr>
          <w:rFonts w:ascii="Times New Roman" w:eastAsia="Calibri" w:hAnsi="Times New Roman" w:cs="Times New Roman"/>
          <w:sz w:val="24"/>
          <w:szCs w:val="24"/>
          <w:lang w:val="en-GB"/>
        </w:rPr>
        <w:t>(4), 431-443.</w:t>
      </w:r>
    </w:p>
    <w:p w14:paraId="4660C376"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9377058"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lastRenderedPageBreak/>
        <w:t>Clatworthy</w:t>
      </w:r>
      <w:proofErr w:type="spellEnd"/>
      <w:r w:rsidRPr="00357B96">
        <w:rPr>
          <w:rFonts w:ascii="Times New Roman" w:eastAsia="Calibri" w:hAnsi="Times New Roman" w:cs="Times New Roman"/>
          <w:sz w:val="24"/>
          <w:szCs w:val="24"/>
          <w:lang w:val="en-GB"/>
        </w:rPr>
        <w:t>, M., and Jones, M. J. (2003). Financial reporting of good news and bad news: evidence from accounting narratives. </w:t>
      </w:r>
      <w:r w:rsidRPr="00357B96">
        <w:rPr>
          <w:rFonts w:ascii="Times New Roman" w:eastAsia="Calibri" w:hAnsi="Times New Roman" w:cs="Times New Roman"/>
          <w:i/>
          <w:iCs/>
          <w:sz w:val="24"/>
          <w:szCs w:val="24"/>
          <w:lang w:val="en-GB"/>
        </w:rPr>
        <w:t>Accounting and business research</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33</w:t>
      </w:r>
      <w:r w:rsidRPr="00357B96">
        <w:rPr>
          <w:rFonts w:ascii="Times New Roman" w:eastAsia="Calibri" w:hAnsi="Times New Roman" w:cs="Times New Roman"/>
          <w:sz w:val="24"/>
          <w:szCs w:val="24"/>
          <w:lang w:val="en-GB"/>
        </w:rPr>
        <w:t>(3), 171-185.</w:t>
      </w:r>
    </w:p>
    <w:p w14:paraId="2EDD97B7"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61226B8"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Clatworthy</w:t>
      </w:r>
      <w:proofErr w:type="spellEnd"/>
      <w:r w:rsidRPr="00357B96">
        <w:rPr>
          <w:rFonts w:ascii="Times New Roman" w:eastAsia="Calibri" w:hAnsi="Times New Roman" w:cs="Times New Roman"/>
          <w:sz w:val="24"/>
          <w:szCs w:val="24"/>
          <w:lang w:val="en-GB"/>
        </w:rPr>
        <w:t>, M., and Jones, M. J. (2001). The effect of thematic structure on the variability of annual report readability. </w:t>
      </w:r>
      <w:r w:rsidRPr="00357B96">
        <w:rPr>
          <w:rFonts w:ascii="Times New Roman" w:eastAsia="Calibri" w:hAnsi="Times New Roman" w:cs="Times New Roman"/>
          <w:i/>
          <w:iCs/>
          <w:sz w:val="24"/>
          <w:szCs w:val="24"/>
          <w:lang w:val="en-GB"/>
        </w:rPr>
        <w:t>Accounting, Auditing and Accountability Journal</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14</w:t>
      </w:r>
      <w:r w:rsidRPr="00357B96">
        <w:rPr>
          <w:rFonts w:ascii="Times New Roman" w:eastAsia="Calibri" w:hAnsi="Times New Roman" w:cs="Times New Roman"/>
          <w:sz w:val="24"/>
          <w:szCs w:val="24"/>
          <w:lang w:val="en-GB"/>
        </w:rPr>
        <w:t>(3), 311-326.</w:t>
      </w:r>
    </w:p>
    <w:p w14:paraId="01640F27"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6A6086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Congdon, T., </w:t>
      </w:r>
      <w:proofErr w:type="spellStart"/>
      <w:r w:rsidRPr="00357B96">
        <w:rPr>
          <w:rFonts w:ascii="Times New Roman" w:eastAsia="Calibri" w:hAnsi="Times New Roman" w:cs="Times New Roman"/>
          <w:sz w:val="24"/>
          <w:szCs w:val="24"/>
          <w:lang w:val="en-GB"/>
        </w:rPr>
        <w:t>Goodhart</w:t>
      </w:r>
      <w:proofErr w:type="spellEnd"/>
      <w:r w:rsidRPr="00357B96">
        <w:rPr>
          <w:rFonts w:ascii="Times New Roman" w:eastAsia="Calibri" w:hAnsi="Times New Roman" w:cs="Times New Roman"/>
          <w:sz w:val="24"/>
          <w:szCs w:val="24"/>
          <w:lang w:val="en-GB"/>
        </w:rPr>
        <w:t xml:space="preserve">, C. A., </w:t>
      </w:r>
      <w:proofErr w:type="spellStart"/>
      <w:r w:rsidRPr="00357B96">
        <w:rPr>
          <w:rFonts w:ascii="Times New Roman" w:eastAsia="Calibri" w:hAnsi="Times New Roman" w:cs="Times New Roman"/>
          <w:sz w:val="24"/>
          <w:szCs w:val="24"/>
          <w:lang w:val="en-GB"/>
        </w:rPr>
        <w:t>Eisenbeis</w:t>
      </w:r>
      <w:proofErr w:type="spellEnd"/>
      <w:r w:rsidRPr="00357B96">
        <w:rPr>
          <w:rFonts w:ascii="Times New Roman" w:eastAsia="Calibri" w:hAnsi="Times New Roman" w:cs="Times New Roman"/>
          <w:sz w:val="24"/>
          <w:szCs w:val="24"/>
          <w:lang w:val="en-GB"/>
        </w:rPr>
        <w:t xml:space="preserve">, R. A., Kaufman, G. G., </w:t>
      </w:r>
      <w:proofErr w:type="spellStart"/>
      <w:r w:rsidRPr="00357B96">
        <w:rPr>
          <w:rFonts w:ascii="Times New Roman" w:eastAsia="Calibri" w:hAnsi="Times New Roman" w:cs="Times New Roman"/>
          <w:sz w:val="24"/>
          <w:szCs w:val="24"/>
          <w:lang w:val="en-GB"/>
        </w:rPr>
        <w:t>Hamalainen</w:t>
      </w:r>
      <w:proofErr w:type="spellEnd"/>
      <w:r w:rsidRPr="00357B96">
        <w:rPr>
          <w:rFonts w:ascii="Times New Roman" w:eastAsia="Calibri" w:hAnsi="Times New Roman" w:cs="Times New Roman"/>
          <w:sz w:val="24"/>
          <w:szCs w:val="24"/>
          <w:lang w:val="en-GB"/>
        </w:rPr>
        <w:t xml:space="preserve">, P., </w:t>
      </w:r>
      <w:proofErr w:type="spellStart"/>
      <w:r w:rsidRPr="00357B96">
        <w:rPr>
          <w:rFonts w:ascii="Times New Roman" w:eastAsia="Calibri" w:hAnsi="Times New Roman" w:cs="Times New Roman"/>
          <w:sz w:val="24"/>
          <w:szCs w:val="24"/>
          <w:lang w:val="en-GB"/>
        </w:rPr>
        <w:t>Lastra</w:t>
      </w:r>
      <w:proofErr w:type="spellEnd"/>
      <w:r w:rsidRPr="00357B96">
        <w:rPr>
          <w:rFonts w:ascii="Times New Roman" w:eastAsia="Calibri" w:hAnsi="Times New Roman" w:cs="Times New Roman"/>
          <w:sz w:val="24"/>
          <w:szCs w:val="24"/>
          <w:lang w:val="en-GB"/>
        </w:rPr>
        <w:t>, R. M., and Taylor, M. W. (2009). The failure of Northern Rock-A Multidimensional Case Study. SUERF-The European Money and Finance Forum.</w:t>
      </w:r>
    </w:p>
    <w:p w14:paraId="5A9C80C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Davis, A. K., </w:t>
      </w:r>
      <w:proofErr w:type="spellStart"/>
      <w:r w:rsidRPr="00357B96">
        <w:rPr>
          <w:rFonts w:ascii="Times New Roman" w:eastAsia="Calibri" w:hAnsi="Times New Roman" w:cs="Times New Roman"/>
          <w:sz w:val="24"/>
          <w:szCs w:val="24"/>
          <w:lang w:val="en-GB"/>
        </w:rPr>
        <w:t>Piger</w:t>
      </w:r>
      <w:proofErr w:type="spellEnd"/>
      <w:r w:rsidRPr="00357B96">
        <w:rPr>
          <w:rFonts w:ascii="Times New Roman" w:eastAsia="Calibri" w:hAnsi="Times New Roman" w:cs="Times New Roman"/>
          <w:sz w:val="24"/>
          <w:szCs w:val="24"/>
          <w:lang w:val="en-GB"/>
        </w:rPr>
        <w:t xml:space="preserve">, J. M. and </w:t>
      </w:r>
      <w:proofErr w:type="spellStart"/>
      <w:r w:rsidRPr="00357B96">
        <w:rPr>
          <w:rFonts w:ascii="Times New Roman" w:eastAsia="Calibri" w:hAnsi="Times New Roman" w:cs="Times New Roman"/>
          <w:sz w:val="24"/>
          <w:szCs w:val="24"/>
          <w:lang w:val="en-GB"/>
        </w:rPr>
        <w:t>Sedor</w:t>
      </w:r>
      <w:proofErr w:type="spellEnd"/>
      <w:r w:rsidRPr="00357B96">
        <w:rPr>
          <w:rFonts w:ascii="Times New Roman" w:eastAsia="Calibri" w:hAnsi="Times New Roman" w:cs="Times New Roman"/>
          <w:sz w:val="24"/>
          <w:szCs w:val="24"/>
          <w:lang w:val="en-GB"/>
        </w:rPr>
        <w:t xml:space="preserve">, L. M. (2008). Beyond the Numbers: Managers' Use of Optimistic and Pessimistic Tone in Earnings Press Releases. AAA 2008 Financial Accounting and Reporting Section (FARS) Paper. Available at SSRN: </w:t>
      </w:r>
      <w:hyperlink r:id="rId19" w:history="1">
        <w:r w:rsidRPr="00357B96">
          <w:rPr>
            <w:rStyle w:val="Hyperlink"/>
            <w:rFonts w:ascii="Times New Roman" w:eastAsia="Calibri" w:hAnsi="Times New Roman" w:cs="Times New Roman"/>
            <w:sz w:val="24"/>
            <w:szCs w:val="24"/>
            <w:lang w:val="en-GB"/>
          </w:rPr>
          <w:t>http://ssrn.com/abstract=875399</w:t>
        </w:r>
      </w:hyperlink>
      <w:r w:rsidRPr="00357B96">
        <w:rPr>
          <w:rFonts w:ascii="Times New Roman" w:eastAsia="Calibri" w:hAnsi="Times New Roman" w:cs="Times New Roman"/>
          <w:sz w:val="24"/>
          <w:szCs w:val="24"/>
          <w:lang w:val="en-GB"/>
        </w:rPr>
        <w:t>.</w:t>
      </w:r>
    </w:p>
    <w:p w14:paraId="41061EC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22D6834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Dobler</w:t>
      </w:r>
      <w:proofErr w:type="spellEnd"/>
      <w:r w:rsidRPr="00357B96">
        <w:rPr>
          <w:rFonts w:ascii="Times New Roman" w:eastAsia="Calibri" w:hAnsi="Times New Roman" w:cs="Times New Roman"/>
          <w:sz w:val="24"/>
          <w:szCs w:val="24"/>
          <w:lang w:val="en-GB"/>
        </w:rPr>
        <w:t xml:space="preserve">, M, </w:t>
      </w:r>
      <w:proofErr w:type="spellStart"/>
      <w:r w:rsidRPr="00357B96">
        <w:rPr>
          <w:rFonts w:ascii="Times New Roman" w:eastAsia="Calibri" w:hAnsi="Times New Roman" w:cs="Times New Roman"/>
          <w:sz w:val="24"/>
          <w:szCs w:val="24"/>
          <w:lang w:val="en-GB"/>
        </w:rPr>
        <w:t>Lajili</w:t>
      </w:r>
      <w:proofErr w:type="spellEnd"/>
      <w:r w:rsidRPr="00357B96">
        <w:rPr>
          <w:rFonts w:ascii="Times New Roman" w:eastAsia="Calibri" w:hAnsi="Times New Roman" w:cs="Times New Roman"/>
          <w:sz w:val="24"/>
          <w:szCs w:val="24"/>
          <w:lang w:val="en-GB"/>
        </w:rPr>
        <w:t xml:space="preserve">, K, and </w:t>
      </w:r>
      <w:proofErr w:type="spellStart"/>
      <w:r w:rsidRPr="00357B96">
        <w:rPr>
          <w:rFonts w:ascii="Times New Roman" w:eastAsia="Calibri" w:hAnsi="Times New Roman" w:cs="Times New Roman"/>
          <w:sz w:val="24"/>
          <w:szCs w:val="24"/>
          <w:lang w:val="en-GB"/>
        </w:rPr>
        <w:t>Zéghal</w:t>
      </w:r>
      <w:proofErr w:type="spellEnd"/>
      <w:r w:rsidRPr="00357B96">
        <w:rPr>
          <w:rFonts w:ascii="Times New Roman" w:eastAsia="Calibri" w:hAnsi="Times New Roman" w:cs="Times New Roman"/>
          <w:sz w:val="24"/>
          <w:szCs w:val="24"/>
          <w:lang w:val="en-GB"/>
        </w:rPr>
        <w:t xml:space="preserve">, D (2011) Attributes of Corporate Risk Disclosure: An International Investigation in the Manufacturing Sector', </w:t>
      </w:r>
      <w:r w:rsidRPr="00357B96">
        <w:rPr>
          <w:rFonts w:ascii="Times New Roman" w:eastAsia="Calibri" w:hAnsi="Times New Roman" w:cs="Times New Roman"/>
          <w:i/>
          <w:iCs/>
          <w:sz w:val="24"/>
          <w:szCs w:val="24"/>
          <w:lang w:val="en-GB"/>
        </w:rPr>
        <w:t>Journal Of International Accounting Research</w:t>
      </w:r>
      <w:r w:rsidRPr="00357B96">
        <w:rPr>
          <w:rFonts w:ascii="Times New Roman" w:eastAsia="Calibri" w:hAnsi="Times New Roman" w:cs="Times New Roman"/>
          <w:sz w:val="24"/>
          <w:szCs w:val="24"/>
          <w:lang w:val="en-GB"/>
        </w:rPr>
        <w:t xml:space="preserve">, 10, (2)1-22 </w:t>
      </w:r>
    </w:p>
    <w:p w14:paraId="1A76A78A"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550618D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Doukas</w:t>
      </w:r>
      <w:proofErr w:type="spellEnd"/>
      <w:r w:rsidRPr="00357B96">
        <w:rPr>
          <w:rFonts w:ascii="Times New Roman" w:eastAsia="Calibri" w:hAnsi="Times New Roman" w:cs="Times New Roman"/>
          <w:sz w:val="24"/>
          <w:szCs w:val="24"/>
          <w:lang w:val="en-GB"/>
        </w:rPr>
        <w:t xml:space="preserve">, J. A., and </w:t>
      </w:r>
      <w:proofErr w:type="spellStart"/>
      <w:r w:rsidRPr="00357B96">
        <w:rPr>
          <w:rFonts w:ascii="Times New Roman" w:eastAsia="Calibri" w:hAnsi="Times New Roman" w:cs="Times New Roman"/>
          <w:sz w:val="24"/>
          <w:szCs w:val="24"/>
          <w:lang w:val="en-GB"/>
        </w:rPr>
        <w:t>Petmezas</w:t>
      </w:r>
      <w:proofErr w:type="spellEnd"/>
      <w:r w:rsidRPr="00357B96">
        <w:rPr>
          <w:rFonts w:ascii="Times New Roman" w:eastAsia="Calibri" w:hAnsi="Times New Roman" w:cs="Times New Roman"/>
          <w:sz w:val="24"/>
          <w:szCs w:val="24"/>
          <w:lang w:val="en-GB"/>
        </w:rPr>
        <w:t>, D. (2007). Acquisitions, Overconfident Managers and Self</w:t>
      </w:r>
      <w:r w:rsidRPr="00357B96">
        <w:rPr>
          <w:rFonts w:ascii="Cambria Math" w:eastAsia="Calibri" w:hAnsi="Cambria Math" w:cs="Cambria Math"/>
          <w:sz w:val="24"/>
          <w:szCs w:val="24"/>
          <w:lang w:val="en-GB"/>
        </w:rPr>
        <w:t>‐</w:t>
      </w:r>
      <w:r w:rsidRPr="00357B96">
        <w:rPr>
          <w:rFonts w:ascii="Times New Roman" w:eastAsia="Calibri" w:hAnsi="Times New Roman" w:cs="Times New Roman"/>
          <w:sz w:val="24"/>
          <w:szCs w:val="24"/>
          <w:lang w:val="en-GB"/>
        </w:rPr>
        <w:t>attribution Bias. </w:t>
      </w:r>
      <w:r w:rsidRPr="00357B96">
        <w:rPr>
          <w:rFonts w:ascii="Times New Roman" w:eastAsia="Calibri" w:hAnsi="Times New Roman" w:cs="Times New Roman"/>
          <w:i/>
          <w:iCs/>
          <w:sz w:val="24"/>
          <w:szCs w:val="24"/>
          <w:lang w:val="en-GB"/>
        </w:rPr>
        <w:t>European Financial Management</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13</w:t>
      </w:r>
      <w:r w:rsidRPr="00357B96">
        <w:rPr>
          <w:rFonts w:ascii="Times New Roman" w:eastAsia="Calibri" w:hAnsi="Times New Roman" w:cs="Times New Roman"/>
          <w:sz w:val="24"/>
          <w:szCs w:val="24"/>
          <w:lang w:val="en-GB"/>
        </w:rPr>
        <w:t>(3), 531-577.</w:t>
      </w:r>
    </w:p>
    <w:p w14:paraId="65F3194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Elzahar</w:t>
      </w:r>
      <w:proofErr w:type="spellEnd"/>
      <w:r w:rsidRPr="00357B96">
        <w:rPr>
          <w:rFonts w:ascii="Times New Roman" w:eastAsia="Calibri" w:hAnsi="Times New Roman" w:cs="Times New Roman"/>
          <w:sz w:val="24"/>
          <w:szCs w:val="24"/>
          <w:lang w:val="en-GB"/>
        </w:rPr>
        <w:t xml:space="preserve">, H. and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K. (2012)</w:t>
      </w:r>
      <w:r w:rsidRPr="00357B96">
        <w:rPr>
          <w:rFonts w:ascii="Times New Roman" w:eastAsia="Calibri" w:hAnsi="Times New Roman" w:cs="Times New Roman"/>
          <w:i/>
          <w:iCs/>
          <w:sz w:val="24"/>
          <w:szCs w:val="24"/>
          <w:lang w:val="en-GB"/>
        </w:rPr>
        <w:t xml:space="preserve"> </w:t>
      </w:r>
      <w:r w:rsidRPr="00357B96">
        <w:rPr>
          <w:rFonts w:ascii="Times New Roman" w:eastAsia="Calibri" w:hAnsi="Times New Roman" w:cs="Times New Roman"/>
          <w:iCs/>
          <w:sz w:val="24"/>
          <w:szCs w:val="24"/>
          <w:lang w:val="en-GB"/>
        </w:rPr>
        <w:t>Determinants of narrative risk disclosures in UK interim reports,</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Journal of Risk Finance</w:t>
      </w:r>
      <w:r w:rsidRPr="00357B96">
        <w:rPr>
          <w:rFonts w:ascii="Times New Roman" w:eastAsia="Calibri" w:hAnsi="Times New Roman" w:cs="Times New Roman"/>
          <w:iCs/>
          <w:sz w:val="24"/>
          <w:szCs w:val="24"/>
          <w:lang w:val="en-GB"/>
        </w:rPr>
        <w:t>, 13, (2)133 – 147</w:t>
      </w:r>
    </w:p>
    <w:p w14:paraId="3A1D0B8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7506BB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Elshandidy</w:t>
      </w:r>
      <w:proofErr w:type="spellEnd"/>
      <w:r w:rsidRPr="00357B96">
        <w:rPr>
          <w:rFonts w:ascii="Times New Roman" w:eastAsia="Calibri" w:hAnsi="Times New Roman" w:cs="Times New Roman"/>
          <w:sz w:val="24"/>
          <w:szCs w:val="24"/>
          <w:lang w:val="en-GB"/>
        </w:rPr>
        <w:t xml:space="preserve">, T., and  </w:t>
      </w:r>
      <w:proofErr w:type="spellStart"/>
      <w:r w:rsidRPr="00357B96">
        <w:rPr>
          <w:rFonts w:ascii="Times New Roman" w:eastAsia="Calibri" w:hAnsi="Times New Roman" w:cs="Times New Roman"/>
          <w:sz w:val="24"/>
          <w:szCs w:val="24"/>
          <w:lang w:val="en-GB"/>
        </w:rPr>
        <w:t>Neri</w:t>
      </w:r>
      <w:proofErr w:type="spellEnd"/>
      <w:r w:rsidRPr="00357B96">
        <w:rPr>
          <w:rFonts w:ascii="Times New Roman" w:eastAsia="Calibri" w:hAnsi="Times New Roman" w:cs="Times New Roman"/>
          <w:sz w:val="24"/>
          <w:szCs w:val="24"/>
          <w:lang w:val="en-GB"/>
        </w:rPr>
        <w:t xml:space="preserve">, L. (2015). Corporate governance, risk disclosure practices, and market liquidity: comparative evidence from the UK and Italy. </w:t>
      </w:r>
      <w:r w:rsidRPr="00357B96">
        <w:rPr>
          <w:rFonts w:ascii="Times New Roman" w:eastAsia="Calibri" w:hAnsi="Times New Roman" w:cs="Times New Roman"/>
          <w:i/>
          <w:iCs/>
          <w:sz w:val="24"/>
          <w:szCs w:val="24"/>
          <w:lang w:val="en-GB"/>
        </w:rPr>
        <w:t>Corporate Governance: An International Review</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23</w:t>
      </w:r>
      <w:r w:rsidRPr="00357B96">
        <w:rPr>
          <w:rFonts w:ascii="Times New Roman" w:eastAsia="Calibri" w:hAnsi="Times New Roman" w:cs="Times New Roman"/>
          <w:sz w:val="24"/>
          <w:szCs w:val="24"/>
          <w:lang w:val="en-GB"/>
        </w:rPr>
        <w:t>(4), 331-356.</w:t>
      </w:r>
    </w:p>
    <w:p w14:paraId="33407F3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4C5CCB2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Elshandidy</w:t>
      </w:r>
      <w:proofErr w:type="spellEnd"/>
      <w:r w:rsidRPr="00357B96">
        <w:rPr>
          <w:rFonts w:ascii="Times New Roman" w:eastAsia="Calibri" w:hAnsi="Times New Roman" w:cs="Times New Roman"/>
          <w:sz w:val="24"/>
          <w:szCs w:val="24"/>
          <w:lang w:val="en-GB"/>
        </w:rPr>
        <w:t xml:space="preserve">, T., Fraser, I., and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xml:space="preserve">, K. (2013). Aggregated, voluntary, and mandatory risk disclosure incentives: Evidence from UK FTSE all-share companies. </w:t>
      </w:r>
      <w:r w:rsidRPr="00357B96">
        <w:rPr>
          <w:rFonts w:ascii="Times New Roman" w:eastAsia="Calibri" w:hAnsi="Times New Roman" w:cs="Times New Roman"/>
          <w:i/>
          <w:iCs/>
          <w:sz w:val="24"/>
          <w:szCs w:val="24"/>
          <w:lang w:val="en-GB"/>
        </w:rPr>
        <w:t>International Review of Financial Analysis</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30</w:t>
      </w:r>
      <w:r w:rsidRPr="00357B96">
        <w:rPr>
          <w:rFonts w:ascii="Times New Roman" w:eastAsia="Calibri" w:hAnsi="Times New Roman" w:cs="Times New Roman"/>
          <w:sz w:val="24"/>
          <w:szCs w:val="24"/>
          <w:lang w:val="en-GB"/>
        </w:rPr>
        <w:t>, 320-333.</w:t>
      </w:r>
    </w:p>
    <w:p w14:paraId="1EEB5CA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464E74AB"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French, S., </w:t>
      </w:r>
      <w:proofErr w:type="spellStart"/>
      <w:r w:rsidRPr="00357B96">
        <w:rPr>
          <w:rFonts w:ascii="Times New Roman" w:eastAsia="Calibri" w:hAnsi="Times New Roman" w:cs="Times New Roman"/>
          <w:sz w:val="24"/>
          <w:szCs w:val="24"/>
          <w:lang w:val="en-GB"/>
        </w:rPr>
        <w:t>Leyshon</w:t>
      </w:r>
      <w:proofErr w:type="spellEnd"/>
      <w:r w:rsidRPr="00357B96">
        <w:rPr>
          <w:rFonts w:ascii="Times New Roman" w:eastAsia="Calibri" w:hAnsi="Times New Roman" w:cs="Times New Roman"/>
          <w:sz w:val="24"/>
          <w:szCs w:val="24"/>
          <w:lang w:val="en-GB"/>
        </w:rPr>
        <w:t xml:space="preserve">, A., and Thrift, N. (2009). A very geographical crisis: the making and breaking of the 2007–2008 financial crisis. </w:t>
      </w:r>
      <w:r w:rsidRPr="00357B96">
        <w:rPr>
          <w:rFonts w:ascii="Times New Roman" w:eastAsia="Calibri" w:hAnsi="Times New Roman" w:cs="Times New Roman"/>
          <w:i/>
          <w:iCs/>
          <w:sz w:val="24"/>
          <w:szCs w:val="24"/>
          <w:lang w:val="en-GB"/>
        </w:rPr>
        <w:t>Cambridge Journal of Regions, Economy and Society</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2</w:t>
      </w:r>
      <w:r w:rsidRPr="00357B96">
        <w:rPr>
          <w:rFonts w:ascii="Times New Roman" w:eastAsia="Calibri" w:hAnsi="Times New Roman" w:cs="Times New Roman"/>
          <w:sz w:val="24"/>
          <w:szCs w:val="24"/>
          <w:lang w:val="en-GB"/>
        </w:rPr>
        <w:t>(2), 287-302.</w:t>
      </w:r>
    </w:p>
    <w:p w14:paraId="4ADEA39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5A364E57"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06836D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DD48C1">
        <w:rPr>
          <w:rFonts w:ascii="Times New Roman" w:eastAsia="Calibri" w:hAnsi="Times New Roman" w:cs="Times New Roman"/>
          <w:sz w:val="24"/>
          <w:szCs w:val="24"/>
          <w:lang w:val="en-GB"/>
        </w:rPr>
        <w:t xml:space="preserve">Garcia </w:t>
      </w:r>
      <w:proofErr w:type="spellStart"/>
      <w:r w:rsidRPr="00DD48C1">
        <w:rPr>
          <w:rFonts w:ascii="Times New Roman" w:eastAsia="Calibri" w:hAnsi="Times New Roman" w:cs="Times New Roman"/>
          <w:sz w:val="24"/>
          <w:szCs w:val="24"/>
          <w:lang w:val="en-GB"/>
        </w:rPr>
        <w:t>Osma</w:t>
      </w:r>
      <w:proofErr w:type="spellEnd"/>
      <w:r w:rsidRPr="00DD48C1">
        <w:rPr>
          <w:rFonts w:ascii="Times New Roman" w:eastAsia="Calibri" w:hAnsi="Times New Roman" w:cs="Times New Roman"/>
          <w:sz w:val="24"/>
          <w:szCs w:val="24"/>
          <w:lang w:val="en-GB"/>
        </w:rPr>
        <w:t xml:space="preserve">, B., and </w:t>
      </w:r>
      <w:proofErr w:type="spellStart"/>
      <w:r w:rsidRPr="00DD48C1">
        <w:rPr>
          <w:rFonts w:ascii="Times New Roman" w:eastAsia="Calibri" w:hAnsi="Times New Roman" w:cs="Times New Roman"/>
          <w:sz w:val="24"/>
          <w:szCs w:val="24"/>
          <w:lang w:val="en-GB"/>
        </w:rPr>
        <w:t>Guillamón-Saorín</w:t>
      </w:r>
      <w:proofErr w:type="spellEnd"/>
      <w:r w:rsidRPr="00DD48C1">
        <w:rPr>
          <w:rFonts w:ascii="Times New Roman" w:eastAsia="Calibri" w:hAnsi="Times New Roman" w:cs="Times New Roman"/>
          <w:sz w:val="24"/>
          <w:szCs w:val="24"/>
          <w:lang w:val="en-GB"/>
        </w:rPr>
        <w:t xml:space="preserve">, E. (2011). </w:t>
      </w:r>
      <w:r w:rsidRPr="00357B96">
        <w:rPr>
          <w:rFonts w:ascii="Times New Roman" w:eastAsia="Calibri" w:hAnsi="Times New Roman" w:cs="Times New Roman"/>
          <w:sz w:val="24"/>
          <w:szCs w:val="24"/>
          <w:lang w:val="en-GB"/>
        </w:rPr>
        <w:t>Corporate governance and impression management in annual results press releases. </w:t>
      </w:r>
      <w:r w:rsidRPr="00357B96">
        <w:rPr>
          <w:rFonts w:ascii="Times New Roman" w:eastAsia="Calibri" w:hAnsi="Times New Roman" w:cs="Times New Roman"/>
          <w:i/>
          <w:iCs/>
          <w:sz w:val="24"/>
          <w:szCs w:val="24"/>
          <w:lang w:val="en-GB"/>
        </w:rPr>
        <w:t>Accounting, Organizations and Society</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36</w:t>
      </w:r>
      <w:r w:rsidRPr="00357B96">
        <w:rPr>
          <w:rFonts w:ascii="Times New Roman" w:eastAsia="Calibri" w:hAnsi="Times New Roman" w:cs="Times New Roman"/>
          <w:sz w:val="24"/>
          <w:szCs w:val="24"/>
          <w:lang w:val="en-GB"/>
        </w:rPr>
        <w:t>(4), 187-208.</w:t>
      </w:r>
    </w:p>
    <w:p w14:paraId="690C009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Godfrey, J., Mather, P., and Ramsay, A. (2003). Earnings and impression management in financial reports: the case of CEO changes. </w:t>
      </w:r>
      <w:r w:rsidRPr="00357B96">
        <w:rPr>
          <w:rFonts w:ascii="Times New Roman" w:eastAsia="Calibri" w:hAnsi="Times New Roman" w:cs="Times New Roman"/>
          <w:i/>
          <w:iCs/>
          <w:sz w:val="24"/>
          <w:szCs w:val="24"/>
          <w:lang w:val="en-GB"/>
        </w:rPr>
        <w:t>Abacus</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39</w:t>
      </w:r>
      <w:r w:rsidRPr="00357B96">
        <w:rPr>
          <w:rFonts w:ascii="Times New Roman" w:eastAsia="Calibri" w:hAnsi="Times New Roman" w:cs="Times New Roman"/>
          <w:sz w:val="24"/>
          <w:szCs w:val="24"/>
          <w:lang w:val="en-GB"/>
        </w:rPr>
        <w:t>(1), 95-123.</w:t>
      </w:r>
    </w:p>
    <w:p w14:paraId="0C80574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32A1539A"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Goddard, J., </w:t>
      </w:r>
      <w:proofErr w:type="spellStart"/>
      <w:r w:rsidRPr="00357B96">
        <w:rPr>
          <w:rFonts w:ascii="Times New Roman" w:eastAsia="Calibri" w:hAnsi="Times New Roman" w:cs="Times New Roman"/>
          <w:sz w:val="24"/>
          <w:szCs w:val="24"/>
          <w:lang w:val="en-GB"/>
        </w:rPr>
        <w:t>Molyneux</w:t>
      </w:r>
      <w:proofErr w:type="spellEnd"/>
      <w:r w:rsidRPr="00357B96">
        <w:rPr>
          <w:rFonts w:ascii="Times New Roman" w:eastAsia="Calibri" w:hAnsi="Times New Roman" w:cs="Times New Roman"/>
          <w:sz w:val="24"/>
          <w:szCs w:val="24"/>
          <w:lang w:val="en-GB"/>
        </w:rPr>
        <w:t>, P., and Wilson, J. O. (2009). The crisis in UK banking. Public</w:t>
      </w:r>
      <w:r w:rsidRPr="00357B96">
        <w:rPr>
          <w:rFonts w:ascii="Times New Roman" w:eastAsia="Calibri" w:hAnsi="Times New Roman" w:cs="Times New Roman"/>
          <w:i/>
          <w:iCs/>
          <w:sz w:val="24"/>
          <w:szCs w:val="24"/>
          <w:lang w:val="en-GB"/>
        </w:rPr>
        <w:t xml:space="preserve"> Money and Management</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29</w:t>
      </w:r>
      <w:r w:rsidRPr="00357B96">
        <w:rPr>
          <w:rFonts w:ascii="Times New Roman" w:eastAsia="Calibri" w:hAnsi="Times New Roman" w:cs="Times New Roman"/>
          <w:sz w:val="24"/>
          <w:szCs w:val="24"/>
          <w:lang w:val="en-GB"/>
        </w:rPr>
        <w:t>(5), 277-284.</w:t>
      </w:r>
    </w:p>
    <w:p w14:paraId="72110ABE"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12D60606"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lastRenderedPageBreak/>
        <w:t>Hall, M. J. (2008). The sub-prime crisis, the credit squeeze and Northern Rock: the lessons to be learned. </w:t>
      </w:r>
      <w:r w:rsidRPr="00357B96">
        <w:rPr>
          <w:rFonts w:ascii="Times New Roman" w:eastAsia="Calibri" w:hAnsi="Times New Roman" w:cs="Times New Roman"/>
          <w:i/>
          <w:iCs/>
          <w:sz w:val="24"/>
          <w:szCs w:val="24"/>
          <w:lang w:val="en-GB"/>
        </w:rPr>
        <w:t>Journal of Financial Regulation and Compliance</w:t>
      </w:r>
      <w:r w:rsidRPr="00357B96">
        <w:rPr>
          <w:rFonts w:ascii="Times New Roman" w:eastAsia="Calibri" w:hAnsi="Times New Roman" w:cs="Times New Roman"/>
          <w:sz w:val="24"/>
          <w:szCs w:val="24"/>
          <w:lang w:val="en-GB"/>
        </w:rPr>
        <w:t>,</w:t>
      </w:r>
      <w:r w:rsidRPr="00357B96">
        <w:rPr>
          <w:rFonts w:ascii="Times New Roman" w:eastAsia="Calibri" w:hAnsi="Times New Roman" w:cs="Times New Roman"/>
          <w:i/>
          <w:iCs/>
          <w:sz w:val="24"/>
          <w:szCs w:val="24"/>
          <w:lang w:val="en-GB"/>
        </w:rPr>
        <w:t>16</w:t>
      </w:r>
      <w:r w:rsidRPr="00357B96">
        <w:rPr>
          <w:rFonts w:ascii="Times New Roman" w:eastAsia="Calibri" w:hAnsi="Times New Roman" w:cs="Times New Roman"/>
          <w:sz w:val="24"/>
          <w:szCs w:val="24"/>
          <w:lang w:val="en-GB"/>
        </w:rPr>
        <w:t>(1), 19-34.</w:t>
      </w:r>
    </w:p>
    <w:p w14:paraId="37B1D658"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3C78B05B"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Hooghiemstra</w:t>
      </w:r>
      <w:proofErr w:type="spellEnd"/>
      <w:r w:rsidRPr="00357B96">
        <w:rPr>
          <w:rFonts w:ascii="Times New Roman" w:eastAsia="Calibri" w:hAnsi="Times New Roman" w:cs="Times New Roman"/>
          <w:sz w:val="24"/>
          <w:szCs w:val="24"/>
          <w:lang w:val="en-GB"/>
        </w:rPr>
        <w:t>, R. (2000). Corporate communication and impression management–new perspectives why companies engage in corporate social reporting. </w:t>
      </w:r>
      <w:r w:rsidRPr="00357B96">
        <w:rPr>
          <w:rFonts w:ascii="Times New Roman" w:eastAsia="Calibri" w:hAnsi="Times New Roman" w:cs="Times New Roman"/>
          <w:i/>
          <w:iCs/>
          <w:sz w:val="24"/>
          <w:szCs w:val="24"/>
          <w:lang w:val="en-GB"/>
        </w:rPr>
        <w:t>Journal of business ethics</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27</w:t>
      </w:r>
      <w:r w:rsidRPr="00357B96">
        <w:rPr>
          <w:rFonts w:ascii="Times New Roman" w:eastAsia="Calibri" w:hAnsi="Times New Roman" w:cs="Times New Roman"/>
          <w:sz w:val="24"/>
          <w:szCs w:val="24"/>
          <w:lang w:val="en-GB"/>
        </w:rPr>
        <w:t>(1-2), 55-68.</w:t>
      </w:r>
    </w:p>
    <w:p w14:paraId="7D126A5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4686C9A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House of Commons Treasury Committee Report on Banking Crisis: dealing with the failure of the UK banks (2009)</w:t>
      </w:r>
    </w:p>
    <w:p w14:paraId="3BF1CB2E"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Hughes, C. (2002). So how come the banking sector is recession proof? The Independent on line available at </w:t>
      </w:r>
      <w:hyperlink r:id="rId20" w:history="1">
        <w:r w:rsidRPr="00357B96">
          <w:rPr>
            <w:rStyle w:val="Hyperlink"/>
            <w:rFonts w:ascii="Times New Roman" w:eastAsia="Calibri" w:hAnsi="Times New Roman" w:cs="Times New Roman"/>
            <w:sz w:val="24"/>
            <w:szCs w:val="24"/>
            <w:lang w:val="en-GB"/>
          </w:rPr>
          <w:t>www.independent.co.uk/news/business/analysis</w:t>
        </w:r>
      </w:hyperlink>
      <w:r w:rsidRPr="00357B96">
        <w:rPr>
          <w:rFonts w:ascii="Times New Roman" w:eastAsia="Calibri" w:hAnsi="Times New Roman" w:cs="Times New Roman"/>
          <w:sz w:val="24"/>
          <w:szCs w:val="24"/>
          <w:lang w:val="en-GB"/>
        </w:rPr>
        <w:t xml:space="preserve"> and features. [accessed on 06/06/13]</w:t>
      </w:r>
    </w:p>
    <w:p w14:paraId="460C653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xml:space="preserve">, K., </w:t>
      </w: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T. and Walker, M. (2003). Undertaking large-scale disclosure studies when AMIR-FAF ratings are not available: the case of prices leading earnings, Accounting and Business Research, 33(4.), 275-294. </w:t>
      </w:r>
    </w:p>
    <w:p w14:paraId="649325E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C22CB1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540B9B">
        <w:rPr>
          <w:rFonts w:ascii="Times New Roman" w:eastAsia="Calibri" w:hAnsi="Times New Roman" w:cs="Times New Roman"/>
          <w:sz w:val="24"/>
          <w:szCs w:val="24"/>
          <w:lang w:val="de-DE"/>
        </w:rPr>
        <w:t xml:space="preserve">Ivashina, V., and Scharfstein, D. (2010). </w:t>
      </w:r>
      <w:r w:rsidRPr="00357B96">
        <w:rPr>
          <w:rFonts w:ascii="Times New Roman" w:eastAsia="Calibri" w:hAnsi="Times New Roman" w:cs="Times New Roman"/>
          <w:sz w:val="24"/>
          <w:szCs w:val="24"/>
          <w:lang w:val="en-GB"/>
        </w:rPr>
        <w:t xml:space="preserve">Bank lending during the financial crisis of 2008. </w:t>
      </w:r>
      <w:r w:rsidRPr="00357B96">
        <w:rPr>
          <w:rFonts w:ascii="Times New Roman" w:eastAsia="Calibri" w:hAnsi="Times New Roman" w:cs="Times New Roman"/>
          <w:i/>
          <w:iCs/>
          <w:sz w:val="24"/>
          <w:szCs w:val="24"/>
          <w:lang w:val="en-GB"/>
        </w:rPr>
        <w:t>Journal of Financial economics</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97</w:t>
      </w:r>
      <w:r w:rsidRPr="00357B96">
        <w:rPr>
          <w:rFonts w:ascii="Times New Roman" w:eastAsia="Calibri" w:hAnsi="Times New Roman" w:cs="Times New Roman"/>
          <w:sz w:val="24"/>
          <w:szCs w:val="24"/>
          <w:lang w:val="en-GB"/>
        </w:rPr>
        <w:t>(3), 319-338.</w:t>
      </w:r>
    </w:p>
    <w:p w14:paraId="5DD7057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1CF91EF7"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Korol</w:t>
      </w:r>
      <w:proofErr w:type="spellEnd"/>
      <w:r w:rsidRPr="00357B96">
        <w:rPr>
          <w:rFonts w:ascii="Times New Roman" w:eastAsia="Calibri" w:hAnsi="Times New Roman" w:cs="Times New Roman"/>
          <w:sz w:val="24"/>
          <w:szCs w:val="24"/>
          <w:lang w:val="en-GB"/>
        </w:rPr>
        <w:t xml:space="preserve">, T. (2013). Early warning models against bankruptcy risk for Central European and Latin American enterprises. </w:t>
      </w:r>
      <w:r w:rsidRPr="00357B96">
        <w:rPr>
          <w:rFonts w:ascii="Times New Roman" w:eastAsia="Calibri" w:hAnsi="Times New Roman" w:cs="Times New Roman"/>
          <w:i/>
          <w:iCs/>
          <w:sz w:val="24"/>
          <w:szCs w:val="24"/>
          <w:lang w:val="en-GB"/>
        </w:rPr>
        <w:t>Economic Modelling</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31</w:t>
      </w:r>
      <w:r w:rsidRPr="00357B96">
        <w:rPr>
          <w:rFonts w:ascii="Times New Roman" w:eastAsia="Calibri" w:hAnsi="Times New Roman" w:cs="Times New Roman"/>
          <w:sz w:val="24"/>
          <w:szCs w:val="24"/>
          <w:lang w:val="en-GB"/>
        </w:rPr>
        <w:t>, 22-30.</w:t>
      </w:r>
    </w:p>
    <w:p w14:paraId="1C25ABD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Kothari, S. P., Shu, S., and </w:t>
      </w:r>
      <w:proofErr w:type="spellStart"/>
      <w:r w:rsidRPr="00357B96">
        <w:rPr>
          <w:rFonts w:ascii="Times New Roman" w:eastAsia="Calibri" w:hAnsi="Times New Roman" w:cs="Times New Roman"/>
          <w:sz w:val="24"/>
          <w:szCs w:val="24"/>
          <w:lang w:val="en-GB"/>
        </w:rPr>
        <w:t>Wysocki</w:t>
      </w:r>
      <w:proofErr w:type="spellEnd"/>
      <w:r w:rsidRPr="00357B96">
        <w:rPr>
          <w:rFonts w:ascii="Times New Roman" w:eastAsia="Calibri" w:hAnsi="Times New Roman" w:cs="Times New Roman"/>
          <w:sz w:val="24"/>
          <w:szCs w:val="24"/>
          <w:lang w:val="en-GB"/>
        </w:rPr>
        <w:t>, P. D. (2009). Do managers withhold bad news? </w:t>
      </w:r>
      <w:r w:rsidRPr="00357B96">
        <w:rPr>
          <w:rFonts w:ascii="Times New Roman" w:eastAsia="Calibri" w:hAnsi="Times New Roman" w:cs="Times New Roman"/>
          <w:i/>
          <w:iCs/>
          <w:sz w:val="24"/>
          <w:szCs w:val="24"/>
          <w:lang w:val="en-GB"/>
        </w:rPr>
        <w:t>Journal of Accounting Research</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47</w:t>
      </w:r>
      <w:r w:rsidRPr="00357B96">
        <w:rPr>
          <w:rFonts w:ascii="Times New Roman" w:eastAsia="Calibri" w:hAnsi="Times New Roman" w:cs="Times New Roman"/>
          <w:sz w:val="24"/>
          <w:szCs w:val="24"/>
          <w:lang w:val="en-GB"/>
        </w:rPr>
        <w:t>(1), 241-276.</w:t>
      </w:r>
    </w:p>
    <w:p w14:paraId="6C3D52B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79AC52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Lastra</w:t>
      </w:r>
      <w:proofErr w:type="spellEnd"/>
      <w:r w:rsidRPr="00357B96">
        <w:rPr>
          <w:rFonts w:ascii="Times New Roman" w:eastAsia="Calibri" w:hAnsi="Times New Roman" w:cs="Times New Roman"/>
          <w:sz w:val="24"/>
          <w:szCs w:val="24"/>
          <w:lang w:val="en-GB"/>
        </w:rPr>
        <w:t>, R. M. (2008). Northern Rock, UK bank insolvency and cross-border bank insolvency. </w:t>
      </w:r>
      <w:r w:rsidRPr="00357B96">
        <w:rPr>
          <w:rFonts w:ascii="Times New Roman" w:eastAsia="Calibri" w:hAnsi="Times New Roman" w:cs="Times New Roman"/>
          <w:i/>
          <w:iCs/>
          <w:sz w:val="24"/>
          <w:szCs w:val="24"/>
          <w:lang w:val="en-GB"/>
        </w:rPr>
        <w:t>Journal of Banking Regulation</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9</w:t>
      </w:r>
      <w:r w:rsidRPr="00357B96">
        <w:rPr>
          <w:rFonts w:ascii="Times New Roman" w:eastAsia="Calibri" w:hAnsi="Times New Roman" w:cs="Times New Roman"/>
          <w:sz w:val="24"/>
          <w:szCs w:val="24"/>
          <w:lang w:val="en-GB"/>
        </w:rPr>
        <w:t>(3), 165-186.</w:t>
      </w:r>
    </w:p>
    <w:p w14:paraId="578ACD2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2EE06E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Li, F. (2010). The Information Content of Forward</w:t>
      </w:r>
      <w:r w:rsidRPr="00357B96">
        <w:rPr>
          <w:rFonts w:ascii="Cambria Math" w:eastAsia="Calibri" w:hAnsi="Cambria Math" w:cs="Cambria Math"/>
          <w:sz w:val="24"/>
          <w:szCs w:val="24"/>
          <w:lang w:val="en-GB"/>
        </w:rPr>
        <w:t>‐</w:t>
      </w:r>
      <w:r w:rsidRPr="00357B96">
        <w:rPr>
          <w:rFonts w:ascii="Times New Roman" w:eastAsia="Calibri" w:hAnsi="Times New Roman" w:cs="Times New Roman"/>
          <w:sz w:val="24"/>
          <w:szCs w:val="24"/>
          <w:lang w:val="en-GB"/>
        </w:rPr>
        <w:t>Looking Statements in Corporate Filings—A Naïve Bayesian Machine Learning Approach. </w:t>
      </w:r>
      <w:r w:rsidRPr="00357B96">
        <w:rPr>
          <w:rFonts w:ascii="Times New Roman" w:eastAsia="Calibri" w:hAnsi="Times New Roman" w:cs="Times New Roman"/>
          <w:i/>
          <w:iCs/>
          <w:sz w:val="24"/>
          <w:szCs w:val="24"/>
          <w:lang w:val="en-GB"/>
        </w:rPr>
        <w:t>Journal of Accounting Research</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48</w:t>
      </w:r>
      <w:r w:rsidRPr="00357B96">
        <w:rPr>
          <w:rFonts w:ascii="Times New Roman" w:eastAsia="Calibri" w:hAnsi="Times New Roman" w:cs="Times New Roman"/>
          <w:sz w:val="24"/>
          <w:szCs w:val="24"/>
          <w:lang w:val="en-GB"/>
        </w:rPr>
        <w:t>(5), 1049-1102.</w:t>
      </w:r>
    </w:p>
    <w:p w14:paraId="008C61D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2491D08B"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Liikanen</w:t>
      </w:r>
      <w:proofErr w:type="spellEnd"/>
      <w:r w:rsidRPr="00357B96">
        <w:rPr>
          <w:rFonts w:ascii="Times New Roman" w:eastAsia="Calibri" w:hAnsi="Times New Roman" w:cs="Times New Roman"/>
          <w:sz w:val="24"/>
          <w:szCs w:val="24"/>
          <w:lang w:val="en-GB"/>
        </w:rPr>
        <w:t>, E. (2012). High-level Expert Group on reforming the structure of the EU banking sector. </w:t>
      </w:r>
      <w:r w:rsidRPr="00357B96">
        <w:rPr>
          <w:rFonts w:ascii="Times New Roman" w:eastAsia="Calibri" w:hAnsi="Times New Roman" w:cs="Times New Roman"/>
          <w:i/>
          <w:iCs/>
          <w:sz w:val="24"/>
          <w:szCs w:val="24"/>
          <w:lang w:val="en-GB"/>
        </w:rPr>
        <w:t>Final report</w:t>
      </w:r>
      <w:r w:rsidRPr="00357B96">
        <w:rPr>
          <w:rFonts w:ascii="Times New Roman" w:eastAsia="Calibri" w:hAnsi="Times New Roman" w:cs="Times New Roman"/>
          <w:sz w:val="24"/>
          <w:szCs w:val="24"/>
          <w:lang w:val="en-GB"/>
        </w:rPr>
        <w:t>. Available at: ec.europa.eu/internal_market/bank/docs/high-level.../</w:t>
      </w:r>
      <w:r w:rsidRPr="00357B96">
        <w:rPr>
          <w:rFonts w:ascii="Times New Roman" w:eastAsia="Calibri" w:hAnsi="Times New Roman" w:cs="Times New Roman"/>
          <w:bCs/>
          <w:sz w:val="24"/>
          <w:szCs w:val="24"/>
          <w:lang w:val="en-GB"/>
        </w:rPr>
        <w:t>report</w:t>
      </w:r>
      <w:r w:rsidRPr="00357B96">
        <w:rPr>
          <w:rFonts w:ascii="Times New Roman" w:eastAsia="Calibri" w:hAnsi="Times New Roman" w:cs="Times New Roman"/>
          <w:sz w:val="24"/>
          <w:szCs w:val="24"/>
          <w:lang w:val="en-GB"/>
        </w:rPr>
        <w:t>_en.(Accessed on 16 April 2014)</w:t>
      </w:r>
    </w:p>
    <w:p w14:paraId="08FA3CC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Linsley</w:t>
      </w:r>
      <w:proofErr w:type="spellEnd"/>
      <w:r w:rsidRPr="00357B96">
        <w:rPr>
          <w:rFonts w:ascii="Times New Roman" w:eastAsia="Calibri" w:hAnsi="Times New Roman" w:cs="Times New Roman"/>
          <w:sz w:val="24"/>
          <w:szCs w:val="24"/>
          <w:lang w:val="en-GB"/>
        </w:rPr>
        <w:t xml:space="preserve">, P.M. and Shrives, P.J. (2005). Examining Risk Reporting in UK Public Companies, The Journal of Risk Finance, 6(4), 292-305. </w:t>
      </w:r>
    </w:p>
    <w:p w14:paraId="02F9A42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Linsley</w:t>
      </w:r>
      <w:proofErr w:type="spellEnd"/>
      <w:r w:rsidRPr="00357B96">
        <w:rPr>
          <w:rFonts w:ascii="Times New Roman" w:eastAsia="Calibri" w:hAnsi="Times New Roman" w:cs="Times New Roman"/>
          <w:sz w:val="24"/>
          <w:szCs w:val="24"/>
          <w:lang w:val="en-GB"/>
        </w:rPr>
        <w:t xml:space="preserve">, P.M., Shrives, P.J. and </w:t>
      </w:r>
      <w:proofErr w:type="spellStart"/>
      <w:r w:rsidRPr="00357B96">
        <w:rPr>
          <w:rFonts w:ascii="Times New Roman" w:eastAsia="Calibri" w:hAnsi="Times New Roman" w:cs="Times New Roman"/>
          <w:sz w:val="24"/>
          <w:szCs w:val="24"/>
          <w:lang w:val="en-GB"/>
        </w:rPr>
        <w:t>Crumpton</w:t>
      </w:r>
      <w:proofErr w:type="spellEnd"/>
      <w:r w:rsidRPr="00357B96">
        <w:rPr>
          <w:rFonts w:ascii="Times New Roman" w:eastAsia="Calibri" w:hAnsi="Times New Roman" w:cs="Times New Roman"/>
          <w:sz w:val="24"/>
          <w:szCs w:val="24"/>
          <w:lang w:val="en-GB"/>
        </w:rPr>
        <w:t xml:space="preserve">, M. (2006). Risk Disclosure: An Exploratory Study of UK and Canadian Banks, </w:t>
      </w:r>
      <w:r w:rsidRPr="00357B96">
        <w:rPr>
          <w:rFonts w:ascii="Times New Roman" w:eastAsia="Calibri" w:hAnsi="Times New Roman" w:cs="Times New Roman"/>
          <w:i/>
          <w:sz w:val="24"/>
          <w:szCs w:val="24"/>
          <w:lang w:val="en-GB"/>
        </w:rPr>
        <w:t>Journal of Banking Regulations</w:t>
      </w:r>
      <w:r w:rsidRPr="00357B96">
        <w:rPr>
          <w:rFonts w:ascii="Times New Roman" w:eastAsia="Calibri" w:hAnsi="Times New Roman" w:cs="Times New Roman"/>
          <w:sz w:val="24"/>
          <w:szCs w:val="24"/>
          <w:lang w:val="en-GB"/>
        </w:rPr>
        <w:t xml:space="preserve"> 7(3-4), 268-282 </w:t>
      </w:r>
    </w:p>
    <w:p w14:paraId="3E1A1FF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0B4897F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Marshall, J. N. (2013). A geographical political economy of banking crises: A peripheral region perspective on organisational concentration and spatial centralisation in Britain. </w:t>
      </w:r>
      <w:r w:rsidRPr="00357B96">
        <w:rPr>
          <w:rFonts w:ascii="Times New Roman" w:eastAsia="Calibri" w:hAnsi="Times New Roman" w:cs="Times New Roman"/>
          <w:i/>
          <w:iCs/>
          <w:sz w:val="24"/>
          <w:szCs w:val="24"/>
          <w:lang w:val="en-GB"/>
        </w:rPr>
        <w:t>Cambridge Journal of Regions, Economy and Society</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6</w:t>
      </w:r>
      <w:r w:rsidRPr="00357B96">
        <w:rPr>
          <w:rFonts w:ascii="Times New Roman" w:eastAsia="Calibri" w:hAnsi="Times New Roman" w:cs="Times New Roman"/>
          <w:sz w:val="24"/>
          <w:szCs w:val="24"/>
          <w:lang w:val="en-GB"/>
        </w:rPr>
        <w:t>(3), 455-477.</w:t>
      </w:r>
    </w:p>
    <w:p w14:paraId="7AF9C58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5B1AAE3E" w14:textId="6835F235"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Mayew</w:t>
      </w:r>
      <w:proofErr w:type="spellEnd"/>
      <w:r w:rsidRPr="00357B96">
        <w:rPr>
          <w:rFonts w:ascii="Times New Roman" w:eastAsia="Calibri" w:hAnsi="Times New Roman" w:cs="Times New Roman"/>
          <w:sz w:val="24"/>
          <w:szCs w:val="24"/>
          <w:lang w:val="en-GB"/>
        </w:rPr>
        <w:t xml:space="preserve">, W. J., </w:t>
      </w:r>
      <w:proofErr w:type="spellStart"/>
      <w:r w:rsidRPr="00357B96">
        <w:rPr>
          <w:rFonts w:ascii="Times New Roman" w:eastAsia="Calibri" w:hAnsi="Times New Roman" w:cs="Times New Roman"/>
          <w:sz w:val="24"/>
          <w:szCs w:val="24"/>
          <w:lang w:val="en-GB"/>
        </w:rPr>
        <w:t>Sethuraman</w:t>
      </w:r>
      <w:proofErr w:type="spellEnd"/>
      <w:r w:rsidRPr="00357B96">
        <w:rPr>
          <w:rFonts w:ascii="Times New Roman" w:eastAsia="Calibri" w:hAnsi="Times New Roman" w:cs="Times New Roman"/>
          <w:sz w:val="24"/>
          <w:szCs w:val="24"/>
          <w:lang w:val="en-GB"/>
        </w:rPr>
        <w:t xml:space="preserve">, M., and Venkatachalam, M. (2014). </w:t>
      </w:r>
      <w:proofErr w:type="spellStart"/>
      <w:proofErr w:type="gramStart"/>
      <w:r w:rsidRPr="00357B96">
        <w:rPr>
          <w:rFonts w:ascii="Times New Roman" w:eastAsia="Calibri" w:hAnsi="Times New Roman" w:cs="Times New Roman"/>
          <w:sz w:val="24"/>
          <w:szCs w:val="24"/>
          <w:lang w:val="en-GB"/>
        </w:rPr>
        <w:t>MD</w:t>
      </w:r>
      <w:r w:rsidR="008C4BA8">
        <w:rPr>
          <w:rFonts w:ascii="Times New Roman" w:eastAsia="Calibri" w:hAnsi="Times New Roman" w:cs="Times New Roman"/>
          <w:sz w:val="24"/>
          <w:szCs w:val="24"/>
          <w:lang w:val="en-GB"/>
        </w:rPr>
        <w:t>and</w:t>
      </w:r>
      <w:r w:rsidRPr="00357B96">
        <w:rPr>
          <w:rFonts w:ascii="Times New Roman" w:eastAsia="Calibri" w:hAnsi="Times New Roman" w:cs="Times New Roman"/>
          <w:sz w:val="24"/>
          <w:szCs w:val="24"/>
          <w:lang w:val="en-GB"/>
        </w:rPr>
        <w:t>A</w:t>
      </w:r>
      <w:proofErr w:type="spellEnd"/>
      <w:r w:rsidRPr="00357B96">
        <w:rPr>
          <w:rFonts w:ascii="Times New Roman" w:eastAsia="Calibri" w:hAnsi="Times New Roman" w:cs="Times New Roman"/>
          <w:sz w:val="24"/>
          <w:szCs w:val="24"/>
          <w:lang w:val="en-GB"/>
        </w:rPr>
        <w:t xml:space="preserve"> Disclosure and the Firm's Ability to Continue as a Going Concern.</w:t>
      </w:r>
      <w:proofErr w:type="gramEnd"/>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The Accounting Review</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90</w:t>
      </w:r>
      <w:r w:rsidRPr="00357B96">
        <w:rPr>
          <w:rFonts w:ascii="Times New Roman" w:eastAsia="Calibri" w:hAnsi="Times New Roman" w:cs="Times New Roman"/>
          <w:sz w:val="24"/>
          <w:szCs w:val="24"/>
          <w:lang w:val="en-GB"/>
        </w:rPr>
        <w:t>(4), 1621-1651.</w:t>
      </w:r>
    </w:p>
    <w:p w14:paraId="299B6C5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4A98546B"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Ntim</w:t>
      </w:r>
      <w:proofErr w:type="spellEnd"/>
      <w:r w:rsidRPr="00357B96">
        <w:rPr>
          <w:rFonts w:ascii="Times New Roman" w:eastAsia="Calibri" w:hAnsi="Times New Roman" w:cs="Times New Roman"/>
          <w:sz w:val="24"/>
          <w:szCs w:val="24"/>
          <w:lang w:val="en-GB"/>
        </w:rPr>
        <w:t xml:space="preserve">, C. G., </w:t>
      </w:r>
      <w:proofErr w:type="spellStart"/>
      <w:r w:rsidRPr="00357B96">
        <w:rPr>
          <w:rFonts w:ascii="Times New Roman" w:eastAsia="Calibri" w:hAnsi="Times New Roman" w:cs="Times New Roman"/>
          <w:sz w:val="24"/>
          <w:szCs w:val="24"/>
          <w:lang w:val="en-GB"/>
        </w:rPr>
        <w:t>Lindop</w:t>
      </w:r>
      <w:proofErr w:type="spellEnd"/>
      <w:r w:rsidRPr="00357B96">
        <w:rPr>
          <w:rFonts w:ascii="Times New Roman" w:eastAsia="Calibri" w:hAnsi="Times New Roman" w:cs="Times New Roman"/>
          <w:sz w:val="24"/>
          <w:szCs w:val="24"/>
          <w:lang w:val="en-GB"/>
        </w:rPr>
        <w:t xml:space="preserve">, S., and  Thomas, D. A. (2013). Corporate governance and risk reporting in South Africa: A study of corporate risk disclosures in the pre-and post-2007/2008 global financial crisis periods. </w:t>
      </w:r>
      <w:r w:rsidRPr="00357B96">
        <w:rPr>
          <w:rFonts w:ascii="Times New Roman" w:eastAsia="Calibri" w:hAnsi="Times New Roman" w:cs="Times New Roman"/>
          <w:i/>
          <w:iCs/>
          <w:sz w:val="24"/>
          <w:szCs w:val="24"/>
          <w:lang w:val="en-GB"/>
        </w:rPr>
        <w:t>International Review of Financial Analysis</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30</w:t>
      </w:r>
      <w:r w:rsidRPr="00357B96">
        <w:rPr>
          <w:rFonts w:ascii="Times New Roman" w:eastAsia="Calibri" w:hAnsi="Times New Roman" w:cs="Times New Roman"/>
          <w:sz w:val="24"/>
          <w:szCs w:val="24"/>
          <w:lang w:val="en-GB"/>
        </w:rPr>
        <w:t>, 363-383.</w:t>
      </w:r>
    </w:p>
    <w:p w14:paraId="50EB6EA7"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300D81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Miihkinen</w:t>
      </w:r>
      <w:proofErr w:type="spellEnd"/>
      <w:r w:rsidRPr="00357B96">
        <w:rPr>
          <w:rFonts w:ascii="Times New Roman" w:eastAsia="Calibri" w:hAnsi="Times New Roman" w:cs="Times New Roman"/>
          <w:sz w:val="24"/>
          <w:szCs w:val="24"/>
          <w:lang w:val="en-GB"/>
        </w:rPr>
        <w:t xml:space="preserve">, A. (2012). What drives quality of firm risk disclosure?: the impact of a national disclosure standard and reporting incentives under IFRS. </w:t>
      </w:r>
      <w:r w:rsidRPr="00357B96">
        <w:rPr>
          <w:rFonts w:ascii="Times New Roman" w:eastAsia="Calibri" w:hAnsi="Times New Roman" w:cs="Times New Roman"/>
          <w:i/>
          <w:iCs/>
          <w:sz w:val="24"/>
          <w:szCs w:val="24"/>
          <w:lang w:val="en-GB"/>
        </w:rPr>
        <w:t>The International Journal of Accounting</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47</w:t>
      </w:r>
      <w:r w:rsidRPr="00357B96">
        <w:rPr>
          <w:rFonts w:ascii="Times New Roman" w:eastAsia="Calibri" w:hAnsi="Times New Roman" w:cs="Times New Roman"/>
          <w:sz w:val="24"/>
          <w:szCs w:val="24"/>
          <w:lang w:val="en-GB"/>
        </w:rPr>
        <w:t>(4), 437-468.</w:t>
      </w:r>
    </w:p>
    <w:p w14:paraId="026E6830"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Prasad, A. and Mir, R. (2002). Digging Deep for Meaning: A Critical Hermeneutics Analysis of CEO Letters to Shareholders in the Oil Industry. </w:t>
      </w:r>
      <w:r w:rsidRPr="00357B96">
        <w:rPr>
          <w:rFonts w:ascii="Times New Roman" w:eastAsia="Calibri" w:hAnsi="Times New Roman" w:cs="Times New Roman"/>
          <w:i/>
          <w:sz w:val="24"/>
          <w:szCs w:val="24"/>
          <w:lang w:val="en-GB"/>
        </w:rPr>
        <w:t xml:space="preserve">Journal of Business Communication </w:t>
      </w:r>
      <w:r w:rsidRPr="00357B96">
        <w:rPr>
          <w:rFonts w:ascii="Times New Roman" w:eastAsia="Calibri" w:hAnsi="Times New Roman" w:cs="Times New Roman"/>
          <w:sz w:val="24"/>
          <w:szCs w:val="24"/>
          <w:lang w:val="en-GB"/>
        </w:rPr>
        <w:t xml:space="preserve">39, 92 – 116. </w:t>
      </w:r>
    </w:p>
    <w:p w14:paraId="609FA2B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6732704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Qiu</w:t>
      </w:r>
      <w:proofErr w:type="spellEnd"/>
      <w:r w:rsidRPr="00357B96">
        <w:rPr>
          <w:rFonts w:ascii="Times New Roman" w:eastAsia="Calibri" w:hAnsi="Times New Roman" w:cs="Times New Roman"/>
          <w:sz w:val="24"/>
          <w:szCs w:val="24"/>
          <w:lang w:val="en-GB"/>
        </w:rPr>
        <w:t xml:space="preserve">, X. Y., Srinivasan, P., and Street, N. (2006). Exploring the forecasting potential of company annual reports. </w:t>
      </w:r>
      <w:r w:rsidRPr="00357B96">
        <w:rPr>
          <w:rFonts w:ascii="Times New Roman" w:eastAsia="Calibri" w:hAnsi="Times New Roman" w:cs="Times New Roman"/>
          <w:i/>
          <w:iCs/>
          <w:sz w:val="24"/>
          <w:szCs w:val="24"/>
          <w:lang w:val="en-GB"/>
        </w:rPr>
        <w:t>Proceedings of the American Society for Information Science and Technology</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43</w:t>
      </w:r>
      <w:r w:rsidRPr="00357B96">
        <w:rPr>
          <w:rFonts w:ascii="Times New Roman" w:eastAsia="Calibri" w:hAnsi="Times New Roman" w:cs="Times New Roman"/>
          <w:sz w:val="24"/>
          <w:szCs w:val="24"/>
          <w:lang w:val="en-GB"/>
        </w:rPr>
        <w:t>(1), 1-15.</w:t>
      </w:r>
    </w:p>
    <w:p w14:paraId="1509E87A"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Reinhart, C.M. and Rogoff, K.S. (2008). Is The 2007 US Sub-Prime Financial Crisis So Different? An International Historical Comparison. National Bureau of Economic Research (NBER) Working Paper Series. Working Paper 13761</w:t>
      </w:r>
    </w:p>
    <w:p w14:paraId="382848E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C8131FC"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Seawright</w:t>
      </w:r>
      <w:proofErr w:type="spellEnd"/>
      <w:r w:rsidRPr="00357B96">
        <w:rPr>
          <w:rFonts w:ascii="Times New Roman" w:eastAsia="Calibri" w:hAnsi="Times New Roman" w:cs="Times New Roman"/>
          <w:sz w:val="24"/>
          <w:szCs w:val="24"/>
          <w:lang w:val="en-GB"/>
        </w:rPr>
        <w:t xml:space="preserve">, J., and </w:t>
      </w:r>
      <w:proofErr w:type="spellStart"/>
      <w:r w:rsidRPr="00357B96">
        <w:rPr>
          <w:rFonts w:ascii="Times New Roman" w:eastAsia="Calibri" w:hAnsi="Times New Roman" w:cs="Times New Roman"/>
          <w:sz w:val="24"/>
          <w:szCs w:val="24"/>
          <w:lang w:val="en-GB"/>
        </w:rPr>
        <w:t>Gerring</w:t>
      </w:r>
      <w:proofErr w:type="spellEnd"/>
      <w:r w:rsidRPr="00357B96">
        <w:rPr>
          <w:rFonts w:ascii="Times New Roman" w:eastAsia="Calibri" w:hAnsi="Times New Roman" w:cs="Times New Roman"/>
          <w:sz w:val="24"/>
          <w:szCs w:val="24"/>
          <w:lang w:val="en-GB"/>
        </w:rPr>
        <w:t xml:space="preserve">, J. (2008). Case Selection Techniques in Case Study Research A Menu of Qualitative and Quantitative Options. </w:t>
      </w:r>
      <w:r w:rsidRPr="00357B96">
        <w:rPr>
          <w:rFonts w:ascii="Times New Roman" w:eastAsia="Calibri" w:hAnsi="Times New Roman" w:cs="Times New Roman"/>
          <w:i/>
          <w:iCs/>
          <w:sz w:val="24"/>
          <w:szCs w:val="24"/>
          <w:lang w:val="en-GB"/>
        </w:rPr>
        <w:t>Political Research Quarterly</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61</w:t>
      </w:r>
      <w:r w:rsidRPr="00357B96">
        <w:rPr>
          <w:rFonts w:ascii="Times New Roman" w:eastAsia="Calibri" w:hAnsi="Times New Roman" w:cs="Times New Roman"/>
          <w:sz w:val="24"/>
          <w:szCs w:val="24"/>
          <w:lang w:val="en-GB"/>
        </w:rPr>
        <w:t>(2), 294-308.</w:t>
      </w:r>
    </w:p>
    <w:p w14:paraId="0367849D"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Schleicher</w:t>
      </w:r>
      <w:proofErr w:type="spellEnd"/>
      <w:r w:rsidRPr="00357B96">
        <w:rPr>
          <w:rFonts w:ascii="Times New Roman" w:eastAsia="Calibri" w:hAnsi="Times New Roman" w:cs="Times New Roman"/>
          <w:sz w:val="24"/>
          <w:szCs w:val="24"/>
          <w:lang w:val="en-GB"/>
        </w:rPr>
        <w:t xml:space="preserve">, T., </w:t>
      </w:r>
      <w:proofErr w:type="spellStart"/>
      <w:r w:rsidRPr="00357B96">
        <w:rPr>
          <w:rFonts w:ascii="Times New Roman" w:eastAsia="Calibri" w:hAnsi="Times New Roman" w:cs="Times New Roman"/>
          <w:sz w:val="24"/>
          <w:szCs w:val="24"/>
          <w:lang w:val="en-GB"/>
        </w:rPr>
        <w:t>Hussainey</w:t>
      </w:r>
      <w:proofErr w:type="spellEnd"/>
      <w:r w:rsidRPr="00357B96">
        <w:rPr>
          <w:rFonts w:ascii="Times New Roman" w:eastAsia="Calibri" w:hAnsi="Times New Roman" w:cs="Times New Roman"/>
          <w:sz w:val="24"/>
          <w:szCs w:val="24"/>
          <w:lang w:val="en-GB"/>
        </w:rPr>
        <w:t xml:space="preserve">, K., and Walker, M. (2007). Loss firms’ annual report narratives and share price anticipation of earnings. </w:t>
      </w:r>
      <w:r w:rsidRPr="00357B96">
        <w:rPr>
          <w:rFonts w:ascii="Times New Roman" w:eastAsia="Calibri" w:hAnsi="Times New Roman" w:cs="Times New Roman"/>
          <w:i/>
          <w:iCs/>
          <w:sz w:val="24"/>
          <w:szCs w:val="24"/>
          <w:lang w:val="en-GB"/>
        </w:rPr>
        <w:t>The British Accounting Review</w:t>
      </w:r>
      <w:r w:rsidRPr="00357B96">
        <w:rPr>
          <w:rFonts w:ascii="Times New Roman" w:eastAsia="Calibri" w:hAnsi="Times New Roman" w:cs="Times New Roman"/>
          <w:sz w:val="24"/>
          <w:szCs w:val="24"/>
          <w:lang w:val="en-GB"/>
        </w:rPr>
        <w:t xml:space="preserve">, </w:t>
      </w:r>
      <w:r w:rsidRPr="00357B96">
        <w:rPr>
          <w:rFonts w:ascii="Times New Roman" w:eastAsia="Calibri" w:hAnsi="Times New Roman" w:cs="Times New Roman"/>
          <w:i/>
          <w:iCs/>
          <w:sz w:val="24"/>
          <w:szCs w:val="24"/>
          <w:lang w:val="en-GB"/>
        </w:rPr>
        <w:t>39</w:t>
      </w:r>
      <w:r w:rsidRPr="00357B96">
        <w:rPr>
          <w:rFonts w:ascii="Times New Roman" w:eastAsia="Calibri" w:hAnsi="Times New Roman" w:cs="Times New Roman"/>
          <w:sz w:val="24"/>
          <w:szCs w:val="24"/>
          <w:lang w:val="en-GB"/>
        </w:rPr>
        <w:t>(2), 153-171.</w:t>
      </w:r>
    </w:p>
    <w:p w14:paraId="35573C7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6EB6D13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Sharma, S., and  Mahajan, V. (1980). Early warning indicators of business failure. </w:t>
      </w:r>
      <w:r w:rsidRPr="00357B96">
        <w:rPr>
          <w:rFonts w:ascii="Times New Roman" w:eastAsia="Calibri" w:hAnsi="Times New Roman" w:cs="Times New Roman"/>
          <w:i/>
          <w:iCs/>
          <w:sz w:val="24"/>
          <w:szCs w:val="24"/>
          <w:lang w:val="en-GB"/>
        </w:rPr>
        <w:t>The Journal of Marketing</w:t>
      </w:r>
      <w:r w:rsidRPr="00357B96">
        <w:rPr>
          <w:rFonts w:ascii="Times New Roman" w:eastAsia="Calibri" w:hAnsi="Times New Roman" w:cs="Times New Roman"/>
          <w:sz w:val="24"/>
          <w:szCs w:val="24"/>
          <w:lang w:val="en-GB"/>
        </w:rPr>
        <w:t>, 44, 80-89.</w:t>
      </w:r>
    </w:p>
    <w:p w14:paraId="7684B864"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Smith, M. and </w:t>
      </w:r>
      <w:proofErr w:type="spellStart"/>
      <w:r w:rsidRPr="00357B96">
        <w:rPr>
          <w:rFonts w:ascii="Times New Roman" w:eastAsia="Calibri" w:hAnsi="Times New Roman" w:cs="Times New Roman"/>
          <w:sz w:val="24"/>
          <w:szCs w:val="24"/>
          <w:lang w:val="en-GB"/>
        </w:rPr>
        <w:t>Taffler</w:t>
      </w:r>
      <w:proofErr w:type="spellEnd"/>
      <w:r w:rsidRPr="00357B96">
        <w:rPr>
          <w:rFonts w:ascii="Times New Roman" w:eastAsia="Calibri" w:hAnsi="Times New Roman" w:cs="Times New Roman"/>
          <w:sz w:val="24"/>
          <w:szCs w:val="24"/>
          <w:lang w:val="en-GB"/>
        </w:rPr>
        <w:t xml:space="preserve">, R.J. (2000). The Chairman’s Statement- A Content </w:t>
      </w:r>
      <w:proofErr w:type="spellStart"/>
      <w:r w:rsidRPr="00357B96">
        <w:rPr>
          <w:rFonts w:ascii="Times New Roman" w:eastAsia="Calibri" w:hAnsi="Times New Roman" w:cs="Times New Roman"/>
          <w:sz w:val="24"/>
          <w:szCs w:val="24"/>
          <w:lang w:val="en-GB"/>
        </w:rPr>
        <w:t>Analysius</w:t>
      </w:r>
      <w:proofErr w:type="spellEnd"/>
      <w:r w:rsidRPr="00357B96">
        <w:rPr>
          <w:rFonts w:ascii="Times New Roman" w:eastAsia="Calibri" w:hAnsi="Times New Roman" w:cs="Times New Roman"/>
          <w:sz w:val="24"/>
          <w:szCs w:val="24"/>
          <w:lang w:val="en-GB"/>
        </w:rPr>
        <w:t xml:space="preserve"> of Discretionary Narrative Disclosures, </w:t>
      </w:r>
      <w:r w:rsidRPr="00357B96">
        <w:rPr>
          <w:rFonts w:ascii="Times New Roman" w:eastAsia="Calibri" w:hAnsi="Times New Roman" w:cs="Times New Roman"/>
          <w:i/>
          <w:sz w:val="24"/>
          <w:szCs w:val="24"/>
          <w:lang w:val="en-GB"/>
        </w:rPr>
        <w:t>Accounting, Auditing and Accountability Journal</w:t>
      </w:r>
      <w:r w:rsidRPr="00357B96">
        <w:rPr>
          <w:rFonts w:ascii="Times New Roman" w:eastAsia="Calibri" w:hAnsi="Times New Roman" w:cs="Times New Roman"/>
          <w:sz w:val="24"/>
          <w:szCs w:val="24"/>
          <w:lang w:val="en-GB"/>
        </w:rPr>
        <w:t xml:space="preserve">, 13(5), 624-647.  </w:t>
      </w:r>
    </w:p>
    <w:p w14:paraId="5CA2C1F2"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Shin, H. S. (2009). Reflection on Northern Rock: The Bank Run That Heralded The Global Financial Crises, </w:t>
      </w:r>
      <w:r w:rsidRPr="00357B96">
        <w:rPr>
          <w:rFonts w:ascii="Times New Roman" w:eastAsia="Calibri" w:hAnsi="Times New Roman" w:cs="Times New Roman"/>
          <w:i/>
          <w:sz w:val="24"/>
          <w:szCs w:val="24"/>
          <w:lang w:val="en-GB"/>
        </w:rPr>
        <w:t>Journal of Economic Perspectives</w:t>
      </w:r>
      <w:r w:rsidRPr="00357B96">
        <w:rPr>
          <w:rFonts w:ascii="Times New Roman" w:eastAsia="Calibri" w:hAnsi="Times New Roman" w:cs="Times New Roman"/>
          <w:sz w:val="24"/>
          <w:szCs w:val="24"/>
          <w:lang w:val="en-GB"/>
        </w:rPr>
        <w:t>, 23(1), 101- 119.</w:t>
      </w:r>
    </w:p>
    <w:p w14:paraId="6AF7573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roofErr w:type="spellStart"/>
      <w:r w:rsidRPr="00357B96">
        <w:rPr>
          <w:rFonts w:ascii="Times New Roman" w:eastAsia="Calibri" w:hAnsi="Times New Roman" w:cs="Times New Roman"/>
          <w:sz w:val="24"/>
          <w:szCs w:val="24"/>
          <w:lang w:val="en-GB"/>
        </w:rPr>
        <w:t>Sydserff</w:t>
      </w:r>
      <w:proofErr w:type="spellEnd"/>
      <w:r w:rsidRPr="00357B96">
        <w:rPr>
          <w:rFonts w:ascii="Times New Roman" w:eastAsia="Calibri" w:hAnsi="Times New Roman" w:cs="Times New Roman"/>
          <w:sz w:val="24"/>
          <w:szCs w:val="24"/>
          <w:lang w:val="en-GB"/>
        </w:rPr>
        <w:t xml:space="preserve">, R. and </w:t>
      </w:r>
      <w:proofErr w:type="spellStart"/>
      <w:r w:rsidRPr="00357B96">
        <w:rPr>
          <w:rFonts w:ascii="Times New Roman" w:eastAsia="Calibri" w:hAnsi="Times New Roman" w:cs="Times New Roman"/>
          <w:sz w:val="24"/>
          <w:szCs w:val="24"/>
          <w:lang w:val="en-GB"/>
        </w:rPr>
        <w:t>Weetman</w:t>
      </w:r>
      <w:proofErr w:type="spellEnd"/>
      <w:r w:rsidRPr="00357B96">
        <w:rPr>
          <w:rFonts w:ascii="Times New Roman" w:eastAsia="Calibri" w:hAnsi="Times New Roman" w:cs="Times New Roman"/>
          <w:sz w:val="24"/>
          <w:szCs w:val="24"/>
          <w:lang w:val="en-GB"/>
        </w:rPr>
        <w:t xml:space="preserve">, P. (2002). Developments in content analysis: a transitivity index and Diction scores, </w:t>
      </w:r>
      <w:r w:rsidRPr="00357B96">
        <w:rPr>
          <w:rFonts w:ascii="Times New Roman" w:eastAsia="Calibri" w:hAnsi="Times New Roman" w:cs="Times New Roman"/>
          <w:i/>
          <w:iCs/>
          <w:sz w:val="24"/>
          <w:szCs w:val="24"/>
          <w:lang w:val="en-GB"/>
        </w:rPr>
        <w:t>Accounting, Auditing and Accountability Journal</w:t>
      </w:r>
      <w:r w:rsidRPr="00357B96">
        <w:rPr>
          <w:rFonts w:ascii="Times New Roman" w:eastAsia="Calibri" w:hAnsi="Times New Roman" w:cs="Times New Roman"/>
          <w:sz w:val="24"/>
          <w:szCs w:val="24"/>
          <w:lang w:val="en-GB"/>
        </w:rPr>
        <w:t>, 15(4),.523-45</w:t>
      </w:r>
    </w:p>
    <w:p w14:paraId="2DDA1EA5"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23D65A0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Tennyson, B.M., Ingram, R.W. and Dugan, M.T. (1990). Assessing the information content of narrative disclosures in explaining bankruptcy. </w:t>
      </w:r>
      <w:r w:rsidRPr="00357B96">
        <w:rPr>
          <w:rFonts w:ascii="Times New Roman" w:eastAsia="Calibri" w:hAnsi="Times New Roman" w:cs="Times New Roman"/>
          <w:i/>
          <w:iCs/>
          <w:sz w:val="24"/>
          <w:szCs w:val="24"/>
          <w:lang w:val="en-GB"/>
        </w:rPr>
        <w:t>Journal of Business Finance and Accounting</w:t>
      </w:r>
      <w:r w:rsidRPr="00357B96">
        <w:rPr>
          <w:rFonts w:ascii="Times New Roman" w:eastAsia="Calibri" w:hAnsi="Times New Roman" w:cs="Times New Roman"/>
          <w:sz w:val="24"/>
          <w:szCs w:val="24"/>
          <w:lang w:val="en-GB"/>
        </w:rPr>
        <w:t>, 17(3): 391–410.</w:t>
      </w:r>
    </w:p>
    <w:p w14:paraId="7147F629"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p>
    <w:p w14:paraId="70BB7143" w14:textId="77777777" w:rsidR="00357B96" w:rsidRPr="00357B96" w:rsidRDefault="00357B96" w:rsidP="00F307BB">
      <w:pPr>
        <w:spacing w:after="0" w:line="240" w:lineRule="auto"/>
        <w:ind w:left="777" w:hanging="720"/>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Trevelyan, R. (2008). Optimism, overconfidence and entrepreneurial activity, </w:t>
      </w:r>
      <w:r w:rsidRPr="00357B96">
        <w:rPr>
          <w:rFonts w:ascii="Times New Roman" w:eastAsia="Calibri" w:hAnsi="Times New Roman" w:cs="Times New Roman"/>
          <w:i/>
          <w:iCs/>
          <w:sz w:val="24"/>
          <w:szCs w:val="24"/>
          <w:lang w:val="en-GB"/>
        </w:rPr>
        <w:t>Management Decision</w:t>
      </w:r>
      <w:r w:rsidRPr="00357B96">
        <w:rPr>
          <w:rFonts w:ascii="Times New Roman" w:eastAsia="Calibri" w:hAnsi="Times New Roman" w:cs="Times New Roman"/>
          <w:sz w:val="24"/>
          <w:szCs w:val="24"/>
          <w:lang w:val="en-GB"/>
        </w:rPr>
        <w:t>, </w:t>
      </w:r>
      <w:r w:rsidRPr="00357B96">
        <w:rPr>
          <w:rFonts w:ascii="Times New Roman" w:eastAsia="Calibri" w:hAnsi="Times New Roman" w:cs="Times New Roman"/>
          <w:i/>
          <w:iCs/>
          <w:sz w:val="24"/>
          <w:szCs w:val="24"/>
          <w:lang w:val="en-GB"/>
        </w:rPr>
        <w:t>46</w:t>
      </w:r>
      <w:r w:rsidRPr="00357B96">
        <w:rPr>
          <w:rFonts w:ascii="Times New Roman" w:eastAsia="Calibri" w:hAnsi="Times New Roman" w:cs="Times New Roman"/>
          <w:sz w:val="24"/>
          <w:szCs w:val="24"/>
          <w:lang w:val="en-GB"/>
        </w:rPr>
        <w:t>(7), 986-1001</w:t>
      </w:r>
    </w:p>
    <w:p w14:paraId="61F5069B" w14:textId="77777777" w:rsidR="00357B96" w:rsidRDefault="00357B96" w:rsidP="00F307BB">
      <w:pPr>
        <w:spacing w:after="0" w:line="240" w:lineRule="auto"/>
        <w:jc w:val="both"/>
        <w:rPr>
          <w:rFonts w:ascii="Times New Roman" w:eastAsia="Calibri" w:hAnsi="Times New Roman" w:cs="Times New Roman"/>
          <w:sz w:val="24"/>
          <w:szCs w:val="24"/>
          <w:lang w:val="en-GB"/>
        </w:rPr>
      </w:pPr>
    </w:p>
    <w:p w14:paraId="7899C87F" w14:textId="77777777" w:rsidR="00DD48C1" w:rsidRDefault="00DD48C1" w:rsidP="00F307BB">
      <w:pPr>
        <w:spacing w:after="0" w:line="240" w:lineRule="auto"/>
        <w:jc w:val="both"/>
        <w:rPr>
          <w:rFonts w:ascii="Times New Roman" w:eastAsia="Calibri" w:hAnsi="Times New Roman" w:cs="Times New Roman"/>
          <w:sz w:val="24"/>
          <w:szCs w:val="24"/>
          <w:lang w:val="en-GB"/>
        </w:rPr>
      </w:pPr>
    </w:p>
    <w:p w14:paraId="3EADA9E5" w14:textId="77777777" w:rsidR="00DD48C1" w:rsidRDefault="00DD48C1" w:rsidP="00F307BB">
      <w:pPr>
        <w:spacing w:after="0" w:line="240" w:lineRule="auto"/>
        <w:jc w:val="both"/>
        <w:rPr>
          <w:rFonts w:ascii="Times New Roman" w:eastAsia="Calibri" w:hAnsi="Times New Roman" w:cs="Times New Roman"/>
          <w:sz w:val="24"/>
          <w:szCs w:val="24"/>
          <w:lang w:val="en-GB"/>
        </w:rPr>
      </w:pPr>
    </w:p>
    <w:p w14:paraId="275B967A" w14:textId="77777777" w:rsidR="00DD48C1" w:rsidRDefault="00DD48C1" w:rsidP="00F307BB">
      <w:pPr>
        <w:spacing w:after="0" w:line="240" w:lineRule="auto"/>
        <w:jc w:val="both"/>
        <w:rPr>
          <w:rFonts w:ascii="Times New Roman" w:eastAsia="Calibri" w:hAnsi="Times New Roman" w:cs="Times New Roman"/>
          <w:sz w:val="24"/>
          <w:szCs w:val="24"/>
          <w:lang w:val="en-GB"/>
        </w:rPr>
      </w:pPr>
    </w:p>
    <w:p w14:paraId="7FA88974" w14:textId="77777777" w:rsidR="00DD48C1" w:rsidRPr="00357B96" w:rsidRDefault="00DD48C1" w:rsidP="00F307BB">
      <w:pPr>
        <w:spacing w:after="0" w:line="240" w:lineRule="auto"/>
        <w:jc w:val="both"/>
        <w:rPr>
          <w:rFonts w:ascii="Times New Roman" w:eastAsia="Calibri" w:hAnsi="Times New Roman" w:cs="Times New Roman"/>
          <w:sz w:val="24"/>
          <w:szCs w:val="24"/>
          <w:lang w:val="en-GB"/>
        </w:rPr>
      </w:pPr>
    </w:p>
    <w:p w14:paraId="100B5E79"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lastRenderedPageBreak/>
        <w:t xml:space="preserve">Appendices </w:t>
      </w:r>
    </w:p>
    <w:p w14:paraId="1F340C98"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Forward looking Word Lists </w:t>
      </w:r>
    </w:p>
    <w:tbl>
      <w:tblPr>
        <w:tblW w:w="8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2946"/>
      </w:tblGrid>
      <w:tr w:rsidR="00357B96" w:rsidRPr="00357B96" w14:paraId="7F2EE4D1" w14:textId="77777777" w:rsidTr="00AF10A4">
        <w:trPr>
          <w:trHeight w:val="20"/>
          <w:jc w:val="center"/>
        </w:trPr>
        <w:tc>
          <w:tcPr>
            <w:tcW w:w="2660" w:type="dxa"/>
          </w:tcPr>
          <w:p w14:paraId="2AD3E56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Accelerate </w:t>
            </w:r>
          </w:p>
        </w:tc>
        <w:tc>
          <w:tcPr>
            <w:tcW w:w="2410" w:type="dxa"/>
          </w:tcPr>
          <w:p w14:paraId="1E13A2F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Anticipate</w:t>
            </w:r>
          </w:p>
        </w:tc>
        <w:tc>
          <w:tcPr>
            <w:tcW w:w="2946" w:type="dxa"/>
          </w:tcPr>
          <w:p w14:paraId="72609B3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Await</w:t>
            </w:r>
          </w:p>
        </w:tc>
      </w:tr>
      <w:tr w:rsidR="00357B96" w:rsidRPr="00357B96" w14:paraId="7DD886D3" w14:textId="77777777" w:rsidTr="00AF10A4">
        <w:trPr>
          <w:trHeight w:val="20"/>
          <w:jc w:val="center"/>
        </w:trPr>
        <w:tc>
          <w:tcPr>
            <w:tcW w:w="2660" w:type="dxa"/>
          </w:tcPr>
          <w:p w14:paraId="450D185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Coming –year </w:t>
            </w:r>
          </w:p>
        </w:tc>
        <w:tc>
          <w:tcPr>
            <w:tcW w:w="2410" w:type="dxa"/>
          </w:tcPr>
          <w:p w14:paraId="226BA98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Months </w:t>
            </w:r>
          </w:p>
        </w:tc>
        <w:tc>
          <w:tcPr>
            <w:tcW w:w="2946" w:type="dxa"/>
          </w:tcPr>
          <w:p w14:paraId="17539DC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Confidence</w:t>
            </w:r>
          </w:p>
        </w:tc>
      </w:tr>
      <w:tr w:rsidR="00357B96" w:rsidRPr="00357B96" w14:paraId="741BD349" w14:textId="77777777" w:rsidTr="00AF10A4">
        <w:trPr>
          <w:trHeight w:val="20"/>
          <w:jc w:val="center"/>
        </w:trPr>
        <w:tc>
          <w:tcPr>
            <w:tcW w:w="2660" w:type="dxa"/>
          </w:tcPr>
          <w:p w14:paraId="76B93AF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Confident </w:t>
            </w:r>
          </w:p>
        </w:tc>
        <w:tc>
          <w:tcPr>
            <w:tcW w:w="2410" w:type="dxa"/>
          </w:tcPr>
          <w:p w14:paraId="3B173E2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Convince</w:t>
            </w:r>
          </w:p>
        </w:tc>
        <w:tc>
          <w:tcPr>
            <w:tcW w:w="2946" w:type="dxa"/>
          </w:tcPr>
          <w:p w14:paraId="05B7B80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Current </w:t>
            </w:r>
          </w:p>
        </w:tc>
      </w:tr>
      <w:tr w:rsidR="00357B96" w:rsidRPr="00357B96" w14:paraId="69654C8B" w14:textId="77777777" w:rsidTr="00AF10A4">
        <w:trPr>
          <w:trHeight w:val="20"/>
          <w:jc w:val="center"/>
        </w:trPr>
        <w:tc>
          <w:tcPr>
            <w:tcW w:w="2660" w:type="dxa"/>
          </w:tcPr>
          <w:p w14:paraId="6A85833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Financial year </w:t>
            </w:r>
          </w:p>
        </w:tc>
        <w:tc>
          <w:tcPr>
            <w:tcW w:w="2410" w:type="dxa"/>
          </w:tcPr>
          <w:p w14:paraId="1F06C96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Envisage</w:t>
            </w:r>
          </w:p>
        </w:tc>
        <w:tc>
          <w:tcPr>
            <w:tcW w:w="2946" w:type="dxa"/>
          </w:tcPr>
          <w:p w14:paraId="6268CBF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Eventual </w:t>
            </w:r>
          </w:p>
        </w:tc>
      </w:tr>
      <w:tr w:rsidR="00357B96" w:rsidRPr="00357B96" w14:paraId="728841AC" w14:textId="77777777" w:rsidTr="00AF10A4">
        <w:trPr>
          <w:trHeight w:val="20"/>
          <w:jc w:val="center"/>
        </w:trPr>
        <w:tc>
          <w:tcPr>
            <w:tcW w:w="2660" w:type="dxa"/>
          </w:tcPr>
          <w:p w14:paraId="6E3668D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Expect</w:t>
            </w:r>
          </w:p>
        </w:tc>
        <w:tc>
          <w:tcPr>
            <w:tcW w:w="2410" w:type="dxa"/>
          </w:tcPr>
          <w:p w14:paraId="3860824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Forecasts</w:t>
            </w:r>
          </w:p>
        </w:tc>
        <w:tc>
          <w:tcPr>
            <w:tcW w:w="2946" w:type="dxa"/>
          </w:tcPr>
          <w:p w14:paraId="6972C1F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Forthcoming</w:t>
            </w:r>
          </w:p>
        </w:tc>
      </w:tr>
      <w:tr w:rsidR="00357B96" w:rsidRPr="00357B96" w14:paraId="22F048D5" w14:textId="77777777" w:rsidTr="00AF10A4">
        <w:trPr>
          <w:trHeight w:val="20"/>
          <w:jc w:val="center"/>
        </w:trPr>
        <w:tc>
          <w:tcPr>
            <w:tcW w:w="2660" w:type="dxa"/>
          </w:tcPr>
          <w:p w14:paraId="704C69F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Hope</w:t>
            </w:r>
          </w:p>
        </w:tc>
        <w:tc>
          <w:tcPr>
            <w:tcW w:w="2410" w:type="dxa"/>
          </w:tcPr>
          <w:p w14:paraId="3E8A9D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Intend</w:t>
            </w:r>
          </w:p>
        </w:tc>
        <w:tc>
          <w:tcPr>
            <w:tcW w:w="2946" w:type="dxa"/>
          </w:tcPr>
          <w:p w14:paraId="66D560D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Unlikely</w:t>
            </w:r>
          </w:p>
        </w:tc>
      </w:tr>
      <w:tr w:rsidR="00357B96" w:rsidRPr="00357B96" w14:paraId="0F976B73" w14:textId="77777777" w:rsidTr="00AF10A4">
        <w:trPr>
          <w:trHeight w:val="20"/>
          <w:jc w:val="center"/>
        </w:trPr>
        <w:tc>
          <w:tcPr>
            <w:tcW w:w="2660" w:type="dxa"/>
          </w:tcPr>
          <w:p w14:paraId="7726E6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Likely</w:t>
            </w:r>
          </w:p>
        </w:tc>
        <w:tc>
          <w:tcPr>
            <w:tcW w:w="2410" w:type="dxa"/>
          </w:tcPr>
          <w:p w14:paraId="2A649AA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Ahead</w:t>
            </w:r>
          </w:p>
        </w:tc>
        <w:tc>
          <w:tcPr>
            <w:tcW w:w="2946" w:type="dxa"/>
          </w:tcPr>
          <w:p w14:paraId="708DEBA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Next</w:t>
            </w:r>
          </w:p>
        </w:tc>
      </w:tr>
      <w:tr w:rsidR="00357B96" w:rsidRPr="00357B96" w14:paraId="5A6BC053" w14:textId="77777777" w:rsidTr="00AF10A4">
        <w:trPr>
          <w:trHeight w:val="20"/>
          <w:jc w:val="center"/>
        </w:trPr>
        <w:tc>
          <w:tcPr>
            <w:tcW w:w="2660" w:type="dxa"/>
          </w:tcPr>
          <w:p w14:paraId="3F01CA5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Novel </w:t>
            </w:r>
          </w:p>
        </w:tc>
        <w:tc>
          <w:tcPr>
            <w:tcW w:w="2410" w:type="dxa"/>
          </w:tcPr>
          <w:p w14:paraId="42BCEC0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Optimistic </w:t>
            </w:r>
          </w:p>
        </w:tc>
        <w:tc>
          <w:tcPr>
            <w:tcW w:w="2946" w:type="dxa"/>
          </w:tcPr>
          <w:p w14:paraId="64B6F89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Outlook</w:t>
            </w:r>
          </w:p>
        </w:tc>
      </w:tr>
      <w:tr w:rsidR="00357B96" w:rsidRPr="00357B96" w14:paraId="5E12C77B" w14:textId="77777777" w:rsidTr="00AF10A4">
        <w:trPr>
          <w:trHeight w:val="20"/>
          <w:jc w:val="center"/>
        </w:trPr>
        <w:tc>
          <w:tcPr>
            <w:tcW w:w="2660" w:type="dxa"/>
          </w:tcPr>
          <w:p w14:paraId="72BE199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Plan</w:t>
            </w:r>
          </w:p>
        </w:tc>
        <w:tc>
          <w:tcPr>
            <w:tcW w:w="2410" w:type="dxa"/>
          </w:tcPr>
          <w:p w14:paraId="01E80C0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Planning</w:t>
            </w:r>
          </w:p>
        </w:tc>
        <w:tc>
          <w:tcPr>
            <w:tcW w:w="2946" w:type="dxa"/>
          </w:tcPr>
          <w:p w14:paraId="3E22F4B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Predict</w:t>
            </w:r>
          </w:p>
        </w:tc>
      </w:tr>
      <w:tr w:rsidR="00357B96" w:rsidRPr="00357B96" w14:paraId="17A99550" w14:textId="77777777" w:rsidTr="00AF10A4">
        <w:trPr>
          <w:trHeight w:val="20"/>
          <w:jc w:val="center"/>
        </w:trPr>
        <w:tc>
          <w:tcPr>
            <w:tcW w:w="2660" w:type="dxa"/>
          </w:tcPr>
          <w:p w14:paraId="117B909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Remain</w:t>
            </w:r>
          </w:p>
        </w:tc>
        <w:tc>
          <w:tcPr>
            <w:tcW w:w="2410" w:type="dxa"/>
          </w:tcPr>
          <w:p w14:paraId="4C67326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New</w:t>
            </w:r>
          </w:p>
        </w:tc>
        <w:tc>
          <w:tcPr>
            <w:tcW w:w="2946" w:type="dxa"/>
          </w:tcPr>
          <w:p w14:paraId="2E052D5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Shall </w:t>
            </w:r>
          </w:p>
        </w:tc>
      </w:tr>
      <w:tr w:rsidR="00357B96" w:rsidRPr="00357B96" w14:paraId="35364966" w14:textId="77777777" w:rsidTr="00AF10A4">
        <w:trPr>
          <w:trHeight w:val="20"/>
          <w:jc w:val="center"/>
        </w:trPr>
        <w:tc>
          <w:tcPr>
            <w:tcW w:w="2660" w:type="dxa"/>
          </w:tcPr>
          <w:p w14:paraId="5FD1D9B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Scope</w:t>
            </w:r>
          </w:p>
        </w:tc>
        <w:tc>
          <w:tcPr>
            <w:tcW w:w="2410" w:type="dxa"/>
          </w:tcPr>
          <w:p w14:paraId="1099BEB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Shortly</w:t>
            </w:r>
          </w:p>
        </w:tc>
        <w:tc>
          <w:tcPr>
            <w:tcW w:w="2946" w:type="dxa"/>
          </w:tcPr>
          <w:p w14:paraId="75360A4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Soon</w:t>
            </w:r>
          </w:p>
        </w:tc>
      </w:tr>
      <w:tr w:rsidR="00357B96" w:rsidRPr="00357B96" w14:paraId="4DC8E49F" w14:textId="77777777" w:rsidTr="00AF10A4">
        <w:trPr>
          <w:trHeight w:val="20"/>
          <w:jc w:val="center"/>
        </w:trPr>
        <w:tc>
          <w:tcPr>
            <w:tcW w:w="2660" w:type="dxa"/>
          </w:tcPr>
          <w:p w14:paraId="7EAA99A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Will</w:t>
            </w:r>
          </w:p>
        </w:tc>
        <w:tc>
          <w:tcPr>
            <w:tcW w:w="2410" w:type="dxa"/>
          </w:tcPr>
          <w:p w14:paraId="71D5A66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Target</w:t>
            </w:r>
          </w:p>
        </w:tc>
        <w:tc>
          <w:tcPr>
            <w:tcW w:w="2946" w:type="dxa"/>
          </w:tcPr>
          <w:p w14:paraId="2C5ED97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Objective</w:t>
            </w:r>
          </w:p>
        </w:tc>
      </w:tr>
      <w:tr w:rsidR="00357B96" w:rsidRPr="00357B96" w14:paraId="583E1E2B" w14:textId="77777777" w:rsidTr="00AF10A4">
        <w:trPr>
          <w:trHeight w:val="20"/>
          <w:jc w:val="center"/>
        </w:trPr>
        <w:tc>
          <w:tcPr>
            <w:tcW w:w="2660" w:type="dxa"/>
          </w:tcPr>
          <w:p w14:paraId="2EF78B6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Continue</w:t>
            </w:r>
          </w:p>
        </w:tc>
        <w:tc>
          <w:tcPr>
            <w:tcW w:w="2410" w:type="dxa"/>
          </w:tcPr>
          <w:p w14:paraId="69AC51A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Goal </w:t>
            </w:r>
          </w:p>
        </w:tc>
        <w:tc>
          <w:tcPr>
            <w:tcW w:w="2946" w:type="dxa"/>
          </w:tcPr>
          <w:p w14:paraId="12C6307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Risk</w:t>
            </w:r>
          </w:p>
        </w:tc>
      </w:tr>
      <w:tr w:rsidR="00357B96" w:rsidRPr="00357B96" w14:paraId="7541D1F6" w14:textId="77777777" w:rsidTr="00AF10A4">
        <w:trPr>
          <w:trHeight w:val="20"/>
          <w:jc w:val="center"/>
        </w:trPr>
        <w:tc>
          <w:tcPr>
            <w:tcW w:w="2660" w:type="dxa"/>
          </w:tcPr>
          <w:p w14:paraId="621848C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Value at risks</w:t>
            </w:r>
          </w:p>
        </w:tc>
        <w:tc>
          <w:tcPr>
            <w:tcW w:w="2410" w:type="dxa"/>
          </w:tcPr>
          <w:p w14:paraId="58AC4551"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Probability </w:t>
            </w:r>
          </w:p>
        </w:tc>
        <w:tc>
          <w:tcPr>
            <w:tcW w:w="2946" w:type="dxa"/>
          </w:tcPr>
          <w:p w14:paraId="63EC248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Future </w:t>
            </w:r>
          </w:p>
        </w:tc>
      </w:tr>
    </w:tbl>
    <w:p w14:paraId="7920CDC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7A83AF4C"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 xml:space="preserve">Optimistic Enhancing Words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928"/>
        <w:gridCol w:w="1639"/>
        <w:gridCol w:w="1984"/>
        <w:gridCol w:w="1701"/>
      </w:tblGrid>
      <w:tr w:rsidR="00357B96" w:rsidRPr="00357B96" w14:paraId="73F67FA8" w14:textId="77777777" w:rsidTr="00AF10A4">
        <w:trPr>
          <w:trHeight w:val="20"/>
          <w:jc w:val="center"/>
        </w:trPr>
        <w:tc>
          <w:tcPr>
            <w:tcW w:w="1928" w:type="dxa"/>
          </w:tcPr>
          <w:p w14:paraId="28E8ECA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Increasing </w:t>
            </w:r>
          </w:p>
        </w:tc>
        <w:tc>
          <w:tcPr>
            <w:tcW w:w="1928" w:type="dxa"/>
          </w:tcPr>
          <w:p w14:paraId="0ACA6CE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Increase</w:t>
            </w:r>
          </w:p>
        </w:tc>
        <w:tc>
          <w:tcPr>
            <w:tcW w:w="1639" w:type="dxa"/>
          </w:tcPr>
          <w:p w14:paraId="12C084E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Improve</w:t>
            </w:r>
          </w:p>
        </w:tc>
        <w:tc>
          <w:tcPr>
            <w:tcW w:w="1984" w:type="dxa"/>
          </w:tcPr>
          <w:p w14:paraId="7EB85BF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Improvement</w:t>
            </w:r>
          </w:p>
        </w:tc>
        <w:tc>
          <w:tcPr>
            <w:tcW w:w="1701" w:type="dxa"/>
          </w:tcPr>
          <w:p w14:paraId="01AD648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Improving </w:t>
            </w:r>
          </w:p>
        </w:tc>
      </w:tr>
      <w:tr w:rsidR="00357B96" w:rsidRPr="00357B96" w14:paraId="6BAC32EB" w14:textId="77777777" w:rsidTr="00AF10A4">
        <w:trPr>
          <w:trHeight w:val="20"/>
          <w:jc w:val="center"/>
        </w:trPr>
        <w:tc>
          <w:tcPr>
            <w:tcW w:w="1928" w:type="dxa"/>
          </w:tcPr>
          <w:p w14:paraId="528C507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Favourable </w:t>
            </w:r>
          </w:p>
        </w:tc>
        <w:tc>
          <w:tcPr>
            <w:tcW w:w="1928" w:type="dxa"/>
          </w:tcPr>
          <w:p w14:paraId="6BF7962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Rise </w:t>
            </w:r>
          </w:p>
        </w:tc>
        <w:tc>
          <w:tcPr>
            <w:tcW w:w="1639" w:type="dxa"/>
          </w:tcPr>
          <w:p w14:paraId="14486DD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Rising </w:t>
            </w:r>
          </w:p>
        </w:tc>
        <w:tc>
          <w:tcPr>
            <w:tcW w:w="1984" w:type="dxa"/>
          </w:tcPr>
          <w:p w14:paraId="39AA03B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Benefit </w:t>
            </w:r>
          </w:p>
        </w:tc>
        <w:tc>
          <w:tcPr>
            <w:tcW w:w="1701" w:type="dxa"/>
          </w:tcPr>
          <w:p w14:paraId="4A5CF83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Benefiting </w:t>
            </w:r>
          </w:p>
        </w:tc>
      </w:tr>
      <w:tr w:rsidR="00357B96" w:rsidRPr="00357B96" w14:paraId="04CDC9BE" w14:textId="77777777" w:rsidTr="00AF10A4">
        <w:trPr>
          <w:trHeight w:val="20"/>
          <w:jc w:val="center"/>
        </w:trPr>
        <w:tc>
          <w:tcPr>
            <w:tcW w:w="1928" w:type="dxa"/>
          </w:tcPr>
          <w:p w14:paraId="482A5DC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Benefits </w:t>
            </w:r>
          </w:p>
        </w:tc>
        <w:tc>
          <w:tcPr>
            <w:tcW w:w="1928" w:type="dxa"/>
          </w:tcPr>
          <w:p w14:paraId="1C5B7CA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Forward</w:t>
            </w:r>
          </w:p>
        </w:tc>
        <w:tc>
          <w:tcPr>
            <w:tcW w:w="1639" w:type="dxa"/>
          </w:tcPr>
          <w:p w14:paraId="7CCA97D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Upwards</w:t>
            </w:r>
          </w:p>
        </w:tc>
        <w:tc>
          <w:tcPr>
            <w:tcW w:w="1984" w:type="dxa"/>
          </w:tcPr>
          <w:p w14:paraId="033101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Opportunity </w:t>
            </w:r>
          </w:p>
        </w:tc>
        <w:tc>
          <w:tcPr>
            <w:tcW w:w="1701" w:type="dxa"/>
          </w:tcPr>
          <w:p w14:paraId="0A0534F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Advantage</w:t>
            </w:r>
          </w:p>
        </w:tc>
      </w:tr>
      <w:tr w:rsidR="00357B96" w:rsidRPr="00357B96" w14:paraId="1BE05E5B" w14:textId="77777777" w:rsidTr="00AF10A4">
        <w:trPr>
          <w:trHeight w:val="20"/>
          <w:jc w:val="center"/>
        </w:trPr>
        <w:tc>
          <w:tcPr>
            <w:tcW w:w="1928" w:type="dxa"/>
          </w:tcPr>
          <w:p w14:paraId="65C1389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Growth </w:t>
            </w:r>
          </w:p>
        </w:tc>
        <w:tc>
          <w:tcPr>
            <w:tcW w:w="1928" w:type="dxa"/>
          </w:tcPr>
          <w:p w14:paraId="40A584E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Income </w:t>
            </w:r>
          </w:p>
        </w:tc>
        <w:tc>
          <w:tcPr>
            <w:tcW w:w="1639" w:type="dxa"/>
          </w:tcPr>
          <w:p w14:paraId="28E868C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Revenue </w:t>
            </w:r>
          </w:p>
        </w:tc>
        <w:tc>
          <w:tcPr>
            <w:tcW w:w="1984" w:type="dxa"/>
          </w:tcPr>
          <w:p w14:paraId="7707C85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Profit</w:t>
            </w:r>
          </w:p>
        </w:tc>
        <w:tc>
          <w:tcPr>
            <w:tcW w:w="1701" w:type="dxa"/>
          </w:tcPr>
          <w:p w14:paraId="009CD69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Profitable </w:t>
            </w:r>
          </w:p>
        </w:tc>
      </w:tr>
      <w:tr w:rsidR="00357B96" w:rsidRPr="00357B96" w14:paraId="269B829E" w14:textId="77777777" w:rsidTr="00AF10A4">
        <w:trPr>
          <w:trHeight w:val="20"/>
          <w:jc w:val="center"/>
        </w:trPr>
        <w:tc>
          <w:tcPr>
            <w:tcW w:w="1928" w:type="dxa"/>
          </w:tcPr>
          <w:p w14:paraId="09908F3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Efficiency </w:t>
            </w:r>
          </w:p>
        </w:tc>
        <w:tc>
          <w:tcPr>
            <w:tcW w:w="1928" w:type="dxa"/>
          </w:tcPr>
          <w:p w14:paraId="09D230B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Effectiveness</w:t>
            </w:r>
          </w:p>
        </w:tc>
        <w:tc>
          <w:tcPr>
            <w:tcW w:w="1639" w:type="dxa"/>
          </w:tcPr>
          <w:p w14:paraId="5FA4B45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Overcome </w:t>
            </w:r>
          </w:p>
        </w:tc>
        <w:tc>
          <w:tcPr>
            <w:tcW w:w="1984" w:type="dxa"/>
          </w:tcPr>
          <w:p w14:paraId="4CA832F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Success</w:t>
            </w:r>
          </w:p>
        </w:tc>
        <w:tc>
          <w:tcPr>
            <w:tcW w:w="1701" w:type="dxa"/>
          </w:tcPr>
          <w:p w14:paraId="6BB8AB9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Successful </w:t>
            </w:r>
          </w:p>
        </w:tc>
      </w:tr>
      <w:tr w:rsidR="00357B96" w:rsidRPr="00357B96" w14:paraId="311527DB" w14:textId="77777777" w:rsidTr="00AF10A4">
        <w:trPr>
          <w:trHeight w:val="20"/>
          <w:jc w:val="center"/>
        </w:trPr>
        <w:tc>
          <w:tcPr>
            <w:tcW w:w="1928" w:type="dxa"/>
          </w:tcPr>
          <w:p w14:paraId="36EEBB3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Successfully</w:t>
            </w:r>
          </w:p>
        </w:tc>
        <w:tc>
          <w:tcPr>
            <w:tcW w:w="1928" w:type="dxa"/>
          </w:tcPr>
          <w:p w14:paraId="7F921D2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Earnings</w:t>
            </w:r>
          </w:p>
        </w:tc>
        <w:tc>
          <w:tcPr>
            <w:tcW w:w="1639" w:type="dxa"/>
          </w:tcPr>
          <w:p w14:paraId="2376378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Earning </w:t>
            </w:r>
          </w:p>
        </w:tc>
        <w:tc>
          <w:tcPr>
            <w:tcW w:w="1984" w:type="dxa"/>
          </w:tcPr>
          <w:p w14:paraId="093C99A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c>
          <w:tcPr>
            <w:tcW w:w="1701" w:type="dxa"/>
          </w:tcPr>
          <w:p w14:paraId="74DF2ED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bl>
    <w:p w14:paraId="13A6BB2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7E6587CC" w14:textId="77777777" w:rsidR="00357B96" w:rsidRPr="00357B96" w:rsidRDefault="00357B96" w:rsidP="00F307BB">
      <w:pPr>
        <w:spacing w:after="0" w:line="240" w:lineRule="auto"/>
        <w:jc w:val="both"/>
        <w:rPr>
          <w:rFonts w:ascii="Times New Roman" w:eastAsia="Calibri" w:hAnsi="Times New Roman" w:cs="Times New Roman"/>
          <w:b/>
          <w:sz w:val="24"/>
          <w:szCs w:val="24"/>
          <w:lang w:val="en-GB"/>
        </w:rPr>
      </w:pPr>
      <w:r w:rsidRPr="00357B96">
        <w:rPr>
          <w:rFonts w:ascii="Times New Roman" w:eastAsia="Calibri" w:hAnsi="Times New Roman" w:cs="Times New Roman"/>
          <w:b/>
          <w:sz w:val="24"/>
          <w:szCs w:val="24"/>
          <w:lang w:val="en-GB"/>
        </w:rPr>
        <w:t>Pessimistic Enhancing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848"/>
        <w:gridCol w:w="1848"/>
        <w:gridCol w:w="1849"/>
        <w:gridCol w:w="1849"/>
      </w:tblGrid>
      <w:tr w:rsidR="00357B96" w:rsidRPr="00357B96" w14:paraId="48231501" w14:textId="77777777" w:rsidTr="00AF10A4">
        <w:tc>
          <w:tcPr>
            <w:tcW w:w="1848" w:type="dxa"/>
          </w:tcPr>
          <w:p w14:paraId="1817A0C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Decrease</w:t>
            </w:r>
          </w:p>
        </w:tc>
        <w:tc>
          <w:tcPr>
            <w:tcW w:w="1848" w:type="dxa"/>
          </w:tcPr>
          <w:p w14:paraId="5D7F11D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Decreasing </w:t>
            </w:r>
          </w:p>
        </w:tc>
        <w:tc>
          <w:tcPr>
            <w:tcW w:w="1848" w:type="dxa"/>
          </w:tcPr>
          <w:p w14:paraId="6EDD078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Lower</w:t>
            </w:r>
          </w:p>
        </w:tc>
        <w:tc>
          <w:tcPr>
            <w:tcW w:w="1849" w:type="dxa"/>
          </w:tcPr>
          <w:p w14:paraId="3076A16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 Below</w:t>
            </w:r>
          </w:p>
        </w:tc>
        <w:tc>
          <w:tcPr>
            <w:tcW w:w="1849" w:type="dxa"/>
          </w:tcPr>
          <w:p w14:paraId="5219F04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Exposure </w:t>
            </w:r>
          </w:p>
        </w:tc>
      </w:tr>
      <w:tr w:rsidR="00357B96" w:rsidRPr="00357B96" w14:paraId="256FA270" w14:textId="77777777" w:rsidTr="00AF10A4">
        <w:tc>
          <w:tcPr>
            <w:tcW w:w="1848" w:type="dxa"/>
          </w:tcPr>
          <w:p w14:paraId="04E998F7"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Minimal </w:t>
            </w:r>
          </w:p>
        </w:tc>
        <w:tc>
          <w:tcPr>
            <w:tcW w:w="1848" w:type="dxa"/>
          </w:tcPr>
          <w:p w14:paraId="109DE7C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Not </w:t>
            </w:r>
          </w:p>
        </w:tc>
        <w:tc>
          <w:tcPr>
            <w:tcW w:w="1848" w:type="dxa"/>
          </w:tcPr>
          <w:p w14:paraId="14D202B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Downward</w:t>
            </w:r>
          </w:p>
        </w:tc>
        <w:tc>
          <w:tcPr>
            <w:tcW w:w="1849" w:type="dxa"/>
          </w:tcPr>
          <w:p w14:paraId="57BF8B4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Backward</w:t>
            </w:r>
          </w:p>
        </w:tc>
        <w:tc>
          <w:tcPr>
            <w:tcW w:w="1849" w:type="dxa"/>
          </w:tcPr>
          <w:p w14:paraId="6A504B8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Falling </w:t>
            </w:r>
          </w:p>
        </w:tc>
      </w:tr>
      <w:tr w:rsidR="00357B96" w:rsidRPr="00357B96" w14:paraId="59164AF7" w14:textId="77777777" w:rsidTr="00AF10A4">
        <w:tc>
          <w:tcPr>
            <w:tcW w:w="1848" w:type="dxa"/>
          </w:tcPr>
          <w:p w14:paraId="46B7755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Fall </w:t>
            </w:r>
          </w:p>
        </w:tc>
        <w:tc>
          <w:tcPr>
            <w:tcW w:w="1848" w:type="dxa"/>
          </w:tcPr>
          <w:p w14:paraId="071D2522"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Dangerously</w:t>
            </w:r>
          </w:p>
        </w:tc>
        <w:tc>
          <w:tcPr>
            <w:tcW w:w="1848" w:type="dxa"/>
          </w:tcPr>
          <w:p w14:paraId="0426485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Unfortunately </w:t>
            </w:r>
          </w:p>
        </w:tc>
        <w:tc>
          <w:tcPr>
            <w:tcW w:w="1849" w:type="dxa"/>
          </w:tcPr>
          <w:p w14:paraId="4BB30EC5"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Expenses</w:t>
            </w:r>
          </w:p>
        </w:tc>
        <w:tc>
          <w:tcPr>
            <w:tcW w:w="1849" w:type="dxa"/>
          </w:tcPr>
          <w:p w14:paraId="2F4A867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Costs</w:t>
            </w:r>
          </w:p>
        </w:tc>
      </w:tr>
      <w:tr w:rsidR="00357B96" w:rsidRPr="00357B96" w14:paraId="6EAF61B4" w14:textId="77777777" w:rsidTr="00AF10A4">
        <w:tc>
          <w:tcPr>
            <w:tcW w:w="1848" w:type="dxa"/>
          </w:tcPr>
          <w:p w14:paraId="4746D29A"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Cost</w:t>
            </w:r>
          </w:p>
        </w:tc>
        <w:tc>
          <w:tcPr>
            <w:tcW w:w="1848" w:type="dxa"/>
          </w:tcPr>
          <w:p w14:paraId="030A34D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Taxes</w:t>
            </w:r>
          </w:p>
        </w:tc>
        <w:tc>
          <w:tcPr>
            <w:tcW w:w="1848" w:type="dxa"/>
          </w:tcPr>
          <w:p w14:paraId="399AD0B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Loss</w:t>
            </w:r>
          </w:p>
        </w:tc>
        <w:tc>
          <w:tcPr>
            <w:tcW w:w="1849" w:type="dxa"/>
          </w:tcPr>
          <w:p w14:paraId="03469CF6"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Arrears</w:t>
            </w:r>
          </w:p>
        </w:tc>
        <w:tc>
          <w:tcPr>
            <w:tcW w:w="1849" w:type="dxa"/>
          </w:tcPr>
          <w:p w14:paraId="4700399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Arrear</w:t>
            </w:r>
          </w:p>
        </w:tc>
      </w:tr>
      <w:tr w:rsidR="00357B96" w:rsidRPr="00357B96" w14:paraId="015CDB15" w14:textId="77777777" w:rsidTr="00AF10A4">
        <w:tc>
          <w:tcPr>
            <w:tcW w:w="1848" w:type="dxa"/>
          </w:tcPr>
          <w:p w14:paraId="5944182C"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Ineffective</w:t>
            </w:r>
          </w:p>
        </w:tc>
        <w:tc>
          <w:tcPr>
            <w:tcW w:w="1848" w:type="dxa"/>
          </w:tcPr>
          <w:p w14:paraId="24602B7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Inefficient </w:t>
            </w:r>
          </w:p>
        </w:tc>
        <w:tc>
          <w:tcPr>
            <w:tcW w:w="1848" w:type="dxa"/>
          </w:tcPr>
          <w:p w14:paraId="1870927B"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Unsecured</w:t>
            </w:r>
          </w:p>
        </w:tc>
        <w:tc>
          <w:tcPr>
            <w:tcW w:w="1849" w:type="dxa"/>
          </w:tcPr>
          <w:p w14:paraId="31B04423"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Securitize</w:t>
            </w:r>
          </w:p>
        </w:tc>
        <w:tc>
          <w:tcPr>
            <w:tcW w:w="1849" w:type="dxa"/>
          </w:tcPr>
          <w:p w14:paraId="5232C92E"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Securitisation </w:t>
            </w:r>
          </w:p>
        </w:tc>
      </w:tr>
      <w:tr w:rsidR="00357B96" w:rsidRPr="00357B96" w14:paraId="1115508B" w14:textId="77777777" w:rsidTr="00AF10A4">
        <w:tc>
          <w:tcPr>
            <w:tcW w:w="1848" w:type="dxa"/>
          </w:tcPr>
          <w:p w14:paraId="624D6149"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Bad</w:t>
            </w:r>
          </w:p>
        </w:tc>
        <w:tc>
          <w:tcPr>
            <w:tcW w:w="1848" w:type="dxa"/>
          </w:tcPr>
          <w:p w14:paraId="4D9A1140"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Bad debts</w:t>
            </w:r>
          </w:p>
        </w:tc>
        <w:tc>
          <w:tcPr>
            <w:tcW w:w="1848" w:type="dxa"/>
          </w:tcPr>
          <w:p w14:paraId="2A94A07D"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Fails</w:t>
            </w:r>
          </w:p>
        </w:tc>
        <w:tc>
          <w:tcPr>
            <w:tcW w:w="1849" w:type="dxa"/>
          </w:tcPr>
          <w:p w14:paraId="22DDA5E4"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r w:rsidRPr="00357B96">
              <w:rPr>
                <w:rFonts w:ascii="Times New Roman" w:eastAsia="Calibri" w:hAnsi="Times New Roman" w:cs="Times New Roman"/>
                <w:sz w:val="24"/>
                <w:szCs w:val="24"/>
                <w:lang w:val="en-GB"/>
              </w:rPr>
              <w:t xml:space="preserve">Unsure </w:t>
            </w:r>
          </w:p>
        </w:tc>
        <w:tc>
          <w:tcPr>
            <w:tcW w:w="1849" w:type="dxa"/>
          </w:tcPr>
          <w:p w14:paraId="2C31E46F"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tc>
      </w:tr>
    </w:tbl>
    <w:p w14:paraId="79BF8C48" w14:textId="77777777" w:rsidR="00357B96" w:rsidRPr="00357B96" w:rsidRDefault="00357B96" w:rsidP="00F307BB">
      <w:pPr>
        <w:spacing w:after="0" w:line="240" w:lineRule="auto"/>
        <w:jc w:val="both"/>
        <w:rPr>
          <w:rFonts w:ascii="Times New Roman" w:eastAsia="Calibri" w:hAnsi="Times New Roman" w:cs="Times New Roman"/>
          <w:sz w:val="24"/>
          <w:szCs w:val="24"/>
          <w:lang w:val="en-GB"/>
        </w:rPr>
      </w:pPr>
    </w:p>
    <w:p w14:paraId="4475914E" w14:textId="77777777" w:rsidR="00357B96" w:rsidRDefault="00357B96" w:rsidP="00F307BB">
      <w:pPr>
        <w:spacing w:after="0" w:line="240" w:lineRule="auto"/>
        <w:jc w:val="both"/>
        <w:rPr>
          <w:rFonts w:ascii="Times New Roman" w:eastAsia="Calibri" w:hAnsi="Times New Roman" w:cs="Times New Roman"/>
          <w:sz w:val="24"/>
          <w:szCs w:val="24"/>
        </w:rPr>
      </w:pPr>
    </w:p>
    <w:p w14:paraId="6D542D95" w14:textId="77777777" w:rsidR="00357B96" w:rsidRPr="00357B96" w:rsidRDefault="00357B96" w:rsidP="00F307BB">
      <w:pPr>
        <w:spacing w:after="0" w:line="240" w:lineRule="auto"/>
        <w:jc w:val="both"/>
        <w:rPr>
          <w:rFonts w:ascii="Times New Roman" w:eastAsia="Calibri" w:hAnsi="Times New Roman" w:cs="Times New Roman"/>
          <w:sz w:val="24"/>
          <w:szCs w:val="24"/>
        </w:rPr>
      </w:pPr>
    </w:p>
    <w:sectPr w:rsidR="00357B96" w:rsidRPr="00357B96" w:rsidSect="00357B96">
      <w:headerReference w:type="even" r:id="rId21"/>
      <w:headerReference w:type="default" r:id="rId22"/>
      <w:footerReference w:type="even" r:id="rId23"/>
      <w:footerReference w:type="default" r:id="rId24"/>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EB09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9B0E0" w14:textId="77777777" w:rsidR="00B70AB7" w:rsidRDefault="00B70AB7" w:rsidP="00D60F3D">
      <w:pPr>
        <w:spacing w:after="0" w:line="240" w:lineRule="auto"/>
      </w:pPr>
      <w:r>
        <w:separator/>
      </w:r>
    </w:p>
  </w:endnote>
  <w:endnote w:type="continuationSeparator" w:id="0">
    <w:p w14:paraId="34ED07C7" w14:textId="77777777" w:rsidR="00B70AB7" w:rsidRDefault="00B70AB7" w:rsidP="00D6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272542"/>
      <w:docPartObj>
        <w:docPartGallery w:val="Page Numbers (Bottom of Page)"/>
        <w:docPartUnique/>
      </w:docPartObj>
    </w:sdtPr>
    <w:sdtEndPr>
      <w:rPr>
        <w:rFonts w:ascii="Times New Roman" w:hAnsi="Times New Roman" w:cs="Times New Roman"/>
        <w:noProof/>
      </w:rPr>
    </w:sdtEndPr>
    <w:sdtContent>
      <w:p w14:paraId="0E540983" w14:textId="163FE4C9" w:rsidR="00540B9B" w:rsidRPr="00883A0C" w:rsidRDefault="00540B9B">
        <w:pPr>
          <w:pStyle w:val="Footer"/>
          <w:jc w:val="center"/>
          <w:rPr>
            <w:rFonts w:ascii="Times New Roman" w:hAnsi="Times New Roman" w:cs="Times New Roman"/>
          </w:rPr>
        </w:pPr>
        <w:r w:rsidRPr="00883A0C">
          <w:rPr>
            <w:rFonts w:ascii="Times New Roman" w:hAnsi="Times New Roman" w:cs="Times New Roman"/>
          </w:rPr>
          <w:fldChar w:fldCharType="begin"/>
        </w:r>
        <w:r w:rsidRPr="00883A0C">
          <w:rPr>
            <w:rFonts w:ascii="Times New Roman" w:hAnsi="Times New Roman" w:cs="Times New Roman"/>
          </w:rPr>
          <w:instrText xml:space="preserve"> PAGE   \* MERGEFORMAT </w:instrText>
        </w:r>
        <w:r w:rsidRPr="00883A0C">
          <w:rPr>
            <w:rFonts w:ascii="Times New Roman" w:hAnsi="Times New Roman" w:cs="Times New Roman"/>
          </w:rPr>
          <w:fldChar w:fldCharType="separate"/>
        </w:r>
        <w:r w:rsidR="00DD48C1">
          <w:rPr>
            <w:rFonts w:ascii="Times New Roman" w:hAnsi="Times New Roman" w:cs="Times New Roman"/>
            <w:noProof/>
          </w:rPr>
          <w:t>2</w:t>
        </w:r>
        <w:r w:rsidRPr="00883A0C">
          <w:rPr>
            <w:rFonts w:ascii="Times New Roman" w:hAnsi="Times New Roman" w:cs="Times New Roman"/>
            <w:noProof/>
          </w:rPr>
          <w:fldChar w:fldCharType="end"/>
        </w:r>
      </w:p>
    </w:sdtContent>
  </w:sdt>
  <w:p w14:paraId="48FD91AC" w14:textId="77777777" w:rsidR="00540B9B" w:rsidRDefault="00540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07459"/>
      <w:docPartObj>
        <w:docPartGallery w:val="Page Numbers (Bottom of Page)"/>
        <w:docPartUnique/>
      </w:docPartObj>
    </w:sdtPr>
    <w:sdtEndPr>
      <w:rPr>
        <w:rFonts w:ascii="Times New Roman" w:hAnsi="Times New Roman" w:cs="Times New Roman"/>
        <w:noProof/>
      </w:rPr>
    </w:sdtEndPr>
    <w:sdtContent>
      <w:p w14:paraId="6891BD77" w14:textId="0A55D61C" w:rsidR="00540B9B" w:rsidRPr="009962A3" w:rsidRDefault="00540B9B">
        <w:pPr>
          <w:pStyle w:val="Footer"/>
          <w:jc w:val="center"/>
          <w:rPr>
            <w:rFonts w:ascii="Times New Roman" w:hAnsi="Times New Roman" w:cs="Times New Roman"/>
          </w:rPr>
        </w:pPr>
        <w:r w:rsidRPr="009962A3">
          <w:rPr>
            <w:rFonts w:ascii="Times New Roman" w:hAnsi="Times New Roman" w:cs="Times New Roman"/>
          </w:rPr>
          <w:fldChar w:fldCharType="begin"/>
        </w:r>
        <w:r w:rsidRPr="009962A3">
          <w:rPr>
            <w:rFonts w:ascii="Times New Roman" w:hAnsi="Times New Roman" w:cs="Times New Roman"/>
          </w:rPr>
          <w:instrText xml:space="preserve"> PAGE   \* MERGEFORMAT </w:instrText>
        </w:r>
        <w:r w:rsidRPr="009962A3">
          <w:rPr>
            <w:rFonts w:ascii="Times New Roman" w:hAnsi="Times New Roman" w:cs="Times New Roman"/>
          </w:rPr>
          <w:fldChar w:fldCharType="separate"/>
        </w:r>
        <w:r w:rsidR="00DD48C1">
          <w:rPr>
            <w:rFonts w:ascii="Times New Roman" w:hAnsi="Times New Roman" w:cs="Times New Roman"/>
            <w:noProof/>
          </w:rPr>
          <w:t>15</w:t>
        </w:r>
        <w:r w:rsidRPr="009962A3">
          <w:rPr>
            <w:rFonts w:ascii="Times New Roman" w:hAnsi="Times New Roman" w:cs="Times New Roman"/>
            <w:noProof/>
          </w:rPr>
          <w:fldChar w:fldCharType="end"/>
        </w:r>
      </w:p>
    </w:sdtContent>
  </w:sdt>
  <w:p w14:paraId="3A1E6F39" w14:textId="77777777" w:rsidR="00540B9B" w:rsidRDefault="00540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BAB06" w14:textId="77777777" w:rsidR="00B70AB7" w:rsidRDefault="00B70AB7" w:rsidP="00D60F3D">
      <w:pPr>
        <w:spacing w:after="0" w:line="240" w:lineRule="auto"/>
      </w:pPr>
      <w:r>
        <w:separator/>
      </w:r>
    </w:p>
  </w:footnote>
  <w:footnote w:type="continuationSeparator" w:id="0">
    <w:p w14:paraId="220AF1B8" w14:textId="77777777" w:rsidR="00B70AB7" w:rsidRDefault="00B70AB7" w:rsidP="00D60F3D">
      <w:pPr>
        <w:spacing w:after="0" w:line="240" w:lineRule="auto"/>
      </w:pPr>
      <w:r>
        <w:continuationSeparator/>
      </w:r>
    </w:p>
  </w:footnote>
  <w:footnote w:id="1">
    <w:p w14:paraId="1785D29C" w14:textId="77777777" w:rsidR="00540B9B" w:rsidRPr="00357B96" w:rsidRDefault="00540B9B">
      <w:pPr>
        <w:pStyle w:val="FootnoteText"/>
        <w:rPr>
          <w:rFonts w:ascii="Times New Roman" w:hAnsi="Times New Roman" w:cs="Times New Roman"/>
        </w:rPr>
      </w:pPr>
      <w:r w:rsidRPr="00357B96">
        <w:rPr>
          <w:rStyle w:val="FootnoteReference"/>
          <w:rFonts w:ascii="Times New Roman" w:hAnsi="Times New Roman" w:cs="Times New Roman"/>
        </w:rPr>
        <w:footnoteRef/>
      </w:r>
      <w:r w:rsidRPr="00357B96">
        <w:rPr>
          <w:rFonts w:ascii="Times New Roman" w:hAnsi="Times New Roman" w:cs="Times New Roman"/>
        </w:rPr>
        <w:t xml:space="preserve"> </w:t>
      </w:r>
      <w:r w:rsidRPr="00357B96">
        <w:rPr>
          <w:rFonts w:ascii="Times New Roman" w:hAnsi="Times New Roman" w:cs="Times New Roman"/>
          <w:iCs/>
        </w:rPr>
        <w:t>Bristol Business School, Bristol U.K.</w:t>
      </w:r>
      <w:r>
        <w:rPr>
          <w:rFonts w:ascii="Times New Roman" w:hAnsi="Times New Roman" w:cs="Times New Roman"/>
          <w:iCs/>
        </w:rPr>
        <w:t xml:space="preserve"> </w:t>
      </w:r>
      <w:hyperlink r:id="rId1" w:history="1">
        <w:r w:rsidRPr="004809FB">
          <w:rPr>
            <w:rStyle w:val="Hyperlink"/>
            <w:rFonts w:ascii="Times New Roman" w:hAnsi="Times New Roman" w:cs="Times New Roman"/>
          </w:rPr>
          <w:t>Ismail.Adelopo@uwe.ac.uk</w:t>
        </w:r>
      </w:hyperlink>
      <w:r>
        <w:rPr>
          <w:rFonts w:ascii="Times New Roman" w:hAnsi="Times New Roman" w:cs="Times New Roman"/>
          <w:iCs/>
        </w:rPr>
        <w:t xml:space="preserve"> </w:t>
      </w:r>
    </w:p>
  </w:footnote>
  <w:footnote w:id="2">
    <w:p w14:paraId="03ED686B" w14:textId="77777777" w:rsidR="00540B9B" w:rsidRPr="00F307BB" w:rsidRDefault="00540B9B" w:rsidP="00357B96">
      <w:pPr>
        <w:pStyle w:val="FootnoteText"/>
        <w:rPr>
          <w:rFonts w:ascii="Times New Roman" w:hAnsi="Times New Roman" w:cs="Times New Roman"/>
        </w:rPr>
      </w:pPr>
      <w:r w:rsidRPr="00F307BB">
        <w:rPr>
          <w:rStyle w:val="FootnoteReference"/>
          <w:rFonts w:ascii="Times New Roman" w:hAnsi="Times New Roman" w:cs="Times New Roman"/>
        </w:rPr>
        <w:footnoteRef/>
      </w:r>
      <w:r w:rsidRPr="00F307BB">
        <w:rPr>
          <w:rFonts w:ascii="Times New Roman" w:hAnsi="Times New Roman" w:cs="Times New Roman"/>
        </w:rPr>
        <w:t xml:space="preserve"> This is a software for text analysis which allows extensive in-depth analysis of text to gain greater insight. Further information on it can be found at:    </w:t>
      </w:r>
      <w:hyperlink r:id="rId2" w:history="1">
        <w:r w:rsidRPr="00F307BB">
          <w:rPr>
            <w:rStyle w:val="Hyperlink"/>
            <w:rFonts w:ascii="Times New Roman" w:hAnsi="Times New Roman" w:cs="Times New Roman"/>
          </w:rPr>
          <w:t>http://www.concordancesoftware.co.uk</w:t>
        </w:r>
      </w:hyperlink>
    </w:p>
    <w:p w14:paraId="45CB77C2" w14:textId="77777777" w:rsidR="00540B9B" w:rsidRPr="0078325B" w:rsidRDefault="00540B9B" w:rsidP="00357B9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CF08" w14:textId="77777777" w:rsidR="00540B9B" w:rsidRDefault="00540B9B" w:rsidP="00883A0C">
    <w:pPr>
      <w:pStyle w:val="Header"/>
    </w:pPr>
    <w:r>
      <w:rPr>
        <w:rFonts w:ascii="Arial Narrow" w:hAnsi="Arial Narrow"/>
        <w:b/>
      </w:rPr>
      <w:t xml:space="preserve">AABFJ  |  </w:t>
    </w:r>
    <w:r>
      <w:rPr>
        <w:rFonts w:ascii="Arial Narrow" w:hAnsi="Arial Narrow"/>
      </w:rPr>
      <w:t>Volume 11, no. 2, 2017</w:t>
    </w:r>
  </w:p>
  <w:p w14:paraId="0F1F3662" w14:textId="77777777" w:rsidR="00540B9B" w:rsidRDefault="00540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E882" w14:textId="6E57CB62" w:rsidR="00540B9B" w:rsidRPr="00357B96" w:rsidRDefault="00540B9B" w:rsidP="00357B96">
    <w:pPr>
      <w:tabs>
        <w:tab w:val="center" w:pos="4153"/>
        <w:tab w:val="right" w:pos="8306"/>
      </w:tabs>
      <w:spacing w:after="0" w:line="240" w:lineRule="auto"/>
      <w:jc w:val="right"/>
      <w:rPr>
        <w:rFonts w:ascii="Arial Narrow" w:eastAsia="Times New Roman" w:hAnsi="Arial Narrow" w:cs="Times New Roman"/>
        <w:b/>
        <w:szCs w:val="24"/>
        <w:lang w:val="en-GB"/>
      </w:rPr>
    </w:pPr>
    <w:r>
      <w:rPr>
        <w:rFonts w:ascii="Arial Narrow" w:eastAsia="Times New Roman" w:hAnsi="Arial Narrow" w:cs="Times New Roman"/>
        <w:b/>
        <w:szCs w:val="24"/>
        <w:lang w:val="en-US"/>
      </w:rPr>
      <w:t>Adelopo</w:t>
    </w:r>
    <w:r w:rsidRPr="00F9157F">
      <w:rPr>
        <w:rFonts w:ascii="Arial Narrow" w:eastAsia="Times New Roman" w:hAnsi="Arial Narrow" w:cs="Times New Roman"/>
        <w:b/>
        <w:szCs w:val="24"/>
        <w:lang w:val="en-US"/>
      </w:rPr>
      <w:t xml:space="preserve"> |</w:t>
    </w:r>
    <w:r w:rsidRPr="00357B96">
      <w:rPr>
        <w:rFonts w:ascii="Arial Narrow" w:eastAsia="Times New Roman" w:hAnsi="Arial Narrow" w:cs="Times New Roman"/>
        <w:szCs w:val="24"/>
        <w:lang w:val="en-US"/>
      </w:rPr>
      <w:t xml:space="preserve"> </w:t>
    </w:r>
    <w:r w:rsidRPr="00357B96">
      <w:rPr>
        <w:rFonts w:ascii="Arial Narrow" w:eastAsia="Times New Roman" w:hAnsi="Arial Narrow" w:cs="Times New Roman"/>
        <w:szCs w:val="24"/>
        <w:lang w:val="en-GB"/>
      </w:rPr>
      <w:t xml:space="preserve">Non-Financial Risk Disclosure: The case of </w:t>
    </w:r>
    <w:r w:rsidR="00DD48C1">
      <w:rPr>
        <w:rFonts w:ascii="Arial Narrow" w:eastAsia="Times New Roman" w:hAnsi="Arial Narrow" w:cs="Times New Roman"/>
        <w:szCs w:val="24"/>
        <w:lang w:val="en-GB"/>
      </w:rPr>
      <w:t xml:space="preserve">the </w:t>
    </w:r>
    <w:r w:rsidRPr="00357B96">
      <w:rPr>
        <w:rFonts w:ascii="Arial Narrow" w:eastAsia="Times New Roman" w:hAnsi="Arial Narrow" w:cs="Times New Roman"/>
        <w:szCs w:val="24"/>
        <w:lang w:val="en-GB"/>
      </w:rPr>
      <w:t>UK</w:t>
    </w:r>
    <w:r w:rsidR="00DD48C1">
      <w:rPr>
        <w:rFonts w:ascii="Arial Narrow" w:eastAsia="Times New Roman" w:hAnsi="Arial Narrow" w:cs="Times New Roman"/>
        <w:szCs w:val="24"/>
        <w:lang w:val="en-GB"/>
      </w:rPr>
      <w:t>’s</w:t>
    </w:r>
    <w:r w:rsidRPr="00357B96">
      <w:rPr>
        <w:rFonts w:ascii="Arial Narrow" w:eastAsia="Times New Roman" w:hAnsi="Arial Narrow" w:cs="Times New Roman"/>
        <w:szCs w:val="24"/>
        <w:lang w:val="en-GB"/>
      </w:rPr>
      <w:t xml:space="preserve"> Distressed Banks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274B1E8"/>
    <w:lvl w:ilvl="0">
      <w:start w:val="1"/>
      <w:numFmt w:val="decimal"/>
      <w:lvlText w:val="%1."/>
      <w:lvlJc w:val="left"/>
      <w:pPr>
        <w:tabs>
          <w:tab w:val="left" w:pos="643"/>
        </w:tabs>
        <w:ind w:left="643" w:hanging="360"/>
      </w:pPr>
    </w:lvl>
  </w:abstractNum>
  <w:abstractNum w:abstractNumId="1">
    <w:nsid w:val="00000002"/>
    <w:multiLevelType w:val="singleLevel"/>
    <w:tmpl w:val="79147BCA"/>
    <w:lvl w:ilvl="0">
      <w:start w:val="1"/>
      <w:numFmt w:val="bullet"/>
      <w:lvlText w:val=""/>
      <w:lvlJc w:val="left"/>
      <w:pPr>
        <w:tabs>
          <w:tab w:val="left" w:pos="1209"/>
        </w:tabs>
        <w:ind w:left="1209" w:hanging="360"/>
      </w:pPr>
      <w:rPr>
        <w:rFonts w:ascii="Symbol" w:hAnsi="Symbol" w:hint="default"/>
      </w:rPr>
    </w:lvl>
  </w:abstractNum>
  <w:abstractNum w:abstractNumId="2">
    <w:nsid w:val="00000003"/>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4"/>
    <w:multiLevelType w:val="singleLevel"/>
    <w:tmpl w:val="C472E25E"/>
    <w:lvl w:ilvl="0">
      <w:start w:val="1"/>
      <w:numFmt w:val="decimal"/>
      <w:lvlText w:val="%1."/>
      <w:lvlJc w:val="left"/>
      <w:pPr>
        <w:tabs>
          <w:tab w:val="left" w:pos="360"/>
        </w:tabs>
        <w:ind w:left="360" w:hanging="360"/>
      </w:pPr>
    </w:lvl>
  </w:abstractNum>
  <w:abstractNum w:abstractNumId="4">
    <w:nsid w:val="00000005"/>
    <w:multiLevelType w:val="hybridMultilevel"/>
    <w:tmpl w:val="68EEE13A"/>
    <w:lvl w:ilvl="0" w:tplc="08090001">
      <w:start w:val="1"/>
      <w:numFmt w:val="bullet"/>
      <w:lvlText w:val=""/>
      <w:lvlJc w:val="left"/>
      <w:pPr>
        <w:tabs>
          <w:tab w:val="left" w:pos="720"/>
        </w:tabs>
        <w:ind w:left="720" w:hanging="360"/>
      </w:pPr>
      <w:rPr>
        <w:rFonts w:ascii="Symbol" w:hAnsi="Symbol" w:hint="default"/>
      </w:rPr>
    </w:lvl>
    <w:lvl w:ilvl="1" w:tplc="08090003" w:tentative="1">
      <w:start w:val="1"/>
      <w:numFmt w:val="bullet"/>
      <w:lvlText w:val="o"/>
      <w:lvlJc w:val="left"/>
      <w:pPr>
        <w:tabs>
          <w:tab w:val="left" w:pos="1440"/>
        </w:tabs>
        <w:ind w:left="1440" w:hanging="360"/>
      </w:pPr>
      <w:rPr>
        <w:rFonts w:ascii="Courier New" w:hAnsi="Courier New" w:cs="Arial" w:hint="default"/>
      </w:rPr>
    </w:lvl>
    <w:lvl w:ilvl="2" w:tplc="08090005" w:tentative="1">
      <w:start w:val="1"/>
      <w:numFmt w:val="bullet"/>
      <w:lvlText w:val=""/>
      <w:lvlJc w:val="left"/>
      <w:pPr>
        <w:tabs>
          <w:tab w:val="left" w:pos="2160"/>
        </w:tabs>
        <w:ind w:left="2160" w:hanging="360"/>
      </w:pPr>
      <w:rPr>
        <w:rFonts w:ascii="Wingdings" w:hAnsi="Wingdings" w:hint="default"/>
      </w:rPr>
    </w:lvl>
    <w:lvl w:ilvl="3" w:tplc="08090001" w:tentative="1">
      <w:start w:val="1"/>
      <w:numFmt w:val="bullet"/>
      <w:lvlText w:val=""/>
      <w:lvlJc w:val="left"/>
      <w:pPr>
        <w:tabs>
          <w:tab w:val="left" w:pos="2880"/>
        </w:tabs>
        <w:ind w:left="2880" w:hanging="360"/>
      </w:pPr>
      <w:rPr>
        <w:rFonts w:ascii="Symbol" w:hAnsi="Symbol" w:hint="default"/>
      </w:rPr>
    </w:lvl>
    <w:lvl w:ilvl="4" w:tplc="08090003" w:tentative="1">
      <w:start w:val="1"/>
      <w:numFmt w:val="bullet"/>
      <w:lvlText w:val="o"/>
      <w:lvlJc w:val="left"/>
      <w:pPr>
        <w:tabs>
          <w:tab w:val="left" w:pos="3600"/>
        </w:tabs>
        <w:ind w:left="3600" w:hanging="360"/>
      </w:pPr>
      <w:rPr>
        <w:rFonts w:ascii="Courier New" w:hAnsi="Courier New" w:cs="Arial" w:hint="default"/>
      </w:rPr>
    </w:lvl>
    <w:lvl w:ilvl="5" w:tplc="08090005" w:tentative="1">
      <w:start w:val="1"/>
      <w:numFmt w:val="bullet"/>
      <w:lvlText w:val=""/>
      <w:lvlJc w:val="left"/>
      <w:pPr>
        <w:tabs>
          <w:tab w:val="left" w:pos="4320"/>
        </w:tabs>
        <w:ind w:left="4320" w:hanging="360"/>
      </w:pPr>
      <w:rPr>
        <w:rFonts w:ascii="Wingdings" w:hAnsi="Wingdings" w:hint="default"/>
      </w:rPr>
    </w:lvl>
    <w:lvl w:ilvl="6" w:tplc="08090001" w:tentative="1">
      <w:start w:val="1"/>
      <w:numFmt w:val="bullet"/>
      <w:lvlText w:val=""/>
      <w:lvlJc w:val="left"/>
      <w:pPr>
        <w:tabs>
          <w:tab w:val="left" w:pos="5040"/>
        </w:tabs>
        <w:ind w:left="5040" w:hanging="360"/>
      </w:pPr>
      <w:rPr>
        <w:rFonts w:ascii="Symbol" w:hAnsi="Symbol" w:hint="default"/>
      </w:rPr>
    </w:lvl>
    <w:lvl w:ilvl="7" w:tplc="08090003" w:tentative="1">
      <w:start w:val="1"/>
      <w:numFmt w:val="bullet"/>
      <w:lvlText w:val="o"/>
      <w:lvlJc w:val="left"/>
      <w:pPr>
        <w:tabs>
          <w:tab w:val="left" w:pos="5760"/>
        </w:tabs>
        <w:ind w:left="5760" w:hanging="360"/>
      </w:pPr>
      <w:rPr>
        <w:rFonts w:ascii="Courier New" w:hAnsi="Courier New" w:cs="Arial" w:hint="default"/>
      </w:rPr>
    </w:lvl>
    <w:lvl w:ilvl="8" w:tplc="080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7"/>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singleLevel"/>
    <w:tmpl w:val="E8F228EA"/>
    <w:lvl w:ilvl="0">
      <w:start w:val="1"/>
      <w:numFmt w:val="decimal"/>
      <w:lvlText w:val="%1."/>
      <w:lvlJc w:val="left"/>
      <w:pPr>
        <w:tabs>
          <w:tab w:val="left" w:pos="926"/>
        </w:tabs>
        <w:ind w:left="926" w:hanging="360"/>
      </w:pPr>
    </w:lvl>
  </w:abstractNum>
  <w:abstractNum w:abstractNumId="8">
    <w:nsid w:val="00000009"/>
    <w:multiLevelType w:val="singleLevel"/>
    <w:tmpl w:val="B1FECAFE"/>
    <w:lvl w:ilvl="0">
      <w:start w:val="1"/>
      <w:numFmt w:val="decimal"/>
      <w:lvlText w:val="%1."/>
      <w:lvlJc w:val="left"/>
      <w:pPr>
        <w:tabs>
          <w:tab w:val="left" w:pos="1492"/>
        </w:tabs>
        <w:ind w:left="1492" w:hanging="360"/>
      </w:pPr>
    </w:lvl>
  </w:abstractNum>
  <w:abstractNum w:abstractNumId="9">
    <w:nsid w:val="0000000A"/>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B"/>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C"/>
    <w:multiLevelType w:val="singleLevel"/>
    <w:tmpl w:val="7C74E2DA"/>
    <w:lvl w:ilvl="0">
      <w:start w:val="1"/>
      <w:numFmt w:val="decimal"/>
      <w:lvlText w:val="%1."/>
      <w:lvlJc w:val="left"/>
      <w:pPr>
        <w:tabs>
          <w:tab w:val="left" w:pos="1209"/>
        </w:tabs>
        <w:ind w:left="1209" w:hanging="360"/>
      </w:pPr>
    </w:lvl>
  </w:abstractNum>
  <w:abstractNum w:abstractNumId="12">
    <w:nsid w:val="0000000D"/>
    <w:multiLevelType w:val="singleLevel"/>
    <w:tmpl w:val="594C1B5A"/>
    <w:lvl w:ilvl="0">
      <w:start w:val="1"/>
      <w:numFmt w:val="bullet"/>
      <w:lvlText w:val=""/>
      <w:lvlJc w:val="left"/>
      <w:pPr>
        <w:tabs>
          <w:tab w:val="left" w:pos="926"/>
        </w:tabs>
        <w:ind w:left="926" w:hanging="360"/>
      </w:pPr>
      <w:rPr>
        <w:rFonts w:ascii="Symbol" w:hAnsi="Symbol" w:hint="default"/>
      </w:rPr>
    </w:lvl>
  </w:abstractNum>
  <w:abstractNum w:abstractNumId="13">
    <w:nsid w:val="0000000E"/>
    <w:multiLevelType w:val="singleLevel"/>
    <w:tmpl w:val="5DC819AE"/>
    <w:lvl w:ilvl="0">
      <w:start w:val="1"/>
      <w:numFmt w:val="bullet"/>
      <w:lvlText w:val=""/>
      <w:lvlJc w:val="left"/>
      <w:pPr>
        <w:tabs>
          <w:tab w:val="left" w:pos="360"/>
        </w:tabs>
        <w:ind w:left="360" w:hanging="360"/>
      </w:pPr>
      <w:rPr>
        <w:rFonts w:ascii="Symbol" w:hAnsi="Symbol" w:hint="default"/>
      </w:rPr>
    </w:lvl>
  </w:abstractNum>
  <w:abstractNum w:abstractNumId="14">
    <w:nsid w:val="000000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0000010"/>
    <w:multiLevelType w:val="hybridMultilevel"/>
    <w:tmpl w:val="E976D66C"/>
    <w:lvl w:ilvl="0" w:tplc="0CDA7214">
      <w:start w:val="1"/>
      <w:numFmt w:val="decimal"/>
      <w:lvlText w:val="(%1)"/>
      <w:lvlJc w:val="left"/>
      <w:pPr>
        <w:tabs>
          <w:tab w:val="left" w:pos="720"/>
        </w:tabs>
        <w:ind w:left="720" w:hanging="360"/>
      </w:pPr>
      <w:rPr>
        <w:rFonts w:hint="default"/>
      </w:r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16">
    <w:nsid w:val="00000011"/>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2"/>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13"/>
    <w:multiLevelType w:val="multilevel"/>
    <w:tmpl w:val="B0D42628"/>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9">
    <w:nsid w:val="00000014"/>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5"/>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00000016"/>
    <w:multiLevelType w:val="hybridMultilevel"/>
    <w:tmpl w:val="5978D7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7"/>
    <w:multiLevelType w:val="singleLevel"/>
    <w:tmpl w:val="34C6DA04"/>
    <w:lvl w:ilvl="0">
      <w:start w:val="1"/>
      <w:numFmt w:val="bullet"/>
      <w:lvlText w:val=""/>
      <w:lvlJc w:val="left"/>
      <w:pPr>
        <w:tabs>
          <w:tab w:val="left" w:pos="643"/>
        </w:tabs>
        <w:ind w:left="643" w:hanging="360"/>
      </w:pPr>
      <w:rPr>
        <w:rFonts w:ascii="Symbol" w:hAnsi="Symbol" w:hint="default"/>
      </w:rPr>
    </w:lvl>
  </w:abstractNum>
  <w:abstractNum w:abstractNumId="23">
    <w:nsid w:val="00000018"/>
    <w:multiLevelType w:val="singleLevel"/>
    <w:tmpl w:val="D2442F12"/>
    <w:lvl w:ilvl="0">
      <w:start w:val="1"/>
      <w:numFmt w:val="bullet"/>
      <w:lvlText w:val=""/>
      <w:lvlJc w:val="left"/>
      <w:pPr>
        <w:tabs>
          <w:tab w:val="left" w:pos="1492"/>
        </w:tabs>
        <w:ind w:left="1492" w:hanging="360"/>
      </w:pPr>
      <w:rPr>
        <w:rFonts w:ascii="Symbol" w:hAnsi="Symbol" w:hint="default"/>
      </w:rPr>
    </w:lvl>
  </w:abstractNum>
  <w:abstractNum w:abstractNumId="24">
    <w:nsid w:val="0AD1209D"/>
    <w:multiLevelType w:val="hybridMultilevel"/>
    <w:tmpl w:val="5978D7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AF04D15"/>
    <w:multiLevelType w:val="multilevel"/>
    <w:tmpl w:val="FA7AB5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18040A91"/>
    <w:multiLevelType w:val="multilevel"/>
    <w:tmpl w:val="098E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2B4D69"/>
    <w:multiLevelType w:val="hybridMultilevel"/>
    <w:tmpl w:val="E256775A"/>
    <w:lvl w:ilvl="0" w:tplc="92961152">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1774EB1"/>
    <w:multiLevelType w:val="hybridMultilevel"/>
    <w:tmpl w:val="B4140628"/>
    <w:lvl w:ilvl="0" w:tplc="6AD2659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2FF23FC"/>
    <w:multiLevelType w:val="hybridMultilevel"/>
    <w:tmpl w:val="94A86C0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4071EF1"/>
    <w:multiLevelType w:val="hybridMultilevel"/>
    <w:tmpl w:val="89ACFDD2"/>
    <w:lvl w:ilvl="0" w:tplc="E40076A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8857A4"/>
    <w:multiLevelType w:val="hybridMultilevel"/>
    <w:tmpl w:val="0ECA9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2EC1F8D"/>
    <w:multiLevelType w:val="hybridMultilevel"/>
    <w:tmpl w:val="8A242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AD10773"/>
    <w:multiLevelType w:val="multilevel"/>
    <w:tmpl w:val="66CC18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nsid w:val="4DCE0B67"/>
    <w:multiLevelType w:val="hybridMultilevel"/>
    <w:tmpl w:val="C3FADFA6"/>
    <w:lvl w:ilvl="0" w:tplc="EA9041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E054A1C"/>
    <w:multiLevelType w:val="hybridMultilevel"/>
    <w:tmpl w:val="B4140628"/>
    <w:lvl w:ilvl="0" w:tplc="6AD2659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1875E53"/>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0A7735"/>
    <w:multiLevelType w:val="multilevel"/>
    <w:tmpl w:val="E17007B2"/>
    <w:lvl w:ilvl="0">
      <w:start w:val="2"/>
      <w:numFmt w:val="decimal"/>
      <w:lvlText w:val="%1."/>
      <w:lvlJc w:val="left"/>
      <w:pPr>
        <w:ind w:left="502"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CCD3812"/>
    <w:multiLevelType w:val="hybridMultilevel"/>
    <w:tmpl w:val="D6C4A1B2"/>
    <w:lvl w:ilvl="0" w:tplc="6D1C6D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4"/>
  </w:num>
  <w:num w:numId="3">
    <w:abstractNumId w:val="9"/>
  </w:num>
  <w:num w:numId="4">
    <w:abstractNumId w:val="36"/>
  </w:num>
  <w:num w:numId="5">
    <w:abstractNumId w:val="11"/>
  </w:num>
  <w:num w:numId="6">
    <w:abstractNumId w:val="17"/>
  </w:num>
  <w:num w:numId="7">
    <w:abstractNumId w:val="12"/>
  </w:num>
  <w:num w:numId="8">
    <w:abstractNumId w:val="3"/>
  </w:num>
  <w:num w:numId="9">
    <w:abstractNumId w:val="1"/>
  </w:num>
  <w:num w:numId="10">
    <w:abstractNumId w:val="13"/>
  </w:num>
  <w:num w:numId="11">
    <w:abstractNumId w:val="20"/>
  </w:num>
  <w:num w:numId="12">
    <w:abstractNumId w:val="10"/>
  </w:num>
  <w:num w:numId="13">
    <w:abstractNumId w:val="8"/>
  </w:num>
  <w:num w:numId="14">
    <w:abstractNumId w:val="15"/>
  </w:num>
  <w:num w:numId="15">
    <w:abstractNumId w:val="22"/>
  </w:num>
  <w:num w:numId="16">
    <w:abstractNumId w:val="23"/>
  </w:num>
  <w:num w:numId="17">
    <w:abstractNumId w:val="0"/>
  </w:num>
  <w:num w:numId="18">
    <w:abstractNumId w:val="18"/>
  </w:num>
  <w:num w:numId="19">
    <w:abstractNumId w:val="14"/>
  </w:num>
  <w:num w:numId="20">
    <w:abstractNumId w:val="21"/>
  </w:num>
  <w:num w:numId="21">
    <w:abstractNumId w:val="5"/>
  </w:num>
  <w:num w:numId="22">
    <w:abstractNumId w:val="2"/>
  </w:num>
  <w:num w:numId="23">
    <w:abstractNumId w:val="6"/>
  </w:num>
  <w:num w:numId="24">
    <w:abstractNumId w:val="7"/>
  </w:num>
  <w:num w:numId="25">
    <w:abstractNumId w:val="19"/>
  </w:num>
  <w:num w:numId="26">
    <w:abstractNumId w:val="24"/>
  </w:num>
  <w:num w:numId="27">
    <w:abstractNumId w:val="31"/>
  </w:num>
  <w:num w:numId="28">
    <w:abstractNumId w:val="32"/>
  </w:num>
  <w:num w:numId="29">
    <w:abstractNumId w:val="25"/>
  </w:num>
  <w:num w:numId="30">
    <w:abstractNumId w:val="37"/>
  </w:num>
  <w:num w:numId="31">
    <w:abstractNumId w:val="38"/>
  </w:num>
  <w:num w:numId="32">
    <w:abstractNumId w:val="27"/>
  </w:num>
  <w:num w:numId="33">
    <w:abstractNumId w:val="33"/>
  </w:num>
  <w:num w:numId="34">
    <w:abstractNumId w:val="34"/>
  </w:num>
  <w:num w:numId="35">
    <w:abstractNumId w:val="35"/>
  </w:num>
  <w:num w:numId="36">
    <w:abstractNumId w:val="30"/>
  </w:num>
  <w:num w:numId="37">
    <w:abstractNumId w:val="29"/>
  </w:num>
  <w:num w:numId="38">
    <w:abstractNumId w:val="26"/>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mily Adelopo">
    <w15:presenceInfo w15:providerId="Windows Live" w15:userId="369ed561d541fd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3D"/>
    <w:rsid w:val="000001A4"/>
    <w:rsid w:val="00012F5F"/>
    <w:rsid w:val="0004330E"/>
    <w:rsid w:val="00044838"/>
    <w:rsid w:val="00051698"/>
    <w:rsid w:val="00052520"/>
    <w:rsid w:val="00054045"/>
    <w:rsid w:val="00054BEE"/>
    <w:rsid w:val="00062118"/>
    <w:rsid w:val="00077307"/>
    <w:rsid w:val="00080556"/>
    <w:rsid w:val="000968D6"/>
    <w:rsid w:val="000B13CB"/>
    <w:rsid w:val="000B2C7E"/>
    <w:rsid w:val="000D485F"/>
    <w:rsid w:val="000F1092"/>
    <w:rsid w:val="001108E4"/>
    <w:rsid w:val="00135588"/>
    <w:rsid w:val="00164189"/>
    <w:rsid w:val="00174D62"/>
    <w:rsid w:val="001943E1"/>
    <w:rsid w:val="001976CE"/>
    <w:rsid w:val="001A1451"/>
    <w:rsid w:val="001B0C14"/>
    <w:rsid w:val="001C5118"/>
    <w:rsid w:val="001F2D81"/>
    <w:rsid w:val="002219A2"/>
    <w:rsid w:val="00222DC9"/>
    <w:rsid w:val="0025076B"/>
    <w:rsid w:val="00266CEE"/>
    <w:rsid w:val="00290592"/>
    <w:rsid w:val="00293FC1"/>
    <w:rsid w:val="00296DD3"/>
    <w:rsid w:val="002A4DEE"/>
    <w:rsid w:val="002A67CC"/>
    <w:rsid w:val="002B1DEA"/>
    <w:rsid w:val="002D14D3"/>
    <w:rsid w:val="002F16A3"/>
    <w:rsid w:val="003067D5"/>
    <w:rsid w:val="00320924"/>
    <w:rsid w:val="0032574E"/>
    <w:rsid w:val="00331571"/>
    <w:rsid w:val="003369BA"/>
    <w:rsid w:val="00342DEC"/>
    <w:rsid w:val="00357B96"/>
    <w:rsid w:val="003639E3"/>
    <w:rsid w:val="003709CC"/>
    <w:rsid w:val="00376962"/>
    <w:rsid w:val="00377CB2"/>
    <w:rsid w:val="003934E4"/>
    <w:rsid w:val="003A6ED1"/>
    <w:rsid w:val="003A750D"/>
    <w:rsid w:val="003B269F"/>
    <w:rsid w:val="003C06C8"/>
    <w:rsid w:val="003C317E"/>
    <w:rsid w:val="003C3F2B"/>
    <w:rsid w:val="003D10E9"/>
    <w:rsid w:val="003E2B5A"/>
    <w:rsid w:val="00413DE1"/>
    <w:rsid w:val="00440000"/>
    <w:rsid w:val="00464B3F"/>
    <w:rsid w:val="0048094C"/>
    <w:rsid w:val="0048224C"/>
    <w:rsid w:val="0048299D"/>
    <w:rsid w:val="0049627E"/>
    <w:rsid w:val="004B2404"/>
    <w:rsid w:val="004B5EF9"/>
    <w:rsid w:val="004D12C0"/>
    <w:rsid w:val="004E223E"/>
    <w:rsid w:val="004E65E0"/>
    <w:rsid w:val="004E6CCE"/>
    <w:rsid w:val="005175D4"/>
    <w:rsid w:val="0051776F"/>
    <w:rsid w:val="0052414A"/>
    <w:rsid w:val="00534467"/>
    <w:rsid w:val="00540B9B"/>
    <w:rsid w:val="00541944"/>
    <w:rsid w:val="005D16DC"/>
    <w:rsid w:val="005D35A1"/>
    <w:rsid w:val="005F4D0E"/>
    <w:rsid w:val="005F5874"/>
    <w:rsid w:val="0060002A"/>
    <w:rsid w:val="00651079"/>
    <w:rsid w:val="0065245C"/>
    <w:rsid w:val="00661A88"/>
    <w:rsid w:val="00662C37"/>
    <w:rsid w:val="006823A1"/>
    <w:rsid w:val="006A000B"/>
    <w:rsid w:val="006A73AC"/>
    <w:rsid w:val="006B0867"/>
    <w:rsid w:val="006C2B76"/>
    <w:rsid w:val="00734559"/>
    <w:rsid w:val="0073652F"/>
    <w:rsid w:val="0074089B"/>
    <w:rsid w:val="00750651"/>
    <w:rsid w:val="007613AE"/>
    <w:rsid w:val="00763ACB"/>
    <w:rsid w:val="0078083A"/>
    <w:rsid w:val="00791EDF"/>
    <w:rsid w:val="007A6ADE"/>
    <w:rsid w:val="007D1FD8"/>
    <w:rsid w:val="007D2E23"/>
    <w:rsid w:val="007E0B2C"/>
    <w:rsid w:val="00805996"/>
    <w:rsid w:val="00810423"/>
    <w:rsid w:val="00811ED3"/>
    <w:rsid w:val="00812D7C"/>
    <w:rsid w:val="00813468"/>
    <w:rsid w:val="00822978"/>
    <w:rsid w:val="00822F5E"/>
    <w:rsid w:val="00836A78"/>
    <w:rsid w:val="008451BF"/>
    <w:rsid w:val="00857A26"/>
    <w:rsid w:val="0086055B"/>
    <w:rsid w:val="008818BA"/>
    <w:rsid w:val="00883A0C"/>
    <w:rsid w:val="0088417C"/>
    <w:rsid w:val="00894399"/>
    <w:rsid w:val="00897E45"/>
    <w:rsid w:val="008A3F9C"/>
    <w:rsid w:val="008B28DF"/>
    <w:rsid w:val="008C024F"/>
    <w:rsid w:val="008C4BA8"/>
    <w:rsid w:val="008E4C86"/>
    <w:rsid w:val="008E7A2A"/>
    <w:rsid w:val="008F7026"/>
    <w:rsid w:val="0091106D"/>
    <w:rsid w:val="009302B6"/>
    <w:rsid w:val="00940E96"/>
    <w:rsid w:val="00950A28"/>
    <w:rsid w:val="00953AEF"/>
    <w:rsid w:val="009544F9"/>
    <w:rsid w:val="0095626A"/>
    <w:rsid w:val="00987D7C"/>
    <w:rsid w:val="0099336F"/>
    <w:rsid w:val="0099517A"/>
    <w:rsid w:val="009962A3"/>
    <w:rsid w:val="009B220C"/>
    <w:rsid w:val="009B4DBB"/>
    <w:rsid w:val="009B6393"/>
    <w:rsid w:val="009C2B21"/>
    <w:rsid w:val="009C4BA9"/>
    <w:rsid w:val="009D153C"/>
    <w:rsid w:val="009F5364"/>
    <w:rsid w:val="00A43FAC"/>
    <w:rsid w:val="00A46527"/>
    <w:rsid w:val="00A471AD"/>
    <w:rsid w:val="00A610FF"/>
    <w:rsid w:val="00A7102F"/>
    <w:rsid w:val="00AA0D7D"/>
    <w:rsid w:val="00AC04A6"/>
    <w:rsid w:val="00AC64FC"/>
    <w:rsid w:val="00AD5891"/>
    <w:rsid w:val="00AD6AED"/>
    <w:rsid w:val="00AE0EA4"/>
    <w:rsid w:val="00AF10A4"/>
    <w:rsid w:val="00AF2571"/>
    <w:rsid w:val="00AF3958"/>
    <w:rsid w:val="00AF416E"/>
    <w:rsid w:val="00AF6E20"/>
    <w:rsid w:val="00B06D8A"/>
    <w:rsid w:val="00B2060F"/>
    <w:rsid w:val="00B3309C"/>
    <w:rsid w:val="00B3369E"/>
    <w:rsid w:val="00B437FB"/>
    <w:rsid w:val="00B469B0"/>
    <w:rsid w:val="00B57137"/>
    <w:rsid w:val="00B63035"/>
    <w:rsid w:val="00B70AB7"/>
    <w:rsid w:val="00B95B86"/>
    <w:rsid w:val="00BA561E"/>
    <w:rsid w:val="00BC38CF"/>
    <w:rsid w:val="00C44D5F"/>
    <w:rsid w:val="00C6252E"/>
    <w:rsid w:val="00C85B38"/>
    <w:rsid w:val="00C968EE"/>
    <w:rsid w:val="00C96F11"/>
    <w:rsid w:val="00CC45B5"/>
    <w:rsid w:val="00CD7954"/>
    <w:rsid w:val="00CF627A"/>
    <w:rsid w:val="00D018E2"/>
    <w:rsid w:val="00D01931"/>
    <w:rsid w:val="00D0542F"/>
    <w:rsid w:val="00D13129"/>
    <w:rsid w:val="00D26E8B"/>
    <w:rsid w:val="00D31D21"/>
    <w:rsid w:val="00D33547"/>
    <w:rsid w:val="00D40B3A"/>
    <w:rsid w:val="00D5374F"/>
    <w:rsid w:val="00D5723E"/>
    <w:rsid w:val="00D60F3D"/>
    <w:rsid w:val="00D704FF"/>
    <w:rsid w:val="00D74EAD"/>
    <w:rsid w:val="00D804B9"/>
    <w:rsid w:val="00D8672D"/>
    <w:rsid w:val="00DD12AD"/>
    <w:rsid w:val="00DD48C1"/>
    <w:rsid w:val="00DE177A"/>
    <w:rsid w:val="00DE220C"/>
    <w:rsid w:val="00DF1961"/>
    <w:rsid w:val="00DF4BDE"/>
    <w:rsid w:val="00E03A3D"/>
    <w:rsid w:val="00E04C71"/>
    <w:rsid w:val="00E2313E"/>
    <w:rsid w:val="00E24E1C"/>
    <w:rsid w:val="00E4309C"/>
    <w:rsid w:val="00E8314F"/>
    <w:rsid w:val="00EC622C"/>
    <w:rsid w:val="00ED1BF5"/>
    <w:rsid w:val="00ED4EA5"/>
    <w:rsid w:val="00EF515A"/>
    <w:rsid w:val="00F03C9B"/>
    <w:rsid w:val="00F12D75"/>
    <w:rsid w:val="00F23929"/>
    <w:rsid w:val="00F307BB"/>
    <w:rsid w:val="00F41FF3"/>
    <w:rsid w:val="00F57A91"/>
    <w:rsid w:val="00F6301E"/>
    <w:rsid w:val="00F66CD9"/>
    <w:rsid w:val="00F86A73"/>
    <w:rsid w:val="00F90303"/>
    <w:rsid w:val="00FA15D8"/>
    <w:rsid w:val="00FC6FE3"/>
    <w:rsid w:val="00FD57AA"/>
    <w:rsid w:val="00FF561B"/>
    <w:rsid w:val="00FF6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2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5B"/>
    <w:pPr>
      <w:spacing w:after="120" w:line="264" w:lineRule="auto"/>
    </w:pPr>
    <w:rPr>
      <w:rFonts w:eastAsiaTheme="minorEastAsia"/>
      <w:sz w:val="20"/>
      <w:szCs w:val="20"/>
    </w:rPr>
  </w:style>
  <w:style w:type="paragraph" w:styleId="Heading1">
    <w:name w:val="heading 1"/>
    <w:basedOn w:val="Normal"/>
    <w:next w:val="Normal"/>
    <w:link w:val="Heading1Char"/>
    <w:qFormat/>
    <w:rsid w:val="004E6C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Paragraph"/>
    <w:link w:val="Heading2Char"/>
    <w:uiPriority w:val="9"/>
    <w:qFormat/>
    <w:rsid w:val="004E6CCE"/>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Heading3">
    <w:name w:val="heading 3"/>
    <w:basedOn w:val="Normal"/>
    <w:next w:val="Paragraph"/>
    <w:link w:val="Heading3Char"/>
    <w:uiPriority w:val="9"/>
    <w:qFormat/>
    <w:rsid w:val="004E6CCE"/>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Heading4">
    <w:name w:val="heading 4"/>
    <w:basedOn w:val="Paragraph"/>
    <w:next w:val="Newparagraph"/>
    <w:link w:val="Heading4Char"/>
    <w:rsid w:val="004E6CCE"/>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F3D"/>
    <w:rPr>
      <w:color w:val="0563C1" w:themeColor="hyperlink"/>
      <w:u w:val="single"/>
    </w:rPr>
  </w:style>
  <w:style w:type="paragraph" w:styleId="NormalWeb">
    <w:name w:val="Normal (Web)"/>
    <w:basedOn w:val="Normal"/>
    <w:uiPriority w:val="99"/>
    <w:unhideWhenUsed/>
    <w:rsid w:val="00D60F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D60F3D"/>
    <w:pPr>
      <w:spacing w:after="0" w:line="240" w:lineRule="auto"/>
    </w:pPr>
  </w:style>
  <w:style w:type="character" w:customStyle="1" w:styleId="FootnoteTextChar">
    <w:name w:val="Footnote Text Char"/>
    <w:basedOn w:val="DefaultParagraphFont"/>
    <w:link w:val="FootnoteText"/>
    <w:uiPriority w:val="99"/>
    <w:rsid w:val="00D60F3D"/>
    <w:rPr>
      <w:rFonts w:eastAsiaTheme="minorEastAsia"/>
      <w:sz w:val="20"/>
      <w:szCs w:val="20"/>
    </w:rPr>
  </w:style>
  <w:style w:type="paragraph" w:styleId="NoSpacing">
    <w:name w:val="No Spacing"/>
    <w:uiPriority w:val="1"/>
    <w:qFormat/>
    <w:rsid w:val="00D60F3D"/>
    <w:pPr>
      <w:spacing w:after="0" w:line="240" w:lineRule="auto"/>
    </w:pPr>
    <w:rPr>
      <w:rFonts w:eastAsiaTheme="minorEastAsia"/>
      <w:sz w:val="20"/>
      <w:szCs w:val="20"/>
    </w:rPr>
  </w:style>
  <w:style w:type="paragraph" w:styleId="ListParagraph">
    <w:name w:val="List Paragraph"/>
    <w:basedOn w:val="Normal"/>
    <w:uiPriority w:val="34"/>
    <w:qFormat/>
    <w:rsid w:val="00D60F3D"/>
    <w:pPr>
      <w:ind w:left="720"/>
      <w:contextualSpacing/>
    </w:pPr>
  </w:style>
  <w:style w:type="character" w:styleId="FootnoteReference">
    <w:name w:val="footnote reference"/>
    <w:basedOn w:val="DefaultParagraphFont"/>
    <w:uiPriority w:val="99"/>
    <w:unhideWhenUsed/>
    <w:rsid w:val="00D60F3D"/>
    <w:rPr>
      <w:vertAlign w:val="superscript"/>
    </w:rPr>
  </w:style>
  <w:style w:type="character" w:customStyle="1" w:styleId="Title1">
    <w:name w:val="Title1"/>
    <w:basedOn w:val="DefaultParagraphFont"/>
    <w:rsid w:val="00D60F3D"/>
  </w:style>
  <w:style w:type="character" w:customStyle="1" w:styleId="authors">
    <w:name w:val="authors"/>
    <w:basedOn w:val="DefaultParagraphFont"/>
    <w:rsid w:val="00D60F3D"/>
  </w:style>
  <w:style w:type="character" w:styleId="Emphasis">
    <w:name w:val="Emphasis"/>
    <w:basedOn w:val="DefaultParagraphFont"/>
    <w:uiPriority w:val="20"/>
    <w:qFormat/>
    <w:rsid w:val="00D60F3D"/>
    <w:rPr>
      <w:i/>
      <w:iCs/>
    </w:rPr>
  </w:style>
  <w:style w:type="paragraph" w:styleId="BalloonText">
    <w:name w:val="Balloon Text"/>
    <w:basedOn w:val="Normal"/>
    <w:link w:val="BalloonTextChar"/>
    <w:uiPriority w:val="99"/>
    <w:unhideWhenUsed/>
    <w:rsid w:val="0029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93FC1"/>
    <w:rPr>
      <w:rFonts w:ascii="Segoe UI" w:eastAsiaTheme="minorEastAsia" w:hAnsi="Segoe UI" w:cs="Segoe UI"/>
      <w:sz w:val="18"/>
      <w:szCs w:val="18"/>
    </w:rPr>
  </w:style>
  <w:style w:type="paragraph" w:styleId="Header">
    <w:name w:val="header"/>
    <w:basedOn w:val="Normal"/>
    <w:link w:val="HeaderChar"/>
    <w:uiPriority w:val="99"/>
    <w:unhideWhenUsed/>
    <w:rsid w:val="0088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A0C"/>
    <w:rPr>
      <w:rFonts w:eastAsiaTheme="minorEastAsia"/>
      <w:sz w:val="20"/>
      <w:szCs w:val="20"/>
    </w:rPr>
  </w:style>
  <w:style w:type="paragraph" w:styleId="Footer">
    <w:name w:val="footer"/>
    <w:basedOn w:val="Normal"/>
    <w:link w:val="FooterChar"/>
    <w:uiPriority w:val="99"/>
    <w:unhideWhenUsed/>
    <w:rsid w:val="0088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A0C"/>
    <w:rPr>
      <w:rFonts w:eastAsiaTheme="minorEastAsia"/>
      <w:sz w:val="20"/>
      <w:szCs w:val="20"/>
    </w:rPr>
  </w:style>
  <w:style w:type="character" w:customStyle="1" w:styleId="Heading1Char">
    <w:name w:val="Heading 1 Char"/>
    <w:basedOn w:val="DefaultParagraphFont"/>
    <w:link w:val="Heading1"/>
    <w:rsid w:val="004E6CC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E6CCE"/>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uiPriority w:val="9"/>
    <w:rsid w:val="004E6CCE"/>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4E6CCE"/>
    <w:rPr>
      <w:rFonts w:ascii="Times New Roman" w:eastAsia="Times New Roman" w:hAnsi="Times New Roman" w:cs="Times New Roman"/>
      <w:bCs/>
      <w:sz w:val="24"/>
      <w:szCs w:val="28"/>
      <w:lang w:val="en-GB" w:eastAsia="en-GB"/>
    </w:rPr>
  </w:style>
  <w:style w:type="numbering" w:customStyle="1" w:styleId="NoList1">
    <w:name w:val="No List1"/>
    <w:next w:val="NoList"/>
    <w:uiPriority w:val="99"/>
    <w:semiHidden/>
    <w:unhideWhenUsed/>
    <w:rsid w:val="004E6CCE"/>
  </w:style>
  <w:style w:type="paragraph" w:customStyle="1" w:styleId="Articletitle">
    <w:name w:val="Article title"/>
    <w:basedOn w:val="Normal"/>
    <w:next w:val="Normal"/>
    <w:qFormat/>
    <w:rsid w:val="004E6CCE"/>
    <w:pPr>
      <w:spacing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4E6CC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4E6CCE"/>
    <w:pPr>
      <w:spacing w:before="240" w:after="0" w:line="360" w:lineRule="auto"/>
    </w:pPr>
    <w:rPr>
      <w:rFonts w:ascii="Times New Roman" w:eastAsia="Times New Roman" w:hAnsi="Times New Roman" w:cs="Times New Roman"/>
      <w:i/>
      <w:sz w:val="24"/>
      <w:szCs w:val="24"/>
      <w:lang w:val="en-GB" w:eastAsia="en-GB"/>
    </w:rPr>
  </w:style>
  <w:style w:type="paragraph" w:customStyle="1" w:styleId="Receiveddates">
    <w:name w:val="Received dates"/>
    <w:basedOn w:val="Affiliation"/>
    <w:next w:val="Normal"/>
    <w:qFormat/>
    <w:rsid w:val="004E6CCE"/>
  </w:style>
  <w:style w:type="paragraph" w:customStyle="1" w:styleId="Abstract">
    <w:name w:val="Abstract"/>
    <w:basedOn w:val="Normal"/>
    <w:next w:val="Keywords"/>
    <w:qFormat/>
    <w:rsid w:val="004E6CCE"/>
    <w:pPr>
      <w:spacing w:before="360" w:after="300" w:line="360" w:lineRule="auto"/>
      <w:ind w:left="720" w:right="567"/>
    </w:pPr>
    <w:rPr>
      <w:rFonts w:ascii="Times New Roman" w:eastAsia="Times New Roman" w:hAnsi="Times New Roman" w:cs="Times New Roman"/>
      <w:sz w:val="22"/>
      <w:szCs w:val="24"/>
      <w:lang w:val="en-GB" w:eastAsia="en-GB"/>
    </w:rPr>
  </w:style>
  <w:style w:type="paragraph" w:customStyle="1" w:styleId="Keywords">
    <w:name w:val="Keywords"/>
    <w:basedOn w:val="Normal"/>
    <w:next w:val="Paragraph"/>
    <w:qFormat/>
    <w:rsid w:val="004E6CCE"/>
    <w:pPr>
      <w:spacing w:before="240" w:after="240" w:line="360" w:lineRule="auto"/>
      <w:ind w:left="720" w:right="567"/>
    </w:pPr>
    <w:rPr>
      <w:rFonts w:ascii="Times New Roman" w:eastAsia="Times New Roman" w:hAnsi="Times New Roman" w:cs="Times New Roman"/>
      <w:sz w:val="22"/>
      <w:szCs w:val="24"/>
      <w:lang w:val="en-GB" w:eastAsia="en-GB"/>
    </w:rPr>
  </w:style>
  <w:style w:type="paragraph" w:customStyle="1" w:styleId="Correspondencedetails">
    <w:name w:val="Correspondence details"/>
    <w:basedOn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4E6CCE"/>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szCs w:val="24"/>
      <w:lang w:val="en-GB" w:eastAsia="en-GB"/>
    </w:rPr>
  </w:style>
  <w:style w:type="paragraph" w:customStyle="1" w:styleId="Numberedlist">
    <w:name w:val="Numbered list"/>
    <w:basedOn w:val="Paragraph"/>
    <w:next w:val="Paragraph"/>
    <w:qFormat/>
    <w:rsid w:val="004E6CCE"/>
    <w:pPr>
      <w:widowControl/>
      <w:numPr>
        <w:numId w:val="3"/>
      </w:numPr>
      <w:spacing w:after="240"/>
      <w:contextualSpacing/>
    </w:pPr>
  </w:style>
  <w:style w:type="paragraph" w:customStyle="1" w:styleId="Displayedequation">
    <w:name w:val="Displayed equation"/>
    <w:basedOn w:val="Normal"/>
    <w:next w:val="Paragraph"/>
    <w:qFormat/>
    <w:rsid w:val="004E6CCE"/>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4E6CCE"/>
    <w:pPr>
      <w:spacing w:before="120" w:after="0" w:line="360" w:lineRule="auto"/>
    </w:pPr>
    <w:rPr>
      <w:rFonts w:ascii="Times New Roman" w:eastAsia="Times New Roman" w:hAnsi="Times New Roman" w:cs="Times New Roman"/>
      <w:sz w:val="22"/>
      <w:szCs w:val="24"/>
      <w:lang w:val="en-GB" w:eastAsia="en-GB"/>
    </w:rPr>
  </w:style>
  <w:style w:type="paragraph" w:customStyle="1" w:styleId="Tabletitle">
    <w:name w:val="Table title"/>
    <w:basedOn w:val="Normal"/>
    <w:next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4E6CCE"/>
    <w:pPr>
      <w:spacing w:before="120" w:after="0" w:line="360" w:lineRule="auto"/>
      <w:ind w:left="482" w:hanging="482"/>
      <w:contextualSpacing/>
    </w:pPr>
    <w:rPr>
      <w:rFonts w:ascii="Times New Roman" w:eastAsia="Times New Roman" w:hAnsi="Times New Roman" w:cs="Times New Roman"/>
      <w:sz w:val="22"/>
      <w:szCs w:val="24"/>
      <w:lang w:val="en-GB" w:eastAsia="en-GB"/>
    </w:rPr>
  </w:style>
  <w:style w:type="paragraph" w:customStyle="1" w:styleId="Notesoncontributors">
    <w:name w:val="Notes on contributors"/>
    <w:basedOn w:val="Normal"/>
    <w:qFormat/>
    <w:rsid w:val="004E6CCE"/>
    <w:pPr>
      <w:spacing w:before="240" w:after="0" w:line="360" w:lineRule="auto"/>
    </w:pPr>
    <w:rPr>
      <w:rFonts w:ascii="Times New Roman" w:eastAsia="Times New Roman" w:hAnsi="Times New Roman" w:cs="Times New Roman"/>
      <w:sz w:val="22"/>
      <w:szCs w:val="24"/>
      <w:lang w:val="en-GB" w:eastAsia="en-GB"/>
    </w:rPr>
  </w:style>
  <w:style w:type="paragraph" w:customStyle="1" w:styleId="Normalparagraphstyle">
    <w:name w:val="Normal paragraph style"/>
    <w:basedOn w:val="Normal"/>
    <w:next w:val="Normal"/>
    <w:rsid w:val="004E6CCE"/>
    <w:pPr>
      <w:spacing w:after="0" w:line="48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4E6CCE"/>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4E6CCE"/>
    <w:pPr>
      <w:spacing w:after="0" w:line="480" w:lineRule="auto"/>
      <w:ind w:firstLine="720"/>
    </w:pPr>
    <w:rPr>
      <w:rFonts w:ascii="Times New Roman" w:eastAsia="Times New Roman" w:hAnsi="Times New Roman" w:cs="Times New Roman"/>
      <w:sz w:val="24"/>
      <w:szCs w:val="24"/>
      <w:lang w:val="en-GB" w:eastAsia="en-GB"/>
    </w:rPr>
  </w:style>
  <w:style w:type="paragraph" w:styleId="NormalIndent">
    <w:name w:val="Normal Indent"/>
    <w:basedOn w:val="Normal"/>
    <w:rsid w:val="004E6CCE"/>
    <w:pPr>
      <w:spacing w:after="0" w:line="480" w:lineRule="auto"/>
      <w:ind w:left="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4E6CCE"/>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4E6CCE"/>
  </w:style>
  <w:style w:type="paragraph" w:customStyle="1" w:styleId="Bulletedlist">
    <w:name w:val="Bulleted list"/>
    <w:basedOn w:val="Paragraph"/>
    <w:next w:val="Paragraph"/>
    <w:qFormat/>
    <w:rsid w:val="004E6CCE"/>
    <w:pPr>
      <w:widowControl/>
      <w:numPr>
        <w:numId w:val="4"/>
      </w:numPr>
      <w:spacing w:after="240"/>
      <w:contextualSpacing/>
    </w:pPr>
  </w:style>
  <w:style w:type="paragraph" w:styleId="EndnoteText">
    <w:name w:val="endnote text"/>
    <w:basedOn w:val="Normal"/>
    <w:link w:val="EndnoteTextChar"/>
    <w:rsid w:val="004E6CCE"/>
    <w:pPr>
      <w:spacing w:after="0" w:line="480" w:lineRule="auto"/>
      <w:ind w:left="284" w:hanging="284"/>
    </w:pPr>
    <w:rPr>
      <w:rFonts w:ascii="Times New Roman" w:eastAsia="Times New Roman" w:hAnsi="Times New Roman" w:cs="Times New Roman"/>
      <w:sz w:val="22"/>
      <w:lang w:val="en-GB" w:eastAsia="en-GB"/>
    </w:rPr>
  </w:style>
  <w:style w:type="character" w:customStyle="1" w:styleId="EndnoteTextChar">
    <w:name w:val="Endnote Text Char"/>
    <w:basedOn w:val="DefaultParagraphFont"/>
    <w:link w:val="EndnoteText"/>
    <w:rsid w:val="004E6CCE"/>
    <w:rPr>
      <w:rFonts w:ascii="Times New Roman" w:eastAsia="Times New Roman" w:hAnsi="Times New Roman" w:cs="Times New Roman"/>
      <w:szCs w:val="20"/>
      <w:lang w:val="en-GB" w:eastAsia="en-GB"/>
    </w:rPr>
  </w:style>
  <w:style w:type="character" w:styleId="EndnoteReference">
    <w:name w:val="endnote reference"/>
    <w:basedOn w:val="DefaultParagraphFont"/>
    <w:rsid w:val="004E6CCE"/>
    <w:rPr>
      <w:vertAlign w:val="superscript"/>
    </w:rPr>
  </w:style>
  <w:style w:type="paragraph" w:customStyle="1" w:styleId="Heading4Paragraph">
    <w:name w:val="Heading 4 + Paragraph"/>
    <w:basedOn w:val="Paragraph"/>
    <w:next w:val="Newparagraph"/>
    <w:qFormat/>
    <w:rsid w:val="004E6CCE"/>
    <w:pPr>
      <w:widowControl/>
      <w:spacing w:before="360"/>
    </w:pPr>
  </w:style>
  <w:style w:type="paragraph" w:customStyle="1" w:styleId="PhDNormal">
    <w:name w:val="PhD Normal"/>
    <w:link w:val="PhDNormalChar"/>
    <w:qFormat/>
    <w:rsid w:val="004E6CCE"/>
    <w:pPr>
      <w:spacing w:after="120" w:line="480" w:lineRule="auto"/>
      <w:ind w:firstLine="567"/>
      <w:jc w:val="both"/>
    </w:pPr>
    <w:rPr>
      <w:rFonts w:ascii="Times New Roman" w:eastAsia="Times New Roman" w:hAnsi="Times New Roman" w:cs="Times New Roman"/>
      <w:sz w:val="24"/>
    </w:rPr>
  </w:style>
  <w:style w:type="character" w:customStyle="1" w:styleId="PhDNormalChar">
    <w:name w:val="PhD Normal Char"/>
    <w:basedOn w:val="DefaultParagraphFont"/>
    <w:link w:val="PhDNormal"/>
    <w:rsid w:val="004E6CCE"/>
    <w:rPr>
      <w:rFonts w:ascii="Times New Roman" w:eastAsia="Times New Roman" w:hAnsi="Times New Roman" w:cs="Times New Roman"/>
      <w:sz w:val="24"/>
    </w:rPr>
  </w:style>
  <w:style w:type="paragraph" w:customStyle="1" w:styleId="listoftable">
    <w:name w:val="list of table"/>
    <w:basedOn w:val="NormalWeb"/>
    <w:qFormat/>
    <w:rsid w:val="004E6CCE"/>
    <w:pPr>
      <w:spacing w:before="0" w:beforeAutospacing="0" w:after="0" w:afterAutospacing="0"/>
    </w:pPr>
    <w:rPr>
      <w:lang w:val="en-GB" w:eastAsia="en-GB"/>
    </w:rPr>
  </w:style>
  <w:style w:type="paragraph" w:customStyle="1" w:styleId="Default">
    <w:name w:val="Default"/>
    <w:rsid w:val="004E6CCE"/>
    <w:pPr>
      <w:autoSpaceDE w:val="0"/>
      <w:autoSpaceDN w:val="0"/>
      <w:adjustRightInd w:val="0"/>
      <w:spacing w:after="0" w:line="240" w:lineRule="auto"/>
    </w:pPr>
    <w:rPr>
      <w:rFonts w:ascii="Calibri" w:hAnsi="Calibri" w:cs="Calibri"/>
      <w:color w:val="000000"/>
      <w:sz w:val="24"/>
      <w:szCs w:val="24"/>
    </w:rPr>
  </w:style>
  <w:style w:type="paragraph" w:customStyle="1" w:styleId="BodyText1">
    <w:name w:val="Body Text1"/>
    <w:basedOn w:val="Normal"/>
    <w:next w:val="BodyText"/>
    <w:link w:val="BodyTextChar"/>
    <w:uiPriority w:val="99"/>
    <w:rsid w:val="004E6CCE"/>
    <w:pPr>
      <w:spacing w:before="100" w:beforeAutospacing="1" w:line="360" w:lineRule="auto"/>
      <w:jc w:val="both"/>
    </w:pPr>
    <w:rPr>
      <w:rFonts w:ascii="Calibri" w:eastAsia="Calibri" w:hAnsi="Calibri" w:cs="Times New Roman"/>
      <w:sz w:val="22"/>
      <w:szCs w:val="22"/>
    </w:rPr>
  </w:style>
  <w:style w:type="character" w:customStyle="1" w:styleId="BodyTextChar">
    <w:name w:val="Body Text Char"/>
    <w:basedOn w:val="DefaultParagraphFont"/>
    <w:link w:val="BodyText1"/>
    <w:uiPriority w:val="99"/>
    <w:rsid w:val="004E6CCE"/>
    <w:rPr>
      <w:rFonts w:ascii="Calibri" w:eastAsia="Calibri" w:hAnsi="Calibri" w:cs="Times New Roman"/>
      <w:sz w:val="22"/>
      <w:szCs w:val="22"/>
      <w:lang w:val="en-AU" w:eastAsia="en-US"/>
    </w:rPr>
  </w:style>
  <w:style w:type="character" w:styleId="CommentReference">
    <w:name w:val="annotation reference"/>
    <w:basedOn w:val="DefaultParagraphFont"/>
    <w:uiPriority w:val="99"/>
    <w:rsid w:val="004E6CCE"/>
    <w:rPr>
      <w:sz w:val="16"/>
      <w:szCs w:val="16"/>
    </w:rPr>
  </w:style>
  <w:style w:type="paragraph" w:styleId="CommentText">
    <w:name w:val="annotation text"/>
    <w:basedOn w:val="Normal"/>
    <w:link w:val="CommentTextChar"/>
    <w:uiPriority w:val="99"/>
    <w:rsid w:val="004E6CCE"/>
    <w:pPr>
      <w:spacing w:after="0" w:line="240" w:lineRule="auto"/>
    </w:pPr>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uiPriority w:val="99"/>
    <w:rsid w:val="004E6CC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4E6CCE"/>
    <w:rPr>
      <w:b/>
      <w:bCs/>
    </w:rPr>
  </w:style>
  <w:style w:type="character" w:customStyle="1" w:styleId="CommentSubjectChar">
    <w:name w:val="Comment Subject Char"/>
    <w:basedOn w:val="CommentTextChar"/>
    <w:link w:val="CommentSubject"/>
    <w:uiPriority w:val="99"/>
    <w:rsid w:val="004E6CCE"/>
    <w:rPr>
      <w:rFonts w:ascii="Times New Roman" w:eastAsia="Times New Roman" w:hAnsi="Times New Roman" w:cs="Times New Roman"/>
      <w:b/>
      <w:bCs/>
      <w:sz w:val="20"/>
      <w:szCs w:val="20"/>
      <w:lang w:val="en-GB" w:eastAsia="en-GB"/>
    </w:rPr>
  </w:style>
  <w:style w:type="character" w:customStyle="1" w:styleId="apple-converted-space">
    <w:name w:val="apple-converted-space"/>
    <w:basedOn w:val="DefaultParagraphFont"/>
    <w:rsid w:val="004E6CCE"/>
  </w:style>
  <w:style w:type="character" w:customStyle="1" w:styleId="italic">
    <w:name w:val="italic"/>
    <w:basedOn w:val="DefaultParagraphFont"/>
    <w:rsid w:val="004E6CCE"/>
  </w:style>
  <w:style w:type="paragraph" w:customStyle="1" w:styleId="listoffigure">
    <w:name w:val="list of figure"/>
    <w:basedOn w:val="NormalWeb"/>
    <w:qFormat/>
    <w:rsid w:val="004E6CCE"/>
    <w:pPr>
      <w:spacing w:before="0" w:beforeAutospacing="0" w:after="0" w:afterAutospacing="0"/>
    </w:pPr>
    <w:rPr>
      <w:bCs/>
      <w:i/>
      <w:lang w:val="en-GB" w:eastAsia="en-GB"/>
    </w:rPr>
  </w:style>
  <w:style w:type="table" w:customStyle="1" w:styleId="APA">
    <w:name w:val="APA"/>
    <w:basedOn w:val="TableNormal"/>
    <w:uiPriority w:val="99"/>
    <w:qFormat/>
    <w:rsid w:val="004E6CCE"/>
    <w:pPr>
      <w:spacing w:after="0" w:line="240" w:lineRule="auto"/>
      <w:jc w:val="both"/>
    </w:pPr>
    <w:rPr>
      <w:rFonts w:eastAsia="Times New Roman"/>
      <w:lang w:eastAsia="zh-CN"/>
    </w:rPr>
    <w:tblPr>
      <w:tblBorders>
        <w:top w:val="single" w:sz="4" w:space="0" w:color="auto"/>
        <w:bottom w:val="single" w:sz="4" w:space="0" w:color="auto"/>
      </w:tblBorders>
    </w:tblPr>
    <w:tblStylePr w:type="firstRow">
      <w:tblPr/>
      <w:tcPr>
        <w:tcBorders>
          <w:bottom w:val="single" w:sz="4" w:space="0" w:color="auto"/>
        </w:tcBorders>
      </w:tcPr>
    </w:tblStylePr>
  </w:style>
  <w:style w:type="paragraph" w:styleId="BodyText">
    <w:name w:val="Body Text"/>
    <w:basedOn w:val="Normal"/>
    <w:link w:val="BodyTextChar1"/>
    <w:uiPriority w:val="99"/>
    <w:semiHidden/>
    <w:unhideWhenUsed/>
    <w:rsid w:val="004E6CCE"/>
  </w:style>
  <w:style w:type="character" w:customStyle="1" w:styleId="BodyTextChar1">
    <w:name w:val="Body Text Char1"/>
    <w:basedOn w:val="DefaultParagraphFont"/>
    <w:link w:val="BodyText"/>
    <w:uiPriority w:val="99"/>
    <w:semiHidden/>
    <w:rsid w:val="004E6CCE"/>
    <w:rPr>
      <w:rFonts w:eastAsiaTheme="minorEastAsia"/>
      <w:sz w:val="20"/>
      <w:szCs w:val="20"/>
    </w:rPr>
  </w:style>
  <w:style w:type="table" w:styleId="TableGrid">
    <w:name w:val="Table Grid"/>
    <w:basedOn w:val="TableNormal"/>
    <w:uiPriority w:val="59"/>
    <w:rsid w:val="0082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rsid w:val="00357B96"/>
    <w:rPr>
      <w:shd w:val="clear" w:color="auto" w:fill="FFFF00"/>
    </w:rPr>
  </w:style>
  <w:style w:type="table" w:styleId="LightList">
    <w:name w:val="Light List"/>
    <w:basedOn w:val="TableNormal"/>
    <w:uiPriority w:val="61"/>
    <w:rsid w:val="00357B96"/>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357B96"/>
    <w:rPr>
      <w:b/>
      <w:bCs/>
    </w:rPr>
  </w:style>
  <w:style w:type="character" w:customStyle="1" w:styleId="a">
    <w:name w:val="a"/>
    <w:basedOn w:val="DefaultParagraphFont"/>
    <w:rsid w:val="00357B96"/>
  </w:style>
  <w:style w:type="paragraph" w:customStyle="1" w:styleId="inline">
    <w:name w:val="inline"/>
    <w:basedOn w:val="Normal"/>
    <w:rsid w:val="00357B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
    <w:name w:val="Mention"/>
    <w:basedOn w:val="DefaultParagraphFont"/>
    <w:uiPriority w:val="99"/>
    <w:semiHidden/>
    <w:unhideWhenUsed/>
    <w:rsid w:val="00540B9B"/>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5B"/>
    <w:pPr>
      <w:spacing w:after="120" w:line="264" w:lineRule="auto"/>
    </w:pPr>
    <w:rPr>
      <w:rFonts w:eastAsiaTheme="minorEastAsia"/>
      <w:sz w:val="20"/>
      <w:szCs w:val="20"/>
    </w:rPr>
  </w:style>
  <w:style w:type="paragraph" w:styleId="Heading1">
    <w:name w:val="heading 1"/>
    <w:basedOn w:val="Normal"/>
    <w:next w:val="Normal"/>
    <w:link w:val="Heading1Char"/>
    <w:qFormat/>
    <w:rsid w:val="004E6C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Paragraph"/>
    <w:link w:val="Heading2Char"/>
    <w:uiPriority w:val="9"/>
    <w:qFormat/>
    <w:rsid w:val="004E6CCE"/>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Heading3">
    <w:name w:val="heading 3"/>
    <w:basedOn w:val="Normal"/>
    <w:next w:val="Paragraph"/>
    <w:link w:val="Heading3Char"/>
    <w:uiPriority w:val="9"/>
    <w:qFormat/>
    <w:rsid w:val="004E6CCE"/>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Heading4">
    <w:name w:val="heading 4"/>
    <w:basedOn w:val="Paragraph"/>
    <w:next w:val="Newparagraph"/>
    <w:link w:val="Heading4Char"/>
    <w:rsid w:val="004E6CCE"/>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F3D"/>
    <w:rPr>
      <w:color w:val="0563C1" w:themeColor="hyperlink"/>
      <w:u w:val="single"/>
    </w:rPr>
  </w:style>
  <w:style w:type="paragraph" w:styleId="NormalWeb">
    <w:name w:val="Normal (Web)"/>
    <w:basedOn w:val="Normal"/>
    <w:uiPriority w:val="99"/>
    <w:unhideWhenUsed/>
    <w:rsid w:val="00D60F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D60F3D"/>
    <w:pPr>
      <w:spacing w:after="0" w:line="240" w:lineRule="auto"/>
    </w:pPr>
  </w:style>
  <w:style w:type="character" w:customStyle="1" w:styleId="FootnoteTextChar">
    <w:name w:val="Footnote Text Char"/>
    <w:basedOn w:val="DefaultParagraphFont"/>
    <w:link w:val="FootnoteText"/>
    <w:uiPriority w:val="99"/>
    <w:rsid w:val="00D60F3D"/>
    <w:rPr>
      <w:rFonts w:eastAsiaTheme="minorEastAsia"/>
      <w:sz w:val="20"/>
      <w:szCs w:val="20"/>
    </w:rPr>
  </w:style>
  <w:style w:type="paragraph" w:styleId="NoSpacing">
    <w:name w:val="No Spacing"/>
    <w:uiPriority w:val="1"/>
    <w:qFormat/>
    <w:rsid w:val="00D60F3D"/>
    <w:pPr>
      <w:spacing w:after="0" w:line="240" w:lineRule="auto"/>
    </w:pPr>
    <w:rPr>
      <w:rFonts w:eastAsiaTheme="minorEastAsia"/>
      <w:sz w:val="20"/>
      <w:szCs w:val="20"/>
    </w:rPr>
  </w:style>
  <w:style w:type="paragraph" w:styleId="ListParagraph">
    <w:name w:val="List Paragraph"/>
    <w:basedOn w:val="Normal"/>
    <w:uiPriority w:val="34"/>
    <w:qFormat/>
    <w:rsid w:val="00D60F3D"/>
    <w:pPr>
      <w:ind w:left="720"/>
      <w:contextualSpacing/>
    </w:pPr>
  </w:style>
  <w:style w:type="character" w:styleId="FootnoteReference">
    <w:name w:val="footnote reference"/>
    <w:basedOn w:val="DefaultParagraphFont"/>
    <w:uiPriority w:val="99"/>
    <w:unhideWhenUsed/>
    <w:rsid w:val="00D60F3D"/>
    <w:rPr>
      <w:vertAlign w:val="superscript"/>
    </w:rPr>
  </w:style>
  <w:style w:type="character" w:customStyle="1" w:styleId="Title1">
    <w:name w:val="Title1"/>
    <w:basedOn w:val="DefaultParagraphFont"/>
    <w:rsid w:val="00D60F3D"/>
  </w:style>
  <w:style w:type="character" w:customStyle="1" w:styleId="authors">
    <w:name w:val="authors"/>
    <w:basedOn w:val="DefaultParagraphFont"/>
    <w:rsid w:val="00D60F3D"/>
  </w:style>
  <w:style w:type="character" w:styleId="Emphasis">
    <w:name w:val="Emphasis"/>
    <w:basedOn w:val="DefaultParagraphFont"/>
    <w:uiPriority w:val="20"/>
    <w:qFormat/>
    <w:rsid w:val="00D60F3D"/>
    <w:rPr>
      <w:i/>
      <w:iCs/>
    </w:rPr>
  </w:style>
  <w:style w:type="paragraph" w:styleId="BalloonText">
    <w:name w:val="Balloon Text"/>
    <w:basedOn w:val="Normal"/>
    <w:link w:val="BalloonTextChar"/>
    <w:uiPriority w:val="99"/>
    <w:unhideWhenUsed/>
    <w:rsid w:val="0029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93FC1"/>
    <w:rPr>
      <w:rFonts w:ascii="Segoe UI" w:eastAsiaTheme="minorEastAsia" w:hAnsi="Segoe UI" w:cs="Segoe UI"/>
      <w:sz w:val="18"/>
      <w:szCs w:val="18"/>
    </w:rPr>
  </w:style>
  <w:style w:type="paragraph" w:styleId="Header">
    <w:name w:val="header"/>
    <w:basedOn w:val="Normal"/>
    <w:link w:val="HeaderChar"/>
    <w:uiPriority w:val="99"/>
    <w:unhideWhenUsed/>
    <w:rsid w:val="0088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A0C"/>
    <w:rPr>
      <w:rFonts w:eastAsiaTheme="minorEastAsia"/>
      <w:sz w:val="20"/>
      <w:szCs w:val="20"/>
    </w:rPr>
  </w:style>
  <w:style w:type="paragraph" w:styleId="Footer">
    <w:name w:val="footer"/>
    <w:basedOn w:val="Normal"/>
    <w:link w:val="FooterChar"/>
    <w:uiPriority w:val="99"/>
    <w:unhideWhenUsed/>
    <w:rsid w:val="0088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A0C"/>
    <w:rPr>
      <w:rFonts w:eastAsiaTheme="minorEastAsia"/>
      <w:sz w:val="20"/>
      <w:szCs w:val="20"/>
    </w:rPr>
  </w:style>
  <w:style w:type="character" w:customStyle="1" w:styleId="Heading1Char">
    <w:name w:val="Heading 1 Char"/>
    <w:basedOn w:val="DefaultParagraphFont"/>
    <w:link w:val="Heading1"/>
    <w:rsid w:val="004E6CC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E6CCE"/>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uiPriority w:val="9"/>
    <w:rsid w:val="004E6CCE"/>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4E6CCE"/>
    <w:rPr>
      <w:rFonts w:ascii="Times New Roman" w:eastAsia="Times New Roman" w:hAnsi="Times New Roman" w:cs="Times New Roman"/>
      <w:bCs/>
      <w:sz w:val="24"/>
      <w:szCs w:val="28"/>
      <w:lang w:val="en-GB" w:eastAsia="en-GB"/>
    </w:rPr>
  </w:style>
  <w:style w:type="numbering" w:customStyle="1" w:styleId="NoList1">
    <w:name w:val="No List1"/>
    <w:next w:val="NoList"/>
    <w:uiPriority w:val="99"/>
    <w:semiHidden/>
    <w:unhideWhenUsed/>
    <w:rsid w:val="004E6CCE"/>
  </w:style>
  <w:style w:type="paragraph" w:customStyle="1" w:styleId="Articletitle">
    <w:name w:val="Article title"/>
    <w:basedOn w:val="Normal"/>
    <w:next w:val="Normal"/>
    <w:qFormat/>
    <w:rsid w:val="004E6CCE"/>
    <w:pPr>
      <w:spacing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4E6CC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4E6CCE"/>
    <w:pPr>
      <w:spacing w:before="240" w:after="0" w:line="360" w:lineRule="auto"/>
    </w:pPr>
    <w:rPr>
      <w:rFonts w:ascii="Times New Roman" w:eastAsia="Times New Roman" w:hAnsi="Times New Roman" w:cs="Times New Roman"/>
      <w:i/>
      <w:sz w:val="24"/>
      <w:szCs w:val="24"/>
      <w:lang w:val="en-GB" w:eastAsia="en-GB"/>
    </w:rPr>
  </w:style>
  <w:style w:type="paragraph" w:customStyle="1" w:styleId="Receiveddates">
    <w:name w:val="Received dates"/>
    <w:basedOn w:val="Affiliation"/>
    <w:next w:val="Normal"/>
    <w:qFormat/>
    <w:rsid w:val="004E6CCE"/>
  </w:style>
  <w:style w:type="paragraph" w:customStyle="1" w:styleId="Abstract">
    <w:name w:val="Abstract"/>
    <w:basedOn w:val="Normal"/>
    <w:next w:val="Keywords"/>
    <w:qFormat/>
    <w:rsid w:val="004E6CCE"/>
    <w:pPr>
      <w:spacing w:before="360" w:after="300" w:line="360" w:lineRule="auto"/>
      <w:ind w:left="720" w:right="567"/>
    </w:pPr>
    <w:rPr>
      <w:rFonts w:ascii="Times New Roman" w:eastAsia="Times New Roman" w:hAnsi="Times New Roman" w:cs="Times New Roman"/>
      <w:sz w:val="22"/>
      <w:szCs w:val="24"/>
      <w:lang w:val="en-GB" w:eastAsia="en-GB"/>
    </w:rPr>
  </w:style>
  <w:style w:type="paragraph" w:customStyle="1" w:styleId="Keywords">
    <w:name w:val="Keywords"/>
    <w:basedOn w:val="Normal"/>
    <w:next w:val="Paragraph"/>
    <w:qFormat/>
    <w:rsid w:val="004E6CCE"/>
    <w:pPr>
      <w:spacing w:before="240" w:after="240" w:line="360" w:lineRule="auto"/>
      <w:ind w:left="720" w:right="567"/>
    </w:pPr>
    <w:rPr>
      <w:rFonts w:ascii="Times New Roman" w:eastAsia="Times New Roman" w:hAnsi="Times New Roman" w:cs="Times New Roman"/>
      <w:sz w:val="22"/>
      <w:szCs w:val="24"/>
      <w:lang w:val="en-GB" w:eastAsia="en-GB"/>
    </w:rPr>
  </w:style>
  <w:style w:type="paragraph" w:customStyle="1" w:styleId="Correspondencedetails">
    <w:name w:val="Correspondence details"/>
    <w:basedOn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4E6CCE"/>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szCs w:val="24"/>
      <w:lang w:val="en-GB" w:eastAsia="en-GB"/>
    </w:rPr>
  </w:style>
  <w:style w:type="paragraph" w:customStyle="1" w:styleId="Numberedlist">
    <w:name w:val="Numbered list"/>
    <w:basedOn w:val="Paragraph"/>
    <w:next w:val="Paragraph"/>
    <w:qFormat/>
    <w:rsid w:val="004E6CCE"/>
    <w:pPr>
      <w:widowControl/>
      <w:numPr>
        <w:numId w:val="3"/>
      </w:numPr>
      <w:spacing w:after="240"/>
      <w:contextualSpacing/>
    </w:pPr>
  </w:style>
  <w:style w:type="paragraph" w:customStyle="1" w:styleId="Displayedequation">
    <w:name w:val="Displayed equation"/>
    <w:basedOn w:val="Normal"/>
    <w:next w:val="Paragraph"/>
    <w:qFormat/>
    <w:rsid w:val="004E6CCE"/>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4E6CCE"/>
    <w:pPr>
      <w:spacing w:before="120" w:after="0" w:line="360" w:lineRule="auto"/>
    </w:pPr>
    <w:rPr>
      <w:rFonts w:ascii="Times New Roman" w:eastAsia="Times New Roman" w:hAnsi="Times New Roman" w:cs="Times New Roman"/>
      <w:sz w:val="22"/>
      <w:szCs w:val="24"/>
      <w:lang w:val="en-GB" w:eastAsia="en-GB"/>
    </w:rPr>
  </w:style>
  <w:style w:type="paragraph" w:customStyle="1" w:styleId="Tabletitle">
    <w:name w:val="Table title"/>
    <w:basedOn w:val="Normal"/>
    <w:next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4E6CCE"/>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4E6CCE"/>
    <w:pPr>
      <w:spacing w:before="120" w:after="0" w:line="360" w:lineRule="auto"/>
      <w:ind w:left="482" w:hanging="482"/>
      <w:contextualSpacing/>
    </w:pPr>
    <w:rPr>
      <w:rFonts w:ascii="Times New Roman" w:eastAsia="Times New Roman" w:hAnsi="Times New Roman" w:cs="Times New Roman"/>
      <w:sz w:val="22"/>
      <w:szCs w:val="24"/>
      <w:lang w:val="en-GB" w:eastAsia="en-GB"/>
    </w:rPr>
  </w:style>
  <w:style w:type="paragraph" w:customStyle="1" w:styleId="Notesoncontributors">
    <w:name w:val="Notes on contributors"/>
    <w:basedOn w:val="Normal"/>
    <w:qFormat/>
    <w:rsid w:val="004E6CCE"/>
    <w:pPr>
      <w:spacing w:before="240" w:after="0" w:line="360" w:lineRule="auto"/>
    </w:pPr>
    <w:rPr>
      <w:rFonts w:ascii="Times New Roman" w:eastAsia="Times New Roman" w:hAnsi="Times New Roman" w:cs="Times New Roman"/>
      <w:sz w:val="22"/>
      <w:szCs w:val="24"/>
      <w:lang w:val="en-GB" w:eastAsia="en-GB"/>
    </w:rPr>
  </w:style>
  <w:style w:type="paragraph" w:customStyle="1" w:styleId="Normalparagraphstyle">
    <w:name w:val="Normal paragraph style"/>
    <w:basedOn w:val="Normal"/>
    <w:next w:val="Normal"/>
    <w:rsid w:val="004E6CCE"/>
    <w:pPr>
      <w:spacing w:after="0" w:line="48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4E6CCE"/>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4E6CCE"/>
    <w:pPr>
      <w:spacing w:after="0" w:line="480" w:lineRule="auto"/>
      <w:ind w:firstLine="720"/>
    </w:pPr>
    <w:rPr>
      <w:rFonts w:ascii="Times New Roman" w:eastAsia="Times New Roman" w:hAnsi="Times New Roman" w:cs="Times New Roman"/>
      <w:sz w:val="24"/>
      <w:szCs w:val="24"/>
      <w:lang w:val="en-GB" w:eastAsia="en-GB"/>
    </w:rPr>
  </w:style>
  <w:style w:type="paragraph" w:styleId="NormalIndent">
    <w:name w:val="Normal Indent"/>
    <w:basedOn w:val="Normal"/>
    <w:rsid w:val="004E6CCE"/>
    <w:pPr>
      <w:spacing w:after="0" w:line="480" w:lineRule="auto"/>
      <w:ind w:left="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4E6CCE"/>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4E6CCE"/>
  </w:style>
  <w:style w:type="paragraph" w:customStyle="1" w:styleId="Bulletedlist">
    <w:name w:val="Bulleted list"/>
    <w:basedOn w:val="Paragraph"/>
    <w:next w:val="Paragraph"/>
    <w:qFormat/>
    <w:rsid w:val="004E6CCE"/>
    <w:pPr>
      <w:widowControl/>
      <w:numPr>
        <w:numId w:val="4"/>
      </w:numPr>
      <w:spacing w:after="240"/>
      <w:contextualSpacing/>
    </w:pPr>
  </w:style>
  <w:style w:type="paragraph" w:styleId="EndnoteText">
    <w:name w:val="endnote text"/>
    <w:basedOn w:val="Normal"/>
    <w:link w:val="EndnoteTextChar"/>
    <w:rsid w:val="004E6CCE"/>
    <w:pPr>
      <w:spacing w:after="0" w:line="480" w:lineRule="auto"/>
      <w:ind w:left="284" w:hanging="284"/>
    </w:pPr>
    <w:rPr>
      <w:rFonts w:ascii="Times New Roman" w:eastAsia="Times New Roman" w:hAnsi="Times New Roman" w:cs="Times New Roman"/>
      <w:sz w:val="22"/>
      <w:lang w:val="en-GB" w:eastAsia="en-GB"/>
    </w:rPr>
  </w:style>
  <w:style w:type="character" w:customStyle="1" w:styleId="EndnoteTextChar">
    <w:name w:val="Endnote Text Char"/>
    <w:basedOn w:val="DefaultParagraphFont"/>
    <w:link w:val="EndnoteText"/>
    <w:rsid w:val="004E6CCE"/>
    <w:rPr>
      <w:rFonts w:ascii="Times New Roman" w:eastAsia="Times New Roman" w:hAnsi="Times New Roman" w:cs="Times New Roman"/>
      <w:szCs w:val="20"/>
      <w:lang w:val="en-GB" w:eastAsia="en-GB"/>
    </w:rPr>
  </w:style>
  <w:style w:type="character" w:styleId="EndnoteReference">
    <w:name w:val="endnote reference"/>
    <w:basedOn w:val="DefaultParagraphFont"/>
    <w:rsid w:val="004E6CCE"/>
    <w:rPr>
      <w:vertAlign w:val="superscript"/>
    </w:rPr>
  </w:style>
  <w:style w:type="paragraph" w:customStyle="1" w:styleId="Heading4Paragraph">
    <w:name w:val="Heading 4 + Paragraph"/>
    <w:basedOn w:val="Paragraph"/>
    <w:next w:val="Newparagraph"/>
    <w:qFormat/>
    <w:rsid w:val="004E6CCE"/>
    <w:pPr>
      <w:widowControl/>
      <w:spacing w:before="360"/>
    </w:pPr>
  </w:style>
  <w:style w:type="paragraph" w:customStyle="1" w:styleId="PhDNormal">
    <w:name w:val="PhD Normal"/>
    <w:link w:val="PhDNormalChar"/>
    <w:qFormat/>
    <w:rsid w:val="004E6CCE"/>
    <w:pPr>
      <w:spacing w:after="120" w:line="480" w:lineRule="auto"/>
      <w:ind w:firstLine="567"/>
      <w:jc w:val="both"/>
    </w:pPr>
    <w:rPr>
      <w:rFonts w:ascii="Times New Roman" w:eastAsia="Times New Roman" w:hAnsi="Times New Roman" w:cs="Times New Roman"/>
      <w:sz w:val="24"/>
    </w:rPr>
  </w:style>
  <w:style w:type="character" w:customStyle="1" w:styleId="PhDNormalChar">
    <w:name w:val="PhD Normal Char"/>
    <w:basedOn w:val="DefaultParagraphFont"/>
    <w:link w:val="PhDNormal"/>
    <w:rsid w:val="004E6CCE"/>
    <w:rPr>
      <w:rFonts w:ascii="Times New Roman" w:eastAsia="Times New Roman" w:hAnsi="Times New Roman" w:cs="Times New Roman"/>
      <w:sz w:val="24"/>
    </w:rPr>
  </w:style>
  <w:style w:type="paragraph" w:customStyle="1" w:styleId="listoftable">
    <w:name w:val="list of table"/>
    <w:basedOn w:val="NormalWeb"/>
    <w:qFormat/>
    <w:rsid w:val="004E6CCE"/>
    <w:pPr>
      <w:spacing w:before="0" w:beforeAutospacing="0" w:after="0" w:afterAutospacing="0"/>
    </w:pPr>
    <w:rPr>
      <w:lang w:val="en-GB" w:eastAsia="en-GB"/>
    </w:rPr>
  </w:style>
  <w:style w:type="paragraph" w:customStyle="1" w:styleId="Default">
    <w:name w:val="Default"/>
    <w:rsid w:val="004E6CCE"/>
    <w:pPr>
      <w:autoSpaceDE w:val="0"/>
      <w:autoSpaceDN w:val="0"/>
      <w:adjustRightInd w:val="0"/>
      <w:spacing w:after="0" w:line="240" w:lineRule="auto"/>
    </w:pPr>
    <w:rPr>
      <w:rFonts w:ascii="Calibri" w:hAnsi="Calibri" w:cs="Calibri"/>
      <w:color w:val="000000"/>
      <w:sz w:val="24"/>
      <w:szCs w:val="24"/>
    </w:rPr>
  </w:style>
  <w:style w:type="paragraph" w:customStyle="1" w:styleId="BodyText1">
    <w:name w:val="Body Text1"/>
    <w:basedOn w:val="Normal"/>
    <w:next w:val="BodyText"/>
    <w:link w:val="BodyTextChar"/>
    <w:uiPriority w:val="99"/>
    <w:rsid w:val="004E6CCE"/>
    <w:pPr>
      <w:spacing w:before="100" w:beforeAutospacing="1" w:line="360" w:lineRule="auto"/>
      <w:jc w:val="both"/>
    </w:pPr>
    <w:rPr>
      <w:rFonts w:ascii="Calibri" w:eastAsia="Calibri" w:hAnsi="Calibri" w:cs="Times New Roman"/>
      <w:sz w:val="22"/>
      <w:szCs w:val="22"/>
    </w:rPr>
  </w:style>
  <w:style w:type="character" w:customStyle="1" w:styleId="BodyTextChar">
    <w:name w:val="Body Text Char"/>
    <w:basedOn w:val="DefaultParagraphFont"/>
    <w:link w:val="BodyText1"/>
    <w:uiPriority w:val="99"/>
    <w:rsid w:val="004E6CCE"/>
    <w:rPr>
      <w:rFonts w:ascii="Calibri" w:eastAsia="Calibri" w:hAnsi="Calibri" w:cs="Times New Roman"/>
      <w:sz w:val="22"/>
      <w:szCs w:val="22"/>
      <w:lang w:val="en-AU" w:eastAsia="en-US"/>
    </w:rPr>
  </w:style>
  <w:style w:type="character" w:styleId="CommentReference">
    <w:name w:val="annotation reference"/>
    <w:basedOn w:val="DefaultParagraphFont"/>
    <w:uiPriority w:val="99"/>
    <w:rsid w:val="004E6CCE"/>
    <w:rPr>
      <w:sz w:val="16"/>
      <w:szCs w:val="16"/>
    </w:rPr>
  </w:style>
  <w:style w:type="paragraph" w:styleId="CommentText">
    <w:name w:val="annotation text"/>
    <w:basedOn w:val="Normal"/>
    <w:link w:val="CommentTextChar"/>
    <w:uiPriority w:val="99"/>
    <w:rsid w:val="004E6CCE"/>
    <w:pPr>
      <w:spacing w:after="0" w:line="240" w:lineRule="auto"/>
    </w:pPr>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uiPriority w:val="99"/>
    <w:rsid w:val="004E6CC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4E6CCE"/>
    <w:rPr>
      <w:b/>
      <w:bCs/>
    </w:rPr>
  </w:style>
  <w:style w:type="character" w:customStyle="1" w:styleId="CommentSubjectChar">
    <w:name w:val="Comment Subject Char"/>
    <w:basedOn w:val="CommentTextChar"/>
    <w:link w:val="CommentSubject"/>
    <w:uiPriority w:val="99"/>
    <w:rsid w:val="004E6CCE"/>
    <w:rPr>
      <w:rFonts w:ascii="Times New Roman" w:eastAsia="Times New Roman" w:hAnsi="Times New Roman" w:cs="Times New Roman"/>
      <w:b/>
      <w:bCs/>
      <w:sz w:val="20"/>
      <w:szCs w:val="20"/>
      <w:lang w:val="en-GB" w:eastAsia="en-GB"/>
    </w:rPr>
  </w:style>
  <w:style w:type="character" w:customStyle="1" w:styleId="apple-converted-space">
    <w:name w:val="apple-converted-space"/>
    <w:basedOn w:val="DefaultParagraphFont"/>
    <w:rsid w:val="004E6CCE"/>
  </w:style>
  <w:style w:type="character" w:customStyle="1" w:styleId="italic">
    <w:name w:val="italic"/>
    <w:basedOn w:val="DefaultParagraphFont"/>
    <w:rsid w:val="004E6CCE"/>
  </w:style>
  <w:style w:type="paragraph" w:customStyle="1" w:styleId="listoffigure">
    <w:name w:val="list of figure"/>
    <w:basedOn w:val="NormalWeb"/>
    <w:qFormat/>
    <w:rsid w:val="004E6CCE"/>
    <w:pPr>
      <w:spacing w:before="0" w:beforeAutospacing="0" w:after="0" w:afterAutospacing="0"/>
    </w:pPr>
    <w:rPr>
      <w:bCs/>
      <w:i/>
      <w:lang w:val="en-GB" w:eastAsia="en-GB"/>
    </w:rPr>
  </w:style>
  <w:style w:type="table" w:customStyle="1" w:styleId="APA">
    <w:name w:val="APA"/>
    <w:basedOn w:val="TableNormal"/>
    <w:uiPriority w:val="99"/>
    <w:qFormat/>
    <w:rsid w:val="004E6CCE"/>
    <w:pPr>
      <w:spacing w:after="0" w:line="240" w:lineRule="auto"/>
      <w:jc w:val="both"/>
    </w:pPr>
    <w:rPr>
      <w:rFonts w:eastAsia="Times New Roman"/>
      <w:lang w:eastAsia="zh-CN"/>
    </w:rPr>
    <w:tblPr>
      <w:tblBorders>
        <w:top w:val="single" w:sz="4" w:space="0" w:color="auto"/>
        <w:bottom w:val="single" w:sz="4" w:space="0" w:color="auto"/>
      </w:tblBorders>
    </w:tblPr>
    <w:tblStylePr w:type="firstRow">
      <w:tblPr/>
      <w:tcPr>
        <w:tcBorders>
          <w:bottom w:val="single" w:sz="4" w:space="0" w:color="auto"/>
        </w:tcBorders>
      </w:tcPr>
    </w:tblStylePr>
  </w:style>
  <w:style w:type="paragraph" w:styleId="BodyText">
    <w:name w:val="Body Text"/>
    <w:basedOn w:val="Normal"/>
    <w:link w:val="BodyTextChar1"/>
    <w:uiPriority w:val="99"/>
    <w:semiHidden/>
    <w:unhideWhenUsed/>
    <w:rsid w:val="004E6CCE"/>
  </w:style>
  <w:style w:type="character" w:customStyle="1" w:styleId="BodyTextChar1">
    <w:name w:val="Body Text Char1"/>
    <w:basedOn w:val="DefaultParagraphFont"/>
    <w:link w:val="BodyText"/>
    <w:uiPriority w:val="99"/>
    <w:semiHidden/>
    <w:rsid w:val="004E6CCE"/>
    <w:rPr>
      <w:rFonts w:eastAsiaTheme="minorEastAsia"/>
      <w:sz w:val="20"/>
      <w:szCs w:val="20"/>
    </w:rPr>
  </w:style>
  <w:style w:type="table" w:styleId="TableGrid">
    <w:name w:val="Table Grid"/>
    <w:basedOn w:val="TableNormal"/>
    <w:uiPriority w:val="59"/>
    <w:rsid w:val="0082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rsid w:val="00357B96"/>
    <w:rPr>
      <w:shd w:val="clear" w:color="auto" w:fill="FFFF00"/>
    </w:rPr>
  </w:style>
  <w:style w:type="table" w:styleId="LightList">
    <w:name w:val="Light List"/>
    <w:basedOn w:val="TableNormal"/>
    <w:uiPriority w:val="61"/>
    <w:rsid w:val="00357B96"/>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357B96"/>
    <w:rPr>
      <w:b/>
      <w:bCs/>
    </w:rPr>
  </w:style>
  <w:style w:type="character" w:customStyle="1" w:styleId="a">
    <w:name w:val="a"/>
    <w:basedOn w:val="DefaultParagraphFont"/>
    <w:rsid w:val="00357B96"/>
  </w:style>
  <w:style w:type="paragraph" w:customStyle="1" w:styleId="inline">
    <w:name w:val="inline"/>
    <w:basedOn w:val="Normal"/>
    <w:rsid w:val="00357B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
    <w:name w:val="Mention"/>
    <w:basedOn w:val="DefaultParagraphFont"/>
    <w:uiPriority w:val="99"/>
    <w:semiHidden/>
    <w:unhideWhenUsed/>
    <w:rsid w:val="00540B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19">
      <w:bodyDiv w:val="1"/>
      <w:marLeft w:val="0"/>
      <w:marRight w:val="0"/>
      <w:marTop w:val="0"/>
      <w:marBottom w:val="0"/>
      <w:divBdr>
        <w:top w:val="none" w:sz="0" w:space="0" w:color="auto"/>
        <w:left w:val="none" w:sz="0" w:space="0" w:color="auto"/>
        <w:bottom w:val="none" w:sz="0" w:space="0" w:color="auto"/>
        <w:right w:val="none" w:sz="0" w:space="0" w:color="auto"/>
      </w:divBdr>
      <w:divsChild>
        <w:div w:id="894925103">
          <w:marLeft w:val="0"/>
          <w:marRight w:val="0"/>
          <w:marTop w:val="0"/>
          <w:marBottom w:val="0"/>
          <w:divBdr>
            <w:top w:val="none" w:sz="0" w:space="0" w:color="auto"/>
            <w:left w:val="none" w:sz="0" w:space="0" w:color="auto"/>
            <w:bottom w:val="none" w:sz="0" w:space="0" w:color="auto"/>
            <w:right w:val="none" w:sz="0" w:space="0" w:color="auto"/>
          </w:divBdr>
        </w:div>
        <w:div w:id="640503136">
          <w:marLeft w:val="0"/>
          <w:marRight w:val="0"/>
          <w:marTop w:val="0"/>
          <w:marBottom w:val="0"/>
          <w:divBdr>
            <w:top w:val="none" w:sz="0" w:space="0" w:color="auto"/>
            <w:left w:val="none" w:sz="0" w:space="0" w:color="auto"/>
            <w:bottom w:val="none" w:sz="0" w:space="0" w:color="auto"/>
            <w:right w:val="none" w:sz="0" w:space="0" w:color="auto"/>
          </w:divBdr>
        </w:div>
      </w:divsChild>
    </w:div>
    <w:div w:id="146671990">
      <w:bodyDiv w:val="1"/>
      <w:marLeft w:val="0"/>
      <w:marRight w:val="0"/>
      <w:marTop w:val="0"/>
      <w:marBottom w:val="0"/>
      <w:divBdr>
        <w:top w:val="none" w:sz="0" w:space="0" w:color="auto"/>
        <w:left w:val="none" w:sz="0" w:space="0" w:color="auto"/>
        <w:bottom w:val="none" w:sz="0" w:space="0" w:color="auto"/>
        <w:right w:val="none" w:sz="0" w:space="0" w:color="auto"/>
      </w:divBdr>
    </w:div>
    <w:div w:id="793409549">
      <w:bodyDiv w:val="1"/>
      <w:marLeft w:val="0"/>
      <w:marRight w:val="0"/>
      <w:marTop w:val="0"/>
      <w:marBottom w:val="0"/>
      <w:divBdr>
        <w:top w:val="none" w:sz="0" w:space="0" w:color="auto"/>
        <w:left w:val="none" w:sz="0" w:space="0" w:color="auto"/>
        <w:bottom w:val="none" w:sz="0" w:space="0" w:color="auto"/>
        <w:right w:val="none" w:sz="0" w:space="0" w:color="auto"/>
      </w:divBdr>
    </w:div>
    <w:div w:id="17577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independent.co.uk/news/business/analy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javascript:popUp('contact.cgi?popup=yes&amp;window=contact&amp;context=aabfj&amp;u=2325773&amp;article=1656&amp;for=editor')" TargetMode="External"/><Relationship Id="rId19" Type="http://schemas.openxmlformats.org/officeDocument/2006/relationships/hyperlink" Target="http://ssrn.com/abstract=8753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eader" Target="header2.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concordancesoftware.co.uk" TargetMode="External"/><Relationship Id="rId1" Type="http://schemas.openxmlformats.org/officeDocument/2006/relationships/hyperlink" Target="mailto:Ismail.Adelopo@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3AAC-F599-41C8-94EB-C14EF79D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53144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Passant</dc:creator>
  <cp:lastModifiedBy>Ismail Adelopo</cp:lastModifiedBy>
  <cp:revision>2</cp:revision>
  <cp:lastPrinted>2016-06-25T04:02:00Z</cp:lastPrinted>
  <dcterms:created xsi:type="dcterms:W3CDTF">2017-05-19T14:32:00Z</dcterms:created>
  <dcterms:modified xsi:type="dcterms:W3CDTF">2017-05-19T14:32:00Z</dcterms:modified>
</cp:coreProperties>
</file>