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3AAC3" w14:textId="3ED6C069" w:rsidR="00F63FA2" w:rsidRDefault="6E1C7A2A" w:rsidP="6E1C7A2A">
      <w:pPr>
        <w:spacing w:line="276" w:lineRule="auto"/>
        <w:jc w:val="center"/>
        <w:rPr>
          <w:b/>
          <w:bCs/>
          <w:sz w:val="32"/>
          <w:szCs w:val="32"/>
        </w:rPr>
      </w:pPr>
      <w:r w:rsidRPr="6E1C7A2A">
        <w:rPr>
          <w:b/>
          <w:bCs/>
          <w:sz w:val="32"/>
          <w:szCs w:val="32"/>
        </w:rPr>
        <w:t>(The Lack of) Disclosure and the Constant Drive for Efficiency</w:t>
      </w:r>
    </w:p>
    <w:p w14:paraId="38549471" w14:textId="77777777" w:rsidR="00603995" w:rsidRDefault="00603995" w:rsidP="00930FD3">
      <w:pPr>
        <w:spacing w:line="276" w:lineRule="auto"/>
        <w:jc w:val="center"/>
        <w:rPr>
          <w:b/>
          <w:sz w:val="32"/>
          <w:szCs w:val="32"/>
        </w:rPr>
      </w:pPr>
    </w:p>
    <w:p w14:paraId="1FCF8DA4" w14:textId="795736E0" w:rsidR="00603995" w:rsidRPr="00603995" w:rsidRDefault="6E1C7A2A" w:rsidP="6E1C7A2A">
      <w:pPr>
        <w:spacing w:line="276" w:lineRule="auto"/>
        <w:jc w:val="center"/>
        <w:rPr>
          <w:b/>
          <w:bCs/>
        </w:rPr>
      </w:pPr>
      <w:r w:rsidRPr="6E1C7A2A">
        <w:rPr>
          <w:b/>
          <w:bCs/>
        </w:rPr>
        <w:t>Ed Johnston</w:t>
      </w:r>
      <w:r w:rsidR="00A76668">
        <w:rPr>
          <w:rStyle w:val="FootnoteReference"/>
          <w:b/>
          <w:bCs/>
        </w:rPr>
        <w:footnoteReference w:id="1"/>
      </w:r>
      <w:r w:rsidRPr="6E1C7A2A">
        <w:rPr>
          <w:b/>
          <w:bCs/>
        </w:rPr>
        <w:t xml:space="preserve"> </w:t>
      </w:r>
    </w:p>
    <w:p w14:paraId="2A1C1FF1" w14:textId="77777777" w:rsidR="00F63FA2" w:rsidRDefault="00F63FA2" w:rsidP="00F63FA2">
      <w:pPr>
        <w:spacing w:line="276" w:lineRule="auto"/>
        <w:jc w:val="both"/>
      </w:pPr>
    </w:p>
    <w:p w14:paraId="1DEEE869" w14:textId="67E76C5C" w:rsidR="00FF453D" w:rsidRPr="00DC49DD" w:rsidRDefault="6E1C7A2A" w:rsidP="00F63FA2">
      <w:pPr>
        <w:spacing w:line="276" w:lineRule="auto"/>
        <w:jc w:val="both"/>
      </w:pPr>
      <w:r>
        <w:t xml:space="preserve">Following the </w:t>
      </w:r>
      <w:r w:rsidRPr="6E1C7A2A">
        <w:rPr>
          <w:i/>
          <w:iCs/>
        </w:rPr>
        <w:t xml:space="preserve">Auld Review </w:t>
      </w:r>
      <w:r>
        <w:t xml:space="preserve">in 2001, the criminal justice process in England and Wales has seen a paradigm shift in its approach. Arguably, the traditional adversarial approach has been at best, diluted, or at worst, eroded. Adversarialism has been replaced with a managerial approach to justice and this is underpinned by the dual goals of efficiency and economy. The Criminal Procedure Rules 2015 (CrimPR) were the catalyst for such a deviation in an approach and the Rules provide the courts with an overriding objective of ‘dealing with cases justly’ (CrimPR Rule 1.1). This objective paved the way for a more efficient process but outlining that dealing with a case justly includes dealing with the case both ‘efficiently and expeditiously’ (CrimPR Rule 1.2(e)). </w:t>
      </w:r>
    </w:p>
    <w:p w14:paraId="43C30CB4" w14:textId="77777777" w:rsidR="009D7788" w:rsidRDefault="6E1C7A2A" w:rsidP="6E1C7A2A">
      <w:pPr>
        <w:spacing w:before="240" w:line="276" w:lineRule="auto"/>
        <w:jc w:val="both"/>
        <w:rPr>
          <w:rStyle w:val="pubyear"/>
          <w:rFonts w:cs="Times New Roman"/>
          <w:lang w:val="en-GB"/>
        </w:rPr>
      </w:pPr>
      <w:r w:rsidRPr="6E1C7A2A">
        <w:rPr>
          <w:rStyle w:val="pubyear"/>
          <w:rFonts w:cs="Times New Roman"/>
          <w:lang w:val="en-GB"/>
        </w:rPr>
        <w:t xml:space="preserve">Until the </w:t>
      </w:r>
      <w:proofErr w:type="spellStart"/>
      <w:r w:rsidRPr="6E1C7A2A">
        <w:rPr>
          <w:rStyle w:val="pubyear"/>
          <w:rFonts w:cs="Times New Roman"/>
          <w:lang w:val="en-GB"/>
        </w:rPr>
        <w:t>mid 1940s</w:t>
      </w:r>
      <w:proofErr w:type="spellEnd"/>
      <w:r w:rsidRPr="6E1C7A2A">
        <w:rPr>
          <w:rStyle w:val="pubyear"/>
          <w:rFonts w:cs="Times New Roman"/>
          <w:lang w:val="en-GB"/>
        </w:rPr>
        <w:t xml:space="preserve">, there was no duty to disclose any information prior to trial by either party. </w:t>
      </w:r>
      <w:r w:rsidRPr="6E1C7A2A">
        <w:rPr>
          <w:rStyle w:val="pubyear"/>
          <w:rFonts w:cs="Times New Roman"/>
          <w:i/>
          <w:iCs/>
          <w:lang w:val="en-GB"/>
        </w:rPr>
        <w:t>R v Bryant and Dickson</w:t>
      </w:r>
      <w:r w:rsidRPr="6E1C7A2A">
        <w:rPr>
          <w:rStyle w:val="pubyear"/>
          <w:rFonts w:cs="Times New Roman"/>
          <w:lang w:val="en-GB"/>
        </w:rPr>
        <w:t xml:space="preserve"> ([1946] 31 Cr App R 146) is commonly regarded as the beginning of the process in which the courts began to impose a duty on the prosecution to disclose material that may lead to the acquittal of the defendant. Defence disclosure did not exist until the advent of the Criminal Justice Act 1967 and compelled the defendant to disclose evidence in support of an alibi for trials on indictment (</w:t>
      </w:r>
      <w:proofErr w:type="gramStart"/>
      <w:r w:rsidRPr="6E1C7A2A">
        <w:rPr>
          <w:rStyle w:val="pubyear"/>
          <w:rFonts w:cs="Times New Roman"/>
          <w:lang w:val="en-GB"/>
        </w:rPr>
        <w:t>s.11(</w:t>
      </w:r>
      <w:proofErr w:type="gramEnd"/>
      <w:r w:rsidRPr="6E1C7A2A">
        <w:rPr>
          <w:rStyle w:val="pubyear"/>
          <w:rFonts w:cs="Times New Roman"/>
          <w:lang w:val="en-GB"/>
        </w:rPr>
        <w:t>1)). This remained the only element of defence disclosure until The Crown Court (Advance Notice of Expert Evidence) Rules</w:t>
      </w:r>
      <w:r w:rsidRPr="6E1C7A2A">
        <w:rPr>
          <w:rStyle w:val="pubyear"/>
          <w:rFonts w:cs="Times New Roman"/>
          <w:vertAlign w:val="superscript"/>
          <w:lang w:val="en-GB"/>
        </w:rPr>
        <w:t xml:space="preserve"> (</w:t>
      </w:r>
      <w:r w:rsidRPr="6E1C7A2A">
        <w:rPr>
          <w:rStyle w:val="pubyear"/>
          <w:rFonts w:cs="Times New Roman"/>
          <w:lang w:val="en-GB"/>
        </w:rPr>
        <w:t xml:space="preserve">SI 1987/716) which provided that any statement in writing of any finding or opinion of an expert upon which a party intended to rely on had to be disclosed as soon as practicable after committal. </w:t>
      </w:r>
    </w:p>
    <w:p w14:paraId="7A6B8774" w14:textId="6E73F067" w:rsidR="00917159" w:rsidRPr="00DC49DD" w:rsidRDefault="6E1C7A2A" w:rsidP="6E1C7A2A">
      <w:pPr>
        <w:spacing w:before="240" w:line="276" w:lineRule="auto"/>
        <w:jc w:val="both"/>
        <w:rPr>
          <w:rStyle w:val="pubyear"/>
          <w:rFonts w:cs="Times New Roman"/>
          <w:lang w:val="en-GB"/>
        </w:rPr>
      </w:pPr>
      <w:r w:rsidRPr="6E1C7A2A">
        <w:rPr>
          <w:rStyle w:val="pubyear"/>
          <w:rFonts w:cs="Times New Roman"/>
          <w:lang w:val="en-GB"/>
        </w:rPr>
        <w:t xml:space="preserve">Both the disclosure of alibi and expert evidence is relatively uncontentious and arguably in the interests of justice; the prosecution should have the ability to check the veracity of defence witnesses. However, the obligations of the defence case statement under the Criminal Procedure and Investigations Act 1996 (s.5) transformed the adversarial trial. The defence case statement was justified on the basis of a perceived imbalance which wasted </w:t>
      </w:r>
      <w:proofErr w:type="spellStart"/>
      <w:r w:rsidRPr="6E1C7A2A">
        <w:rPr>
          <w:rStyle w:val="pubyear"/>
          <w:rFonts w:cs="Times New Roman"/>
          <w:lang w:val="en-GB"/>
        </w:rPr>
        <w:t>timet</w:t>
      </w:r>
      <w:proofErr w:type="spellEnd"/>
      <w:r w:rsidRPr="6E1C7A2A">
        <w:rPr>
          <w:rStyle w:val="pubyear"/>
          <w:rFonts w:cs="Times New Roman"/>
          <w:lang w:val="en-GB"/>
        </w:rPr>
        <w:t xml:space="preserve"> and resources. The significant disclosure obligations incumbent on the prosecution allowed the defence to conduct ‘fishing expeditions’ with the purpose of causing delays or finding information that may lead to the prosecution dropping the case (See R. Morgan, ‘The Process is the Rule and Punishment is the Process (1996) 59 MLR 306 and </w:t>
      </w:r>
      <w:proofErr w:type="spellStart"/>
      <w:r w:rsidRPr="6E1C7A2A">
        <w:rPr>
          <w:rStyle w:val="pubyear"/>
          <w:rFonts w:cs="Times New Roman"/>
          <w:lang w:val="en-GB"/>
        </w:rPr>
        <w:t>A.Owusu-Bempah</w:t>
      </w:r>
      <w:proofErr w:type="spellEnd"/>
      <w:r w:rsidRPr="6E1C7A2A">
        <w:rPr>
          <w:rStyle w:val="pubyear"/>
          <w:rFonts w:cs="Times New Roman"/>
          <w:lang w:val="en-GB"/>
        </w:rPr>
        <w:t xml:space="preserve">, </w:t>
      </w:r>
      <w:r w:rsidRPr="6E1C7A2A">
        <w:rPr>
          <w:rStyle w:val="pubyear"/>
          <w:rFonts w:cs="Times New Roman"/>
          <w:i/>
          <w:iCs/>
          <w:lang w:val="en-GB"/>
        </w:rPr>
        <w:t>Defendant Participation in the Criminal Process</w:t>
      </w:r>
      <w:r w:rsidRPr="6E1C7A2A">
        <w:rPr>
          <w:rStyle w:val="pubyear"/>
          <w:rFonts w:cs="Times New Roman"/>
          <w:lang w:val="en-GB"/>
        </w:rPr>
        <w:t xml:space="preserve"> (Routledge, 2017 in particular chapter 7). Yet, no equivalent existed for the defence. After its introduction, the defence case statement was compulsory only in the Crown Court and as such, merely voluntary in the magistrates’ court (s.6). The CrimPR, via its Case Management provisions, effectively circumvented this statutory provision by requiring the  early identification of the real issues </w:t>
      </w:r>
      <w:r w:rsidRPr="6E1C7A2A">
        <w:rPr>
          <w:rStyle w:val="pubyear"/>
          <w:rFonts w:cs="Times New Roman"/>
          <w:lang w:val="en-GB"/>
        </w:rPr>
        <w:lastRenderedPageBreak/>
        <w:t>(CrimPR Rule3.2(1)(2)(a)), ensuring evidence is presented in the shortest and clearest way (CrimPR Rule3.2(1)(2)(f)) discouraging delay (CrimPR Rule3.2(1)(2)(f)). As such, in practice a defence case statement is obligatory in the lower and higher criminal courts.</w:t>
      </w:r>
    </w:p>
    <w:p w14:paraId="0AC129EA" w14:textId="77777777" w:rsidR="00FB0265" w:rsidRPr="00DC49DD" w:rsidRDefault="00FB0265" w:rsidP="00F63FA2">
      <w:pPr>
        <w:spacing w:line="276" w:lineRule="auto"/>
        <w:jc w:val="both"/>
      </w:pPr>
    </w:p>
    <w:p w14:paraId="2F71AEF4" w14:textId="474F0B42" w:rsidR="00DC2338" w:rsidRPr="00DC49DD" w:rsidRDefault="6E1C7A2A" w:rsidP="6E1C7A2A">
      <w:pPr>
        <w:spacing w:line="276" w:lineRule="auto"/>
        <w:jc w:val="both"/>
        <w:rPr>
          <w:rStyle w:val="pubyear"/>
          <w:rFonts w:cs="Times New Roman"/>
          <w:i/>
          <w:iCs/>
          <w:lang w:val="en-GB"/>
        </w:rPr>
      </w:pPr>
      <w:r>
        <w:t xml:space="preserve">The disclosure regime is a pivotal part of the prevailing efficiency agenda; the more the defendant can tell the prosecution about the case, the quicker the case can be resolved and dealt with. Yet, despite the many potential sanctions for failure to disclose defence materials, few appropriate sanctions for failures concerning prosecution disclosure exist, despite evidence suggesting there have been a myriad of failures by the prosecution (See </w:t>
      </w:r>
      <w:r w:rsidRPr="6E1C7A2A">
        <w:rPr>
          <w:rStyle w:val="pubyear"/>
          <w:rFonts w:cs="Times New Roman"/>
          <w:lang w:val="en-GB"/>
        </w:rPr>
        <w:t xml:space="preserve">the Crown Prosecution Service Inspectorate thematic review of the disclosure of unused materials; J. </w:t>
      </w:r>
      <w:proofErr w:type="spellStart"/>
      <w:r w:rsidRPr="6E1C7A2A">
        <w:rPr>
          <w:rStyle w:val="pubyear"/>
          <w:rFonts w:cs="Times New Roman"/>
          <w:lang w:val="en-GB"/>
        </w:rPr>
        <w:t>Plotnikoff</w:t>
      </w:r>
      <w:proofErr w:type="spellEnd"/>
      <w:r w:rsidRPr="6E1C7A2A">
        <w:rPr>
          <w:rStyle w:val="pubyear"/>
          <w:rFonts w:cs="Times New Roman"/>
          <w:lang w:val="en-GB"/>
        </w:rPr>
        <w:t xml:space="preserve"> and R. </w:t>
      </w:r>
      <w:proofErr w:type="spellStart"/>
      <w:r w:rsidRPr="6E1C7A2A">
        <w:rPr>
          <w:rStyle w:val="pubyear"/>
          <w:rFonts w:cs="Times New Roman"/>
          <w:lang w:val="en-GB"/>
        </w:rPr>
        <w:t>Woolfson</w:t>
      </w:r>
      <w:proofErr w:type="spellEnd"/>
      <w:r w:rsidRPr="6E1C7A2A">
        <w:rPr>
          <w:rStyle w:val="pubyear"/>
          <w:rFonts w:cs="Times New Roman"/>
          <w:lang w:val="en-GB"/>
        </w:rPr>
        <w:t xml:space="preserve"> published, </w:t>
      </w:r>
      <w:r w:rsidRPr="6E1C7A2A">
        <w:rPr>
          <w:rStyle w:val="pubyear"/>
          <w:rFonts w:cs="Times New Roman"/>
          <w:i/>
          <w:iCs/>
          <w:lang w:val="en-GB"/>
        </w:rPr>
        <w:t xml:space="preserve">A Fair Balance? Evaluation of the operation of disclosure law, </w:t>
      </w:r>
      <w:r w:rsidRPr="6E1C7A2A">
        <w:rPr>
          <w:rStyle w:val="pubyear"/>
          <w:rFonts w:cs="Times New Roman"/>
          <w:lang w:val="en-GB"/>
        </w:rPr>
        <w:t xml:space="preserve">2001 and H. Quirk </w:t>
      </w:r>
      <w:proofErr w:type="gramStart"/>
      <w:r w:rsidRPr="6E1C7A2A">
        <w:rPr>
          <w:rStyle w:val="pubyear"/>
          <w:rFonts w:cs="Times New Roman"/>
          <w:lang w:val="en-GB"/>
        </w:rPr>
        <w:t>The</w:t>
      </w:r>
      <w:proofErr w:type="gramEnd"/>
      <w:r w:rsidRPr="6E1C7A2A">
        <w:rPr>
          <w:rStyle w:val="pubyear"/>
          <w:rFonts w:cs="Times New Roman"/>
          <w:lang w:val="en-GB"/>
        </w:rPr>
        <w:t xml:space="preserve"> Significance of Culture in Criminal Procedure Reform: Why the Revised Disclosure Scheme Cannot Work’ 10 Evidence and Proof, (2006), 42)</w:t>
      </w:r>
      <w:r w:rsidRPr="6E1C7A2A">
        <w:rPr>
          <w:rStyle w:val="pubyear"/>
          <w:rFonts w:cs="Times New Roman"/>
          <w:i/>
          <w:iCs/>
          <w:lang w:val="en-GB"/>
        </w:rPr>
        <w:t xml:space="preserve">. </w:t>
      </w:r>
      <w:r w:rsidRPr="6E1C7A2A">
        <w:rPr>
          <w:rStyle w:val="pubyear"/>
          <w:rFonts w:cs="Times New Roman"/>
          <w:lang w:val="en-GB"/>
        </w:rPr>
        <w:t xml:space="preserve">Not only does this suggest an imbalance in terms of the equality of arms, but runs counter to the efficiency agenda. Without effective consequences, failures in prosecution disclosure will inevitably continue, disrupting the pursuit of swifter, surer justice. </w:t>
      </w:r>
    </w:p>
    <w:p w14:paraId="16C49066" w14:textId="77777777" w:rsidR="004D7D7A" w:rsidRPr="00DC49DD" w:rsidRDefault="004D7D7A" w:rsidP="00F63FA2">
      <w:pPr>
        <w:spacing w:line="276" w:lineRule="auto"/>
        <w:jc w:val="both"/>
        <w:rPr>
          <w:rStyle w:val="pubyear"/>
          <w:rFonts w:cs="Times New Roman"/>
          <w:i/>
          <w:iCs/>
          <w:lang w:val="en-GB"/>
        </w:rPr>
      </w:pPr>
    </w:p>
    <w:p w14:paraId="05F8851A" w14:textId="739A5F32" w:rsidR="00CF3A57" w:rsidRDefault="6E1C7A2A" w:rsidP="6E1C7A2A">
      <w:pPr>
        <w:spacing w:line="276" w:lineRule="auto"/>
        <w:jc w:val="both"/>
        <w:rPr>
          <w:rStyle w:val="pubyear"/>
          <w:rFonts w:cs="Times New Roman"/>
          <w:lang w:val="en-GB"/>
        </w:rPr>
      </w:pPr>
      <w:r w:rsidRPr="6E1C7A2A">
        <w:rPr>
          <w:rStyle w:val="pubyear"/>
          <w:rFonts w:cs="Times New Roman"/>
          <w:lang w:val="en-GB"/>
        </w:rPr>
        <w:t>On the 18</w:t>
      </w:r>
      <w:r w:rsidRPr="6E1C7A2A">
        <w:rPr>
          <w:rStyle w:val="pubyear"/>
          <w:rFonts w:cs="Times New Roman"/>
          <w:vertAlign w:val="superscript"/>
          <w:lang w:val="en-GB"/>
        </w:rPr>
        <w:t>th</w:t>
      </w:r>
      <w:r w:rsidRPr="6E1C7A2A">
        <w:rPr>
          <w:rStyle w:val="pubyear"/>
          <w:rFonts w:cs="Times New Roman"/>
          <w:lang w:val="en-GB"/>
        </w:rPr>
        <w:t xml:space="preserve"> July 2017, the HMIC published their report into the disclosure of unused materials in Crown Court Cases (available here: </w:t>
      </w:r>
      <w:hyperlink r:id="rId9" w:history="1">
        <w:r w:rsidR="00E127F9" w:rsidRPr="00DD4E9B">
          <w:rPr>
            <w:rStyle w:val="Hyperlink"/>
            <w:rFonts w:cs="Times New Roman"/>
          </w:rPr>
          <w:t>http://www.justiceinspectorates.gov.uk/cjji/wpcontent/uploads/sites/2/2017/07/CJJI_DSC_thm_July17_rpt.pdf)</w:t>
        </w:r>
      </w:hyperlink>
      <w:r w:rsidRPr="6E1C7A2A">
        <w:rPr>
          <w:rStyle w:val="pubyear"/>
          <w:rFonts w:cs="Times New Roman"/>
          <w:lang w:val="en-GB"/>
        </w:rPr>
        <w:t xml:space="preserve">. The report highlights several fundamental flaws with the prosecution disclosure regime. </w:t>
      </w:r>
      <w:r w:rsidR="00CF3A57">
        <w:rPr>
          <w:rStyle w:val="pubyear"/>
          <w:rFonts w:cs="Times New Roman"/>
          <w:lang w:val="en-GB"/>
        </w:rPr>
        <w:t xml:space="preserve">The report acknowledged that prosecution </w:t>
      </w:r>
      <w:r w:rsidRPr="6E1C7A2A">
        <w:rPr>
          <w:rStyle w:val="pubyear"/>
          <w:rFonts w:cs="Times New Roman"/>
          <w:lang w:val="en-GB"/>
        </w:rPr>
        <w:t xml:space="preserve">non-compliance with disclosure is ‘common knowledge … and </w:t>
      </w:r>
      <w:r w:rsidR="00CF3A57">
        <w:rPr>
          <w:rStyle w:val="pubyear"/>
          <w:rFonts w:cs="Times New Roman"/>
          <w:lang w:val="en-GB"/>
        </w:rPr>
        <w:t xml:space="preserve">[it is] </w:t>
      </w:r>
      <w:r w:rsidRPr="6E1C7A2A">
        <w:rPr>
          <w:rStyle w:val="pubyear"/>
          <w:rFonts w:cs="Times New Roman"/>
          <w:lang w:val="en-GB"/>
        </w:rPr>
        <w:t>difficult to justify why progress has not been made in volume crime cases</w:t>
      </w:r>
      <w:r w:rsidR="00CF3A57">
        <w:rPr>
          <w:rStyle w:val="pubyear"/>
          <w:rFonts w:cs="Times New Roman"/>
          <w:lang w:val="en-GB"/>
        </w:rPr>
        <w:t>’. It goes on to say that ‘</w:t>
      </w:r>
      <w:r w:rsidRPr="6E1C7A2A">
        <w:rPr>
          <w:rStyle w:val="pubyear"/>
          <w:rFonts w:cs="Times New Roman"/>
          <w:lang w:val="en-GB"/>
        </w:rPr>
        <w:t>until the police and CPS take their responsibilities in dealing with disclosure in volume crime cases more seriously, no improvement will result and the likelihood of fair trial can be jeopardised.’ (</w:t>
      </w:r>
      <w:proofErr w:type="gramStart"/>
      <w:r w:rsidRPr="6E1C7A2A">
        <w:rPr>
          <w:rStyle w:val="pubyear"/>
          <w:rFonts w:cs="Times New Roman"/>
          <w:lang w:val="en-GB"/>
        </w:rPr>
        <w:t>para</w:t>
      </w:r>
      <w:proofErr w:type="gramEnd"/>
      <w:r w:rsidRPr="6E1C7A2A">
        <w:rPr>
          <w:rStyle w:val="pubyear"/>
          <w:rFonts w:cs="Times New Roman"/>
          <w:lang w:val="en-GB"/>
        </w:rPr>
        <w:t xml:space="preserve"> 11.4). </w:t>
      </w:r>
      <w:r w:rsidR="00CF3A57">
        <w:rPr>
          <w:rStyle w:val="pubyear"/>
          <w:rFonts w:cs="Times New Roman"/>
          <w:lang w:val="en-GB"/>
        </w:rPr>
        <w:t xml:space="preserve">As such, the </w:t>
      </w:r>
      <w:proofErr w:type="spellStart"/>
      <w:r w:rsidR="00CF3A57">
        <w:rPr>
          <w:rStyle w:val="pubyear"/>
          <w:rFonts w:cs="Times New Roman"/>
          <w:lang w:val="en-GB"/>
        </w:rPr>
        <w:t>ramificiations</w:t>
      </w:r>
      <w:proofErr w:type="spellEnd"/>
      <w:r w:rsidR="00CF3A57">
        <w:rPr>
          <w:rStyle w:val="pubyear"/>
          <w:rFonts w:cs="Times New Roman"/>
          <w:lang w:val="en-GB"/>
        </w:rPr>
        <w:t xml:space="preserve"> go </w:t>
      </w:r>
      <w:proofErr w:type="gramStart"/>
      <w:r w:rsidR="00CF3A57">
        <w:rPr>
          <w:rStyle w:val="pubyear"/>
          <w:rFonts w:cs="Times New Roman"/>
          <w:lang w:val="en-GB"/>
        </w:rPr>
        <w:t>beyond  merely</w:t>
      </w:r>
      <w:proofErr w:type="gramEnd"/>
      <w:r w:rsidR="00CF3A57">
        <w:rPr>
          <w:rStyle w:val="pubyear"/>
          <w:rFonts w:cs="Times New Roman"/>
          <w:lang w:val="en-GB"/>
        </w:rPr>
        <w:t xml:space="preserve"> slowing down the drive for efficiency – such problems endanger a fundamental human right. T</w:t>
      </w:r>
      <w:r w:rsidR="00CF3A57" w:rsidRPr="6E1C7A2A">
        <w:rPr>
          <w:rStyle w:val="pubyear"/>
          <w:rFonts w:cs="Times New Roman"/>
          <w:lang w:val="en-GB"/>
        </w:rPr>
        <w:t xml:space="preserve">he handling of disclosure by the prosecution was not rated </w:t>
      </w:r>
      <w:r w:rsidR="00CF3A57">
        <w:rPr>
          <w:rStyle w:val="pubyear"/>
          <w:rFonts w:cs="Times New Roman"/>
          <w:lang w:val="en-GB"/>
        </w:rPr>
        <w:t xml:space="preserve">as ‘excellent’ in a single </w:t>
      </w:r>
      <w:proofErr w:type="gramStart"/>
      <w:r w:rsidR="00CF3A57">
        <w:rPr>
          <w:rStyle w:val="pubyear"/>
          <w:rFonts w:cs="Times New Roman"/>
          <w:lang w:val="en-GB"/>
        </w:rPr>
        <w:t>case,</w:t>
      </w:r>
      <w:proofErr w:type="gramEnd"/>
      <w:r w:rsidR="00CF3A57" w:rsidRPr="6E1C7A2A">
        <w:rPr>
          <w:rStyle w:val="pubyear"/>
          <w:rFonts w:cs="Times New Roman"/>
          <w:lang w:val="en-GB"/>
        </w:rPr>
        <w:t xml:space="preserve"> and good only in 23.3% of cases. </w:t>
      </w:r>
      <w:r w:rsidR="00CF3A57">
        <w:rPr>
          <w:rStyle w:val="pubyear"/>
          <w:rFonts w:cs="Times New Roman"/>
          <w:lang w:val="en-GB"/>
        </w:rPr>
        <w:t xml:space="preserve">In 20.5% of cases, </w:t>
      </w:r>
      <w:r w:rsidR="00CF3A57" w:rsidRPr="6E1C7A2A">
        <w:rPr>
          <w:rStyle w:val="pubyear"/>
          <w:rFonts w:cs="Times New Roman"/>
          <w:lang w:val="en-GB"/>
        </w:rPr>
        <w:t xml:space="preserve">poor disclosure meant a case was discontinued </w:t>
      </w:r>
      <w:r w:rsidR="00CF3A57">
        <w:rPr>
          <w:rStyle w:val="pubyear"/>
          <w:rFonts w:cs="Times New Roman"/>
          <w:lang w:val="en-GB"/>
        </w:rPr>
        <w:t xml:space="preserve">– this is clear and substantial impact, resulting from prosecutorial failings. </w:t>
      </w:r>
      <w:proofErr w:type="gramStart"/>
      <w:r w:rsidR="00CF3A57">
        <w:rPr>
          <w:rStyle w:val="pubyear"/>
          <w:rFonts w:cs="Times New Roman"/>
          <w:lang w:val="en-GB"/>
        </w:rPr>
        <w:t xml:space="preserve">That being said, it should be noted that in 30.8% of cases </w:t>
      </w:r>
      <w:r w:rsidR="00CF3A57" w:rsidRPr="6E1C7A2A">
        <w:rPr>
          <w:rStyle w:val="pubyear"/>
          <w:rFonts w:cs="Times New Roman"/>
          <w:lang w:val="en-GB"/>
        </w:rPr>
        <w:t>ne</w:t>
      </w:r>
      <w:r w:rsidR="00CF3A57">
        <w:rPr>
          <w:rStyle w:val="pubyear"/>
          <w:rFonts w:cs="Times New Roman"/>
          <w:lang w:val="en-GB"/>
        </w:rPr>
        <w:t>ither party disclosed in a timely fashion, so the issue does evidently affect (to some degree) both prosecution and defence.</w:t>
      </w:r>
      <w:proofErr w:type="gramEnd"/>
    </w:p>
    <w:p w14:paraId="4966F372" w14:textId="77777777" w:rsidR="00CF3A57" w:rsidRDefault="00CF3A57" w:rsidP="6E1C7A2A">
      <w:pPr>
        <w:spacing w:line="276" w:lineRule="auto"/>
        <w:jc w:val="both"/>
        <w:rPr>
          <w:rStyle w:val="pubyear"/>
          <w:rFonts w:cs="Times New Roman"/>
          <w:lang w:val="en-GB"/>
        </w:rPr>
      </w:pPr>
    </w:p>
    <w:p w14:paraId="5E1FD26C" w14:textId="3454CAAB" w:rsidR="009B22DA" w:rsidRPr="00DC49DD" w:rsidRDefault="00CF3A57" w:rsidP="6E1C7A2A">
      <w:pPr>
        <w:spacing w:line="276" w:lineRule="auto"/>
        <w:jc w:val="both"/>
        <w:rPr>
          <w:rStyle w:val="pubyear"/>
          <w:rFonts w:cs="Times New Roman"/>
          <w:lang w:val="en-GB"/>
        </w:rPr>
      </w:pPr>
      <w:r>
        <w:rPr>
          <w:rStyle w:val="pubyear"/>
          <w:rFonts w:cs="Times New Roman"/>
          <w:lang w:val="en-GB"/>
        </w:rPr>
        <w:t>D</w:t>
      </w:r>
      <w:r w:rsidR="6E1C7A2A" w:rsidRPr="6E1C7A2A">
        <w:rPr>
          <w:rStyle w:val="pubyear"/>
          <w:rFonts w:cs="Times New Roman"/>
          <w:lang w:val="en-GB"/>
        </w:rPr>
        <w:t xml:space="preserve">isclosure starts with the disclosure officer and they fared little better than the prosecution. </w:t>
      </w:r>
      <w:r>
        <w:rPr>
          <w:rStyle w:val="pubyear"/>
          <w:rFonts w:cs="Times New Roman"/>
          <w:lang w:val="en-GB"/>
        </w:rPr>
        <w:t>In no cases was t</w:t>
      </w:r>
      <w:r w:rsidR="6E1C7A2A" w:rsidRPr="6E1C7A2A">
        <w:rPr>
          <w:rStyle w:val="pubyear"/>
          <w:rFonts w:cs="Times New Roman"/>
          <w:lang w:val="en-GB"/>
        </w:rPr>
        <w:t xml:space="preserve">he quality of the handling of unused material by the police </w:t>
      </w:r>
      <w:r>
        <w:rPr>
          <w:rStyle w:val="pubyear"/>
          <w:rFonts w:cs="Times New Roman"/>
          <w:lang w:val="en-GB"/>
        </w:rPr>
        <w:t xml:space="preserve">rated as ‘excellent’, </w:t>
      </w:r>
      <w:r w:rsidR="6E1C7A2A" w:rsidRPr="6E1C7A2A">
        <w:rPr>
          <w:rStyle w:val="pubyear"/>
          <w:rFonts w:cs="Times New Roman"/>
          <w:lang w:val="en-GB"/>
        </w:rPr>
        <w:t>and</w:t>
      </w:r>
      <w:r>
        <w:rPr>
          <w:rStyle w:val="pubyear"/>
          <w:rFonts w:cs="Times New Roman"/>
          <w:lang w:val="en-GB"/>
        </w:rPr>
        <w:t xml:space="preserve"> was considered</w:t>
      </w:r>
      <w:r w:rsidR="6E1C7A2A" w:rsidRPr="6E1C7A2A">
        <w:rPr>
          <w:rStyle w:val="pubyear"/>
          <w:rFonts w:cs="Times New Roman"/>
          <w:lang w:val="en-GB"/>
        </w:rPr>
        <w:t xml:space="preserve"> ‘good’ </w:t>
      </w:r>
      <w:r>
        <w:rPr>
          <w:rStyle w:val="pubyear"/>
          <w:rFonts w:cs="Times New Roman"/>
          <w:lang w:val="en-GB"/>
        </w:rPr>
        <w:t>in only</w:t>
      </w:r>
      <w:r w:rsidR="6E1C7A2A" w:rsidRPr="6E1C7A2A">
        <w:rPr>
          <w:rStyle w:val="pubyear"/>
          <w:rFonts w:cs="Times New Roman"/>
          <w:lang w:val="en-GB"/>
        </w:rPr>
        <w:t xml:space="preserve"> 21.9%</w:t>
      </w:r>
      <w:r>
        <w:rPr>
          <w:rStyle w:val="pubyear"/>
          <w:rFonts w:cs="Times New Roman"/>
          <w:lang w:val="en-GB"/>
        </w:rPr>
        <w:t xml:space="preserve"> of cases</w:t>
      </w:r>
      <w:r w:rsidR="6E1C7A2A" w:rsidRPr="6E1C7A2A">
        <w:rPr>
          <w:rStyle w:val="pubyear"/>
          <w:rFonts w:cs="Times New Roman"/>
          <w:lang w:val="en-GB"/>
        </w:rPr>
        <w:t xml:space="preserve">. In fact, in the first instance, the scheduling by the disclosure officers </w:t>
      </w:r>
      <w:r>
        <w:rPr>
          <w:rStyle w:val="pubyear"/>
          <w:rFonts w:cs="Times New Roman"/>
          <w:lang w:val="en-GB"/>
        </w:rPr>
        <w:t>was described as</w:t>
      </w:r>
      <w:r w:rsidR="6E1C7A2A" w:rsidRPr="6E1C7A2A">
        <w:rPr>
          <w:rStyle w:val="pubyear"/>
          <w:rFonts w:cs="Times New Roman"/>
          <w:lang w:val="en-GB"/>
        </w:rPr>
        <w:t xml:space="preserve"> ‘routinel</w:t>
      </w:r>
      <w:r>
        <w:rPr>
          <w:rStyle w:val="pubyear"/>
          <w:rFonts w:cs="Times New Roman"/>
          <w:lang w:val="en-GB"/>
        </w:rPr>
        <w:t xml:space="preserve">y poor’, and was </w:t>
      </w:r>
      <w:r w:rsidR="6E1C7A2A" w:rsidRPr="6E1C7A2A">
        <w:rPr>
          <w:rStyle w:val="pubyear"/>
          <w:rFonts w:cs="Times New Roman"/>
          <w:lang w:val="en-GB"/>
        </w:rPr>
        <w:t xml:space="preserve">exacerbated </w:t>
      </w:r>
      <w:r>
        <w:rPr>
          <w:rStyle w:val="pubyear"/>
          <w:rFonts w:cs="Times New Roman"/>
          <w:lang w:val="en-GB"/>
        </w:rPr>
        <w:t xml:space="preserve">the failure of </w:t>
      </w:r>
      <w:proofErr w:type="gramStart"/>
      <w:r>
        <w:rPr>
          <w:rStyle w:val="pubyear"/>
          <w:rFonts w:cs="Times New Roman"/>
          <w:lang w:val="en-GB"/>
        </w:rPr>
        <w:t>prosecutors  to</w:t>
      </w:r>
      <w:proofErr w:type="gramEnd"/>
      <w:r>
        <w:rPr>
          <w:rStyle w:val="pubyear"/>
          <w:rFonts w:cs="Times New Roman"/>
          <w:lang w:val="en-GB"/>
        </w:rPr>
        <w:t xml:space="preserve"> challenge </w:t>
      </w:r>
      <w:r w:rsidR="6E1C7A2A" w:rsidRPr="6E1C7A2A">
        <w:rPr>
          <w:rStyle w:val="pubyear"/>
          <w:rFonts w:cs="Times New Roman"/>
          <w:lang w:val="en-GB"/>
        </w:rPr>
        <w:t>poor schedules. The communication</w:t>
      </w:r>
      <w:r>
        <w:rPr>
          <w:rStyle w:val="pubyear"/>
          <w:rFonts w:cs="Times New Roman"/>
          <w:lang w:val="en-GB"/>
        </w:rPr>
        <w:t xml:space="preserve"> between police and prosecution clearly</w:t>
      </w:r>
      <w:r w:rsidR="6E1C7A2A" w:rsidRPr="6E1C7A2A">
        <w:rPr>
          <w:rStyle w:val="pubyear"/>
          <w:rFonts w:cs="Times New Roman"/>
          <w:lang w:val="en-GB"/>
        </w:rPr>
        <w:t xml:space="preserve"> needs </w:t>
      </w:r>
      <w:r>
        <w:rPr>
          <w:rStyle w:val="pubyear"/>
          <w:rFonts w:cs="Times New Roman"/>
          <w:lang w:val="en-GB"/>
        </w:rPr>
        <w:t>vast improvement. This</w:t>
      </w:r>
      <w:r w:rsidR="6E1C7A2A" w:rsidRPr="6E1C7A2A">
        <w:rPr>
          <w:rStyle w:val="pubyear"/>
          <w:rFonts w:cs="Times New Roman"/>
          <w:lang w:val="en-GB"/>
        </w:rPr>
        <w:t xml:space="preserve"> underpin</w:t>
      </w:r>
      <w:r>
        <w:rPr>
          <w:rStyle w:val="pubyear"/>
          <w:rFonts w:cs="Times New Roman"/>
          <w:lang w:val="en-GB"/>
        </w:rPr>
        <w:t>s</w:t>
      </w:r>
      <w:r w:rsidR="6E1C7A2A" w:rsidRPr="6E1C7A2A">
        <w:rPr>
          <w:rStyle w:val="pubyear"/>
          <w:rFonts w:cs="Times New Roman"/>
          <w:lang w:val="en-GB"/>
        </w:rPr>
        <w:t xml:space="preserve"> the idea </w:t>
      </w:r>
      <w:r w:rsidR="6E1C7A2A" w:rsidRPr="6E1C7A2A">
        <w:rPr>
          <w:rStyle w:val="pubyear"/>
          <w:rFonts w:cs="Times New Roman"/>
          <w:lang w:val="en-GB"/>
        </w:rPr>
        <w:lastRenderedPageBreak/>
        <w:t>that there needs to be ‘cultural shift’ in the way that disclosure is viewed</w:t>
      </w:r>
      <w:r>
        <w:rPr>
          <w:rStyle w:val="pubyear"/>
          <w:rFonts w:cs="Times New Roman"/>
          <w:lang w:val="en-GB"/>
        </w:rPr>
        <w:t xml:space="preserve"> and practiced</w:t>
      </w:r>
      <w:r w:rsidR="6E1C7A2A" w:rsidRPr="6E1C7A2A">
        <w:rPr>
          <w:rStyle w:val="pubyear"/>
          <w:rFonts w:cs="Times New Roman"/>
          <w:lang w:val="en-GB"/>
        </w:rPr>
        <w:t xml:space="preserve">. The </w:t>
      </w:r>
      <w:r>
        <w:rPr>
          <w:rStyle w:val="pubyear"/>
          <w:rFonts w:cs="Times New Roman"/>
          <w:lang w:val="en-GB"/>
        </w:rPr>
        <w:t>disclosure regime needs to be regarded</w:t>
      </w:r>
      <w:r w:rsidR="6E1C7A2A" w:rsidRPr="6E1C7A2A">
        <w:rPr>
          <w:rStyle w:val="pubyear"/>
          <w:rFonts w:cs="Times New Roman"/>
          <w:lang w:val="en-GB"/>
        </w:rPr>
        <w:t xml:space="preserve"> ‘as [a] key to the prosecution process … rather than an administrative function.’ In order to </w:t>
      </w:r>
      <w:r>
        <w:rPr>
          <w:rStyle w:val="pubyear"/>
          <w:rFonts w:cs="Times New Roman"/>
          <w:lang w:val="en-GB"/>
        </w:rPr>
        <w:t>kick-start</w:t>
      </w:r>
      <w:r w:rsidR="6E1C7A2A" w:rsidRPr="6E1C7A2A">
        <w:rPr>
          <w:rStyle w:val="pubyear"/>
          <w:rFonts w:cs="Times New Roman"/>
          <w:lang w:val="en-GB"/>
        </w:rPr>
        <w:t xml:space="preserve"> this cultural shift, the authors </w:t>
      </w:r>
      <w:r>
        <w:rPr>
          <w:rStyle w:val="pubyear"/>
          <w:rFonts w:cs="Times New Roman"/>
          <w:lang w:val="en-GB"/>
        </w:rPr>
        <w:t xml:space="preserve">of the report </w:t>
      </w:r>
      <w:r w:rsidR="6E1C7A2A" w:rsidRPr="6E1C7A2A">
        <w:rPr>
          <w:rStyle w:val="pubyear"/>
          <w:rFonts w:cs="Times New Roman"/>
          <w:lang w:val="en-GB"/>
        </w:rPr>
        <w:t xml:space="preserve">suggest </w:t>
      </w:r>
      <w:r>
        <w:rPr>
          <w:rStyle w:val="pubyear"/>
          <w:rFonts w:cs="Times New Roman"/>
          <w:lang w:val="en-GB"/>
        </w:rPr>
        <w:t>make several recommendations</w:t>
      </w:r>
      <w:r w:rsidR="00C016E0">
        <w:rPr>
          <w:rStyle w:val="pubyear"/>
          <w:rFonts w:cs="Times New Roman"/>
          <w:lang w:val="en-GB"/>
        </w:rPr>
        <w:t>, including</w:t>
      </w:r>
      <w:r>
        <w:rPr>
          <w:rStyle w:val="pubyear"/>
          <w:rFonts w:cs="Times New Roman"/>
          <w:lang w:val="en-GB"/>
        </w:rPr>
        <w:t>:</w:t>
      </w:r>
      <w:r w:rsidR="6E1C7A2A" w:rsidRPr="6E1C7A2A">
        <w:rPr>
          <w:rStyle w:val="pubyear"/>
          <w:rFonts w:cs="Times New Roman"/>
          <w:lang w:val="en-GB"/>
        </w:rPr>
        <w:t xml:space="preserve">   </w:t>
      </w:r>
    </w:p>
    <w:p w14:paraId="627B8A30" w14:textId="77777777" w:rsidR="00F07628" w:rsidRPr="00DC49DD" w:rsidRDefault="00F07628" w:rsidP="00F63FA2">
      <w:pPr>
        <w:spacing w:line="276" w:lineRule="auto"/>
        <w:jc w:val="both"/>
        <w:rPr>
          <w:rStyle w:val="pubyear"/>
          <w:rFonts w:cs="Times New Roman"/>
          <w:iCs/>
          <w:lang w:val="en-GB"/>
        </w:rPr>
      </w:pPr>
    </w:p>
    <w:p w14:paraId="3871446E" w14:textId="0CC32067" w:rsidR="00F07628" w:rsidRPr="00DC49DD" w:rsidRDefault="00CF3A57" w:rsidP="6E1C7A2A">
      <w:pPr>
        <w:pStyle w:val="ListParagraph"/>
        <w:numPr>
          <w:ilvl w:val="0"/>
          <w:numId w:val="1"/>
        </w:numPr>
        <w:spacing w:line="276" w:lineRule="auto"/>
        <w:jc w:val="both"/>
        <w:rPr>
          <w:rFonts w:cs="Times New Roman"/>
        </w:rPr>
      </w:pPr>
      <w:r>
        <w:rPr>
          <w:rFonts w:cs="Times New Roman"/>
        </w:rPr>
        <w:t>Immediately: the p</w:t>
      </w:r>
      <w:r w:rsidR="6E1C7A2A" w:rsidRPr="6E1C7A2A">
        <w:rPr>
          <w:rFonts w:cs="Times New Roman"/>
        </w:rPr>
        <w:t>olice or CPS must correctly identify all disclosure issues relating to unused material at the charging stage and this</w:t>
      </w:r>
      <w:r>
        <w:rPr>
          <w:rFonts w:cs="Times New Roman"/>
        </w:rPr>
        <w:t xml:space="preserve"> should</w:t>
      </w:r>
      <w:r w:rsidR="6E1C7A2A" w:rsidRPr="6E1C7A2A">
        <w:rPr>
          <w:rFonts w:cs="Times New Roman"/>
        </w:rPr>
        <w:t xml:space="preserve"> be reflected fully in an action plan (para 3.3)</w:t>
      </w:r>
    </w:p>
    <w:p w14:paraId="775E2E84" w14:textId="32ADC054" w:rsidR="00F07628" w:rsidRPr="00DC49DD" w:rsidRDefault="6E1C7A2A" w:rsidP="6E1C7A2A">
      <w:pPr>
        <w:pStyle w:val="ListParagraph"/>
        <w:numPr>
          <w:ilvl w:val="0"/>
          <w:numId w:val="1"/>
        </w:numPr>
        <w:spacing w:line="276" w:lineRule="auto"/>
        <w:jc w:val="both"/>
        <w:rPr>
          <w:rFonts w:eastAsia="Times New Roman" w:cs="Times New Roman"/>
          <w:lang w:eastAsia="en-GB"/>
        </w:rPr>
      </w:pPr>
      <w:r w:rsidRPr="6E1C7A2A">
        <w:rPr>
          <w:rFonts w:eastAsia="Times New Roman" w:cs="Times New Roman"/>
          <w:lang w:eastAsia="en-GB"/>
        </w:rPr>
        <w:t>Within six months</w:t>
      </w:r>
      <w:r w:rsidR="00CF3A57">
        <w:rPr>
          <w:rFonts w:eastAsia="Times New Roman" w:cs="Times New Roman"/>
          <w:lang w:eastAsia="en-GB"/>
        </w:rPr>
        <w:t>:</w:t>
      </w:r>
      <w:r w:rsidRPr="6E1C7A2A">
        <w:rPr>
          <w:rFonts w:eastAsia="Times New Roman" w:cs="Times New Roman"/>
          <w:lang w:eastAsia="en-GB"/>
        </w:rPr>
        <w:t xml:space="preserve"> the CPS should comply with the Attorney General’s Guidelines on Disclosure requirement</w:t>
      </w:r>
      <w:r w:rsidR="00CF3A57">
        <w:rPr>
          <w:rFonts w:eastAsia="Times New Roman" w:cs="Times New Roman"/>
          <w:lang w:eastAsia="en-GB"/>
        </w:rPr>
        <w:t>s;</w:t>
      </w:r>
      <w:r w:rsidRPr="6E1C7A2A">
        <w:rPr>
          <w:rFonts w:eastAsia="Times New Roman" w:cs="Times New Roman"/>
          <w:lang w:eastAsia="en-GB"/>
        </w:rPr>
        <w:t xml:space="preserve"> ensure that every defence statement is reviewed by the allocated prosecutor prior to sending to the police</w:t>
      </w:r>
      <w:r w:rsidR="00CF3A57">
        <w:rPr>
          <w:rFonts w:eastAsia="Times New Roman" w:cs="Times New Roman"/>
          <w:lang w:eastAsia="en-GB"/>
        </w:rPr>
        <w:t>;</w:t>
      </w:r>
      <w:r w:rsidRPr="6E1C7A2A">
        <w:rPr>
          <w:rFonts w:eastAsia="Times New Roman" w:cs="Times New Roman"/>
          <w:lang w:eastAsia="en-GB"/>
        </w:rPr>
        <w:t xml:space="preserve"> and that prompt guidance is given to the police on what further actions should be taken or material provided (paragraph 6.8).</w:t>
      </w:r>
    </w:p>
    <w:p w14:paraId="6FD1E9BF" w14:textId="39F402D7" w:rsidR="00F07628" w:rsidRDefault="00CF3A57" w:rsidP="6E1C7A2A">
      <w:pPr>
        <w:pStyle w:val="ListParagraph"/>
        <w:numPr>
          <w:ilvl w:val="0"/>
          <w:numId w:val="1"/>
        </w:numPr>
        <w:spacing w:line="276" w:lineRule="auto"/>
        <w:jc w:val="both"/>
        <w:rPr>
          <w:rFonts w:eastAsia="Times New Roman" w:cs="Times New Roman"/>
          <w:lang w:eastAsia="en-GB"/>
        </w:rPr>
      </w:pPr>
      <w:r>
        <w:rPr>
          <w:rFonts w:eastAsia="Times New Roman" w:cs="Times New Roman"/>
          <w:lang w:eastAsia="en-GB"/>
        </w:rPr>
        <w:t xml:space="preserve">Within six months: </w:t>
      </w:r>
      <w:r w:rsidR="6E1C7A2A" w:rsidRPr="6E1C7A2A">
        <w:rPr>
          <w:rFonts w:eastAsia="Times New Roman" w:cs="Times New Roman"/>
          <w:lang w:eastAsia="en-GB"/>
        </w:rPr>
        <w:t>all police forces should establish the role of dedicated disclosure champion</w:t>
      </w:r>
      <w:r>
        <w:rPr>
          <w:rFonts w:eastAsia="Times New Roman" w:cs="Times New Roman"/>
          <w:lang w:eastAsia="en-GB"/>
        </w:rPr>
        <w:t>;</w:t>
      </w:r>
      <w:r w:rsidR="6E1C7A2A" w:rsidRPr="6E1C7A2A">
        <w:rPr>
          <w:rFonts w:eastAsia="Times New Roman" w:cs="Times New Roman"/>
          <w:lang w:eastAsia="en-GB"/>
        </w:rPr>
        <w:t xml:space="preserve"> and ensure that the role holder is of sufficient seniority to ensure they are able to work closely with the CPS Area Disclosure Champions</w:t>
      </w:r>
      <w:r>
        <w:rPr>
          <w:rFonts w:eastAsia="Times New Roman" w:cs="Times New Roman"/>
          <w:lang w:eastAsia="en-GB"/>
        </w:rPr>
        <w:t>,</w:t>
      </w:r>
      <w:r w:rsidR="6E1C7A2A" w:rsidRPr="6E1C7A2A">
        <w:rPr>
          <w:rFonts w:eastAsia="Times New Roman" w:cs="Times New Roman"/>
          <w:lang w:eastAsia="en-GB"/>
        </w:rPr>
        <w:t xml:space="preserve"> using the existing meetings structure to ensure that disclosure failures are closely monitored and good practice promulgated on a </w:t>
      </w:r>
      <w:r>
        <w:rPr>
          <w:rFonts w:eastAsia="Times New Roman" w:cs="Times New Roman"/>
          <w:lang w:eastAsia="en-GB"/>
        </w:rPr>
        <w:t>regular basis (paragraph 10.15)</w:t>
      </w:r>
    </w:p>
    <w:p w14:paraId="0442ECB1" w14:textId="77777777" w:rsidR="00E127F9" w:rsidRDefault="00E127F9" w:rsidP="00E127F9">
      <w:pPr>
        <w:spacing w:line="276" w:lineRule="auto"/>
        <w:jc w:val="both"/>
        <w:rPr>
          <w:rFonts w:eastAsia="Times New Roman" w:cs="Times New Roman"/>
          <w:lang w:eastAsia="en-GB"/>
        </w:rPr>
      </w:pPr>
    </w:p>
    <w:p w14:paraId="78E1437E" w14:textId="77777777" w:rsidR="00E127F9" w:rsidRPr="002B0D9A" w:rsidRDefault="00E127F9" w:rsidP="00E127F9">
      <w:pPr>
        <w:spacing w:line="276" w:lineRule="auto"/>
        <w:jc w:val="both"/>
        <w:rPr>
          <w:rFonts w:eastAsia="Times New Roman" w:cs="Times New Roman"/>
          <w:color w:val="000000" w:themeColor="text1"/>
          <w:lang w:eastAsia="en-GB"/>
        </w:rPr>
      </w:pPr>
      <w:r w:rsidRPr="002B0D9A">
        <w:rPr>
          <w:rFonts w:eastAsia="Times New Roman" w:cs="Times New Roman"/>
          <w:color w:val="000000" w:themeColor="text1"/>
          <w:lang w:eastAsia="en-GB"/>
        </w:rPr>
        <w:t xml:space="preserve">Further to the HMIC report, the </w:t>
      </w:r>
      <w:proofErr w:type="spellStart"/>
      <w:r w:rsidRPr="002B0D9A">
        <w:rPr>
          <w:rFonts w:eastAsia="Times New Roman" w:cs="Times New Roman"/>
          <w:color w:val="000000" w:themeColor="text1"/>
          <w:lang w:eastAsia="en-GB"/>
        </w:rPr>
        <w:t>Mouncher</w:t>
      </w:r>
      <w:proofErr w:type="spellEnd"/>
      <w:r w:rsidRPr="002B0D9A">
        <w:rPr>
          <w:rFonts w:eastAsia="Times New Roman" w:cs="Times New Roman"/>
          <w:color w:val="000000" w:themeColor="text1"/>
          <w:lang w:eastAsia="en-GB"/>
        </w:rPr>
        <w:t xml:space="preserve"> Investigation Report was also recently published (19</w:t>
      </w:r>
      <w:r w:rsidRPr="002B0D9A">
        <w:rPr>
          <w:rFonts w:eastAsia="Times New Roman" w:cs="Times New Roman"/>
          <w:color w:val="000000" w:themeColor="text1"/>
          <w:vertAlign w:val="superscript"/>
          <w:lang w:eastAsia="en-GB"/>
        </w:rPr>
        <w:t>th</w:t>
      </w:r>
      <w:r w:rsidRPr="002B0D9A">
        <w:rPr>
          <w:rFonts w:eastAsia="Times New Roman" w:cs="Times New Roman"/>
          <w:color w:val="000000" w:themeColor="text1"/>
          <w:lang w:eastAsia="en-GB"/>
        </w:rPr>
        <w:t xml:space="preserve"> July 2017 available here: </w:t>
      </w:r>
    </w:p>
    <w:p w14:paraId="6B64C20C" w14:textId="38465963" w:rsidR="00DE381E" w:rsidRPr="002B0D9A" w:rsidRDefault="001F13E7" w:rsidP="00E127F9">
      <w:pPr>
        <w:spacing w:line="276" w:lineRule="auto"/>
        <w:jc w:val="both"/>
        <w:rPr>
          <w:rFonts w:eastAsia="Times New Roman" w:cs="Times New Roman"/>
          <w:color w:val="000000" w:themeColor="text1"/>
          <w:lang w:eastAsia="en-GB"/>
        </w:rPr>
      </w:pPr>
      <w:hyperlink r:id="rId10" w:history="1">
        <w:r w:rsidR="00E127F9" w:rsidRPr="002B0D9A">
          <w:rPr>
            <w:rStyle w:val="Hyperlink"/>
            <w:rFonts w:eastAsia="Times New Roman" w:cs="Times New Roman"/>
            <w:color w:val="000000" w:themeColor="text1"/>
            <w:lang w:eastAsia="en-GB"/>
          </w:rPr>
          <w:t>https://www.gov.uk/government/uploads/system/uploads/attachment_data/file/629725/mouncher_report_web_accessible_july_2017.pdf</w:t>
        </w:r>
      </w:hyperlink>
      <w:r w:rsidR="00E127F9" w:rsidRPr="002B0D9A">
        <w:rPr>
          <w:rFonts w:eastAsia="Times New Roman" w:cs="Times New Roman"/>
          <w:color w:val="000000" w:themeColor="text1"/>
          <w:lang w:eastAsia="en-GB"/>
        </w:rPr>
        <w:t>). The report centred on the ‘The Cardiff Five’ case where three men were convicted of the murder of a prostitute, Lynette White, in 1988. The Court of Appeal quashed the t</w:t>
      </w:r>
      <w:r w:rsidR="00DE381E" w:rsidRPr="002B0D9A">
        <w:rPr>
          <w:rFonts w:eastAsia="Times New Roman" w:cs="Times New Roman"/>
          <w:color w:val="000000" w:themeColor="text1"/>
          <w:lang w:eastAsia="en-GB"/>
        </w:rPr>
        <w:t xml:space="preserve">hree convictions in 1992 as an incriminating confession was obtained by bullying, hostility and intimidation that </w:t>
      </w:r>
      <w:proofErr w:type="gramStart"/>
      <w:r w:rsidR="00DE381E" w:rsidRPr="002B0D9A">
        <w:rPr>
          <w:rFonts w:eastAsia="Times New Roman" w:cs="Times New Roman"/>
          <w:color w:val="000000" w:themeColor="text1"/>
          <w:lang w:eastAsia="en-GB"/>
        </w:rPr>
        <w:t>was</w:t>
      </w:r>
      <w:proofErr w:type="gramEnd"/>
      <w:r w:rsidR="00DE381E" w:rsidRPr="002B0D9A">
        <w:rPr>
          <w:rFonts w:eastAsia="Times New Roman" w:cs="Times New Roman"/>
          <w:color w:val="000000" w:themeColor="text1"/>
          <w:lang w:eastAsia="en-GB"/>
        </w:rPr>
        <w:t xml:space="preserve"> at ‘a level that had horrified the three Court of Appeal Judges</w:t>
      </w:r>
      <w:r w:rsidR="002B0D9A" w:rsidRPr="002B0D9A">
        <w:rPr>
          <w:rFonts w:eastAsia="Times New Roman" w:cs="Times New Roman"/>
          <w:color w:val="000000" w:themeColor="text1"/>
          <w:lang w:eastAsia="en-GB"/>
        </w:rPr>
        <w:t>.</w:t>
      </w:r>
      <w:r w:rsidR="00DE381E" w:rsidRPr="002B0D9A">
        <w:rPr>
          <w:rFonts w:eastAsia="Times New Roman" w:cs="Times New Roman"/>
          <w:color w:val="000000" w:themeColor="text1"/>
          <w:lang w:eastAsia="en-GB"/>
        </w:rPr>
        <w:t xml:space="preserve">’ The report examines </w:t>
      </w:r>
      <w:r w:rsidR="00E127F9" w:rsidRPr="002B0D9A">
        <w:rPr>
          <w:rFonts w:eastAsia="Times New Roman" w:cs="Times New Roman"/>
          <w:color w:val="000000" w:themeColor="text1"/>
          <w:lang w:eastAsia="en-GB"/>
        </w:rPr>
        <w:t>the failed prosecution of 13 police officers and two civilians</w:t>
      </w:r>
      <w:r w:rsidR="00DE381E" w:rsidRPr="002B0D9A">
        <w:rPr>
          <w:rFonts w:eastAsia="Times New Roman" w:cs="Times New Roman"/>
          <w:color w:val="000000" w:themeColor="text1"/>
          <w:lang w:eastAsia="en-GB"/>
        </w:rPr>
        <w:t xml:space="preserve"> </w:t>
      </w:r>
      <w:r w:rsidR="002B0D9A" w:rsidRPr="002B0D9A">
        <w:rPr>
          <w:rFonts w:eastAsia="Times New Roman" w:cs="Times New Roman"/>
          <w:color w:val="000000" w:themeColor="text1"/>
          <w:lang w:eastAsia="en-GB"/>
        </w:rPr>
        <w:t>which</w:t>
      </w:r>
      <w:r w:rsidR="00DE381E" w:rsidRPr="002B0D9A">
        <w:rPr>
          <w:rFonts w:eastAsia="Times New Roman" w:cs="Times New Roman"/>
          <w:color w:val="000000" w:themeColor="text1"/>
          <w:lang w:eastAsia="en-GB"/>
        </w:rPr>
        <w:t xml:space="preserve"> conclude</w:t>
      </w:r>
      <w:r w:rsidR="002B0D9A" w:rsidRPr="002B0D9A">
        <w:rPr>
          <w:rFonts w:eastAsia="Times New Roman" w:cs="Times New Roman"/>
          <w:color w:val="000000" w:themeColor="text1"/>
          <w:lang w:eastAsia="en-GB"/>
        </w:rPr>
        <w:t>d</w:t>
      </w:r>
      <w:r w:rsidR="00DE381E" w:rsidRPr="002B0D9A">
        <w:rPr>
          <w:rFonts w:eastAsia="Times New Roman" w:cs="Times New Roman"/>
          <w:color w:val="000000" w:themeColor="text1"/>
          <w:lang w:eastAsia="en-GB"/>
        </w:rPr>
        <w:t xml:space="preserve"> the trial collapsed because of ‘human errors by the police and CPS’ concerning disclosure. Among the recommendations, the report suggests (see p. 283-84 for the full recommendations): </w:t>
      </w:r>
    </w:p>
    <w:p w14:paraId="152C538B" w14:textId="77777777" w:rsidR="00DE381E" w:rsidRPr="002B0D9A" w:rsidRDefault="00DE381E" w:rsidP="00E127F9">
      <w:pPr>
        <w:spacing w:line="276" w:lineRule="auto"/>
        <w:jc w:val="both"/>
        <w:rPr>
          <w:rFonts w:eastAsia="Times New Roman" w:cs="Times New Roman"/>
          <w:color w:val="000000" w:themeColor="text1"/>
          <w:lang w:eastAsia="en-GB"/>
        </w:rPr>
      </w:pPr>
    </w:p>
    <w:p w14:paraId="2C099D7F" w14:textId="6D8EAF33" w:rsidR="00E127F9" w:rsidRPr="002B0D9A" w:rsidRDefault="00DE381E" w:rsidP="00DE381E">
      <w:pPr>
        <w:pStyle w:val="ListParagraph"/>
        <w:numPr>
          <w:ilvl w:val="0"/>
          <w:numId w:val="3"/>
        </w:numPr>
        <w:spacing w:line="276" w:lineRule="auto"/>
        <w:jc w:val="both"/>
        <w:rPr>
          <w:rFonts w:eastAsia="Times New Roman" w:cs="Times New Roman"/>
          <w:color w:val="000000" w:themeColor="text1"/>
          <w:lang w:eastAsia="en-GB"/>
        </w:rPr>
      </w:pPr>
      <w:r w:rsidRPr="002B0D9A">
        <w:rPr>
          <w:rFonts w:eastAsia="Times New Roman" w:cs="Times New Roman"/>
          <w:color w:val="000000" w:themeColor="text1"/>
          <w:lang w:eastAsia="en-GB"/>
        </w:rPr>
        <w:t xml:space="preserve">There should be national minimum standards for accrediting disclosure officers. </w:t>
      </w:r>
    </w:p>
    <w:p w14:paraId="139CA041" w14:textId="4FF7B95B" w:rsidR="00DE381E" w:rsidRPr="002B0D9A" w:rsidRDefault="00DE381E" w:rsidP="00DE381E">
      <w:pPr>
        <w:pStyle w:val="ListParagraph"/>
        <w:numPr>
          <w:ilvl w:val="0"/>
          <w:numId w:val="3"/>
        </w:numPr>
        <w:spacing w:line="276" w:lineRule="auto"/>
        <w:jc w:val="both"/>
        <w:rPr>
          <w:rFonts w:eastAsia="Times New Roman" w:cs="Times New Roman"/>
          <w:color w:val="000000" w:themeColor="text1"/>
          <w:lang w:eastAsia="en-GB"/>
        </w:rPr>
      </w:pPr>
      <w:r w:rsidRPr="002B0D9A">
        <w:rPr>
          <w:rFonts w:eastAsia="Times New Roman" w:cs="Times New Roman"/>
          <w:color w:val="000000" w:themeColor="text1"/>
          <w:lang w:eastAsia="en-GB"/>
        </w:rPr>
        <w:t xml:space="preserve">There needs to be a national training regime to eliminate regional differences in disclosure. </w:t>
      </w:r>
    </w:p>
    <w:p w14:paraId="7150F9AE" w14:textId="2DB6917A" w:rsidR="00DE381E" w:rsidRPr="002B0D9A" w:rsidRDefault="00DE381E" w:rsidP="00DE381E">
      <w:pPr>
        <w:pStyle w:val="ListParagraph"/>
        <w:numPr>
          <w:ilvl w:val="0"/>
          <w:numId w:val="3"/>
        </w:numPr>
        <w:spacing w:line="276" w:lineRule="auto"/>
        <w:jc w:val="both"/>
        <w:rPr>
          <w:rFonts w:eastAsia="Times New Roman" w:cs="Times New Roman"/>
          <w:color w:val="000000" w:themeColor="text1"/>
          <w:lang w:eastAsia="en-GB"/>
        </w:rPr>
      </w:pPr>
      <w:r w:rsidRPr="002B0D9A">
        <w:rPr>
          <w:rFonts w:eastAsia="Times New Roman" w:cs="Times New Roman"/>
          <w:color w:val="000000" w:themeColor="text1"/>
          <w:lang w:eastAsia="en-GB"/>
        </w:rPr>
        <w:t>The abiding principle must be ‘if in doubt disclose’ and nothing must be permitted to qualify or diminish it.</w:t>
      </w:r>
    </w:p>
    <w:p w14:paraId="4D7BED04" w14:textId="77777777" w:rsidR="00F07628" w:rsidRPr="00DC49DD" w:rsidRDefault="00F07628" w:rsidP="00F07628">
      <w:pPr>
        <w:spacing w:line="276" w:lineRule="auto"/>
        <w:jc w:val="both"/>
        <w:rPr>
          <w:rFonts w:cs="Times New Roman"/>
          <w:iCs/>
        </w:rPr>
      </w:pPr>
    </w:p>
    <w:p w14:paraId="26409B21" w14:textId="47022010" w:rsidR="00F07628" w:rsidRPr="00DC49DD" w:rsidRDefault="00CF3A57" w:rsidP="6E1C7A2A">
      <w:pPr>
        <w:spacing w:line="276" w:lineRule="auto"/>
        <w:jc w:val="both"/>
        <w:rPr>
          <w:rFonts w:cs="Times New Roman"/>
        </w:rPr>
      </w:pPr>
      <w:r>
        <w:rPr>
          <w:rFonts w:cs="Times New Roman"/>
        </w:rPr>
        <w:t xml:space="preserve">However, perhaps the courts </w:t>
      </w:r>
      <w:r w:rsidR="6E1C7A2A" w:rsidRPr="6E1C7A2A">
        <w:rPr>
          <w:rFonts w:cs="Times New Roman"/>
        </w:rPr>
        <w:t xml:space="preserve">can assist </w:t>
      </w:r>
      <w:r w:rsidR="00216A91">
        <w:rPr>
          <w:rFonts w:cs="Times New Roman"/>
        </w:rPr>
        <w:t>in ushering in such a</w:t>
      </w:r>
      <w:r w:rsidR="6E1C7A2A" w:rsidRPr="6E1C7A2A">
        <w:rPr>
          <w:rFonts w:cs="Times New Roman"/>
        </w:rPr>
        <w:t xml:space="preserve"> </w:t>
      </w:r>
      <w:r>
        <w:rPr>
          <w:rFonts w:cs="Times New Roman"/>
        </w:rPr>
        <w:t>sea change (to borrow from the</w:t>
      </w:r>
      <w:r w:rsidR="00216A91">
        <w:rPr>
          <w:rFonts w:cs="Times New Roman"/>
        </w:rPr>
        <w:t xml:space="preserve"> disclosure-related</w:t>
      </w:r>
      <w:r>
        <w:rPr>
          <w:rFonts w:cs="Times New Roman"/>
        </w:rPr>
        <w:t xml:space="preserve"> </w:t>
      </w:r>
      <w:r>
        <w:rPr>
          <w:rFonts w:cs="Times New Roman"/>
          <w:i/>
        </w:rPr>
        <w:t>Chorley Justices</w:t>
      </w:r>
      <w:r>
        <w:rPr>
          <w:rFonts w:cs="Times New Roman"/>
        </w:rPr>
        <w:t xml:space="preserve"> case</w:t>
      </w:r>
      <w:r w:rsidR="00216A91">
        <w:rPr>
          <w:rFonts w:cs="Times New Roman"/>
        </w:rPr>
        <w:t xml:space="preserve"> – see below</w:t>
      </w:r>
      <w:r>
        <w:rPr>
          <w:rFonts w:cs="Times New Roman"/>
        </w:rPr>
        <w:t>)</w:t>
      </w:r>
      <w:r w:rsidR="00216A91">
        <w:rPr>
          <w:rFonts w:cs="Times New Roman"/>
        </w:rPr>
        <w:t>. S</w:t>
      </w:r>
      <w:r w:rsidR="6E1C7A2A" w:rsidRPr="6E1C7A2A">
        <w:rPr>
          <w:rFonts w:cs="Times New Roman"/>
        </w:rPr>
        <w:t xml:space="preserve">hould the defence fail to satisfy their disclosure obligations under the CPIA 1996 or CrimPR, there are three potential sanctions available to the court: </w:t>
      </w:r>
    </w:p>
    <w:p w14:paraId="458BCDB5" w14:textId="77777777" w:rsidR="00F07628" w:rsidRPr="00DC49DD" w:rsidRDefault="00F07628" w:rsidP="00F07628">
      <w:pPr>
        <w:spacing w:line="276" w:lineRule="auto"/>
        <w:jc w:val="both"/>
        <w:rPr>
          <w:rFonts w:cs="Times New Roman"/>
          <w:iCs/>
        </w:rPr>
      </w:pPr>
    </w:p>
    <w:p w14:paraId="2B6E6662" w14:textId="41DB0F62" w:rsidR="00F07628" w:rsidRPr="00DC49DD" w:rsidRDefault="6E1C7A2A" w:rsidP="6E1C7A2A">
      <w:pPr>
        <w:pStyle w:val="ListParagraph"/>
        <w:numPr>
          <w:ilvl w:val="0"/>
          <w:numId w:val="2"/>
        </w:numPr>
        <w:spacing w:line="276" w:lineRule="auto"/>
        <w:jc w:val="both"/>
        <w:rPr>
          <w:rFonts w:cs="Times New Roman"/>
        </w:rPr>
      </w:pPr>
      <w:r w:rsidRPr="6E1C7A2A">
        <w:rPr>
          <w:rFonts w:cs="Times New Roman"/>
        </w:rPr>
        <w:t>A Wasted Costs Order</w:t>
      </w:r>
    </w:p>
    <w:p w14:paraId="778EF1B1" w14:textId="2C355F94" w:rsidR="00F07628" w:rsidRPr="00DC49DD" w:rsidRDefault="6E1C7A2A" w:rsidP="6E1C7A2A">
      <w:pPr>
        <w:pStyle w:val="ListParagraph"/>
        <w:numPr>
          <w:ilvl w:val="0"/>
          <w:numId w:val="2"/>
        </w:numPr>
        <w:spacing w:line="276" w:lineRule="auto"/>
        <w:jc w:val="both"/>
        <w:rPr>
          <w:rFonts w:cs="Times New Roman"/>
        </w:rPr>
      </w:pPr>
      <w:r w:rsidRPr="6E1C7A2A">
        <w:rPr>
          <w:rFonts w:cs="Times New Roman"/>
        </w:rPr>
        <w:t>Refusal of an application/adjournment or</w:t>
      </w:r>
    </w:p>
    <w:p w14:paraId="6519DCB8" w14:textId="05A4C7E3" w:rsidR="00F07628" w:rsidRPr="00DC49DD" w:rsidRDefault="6E1C7A2A" w:rsidP="6E1C7A2A">
      <w:pPr>
        <w:pStyle w:val="ListParagraph"/>
        <w:numPr>
          <w:ilvl w:val="0"/>
          <w:numId w:val="2"/>
        </w:numPr>
        <w:spacing w:line="276" w:lineRule="auto"/>
        <w:jc w:val="both"/>
        <w:rPr>
          <w:rFonts w:cs="Times New Roman"/>
        </w:rPr>
      </w:pPr>
      <w:r w:rsidRPr="6E1C7A2A">
        <w:rPr>
          <w:rFonts w:cs="Times New Roman"/>
        </w:rPr>
        <w:t xml:space="preserve">Professional </w:t>
      </w:r>
      <w:proofErr w:type="gramStart"/>
      <w:r w:rsidRPr="6E1C7A2A">
        <w:rPr>
          <w:rFonts w:cs="Times New Roman"/>
        </w:rPr>
        <w:t>conduct</w:t>
      </w:r>
      <w:proofErr w:type="gramEnd"/>
      <w:r w:rsidRPr="6E1C7A2A">
        <w:rPr>
          <w:rFonts w:cs="Times New Roman"/>
        </w:rPr>
        <w:t xml:space="preserve"> sanctions. </w:t>
      </w:r>
    </w:p>
    <w:p w14:paraId="48D099B0" w14:textId="77777777" w:rsidR="00F07628" w:rsidRPr="00DC49DD" w:rsidRDefault="00F07628" w:rsidP="00F07628">
      <w:pPr>
        <w:spacing w:line="276" w:lineRule="auto"/>
        <w:jc w:val="both"/>
        <w:rPr>
          <w:rFonts w:cs="Times New Roman"/>
          <w:iCs/>
        </w:rPr>
      </w:pPr>
    </w:p>
    <w:p w14:paraId="6E265DE4" w14:textId="5C347AAA" w:rsidR="00F07628" w:rsidRPr="00DC49DD" w:rsidRDefault="004E7F93" w:rsidP="6E1C7A2A">
      <w:pPr>
        <w:spacing w:line="276" w:lineRule="auto"/>
        <w:jc w:val="both"/>
        <w:rPr>
          <w:rStyle w:val="pubyear"/>
          <w:rFonts w:cs="Times New Roman"/>
          <w:lang w:val="en-GB"/>
        </w:rPr>
      </w:pPr>
      <w:r>
        <w:rPr>
          <w:rFonts w:cs="Times New Roman"/>
        </w:rPr>
        <w:t xml:space="preserve">The courts are seemingly reluctant to punish the CPS in the same manner in which they punish defence failings. </w:t>
      </w:r>
      <w:r w:rsidR="00AD0DA1">
        <w:rPr>
          <w:rFonts w:cs="Times New Roman"/>
        </w:rPr>
        <w:t xml:space="preserve">However, there are examples </w:t>
      </w:r>
      <w:r w:rsidR="0025457A">
        <w:rPr>
          <w:rFonts w:cs="Times New Roman"/>
        </w:rPr>
        <w:t xml:space="preserve">in which the court </w:t>
      </w:r>
      <w:proofErr w:type="spellStart"/>
      <w:r w:rsidR="0025457A">
        <w:rPr>
          <w:rFonts w:cs="Times New Roman"/>
        </w:rPr>
        <w:t>isssed</w:t>
      </w:r>
      <w:proofErr w:type="spellEnd"/>
      <w:r w:rsidR="0025457A">
        <w:rPr>
          <w:rFonts w:cs="Times New Roman"/>
        </w:rPr>
        <w:t xml:space="preserve"> a WCO against the CPS (See </w:t>
      </w:r>
      <w:r w:rsidR="0025457A">
        <w:rPr>
          <w:rFonts w:cs="Times New Roman"/>
          <w:i/>
        </w:rPr>
        <w:t xml:space="preserve">R (on the application of Singh) v Ealing Magistrates Court </w:t>
      </w:r>
      <w:r w:rsidR="0025457A">
        <w:rPr>
          <w:rFonts w:cs="Times New Roman"/>
        </w:rPr>
        <w:t>[2014] EWHC 1443 (Admin).</w:t>
      </w:r>
      <w:r w:rsidR="007F37CF">
        <w:rPr>
          <w:rFonts w:cs="Times New Roman"/>
        </w:rPr>
        <w:t xml:space="preserve"> </w:t>
      </w:r>
      <w:r w:rsidR="00216A91">
        <w:rPr>
          <w:rFonts w:cs="Times New Roman"/>
        </w:rPr>
        <w:t>Perhaps</w:t>
      </w:r>
      <w:r w:rsidR="007F37CF">
        <w:rPr>
          <w:rFonts w:cs="Times New Roman"/>
        </w:rPr>
        <w:t xml:space="preserve"> the other sanction</w:t>
      </w:r>
      <w:r w:rsidR="6E1C7A2A" w:rsidRPr="6E1C7A2A">
        <w:rPr>
          <w:rFonts w:cs="Times New Roman"/>
        </w:rPr>
        <w:t xml:space="preserve"> may </w:t>
      </w:r>
      <w:r w:rsidR="00216A91">
        <w:rPr>
          <w:rFonts w:cs="Times New Roman"/>
        </w:rPr>
        <w:t>incentivise improved disclosure practice</w:t>
      </w:r>
      <w:r w:rsidR="6E1C7A2A" w:rsidRPr="6E1C7A2A">
        <w:rPr>
          <w:rFonts w:cs="Times New Roman"/>
        </w:rPr>
        <w:t>.</w:t>
      </w:r>
      <w:r w:rsidR="00216A91">
        <w:rPr>
          <w:rFonts w:cs="Times New Roman"/>
        </w:rPr>
        <w:t xml:space="preserve"> For example, s</w:t>
      </w:r>
      <w:r w:rsidR="6E1C7A2A" w:rsidRPr="6E1C7A2A">
        <w:rPr>
          <w:rFonts w:cs="Times New Roman"/>
        </w:rPr>
        <w:t xml:space="preserve">hould the defence </w:t>
      </w:r>
      <w:r w:rsidR="00216A91">
        <w:rPr>
          <w:rFonts w:cs="Times New Roman"/>
        </w:rPr>
        <w:t>fail to h</w:t>
      </w:r>
      <w:r w:rsidR="6E1C7A2A" w:rsidRPr="6E1C7A2A">
        <w:rPr>
          <w:rFonts w:cs="Times New Roman"/>
        </w:rPr>
        <w:t>ighlight an error in the prosecution’s case</w:t>
      </w:r>
      <w:r w:rsidR="00216A91">
        <w:rPr>
          <w:rFonts w:cs="Times New Roman"/>
        </w:rPr>
        <w:t xml:space="preserve"> and then use this to their </w:t>
      </w:r>
      <w:proofErr w:type="gramStart"/>
      <w:r w:rsidR="00216A91">
        <w:rPr>
          <w:rFonts w:cs="Times New Roman"/>
        </w:rPr>
        <w:t>advantage</w:t>
      </w:r>
      <w:r w:rsidR="6E1C7A2A" w:rsidRPr="6E1C7A2A">
        <w:rPr>
          <w:rFonts w:cs="Times New Roman"/>
        </w:rPr>
        <w:t>,</w:t>
      </w:r>
      <w:proofErr w:type="gramEnd"/>
      <w:r w:rsidR="6E1C7A2A" w:rsidRPr="6E1C7A2A">
        <w:rPr>
          <w:rFonts w:cs="Times New Roman"/>
        </w:rPr>
        <w:t xml:space="preserve"> the courts will generally fr</w:t>
      </w:r>
      <w:r w:rsidR="00216A91">
        <w:rPr>
          <w:rFonts w:cs="Times New Roman"/>
        </w:rPr>
        <w:t>own upon this attempted ‘ambush</w:t>
      </w:r>
      <w:r w:rsidR="6E1C7A2A" w:rsidRPr="6E1C7A2A">
        <w:rPr>
          <w:rFonts w:cs="Times New Roman"/>
        </w:rPr>
        <w:t>’</w:t>
      </w:r>
      <w:r w:rsidR="00216A91">
        <w:rPr>
          <w:rFonts w:cs="Times New Roman"/>
        </w:rPr>
        <w:t>.</w:t>
      </w:r>
      <w:r w:rsidR="6E1C7A2A" w:rsidRPr="6E1C7A2A">
        <w:rPr>
          <w:rFonts w:cs="Times New Roman"/>
        </w:rPr>
        <w:t xml:space="preserve"> Thomas LJ explicitly stated this in </w:t>
      </w:r>
      <w:r w:rsidR="6E1C7A2A" w:rsidRPr="6E1C7A2A">
        <w:rPr>
          <w:rStyle w:val="pubyear"/>
          <w:rFonts w:cs="Times New Roman"/>
          <w:i/>
          <w:iCs/>
          <w:lang w:val="en-GB"/>
        </w:rPr>
        <w:t>R (on the application of the DPP)</w:t>
      </w:r>
      <w:r w:rsidR="6E1C7A2A" w:rsidRPr="6E1C7A2A">
        <w:rPr>
          <w:rStyle w:val="pubyear"/>
          <w:rFonts w:cs="Times New Roman"/>
          <w:lang w:val="en-GB"/>
        </w:rPr>
        <w:t xml:space="preserve"> v </w:t>
      </w:r>
      <w:r w:rsidR="6E1C7A2A" w:rsidRPr="6E1C7A2A">
        <w:rPr>
          <w:rStyle w:val="pubyear"/>
          <w:rFonts w:cs="Times New Roman"/>
          <w:i/>
          <w:iCs/>
          <w:lang w:val="en-GB"/>
        </w:rPr>
        <w:t>Chorley Justices</w:t>
      </w:r>
      <w:r w:rsidR="6E1C7A2A" w:rsidRPr="6E1C7A2A">
        <w:rPr>
          <w:rStyle w:val="pubyear"/>
          <w:rFonts w:cs="Times New Roman"/>
          <w:lang w:val="en-GB"/>
        </w:rPr>
        <w:t xml:space="preserve"> [2006] EWHC 1795: </w:t>
      </w:r>
    </w:p>
    <w:p w14:paraId="353FEC29" w14:textId="77777777" w:rsidR="00726373" w:rsidRPr="00DC49DD" w:rsidRDefault="00726373" w:rsidP="00F07628">
      <w:pPr>
        <w:spacing w:line="276" w:lineRule="auto"/>
        <w:jc w:val="both"/>
        <w:rPr>
          <w:rStyle w:val="pubyear"/>
          <w:rFonts w:cs="Times New Roman"/>
          <w:lang w:val="en-GB"/>
        </w:rPr>
      </w:pPr>
    </w:p>
    <w:p w14:paraId="56AB616B" w14:textId="3CB10508" w:rsidR="00726373" w:rsidRPr="00DC49DD" w:rsidRDefault="6E1C7A2A" w:rsidP="6E1C7A2A">
      <w:pPr>
        <w:spacing w:line="276" w:lineRule="auto"/>
        <w:ind w:left="720"/>
        <w:jc w:val="both"/>
        <w:rPr>
          <w:rFonts w:cs="Times New Roman"/>
        </w:rPr>
      </w:pPr>
      <w:r w:rsidRPr="6E1C7A2A">
        <w:rPr>
          <w:rStyle w:val="pubyear"/>
          <w:rFonts w:cs="Times New Roman"/>
          <w:lang w:val="en-GB"/>
        </w:rPr>
        <w:t>‘For defence advocates to seek to take advantage of such errors by deliberately delaying identification of an issue of fact or law in the case until the last possible moment is in our view no longer acceptable, given the legislative and procedural changes to our criminal justice process in recent years’</w:t>
      </w:r>
    </w:p>
    <w:p w14:paraId="09F0BE94" w14:textId="77777777" w:rsidR="00726373" w:rsidRPr="00DC49DD" w:rsidRDefault="00726373" w:rsidP="00F07628">
      <w:pPr>
        <w:spacing w:line="276" w:lineRule="auto"/>
        <w:jc w:val="both"/>
        <w:rPr>
          <w:rFonts w:cs="Times New Roman"/>
          <w:iCs/>
        </w:rPr>
      </w:pPr>
    </w:p>
    <w:p w14:paraId="6E1AE589" w14:textId="6452A42C" w:rsidR="00726373" w:rsidRPr="00216A91" w:rsidRDefault="00216A91" w:rsidP="6E1C7A2A">
      <w:pPr>
        <w:spacing w:line="276" w:lineRule="auto"/>
        <w:jc w:val="both"/>
        <w:rPr>
          <w:rFonts w:cs="Times New Roman"/>
        </w:rPr>
      </w:pPr>
      <w:proofErr w:type="gramStart"/>
      <w:r>
        <w:rPr>
          <w:rFonts w:cs="Times New Roman"/>
        </w:rPr>
        <w:t xml:space="preserve">This case (and the equally important </w:t>
      </w:r>
      <w:r w:rsidRPr="6E1C7A2A">
        <w:rPr>
          <w:rFonts w:cs="Times New Roman"/>
          <w:i/>
          <w:iCs/>
        </w:rPr>
        <w:t>R v Gleeson</w:t>
      </w:r>
      <w:r w:rsidRPr="6E1C7A2A">
        <w:rPr>
          <w:rFonts w:cs="Times New Roman"/>
        </w:rPr>
        <w:t xml:space="preserve"> [2003] EWCA Crim 3357</w:t>
      </w:r>
      <w:r>
        <w:rPr>
          <w:rFonts w:cs="Times New Roman"/>
        </w:rPr>
        <w:t>) embody</w:t>
      </w:r>
      <w:proofErr w:type="gramEnd"/>
      <w:r>
        <w:rPr>
          <w:rFonts w:cs="Times New Roman"/>
        </w:rPr>
        <w:t xml:space="preserve"> the mantra promulgated by </w:t>
      </w:r>
      <w:proofErr w:type="spellStart"/>
      <w:r w:rsidR="6E1C7A2A" w:rsidRPr="6E1C7A2A">
        <w:rPr>
          <w:rFonts w:cs="Times New Roman"/>
        </w:rPr>
        <w:t>Auld’s</w:t>
      </w:r>
      <w:proofErr w:type="spellEnd"/>
      <w:r w:rsidR="6E1C7A2A" w:rsidRPr="6E1C7A2A">
        <w:rPr>
          <w:rFonts w:cs="Times New Roman"/>
        </w:rPr>
        <w:t xml:space="preserve"> LJ</w:t>
      </w:r>
      <w:r>
        <w:rPr>
          <w:rFonts w:cs="Times New Roman"/>
        </w:rPr>
        <w:t xml:space="preserve"> in his</w:t>
      </w:r>
      <w:r w:rsidR="6E1C7A2A" w:rsidRPr="6E1C7A2A">
        <w:rPr>
          <w:rFonts w:cs="Times New Roman"/>
        </w:rPr>
        <w:t xml:space="preserve"> </w:t>
      </w:r>
      <w:r>
        <w:rPr>
          <w:rFonts w:cs="Times New Roman"/>
        </w:rPr>
        <w:t xml:space="preserve">review of the criminal courts: </w:t>
      </w:r>
      <w:r w:rsidR="6E1C7A2A" w:rsidRPr="6E1C7A2A">
        <w:rPr>
          <w:rFonts w:cs="Times New Roman"/>
        </w:rPr>
        <w:t>‘The criminal trial is not a game under which a defendant sho</w:t>
      </w:r>
      <w:r>
        <w:rPr>
          <w:rFonts w:cs="Times New Roman"/>
        </w:rPr>
        <w:t>uld be given a sporting chance’. T</w:t>
      </w:r>
      <w:r w:rsidR="6E1C7A2A" w:rsidRPr="6E1C7A2A">
        <w:rPr>
          <w:rFonts w:cs="Times New Roman"/>
        </w:rPr>
        <w:t>he courts are still quick to reiterate this point today.</w:t>
      </w:r>
      <w:r>
        <w:rPr>
          <w:rFonts w:cs="Times New Roman"/>
        </w:rPr>
        <w:t xml:space="preserve"> </w:t>
      </w:r>
      <w:r w:rsidR="6E1C7A2A" w:rsidRPr="6E1C7A2A">
        <w:rPr>
          <w:rFonts w:cs="Times New Roman"/>
        </w:rPr>
        <w:t xml:space="preserve">In </w:t>
      </w:r>
      <w:r w:rsidR="6E1C7A2A" w:rsidRPr="6E1C7A2A">
        <w:rPr>
          <w:rFonts w:cs="Times New Roman"/>
          <w:i/>
          <w:iCs/>
        </w:rPr>
        <w:t xml:space="preserve">R on the application of </w:t>
      </w:r>
      <w:proofErr w:type="spellStart"/>
      <w:r w:rsidR="6E1C7A2A" w:rsidRPr="6E1C7A2A">
        <w:rPr>
          <w:rFonts w:cs="Times New Roman"/>
          <w:i/>
          <w:iCs/>
        </w:rPr>
        <w:t>Hassini</w:t>
      </w:r>
      <w:proofErr w:type="spellEnd"/>
      <w:r w:rsidR="6E1C7A2A" w:rsidRPr="6E1C7A2A">
        <w:rPr>
          <w:rFonts w:cs="Times New Roman"/>
          <w:i/>
          <w:iCs/>
        </w:rPr>
        <w:t xml:space="preserve"> v West London Magistrate’s Court </w:t>
      </w:r>
      <w:r w:rsidR="6E1C7A2A" w:rsidRPr="6E1C7A2A">
        <w:rPr>
          <w:rFonts w:cs="Times New Roman"/>
        </w:rPr>
        <w:t xml:space="preserve">[2017] EWHC 1270 (Admin) the court </w:t>
      </w:r>
      <w:r>
        <w:rPr>
          <w:rFonts w:cs="Times New Roman"/>
        </w:rPr>
        <w:t>asserted</w:t>
      </w:r>
      <w:r w:rsidR="6E1C7A2A" w:rsidRPr="6E1C7A2A">
        <w:rPr>
          <w:rFonts w:cs="Times New Roman"/>
        </w:rPr>
        <w:t xml:space="preserve"> that ‘the criminal law is not a game to be played for as long as paying client could afford, in</w:t>
      </w:r>
      <w:r>
        <w:rPr>
          <w:rFonts w:cs="Times New Roman"/>
        </w:rPr>
        <w:t xml:space="preserve"> the hope of a lucky outcome.’ T</w:t>
      </w:r>
      <w:r w:rsidR="6E1C7A2A" w:rsidRPr="6E1C7A2A">
        <w:rPr>
          <w:rFonts w:cs="Times New Roman"/>
        </w:rPr>
        <w:t>he</w:t>
      </w:r>
      <w:r>
        <w:rPr>
          <w:rFonts w:cs="Times New Roman"/>
        </w:rPr>
        <w:t xml:space="preserve"> courts are undoubtedly correct that</w:t>
      </w:r>
      <w:r w:rsidR="6E1C7A2A" w:rsidRPr="6E1C7A2A">
        <w:rPr>
          <w:rFonts w:cs="Times New Roman"/>
        </w:rPr>
        <w:t xml:space="preserve"> the trial is not and ne</w:t>
      </w:r>
      <w:r>
        <w:rPr>
          <w:rFonts w:cs="Times New Roman"/>
        </w:rPr>
        <w:t>ver should be treated as a game. Yet, the courts should take as firm a line with the prosecution. Notwithstanding that</w:t>
      </w:r>
      <w:r w:rsidR="6E1C7A2A" w:rsidRPr="6E1C7A2A">
        <w:rPr>
          <w:rFonts w:cs="Times New Roman"/>
        </w:rPr>
        <w:t xml:space="preserve"> criminal procedure in England and Wales </w:t>
      </w:r>
      <w:r>
        <w:rPr>
          <w:rFonts w:cs="Times New Roman"/>
        </w:rPr>
        <w:t>is</w:t>
      </w:r>
      <w:r w:rsidR="6E1C7A2A" w:rsidRPr="6E1C7A2A">
        <w:rPr>
          <w:rFonts w:cs="Times New Roman"/>
        </w:rPr>
        <w:t xml:space="preserve"> entr</w:t>
      </w:r>
      <w:r>
        <w:rPr>
          <w:rFonts w:cs="Times New Roman"/>
        </w:rPr>
        <w:t>enched in an era of co</w:t>
      </w:r>
      <w:r w:rsidR="6E1C7A2A" w:rsidRPr="6E1C7A2A">
        <w:rPr>
          <w:rFonts w:cs="Times New Roman"/>
        </w:rPr>
        <w:t>operation, the prosecution has a number of important duties to discharge in order to assist the court in fulfilling their overriding objective of dealing with ca</w:t>
      </w:r>
      <w:r>
        <w:rPr>
          <w:rFonts w:cs="Times New Roman"/>
        </w:rPr>
        <w:t xml:space="preserve">ses ‘justly’ (Rule 1.1 CrimPR). Timely </w:t>
      </w:r>
      <w:r w:rsidR="6E1C7A2A" w:rsidRPr="6E1C7A2A">
        <w:rPr>
          <w:rFonts w:cs="Times New Roman"/>
        </w:rPr>
        <w:t>disclosure is</w:t>
      </w:r>
      <w:r>
        <w:rPr>
          <w:rFonts w:cs="Times New Roman"/>
        </w:rPr>
        <w:t xml:space="preserve"> one of them and is</w:t>
      </w:r>
      <w:r w:rsidR="6E1C7A2A" w:rsidRPr="6E1C7A2A">
        <w:rPr>
          <w:rFonts w:cs="Times New Roman"/>
        </w:rPr>
        <w:t xml:space="preserve"> of par</w:t>
      </w:r>
      <w:r>
        <w:rPr>
          <w:rFonts w:cs="Times New Roman"/>
        </w:rPr>
        <w:t xml:space="preserve">amount importance; non-compliance is no less serious a failure than the behaviour described in </w:t>
      </w:r>
      <w:proofErr w:type="spellStart"/>
      <w:r>
        <w:rPr>
          <w:rFonts w:cs="Times New Roman"/>
          <w:i/>
        </w:rPr>
        <w:t>Hassini</w:t>
      </w:r>
      <w:proofErr w:type="spellEnd"/>
      <w:r>
        <w:rPr>
          <w:rFonts w:cs="Times New Roman"/>
        </w:rPr>
        <w:t xml:space="preserve">. </w:t>
      </w:r>
    </w:p>
    <w:p w14:paraId="164B6FB6" w14:textId="77777777" w:rsidR="00726373" w:rsidRPr="00DC49DD" w:rsidRDefault="00726373" w:rsidP="00F07628">
      <w:pPr>
        <w:spacing w:line="276" w:lineRule="auto"/>
        <w:jc w:val="both"/>
        <w:rPr>
          <w:rFonts w:cs="Times New Roman"/>
          <w:iCs/>
        </w:rPr>
      </w:pPr>
    </w:p>
    <w:p w14:paraId="1C70ED80" w14:textId="6E191F02" w:rsidR="002D5726" w:rsidRPr="00DC49DD" w:rsidRDefault="6E1C7A2A" w:rsidP="6E1C7A2A">
      <w:pPr>
        <w:spacing w:line="276" w:lineRule="auto"/>
        <w:jc w:val="both"/>
        <w:rPr>
          <w:rFonts w:cs="Times New Roman"/>
        </w:rPr>
      </w:pPr>
      <w:r w:rsidRPr="6E1C7A2A">
        <w:rPr>
          <w:rStyle w:val="pubyear"/>
          <w:rFonts w:cs="Times New Roman"/>
          <w:lang w:val="en-GB"/>
        </w:rPr>
        <w:t xml:space="preserve">In the quest for a more efficient criminal justice process, </w:t>
      </w:r>
      <w:r w:rsidR="00216A91">
        <w:rPr>
          <w:rStyle w:val="pubyear"/>
          <w:rFonts w:cs="Times New Roman"/>
          <w:lang w:val="en-GB"/>
        </w:rPr>
        <w:t>there is an undoubted expectation</w:t>
      </w:r>
      <w:r w:rsidRPr="6E1C7A2A">
        <w:rPr>
          <w:rStyle w:val="pubyear"/>
          <w:rFonts w:cs="Times New Roman"/>
          <w:lang w:val="en-GB"/>
        </w:rPr>
        <w:t xml:space="preserve"> </w:t>
      </w:r>
      <w:r w:rsidR="00216A91">
        <w:rPr>
          <w:rStyle w:val="pubyear"/>
          <w:rFonts w:cs="Times New Roman"/>
          <w:lang w:val="en-GB"/>
        </w:rPr>
        <w:t>that the accused and their</w:t>
      </w:r>
      <w:r w:rsidRPr="6E1C7A2A">
        <w:rPr>
          <w:rStyle w:val="pubyear"/>
          <w:rFonts w:cs="Times New Roman"/>
          <w:lang w:val="en-GB"/>
        </w:rPr>
        <w:t xml:space="preserve"> defence lawyer</w:t>
      </w:r>
      <w:r w:rsidR="00216A91">
        <w:rPr>
          <w:rStyle w:val="pubyear"/>
          <w:rFonts w:cs="Times New Roman"/>
          <w:lang w:val="en-GB"/>
        </w:rPr>
        <w:t xml:space="preserve"> </w:t>
      </w:r>
      <w:r w:rsidRPr="6E1C7A2A">
        <w:rPr>
          <w:rStyle w:val="pubyear"/>
          <w:rFonts w:cs="Times New Roman"/>
          <w:lang w:val="en-GB"/>
        </w:rPr>
        <w:t xml:space="preserve">will </w:t>
      </w:r>
      <w:r w:rsidR="00216A91">
        <w:rPr>
          <w:rStyle w:val="pubyear"/>
          <w:rFonts w:cs="Times New Roman"/>
          <w:lang w:val="en-GB"/>
        </w:rPr>
        <w:t>cooperate with the court – and by extension assist the prosecution – by supplying substantial detail on their case from the start</w:t>
      </w:r>
      <w:r w:rsidRPr="6E1C7A2A">
        <w:rPr>
          <w:rStyle w:val="pubyear"/>
          <w:rFonts w:cs="Times New Roman"/>
          <w:lang w:val="en-GB"/>
        </w:rPr>
        <w:t>. It is important to remember that details of used and unused evidence</w:t>
      </w:r>
      <w:r w:rsidR="00425395">
        <w:rPr>
          <w:rStyle w:val="pubyear"/>
          <w:rFonts w:cs="Times New Roman"/>
          <w:lang w:val="en-GB"/>
        </w:rPr>
        <w:t xml:space="preserve"> from the prosecution represent</w:t>
      </w:r>
      <w:r w:rsidRPr="6E1C7A2A">
        <w:rPr>
          <w:rStyle w:val="pubyear"/>
          <w:rFonts w:cs="Times New Roman"/>
          <w:lang w:val="en-GB"/>
        </w:rPr>
        <w:t xml:space="preserve"> a fundamental element to an adequate, full and fair defence. Whilst resources are stretched throughout the criminal justice </w:t>
      </w:r>
      <w:r w:rsidR="00425395">
        <w:rPr>
          <w:rStyle w:val="pubyear"/>
          <w:rFonts w:cs="Times New Roman"/>
          <w:lang w:val="en-GB"/>
        </w:rPr>
        <w:t xml:space="preserve">system, </w:t>
      </w:r>
      <w:r w:rsidRPr="6E1C7A2A">
        <w:rPr>
          <w:rStyle w:val="pubyear"/>
          <w:rFonts w:cs="Times New Roman"/>
          <w:lang w:val="en-GB"/>
        </w:rPr>
        <w:t xml:space="preserve">the price for efficiency should not be </w:t>
      </w:r>
      <w:r w:rsidR="00425395">
        <w:rPr>
          <w:rStyle w:val="pubyear"/>
          <w:rFonts w:cs="Times New Roman"/>
          <w:lang w:val="en-GB"/>
        </w:rPr>
        <w:t xml:space="preserve">imbalance and </w:t>
      </w:r>
      <w:r w:rsidRPr="6E1C7A2A">
        <w:rPr>
          <w:rStyle w:val="pubyear"/>
          <w:rFonts w:cs="Times New Roman"/>
          <w:lang w:val="en-GB"/>
        </w:rPr>
        <w:t xml:space="preserve">injustice. The faults </w:t>
      </w:r>
      <w:r w:rsidR="00425395">
        <w:rPr>
          <w:rStyle w:val="pubyear"/>
          <w:rFonts w:cs="Times New Roman"/>
          <w:lang w:val="en-GB"/>
        </w:rPr>
        <w:t>in</w:t>
      </w:r>
      <w:r w:rsidRPr="6E1C7A2A">
        <w:rPr>
          <w:rStyle w:val="pubyear"/>
          <w:rFonts w:cs="Times New Roman"/>
          <w:lang w:val="en-GB"/>
        </w:rPr>
        <w:t xml:space="preserve"> prosecution disclosure have been </w:t>
      </w:r>
      <w:r w:rsidR="00425395">
        <w:rPr>
          <w:rStyle w:val="pubyear"/>
          <w:rFonts w:cs="Times New Roman"/>
          <w:lang w:val="en-GB"/>
        </w:rPr>
        <w:t>the elephant in the room</w:t>
      </w:r>
      <w:r w:rsidRPr="6E1C7A2A">
        <w:rPr>
          <w:rStyle w:val="pubyear"/>
          <w:rFonts w:cs="Times New Roman"/>
          <w:lang w:val="en-GB"/>
        </w:rPr>
        <w:t xml:space="preserve"> for the better part of 15 years. Perhaps now</w:t>
      </w:r>
      <w:r w:rsidR="00425395">
        <w:rPr>
          <w:rStyle w:val="pubyear"/>
          <w:rFonts w:cs="Times New Roman"/>
          <w:lang w:val="en-GB"/>
        </w:rPr>
        <w:t xml:space="preserve"> it</w:t>
      </w:r>
      <w:r w:rsidRPr="6E1C7A2A">
        <w:rPr>
          <w:rStyle w:val="pubyear"/>
          <w:rFonts w:cs="Times New Roman"/>
          <w:lang w:val="en-GB"/>
        </w:rPr>
        <w:t xml:space="preserve"> is time for an appropriate sanction for </w:t>
      </w:r>
      <w:r w:rsidRPr="6E1C7A2A">
        <w:rPr>
          <w:rStyle w:val="pubyear"/>
          <w:rFonts w:cs="Times New Roman"/>
          <w:lang w:val="en-GB"/>
        </w:rPr>
        <w:lastRenderedPageBreak/>
        <w:t xml:space="preserve">the prosecution, such as dismissing a case or refusing an application by the court. </w:t>
      </w:r>
      <w:r w:rsidR="00425395">
        <w:rPr>
          <w:rStyle w:val="pubyear"/>
          <w:rFonts w:cs="Times New Roman"/>
          <w:lang w:val="en-GB"/>
        </w:rPr>
        <w:t>Whilst criminal proceedings are</w:t>
      </w:r>
      <w:r w:rsidRPr="6E1C7A2A">
        <w:rPr>
          <w:rStyle w:val="pubyear"/>
          <w:rFonts w:cs="Times New Roman"/>
          <w:lang w:val="en-GB"/>
        </w:rPr>
        <w:t xml:space="preserve"> not a game</w:t>
      </w:r>
      <w:r w:rsidR="00425395">
        <w:rPr>
          <w:rStyle w:val="pubyear"/>
          <w:rFonts w:cs="Times New Roman"/>
          <w:lang w:val="en-GB"/>
        </w:rPr>
        <w:t xml:space="preserve">, </w:t>
      </w:r>
      <w:r w:rsidRPr="6E1C7A2A">
        <w:rPr>
          <w:rStyle w:val="pubyear"/>
          <w:rFonts w:cs="Times New Roman"/>
          <w:i/>
          <w:iCs/>
          <w:lang w:val="en-GB"/>
        </w:rPr>
        <w:t>neither</w:t>
      </w:r>
      <w:r w:rsidRPr="6E1C7A2A">
        <w:rPr>
          <w:rStyle w:val="pubyear"/>
          <w:rFonts w:cs="Times New Roman"/>
          <w:lang w:val="en-GB"/>
        </w:rPr>
        <w:t xml:space="preserve"> side should be </w:t>
      </w:r>
      <w:r w:rsidR="00425395">
        <w:rPr>
          <w:rStyle w:val="pubyear"/>
          <w:rFonts w:cs="Times New Roman"/>
          <w:lang w:val="en-GB"/>
        </w:rPr>
        <w:t>allowed to break the rules governing them</w:t>
      </w:r>
      <w:r w:rsidRPr="6E1C7A2A">
        <w:rPr>
          <w:rStyle w:val="pubyear"/>
          <w:rFonts w:cs="Times New Roman"/>
          <w:lang w:val="en-GB"/>
        </w:rPr>
        <w:t xml:space="preserve">. </w:t>
      </w:r>
      <w:r w:rsidR="00425395">
        <w:rPr>
          <w:rStyle w:val="pubyear"/>
          <w:rFonts w:cs="Times New Roman"/>
          <w:lang w:val="en-GB"/>
        </w:rPr>
        <w:t>If failures in d</w:t>
      </w:r>
      <w:r w:rsidRPr="6E1C7A2A">
        <w:rPr>
          <w:rStyle w:val="pubyear"/>
          <w:rFonts w:cs="Times New Roman"/>
          <w:lang w:val="en-GB"/>
        </w:rPr>
        <w:t xml:space="preserve">efence disclosure </w:t>
      </w:r>
      <w:r w:rsidR="00425395">
        <w:rPr>
          <w:rStyle w:val="pubyear"/>
          <w:rFonts w:cs="Times New Roman"/>
          <w:lang w:val="en-GB"/>
        </w:rPr>
        <w:t>cannot be</w:t>
      </w:r>
      <w:r w:rsidRPr="6E1C7A2A">
        <w:rPr>
          <w:rStyle w:val="pubyear"/>
          <w:rFonts w:cs="Times New Roman"/>
          <w:lang w:val="en-GB"/>
        </w:rPr>
        <w:t xml:space="preserve"> tolerated by the courts, </w:t>
      </w:r>
      <w:r w:rsidR="00425395">
        <w:rPr>
          <w:rStyle w:val="pubyear"/>
          <w:rFonts w:cs="Times New Roman"/>
          <w:lang w:val="en-GB"/>
        </w:rPr>
        <w:t>the prosecution must be treated in a like manner</w:t>
      </w:r>
      <w:r w:rsidRPr="6E1C7A2A">
        <w:rPr>
          <w:rStyle w:val="pubyear"/>
          <w:rFonts w:cs="Times New Roman"/>
          <w:lang w:val="en-GB"/>
        </w:rPr>
        <w:t>.</w:t>
      </w:r>
      <w:r w:rsidR="00425395">
        <w:rPr>
          <w:rStyle w:val="pubyear"/>
          <w:rFonts w:cs="Times New Roman"/>
          <w:lang w:val="en-GB"/>
        </w:rPr>
        <w:t xml:space="preserve"> </w:t>
      </w:r>
      <w:r w:rsidRPr="6E1C7A2A">
        <w:rPr>
          <w:rStyle w:val="pubyear"/>
          <w:rFonts w:cs="Times New Roman"/>
          <w:lang w:val="en-GB"/>
        </w:rPr>
        <w:t xml:space="preserve"> </w:t>
      </w:r>
    </w:p>
    <w:sectPr w:rsidR="002D5726" w:rsidRPr="00DC49DD" w:rsidSect="0039624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D1937" w14:textId="77777777" w:rsidR="001F13E7" w:rsidRDefault="001F13E7" w:rsidP="00917159">
      <w:r>
        <w:separator/>
      </w:r>
    </w:p>
  </w:endnote>
  <w:endnote w:type="continuationSeparator" w:id="0">
    <w:p w14:paraId="6CCA1538" w14:textId="77777777" w:rsidR="001F13E7" w:rsidRDefault="001F13E7" w:rsidP="0091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4F935" w14:textId="77777777" w:rsidR="001F13E7" w:rsidRDefault="001F13E7" w:rsidP="00917159">
      <w:r>
        <w:separator/>
      </w:r>
    </w:p>
  </w:footnote>
  <w:footnote w:type="continuationSeparator" w:id="0">
    <w:p w14:paraId="0311566C" w14:textId="77777777" w:rsidR="001F13E7" w:rsidRDefault="001F13E7" w:rsidP="00917159">
      <w:r>
        <w:continuationSeparator/>
      </w:r>
    </w:p>
  </w:footnote>
  <w:footnote w:id="1">
    <w:p w14:paraId="21E13B3B" w14:textId="138C9970" w:rsidR="00A76668" w:rsidRPr="00A76668" w:rsidRDefault="00A76668">
      <w:pPr>
        <w:pStyle w:val="FootnoteText"/>
        <w:rPr>
          <w:sz w:val="20"/>
          <w:szCs w:val="20"/>
          <w:lang w:val="en-GB"/>
        </w:rPr>
      </w:pPr>
      <w:r w:rsidRPr="00A76668">
        <w:rPr>
          <w:rStyle w:val="FootnoteReference"/>
          <w:sz w:val="20"/>
          <w:szCs w:val="20"/>
        </w:rPr>
        <w:footnoteRef/>
      </w:r>
      <w:r w:rsidRPr="00A76668">
        <w:rPr>
          <w:sz w:val="20"/>
          <w:szCs w:val="20"/>
        </w:rPr>
        <w:t xml:space="preserve"> </w:t>
      </w:r>
      <w:bookmarkStart w:id="0" w:name="_GoBack"/>
      <w:r w:rsidRPr="002707D9">
        <w:rPr>
          <w:rFonts w:asciiTheme="minorHAnsi" w:hAnsiTheme="minorHAnsi"/>
          <w:sz w:val="20"/>
          <w:szCs w:val="20"/>
          <w:lang w:val="en-GB"/>
        </w:rPr>
        <w:t xml:space="preserve">Senior Lecturer in Law, Bristol Law School, University of the West of England, </w:t>
      </w:r>
      <w:hyperlink r:id="rId1" w:history="1">
        <w:r w:rsidRPr="002707D9">
          <w:rPr>
            <w:rStyle w:val="Hyperlink"/>
            <w:rFonts w:asciiTheme="minorHAnsi" w:hAnsiTheme="minorHAnsi"/>
            <w:sz w:val="20"/>
            <w:szCs w:val="20"/>
            <w:lang w:val="en-GB"/>
          </w:rPr>
          <w:t>edward2.johnston@uwe.ac.uk</w:t>
        </w:r>
      </w:hyperlink>
      <w:bookmarkEnd w:id="0"/>
      <w:r w:rsidRPr="00A76668">
        <w:rPr>
          <w:sz w:val="20"/>
          <w:szCs w:val="20"/>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45966"/>
    <w:multiLevelType w:val="hybridMultilevel"/>
    <w:tmpl w:val="BD9A3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08D3ABF"/>
    <w:multiLevelType w:val="hybridMultilevel"/>
    <w:tmpl w:val="D48A5D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nsid w:val="6C5A7B14"/>
    <w:multiLevelType w:val="hybridMultilevel"/>
    <w:tmpl w:val="F8C6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A67"/>
    <w:rsid w:val="000D1A25"/>
    <w:rsid w:val="000D364D"/>
    <w:rsid w:val="001158F3"/>
    <w:rsid w:val="001F13E7"/>
    <w:rsid w:val="002012FA"/>
    <w:rsid w:val="00216A91"/>
    <w:rsid w:val="0025457A"/>
    <w:rsid w:val="002707D9"/>
    <w:rsid w:val="00297118"/>
    <w:rsid w:val="002B0D9A"/>
    <w:rsid w:val="002B12BF"/>
    <w:rsid w:val="002D5726"/>
    <w:rsid w:val="0034112D"/>
    <w:rsid w:val="00396245"/>
    <w:rsid w:val="003C3EE3"/>
    <w:rsid w:val="003E16EF"/>
    <w:rsid w:val="00405BA2"/>
    <w:rsid w:val="00413D1F"/>
    <w:rsid w:val="004232E9"/>
    <w:rsid w:val="00425395"/>
    <w:rsid w:val="00430A50"/>
    <w:rsid w:val="00454836"/>
    <w:rsid w:val="00493962"/>
    <w:rsid w:val="004A1E87"/>
    <w:rsid w:val="004D7D7A"/>
    <w:rsid w:val="004E7F93"/>
    <w:rsid w:val="00603995"/>
    <w:rsid w:val="00671990"/>
    <w:rsid w:val="00726373"/>
    <w:rsid w:val="00751854"/>
    <w:rsid w:val="00770540"/>
    <w:rsid w:val="007F37CF"/>
    <w:rsid w:val="00890547"/>
    <w:rsid w:val="008D7DE7"/>
    <w:rsid w:val="00914EF2"/>
    <w:rsid w:val="00917159"/>
    <w:rsid w:val="00930FD3"/>
    <w:rsid w:val="00950675"/>
    <w:rsid w:val="009B22DA"/>
    <w:rsid w:val="009B47E2"/>
    <w:rsid w:val="009D7788"/>
    <w:rsid w:val="00A176C8"/>
    <w:rsid w:val="00A55B60"/>
    <w:rsid w:val="00A64854"/>
    <w:rsid w:val="00A76668"/>
    <w:rsid w:val="00A82CFC"/>
    <w:rsid w:val="00A935B6"/>
    <w:rsid w:val="00AB71EF"/>
    <w:rsid w:val="00AD0DA1"/>
    <w:rsid w:val="00AF2FFF"/>
    <w:rsid w:val="00B004B2"/>
    <w:rsid w:val="00B32BEC"/>
    <w:rsid w:val="00B55717"/>
    <w:rsid w:val="00BB54B3"/>
    <w:rsid w:val="00C016E0"/>
    <w:rsid w:val="00C4212C"/>
    <w:rsid w:val="00CF3A57"/>
    <w:rsid w:val="00DC0B05"/>
    <w:rsid w:val="00DC2338"/>
    <w:rsid w:val="00DC49DD"/>
    <w:rsid w:val="00DE381E"/>
    <w:rsid w:val="00DF5875"/>
    <w:rsid w:val="00E127F9"/>
    <w:rsid w:val="00E21A4C"/>
    <w:rsid w:val="00E27549"/>
    <w:rsid w:val="00E45EA9"/>
    <w:rsid w:val="00E55F9D"/>
    <w:rsid w:val="00E85862"/>
    <w:rsid w:val="00E92009"/>
    <w:rsid w:val="00ED7580"/>
    <w:rsid w:val="00ED7761"/>
    <w:rsid w:val="00EF4A67"/>
    <w:rsid w:val="00F07628"/>
    <w:rsid w:val="00F3232E"/>
    <w:rsid w:val="00F63FA2"/>
    <w:rsid w:val="00F951FD"/>
    <w:rsid w:val="00FB0265"/>
    <w:rsid w:val="6C9D018E"/>
    <w:rsid w:val="6E1C7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0DD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byear">
    <w:name w:val="pubyear"/>
    <w:rsid w:val="00917159"/>
    <w:rPr>
      <w:lang w:val="de-DE"/>
    </w:rPr>
  </w:style>
  <w:style w:type="paragraph" w:styleId="FootnoteText">
    <w:name w:val="footnote text"/>
    <w:link w:val="FootnoteTextChar"/>
    <w:rsid w:val="00917159"/>
    <w:pPr>
      <w:pBdr>
        <w:top w:val="nil"/>
        <w:left w:val="nil"/>
        <w:bottom w:val="nil"/>
        <w:right w:val="nil"/>
        <w:between w:val="nil"/>
        <w:bar w:val="nil"/>
      </w:pBdr>
    </w:pPr>
    <w:rPr>
      <w:rFonts w:ascii="Cambria" w:eastAsia="Cambria" w:hAnsi="Cambria" w:cs="Cambria"/>
      <w:color w:val="000000"/>
      <w:u w:color="000000"/>
      <w:bdr w:val="nil"/>
      <w:lang w:val="en-US" w:eastAsia="en-GB"/>
    </w:rPr>
  </w:style>
  <w:style w:type="character" w:customStyle="1" w:styleId="FootnoteTextChar">
    <w:name w:val="Footnote Text Char"/>
    <w:basedOn w:val="DefaultParagraphFont"/>
    <w:link w:val="FootnoteText"/>
    <w:rsid w:val="00917159"/>
    <w:rPr>
      <w:rFonts w:ascii="Cambria" w:eastAsia="Cambria" w:hAnsi="Cambria" w:cs="Cambria"/>
      <w:color w:val="000000"/>
      <w:u w:color="000000"/>
      <w:bdr w:val="nil"/>
      <w:lang w:val="en-US" w:eastAsia="en-GB"/>
    </w:rPr>
  </w:style>
  <w:style w:type="character" w:styleId="Hyperlink">
    <w:name w:val="Hyperlink"/>
    <w:basedOn w:val="DefaultParagraphFont"/>
    <w:uiPriority w:val="99"/>
    <w:unhideWhenUsed/>
    <w:rsid w:val="004D7D7A"/>
    <w:rPr>
      <w:color w:val="0563C1" w:themeColor="hyperlink"/>
      <w:u w:val="single"/>
    </w:rPr>
  </w:style>
  <w:style w:type="paragraph" w:styleId="ListParagraph">
    <w:name w:val="List Paragraph"/>
    <w:basedOn w:val="Normal"/>
    <w:uiPriority w:val="34"/>
    <w:qFormat/>
    <w:rsid w:val="00F07628"/>
    <w:pPr>
      <w:ind w:left="720"/>
      <w:contextualSpacing/>
    </w:pPr>
  </w:style>
  <w:style w:type="character" w:styleId="CommentReference">
    <w:name w:val="annotation reference"/>
    <w:basedOn w:val="DefaultParagraphFont"/>
    <w:uiPriority w:val="99"/>
    <w:semiHidden/>
    <w:unhideWhenUsed/>
    <w:rsid w:val="00216A91"/>
    <w:rPr>
      <w:sz w:val="16"/>
      <w:szCs w:val="16"/>
    </w:rPr>
  </w:style>
  <w:style w:type="paragraph" w:styleId="CommentText">
    <w:name w:val="annotation text"/>
    <w:basedOn w:val="Normal"/>
    <w:link w:val="CommentTextChar"/>
    <w:uiPriority w:val="99"/>
    <w:semiHidden/>
    <w:unhideWhenUsed/>
    <w:rsid w:val="00216A91"/>
    <w:rPr>
      <w:sz w:val="20"/>
      <w:szCs w:val="20"/>
    </w:rPr>
  </w:style>
  <w:style w:type="character" w:customStyle="1" w:styleId="CommentTextChar">
    <w:name w:val="Comment Text Char"/>
    <w:basedOn w:val="DefaultParagraphFont"/>
    <w:link w:val="CommentText"/>
    <w:uiPriority w:val="99"/>
    <w:semiHidden/>
    <w:rsid w:val="00216A91"/>
    <w:rPr>
      <w:sz w:val="20"/>
      <w:szCs w:val="20"/>
    </w:rPr>
  </w:style>
  <w:style w:type="paragraph" w:styleId="CommentSubject">
    <w:name w:val="annotation subject"/>
    <w:basedOn w:val="CommentText"/>
    <w:next w:val="CommentText"/>
    <w:link w:val="CommentSubjectChar"/>
    <w:uiPriority w:val="99"/>
    <w:semiHidden/>
    <w:unhideWhenUsed/>
    <w:rsid w:val="00216A91"/>
    <w:rPr>
      <w:b/>
      <w:bCs/>
    </w:rPr>
  </w:style>
  <w:style w:type="character" w:customStyle="1" w:styleId="CommentSubjectChar">
    <w:name w:val="Comment Subject Char"/>
    <w:basedOn w:val="CommentTextChar"/>
    <w:link w:val="CommentSubject"/>
    <w:uiPriority w:val="99"/>
    <w:semiHidden/>
    <w:rsid w:val="00216A91"/>
    <w:rPr>
      <w:b/>
      <w:bCs/>
      <w:sz w:val="20"/>
      <w:szCs w:val="20"/>
    </w:rPr>
  </w:style>
  <w:style w:type="paragraph" w:styleId="BalloonText">
    <w:name w:val="Balloon Text"/>
    <w:basedOn w:val="Normal"/>
    <w:link w:val="BalloonTextChar"/>
    <w:uiPriority w:val="99"/>
    <w:semiHidden/>
    <w:unhideWhenUsed/>
    <w:rsid w:val="00216A91"/>
    <w:rPr>
      <w:rFonts w:ascii="Tahoma" w:hAnsi="Tahoma" w:cs="Tahoma"/>
      <w:sz w:val="16"/>
      <w:szCs w:val="16"/>
    </w:rPr>
  </w:style>
  <w:style w:type="character" w:customStyle="1" w:styleId="BalloonTextChar">
    <w:name w:val="Balloon Text Char"/>
    <w:basedOn w:val="DefaultParagraphFont"/>
    <w:link w:val="BalloonText"/>
    <w:uiPriority w:val="99"/>
    <w:semiHidden/>
    <w:rsid w:val="00216A91"/>
    <w:rPr>
      <w:rFonts w:ascii="Tahoma" w:hAnsi="Tahoma" w:cs="Tahoma"/>
      <w:sz w:val="16"/>
      <w:szCs w:val="16"/>
    </w:rPr>
  </w:style>
  <w:style w:type="character" w:styleId="FollowedHyperlink">
    <w:name w:val="FollowedHyperlink"/>
    <w:basedOn w:val="DefaultParagraphFont"/>
    <w:uiPriority w:val="99"/>
    <w:semiHidden/>
    <w:unhideWhenUsed/>
    <w:rsid w:val="00E27549"/>
    <w:rPr>
      <w:color w:val="954F72" w:themeColor="followedHyperlink"/>
      <w:u w:val="single"/>
    </w:rPr>
  </w:style>
  <w:style w:type="character" w:styleId="FootnoteReference">
    <w:name w:val="footnote reference"/>
    <w:basedOn w:val="DefaultParagraphFont"/>
    <w:uiPriority w:val="99"/>
    <w:semiHidden/>
    <w:unhideWhenUsed/>
    <w:rsid w:val="00A766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byear">
    <w:name w:val="pubyear"/>
    <w:rsid w:val="00917159"/>
    <w:rPr>
      <w:lang w:val="de-DE"/>
    </w:rPr>
  </w:style>
  <w:style w:type="paragraph" w:styleId="FootnoteText">
    <w:name w:val="footnote text"/>
    <w:link w:val="FootnoteTextChar"/>
    <w:rsid w:val="00917159"/>
    <w:pPr>
      <w:pBdr>
        <w:top w:val="nil"/>
        <w:left w:val="nil"/>
        <w:bottom w:val="nil"/>
        <w:right w:val="nil"/>
        <w:between w:val="nil"/>
        <w:bar w:val="nil"/>
      </w:pBdr>
    </w:pPr>
    <w:rPr>
      <w:rFonts w:ascii="Cambria" w:eastAsia="Cambria" w:hAnsi="Cambria" w:cs="Cambria"/>
      <w:color w:val="000000"/>
      <w:u w:color="000000"/>
      <w:bdr w:val="nil"/>
      <w:lang w:val="en-US" w:eastAsia="en-GB"/>
    </w:rPr>
  </w:style>
  <w:style w:type="character" w:customStyle="1" w:styleId="FootnoteTextChar">
    <w:name w:val="Footnote Text Char"/>
    <w:basedOn w:val="DefaultParagraphFont"/>
    <w:link w:val="FootnoteText"/>
    <w:rsid w:val="00917159"/>
    <w:rPr>
      <w:rFonts w:ascii="Cambria" w:eastAsia="Cambria" w:hAnsi="Cambria" w:cs="Cambria"/>
      <w:color w:val="000000"/>
      <w:u w:color="000000"/>
      <w:bdr w:val="nil"/>
      <w:lang w:val="en-US" w:eastAsia="en-GB"/>
    </w:rPr>
  </w:style>
  <w:style w:type="character" w:styleId="Hyperlink">
    <w:name w:val="Hyperlink"/>
    <w:basedOn w:val="DefaultParagraphFont"/>
    <w:uiPriority w:val="99"/>
    <w:unhideWhenUsed/>
    <w:rsid w:val="004D7D7A"/>
    <w:rPr>
      <w:color w:val="0563C1" w:themeColor="hyperlink"/>
      <w:u w:val="single"/>
    </w:rPr>
  </w:style>
  <w:style w:type="paragraph" w:styleId="ListParagraph">
    <w:name w:val="List Paragraph"/>
    <w:basedOn w:val="Normal"/>
    <w:uiPriority w:val="34"/>
    <w:qFormat/>
    <w:rsid w:val="00F07628"/>
    <w:pPr>
      <w:ind w:left="720"/>
      <w:contextualSpacing/>
    </w:pPr>
  </w:style>
  <w:style w:type="character" w:styleId="CommentReference">
    <w:name w:val="annotation reference"/>
    <w:basedOn w:val="DefaultParagraphFont"/>
    <w:uiPriority w:val="99"/>
    <w:semiHidden/>
    <w:unhideWhenUsed/>
    <w:rsid w:val="00216A91"/>
    <w:rPr>
      <w:sz w:val="16"/>
      <w:szCs w:val="16"/>
    </w:rPr>
  </w:style>
  <w:style w:type="paragraph" w:styleId="CommentText">
    <w:name w:val="annotation text"/>
    <w:basedOn w:val="Normal"/>
    <w:link w:val="CommentTextChar"/>
    <w:uiPriority w:val="99"/>
    <w:semiHidden/>
    <w:unhideWhenUsed/>
    <w:rsid w:val="00216A91"/>
    <w:rPr>
      <w:sz w:val="20"/>
      <w:szCs w:val="20"/>
    </w:rPr>
  </w:style>
  <w:style w:type="character" w:customStyle="1" w:styleId="CommentTextChar">
    <w:name w:val="Comment Text Char"/>
    <w:basedOn w:val="DefaultParagraphFont"/>
    <w:link w:val="CommentText"/>
    <w:uiPriority w:val="99"/>
    <w:semiHidden/>
    <w:rsid w:val="00216A91"/>
    <w:rPr>
      <w:sz w:val="20"/>
      <w:szCs w:val="20"/>
    </w:rPr>
  </w:style>
  <w:style w:type="paragraph" w:styleId="CommentSubject">
    <w:name w:val="annotation subject"/>
    <w:basedOn w:val="CommentText"/>
    <w:next w:val="CommentText"/>
    <w:link w:val="CommentSubjectChar"/>
    <w:uiPriority w:val="99"/>
    <w:semiHidden/>
    <w:unhideWhenUsed/>
    <w:rsid w:val="00216A91"/>
    <w:rPr>
      <w:b/>
      <w:bCs/>
    </w:rPr>
  </w:style>
  <w:style w:type="character" w:customStyle="1" w:styleId="CommentSubjectChar">
    <w:name w:val="Comment Subject Char"/>
    <w:basedOn w:val="CommentTextChar"/>
    <w:link w:val="CommentSubject"/>
    <w:uiPriority w:val="99"/>
    <w:semiHidden/>
    <w:rsid w:val="00216A91"/>
    <w:rPr>
      <w:b/>
      <w:bCs/>
      <w:sz w:val="20"/>
      <w:szCs w:val="20"/>
    </w:rPr>
  </w:style>
  <w:style w:type="paragraph" w:styleId="BalloonText">
    <w:name w:val="Balloon Text"/>
    <w:basedOn w:val="Normal"/>
    <w:link w:val="BalloonTextChar"/>
    <w:uiPriority w:val="99"/>
    <w:semiHidden/>
    <w:unhideWhenUsed/>
    <w:rsid w:val="00216A91"/>
    <w:rPr>
      <w:rFonts w:ascii="Tahoma" w:hAnsi="Tahoma" w:cs="Tahoma"/>
      <w:sz w:val="16"/>
      <w:szCs w:val="16"/>
    </w:rPr>
  </w:style>
  <w:style w:type="character" w:customStyle="1" w:styleId="BalloonTextChar">
    <w:name w:val="Balloon Text Char"/>
    <w:basedOn w:val="DefaultParagraphFont"/>
    <w:link w:val="BalloonText"/>
    <w:uiPriority w:val="99"/>
    <w:semiHidden/>
    <w:rsid w:val="00216A91"/>
    <w:rPr>
      <w:rFonts w:ascii="Tahoma" w:hAnsi="Tahoma" w:cs="Tahoma"/>
      <w:sz w:val="16"/>
      <w:szCs w:val="16"/>
    </w:rPr>
  </w:style>
  <w:style w:type="character" w:styleId="FollowedHyperlink">
    <w:name w:val="FollowedHyperlink"/>
    <w:basedOn w:val="DefaultParagraphFont"/>
    <w:uiPriority w:val="99"/>
    <w:semiHidden/>
    <w:unhideWhenUsed/>
    <w:rsid w:val="00E27549"/>
    <w:rPr>
      <w:color w:val="954F72" w:themeColor="followedHyperlink"/>
      <w:u w:val="single"/>
    </w:rPr>
  </w:style>
  <w:style w:type="character" w:styleId="FootnoteReference">
    <w:name w:val="footnote reference"/>
    <w:basedOn w:val="DefaultParagraphFont"/>
    <w:uiPriority w:val="99"/>
    <w:semiHidden/>
    <w:unhideWhenUsed/>
    <w:rsid w:val="00A766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35182">
      <w:bodyDiv w:val="1"/>
      <w:marLeft w:val="0"/>
      <w:marRight w:val="0"/>
      <w:marTop w:val="0"/>
      <w:marBottom w:val="0"/>
      <w:divBdr>
        <w:top w:val="none" w:sz="0" w:space="0" w:color="auto"/>
        <w:left w:val="none" w:sz="0" w:space="0" w:color="auto"/>
        <w:bottom w:val="none" w:sz="0" w:space="0" w:color="auto"/>
        <w:right w:val="none" w:sz="0" w:space="0" w:color="auto"/>
      </w:divBdr>
    </w:div>
    <w:div w:id="1041980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v.uk/government/uploads/system/uploads/attachment_data/file/629725/mouncher_report_web_accessible_july_2017.pdf" TargetMode="External"/><Relationship Id="rId4" Type="http://schemas.microsoft.com/office/2007/relationships/stylesWithEffects" Target="stylesWithEffects.xml"/><Relationship Id="rId9" Type="http://schemas.openxmlformats.org/officeDocument/2006/relationships/hyperlink" Target="http://www.justiceinspectorates.gov.uk/cjji/wpcontent/uploads/sites/2/2017/07/CJJI_DSC_thm_July17_rp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edward2.johnston@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5EE80-0398-4B03-9D9C-24392BFD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Johnston</dc:creator>
  <cp:lastModifiedBy>Edward Johnston</cp:lastModifiedBy>
  <cp:revision>4</cp:revision>
  <dcterms:created xsi:type="dcterms:W3CDTF">2017-07-20T11:44:00Z</dcterms:created>
  <dcterms:modified xsi:type="dcterms:W3CDTF">2017-07-20T11:47:00Z</dcterms:modified>
</cp:coreProperties>
</file>