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B05870" w14:textId="7BBC6900" w:rsidR="004738C5" w:rsidRPr="000F00CD" w:rsidRDefault="006E3A05" w:rsidP="008E43F0">
      <w:pPr>
        <w:spacing w:line="360" w:lineRule="auto"/>
        <w:rPr>
          <w:rFonts w:asciiTheme="majorHAnsi" w:hAnsiTheme="majorHAnsi"/>
          <w:b/>
          <w:szCs w:val="24"/>
          <w:lang w:val="en-US"/>
        </w:rPr>
      </w:pPr>
      <w:bookmarkStart w:id="0" w:name="_GoBack"/>
      <w:bookmarkEnd w:id="0"/>
      <w:r w:rsidRPr="000F00CD">
        <w:rPr>
          <w:rFonts w:asciiTheme="majorHAnsi" w:hAnsiTheme="majorHAnsi"/>
          <w:b/>
          <w:szCs w:val="24"/>
          <w:lang w:val="en-US"/>
        </w:rPr>
        <w:t>The Robustness of EU F</w:t>
      </w:r>
      <w:r w:rsidR="004738C5" w:rsidRPr="000F00CD">
        <w:rPr>
          <w:rFonts w:asciiTheme="majorHAnsi" w:hAnsiTheme="majorHAnsi"/>
          <w:b/>
          <w:szCs w:val="24"/>
          <w:lang w:val="en-US"/>
        </w:rPr>
        <w:t xml:space="preserve">inancial </w:t>
      </w:r>
      <w:r w:rsidRPr="000F00CD">
        <w:rPr>
          <w:rFonts w:asciiTheme="majorHAnsi" w:hAnsiTheme="majorHAnsi"/>
          <w:b/>
          <w:szCs w:val="24"/>
          <w:lang w:val="en-US"/>
        </w:rPr>
        <w:t>Crimes Legislation: A Critical R</w:t>
      </w:r>
      <w:r w:rsidR="004738C5" w:rsidRPr="000F00CD">
        <w:rPr>
          <w:rFonts w:asciiTheme="majorHAnsi" w:hAnsiTheme="majorHAnsi"/>
          <w:b/>
          <w:szCs w:val="24"/>
          <w:lang w:val="en-US"/>
        </w:rPr>
        <w:t xml:space="preserve">eview of the EU </w:t>
      </w:r>
      <w:r w:rsidR="001C6449" w:rsidRPr="000F00CD">
        <w:rPr>
          <w:rFonts w:asciiTheme="majorHAnsi" w:hAnsiTheme="majorHAnsi"/>
          <w:b/>
          <w:szCs w:val="24"/>
          <w:lang w:val="en-US"/>
        </w:rPr>
        <w:t>and UK A</w:t>
      </w:r>
      <w:r w:rsidRPr="000F00CD">
        <w:rPr>
          <w:rFonts w:asciiTheme="majorHAnsi" w:hAnsiTheme="majorHAnsi"/>
          <w:b/>
          <w:szCs w:val="24"/>
          <w:lang w:val="en-US"/>
        </w:rPr>
        <w:t>nti-F</w:t>
      </w:r>
      <w:r w:rsidR="004738C5" w:rsidRPr="000F00CD">
        <w:rPr>
          <w:rFonts w:asciiTheme="majorHAnsi" w:hAnsiTheme="majorHAnsi"/>
          <w:b/>
          <w:szCs w:val="24"/>
          <w:lang w:val="en-US"/>
        </w:rPr>
        <w:t xml:space="preserve">raud and </w:t>
      </w:r>
      <w:r w:rsidR="002527A7" w:rsidRPr="000F00CD">
        <w:rPr>
          <w:rFonts w:asciiTheme="majorHAnsi" w:hAnsiTheme="majorHAnsi"/>
          <w:b/>
          <w:szCs w:val="24"/>
          <w:lang w:val="en-US"/>
        </w:rPr>
        <w:t>M</w:t>
      </w:r>
      <w:r w:rsidR="004738C5" w:rsidRPr="000F00CD">
        <w:rPr>
          <w:rFonts w:asciiTheme="majorHAnsi" w:hAnsiTheme="majorHAnsi"/>
          <w:b/>
          <w:szCs w:val="24"/>
          <w:lang w:val="en-US"/>
        </w:rPr>
        <w:t xml:space="preserve">oney </w:t>
      </w:r>
      <w:r w:rsidR="002527A7" w:rsidRPr="000F00CD">
        <w:rPr>
          <w:rFonts w:asciiTheme="majorHAnsi" w:hAnsiTheme="majorHAnsi"/>
          <w:b/>
          <w:szCs w:val="24"/>
          <w:lang w:val="en-US"/>
        </w:rPr>
        <w:t>Laundering S</w:t>
      </w:r>
      <w:r w:rsidR="004738C5" w:rsidRPr="000F00CD">
        <w:rPr>
          <w:rFonts w:asciiTheme="majorHAnsi" w:hAnsiTheme="majorHAnsi"/>
          <w:b/>
          <w:szCs w:val="24"/>
          <w:lang w:val="en-US"/>
        </w:rPr>
        <w:t>cheme</w:t>
      </w:r>
    </w:p>
    <w:p w14:paraId="4F3DBC78" w14:textId="77777777" w:rsidR="004738C5" w:rsidRPr="000F00CD" w:rsidRDefault="004738C5" w:rsidP="008E43F0">
      <w:pPr>
        <w:spacing w:line="360" w:lineRule="auto"/>
        <w:rPr>
          <w:rFonts w:asciiTheme="majorHAnsi" w:hAnsiTheme="majorHAnsi"/>
          <w:szCs w:val="24"/>
          <w:lang w:val="en-US"/>
        </w:rPr>
      </w:pPr>
    </w:p>
    <w:p w14:paraId="0E742422" w14:textId="77777777" w:rsidR="004738C5" w:rsidRPr="000F00CD" w:rsidRDefault="004738C5" w:rsidP="008E43F0">
      <w:pPr>
        <w:spacing w:line="360" w:lineRule="auto"/>
        <w:rPr>
          <w:rFonts w:asciiTheme="majorHAnsi" w:hAnsiTheme="majorHAnsi"/>
          <w:szCs w:val="24"/>
          <w:lang w:val="en-US"/>
        </w:rPr>
      </w:pPr>
      <w:r w:rsidRPr="000F00CD">
        <w:rPr>
          <w:rFonts w:asciiTheme="majorHAnsi" w:hAnsiTheme="majorHAnsi"/>
          <w:szCs w:val="24"/>
          <w:lang w:val="en-US"/>
        </w:rPr>
        <w:t>By Ester Herlin-Karnell</w:t>
      </w:r>
      <w:r w:rsidRPr="000F00CD">
        <w:rPr>
          <w:rFonts w:asciiTheme="majorHAnsi" w:hAnsiTheme="majorHAnsi"/>
          <w:szCs w:val="24"/>
          <w:lang w:val="en-US"/>
        </w:rPr>
        <w:footnoteReference w:customMarkFollows="1" w:id="1"/>
        <w:t>* &amp; Nicholas Ryder</w:t>
      </w:r>
      <w:r w:rsidRPr="000F00CD">
        <w:rPr>
          <w:rFonts w:asciiTheme="majorHAnsi" w:hAnsiTheme="majorHAnsi"/>
          <w:szCs w:val="24"/>
          <w:vertAlign w:val="superscript"/>
          <w:lang w:val="en-US"/>
        </w:rPr>
        <w:footnoteReference w:customMarkFollows="1" w:id="2"/>
        <w:sym w:font="Wingdings 2" w:char="F0C6"/>
      </w:r>
    </w:p>
    <w:p w14:paraId="189AEC58" w14:textId="77777777" w:rsidR="004738C5" w:rsidRPr="000F00CD" w:rsidRDefault="004738C5" w:rsidP="008E43F0">
      <w:pPr>
        <w:spacing w:line="360" w:lineRule="auto"/>
        <w:rPr>
          <w:rFonts w:asciiTheme="majorHAnsi" w:hAnsiTheme="majorHAnsi"/>
          <w:szCs w:val="24"/>
          <w:lang w:val="en-US"/>
        </w:rPr>
      </w:pPr>
    </w:p>
    <w:p w14:paraId="0A69A418" w14:textId="77777777" w:rsidR="004738C5" w:rsidRPr="000F00CD" w:rsidRDefault="004738C5" w:rsidP="008E43F0">
      <w:pPr>
        <w:spacing w:line="360" w:lineRule="auto"/>
        <w:rPr>
          <w:rFonts w:asciiTheme="majorHAnsi" w:hAnsiTheme="majorHAnsi"/>
          <w:b/>
          <w:szCs w:val="24"/>
          <w:lang w:val="en-US"/>
        </w:rPr>
      </w:pPr>
      <w:r w:rsidRPr="000F00CD">
        <w:rPr>
          <w:rFonts w:asciiTheme="majorHAnsi" w:hAnsiTheme="majorHAnsi"/>
          <w:b/>
          <w:szCs w:val="24"/>
          <w:lang w:val="en-US"/>
        </w:rPr>
        <w:t>1 Introduction</w:t>
      </w:r>
    </w:p>
    <w:p w14:paraId="62958C9A" w14:textId="65F4CE29" w:rsidR="004738C5" w:rsidRPr="000F00CD" w:rsidRDefault="004738C5" w:rsidP="008E43F0">
      <w:pPr>
        <w:spacing w:line="360" w:lineRule="auto"/>
        <w:rPr>
          <w:rFonts w:asciiTheme="majorHAnsi" w:hAnsiTheme="majorHAnsi"/>
          <w:szCs w:val="24"/>
          <w:lang w:val="en-US"/>
        </w:rPr>
      </w:pPr>
      <w:r w:rsidRPr="000F00CD">
        <w:rPr>
          <w:rFonts w:asciiTheme="majorHAnsi" w:hAnsiTheme="majorHAnsi"/>
          <w:szCs w:val="24"/>
          <w:lang w:val="en-US"/>
        </w:rPr>
        <w:t>In this paper we set out to chart the E</w:t>
      </w:r>
      <w:r w:rsidR="00EA6C3E" w:rsidRPr="000F00CD">
        <w:rPr>
          <w:rFonts w:asciiTheme="majorHAnsi" w:hAnsiTheme="majorHAnsi"/>
          <w:szCs w:val="24"/>
          <w:lang w:val="en-US"/>
        </w:rPr>
        <w:t>uropean Union’s (E</w:t>
      </w:r>
      <w:r w:rsidRPr="000F00CD">
        <w:rPr>
          <w:rFonts w:asciiTheme="majorHAnsi" w:hAnsiTheme="majorHAnsi"/>
          <w:szCs w:val="24"/>
          <w:lang w:val="en-US"/>
        </w:rPr>
        <w:t>U</w:t>
      </w:r>
      <w:r w:rsidR="00EA6C3E" w:rsidRPr="000F00CD">
        <w:rPr>
          <w:rFonts w:asciiTheme="majorHAnsi" w:hAnsiTheme="majorHAnsi"/>
          <w:szCs w:val="24"/>
          <w:lang w:val="en-US"/>
        </w:rPr>
        <w:t>)</w:t>
      </w:r>
      <w:r w:rsidRPr="000F00CD">
        <w:rPr>
          <w:rFonts w:asciiTheme="majorHAnsi" w:hAnsiTheme="majorHAnsi"/>
          <w:szCs w:val="24"/>
          <w:lang w:val="en-US"/>
        </w:rPr>
        <w:t xml:space="preserve"> genesis of fighting crime as partly one of establishing the EU as an “Area of Freedom, Security and Justice</w:t>
      </w:r>
      <w:r w:rsidR="00902770" w:rsidRPr="000F00CD">
        <w:rPr>
          <w:rFonts w:asciiTheme="majorHAnsi" w:hAnsiTheme="majorHAnsi"/>
          <w:szCs w:val="24"/>
          <w:lang w:val="en-US"/>
        </w:rPr>
        <w:t xml:space="preserve">” </w:t>
      </w:r>
      <w:r w:rsidR="00EA6C3E" w:rsidRPr="000F00CD">
        <w:rPr>
          <w:rFonts w:asciiTheme="majorHAnsi" w:hAnsiTheme="majorHAnsi"/>
          <w:szCs w:val="24"/>
          <w:lang w:val="en-US"/>
        </w:rPr>
        <w:t xml:space="preserve">(AFSJ) </w:t>
      </w:r>
      <w:r w:rsidR="00902770" w:rsidRPr="000F00CD">
        <w:rPr>
          <w:rFonts w:asciiTheme="majorHAnsi" w:hAnsiTheme="majorHAnsi"/>
          <w:szCs w:val="24"/>
          <w:lang w:val="en-US"/>
        </w:rPr>
        <w:t xml:space="preserve">and partly one of facilitating </w:t>
      </w:r>
      <w:r w:rsidRPr="000F00CD">
        <w:rPr>
          <w:rFonts w:asciiTheme="majorHAnsi" w:hAnsiTheme="majorHAnsi"/>
          <w:szCs w:val="24"/>
          <w:lang w:val="en-US"/>
        </w:rPr>
        <w:t>the EU internal market creation and the establishment of a global market place. We provide an overview of the current complexities facing the EU in its current struggles for a reformation</w:t>
      </w:r>
      <w:r w:rsidR="00947B00" w:rsidRPr="000F00CD">
        <w:rPr>
          <w:rFonts w:asciiTheme="majorHAnsi" w:hAnsiTheme="majorHAnsi"/>
          <w:szCs w:val="24"/>
          <w:lang w:val="en-US"/>
        </w:rPr>
        <w:t xml:space="preserve"> and against </w:t>
      </w:r>
      <w:r w:rsidR="004F2FD3" w:rsidRPr="000F00CD">
        <w:rPr>
          <w:rFonts w:asciiTheme="majorHAnsi" w:hAnsiTheme="majorHAnsi"/>
          <w:szCs w:val="24"/>
          <w:lang w:val="en-US"/>
        </w:rPr>
        <w:t>statist approaches</w:t>
      </w:r>
      <w:r w:rsidR="003B7405">
        <w:rPr>
          <w:rFonts w:asciiTheme="majorHAnsi" w:hAnsiTheme="majorHAnsi"/>
          <w:szCs w:val="24"/>
          <w:lang w:val="en-US"/>
        </w:rPr>
        <w:t xml:space="preserve"> by focusing on the law on financial crimes and its contemporary challanges</w:t>
      </w:r>
      <w:r w:rsidR="00445A27" w:rsidRPr="000F00CD">
        <w:rPr>
          <w:rFonts w:asciiTheme="majorHAnsi" w:hAnsiTheme="majorHAnsi"/>
          <w:szCs w:val="24"/>
          <w:lang w:val="en-US"/>
        </w:rPr>
        <w:t>.</w:t>
      </w:r>
      <w:r w:rsidRPr="000F00CD">
        <w:rPr>
          <w:rFonts w:asciiTheme="majorHAnsi" w:hAnsiTheme="majorHAnsi"/>
          <w:szCs w:val="24"/>
          <w:lang w:val="en-US"/>
        </w:rPr>
        <w:t xml:space="preserve"> When viewed in an historical perspective the EU’s tactic in the fight against financial crimes appears to depart from the classic internal market-based formula of the removal of obstacles for market creation and thereby ventures into the EU criminal law domain with all of its inherent complexities, without an adequately matured legal framework to endorse its policies from within. Second, to the extent that the EU adopts the market theory template in the EU policy are</w:t>
      </w:r>
      <w:r w:rsidR="00947B00" w:rsidRPr="000F00CD">
        <w:rPr>
          <w:rFonts w:asciiTheme="majorHAnsi" w:hAnsiTheme="majorHAnsi"/>
          <w:szCs w:val="24"/>
          <w:lang w:val="en-US"/>
        </w:rPr>
        <w:t>a</w:t>
      </w:r>
      <w:r w:rsidRPr="000F00CD">
        <w:rPr>
          <w:rFonts w:asciiTheme="majorHAnsi" w:hAnsiTheme="majorHAnsi"/>
          <w:szCs w:val="24"/>
          <w:lang w:val="en-US"/>
        </w:rPr>
        <w:t xml:space="preserve"> of ‘Freedom, Security and Justice’, there are global elements </w:t>
      </w:r>
      <w:r w:rsidRPr="000F00CD">
        <w:rPr>
          <w:rFonts w:asciiTheme="majorHAnsi" w:hAnsiTheme="majorHAnsi"/>
          <w:szCs w:val="24"/>
          <w:lang w:val="en-US"/>
        </w:rPr>
        <w:lastRenderedPageBreak/>
        <w:t>to the EU’s sanction policies. These features confirm a hybridity in which legal sources are interacting within the AFSJ field. We aim to critically assess the current state of play of the regulation of financial crimes in the contemporary EU</w:t>
      </w:r>
      <w:r w:rsidR="00902770" w:rsidRPr="000F00CD">
        <w:rPr>
          <w:rFonts w:asciiTheme="majorHAnsi" w:hAnsiTheme="majorHAnsi"/>
          <w:szCs w:val="24"/>
          <w:lang w:val="en-US"/>
        </w:rPr>
        <w:t>.</w:t>
      </w:r>
      <w:r w:rsidRPr="000F00CD">
        <w:rPr>
          <w:rFonts w:asciiTheme="majorHAnsi" w:hAnsiTheme="majorHAnsi"/>
          <w:szCs w:val="24"/>
          <w:lang w:val="en-US"/>
        </w:rPr>
        <w:t xml:space="preserve"> Furthermore, the paper focuses on recent developments in the area of financial crimes by looking at the framework for EU anti</w:t>
      </w:r>
      <w:r w:rsidR="00445A27" w:rsidRPr="000F00CD">
        <w:rPr>
          <w:rFonts w:asciiTheme="majorHAnsi" w:hAnsiTheme="majorHAnsi"/>
          <w:szCs w:val="24"/>
          <w:lang w:val="en-US"/>
        </w:rPr>
        <w:t>-</w:t>
      </w:r>
      <w:r w:rsidRPr="000F00CD">
        <w:rPr>
          <w:rFonts w:asciiTheme="majorHAnsi" w:hAnsiTheme="majorHAnsi"/>
          <w:szCs w:val="24"/>
          <w:lang w:val="en-US"/>
        </w:rPr>
        <w:t>fraud legislation: OLAF</w:t>
      </w:r>
      <w:r w:rsidR="00EA6C3E" w:rsidRPr="000F00CD">
        <w:rPr>
          <w:rFonts w:asciiTheme="majorHAnsi" w:hAnsiTheme="majorHAnsi"/>
          <w:szCs w:val="24"/>
          <w:lang w:val="en-US"/>
        </w:rPr>
        <w:t xml:space="preserve">, </w:t>
      </w:r>
      <w:r w:rsidRPr="000F00CD">
        <w:rPr>
          <w:rFonts w:asciiTheme="majorHAnsi" w:hAnsiTheme="majorHAnsi"/>
          <w:szCs w:val="24"/>
          <w:lang w:val="en-US"/>
        </w:rPr>
        <w:t>the proposed EU Public prosecutor</w:t>
      </w:r>
      <w:r w:rsidR="00EA6C3E" w:rsidRPr="000F00CD">
        <w:rPr>
          <w:rFonts w:asciiTheme="majorHAnsi" w:hAnsiTheme="majorHAnsi"/>
          <w:szCs w:val="24"/>
          <w:lang w:val="en-US"/>
        </w:rPr>
        <w:t xml:space="preserve">, </w:t>
      </w:r>
      <w:r w:rsidR="00600590" w:rsidRPr="000F00CD">
        <w:rPr>
          <w:rFonts w:asciiTheme="majorHAnsi" w:hAnsiTheme="majorHAnsi"/>
          <w:szCs w:val="24"/>
          <w:lang w:val="en-US"/>
        </w:rPr>
        <w:t>the function of Eurojust</w:t>
      </w:r>
      <w:r w:rsidR="00EA6C3E" w:rsidRPr="000F00CD">
        <w:rPr>
          <w:rFonts w:asciiTheme="majorHAnsi" w:hAnsiTheme="majorHAnsi"/>
          <w:szCs w:val="24"/>
          <w:lang w:val="en-US"/>
        </w:rPr>
        <w:t xml:space="preserve"> and the proposed </w:t>
      </w:r>
      <w:r w:rsidR="00EA6C3E" w:rsidRPr="000F00CD">
        <w:rPr>
          <w:rFonts w:asciiTheme="majorHAnsi" w:hAnsiTheme="majorHAnsi"/>
          <w:szCs w:val="24"/>
        </w:rPr>
        <w:t xml:space="preserve">Directive of the European Parliament and of the Council on the fight against fraud to the Union's financial interests by means of criminal law.  </w:t>
      </w:r>
      <w:r w:rsidR="00902770" w:rsidRPr="000F00CD">
        <w:rPr>
          <w:rFonts w:asciiTheme="majorHAnsi" w:hAnsiTheme="majorHAnsi"/>
          <w:szCs w:val="24"/>
          <w:lang w:val="en-US"/>
        </w:rPr>
        <w:t>Specifically, we discuss the way the Fourth Anti-Money Launder</w:t>
      </w:r>
      <w:r w:rsidR="00443B27" w:rsidRPr="000F00CD">
        <w:rPr>
          <w:rFonts w:asciiTheme="majorHAnsi" w:hAnsiTheme="majorHAnsi"/>
          <w:szCs w:val="24"/>
          <w:lang w:val="en-US"/>
        </w:rPr>
        <w:t>ing Directive came about and if</w:t>
      </w:r>
      <w:r w:rsidR="00902770" w:rsidRPr="000F00CD">
        <w:rPr>
          <w:rFonts w:asciiTheme="majorHAnsi" w:hAnsiTheme="majorHAnsi"/>
          <w:szCs w:val="24"/>
          <w:lang w:val="en-US"/>
        </w:rPr>
        <w:t xml:space="preserve">, as claimed by the EU itself, it equips the EU with the right legal toolkit for fighting money laundering and terror financing. </w:t>
      </w:r>
      <w:r w:rsidRPr="000F00CD">
        <w:rPr>
          <w:rFonts w:asciiTheme="majorHAnsi" w:hAnsiTheme="majorHAnsi"/>
          <w:szCs w:val="24"/>
          <w:lang w:val="en-US"/>
        </w:rPr>
        <w:t xml:space="preserve">We also set out to scrutinize the </w:t>
      </w:r>
      <w:r w:rsidR="00902770" w:rsidRPr="000F00CD">
        <w:rPr>
          <w:rFonts w:asciiTheme="majorHAnsi" w:hAnsiTheme="majorHAnsi"/>
          <w:szCs w:val="24"/>
          <w:lang w:val="en-US"/>
        </w:rPr>
        <w:t xml:space="preserve">constitutional </w:t>
      </w:r>
      <w:r w:rsidRPr="000F00CD">
        <w:rPr>
          <w:rFonts w:asciiTheme="majorHAnsi" w:hAnsiTheme="majorHAnsi"/>
          <w:szCs w:val="24"/>
          <w:lang w:val="en-US"/>
        </w:rPr>
        <w:t>implications of an increased powers vested in the EU Agencies in this area as power</w:t>
      </w:r>
      <w:r w:rsidR="00BC5C3E" w:rsidRPr="000F00CD">
        <w:rPr>
          <w:rFonts w:asciiTheme="majorHAnsi" w:hAnsiTheme="majorHAnsi"/>
          <w:szCs w:val="24"/>
          <w:lang w:val="en-US"/>
        </w:rPr>
        <w:t xml:space="preserve">ful players for EU enforcement and we discuss the question of accountability as well as the </w:t>
      </w:r>
      <w:r w:rsidRPr="000F00CD">
        <w:rPr>
          <w:rFonts w:asciiTheme="majorHAnsi" w:hAnsiTheme="majorHAnsi"/>
          <w:szCs w:val="24"/>
          <w:lang w:val="en-US"/>
        </w:rPr>
        <w:t>problem of a human rights deficit in this area. We end however on a happier note by looking at the judiciaries concern to maintain individual data protection and the EU Court of Justice as a guarantee of proportionality and reasonableness in European legislative action.</w:t>
      </w:r>
    </w:p>
    <w:p w14:paraId="1E3FD567" w14:textId="77777777" w:rsidR="004738C5" w:rsidRPr="000F00CD" w:rsidRDefault="004738C5" w:rsidP="008E43F0">
      <w:pPr>
        <w:spacing w:line="360" w:lineRule="auto"/>
        <w:rPr>
          <w:rFonts w:asciiTheme="majorHAnsi" w:hAnsiTheme="majorHAnsi"/>
          <w:szCs w:val="24"/>
          <w:lang w:val="en-US"/>
        </w:rPr>
      </w:pPr>
    </w:p>
    <w:p w14:paraId="6CD5E80D" w14:textId="77777777" w:rsidR="004338F6" w:rsidRDefault="004338F6" w:rsidP="008E43F0">
      <w:pPr>
        <w:spacing w:line="360" w:lineRule="auto"/>
        <w:rPr>
          <w:rFonts w:asciiTheme="majorHAnsi" w:hAnsiTheme="majorHAnsi"/>
          <w:b/>
          <w:i/>
          <w:szCs w:val="24"/>
          <w:lang w:val="en-US"/>
        </w:rPr>
      </w:pPr>
    </w:p>
    <w:p w14:paraId="65343980" w14:textId="77777777" w:rsidR="004338F6" w:rsidRDefault="004338F6" w:rsidP="008E43F0">
      <w:pPr>
        <w:spacing w:line="360" w:lineRule="auto"/>
        <w:rPr>
          <w:rFonts w:asciiTheme="majorHAnsi" w:hAnsiTheme="majorHAnsi"/>
          <w:b/>
          <w:i/>
          <w:szCs w:val="24"/>
          <w:lang w:val="en-US"/>
        </w:rPr>
      </w:pPr>
    </w:p>
    <w:p w14:paraId="11EA81A6" w14:textId="033C5DC1" w:rsidR="004738C5" w:rsidRPr="000F00CD" w:rsidRDefault="004738C5" w:rsidP="008E43F0">
      <w:pPr>
        <w:spacing w:line="360" w:lineRule="auto"/>
        <w:rPr>
          <w:rFonts w:asciiTheme="majorHAnsi" w:hAnsiTheme="majorHAnsi"/>
          <w:b/>
          <w:i/>
          <w:szCs w:val="24"/>
          <w:lang w:val="en-US"/>
        </w:rPr>
      </w:pPr>
      <w:r w:rsidRPr="000F00CD">
        <w:rPr>
          <w:rFonts w:asciiTheme="majorHAnsi" w:hAnsiTheme="majorHAnsi"/>
          <w:b/>
          <w:i/>
          <w:szCs w:val="24"/>
          <w:lang w:val="en-US"/>
        </w:rPr>
        <w:lastRenderedPageBreak/>
        <w:t xml:space="preserve">2. </w:t>
      </w:r>
      <w:r w:rsidRPr="000F00CD">
        <w:rPr>
          <w:rFonts w:asciiTheme="majorHAnsi" w:hAnsiTheme="majorHAnsi"/>
          <w:b/>
          <w:szCs w:val="24"/>
          <w:lang w:val="en-US"/>
        </w:rPr>
        <w:t xml:space="preserve">The </w:t>
      </w:r>
      <w:r w:rsidR="00BC5C3E" w:rsidRPr="000F00CD">
        <w:rPr>
          <w:rFonts w:asciiTheme="majorHAnsi" w:hAnsiTheme="majorHAnsi"/>
          <w:b/>
          <w:szCs w:val="24"/>
          <w:lang w:val="en-US"/>
        </w:rPr>
        <w:t>“</w:t>
      </w:r>
      <w:r w:rsidRPr="000F00CD">
        <w:rPr>
          <w:rFonts w:asciiTheme="majorHAnsi" w:hAnsiTheme="majorHAnsi"/>
          <w:b/>
          <w:szCs w:val="24"/>
          <w:lang w:val="en-US"/>
        </w:rPr>
        <w:t>Area of Freedom, Security and Justice</w:t>
      </w:r>
      <w:r w:rsidR="00BC5C3E" w:rsidRPr="000F00CD">
        <w:rPr>
          <w:rFonts w:asciiTheme="majorHAnsi" w:hAnsiTheme="majorHAnsi"/>
          <w:b/>
          <w:szCs w:val="24"/>
          <w:lang w:val="en-US"/>
        </w:rPr>
        <w:t>”</w:t>
      </w:r>
      <w:r w:rsidRPr="000F00CD">
        <w:rPr>
          <w:rFonts w:asciiTheme="majorHAnsi" w:hAnsiTheme="majorHAnsi"/>
          <w:b/>
          <w:szCs w:val="24"/>
          <w:lang w:val="en-US"/>
        </w:rPr>
        <w:t xml:space="preserve"> and the fight against financial crimes: from OLAF to a European Public Prosecutor</w:t>
      </w:r>
    </w:p>
    <w:p w14:paraId="6C7C7DBE" w14:textId="77777777" w:rsidR="004738C5" w:rsidRPr="000F00CD" w:rsidRDefault="004738C5" w:rsidP="008E43F0">
      <w:pPr>
        <w:spacing w:line="360" w:lineRule="auto"/>
        <w:rPr>
          <w:rFonts w:asciiTheme="majorHAnsi" w:hAnsiTheme="majorHAnsi"/>
          <w:szCs w:val="24"/>
          <w:lang w:val="en-US"/>
        </w:rPr>
      </w:pPr>
    </w:p>
    <w:p w14:paraId="7EF0C3F4" w14:textId="12A48626" w:rsidR="004738C5" w:rsidRPr="000F00CD" w:rsidRDefault="004738C5" w:rsidP="008E43F0">
      <w:pPr>
        <w:widowControl w:val="0"/>
        <w:autoSpaceDE w:val="0"/>
        <w:autoSpaceDN w:val="0"/>
        <w:adjustRightInd w:val="0"/>
        <w:spacing w:line="360" w:lineRule="auto"/>
        <w:rPr>
          <w:rFonts w:asciiTheme="majorHAnsi" w:hAnsiTheme="majorHAnsi" w:cs="B©Pˇ"/>
          <w:szCs w:val="24"/>
          <w:lang w:val="en-US" w:eastAsia="en-US" w:bidi="ar-SA"/>
        </w:rPr>
      </w:pPr>
      <w:r w:rsidRPr="000F00CD">
        <w:rPr>
          <w:rFonts w:asciiTheme="majorHAnsi" w:hAnsiTheme="majorHAnsi"/>
          <w:szCs w:val="24"/>
          <w:lang w:val="en-US"/>
        </w:rPr>
        <w:t xml:space="preserve">The EU’s fight against financial crimes takes place at multiple levels in the EU regulatory machinery:  both within the framework and endeavor of the establishment of an “Area of Freedom, Security and Justice” and within the traditional playing </w:t>
      </w:r>
      <w:r w:rsidR="00BC5C3E" w:rsidRPr="000F00CD">
        <w:rPr>
          <w:rFonts w:asciiTheme="majorHAnsi" w:hAnsiTheme="majorHAnsi"/>
          <w:szCs w:val="24"/>
          <w:lang w:val="en-US"/>
        </w:rPr>
        <w:t>field of the EU internal market and the need to ensure market integrity</w:t>
      </w:r>
      <w:r w:rsidRPr="000F00CD">
        <w:rPr>
          <w:rFonts w:asciiTheme="majorHAnsi" w:hAnsiTheme="majorHAnsi"/>
          <w:szCs w:val="24"/>
          <w:lang w:val="en-US"/>
        </w:rPr>
        <w:t xml:space="preserve">. </w:t>
      </w:r>
      <w:r w:rsidR="00445A27" w:rsidRPr="000F00CD">
        <w:rPr>
          <w:rFonts w:asciiTheme="majorHAnsi" w:hAnsiTheme="majorHAnsi"/>
          <w:szCs w:val="24"/>
          <w:lang w:val="en-US"/>
        </w:rPr>
        <w:t xml:space="preserve">Furthermore, </w:t>
      </w:r>
      <w:r w:rsidRPr="000F00CD">
        <w:rPr>
          <w:rFonts w:asciiTheme="majorHAnsi" w:hAnsiTheme="majorHAnsi" w:cs="B©Pˇ"/>
          <w:szCs w:val="24"/>
          <w:lang w:val="en-US" w:eastAsia="en-US" w:bidi="ar-SA"/>
        </w:rPr>
        <w:t xml:space="preserve">the </w:t>
      </w:r>
      <w:r w:rsidR="000D40D0" w:rsidRPr="000F00CD">
        <w:rPr>
          <w:rFonts w:asciiTheme="majorHAnsi" w:hAnsiTheme="majorHAnsi" w:cs="B©Pˇ"/>
          <w:szCs w:val="24"/>
          <w:lang w:val="en-US" w:eastAsia="en-US" w:bidi="ar-SA"/>
        </w:rPr>
        <w:t xml:space="preserve">EU </w:t>
      </w:r>
      <w:r w:rsidRPr="000F00CD">
        <w:rPr>
          <w:rFonts w:asciiTheme="majorHAnsi" w:hAnsiTheme="majorHAnsi" w:cs="B©Pˇ"/>
          <w:szCs w:val="24"/>
          <w:lang w:val="en-US" w:eastAsia="en-US" w:bidi="ar-SA"/>
        </w:rPr>
        <w:t xml:space="preserve">and the Member States are required by the Treaty on the Functioning of the EU (TFEU, Article 325) to counter fraud and any other illegal activities affecting the financial interests of the </w:t>
      </w:r>
      <w:r w:rsidR="000D40D0" w:rsidRPr="000F00CD">
        <w:rPr>
          <w:rFonts w:asciiTheme="majorHAnsi" w:hAnsiTheme="majorHAnsi" w:cs="B©Pˇ"/>
          <w:szCs w:val="24"/>
          <w:lang w:val="en-US" w:eastAsia="en-US" w:bidi="ar-SA"/>
        </w:rPr>
        <w:t>EU</w:t>
      </w:r>
      <w:r w:rsidRPr="000F00CD">
        <w:rPr>
          <w:rFonts w:asciiTheme="majorHAnsi" w:hAnsiTheme="majorHAnsi" w:cs="B©Pˇ"/>
          <w:szCs w:val="24"/>
          <w:lang w:val="en-US" w:eastAsia="en-US" w:bidi="ar-SA"/>
        </w:rPr>
        <w:t xml:space="preserve">. </w:t>
      </w:r>
    </w:p>
    <w:p w14:paraId="759A5110" w14:textId="77777777" w:rsidR="004738C5" w:rsidRPr="000F00CD" w:rsidRDefault="004738C5" w:rsidP="008E43F0">
      <w:pPr>
        <w:spacing w:line="360" w:lineRule="auto"/>
        <w:rPr>
          <w:rFonts w:asciiTheme="majorHAnsi" w:hAnsiTheme="majorHAnsi"/>
          <w:szCs w:val="24"/>
          <w:lang w:val="en-US"/>
        </w:rPr>
      </w:pPr>
    </w:p>
    <w:p w14:paraId="53AD880A" w14:textId="1E6FC553" w:rsidR="0080376C" w:rsidRPr="000F00CD" w:rsidRDefault="004738C5" w:rsidP="008E43F0">
      <w:pPr>
        <w:spacing w:line="360" w:lineRule="auto"/>
        <w:rPr>
          <w:rFonts w:asciiTheme="majorHAnsi" w:hAnsiTheme="majorHAnsi"/>
          <w:szCs w:val="24"/>
          <w:lang w:val="en-US"/>
        </w:rPr>
      </w:pPr>
      <w:r w:rsidRPr="000F00CD">
        <w:rPr>
          <w:rFonts w:asciiTheme="majorHAnsi" w:hAnsiTheme="majorHAnsi"/>
          <w:szCs w:val="24"/>
          <w:lang w:val="en-US"/>
        </w:rPr>
        <w:t>While much has been said about the purpose of fighting financial crimes within the internal market</w:t>
      </w:r>
      <w:r w:rsidR="00A37F6E" w:rsidRPr="000F00CD">
        <w:rPr>
          <w:rStyle w:val="FootnoteReference"/>
          <w:rFonts w:asciiTheme="majorHAnsi" w:hAnsiTheme="majorHAnsi"/>
          <w:szCs w:val="24"/>
          <w:lang w:val="en-US"/>
        </w:rPr>
        <w:footnoteReference w:id="3"/>
      </w:r>
      <w:r w:rsidRPr="000F00CD">
        <w:rPr>
          <w:rFonts w:asciiTheme="majorHAnsi" w:hAnsiTheme="majorHAnsi"/>
          <w:szCs w:val="24"/>
          <w:lang w:val="en-US"/>
        </w:rPr>
        <w:t xml:space="preserve">, much less </w:t>
      </w:r>
      <w:r w:rsidR="0080376C" w:rsidRPr="000F00CD">
        <w:rPr>
          <w:rFonts w:asciiTheme="majorHAnsi" w:hAnsiTheme="majorHAnsi"/>
          <w:szCs w:val="24"/>
          <w:lang w:val="en-US"/>
        </w:rPr>
        <w:t>has been said with regard to</w:t>
      </w:r>
      <w:r w:rsidRPr="000F00CD">
        <w:rPr>
          <w:rFonts w:asciiTheme="majorHAnsi" w:hAnsiTheme="majorHAnsi"/>
          <w:szCs w:val="24"/>
          <w:lang w:val="en-US"/>
        </w:rPr>
        <w:t xml:space="preserve"> the impact of </w:t>
      </w:r>
      <w:r w:rsidR="0080376C" w:rsidRPr="000F00CD">
        <w:rPr>
          <w:rFonts w:asciiTheme="majorHAnsi" w:hAnsiTheme="majorHAnsi"/>
          <w:szCs w:val="24"/>
          <w:lang w:val="en-US"/>
        </w:rPr>
        <w:t xml:space="preserve">these findings </w:t>
      </w:r>
      <w:r w:rsidRPr="000F00CD">
        <w:rPr>
          <w:rFonts w:asciiTheme="majorHAnsi" w:hAnsiTheme="majorHAnsi"/>
          <w:szCs w:val="24"/>
          <w:lang w:val="en-US"/>
        </w:rPr>
        <w:t>on the operation of the crime</w:t>
      </w:r>
      <w:r w:rsidR="0080376C" w:rsidRPr="000F00CD">
        <w:rPr>
          <w:rFonts w:asciiTheme="majorHAnsi" w:hAnsiTheme="majorHAnsi"/>
          <w:szCs w:val="24"/>
          <w:lang w:val="en-US"/>
        </w:rPr>
        <w:t xml:space="preserve"> fighting project of the AFSJ.</w:t>
      </w:r>
      <w:r w:rsidR="00410D94" w:rsidRPr="000F00CD">
        <w:rPr>
          <w:rStyle w:val="FootnoteReference"/>
          <w:rFonts w:asciiTheme="majorHAnsi" w:hAnsiTheme="majorHAnsi"/>
          <w:szCs w:val="24"/>
          <w:lang w:val="en-US"/>
        </w:rPr>
        <w:footnoteReference w:id="4"/>
      </w:r>
      <w:r w:rsidR="0080376C" w:rsidRPr="000F00CD">
        <w:rPr>
          <w:rFonts w:asciiTheme="majorHAnsi" w:hAnsiTheme="majorHAnsi"/>
          <w:szCs w:val="24"/>
          <w:lang w:val="en-US"/>
        </w:rPr>
        <w:t xml:space="preserve"> So </w:t>
      </w:r>
      <w:r w:rsidRPr="000F00CD">
        <w:rPr>
          <w:rFonts w:asciiTheme="majorHAnsi" w:hAnsiTheme="majorHAnsi"/>
          <w:szCs w:val="24"/>
          <w:lang w:val="en-US"/>
        </w:rPr>
        <w:t xml:space="preserve">while the internal market objectives are well dissected </w:t>
      </w:r>
      <w:r w:rsidR="0080376C" w:rsidRPr="000F00CD">
        <w:rPr>
          <w:rFonts w:asciiTheme="majorHAnsi" w:hAnsiTheme="majorHAnsi"/>
          <w:szCs w:val="24"/>
          <w:lang w:val="en-US"/>
        </w:rPr>
        <w:t>this is different in</w:t>
      </w:r>
      <w:r w:rsidRPr="000F00CD">
        <w:rPr>
          <w:rFonts w:asciiTheme="majorHAnsi" w:hAnsiTheme="majorHAnsi"/>
          <w:szCs w:val="24"/>
          <w:lang w:val="en-US"/>
        </w:rPr>
        <w:t xml:space="preserve"> the AFSJ in the context of f</w:t>
      </w:r>
      <w:r w:rsidR="0080376C" w:rsidRPr="000F00CD">
        <w:rPr>
          <w:rFonts w:asciiTheme="majorHAnsi" w:hAnsiTheme="majorHAnsi"/>
          <w:szCs w:val="24"/>
          <w:lang w:val="en-US"/>
        </w:rPr>
        <w:t xml:space="preserve">inancial crimes legislation. We argue that this is a mistake if one truly wants to understand the EU’s fight against </w:t>
      </w:r>
      <w:r w:rsidR="0080376C" w:rsidRPr="000F00CD">
        <w:rPr>
          <w:rFonts w:asciiTheme="majorHAnsi" w:hAnsiTheme="majorHAnsi"/>
          <w:szCs w:val="24"/>
          <w:lang w:val="en-US"/>
        </w:rPr>
        <w:lastRenderedPageBreak/>
        <w:t xml:space="preserve">irregularities in the internal market. After all, the </w:t>
      </w:r>
      <w:r w:rsidRPr="000F00CD">
        <w:rPr>
          <w:rFonts w:asciiTheme="majorHAnsi" w:hAnsiTheme="majorHAnsi"/>
          <w:szCs w:val="24"/>
          <w:lang w:val="en-US"/>
        </w:rPr>
        <w:t xml:space="preserve">AFSJ </w:t>
      </w:r>
      <w:r w:rsidR="0080376C" w:rsidRPr="000F00CD">
        <w:rPr>
          <w:rFonts w:asciiTheme="majorHAnsi" w:hAnsiTheme="majorHAnsi"/>
          <w:szCs w:val="24"/>
          <w:lang w:val="en-US"/>
        </w:rPr>
        <w:t xml:space="preserve">embodies a complicated hybrid system of interacting norms (global, EU and national) and should therefore be understood in the light of the classic EU law policy of the internal market. In short, the AFSJ </w:t>
      </w:r>
      <w:r w:rsidRPr="000F00CD">
        <w:rPr>
          <w:rFonts w:asciiTheme="majorHAnsi" w:hAnsiTheme="majorHAnsi"/>
          <w:szCs w:val="24"/>
          <w:lang w:val="en-US"/>
        </w:rPr>
        <w:t xml:space="preserve">deals with, </w:t>
      </w:r>
      <w:r w:rsidRPr="000F00CD">
        <w:rPr>
          <w:rFonts w:asciiTheme="majorHAnsi" w:hAnsiTheme="majorHAnsi"/>
          <w:i/>
          <w:szCs w:val="24"/>
          <w:lang w:val="en-US"/>
        </w:rPr>
        <w:t>inter alia</w:t>
      </w:r>
      <w:r w:rsidRPr="000F00CD">
        <w:rPr>
          <w:rFonts w:asciiTheme="majorHAnsi" w:hAnsiTheme="majorHAnsi"/>
          <w:szCs w:val="24"/>
          <w:lang w:val="en-US"/>
        </w:rPr>
        <w:t>, security issues, border control, anti-terrorism law and crime. While market creation has always been focused on principally justifying aims of the Union’s increased powers and curtailment of Member State competences,</w:t>
      </w:r>
      <w:r w:rsidRPr="000F00CD">
        <w:rPr>
          <w:rFonts w:asciiTheme="majorHAnsi" w:hAnsiTheme="majorHAnsi"/>
          <w:szCs w:val="24"/>
          <w:vertAlign w:val="superscript"/>
          <w:lang w:val="en-US"/>
        </w:rPr>
        <w:footnoteReference w:id="5"/>
      </w:r>
      <w:r w:rsidRPr="000F00CD">
        <w:rPr>
          <w:rFonts w:asciiTheme="majorHAnsi" w:hAnsiTheme="majorHAnsi"/>
          <w:szCs w:val="24"/>
          <w:lang w:val="en-US"/>
        </w:rPr>
        <w:t xml:space="preserve"> the EU’s rulemaking powers—when applied outside the traditional context of the internal market—ask pressing questions. They ask not just how far national sovereignty can be overturned by other concerns, such as the need for the construction of the EU market, but also its interaction with the EU’s expanding security agenda and the role of fundamental rights protection. As a result of the Lisbon Treaty changes, though, financial crimes now form a specific part of the competences that are granted to the EU under Article 83 TFEU, posing the question of whether the EU will go down the AFSJ path or if it should stick to its traditional way of resorting to Article 114 TFEU. After all, Article 114 TFEU allows for a more expansive use of EU competences—as interpreted by the Court of Justice—way of reasoning</w:t>
      </w:r>
      <w:r w:rsidR="00153DC5" w:rsidRPr="000F00CD">
        <w:rPr>
          <w:rFonts w:asciiTheme="majorHAnsi" w:hAnsiTheme="majorHAnsi"/>
          <w:szCs w:val="24"/>
          <w:lang w:val="en-US"/>
        </w:rPr>
        <w:t xml:space="preserve"> </w:t>
      </w:r>
      <w:r w:rsidR="00AB1544" w:rsidRPr="000F00CD">
        <w:rPr>
          <w:rFonts w:asciiTheme="majorHAnsi" w:hAnsiTheme="majorHAnsi"/>
          <w:szCs w:val="24"/>
          <w:lang w:val="en-US"/>
        </w:rPr>
        <w:t>as well as for the adoption of R</w:t>
      </w:r>
      <w:r w:rsidR="00153DC5" w:rsidRPr="000F00CD">
        <w:rPr>
          <w:rFonts w:asciiTheme="majorHAnsi" w:hAnsiTheme="majorHAnsi"/>
          <w:szCs w:val="24"/>
          <w:lang w:val="en-US"/>
        </w:rPr>
        <w:t>egulations (which is more restricted under 83 TFEU which prescribes the use of Directives)</w:t>
      </w:r>
      <w:r w:rsidRPr="000F00CD">
        <w:rPr>
          <w:rFonts w:asciiTheme="majorHAnsi" w:hAnsiTheme="majorHAnsi"/>
          <w:szCs w:val="24"/>
          <w:lang w:val="en-US"/>
        </w:rPr>
        <w:t xml:space="preserve">. </w:t>
      </w:r>
    </w:p>
    <w:p w14:paraId="1645E284" w14:textId="77777777" w:rsidR="0080376C" w:rsidRPr="000F00CD" w:rsidRDefault="0080376C" w:rsidP="008E43F0">
      <w:pPr>
        <w:spacing w:line="360" w:lineRule="auto"/>
        <w:rPr>
          <w:rFonts w:asciiTheme="majorHAnsi" w:hAnsiTheme="majorHAnsi"/>
          <w:szCs w:val="24"/>
          <w:lang w:val="en-US"/>
        </w:rPr>
      </w:pPr>
    </w:p>
    <w:p w14:paraId="72805D3D" w14:textId="79E7EACA" w:rsidR="001C6449" w:rsidRPr="000F00CD" w:rsidRDefault="0080376C" w:rsidP="008E43F0">
      <w:pPr>
        <w:spacing w:line="360" w:lineRule="auto"/>
        <w:rPr>
          <w:rFonts w:asciiTheme="majorHAnsi" w:hAnsiTheme="majorHAnsi"/>
          <w:szCs w:val="24"/>
          <w:lang w:val="en-US"/>
        </w:rPr>
      </w:pPr>
      <w:r w:rsidRPr="000F00CD">
        <w:rPr>
          <w:rFonts w:asciiTheme="majorHAnsi" w:hAnsiTheme="majorHAnsi"/>
          <w:szCs w:val="24"/>
          <w:lang w:val="en-US"/>
        </w:rPr>
        <w:t xml:space="preserve">Therefore, although </w:t>
      </w:r>
      <w:r w:rsidR="004738C5" w:rsidRPr="000F00CD">
        <w:rPr>
          <w:rFonts w:asciiTheme="majorHAnsi" w:hAnsiTheme="majorHAnsi"/>
          <w:szCs w:val="24"/>
          <w:lang w:val="en-US"/>
        </w:rPr>
        <w:t xml:space="preserve">financial regulation is an objective of the internal market, any financial regulation that involves criminal law responses to fight irregularities within the internal market trespasses on the turf of the AFSJ. Therefore, what is at stake here is, obviously, also a question of competence and a choice of the correct legal basis. The Fourth Money Laundering Directive discussed below seems to confirm the view that the EU will stick to the market theory model rather than </w:t>
      </w:r>
      <w:r w:rsidR="00AB1544" w:rsidRPr="000F00CD">
        <w:rPr>
          <w:rFonts w:asciiTheme="majorHAnsi" w:hAnsiTheme="majorHAnsi"/>
          <w:szCs w:val="24"/>
          <w:lang w:val="en-US"/>
        </w:rPr>
        <w:t xml:space="preserve">(only) </w:t>
      </w:r>
      <w:r w:rsidR="004738C5" w:rsidRPr="000F00CD">
        <w:rPr>
          <w:rFonts w:asciiTheme="majorHAnsi" w:hAnsiTheme="majorHAnsi"/>
          <w:szCs w:val="24"/>
          <w:lang w:val="en-US"/>
        </w:rPr>
        <w:t>switching to a criminal law model within the AFSJ.</w:t>
      </w:r>
      <w:r w:rsidR="004738C5" w:rsidRPr="000F00CD">
        <w:rPr>
          <w:rFonts w:asciiTheme="majorHAnsi" w:hAnsiTheme="majorHAnsi"/>
          <w:szCs w:val="24"/>
          <w:vertAlign w:val="superscript"/>
          <w:lang w:val="en-US"/>
        </w:rPr>
        <w:footnoteReference w:id="6"/>
      </w:r>
      <w:r w:rsidR="004738C5" w:rsidRPr="000F00CD">
        <w:rPr>
          <w:rFonts w:asciiTheme="majorHAnsi" w:hAnsiTheme="majorHAnsi"/>
          <w:szCs w:val="24"/>
          <w:lang w:val="en-US"/>
        </w:rPr>
        <w:t xml:space="preserve"> </w:t>
      </w:r>
      <w:r w:rsidR="001C6449" w:rsidRPr="000F00CD">
        <w:rPr>
          <w:rFonts w:asciiTheme="majorHAnsi" w:hAnsiTheme="majorHAnsi"/>
          <w:szCs w:val="24"/>
          <w:lang w:val="en-US"/>
        </w:rPr>
        <w:t xml:space="preserve">Therefore, we are faced with the classic choice-of-legal-basis question where Article 83 TFEU is lex specialis if the measure in question is primarily a criminal law measure. Therefore, under the present Treaty framework there are good reasons to believe that the center of gravity test will point in the direction of more general internal market powers. Thus, “mainstream” internal market powers, such as Article 114 TFEU, are still of crucial importance and are particularly significant with respect to the impact in the national arena as this provision also allows for the adoption of regulations—thereby having a direct impact on citizens. From a Member State perspective, there is merit with respect to engaging Article 83(2) TFEU as compared to action taken under Article 114 TFEU, in that this provision grants the possibility for the Member States to pull an </w:t>
      </w:r>
      <w:r w:rsidR="001C6449" w:rsidRPr="000F00CD">
        <w:rPr>
          <w:rFonts w:asciiTheme="majorHAnsi" w:hAnsiTheme="majorHAnsi"/>
          <w:szCs w:val="24"/>
          <w:lang w:val="en-US"/>
        </w:rPr>
        <w:lastRenderedPageBreak/>
        <w:t xml:space="preserve">emergency brake if a proposed measure appears to be too sensitive for the national criminal law system. Moreover, the use of Article 114 or Article 325 TFEU (anti-fraud rules) would mean that the </w:t>
      </w:r>
      <w:r w:rsidR="0099611C" w:rsidRPr="000F00CD">
        <w:rPr>
          <w:rFonts w:asciiTheme="majorHAnsi" w:hAnsiTheme="majorHAnsi"/>
          <w:szCs w:val="24"/>
          <w:lang w:val="en-US"/>
        </w:rPr>
        <w:t>United Kingdom (</w:t>
      </w:r>
      <w:r w:rsidR="001C6449" w:rsidRPr="000F00CD">
        <w:rPr>
          <w:rFonts w:asciiTheme="majorHAnsi" w:hAnsiTheme="majorHAnsi"/>
          <w:szCs w:val="24"/>
          <w:lang w:val="en-US"/>
        </w:rPr>
        <w:t>UK</w:t>
      </w:r>
      <w:r w:rsidR="0099611C" w:rsidRPr="000F00CD">
        <w:rPr>
          <w:rFonts w:asciiTheme="majorHAnsi" w:hAnsiTheme="majorHAnsi"/>
          <w:szCs w:val="24"/>
          <w:lang w:val="en-US"/>
        </w:rPr>
        <w:t>)</w:t>
      </w:r>
      <w:r w:rsidR="001C6449" w:rsidRPr="000F00CD">
        <w:rPr>
          <w:rFonts w:asciiTheme="majorHAnsi" w:hAnsiTheme="majorHAnsi"/>
          <w:szCs w:val="24"/>
          <w:lang w:val="en-US"/>
        </w:rPr>
        <w:t>, Ireland, and Denmark would not be granted the “cherry-pick” possibility of opt-outs as they otherwise would regarding legislation within the AFSJ (in accordance with Protocol 21 and Protocol 22).</w:t>
      </w:r>
      <w:r w:rsidR="001C6449" w:rsidRPr="000F00CD">
        <w:rPr>
          <w:rFonts w:asciiTheme="majorHAnsi" w:hAnsiTheme="majorHAnsi"/>
          <w:szCs w:val="24"/>
          <w:vertAlign w:val="superscript"/>
          <w:lang w:val="en-US"/>
        </w:rPr>
        <w:footnoteReference w:id="7"/>
      </w:r>
      <w:r w:rsidR="001C6449" w:rsidRPr="000F00CD">
        <w:rPr>
          <w:rFonts w:asciiTheme="majorHAnsi" w:hAnsiTheme="majorHAnsi"/>
          <w:szCs w:val="24"/>
          <w:vertAlign w:val="superscript"/>
          <w:lang w:val="en-US"/>
        </w:rPr>
        <w:t xml:space="preserve"> </w:t>
      </w:r>
    </w:p>
    <w:p w14:paraId="3C24C288" w14:textId="027F5488" w:rsidR="004738C5" w:rsidRPr="000F00CD" w:rsidRDefault="004738C5" w:rsidP="008E43F0">
      <w:pPr>
        <w:spacing w:line="360" w:lineRule="auto"/>
        <w:rPr>
          <w:rFonts w:asciiTheme="majorHAnsi" w:hAnsiTheme="majorHAnsi"/>
          <w:szCs w:val="24"/>
          <w:lang w:val="en-US"/>
        </w:rPr>
      </w:pPr>
    </w:p>
    <w:p w14:paraId="7E040EF0" w14:textId="5047000A" w:rsidR="004738C5" w:rsidRPr="000F00CD" w:rsidRDefault="004738C5" w:rsidP="008E43F0">
      <w:pPr>
        <w:spacing w:line="360" w:lineRule="auto"/>
        <w:rPr>
          <w:rFonts w:asciiTheme="majorHAnsi" w:hAnsiTheme="majorHAnsi"/>
          <w:szCs w:val="24"/>
          <w:lang w:val="en-US"/>
        </w:rPr>
      </w:pPr>
      <w:r w:rsidRPr="000F00CD">
        <w:rPr>
          <w:rFonts w:asciiTheme="majorHAnsi" w:hAnsiTheme="majorHAnsi"/>
          <w:szCs w:val="24"/>
          <w:lang w:val="en-US"/>
        </w:rPr>
        <w:t>Yet the importance of fighting financial irregularities against the EU is however far from a new endeavor when</w:t>
      </w:r>
      <w:r w:rsidR="00A477F2" w:rsidRPr="000F00CD">
        <w:rPr>
          <w:rFonts w:asciiTheme="majorHAnsi" w:hAnsiTheme="majorHAnsi"/>
          <w:szCs w:val="24"/>
          <w:lang w:val="en-US"/>
        </w:rPr>
        <w:t>, most importantly,</w:t>
      </w:r>
      <w:r w:rsidRPr="000F00CD">
        <w:rPr>
          <w:rFonts w:asciiTheme="majorHAnsi" w:hAnsiTheme="majorHAnsi"/>
          <w:szCs w:val="24"/>
          <w:lang w:val="en-US"/>
        </w:rPr>
        <w:t xml:space="preserve"> one considers the powers of the European Anti</w:t>
      </w:r>
      <w:r w:rsidR="000D40D0" w:rsidRPr="000F00CD">
        <w:rPr>
          <w:rFonts w:asciiTheme="majorHAnsi" w:hAnsiTheme="majorHAnsi"/>
          <w:szCs w:val="24"/>
          <w:lang w:val="en-US"/>
        </w:rPr>
        <w:t>-</w:t>
      </w:r>
      <w:r w:rsidRPr="000F00CD">
        <w:rPr>
          <w:rFonts w:asciiTheme="majorHAnsi" w:hAnsiTheme="majorHAnsi"/>
          <w:szCs w:val="24"/>
          <w:lang w:val="en-US"/>
        </w:rPr>
        <w:t>Fraud Office, OLAF.  It concentrates on frauds committed against the EU, and it doesn’t impose any anti-fraud obligations on member states.</w:t>
      </w:r>
      <w:r w:rsidRPr="000F00CD">
        <w:rPr>
          <w:rFonts w:asciiTheme="majorHAnsi" w:eastAsia="SimSun" w:hAnsiTheme="majorHAnsi"/>
          <w:szCs w:val="24"/>
          <w:vertAlign w:val="superscript"/>
          <w:lang w:val="en-US"/>
        </w:rPr>
        <w:footnoteReference w:id="8"/>
      </w:r>
      <w:r w:rsidRPr="000F00CD">
        <w:rPr>
          <w:rFonts w:asciiTheme="majorHAnsi" w:hAnsiTheme="majorHAnsi"/>
          <w:szCs w:val="24"/>
          <w:vertAlign w:val="superscript"/>
          <w:lang w:val="en-US"/>
        </w:rPr>
        <w:t xml:space="preserve"> </w:t>
      </w:r>
      <w:r w:rsidRPr="000F00CD">
        <w:rPr>
          <w:rFonts w:asciiTheme="majorHAnsi" w:hAnsiTheme="majorHAnsi"/>
          <w:szCs w:val="24"/>
          <w:lang w:val="en-US"/>
        </w:rPr>
        <w:t xml:space="preserve"> The origins of its strategy can be traced to the creation of the Common Agricultural Policy which resulted in the number of allegations of fraud increasing.</w:t>
      </w:r>
      <w:r w:rsidRPr="000F00CD">
        <w:rPr>
          <w:rFonts w:asciiTheme="majorHAnsi" w:eastAsia="SimSun" w:hAnsiTheme="majorHAnsi"/>
          <w:szCs w:val="24"/>
          <w:vertAlign w:val="superscript"/>
          <w:lang w:val="en-US"/>
        </w:rPr>
        <w:footnoteReference w:id="9"/>
      </w:r>
      <w:r w:rsidRPr="000F00CD">
        <w:rPr>
          <w:rFonts w:asciiTheme="majorHAnsi" w:hAnsiTheme="majorHAnsi"/>
          <w:szCs w:val="24"/>
          <w:lang w:val="en-US"/>
        </w:rPr>
        <w:t xml:space="preserve"> However, it was</w:t>
      </w:r>
      <w:r w:rsidR="00944283">
        <w:rPr>
          <w:rFonts w:asciiTheme="majorHAnsi" w:hAnsiTheme="majorHAnsi"/>
          <w:szCs w:val="24"/>
          <w:lang w:val="en-US"/>
        </w:rPr>
        <w:t xml:space="preserve"> not </w:t>
      </w:r>
      <w:r w:rsidRPr="000F00CD">
        <w:rPr>
          <w:rFonts w:asciiTheme="majorHAnsi" w:hAnsiTheme="majorHAnsi"/>
          <w:szCs w:val="24"/>
          <w:lang w:val="en-US"/>
        </w:rPr>
        <w:t xml:space="preserve">until the 1970s that the EU began to realize the threat to its finances posed by </w:t>
      </w:r>
      <w:r w:rsidRPr="000F00CD">
        <w:rPr>
          <w:rFonts w:asciiTheme="majorHAnsi" w:hAnsiTheme="majorHAnsi"/>
          <w:szCs w:val="24"/>
          <w:lang w:val="en-US"/>
        </w:rPr>
        <w:lastRenderedPageBreak/>
        <w:t>fraud.</w:t>
      </w:r>
      <w:r w:rsidRPr="000F00CD">
        <w:rPr>
          <w:rFonts w:asciiTheme="majorHAnsi" w:eastAsia="SimSun" w:hAnsiTheme="majorHAnsi"/>
          <w:szCs w:val="24"/>
          <w:vertAlign w:val="superscript"/>
          <w:lang w:val="en-US"/>
        </w:rPr>
        <w:footnoteReference w:id="10"/>
      </w:r>
      <w:r w:rsidRPr="000F00CD">
        <w:rPr>
          <w:rFonts w:asciiTheme="majorHAnsi" w:hAnsiTheme="majorHAnsi"/>
          <w:szCs w:val="24"/>
          <w:lang w:val="en-US"/>
        </w:rPr>
        <w:t xml:space="preserve"> </w:t>
      </w:r>
      <w:r w:rsidR="001357C9" w:rsidRPr="000F00CD">
        <w:rPr>
          <w:rFonts w:asciiTheme="majorHAnsi" w:hAnsiTheme="majorHAnsi"/>
          <w:szCs w:val="24"/>
          <w:lang w:val="en-US"/>
        </w:rPr>
        <w:t>Therefore</w:t>
      </w:r>
      <w:r w:rsidR="00A477F2" w:rsidRPr="000F00CD">
        <w:rPr>
          <w:rFonts w:asciiTheme="majorHAnsi" w:hAnsiTheme="majorHAnsi"/>
          <w:szCs w:val="24"/>
          <w:lang w:val="en-US"/>
        </w:rPr>
        <w:t>, it is needed to briefly set out the EU path towards</w:t>
      </w:r>
      <w:r w:rsidR="001357C9" w:rsidRPr="000F00CD">
        <w:rPr>
          <w:rFonts w:asciiTheme="majorHAnsi" w:hAnsiTheme="majorHAnsi"/>
          <w:szCs w:val="24"/>
          <w:lang w:val="en-US"/>
        </w:rPr>
        <w:t xml:space="preserve"> </w:t>
      </w:r>
      <w:r w:rsidR="00A477F2" w:rsidRPr="000F00CD">
        <w:rPr>
          <w:rFonts w:asciiTheme="majorHAnsi" w:hAnsiTheme="majorHAnsi"/>
          <w:szCs w:val="24"/>
          <w:lang w:val="en-US"/>
        </w:rPr>
        <w:t>the current ‘tough on financial crimes’ approach.</w:t>
      </w:r>
    </w:p>
    <w:p w14:paraId="7CBDF7F5" w14:textId="77777777" w:rsidR="004738C5" w:rsidRPr="000F00CD" w:rsidRDefault="004738C5" w:rsidP="008E43F0">
      <w:pPr>
        <w:spacing w:line="360" w:lineRule="auto"/>
        <w:rPr>
          <w:rFonts w:asciiTheme="majorHAnsi" w:hAnsiTheme="majorHAnsi"/>
          <w:szCs w:val="24"/>
          <w:lang w:val="en-US"/>
        </w:rPr>
      </w:pPr>
    </w:p>
    <w:p w14:paraId="1EDE6C10" w14:textId="32D4F3DD" w:rsidR="004738C5" w:rsidRPr="000F00CD" w:rsidRDefault="004738C5" w:rsidP="008E43F0">
      <w:pPr>
        <w:spacing w:line="360" w:lineRule="auto"/>
        <w:rPr>
          <w:rFonts w:asciiTheme="majorHAnsi" w:hAnsiTheme="majorHAnsi"/>
          <w:szCs w:val="24"/>
          <w:lang w:val="en-US"/>
        </w:rPr>
      </w:pPr>
      <w:r w:rsidRPr="000F00CD">
        <w:rPr>
          <w:rFonts w:asciiTheme="majorHAnsi" w:hAnsiTheme="majorHAnsi"/>
          <w:szCs w:val="24"/>
          <w:lang w:val="en-US"/>
        </w:rPr>
        <w:t>An important part of the EU’s fraud policy is of course the European Court of Auditors, which acts as an independent reviewer of the EU’s finances and which has played an important role in the history of EU anti-fraud</w:t>
      </w:r>
      <w:r w:rsidR="000D40D0" w:rsidRPr="000F00CD">
        <w:rPr>
          <w:rFonts w:asciiTheme="majorHAnsi" w:hAnsiTheme="majorHAnsi"/>
          <w:szCs w:val="24"/>
          <w:lang w:val="en-US"/>
        </w:rPr>
        <w:t xml:space="preserve"> measures</w:t>
      </w:r>
      <w:r w:rsidRPr="000F00CD">
        <w:rPr>
          <w:rFonts w:asciiTheme="majorHAnsi" w:hAnsiTheme="majorHAnsi"/>
          <w:szCs w:val="24"/>
          <w:lang w:val="en-US"/>
        </w:rPr>
        <w:t>.</w:t>
      </w:r>
      <w:r w:rsidRPr="000F00CD">
        <w:rPr>
          <w:rFonts w:asciiTheme="majorHAnsi" w:eastAsia="SimSun" w:hAnsiTheme="majorHAnsi"/>
          <w:szCs w:val="24"/>
          <w:vertAlign w:val="superscript"/>
          <w:lang w:val="en-US"/>
        </w:rPr>
        <w:footnoteReference w:id="11"/>
      </w:r>
      <w:r w:rsidRPr="000F00CD">
        <w:rPr>
          <w:rFonts w:asciiTheme="majorHAnsi" w:hAnsiTheme="majorHAnsi"/>
          <w:szCs w:val="24"/>
          <w:lang w:val="en-US"/>
        </w:rPr>
        <w:t xml:space="preserve">  It determines whether any fraud has been committed against the EU and identifies whether or not the fiscal procedures have been recorded, properly implemented in lawful method to guarantee efficiency and effectiveness.</w:t>
      </w:r>
      <w:r w:rsidRPr="000F00CD">
        <w:rPr>
          <w:rFonts w:asciiTheme="majorHAnsi" w:eastAsia="SimSun" w:hAnsiTheme="majorHAnsi"/>
          <w:szCs w:val="24"/>
          <w:vertAlign w:val="superscript"/>
          <w:lang w:val="en-US"/>
        </w:rPr>
        <w:footnoteReference w:id="12"/>
      </w:r>
      <w:r w:rsidRPr="000F00CD">
        <w:rPr>
          <w:rFonts w:asciiTheme="majorHAnsi" w:hAnsiTheme="majorHAnsi"/>
          <w:szCs w:val="24"/>
          <w:vertAlign w:val="superscript"/>
          <w:lang w:val="en-US"/>
        </w:rPr>
        <w:t xml:space="preserve">  </w:t>
      </w:r>
      <w:r w:rsidRPr="000F00CD">
        <w:rPr>
          <w:rFonts w:asciiTheme="majorHAnsi" w:hAnsiTheme="majorHAnsi"/>
          <w:szCs w:val="24"/>
          <w:lang w:val="en-US"/>
        </w:rPr>
        <w:t>The Court of Auditors has highlighted instances of fraud on several occasions to the European Parliament,</w:t>
      </w:r>
      <w:r w:rsidRPr="000F00CD">
        <w:rPr>
          <w:rFonts w:asciiTheme="majorHAnsi" w:eastAsia="SimSun" w:hAnsiTheme="majorHAnsi"/>
          <w:szCs w:val="24"/>
          <w:vertAlign w:val="superscript"/>
          <w:lang w:val="en-US"/>
        </w:rPr>
        <w:footnoteReference w:id="13"/>
      </w:r>
      <w:r w:rsidRPr="000F00CD">
        <w:rPr>
          <w:rFonts w:asciiTheme="majorHAnsi" w:hAnsiTheme="majorHAnsi"/>
          <w:szCs w:val="24"/>
          <w:vertAlign w:val="superscript"/>
          <w:lang w:val="en-US"/>
        </w:rPr>
        <w:t xml:space="preserve"> </w:t>
      </w:r>
      <w:r w:rsidRPr="000F00CD">
        <w:rPr>
          <w:rFonts w:asciiTheme="majorHAnsi" w:hAnsiTheme="majorHAnsi"/>
          <w:szCs w:val="24"/>
          <w:lang w:val="en-US"/>
        </w:rPr>
        <w:t xml:space="preserve">however, their </w:t>
      </w:r>
      <w:r w:rsidRPr="000F00CD">
        <w:rPr>
          <w:rFonts w:asciiTheme="majorHAnsi" w:hAnsiTheme="majorHAnsi"/>
          <w:szCs w:val="24"/>
          <w:lang w:val="en-US"/>
        </w:rPr>
        <w:lastRenderedPageBreak/>
        <w:t>efforts have been hampered because they are not entitled or allowed to undertake any anti-fraud investigations.</w:t>
      </w:r>
      <w:r w:rsidRPr="000F00CD">
        <w:rPr>
          <w:rFonts w:asciiTheme="majorHAnsi" w:eastAsia="SimSun" w:hAnsiTheme="majorHAnsi"/>
          <w:szCs w:val="24"/>
          <w:vertAlign w:val="superscript"/>
          <w:lang w:val="en-US"/>
        </w:rPr>
        <w:footnoteReference w:id="14"/>
      </w:r>
      <w:r w:rsidRPr="000F00CD">
        <w:rPr>
          <w:rFonts w:asciiTheme="majorHAnsi" w:hAnsiTheme="majorHAnsi"/>
          <w:szCs w:val="24"/>
          <w:lang w:val="en-US"/>
        </w:rPr>
        <w:t xml:space="preserve">  The European Parliaments Committee of Budgetary Control who recommended that a ‘flying squad’ should be created to investigate allegations of fraud raised this problem.</w:t>
      </w:r>
      <w:r w:rsidRPr="000F00CD">
        <w:rPr>
          <w:rFonts w:asciiTheme="majorHAnsi" w:eastAsia="SimSun" w:hAnsiTheme="majorHAnsi"/>
          <w:szCs w:val="24"/>
          <w:vertAlign w:val="superscript"/>
          <w:lang w:val="en-US"/>
        </w:rPr>
        <w:footnoteReference w:id="15"/>
      </w:r>
      <w:r w:rsidRPr="000F00CD">
        <w:rPr>
          <w:rFonts w:asciiTheme="majorHAnsi" w:hAnsiTheme="majorHAnsi"/>
          <w:szCs w:val="24"/>
          <w:lang w:val="en-US"/>
        </w:rPr>
        <w:t xml:space="preserve">  As a result, ‘Unite Co-ordination de la lute anti-fraude’, (UCLAF) was established in 1987 and became operational in 1988, with the objective of dealing with fraud against the EU.</w:t>
      </w:r>
      <w:r w:rsidRPr="000F00CD">
        <w:rPr>
          <w:rFonts w:asciiTheme="majorHAnsi" w:eastAsia="SimSun" w:hAnsiTheme="majorHAnsi"/>
          <w:szCs w:val="24"/>
          <w:vertAlign w:val="superscript"/>
          <w:lang w:val="en-US"/>
        </w:rPr>
        <w:footnoteReference w:id="16"/>
      </w:r>
      <w:r w:rsidRPr="000F00CD">
        <w:rPr>
          <w:rFonts w:asciiTheme="majorHAnsi" w:hAnsiTheme="majorHAnsi"/>
          <w:szCs w:val="24"/>
          <w:vertAlign w:val="superscript"/>
          <w:lang w:val="en-US"/>
        </w:rPr>
        <w:t xml:space="preserve"> </w:t>
      </w:r>
      <w:r w:rsidRPr="000F00CD">
        <w:rPr>
          <w:rFonts w:asciiTheme="majorHAnsi" w:hAnsiTheme="majorHAnsi"/>
          <w:szCs w:val="24"/>
          <w:lang w:val="en-US"/>
        </w:rPr>
        <w:t>UCLAF was created as a result of an increase in financial irregularities within the EU and the resulting criticism.</w:t>
      </w:r>
      <w:r w:rsidRPr="000F00CD">
        <w:rPr>
          <w:rFonts w:asciiTheme="majorHAnsi" w:eastAsia="SimSun" w:hAnsiTheme="majorHAnsi"/>
          <w:szCs w:val="24"/>
          <w:vertAlign w:val="superscript"/>
          <w:lang w:val="en-US"/>
        </w:rPr>
        <w:footnoteReference w:id="17"/>
      </w:r>
      <w:r w:rsidRPr="000F00CD">
        <w:rPr>
          <w:rFonts w:asciiTheme="majorHAnsi" w:hAnsiTheme="majorHAnsi"/>
          <w:szCs w:val="24"/>
          <w:vertAlign w:val="superscript"/>
          <w:lang w:val="en-US"/>
        </w:rPr>
        <w:t xml:space="preserve"> </w:t>
      </w:r>
      <w:r w:rsidRPr="000F00CD">
        <w:rPr>
          <w:rFonts w:asciiTheme="majorHAnsi" w:hAnsiTheme="majorHAnsi"/>
          <w:szCs w:val="24"/>
          <w:lang w:val="en-US"/>
        </w:rPr>
        <w:t xml:space="preserve"> Its effectiveness was limited due to its small number of “desk bound” staff </w:t>
      </w:r>
      <w:r w:rsidRPr="000F00CD">
        <w:rPr>
          <w:rFonts w:asciiTheme="majorHAnsi" w:eastAsia="SimSun" w:hAnsiTheme="majorHAnsi"/>
          <w:szCs w:val="24"/>
          <w:vertAlign w:val="superscript"/>
          <w:lang w:val="en-US"/>
        </w:rPr>
        <w:footnoteReference w:id="18"/>
      </w:r>
      <w:r w:rsidRPr="000F00CD">
        <w:rPr>
          <w:rFonts w:asciiTheme="majorHAnsi" w:hAnsiTheme="majorHAnsi"/>
          <w:szCs w:val="24"/>
          <w:vertAlign w:val="superscript"/>
          <w:lang w:val="en-US"/>
        </w:rPr>
        <w:t xml:space="preserve"> </w:t>
      </w:r>
      <w:r w:rsidRPr="000F00CD">
        <w:rPr>
          <w:rFonts w:asciiTheme="majorHAnsi" w:hAnsiTheme="majorHAnsi"/>
          <w:szCs w:val="24"/>
          <w:lang w:val="en-US"/>
        </w:rPr>
        <w:t>and its disorganised structure.</w:t>
      </w:r>
      <w:r w:rsidRPr="000F00CD">
        <w:rPr>
          <w:rFonts w:asciiTheme="majorHAnsi" w:eastAsia="SimSun" w:hAnsiTheme="majorHAnsi"/>
          <w:szCs w:val="24"/>
          <w:vertAlign w:val="superscript"/>
          <w:lang w:val="en-US"/>
        </w:rPr>
        <w:footnoteReference w:id="19"/>
      </w:r>
      <w:r w:rsidRPr="000F00CD">
        <w:rPr>
          <w:rFonts w:asciiTheme="majorHAnsi" w:hAnsiTheme="majorHAnsi"/>
          <w:szCs w:val="24"/>
          <w:vertAlign w:val="superscript"/>
          <w:lang w:val="en-US"/>
        </w:rPr>
        <w:t xml:space="preserve"> </w:t>
      </w:r>
      <w:r w:rsidRPr="000F00CD">
        <w:rPr>
          <w:rFonts w:asciiTheme="majorHAnsi" w:hAnsiTheme="majorHAnsi"/>
          <w:szCs w:val="24"/>
          <w:lang w:val="en-US"/>
        </w:rPr>
        <w:t>Both of which inhibited its ability to effectively investigate fraud.</w:t>
      </w:r>
      <w:r w:rsidRPr="000F00CD">
        <w:rPr>
          <w:rFonts w:asciiTheme="majorHAnsi" w:eastAsia="SimSun" w:hAnsiTheme="majorHAnsi"/>
          <w:szCs w:val="24"/>
          <w:vertAlign w:val="superscript"/>
          <w:lang w:val="en-US"/>
        </w:rPr>
        <w:footnoteReference w:id="20"/>
      </w:r>
      <w:r w:rsidRPr="000F00CD">
        <w:rPr>
          <w:rFonts w:asciiTheme="majorHAnsi" w:hAnsiTheme="majorHAnsi"/>
          <w:szCs w:val="24"/>
          <w:lang w:val="en-US"/>
        </w:rPr>
        <w:t xml:space="preserve">  UCLAF’s position became precarious following the reported loss of £600m of humanitarian aid to fraudulent </w:t>
      </w:r>
      <w:r w:rsidRPr="000F00CD">
        <w:rPr>
          <w:rFonts w:asciiTheme="majorHAnsi" w:hAnsiTheme="majorHAnsi"/>
          <w:szCs w:val="24"/>
          <w:lang w:val="en-US"/>
        </w:rPr>
        <w:lastRenderedPageBreak/>
        <w:t>activities.</w:t>
      </w:r>
      <w:r w:rsidRPr="000F00CD">
        <w:rPr>
          <w:rFonts w:asciiTheme="majorHAnsi" w:eastAsia="SimSun" w:hAnsiTheme="majorHAnsi"/>
          <w:szCs w:val="24"/>
          <w:vertAlign w:val="superscript"/>
          <w:lang w:val="en-US"/>
        </w:rPr>
        <w:footnoteReference w:id="21"/>
      </w:r>
      <w:r w:rsidRPr="000F00CD">
        <w:rPr>
          <w:rFonts w:asciiTheme="majorHAnsi" w:hAnsiTheme="majorHAnsi"/>
          <w:szCs w:val="24"/>
          <w:vertAlign w:val="superscript"/>
          <w:lang w:val="en-US"/>
        </w:rPr>
        <w:t xml:space="preserve"> </w:t>
      </w:r>
      <w:r w:rsidRPr="000F00CD">
        <w:rPr>
          <w:rFonts w:asciiTheme="majorHAnsi" w:hAnsiTheme="majorHAnsi"/>
          <w:szCs w:val="24"/>
          <w:lang w:val="en-US"/>
        </w:rPr>
        <w:t xml:space="preserve">The Court of Auditors recommended the establishment of an autonomous anti-fraud agency and </w:t>
      </w:r>
      <w:r w:rsidRPr="000F00CD">
        <w:rPr>
          <w:rFonts w:asciiTheme="majorHAnsi" w:eastAsia="SimSun" w:hAnsiTheme="majorHAnsi"/>
          <w:szCs w:val="24"/>
          <w:vertAlign w:val="superscript"/>
          <w:lang w:val="en-US"/>
        </w:rPr>
        <w:footnoteReference w:id="22"/>
      </w:r>
      <w:r w:rsidRPr="000F00CD">
        <w:rPr>
          <w:rFonts w:asciiTheme="majorHAnsi" w:hAnsiTheme="majorHAnsi"/>
          <w:szCs w:val="24"/>
          <w:vertAlign w:val="superscript"/>
          <w:lang w:val="en-US"/>
        </w:rPr>
        <w:t xml:space="preserve"> </w:t>
      </w:r>
      <w:r w:rsidRPr="000F00CD">
        <w:rPr>
          <w:rFonts w:asciiTheme="majorHAnsi" w:hAnsiTheme="majorHAnsi"/>
          <w:szCs w:val="24"/>
          <w:lang w:val="en-US"/>
        </w:rPr>
        <w:t>OLAF, was born in 1999.</w:t>
      </w:r>
      <w:r w:rsidR="00EA6C3E" w:rsidRPr="000F00CD">
        <w:rPr>
          <w:rStyle w:val="FootnoteReference"/>
          <w:rFonts w:asciiTheme="majorHAnsi" w:hAnsiTheme="majorHAnsi"/>
          <w:szCs w:val="24"/>
          <w:lang w:val="en-US"/>
        </w:rPr>
        <w:footnoteReference w:id="23"/>
      </w:r>
      <w:r w:rsidRPr="000F00CD">
        <w:rPr>
          <w:rFonts w:asciiTheme="majorHAnsi" w:hAnsiTheme="majorHAnsi"/>
          <w:szCs w:val="24"/>
          <w:lang w:val="en-US"/>
        </w:rPr>
        <w:t xml:space="preserve">  OLAF’s objective was to assist EU institutions to combat fraud and other financial indiscretions.</w:t>
      </w:r>
      <w:r w:rsidRPr="000F00CD">
        <w:rPr>
          <w:rFonts w:asciiTheme="majorHAnsi" w:eastAsia="SimSun" w:hAnsiTheme="majorHAnsi"/>
          <w:szCs w:val="24"/>
          <w:vertAlign w:val="superscript"/>
          <w:lang w:val="en-US"/>
        </w:rPr>
        <w:footnoteReference w:id="24"/>
      </w:r>
      <w:r w:rsidRPr="000F00CD">
        <w:rPr>
          <w:rFonts w:asciiTheme="majorHAnsi" w:hAnsiTheme="majorHAnsi"/>
          <w:szCs w:val="24"/>
          <w:vertAlign w:val="superscript"/>
          <w:lang w:val="en-US"/>
        </w:rPr>
        <w:t xml:space="preserve"> </w:t>
      </w:r>
      <w:r w:rsidRPr="000F00CD">
        <w:rPr>
          <w:rFonts w:asciiTheme="majorHAnsi" w:hAnsiTheme="majorHAnsi"/>
          <w:szCs w:val="24"/>
          <w:lang w:val="en-US"/>
        </w:rPr>
        <w:t xml:space="preserve"> OLAF is responsible for the “fraud-proofing of E</w:t>
      </w:r>
      <w:r w:rsidR="00855464">
        <w:rPr>
          <w:rFonts w:asciiTheme="majorHAnsi" w:hAnsiTheme="majorHAnsi"/>
          <w:szCs w:val="24"/>
          <w:lang w:val="en-US"/>
        </w:rPr>
        <w:t>U</w:t>
      </w:r>
      <w:r w:rsidRPr="000F00CD">
        <w:rPr>
          <w:rFonts w:asciiTheme="majorHAnsi" w:hAnsiTheme="majorHAnsi"/>
          <w:szCs w:val="24"/>
          <w:lang w:val="en-US"/>
        </w:rPr>
        <w:t xml:space="preserve"> legislation”,</w:t>
      </w:r>
      <w:r w:rsidRPr="000F00CD">
        <w:rPr>
          <w:rFonts w:asciiTheme="majorHAnsi" w:eastAsia="SimSun" w:hAnsiTheme="majorHAnsi"/>
          <w:szCs w:val="24"/>
          <w:vertAlign w:val="superscript"/>
          <w:lang w:val="en-US"/>
        </w:rPr>
        <w:footnoteReference w:id="25"/>
      </w:r>
      <w:r w:rsidRPr="000F00CD">
        <w:rPr>
          <w:rFonts w:asciiTheme="majorHAnsi" w:hAnsiTheme="majorHAnsi"/>
          <w:szCs w:val="24"/>
          <w:vertAlign w:val="superscript"/>
          <w:lang w:val="en-US"/>
        </w:rPr>
        <w:t xml:space="preserve"> </w:t>
      </w:r>
      <w:r w:rsidRPr="000F00CD">
        <w:rPr>
          <w:rFonts w:asciiTheme="majorHAnsi" w:hAnsiTheme="majorHAnsi"/>
          <w:szCs w:val="24"/>
          <w:lang w:val="en-US"/>
        </w:rPr>
        <w:t>and it has the ability to conduct administrative investigations,</w:t>
      </w:r>
      <w:r w:rsidRPr="000F00CD">
        <w:rPr>
          <w:rFonts w:asciiTheme="majorHAnsi" w:eastAsia="SimSun" w:hAnsiTheme="majorHAnsi"/>
          <w:szCs w:val="24"/>
          <w:vertAlign w:val="superscript"/>
          <w:lang w:val="en-US"/>
        </w:rPr>
        <w:footnoteReference w:id="26"/>
      </w:r>
      <w:r w:rsidRPr="000F00CD">
        <w:rPr>
          <w:rFonts w:asciiTheme="majorHAnsi" w:hAnsiTheme="majorHAnsi"/>
          <w:szCs w:val="24"/>
          <w:lang w:val="en-US"/>
        </w:rPr>
        <w:t xml:space="preserve"> which are defined as inspections and other appropriate measures performed by OLAF staff to determine the quality of the allegation under investigation.  There are two types of investigations – internal and external.  Internal investigations relate to the fina</w:t>
      </w:r>
      <w:r w:rsidR="009A3FFB">
        <w:rPr>
          <w:rFonts w:asciiTheme="majorHAnsi" w:hAnsiTheme="majorHAnsi"/>
          <w:szCs w:val="24"/>
          <w:lang w:val="en-US"/>
        </w:rPr>
        <w:t xml:space="preserve"> </w:t>
      </w:r>
      <w:r w:rsidRPr="000F00CD">
        <w:rPr>
          <w:rFonts w:asciiTheme="majorHAnsi" w:hAnsiTheme="majorHAnsi"/>
          <w:szCs w:val="24"/>
          <w:lang w:val="en-US"/>
        </w:rPr>
        <w:t xml:space="preserve">ncial in </w:t>
      </w:r>
      <w:r w:rsidRPr="000F00CD">
        <w:rPr>
          <w:rFonts w:asciiTheme="majorHAnsi" w:hAnsiTheme="majorHAnsi"/>
          <w:szCs w:val="24"/>
          <w:lang w:val="en-US"/>
        </w:rPr>
        <w:lastRenderedPageBreak/>
        <w:t>discrepancies of EU and alleged staff misconduct,</w:t>
      </w:r>
      <w:r w:rsidRPr="000F00CD">
        <w:rPr>
          <w:rFonts w:asciiTheme="majorHAnsi" w:eastAsia="SimSun" w:hAnsiTheme="majorHAnsi"/>
          <w:szCs w:val="24"/>
          <w:vertAlign w:val="superscript"/>
          <w:lang w:val="en-US"/>
        </w:rPr>
        <w:footnoteReference w:id="27"/>
      </w:r>
      <w:r w:rsidRPr="000F00CD">
        <w:rPr>
          <w:rFonts w:asciiTheme="majorHAnsi" w:hAnsiTheme="majorHAnsi"/>
          <w:szCs w:val="24"/>
          <w:lang w:val="en-US"/>
        </w:rPr>
        <w:t xml:space="preserve"> while external investigations relate to activities that occur outside the EU. The effectiveness of these investigations is limited due to OLAF’s inability to independently initiate them,</w:t>
      </w:r>
      <w:r w:rsidRPr="000F00CD">
        <w:rPr>
          <w:rFonts w:asciiTheme="majorHAnsi" w:eastAsia="SimSun" w:hAnsiTheme="majorHAnsi"/>
          <w:szCs w:val="24"/>
          <w:vertAlign w:val="superscript"/>
          <w:lang w:val="en-US"/>
        </w:rPr>
        <w:footnoteReference w:id="28"/>
      </w:r>
      <w:r w:rsidRPr="000F00CD">
        <w:rPr>
          <w:rFonts w:asciiTheme="majorHAnsi" w:hAnsiTheme="majorHAnsi"/>
          <w:szCs w:val="24"/>
          <w:vertAlign w:val="superscript"/>
          <w:lang w:val="en-US"/>
        </w:rPr>
        <w:t xml:space="preserve"> </w:t>
      </w:r>
      <w:r w:rsidRPr="000F00CD">
        <w:rPr>
          <w:rFonts w:asciiTheme="majorHAnsi" w:hAnsiTheme="majorHAnsi"/>
          <w:szCs w:val="24"/>
          <w:lang w:val="en-US"/>
        </w:rPr>
        <w:t xml:space="preserve">although it is permitted </w:t>
      </w:r>
      <w:r w:rsidR="00D16E89" w:rsidRPr="000F00CD">
        <w:rPr>
          <w:rFonts w:asciiTheme="majorHAnsi" w:hAnsiTheme="majorHAnsi"/>
          <w:szCs w:val="24"/>
          <w:lang w:val="en-US"/>
        </w:rPr>
        <w:t xml:space="preserve">(though seemingly not encouraged) </w:t>
      </w:r>
      <w:r w:rsidRPr="000F00CD">
        <w:rPr>
          <w:rFonts w:asciiTheme="majorHAnsi" w:hAnsiTheme="majorHAnsi"/>
          <w:szCs w:val="24"/>
          <w:lang w:val="en-US"/>
        </w:rPr>
        <w:t>to assist other Member States by sharing information and financial intelligence.</w:t>
      </w:r>
      <w:r w:rsidRPr="000F00CD">
        <w:rPr>
          <w:rFonts w:asciiTheme="majorHAnsi" w:eastAsia="SimSun" w:hAnsiTheme="majorHAnsi"/>
          <w:szCs w:val="24"/>
          <w:vertAlign w:val="superscript"/>
          <w:lang w:val="en-US"/>
        </w:rPr>
        <w:footnoteReference w:id="29"/>
      </w:r>
      <w:r w:rsidRPr="000F00CD">
        <w:rPr>
          <w:rFonts w:asciiTheme="majorHAnsi" w:hAnsiTheme="majorHAnsi"/>
          <w:szCs w:val="24"/>
          <w:vertAlign w:val="superscript"/>
          <w:lang w:val="en-US"/>
        </w:rPr>
        <w:t xml:space="preserve"> </w:t>
      </w:r>
      <w:r w:rsidRPr="000F00CD">
        <w:rPr>
          <w:rFonts w:asciiTheme="majorHAnsi" w:hAnsiTheme="majorHAnsi"/>
          <w:szCs w:val="24"/>
          <w:lang w:val="en-US"/>
        </w:rPr>
        <w:t xml:space="preserve"> </w:t>
      </w:r>
    </w:p>
    <w:p w14:paraId="00782503" w14:textId="77777777" w:rsidR="00DA1AAC" w:rsidRDefault="00DA1AAC" w:rsidP="008E43F0">
      <w:pPr>
        <w:widowControl w:val="0"/>
        <w:autoSpaceDE w:val="0"/>
        <w:autoSpaceDN w:val="0"/>
        <w:adjustRightInd w:val="0"/>
        <w:spacing w:line="360" w:lineRule="auto"/>
        <w:rPr>
          <w:rFonts w:asciiTheme="majorHAnsi" w:hAnsiTheme="majorHAnsi"/>
          <w:szCs w:val="24"/>
          <w:lang w:val="en-US"/>
        </w:rPr>
      </w:pPr>
    </w:p>
    <w:p w14:paraId="0E6D84FF" w14:textId="77777777" w:rsidR="0030100D" w:rsidRDefault="004738C5" w:rsidP="008E43F0">
      <w:pPr>
        <w:widowControl w:val="0"/>
        <w:autoSpaceDE w:val="0"/>
        <w:autoSpaceDN w:val="0"/>
        <w:adjustRightInd w:val="0"/>
        <w:spacing w:line="360" w:lineRule="auto"/>
        <w:rPr>
          <w:rFonts w:asciiTheme="majorHAnsi" w:hAnsiTheme="majorHAnsi"/>
          <w:szCs w:val="24"/>
          <w:lang w:val="en-US"/>
        </w:rPr>
      </w:pPr>
      <w:r w:rsidRPr="000F00CD">
        <w:rPr>
          <w:rFonts w:asciiTheme="majorHAnsi" w:hAnsiTheme="majorHAnsi"/>
          <w:szCs w:val="24"/>
          <w:lang w:val="en-US"/>
        </w:rPr>
        <w:t xml:space="preserve">OLAF’s performance has been limited due to the “shadow of UCLAF” </w:t>
      </w:r>
      <w:r w:rsidRPr="000F00CD">
        <w:rPr>
          <w:rFonts w:asciiTheme="majorHAnsi" w:eastAsia="SimSun" w:hAnsiTheme="majorHAnsi"/>
          <w:szCs w:val="24"/>
          <w:vertAlign w:val="superscript"/>
          <w:lang w:val="en-US"/>
        </w:rPr>
        <w:footnoteReference w:id="30"/>
      </w:r>
      <w:r w:rsidRPr="000F00CD">
        <w:rPr>
          <w:rFonts w:asciiTheme="majorHAnsi" w:hAnsiTheme="majorHAnsi"/>
          <w:szCs w:val="24"/>
          <w:lang w:val="en-US"/>
        </w:rPr>
        <w:t xml:space="preserve">  and its relationship with Eurojust, the EUs Judicial Co-operation Unit.  Eurojust was created to fight organised crime by improving the level of co-operation during investigations and prosecutions that occur in more than one Member State.</w:t>
      </w:r>
      <w:r w:rsidRPr="000F00CD">
        <w:rPr>
          <w:rFonts w:asciiTheme="majorHAnsi" w:eastAsia="SimSun" w:hAnsiTheme="majorHAnsi"/>
          <w:szCs w:val="24"/>
          <w:vertAlign w:val="superscript"/>
          <w:lang w:val="en-US"/>
        </w:rPr>
        <w:footnoteReference w:id="31"/>
      </w:r>
      <w:r w:rsidRPr="000F00CD">
        <w:rPr>
          <w:rFonts w:asciiTheme="majorHAnsi" w:hAnsiTheme="majorHAnsi"/>
          <w:szCs w:val="24"/>
          <w:vertAlign w:val="superscript"/>
          <w:lang w:val="en-US"/>
        </w:rPr>
        <w:t xml:space="preserve"> </w:t>
      </w:r>
      <w:r w:rsidRPr="000F00CD">
        <w:rPr>
          <w:rFonts w:asciiTheme="majorHAnsi" w:hAnsiTheme="majorHAnsi"/>
          <w:szCs w:val="24"/>
          <w:lang w:val="en-US"/>
        </w:rPr>
        <w:t xml:space="preserve">The relationship has been described as “rather </w:t>
      </w:r>
      <w:r w:rsidRPr="000F00CD">
        <w:rPr>
          <w:rFonts w:asciiTheme="majorHAnsi" w:hAnsiTheme="majorHAnsi"/>
          <w:szCs w:val="24"/>
          <w:lang w:val="en-US"/>
        </w:rPr>
        <w:lastRenderedPageBreak/>
        <w:t>troubling”,</w:t>
      </w:r>
      <w:r w:rsidRPr="000F00CD">
        <w:rPr>
          <w:rFonts w:asciiTheme="majorHAnsi" w:eastAsia="SimSun" w:hAnsiTheme="majorHAnsi"/>
          <w:szCs w:val="24"/>
          <w:vertAlign w:val="superscript"/>
          <w:lang w:val="en-US"/>
        </w:rPr>
        <w:footnoteReference w:id="32"/>
      </w:r>
      <w:r w:rsidRPr="000F00CD">
        <w:rPr>
          <w:rFonts w:asciiTheme="majorHAnsi" w:hAnsiTheme="majorHAnsi"/>
          <w:szCs w:val="24"/>
          <w:lang w:val="en-US"/>
        </w:rPr>
        <w:t xml:space="preserve"> a position that worsened after Eurojust asserted that it saw OLAF as a competitor rather than a colleague.</w:t>
      </w:r>
      <w:r w:rsidRPr="000F00CD">
        <w:rPr>
          <w:rFonts w:asciiTheme="majorHAnsi" w:eastAsia="SimSun" w:hAnsiTheme="majorHAnsi"/>
          <w:szCs w:val="24"/>
          <w:vertAlign w:val="superscript"/>
          <w:lang w:val="en-US"/>
        </w:rPr>
        <w:footnoteReference w:id="33"/>
      </w:r>
      <w:r w:rsidRPr="000F00CD">
        <w:rPr>
          <w:rFonts w:asciiTheme="majorHAnsi" w:hAnsiTheme="majorHAnsi"/>
          <w:szCs w:val="24"/>
          <w:vertAlign w:val="superscript"/>
          <w:lang w:val="en-US"/>
        </w:rPr>
        <w:t xml:space="preserve"> </w:t>
      </w:r>
      <w:r w:rsidRPr="000F00CD">
        <w:rPr>
          <w:rFonts w:asciiTheme="majorHAnsi" w:hAnsiTheme="majorHAnsi"/>
          <w:szCs w:val="24"/>
          <w:lang w:val="en-US"/>
        </w:rPr>
        <w:t xml:space="preserve"> Furthermore, OLAF has no enforcement powers and only makes recommendations.</w:t>
      </w:r>
      <w:r w:rsidRPr="000F00CD">
        <w:rPr>
          <w:rFonts w:asciiTheme="majorHAnsi" w:eastAsia="SimSun" w:hAnsiTheme="majorHAnsi"/>
          <w:szCs w:val="24"/>
          <w:vertAlign w:val="superscript"/>
          <w:lang w:val="en-US"/>
        </w:rPr>
        <w:footnoteReference w:id="34"/>
      </w:r>
    </w:p>
    <w:p w14:paraId="33D42632" w14:textId="77777777" w:rsidR="0030100D" w:rsidRDefault="0030100D" w:rsidP="008E43F0">
      <w:pPr>
        <w:widowControl w:val="0"/>
        <w:autoSpaceDE w:val="0"/>
        <w:autoSpaceDN w:val="0"/>
        <w:adjustRightInd w:val="0"/>
        <w:spacing w:line="360" w:lineRule="auto"/>
        <w:rPr>
          <w:rFonts w:asciiTheme="majorHAnsi" w:hAnsiTheme="majorHAnsi"/>
          <w:szCs w:val="24"/>
          <w:lang w:val="en-US"/>
        </w:rPr>
      </w:pPr>
    </w:p>
    <w:p w14:paraId="374297E6" w14:textId="7197235B" w:rsidR="004738C5" w:rsidRPr="000F00CD" w:rsidRDefault="0030100D" w:rsidP="008E43F0">
      <w:pPr>
        <w:widowControl w:val="0"/>
        <w:autoSpaceDE w:val="0"/>
        <w:autoSpaceDN w:val="0"/>
        <w:adjustRightInd w:val="0"/>
        <w:spacing w:line="360" w:lineRule="auto"/>
        <w:rPr>
          <w:rFonts w:asciiTheme="majorHAnsi" w:hAnsiTheme="majorHAnsi"/>
          <w:szCs w:val="24"/>
          <w:lang w:val="en-US"/>
        </w:rPr>
      </w:pPr>
      <w:r>
        <w:rPr>
          <w:rFonts w:asciiTheme="majorHAnsi" w:hAnsiTheme="majorHAnsi"/>
          <w:szCs w:val="24"/>
          <w:lang w:val="en-US"/>
        </w:rPr>
        <w:t xml:space="preserve">The question of enforcement of EU anti fraud policies is then largely left to the EU Court of Justice through it case law. </w:t>
      </w:r>
      <w:r w:rsidR="004738C5" w:rsidRPr="000F00CD">
        <w:rPr>
          <w:rFonts w:asciiTheme="majorHAnsi" w:hAnsiTheme="majorHAnsi"/>
          <w:szCs w:val="24"/>
          <w:vertAlign w:val="superscript"/>
          <w:lang w:val="en-US"/>
        </w:rPr>
        <w:t xml:space="preserve">   </w:t>
      </w:r>
      <w:r>
        <w:rPr>
          <w:rFonts w:asciiTheme="majorHAnsi" w:hAnsiTheme="majorHAnsi"/>
          <w:szCs w:val="24"/>
          <w:lang w:val="en-US"/>
        </w:rPr>
        <w:t>According to the well established case law starting with the</w:t>
      </w:r>
      <w:r w:rsidR="004738C5" w:rsidRPr="000F00CD">
        <w:rPr>
          <w:rFonts w:asciiTheme="majorHAnsi" w:hAnsiTheme="majorHAnsi"/>
          <w:szCs w:val="24"/>
          <w:lang w:val="en-US"/>
        </w:rPr>
        <w:t xml:space="preserve"> Greek Maize</w:t>
      </w:r>
      <w:r w:rsidRPr="000F00CD">
        <w:rPr>
          <w:rStyle w:val="FootnoteReference"/>
          <w:rFonts w:asciiTheme="majorHAnsi" w:hAnsiTheme="majorHAnsi"/>
          <w:szCs w:val="24"/>
          <w:lang w:val="en-US"/>
        </w:rPr>
        <w:footnoteReference w:id="35"/>
      </w:r>
      <w:r>
        <w:rPr>
          <w:rFonts w:asciiTheme="majorHAnsi" w:hAnsiTheme="majorHAnsi"/>
          <w:szCs w:val="24"/>
          <w:lang w:val="en-US"/>
        </w:rPr>
        <w:t xml:space="preserve"> case, Member States </w:t>
      </w:r>
      <w:r w:rsidR="004738C5" w:rsidRPr="000F00CD">
        <w:rPr>
          <w:rFonts w:asciiTheme="majorHAnsi" w:hAnsiTheme="majorHAnsi"/>
          <w:szCs w:val="24"/>
          <w:lang w:val="en-US"/>
        </w:rPr>
        <w:t xml:space="preserve">have to protect EU interest the </w:t>
      </w:r>
      <w:r>
        <w:rPr>
          <w:rFonts w:asciiTheme="majorHAnsi" w:hAnsiTheme="majorHAnsi"/>
          <w:szCs w:val="24"/>
          <w:lang w:val="en-US"/>
        </w:rPr>
        <w:t>same way as it protects national interests. Specifically,</w:t>
      </w:r>
      <w:r>
        <w:rPr>
          <w:rFonts w:asciiTheme="majorHAnsi" w:hAnsiTheme="majorHAnsi"/>
          <w:szCs w:val="24"/>
          <w:lang w:val="en-US" w:eastAsia="en-US" w:bidi="ar-SA"/>
        </w:rPr>
        <w:t xml:space="preserve"> </w:t>
      </w:r>
      <w:r w:rsidR="004738C5" w:rsidRPr="000F00CD">
        <w:rPr>
          <w:rFonts w:asciiTheme="majorHAnsi" w:hAnsiTheme="majorHAnsi"/>
          <w:szCs w:val="24"/>
          <w:lang w:val="en-US" w:eastAsia="en-US" w:bidi="ar-SA"/>
        </w:rPr>
        <w:t xml:space="preserve">this case concerned fraud against the </w:t>
      </w:r>
      <w:r w:rsidR="00855464">
        <w:rPr>
          <w:rFonts w:asciiTheme="majorHAnsi" w:hAnsiTheme="majorHAnsi"/>
          <w:szCs w:val="24"/>
          <w:lang w:val="en-US" w:eastAsia="en-US" w:bidi="ar-SA"/>
        </w:rPr>
        <w:t>EU</w:t>
      </w:r>
      <w:r w:rsidR="004738C5" w:rsidRPr="000F00CD">
        <w:rPr>
          <w:rFonts w:asciiTheme="majorHAnsi" w:hAnsiTheme="majorHAnsi"/>
          <w:szCs w:val="24"/>
          <w:lang w:val="en-US" w:eastAsia="en-US" w:bidi="ar-SA"/>
        </w:rPr>
        <w:t xml:space="preserve"> where the Court held that </w:t>
      </w:r>
      <w:r w:rsidR="006F21BC">
        <w:rPr>
          <w:rFonts w:asciiTheme="majorHAnsi" w:hAnsiTheme="majorHAnsi"/>
          <w:szCs w:val="24"/>
          <w:lang w:val="en-US" w:eastAsia="en-US" w:bidi="ar-SA"/>
        </w:rPr>
        <w:t>: “…</w:t>
      </w:r>
      <w:r w:rsidR="004738C5" w:rsidRPr="000F00CD">
        <w:rPr>
          <w:rFonts w:asciiTheme="majorHAnsi" w:hAnsiTheme="majorHAnsi"/>
          <w:szCs w:val="24"/>
          <w:lang w:val="en-US" w:eastAsia="en-US" w:bidi="ar-SA"/>
        </w:rPr>
        <w:t xml:space="preserve"> </w:t>
      </w:r>
      <w:r w:rsidR="004738C5" w:rsidRPr="006F21BC">
        <w:rPr>
          <w:rFonts w:asciiTheme="majorHAnsi" w:hAnsiTheme="majorHAnsi"/>
          <w:i/>
          <w:szCs w:val="24"/>
          <w:lang w:val="en-US" w:eastAsia="en-US" w:bidi="ar-SA"/>
        </w:rPr>
        <w:t xml:space="preserve">the Member States must ensure that infringements of </w:t>
      </w:r>
      <w:r w:rsidR="007F4902" w:rsidRPr="006F21BC">
        <w:rPr>
          <w:rFonts w:asciiTheme="majorHAnsi" w:hAnsiTheme="majorHAnsi"/>
          <w:i/>
          <w:szCs w:val="24"/>
          <w:lang w:val="en-US" w:eastAsia="en-US" w:bidi="ar-SA"/>
        </w:rPr>
        <w:t>EU</w:t>
      </w:r>
      <w:r w:rsidR="004738C5" w:rsidRPr="006F21BC">
        <w:rPr>
          <w:rFonts w:asciiTheme="majorHAnsi" w:hAnsiTheme="majorHAnsi"/>
          <w:i/>
          <w:szCs w:val="24"/>
          <w:lang w:val="en-US" w:eastAsia="en-US" w:bidi="ar-SA"/>
        </w:rPr>
        <w:t xml:space="preserve"> law are penalised under conditions, both procedural and substantive, which are analogous to those applicable to infringements of national law of a similar nature and importance and which, in</w:t>
      </w:r>
      <w:r w:rsidR="00336FFA" w:rsidRPr="006F21BC">
        <w:rPr>
          <w:rFonts w:asciiTheme="majorHAnsi" w:hAnsiTheme="majorHAnsi"/>
          <w:i/>
          <w:szCs w:val="24"/>
          <w:lang w:val="en-US" w:eastAsia="en-US" w:bidi="ar-SA"/>
        </w:rPr>
        <w:t xml:space="preserve"> </w:t>
      </w:r>
      <w:r w:rsidR="004738C5" w:rsidRPr="006F21BC">
        <w:rPr>
          <w:rFonts w:asciiTheme="majorHAnsi" w:hAnsiTheme="majorHAnsi"/>
          <w:i/>
          <w:szCs w:val="24"/>
          <w:lang w:val="en-US" w:eastAsia="en-US" w:bidi="ar-SA"/>
        </w:rPr>
        <w:t>any event, make the penalty effective, proportionate and dissuasive</w:t>
      </w:r>
      <w:r w:rsidR="004738C5" w:rsidRPr="000F00CD">
        <w:rPr>
          <w:rFonts w:asciiTheme="majorHAnsi" w:hAnsiTheme="majorHAnsi"/>
          <w:szCs w:val="24"/>
          <w:lang w:val="en-US" w:eastAsia="en-US" w:bidi="ar-SA"/>
        </w:rPr>
        <w:t>.</w:t>
      </w:r>
      <w:r w:rsidR="006F21BC">
        <w:rPr>
          <w:rFonts w:asciiTheme="majorHAnsi" w:hAnsiTheme="majorHAnsi"/>
          <w:szCs w:val="24"/>
          <w:lang w:val="en-US" w:eastAsia="en-US" w:bidi="ar-SA"/>
        </w:rPr>
        <w:t>”</w:t>
      </w:r>
      <w:r w:rsidR="00972F8E" w:rsidRPr="000F00CD">
        <w:rPr>
          <w:rFonts w:asciiTheme="majorHAnsi" w:hAnsiTheme="majorHAnsi"/>
          <w:szCs w:val="24"/>
          <w:lang w:val="en-US" w:eastAsia="en-US" w:bidi="ar-SA"/>
        </w:rPr>
        <w:t xml:space="preserve">  </w:t>
      </w:r>
    </w:p>
    <w:p w14:paraId="10CA32EA" w14:textId="77777777" w:rsidR="004738C5" w:rsidRPr="000F00CD" w:rsidRDefault="004738C5" w:rsidP="008E43F0">
      <w:pPr>
        <w:spacing w:line="360" w:lineRule="auto"/>
        <w:rPr>
          <w:rFonts w:asciiTheme="majorHAnsi" w:hAnsiTheme="majorHAnsi"/>
          <w:szCs w:val="24"/>
          <w:lang w:val="en-US"/>
        </w:rPr>
      </w:pPr>
    </w:p>
    <w:p w14:paraId="3CCA604D" w14:textId="31BBDD0D" w:rsidR="0096087A" w:rsidRPr="0096087A" w:rsidRDefault="007F4902" w:rsidP="008E43F0">
      <w:pPr>
        <w:spacing w:line="360" w:lineRule="auto"/>
        <w:rPr>
          <w:rFonts w:asciiTheme="majorHAnsi" w:hAnsiTheme="majorHAnsi"/>
          <w:szCs w:val="24"/>
          <w:lang w:val="en-US" w:eastAsia="en-US" w:bidi="ar-SA"/>
        </w:rPr>
      </w:pPr>
      <w:r w:rsidRPr="00790501">
        <w:rPr>
          <w:rFonts w:asciiTheme="majorHAnsi" w:eastAsiaTheme="minorEastAsia" w:hAnsiTheme="majorHAnsi" w:cs="Arial"/>
          <w:szCs w:val="24"/>
          <w:lang w:eastAsia="en-US" w:bidi="ar-SA"/>
        </w:rPr>
        <w:t xml:space="preserve">This long-standing case law on the equivalent protection </w:t>
      </w:r>
      <w:r w:rsidR="006F21BC" w:rsidRPr="00790501">
        <w:rPr>
          <w:rFonts w:asciiTheme="majorHAnsi" w:eastAsiaTheme="minorEastAsia" w:hAnsiTheme="majorHAnsi" w:cs="Arial"/>
          <w:szCs w:val="24"/>
          <w:lang w:eastAsia="en-US" w:bidi="ar-SA"/>
        </w:rPr>
        <w:t xml:space="preserve">and effectiveness of the system </w:t>
      </w:r>
      <w:r w:rsidRPr="00790501">
        <w:rPr>
          <w:rFonts w:asciiTheme="majorHAnsi" w:eastAsiaTheme="minorEastAsia" w:hAnsiTheme="majorHAnsi" w:cs="Arial"/>
          <w:szCs w:val="24"/>
          <w:lang w:eastAsia="en-US" w:bidi="ar-SA"/>
        </w:rPr>
        <w:t>as developed by the EU Court o</w:t>
      </w:r>
      <w:r w:rsidR="0030100D">
        <w:rPr>
          <w:rFonts w:asciiTheme="majorHAnsi" w:eastAsiaTheme="minorEastAsia" w:hAnsiTheme="majorHAnsi" w:cs="Arial"/>
          <w:szCs w:val="24"/>
          <w:lang w:eastAsia="en-US" w:bidi="ar-SA"/>
        </w:rPr>
        <w:t xml:space="preserve">f Justice has </w:t>
      </w:r>
      <w:r w:rsidR="00926179">
        <w:rPr>
          <w:rFonts w:asciiTheme="majorHAnsi" w:eastAsiaTheme="minorEastAsia" w:hAnsiTheme="majorHAnsi" w:cs="Arial"/>
          <w:szCs w:val="24"/>
          <w:lang w:eastAsia="en-US" w:bidi="ar-SA"/>
        </w:rPr>
        <w:t xml:space="preserve">been </w:t>
      </w:r>
      <w:r w:rsidR="00926179">
        <w:rPr>
          <w:rFonts w:asciiTheme="majorHAnsi" w:eastAsiaTheme="minorEastAsia" w:hAnsiTheme="majorHAnsi" w:cs="Arial"/>
          <w:szCs w:val="24"/>
          <w:lang w:eastAsia="en-US" w:bidi="ar-SA"/>
        </w:rPr>
        <w:lastRenderedPageBreak/>
        <w:t>complemented</w:t>
      </w:r>
      <w:r w:rsidRPr="00790501">
        <w:rPr>
          <w:rFonts w:asciiTheme="majorHAnsi" w:eastAsiaTheme="minorEastAsia" w:hAnsiTheme="majorHAnsi" w:cs="Arial"/>
          <w:szCs w:val="24"/>
          <w:lang w:eastAsia="en-US" w:bidi="ar-SA"/>
        </w:rPr>
        <w:t xml:space="preserve"> by a number of legislative instruments</w:t>
      </w:r>
      <w:r w:rsidR="0030100D">
        <w:rPr>
          <w:rFonts w:asciiTheme="majorHAnsi" w:eastAsiaTheme="minorEastAsia" w:hAnsiTheme="majorHAnsi" w:cs="Arial"/>
          <w:szCs w:val="24"/>
          <w:lang w:eastAsia="en-US" w:bidi="ar-SA"/>
        </w:rPr>
        <w:t xml:space="preserve"> to fight fraud against the EU budget</w:t>
      </w:r>
      <w:r w:rsidR="000922B2" w:rsidRPr="00790501">
        <w:rPr>
          <w:rFonts w:asciiTheme="majorHAnsi" w:eastAsiaTheme="minorEastAsia" w:hAnsiTheme="majorHAnsi" w:cs="Arial"/>
          <w:szCs w:val="24"/>
          <w:lang w:eastAsia="en-US" w:bidi="ar-SA"/>
        </w:rPr>
        <w:t>.</w:t>
      </w:r>
      <w:r w:rsidR="006F21BC" w:rsidRPr="00790501">
        <w:rPr>
          <w:rFonts w:asciiTheme="majorHAnsi" w:eastAsiaTheme="minorEastAsia" w:hAnsiTheme="majorHAnsi" w:cs="Arial"/>
          <w:szCs w:val="24"/>
          <w:lang w:eastAsia="en-US" w:bidi="ar-SA"/>
        </w:rPr>
        <w:t xml:space="preserve"> </w:t>
      </w:r>
      <w:r w:rsidR="0096087A" w:rsidRPr="00790501">
        <w:rPr>
          <w:rFonts w:asciiTheme="majorHAnsi" w:hAnsiTheme="majorHAnsi"/>
          <w:szCs w:val="24"/>
          <w:lang w:val="en-US" w:eastAsia="en-US" w:bidi="ar-SA"/>
        </w:rPr>
        <w:t xml:space="preserve">The first relevant </w:t>
      </w:r>
      <w:r w:rsidR="00790501" w:rsidRPr="00790501">
        <w:rPr>
          <w:rFonts w:asciiTheme="majorHAnsi" w:hAnsiTheme="majorHAnsi"/>
          <w:szCs w:val="24"/>
          <w:lang w:val="en-US" w:eastAsia="en-US" w:bidi="ar-SA"/>
        </w:rPr>
        <w:t>anti-fraud measures in this area were</w:t>
      </w:r>
      <w:r w:rsidR="0096087A" w:rsidRPr="00790501">
        <w:rPr>
          <w:rFonts w:asciiTheme="majorHAnsi" w:hAnsiTheme="majorHAnsi"/>
          <w:szCs w:val="24"/>
          <w:lang w:val="en-US" w:eastAsia="en-US" w:bidi="ar-SA"/>
        </w:rPr>
        <w:t xml:space="preserve"> adopted in </w:t>
      </w:r>
      <w:r w:rsidR="0096087A" w:rsidRPr="0096087A">
        <w:rPr>
          <w:rFonts w:asciiTheme="majorHAnsi" w:hAnsiTheme="majorHAnsi"/>
          <w:szCs w:val="24"/>
          <w:lang w:val="en-US" w:eastAsia="en-US" w:bidi="ar-SA"/>
        </w:rPr>
        <w:t xml:space="preserve">1995 with the Convention for the protection of the financial interests of the European Communities </w:t>
      </w:r>
      <w:r w:rsidR="00790501" w:rsidRPr="00790501">
        <w:rPr>
          <w:rFonts w:asciiTheme="majorHAnsi" w:hAnsiTheme="majorHAnsi"/>
          <w:szCs w:val="24"/>
          <w:lang w:val="en-US" w:eastAsia="en-US" w:bidi="ar-SA"/>
        </w:rPr>
        <w:t xml:space="preserve">(the </w:t>
      </w:r>
      <w:r w:rsidR="0096087A" w:rsidRPr="0096087A">
        <w:rPr>
          <w:rFonts w:asciiTheme="majorHAnsi" w:hAnsiTheme="majorHAnsi"/>
          <w:szCs w:val="24"/>
          <w:lang w:val="en-US" w:eastAsia="en-US" w:bidi="ar-SA"/>
        </w:rPr>
        <w:t>PIF Convention</w:t>
      </w:r>
      <w:r w:rsidR="00790501" w:rsidRPr="00790501">
        <w:rPr>
          <w:rFonts w:asciiTheme="majorHAnsi" w:hAnsiTheme="majorHAnsi"/>
          <w:szCs w:val="24"/>
          <w:lang w:val="en-US" w:eastAsia="en-US" w:bidi="ar-SA"/>
        </w:rPr>
        <w:t>).</w:t>
      </w:r>
      <w:r w:rsidR="00790501" w:rsidRPr="00790501">
        <w:rPr>
          <w:rStyle w:val="FootnoteReference"/>
          <w:rFonts w:asciiTheme="majorHAnsi" w:hAnsiTheme="majorHAnsi"/>
          <w:szCs w:val="24"/>
          <w:lang w:val="en-US" w:eastAsia="en-US" w:bidi="ar-SA"/>
        </w:rPr>
        <w:footnoteReference w:id="36"/>
      </w:r>
    </w:p>
    <w:p w14:paraId="70A51EA1" w14:textId="77777777" w:rsidR="00790501" w:rsidRDefault="00790501" w:rsidP="008E43F0">
      <w:pPr>
        <w:spacing w:line="360" w:lineRule="auto"/>
        <w:rPr>
          <w:rFonts w:asciiTheme="majorHAnsi" w:hAnsiTheme="majorHAnsi"/>
          <w:szCs w:val="24"/>
          <w:lang w:val="en-US" w:eastAsia="en-US" w:bidi="ar-SA"/>
        </w:rPr>
      </w:pPr>
    </w:p>
    <w:p w14:paraId="0994F623" w14:textId="0F1C16FD" w:rsidR="00790501" w:rsidRPr="00944283" w:rsidRDefault="0030100D" w:rsidP="008E43F0">
      <w:pPr>
        <w:spacing w:line="360" w:lineRule="auto"/>
        <w:rPr>
          <w:rFonts w:asciiTheme="majorHAnsi" w:hAnsiTheme="majorHAnsi"/>
          <w:lang w:val="en-US" w:eastAsia="en-US" w:bidi="ar-SA"/>
        </w:rPr>
      </w:pPr>
      <w:r w:rsidRPr="00944283">
        <w:rPr>
          <w:rFonts w:asciiTheme="majorHAnsi" w:hAnsiTheme="majorHAnsi"/>
          <w:szCs w:val="24"/>
          <w:lang w:val="en-US" w:eastAsia="en-US" w:bidi="ar-SA"/>
        </w:rPr>
        <w:t xml:space="preserve">On that background, </w:t>
      </w:r>
      <w:r w:rsidR="00926179" w:rsidRPr="00944283">
        <w:rPr>
          <w:rFonts w:asciiTheme="majorHAnsi" w:hAnsiTheme="majorHAnsi"/>
          <w:szCs w:val="24"/>
          <w:lang w:val="en-US" w:eastAsia="en-US" w:bidi="ar-SA"/>
        </w:rPr>
        <w:t xml:space="preserve">and a lot more </w:t>
      </w:r>
      <w:r w:rsidRPr="00944283">
        <w:rPr>
          <w:rFonts w:asciiTheme="majorHAnsi" w:hAnsiTheme="majorHAnsi"/>
          <w:szCs w:val="24"/>
          <w:lang w:val="en-US" w:eastAsia="en-US" w:bidi="ar-SA"/>
        </w:rPr>
        <w:t xml:space="preserve">recently in </w:t>
      </w:r>
      <w:r w:rsidR="00972F8E" w:rsidRPr="00944283">
        <w:rPr>
          <w:rFonts w:asciiTheme="majorHAnsi" w:eastAsiaTheme="minorEastAsia" w:hAnsiTheme="majorHAnsi" w:cs="Arial"/>
          <w:szCs w:val="24"/>
          <w:lang w:eastAsia="en-US" w:bidi="ar-SA"/>
        </w:rPr>
        <w:t xml:space="preserve">May 2015, the </w:t>
      </w:r>
      <w:r w:rsidR="0093051E" w:rsidRPr="00944283">
        <w:rPr>
          <w:rFonts w:asciiTheme="majorHAnsi" w:eastAsiaTheme="minorEastAsia" w:hAnsiTheme="majorHAnsi" w:cs="Arial"/>
          <w:szCs w:val="24"/>
          <w:lang w:eastAsia="en-US" w:bidi="ar-SA"/>
        </w:rPr>
        <w:t>European Commission adopted a</w:t>
      </w:r>
      <w:r w:rsidR="00972F8E" w:rsidRPr="00944283">
        <w:rPr>
          <w:rFonts w:asciiTheme="majorHAnsi" w:eastAsiaTheme="minorEastAsia" w:hAnsiTheme="majorHAnsi" w:cs="Arial"/>
          <w:szCs w:val="24"/>
          <w:lang w:eastAsia="en-US" w:bidi="ar-SA"/>
        </w:rPr>
        <w:t xml:space="preserve"> Proposal for a Directive on the</w:t>
      </w:r>
      <w:r w:rsidR="00972F8E" w:rsidRPr="00944283">
        <w:rPr>
          <w:rFonts w:asciiTheme="majorHAnsi" w:eastAsiaTheme="minorEastAsia" w:hAnsiTheme="majorHAnsi" w:cs="Arial"/>
          <w:sz w:val="23"/>
          <w:szCs w:val="23"/>
          <w:lang w:eastAsia="en-US" w:bidi="ar-SA"/>
        </w:rPr>
        <w:t xml:space="preserve"> fight against fraud to the Union's financial interests by means of criminal law’.</w:t>
      </w:r>
      <w:r w:rsidR="00972F8E" w:rsidRPr="00944283">
        <w:rPr>
          <w:rStyle w:val="FootnoteReference"/>
          <w:rFonts w:asciiTheme="majorHAnsi" w:eastAsiaTheme="minorEastAsia" w:hAnsiTheme="majorHAnsi" w:cs="Arial"/>
          <w:sz w:val="23"/>
          <w:szCs w:val="23"/>
          <w:lang w:eastAsia="en-US" w:bidi="ar-SA"/>
        </w:rPr>
        <w:footnoteReference w:id="37"/>
      </w:r>
      <w:r w:rsidR="00972F8E" w:rsidRPr="00944283">
        <w:rPr>
          <w:rFonts w:asciiTheme="majorHAnsi" w:eastAsiaTheme="minorEastAsia" w:hAnsiTheme="majorHAnsi" w:cs="Arial"/>
          <w:sz w:val="23"/>
          <w:szCs w:val="23"/>
          <w:lang w:eastAsia="en-US" w:bidi="ar-SA"/>
        </w:rPr>
        <w:t xml:space="preserve"> </w:t>
      </w:r>
      <w:r w:rsidR="0093051E" w:rsidRPr="00944283">
        <w:rPr>
          <w:rFonts w:asciiTheme="majorHAnsi" w:eastAsiaTheme="minorEastAsia" w:hAnsiTheme="majorHAnsi" w:cs="Arial"/>
          <w:sz w:val="23"/>
          <w:szCs w:val="23"/>
          <w:lang w:eastAsia="en-US" w:bidi="ar-SA"/>
        </w:rPr>
        <w:t>The proposal is based on Article 325 TFEU and the fight against fraud against the EU’s budget</w:t>
      </w:r>
      <w:r w:rsidR="00E54F31" w:rsidRPr="00944283">
        <w:rPr>
          <w:rFonts w:asciiTheme="majorHAnsi" w:eastAsiaTheme="minorEastAsia" w:hAnsiTheme="majorHAnsi" w:cs="Arial"/>
          <w:sz w:val="23"/>
          <w:szCs w:val="23"/>
          <w:lang w:eastAsia="en-US" w:bidi="ar-SA"/>
        </w:rPr>
        <w:t xml:space="preserve"> and at first instance this appears to be a significant development in the evolution of the EU’s counter fraud strategy. </w:t>
      </w:r>
      <w:r w:rsidR="00A658F0" w:rsidRPr="00944283">
        <w:rPr>
          <w:rFonts w:asciiTheme="majorHAnsi" w:eastAsiaTheme="minorEastAsia" w:hAnsiTheme="majorHAnsi" w:cs="Arial"/>
          <w:sz w:val="23"/>
          <w:szCs w:val="23"/>
          <w:lang w:eastAsia="en-US" w:bidi="ar-SA"/>
        </w:rPr>
        <w:t>T</w:t>
      </w:r>
      <w:r w:rsidR="00972F8E" w:rsidRPr="00944283">
        <w:rPr>
          <w:rFonts w:asciiTheme="majorHAnsi" w:eastAsiaTheme="minorEastAsia" w:hAnsiTheme="majorHAnsi" w:cs="Arial"/>
          <w:sz w:val="23"/>
          <w:szCs w:val="23"/>
          <w:lang w:eastAsia="en-US" w:bidi="ar-SA"/>
        </w:rPr>
        <w:t>he scope of the proposed Directive is limited to fr</w:t>
      </w:r>
      <w:r w:rsidR="00972F8E" w:rsidRPr="00944283">
        <w:rPr>
          <w:rFonts w:asciiTheme="majorHAnsi" w:eastAsiaTheme="minorEastAsia" w:hAnsiTheme="majorHAnsi"/>
        </w:rPr>
        <w:t xml:space="preserve">aud committed against the financial interests of the EU. </w:t>
      </w:r>
      <w:r w:rsidR="00A658F0" w:rsidRPr="00944283">
        <w:rPr>
          <w:rFonts w:asciiTheme="majorHAnsi" w:hAnsiTheme="majorHAnsi"/>
        </w:rPr>
        <w:t>The</w:t>
      </w:r>
      <w:r w:rsidR="00A658F0" w:rsidRPr="00944283">
        <w:rPr>
          <w:rFonts w:asciiTheme="majorHAnsi" w:hAnsiTheme="majorHAnsi"/>
          <w:lang w:val="en-US" w:eastAsia="en-US" w:bidi="ar-SA"/>
        </w:rPr>
        <w:t xml:space="preserve"> </w:t>
      </w:r>
      <w:r w:rsidR="00A658F0" w:rsidRPr="00944283">
        <w:rPr>
          <w:rFonts w:asciiTheme="majorHAnsi" w:hAnsiTheme="majorHAnsi"/>
        </w:rPr>
        <w:t xml:space="preserve">Commission states that the </w:t>
      </w:r>
      <w:r w:rsidR="00A658F0" w:rsidRPr="00944283">
        <w:rPr>
          <w:rFonts w:asciiTheme="majorHAnsi" w:hAnsiTheme="majorHAnsi"/>
          <w:lang w:val="en-US" w:eastAsia="en-US" w:bidi="ar-SA"/>
        </w:rPr>
        <w:t>framework is complemented by general Union criminal law measures for the fight against certain illegal activities particularly</w:t>
      </w:r>
      <w:r w:rsidR="00A658F0" w:rsidRPr="00944283">
        <w:rPr>
          <w:rFonts w:asciiTheme="majorHAnsi" w:hAnsiTheme="majorHAnsi"/>
        </w:rPr>
        <w:t xml:space="preserve"> </w:t>
      </w:r>
      <w:r w:rsidR="00A658F0" w:rsidRPr="00944283">
        <w:rPr>
          <w:rFonts w:asciiTheme="majorHAnsi" w:hAnsiTheme="majorHAnsi"/>
          <w:lang w:val="en-US" w:eastAsia="en-US" w:bidi="ar-SA"/>
        </w:rPr>
        <w:t>harmful to the licit economy, such as money laundering</w:t>
      </w:r>
      <w:r w:rsidR="00A658F0" w:rsidRPr="00944283">
        <w:rPr>
          <w:rFonts w:asciiTheme="majorHAnsi" w:hAnsiTheme="majorHAnsi"/>
        </w:rPr>
        <w:t xml:space="preserve"> and corruption </w:t>
      </w:r>
      <w:r w:rsidR="00A658F0" w:rsidRPr="00944283">
        <w:rPr>
          <w:rFonts w:asciiTheme="majorHAnsi" w:hAnsiTheme="majorHAnsi"/>
          <w:lang w:val="en-US" w:eastAsia="en-US" w:bidi="ar-SA"/>
        </w:rPr>
        <w:t>although not specific to the protection of the Union's financial interests - also contribute to their protection</w:t>
      </w:r>
      <w:r w:rsidR="00BF7C8E" w:rsidRPr="00944283">
        <w:rPr>
          <w:rFonts w:asciiTheme="majorHAnsi" w:hAnsiTheme="majorHAnsi"/>
          <w:lang w:val="en-US" w:eastAsia="en-US" w:bidi="ar-SA"/>
        </w:rPr>
        <w:t>.</w:t>
      </w:r>
      <w:r w:rsidR="00BF7C8E" w:rsidRPr="00944283">
        <w:rPr>
          <w:rStyle w:val="FootnoteReference"/>
          <w:rFonts w:asciiTheme="majorHAnsi" w:hAnsiTheme="majorHAnsi"/>
          <w:lang w:val="en-US" w:eastAsia="en-US" w:bidi="ar-SA"/>
        </w:rPr>
        <w:footnoteReference w:id="38"/>
      </w:r>
      <w:r w:rsidR="00BF7C8E" w:rsidRPr="00944283">
        <w:rPr>
          <w:rFonts w:asciiTheme="majorHAnsi" w:hAnsiTheme="majorHAnsi"/>
          <w:lang w:val="en-US" w:eastAsia="en-US" w:bidi="ar-SA"/>
        </w:rPr>
        <w:t xml:space="preserve"> </w:t>
      </w:r>
    </w:p>
    <w:p w14:paraId="2212D0C1" w14:textId="77777777" w:rsidR="00790501" w:rsidRPr="00944283" w:rsidRDefault="00790501" w:rsidP="008E43F0">
      <w:pPr>
        <w:spacing w:line="360" w:lineRule="auto"/>
        <w:rPr>
          <w:rFonts w:asciiTheme="majorHAnsi" w:hAnsiTheme="majorHAnsi"/>
          <w:lang w:val="en-US" w:eastAsia="en-US" w:bidi="ar-SA"/>
        </w:rPr>
      </w:pPr>
    </w:p>
    <w:p w14:paraId="6C5AFAA9" w14:textId="0A18BD90" w:rsidR="00A658F0" w:rsidRPr="00A658F0" w:rsidRDefault="00BF7C8E" w:rsidP="008E43F0">
      <w:pPr>
        <w:spacing w:line="360" w:lineRule="auto"/>
        <w:rPr>
          <w:rFonts w:asciiTheme="majorHAnsi" w:hAnsiTheme="majorHAnsi"/>
          <w:sz w:val="30"/>
          <w:szCs w:val="30"/>
          <w:lang w:val="en-US" w:eastAsia="en-US" w:bidi="ar-SA"/>
        </w:rPr>
      </w:pPr>
      <w:r w:rsidRPr="00944283">
        <w:rPr>
          <w:rFonts w:asciiTheme="majorHAnsi" w:hAnsiTheme="majorHAnsi"/>
          <w:lang w:val="en-US" w:eastAsia="en-US" w:bidi="ar-SA"/>
        </w:rPr>
        <w:t xml:space="preserve">It could be argued though that this division between the Union’s financial interests </w:t>
      </w:r>
      <w:r w:rsidR="00790501" w:rsidRPr="00944283">
        <w:rPr>
          <w:rFonts w:asciiTheme="majorHAnsi" w:hAnsiTheme="majorHAnsi"/>
          <w:lang w:val="en-US" w:eastAsia="en-US" w:bidi="ar-SA"/>
        </w:rPr>
        <w:t xml:space="preserve">and the Member States interest does not make much sense </w:t>
      </w:r>
      <w:r w:rsidR="00A87B5D" w:rsidRPr="00944283">
        <w:rPr>
          <w:rFonts w:asciiTheme="majorHAnsi" w:hAnsiTheme="majorHAnsi"/>
          <w:lang w:val="en-US" w:eastAsia="en-US" w:bidi="ar-SA"/>
        </w:rPr>
        <w:t xml:space="preserve">when viewed </w:t>
      </w:r>
      <w:r w:rsidR="00B60E0A" w:rsidRPr="00944283">
        <w:rPr>
          <w:rFonts w:asciiTheme="majorHAnsi" w:hAnsiTheme="majorHAnsi"/>
          <w:lang w:val="en-US" w:eastAsia="en-US" w:bidi="ar-SA"/>
        </w:rPr>
        <w:t xml:space="preserve">in the light of the EU’s market regulation powers. </w:t>
      </w:r>
      <w:r w:rsidR="00DE7153" w:rsidRPr="00944283">
        <w:rPr>
          <w:rFonts w:asciiTheme="majorHAnsi" w:hAnsiTheme="majorHAnsi"/>
          <w:lang w:val="en-US" w:eastAsia="en-US" w:bidi="ar-SA"/>
        </w:rPr>
        <w:t>Of course, Article 325 TFEU only empowers the E</w:t>
      </w:r>
      <w:r w:rsidR="0030100D" w:rsidRPr="00944283">
        <w:rPr>
          <w:rFonts w:asciiTheme="majorHAnsi" w:hAnsiTheme="majorHAnsi"/>
          <w:lang w:val="en-US" w:eastAsia="en-US" w:bidi="ar-SA"/>
        </w:rPr>
        <w:t>U to fight fraud against its own</w:t>
      </w:r>
      <w:r w:rsidR="00DE7153" w:rsidRPr="00944283">
        <w:rPr>
          <w:rFonts w:asciiTheme="majorHAnsi" w:hAnsiTheme="majorHAnsi"/>
          <w:lang w:val="en-US" w:eastAsia="en-US" w:bidi="ar-SA"/>
        </w:rPr>
        <w:t xml:space="preserve"> budget. </w:t>
      </w:r>
      <w:r w:rsidR="00B60E0A" w:rsidRPr="00944283">
        <w:rPr>
          <w:rFonts w:asciiTheme="majorHAnsi" w:hAnsiTheme="majorHAnsi"/>
          <w:lang w:val="en-US" w:eastAsia="en-US" w:bidi="ar-SA"/>
        </w:rPr>
        <w:t>As will be shown below</w:t>
      </w:r>
      <w:r w:rsidR="00DE7153" w:rsidRPr="00944283">
        <w:rPr>
          <w:rFonts w:asciiTheme="majorHAnsi" w:hAnsiTheme="majorHAnsi"/>
          <w:lang w:val="en-US" w:eastAsia="en-US" w:bidi="ar-SA"/>
        </w:rPr>
        <w:t xml:space="preserve"> though with regard to the broader picture of market regulation and the construction of an AFSJ</w:t>
      </w:r>
      <w:r w:rsidR="00B60E0A" w:rsidRPr="00944283">
        <w:rPr>
          <w:rFonts w:asciiTheme="majorHAnsi" w:hAnsiTheme="majorHAnsi"/>
          <w:lang w:val="en-US" w:eastAsia="en-US" w:bidi="ar-SA"/>
        </w:rPr>
        <w:t xml:space="preserve">, the EU has largely </w:t>
      </w:r>
      <w:r w:rsidR="00DE7153" w:rsidRPr="00944283">
        <w:rPr>
          <w:rFonts w:asciiTheme="majorHAnsi" w:hAnsiTheme="majorHAnsi"/>
          <w:lang w:val="en-US" w:eastAsia="en-US" w:bidi="ar-SA"/>
        </w:rPr>
        <w:t>transgressed the</w:t>
      </w:r>
      <w:r w:rsidR="00B60E0A" w:rsidRPr="00944283">
        <w:rPr>
          <w:rFonts w:asciiTheme="majorHAnsi" w:hAnsiTheme="majorHAnsi"/>
          <w:lang w:val="en-US" w:eastAsia="en-US" w:bidi="ar-SA"/>
        </w:rPr>
        <w:t xml:space="preserve"> division of competence with regard to EU and Member States finances and fiscal powers. </w:t>
      </w:r>
      <w:r w:rsidR="00BF3E3D" w:rsidRPr="00944283">
        <w:rPr>
          <w:rFonts w:asciiTheme="majorHAnsi" w:hAnsiTheme="majorHAnsi"/>
          <w:lang w:val="en-US" w:eastAsia="en-US" w:bidi="ar-SA"/>
        </w:rPr>
        <w:t>Therefore, it is suggested</w:t>
      </w:r>
      <w:r w:rsidR="0030100D" w:rsidRPr="00944283">
        <w:rPr>
          <w:rFonts w:asciiTheme="majorHAnsi" w:hAnsiTheme="majorHAnsi"/>
          <w:lang w:val="en-US" w:eastAsia="en-US" w:bidi="ar-SA"/>
        </w:rPr>
        <w:t xml:space="preserve"> that the limitation set in Article 325 TFEU entails a rather cosmetic </w:t>
      </w:r>
      <w:r w:rsidR="002335E3" w:rsidRPr="00944283">
        <w:rPr>
          <w:rFonts w:asciiTheme="majorHAnsi" w:hAnsiTheme="majorHAnsi"/>
          <w:lang w:val="en-US" w:eastAsia="en-US" w:bidi="ar-SA"/>
        </w:rPr>
        <w:t xml:space="preserve">rule since the overall </w:t>
      </w:r>
      <w:r w:rsidR="00ED4574" w:rsidRPr="00944283">
        <w:rPr>
          <w:rFonts w:asciiTheme="majorHAnsi" w:hAnsiTheme="majorHAnsi"/>
          <w:lang w:val="en-US" w:eastAsia="en-US" w:bidi="ar-SA"/>
        </w:rPr>
        <w:t xml:space="preserve">approach adopted by </w:t>
      </w:r>
      <w:r w:rsidR="002335E3" w:rsidRPr="00944283">
        <w:rPr>
          <w:rFonts w:asciiTheme="majorHAnsi" w:hAnsiTheme="majorHAnsi"/>
          <w:lang w:val="en-US" w:eastAsia="en-US" w:bidi="ar-SA"/>
        </w:rPr>
        <w:t>the EU seems not to be limited to fight fraud against the EU but also sets out to regulate the Member States as a result of the financial crisis.</w:t>
      </w:r>
    </w:p>
    <w:p w14:paraId="30922554" w14:textId="00BA3B7A" w:rsidR="00EA6C3E" w:rsidRPr="00944283" w:rsidRDefault="00EA6C3E" w:rsidP="008E43F0">
      <w:pPr>
        <w:autoSpaceDE w:val="0"/>
        <w:autoSpaceDN w:val="0"/>
        <w:adjustRightInd w:val="0"/>
        <w:spacing w:line="360" w:lineRule="auto"/>
        <w:rPr>
          <w:rFonts w:asciiTheme="majorHAnsi" w:hAnsiTheme="majorHAnsi"/>
          <w:szCs w:val="24"/>
          <w:lang w:val="en-US"/>
        </w:rPr>
      </w:pPr>
    </w:p>
    <w:p w14:paraId="4A70805D" w14:textId="51DDC92D" w:rsidR="004338F6" w:rsidRPr="000F00CD" w:rsidRDefault="008E43F0" w:rsidP="008E43F0">
      <w:pPr>
        <w:spacing w:line="360" w:lineRule="auto"/>
        <w:rPr>
          <w:rFonts w:asciiTheme="majorHAnsi" w:hAnsiTheme="majorHAnsi"/>
          <w:i/>
          <w:szCs w:val="24"/>
          <w:lang w:val="en-US"/>
        </w:rPr>
      </w:pPr>
      <w:r>
        <w:rPr>
          <w:rFonts w:asciiTheme="majorHAnsi" w:hAnsiTheme="majorHAnsi"/>
          <w:i/>
          <w:szCs w:val="24"/>
          <w:lang w:val="en-US"/>
        </w:rPr>
        <w:t>3.1</w:t>
      </w:r>
      <w:r w:rsidR="004338F6" w:rsidRPr="000F00CD">
        <w:rPr>
          <w:rFonts w:asciiTheme="majorHAnsi" w:hAnsiTheme="majorHAnsi"/>
          <w:i/>
          <w:szCs w:val="24"/>
          <w:lang w:val="en-US"/>
        </w:rPr>
        <w:t>. The proposed establishment of a European Public Prosecutor</w:t>
      </w:r>
    </w:p>
    <w:p w14:paraId="58F950D1" w14:textId="77777777" w:rsidR="004338F6" w:rsidRPr="000F00CD" w:rsidRDefault="004338F6" w:rsidP="008E43F0">
      <w:pPr>
        <w:spacing w:line="360" w:lineRule="auto"/>
        <w:rPr>
          <w:rFonts w:asciiTheme="majorHAnsi" w:hAnsiTheme="majorHAnsi"/>
          <w:szCs w:val="24"/>
          <w:lang w:val="en-US"/>
        </w:rPr>
      </w:pPr>
      <w:r w:rsidRPr="000F00CD">
        <w:rPr>
          <w:rFonts w:asciiTheme="majorHAnsi" w:hAnsiTheme="majorHAnsi"/>
          <w:szCs w:val="24"/>
          <w:lang w:val="en-US"/>
        </w:rPr>
        <w:t>How would the situation then develop with the adoption of the European public prosecutor (EPP)? Indeed, should a EPP be established (Article 86 TFEU), such a prosecutor would have far-reaching investigative powers in the area of financial crimes.</w:t>
      </w:r>
      <w:r w:rsidRPr="000F00CD">
        <w:rPr>
          <w:rFonts w:asciiTheme="majorHAnsi" w:hAnsiTheme="majorHAnsi"/>
          <w:szCs w:val="24"/>
          <w:vertAlign w:val="superscript"/>
          <w:lang w:val="en-US"/>
        </w:rPr>
        <w:footnoteReference w:id="39"/>
      </w:r>
      <w:r w:rsidRPr="000F00CD">
        <w:rPr>
          <w:rFonts w:asciiTheme="majorHAnsi" w:hAnsiTheme="majorHAnsi"/>
          <w:szCs w:val="24"/>
          <w:vertAlign w:val="superscript"/>
          <w:lang w:val="en-US"/>
        </w:rPr>
        <w:t xml:space="preserve"> </w:t>
      </w:r>
      <w:r w:rsidRPr="000F00CD">
        <w:rPr>
          <w:rFonts w:asciiTheme="majorHAnsi" w:hAnsiTheme="majorHAnsi"/>
          <w:szCs w:val="24"/>
          <w:lang w:val="en-US"/>
        </w:rPr>
        <w:t xml:space="preserve">The prosecutor will be responsible for investigating, prosecuting and bringing to judgment, where appropriate in liaison with Europol, the perpetrators of and accomplices in offences </w:t>
      </w:r>
      <w:r w:rsidRPr="000F00CD">
        <w:rPr>
          <w:rFonts w:asciiTheme="majorHAnsi" w:hAnsiTheme="majorHAnsi"/>
          <w:szCs w:val="24"/>
          <w:lang w:val="en-US"/>
        </w:rPr>
        <w:lastRenderedPageBreak/>
        <w:t>against the Union’s financial interests, as determined by the regulation provided for in Article 86 TFEU. The establishment of an EPP has however met some serious opposition.</w:t>
      </w:r>
      <w:r w:rsidRPr="000F00CD">
        <w:rPr>
          <w:rStyle w:val="FootnoteReference"/>
          <w:rFonts w:asciiTheme="majorHAnsi" w:hAnsiTheme="majorHAnsi"/>
          <w:szCs w:val="24"/>
          <w:lang w:val="en-US"/>
        </w:rPr>
        <w:footnoteReference w:id="40"/>
      </w:r>
      <w:r w:rsidRPr="000F00CD">
        <w:rPr>
          <w:rFonts w:asciiTheme="majorHAnsi" w:hAnsiTheme="majorHAnsi"/>
          <w:szCs w:val="24"/>
          <w:lang w:val="en-US"/>
        </w:rPr>
        <w:t xml:space="preserve"> However considering the fact that at present 11 Member States have voted against the proposal through the yellow card procedure, it appears as if the enhanced cooperation mechanism will be the only venue available. The Commission has maintained essentially intact its proposal notwithstanding only the second use of the yellow-card subsidiarity procedure since the procedure’s inclusion in the Lisbon Treaty.</w:t>
      </w:r>
      <w:r w:rsidRPr="000F00CD">
        <w:rPr>
          <w:rStyle w:val="FootnoteReference"/>
          <w:rFonts w:asciiTheme="majorHAnsi" w:hAnsiTheme="majorHAnsi"/>
          <w:szCs w:val="24"/>
          <w:lang w:val="en-US"/>
        </w:rPr>
        <w:footnoteReference w:id="41"/>
      </w:r>
      <w:r w:rsidRPr="000F00CD">
        <w:rPr>
          <w:rFonts w:asciiTheme="majorHAnsi" w:hAnsiTheme="majorHAnsi"/>
          <w:szCs w:val="24"/>
          <w:lang w:val="en-US"/>
        </w:rPr>
        <w:t xml:space="preserve"> The main argument as presented by the Commission is that Eurojust and Europol have a general mandate to facilitate the exchange of information and coordinate national criminal investigations and prosecutions, but lack the power to carry out acts of investigation or prosecution themselves. According to the Commission, action by national judicial authorities remains often slow, prosecution rates on the average low and results obtained in the different Member States over the Union as a whole unequal. Based on this track record the judicial action undertaken by Member States against fraud may currently not be considered as effective, equivalent and deterrent as required under the Treaty. There is a fundamental flaw in the creation of a European Public </w:t>
      </w:r>
      <w:r w:rsidRPr="000F00CD">
        <w:rPr>
          <w:rFonts w:asciiTheme="majorHAnsi" w:hAnsiTheme="majorHAnsi"/>
          <w:szCs w:val="24"/>
          <w:lang w:val="en-US"/>
        </w:rPr>
        <w:lastRenderedPageBreak/>
        <w:t>Prosecutor. It is difficult to separate on the one hand rules relating to investigations and prosecutions, at the EU level, and on the other hand, trials at Member State level. According to Peers, the Commission should have considered other possibilities of more limited measures to achieve the same objectives such as the harmonisation of the national prosecutions rules in this area.</w:t>
      </w:r>
      <w:bookmarkStart w:id="1" w:name="_Ref426099646"/>
      <w:r w:rsidRPr="000F00CD">
        <w:rPr>
          <w:rStyle w:val="FootnoteReference"/>
          <w:rFonts w:asciiTheme="majorHAnsi" w:hAnsiTheme="majorHAnsi"/>
          <w:szCs w:val="24"/>
          <w:lang w:val="en-US"/>
        </w:rPr>
        <w:footnoteReference w:id="42"/>
      </w:r>
      <w:bookmarkEnd w:id="1"/>
      <w:r w:rsidRPr="000F00CD">
        <w:rPr>
          <w:rFonts w:asciiTheme="majorHAnsi" w:hAnsiTheme="majorHAnsi"/>
          <w:szCs w:val="24"/>
          <w:lang w:val="en-US"/>
        </w:rPr>
        <w:t xml:space="preserve"> </w:t>
      </w:r>
    </w:p>
    <w:p w14:paraId="6F9E4461" w14:textId="77777777" w:rsidR="004338F6" w:rsidRPr="000F00CD" w:rsidRDefault="004338F6" w:rsidP="008E43F0">
      <w:pPr>
        <w:tabs>
          <w:tab w:val="left" w:pos="709"/>
        </w:tabs>
        <w:spacing w:line="360" w:lineRule="auto"/>
        <w:ind w:right="141" w:firstLine="284"/>
        <w:rPr>
          <w:rFonts w:asciiTheme="majorHAnsi" w:hAnsiTheme="majorHAnsi"/>
          <w:szCs w:val="24"/>
          <w:lang w:val="en-US"/>
        </w:rPr>
      </w:pPr>
    </w:p>
    <w:p w14:paraId="25B23101" w14:textId="77777777" w:rsidR="004338F6" w:rsidRPr="000F00CD" w:rsidRDefault="004338F6" w:rsidP="008E43F0">
      <w:pPr>
        <w:tabs>
          <w:tab w:val="left" w:pos="709"/>
        </w:tabs>
        <w:spacing w:line="360" w:lineRule="auto"/>
        <w:ind w:right="141" w:firstLine="284"/>
        <w:rPr>
          <w:rFonts w:asciiTheme="majorHAnsi" w:hAnsiTheme="majorHAnsi"/>
          <w:szCs w:val="24"/>
          <w:lang w:val="en-US"/>
        </w:rPr>
      </w:pPr>
      <w:r w:rsidRPr="000F00CD">
        <w:rPr>
          <w:rFonts w:asciiTheme="majorHAnsi" w:hAnsiTheme="majorHAnsi"/>
          <w:szCs w:val="24"/>
          <w:lang w:val="en-US"/>
        </w:rPr>
        <w:t>Indeed, Article 86(4) provides the opportunity for a future European Council to adopt a decision amending the competences of such a prosecutor to include serious crime with a cross-border dimension in the broader sense. The UK is interesting in this regard also. Should the UK stay in the EU, the UK European Union Act 2011 would require a referendum before it could agree to the UK accepting an EPP into UK law, although there are no indications the UK government wishes to opt-in to the proposed EPP.</w:t>
      </w:r>
      <w:r w:rsidRPr="000F00CD">
        <w:rPr>
          <w:rStyle w:val="FootnoteReference"/>
          <w:rFonts w:asciiTheme="majorHAnsi" w:hAnsiTheme="majorHAnsi"/>
          <w:szCs w:val="24"/>
          <w:lang w:val="en-US"/>
        </w:rPr>
        <w:footnoteReference w:id="43"/>
      </w:r>
      <w:r w:rsidRPr="000F00CD">
        <w:rPr>
          <w:rFonts w:asciiTheme="majorHAnsi" w:hAnsiTheme="majorHAnsi"/>
          <w:szCs w:val="24"/>
          <w:lang w:val="en-US"/>
        </w:rPr>
        <w:t xml:space="preserve"> </w:t>
      </w:r>
    </w:p>
    <w:p w14:paraId="400EBF44" w14:textId="77777777" w:rsidR="004338F6" w:rsidRPr="000F00CD" w:rsidRDefault="004338F6" w:rsidP="008E43F0">
      <w:pPr>
        <w:tabs>
          <w:tab w:val="left" w:pos="709"/>
        </w:tabs>
        <w:spacing w:line="360" w:lineRule="auto"/>
        <w:ind w:right="141" w:firstLine="284"/>
        <w:rPr>
          <w:rFonts w:asciiTheme="majorHAnsi" w:hAnsiTheme="majorHAnsi"/>
          <w:szCs w:val="24"/>
          <w:lang w:val="en-US"/>
        </w:rPr>
      </w:pPr>
    </w:p>
    <w:p w14:paraId="10CC6D9F" w14:textId="77777777" w:rsidR="004338F6" w:rsidRPr="000F00CD" w:rsidRDefault="004338F6" w:rsidP="008E43F0">
      <w:pPr>
        <w:spacing w:line="360" w:lineRule="auto"/>
        <w:jc w:val="both"/>
        <w:rPr>
          <w:rFonts w:asciiTheme="majorHAnsi" w:hAnsiTheme="majorHAnsi"/>
          <w:szCs w:val="24"/>
          <w:lang w:val="en-US"/>
        </w:rPr>
      </w:pPr>
      <w:r w:rsidRPr="000F00CD">
        <w:rPr>
          <w:rFonts w:asciiTheme="majorHAnsi" w:hAnsiTheme="majorHAnsi"/>
          <w:szCs w:val="24"/>
          <w:lang w:val="en-US"/>
        </w:rPr>
        <w:t>However, the establishment of an EPP has encountered some serious opposition with 11 Member States voting against its adoption through the yellow card procedure, it appears as if the enhanced cooperation mechanism will be the only avenue available. The Commission’s proposal has essentially remained intact, notwithstanding the fact that the yellow-</w:t>
      </w:r>
      <w:r w:rsidRPr="000F00CD">
        <w:rPr>
          <w:rFonts w:asciiTheme="majorHAnsi" w:hAnsiTheme="majorHAnsi"/>
          <w:szCs w:val="24"/>
          <w:lang w:val="en-US"/>
        </w:rPr>
        <w:lastRenderedPageBreak/>
        <w:t>card subsidiarity procedure has been used twice since the procedure’s inclusion in the Lisbon Treaty.</w:t>
      </w:r>
      <w:r w:rsidRPr="000F00CD">
        <w:rPr>
          <w:rStyle w:val="FootnoteReference"/>
          <w:rFonts w:asciiTheme="majorHAnsi" w:hAnsiTheme="majorHAnsi"/>
          <w:szCs w:val="24"/>
          <w:lang w:val="en-US"/>
        </w:rPr>
        <w:footnoteReference w:id="44"/>
      </w:r>
      <w:r w:rsidRPr="000F00CD">
        <w:rPr>
          <w:rFonts w:asciiTheme="majorHAnsi" w:hAnsiTheme="majorHAnsi"/>
          <w:szCs w:val="24"/>
          <w:lang w:val="en-US"/>
        </w:rPr>
        <w:t xml:space="preserve"> The main argument as presented by the Commission, is that Eurojust and Europol have a general mandate to facilitate the exchange of information and coordinate national criminal investigations and prosecutions, but they lack the power to carry out acts of investigation or prosecution themselves. </w:t>
      </w:r>
    </w:p>
    <w:p w14:paraId="0D961F0B" w14:textId="77777777" w:rsidR="004338F6" w:rsidRDefault="004338F6" w:rsidP="008E43F0">
      <w:pPr>
        <w:tabs>
          <w:tab w:val="left" w:pos="709"/>
        </w:tabs>
        <w:spacing w:line="360" w:lineRule="auto"/>
        <w:ind w:right="141" w:firstLine="284"/>
        <w:jc w:val="both"/>
        <w:rPr>
          <w:rFonts w:asciiTheme="majorHAnsi" w:hAnsiTheme="majorHAnsi"/>
          <w:szCs w:val="24"/>
          <w:lang w:val="en-US"/>
        </w:rPr>
      </w:pPr>
      <w:r w:rsidRPr="000F00CD">
        <w:rPr>
          <w:rFonts w:asciiTheme="majorHAnsi" w:hAnsiTheme="majorHAnsi"/>
          <w:szCs w:val="24"/>
          <w:lang w:val="en-US"/>
        </w:rPr>
        <w:t>Whether Eurojust would simply be transformed into an EPP or would be used to assist the formation of an EPP is an open question on the basis of the phrasing in Article 86(1). As noted by Conway, it is an open question whether it would be useful to continue Eurojust as a separate prosecution branch.</w:t>
      </w:r>
      <w:r w:rsidRPr="000F00CD">
        <w:rPr>
          <w:rStyle w:val="FootnoteReference"/>
          <w:rFonts w:asciiTheme="majorHAnsi" w:hAnsiTheme="majorHAnsi"/>
          <w:szCs w:val="24"/>
          <w:lang w:val="en-US"/>
        </w:rPr>
        <w:footnoteReference w:id="45"/>
      </w:r>
      <w:r w:rsidRPr="000F00CD">
        <w:rPr>
          <w:rFonts w:asciiTheme="majorHAnsi" w:hAnsiTheme="majorHAnsi"/>
          <w:szCs w:val="24"/>
          <w:lang w:val="en-US"/>
        </w:rPr>
        <w:t xml:space="preserve"> If an EPP is adopted by only some, at least nine for the enhanced cooperation to be triggered Member States, Eurojust would automatically remain for the non-participating Member States.</w:t>
      </w:r>
      <w:r w:rsidRPr="000F00CD">
        <w:rPr>
          <w:rStyle w:val="FootnoteReference"/>
          <w:rFonts w:asciiTheme="majorHAnsi" w:hAnsiTheme="majorHAnsi"/>
          <w:szCs w:val="24"/>
          <w:lang w:val="en-US"/>
        </w:rPr>
        <w:footnoteReference w:id="46"/>
      </w:r>
      <w:r w:rsidRPr="000F00CD">
        <w:rPr>
          <w:rFonts w:asciiTheme="majorHAnsi" w:hAnsiTheme="majorHAnsi"/>
          <w:szCs w:val="24"/>
          <w:lang w:val="en-US"/>
        </w:rPr>
        <w:t xml:space="preserve"> This confirms that the result would remain messy and unclear to what extent the result would be ‘effective’ from enforcement perspective or ‘transparent’.</w:t>
      </w:r>
    </w:p>
    <w:p w14:paraId="4C5F10E3" w14:textId="77777777" w:rsidR="004338F6" w:rsidRDefault="004338F6" w:rsidP="008E43F0">
      <w:pPr>
        <w:tabs>
          <w:tab w:val="left" w:pos="709"/>
        </w:tabs>
        <w:spacing w:line="360" w:lineRule="auto"/>
        <w:ind w:right="141" w:firstLine="284"/>
        <w:jc w:val="both"/>
        <w:rPr>
          <w:rFonts w:asciiTheme="majorHAnsi" w:hAnsiTheme="majorHAnsi"/>
          <w:szCs w:val="24"/>
          <w:lang w:val="en-US"/>
        </w:rPr>
      </w:pPr>
    </w:p>
    <w:p w14:paraId="06C5C9A8" w14:textId="77777777" w:rsidR="004338F6" w:rsidRPr="00944283" w:rsidRDefault="004338F6" w:rsidP="008E43F0">
      <w:pPr>
        <w:spacing w:line="360" w:lineRule="auto"/>
        <w:rPr>
          <w:rFonts w:asciiTheme="majorHAnsi" w:hAnsiTheme="majorHAnsi"/>
          <w:szCs w:val="24"/>
          <w:lang w:val="en-US"/>
        </w:rPr>
      </w:pPr>
      <w:r w:rsidRPr="00944283">
        <w:rPr>
          <w:rFonts w:asciiTheme="majorHAnsi" w:hAnsiTheme="majorHAnsi"/>
          <w:szCs w:val="24"/>
          <w:lang w:val="en-US"/>
        </w:rPr>
        <w:t xml:space="preserve">A classic example of the EU’s market powers to regulate financial crimes </w:t>
      </w:r>
      <w:r>
        <w:rPr>
          <w:rFonts w:asciiTheme="majorHAnsi" w:hAnsiTheme="majorHAnsi"/>
          <w:szCs w:val="24"/>
          <w:lang w:val="en-US"/>
        </w:rPr>
        <w:t xml:space="preserve">is that of the anti-money laundering area. Despite the Lisbon Treaty changes </w:t>
      </w:r>
      <w:r>
        <w:rPr>
          <w:rFonts w:asciiTheme="majorHAnsi" w:hAnsiTheme="majorHAnsi"/>
          <w:szCs w:val="24"/>
          <w:lang w:val="en-US"/>
        </w:rPr>
        <w:lastRenderedPageBreak/>
        <w:t>and the increased legislative powers in criminal law as mentioned above the latest Money Laundering Directive is based on Article 114 TFEU.</w:t>
      </w:r>
    </w:p>
    <w:p w14:paraId="7617B69E" w14:textId="77777777" w:rsidR="004338F6" w:rsidRPr="000F00CD" w:rsidRDefault="004338F6" w:rsidP="008E43F0">
      <w:pPr>
        <w:tabs>
          <w:tab w:val="left" w:pos="709"/>
        </w:tabs>
        <w:spacing w:line="360" w:lineRule="auto"/>
        <w:ind w:right="141" w:firstLine="284"/>
        <w:jc w:val="both"/>
        <w:rPr>
          <w:rFonts w:asciiTheme="majorHAnsi" w:hAnsiTheme="majorHAnsi"/>
          <w:szCs w:val="24"/>
          <w:lang w:val="en-US"/>
        </w:rPr>
      </w:pPr>
    </w:p>
    <w:p w14:paraId="58FEC3B1" w14:textId="54641674" w:rsidR="004338F6" w:rsidRPr="004338F6" w:rsidRDefault="008E43F0" w:rsidP="008E43F0">
      <w:pPr>
        <w:spacing w:line="360" w:lineRule="auto"/>
        <w:rPr>
          <w:rFonts w:asciiTheme="majorHAnsi" w:hAnsiTheme="majorHAnsi"/>
          <w:b/>
          <w:szCs w:val="24"/>
          <w:lang w:val="en-US"/>
        </w:rPr>
      </w:pPr>
      <w:r>
        <w:rPr>
          <w:rFonts w:asciiTheme="majorHAnsi" w:hAnsiTheme="majorHAnsi"/>
          <w:b/>
          <w:szCs w:val="24"/>
          <w:lang w:val="en-US"/>
        </w:rPr>
        <w:t>4</w:t>
      </w:r>
      <w:r w:rsidR="00921DF8" w:rsidRPr="000F00CD">
        <w:rPr>
          <w:rFonts w:asciiTheme="majorHAnsi" w:hAnsiTheme="majorHAnsi"/>
          <w:b/>
          <w:szCs w:val="24"/>
          <w:lang w:val="en-US"/>
        </w:rPr>
        <w:t>.</w:t>
      </w:r>
      <w:r w:rsidR="004738C5" w:rsidRPr="000F00CD">
        <w:rPr>
          <w:rFonts w:asciiTheme="majorHAnsi" w:hAnsiTheme="majorHAnsi"/>
          <w:b/>
          <w:szCs w:val="24"/>
          <w:lang w:val="en-US"/>
        </w:rPr>
        <w:t xml:space="preserve"> EU Anti-Money Laundering Action: The Fourth Directive</w:t>
      </w:r>
    </w:p>
    <w:p w14:paraId="7AC148D5" w14:textId="77777777" w:rsidR="00944283" w:rsidRDefault="00944283" w:rsidP="008E43F0">
      <w:pPr>
        <w:tabs>
          <w:tab w:val="left" w:pos="8640"/>
        </w:tabs>
        <w:spacing w:line="360" w:lineRule="auto"/>
        <w:ind w:right="203"/>
        <w:jc w:val="both"/>
        <w:rPr>
          <w:rFonts w:asciiTheme="majorHAnsi" w:hAnsiTheme="majorHAnsi"/>
        </w:rPr>
      </w:pPr>
      <w:r w:rsidRPr="006C2305">
        <w:rPr>
          <w:rFonts w:asciiTheme="majorHAnsi" w:hAnsiTheme="majorHAnsi"/>
        </w:rPr>
        <w:t>The fight against dirty money has always been a high priority in the EU. Money laundering is by definition based on another crime termed a predicate offence, which gives rise to the laundering in question. In this respect, it should, however, be observed that there is an on-going debate in legal doctrine about the need to have a general definition of predicate offences in order to meet the legality requirement of strict construction in criminal law. It has been suggested that a problem with the 1991 and 2001 Money Laundering Directives was that they did not provide a definite lis</w:t>
      </w:r>
      <w:r w:rsidRPr="00FD3813">
        <w:rPr>
          <w:rFonts w:asciiTheme="majorHAnsi" w:hAnsiTheme="majorHAnsi"/>
        </w:rPr>
        <w:t>t of predicate offences or the definition of a serious crime as the threshold for criminal activity. It</w:t>
      </w:r>
      <w:r w:rsidRPr="006C2305">
        <w:rPr>
          <w:rFonts w:asciiTheme="majorHAnsi" w:hAnsiTheme="majorHAnsi"/>
        </w:rPr>
        <w:t xml:space="preserve">was later superseded by another Directive in 2005 which introduced the risk </w:t>
      </w:r>
      <w:r>
        <w:rPr>
          <w:rFonts w:asciiTheme="majorHAnsi" w:hAnsiTheme="majorHAnsi"/>
        </w:rPr>
        <w:t xml:space="preserve"> </w:t>
      </w:r>
      <w:r w:rsidRPr="006C2305">
        <w:rPr>
          <w:rFonts w:asciiTheme="majorHAnsi" w:hAnsiTheme="majorHAnsi"/>
        </w:rPr>
        <w:t>based approach and also the fight against the financing of terrorism.</w:t>
      </w:r>
      <w:r w:rsidRPr="006C2305">
        <w:rPr>
          <w:rStyle w:val="FootnoteReference"/>
          <w:rFonts w:asciiTheme="majorHAnsi" w:hAnsiTheme="majorHAnsi"/>
        </w:rPr>
        <w:footnoteReference w:id="47"/>
      </w:r>
    </w:p>
    <w:p w14:paraId="6ECD6911" w14:textId="77777777" w:rsidR="00944283" w:rsidRDefault="00944283" w:rsidP="008E43F0">
      <w:pPr>
        <w:tabs>
          <w:tab w:val="left" w:pos="8640"/>
        </w:tabs>
        <w:spacing w:line="360" w:lineRule="auto"/>
        <w:ind w:right="203"/>
        <w:jc w:val="both"/>
        <w:rPr>
          <w:rFonts w:asciiTheme="majorHAnsi" w:hAnsiTheme="majorHAnsi"/>
        </w:rPr>
      </w:pPr>
    </w:p>
    <w:p w14:paraId="3940BC8A" w14:textId="6414033F" w:rsidR="004738C5" w:rsidRPr="00944283" w:rsidRDefault="004738C5" w:rsidP="008E43F0">
      <w:pPr>
        <w:tabs>
          <w:tab w:val="left" w:pos="8640"/>
        </w:tabs>
        <w:spacing w:line="360" w:lineRule="auto"/>
        <w:ind w:right="203"/>
        <w:jc w:val="both"/>
        <w:rPr>
          <w:rFonts w:asciiTheme="majorHAnsi" w:hAnsiTheme="majorHAnsi"/>
        </w:rPr>
      </w:pPr>
      <w:r w:rsidRPr="000F00CD">
        <w:rPr>
          <w:rFonts w:asciiTheme="majorHAnsi" w:hAnsiTheme="majorHAnsi"/>
          <w:szCs w:val="24"/>
          <w:lang w:val="en-US"/>
        </w:rPr>
        <w:lastRenderedPageBreak/>
        <w:t>The European Parliament endorsed and agreed the Fourth Money Laundering Directive in May 2015.</w:t>
      </w:r>
      <w:r w:rsidR="002B5690" w:rsidRPr="000F00CD">
        <w:rPr>
          <w:rStyle w:val="FootnoteReference"/>
          <w:rFonts w:asciiTheme="majorHAnsi" w:hAnsiTheme="majorHAnsi"/>
          <w:szCs w:val="24"/>
          <w:lang w:val="en-US"/>
        </w:rPr>
        <w:footnoteReference w:id="48"/>
      </w:r>
      <w:r w:rsidRPr="000F00CD">
        <w:rPr>
          <w:rFonts w:asciiTheme="majorHAnsi" w:hAnsiTheme="majorHAnsi"/>
          <w:szCs w:val="24"/>
          <w:lang w:val="en-US"/>
        </w:rPr>
        <w:t xml:space="preserve">  Member States are expected to implement the Directive’s provisions by June 2017.  The introduction of the new Directive </w:t>
      </w:r>
      <w:r w:rsidR="00326CEF" w:rsidRPr="000F00CD">
        <w:rPr>
          <w:rFonts w:asciiTheme="majorHAnsi" w:hAnsiTheme="majorHAnsi"/>
          <w:szCs w:val="24"/>
          <w:lang w:val="en-US"/>
        </w:rPr>
        <w:t xml:space="preserve">seeks </w:t>
      </w:r>
      <w:r w:rsidRPr="000F00CD">
        <w:rPr>
          <w:rFonts w:asciiTheme="majorHAnsi" w:hAnsiTheme="majorHAnsi"/>
          <w:szCs w:val="24"/>
          <w:lang w:val="en-US"/>
        </w:rPr>
        <w:t xml:space="preserve">to improve the levels of </w:t>
      </w:r>
      <w:r w:rsidR="00CE3E05" w:rsidRPr="000F00CD">
        <w:rPr>
          <w:rFonts w:asciiTheme="majorHAnsi" w:hAnsiTheme="majorHAnsi"/>
          <w:szCs w:val="24"/>
          <w:lang w:val="en-US"/>
        </w:rPr>
        <w:t xml:space="preserve">AML </w:t>
      </w:r>
      <w:r w:rsidRPr="000F00CD">
        <w:rPr>
          <w:rFonts w:asciiTheme="majorHAnsi" w:hAnsiTheme="majorHAnsi"/>
          <w:szCs w:val="24"/>
          <w:lang w:val="en-US"/>
        </w:rPr>
        <w:t xml:space="preserve">and counter-terrorist financing regulations in the </w:t>
      </w:r>
      <w:r w:rsidR="00326CEF" w:rsidRPr="000F00CD">
        <w:rPr>
          <w:rFonts w:asciiTheme="majorHAnsi" w:hAnsiTheme="majorHAnsi"/>
          <w:szCs w:val="24"/>
          <w:lang w:val="en-US"/>
        </w:rPr>
        <w:t>EU</w:t>
      </w:r>
      <w:r w:rsidRPr="000F00CD">
        <w:rPr>
          <w:rFonts w:asciiTheme="majorHAnsi" w:hAnsiTheme="majorHAnsi"/>
          <w:szCs w:val="24"/>
          <w:lang w:val="en-US"/>
        </w:rPr>
        <w:t xml:space="preserve">.  Another factor that influenced the introduction of the </w:t>
      </w:r>
      <w:r w:rsidR="00CE3E05" w:rsidRPr="000F00CD">
        <w:rPr>
          <w:rFonts w:asciiTheme="majorHAnsi" w:hAnsiTheme="majorHAnsi"/>
          <w:szCs w:val="24"/>
          <w:lang w:val="en-US"/>
        </w:rPr>
        <w:t xml:space="preserve">publication of the </w:t>
      </w:r>
      <w:r w:rsidRPr="000F00CD">
        <w:rPr>
          <w:rFonts w:asciiTheme="majorHAnsi" w:hAnsiTheme="majorHAnsi"/>
          <w:szCs w:val="24"/>
          <w:lang w:val="en-US"/>
        </w:rPr>
        <w:t xml:space="preserve">Directive was the publication of a new set of Recommendations by the Financial Action Task Force </w:t>
      </w:r>
      <w:r w:rsidR="00CE3E05" w:rsidRPr="000F00CD">
        <w:rPr>
          <w:rFonts w:asciiTheme="majorHAnsi" w:hAnsiTheme="majorHAnsi"/>
          <w:szCs w:val="24"/>
          <w:lang w:val="en-US"/>
        </w:rPr>
        <w:t xml:space="preserve">(FATF) </w:t>
      </w:r>
      <w:r w:rsidRPr="000F00CD">
        <w:rPr>
          <w:rFonts w:asciiTheme="majorHAnsi" w:hAnsiTheme="majorHAnsi"/>
          <w:szCs w:val="24"/>
          <w:lang w:val="en-US"/>
        </w:rPr>
        <w:t>in February 2012.</w:t>
      </w:r>
      <w:r w:rsidRPr="000F00CD">
        <w:rPr>
          <w:rFonts w:asciiTheme="majorHAnsi" w:hAnsiTheme="majorHAnsi"/>
          <w:szCs w:val="24"/>
          <w:vertAlign w:val="superscript"/>
          <w:lang w:val="en-US"/>
        </w:rPr>
        <w:footnoteReference w:id="49"/>
      </w:r>
      <w:r w:rsidRPr="000F00CD">
        <w:rPr>
          <w:rFonts w:asciiTheme="majorHAnsi" w:hAnsiTheme="majorHAnsi"/>
          <w:szCs w:val="24"/>
          <w:vertAlign w:val="superscript"/>
          <w:lang w:val="en-US"/>
        </w:rPr>
        <w:t xml:space="preserve"> </w:t>
      </w:r>
      <w:r w:rsidRPr="000F00CD">
        <w:rPr>
          <w:rFonts w:asciiTheme="majorHAnsi" w:hAnsiTheme="majorHAnsi"/>
          <w:szCs w:val="24"/>
          <w:lang w:val="en-US"/>
        </w:rPr>
        <w:t xml:space="preserve"> </w:t>
      </w:r>
      <w:r w:rsidR="00CE3E05" w:rsidRPr="000F00CD">
        <w:rPr>
          <w:rFonts w:asciiTheme="majorHAnsi" w:hAnsiTheme="majorHAnsi"/>
          <w:szCs w:val="24"/>
          <w:lang w:val="en-US"/>
        </w:rPr>
        <w:t>T</w:t>
      </w:r>
      <w:r w:rsidRPr="000F00CD">
        <w:rPr>
          <w:rFonts w:asciiTheme="majorHAnsi" w:hAnsiTheme="majorHAnsi"/>
          <w:szCs w:val="24"/>
          <w:lang w:val="en-US"/>
        </w:rPr>
        <w:t>he Fourth Directive seeks to “implement the  recommendations issued by the FATF revised in February 2012, which set a global standard for combatting money laundering and terrorist financing“.</w:t>
      </w:r>
      <w:r w:rsidRPr="000F00CD">
        <w:rPr>
          <w:rFonts w:asciiTheme="majorHAnsi" w:hAnsiTheme="majorHAnsi"/>
          <w:szCs w:val="24"/>
          <w:vertAlign w:val="superscript"/>
          <w:lang w:val="en-US"/>
        </w:rPr>
        <w:footnoteReference w:id="50"/>
      </w:r>
      <w:r w:rsidRPr="000F00CD">
        <w:rPr>
          <w:rFonts w:asciiTheme="majorHAnsi" w:hAnsiTheme="majorHAnsi"/>
          <w:szCs w:val="24"/>
          <w:vertAlign w:val="superscript"/>
          <w:lang w:val="en-US"/>
        </w:rPr>
        <w:t xml:space="preserve"> </w:t>
      </w:r>
      <w:r w:rsidRPr="000F00CD">
        <w:rPr>
          <w:rFonts w:asciiTheme="majorHAnsi" w:hAnsiTheme="majorHAnsi"/>
          <w:szCs w:val="24"/>
          <w:lang w:val="en-US"/>
        </w:rPr>
        <w:t xml:space="preserve"> Kaetzler and Kordys took the view that “the European legislator</w:t>
      </w:r>
      <w:r w:rsidR="00CE3E05" w:rsidRPr="000F00CD">
        <w:rPr>
          <w:rFonts w:asciiTheme="majorHAnsi" w:hAnsiTheme="majorHAnsi"/>
          <w:szCs w:val="24"/>
          <w:lang w:val="en-US"/>
        </w:rPr>
        <w:t xml:space="preserve"> … </w:t>
      </w:r>
      <w:r w:rsidRPr="000F00CD">
        <w:rPr>
          <w:rFonts w:asciiTheme="majorHAnsi" w:hAnsiTheme="majorHAnsi"/>
          <w:szCs w:val="24"/>
          <w:lang w:val="en-US"/>
        </w:rPr>
        <w:t>exceeded some recommendations of the FATF and has included some additional European requirements. The stricter regime, extensive risk analysis and more requirements will involve more organisation and more work for obliged entities”.</w:t>
      </w:r>
      <w:r w:rsidRPr="000F00CD">
        <w:rPr>
          <w:rFonts w:asciiTheme="majorHAnsi" w:hAnsiTheme="majorHAnsi"/>
          <w:szCs w:val="24"/>
          <w:vertAlign w:val="superscript"/>
          <w:lang w:val="en-US"/>
        </w:rPr>
        <w:footnoteReference w:id="51"/>
      </w:r>
      <w:r w:rsidRPr="000F00CD">
        <w:rPr>
          <w:rFonts w:asciiTheme="majorHAnsi" w:hAnsiTheme="majorHAnsi"/>
          <w:szCs w:val="24"/>
          <w:lang w:val="en-US"/>
        </w:rPr>
        <w:t xml:space="preserve"> </w:t>
      </w:r>
    </w:p>
    <w:p w14:paraId="038DBDCC" w14:textId="77777777" w:rsidR="004738C5" w:rsidRPr="000F00CD" w:rsidRDefault="004738C5" w:rsidP="008E43F0">
      <w:pPr>
        <w:spacing w:line="360" w:lineRule="auto"/>
        <w:rPr>
          <w:rFonts w:asciiTheme="majorHAnsi" w:hAnsiTheme="majorHAnsi"/>
          <w:szCs w:val="24"/>
          <w:lang w:val="en-US"/>
        </w:rPr>
      </w:pPr>
    </w:p>
    <w:p w14:paraId="580B60BE" w14:textId="77777777" w:rsidR="004738C5" w:rsidRPr="000F00CD" w:rsidRDefault="004738C5" w:rsidP="008E43F0">
      <w:pPr>
        <w:spacing w:line="360" w:lineRule="auto"/>
        <w:rPr>
          <w:rFonts w:asciiTheme="majorHAnsi" w:hAnsiTheme="majorHAnsi"/>
          <w:szCs w:val="24"/>
          <w:lang w:val="en-US"/>
        </w:rPr>
      </w:pPr>
    </w:p>
    <w:p w14:paraId="478B2B85" w14:textId="77777777" w:rsidR="004738C5" w:rsidRPr="000F00CD" w:rsidRDefault="004738C5" w:rsidP="008E43F0">
      <w:pPr>
        <w:spacing w:line="360" w:lineRule="auto"/>
        <w:rPr>
          <w:rFonts w:asciiTheme="majorHAnsi" w:hAnsiTheme="majorHAnsi"/>
          <w:szCs w:val="24"/>
          <w:lang w:val="en-US"/>
        </w:rPr>
      </w:pPr>
      <w:r w:rsidRPr="000F00CD">
        <w:rPr>
          <w:rFonts w:asciiTheme="majorHAnsi" w:hAnsiTheme="majorHAnsi"/>
          <w:szCs w:val="24"/>
          <w:lang w:val="en-US"/>
        </w:rPr>
        <w:t>The Fourth Money Laundering Directive addresses a number of important issues that include the variation of the risk-based approach, the development of new rules that apply to electronic money, registers for ultimate beneficial ownership, no distinction between internal and external politically exposed persons, improved levels of cooperation between financial intelligence units and an improved sanctions regime.</w:t>
      </w:r>
      <w:r w:rsidRPr="000F00CD">
        <w:rPr>
          <w:rFonts w:asciiTheme="majorHAnsi" w:hAnsiTheme="majorHAnsi"/>
          <w:szCs w:val="24"/>
          <w:vertAlign w:val="superscript"/>
          <w:lang w:val="en-US"/>
        </w:rPr>
        <w:footnoteReference w:id="52"/>
      </w:r>
      <w:r w:rsidRPr="000F00CD">
        <w:rPr>
          <w:rFonts w:asciiTheme="majorHAnsi" w:hAnsiTheme="majorHAnsi"/>
          <w:szCs w:val="24"/>
          <w:vertAlign w:val="superscript"/>
          <w:lang w:val="en-US"/>
        </w:rPr>
        <w:t xml:space="preserve"> </w:t>
      </w:r>
      <w:r w:rsidRPr="000F00CD">
        <w:rPr>
          <w:rFonts w:asciiTheme="majorHAnsi" w:hAnsiTheme="majorHAnsi"/>
          <w:szCs w:val="24"/>
          <w:lang w:val="en-US"/>
        </w:rPr>
        <w:t xml:space="preserve"> Additionally, Cogman noted that “key changes relate to firms' compliance obligations rather than to the substantive money laundering offences … proposed amendments to know your client …  Controversial proposals for a public register of the beneficial owners of companies”.</w:t>
      </w:r>
      <w:r w:rsidRPr="000F00CD">
        <w:rPr>
          <w:rFonts w:asciiTheme="majorHAnsi" w:hAnsiTheme="majorHAnsi"/>
          <w:szCs w:val="24"/>
          <w:vertAlign w:val="superscript"/>
          <w:lang w:val="en-US"/>
        </w:rPr>
        <w:footnoteReference w:id="53"/>
      </w:r>
    </w:p>
    <w:p w14:paraId="411166A2" w14:textId="77777777" w:rsidR="004738C5" w:rsidRPr="000F00CD" w:rsidRDefault="004738C5" w:rsidP="008E43F0">
      <w:pPr>
        <w:spacing w:line="360" w:lineRule="auto"/>
        <w:rPr>
          <w:rFonts w:asciiTheme="majorHAnsi" w:hAnsiTheme="majorHAnsi"/>
          <w:szCs w:val="24"/>
          <w:lang w:val="en-US"/>
        </w:rPr>
      </w:pPr>
    </w:p>
    <w:p w14:paraId="539B1C1C" w14:textId="77777777" w:rsidR="00921DF8" w:rsidRPr="000F00CD" w:rsidRDefault="00921DF8" w:rsidP="008E43F0">
      <w:pPr>
        <w:widowControl w:val="0"/>
        <w:autoSpaceDE w:val="0"/>
        <w:autoSpaceDN w:val="0"/>
        <w:adjustRightInd w:val="0"/>
        <w:spacing w:line="360" w:lineRule="auto"/>
        <w:rPr>
          <w:rFonts w:asciiTheme="majorHAnsi" w:hAnsiTheme="majorHAnsi"/>
          <w:szCs w:val="24"/>
          <w:lang w:val="en-US" w:eastAsia="en-US" w:bidi="ar-SA"/>
        </w:rPr>
      </w:pPr>
      <w:r w:rsidRPr="000F00CD">
        <w:rPr>
          <w:rFonts w:asciiTheme="majorHAnsi" w:hAnsiTheme="majorHAnsi"/>
          <w:szCs w:val="24"/>
          <w:lang w:val="en-US" w:eastAsia="en-US" w:bidi="ar-SA"/>
        </w:rPr>
        <w:t>Within such a risk-based approach to money laundering, private</w:t>
      </w:r>
    </w:p>
    <w:p w14:paraId="02FD4DF7" w14:textId="69DC4606" w:rsidR="00921DF8" w:rsidRPr="000F00CD" w:rsidRDefault="00921DF8" w:rsidP="008E43F0">
      <w:pPr>
        <w:widowControl w:val="0"/>
        <w:autoSpaceDE w:val="0"/>
        <w:autoSpaceDN w:val="0"/>
        <w:adjustRightInd w:val="0"/>
        <w:spacing w:line="360" w:lineRule="auto"/>
        <w:rPr>
          <w:rFonts w:asciiTheme="majorHAnsi" w:hAnsiTheme="majorHAnsi"/>
          <w:szCs w:val="24"/>
          <w:lang w:val="en-US" w:eastAsia="en-US" w:bidi="ar-SA"/>
        </w:rPr>
      </w:pPr>
      <w:r w:rsidRPr="000F00CD">
        <w:rPr>
          <w:rFonts w:asciiTheme="majorHAnsi" w:hAnsiTheme="majorHAnsi"/>
          <w:szCs w:val="24"/>
          <w:lang w:val="en-US" w:eastAsia="en-US" w:bidi="ar-SA"/>
        </w:rPr>
        <w:t>actors, such as lawyers and banks, are expected to make risk assessments of their customers and divide them into low and high-risk.</w:t>
      </w:r>
      <w:r w:rsidRPr="000F00CD">
        <w:rPr>
          <w:rFonts w:asciiTheme="majorHAnsi" w:hAnsiTheme="majorHAnsi"/>
          <w:szCs w:val="24"/>
          <w:vertAlign w:val="superscript"/>
          <w:lang w:val="en-US" w:eastAsia="en-US" w:bidi="ar-SA"/>
        </w:rPr>
        <w:t>31</w:t>
      </w:r>
      <w:r w:rsidRPr="000F00CD">
        <w:rPr>
          <w:rFonts w:asciiTheme="majorHAnsi" w:hAnsiTheme="majorHAnsi"/>
          <w:szCs w:val="24"/>
          <w:lang w:val="en-US" w:eastAsia="en-US" w:bidi="ar-SA"/>
        </w:rPr>
        <w:t xml:space="preserve"> The rationale for actively engaging the private sector in the </w:t>
      </w:r>
      <w:r w:rsidR="00CE3E05" w:rsidRPr="000F00CD">
        <w:rPr>
          <w:rFonts w:asciiTheme="majorHAnsi" w:hAnsiTheme="majorHAnsi"/>
          <w:szCs w:val="24"/>
          <w:lang w:val="en-US" w:eastAsia="en-US" w:bidi="ar-SA"/>
        </w:rPr>
        <w:t xml:space="preserve">AML </w:t>
      </w:r>
      <w:r w:rsidRPr="000F00CD">
        <w:rPr>
          <w:rFonts w:asciiTheme="majorHAnsi" w:hAnsiTheme="majorHAnsi"/>
          <w:szCs w:val="24"/>
          <w:lang w:val="en-US" w:eastAsia="en-US" w:bidi="ar-SA"/>
        </w:rPr>
        <w:t>process is to make them collect the appropriate information.</w:t>
      </w:r>
      <w:r w:rsidRPr="000F00CD">
        <w:rPr>
          <w:rFonts w:asciiTheme="majorHAnsi" w:hAnsiTheme="majorHAnsi"/>
          <w:szCs w:val="24"/>
          <w:vertAlign w:val="superscript"/>
          <w:lang w:val="en-US" w:eastAsia="en-US" w:bidi="ar-SA"/>
        </w:rPr>
        <w:t>32</w:t>
      </w:r>
      <w:r w:rsidRPr="000F00CD">
        <w:rPr>
          <w:rFonts w:asciiTheme="majorHAnsi" w:hAnsiTheme="majorHAnsi"/>
          <w:szCs w:val="24"/>
          <w:lang w:val="en-US" w:eastAsia="en-US" w:bidi="ar-SA"/>
        </w:rPr>
        <w:t xml:space="preserve"> Therefore, this is commonly referred to as a ‘risk-based approach’ because private actors are required to pass on sensitive information based on a risk assessment of their clients. But the risk-based approach could</w:t>
      </w:r>
      <w:r w:rsidR="00326CEF" w:rsidRPr="000F00CD">
        <w:rPr>
          <w:rFonts w:asciiTheme="majorHAnsi" w:hAnsiTheme="majorHAnsi"/>
          <w:szCs w:val="24"/>
          <w:lang w:val="en-US" w:eastAsia="en-US" w:bidi="ar-SA"/>
        </w:rPr>
        <w:t xml:space="preserve"> </w:t>
      </w:r>
      <w:r w:rsidRPr="000F00CD">
        <w:rPr>
          <w:rFonts w:asciiTheme="majorHAnsi" w:hAnsiTheme="majorHAnsi"/>
          <w:szCs w:val="24"/>
          <w:lang w:val="en-US" w:eastAsia="en-US" w:bidi="ar-SA"/>
        </w:rPr>
        <w:t xml:space="preserve">also be seen in a broader governing context of </w:t>
      </w:r>
      <w:r w:rsidRPr="000F00CD">
        <w:rPr>
          <w:rFonts w:asciiTheme="majorHAnsi" w:hAnsiTheme="majorHAnsi"/>
          <w:szCs w:val="24"/>
          <w:lang w:val="en-US" w:eastAsia="en-US" w:bidi="ar-SA"/>
        </w:rPr>
        <w:lastRenderedPageBreak/>
        <w:t>risk regulation at the EU (criminal law) level. Thus, the question of the governing of risk connects to the justification of EU legislative action in the first place.</w:t>
      </w:r>
      <w:r w:rsidRPr="000F00CD">
        <w:rPr>
          <w:rStyle w:val="FootnoteReference"/>
          <w:rFonts w:asciiTheme="majorHAnsi" w:hAnsiTheme="majorHAnsi"/>
          <w:szCs w:val="24"/>
          <w:lang w:val="en-US" w:eastAsia="en-US" w:bidi="ar-SA"/>
        </w:rPr>
        <w:footnoteReference w:id="54"/>
      </w:r>
    </w:p>
    <w:p w14:paraId="4AA4BAC6" w14:textId="77777777" w:rsidR="00921DF8" w:rsidRPr="000F00CD" w:rsidRDefault="00921DF8" w:rsidP="008E43F0">
      <w:pPr>
        <w:spacing w:line="360" w:lineRule="auto"/>
        <w:rPr>
          <w:rFonts w:asciiTheme="majorHAnsi" w:hAnsiTheme="majorHAnsi"/>
          <w:szCs w:val="24"/>
          <w:lang w:val="en-US" w:eastAsia="en-US" w:bidi="ar-SA"/>
        </w:rPr>
      </w:pPr>
    </w:p>
    <w:p w14:paraId="2C9E0C31" w14:textId="74106C39" w:rsidR="004738C5" w:rsidRPr="000F00CD" w:rsidRDefault="004738C5" w:rsidP="008E43F0">
      <w:pPr>
        <w:spacing w:line="360" w:lineRule="auto"/>
        <w:rPr>
          <w:rFonts w:asciiTheme="majorHAnsi" w:hAnsiTheme="majorHAnsi"/>
          <w:szCs w:val="24"/>
          <w:lang w:val="en-US"/>
        </w:rPr>
      </w:pPr>
      <w:r w:rsidRPr="000F00CD">
        <w:rPr>
          <w:rFonts w:asciiTheme="majorHAnsi" w:hAnsiTheme="majorHAnsi"/>
          <w:szCs w:val="24"/>
          <w:lang w:val="en-US"/>
        </w:rPr>
        <w:t xml:space="preserve">It must be pointed out that although the modifications to the risk based approach are welcome, they merely add to an already existing important part of the global </w:t>
      </w:r>
      <w:r w:rsidR="00CE3E05" w:rsidRPr="000F00CD">
        <w:rPr>
          <w:rFonts w:asciiTheme="majorHAnsi" w:hAnsiTheme="majorHAnsi"/>
          <w:szCs w:val="24"/>
          <w:lang w:val="en-US"/>
        </w:rPr>
        <w:t>AML</w:t>
      </w:r>
      <w:r w:rsidRPr="000F00CD">
        <w:rPr>
          <w:rFonts w:asciiTheme="majorHAnsi" w:hAnsiTheme="majorHAnsi"/>
          <w:szCs w:val="24"/>
          <w:lang w:val="en-US"/>
        </w:rPr>
        <w:t>.  For example, the use of a risk-based policy has gained significant momentum since the FATF amended its Recommendations in 2003.</w:t>
      </w:r>
      <w:r w:rsidRPr="000F00CD">
        <w:rPr>
          <w:rFonts w:asciiTheme="majorHAnsi" w:hAnsiTheme="majorHAnsi"/>
          <w:szCs w:val="24"/>
          <w:vertAlign w:val="superscript"/>
          <w:lang w:val="en-US"/>
        </w:rPr>
        <w:footnoteReference w:id="55"/>
      </w:r>
      <w:r w:rsidRPr="000F00CD">
        <w:rPr>
          <w:rFonts w:asciiTheme="majorHAnsi" w:hAnsiTheme="majorHAnsi"/>
          <w:szCs w:val="24"/>
          <w:lang w:val="en-US"/>
        </w:rPr>
        <w:t xml:space="preserve"> The risk-based approach promotes a closer working relation between the FATF and the private sector.  In July 2007 the FATF published its guidance on a risk-based approach which stated that:</w:t>
      </w:r>
    </w:p>
    <w:p w14:paraId="198CB715" w14:textId="77777777" w:rsidR="004738C5" w:rsidRPr="000F00CD" w:rsidRDefault="004738C5" w:rsidP="008E43F0">
      <w:pPr>
        <w:spacing w:line="360" w:lineRule="auto"/>
        <w:rPr>
          <w:rFonts w:asciiTheme="majorHAnsi" w:hAnsiTheme="majorHAnsi"/>
          <w:szCs w:val="24"/>
          <w:lang w:val="en-US"/>
        </w:rPr>
      </w:pPr>
      <w:r w:rsidRPr="000F00CD">
        <w:rPr>
          <w:rFonts w:asciiTheme="majorHAnsi" w:eastAsia="Calibri" w:hAnsiTheme="majorHAnsi"/>
          <w:szCs w:val="24"/>
          <w:lang w:val="en-US"/>
        </w:rPr>
        <w:t>“By adopting a risk-based approach, competent authorities and financial institutions are able to ensure that measures to prevent or mitigate money laundering and terrorist financing are commensurate to the risks identified. This will allow resources to be allocated in the most efficient ways. The principle is that resources should be directed in accordance with priorities so that the greatest risks receive the highest attention”.</w:t>
      </w:r>
      <w:r w:rsidRPr="000F00CD">
        <w:rPr>
          <w:rFonts w:asciiTheme="majorHAnsi" w:hAnsiTheme="majorHAnsi"/>
          <w:szCs w:val="24"/>
          <w:vertAlign w:val="superscript"/>
          <w:lang w:val="en-US"/>
        </w:rPr>
        <w:footnoteReference w:id="56"/>
      </w:r>
    </w:p>
    <w:p w14:paraId="46586BA2" w14:textId="77777777" w:rsidR="004738C5" w:rsidRPr="000F00CD" w:rsidRDefault="004738C5" w:rsidP="008E43F0">
      <w:pPr>
        <w:spacing w:line="360" w:lineRule="auto"/>
        <w:rPr>
          <w:rFonts w:asciiTheme="majorHAnsi" w:hAnsiTheme="majorHAnsi"/>
          <w:szCs w:val="24"/>
          <w:lang w:val="en-US"/>
        </w:rPr>
      </w:pPr>
    </w:p>
    <w:p w14:paraId="597757CB" w14:textId="32A80A54" w:rsidR="004738C5" w:rsidRPr="000F00CD" w:rsidRDefault="004738C5" w:rsidP="008E43F0">
      <w:pPr>
        <w:spacing w:line="360" w:lineRule="auto"/>
        <w:rPr>
          <w:rFonts w:asciiTheme="majorHAnsi" w:hAnsiTheme="majorHAnsi"/>
          <w:szCs w:val="24"/>
          <w:lang w:val="en-US"/>
        </w:rPr>
      </w:pPr>
      <w:r w:rsidRPr="000F00CD">
        <w:rPr>
          <w:rFonts w:asciiTheme="majorHAnsi" w:hAnsiTheme="majorHAnsi"/>
          <w:szCs w:val="24"/>
          <w:lang w:val="en-US"/>
        </w:rPr>
        <w:lastRenderedPageBreak/>
        <w:t>Furthermore, the FATF has issues several guidance notes for the private sector that seeks to incorporate the risk-based approach.</w:t>
      </w:r>
      <w:r w:rsidRPr="000F00CD">
        <w:rPr>
          <w:rFonts w:asciiTheme="majorHAnsi" w:hAnsiTheme="majorHAnsi"/>
          <w:szCs w:val="24"/>
          <w:vertAlign w:val="superscript"/>
          <w:lang w:val="en-US"/>
        </w:rPr>
        <w:footnoteReference w:id="57"/>
      </w:r>
      <w:r w:rsidRPr="000F00CD">
        <w:rPr>
          <w:rFonts w:asciiTheme="majorHAnsi" w:hAnsiTheme="majorHAnsi"/>
          <w:szCs w:val="24"/>
          <w:vertAlign w:val="superscript"/>
          <w:lang w:val="en-US"/>
        </w:rPr>
        <w:t xml:space="preserve"> </w:t>
      </w:r>
      <w:r w:rsidRPr="000F00CD">
        <w:rPr>
          <w:rFonts w:asciiTheme="majorHAnsi" w:hAnsiTheme="majorHAnsi"/>
          <w:szCs w:val="24"/>
          <w:lang w:val="en-US"/>
        </w:rPr>
        <w:t xml:space="preserve">   The use of a risk-based approach of the FATF </w:t>
      </w:r>
      <w:r w:rsidR="00011225" w:rsidRPr="000F00CD">
        <w:rPr>
          <w:rFonts w:asciiTheme="majorHAnsi" w:hAnsiTheme="majorHAnsi"/>
          <w:szCs w:val="24"/>
          <w:lang w:val="en-US"/>
        </w:rPr>
        <w:t>is now contained in Recommendation 10</w:t>
      </w:r>
      <w:r w:rsidRPr="000F00CD">
        <w:rPr>
          <w:rFonts w:asciiTheme="majorHAnsi" w:hAnsiTheme="majorHAnsi"/>
          <w:szCs w:val="24"/>
          <w:lang w:val="en-US"/>
        </w:rPr>
        <w:t xml:space="preserve"> </w:t>
      </w:r>
      <w:r w:rsidR="00011225" w:rsidRPr="000F00CD">
        <w:rPr>
          <w:rFonts w:asciiTheme="majorHAnsi" w:hAnsiTheme="majorHAnsi"/>
          <w:szCs w:val="24"/>
          <w:lang w:val="en-US"/>
        </w:rPr>
        <w:t>(formerly Recommendation 5).</w:t>
      </w:r>
      <w:r w:rsidR="00011225" w:rsidRPr="000F00CD">
        <w:rPr>
          <w:rStyle w:val="FootnoteReference"/>
          <w:rFonts w:asciiTheme="majorHAnsi" w:hAnsiTheme="majorHAnsi"/>
          <w:szCs w:val="24"/>
          <w:lang w:val="en-US"/>
        </w:rPr>
        <w:footnoteReference w:id="58"/>
      </w:r>
    </w:p>
    <w:p w14:paraId="526FFF9B" w14:textId="77777777" w:rsidR="004738C5" w:rsidRPr="000F00CD" w:rsidRDefault="004738C5" w:rsidP="008E43F0">
      <w:pPr>
        <w:spacing w:line="360" w:lineRule="auto"/>
        <w:rPr>
          <w:rFonts w:asciiTheme="majorHAnsi" w:hAnsiTheme="majorHAnsi"/>
          <w:szCs w:val="24"/>
          <w:lang w:val="en-US"/>
        </w:rPr>
      </w:pPr>
    </w:p>
    <w:p w14:paraId="2DADB6A0" w14:textId="129FFE62" w:rsidR="004738C5" w:rsidRPr="000F00CD" w:rsidRDefault="004738C5" w:rsidP="008E43F0">
      <w:pPr>
        <w:spacing w:line="360" w:lineRule="auto"/>
        <w:rPr>
          <w:rFonts w:asciiTheme="majorHAnsi" w:eastAsia="Calibri" w:hAnsiTheme="majorHAnsi"/>
          <w:szCs w:val="24"/>
          <w:lang w:val="en-US"/>
        </w:rPr>
      </w:pPr>
      <w:r w:rsidRPr="000F00CD">
        <w:rPr>
          <w:rFonts w:asciiTheme="majorHAnsi" w:hAnsiTheme="majorHAnsi"/>
          <w:szCs w:val="24"/>
          <w:lang w:val="en-US"/>
        </w:rPr>
        <w:t>In addition to the adoption of the risk-based approach by the FATF, the EU has also embraced this “key concept”.</w:t>
      </w:r>
      <w:r w:rsidRPr="000F00CD">
        <w:rPr>
          <w:rFonts w:asciiTheme="majorHAnsi" w:hAnsiTheme="majorHAnsi"/>
          <w:szCs w:val="24"/>
          <w:vertAlign w:val="superscript"/>
          <w:lang w:val="en-US"/>
        </w:rPr>
        <w:footnoteReference w:id="59"/>
      </w:r>
      <w:r w:rsidRPr="000F00CD">
        <w:rPr>
          <w:rFonts w:asciiTheme="majorHAnsi" w:hAnsiTheme="majorHAnsi"/>
          <w:szCs w:val="24"/>
          <w:vertAlign w:val="superscript"/>
          <w:lang w:val="en-US"/>
        </w:rPr>
        <w:t xml:space="preserve"> </w:t>
      </w:r>
      <w:r w:rsidRPr="000F00CD">
        <w:rPr>
          <w:rFonts w:asciiTheme="majorHAnsi" w:hAnsiTheme="majorHAnsi"/>
          <w:szCs w:val="24"/>
          <w:lang w:val="en-US"/>
        </w:rPr>
        <w:t xml:space="preserve"> However, it is important to note that the EU was initially skeptical of adopting such an approach.</w:t>
      </w:r>
      <w:r w:rsidRPr="000F00CD">
        <w:rPr>
          <w:rFonts w:asciiTheme="majorHAnsi" w:hAnsiTheme="majorHAnsi"/>
          <w:szCs w:val="24"/>
          <w:vertAlign w:val="superscript"/>
          <w:lang w:val="en-US"/>
        </w:rPr>
        <w:footnoteReference w:id="60"/>
      </w:r>
      <w:r w:rsidRPr="000F00CD">
        <w:rPr>
          <w:rFonts w:asciiTheme="majorHAnsi" w:hAnsiTheme="majorHAnsi"/>
          <w:szCs w:val="24"/>
          <w:vertAlign w:val="superscript"/>
          <w:lang w:val="en-US"/>
        </w:rPr>
        <w:t xml:space="preserve"> </w:t>
      </w:r>
      <w:r w:rsidRPr="000F00CD">
        <w:rPr>
          <w:rFonts w:asciiTheme="majorHAnsi" w:hAnsiTheme="majorHAnsi"/>
          <w:szCs w:val="24"/>
          <w:lang w:val="en-US"/>
        </w:rPr>
        <w:t xml:space="preserve"> The Third Money Laundering Directive follows a very similar stance to that contained in Recommendation. </w:t>
      </w:r>
      <w:r w:rsidRPr="000F00CD">
        <w:rPr>
          <w:rFonts w:asciiTheme="majorHAnsi" w:hAnsiTheme="majorHAnsi"/>
          <w:szCs w:val="24"/>
          <w:vertAlign w:val="superscript"/>
          <w:lang w:val="en-US"/>
        </w:rPr>
        <w:t>5</w:t>
      </w:r>
      <w:r w:rsidR="008279E0">
        <w:rPr>
          <w:rFonts w:asciiTheme="majorHAnsi" w:hAnsiTheme="majorHAnsi"/>
          <w:szCs w:val="24"/>
          <w:lang w:val="en-US"/>
        </w:rPr>
        <w:t xml:space="preserve"> </w:t>
      </w:r>
      <w:r w:rsidRPr="000F00CD">
        <w:rPr>
          <w:rFonts w:asciiTheme="majorHAnsi" w:hAnsiTheme="majorHAnsi"/>
          <w:szCs w:val="24"/>
          <w:lang w:val="en-US"/>
        </w:rPr>
        <w:t>For example, Article 6 states “</w:t>
      </w:r>
      <w:r w:rsidRPr="000F00CD">
        <w:rPr>
          <w:rFonts w:asciiTheme="majorHAnsi" w:eastAsia="Calibri" w:hAnsiTheme="majorHAnsi"/>
          <w:szCs w:val="24"/>
          <w:lang w:val="en-US"/>
        </w:rPr>
        <w:t>but may determine the extent of such measures on a risk-sensitive basis depending on the type of customer, business relationship, product or transaction”.  The Directive also provides that customer due diligence comprises:</w:t>
      </w:r>
      <w:r w:rsidR="00921DF8" w:rsidRPr="000F00CD">
        <w:rPr>
          <w:rFonts w:asciiTheme="majorHAnsi" w:eastAsia="Calibri" w:hAnsiTheme="majorHAnsi"/>
          <w:szCs w:val="24"/>
          <w:lang w:val="en-US"/>
        </w:rPr>
        <w:t xml:space="preserve"> </w:t>
      </w:r>
      <w:r w:rsidRPr="000F00CD">
        <w:rPr>
          <w:rFonts w:asciiTheme="majorHAnsi" w:eastAsia="Calibri" w:hAnsiTheme="majorHAnsi"/>
          <w:szCs w:val="24"/>
          <w:lang w:val="en-US"/>
        </w:rPr>
        <w:t xml:space="preserve">“identifying, where applicable, the beneficial owner and taking risk-based and adequate measures to verify his identity so that the institution or person covered by this Directive is satisfied that it knows who the beneficial owner is, including, as regards legal persons, trusts and similar legal arrangements, </w:t>
      </w:r>
      <w:r w:rsidRPr="000F00CD">
        <w:rPr>
          <w:rFonts w:asciiTheme="majorHAnsi" w:eastAsia="Calibri" w:hAnsiTheme="majorHAnsi"/>
          <w:szCs w:val="24"/>
          <w:lang w:val="en-US"/>
        </w:rPr>
        <w:lastRenderedPageBreak/>
        <w:t>taking risk-based and adequate measures to understand the ownership and control structure of the customer”.</w:t>
      </w:r>
      <w:r w:rsidRPr="000F00CD">
        <w:rPr>
          <w:rFonts w:asciiTheme="majorHAnsi" w:hAnsiTheme="majorHAnsi"/>
          <w:szCs w:val="24"/>
          <w:lang w:val="en-US"/>
        </w:rPr>
        <w:t xml:space="preserve"> Therefore, the risk-based approach is “entrenched into EU law”.</w:t>
      </w:r>
      <w:r w:rsidRPr="000F00CD">
        <w:rPr>
          <w:rFonts w:asciiTheme="majorHAnsi" w:hAnsiTheme="majorHAnsi"/>
          <w:szCs w:val="24"/>
          <w:vertAlign w:val="superscript"/>
          <w:lang w:val="en-US"/>
        </w:rPr>
        <w:footnoteReference w:id="61"/>
      </w:r>
      <w:r w:rsidRPr="000F00CD">
        <w:rPr>
          <w:rFonts w:asciiTheme="majorHAnsi" w:hAnsiTheme="majorHAnsi"/>
          <w:szCs w:val="24"/>
          <w:lang w:val="en-US"/>
        </w:rPr>
        <w:t xml:space="preserve">  The risk-based approach has also been adopted by the Basel Committee</w:t>
      </w:r>
      <w:r w:rsidRPr="000F00CD">
        <w:rPr>
          <w:rFonts w:asciiTheme="majorHAnsi" w:hAnsiTheme="majorHAnsi"/>
          <w:szCs w:val="24"/>
          <w:vertAlign w:val="superscript"/>
          <w:lang w:val="en-US"/>
        </w:rPr>
        <w:t>,</w:t>
      </w:r>
      <w:r w:rsidRPr="000F00CD">
        <w:rPr>
          <w:rFonts w:asciiTheme="majorHAnsi" w:hAnsiTheme="majorHAnsi"/>
          <w:szCs w:val="24"/>
          <w:vertAlign w:val="superscript"/>
          <w:lang w:val="en-US"/>
        </w:rPr>
        <w:footnoteReference w:id="62"/>
      </w:r>
      <w:r w:rsidRPr="000F00CD">
        <w:rPr>
          <w:rFonts w:asciiTheme="majorHAnsi" w:hAnsiTheme="majorHAnsi"/>
          <w:szCs w:val="24"/>
          <w:vertAlign w:val="superscript"/>
          <w:lang w:val="en-US"/>
        </w:rPr>
        <w:t xml:space="preserve"> </w:t>
      </w:r>
      <w:r w:rsidRPr="000F00CD">
        <w:rPr>
          <w:rFonts w:asciiTheme="majorHAnsi" w:hAnsiTheme="majorHAnsi"/>
          <w:szCs w:val="24"/>
          <w:lang w:val="en-US"/>
        </w:rPr>
        <w:t>I</w:t>
      </w:r>
      <w:r w:rsidR="00011225" w:rsidRPr="000F00CD">
        <w:rPr>
          <w:rFonts w:asciiTheme="majorHAnsi" w:hAnsiTheme="majorHAnsi"/>
          <w:szCs w:val="24"/>
          <w:lang w:val="en-US"/>
        </w:rPr>
        <w:t xml:space="preserve">nternational Association of Insurance Supervisors </w:t>
      </w:r>
      <w:r w:rsidR="00011225" w:rsidRPr="000F00CD">
        <w:rPr>
          <w:rStyle w:val="FootnoteReference"/>
          <w:rFonts w:asciiTheme="majorHAnsi" w:hAnsiTheme="majorHAnsi"/>
          <w:szCs w:val="24"/>
          <w:lang w:val="en-US"/>
        </w:rPr>
        <w:footnoteReference w:id="63"/>
      </w:r>
      <w:r w:rsidRPr="000F00CD">
        <w:rPr>
          <w:rFonts w:asciiTheme="majorHAnsi" w:hAnsiTheme="majorHAnsi"/>
          <w:szCs w:val="24"/>
          <w:lang w:val="en-US"/>
        </w:rPr>
        <w:t xml:space="preserve"> and </w:t>
      </w:r>
      <w:r w:rsidR="00011225" w:rsidRPr="000F00CD">
        <w:rPr>
          <w:rFonts w:asciiTheme="majorHAnsi" w:hAnsiTheme="majorHAnsi"/>
          <w:szCs w:val="24"/>
          <w:lang w:val="en-US"/>
        </w:rPr>
        <w:t>the International Organisation of Securities Commission, w</w:t>
      </w:r>
      <w:r w:rsidR="00921DF8" w:rsidRPr="000F00CD">
        <w:rPr>
          <w:rFonts w:asciiTheme="majorHAnsi" w:hAnsiTheme="majorHAnsi"/>
          <w:szCs w:val="24"/>
          <w:lang w:val="en-US"/>
        </w:rPr>
        <w:t>hich shows that the EU is merely following the international trend here</w:t>
      </w:r>
      <w:r w:rsidRPr="000F00CD">
        <w:rPr>
          <w:rFonts w:asciiTheme="majorHAnsi" w:hAnsiTheme="majorHAnsi"/>
          <w:szCs w:val="24"/>
          <w:lang w:val="en-US"/>
        </w:rPr>
        <w:t>.</w:t>
      </w:r>
      <w:r w:rsidRPr="000F00CD">
        <w:rPr>
          <w:rFonts w:asciiTheme="majorHAnsi" w:hAnsiTheme="majorHAnsi"/>
          <w:szCs w:val="24"/>
          <w:vertAlign w:val="superscript"/>
          <w:lang w:val="en-US"/>
        </w:rPr>
        <w:footnoteReference w:id="64"/>
      </w:r>
      <w:r w:rsidRPr="000F00CD">
        <w:rPr>
          <w:rFonts w:asciiTheme="majorHAnsi" w:hAnsiTheme="majorHAnsi"/>
          <w:szCs w:val="24"/>
          <w:lang w:val="en-US"/>
        </w:rPr>
        <w:t xml:space="preserve"> </w:t>
      </w:r>
    </w:p>
    <w:p w14:paraId="7C43DF61" w14:textId="77777777" w:rsidR="004738C5" w:rsidRPr="000F00CD" w:rsidRDefault="004738C5" w:rsidP="008E43F0">
      <w:pPr>
        <w:spacing w:line="360" w:lineRule="auto"/>
        <w:rPr>
          <w:rFonts w:asciiTheme="majorHAnsi" w:hAnsiTheme="majorHAnsi"/>
          <w:szCs w:val="24"/>
          <w:lang w:val="en-US"/>
        </w:rPr>
      </w:pPr>
    </w:p>
    <w:p w14:paraId="48221836" w14:textId="453FFDD6" w:rsidR="004D21D8" w:rsidRPr="000F00CD" w:rsidRDefault="004738C5" w:rsidP="008E43F0">
      <w:pPr>
        <w:spacing w:line="360" w:lineRule="auto"/>
        <w:rPr>
          <w:rFonts w:asciiTheme="majorHAnsi" w:hAnsiTheme="majorHAnsi"/>
          <w:szCs w:val="24"/>
          <w:lang w:val="en-US" w:eastAsia="en-US" w:bidi="ar-SA"/>
        </w:rPr>
      </w:pPr>
      <w:r w:rsidRPr="000F00CD">
        <w:rPr>
          <w:rFonts w:asciiTheme="majorHAnsi" w:hAnsiTheme="majorHAnsi"/>
          <w:szCs w:val="24"/>
          <w:lang w:val="en-US"/>
        </w:rPr>
        <w:t>As explained, the Fourth Money Laundering Directive seeks to establish an increased focus on risk assessment at the national level. Such a risk assessment is to be carried out in liaison with various agencies that should provide guidance for the Member States as to how to carry out risk assessments and where European Supervisory Authority plays a key role by also being asked to provide regulatory technical standards where needed for financial institutions to adapt their internal controls to deal with specific situations. Europol is the main player in the EU anti-terrorism tracking system. According to the Europol Decision,</w:t>
      </w:r>
      <w:r w:rsidR="0080376C" w:rsidRPr="000F00CD">
        <w:rPr>
          <w:rStyle w:val="FootnoteReference"/>
          <w:rFonts w:asciiTheme="majorHAnsi" w:hAnsiTheme="majorHAnsi"/>
          <w:szCs w:val="24"/>
          <w:lang w:val="en-US"/>
        </w:rPr>
        <w:footnoteReference w:id="65"/>
      </w:r>
      <w:r w:rsidRPr="000F00CD">
        <w:rPr>
          <w:rFonts w:asciiTheme="majorHAnsi" w:hAnsiTheme="majorHAnsi"/>
          <w:szCs w:val="24"/>
          <w:lang w:val="en-US"/>
        </w:rPr>
        <w:t xml:space="preserve"> the agency is given a number </w:t>
      </w:r>
      <w:r w:rsidRPr="000F00CD">
        <w:rPr>
          <w:rFonts w:asciiTheme="majorHAnsi" w:hAnsiTheme="majorHAnsi"/>
          <w:szCs w:val="24"/>
          <w:lang w:val="en-US"/>
        </w:rPr>
        <w:lastRenderedPageBreak/>
        <w:t>of principal tasks including: (1) the collection, storage, analysis, and exchange of information and intelligence, and (2) the exchange of information concerning Member States about criminal offences.</w:t>
      </w:r>
      <w:r w:rsidRPr="000F00CD">
        <w:rPr>
          <w:rFonts w:asciiTheme="majorHAnsi" w:hAnsiTheme="majorHAnsi"/>
          <w:szCs w:val="24"/>
          <w:vertAlign w:val="superscript"/>
          <w:lang w:val="en-US"/>
        </w:rPr>
        <w:footnoteReference w:id="66"/>
      </w:r>
      <w:r w:rsidRPr="000F00CD">
        <w:rPr>
          <w:rFonts w:asciiTheme="majorHAnsi" w:hAnsiTheme="majorHAnsi"/>
          <w:szCs w:val="24"/>
          <w:vertAlign w:val="superscript"/>
          <w:lang w:val="en-US"/>
        </w:rPr>
        <w:t xml:space="preserve"> </w:t>
      </w:r>
      <w:r w:rsidR="000013E1" w:rsidRPr="000F00CD">
        <w:rPr>
          <w:rFonts w:asciiTheme="majorHAnsi" w:hAnsiTheme="majorHAnsi"/>
          <w:szCs w:val="24"/>
          <w:lang w:val="en-US"/>
        </w:rPr>
        <w:t xml:space="preserve">Moreover, as is stated in </w:t>
      </w:r>
      <w:r w:rsidRPr="000F00CD">
        <w:rPr>
          <w:rFonts w:asciiTheme="majorHAnsi" w:hAnsiTheme="majorHAnsi"/>
          <w:szCs w:val="24"/>
          <w:lang w:val="en-US"/>
        </w:rPr>
        <w:t xml:space="preserve">Article 88 TFEU, “Europol’s mission shall be to support and strengthen action by the Member States’ police authorities.” It is then meant to act as a complementing authority, but it is becoming a primary actor. </w:t>
      </w:r>
      <w:r w:rsidR="000013E1" w:rsidRPr="000F00CD">
        <w:rPr>
          <w:rFonts w:asciiTheme="majorHAnsi" w:hAnsiTheme="majorHAnsi"/>
          <w:szCs w:val="24"/>
          <w:lang w:val="en-US"/>
        </w:rPr>
        <w:t xml:space="preserve">This is interesting (as well as problematic) from a democratic and accountability perspective. More specifically, Europol has been given substantial powers to shape procedural rules and conclude </w:t>
      </w:r>
      <w:r w:rsidR="00D46F48" w:rsidRPr="000F00CD">
        <w:rPr>
          <w:rFonts w:asciiTheme="majorHAnsi" w:hAnsiTheme="majorHAnsi"/>
          <w:szCs w:val="24"/>
          <w:lang w:val="en-US"/>
        </w:rPr>
        <w:t>international agreement</w:t>
      </w:r>
      <w:r w:rsidR="009D7CA3" w:rsidRPr="000F00CD">
        <w:rPr>
          <w:rFonts w:asciiTheme="majorHAnsi" w:hAnsiTheme="majorHAnsi"/>
          <w:szCs w:val="24"/>
          <w:lang w:val="en-US"/>
        </w:rPr>
        <w:t>s</w:t>
      </w:r>
      <w:r w:rsidR="00D46F48" w:rsidRPr="000F00CD">
        <w:rPr>
          <w:rFonts w:asciiTheme="majorHAnsi" w:hAnsiTheme="majorHAnsi"/>
          <w:szCs w:val="24"/>
          <w:lang w:val="en-US"/>
        </w:rPr>
        <w:t>.</w:t>
      </w:r>
      <w:r w:rsidR="004D21D8" w:rsidRPr="000F00CD">
        <w:rPr>
          <w:rStyle w:val="FootnoteReference"/>
          <w:rFonts w:asciiTheme="majorHAnsi" w:eastAsiaTheme="minorEastAsia" w:hAnsiTheme="majorHAnsi"/>
          <w:szCs w:val="24"/>
          <w:lang w:val="en-US" w:eastAsia="en-US" w:bidi="ar-SA"/>
        </w:rPr>
        <w:t xml:space="preserve"> </w:t>
      </w:r>
      <w:r w:rsidR="004D21D8" w:rsidRPr="000F00CD">
        <w:rPr>
          <w:rFonts w:asciiTheme="majorHAnsi" w:hAnsiTheme="majorHAnsi"/>
          <w:szCs w:val="24"/>
          <w:lang w:val="en-US"/>
        </w:rPr>
        <w:t>It should be remembered that t</w:t>
      </w:r>
      <w:r w:rsidR="004C13FA" w:rsidRPr="000F00CD">
        <w:rPr>
          <w:rFonts w:asciiTheme="majorHAnsi" w:hAnsiTheme="majorHAnsi"/>
          <w:szCs w:val="24"/>
          <w:lang w:val="en-US"/>
        </w:rPr>
        <w:t>he Meroni</w:t>
      </w:r>
      <w:r w:rsidR="009D7CA3" w:rsidRPr="000F00CD">
        <w:rPr>
          <w:rFonts w:asciiTheme="majorHAnsi" w:hAnsiTheme="majorHAnsi"/>
          <w:szCs w:val="24"/>
          <w:lang w:val="en-US" w:eastAsia="en-US" w:bidi="ar-SA"/>
        </w:rPr>
        <w:t xml:space="preserve"> D</w:t>
      </w:r>
      <w:r w:rsidR="004C13FA" w:rsidRPr="000F00CD">
        <w:rPr>
          <w:rFonts w:asciiTheme="majorHAnsi" w:hAnsiTheme="majorHAnsi"/>
          <w:szCs w:val="24"/>
          <w:lang w:val="en-US" w:eastAsia="en-US" w:bidi="ar-SA"/>
        </w:rPr>
        <w:t>octrine holds that only executive powers can be delegated from the EU institutions to agencies and their use must be entirely subject to the supervision of the delegating institution.”</w:t>
      </w:r>
      <w:r w:rsidR="004C13FA" w:rsidRPr="000F00CD">
        <w:rPr>
          <w:rStyle w:val="FootnoteReference"/>
          <w:rFonts w:asciiTheme="majorHAnsi" w:hAnsiTheme="majorHAnsi"/>
          <w:szCs w:val="24"/>
          <w:lang w:val="en-US" w:eastAsia="en-US" w:bidi="ar-SA"/>
        </w:rPr>
        <w:footnoteReference w:id="67"/>
      </w:r>
      <w:r w:rsidR="004D21D8" w:rsidRPr="000F00CD">
        <w:rPr>
          <w:rFonts w:asciiTheme="majorHAnsi" w:hAnsiTheme="majorHAnsi"/>
          <w:szCs w:val="24"/>
          <w:lang w:val="en-US" w:eastAsia="en-US" w:bidi="ar-SA"/>
        </w:rPr>
        <w:t xml:space="preserve"> Moreover, in the recent </w:t>
      </w:r>
      <w:r w:rsidR="004D21D8" w:rsidRPr="000F00CD">
        <w:rPr>
          <w:rFonts w:asciiTheme="majorHAnsi" w:hAnsiTheme="majorHAnsi"/>
          <w:szCs w:val="24"/>
        </w:rPr>
        <w:t>European Securities and Markets Authority</w:t>
      </w:r>
      <w:r w:rsidR="004D21D8" w:rsidRPr="000F00CD">
        <w:rPr>
          <w:rFonts w:asciiTheme="majorHAnsi" w:hAnsiTheme="majorHAnsi"/>
          <w:szCs w:val="24"/>
          <w:lang w:val="en-US" w:eastAsia="en-US" w:bidi="ar-SA"/>
        </w:rPr>
        <w:t xml:space="preserve"> (</w:t>
      </w:r>
      <w:r w:rsidR="006D5CA1" w:rsidRPr="000F00CD">
        <w:rPr>
          <w:rFonts w:asciiTheme="majorHAnsi" w:hAnsiTheme="majorHAnsi"/>
          <w:szCs w:val="24"/>
          <w:lang w:val="en-US" w:eastAsia="en-US" w:bidi="ar-SA"/>
        </w:rPr>
        <w:t>ESMA</w:t>
      </w:r>
      <w:r w:rsidR="004D21D8" w:rsidRPr="000F00CD">
        <w:rPr>
          <w:rFonts w:asciiTheme="majorHAnsi" w:hAnsiTheme="majorHAnsi"/>
          <w:szCs w:val="24"/>
          <w:lang w:val="en-US" w:eastAsia="en-US" w:bidi="ar-SA"/>
        </w:rPr>
        <w:t>) case</w:t>
      </w:r>
      <w:r w:rsidR="009D7CA3" w:rsidRPr="000F00CD">
        <w:rPr>
          <w:rFonts w:asciiTheme="majorHAnsi" w:hAnsiTheme="majorHAnsi"/>
          <w:szCs w:val="24"/>
          <w:lang w:val="en-US" w:eastAsia="en-US" w:bidi="ar-SA"/>
        </w:rPr>
        <w:t>,</w:t>
      </w:r>
      <w:r w:rsidR="004D21D8" w:rsidRPr="000F00CD">
        <w:rPr>
          <w:rFonts w:asciiTheme="majorHAnsi" w:hAnsiTheme="majorHAnsi"/>
          <w:szCs w:val="24"/>
          <w:lang w:val="en-US" w:eastAsia="en-US" w:bidi="ar-SA"/>
        </w:rPr>
        <w:t xml:space="preserve"> </w:t>
      </w:r>
      <w:r w:rsidR="006D5CA1" w:rsidRPr="000F00CD">
        <w:rPr>
          <w:rStyle w:val="FootnoteReference"/>
          <w:rFonts w:asciiTheme="majorHAnsi" w:hAnsiTheme="majorHAnsi"/>
          <w:szCs w:val="24"/>
          <w:lang w:val="en-US" w:eastAsia="en-US" w:bidi="ar-SA"/>
        </w:rPr>
        <w:footnoteReference w:id="68"/>
      </w:r>
      <w:r w:rsidR="006D5CA1" w:rsidRPr="000F00CD">
        <w:rPr>
          <w:rFonts w:asciiTheme="majorHAnsi" w:hAnsiTheme="majorHAnsi"/>
          <w:szCs w:val="24"/>
          <w:lang w:val="en-US" w:eastAsia="en-US" w:bidi="ar-SA"/>
        </w:rPr>
        <w:t xml:space="preserve"> </w:t>
      </w:r>
      <w:r w:rsidR="004D21D8" w:rsidRPr="000F00CD">
        <w:rPr>
          <w:rFonts w:asciiTheme="majorHAnsi" w:hAnsiTheme="majorHAnsi"/>
          <w:szCs w:val="24"/>
        </w:rPr>
        <w:t>Regulation No 236/2012</w:t>
      </w:r>
      <w:r w:rsidR="00D50665" w:rsidRPr="000F00CD">
        <w:rPr>
          <w:rFonts w:asciiTheme="majorHAnsi" w:hAnsiTheme="majorHAnsi"/>
          <w:szCs w:val="24"/>
        </w:rPr>
        <w:t xml:space="preserve"> </w:t>
      </w:r>
      <w:r w:rsidR="00D50665" w:rsidRPr="000F00CD">
        <w:rPr>
          <w:rFonts w:asciiTheme="majorHAnsi" w:hAnsiTheme="majorHAnsi"/>
          <w:szCs w:val="24"/>
          <w:lang w:val="en-US" w:eastAsia="en-US" w:bidi="ar-SA"/>
        </w:rPr>
        <w:t xml:space="preserve">lay down a </w:t>
      </w:r>
      <w:r w:rsidR="00D50665" w:rsidRPr="000F00CD">
        <w:rPr>
          <w:rFonts w:asciiTheme="majorHAnsi" w:hAnsiTheme="majorHAnsi"/>
          <w:szCs w:val="24"/>
          <w:lang w:val="en-US" w:eastAsia="en-US" w:bidi="ar-SA"/>
        </w:rPr>
        <w:lastRenderedPageBreak/>
        <w:t xml:space="preserve">common regulatory framework with regard to the requirements and powers relating to short selling and credit default swaps to ensure greater coordination </w:t>
      </w:r>
      <w:r w:rsidR="009D7CA3" w:rsidRPr="000F00CD">
        <w:rPr>
          <w:rFonts w:asciiTheme="majorHAnsi" w:hAnsiTheme="majorHAnsi"/>
          <w:szCs w:val="24"/>
          <w:lang w:val="en-US" w:eastAsia="en-US" w:bidi="ar-SA"/>
        </w:rPr>
        <w:t>and consistency</w:t>
      </w:r>
      <w:r w:rsidR="00D50665" w:rsidRPr="000F00CD">
        <w:rPr>
          <w:rFonts w:asciiTheme="majorHAnsi" w:hAnsiTheme="majorHAnsi"/>
          <w:szCs w:val="24"/>
          <w:lang w:val="en-US" w:eastAsia="en-US" w:bidi="ar-SA"/>
        </w:rPr>
        <w:t xml:space="preserve"> between Member States. The </w:t>
      </w:r>
      <w:r w:rsidR="004D21D8" w:rsidRPr="000F00CD">
        <w:rPr>
          <w:rFonts w:asciiTheme="majorHAnsi" w:hAnsiTheme="majorHAnsi"/>
          <w:szCs w:val="24"/>
        </w:rPr>
        <w:t xml:space="preserve">UK </w:t>
      </w:r>
      <w:r w:rsidR="00D50665" w:rsidRPr="000F00CD">
        <w:rPr>
          <w:rFonts w:asciiTheme="majorHAnsi" w:hAnsiTheme="majorHAnsi"/>
          <w:szCs w:val="24"/>
        </w:rPr>
        <w:t xml:space="preserve">challenged this </w:t>
      </w:r>
      <w:r w:rsidR="004D21D8" w:rsidRPr="000F00CD">
        <w:rPr>
          <w:rFonts w:asciiTheme="majorHAnsi" w:hAnsiTheme="majorHAnsi"/>
          <w:szCs w:val="24"/>
        </w:rPr>
        <w:t xml:space="preserve">on the basis of that it not intended to authorise ESMA to take individual measures directed at natural or legal persons. The Court </w:t>
      </w:r>
      <w:r w:rsidR="00D50665" w:rsidRPr="000F00CD">
        <w:rPr>
          <w:rFonts w:asciiTheme="majorHAnsi" w:hAnsiTheme="majorHAnsi"/>
          <w:szCs w:val="24"/>
        </w:rPr>
        <w:t xml:space="preserve">of Justice </w:t>
      </w:r>
      <w:r w:rsidR="004D21D8" w:rsidRPr="000F00CD">
        <w:rPr>
          <w:rFonts w:asciiTheme="majorHAnsi" w:hAnsiTheme="majorHAnsi"/>
          <w:szCs w:val="24"/>
        </w:rPr>
        <w:t>upheld the Regulatio</w:t>
      </w:r>
      <w:r w:rsidR="00D50665" w:rsidRPr="000F00CD">
        <w:rPr>
          <w:rFonts w:asciiTheme="majorHAnsi" w:hAnsiTheme="majorHAnsi"/>
          <w:szCs w:val="24"/>
        </w:rPr>
        <w:t>n. It</w:t>
      </w:r>
      <w:r w:rsidR="004D21D8" w:rsidRPr="000F00CD">
        <w:rPr>
          <w:rFonts w:asciiTheme="majorHAnsi" w:hAnsiTheme="majorHAnsi"/>
          <w:szCs w:val="24"/>
        </w:rPr>
        <w:t xml:space="preserve"> stated that “</w:t>
      </w:r>
      <w:r w:rsidR="004D21D8" w:rsidRPr="000F00CD">
        <w:rPr>
          <w:rFonts w:asciiTheme="majorHAnsi" w:hAnsiTheme="majorHAnsi"/>
          <w:i/>
          <w:szCs w:val="24"/>
        </w:rPr>
        <w:t>the EU legislature, in its choice of method of harmonisation and, taking account of the discretion it enjoys with regard to the measures provided for under Article 114 TFEU, may delegate to a Union body, office or agency powers for the implementation of the harmonisation sought. That is the case in particular where the measures to be adopted are dependent on specific professional and technical expertise and the ability of such a body to resp</w:t>
      </w:r>
      <w:r w:rsidR="00011225" w:rsidRPr="000F00CD">
        <w:rPr>
          <w:rFonts w:asciiTheme="majorHAnsi" w:hAnsiTheme="majorHAnsi"/>
          <w:i/>
          <w:szCs w:val="24"/>
        </w:rPr>
        <w:t>ond swiftly and appropriately.”</w:t>
      </w:r>
      <w:r w:rsidR="00792055" w:rsidRPr="000F00CD">
        <w:rPr>
          <w:rStyle w:val="FootnoteReference"/>
          <w:rFonts w:asciiTheme="majorHAnsi" w:hAnsiTheme="majorHAnsi"/>
          <w:szCs w:val="24"/>
          <w:lang w:val="en-US" w:eastAsia="en-US" w:bidi="ar-SA"/>
        </w:rPr>
        <w:footnoteReference w:id="69"/>
      </w:r>
    </w:p>
    <w:p w14:paraId="4569CEC0" w14:textId="77777777" w:rsidR="004D21D8" w:rsidRPr="000F00CD" w:rsidRDefault="004D21D8" w:rsidP="008E43F0">
      <w:pPr>
        <w:widowControl w:val="0"/>
        <w:autoSpaceDE w:val="0"/>
        <w:autoSpaceDN w:val="0"/>
        <w:adjustRightInd w:val="0"/>
        <w:spacing w:line="360" w:lineRule="auto"/>
        <w:rPr>
          <w:rFonts w:asciiTheme="majorHAnsi" w:hAnsiTheme="majorHAnsi"/>
          <w:szCs w:val="24"/>
        </w:rPr>
      </w:pPr>
    </w:p>
    <w:p w14:paraId="2936FAE2" w14:textId="6E0D1DA6" w:rsidR="004738C5" w:rsidRPr="000F00CD" w:rsidRDefault="00D50665" w:rsidP="008E43F0">
      <w:pPr>
        <w:spacing w:line="360" w:lineRule="auto"/>
        <w:rPr>
          <w:rFonts w:asciiTheme="majorHAnsi" w:hAnsiTheme="majorHAnsi"/>
          <w:szCs w:val="24"/>
          <w:lang w:val="en-US" w:eastAsia="en-US" w:bidi="ar-SA"/>
        </w:rPr>
      </w:pPr>
      <w:r w:rsidRPr="000F00CD">
        <w:rPr>
          <w:rFonts w:asciiTheme="majorHAnsi" w:hAnsiTheme="majorHAnsi"/>
          <w:szCs w:val="24"/>
          <w:lang w:val="en-US"/>
        </w:rPr>
        <w:t>The outsourcing of resp</w:t>
      </w:r>
      <w:r w:rsidR="00D46F48" w:rsidRPr="000F00CD">
        <w:rPr>
          <w:rFonts w:asciiTheme="majorHAnsi" w:hAnsiTheme="majorHAnsi"/>
          <w:szCs w:val="24"/>
          <w:lang w:val="en-US"/>
        </w:rPr>
        <w:t>onsibility in the fight against financial crimes has several dimensions. For example,</w:t>
      </w:r>
      <w:r w:rsidR="004738C5" w:rsidRPr="000F00CD">
        <w:rPr>
          <w:rFonts w:asciiTheme="majorHAnsi" w:hAnsiTheme="majorHAnsi"/>
          <w:szCs w:val="24"/>
          <w:lang w:val="en-US"/>
        </w:rPr>
        <w:t xml:space="preserve"> Europol plays an increasing role as a global information hub and information center.  The agency collects proceeds, retains and exchange data on unprecedented way.</w:t>
      </w:r>
      <w:r w:rsidR="004738C5" w:rsidRPr="000F00CD">
        <w:rPr>
          <w:rStyle w:val="FootnoteReference"/>
          <w:rFonts w:asciiTheme="majorHAnsi" w:hAnsiTheme="majorHAnsi"/>
          <w:szCs w:val="24"/>
          <w:lang w:val="en-US"/>
        </w:rPr>
        <w:footnoteReference w:id="70"/>
      </w:r>
      <w:r w:rsidR="004738C5" w:rsidRPr="000F00CD">
        <w:rPr>
          <w:rFonts w:asciiTheme="majorHAnsi" w:hAnsiTheme="majorHAnsi"/>
          <w:szCs w:val="24"/>
          <w:lang w:val="en-US"/>
        </w:rPr>
        <w:t xml:space="preserve">  Most importantly, Europol was involved in the EU-US Agreement on the Terrorist Financing Tracking Programme.</w:t>
      </w:r>
      <w:r w:rsidR="004738C5" w:rsidRPr="000F00CD">
        <w:rPr>
          <w:rStyle w:val="FootnoteReference"/>
          <w:rFonts w:asciiTheme="majorHAnsi" w:hAnsiTheme="majorHAnsi"/>
          <w:szCs w:val="24"/>
          <w:lang w:val="en-US"/>
        </w:rPr>
        <w:footnoteReference w:id="71"/>
      </w:r>
      <w:r w:rsidR="004738C5" w:rsidRPr="000F00CD">
        <w:rPr>
          <w:rFonts w:asciiTheme="majorHAnsi" w:hAnsiTheme="majorHAnsi"/>
          <w:szCs w:val="24"/>
          <w:lang w:val="en-US"/>
        </w:rPr>
        <w:t xml:space="preserve"> Accordingly, Europol assesses whether </w:t>
      </w:r>
      <w:r w:rsidR="004738C5" w:rsidRPr="000F00CD">
        <w:rPr>
          <w:rFonts w:asciiTheme="majorHAnsi" w:hAnsiTheme="majorHAnsi"/>
          <w:szCs w:val="24"/>
          <w:lang w:val="en-US"/>
        </w:rPr>
        <w:lastRenderedPageBreak/>
        <w:t>the data requested in any given case are necessary for the fight against terrorism and it</w:t>
      </w:r>
      <w:r w:rsidR="00326CEF" w:rsidRPr="000F00CD">
        <w:rPr>
          <w:rFonts w:asciiTheme="majorHAnsi" w:hAnsiTheme="majorHAnsi"/>
          <w:szCs w:val="24"/>
          <w:lang w:val="en-US"/>
        </w:rPr>
        <w:t>’</w:t>
      </w:r>
      <w:r w:rsidR="004738C5" w:rsidRPr="000F00CD">
        <w:rPr>
          <w:rFonts w:asciiTheme="majorHAnsi" w:hAnsiTheme="majorHAnsi"/>
          <w:szCs w:val="24"/>
          <w:lang w:val="en-US"/>
        </w:rPr>
        <w:t xml:space="preserve">s financing. </w:t>
      </w:r>
      <w:r w:rsidR="004738C5" w:rsidRPr="000F00CD">
        <w:rPr>
          <w:rFonts w:asciiTheme="majorHAnsi" w:hAnsiTheme="majorHAnsi"/>
          <w:szCs w:val="24"/>
          <w:lang w:val="en-US" w:eastAsia="en-US" w:bidi="ar-SA"/>
        </w:rPr>
        <w:t>In addition, the interpretation of the data allows Europol to pinpoint the areas, activities or populations, which are at risk and should be given priority in the fight against organized crime at the EU level.</w:t>
      </w:r>
      <w:r w:rsidR="004738C5" w:rsidRPr="000F00CD">
        <w:rPr>
          <w:rStyle w:val="FootnoteReference"/>
          <w:rFonts w:asciiTheme="majorHAnsi" w:hAnsiTheme="majorHAnsi"/>
          <w:szCs w:val="24"/>
          <w:lang w:val="en-US" w:eastAsia="en-US" w:bidi="ar-SA"/>
        </w:rPr>
        <w:footnoteReference w:id="72"/>
      </w:r>
      <w:r w:rsidR="004738C5" w:rsidRPr="000F00CD">
        <w:rPr>
          <w:rFonts w:asciiTheme="majorHAnsi" w:hAnsiTheme="majorHAnsi"/>
          <w:szCs w:val="24"/>
          <w:lang w:val="en-US" w:eastAsia="en-US" w:bidi="ar-SA"/>
        </w:rPr>
        <w:t xml:space="preserve"> </w:t>
      </w:r>
      <w:r w:rsidR="00F338EC" w:rsidRPr="000F00CD">
        <w:rPr>
          <w:rFonts w:asciiTheme="majorHAnsi" w:hAnsiTheme="majorHAnsi"/>
          <w:szCs w:val="24"/>
          <w:lang w:val="en-US" w:eastAsia="en-US" w:bidi="ar-SA"/>
        </w:rPr>
        <w:t>Yet the new powers granted to Agencies</w:t>
      </w:r>
      <w:r w:rsidR="00D46F48" w:rsidRPr="000F00CD">
        <w:rPr>
          <w:rFonts w:asciiTheme="majorHAnsi" w:hAnsiTheme="majorHAnsi"/>
          <w:szCs w:val="24"/>
          <w:lang w:val="en-US" w:eastAsia="en-US" w:bidi="ar-SA"/>
        </w:rPr>
        <w:t>, as noted,</w:t>
      </w:r>
      <w:r w:rsidR="00F338EC" w:rsidRPr="000F00CD">
        <w:rPr>
          <w:rFonts w:asciiTheme="majorHAnsi" w:hAnsiTheme="majorHAnsi"/>
          <w:szCs w:val="24"/>
          <w:lang w:val="en-US" w:eastAsia="en-US" w:bidi="ar-SA"/>
        </w:rPr>
        <w:t xml:space="preserve"> </w:t>
      </w:r>
      <w:r w:rsidR="00E52E99" w:rsidRPr="000F00CD">
        <w:rPr>
          <w:rFonts w:asciiTheme="majorHAnsi" w:hAnsiTheme="majorHAnsi"/>
          <w:szCs w:val="24"/>
          <w:lang w:val="en-US" w:eastAsia="en-US" w:bidi="ar-SA"/>
        </w:rPr>
        <w:t xml:space="preserve">raise familiar questions not only about the accountability of these actors but also about the </w:t>
      </w:r>
      <w:r w:rsidR="009741D9" w:rsidRPr="000F00CD">
        <w:rPr>
          <w:rFonts w:asciiTheme="majorHAnsi" w:hAnsiTheme="majorHAnsi"/>
          <w:szCs w:val="24"/>
          <w:lang w:val="en-US" w:eastAsia="en-US" w:bidi="ar-SA"/>
        </w:rPr>
        <w:t>desirability</w:t>
      </w:r>
      <w:r w:rsidR="00E52E99" w:rsidRPr="000F00CD">
        <w:rPr>
          <w:rFonts w:asciiTheme="majorHAnsi" w:hAnsiTheme="majorHAnsi"/>
          <w:szCs w:val="24"/>
          <w:lang w:val="en-US" w:eastAsia="en-US" w:bidi="ar-SA"/>
        </w:rPr>
        <w:t xml:space="preserve"> of </w:t>
      </w:r>
      <w:r w:rsidR="009741D9" w:rsidRPr="000F00CD">
        <w:rPr>
          <w:rFonts w:asciiTheme="majorHAnsi" w:hAnsiTheme="majorHAnsi"/>
          <w:szCs w:val="24"/>
          <w:lang w:val="en-US" w:eastAsia="en-US" w:bidi="ar-SA"/>
        </w:rPr>
        <w:t>outsourced</w:t>
      </w:r>
      <w:r w:rsidR="00E52E99" w:rsidRPr="000F00CD">
        <w:rPr>
          <w:rFonts w:asciiTheme="majorHAnsi" w:hAnsiTheme="majorHAnsi"/>
          <w:szCs w:val="24"/>
          <w:lang w:val="en-US" w:eastAsia="en-US" w:bidi="ar-SA"/>
        </w:rPr>
        <w:t xml:space="preserve"> </w:t>
      </w:r>
      <w:r w:rsidR="009741D9" w:rsidRPr="000F00CD">
        <w:rPr>
          <w:rFonts w:asciiTheme="majorHAnsi" w:hAnsiTheme="majorHAnsi"/>
          <w:szCs w:val="24"/>
          <w:lang w:val="en-US" w:eastAsia="en-US" w:bidi="ar-SA"/>
        </w:rPr>
        <w:t>enforcement powers</w:t>
      </w:r>
      <w:r w:rsidR="003A1073" w:rsidRPr="000F00CD">
        <w:rPr>
          <w:rFonts w:asciiTheme="majorHAnsi" w:hAnsiTheme="majorHAnsi"/>
          <w:szCs w:val="24"/>
          <w:lang w:val="en-US" w:eastAsia="en-US" w:bidi="ar-SA"/>
        </w:rPr>
        <w:t xml:space="preserve"> from the perspective of judicial review</w:t>
      </w:r>
      <w:r w:rsidR="00E52E99" w:rsidRPr="000F00CD">
        <w:rPr>
          <w:rFonts w:asciiTheme="majorHAnsi" w:hAnsiTheme="majorHAnsi"/>
          <w:szCs w:val="24"/>
          <w:lang w:val="en-US" w:eastAsia="en-US" w:bidi="ar-SA"/>
        </w:rPr>
        <w:t>.</w:t>
      </w:r>
      <w:r w:rsidR="003A1073" w:rsidRPr="000F00CD">
        <w:rPr>
          <w:rStyle w:val="FootnoteReference"/>
          <w:rFonts w:asciiTheme="majorHAnsi" w:hAnsiTheme="majorHAnsi"/>
          <w:szCs w:val="24"/>
          <w:lang w:val="en-US" w:eastAsia="en-US" w:bidi="ar-SA"/>
        </w:rPr>
        <w:footnoteReference w:id="73"/>
      </w:r>
      <w:r w:rsidR="00E52E99" w:rsidRPr="000F00CD">
        <w:rPr>
          <w:rFonts w:asciiTheme="majorHAnsi" w:hAnsiTheme="majorHAnsi"/>
          <w:szCs w:val="24"/>
          <w:lang w:val="en-US" w:eastAsia="en-US" w:bidi="ar-SA"/>
        </w:rPr>
        <w:t xml:space="preserve"> </w:t>
      </w:r>
    </w:p>
    <w:p w14:paraId="320713AD" w14:textId="77777777" w:rsidR="00D46F48" w:rsidRPr="000F00CD" w:rsidRDefault="00D46F48" w:rsidP="008E43F0">
      <w:pPr>
        <w:suppressAutoHyphens/>
        <w:spacing w:line="360" w:lineRule="auto"/>
        <w:jc w:val="both"/>
        <w:rPr>
          <w:rFonts w:asciiTheme="majorHAnsi" w:hAnsiTheme="majorHAnsi"/>
          <w:szCs w:val="24"/>
          <w:lang w:val="en-US" w:eastAsia="en-US" w:bidi="ar-SA"/>
        </w:rPr>
      </w:pPr>
    </w:p>
    <w:p w14:paraId="4CF83B36" w14:textId="4039D43B" w:rsidR="004738C5" w:rsidRPr="000F00CD" w:rsidRDefault="00D46F48" w:rsidP="008E43F0">
      <w:pPr>
        <w:suppressAutoHyphens/>
        <w:spacing w:line="360" w:lineRule="auto"/>
        <w:jc w:val="both"/>
        <w:rPr>
          <w:rFonts w:asciiTheme="majorHAnsi" w:hAnsiTheme="majorHAnsi"/>
          <w:color w:val="000000"/>
          <w:szCs w:val="24"/>
          <w:lang w:val="en-US"/>
        </w:rPr>
      </w:pPr>
      <w:r w:rsidRPr="000F00CD">
        <w:rPr>
          <w:rFonts w:asciiTheme="majorHAnsi" w:hAnsiTheme="majorHAnsi"/>
          <w:color w:val="000000"/>
          <w:szCs w:val="24"/>
          <w:lang w:val="en-US"/>
        </w:rPr>
        <w:t>Yet</w:t>
      </w:r>
      <w:r w:rsidR="004738C5" w:rsidRPr="000F00CD">
        <w:rPr>
          <w:rFonts w:asciiTheme="majorHAnsi" w:hAnsiTheme="majorHAnsi"/>
          <w:color w:val="000000"/>
          <w:szCs w:val="24"/>
          <w:lang w:val="en-US"/>
        </w:rPr>
        <w:t>, the importance of agencies in EU lawmaking in general is far from new. Agencies are often said to represent a step in the direction of “better regulation.”</w:t>
      </w:r>
      <w:r w:rsidR="004738C5" w:rsidRPr="000F00CD">
        <w:rPr>
          <w:rStyle w:val="FootnoteReference"/>
          <w:rFonts w:asciiTheme="majorHAnsi" w:hAnsiTheme="majorHAnsi"/>
          <w:color w:val="000000"/>
          <w:szCs w:val="24"/>
          <w:lang w:val="en-US"/>
        </w:rPr>
        <w:footnoteReference w:id="74"/>
      </w:r>
      <w:r w:rsidR="004738C5" w:rsidRPr="000F00CD">
        <w:rPr>
          <w:rFonts w:asciiTheme="majorHAnsi" w:hAnsiTheme="majorHAnsi"/>
          <w:color w:val="141413"/>
          <w:szCs w:val="24"/>
          <w:lang w:val="en-US"/>
        </w:rPr>
        <w:t xml:space="preserve"> It appears to be unclear what exactly is the place of these agencies in the legislative context and their place in the AFSJ machinery. After all, areas such as medical authorization, electricity regulation, and heath regulation are spaces that have all been reformed in recent years and have offered examples of hybrid governance in terms of combining traditional EU legal instruments with network models relying on agencies </w:t>
      </w:r>
      <w:r w:rsidR="004738C5" w:rsidRPr="000F00CD">
        <w:rPr>
          <w:rFonts w:asciiTheme="majorHAnsi" w:hAnsiTheme="majorHAnsi"/>
          <w:color w:val="141413"/>
          <w:szCs w:val="24"/>
          <w:lang w:val="en-US"/>
        </w:rPr>
        <w:lastRenderedPageBreak/>
        <w:t>and new forms of governance such as comitology and open method coordination.</w:t>
      </w:r>
      <w:r w:rsidR="004738C5" w:rsidRPr="000F00CD">
        <w:rPr>
          <w:rStyle w:val="FootnoteReference"/>
          <w:rFonts w:asciiTheme="majorHAnsi" w:hAnsiTheme="majorHAnsi"/>
          <w:color w:val="141413"/>
          <w:szCs w:val="24"/>
          <w:lang w:val="en-US"/>
        </w:rPr>
        <w:footnoteReference w:id="75"/>
      </w:r>
      <w:r w:rsidR="004738C5" w:rsidRPr="000F00CD">
        <w:rPr>
          <w:rFonts w:asciiTheme="majorHAnsi" w:hAnsiTheme="majorHAnsi"/>
          <w:color w:val="141413"/>
          <w:szCs w:val="24"/>
          <w:lang w:val="en-US"/>
        </w:rPr>
        <w:t xml:space="preserve"> This is all new in the AFSJ. While this paper will not delve into this complex debate, it is clear that the technocratic approaches pose difficulties from the democratic perspective as many issues such as medical regulation touch upon ethical issues that require democratic legitimation and accountability. Nevertheless, the prospect of adopting a technocratic model to the AFSJ, with regard to criminal law, should raise concern.</w:t>
      </w:r>
    </w:p>
    <w:p w14:paraId="6A046639" w14:textId="77777777" w:rsidR="004738C5" w:rsidRPr="000F00CD" w:rsidRDefault="004738C5" w:rsidP="008E43F0">
      <w:pPr>
        <w:suppressAutoHyphens/>
        <w:spacing w:line="360" w:lineRule="auto"/>
        <w:jc w:val="both"/>
        <w:rPr>
          <w:rFonts w:asciiTheme="majorHAnsi" w:hAnsiTheme="majorHAnsi"/>
          <w:color w:val="000000"/>
          <w:szCs w:val="24"/>
          <w:lang w:val="en-US"/>
        </w:rPr>
      </w:pPr>
    </w:p>
    <w:p w14:paraId="45D29038" w14:textId="0A910982" w:rsidR="004738C5" w:rsidRPr="000F00CD" w:rsidRDefault="009D7CA3" w:rsidP="008E43F0">
      <w:pPr>
        <w:suppressAutoHyphens/>
        <w:spacing w:line="360" w:lineRule="auto"/>
        <w:jc w:val="both"/>
        <w:rPr>
          <w:rFonts w:asciiTheme="majorHAnsi" w:hAnsiTheme="majorHAnsi"/>
          <w:color w:val="000000"/>
          <w:szCs w:val="24"/>
          <w:lang w:val="en-US"/>
        </w:rPr>
      </w:pPr>
      <w:r w:rsidRPr="000F00CD">
        <w:rPr>
          <w:rFonts w:asciiTheme="majorHAnsi" w:hAnsiTheme="majorHAnsi"/>
          <w:color w:val="000000"/>
          <w:szCs w:val="24"/>
          <w:lang w:val="en-US"/>
        </w:rPr>
        <w:t>While the AFSJ a</w:t>
      </w:r>
      <w:r w:rsidR="004738C5" w:rsidRPr="000F00CD">
        <w:rPr>
          <w:rFonts w:asciiTheme="majorHAnsi" w:hAnsiTheme="majorHAnsi"/>
          <w:color w:val="000000"/>
          <w:szCs w:val="24"/>
          <w:lang w:val="en-US"/>
        </w:rPr>
        <w:t xml:space="preserve">gencies of Europol and Eurojust do not have direct regulatory enforcement powers, they </w:t>
      </w:r>
      <w:r w:rsidRPr="000F00CD">
        <w:rPr>
          <w:rFonts w:asciiTheme="majorHAnsi" w:hAnsiTheme="majorHAnsi"/>
          <w:color w:val="000000"/>
          <w:szCs w:val="24"/>
          <w:lang w:val="en-US"/>
        </w:rPr>
        <w:t xml:space="preserve">are </w:t>
      </w:r>
      <w:r w:rsidR="004738C5" w:rsidRPr="000F00CD">
        <w:rPr>
          <w:rFonts w:asciiTheme="majorHAnsi" w:hAnsiTheme="majorHAnsi"/>
          <w:color w:val="000000"/>
          <w:szCs w:val="24"/>
          <w:lang w:val="en-US"/>
        </w:rPr>
        <w:t>increasingly important players in the regulatory machinery within the AFSJ. As Monar points out, the Member States have kept the law enforcement powers and have not delegated such powers to the AFSJ Agencies, with the exception of Frontex in the area of migration law policies.</w:t>
      </w:r>
      <w:r w:rsidR="004738C5" w:rsidRPr="000F00CD">
        <w:rPr>
          <w:rStyle w:val="FootnoteReference"/>
          <w:rFonts w:asciiTheme="majorHAnsi" w:hAnsiTheme="majorHAnsi"/>
          <w:color w:val="000000"/>
          <w:szCs w:val="24"/>
          <w:lang w:val="en-US"/>
        </w:rPr>
        <w:footnoteReference w:id="76"/>
      </w:r>
      <w:r w:rsidR="004738C5" w:rsidRPr="000F00CD">
        <w:rPr>
          <w:rFonts w:asciiTheme="majorHAnsi" w:hAnsiTheme="majorHAnsi"/>
          <w:color w:val="000000"/>
          <w:szCs w:val="24"/>
          <w:lang w:val="en-US"/>
        </w:rPr>
        <w:t xml:space="preserve"> Yet Europol has been given extended powers to supervise the EU crime-fighting agenda within the AFSJ. This has resulted in a complex relationship between AFSJ legislation and the role played by Europol in, for example, the financial tracking program and those </w:t>
      </w:r>
      <w:r w:rsidR="00E3714C" w:rsidRPr="000F00CD">
        <w:rPr>
          <w:rFonts w:asciiTheme="majorHAnsi" w:hAnsiTheme="majorHAnsi"/>
          <w:color w:val="000000"/>
          <w:szCs w:val="24"/>
          <w:lang w:val="en-US"/>
        </w:rPr>
        <w:t>legislative acts</w:t>
      </w:r>
      <w:r w:rsidR="004738C5" w:rsidRPr="000F00CD">
        <w:rPr>
          <w:rFonts w:asciiTheme="majorHAnsi" w:hAnsiTheme="majorHAnsi"/>
          <w:color w:val="000000"/>
          <w:szCs w:val="24"/>
          <w:lang w:val="en-US"/>
        </w:rPr>
        <w:t xml:space="preserve"> such as the Fourth Money Laundering Directive, discussed </w:t>
      </w:r>
      <w:r w:rsidR="004738C5" w:rsidRPr="000F00CD">
        <w:rPr>
          <w:rFonts w:asciiTheme="majorHAnsi" w:hAnsiTheme="majorHAnsi"/>
          <w:color w:val="000000"/>
          <w:szCs w:val="24"/>
          <w:lang w:val="en-US"/>
        </w:rPr>
        <w:lastRenderedPageBreak/>
        <w:t xml:space="preserve">above, that are part of the internal market </w:t>
      </w:r>
      <w:r w:rsidR="004738C5" w:rsidRPr="000F00CD">
        <w:rPr>
          <w:rFonts w:asciiTheme="majorHAnsi" w:hAnsiTheme="majorHAnsi"/>
          <w:i/>
          <w:color w:val="000000"/>
          <w:szCs w:val="24"/>
          <w:lang w:val="en-US"/>
        </w:rPr>
        <w:t>acquis</w:t>
      </w:r>
      <w:r w:rsidR="004738C5" w:rsidRPr="000F00CD">
        <w:rPr>
          <w:rFonts w:asciiTheme="majorHAnsi" w:hAnsiTheme="majorHAnsi"/>
          <w:color w:val="000000"/>
          <w:szCs w:val="24"/>
          <w:lang w:val="en-US"/>
        </w:rPr>
        <w:t>. As for those instruments adopted within the internal market, the European Securities and Market Authority (ESMA) is responsible for any supervision. The ESMA contains a review clause that grants the Court of Justice the power to review the fines imposed by this agency. But it is not clear to what extent Europol and Eurojust can be held to account for their actions.</w:t>
      </w:r>
      <w:r w:rsidR="004738C5" w:rsidRPr="000F00CD">
        <w:rPr>
          <w:rStyle w:val="FootnoteReference"/>
          <w:rFonts w:asciiTheme="majorHAnsi" w:hAnsiTheme="majorHAnsi"/>
          <w:color w:val="000000"/>
          <w:szCs w:val="24"/>
          <w:lang w:val="en-US"/>
        </w:rPr>
        <w:footnoteReference w:id="77"/>
      </w:r>
      <w:r w:rsidR="004738C5" w:rsidRPr="000F00CD">
        <w:rPr>
          <w:rFonts w:asciiTheme="majorHAnsi" w:hAnsiTheme="majorHAnsi"/>
          <w:color w:val="000000"/>
          <w:szCs w:val="24"/>
          <w:lang w:val="en-US"/>
        </w:rPr>
        <w:t xml:space="preserve"> The same holds true for the possible establishment of a European Public Prosecutor, which will have far-reaching powers to investigate EU financial crimes.</w:t>
      </w:r>
      <w:r w:rsidR="004738C5" w:rsidRPr="000F00CD">
        <w:rPr>
          <w:rStyle w:val="FootnoteReference"/>
          <w:rFonts w:asciiTheme="majorHAnsi" w:hAnsiTheme="majorHAnsi"/>
          <w:color w:val="000000"/>
          <w:szCs w:val="24"/>
          <w:lang w:val="en-US"/>
        </w:rPr>
        <w:footnoteReference w:id="78"/>
      </w:r>
      <w:r w:rsidR="004738C5" w:rsidRPr="000F00CD">
        <w:rPr>
          <w:rFonts w:asciiTheme="majorHAnsi" w:hAnsiTheme="majorHAnsi"/>
          <w:color w:val="000000"/>
          <w:szCs w:val="24"/>
          <w:lang w:val="en-US"/>
        </w:rPr>
        <w:t xml:space="preserve"> </w:t>
      </w:r>
    </w:p>
    <w:p w14:paraId="39F38352" w14:textId="77777777" w:rsidR="004738C5" w:rsidRPr="000F00CD" w:rsidRDefault="004738C5" w:rsidP="008E43F0">
      <w:pPr>
        <w:suppressAutoHyphens/>
        <w:spacing w:line="360" w:lineRule="auto"/>
        <w:jc w:val="both"/>
        <w:rPr>
          <w:rFonts w:asciiTheme="majorHAnsi" w:hAnsiTheme="majorHAnsi"/>
          <w:szCs w:val="24"/>
          <w:lang w:val="en-US"/>
        </w:rPr>
      </w:pPr>
    </w:p>
    <w:p w14:paraId="4E01A57F" w14:textId="5CCFDEB0" w:rsidR="004738C5" w:rsidRPr="000F00CD" w:rsidRDefault="004738C5" w:rsidP="008E43F0">
      <w:pPr>
        <w:suppressAutoHyphens/>
        <w:spacing w:line="360" w:lineRule="auto"/>
        <w:jc w:val="both"/>
        <w:rPr>
          <w:rFonts w:asciiTheme="majorHAnsi" w:hAnsiTheme="majorHAnsi"/>
          <w:color w:val="141215"/>
          <w:szCs w:val="24"/>
          <w:lang w:val="en-US"/>
        </w:rPr>
      </w:pPr>
      <w:r w:rsidRPr="000F00CD">
        <w:rPr>
          <w:rFonts w:asciiTheme="majorHAnsi" w:hAnsiTheme="majorHAnsi"/>
          <w:szCs w:val="24"/>
          <w:lang w:val="en-US"/>
        </w:rPr>
        <w:t xml:space="preserve">As explained, the Fourth Money Laundering Directive seeks to establish an increased focus on risk assessment at the national level. Such a risk assessment is to be carried out in liaison with various agencies that should provide guidance for the Member States as to how to carry out risk assessments and where European Supervisory Authority plays a key role by also being asked to provide regulatory technical standards where needed for financial institutions to adapt their internal controls to deal with specific situations. </w:t>
      </w:r>
      <w:r w:rsidRPr="000F00CD">
        <w:rPr>
          <w:rFonts w:asciiTheme="majorHAnsi" w:hAnsiTheme="majorHAnsi"/>
          <w:color w:val="000000"/>
          <w:szCs w:val="24"/>
          <w:lang w:val="en-US"/>
        </w:rPr>
        <w:t xml:space="preserve">Europol is the main player in the EU anti-terrorism tracking </w:t>
      </w:r>
      <w:r w:rsidRPr="000F00CD">
        <w:rPr>
          <w:rFonts w:asciiTheme="majorHAnsi" w:hAnsiTheme="majorHAnsi"/>
          <w:color w:val="000000"/>
          <w:szCs w:val="24"/>
          <w:lang w:val="en-US"/>
        </w:rPr>
        <w:lastRenderedPageBreak/>
        <w:t>system. A</w:t>
      </w:r>
      <w:r w:rsidR="001D1538" w:rsidRPr="000F00CD">
        <w:rPr>
          <w:rFonts w:asciiTheme="majorHAnsi" w:hAnsiTheme="majorHAnsi"/>
          <w:color w:val="000000"/>
          <w:szCs w:val="24"/>
          <w:lang w:val="en-US"/>
        </w:rPr>
        <w:t>s noted, a</w:t>
      </w:r>
      <w:r w:rsidRPr="000F00CD">
        <w:rPr>
          <w:rFonts w:asciiTheme="majorHAnsi" w:hAnsiTheme="majorHAnsi"/>
          <w:color w:val="000000"/>
          <w:szCs w:val="24"/>
          <w:lang w:val="en-US"/>
        </w:rPr>
        <w:t>ccording to Article 88 TFEU, “</w:t>
      </w:r>
      <w:r w:rsidRPr="000F00CD">
        <w:rPr>
          <w:rFonts w:asciiTheme="majorHAnsi" w:hAnsiTheme="majorHAnsi"/>
          <w:color w:val="141215"/>
          <w:szCs w:val="24"/>
          <w:lang w:val="en-US"/>
        </w:rPr>
        <w:t>Europol’s mission shall be to support and strengthen action by the Member States’ police authorities.”</w:t>
      </w:r>
      <w:r w:rsidRPr="000F00CD">
        <w:rPr>
          <w:rFonts w:asciiTheme="majorHAnsi" w:hAnsiTheme="majorHAnsi"/>
          <w:i/>
          <w:color w:val="141215"/>
          <w:szCs w:val="24"/>
          <w:lang w:val="en-US"/>
        </w:rPr>
        <w:t xml:space="preserve"> </w:t>
      </w:r>
      <w:r w:rsidRPr="000F00CD">
        <w:rPr>
          <w:rFonts w:asciiTheme="majorHAnsi" w:hAnsiTheme="majorHAnsi"/>
          <w:color w:val="141215"/>
          <w:szCs w:val="24"/>
          <w:lang w:val="en-US"/>
        </w:rPr>
        <w:t>It is then meant to act as a complementing authority, but it is becoming a primary actor. The present paper can do no more than point out the complex interrelationship between the need to decentralize and make the Commission more effective, and basic concerns about the rule of law and legitimacy as well as accountability in criminal law.</w:t>
      </w:r>
    </w:p>
    <w:p w14:paraId="3036E8A2" w14:textId="77777777" w:rsidR="004738C5" w:rsidRPr="000F00CD" w:rsidRDefault="004738C5" w:rsidP="008E43F0">
      <w:pPr>
        <w:suppressAutoHyphens/>
        <w:spacing w:line="360" w:lineRule="auto"/>
        <w:jc w:val="both"/>
        <w:rPr>
          <w:rFonts w:asciiTheme="majorHAnsi" w:hAnsiTheme="majorHAnsi"/>
          <w:color w:val="141215"/>
          <w:szCs w:val="24"/>
          <w:lang w:val="en-US"/>
        </w:rPr>
      </w:pPr>
    </w:p>
    <w:p w14:paraId="6657DFB7" w14:textId="0F497219" w:rsidR="009B6A62" w:rsidRPr="000F00CD" w:rsidRDefault="009A122E" w:rsidP="008E43F0">
      <w:pPr>
        <w:spacing w:line="360" w:lineRule="auto"/>
        <w:rPr>
          <w:rFonts w:asciiTheme="majorHAnsi" w:hAnsiTheme="majorHAnsi"/>
          <w:i/>
          <w:szCs w:val="24"/>
          <w:lang w:val="en-US"/>
        </w:rPr>
      </w:pPr>
      <w:r>
        <w:rPr>
          <w:rFonts w:asciiTheme="majorHAnsi" w:hAnsiTheme="majorHAnsi"/>
          <w:i/>
          <w:szCs w:val="24"/>
          <w:lang w:val="en-US"/>
        </w:rPr>
        <w:t>6.</w:t>
      </w:r>
      <w:r w:rsidR="009B6A62" w:rsidRPr="000F00CD">
        <w:rPr>
          <w:rFonts w:asciiTheme="majorHAnsi" w:hAnsiTheme="majorHAnsi"/>
          <w:i/>
          <w:szCs w:val="24"/>
          <w:lang w:val="en-US"/>
        </w:rPr>
        <w:t xml:space="preserve"> EU Financial Regulation</w:t>
      </w:r>
      <w:r w:rsidR="009B6A62">
        <w:rPr>
          <w:rFonts w:asciiTheme="majorHAnsi" w:hAnsiTheme="majorHAnsi"/>
          <w:i/>
          <w:szCs w:val="24"/>
          <w:lang w:val="en-US"/>
        </w:rPr>
        <w:t xml:space="preserve"> and white collar crime</w:t>
      </w:r>
      <w:r w:rsidR="009B6A62" w:rsidRPr="000F00CD">
        <w:rPr>
          <w:rFonts w:asciiTheme="majorHAnsi" w:hAnsiTheme="majorHAnsi"/>
          <w:i/>
          <w:szCs w:val="24"/>
          <w:lang w:val="en-US"/>
        </w:rPr>
        <w:t>: the UK experience</w:t>
      </w:r>
    </w:p>
    <w:p w14:paraId="5AD85D3A" w14:textId="713AA55D" w:rsidR="004338F6" w:rsidRPr="000F00CD" w:rsidRDefault="009B6A62" w:rsidP="008E43F0">
      <w:pPr>
        <w:tabs>
          <w:tab w:val="left" w:pos="540"/>
          <w:tab w:val="left" w:pos="709"/>
        </w:tabs>
        <w:spacing w:line="360" w:lineRule="auto"/>
        <w:ind w:right="141"/>
        <w:rPr>
          <w:rFonts w:asciiTheme="majorHAnsi" w:hAnsiTheme="majorHAnsi"/>
          <w:szCs w:val="24"/>
          <w:lang w:val="en-US"/>
        </w:rPr>
      </w:pPr>
      <w:r>
        <w:rPr>
          <w:rFonts w:asciiTheme="majorHAnsi" w:hAnsiTheme="majorHAnsi"/>
          <w:szCs w:val="24"/>
          <w:lang w:val="en-US"/>
        </w:rPr>
        <w:t>As noted above</w:t>
      </w:r>
      <w:r w:rsidRPr="000F00CD">
        <w:rPr>
          <w:rFonts w:asciiTheme="majorHAnsi" w:hAnsiTheme="majorHAnsi"/>
          <w:szCs w:val="24"/>
          <w:lang w:val="en-US"/>
        </w:rPr>
        <w:t xml:space="preserve">, market regulation </w:t>
      </w:r>
      <w:r>
        <w:rPr>
          <w:rFonts w:asciiTheme="majorHAnsi" w:hAnsiTheme="majorHAnsi"/>
          <w:szCs w:val="24"/>
          <w:lang w:val="en-US"/>
        </w:rPr>
        <w:t xml:space="preserve">in the area of financial crimes </w:t>
      </w:r>
      <w:r w:rsidRPr="000F00CD">
        <w:rPr>
          <w:rFonts w:asciiTheme="majorHAnsi" w:hAnsiTheme="majorHAnsi"/>
          <w:szCs w:val="24"/>
          <w:lang w:val="en-US"/>
        </w:rPr>
        <w:t xml:space="preserve">and consumer confidence were not a focus of the EU’s initial responses to the financial </w:t>
      </w:r>
      <w:r w:rsidRPr="002C36CA">
        <w:rPr>
          <w:rFonts w:asciiTheme="majorHAnsi" w:hAnsiTheme="majorHAnsi"/>
          <w:szCs w:val="24"/>
          <w:lang w:val="en-US"/>
        </w:rPr>
        <w:t>crisis nor were they reflected on the international agenda.</w:t>
      </w:r>
      <w:r w:rsidRPr="002C36CA">
        <w:rPr>
          <w:rFonts w:asciiTheme="majorHAnsi" w:hAnsiTheme="majorHAnsi"/>
          <w:szCs w:val="24"/>
          <w:vertAlign w:val="superscript"/>
          <w:lang w:val="en-US"/>
        </w:rPr>
        <w:footnoteReference w:id="79"/>
      </w:r>
      <w:r w:rsidRPr="002C36CA">
        <w:rPr>
          <w:rFonts w:asciiTheme="majorHAnsi" w:hAnsiTheme="majorHAnsi"/>
          <w:szCs w:val="24"/>
          <w:lang w:val="en-US"/>
        </w:rPr>
        <w:t xml:space="preserve"> </w:t>
      </w:r>
      <w:r w:rsidR="004338F6">
        <w:rPr>
          <w:rFonts w:asciiTheme="majorHAnsi" w:hAnsiTheme="majorHAnsi"/>
          <w:szCs w:val="24"/>
          <w:lang w:val="en-US"/>
        </w:rPr>
        <w:t xml:space="preserve">The UK is an interesting test case with regard to the EU’s financial crimes </w:t>
      </w:r>
      <w:r w:rsidR="008E43F0">
        <w:rPr>
          <w:rFonts w:asciiTheme="majorHAnsi" w:hAnsiTheme="majorHAnsi"/>
          <w:szCs w:val="24"/>
          <w:lang w:val="en-US"/>
        </w:rPr>
        <w:t>agenda. For example, m</w:t>
      </w:r>
      <w:r w:rsidR="004338F6" w:rsidRPr="000F00CD">
        <w:rPr>
          <w:rFonts w:asciiTheme="majorHAnsi" w:hAnsiTheme="majorHAnsi"/>
          <w:szCs w:val="24"/>
          <w:lang w:val="en-US"/>
        </w:rPr>
        <w:t>any commentators have stressed the ‘gold plating’ phenomenon, or over-implementation, in connection with the AML regime in the UK.</w:t>
      </w:r>
      <w:r w:rsidR="004338F6" w:rsidRPr="000F00CD">
        <w:rPr>
          <w:rStyle w:val="FootnoteReference"/>
          <w:rFonts w:asciiTheme="majorHAnsi" w:hAnsiTheme="majorHAnsi"/>
          <w:szCs w:val="24"/>
          <w:lang w:val="en-US"/>
        </w:rPr>
        <w:footnoteReference w:id="80"/>
      </w:r>
      <w:r w:rsidR="004338F6" w:rsidRPr="000F00CD">
        <w:rPr>
          <w:rFonts w:asciiTheme="majorHAnsi" w:hAnsiTheme="majorHAnsi"/>
          <w:szCs w:val="24"/>
          <w:lang w:val="en-US"/>
        </w:rPr>
        <w:t xml:space="preserve"> For example, it has been pointed out that the notion of ‘suspicion’ in relation to the source of the proceeds of crime appears to have constituted a crucial theme in UK AML legislation. Thus, rather than </w:t>
      </w:r>
      <w:r w:rsidR="004338F6" w:rsidRPr="000F00CD">
        <w:rPr>
          <w:rFonts w:asciiTheme="majorHAnsi" w:hAnsiTheme="majorHAnsi"/>
          <w:szCs w:val="24"/>
          <w:lang w:val="en-US"/>
        </w:rPr>
        <w:lastRenderedPageBreak/>
        <w:t>stipulating the requirement of ‘knowledge’</w:t>
      </w:r>
      <w:r w:rsidR="004338F6" w:rsidRPr="000F00CD">
        <w:rPr>
          <w:rFonts w:asciiTheme="majorHAnsi" w:hAnsiTheme="majorHAnsi"/>
          <w:szCs w:val="24"/>
          <w:lang w:val="en-US"/>
        </w:rPr>
        <w:sym w:font="Symbol" w:char="F0BE"/>
      </w:r>
      <w:r w:rsidR="004338F6" w:rsidRPr="000F00CD">
        <w:rPr>
          <w:rFonts w:asciiTheme="majorHAnsi" w:hAnsiTheme="majorHAnsi"/>
          <w:szCs w:val="24"/>
          <w:lang w:val="en-US"/>
        </w:rPr>
        <w:t>that is, ‘intent’</w:t>
      </w:r>
      <w:r w:rsidR="004338F6" w:rsidRPr="000F00CD">
        <w:rPr>
          <w:rFonts w:asciiTheme="majorHAnsi" w:hAnsiTheme="majorHAnsi"/>
          <w:szCs w:val="24"/>
          <w:lang w:val="en-US"/>
        </w:rPr>
        <w:sym w:font="Symbol" w:char="F0BE"/>
      </w:r>
      <w:r w:rsidR="004338F6" w:rsidRPr="000F00CD">
        <w:rPr>
          <w:rFonts w:asciiTheme="majorHAnsi" w:hAnsiTheme="majorHAnsi"/>
          <w:szCs w:val="24"/>
          <w:lang w:val="en-US"/>
        </w:rPr>
        <w:t xml:space="preserve">the UK legislator seems to rely on ‘suspicion’, which constitutes a lower threshold for prosecution on the criminal law scale. This is interesting, as the Directives in question refer to the requirement of ‘knowledge’ rather than an objective test consisting of ‘having reasonable grounds to suspect’. </w:t>
      </w:r>
    </w:p>
    <w:p w14:paraId="10C22951" w14:textId="186E4EF9" w:rsidR="009B6A62" w:rsidRPr="000F00CD" w:rsidRDefault="009B6A62" w:rsidP="008E43F0">
      <w:pPr>
        <w:spacing w:line="360" w:lineRule="auto"/>
        <w:rPr>
          <w:rFonts w:asciiTheme="majorHAnsi" w:hAnsiTheme="majorHAnsi"/>
          <w:szCs w:val="24"/>
          <w:lang w:val="en-US"/>
        </w:rPr>
      </w:pPr>
      <w:r w:rsidRPr="000F00CD">
        <w:rPr>
          <w:rFonts w:asciiTheme="majorHAnsi" w:hAnsiTheme="majorHAnsi"/>
          <w:szCs w:val="24"/>
          <w:lang w:val="en-US"/>
        </w:rPr>
        <w:t xml:space="preserve">This position can be contrasted with that adopted in the UK where successive financial regulatory agencies have been given the specific mandate to tackle and reduce financial crime.  </w:t>
      </w:r>
      <w:r w:rsidR="008279E0">
        <w:rPr>
          <w:rFonts w:asciiTheme="majorHAnsi" w:hAnsiTheme="majorHAnsi"/>
          <w:szCs w:val="24"/>
          <w:lang w:val="en-US"/>
        </w:rPr>
        <w:t xml:space="preserve">This was a very significant development in the UK and perhaps it could be simply classified as a ‘common sense’ approach given the historical links between the financial services sector and financial crime.  </w:t>
      </w:r>
      <w:r w:rsidR="001C6BA1">
        <w:rPr>
          <w:rFonts w:asciiTheme="majorHAnsi" w:hAnsiTheme="majorHAnsi"/>
          <w:szCs w:val="24"/>
          <w:lang w:val="en-US"/>
        </w:rPr>
        <w:t xml:space="preserve">The unique approach adopted in the UK resulted from the realistion that its financial services sector is continuously threatened by financial crime.  This resulted in the partial merger of several important pieces of financial crime legislation with its financial services regulation.  </w:t>
      </w:r>
      <w:r w:rsidRPr="000F00CD">
        <w:rPr>
          <w:rFonts w:asciiTheme="majorHAnsi" w:hAnsiTheme="majorHAnsi"/>
          <w:szCs w:val="24"/>
          <w:lang w:val="en-US"/>
        </w:rPr>
        <w:t>For example, by virtue of the Financial Services and Markets Act 2000 (FSMA 2000), the then Financial Services Authority (FSA) was given a statutory objective to reduce financial crime.</w:t>
      </w:r>
      <w:r w:rsidRPr="000F00CD">
        <w:rPr>
          <w:rFonts w:asciiTheme="majorHAnsi" w:hAnsiTheme="majorHAnsi"/>
          <w:szCs w:val="24"/>
          <w:vertAlign w:val="superscript"/>
          <w:lang w:val="en-US"/>
        </w:rPr>
        <w:footnoteReference w:id="81"/>
      </w:r>
      <w:r w:rsidRPr="000F00CD">
        <w:rPr>
          <w:rFonts w:asciiTheme="majorHAnsi" w:hAnsiTheme="majorHAnsi"/>
          <w:szCs w:val="24"/>
          <w:vertAlign w:val="superscript"/>
          <w:lang w:val="en-US"/>
        </w:rPr>
        <w:t xml:space="preserve"> </w:t>
      </w:r>
      <w:r w:rsidRPr="000F00CD">
        <w:rPr>
          <w:rFonts w:asciiTheme="majorHAnsi" w:hAnsiTheme="majorHAnsi"/>
          <w:szCs w:val="24"/>
          <w:lang w:val="en-US"/>
        </w:rPr>
        <w:t xml:space="preserve"> The UK statutory definition of financial crime was as including ‘any offence involving fraud, or dishonesty, misconduct in, or misuse of information relating to, a financial </w:t>
      </w:r>
      <w:r w:rsidRPr="000F00CD">
        <w:rPr>
          <w:rFonts w:asciiTheme="majorHAnsi" w:hAnsiTheme="majorHAnsi"/>
          <w:szCs w:val="24"/>
          <w:lang w:val="en-US"/>
        </w:rPr>
        <w:lastRenderedPageBreak/>
        <w:t>market or handling the proceeds of crime’.</w:t>
      </w:r>
      <w:r w:rsidRPr="000F00CD">
        <w:rPr>
          <w:rFonts w:asciiTheme="majorHAnsi" w:hAnsiTheme="majorHAnsi"/>
          <w:szCs w:val="24"/>
          <w:vertAlign w:val="superscript"/>
          <w:lang w:val="en-US"/>
        </w:rPr>
        <w:footnoteReference w:id="82"/>
      </w:r>
      <w:r w:rsidRPr="000F00CD">
        <w:rPr>
          <w:rFonts w:asciiTheme="majorHAnsi" w:hAnsiTheme="majorHAnsi"/>
          <w:szCs w:val="24"/>
          <w:vertAlign w:val="superscript"/>
          <w:lang w:val="en-US"/>
        </w:rPr>
        <w:t xml:space="preserve"> </w:t>
      </w:r>
      <w:r w:rsidRPr="000F00CD">
        <w:rPr>
          <w:rFonts w:asciiTheme="majorHAnsi" w:hAnsiTheme="majorHAnsi"/>
          <w:szCs w:val="24"/>
          <w:lang w:val="en-US"/>
        </w:rPr>
        <w:t>The principal objective of the FSA has therefore been to focus on the anti-money laundering (AML) systems and controls that the regulated sector has in place.</w:t>
      </w:r>
      <w:r w:rsidRPr="000F00CD">
        <w:rPr>
          <w:rFonts w:asciiTheme="majorHAnsi" w:hAnsiTheme="majorHAnsi"/>
          <w:szCs w:val="24"/>
          <w:vertAlign w:val="superscript"/>
          <w:lang w:val="en-US"/>
        </w:rPr>
        <w:footnoteReference w:id="83"/>
      </w:r>
      <w:r w:rsidRPr="000F00CD">
        <w:rPr>
          <w:rFonts w:asciiTheme="majorHAnsi" w:hAnsiTheme="majorHAnsi"/>
          <w:szCs w:val="24"/>
          <w:vertAlign w:val="superscript"/>
          <w:lang w:val="en-US"/>
        </w:rPr>
        <w:t xml:space="preserve"> </w:t>
      </w:r>
      <w:r w:rsidRPr="000F00CD">
        <w:rPr>
          <w:rFonts w:asciiTheme="majorHAnsi" w:hAnsiTheme="majorHAnsi"/>
          <w:szCs w:val="24"/>
          <w:lang w:val="en-US"/>
        </w:rPr>
        <w:t>Under the FSMA 2000, the FSA makde rules in relation to the prevention and detection of money laundering.</w:t>
      </w:r>
      <w:r w:rsidRPr="000F00CD">
        <w:rPr>
          <w:rFonts w:asciiTheme="majorHAnsi" w:hAnsiTheme="majorHAnsi"/>
          <w:szCs w:val="24"/>
          <w:vertAlign w:val="superscript"/>
          <w:lang w:val="en-US"/>
        </w:rPr>
        <w:footnoteReference w:id="84"/>
      </w:r>
      <w:r w:rsidRPr="000F00CD">
        <w:rPr>
          <w:rFonts w:asciiTheme="majorHAnsi" w:hAnsiTheme="majorHAnsi"/>
          <w:szCs w:val="24"/>
          <w:vertAlign w:val="superscript"/>
          <w:lang w:val="en-US"/>
        </w:rPr>
        <w:t xml:space="preserve"> </w:t>
      </w:r>
      <w:r w:rsidRPr="000F00CD">
        <w:rPr>
          <w:rFonts w:asciiTheme="majorHAnsi" w:hAnsiTheme="majorHAnsi"/>
          <w:szCs w:val="24"/>
          <w:lang w:val="en-US"/>
        </w:rPr>
        <w:t>The rule-making powers of the FSA were originally contained in the Money Laundering Sourcebook,</w:t>
      </w:r>
      <w:r w:rsidRPr="000F00CD">
        <w:rPr>
          <w:rFonts w:asciiTheme="majorHAnsi" w:hAnsiTheme="majorHAnsi"/>
          <w:szCs w:val="24"/>
          <w:vertAlign w:val="superscript"/>
          <w:lang w:val="en-US"/>
        </w:rPr>
        <w:footnoteReference w:id="85"/>
      </w:r>
      <w:r w:rsidRPr="000F00CD">
        <w:rPr>
          <w:rFonts w:asciiTheme="majorHAnsi" w:hAnsiTheme="majorHAnsi"/>
          <w:szCs w:val="24"/>
          <w:lang w:val="en-US"/>
        </w:rPr>
        <w:t xml:space="preserve"> but these were detailed, burdensome and very similar to those in the Money Laundering Regulations 1993.</w:t>
      </w:r>
      <w:r w:rsidRPr="000F00CD">
        <w:rPr>
          <w:rStyle w:val="FootnoteReference"/>
          <w:rFonts w:asciiTheme="majorHAnsi" w:hAnsiTheme="majorHAnsi"/>
          <w:szCs w:val="24"/>
          <w:lang w:val="en-US"/>
        </w:rPr>
        <w:footnoteReference w:id="86"/>
      </w:r>
      <w:r w:rsidRPr="000F00CD">
        <w:rPr>
          <w:rFonts w:asciiTheme="majorHAnsi" w:hAnsiTheme="majorHAnsi"/>
          <w:szCs w:val="24"/>
          <w:lang w:val="en-US"/>
        </w:rPr>
        <w:t xml:space="preserve"> The Money Laundering Sourcebook has been replaced by a principles-based approach in the Senior Management Arrangements, Systems and Controls (SYSC) part of the FSA’s Handbook.</w:t>
      </w:r>
      <w:r w:rsidRPr="000F00CD">
        <w:rPr>
          <w:rFonts w:asciiTheme="majorHAnsi" w:hAnsiTheme="majorHAnsi"/>
          <w:szCs w:val="24"/>
          <w:vertAlign w:val="superscript"/>
          <w:lang w:val="en-US"/>
        </w:rPr>
        <w:footnoteReference w:id="87"/>
      </w:r>
      <w:r w:rsidRPr="000F00CD">
        <w:rPr>
          <w:rFonts w:asciiTheme="majorHAnsi" w:hAnsiTheme="majorHAnsi"/>
          <w:szCs w:val="24"/>
          <w:lang w:val="en-US"/>
        </w:rPr>
        <w:t xml:space="preserve"> The amended version provides that firms must have in place systems and controls which are appropriate for the firm to conduct its business.</w:t>
      </w:r>
      <w:r w:rsidRPr="000F00CD">
        <w:rPr>
          <w:rFonts w:asciiTheme="majorHAnsi" w:hAnsiTheme="majorHAnsi"/>
          <w:szCs w:val="24"/>
          <w:vertAlign w:val="superscript"/>
          <w:lang w:val="en-US"/>
        </w:rPr>
        <w:footnoteReference w:id="88"/>
      </w:r>
      <w:r w:rsidRPr="000F00CD">
        <w:rPr>
          <w:rFonts w:asciiTheme="majorHAnsi" w:hAnsiTheme="majorHAnsi"/>
          <w:szCs w:val="24"/>
          <w:vertAlign w:val="superscript"/>
          <w:lang w:val="en-US"/>
        </w:rPr>
        <w:t xml:space="preserve"> </w:t>
      </w:r>
      <w:r w:rsidRPr="000F00CD">
        <w:rPr>
          <w:rFonts w:asciiTheme="majorHAnsi" w:hAnsiTheme="majorHAnsi"/>
          <w:szCs w:val="24"/>
          <w:lang w:val="en-US"/>
        </w:rPr>
        <w:t xml:space="preserve">This includes: a </w:t>
      </w:r>
      <w:r w:rsidRPr="000F00CD">
        <w:rPr>
          <w:rFonts w:asciiTheme="majorHAnsi" w:hAnsiTheme="majorHAnsi"/>
          <w:szCs w:val="24"/>
          <w:lang w:val="en-US"/>
        </w:rPr>
        <w:lastRenderedPageBreak/>
        <w:t>requirement to carry out regular assessments of the adequacy of AML systems so as to protect themselves from being used to further financial crime;</w:t>
      </w:r>
      <w:r w:rsidRPr="000F00CD">
        <w:rPr>
          <w:rFonts w:asciiTheme="majorHAnsi" w:hAnsiTheme="majorHAnsi"/>
          <w:szCs w:val="24"/>
          <w:vertAlign w:val="superscript"/>
          <w:lang w:val="en-US"/>
        </w:rPr>
        <w:footnoteReference w:id="89"/>
      </w:r>
      <w:r w:rsidRPr="000F00CD">
        <w:rPr>
          <w:rFonts w:asciiTheme="majorHAnsi" w:hAnsiTheme="majorHAnsi"/>
          <w:szCs w:val="24"/>
          <w:lang w:val="en-US"/>
        </w:rPr>
        <w:t xml:space="preserve"> the</w:t>
      </w:r>
      <w:r w:rsidRPr="000F00CD">
        <w:rPr>
          <w:rFonts w:asciiTheme="majorHAnsi" w:hAnsiTheme="majorHAnsi"/>
          <w:szCs w:val="24"/>
          <w:vertAlign w:val="superscript"/>
          <w:lang w:val="en-US"/>
        </w:rPr>
        <w:t xml:space="preserve"> </w:t>
      </w:r>
      <w:r w:rsidRPr="000F00CD">
        <w:rPr>
          <w:rFonts w:asciiTheme="majorHAnsi" w:hAnsiTheme="majorHAnsi"/>
          <w:szCs w:val="24"/>
          <w:lang w:val="en-US"/>
        </w:rPr>
        <w:t>allocation of a director or senior manager with overall responsibility for establishing and maintaining an AML system; and, the appointment of a cer (MLRO).</w:t>
      </w:r>
      <w:r w:rsidRPr="000F00CD">
        <w:rPr>
          <w:rFonts w:asciiTheme="majorHAnsi" w:hAnsiTheme="majorHAnsi"/>
          <w:szCs w:val="24"/>
          <w:vertAlign w:val="superscript"/>
          <w:lang w:val="en-US"/>
        </w:rPr>
        <w:footnoteReference w:id="90"/>
      </w:r>
      <w:r w:rsidRPr="000F00CD">
        <w:rPr>
          <w:rFonts w:asciiTheme="majorHAnsi" w:hAnsiTheme="majorHAnsi"/>
          <w:szCs w:val="24"/>
          <w:vertAlign w:val="superscript"/>
          <w:lang w:val="en-US"/>
        </w:rPr>
        <w:t xml:space="preserve"> </w:t>
      </w:r>
      <w:r w:rsidRPr="000F00CD">
        <w:rPr>
          <w:rFonts w:asciiTheme="majorHAnsi" w:hAnsiTheme="majorHAnsi"/>
          <w:szCs w:val="24"/>
          <w:lang w:val="en-US"/>
        </w:rPr>
        <w:t>The SYSC regime seeks to provide the regulated sector Money Laundering Reporting Offiith an even higher degree of flexibility, which allows them to identify the risks and determine how they can best allocate their resources in areas which are most vulnerable. This approach seeks to encourage and enable the regulated sector to target their resources most appropriately on activities at risk from money laundering, thus reducing AML compliance costs</w:t>
      </w:r>
    </w:p>
    <w:p w14:paraId="03B7B2B0" w14:textId="77777777" w:rsidR="009B6A62" w:rsidRPr="000F00CD" w:rsidRDefault="009B6A62" w:rsidP="008E43F0">
      <w:pPr>
        <w:spacing w:line="360" w:lineRule="auto"/>
        <w:rPr>
          <w:rFonts w:asciiTheme="majorHAnsi" w:hAnsiTheme="majorHAnsi"/>
          <w:szCs w:val="24"/>
          <w:lang w:val="en-US"/>
        </w:rPr>
      </w:pPr>
    </w:p>
    <w:p w14:paraId="394ECE7F" w14:textId="03F22799" w:rsidR="009B6A62" w:rsidRPr="000F00CD" w:rsidRDefault="009B6A62" w:rsidP="008E43F0">
      <w:pPr>
        <w:spacing w:line="360" w:lineRule="auto"/>
        <w:rPr>
          <w:rFonts w:asciiTheme="majorHAnsi" w:hAnsiTheme="majorHAnsi"/>
          <w:szCs w:val="24"/>
          <w:lang w:val="en-US"/>
        </w:rPr>
      </w:pPr>
      <w:r w:rsidRPr="000F00CD">
        <w:rPr>
          <w:rFonts w:asciiTheme="majorHAnsi" w:hAnsiTheme="majorHAnsi"/>
          <w:szCs w:val="24"/>
          <w:lang w:val="en-US"/>
        </w:rPr>
        <w:t>The most important tools that the FSA has in the fight against money laundering are its extensive investigative and enforcement powers.</w:t>
      </w:r>
      <w:r w:rsidRPr="000F00CD">
        <w:rPr>
          <w:rFonts w:asciiTheme="majorHAnsi" w:hAnsiTheme="majorHAnsi"/>
          <w:szCs w:val="24"/>
          <w:vertAlign w:val="superscript"/>
          <w:lang w:val="en-US"/>
        </w:rPr>
        <w:footnoteReference w:id="91"/>
      </w:r>
      <w:r w:rsidRPr="000F00CD">
        <w:rPr>
          <w:rFonts w:asciiTheme="majorHAnsi" w:hAnsiTheme="majorHAnsi"/>
          <w:szCs w:val="24"/>
          <w:vertAlign w:val="superscript"/>
          <w:lang w:val="en-US"/>
        </w:rPr>
        <w:t xml:space="preserve"> </w:t>
      </w:r>
      <w:r w:rsidRPr="000F00CD">
        <w:rPr>
          <w:rFonts w:asciiTheme="majorHAnsi" w:hAnsiTheme="majorHAnsi"/>
          <w:szCs w:val="24"/>
          <w:lang w:val="en-US"/>
        </w:rPr>
        <w:t>The FSA has the ability to require information from firms,</w:t>
      </w:r>
      <w:r w:rsidRPr="000F00CD">
        <w:rPr>
          <w:rFonts w:asciiTheme="majorHAnsi" w:hAnsiTheme="majorHAnsi"/>
          <w:szCs w:val="24"/>
          <w:vertAlign w:val="superscript"/>
          <w:lang w:val="en-US"/>
        </w:rPr>
        <w:footnoteReference w:id="92"/>
      </w:r>
      <w:r w:rsidRPr="000F00CD">
        <w:rPr>
          <w:rFonts w:asciiTheme="majorHAnsi" w:hAnsiTheme="majorHAnsi"/>
          <w:szCs w:val="24"/>
          <w:lang w:val="en-US"/>
        </w:rPr>
        <w:t xml:space="preserve"> to appoint investigators,</w:t>
      </w:r>
      <w:r w:rsidRPr="000F00CD">
        <w:rPr>
          <w:rFonts w:asciiTheme="majorHAnsi" w:hAnsiTheme="majorHAnsi"/>
          <w:szCs w:val="24"/>
          <w:vertAlign w:val="superscript"/>
          <w:lang w:val="en-US"/>
        </w:rPr>
        <w:footnoteReference w:id="93"/>
      </w:r>
      <w:r w:rsidRPr="000F00CD">
        <w:rPr>
          <w:rFonts w:asciiTheme="majorHAnsi" w:hAnsiTheme="majorHAnsi"/>
          <w:szCs w:val="24"/>
          <w:vertAlign w:val="superscript"/>
          <w:lang w:val="en-US"/>
        </w:rPr>
        <w:t xml:space="preserve"> </w:t>
      </w:r>
      <w:r w:rsidRPr="000F00CD">
        <w:rPr>
          <w:rFonts w:asciiTheme="majorHAnsi" w:hAnsiTheme="majorHAnsi"/>
          <w:szCs w:val="24"/>
          <w:lang w:val="en-US"/>
        </w:rPr>
        <w:t>to obtain the assistance of overseas financial regulators</w:t>
      </w:r>
      <w:r w:rsidRPr="000F00CD">
        <w:rPr>
          <w:rFonts w:asciiTheme="majorHAnsi" w:hAnsiTheme="majorHAnsi"/>
          <w:szCs w:val="24"/>
          <w:vertAlign w:val="superscript"/>
          <w:lang w:val="en-US"/>
        </w:rPr>
        <w:footnoteReference w:id="94"/>
      </w:r>
      <w:r w:rsidRPr="000F00CD">
        <w:rPr>
          <w:rFonts w:asciiTheme="majorHAnsi" w:hAnsiTheme="majorHAnsi"/>
          <w:szCs w:val="24"/>
          <w:vertAlign w:val="superscript"/>
          <w:lang w:val="en-US"/>
        </w:rPr>
        <w:t xml:space="preserve"> </w:t>
      </w:r>
      <w:r w:rsidRPr="000F00CD">
        <w:rPr>
          <w:rFonts w:asciiTheme="majorHAnsi" w:hAnsiTheme="majorHAnsi"/>
          <w:szCs w:val="24"/>
          <w:lang w:val="en-US"/>
        </w:rPr>
        <w:lastRenderedPageBreak/>
        <w:t>and provide appointed investigators with additional powers.</w:t>
      </w:r>
      <w:r w:rsidRPr="000F00CD">
        <w:rPr>
          <w:rFonts w:asciiTheme="majorHAnsi" w:hAnsiTheme="majorHAnsi"/>
          <w:szCs w:val="24"/>
          <w:vertAlign w:val="superscript"/>
          <w:lang w:val="en-US"/>
        </w:rPr>
        <w:footnoteReference w:id="95"/>
      </w:r>
      <w:r w:rsidRPr="000F00CD">
        <w:rPr>
          <w:rFonts w:asciiTheme="majorHAnsi" w:hAnsiTheme="majorHAnsi"/>
          <w:szCs w:val="24"/>
          <w:vertAlign w:val="superscript"/>
          <w:lang w:val="en-US"/>
        </w:rPr>
        <w:t xml:space="preserve"> </w:t>
      </w:r>
      <w:r w:rsidRPr="000F00CD">
        <w:rPr>
          <w:rFonts w:asciiTheme="majorHAnsi" w:hAnsiTheme="majorHAnsi"/>
          <w:szCs w:val="24"/>
          <w:lang w:val="en-US"/>
        </w:rPr>
        <w:t>Furthermore, the FSA has become a prosecuting authority in respect of certain money laundering offences.</w:t>
      </w:r>
      <w:r w:rsidRPr="000F00CD">
        <w:rPr>
          <w:rFonts w:asciiTheme="majorHAnsi" w:hAnsiTheme="majorHAnsi"/>
          <w:szCs w:val="24"/>
          <w:vertAlign w:val="superscript"/>
          <w:lang w:val="en-US"/>
        </w:rPr>
        <w:footnoteReference w:id="96"/>
      </w:r>
      <w:r w:rsidRPr="000F00CD">
        <w:rPr>
          <w:rFonts w:asciiTheme="majorHAnsi" w:hAnsiTheme="majorHAnsi"/>
          <w:szCs w:val="24"/>
          <w:vertAlign w:val="superscript"/>
          <w:lang w:val="en-US"/>
        </w:rPr>
        <w:t xml:space="preserve"> </w:t>
      </w:r>
      <w:r w:rsidRPr="000F00CD">
        <w:rPr>
          <w:rFonts w:asciiTheme="majorHAnsi" w:hAnsiTheme="majorHAnsi"/>
          <w:szCs w:val="24"/>
          <w:lang w:val="en-US"/>
        </w:rPr>
        <w:t>These powers apply whether or not the entity to be prosecuted is actually regulated by the FSA.</w:t>
      </w:r>
      <w:r w:rsidRPr="000F00CD">
        <w:rPr>
          <w:rFonts w:asciiTheme="majorHAnsi" w:hAnsiTheme="majorHAnsi"/>
          <w:szCs w:val="24"/>
          <w:vertAlign w:val="superscript"/>
          <w:lang w:val="en-US"/>
        </w:rPr>
        <w:footnoteReference w:id="97"/>
      </w:r>
      <w:r w:rsidRPr="000F00CD">
        <w:rPr>
          <w:rFonts w:asciiTheme="majorHAnsi" w:hAnsiTheme="majorHAnsi"/>
          <w:szCs w:val="24"/>
          <w:lang w:val="en-US"/>
        </w:rPr>
        <w:t xml:space="preserve"> The FSA also has the power to impose a financial penalty where it establishes that there has been a contravention by an authorized person of any requirement imposed under FSMA 2000.</w:t>
      </w:r>
      <w:r w:rsidRPr="000F00CD">
        <w:rPr>
          <w:rFonts w:asciiTheme="majorHAnsi" w:hAnsiTheme="majorHAnsi"/>
          <w:szCs w:val="24"/>
          <w:vertAlign w:val="superscript"/>
          <w:lang w:val="en-US"/>
        </w:rPr>
        <w:footnoteReference w:id="98"/>
      </w:r>
      <w:r w:rsidRPr="000F00CD">
        <w:rPr>
          <w:rFonts w:asciiTheme="majorHAnsi" w:hAnsiTheme="majorHAnsi"/>
          <w:szCs w:val="24"/>
          <w:lang w:val="en-US"/>
        </w:rPr>
        <w:t xml:space="preserve"> For example, the FSA has fined firms and MLROs who have breached its AML rules even where there was no evidence of money being laundered.</w:t>
      </w:r>
      <w:r w:rsidRPr="000F00CD">
        <w:rPr>
          <w:rFonts w:asciiTheme="majorHAnsi" w:hAnsiTheme="majorHAnsi"/>
          <w:szCs w:val="24"/>
          <w:vertAlign w:val="superscript"/>
          <w:lang w:val="en-US"/>
        </w:rPr>
        <w:footnoteReference w:id="99"/>
      </w:r>
      <w:r w:rsidRPr="000F00CD">
        <w:rPr>
          <w:rFonts w:asciiTheme="majorHAnsi" w:hAnsiTheme="majorHAnsi"/>
          <w:szCs w:val="24"/>
          <w:vertAlign w:val="superscript"/>
          <w:lang w:val="en-US"/>
        </w:rPr>
        <w:t xml:space="preserve"> </w:t>
      </w:r>
      <w:r w:rsidRPr="000F00CD">
        <w:rPr>
          <w:rFonts w:asciiTheme="majorHAnsi" w:hAnsiTheme="majorHAnsi"/>
          <w:szCs w:val="24"/>
          <w:lang w:val="en-US"/>
        </w:rPr>
        <w:t xml:space="preserve">  </w:t>
      </w:r>
      <w:r w:rsidR="002C36CA">
        <w:rPr>
          <w:rFonts w:asciiTheme="majorHAnsi" w:hAnsiTheme="majorHAnsi"/>
          <w:szCs w:val="24"/>
          <w:lang w:val="en-US"/>
        </w:rPr>
        <w:t xml:space="preserve">This seems highly problematic from the perspective of fair trial and the presumption of innocence. </w:t>
      </w:r>
    </w:p>
    <w:p w14:paraId="1F54BFB2" w14:textId="77777777" w:rsidR="009B6A62" w:rsidRPr="000F00CD" w:rsidRDefault="009B6A62" w:rsidP="008E43F0">
      <w:pPr>
        <w:spacing w:line="360" w:lineRule="auto"/>
        <w:rPr>
          <w:rFonts w:asciiTheme="majorHAnsi" w:hAnsiTheme="majorHAnsi"/>
          <w:szCs w:val="24"/>
          <w:lang w:val="en-US"/>
        </w:rPr>
      </w:pPr>
    </w:p>
    <w:p w14:paraId="114AD62D" w14:textId="4A64A708" w:rsidR="009B6A62" w:rsidRPr="000F00CD" w:rsidRDefault="009B6A62" w:rsidP="008E43F0">
      <w:pPr>
        <w:spacing w:line="360" w:lineRule="auto"/>
        <w:rPr>
          <w:rFonts w:asciiTheme="majorHAnsi" w:eastAsia="SimSun" w:hAnsiTheme="majorHAnsi"/>
          <w:szCs w:val="24"/>
          <w:lang w:val="en-US" w:eastAsia="zh-CN" w:bidi="ar-SA"/>
        </w:rPr>
      </w:pPr>
      <w:r w:rsidRPr="000F00CD">
        <w:rPr>
          <w:rFonts w:asciiTheme="majorHAnsi" w:eastAsia="SimSun" w:hAnsiTheme="majorHAnsi"/>
          <w:szCs w:val="24"/>
          <w:lang w:val="en-US" w:eastAsia="zh-CN" w:bidi="ar-SA"/>
        </w:rPr>
        <w:t xml:space="preserve">However, it is important to note that by virtue of the Financial Services Act 2012, the FSA was replaced by the Financial Conduct Authority and the financial crime statutory objective was removed and it is now associated with the FCAs </w:t>
      </w:r>
      <w:r w:rsidRPr="000F00CD">
        <w:rPr>
          <w:rFonts w:asciiTheme="majorHAnsi" w:hAnsiTheme="majorHAnsi"/>
          <w:szCs w:val="24"/>
          <w:lang w:val="en-US" w:eastAsia="en-GB" w:bidi="ar-SA"/>
        </w:rPr>
        <w:t>consumer protection and market integrity objectives.</w:t>
      </w:r>
      <w:r w:rsidRPr="000F00CD">
        <w:rPr>
          <w:rFonts w:asciiTheme="majorHAnsi" w:hAnsiTheme="majorHAnsi"/>
          <w:szCs w:val="24"/>
          <w:vertAlign w:val="superscript"/>
          <w:lang w:val="en-US" w:eastAsia="en-GB" w:bidi="ar-SA"/>
        </w:rPr>
        <w:footnoteReference w:id="100"/>
      </w:r>
      <w:r w:rsidRPr="000F00CD">
        <w:rPr>
          <w:rFonts w:asciiTheme="majorHAnsi" w:hAnsiTheme="majorHAnsi"/>
          <w:szCs w:val="24"/>
          <w:lang w:val="en-US" w:eastAsia="en-GB" w:bidi="ar-SA"/>
        </w:rPr>
        <w:t xml:space="preserve">  The </w:t>
      </w:r>
      <w:r w:rsidRPr="000F00CD">
        <w:rPr>
          <w:rFonts w:asciiTheme="majorHAnsi" w:hAnsiTheme="majorHAnsi"/>
          <w:szCs w:val="24"/>
          <w:lang w:val="en-US" w:eastAsia="en-GB" w:bidi="ar-SA"/>
        </w:rPr>
        <w:lastRenderedPageBreak/>
        <w:t>FCA stated that “one of our objectives is to ensure the integrity of the markets … a key part of that is ensuring that our markets operate honestly and that the firms we regulate understand, and manage, the financial crime risks that they face”.</w:t>
      </w:r>
      <w:r w:rsidRPr="000F00CD">
        <w:rPr>
          <w:rFonts w:asciiTheme="majorHAnsi" w:hAnsiTheme="majorHAnsi"/>
          <w:szCs w:val="24"/>
          <w:vertAlign w:val="superscript"/>
          <w:lang w:val="en-US" w:eastAsia="en-GB" w:bidi="ar-SA"/>
        </w:rPr>
        <w:footnoteReference w:id="101"/>
      </w:r>
      <w:r w:rsidRPr="000F00CD">
        <w:rPr>
          <w:rFonts w:asciiTheme="majorHAnsi" w:hAnsiTheme="majorHAnsi"/>
          <w:szCs w:val="24"/>
          <w:lang w:val="en-US" w:eastAsia="en-GB" w:bidi="ar-SA"/>
        </w:rPr>
        <w:t xml:space="preserve">  Hill stated that “</w:t>
      </w:r>
      <w:r w:rsidRPr="000F00CD">
        <w:rPr>
          <w:rFonts w:asciiTheme="majorHAnsi" w:eastAsia="Calibri" w:hAnsiTheme="majorHAnsi"/>
          <w:szCs w:val="24"/>
          <w:lang w:val="en-US" w:eastAsia="en-GB" w:bidi="ar-SA"/>
        </w:rPr>
        <w:t>the FCA must also have regard to taking action in relation to financial crime. This will be a freestanding duty to take action in relation to any fraud, dishonesty, misconduct and handling the proceeds of crime”.</w:t>
      </w:r>
      <w:r w:rsidRPr="000F00CD">
        <w:rPr>
          <w:rFonts w:asciiTheme="majorHAnsi" w:eastAsia="Calibri" w:hAnsiTheme="majorHAnsi"/>
          <w:szCs w:val="24"/>
          <w:vertAlign w:val="superscript"/>
          <w:lang w:val="en-US" w:eastAsia="en-GB" w:bidi="ar-SA"/>
        </w:rPr>
        <w:footnoteReference w:id="102"/>
      </w:r>
      <w:r w:rsidRPr="000F00CD">
        <w:rPr>
          <w:rFonts w:asciiTheme="majorHAnsi" w:eastAsia="Calibri" w:hAnsiTheme="majorHAnsi"/>
          <w:szCs w:val="24"/>
          <w:lang w:val="en-US" w:eastAsia="en-GB" w:bidi="ar-SA"/>
        </w:rPr>
        <w:t xml:space="preserve">  </w:t>
      </w:r>
      <w:r w:rsidRPr="000F00CD">
        <w:rPr>
          <w:rFonts w:asciiTheme="majorHAnsi" w:eastAsia="SimSun" w:hAnsiTheme="majorHAnsi"/>
          <w:szCs w:val="24"/>
          <w:lang w:val="en-US" w:eastAsia="zh-CN" w:bidi="ar-SA"/>
        </w:rPr>
        <w:t>The regulator will continue to concentrate its resources towards maintaining “</w:t>
      </w:r>
      <w:r w:rsidRPr="000F00CD">
        <w:rPr>
          <w:rFonts w:asciiTheme="majorHAnsi" w:eastAsia="Calibri" w:hAnsiTheme="majorHAnsi"/>
          <w:szCs w:val="24"/>
          <w:lang w:val="en-US" w:eastAsia="en-GB" w:bidi="ar-SA"/>
        </w:rPr>
        <w:t>standards of conduct in the financial services industry”.</w:t>
      </w:r>
      <w:r w:rsidRPr="000F00CD">
        <w:rPr>
          <w:rFonts w:asciiTheme="majorHAnsi" w:eastAsia="Calibri" w:hAnsiTheme="majorHAnsi"/>
          <w:szCs w:val="24"/>
          <w:vertAlign w:val="superscript"/>
          <w:lang w:val="en-US" w:eastAsia="en-GB" w:bidi="ar-SA"/>
        </w:rPr>
        <w:footnoteReference w:id="103"/>
      </w:r>
      <w:r w:rsidRPr="000F00CD">
        <w:rPr>
          <w:rFonts w:asciiTheme="majorHAnsi" w:eastAsia="Calibri" w:hAnsiTheme="majorHAnsi"/>
          <w:szCs w:val="24"/>
          <w:lang w:val="en-US" w:eastAsia="en-GB" w:bidi="ar-SA"/>
        </w:rPr>
        <w:t xml:space="preserve"> This means that the FCA will adopt a very similar approach towards the reduction of financial crime as that adopted by the FSA, namely that regulated firms must have appropriate systems and controls.  Another legacy left by the FSA are the “the tools … impose penalties for … money laundering”.</w:t>
      </w:r>
      <w:r w:rsidRPr="000F00CD">
        <w:rPr>
          <w:rFonts w:asciiTheme="majorHAnsi" w:eastAsia="Calibri" w:hAnsiTheme="majorHAnsi"/>
          <w:szCs w:val="24"/>
          <w:vertAlign w:val="superscript"/>
          <w:lang w:val="en-US" w:eastAsia="en-GB" w:bidi="ar-SA"/>
        </w:rPr>
        <w:footnoteReference w:id="104"/>
      </w:r>
      <w:r w:rsidRPr="000F00CD">
        <w:rPr>
          <w:rFonts w:asciiTheme="majorHAnsi" w:eastAsia="Calibri" w:hAnsiTheme="majorHAnsi"/>
          <w:szCs w:val="24"/>
          <w:lang w:val="en-US" w:eastAsia="en-GB" w:bidi="ar-SA"/>
        </w:rPr>
        <w:t xml:space="preserve">  Furthermore, the FCA will be expected to follow and further develop the FSA’s credible deterrence strategy.</w:t>
      </w:r>
      <w:r w:rsidRPr="000F00CD">
        <w:rPr>
          <w:rFonts w:asciiTheme="majorHAnsi" w:eastAsia="Calibri" w:hAnsiTheme="majorHAnsi"/>
          <w:szCs w:val="24"/>
          <w:vertAlign w:val="superscript"/>
          <w:lang w:val="en-US" w:eastAsia="en-GB" w:bidi="ar-SA"/>
        </w:rPr>
        <w:footnoteReference w:id="105"/>
      </w:r>
      <w:r w:rsidRPr="000F00CD">
        <w:rPr>
          <w:rFonts w:asciiTheme="majorHAnsi" w:eastAsia="Calibri" w:hAnsiTheme="majorHAnsi"/>
          <w:szCs w:val="24"/>
          <w:lang w:val="en-US" w:eastAsia="en-GB" w:bidi="ar-SA"/>
        </w:rPr>
        <w:t xml:space="preserve">  This would involve the FCA continuing to “taking tough, targeted, effective and public action against misconduct perpetrated by firms and individuals”.</w:t>
      </w:r>
      <w:r w:rsidRPr="000F00CD">
        <w:rPr>
          <w:rFonts w:asciiTheme="majorHAnsi" w:eastAsia="Calibri" w:hAnsiTheme="majorHAnsi"/>
          <w:szCs w:val="24"/>
          <w:vertAlign w:val="superscript"/>
          <w:lang w:val="en-US" w:eastAsia="en-GB" w:bidi="ar-SA"/>
        </w:rPr>
        <w:footnoteReference w:id="106"/>
      </w:r>
      <w:r w:rsidRPr="000F00CD">
        <w:rPr>
          <w:rFonts w:asciiTheme="majorHAnsi" w:eastAsia="Calibri" w:hAnsiTheme="majorHAnsi"/>
          <w:szCs w:val="24"/>
          <w:lang w:val="en-US" w:eastAsia="en-GB" w:bidi="ar-SA"/>
        </w:rPr>
        <w:t xml:space="preserve"> </w:t>
      </w:r>
      <w:r w:rsidR="00750CCC">
        <w:rPr>
          <w:rFonts w:asciiTheme="majorHAnsi" w:eastAsia="Calibri" w:hAnsiTheme="majorHAnsi"/>
          <w:szCs w:val="24"/>
          <w:lang w:val="en-US" w:eastAsia="en-GB" w:bidi="ar-SA"/>
        </w:rPr>
        <w:t xml:space="preserve">  The influence of the EU is clearly illustrated by </w:t>
      </w:r>
      <w:r w:rsidR="00750CCC">
        <w:rPr>
          <w:rFonts w:asciiTheme="majorHAnsi" w:eastAsia="Calibri" w:hAnsiTheme="majorHAnsi"/>
          <w:szCs w:val="24"/>
          <w:lang w:val="en-US" w:eastAsia="en-GB" w:bidi="ar-SA"/>
        </w:rPr>
        <w:lastRenderedPageBreak/>
        <w:t>the UK’s continued adoption of the EU’s money laundering and Directives.  However, it is interesting to note that the limited influence of the EU on the enforcement strategy of the city regulator and it therefore appears that the UK is becoming the ‘yard stick’ on the enforcement of its financial crime objectives that the EU and other Member States could consider adopting.</w:t>
      </w:r>
    </w:p>
    <w:p w14:paraId="72AF31C1" w14:textId="77777777" w:rsidR="009B6A62" w:rsidRDefault="009B6A62" w:rsidP="008E43F0">
      <w:pPr>
        <w:spacing w:line="360" w:lineRule="auto"/>
        <w:rPr>
          <w:rFonts w:asciiTheme="majorHAnsi" w:hAnsiTheme="majorHAnsi"/>
          <w:b/>
          <w:szCs w:val="24"/>
          <w:lang w:val="en-US"/>
        </w:rPr>
      </w:pPr>
    </w:p>
    <w:p w14:paraId="731460EE" w14:textId="3F1055BA" w:rsidR="004738C5" w:rsidRPr="000F00CD" w:rsidRDefault="009A122E" w:rsidP="008E43F0">
      <w:pPr>
        <w:spacing w:line="360" w:lineRule="auto"/>
        <w:rPr>
          <w:rFonts w:asciiTheme="majorHAnsi" w:eastAsia="SimSun" w:hAnsiTheme="majorHAnsi"/>
          <w:szCs w:val="24"/>
          <w:lang w:val="en-US" w:eastAsia="zh-CN"/>
        </w:rPr>
      </w:pPr>
      <w:r>
        <w:rPr>
          <w:rFonts w:asciiTheme="majorHAnsi" w:hAnsiTheme="majorHAnsi"/>
          <w:b/>
          <w:szCs w:val="24"/>
          <w:lang w:val="en-US"/>
        </w:rPr>
        <w:t>7</w:t>
      </w:r>
      <w:r w:rsidR="00725FA7" w:rsidRPr="000F00CD">
        <w:rPr>
          <w:rFonts w:asciiTheme="majorHAnsi" w:hAnsiTheme="majorHAnsi"/>
          <w:b/>
          <w:szCs w:val="24"/>
          <w:lang w:val="en-US"/>
        </w:rPr>
        <w:t xml:space="preserve">. </w:t>
      </w:r>
      <w:r w:rsidR="004738C5" w:rsidRPr="000F00CD">
        <w:rPr>
          <w:rFonts w:asciiTheme="majorHAnsi" w:hAnsiTheme="majorHAnsi"/>
          <w:b/>
          <w:szCs w:val="24"/>
          <w:lang w:val="en-US"/>
        </w:rPr>
        <w:t>Fundamental rights? Challenges ahead</w:t>
      </w:r>
      <w:r w:rsidR="0071067B" w:rsidRPr="000F00CD">
        <w:rPr>
          <w:rFonts w:asciiTheme="majorHAnsi" w:hAnsiTheme="majorHAnsi"/>
          <w:b/>
          <w:szCs w:val="24"/>
          <w:lang w:val="en-US"/>
        </w:rPr>
        <w:t xml:space="preserve"> beyond Europe</w:t>
      </w:r>
      <w:r w:rsidR="004738C5" w:rsidRPr="000F00CD">
        <w:rPr>
          <w:rFonts w:asciiTheme="majorHAnsi" w:hAnsiTheme="majorHAnsi"/>
          <w:b/>
          <w:szCs w:val="24"/>
          <w:lang w:val="en-US"/>
        </w:rPr>
        <w:br/>
      </w:r>
      <w:r w:rsidR="000254FB">
        <w:rPr>
          <w:rFonts w:asciiTheme="majorHAnsi" w:hAnsiTheme="majorHAnsi"/>
          <w:szCs w:val="24"/>
          <w:lang w:val="en-US"/>
        </w:rPr>
        <w:t xml:space="preserve">While the discussion on </w:t>
      </w:r>
      <w:r w:rsidR="008E43F0">
        <w:rPr>
          <w:rFonts w:asciiTheme="majorHAnsi" w:hAnsiTheme="majorHAnsi"/>
          <w:szCs w:val="24"/>
          <w:lang w:val="en-US"/>
        </w:rPr>
        <w:t xml:space="preserve">the increased involvement of </w:t>
      </w:r>
      <w:r w:rsidR="000254FB">
        <w:rPr>
          <w:rFonts w:asciiTheme="majorHAnsi" w:hAnsiTheme="majorHAnsi"/>
          <w:szCs w:val="24"/>
          <w:lang w:val="en-US"/>
        </w:rPr>
        <w:t xml:space="preserve">Agencies as monitors of financial crimes, </w:t>
      </w:r>
      <w:r w:rsidR="0005080C">
        <w:rPr>
          <w:rFonts w:asciiTheme="majorHAnsi" w:hAnsiTheme="majorHAnsi"/>
          <w:szCs w:val="24"/>
          <w:lang w:val="en-US"/>
        </w:rPr>
        <w:t>pose well known questions about accountability they also pose more general questions of fundamental rights protection in the EU. Specifically, t</w:t>
      </w:r>
      <w:r w:rsidR="004738C5" w:rsidRPr="000F00CD">
        <w:rPr>
          <w:rFonts w:asciiTheme="majorHAnsi" w:hAnsiTheme="majorHAnsi"/>
          <w:szCs w:val="24"/>
          <w:lang w:val="en-US"/>
        </w:rPr>
        <w:t xml:space="preserve">he discussion on the EU’s regulatory </w:t>
      </w:r>
      <w:r w:rsidR="00747F3B" w:rsidRPr="000F00CD">
        <w:rPr>
          <w:rFonts w:asciiTheme="majorHAnsi" w:hAnsiTheme="majorHAnsi"/>
          <w:szCs w:val="24"/>
          <w:lang w:val="en-US"/>
        </w:rPr>
        <w:t>endeavors</w:t>
      </w:r>
      <w:r w:rsidR="004738C5" w:rsidRPr="000F00CD">
        <w:rPr>
          <w:rFonts w:asciiTheme="majorHAnsi" w:hAnsiTheme="majorHAnsi"/>
          <w:szCs w:val="24"/>
          <w:lang w:val="en-US"/>
        </w:rPr>
        <w:t xml:space="preserve"> to fight fraud and money laundering, pose some intriguing questions with regard to the adequate protection of personal data and applicable human rights protection. </w:t>
      </w:r>
      <w:r w:rsidR="0005080C">
        <w:rPr>
          <w:rFonts w:asciiTheme="majorHAnsi" w:hAnsiTheme="majorHAnsi"/>
          <w:szCs w:val="24"/>
          <w:lang w:val="en-US"/>
        </w:rPr>
        <w:t>Indeed,</w:t>
      </w:r>
      <w:r w:rsidR="004738C5" w:rsidRPr="000F00CD">
        <w:rPr>
          <w:rFonts w:asciiTheme="majorHAnsi" w:hAnsiTheme="majorHAnsi"/>
          <w:szCs w:val="24"/>
          <w:lang w:val="en-US"/>
        </w:rPr>
        <w:t xml:space="preserve"> there are some difficu</w:t>
      </w:r>
      <w:r w:rsidR="0005080C">
        <w:rPr>
          <w:rFonts w:asciiTheme="majorHAnsi" w:hAnsiTheme="majorHAnsi"/>
          <w:szCs w:val="24"/>
          <w:lang w:val="en-US"/>
        </w:rPr>
        <w:t>lties ahead for the EU and the Member S</w:t>
      </w:r>
      <w:r w:rsidR="004738C5" w:rsidRPr="000F00CD">
        <w:rPr>
          <w:rFonts w:asciiTheme="majorHAnsi" w:hAnsiTheme="majorHAnsi"/>
          <w:szCs w:val="24"/>
          <w:lang w:val="en-US"/>
        </w:rPr>
        <w:t xml:space="preserve">tates when it comes to ensuring a uniform standard of human rights protection. Although Article 52 sets </w:t>
      </w:r>
      <w:r w:rsidR="009D7CA3" w:rsidRPr="000F00CD">
        <w:rPr>
          <w:rFonts w:asciiTheme="majorHAnsi" w:hAnsiTheme="majorHAnsi"/>
          <w:szCs w:val="24"/>
          <w:lang w:val="en-US"/>
        </w:rPr>
        <w:t xml:space="preserve">of the Charter sets </w:t>
      </w:r>
      <w:r w:rsidR="004738C5" w:rsidRPr="000F00CD">
        <w:rPr>
          <w:rFonts w:asciiTheme="majorHAnsi" w:hAnsiTheme="majorHAnsi"/>
          <w:szCs w:val="24"/>
          <w:lang w:val="en-US"/>
        </w:rPr>
        <w:t>out the possibility to derogate from Charter rights when complied with proportionality</w:t>
      </w:r>
      <w:r w:rsidR="00725FA7" w:rsidRPr="000F00CD">
        <w:rPr>
          <w:rFonts w:asciiTheme="majorHAnsi" w:hAnsiTheme="majorHAnsi"/>
          <w:szCs w:val="24"/>
          <w:lang w:val="en-US"/>
        </w:rPr>
        <w:t xml:space="preserve">, the applicable human rights standard needs to be sufficiently high. </w:t>
      </w:r>
      <w:r w:rsidR="004738C5" w:rsidRPr="000F00CD">
        <w:rPr>
          <w:rFonts w:asciiTheme="majorHAnsi" w:hAnsiTheme="majorHAnsi"/>
          <w:szCs w:val="24"/>
          <w:lang w:val="en-US"/>
        </w:rPr>
        <w:t xml:space="preserve">Specifically, </w:t>
      </w:r>
      <w:r w:rsidR="004738C5" w:rsidRPr="000F00CD">
        <w:rPr>
          <w:rFonts w:asciiTheme="majorHAnsi" w:eastAsia="SimSun" w:hAnsiTheme="majorHAnsi"/>
          <w:szCs w:val="24"/>
          <w:lang w:val="en-US" w:eastAsia="zh-CN"/>
        </w:rPr>
        <w:t>Article 52(1) of the Charter sets out some important exceptions to the application of the Charter as a whole. This provision makes it clear that:</w:t>
      </w:r>
    </w:p>
    <w:p w14:paraId="6FD78A70" w14:textId="77777777" w:rsidR="004738C5" w:rsidRPr="000F00CD" w:rsidRDefault="004738C5" w:rsidP="008E43F0">
      <w:pPr>
        <w:autoSpaceDE w:val="0"/>
        <w:autoSpaceDN w:val="0"/>
        <w:adjustRightInd w:val="0"/>
        <w:spacing w:line="360" w:lineRule="auto"/>
        <w:rPr>
          <w:rFonts w:asciiTheme="majorHAnsi" w:eastAsia="SimSun" w:hAnsiTheme="majorHAnsi"/>
          <w:szCs w:val="24"/>
          <w:lang w:val="en-US" w:eastAsia="zh-CN"/>
        </w:rPr>
      </w:pPr>
      <w:r w:rsidRPr="000F00CD">
        <w:rPr>
          <w:rFonts w:asciiTheme="majorHAnsi" w:eastAsia="SimSun" w:hAnsiTheme="majorHAnsi"/>
          <w:szCs w:val="24"/>
          <w:lang w:val="en-US" w:eastAsia="zh-CN"/>
        </w:rPr>
        <w:t xml:space="preserve"> </w:t>
      </w:r>
    </w:p>
    <w:p w14:paraId="3AE6CDD1" w14:textId="77777777" w:rsidR="004738C5" w:rsidRPr="000F00CD" w:rsidRDefault="004738C5" w:rsidP="008E43F0">
      <w:pPr>
        <w:autoSpaceDE w:val="0"/>
        <w:autoSpaceDN w:val="0"/>
        <w:adjustRightInd w:val="0"/>
        <w:spacing w:line="360" w:lineRule="auto"/>
        <w:ind w:left="720"/>
        <w:rPr>
          <w:rFonts w:asciiTheme="majorHAnsi" w:hAnsiTheme="majorHAnsi"/>
          <w:iCs/>
          <w:color w:val="141215"/>
          <w:szCs w:val="24"/>
          <w:lang w:val="en-US"/>
        </w:rPr>
      </w:pPr>
      <w:r w:rsidRPr="000F00CD">
        <w:rPr>
          <w:rFonts w:asciiTheme="majorHAnsi" w:hAnsiTheme="majorHAnsi"/>
          <w:iCs/>
          <w:color w:val="141215"/>
          <w:szCs w:val="24"/>
          <w:lang w:val="en-US"/>
        </w:rPr>
        <w:lastRenderedPageBreak/>
        <w:t>Any limitation on the exercise of the rights and freedoms recognized by this Charter must be provided for by law and respect the essence of those rights and freedoms. Subject to the principle of proportionality, limitations may be made only if they are necessary and genuinely meet objectives of general interest recognized by the Union or the need to protect the rights and freedoms of others.</w:t>
      </w:r>
    </w:p>
    <w:p w14:paraId="4372B0C1" w14:textId="77777777" w:rsidR="004738C5" w:rsidRPr="000F00CD" w:rsidRDefault="004738C5" w:rsidP="008E43F0">
      <w:pPr>
        <w:spacing w:line="360" w:lineRule="auto"/>
        <w:rPr>
          <w:rFonts w:asciiTheme="majorHAnsi" w:hAnsiTheme="majorHAnsi"/>
          <w:szCs w:val="24"/>
          <w:lang w:val="en-US"/>
        </w:rPr>
      </w:pPr>
    </w:p>
    <w:p w14:paraId="21F3B02F" w14:textId="77777777" w:rsidR="004738C5" w:rsidRPr="000F00CD" w:rsidRDefault="004738C5" w:rsidP="008E43F0">
      <w:pPr>
        <w:tabs>
          <w:tab w:val="left" w:pos="709"/>
        </w:tabs>
        <w:spacing w:line="360" w:lineRule="auto"/>
        <w:ind w:right="144"/>
        <w:jc w:val="both"/>
        <w:rPr>
          <w:rFonts w:asciiTheme="majorHAnsi" w:hAnsiTheme="majorHAnsi"/>
          <w:szCs w:val="24"/>
          <w:lang w:val="en-US"/>
        </w:rPr>
      </w:pPr>
      <w:r w:rsidRPr="000F00CD">
        <w:rPr>
          <w:rFonts w:asciiTheme="majorHAnsi" w:hAnsiTheme="majorHAnsi"/>
          <w:szCs w:val="24"/>
          <w:lang w:val="en-US"/>
        </w:rPr>
        <w:t xml:space="preserve">Yet there is reason to believe that </w:t>
      </w:r>
      <w:r w:rsidR="00B40220" w:rsidRPr="000F00CD">
        <w:rPr>
          <w:rFonts w:asciiTheme="majorHAnsi" w:hAnsiTheme="majorHAnsi"/>
          <w:szCs w:val="24"/>
          <w:lang w:val="en-US"/>
        </w:rPr>
        <w:t>t</w:t>
      </w:r>
      <w:r w:rsidRPr="000F00CD">
        <w:rPr>
          <w:rFonts w:asciiTheme="majorHAnsi" w:hAnsiTheme="majorHAnsi"/>
          <w:szCs w:val="24"/>
          <w:lang w:val="en-US"/>
        </w:rPr>
        <w:t xml:space="preserve">he principle of proportionality as a guarantee of fundamental rights could have a significant impact in the area of the EU’s suppression of financial crimes. A recent </w:t>
      </w:r>
      <w:r w:rsidR="00725FA7" w:rsidRPr="000F00CD">
        <w:rPr>
          <w:rFonts w:asciiTheme="majorHAnsi" w:hAnsiTheme="majorHAnsi"/>
          <w:szCs w:val="24"/>
          <w:lang w:val="en-US"/>
        </w:rPr>
        <w:t>ground-breaking</w:t>
      </w:r>
      <w:r w:rsidRPr="000F00CD">
        <w:rPr>
          <w:rFonts w:asciiTheme="majorHAnsi" w:hAnsiTheme="majorHAnsi"/>
          <w:szCs w:val="24"/>
          <w:lang w:val="en-US"/>
        </w:rPr>
        <w:t xml:space="preserve"> decision where the principle of proportionality was applied to strike down a legal measure on the retention of data is the Digital Rights case. The Directive 2006/24</w:t>
      </w:r>
      <w:r w:rsidRPr="000F00CD">
        <w:rPr>
          <w:rStyle w:val="FootnoteReference"/>
          <w:rFonts w:asciiTheme="majorHAnsi" w:hAnsiTheme="majorHAnsi"/>
          <w:szCs w:val="24"/>
          <w:lang w:val="en-US"/>
        </w:rPr>
        <w:footnoteReference w:id="107"/>
      </w:r>
      <w:r w:rsidRPr="000F00CD">
        <w:rPr>
          <w:rFonts w:asciiTheme="majorHAnsi" w:hAnsiTheme="majorHAnsi"/>
          <w:szCs w:val="24"/>
          <w:lang w:val="en-US"/>
        </w:rPr>
        <w:t xml:space="preserve"> authorized the gathering of data and far reaching surveillance mechanisms in order to ensure the effective fight against crime.</w:t>
      </w:r>
      <w:r w:rsidR="00A91642" w:rsidRPr="000F00CD">
        <w:rPr>
          <w:rFonts w:asciiTheme="majorHAnsi" w:hAnsiTheme="majorHAnsi"/>
          <w:color w:val="000000"/>
          <w:szCs w:val="24"/>
          <w:lang w:val="en-US"/>
        </w:rPr>
        <w:t xml:space="preserve"> </w:t>
      </w:r>
      <w:r w:rsidR="00725FA7" w:rsidRPr="000F00CD">
        <w:rPr>
          <w:rFonts w:asciiTheme="majorHAnsi" w:hAnsiTheme="majorHAnsi"/>
          <w:color w:val="000000"/>
          <w:szCs w:val="24"/>
          <w:lang w:val="en-US"/>
        </w:rPr>
        <w:t xml:space="preserve">The Court annulled the 2006 Data Retention Directive, which was aimed at fighting crime and terrorism and which allowed data to be stored for up to two years. It concluded that the measure breached proportionality on the grounds that the Directive had a too sweeping generality and therefore violated, </w:t>
      </w:r>
      <w:r w:rsidR="00725FA7" w:rsidRPr="000F00CD">
        <w:rPr>
          <w:rFonts w:asciiTheme="majorHAnsi" w:hAnsiTheme="majorHAnsi"/>
          <w:i/>
          <w:color w:val="000000"/>
          <w:szCs w:val="24"/>
          <w:lang w:val="en-US"/>
        </w:rPr>
        <w:t>inter alia</w:t>
      </w:r>
      <w:r w:rsidR="00725FA7" w:rsidRPr="000F00CD">
        <w:rPr>
          <w:rFonts w:asciiTheme="majorHAnsi" w:hAnsiTheme="majorHAnsi"/>
          <w:color w:val="000000"/>
          <w:szCs w:val="24"/>
          <w:lang w:val="en-US"/>
        </w:rPr>
        <w:t xml:space="preserve">, the basic right of data </w:t>
      </w:r>
      <w:r w:rsidR="00725FA7" w:rsidRPr="000F00CD">
        <w:rPr>
          <w:rFonts w:asciiTheme="majorHAnsi" w:hAnsiTheme="majorHAnsi"/>
          <w:color w:val="000000"/>
          <w:szCs w:val="24"/>
          <w:lang w:val="en-US"/>
        </w:rPr>
        <w:lastRenderedPageBreak/>
        <w:t xml:space="preserve">protection as set out in Article 8 of the Charter of Fundamental Rights. </w:t>
      </w:r>
      <w:r w:rsidR="00725FA7" w:rsidRPr="000F00CD">
        <w:rPr>
          <w:rFonts w:asciiTheme="majorHAnsi" w:hAnsiTheme="majorHAnsi"/>
          <w:szCs w:val="24"/>
          <w:lang w:val="en-US"/>
        </w:rPr>
        <w:t>If the Court is to develop criteria for the increasing use of proportionality as a balancing principle in connection with the Charter, this will arguably confirm a more robust view of fundamental right</w:t>
      </w:r>
      <w:r w:rsidR="00A91642" w:rsidRPr="000F00CD">
        <w:rPr>
          <w:rFonts w:asciiTheme="majorHAnsi" w:hAnsiTheme="majorHAnsi"/>
          <w:szCs w:val="24"/>
          <w:lang w:val="en-US"/>
        </w:rPr>
        <w:t xml:space="preserve">s </w:t>
      </w:r>
      <w:r w:rsidR="00725FA7" w:rsidRPr="000F00CD">
        <w:rPr>
          <w:rFonts w:asciiTheme="majorHAnsi" w:hAnsiTheme="majorHAnsi"/>
          <w:szCs w:val="24"/>
          <w:lang w:val="en-US"/>
        </w:rPr>
        <w:t>protection in AFSJ context.</w:t>
      </w:r>
    </w:p>
    <w:p w14:paraId="1CBACD46" w14:textId="77777777" w:rsidR="004738C5" w:rsidRPr="000F00CD" w:rsidRDefault="004738C5" w:rsidP="008E43F0">
      <w:pPr>
        <w:tabs>
          <w:tab w:val="left" w:pos="709"/>
        </w:tabs>
        <w:spacing w:line="360" w:lineRule="auto"/>
        <w:ind w:right="144"/>
        <w:jc w:val="both"/>
        <w:rPr>
          <w:rFonts w:asciiTheme="majorHAnsi" w:hAnsiTheme="majorHAnsi"/>
          <w:szCs w:val="24"/>
          <w:lang w:val="en-US"/>
        </w:rPr>
      </w:pPr>
    </w:p>
    <w:p w14:paraId="00A03F7E" w14:textId="4BD053B9" w:rsidR="001E7D34" w:rsidRPr="000F00CD" w:rsidRDefault="004738C5" w:rsidP="008E43F0">
      <w:pPr>
        <w:tabs>
          <w:tab w:val="left" w:pos="709"/>
        </w:tabs>
        <w:spacing w:line="360" w:lineRule="auto"/>
        <w:ind w:right="144"/>
        <w:jc w:val="both"/>
        <w:rPr>
          <w:rFonts w:asciiTheme="majorHAnsi" w:hAnsiTheme="majorHAnsi"/>
          <w:color w:val="000000"/>
          <w:szCs w:val="24"/>
          <w:lang w:val="en-US"/>
        </w:rPr>
      </w:pPr>
      <w:r w:rsidRPr="000F00CD">
        <w:rPr>
          <w:rFonts w:asciiTheme="majorHAnsi" w:hAnsiTheme="majorHAnsi" w:cs="Calibri"/>
          <w:color w:val="000000"/>
          <w:szCs w:val="24"/>
          <w:lang w:val="en-US"/>
        </w:rPr>
        <w:t>As a follow up to the</w:t>
      </w:r>
      <w:r w:rsidRPr="000F00CD">
        <w:rPr>
          <w:rFonts w:asciiTheme="majorHAnsi" w:hAnsiTheme="majorHAnsi" w:cs="Calibri"/>
          <w:i/>
          <w:color w:val="000000"/>
          <w:szCs w:val="24"/>
          <w:lang w:val="en-US"/>
        </w:rPr>
        <w:t xml:space="preserve"> Digital Rights</w:t>
      </w:r>
      <w:r w:rsidR="001D1538" w:rsidRPr="000F00CD">
        <w:rPr>
          <w:rStyle w:val="FootnoteReference"/>
          <w:rFonts w:asciiTheme="majorHAnsi" w:hAnsiTheme="majorHAnsi" w:cs="Calibri"/>
          <w:i/>
          <w:color w:val="000000"/>
          <w:szCs w:val="24"/>
          <w:lang w:val="en-US"/>
        </w:rPr>
        <w:footnoteReference w:id="108"/>
      </w:r>
      <w:r w:rsidRPr="000F00CD">
        <w:rPr>
          <w:rFonts w:asciiTheme="majorHAnsi" w:hAnsiTheme="majorHAnsi" w:cs="Calibri"/>
          <w:color w:val="000000"/>
          <w:szCs w:val="24"/>
          <w:lang w:val="en-US"/>
        </w:rPr>
        <w:t xml:space="preserve"> judgment,</w:t>
      </w:r>
      <w:r w:rsidRPr="000F00CD">
        <w:rPr>
          <w:rFonts w:asciiTheme="majorHAnsi" w:hAnsiTheme="majorHAnsi"/>
          <w:color w:val="000000"/>
          <w:szCs w:val="24"/>
          <w:lang w:val="en-US"/>
        </w:rPr>
        <w:t xml:space="preserve"> i</w:t>
      </w:r>
      <w:r w:rsidRPr="000F00CD">
        <w:rPr>
          <w:rFonts w:asciiTheme="majorHAnsi" w:hAnsiTheme="majorHAnsi" w:cs="Calibri"/>
          <w:color w:val="000000"/>
          <w:szCs w:val="24"/>
          <w:lang w:val="en-US"/>
        </w:rPr>
        <w:t xml:space="preserve">n </w:t>
      </w:r>
      <w:r w:rsidRPr="000F00CD">
        <w:rPr>
          <w:rFonts w:asciiTheme="majorHAnsi" w:hAnsiTheme="majorHAnsi" w:cs="Calibri"/>
          <w:i/>
          <w:color w:val="000000"/>
          <w:szCs w:val="24"/>
          <w:lang w:val="en-US"/>
        </w:rPr>
        <w:t>Schrems</w:t>
      </w:r>
      <w:r w:rsidRPr="000F00CD">
        <w:rPr>
          <w:rFonts w:asciiTheme="majorHAnsi" w:hAnsiTheme="majorHAnsi" w:cs="Calibri"/>
          <w:color w:val="000000"/>
          <w:szCs w:val="24"/>
          <w:lang w:val="en-US"/>
        </w:rPr>
        <w:t>,</w:t>
      </w:r>
      <w:r w:rsidRPr="000F00CD">
        <w:rPr>
          <w:rFonts w:asciiTheme="majorHAnsi" w:hAnsiTheme="majorHAnsi" w:cs="Calibri"/>
          <w:color w:val="000000"/>
          <w:szCs w:val="24"/>
          <w:vertAlign w:val="superscript"/>
          <w:lang w:val="en-US"/>
        </w:rPr>
        <w:footnoteReference w:id="109"/>
      </w:r>
      <w:r w:rsidRPr="000F00CD">
        <w:rPr>
          <w:rFonts w:asciiTheme="majorHAnsi" w:hAnsiTheme="majorHAnsi"/>
          <w:color w:val="000000"/>
          <w:szCs w:val="24"/>
          <w:lang w:val="en-US"/>
        </w:rPr>
        <w:t xml:space="preserve"> the Court asserted that the fact that US law allows US intelligence services to access the personal data of EU citizens without sufficient privacy safeguards breaches EU law. The Commission ‘Adequacy Decision’ 2000/520, adopted pursuant to Article 25 of the Data Protection Directive 95/46. Under Directive 95/46 allowed for the transfer of personal data to the US subject to the assessment of the Commission. Yet the Court held that when data is transferred to a third country this is only permissible where the third country in fact ensures an ‘adequate level of protection’. The Court annulled the Directive on the ground that it provided for a </w:t>
      </w:r>
      <w:r w:rsidR="00747F3B" w:rsidRPr="000F00CD">
        <w:rPr>
          <w:rFonts w:asciiTheme="majorHAnsi" w:hAnsiTheme="majorHAnsi"/>
          <w:color w:val="000000"/>
          <w:szCs w:val="24"/>
          <w:lang w:val="en-US"/>
        </w:rPr>
        <w:t>far-reaching</w:t>
      </w:r>
      <w:r w:rsidRPr="000F00CD">
        <w:rPr>
          <w:rFonts w:asciiTheme="majorHAnsi" w:hAnsiTheme="majorHAnsi"/>
          <w:color w:val="000000"/>
          <w:szCs w:val="24"/>
          <w:lang w:val="en-US"/>
        </w:rPr>
        <w:t xml:space="preserve"> competence of US authorities to monitor data in breach of the Charter right of data protection and private life.</w:t>
      </w:r>
      <w:r w:rsidR="009D7CA3" w:rsidRPr="000F00CD">
        <w:rPr>
          <w:rFonts w:asciiTheme="majorHAnsi" w:hAnsiTheme="majorHAnsi"/>
          <w:color w:val="000000"/>
          <w:szCs w:val="24"/>
          <w:lang w:val="en-US"/>
        </w:rPr>
        <w:t xml:space="preserve">  </w:t>
      </w:r>
      <w:r w:rsidR="001E7D34" w:rsidRPr="000F00CD">
        <w:rPr>
          <w:rFonts w:asciiTheme="majorHAnsi" w:hAnsiTheme="majorHAnsi"/>
          <w:color w:val="000000"/>
          <w:szCs w:val="24"/>
          <w:lang w:val="en-US"/>
        </w:rPr>
        <w:t xml:space="preserve">These findings of limits sets to sweeping generality and domination in the EU law making are arguably readily translated to the EU financial crimes area. While the Court may be prepared to pass security focused legislation, if taking the digital rights </w:t>
      </w:r>
      <w:r w:rsidR="001E7D34" w:rsidRPr="000F00CD">
        <w:rPr>
          <w:rFonts w:asciiTheme="majorHAnsi" w:hAnsiTheme="majorHAnsi"/>
          <w:color w:val="000000"/>
          <w:szCs w:val="24"/>
          <w:lang w:val="en-US"/>
        </w:rPr>
        <w:lastRenderedPageBreak/>
        <w:t xml:space="preserve">case seriously it requires a justification on behalf of the legislator requiring a specificity in the legislative approach. </w:t>
      </w:r>
    </w:p>
    <w:p w14:paraId="1EB0781A" w14:textId="77777777" w:rsidR="004738C5" w:rsidRPr="000F00CD" w:rsidRDefault="004738C5" w:rsidP="008E43F0">
      <w:pPr>
        <w:spacing w:line="360" w:lineRule="auto"/>
        <w:rPr>
          <w:rFonts w:asciiTheme="majorHAnsi" w:hAnsiTheme="majorHAnsi"/>
          <w:b/>
          <w:szCs w:val="24"/>
          <w:lang w:val="en-US"/>
        </w:rPr>
      </w:pPr>
    </w:p>
    <w:p w14:paraId="72FC412E" w14:textId="265E19F4" w:rsidR="004738C5" w:rsidRPr="000F00CD" w:rsidRDefault="009A122E" w:rsidP="008E43F0">
      <w:pPr>
        <w:spacing w:line="360" w:lineRule="auto"/>
        <w:rPr>
          <w:rFonts w:asciiTheme="majorHAnsi" w:hAnsiTheme="majorHAnsi"/>
          <w:b/>
          <w:szCs w:val="24"/>
          <w:lang w:val="en-US"/>
        </w:rPr>
      </w:pPr>
      <w:r>
        <w:rPr>
          <w:rFonts w:asciiTheme="majorHAnsi" w:hAnsiTheme="majorHAnsi"/>
          <w:b/>
          <w:szCs w:val="24"/>
          <w:lang w:val="en-US"/>
        </w:rPr>
        <w:t>8</w:t>
      </w:r>
      <w:r w:rsidR="007B47A8" w:rsidRPr="000F00CD">
        <w:rPr>
          <w:rFonts w:asciiTheme="majorHAnsi" w:hAnsiTheme="majorHAnsi"/>
          <w:b/>
          <w:szCs w:val="24"/>
          <w:lang w:val="en-US"/>
        </w:rPr>
        <w:t xml:space="preserve">. </w:t>
      </w:r>
      <w:r w:rsidR="004738C5" w:rsidRPr="000F00CD">
        <w:rPr>
          <w:rFonts w:asciiTheme="majorHAnsi" w:hAnsiTheme="majorHAnsi"/>
          <w:b/>
          <w:szCs w:val="24"/>
          <w:lang w:val="en-US"/>
        </w:rPr>
        <w:t>Conclusion</w:t>
      </w:r>
    </w:p>
    <w:p w14:paraId="4E3CE1A2" w14:textId="7577270D" w:rsidR="004738C5" w:rsidRPr="000F00CD" w:rsidRDefault="004738C5" w:rsidP="008E43F0">
      <w:pPr>
        <w:spacing w:line="360" w:lineRule="auto"/>
        <w:rPr>
          <w:rFonts w:asciiTheme="majorHAnsi" w:hAnsiTheme="majorHAnsi"/>
          <w:szCs w:val="24"/>
          <w:lang w:val="en-US"/>
        </w:rPr>
      </w:pPr>
      <w:r w:rsidRPr="000F00CD">
        <w:rPr>
          <w:rFonts w:asciiTheme="majorHAnsi" w:hAnsiTheme="majorHAnsi"/>
          <w:szCs w:val="24"/>
          <w:lang w:val="en-US"/>
        </w:rPr>
        <w:t xml:space="preserve">This paper has </w:t>
      </w:r>
      <w:r w:rsidR="00471632" w:rsidRPr="000F00CD">
        <w:rPr>
          <w:rFonts w:asciiTheme="majorHAnsi" w:hAnsiTheme="majorHAnsi"/>
          <w:szCs w:val="24"/>
          <w:lang w:val="en-US"/>
        </w:rPr>
        <w:t xml:space="preserve">critically </w:t>
      </w:r>
      <w:r w:rsidR="0071067B" w:rsidRPr="000F00CD">
        <w:rPr>
          <w:rFonts w:asciiTheme="majorHAnsi" w:hAnsiTheme="majorHAnsi"/>
          <w:szCs w:val="24"/>
          <w:lang w:val="en-US"/>
        </w:rPr>
        <w:t>assess</w:t>
      </w:r>
      <w:r w:rsidR="009D7CA3" w:rsidRPr="000F00CD">
        <w:rPr>
          <w:rFonts w:asciiTheme="majorHAnsi" w:hAnsiTheme="majorHAnsi"/>
          <w:szCs w:val="24"/>
          <w:lang w:val="en-US"/>
        </w:rPr>
        <w:t>ed</w:t>
      </w:r>
      <w:r w:rsidR="0071067B" w:rsidRPr="000F00CD">
        <w:rPr>
          <w:rFonts w:asciiTheme="majorHAnsi" w:hAnsiTheme="majorHAnsi"/>
          <w:szCs w:val="24"/>
          <w:lang w:val="en-US"/>
        </w:rPr>
        <w:t xml:space="preserve"> the EU and UK</w:t>
      </w:r>
      <w:r w:rsidR="009D7CA3" w:rsidRPr="000F00CD">
        <w:rPr>
          <w:rFonts w:asciiTheme="majorHAnsi" w:hAnsiTheme="majorHAnsi"/>
          <w:szCs w:val="24"/>
          <w:lang w:val="en-US"/>
        </w:rPr>
        <w:t>’s</w:t>
      </w:r>
      <w:r w:rsidR="0071067B" w:rsidRPr="000F00CD">
        <w:rPr>
          <w:rFonts w:asciiTheme="majorHAnsi" w:hAnsiTheme="majorHAnsi"/>
          <w:szCs w:val="24"/>
          <w:lang w:val="en-US"/>
        </w:rPr>
        <w:t xml:space="preserve"> </w:t>
      </w:r>
      <w:r w:rsidRPr="000F00CD">
        <w:rPr>
          <w:rFonts w:asciiTheme="majorHAnsi" w:hAnsiTheme="majorHAnsi"/>
          <w:szCs w:val="24"/>
          <w:lang w:val="en-US"/>
        </w:rPr>
        <w:t xml:space="preserve">current tactics in the fight against financial crimes by </w:t>
      </w:r>
      <w:r w:rsidR="00471632" w:rsidRPr="000F00CD">
        <w:rPr>
          <w:rFonts w:asciiTheme="majorHAnsi" w:hAnsiTheme="majorHAnsi"/>
          <w:szCs w:val="24"/>
          <w:lang w:val="en-US"/>
        </w:rPr>
        <w:t xml:space="preserve">focusing </w:t>
      </w:r>
      <w:r w:rsidRPr="000F00CD">
        <w:rPr>
          <w:rFonts w:asciiTheme="majorHAnsi" w:hAnsiTheme="majorHAnsi"/>
          <w:szCs w:val="24"/>
          <w:lang w:val="en-US"/>
        </w:rPr>
        <w:t>on the EU</w:t>
      </w:r>
      <w:r w:rsidR="00471632" w:rsidRPr="000F00CD">
        <w:rPr>
          <w:rFonts w:asciiTheme="majorHAnsi" w:hAnsiTheme="majorHAnsi"/>
          <w:szCs w:val="24"/>
          <w:lang w:val="en-US"/>
        </w:rPr>
        <w:t>’s</w:t>
      </w:r>
      <w:r w:rsidRPr="000F00CD">
        <w:rPr>
          <w:rFonts w:asciiTheme="majorHAnsi" w:hAnsiTheme="majorHAnsi"/>
          <w:szCs w:val="24"/>
          <w:lang w:val="en-US"/>
        </w:rPr>
        <w:t xml:space="preserve"> contemporary framework for fighting fraud and money laundering in particular. The objective of this paper was to </w:t>
      </w:r>
      <w:r w:rsidR="008E43F0">
        <w:rPr>
          <w:rFonts w:asciiTheme="majorHAnsi" w:hAnsiTheme="majorHAnsi"/>
          <w:szCs w:val="24"/>
          <w:lang w:val="en-US"/>
        </w:rPr>
        <w:t>chart the EU;s financial crimes agenda</w:t>
      </w:r>
      <w:r w:rsidRPr="000F00CD">
        <w:rPr>
          <w:rFonts w:asciiTheme="majorHAnsi" w:hAnsiTheme="majorHAnsi"/>
          <w:szCs w:val="24"/>
          <w:lang w:val="en-US"/>
        </w:rPr>
        <w:t xml:space="preserve"> when discussing the fight against financial crimes in EU law and what external “bouncing” effects it may have. </w:t>
      </w:r>
      <w:r w:rsidR="00972F8E" w:rsidRPr="000F00CD">
        <w:rPr>
          <w:rFonts w:asciiTheme="majorHAnsi" w:hAnsiTheme="majorHAnsi"/>
          <w:szCs w:val="24"/>
          <w:lang w:val="en-US"/>
        </w:rPr>
        <w:t xml:space="preserve">Additionally, </w:t>
      </w:r>
      <w:r w:rsidRPr="000F00CD">
        <w:rPr>
          <w:rFonts w:asciiTheme="majorHAnsi" w:hAnsiTheme="majorHAnsi"/>
          <w:szCs w:val="24"/>
          <w:lang w:val="en-US"/>
        </w:rPr>
        <w:t>this paper placed the EU’s regulatory efforts in this area by locating it in the context of the current tide of global EU action. The study of EU financial crime poses difficulties as it demonstrates a very complex relationship between various actors and various legal bases and offers an example of non-market values read into Article 114 TFEU. While financial regulation and the fight against financial crime is still at the heart of the EU’s “getting tough on crime” approach, the old internal market endeavors in this area are now much more complex than they used to be.</w:t>
      </w:r>
      <w:r w:rsidR="008E43F0">
        <w:rPr>
          <w:rStyle w:val="FootnoteReference"/>
          <w:rFonts w:asciiTheme="majorHAnsi" w:hAnsiTheme="majorHAnsi"/>
          <w:szCs w:val="24"/>
          <w:lang w:val="en-US"/>
        </w:rPr>
        <w:footnoteReference w:id="110"/>
      </w:r>
      <w:r w:rsidRPr="000F00CD">
        <w:rPr>
          <w:rFonts w:asciiTheme="majorHAnsi" w:hAnsiTheme="majorHAnsi"/>
          <w:szCs w:val="24"/>
          <w:lang w:val="en-US"/>
        </w:rPr>
        <w:t xml:space="preserve"> </w:t>
      </w:r>
      <w:r w:rsidR="00DD0117" w:rsidRPr="000F00CD">
        <w:rPr>
          <w:rFonts w:asciiTheme="majorHAnsi" w:hAnsiTheme="majorHAnsi"/>
          <w:szCs w:val="24"/>
          <w:lang w:val="en-US"/>
        </w:rPr>
        <w:t>In particular the extended powers granted to EU Agencies asks difficult question about democratic oversight in the AFSJ.</w:t>
      </w:r>
    </w:p>
    <w:p w14:paraId="10A8D201" w14:textId="77777777" w:rsidR="004738C5" w:rsidRPr="000F00CD" w:rsidRDefault="004738C5" w:rsidP="008E43F0">
      <w:pPr>
        <w:spacing w:line="360" w:lineRule="auto"/>
        <w:rPr>
          <w:rFonts w:asciiTheme="majorHAnsi" w:hAnsiTheme="majorHAnsi"/>
          <w:szCs w:val="24"/>
          <w:lang w:val="en-US"/>
        </w:rPr>
      </w:pPr>
    </w:p>
    <w:p w14:paraId="3F3CC2E7" w14:textId="6D87703A" w:rsidR="00FE2717" w:rsidRPr="000F00CD" w:rsidRDefault="00863EE9" w:rsidP="008E43F0">
      <w:pPr>
        <w:spacing w:line="360" w:lineRule="auto"/>
        <w:rPr>
          <w:rFonts w:asciiTheme="majorHAnsi" w:hAnsiTheme="majorHAnsi"/>
          <w:szCs w:val="24"/>
          <w:lang w:val="en-US"/>
        </w:rPr>
      </w:pPr>
      <w:r w:rsidRPr="000F00CD">
        <w:rPr>
          <w:rFonts w:asciiTheme="majorHAnsi" w:hAnsiTheme="majorHAnsi"/>
          <w:szCs w:val="24"/>
          <w:lang w:val="en-US"/>
        </w:rPr>
        <w:lastRenderedPageBreak/>
        <w:t xml:space="preserve">The </w:t>
      </w:r>
      <w:r w:rsidR="00471632" w:rsidRPr="000F00CD">
        <w:rPr>
          <w:rFonts w:asciiTheme="majorHAnsi" w:hAnsiTheme="majorHAnsi"/>
          <w:szCs w:val="24"/>
          <w:lang w:val="en-US"/>
        </w:rPr>
        <w:t>EU’s approach towards money laundering can be contra</w:t>
      </w:r>
      <w:r w:rsidR="00972F8E" w:rsidRPr="000F00CD">
        <w:rPr>
          <w:rFonts w:asciiTheme="majorHAnsi" w:hAnsiTheme="majorHAnsi"/>
          <w:szCs w:val="24"/>
          <w:lang w:val="en-US"/>
        </w:rPr>
        <w:t>s</w:t>
      </w:r>
      <w:r w:rsidR="00471632" w:rsidRPr="000F00CD">
        <w:rPr>
          <w:rFonts w:asciiTheme="majorHAnsi" w:hAnsiTheme="majorHAnsi"/>
          <w:szCs w:val="24"/>
          <w:lang w:val="en-US"/>
        </w:rPr>
        <w:t xml:space="preserve">ted with that towards </w:t>
      </w:r>
      <w:r w:rsidRPr="000F00CD">
        <w:rPr>
          <w:rFonts w:asciiTheme="majorHAnsi" w:hAnsiTheme="majorHAnsi"/>
          <w:szCs w:val="24"/>
          <w:lang w:val="en-US"/>
        </w:rPr>
        <w:t xml:space="preserve">the prevention of fraud.  For example, the EU continues to introduce and require Member States to implement its money laundering Directive.  The fourth Directive will be implemented by June 2017.  This approach clearly places the onus on Member States to adhere to the international standards of the FATF and related UN money laundering conventions.  However, the EU’s position towards the prevention of fraud is contrary to the plethora of related legislative provisions aimed at tackling money laundering.  For instance, there is no EU fraud Directive </w:t>
      </w:r>
      <w:r w:rsidR="00972F8E" w:rsidRPr="000F00CD">
        <w:rPr>
          <w:rFonts w:asciiTheme="majorHAnsi" w:hAnsiTheme="majorHAnsi"/>
          <w:szCs w:val="24"/>
          <w:lang w:val="en-US"/>
        </w:rPr>
        <w:t>to impose basic obligations on Member S</w:t>
      </w:r>
      <w:r w:rsidRPr="000F00CD">
        <w:rPr>
          <w:rFonts w:asciiTheme="majorHAnsi" w:hAnsiTheme="majorHAnsi"/>
          <w:szCs w:val="24"/>
          <w:lang w:val="en-US"/>
        </w:rPr>
        <w:t>tates</w:t>
      </w:r>
      <w:r w:rsidR="00972F8E" w:rsidRPr="000F00CD">
        <w:rPr>
          <w:rFonts w:asciiTheme="majorHAnsi" w:hAnsiTheme="majorHAnsi"/>
          <w:szCs w:val="24"/>
          <w:lang w:val="en-US"/>
        </w:rPr>
        <w:t>, the proposed Directive only applies to fraud committed on the finances of the EU</w:t>
      </w:r>
      <w:r w:rsidRPr="000F00CD">
        <w:rPr>
          <w:rFonts w:asciiTheme="majorHAnsi" w:hAnsiTheme="majorHAnsi"/>
          <w:szCs w:val="24"/>
          <w:lang w:val="en-US"/>
        </w:rPr>
        <w:t xml:space="preserve">.  Furthermore, it appears that the EU is more concerned with fraud that is related it its own finances as opposed to fraud committed against its member states.  The effectiveness of the EU’s counter fraud measures is also restricted </w:t>
      </w:r>
      <w:r w:rsidR="002E20C3" w:rsidRPr="000F00CD">
        <w:rPr>
          <w:rFonts w:asciiTheme="majorHAnsi" w:hAnsiTheme="majorHAnsi"/>
          <w:szCs w:val="24"/>
          <w:lang w:val="en-US"/>
        </w:rPr>
        <w:t xml:space="preserve">by the limited remit of OLAF, who are unable to commence an investigation or even instigate any criminal proceedings.  </w:t>
      </w:r>
      <w:r w:rsidR="00DD0117" w:rsidRPr="000F00CD">
        <w:rPr>
          <w:rFonts w:asciiTheme="majorHAnsi" w:hAnsiTheme="majorHAnsi"/>
          <w:szCs w:val="24"/>
          <w:lang w:val="en-US"/>
        </w:rPr>
        <w:t xml:space="preserve">It is still unclear whether there will be any establishment of an EPP, but the reluctance by the Member States demonstrates the sensitive nature of these questions and also highlights the difficulty of enforcement. While striping the EPP of its power but still granting some investigative authority, the only thing achieved is a half baled solution to a pressing problem of how to coordinate the EU’s function as an active player in the game against financial crimes.  </w:t>
      </w:r>
      <w:r w:rsidR="00972F8E" w:rsidRPr="000F00CD">
        <w:rPr>
          <w:rFonts w:asciiTheme="majorHAnsi" w:hAnsiTheme="majorHAnsi"/>
          <w:szCs w:val="24"/>
          <w:lang w:val="en-US"/>
        </w:rPr>
        <w:t>T</w:t>
      </w:r>
      <w:r w:rsidR="002E20C3" w:rsidRPr="000F00CD">
        <w:rPr>
          <w:rFonts w:asciiTheme="majorHAnsi" w:hAnsiTheme="majorHAnsi"/>
          <w:szCs w:val="24"/>
          <w:lang w:val="en-US"/>
        </w:rPr>
        <w:t xml:space="preserve">he EU it to seriously consider tackling the increasing threat posed by fraud it is strongly </w:t>
      </w:r>
      <w:r w:rsidR="002E20C3" w:rsidRPr="000F00CD">
        <w:rPr>
          <w:rFonts w:asciiTheme="majorHAnsi" w:hAnsiTheme="majorHAnsi"/>
          <w:szCs w:val="24"/>
          <w:lang w:val="en-US"/>
        </w:rPr>
        <w:lastRenderedPageBreak/>
        <w:t xml:space="preserve">recommended that it looks no further than its impressive </w:t>
      </w:r>
      <w:r w:rsidR="00972F8E" w:rsidRPr="000F00CD">
        <w:rPr>
          <w:rFonts w:asciiTheme="majorHAnsi" w:hAnsiTheme="majorHAnsi"/>
          <w:szCs w:val="24"/>
          <w:lang w:val="en-US"/>
        </w:rPr>
        <w:t xml:space="preserve">AML </w:t>
      </w:r>
      <w:r w:rsidR="002E20C3" w:rsidRPr="000F00CD">
        <w:rPr>
          <w:rFonts w:asciiTheme="majorHAnsi" w:hAnsiTheme="majorHAnsi"/>
          <w:szCs w:val="24"/>
          <w:lang w:val="en-US"/>
        </w:rPr>
        <w:t>policy in terms of an effective financial crime model.</w:t>
      </w:r>
      <w:r w:rsidR="002B5690" w:rsidRPr="000F00CD">
        <w:rPr>
          <w:rFonts w:asciiTheme="majorHAnsi" w:hAnsiTheme="majorHAnsi"/>
          <w:szCs w:val="24"/>
          <w:lang w:val="en-US"/>
        </w:rPr>
        <w:t xml:space="preserve"> </w:t>
      </w:r>
      <w:r w:rsidR="00255883" w:rsidRPr="000F00CD">
        <w:rPr>
          <w:rFonts w:asciiTheme="majorHAnsi" w:hAnsiTheme="majorHAnsi"/>
          <w:szCs w:val="24"/>
          <w:lang w:val="en-US"/>
        </w:rPr>
        <w:t xml:space="preserve">This comes with a price though. Concepts such as risk regulation and securitization seem to take us far from constitutional safeguards and concern for the individual. </w:t>
      </w:r>
      <w:r w:rsidR="002B5690" w:rsidRPr="000F00CD">
        <w:rPr>
          <w:rFonts w:asciiTheme="majorHAnsi" w:hAnsiTheme="majorHAnsi"/>
          <w:szCs w:val="24"/>
          <w:lang w:val="en-US"/>
        </w:rPr>
        <w:t>All this shows that risk</w:t>
      </w:r>
      <w:r w:rsidR="00255883" w:rsidRPr="000F00CD">
        <w:rPr>
          <w:rFonts w:asciiTheme="majorHAnsi" w:hAnsiTheme="majorHAnsi"/>
          <w:szCs w:val="24"/>
          <w:lang w:val="en-US"/>
        </w:rPr>
        <w:t xml:space="preserve"> regulation</w:t>
      </w:r>
      <w:r w:rsidR="002B5690" w:rsidRPr="000F00CD">
        <w:rPr>
          <w:rFonts w:asciiTheme="majorHAnsi" w:hAnsiTheme="majorHAnsi"/>
          <w:szCs w:val="24"/>
          <w:lang w:val="en-US"/>
        </w:rPr>
        <w:t xml:space="preserve"> has become the new normal in AFSJ law, imported from the internal market but with a different kind of consequences. </w:t>
      </w:r>
    </w:p>
    <w:sectPr w:rsidR="00FE2717" w:rsidRPr="000F00CD" w:rsidSect="004738C5">
      <w:headerReference w:type="even" r:id="rId7"/>
      <w:headerReference w:type="default" r:id="rId8"/>
      <w:footerReference w:type="even" r:id="rId9"/>
      <w:footerReference w:type="default" r:id="rId10"/>
      <w:footerReference w:type="first" r:id="rId11"/>
      <w:pgSz w:w="12240" w:h="15840" w:code="1"/>
      <w:pgMar w:top="2722" w:right="2410" w:bottom="2608" w:left="2410" w:header="2155" w:footer="2325" w:gutter="0"/>
      <w:paperSrc w:first="7" w:other="7"/>
      <w:pgNumType w:start="1"/>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753101" w14:textId="77777777" w:rsidR="004338F6" w:rsidRDefault="004338F6" w:rsidP="004738C5">
      <w:r>
        <w:separator/>
      </w:r>
    </w:p>
    <w:p w14:paraId="69E5E122" w14:textId="77777777" w:rsidR="004338F6" w:rsidRDefault="004338F6"/>
  </w:endnote>
  <w:endnote w:type="continuationSeparator" w:id="0">
    <w:p w14:paraId="56B8159E" w14:textId="77777777" w:rsidR="004338F6" w:rsidRDefault="004338F6" w:rsidP="004738C5">
      <w:r>
        <w:continuationSeparator/>
      </w:r>
    </w:p>
    <w:p w14:paraId="6F22338D" w14:textId="77777777" w:rsidR="004338F6" w:rsidRDefault="004338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EUAlbertina">
    <w:altName w:val="Comic Sans MS"/>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B©Pˇ">
    <w:altName w:val="Cambria"/>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Garamond-Regular">
    <w:altName w:val="Cambria"/>
    <w:panose1 w:val="00000000000000000000"/>
    <w:charset w:val="00"/>
    <w:family w:val="roman"/>
    <w:notTrueType/>
    <w:pitch w:val="default"/>
    <w:sig w:usb0="00000003" w:usb1="00000000" w:usb2="00000000" w:usb3="00000000" w:csb0="00000001" w:csb1="00000000"/>
  </w:font>
  <w:font w:name="TimesNRMTPro">
    <w:panose1 w:val="00000000000000000000"/>
    <w:charset w:val="00"/>
    <w:family w:val="auto"/>
    <w:notTrueType/>
    <w:pitch w:val="default"/>
    <w:sig w:usb0="00000003" w:usb1="00000000" w:usb2="00000000" w:usb3="00000000" w:csb0="00000001" w:csb1="00000000"/>
  </w:font>
  <w:font w:name="TimesNRMTPro-Italic">
    <w:panose1 w:val="00000000000000000000"/>
    <w:charset w:val="00"/>
    <w:family w:val="auto"/>
    <w:notTrueType/>
    <w:pitch w:val="default"/>
    <w:sig w:usb0="00000003" w:usb1="00000000" w:usb2="00000000" w:usb3="00000000" w:csb0="00000001" w:csb1="00000000"/>
  </w:font>
  <w:font w:name="TimesNRMTPro-Bold">
    <w:panose1 w:val="00000000000000000000"/>
    <w:charset w:val="00"/>
    <w:family w:val="auto"/>
    <w:notTrueType/>
    <w:pitch w:val="default"/>
    <w:sig w:usb0="00000003" w:usb1="00000000" w:usb2="00000000" w:usb3="00000000" w:csb0="00000001" w:csb1="00000000"/>
  </w:font>
  <w:font w:name="Plantin-Bold">
    <w:altName w:val="Cambria"/>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215DB" w14:textId="77777777" w:rsidR="004338F6" w:rsidRDefault="004338F6" w:rsidP="002527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BD6785" w14:textId="77777777" w:rsidR="004338F6" w:rsidRDefault="004338F6" w:rsidP="004738C5">
    <w:pPr>
      <w:pStyle w:val="Footer"/>
      <w:ind w:right="360"/>
    </w:pPr>
  </w:p>
  <w:p w14:paraId="2C3947E9" w14:textId="77777777" w:rsidR="004338F6" w:rsidRDefault="004338F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AD2FF" w14:textId="77777777" w:rsidR="004338F6" w:rsidRDefault="004338F6" w:rsidP="004738C5">
    <w:pPr>
      <w:pStyle w:val="Footer"/>
      <w:ind w:right="360"/>
    </w:pPr>
  </w:p>
  <w:p w14:paraId="7ECD438B" w14:textId="77777777" w:rsidR="004338F6" w:rsidRDefault="004338F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B8161F" w14:textId="77777777" w:rsidR="004338F6" w:rsidRDefault="004338F6">
    <w:pPr>
      <w:pStyle w:val="Footer"/>
      <w:jc w:val="center"/>
      <w:rPr>
        <w:rFonts w:ascii="Book Antiqua" w:hAnsi="Book Antiqua"/>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944D53" w14:textId="77777777" w:rsidR="004338F6" w:rsidRDefault="004338F6" w:rsidP="004738C5">
      <w:r>
        <w:separator/>
      </w:r>
    </w:p>
    <w:p w14:paraId="65673A4C" w14:textId="77777777" w:rsidR="004338F6" w:rsidRDefault="004338F6"/>
  </w:footnote>
  <w:footnote w:type="continuationSeparator" w:id="0">
    <w:p w14:paraId="29F7B0FD" w14:textId="77777777" w:rsidR="004338F6" w:rsidRDefault="004338F6" w:rsidP="004738C5">
      <w:r>
        <w:continuationSeparator/>
      </w:r>
    </w:p>
    <w:p w14:paraId="1E4DA30B" w14:textId="77777777" w:rsidR="004338F6" w:rsidRDefault="004338F6"/>
  </w:footnote>
  <w:footnote w:id="1">
    <w:p w14:paraId="7E9A5693" w14:textId="77777777" w:rsidR="004338F6" w:rsidRPr="00B11796" w:rsidRDefault="004338F6" w:rsidP="004738C5">
      <w:pPr>
        <w:pStyle w:val="FootnoteText"/>
        <w:spacing w:after="160"/>
        <w:jc w:val="both"/>
        <w:rPr>
          <w:rFonts w:asciiTheme="majorHAnsi" w:hAnsiTheme="majorHAnsi"/>
        </w:rPr>
      </w:pPr>
      <w:r w:rsidRPr="00B11796">
        <w:rPr>
          <w:rStyle w:val="FootnoteReference"/>
          <w:rFonts w:asciiTheme="majorHAnsi" w:hAnsiTheme="majorHAnsi"/>
        </w:rPr>
        <w:t>*</w:t>
      </w:r>
      <w:r w:rsidRPr="00B11796">
        <w:rPr>
          <w:rFonts w:asciiTheme="majorHAnsi" w:hAnsiTheme="majorHAnsi"/>
        </w:rPr>
        <w:t>University Research Chair of EU Constitutional Law and Justice, VU Amsterdam.</w:t>
      </w:r>
    </w:p>
  </w:footnote>
  <w:footnote w:id="2">
    <w:p w14:paraId="01F84EE6" w14:textId="77777777" w:rsidR="004338F6" w:rsidRPr="00B11796" w:rsidRDefault="004338F6" w:rsidP="004738C5">
      <w:pPr>
        <w:pStyle w:val="FootnoteText"/>
        <w:rPr>
          <w:rFonts w:asciiTheme="majorHAnsi" w:hAnsiTheme="majorHAnsi"/>
          <w:lang w:val="en-GB"/>
        </w:rPr>
      </w:pPr>
      <w:r w:rsidRPr="00B11796">
        <w:rPr>
          <w:rStyle w:val="FootnoteReference"/>
          <w:rFonts w:asciiTheme="majorHAnsi" w:hAnsiTheme="majorHAnsi"/>
        </w:rPr>
        <w:sym w:font="Wingdings 2" w:char="F0C6"/>
      </w:r>
      <w:r w:rsidRPr="00B11796">
        <w:rPr>
          <w:rFonts w:asciiTheme="majorHAnsi" w:hAnsiTheme="majorHAnsi"/>
        </w:rPr>
        <w:t xml:space="preserve"> Professor of Financial Crime, Department of Law, Faculty of Business and Law, University of the West of England, Bristol.</w:t>
      </w:r>
    </w:p>
  </w:footnote>
  <w:footnote w:id="3">
    <w:p w14:paraId="58F44D2F" w14:textId="03360E89" w:rsidR="004338F6" w:rsidRPr="00730D9D" w:rsidRDefault="004338F6" w:rsidP="00730D9D">
      <w:pPr>
        <w:pStyle w:val="Heading1"/>
        <w:rPr>
          <w:rFonts w:asciiTheme="majorHAnsi" w:hAnsiTheme="majorHAnsi"/>
          <w:b w:val="0"/>
          <w:sz w:val="20"/>
        </w:rPr>
      </w:pPr>
      <w:r w:rsidRPr="00B11796">
        <w:rPr>
          <w:rStyle w:val="FootnoteReference"/>
          <w:rFonts w:asciiTheme="majorHAnsi" w:hAnsiTheme="majorHAnsi"/>
          <w:b w:val="0"/>
          <w:sz w:val="20"/>
        </w:rPr>
        <w:footnoteRef/>
      </w:r>
      <w:r w:rsidRPr="00B11796">
        <w:rPr>
          <w:rFonts w:asciiTheme="majorHAnsi" w:hAnsiTheme="majorHAnsi"/>
          <w:b w:val="0"/>
          <w:sz w:val="20"/>
        </w:rPr>
        <w:t xml:space="preserve"> See e.g. C Stefanou and H Xhanthaki </w:t>
      </w:r>
      <w:r w:rsidRPr="00B11796">
        <w:rPr>
          <w:rFonts w:asciiTheme="majorHAnsi" w:hAnsiTheme="majorHAnsi"/>
          <w:b w:val="0"/>
          <w:i/>
          <w:sz w:val="20"/>
        </w:rPr>
        <w:t>Financial Crime In the EU</w:t>
      </w:r>
      <w:r w:rsidRPr="00B11796">
        <w:rPr>
          <w:rFonts w:asciiTheme="majorHAnsi" w:hAnsiTheme="majorHAnsi"/>
          <w:b w:val="0"/>
          <w:sz w:val="20"/>
        </w:rPr>
        <w:t xml:space="preserve"> (Kluwer law international 2005).</w:t>
      </w:r>
    </w:p>
  </w:footnote>
  <w:footnote w:id="4">
    <w:p w14:paraId="6AEBAA1D" w14:textId="2DD19FD3" w:rsidR="004338F6" w:rsidRPr="00B11796" w:rsidRDefault="004338F6">
      <w:pPr>
        <w:pStyle w:val="FootnoteText"/>
        <w:rPr>
          <w:rFonts w:asciiTheme="majorHAnsi" w:hAnsiTheme="majorHAnsi"/>
        </w:rPr>
      </w:pPr>
      <w:r w:rsidRPr="00B11796">
        <w:rPr>
          <w:rStyle w:val="FootnoteReference"/>
          <w:rFonts w:asciiTheme="majorHAnsi" w:hAnsiTheme="majorHAnsi"/>
        </w:rPr>
        <w:footnoteRef/>
      </w:r>
      <w:r w:rsidRPr="00B11796">
        <w:rPr>
          <w:rFonts w:asciiTheme="majorHAnsi" w:hAnsiTheme="majorHAnsi"/>
        </w:rPr>
        <w:t xml:space="preserve"> For an attempt to look at the AFSJ in this context see, E Herlin-Karnell </w:t>
      </w:r>
      <w:r w:rsidRPr="00B11796">
        <w:rPr>
          <w:rFonts w:asciiTheme="majorHAnsi" w:eastAsiaTheme="minorEastAsia" w:hAnsiTheme="majorHAnsi" w:cs="Calibri"/>
          <w:lang w:eastAsia="en-US"/>
        </w:rPr>
        <w:t xml:space="preserve">‘Constructing Europe’s Area of Freedom, Security, and Justice through the Framework of “Regulation”: A Cascade of Market-Based Challenges in the EU’s Fight Against Financial Crime’, (2015), </w:t>
      </w:r>
      <w:r w:rsidRPr="00B11796">
        <w:rPr>
          <w:rFonts w:asciiTheme="majorHAnsi" w:eastAsiaTheme="minorEastAsia" w:hAnsiTheme="majorHAnsi" w:cs="Calibri"/>
          <w:i/>
          <w:iCs/>
          <w:lang w:eastAsia="en-US"/>
        </w:rPr>
        <w:t xml:space="preserve">German Law Journal </w:t>
      </w:r>
      <w:r w:rsidRPr="00B11796">
        <w:rPr>
          <w:rFonts w:asciiTheme="majorHAnsi" w:eastAsiaTheme="minorEastAsia" w:hAnsiTheme="majorHAnsi" w:cs="Calibri"/>
          <w:lang w:eastAsia="en-US"/>
        </w:rPr>
        <w:t>171</w:t>
      </w:r>
    </w:p>
  </w:footnote>
  <w:footnote w:id="5">
    <w:p w14:paraId="2DF78D05" w14:textId="77777777" w:rsidR="004338F6" w:rsidRPr="00B11796" w:rsidRDefault="004338F6" w:rsidP="004738C5">
      <w:pPr>
        <w:pStyle w:val="FootnoteText"/>
        <w:spacing w:after="160"/>
        <w:jc w:val="both"/>
        <w:rPr>
          <w:rFonts w:asciiTheme="majorHAnsi" w:hAnsiTheme="majorHAnsi"/>
        </w:rPr>
      </w:pPr>
      <w:r w:rsidRPr="00B11796">
        <w:rPr>
          <w:rStyle w:val="FootnoteReference"/>
          <w:rFonts w:asciiTheme="majorHAnsi" w:hAnsiTheme="majorHAnsi"/>
        </w:rPr>
        <w:footnoteRef/>
      </w:r>
      <w:r w:rsidRPr="00B11796">
        <w:rPr>
          <w:rFonts w:asciiTheme="majorHAnsi" w:hAnsiTheme="majorHAnsi"/>
        </w:rPr>
        <w:t xml:space="preserve"> </w:t>
      </w:r>
      <w:r w:rsidRPr="00B11796">
        <w:rPr>
          <w:rFonts w:asciiTheme="majorHAnsi" w:hAnsiTheme="majorHAnsi"/>
          <w:i/>
        </w:rPr>
        <w:t>See, e.g.</w:t>
      </w:r>
      <w:r w:rsidRPr="00B11796">
        <w:rPr>
          <w:rFonts w:asciiTheme="majorHAnsi" w:hAnsiTheme="majorHAnsi"/>
        </w:rPr>
        <w:t>,</w:t>
      </w:r>
      <w:r w:rsidRPr="00B11796">
        <w:rPr>
          <w:rFonts w:asciiTheme="majorHAnsi" w:hAnsiTheme="majorHAnsi"/>
          <w:i/>
        </w:rPr>
        <w:t xml:space="preserve"> </w:t>
      </w:r>
      <w:r w:rsidRPr="00B11796">
        <w:rPr>
          <w:rFonts w:asciiTheme="majorHAnsi" w:hAnsiTheme="majorHAnsi"/>
        </w:rPr>
        <w:t xml:space="preserve">M Egan, </w:t>
      </w:r>
      <w:r w:rsidRPr="00B11796">
        <w:rPr>
          <w:rFonts w:asciiTheme="majorHAnsi" w:hAnsiTheme="majorHAnsi"/>
          <w:i/>
        </w:rPr>
        <w:t>Constructing a European market: standards regulation, and governance</w:t>
      </w:r>
      <w:r w:rsidRPr="00B11796">
        <w:rPr>
          <w:rFonts w:asciiTheme="majorHAnsi" w:hAnsiTheme="majorHAnsi"/>
        </w:rPr>
        <w:t xml:space="preserve"> (OUP 2001). </w:t>
      </w:r>
    </w:p>
  </w:footnote>
  <w:footnote w:id="6">
    <w:p w14:paraId="0CE9CCE4" w14:textId="36E18103" w:rsidR="004338F6" w:rsidRPr="00B11796" w:rsidRDefault="004338F6" w:rsidP="004738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jc w:val="both"/>
        <w:rPr>
          <w:rFonts w:asciiTheme="majorHAnsi" w:eastAsia="MS Mincho" w:hAnsiTheme="majorHAnsi"/>
          <w:bCs/>
          <w:sz w:val="20"/>
          <w:lang w:val="en-US"/>
        </w:rPr>
      </w:pPr>
      <w:r w:rsidRPr="00B11796">
        <w:rPr>
          <w:rStyle w:val="FootnoteReference"/>
          <w:rFonts w:asciiTheme="majorHAnsi" w:hAnsiTheme="majorHAnsi"/>
          <w:sz w:val="20"/>
          <w:lang w:val="en-US"/>
        </w:rPr>
        <w:footnoteRef/>
      </w:r>
      <w:r w:rsidRPr="00B11796">
        <w:rPr>
          <w:rFonts w:asciiTheme="majorHAnsi" w:hAnsiTheme="majorHAnsi"/>
          <w:sz w:val="20"/>
          <w:lang w:val="en-US"/>
        </w:rPr>
        <w:t xml:space="preserve"> </w:t>
      </w:r>
      <w:r w:rsidRPr="00B11796">
        <w:rPr>
          <w:rFonts w:asciiTheme="majorHAnsi" w:hAnsiTheme="majorHAnsi"/>
          <w:i/>
          <w:sz w:val="20"/>
          <w:lang w:val="en-US"/>
        </w:rPr>
        <w:t>Directive of the European Parliament and of the Council on the Prevention of the Use of the Financial System for the Purpose of Money Laundering and Terrorist Financing,</w:t>
      </w:r>
      <w:r w:rsidRPr="00B11796">
        <w:rPr>
          <w:rFonts w:asciiTheme="majorHAnsi" w:hAnsiTheme="majorHAnsi"/>
          <w:sz w:val="20"/>
          <w:lang w:val="en-US"/>
        </w:rPr>
        <w:t xml:space="preserve"> </w:t>
      </w:r>
      <w:r w:rsidRPr="00B11796">
        <w:rPr>
          <w:rStyle w:val="Strong"/>
          <w:rFonts w:asciiTheme="majorHAnsi" w:hAnsiTheme="majorHAnsi"/>
          <w:b w:val="0"/>
          <w:sz w:val="20"/>
        </w:rPr>
        <w:t xml:space="preserve">Directive (EU) 2015/849 </w:t>
      </w:r>
      <w:r w:rsidRPr="00B11796">
        <w:rPr>
          <w:rFonts w:asciiTheme="majorHAnsi" w:eastAsia="MS Mincho" w:hAnsiTheme="majorHAnsi"/>
          <w:bCs/>
          <w:sz w:val="20"/>
          <w:lang w:val="en-US"/>
        </w:rPr>
        <w:t xml:space="preserve"> </w:t>
      </w:r>
    </w:p>
  </w:footnote>
  <w:footnote w:id="7">
    <w:p w14:paraId="4185E831" w14:textId="77777777" w:rsidR="004338F6" w:rsidRPr="00B11796" w:rsidRDefault="004338F6" w:rsidP="001C6449">
      <w:pPr>
        <w:pStyle w:val="FootnoteText"/>
        <w:spacing w:after="160"/>
        <w:jc w:val="both"/>
        <w:rPr>
          <w:rFonts w:asciiTheme="majorHAnsi" w:hAnsiTheme="majorHAnsi"/>
        </w:rPr>
      </w:pPr>
      <w:r w:rsidRPr="00B11796">
        <w:rPr>
          <w:rStyle w:val="FootnoteReference"/>
          <w:rFonts w:asciiTheme="majorHAnsi" w:hAnsiTheme="majorHAnsi"/>
        </w:rPr>
        <w:footnoteRef/>
      </w:r>
      <w:r w:rsidRPr="00B11796">
        <w:rPr>
          <w:rFonts w:asciiTheme="majorHAnsi" w:hAnsiTheme="majorHAnsi"/>
        </w:rPr>
        <w:t xml:space="preserve"> Treaty of Lisbon Amending the Treaty on European Union and the Treaty Establishing the European Community, Dec. 13, 2007, 2007 O.J. (C 306) (citing Protocol 21 attached to the Lisbon Treaty). According to Articles 1 and 3 of Protocol 21 attached to the Lisbon Treaty, the UK and Ireland do not take part in legislation adopted within the AFSJ unless they opt to participate in such legislation by notifying the President of the Council in writing within three months after a proposal or initiative has been presented to the Council. </w:t>
      </w:r>
      <w:r w:rsidRPr="00B11796">
        <w:rPr>
          <w:rFonts w:asciiTheme="majorHAnsi" w:hAnsiTheme="majorHAnsi"/>
          <w:i/>
        </w:rPr>
        <w:t xml:space="preserve">Id. </w:t>
      </w:r>
      <w:r w:rsidRPr="00B11796">
        <w:rPr>
          <w:rFonts w:asciiTheme="majorHAnsi" w:hAnsiTheme="majorHAnsi"/>
        </w:rPr>
        <w:t>Protocol 22 grants Denmark a complete opt out from the AFSJ.</w:t>
      </w:r>
    </w:p>
  </w:footnote>
  <w:footnote w:id="8">
    <w:p w14:paraId="006609AB" w14:textId="77777777" w:rsidR="004338F6" w:rsidRPr="00B11796" w:rsidRDefault="004338F6" w:rsidP="004738C5">
      <w:pPr>
        <w:pStyle w:val="FootnoteText"/>
        <w:jc w:val="both"/>
        <w:rPr>
          <w:rFonts w:asciiTheme="majorHAnsi" w:hAnsiTheme="majorHAnsi"/>
        </w:rPr>
      </w:pPr>
      <w:r w:rsidRPr="00B11796">
        <w:rPr>
          <w:rStyle w:val="FootnoteReference"/>
          <w:rFonts w:asciiTheme="majorHAnsi" w:hAnsiTheme="majorHAnsi"/>
        </w:rPr>
        <w:footnoteRef/>
      </w:r>
      <w:r w:rsidRPr="00B11796">
        <w:rPr>
          <w:rFonts w:asciiTheme="majorHAnsi" w:hAnsiTheme="majorHAnsi"/>
        </w:rPr>
        <w:t xml:space="preserve"> See for example the </w:t>
      </w:r>
      <w:r w:rsidRPr="00B11796">
        <w:rPr>
          <w:rFonts w:asciiTheme="majorHAnsi" w:hAnsiTheme="majorHAnsi"/>
          <w:bCs/>
        </w:rPr>
        <w:t xml:space="preserve">EUs Convention on the Protection of the ECs financial interests </w:t>
      </w:r>
      <w:r w:rsidRPr="00B11796">
        <w:rPr>
          <w:rFonts w:asciiTheme="majorHAnsi" w:hAnsiTheme="majorHAnsi"/>
          <w:bCs/>
          <w:lang w:val="en"/>
        </w:rPr>
        <w:t xml:space="preserve">[OJ C 316, 27.11.1995] and </w:t>
      </w:r>
      <w:r w:rsidRPr="00B11796">
        <w:rPr>
          <w:rFonts w:asciiTheme="majorHAnsi" w:hAnsiTheme="majorHAnsi"/>
          <w:bCs/>
        </w:rPr>
        <w:t>the EU’s 2001 Framework Decision ‘combating fraud and counterfeiting of non-cash means of payment’.</w:t>
      </w:r>
    </w:p>
  </w:footnote>
  <w:footnote w:id="9">
    <w:p w14:paraId="658D997E" w14:textId="3B93A063" w:rsidR="004338F6" w:rsidRPr="00B11796" w:rsidRDefault="004338F6" w:rsidP="004738C5">
      <w:pPr>
        <w:pStyle w:val="FootnoteText"/>
        <w:jc w:val="both"/>
        <w:rPr>
          <w:rFonts w:asciiTheme="majorHAnsi" w:hAnsiTheme="majorHAnsi"/>
        </w:rPr>
      </w:pPr>
      <w:r w:rsidRPr="00B11796">
        <w:rPr>
          <w:rStyle w:val="FootnoteReference"/>
          <w:rFonts w:asciiTheme="majorHAnsi" w:hAnsiTheme="majorHAnsi"/>
        </w:rPr>
        <w:footnoteRef/>
      </w:r>
      <w:r w:rsidRPr="00B11796">
        <w:rPr>
          <w:rFonts w:asciiTheme="majorHAnsi" w:hAnsiTheme="majorHAnsi"/>
        </w:rPr>
        <w:t xml:space="preserve"> </w:t>
      </w:r>
      <w:r>
        <w:rPr>
          <w:rFonts w:asciiTheme="majorHAnsi" w:hAnsiTheme="majorHAnsi"/>
        </w:rPr>
        <w:t>D Ruimschotel,</w:t>
      </w:r>
      <w:r w:rsidRPr="00B11796">
        <w:rPr>
          <w:rFonts w:asciiTheme="majorHAnsi" w:hAnsiTheme="majorHAnsi"/>
        </w:rPr>
        <w:t xml:space="preserve">. (1994), ‘The EC budget: ten percent fraud? A policy analysis approach’, </w:t>
      </w:r>
      <w:r w:rsidRPr="00B11796">
        <w:rPr>
          <w:rFonts w:asciiTheme="majorHAnsi" w:hAnsiTheme="majorHAnsi"/>
          <w:i/>
        </w:rPr>
        <w:t>Journal of Common Market Studies</w:t>
      </w:r>
      <w:r w:rsidRPr="00B11796">
        <w:rPr>
          <w:rFonts w:asciiTheme="majorHAnsi" w:hAnsiTheme="majorHAnsi"/>
        </w:rPr>
        <w:t xml:space="preserve">, </w:t>
      </w:r>
      <w:r w:rsidRPr="00B11796">
        <w:rPr>
          <w:rFonts w:asciiTheme="majorHAnsi" w:hAnsiTheme="majorHAnsi"/>
          <w:b/>
        </w:rPr>
        <w:t>32</w:t>
      </w:r>
      <w:r w:rsidRPr="00B11796">
        <w:rPr>
          <w:rFonts w:asciiTheme="majorHAnsi" w:hAnsiTheme="majorHAnsi"/>
        </w:rPr>
        <w:t>(3), 320-342, at 320.</w:t>
      </w:r>
    </w:p>
  </w:footnote>
  <w:footnote w:id="10">
    <w:p w14:paraId="044675B5" w14:textId="587A72D4" w:rsidR="004338F6" w:rsidRPr="00B11796" w:rsidRDefault="004338F6" w:rsidP="004738C5">
      <w:pPr>
        <w:pStyle w:val="FootnoteText"/>
        <w:jc w:val="both"/>
        <w:rPr>
          <w:rFonts w:asciiTheme="majorHAnsi" w:hAnsiTheme="majorHAnsi"/>
        </w:rPr>
      </w:pPr>
      <w:r w:rsidRPr="00B11796">
        <w:rPr>
          <w:rStyle w:val="FootnoteReference"/>
          <w:rFonts w:asciiTheme="majorHAnsi" w:hAnsiTheme="majorHAnsi"/>
        </w:rPr>
        <w:footnoteRef/>
      </w:r>
      <w:r w:rsidRPr="00B11796">
        <w:rPr>
          <w:rFonts w:asciiTheme="majorHAnsi" w:hAnsiTheme="majorHAnsi"/>
        </w:rPr>
        <w:t xml:space="preserve"> </w:t>
      </w:r>
      <w:r>
        <w:rPr>
          <w:rFonts w:asciiTheme="majorHAnsi" w:hAnsiTheme="majorHAnsi"/>
        </w:rPr>
        <w:t>C Pujas,</w:t>
      </w:r>
      <w:r w:rsidRPr="00B11796">
        <w:rPr>
          <w:rFonts w:asciiTheme="majorHAnsi" w:hAnsiTheme="majorHAnsi"/>
        </w:rPr>
        <w:t xml:space="preserve">. (2003). ‘The European Anti-Fraud Office (OLAF): a European policy to fight against economic and financial fraud?’, </w:t>
      </w:r>
      <w:r w:rsidRPr="00B11796">
        <w:rPr>
          <w:rFonts w:asciiTheme="majorHAnsi" w:hAnsiTheme="majorHAnsi"/>
          <w:i/>
        </w:rPr>
        <w:t>Journal of European Public Policy</w:t>
      </w:r>
      <w:r w:rsidRPr="00B11796">
        <w:rPr>
          <w:rFonts w:asciiTheme="majorHAnsi" w:hAnsiTheme="majorHAnsi"/>
        </w:rPr>
        <w:t xml:space="preserve">, </w:t>
      </w:r>
      <w:r w:rsidRPr="00B11796">
        <w:rPr>
          <w:rFonts w:asciiTheme="majorHAnsi" w:hAnsiTheme="majorHAnsi"/>
          <w:b/>
        </w:rPr>
        <w:t>10</w:t>
      </w:r>
      <w:r w:rsidRPr="00B11796">
        <w:rPr>
          <w:rFonts w:asciiTheme="majorHAnsi" w:hAnsiTheme="majorHAnsi"/>
        </w:rPr>
        <w:t xml:space="preserve">(5), 778-797, at 780.  </w:t>
      </w:r>
      <w:r w:rsidRPr="00B11796">
        <w:rPr>
          <w:rFonts w:asciiTheme="majorHAnsi" w:hAnsiTheme="majorHAnsi" w:cs="AGaramond-Regular"/>
        </w:rPr>
        <w:t xml:space="preserve">The amount of fraud committed against the EU is impossible to determine, yet recent estimates suggest that the figure on an annual basis is €1,000,000,000.  See </w:t>
      </w:r>
      <w:r>
        <w:rPr>
          <w:rFonts w:asciiTheme="majorHAnsi" w:hAnsiTheme="majorHAnsi" w:cs="AGaramond-Regular"/>
        </w:rPr>
        <w:t xml:space="preserve">H </w:t>
      </w:r>
      <w:r>
        <w:rPr>
          <w:rFonts w:asciiTheme="majorHAnsi" w:hAnsiTheme="majorHAnsi"/>
        </w:rPr>
        <w:t>Xanthaki,</w:t>
      </w:r>
      <w:r w:rsidRPr="00B11796">
        <w:rPr>
          <w:rFonts w:asciiTheme="majorHAnsi" w:hAnsiTheme="majorHAnsi"/>
        </w:rPr>
        <w:t xml:space="preserve">. (2010), ‘What is EU fraud? And can OLAF really combat it?’, </w:t>
      </w:r>
      <w:r w:rsidRPr="00B11796">
        <w:rPr>
          <w:rFonts w:asciiTheme="majorHAnsi" w:hAnsiTheme="majorHAnsi"/>
          <w:i/>
        </w:rPr>
        <w:t>Journal of Financial Crime</w:t>
      </w:r>
      <w:r w:rsidRPr="00B11796">
        <w:rPr>
          <w:rFonts w:asciiTheme="majorHAnsi" w:hAnsiTheme="majorHAnsi"/>
        </w:rPr>
        <w:t xml:space="preserve">, </w:t>
      </w:r>
      <w:r w:rsidRPr="00B11796">
        <w:rPr>
          <w:rFonts w:asciiTheme="majorHAnsi" w:hAnsiTheme="majorHAnsi"/>
          <w:b/>
        </w:rPr>
        <w:t>17</w:t>
      </w:r>
      <w:r w:rsidRPr="00B11796">
        <w:rPr>
          <w:rFonts w:asciiTheme="majorHAnsi" w:hAnsiTheme="majorHAnsi"/>
        </w:rPr>
        <w:t>(1), 133-151, at 133,</w:t>
      </w:r>
    </w:p>
  </w:footnote>
  <w:footnote w:id="11">
    <w:p w14:paraId="1E1E5714" w14:textId="77777777" w:rsidR="004338F6" w:rsidRPr="00B11796" w:rsidRDefault="004338F6" w:rsidP="004738C5">
      <w:pPr>
        <w:pStyle w:val="FootnoteText"/>
        <w:jc w:val="both"/>
        <w:rPr>
          <w:rFonts w:asciiTheme="majorHAnsi" w:hAnsiTheme="majorHAnsi"/>
        </w:rPr>
      </w:pPr>
      <w:r w:rsidRPr="00B11796">
        <w:rPr>
          <w:rStyle w:val="FootnoteReference"/>
          <w:rFonts w:asciiTheme="majorHAnsi" w:hAnsiTheme="majorHAnsi"/>
        </w:rPr>
        <w:footnoteRef/>
      </w:r>
      <w:r w:rsidRPr="00B11796">
        <w:rPr>
          <w:rFonts w:asciiTheme="majorHAnsi" w:hAnsiTheme="majorHAnsi"/>
        </w:rPr>
        <w:t xml:space="preserve"> The European Court of Auditors was established by the Treaty of Brussels in 1975.  For a more detailed discussion about the general role of the European Court of Auditors see Quirke, B. and Pyke, C. (2002), ‘Policing European Union Expenditure A Critical Appraisal of the Transnational Institutions’, </w:t>
      </w:r>
      <w:r w:rsidRPr="00B11796">
        <w:rPr>
          <w:rFonts w:asciiTheme="majorHAnsi" w:hAnsiTheme="majorHAnsi"/>
          <w:i/>
          <w:iCs/>
        </w:rPr>
        <w:t>Journal of Finance and Management in Public Services</w:t>
      </w:r>
      <w:r w:rsidRPr="00B11796">
        <w:rPr>
          <w:rFonts w:asciiTheme="majorHAnsi" w:hAnsiTheme="majorHAnsi"/>
          <w:iCs/>
        </w:rPr>
        <w:t xml:space="preserve">, </w:t>
      </w:r>
      <w:r w:rsidRPr="00B11796">
        <w:rPr>
          <w:rFonts w:asciiTheme="majorHAnsi" w:hAnsiTheme="majorHAnsi"/>
          <w:b/>
          <w:iCs/>
        </w:rPr>
        <w:t>2</w:t>
      </w:r>
      <w:r w:rsidRPr="00B11796">
        <w:rPr>
          <w:rFonts w:asciiTheme="majorHAnsi" w:hAnsiTheme="majorHAnsi"/>
          <w:iCs/>
        </w:rPr>
        <w:t>(1), 21-32</w:t>
      </w:r>
      <w:r w:rsidRPr="00B11796">
        <w:rPr>
          <w:rFonts w:asciiTheme="majorHAnsi" w:hAnsiTheme="majorHAnsi"/>
        </w:rPr>
        <w:t>, at 23-25.</w:t>
      </w:r>
    </w:p>
  </w:footnote>
  <w:footnote w:id="12">
    <w:p w14:paraId="0CFF6832" w14:textId="77777777" w:rsidR="004338F6" w:rsidRPr="00B11796" w:rsidRDefault="004338F6" w:rsidP="004738C5">
      <w:pPr>
        <w:pStyle w:val="FootnoteText"/>
        <w:jc w:val="both"/>
        <w:rPr>
          <w:rFonts w:asciiTheme="majorHAnsi" w:hAnsiTheme="majorHAnsi"/>
        </w:rPr>
      </w:pPr>
      <w:r w:rsidRPr="00B11796">
        <w:rPr>
          <w:rStyle w:val="FootnoteReference"/>
          <w:rFonts w:asciiTheme="majorHAnsi" w:hAnsiTheme="majorHAnsi"/>
        </w:rPr>
        <w:footnoteRef/>
      </w:r>
      <w:r w:rsidRPr="00B11796">
        <w:rPr>
          <w:rFonts w:asciiTheme="majorHAnsi" w:hAnsiTheme="majorHAnsi"/>
        </w:rPr>
        <w:t xml:space="preserve"> European Court of Auditors (n/d), ‘About us’, available at </w:t>
      </w:r>
      <w:hyperlink r:id="rId1" w:history="1">
        <w:r w:rsidRPr="00B11796">
          <w:rPr>
            <w:rStyle w:val="Hyperlink"/>
            <w:rFonts w:asciiTheme="majorHAnsi" w:hAnsiTheme="majorHAnsi"/>
          </w:rPr>
          <w:t>http://eca.europa.eu/portal/page/portal/aboutus</w:t>
        </w:r>
      </w:hyperlink>
      <w:r w:rsidRPr="00B11796">
        <w:rPr>
          <w:rFonts w:asciiTheme="majorHAnsi" w:hAnsiTheme="majorHAnsi"/>
        </w:rPr>
        <w:t xml:space="preserve"> (accessed 3 August 2010).</w:t>
      </w:r>
    </w:p>
  </w:footnote>
  <w:footnote w:id="13">
    <w:p w14:paraId="3D4CF60B" w14:textId="77777777" w:rsidR="004338F6" w:rsidRPr="00B11796" w:rsidRDefault="004338F6" w:rsidP="004738C5">
      <w:pPr>
        <w:autoSpaceDE w:val="0"/>
        <w:autoSpaceDN w:val="0"/>
        <w:adjustRightInd w:val="0"/>
        <w:rPr>
          <w:rFonts w:asciiTheme="majorHAnsi" w:hAnsiTheme="majorHAnsi"/>
          <w:sz w:val="20"/>
        </w:rPr>
      </w:pPr>
      <w:r w:rsidRPr="00B11796">
        <w:rPr>
          <w:rStyle w:val="FootnoteReference"/>
          <w:rFonts w:asciiTheme="majorHAnsi" w:hAnsiTheme="majorHAnsi"/>
          <w:sz w:val="20"/>
        </w:rPr>
        <w:footnoteRef/>
      </w:r>
      <w:r w:rsidRPr="00B11796">
        <w:rPr>
          <w:rFonts w:asciiTheme="majorHAnsi" w:hAnsiTheme="majorHAnsi"/>
          <w:sz w:val="20"/>
        </w:rPr>
        <w:t xml:space="preserve"> </w:t>
      </w:r>
      <w:r w:rsidRPr="00B11796">
        <w:rPr>
          <w:rFonts w:asciiTheme="majorHAnsi" w:hAnsiTheme="majorHAnsi" w:cs="TimesNRMTPro"/>
          <w:sz w:val="20"/>
          <w:lang w:eastAsia="en-US" w:bidi="ar-SA"/>
        </w:rPr>
        <w:t xml:space="preserve"> Pujas, C. (2003), ‘The European Anti- Fraud Offi ce (OLAF): a European policy to fight against economic and fi nancial fraud?’, </w:t>
      </w:r>
      <w:r w:rsidRPr="00B11796">
        <w:rPr>
          <w:rFonts w:asciiTheme="majorHAnsi" w:hAnsiTheme="majorHAnsi" w:cs="TimesNRMTPro-Italic"/>
          <w:i/>
          <w:iCs/>
          <w:sz w:val="20"/>
          <w:lang w:eastAsia="en-US" w:bidi="ar-SA"/>
        </w:rPr>
        <w:t>Journal of European Public Policy</w:t>
      </w:r>
      <w:r w:rsidRPr="00B11796">
        <w:rPr>
          <w:rFonts w:asciiTheme="majorHAnsi" w:hAnsiTheme="majorHAnsi" w:cs="TimesNRMTPro"/>
          <w:sz w:val="20"/>
          <w:lang w:eastAsia="en-US" w:bidi="ar-SA"/>
        </w:rPr>
        <w:t xml:space="preserve">, </w:t>
      </w:r>
      <w:r w:rsidRPr="00B11796">
        <w:rPr>
          <w:rFonts w:asciiTheme="majorHAnsi" w:hAnsiTheme="majorHAnsi" w:cs="TimesNRMTPro-Bold"/>
          <w:b/>
          <w:bCs/>
          <w:sz w:val="20"/>
          <w:lang w:eastAsia="en-US" w:bidi="ar-SA"/>
        </w:rPr>
        <w:t>10</w:t>
      </w:r>
      <w:r w:rsidRPr="00B11796">
        <w:rPr>
          <w:rFonts w:asciiTheme="majorHAnsi" w:hAnsiTheme="majorHAnsi" w:cs="TimesNRMTPro"/>
          <w:sz w:val="20"/>
          <w:lang w:eastAsia="en-US" w:bidi="ar-SA"/>
        </w:rPr>
        <w:t xml:space="preserve">(5), 778–797, at 780. The amount of fraud committed against the EU is impossible to determine, yet recent estimates suggest that the fi gure on an annual basis is €1 000 000 000. See Xanthaki, H. (2010), ‘What is EU fraud? And can OLAF really combat it?’, </w:t>
      </w:r>
      <w:r w:rsidRPr="00B11796">
        <w:rPr>
          <w:rFonts w:asciiTheme="majorHAnsi" w:hAnsiTheme="majorHAnsi" w:cs="TimesNRMTPro-Italic"/>
          <w:i/>
          <w:iCs/>
          <w:sz w:val="20"/>
          <w:lang w:eastAsia="en-US" w:bidi="ar-SA"/>
        </w:rPr>
        <w:t>Journal of Financial Crime</w:t>
      </w:r>
      <w:r w:rsidRPr="00B11796">
        <w:rPr>
          <w:rFonts w:asciiTheme="majorHAnsi" w:hAnsiTheme="majorHAnsi" w:cs="TimesNRMTPro"/>
          <w:sz w:val="20"/>
          <w:lang w:eastAsia="en-US" w:bidi="ar-SA"/>
        </w:rPr>
        <w:t xml:space="preserve">, </w:t>
      </w:r>
      <w:r w:rsidRPr="00B11796">
        <w:rPr>
          <w:rFonts w:asciiTheme="majorHAnsi" w:hAnsiTheme="majorHAnsi" w:cs="TimesNRMTPro-Bold"/>
          <w:b/>
          <w:bCs/>
          <w:sz w:val="20"/>
          <w:lang w:eastAsia="en-US" w:bidi="ar-SA"/>
        </w:rPr>
        <w:t>17</w:t>
      </w:r>
      <w:r w:rsidRPr="00B11796">
        <w:rPr>
          <w:rFonts w:asciiTheme="majorHAnsi" w:hAnsiTheme="majorHAnsi" w:cs="TimesNRMTPro"/>
          <w:sz w:val="20"/>
          <w:lang w:eastAsia="en-US" w:bidi="ar-SA"/>
        </w:rPr>
        <w:t>(1), 133–151, at 133.</w:t>
      </w:r>
    </w:p>
  </w:footnote>
  <w:footnote w:id="14">
    <w:p w14:paraId="4C87E075" w14:textId="77777777" w:rsidR="004338F6" w:rsidRPr="00B11796" w:rsidRDefault="004338F6" w:rsidP="004738C5">
      <w:pPr>
        <w:pStyle w:val="FootnoteText"/>
        <w:jc w:val="both"/>
        <w:rPr>
          <w:rFonts w:asciiTheme="majorHAnsi" w:hAnsiTheme="majorHAnsi"/>
        </w:rPr>
      </w:pPr>
      <w:r w:rsidRPr="00B11796">
        <w:rPr>
          <w:rStyle w:val="FootnoteReference"/>
          <w:rFonts w:asciiTheme="majorHAnsi" w:hAnsiTheme="majorHAnsi"/>
        </w:rPr>
        <w:footnoteRef/>
      </w:r>
      <w:r w:rsidRPr="00B11796">
        <w:rPr>
          <w:rFonts w:asciiTheme="majorHAnsi" w:hAnsiTheme="majorHAnsi"/>
        </w:rPr>
        <w:t xml:space="preserve"> </w:t>
      </w:r>
      <w:r w:rsidRPr="00B11796">
        <w:rPr>
          <w:rFonts w:asciiTheme="majorHAnsi" w:hAnsiTheme="majorHAnsi"/>
          <w:i/>
        </w:rPr>
        <w:t>Ibid</w:t>
      </w:r>
      <w:r w:rsidRPr="00B11796">
        <w:rPr>
          <w:rFonts w:asciiTheme="majorHAnsi" w:hAnsiTheme="majorHAnsi"/>
        </w:rPr>
        <w:t>.</w:t>
      </w:r>
    </w:p>
  </w:footnote>
  <w:footnote w:id="15">
    <w:p w14:paraId="13BAC7E4" w14:textId="77777777" w:rsidR="004338F6" w:rsidRPr="00B11796" w:rsidRDefault="004338F6" w:rsidP="004738C5">
      <w:pPr>
        <w:autoSpaceDE w:val="0"/>
        <w:autoSpaceDN w:val="0"/>
        <w:adjustRightInd w:val="0"/>
        <w:jc w:val="both"/>
        <w:rPr>
          <w:rFonts w:asciiTheme="majorHAnsi" w:hAnsiTheme="majorHAnsi"/>
          <w:sz w:val="20"/>
        </w:rPr>
      </w:pPr>
      <w:r w:rsidRPr="00B11796">
        <w:rPr>
          <w:rStyle w:val="FootnoteReference"/>
          <w:rFonts w:asciiTheme="majorHAnsi" w:eastAsia="SimSun" w:hAnsiTheme="majorHAnsi"/>
          <w:sz w:val="20"/>
        </w:rPr>
        <w:footnoteRef/>
      </w:r>
      <w:r w:rsidRPr="00B11796">
        <w:rPr>
          <w:rFonts w:asciiTheme="majorHAnsi" w:hAnsiTheme="majorHAnsi"/>
          <w:sz w:val="20"/>
        </w:rPr>
        <w:t xml:space="preserve"> White, S. (1999), ‘</w:t>
      </w:r>
      <w:r w:rsidRPr="00B11796">
        <w:rPr>
          <w:rFonts w:asciiTheme="majorHAnsi" w:hAnsiTheme="majorHAnsi"/>
          <w:bCs/>
          <w:sz w:val="20"/>
        </w:rPr>
        <w:t xml:space="preserve">Investigating EC Fraud: The metamorphosis of UCLAF’, </w:t>
      </w:r>
      <w:r w:rsidRPr="00B11796">
        <w:rPr>
          <w:rFonts w:asciiTheme="majorHAnsi" w:hAnsiTheme="majorHAnsi"/>
          <w:bCs/>
          <w:i/>
          <w:sz w:val="20"/>
        </w:rPr>
        <w:t>Journal of Financial Crime</w:t>
      </w:r>
      <w:r w:rsidRPr="00B11796">
        <w:rPr>
          <w:rFonts w:asciiTheme="majorHAnsi" w:hAnsiTheme="majorHAnsi"/>
          <w:bCs/>
          <w:sz w:val="20"/>
        </w:rPr>
        <w:t xml:space="preserve">, </w:t>
      </w:r>
      <w:r w:rsidRPr="00B11796">
        <w:rPr>
          <w:rFonts w:asciiTheme="majorHAnsi" w:hAnsiTheme="majorHAnsi"/>
          <w:b/>
          <w:bCs/>
          <w:sz w:val="20"/>
        </w:rPr>
        <w:t>6</w:t>
      </w:r>
      <w:r w:rsidRPr="00B11796">
        <w:rPr>
          <w:rFonts w:asciiTheme="majorHAnsi" w:hAnsiTheme="majorHAnsi"/>
          <w:bCs/>
          <w:sz w:val="20"/>
        </w:rPr>
        <w:t>(3), 255-260, at 256.</w:t>
      </w:r>
    </w:p>
  </w:footnote>
  <w:footnote w:id="16">
    <w:p w14:paraId="7F933211" w14:textId="77777777" w:rsidR="004338F6" w:rsidRPr="00B11796" w:rsidRDefault="004338F6" w:rsidP="004738C5">
      <w:pPr>
        <w:pStyle w:val="FootnoteText"/>
        <w:jc w:val="both"/>
        <w:rPr>
          <w:rFonts w:asciiTheme="majorHAnsi" w:hAnsiTheme="majorHAnsi"/>
        </w:rPr>
      </w:pPr>
      <w:r w:rsidRPr="00B11796">
        <w:rPr>
          <w:rStyle w:val="FootnoteReference"/>
          <w:rFonts w:asciiTheme="majorHAnsi" w:hAnsiTheme="majorHAnsi"/>
        </w:rPr>
        <w:footnoteRef/>
      </w:r>
      <w:r w:rsidRPr="00B11796">
        <w:rPr>
          <w:rFonts w:asciiTheme="majorHAnsi" w:hAnsiTheme="majorHAnsi"/>
        </w:rPr>
        <w:t xml:space="preserve"> Tupman, B. (2000), ‘</w:t>
      </w:r>
      <w:r w:rsidRPr="00B11796">
        <w:rPr>
          <w:rFonts w:asciiTheme="majorHAnsi" w:hAnsiTheme="majorHAnsi"/>
          <w:bCs/>
        </w:rPr>
        <w:t xml:space="preserve">The sovereignty of fraud and the fraud of sovereignty: OLAF and the wise men’, </w:t>
      </w:r>
      <w:r w:rsidRPr="00B11796">
        <w:rPr>
          <w:rFonts w:asciiTheme="majorHAnsi" w:hAnsiTheme="majorHAnsi"/>
          <w:bCs/>
          <w:i/>
        </w:rPr>
        <w:t>Journal of Financial Crime</w:t>
      </w:r>
      <w:r w:rsidRPr="00B11796">
        <w:rPr>
          <w:rFonts w:asciiTheme="majorHAnsi" w:hAnsiTheme="majorHAnsi"/>
          <w:bCs/>
        </w:rPr>
        <w:t xml:space="preserve">, </w:t>
      </w:r>
      <w:r w:rsidRPr="00B11796">
        <w:rPr>
          <w:rFonts w:asciiTheme="majorHAnsi" w:hAnsiTheme="majorHAnsi"/>
          <w:b/>
          <w:bCs/>
        </w:rPr>
        <w:t>8</w:t>
      </w:r>
      <w:r w:rsidRPr="00B11796">
        <w:rPr>
          <w:rFonts w:asciiTheme="majorHAnsi" w:hAnsiTheme="majorHAnsi"/>
          <w:bCs/>
        </w:rPr>
        <w:t>(1), 32-46, at 43.</w:t>
      </w:r>
    </w:p>
  </w:footnote>
  <w:footnote w:id="17">
    <w:p w14:paraId="4CF4B7E0" w14:textId="77777777" w:rsidR="004338F6" w:rsidRPr="00B11796" w:rsidRDefault="004338F6" w:rsidP="004738C5">
      <w:pPr>
        <w:autoSpaceDE w:val="0"/>
        <w:autoSpaceDN w:val="0"/>
        <w:adjustRightInd w:val="0"/>
        <w:jc w:val="both"/>
        <w:rPr>
          <w:rFonts w:asciiTheme="majorHAnsi" w:hAnsiTheme="majorHAnsi"/>
          <w:bCs/>
          <w:sz w:val="20"/>
        </w:rPr>
      </w:pPr>
      <w:r w:rsidRPr="00B11796">
        <w:rPr>
          <w:rStyle w:val="FootnoteReference"/>
          <w:rFonts w:asciiTheme="majorHAnsi" w:eastAsia="SimSun" w:hAnsiTheme="majorHAnsi"/>
          <w:sz w:val="20"/>
        </w:rPr>
        <w:footnoteRef/>
      </w:r>
      <w:r w:rsidRPr="00B11796">
        <w:rPr>
          <w:rFonts w:asciiTheme="majorHAnsi" w:hAnsiTheme="majorHAnsi"/>
          <w:sz w:val="20"/>
        </w:rPr>
        <w:t>Quirke, B. (2007), ‘C</w:t>
      </w:r>
      <w:r w:rsidRPr="00B11796">
        <w:rPr>
          <w:rFonts w:asciiTheme="majorHAnsi" w:hAnsiTheme="majorHAnsi"/>
          <w:bCs/>
          <w:sz w:val="20"/>
        </w:rPr>
        <w:t xml:space="preserve">ritical appraisal of the role of UCLAF’, </w:t>
      </w:r>
      <w:r w:rsidRPr="00B11796">
        <w:rPr>
          <w:rFonts w:asciiTheme="majorHAnsi" w:hAnsiTheme="majorHAnsi"/>
          <w:bCs/>
          <w:i/>
          <w:sz w:val="20"/>
        </w:rPr>
        <w:t>Journal of Financial Crime</w:t>
      </w:r>
      <w:r w:rsidRPr="00B11796">
        <w:rPr>
          <w:rFonts w:asciiTheme="majorHAnsi" w:hAnsiTheme="majorHAnsi"/>
          <w:bCs/>
          <w:sz w:val="20"/>
        </w:rPr>
        <w:t xml:space="preserve">, </w:t>
      </w:r>
      <w:r w:rsidRPr="00B11796">
        <w:rPr>
          <w:rFonts w:asciiTheme="majorHAnsi" w:hAnsiTheme="majorHAnsi"/>
          <w:b/>
          <w:sz w:val="20"/>
        </w:rPr>
        <w:t>14</w:t>
      </w:r>
      <w:r w:rsidRPr="00B11796">
        <w:rPr>
          <w:rFonts w:asciiTheme="majorHAnsi" w:hAnsiTheme="majorHAnsi"/>
          <w:sz w:val="20"/>
        </w:rPr>
        <w:t>(4), 460-473, at 460.  Tupman also noted that UCLAF was the European Commission’s “response to a picture is emerging of criminal networks slimming down, specialising and becoming more and more market responsive”. See Tupman, W. (1994), ‘</w:t>
      </w:r>
      <w:r w:rsidRPr="00B11796">
        <w:rPr>
          <w:rFonts w:asciiTheme="majorHAnsi" w:hAnsiTheme="majorHAnsi"/>
          <w:bCs/>
          <w:sz w:val="20"/>
        </w:rPr>
        <w:t xml:space="preserve">You Should Have Read the Small Print: The European Commission's Post-Maastricht Response to Fraud’, </w:t>
      </w:r>
      <w:r w:rsidRPr="00B11796">
        <w:rPr>
          <w:rFonts w:asciiTheme="majorHAnsi" w:hAnsiTheme="majorHAnsi"/>
          <w:bCs/>
          <w:i/>
          <w:sz w:val="20"/>
        </w:rPr>
        <w:t>Journal of Financial Crime</w:t>
      </w:r>
      <w:r w:rsidRPr="00B11796">
        <w:rPr>
          <w:rFonts w:asciiTheme="majorHAnsi" w:hAnsiTheme="majorHAnsi"/>
          <w:bCs/>
          <w:sz w:val="20"/>
        </w:rPr>
        <w:t xml:space="preserve">, </w:t>
      </w:r>
      <w:r w:rsidRPr="00B11796">
        <w:rPr>
          <w:rFonts w:asciiTheme="majorHAnsi" w:hAnsiTheme="majorHAnsi"/>
          <w:b/>
          <w:bCs/>
          <w:sz w:val="20"/>
        </w:rPr>
        <w:t>2</w:t>
      </w:r>
      <w:r w:rsidRPr="00B11796">
        <w:rPr>
          <w:rFonts w:asciiTheme="majorHAnsi" w:hAnsiTheme="majorHAnsi"/>
          <w:bCs/>
          <w:sz w:val="20"/>
        </w:rPr>
        <w:t>(2) 107-114, at 107.</w:t>
      </w:r>
    </w:p>
  </w:footnote>
  <w:footnote w:id="18">
    <w:p w14:paraId="633EF666" w14:textId="77777777" w:rsidR="004338F6" w:rsidRPr="00B11796" w:rsidRDefault="004338F6" w:rsidP="004738C5">
      <w:pPr>
        <w:pStyle w:val="FootnoteText"/>
        <w:jc w:val="both"/>
        <w:rPr>
          <w:rFonts w:asciiTheme="majorHAnsi" w:hAnsiTheme="majorHAnsi"/>
        </w:rPr>
      </w:pPr>
      <w:r w:rsidRPr="00B11796">
        <w:rPr>
          <w:rStyle w:val="FootnoteReference"/>
          <w:rFonts w:asciiTheme="majorHAnsi" w:hAnsiTheme="majorHAnsi"/>
        </w:rPr>
        <w:footnoteRef/>
      </w:r>
      <w:r w:rsidRPr="00B11796">
        <w:rPr>
          <w:rFonts w:asciiTheme="majorHAnsi" w:hAnsiTheme="majorHAnsi"/>
        </w:rPr>
        <w:t xml:space="preserve"> White above, n 49 at </w:t>
      </w:r>
      <w:r w:rsidRPr="00B11796">
        <w:rPr>
          <w:rFonts w:asciiTheme="majorHAnsi" w:hAnsiTheme="majorHAnsi"/>
          <w:bCs/>
        </w:rPr>
        <w:t>256.</w:t>
      </w:r>
    </w:p>
  </w:footnote>
  <w:footnote w:id="19">
    <w:p w14:paraId="017F81B9" w14:textId="77777777" w:rsidR="004338F6" w:rsidRPr="00D74599" w:rsidRDefault="004338F6" w:rsidP="004738C5">
      <w:pPr>
        <w:pStyle w:val="FootnoteText"/>
        <w:jc w:val="both"/>
        <w:rPr>
          <w:rFonts w:asciiTheme="majorHAnsi" w:hAnsiTheme="majorHAnsi"/>
        </w:rPr>
      </w:pPr>
      <w:r w:rsidRPr="00B11796">
        <w:rPr>
          <w:rStyle w:val="FootnoteReference"/>
          <w:rFonts w:asciiTheme="majorHAnsi" w:hAnsiTheme="majorHAnsi"/>
        </w:rPr>
        <w:footnoteRef/>
      </w:r>
      <w:r w:rsidRPr="00B11796">
        <w:rPr>
          <w:rFonts w:asciiTheme="majorHAnsi" w:hAnsiTheme="majorHAnsi"/>
        </w:rPr>
        <w:t xml:space="preserve"> </w:t>
      </w:r>
      <w:r w:rsidRPr="00B11796">
        <w:rPr>
          <w:rFonts w:asciiTheme="majorHAnsi" w:hAnsiTheme="majorHAnsi" w:cs="TimesNRMTPro"/>
          <w:lang w:eastAsia="en-US" w:bidi="ar-SA"/>
        </w:rPr>
        <w:t xml:space="preserve">Pujas, C. (2003), ‘The European Anti- Fraud Offi ce (OLAF): a European policy to fight against economic and fi nancial fraud?’, </w:t>
      </w:r>
      <w:r w:rsidRPr="00B11796">
        <w:rPr>
          <w:rFonts w:asciiTheme="majorHAnsi" w:hAnsiTheme="majorHAnsi" w:cs="TimesNRMTPro-Italic"/>
          <w:i/>
          <w:iCs/>
          <w:lang w:eastAsia="en-US" w:bidi="ar-SA"/>
        </w:rPr>
        <w:t>Journal of European Public Policy</w:t>
      </w:r>
      <w:r w:rsidRPr="00B11796">
        <w:rPr>
          <w:rFonts w:asciiTheme="majorHAnsi" w:hAnsiTheme="majorHAnsi" w:cs="TimesNRMTPro"/>
          <w:lang w:eastAsia="en-US" w:bidi="ar-SA"/>
        </w:rPr>
        <w:t xml:space="preserve">, </w:t>
      </w:r>
      <w:r w:rsidRPr="00B11796">
        <w:rPr>
          <w:rFonts w:asciiTheme="majorHAnsi" w:hAnsiTheme="majorHAnsi" w:cs="TimesNRMTPro-Bold"/>
          <w:b/>
          <w:bCs/>
          <w:lang w:eastAsia="en-US" w:bidi="ar-SA"/>
        </w:rPr>
        <w:t>10</w:t>
      </w:r>
      <w:r w:rsidRPr="00B11796">
        <w:rPr>
          <w:rFonts w:asciiTheme="majorHAnsi" w:hAnsiTheme="majorHAnsi" w:cs="TimesNRMTPro"/>
          <w:lang w:eastAsia="en-US" w:bidi="ar-SA"/>
        </w:rPr>
        <w:t xml:space="preserve">(5), 778–797, </w:t>
      </w:r>
      <w:r w:rsidRPr="00D74599">
        <w:rPr>
          <w:rFonts w:asciiTheme="majorHAnsi" w:hAnsiTheme="majorHAnsi" w:cs="TimesNRMTPro"/>
          <w:lang w:eastAsia="en-US" w:bidi="ar-SA"/>
        </w:rPr>
        <w:t xml:space="preserve">at 781. </w:t>
      </w:r>
      <w:r w:rsidRPr="00D74599">
        <w:rPr>
          <w:rFonts w:asciiTheme="majorHAnsi" w:hAnsiTheme="majorHAnsi"/>
        </w:rPr>
        <w:t>See in particular Doig, A. (1996). ‘</w:t>
      </w:r>
      <w:r w:rsidRPr="00D74599">
        <w:rPr>
          <w:rFonts w:asciiTheme="majorHAnsi" w:hAnsiTheme="majorHAnsi"/>
          <w:iCs/>
        </w:rPr>
        <w:t xml:space="preserve">A fragmented organizational approach to fraud in a European context’, </w:t>
      </w:r>
      <w:r w:rsidRPr="00D74599">
        <w:rPr>
          <w:rFonts w:asciiTheme="majorHAnsi" w:hAnsiTheme="majorHAnsi"/>
          <w:i/>
        </w:rPr>
        <w:t>European Journal on Criminal Policy and Research</w:t>
      </w:r>
      <w:r w:rsidRPr="00D74599">
        <w:rPr>
          <w:rFonts w:asciiTheme="majorHAnsi" w:hAnsiTheme="majorHAnsi"/>
        </w:rPr>
        <w:t xml:space="preserve">, </w:t>
      </w:r>
      <w:r w:rsidRPr="00D74599">
        <w:rPr>
          <w:rFonts w:asciiTheme="majorHAnsi" w:hAnsiTheme="majorHAnsi"/>
          <w:b/>
        </w:rPr>
        <w:t>3</w:t>
      </w:r>
      <w:r w:rsidRPr="00D74599">
        <w:rPr>
          <w:rFonts w:asciiTheme="majorHAnsi" w:hAnsiTheme="majorHAnsi"/>
        </w:rPr>
        <w:t>(2), 48-73.</w:t>
      </w:r>
    </w:p>
  </w:footnote>
  <w:footnote w:id="20">
    <w:p w14:paraId="13A04172" w14:textId="328A281C" w:rsidR="004338F6" w:rsidRPr="00D74599" w:rsidRDefault="004338F6" w:rsidP="004738C5">
      <w:pPr>
        <w:autoSpaceDE w:val="0"/>
        <w:autoSpaceDN w:val="0"/>
        <w:adjustRightInd w:val="0"/>
        <w:rPr>
          <w:rFonts w:asciiTheme="majorHAnsi" w:hAnsiTheme="majorHAnsi"/>
          <w:sz w:val="20"/>
        </w:rPr>
      </w:pPr>
      <w:r w:rsidRPr="00D74599">
        <w:rPr>
          <w:rStyle w:val="FootnoteReference"/>
          <w:rFonts w:asciiTheme="majorHAnsi" w:eastAsia="SimSun" w:hAnsiTheme="majorHAnsi"/>
          <w:sz w:val="20"/>
        </w:rPr>
        <w:footnoteRef/>
      </w:r>
      <w:r w:rsidRPr="00D74599">
        <w:rPr>
          <w:rFonts w:asciiTheme="majorHAnsi" w:hAnsiTheme="majorHAnsi"/>
          <w:sz w:val="20"/>
        </w:rPr>
        <w:t xml:space="preserve"> </w:t>
      </w:r>
      <w:r w:rsidRPr="00D74599">
        <w:rPr>
          <w:rFonts w:asciiTheme="majorHAnsi" w:hAnsiTheme="majorHAnsi" w:cs="TimesNRMTPro"/>
          <w:sz w:val="20"/>
          <w:lang w:eastAsia="en-US" w:bidi="ar-SA"/>
        </w:rPr>
        <w:t xml:space="preserve"> B Tupman, . (2000), ‘The sovereignty of fraud and the fraud of sovereignty: OLAF and the wise men’, </w:t>
      </w:r>
      <w:r w:rsidRPr="00D74599">
        <w:rPr>
          <w:rFonts w:asciiTheme="majorHAnsi" w:hAnsiTheme="majorHAnsi" w:cs="TimesNRMTPro-Italic"/>
          <w:i/>
          <w:iCs/>
          <w:sz w:val="20"/>
          <w:lang w:eastAsia="en-US" w:bidi="ar-SA"/>
        </w:rPr>
        <w:t>Journal of Financial Crime</w:t>
      </w:r>
      <w:r w:rsidRPr="00D74599">
        <w:rPr>
          <w:rFonts w:asciiTheme="majorHAnsi" w:hAnsiTheme="majorHAnsi" w:cs="TimesNRMTPro"/>
          <w:sz w:val="20"/>
          <w:lang w:eastAsia="en-US" w:bidi="ar-SA"/>
        </w:rPr>
        <w:t xml:space="preserve">, </w:t>
      </w:r>
      <w:r w:rsidRPr="00D74599">
        <w:rPr>
          <w:rFonts w:asciiTheme="majorHAnsi" w:hAnsiTheme="majorHAnsi" w:cs="TimesNRMTPro-Bold"/>
          <w:b/>
          <w:bCs/>
          <w:sz w:val="20"/>
          <w:lang w:eastAsia="en-US" w:bidi="ar-SA"/>
        </w:rPr>
        <w:t>8</w:t>
      </w:r>
      <w:r w:rsidRPr="00D74599">
        <w:rPr>
          <w:rFonts w:asciiTheme="majorHAnsi" w:hAnsiTheme="majorHAnsi" w:cs="TimesNRMTPro"/>
          <w:sz w:val="20"/>
          <w:lang w:eastAsia="en-US" w:bidi="ar-SA"/>
        </w:rPr>
        <w:t>(1), 32–46, at 43.</w:t>
      </w:r>
    </w:p>
  </w:footnote>
  <w:footnote w:id="21">
    <w:p w14:paraId="176425CF" w14:textId="7EF815E9" w:rsidR="004338F6" w:rsidRPr="00D74599" w:rsidRDefault="004338F6" w:rsidP="00D74599">
      <w:pPr>
        <w:autoSpaceDE w:val="0"/>
        <w:autoSpaceDN w:val="0"/>
        <w:adjustRightInd w:val="0"/>
        <w:rPr>
          <w:rFonts w:asciiTheme="majorHAnsi" w:hAnsiTheme="majorHAnsi" w:cs="TimesNRMTPro-Italic"/>
          <w:i/>
          <w:iCs/>
          <w:sz w:val="20"/>
          <w:lang w:eastAsia="en-US" w:bidi="ar-SA"/>
        </w:rPr>
      </w:pPr>
      <w:r w:rsidRPr="00D74599">
        <w:rPr>
          <w:rStyle w:val="FootnoteReference"/>
          <w:rFonts w:asciiTheme="majorHAnsi" w:hAnsiTheme="majorHAnsi"/>
          <w:sz w:val="20"/>
        </w:rPr>
        <w:footnoteRef/>
      </w:r>
      <w:r w:rsidRPr="00D74599">
        <w:rPr>
          <w:rFonts w:asciiTheme="majorHAnsi" w:hAnsiTheme="majorHAnsi"/>
          <w:sz w:val="20"/>
        </w:rPr>
        <w:t xml:space="preserve"> B </w:t>
      </w:r>
      <w:r w:rsidRPr="00D74599">
        <w:rPr>
          <w:rFonts w:asciiTheme="majorHAnsi" w:hAnsiTheme="majorHAnsi" w:cs="TimesNRMTPro"/>
          <w:sz w:val="20"/>
          <w:lang w:eastAsia="en-US" w:bidi="ar-SA"/>
        </w:rPr>
        <w:t xml:space="preserve">Quirke, B. and C Pyke,. (2002), ‘Policing European Union Expenditure: A Critical Appraisal of the Transnational Institutions’, </w:t>
      </w:r>
      <w:r w:rsidRPr="00D74599">
        <w:rPr>
          <w:rFonts w:asciiTheme="majorHAnsi" w:hAnsiTheme="majorHAnsi" w:cs="TimesNRMTPro-Italic"/>
          <w:i/>
          <w:iCs/>
          <w:sz w:val="20"/>
          <w:lang w:eastAsia="en-US" w:bidi="ar-SA"/>
        </w:rPr>
        <w:t>Journal of Finance and Management in Public Services</w:t>
      </w:r>
      <w:r w:rsidRPr="00D74599">
        <w:rPr>
          <w:rFonts w:asciiTheme="majorHAnsi" w:hAnsiTheme="majorHAnsi" w:cs="TimesNRMTPro"/>
          <w:sz w:val="20"/>
          <w:lang w:eastAsia="en-US" w:bidi="ar-SA"/>
        </w:rPr>
        <w:t xml:space="preserve">, </w:t>
      </w:r>
      <w:r w:rsidRPr="00D74599">
        <w:rPr>
          <w:rFonts w:asciiTheme="majorHAnsi" w:hAnsiTheme="majorHAnsi" w:cs="TimesNRMTPro-Bold"/>
          <w:b/>
          <w:bCs/>
          <w:sz w:val="20"/>
          <w:lang w:eastAsia="en-US" w:bidi="ar-SA"/>
        </w:rPr>
        <w:t>2</w:t>
      </w:r>
      <w:r w:rsidRPr="00D74599">
        <w:rPr>
          <w:rFonts w:asciiTheme="majorHAnsi" w:hAnsiTheme="majorHAnsi" w:cs="TimesNRMTPro"/>
          <w:sz w:val="20"/>
          <w:lang w:eastAsia="en-US" w:bidi="ar-SA"/>
        </w:rPr>
        <w:t>(1), 21–32, at 23–25.</w:t>
      </w:r>
    </w:p>
  </w:footnote>
  <w:footnote w:id="22">
    <w:p w14:paraId="780B29DC" w14:textId="0618E84D" w:rsidR="004338F6" w:rsidRPr="00B11796" w:rsidRDefault="004338F6" w:rsidP="004738C5">
      <w:pPr>
        <w:autoSpaceDE w:val="0"/>
        <w:autoSpaceDN w:val="0"/>
        <w:adjustRightInd w:val="0"/>
        <w:rPr>
          <w:rFonts w:asciiTheme="majorHAnsi" w:hAnsiTheme="majorHAnsi"/>
          <w:bCs/>
          <w:sz w:val="20"/>
        </w:rPr>
      </w:pPr>
      <w:r w:rsidRPr="00B11796">
        <w:rPr>
          <w:rStyle w:val="FootnoteReference"/>
          <w:rFonts w:asciiTheme="majorHAnsi" w:hAnsiTheme="majorHAnsi"/>
          <w:sz w:val="20"/>
        </w:rPr>
        <w:footnoteRef/>
      </w:r>
      <w:r w:rsidRPr="00B11796">
        <w:rPr>
          <w:rFonts w:asciiTheme="majorHAnsi" w:hAnsiTheme="majorHAnsi"/>
          <w:sz w:val="20"/>
        </w:rPr>
        <w:t xml:space="preserve"> </w:t>
      </w:r>
      <w:r>
        <w:rPr>
          <w:rFonts w:asciiTheme="majorHAnsi" w:hAnsiTheme="majorHAnsi"/>
          <w:sz w:val="20"/>
        </w:rPr>
        <w:t xml:space="preserve">B </w:t>
      </w:r>
      <w:r w:rsidRPr="00B11796">
        <w:rPr>
          <w:rFonts w:asciiTheme="majorHAnsi" w:hAnsiTheme="majorHAnsi"/>
          <w:sz w:val="20"/>
          <w:lang w:val="en"/>
        </w:rPr>
        <w:t xml:space="preserve">Quirke,  (2010), ‘OLAF’s role in the fight against EU Fraud: Do too many cooks spoil the broth?’ </w:t>
      </w:r>
      <w:r w:rsidRPr="00B11796">
        <w:rPr>
          <w:rFonts w:asciiTheme="majorHAnsi" w:hAnsiTheme="majorHAnsi"/>
          <w:i/>
          <w:sz w:val="20"/>
          <w:lang w:val="en"/>
        </w:rPr>
        <w:t>Crime, Law and Social Change</w:t>
      </w:r>
      <w:r w:rsidRPr="00B11796">
        <w:rPr>
          <w:rFonts w:asciiTheme="majorHAnsi" w:hAnsiTheme="majorHAnsi"/>
          <w:sz w:val="20"/>
          <w:lang w:val="en"/>
        </w:rPr>
        <w:t xml:space="preserve">, </w:t>
      </w:r>
      <w:r w:rsidRPr="00B11796">
        <w:rPr>
          <w:rFonts w:asciiTheme="majorHAnsi" w:hAnsiTheme="majorHAnsi"/>
          <w:b/>
          <w:sz w:val="20"/>
          <w:lang w:val="en"/>
        </w:rPr>
        <w:t>53</w:t>
      </w:r>
      <w:r w:rsidRPr="00B11796">
        <w:rPr>
          <w:rFonts w:asciiTheme="majorHAnsi" w:hAnsiTheme="majorHAnsi"/>
          <w:sz w:val="20"/>
          <w:lang w:val="en"/>
        </w:rPr>
        <w:t>(1), 97-108, at 97</w:t>
      </w:r>
      <w:r w:rsidRPr="00B11796">
        <w:rPr>
          <w:rFonts w:asciiTheme="majorHAnsi" w:hAnsiTheme="majorHAnsi"/>
          <w:sz w:val="20"/>
        </w:rPr>
        <w:t xml:space="preserve">.  </w:t>
      </w:r>
      <w:r w:rsidRPr="00B11796">
        <w:rPr>
          <w:rFonts w:asciiTheme="majorHAnsi" w:hAnsiTheme="majorHAnsi" w:cs="TimesNRMTPro"/>
          <w:sz w:val="20"/>
          <w:lang w:eastAsia="en-US" w:bidi="ar-SA"/>
        </w:rPr>
        <w:t xml:space="preserve">White, S. (1999), ‘Investigating EC Fraud: The metamorphosis of UCLAF’, </w:t>
      </w:r>
      <w:r w:rsidRPr="00B11796">
        <w:rPr>
          <w:rFonts w:asciiTheme="majorHAnsi" w:hAnsiTheme="majorHAnsi" w:cs="TimesNRMTPro-Italic"/>
          <w:i/>
          <w:iCs/>
          <w:sz w:val="20"/>
          <w:lang w:eastAsia="en-US" w:bidi="ar-SA"/>
        </w:rPr>
        <w:t>Journal of Financial Crime</w:t>
      </w:r>
      <w:r w:rsidRPr="00B11796">
        <w:rPr>
          <w:rFonts w:asciiTheme="majorHAnsi" w:hAnsiTheme="majorHAnsi" w:cs="TimesNRMTPro"/>
          <w:sz w:val="20"/>
          <w:lang w:eastAsia="en-US" w:bidi="ar-SA"/>
        </w:rPr>
        <w:t xml:space="preserve">, </w:t>
      </w:r>
      <w:r w:rsidRPr="00B11796">
        <w:rPr>
          <w:rFonts w:asciiTheme="majorHAnsi" w:hAnsiTheme="majorHAnsi" w:cs="TimesNRMTPro-Bold"/>
          <w:b/>
          <w:bCs/>
          <w:sz w:val="20"/>
          <w:lang w:eastAsia="en-US" w:bidi="ar-SA"/>
        </w:rPr>
        <w:t>6</w:t>
      </w:r>
      <w:r w:rsidRPr="00B11796">
        <w:rPr>
          <w:rFonts w:asciiTheme="majorHAnsi" w:hAnsiTheme="majorHAnsi" w:cs="TimesNRMTPro"/>
          <w:sz w:val="20"/>
          <w:lang w:eastAsia="en-US" w:bidi="ar-SA"/>
        </w:rPr>
        <w:t>(3), 255–260, at 257.</w:t>
      </w:r>
      <w:r>
        <w:rPr>
          <w:rFonts w:asciiTheme="majorHAnsi" w:hAnsiTheme="majorHAnsi" w:cs="TimesNRMTPro"/>
          <w:sz w:val="20"/>
          <w:lang w:eastAsia="en-US" w:bidi="ar-SA"/>
        </w:rPr>
        <w:t xml:space="preserve"> </w:t>
      </w:r>
      <w:r w:rsidRPr="00B11796">
        <w:rPr>
          <w:rFonts w:asciiTheme="majorHAnsi" w:hAnsiTheme="majorHAnsi"/>
          <w:sz w:val="20"/>
        </w:rPr>
        <w:t xml:space="preserve">In particular, White stated that the Court of Auditors “recommended that consideration should be given to the establishment of a separate unit, to which any suspicion of corruption would automatically be communicated and which would have the authority and resources to undertake any necessary investigation”. </w:t>
      </w:r>
      <w:r w:rsidRPr="00B11796">
        <w:rPr>
          <w:rFonts w:asciiTheme="majorHAnsi" w:hAnsiTheme="majorHAnsi" w:cs="TimesNRMTPro"/>
          <w:sz w:val="20"/>
          <w:lang w:eastAsia="en-US" w:bidi="ar-SA"/>
        </w:rPr>
        <w:t xml:space="preserve"> </w:t>
      </w:r>
    </w:p>
  </w:footnote>
  <w:footnote w:id="23">
    <w:p w14:paraId="67044E02" w14:textId="7951D420" w:rsidR="004338F6" w:rsidRPr="00B11796" w:rsidRDefault="004338F6">
      <w:pPr>
        <w:pStyle w:val="FootnoteText"/>
        <w:rPr>
          <w:rFonts w:asciiTheme="majorHAnsi" w:hAnsiTheme="majorHAnsi"/>
          <w:lang w:val="en-GB"/>
        </w:rPr>
      </w:pPr>
      <w:r w:rsidRPr="00B11796">
        <w:rPr>
          <w:rStyle w:val="FootnoteReference"/>
          <w:rFonts w:asciiTheme="majorHAnsi" w:hAnsiTheme="majorHAnsi"/>
        </w:rPr>
        <w:footnoteRef/>
      </w:r>
      <w:r w:rsidRPr="00B11796">
        <w:rPr>
          <w:rFonts w:asciiTheme="majorHAnsi" w:hAnsiTheme="majorHAnsi"/>
        </w:rPr>
        <w:t xml:space="preserve"> </w:t>
      </w:r>
      <w:r w:rsidRPr="00B11796">
        <w:rPr>
          <w:rFonts w:asciiTheme="majorHAnsi" w:hAnsiTheme="majorHAnsi" w:cs="TimesNRMTPro"/>
          <w:lang w:eastAsia="en-US" w:bidi="ar-SA"/>
        </w:rPr>
        <w:t>Pujas, C. (2003), ‘The European Anti- Fraud Offi ce (OLAF): a European policy t</w:t>
      </w:r>
      <w:r>
        <w:rPr>
          <w:rFonts w:asciiTheme="majorHAnsi" w:hAnsiTheme="majorHAnsi" w:cs="TimesNRMTPro"/>
          <w:lang w:eastAsia="en-US" w:bidi="ar-SA"/>
        </w:rPr>
        <w:t>o fight against economic and fi</w:t>
      </w:r>
      <w:r w:rsidRPr="00B11796">
        <w:rPr>
          <w:rFonts w:asciiTheme="majorHAnsi" w:hAnsiTheme="majorHAnsi" w:cs="TimesNRMTPro"/>
          <w:lang w:eastAsia="en-US" w:bidi="ar-SA"/>
        </w:rPr>
        <w:t xml:space="preserve">nancial fraud?’, </w:t>
      </w:r>
      <w:r w:rsidRPr="00B11796">
        <w:rPr>
          <w:rFonts w:asciiTheme="majorHAnsi" w:hAnsiTheme="majorHAnsi" w:cs="TimesNRMTPro-Italic"/>
          <w:i/>
          <w:iCs/>
          <w:lang w:eastAsia="en-US" w:bidi="ar-SA"/>
        </w:rPr>
        <w:t>Journal of European Public Policy</w:t>
      </w:r>
      <w:r w:rsidRPr="00B11796">
        <w:rPr>
          <w:rFonts w:asciiTheme="majorHAnsi" w:hAnsiTheme="majorHAnsi" w:cs="TimesNRMTPro"/>
          <w:lang w:eastAsia="en-US" w:bidi="ar-SA"/>
        </w:rPr>
        <w:t xml:space="preserve">, </w:t>
      </w:r>
      <w:r w:rsidRPr="00B11796">
        <w:rPr>
          <w:rFonts w:asciiTheme="majorHAnsi" w:hAnsiTheme="majorHAnsi" w:cs="TimesNRMTPro-Bold"/>
          <w:b/>
          <w:bCs/>
          <w:lang w:eastAsia="en-US" w:bidi="ar-SA"/>
        </w:rPr>
        <w:t>10</w:t>
      </w:r>
      <w:r w:rsidRPr="00B11796">
        <w:rPr>
          <w:rFonts w:asciiTheme="majorHAnsi" w:hAnsiTheme="majorHAnsi" w:cs="TimesNRMTPro"/>
          <w:lang w:eastAsia="en-US" w:bidi="ar-SA"/>
        </w:rPr>
        <w:t>(5), 778–797, at 782.</w:t>
      </w:r>
    </w:p>
  </w:footnote>
  <w:footnote w:id="24">
    <w:p w14:paraId="6120078B" w14:textId="51007781" w:rsidR="004338F6" w:rsidRPr="00B11796" w:rsidRDefault="004338F6" w:rsidP="004738C5">
      <w:pPr>
        <w:pStyle w:val="BodyText2"/>
        <w:rPr>
          <w:rFonts w:asciiTheme="majorHAnsi" w:hAnsiTheme="majorHAnsi"/>
          <w:b w:val="0"/>
          <w:sz w:val="20"/>
        </w:rPr>
      </w:pPr>
      <w:r w:rsidRPr="00B11796">
        <w:rPr>
          <w:rStyle w:val="FootnoteReference"/>
          <w:rFonts w:asciiTheme="majorHAnsi" w:eastAsia="SimSun" w:hAnsiTheme="majorHAnsi"/>
          <w:b w:val="0"/>
          <w:sz w:val="20"/>
        </w:rPr>
        <w:footnoteRef/>
      </w:r>
      <w:r w:rsidRPr="00B11796">
        <w:rPr>
          <w:rFonts w:asciiTheme="majorHAnsi" w:hAnsiTheme="majorHAnsi"/>
          <w:b w:val="0"/>
          <w:sz w:val="20"/>
        </w:rPr>
        <w:t xml:space="preserve"> Commission </w:t>
      </w:r>
      <w:r w:rsidRPr="00C63A92">
        <w:rPr>
          <w:rFonts w:asciiTheme="majorHAnsi" w:hAnsiTheme="majorHAnsi"/>
          <w:sz w:val="20"/>
        </w:rPr>
        <w:t>Decision</w:t>
      </w:r>
      <w:r w:rsidRPr="00B11796">
        <w:rPr>
          <w:rFonts w:asciiTheme="majorHAnsi" w:hAnsiTheme="majorHAnsi"/>
          <w:b w:val="0"/>
          <w:sz w:val="20"/>
        </w:rPr>
        <w:t xml:space="preserve"> of 28 April 1999 establishing the European Anti-Fraud Office (OLAF) (OJ 1999 L136). </w:t>
      </w:r>
    </w:p>
  </w:footnote>
  <w:footnote w:id="25">
    <w:p w14:paraId="24CE4C4B" w14:textId="77777777" w:rsidR="004338F6" w:rsidRPr="00B11796" w:rsidRDefault="004338F6" w:rsidP="004738C5">
      <w:pPr>
        <w:pStyle w:val="FootnoteText"/>
        <w:jc w:val="both"/>
        <w:rPr>
          <w:rFonts w:asciiTheme="majorHAnsi" w:hAnsiTheme="majorHAnsi"/>
        </w:rPr>
      </w:pPr>
      <w:r w:rsidRPr="00B11796">
        <w:rPr>
          <w:rStyle w:val="FootnoteReference"/>
          <w:rFonts w:asciiTheme="majorHAnsi" w:hAnsiTheme="majorHAnsi"/>
        </w:rPr>
        <w:footnoteRef/>
      </w:r>
      <w:r w:rsidRPr="00B11796">
        <w:rPr>
          <w:rFonts w:asciiTheme="majorHAnsi" w:hAnsiTheme="majorHAnsi"/>
        </w:rPr>
        <w:t xml:space="preserve"> House of Lords European Union Committee </w:t>
      </w:r>
      <w:r w:rsidRPr="00B11796">
        <w:rPr>
          <w:rFonts w:asciiTheme="majorHAnsi" w:hAnsiTheme="majorHAnsi" w:cs="Plantin-Bold"/>
          <w:bCs/>
          <w:i/>
        </w:rPr>
        <w:t>Strengthening OLAF, the European Anti-Fraud Office</w:t>
      </w:r>
      <w:r w:rsidRPr="00B11796">
        <w:rPr>
          <w:rFonts w:asciiTheme="majorHAnsi" w:hAnsiTheme="majorHAnsi" w:cs="Plantin-Bold"/>
          <w:bCs/>
        </w:rPr>
        <w:t xml:space="preserve"> (House of Lords European Union Committee: London, 2004) at p.11.</w:t>
      </w:r>
    </w:p>
  </w:footnote>
  <w:footnote w:id="26">
    <w:p w14:paraId="6CD4B5BC" w14:textId="50AFF5E5" w:rsidR="004338F6" w:rsidRPr="00D74599" w:rsidRDefault="004338F6" w:rsidP="004738C5">
      <w:pPr>
        <w:autoSpaceDE w:val="0"/>
        <w:autoSpaceDN w:val="0"/>
        <w:adjustRightInd w:val="0"/>
        <w:rPr>
          <w:rFonts w:asciiTheme="majorHAnsi" w:hAnsiTheme="majorHAnsi" w:cs="TimesNRMTPro"/>
          <w:sz w:val="20"/>
          <w:lang w:eastAsia="en-US" w:bidi="ar-SA"/>
        </w:rPr>
      </w:pPr>
      <w:r w:rsidRPr="00B11796">
        <w:rPr>
          <w:rStyle w:val="FootnoteReference"/>
          <w:rFonts w:asciiTheme="majorHAnsi" w:hAnsiTheme="majorHAnsi"/>
          <w:sz w:val="20"/>
        </w:rPr>
        <w:footnoteRef/>
      </w:r>
      <w:r w:rsidRPr="00B11796">
        <w:rPr>
          <w:rFonts w:asciiTheme="majorHAnsi" w:hAnsiTheme="majorHAnsi"/>
          <w:sz w:val="20"/>
        </w:rPr>
        <w:t xml:space="preserve"> </w:t>
      </w:r>
      <w:r>
        <w:rPr>
          <w:rFonts w:asciiTheme="majorHAnsi" w:hAnsiTheme="majorHAnsi"/>
          <w:sz w:val="20"/>
        </w:rPr>
        <w:t xml:space="preserve">J </w:t>
      </w:r>
      <w:r>
        <w:rPr>
          <w:rFonts w:asciiTheme="majorHAnsi" w:hAnsiTheme="majorHAnsi" w:cs="TimesNRMTPro"/>
          <w:sz w:val="20"/>
          <w:lang w:eastAsia="en-US" w:bidi="ar-SA"/>
        </w:rPr>
        <w:t xml:space="preserve">Vlogaret, </w:t>
      </w:r>
      <w:r w:rsidRPr="00B11796">
        <w:rPr>
          <w:rFonts w:asciiTheme="majorHAnsi" w:hAnsiTheme="majorHAnsi" w:cs="TimesNRMTPro"/>
          <w:sz w:val="20"/>
          <w:lang w:eastAsia="en-US" w:bidi="ar-SA"/>
        </w:rPr>
        <w:t xml:space="preserve">and </w:t>
      </w:r>
      <w:r>
        <w:rPr>
          <w:rFonts w:asciiTheme="majorHAnsi" w:hAnsiTheme="majorHAnsi" w:cs="TimesNRMTPro"/>
          <w:sz w:val="20"/>
          <w:lang w:eastAsia="en-US" w:bidi="ar-SA"/>
        </w:rPr>
        <w:t>M Pesta,</w:t>
      </w:r>
      <w:r w:rsidRPr="00B11796">
        <w:rPr>
          <w:rFonts w:asciiTheme="majorHAnsi" w:hAnsiTheme="majorHAnsi" w:cs="TimesNRMTPro"/>
          <w:sz w:val="20"/>
          <w:lang w:eastAsia="en-US" w:bidi="ar-SA"/>
        </w:rPr>
        <w:t>(2008),</w:t>
      </w:r>
      <w:r>
        <w:rPr>
          <w:rFonts w:asciiTheme="majorHAnsi" w:hAnsiTheme="majorHAnsi" w:cs="TimesNRMTPro"/>
          <w:sz w:val="20"/>
          <w:lang w:eastAsia="en-US" w:bidi="ar-SA"/>
        </w:rPr>
        <w:t>‘OLAF fi</w:t>
      </w:r>
      <w:r w:rsidRPr="00B11796">
        <w:rPr>
          <w:rFonts w:asciiTheme="majorHAnsi" w:hAnsiTheme="majorHAnsi" w:cs="TimesNRMTPro"/>
          <w:sz w:val="20"/>
          <w:lang w:eastAsia="en-US" w:bidi="ar-SA"/>
        </w:rPr>
        <w:t xml:space="preserve">ghting fraud and beyond’ in S. Brown (ed.), </w:t>
      </w:r>
      <w:r w:rsidRPr="00B11796">
        <w:rPr>
          <w:rFonts w:asciiTheme="majorHAnsi" w:hAnsiTheme="majorHAnsi" w:cs="TimesNRMTPro-Italic"/>
          <w:i/>
          <w:iCs/>
          <w:sz w:val="20"/>
          <w:lang w:eastAsia="en-US" w:bidi="ar-SA"/>
        </w:rPr>
        <w:t>Combating international crime – the longer arm of the law</w:t>
      </w:r>
      <w:r w:rsidRPr="00B11796">
        <w:rPr>
          <w:rFonts w:asciiTheme="majorHAnsi" w:hAnsiTheme="majorHAnsi" w:cs="TimesNRMTPro"/>
          <w:sz w:val="20"/>
          <w:lang w:eastAsia="en-US" w:bidi="ar-SA"/>
        </w:rPr>
        <w:t>, Routledge, London, 77–87, at 77.</w:t>
      </w:r>
    </w:p>
  </w:footnote>
  <w:footnote w:id="27">
    <w:p w14:paraId="374CCD95" w14:textId="77777777" w:rsidR="004338F6" w:rsidRPr="00C63A92" w:rsidRDefault="004338F6" w:rsidP="004738C5">
      <w:pPr>
        <w:pStyle w:val="FootnoteText"/>
        <w:jc w:val="both"/>
        <w:rPr>
          <w:rFonts w:asciiTheme="majorHAnsi" w:hAnsiTheme="majorHAnsi"/>
        </w:rPr>
      </w:pPr>
      <w:r w:rsidRPr="00B11796">
        <w:rPr>
          <w:rStyle w:val="FootnoteReference"/>
          <w:rFonts w:asciiTheme="majorHAnsi" w:hAnsiTheme="majorHAnsi"/>
        </w:rPr>
        <w:footnoteRef/>
      </w:r>
      <w:r w:rsidRPr="00B11796">
        <w:rPr>
          <w:rFonts w:asciiTheme="majorHAnsi" w:hAnsiTheme="majorHAnsi"/>
        </w:rPr>
        <w:t xml:space="preserve"> </w:t>
      </w:r>
      <w:r w:rsidRPr="00B11796">
        <w:rPr>
          <w:rFonts w:asciiTheme="majorHAnsi" w:hAnsiTheme="majorHAnsi"/>
          <w:i/>
        </w:rPr>
        <w:t>Ibid</w:t>
      </w:r>
      <w:r w:rsidRPr="00B11796">
        <w:rPr>
          <w:rFonts w:asciiTheme="majorHAnsi" w:hAnsiTheme="majorHAnsi"/>
        </w:rPr>
        <w:t xml:space="preserve">., at 79.  For a discussion of the EU’s anti fraud enforcement policy see White, S. (2010), ‘EU anti-fraud enforcement: overcoming obstacles’, </w:t>
      </w:r>
      <w:r w:rsidRPr="00B11796">
        <w:rPr>
          <w:rFonts w:asciiTheme="majorHAnsi" w:hAnsiTheme="majorHAnsi"/>
          <w:i/>
        </w:rPr>
        <w:t>Journal of Financial Crime</w:t>
      </w:r>
      <w:r w:rsidRPr="00B11796">
        <w:rPr>
          <w:rFonts w:asciiTheme="majorHAnsi" w:hAnsiTheme="majorHAnsi"/>
        </w:rPr>
        <w:t xml:space="preserve">, </w:t>
      </w:r>
      <w:r w:rsidRPr="00C63A92">
        <w:rPr>
          <w:rFonts w:asciiTheme="majorHAnsi" w:hAnsiTheme="majorHAnsi"/>
          <w:b/>
        </w:rPr>
        <w:t>17</w:t>
      </w:r>
      <w:r w:rsidRPr="00C63A92">
        <w:rPr>
          <w:rFonts w:asciiTheme="majorHAnsi" w:hAnsiTheme="majorHAnsi"/>
        </w:rPr>
        <w:t>(1), 81-99.</w:t>
      </w:r>
    </w:p>
  </w:footnote>
  <w:footnote w:id="28">
    <w:p w14:paraId="18779058" w14:textId="77777777" w:rsidR="004338F6" w:rsidRPr="00C63A92" w:rsidRDefault="004338F6" w:rsidP="004738C5">
      <w:pPr>
        <w:pStyle w:val="FootnoteText"/>
        <w:jc w:val="both"/>
        <w:rPr>
          <w:rFonts w:asciiTheme="majorHAnsi" w:hAnsiTheme="majorHAnsi"/>
        </w:rPr>
      </w:pPr>
      <w:r w:rsidRPr="00C63A92">
        <w:rPr>
          <w:rStyle w:val="FootnoteReference"/>
          <w:rFonts w:asciiTheme="majorHAnsi" w:hAnsiTheme="majorHAnsi"/>
        </w:rPr>
        <w:footnoteRef/>
      </w:r>
      <w:r w:rsidRPr="00C63A92">
        <w:rPr>
          <w:rFonts w:asciiTheme="majorHAnsi" w:hAnsiTheme="majorHAnsi"/>
        </w:rPr>
        <w:t xml:space="preserve"> </w:t>
      </w:r>
      <w:r w:rsidRPr="00C63A92">
        <w:rPr>
          <w:rFonts w:asciiTheme="majorHAnsi" w:hAnsiTheme="majorHAnsi"/>
          <w:i/>
        </w:rPr>
        <w:t>Ibid</w:t>
      </w:r>
      <w:r w:rsidRPr="00C63A92">
        <w:rPr>
          <w:rFonts w:asciiTheme="majorHAnsi" w:hAnsiTheme="majorHAnsi"/>
        </w:rPr>
        <w:t>.</w:t>
      </w:r>
    </w:p>
  </w:footnote>
  <w:footnote w:id="29">
    <w:p w14:paraId="3602D29D" w14:textId="6B708690" w:rsidR="004338F6" w:rsidRPr="00C63A92" w:rsidRDefault="004338F6" w:rsidP="004738C5">
      <w:pPr>
        <w:autoSpaceDE w:val="0"/>
        <w:autoSpaceDN w:val="0"/>
        <w:adjustRightInd w:val="0"/>
        <w:rPr>
          <w:rFonts w:asciiTheme="majorHAnsi" w:hAnsiTheme="majorHAnsi" w:cs="TimesNRMTPro"/>
          <w:sz w:val="20"/>
          <w:lang w:eastAsia="en-US" w:bidi="ar-SA"/>
        </w:rPr>
      </w:pPr>
      <w:r w:rsidRPr="00C63A92">
        <w:rPr>
          <w:rStyle w:val="FootnoteReference"/>
          <w:rFonts w:asciiTheme="majorHAnsi" w:hAnsiTheme="majorHAnsi"/>
          <w:sz w:val="20"/>
        </w:rPr>
        <w:footnoteRef/>
      </w:r>
      <w:r w:rsidRPr="00C63A92">
        <w:rPr>
          <w:rFonts w:asciiTheme="majorHAnsi" w:hAnsiTheme="majorHAnsi"/>
          <w:sz w:val="20"/>
        </w:rPr>
        <w:t xml:space="preserve"> J </w:t>
      </w:r>
      <w:r w:rsidRPr="00C63A92">
        <w:rPr>
          <w:rFonts w:asciiTheme="majorHAnsi" w:hAnsiTheme="majorHAnsi" w:cs="TimesNRMTPro"/>
          <w:sz w:val="20"/>
          <w:lang w:eastAsia="en-US" w:bidi="ar-SA"/>
        </w:rPr>
        <w:t xml:space="preserve">Vlogaret, and M Pesta, (2008),‘OLAF fighting fraud and beyond’ in S. Brown (ed.), </w:t>
      </w:r>
      <w:r w:rsidRPr="00C63A92">
        <w:rPr>
          <w:rFonts w:asciiTheme="majorHAnsi" w:hAnsiTheme="majorHAnsi" w:cs="TimesNRMTPro-Italic"/>
          <w:i/>
          <w:iCs/>
          <w:sz w:val="20"/>
          <w:lang w:eastAsia="en-US" w:bidi="ar-SA"/>
        </w:rPr>
        <w:t>Combating international crime – the longer arm of the law</w:t>
      </w:r>
      <w:r w:rsidRPr="00C63A92">
        <w:rPr>
          <w:rFonts w:asciiTheme="majorHAnsi" w:hAnsiTheme="majorHAnsi" w:cs="TimesNRMTPro"/>
          <w:sz w:val="20"/>
          <w:lang w:eastAsia="en-US" w:bidi="ar-SA"/>
        </w:rPr>
        <w:t xml:space="preserve">, Routledge, London, 77–87, at 78. </w:t>
      </w:r>
      <w:r w:rsidRPr="00C63A92">
        <w:rPr>
          <w:rFonts w:asciiTheme="majorHAnsi" w:hAnsiTheme="majorHAnsi"/>
          <w:bCs/>
          <w:sz w:val="20"/>
        </w:rPr>
        <w:t xml:space="preserve">One of the highest profile cases involving OLAF related to the Lesotho Water Project in South Africa.  Following an investigation several people were convicted of bribery and corruption.  See </w:t>
      </w:r>
      <w:r w:rsidRPr="00C63A92">
        <w:rPr>
          <w:rStyle w:val="Emphasis"/>
          <w:rFonts w:asciiTheme="majorHAnsi" w:hAnsiTheme="majorHAnsi"/>
          <w:sz w:val="20"/>
        </w:rPr>
        <w:t xml:space="preserve">Sole v The Crown </w:t>
      </w:r>
      <w:r w:rsidRPr="00C63A92">
        <w:rPr>
          <w:rFonts w:asciiTheme="majorHAnsi" w:hAnsiTheme="majorHAnsi"/>
          <w:sz w:val="20"/>
        </w:rPr>
        <w:t>C of A (Cri) 5 of 2002 (unreported).  For a more detailed discussion of this case see Letsika, O. (2004), ‘</w:t>
      </w:r>
      <w:r w:rsidRPr="00C63A92">
        <w:rPr>
          <w:rFonts w:asciiTheme="majorHAnsi" w:hAnsiTheme="majorHAnsi"/>
          <w:bCs/>
          <w:sz w:val="20"/>
        </w:rPr>
        <w:t xml:space="preserve">Creating a corruption-free zone through legislative instruments: some reflections on Lesotho’, </w:t>
      </w:r>
      <w:r w:rsidRPr="00C63A92">
        <w:rPr>
          <w:rFonts w:asciiTheme="majorHAnsi" w:hAnsiTheme="majorHAnsi"/>
          <w:bCs/>
          <w:i/>
          <w:kern w:val="36"/>
          <w:sz w:val="20"/>
        </w:rPr>
        <w:t xml:space="preserve">Journal of Financial Crime </w:t>
      </w:r>
      <w:r w:rsidRPr="00C63A92">
        <w:rPr>
          <w:rFonts w:asciiTheme="majorHAnsi" w:hAnsiTheme="majorHAnsi"/>
          <w:i/>
          <w:sz w:val="20"/>
        </w:rPr>
        <w:t>12(2)</w:t>
      </w:r>
      <w:r w:rsidRPr="00C63A92">
        <w:rPr>
          <w:rFonts w:asciiTheme="majorHAnsi" w:hAnsiTheme="majorHAnsi"/>
          <w:sz w:val="20"/>
        </w:rPr>
        <w:t xml:space="preserve">, 185-191 </w:t>
      </w:r>
    </w:p>
  </w:footnote>
  <w:footnote w:id="30">
    <w:p w14:paraId="077355BC" w14:textId="1E1B16E4" w:rsidR="004338F6" w:rsidRPr="00C63A92" w:rsidRDefault="004338F6" w:rsidP="00C63A92">
      <w:pPr>
        <w:autoSpaceDE w:val="0"/>
        <w:autoSpaceDN w:val="0"/>
        <w:adjustRightInd w:val="0"/>
        <w:rPr>
          <w:rFonts w:asciiTheme="majorHAnsi" w:hAnsiTheme="majorHAnsi" w:cs="TimesNRMTPro"/>
          <w:sz w:val="20"/>
          <w:lang w:eastAsia="en-US" w:bidi="ar-SA"/>
        </w:rPr>
      </w:pPr>
      <w:r w:rsidRPr="00C63A92">
        <w:rPr>
          <w:rStyle w:val="FootnoteReference"/>
          <w:rFonts w:asciiTheme="majorHAnsi" w:hAnsiTheme="majorHAnsi"/>
          <w:sz w:val="20"/>
        </w:rPr>
        <w:footnoteRef/>
      </w:r>
      <w:r w:rsidRPr="00C63A92">
        <w:rPr>
          <w:rFonts w:asciiTheme="majorHAnsi" w:hAnsiTheme="majorHAnsi"/>
          <w:sz w:val="20"/>
        </w:rPr>
        <w:t xml:space="preserve"> B </w:t>
      </w:r>
      <w:r w:rsidRPr="00C63A92">
        <w:rPr>
          <w:rFonts w:asciiTheme="majorHAnsi" w:hAnsiTheme="majorHAnsi" w:cs="TimesNRMTPro"/>
          <w:sz w:val="20"/>
          <w:lang w:eastAsia="en-US" w:bidi="ar-SA"/>
        </w:rPr>
        <w:t xml:space="preserve">Quirke. (2010), ‘OLAF’s role in the fight against EU fraud: Do too many cooks spoil the broth?’, </w:t>
      </w:r>
      <w:r w:rsidRPr="00C63A92">
        <w:rPr>
          <w:rFonts w:asciiTheme="majorHAnsi" w:hAnsiTheme="majorHAnsi" w:cs="TimesNRMTPro-Italic"/>
          <w:i/>
          <w:iCs/>
          <w:sz w:val="20"/>
          <w:lang w:eastAsia="en-US" w:bidi="ar-SA"/>
        </w:rPr>
        <w:t>Crime, Law and Social Change</w:t>
      </w:r>
      <w:r w:rsidRPr="00C63A92">
        <w:rPr>
          <w:rFonts w:asciiTheme="majorHAnsi" w:hAnsiTheme="majorHAnsi" w:cs="TimesNRMTPro"/>
          <w:sz w:val="20"/>
          <w:lang w:eastAsia="en-US" w:bidi="ar-SA"/>
        </w:rPr>
        <w:t xml:space="preserve">, </w:t>
      </w:r>
      <w:r w:rsidRPr="00C63A92">
        <w:rPr>
          <w:rFonts w:asciiTheme="majorHAnsi" w:hAnsiTheme="majorHAnsi" w:cs="TimesNRMTPro-Bold"/>
          <w:b/>
          <w:bCs/>
          <w:sz w:val="20"/>
          <w:lang w:eastAsia="en-US" w:bidi="ar-SA"/>
        </w:rPr>
        <w:t>53</w:t>
      </w:r>
      <w:r>
        <w:rPr>
          <w:rFonts w:asciiTheme="majorHAnsi" w:hAnsiTheme="majorHAnsi" w:cs="TimesNRMTPro"/>
          <w:sz w:val="20"/>
          <w:lang w:eastAsia="en-US" w:bidi="ar-SA"/>
        </w:rPr>
        <w:t>(1), 97–108</w:t>
      </w:r>
      <w:r w:rsidRPr="00C63A92">
        <w:rPr>
          <w:rFonts w:asciiTheme="majorHAnsi" w:hAnsiTheme="majorHAnsi" w:cs="TimesNRMTPro"/>
          <w:sz w:val="20"/>
          <w:lang w:eastAsia="en-US" w:bidi="ar-SA"/>
        </w:rPr>
        <w:t>.</w:t>
      </w:r>
    </w:p>
  </w:footnote>
  <w:footnote w:id="31">
    <w:p w14:paraId="6EACBADA" w14:textId="77777777" w:rsidR="004338F6" w:rsidRPr="00C63A92" w:rsidRDefault="004338F6" w:rsidP="004738C5">
      <w:pPr>
        <w:pStyle w:val="NormalWeb"/>
        <w:spacing w:before="0" w:beforeAutospacing="0" w:after="0"/>
        <w:jc w:val="both"/>
        <w:rPr>
          <w:rFonts w:asciiTheme="majorHAnsi" w:hAnsiTheme="majorHAnsi"/>
          <w:sz w:val="20"/>
          <w:szCs w:val="20"/>
        </w:rPr>
      </w:pPr>
      <w:r w:rsidRPr="00C63A92">
        <w:rPr>
          <w:rStyle w:val="FootnoteReference"/>
          <w:rFonts w:asciiTheme="majorHAnsi" w:eastAsia="SimSun" w:hAnsiTheme="majorHAnsi"/>
          <w:sz w:val="20"/>
          <w:szCs w:val="20"/>
        </w:rPr>
        <w:footnoteRef/>
      </w:r>
      <w:r w:rsidRPr="00C63A92">
        <w:rPr>
          <w:rFonts w:asciiTheme="majorHAnsi" w:hAnsiTheme="majorHAnsi"/>
          <w:sz w:val="20"/>
          <w:szCs w:val="20"/>
        </w:rPr>
        <w:t xml:space="preserve"> </w:t>
      </w:r>
      <w:r w:rsidRPr="00C63A92">
        <w:rPr>
          <w:rFonts w:asciiTheme="majorHAnsi" w:hAnsiTheme="majorHAnsi"/>
          <w:bCs/>
          <w:sz w:val="20"/>
          <w:szCs w:val="20"/>
          <w:lang w:val="en"/>
        </w:rPr>
        <w:t xml:space="preserve">2002/187/JHA: Council Decision of 28 February 2002 setting up Eurojust with a view to reinforcing the fight against serious crime, </w:t>
      </w:r>
      <w:r w:rsidRPr="00C63A92">
        <w:rPr>
          <w:rFonts w:asciiTheme="majorHAnsi" w:hAnsiTheme="majorHAnsi"/>
          <w:iCs/>
          <w:sz w:val="20"/>
          <w:szCs w:val="20"/>
          <w:lang w:val="en"/>
        </w:rPr>
        <w:t>Official Journal L 063 , 06/03/2002 P. 0001 – 0013.</w:t>
      </w:r>
      <w:r w:rsidRPr="00C63A92">
        <w:rPr>
          <w:rFonts w:asciiTheme="majorHAnsi" w:hAnsiTheme="majorHAnsi"/>
          <w:sz w:val="20"/>
          <w:szCs w:val="20"/>
        </w:rPr>
        <w:t xml:space="preserve"> Pujas noted that it was “a temporary unit of judicial co-operation … in charge of fighting serious transnational crime”.  See Pujas above, n 41 at 784.</w:t>
      </w:r>
    </w:p>
  </w:footnote>
  <w:footnote w:id="32">
    <w:p w14:paraId="6FC9690B" w14:textId="162D85BE" w:rsidR="004338F6" w:rsidRPr="00C63A92" w:rsidRDefault="004338F6" w:rsidP="00C63A92">
      <w:pPr>
        <w:autoSpaceDE w:val="0"/>
        <w:autoSpaceDN w:val="0"/>
        <w:adjustRightInd w:val="0"/>
        <w:rPr>
          <w:rFonts w:asciiTheme="majorHAnsi" w:hAnsiTheme="majorHAnsi" w:cs="TimesNRMTPro"/>
          <w:sz w:val="20"/>
          <w:lang w:eastAsia="en-US" w:bidi="ar-SA"/>
        </w:rPr>
      </w:pPr>
      <w:r w:rsidRPr="00C63A92">
        <w:rPr>
          <w:rStyle w:val="FootnoteReference"/>
          <w:rFonts w:asciiTheme="majorHAnsi" w:hAnsiTheme="majorHAnsi"/>
          <w:sz w:val="20"/>
        </w:rPr>
        <w:footnoteRef/>
      </w:r>
      <w:r w:rsidRPr="00C63A92">
        <w:rPr>
          <w:rFonts w:asciiTheme="majorHAnsi" w:hAnsiTheme="majorHAnsi"/>
          <w:sz w:val="20"/>
        </w:rPr>
        <w:t xml:space="preserve"> </w:t>
      </w:r>
      <w:r>
        <w:rPr>
          <w:rFonts w:asciiTheme="majorHAnsi" w:hAnsiTheme="majorHAnsi"/>
          <w:sz w:val="20"/>
        </w:rPr>
        <w:t xml:space="preserve">B </w:t>
      </w:r>
      <w:r>
        <w:rPr>
          <w:rFonts w:asciiTheme="majorHAnsi" w:hAnsiTheme="majorHAnsi" w:cs="TimesNRMTPro"/>
          <w:sz w:val="20"/>
          <w:lang w:eastAsia="en-US" w:bidi="ar-SA"/>
        </w:rPr>
        <w:t>Quirke,</w:t>
      </w:r>
      <w:r w:rsidRPr="00C63A92">
        <w:rPr>
          <w:rFonts w:asciiTheme="majorHAnsi" w:hAnsiTheme="majorHAnsi" w:cs="TimesNRMTPro"/>
          <w:sz w:val="20"/>
          <w:lang w:eastAsia="en-US" w:bidi="ar-SA"/>
        </w:rPr>
        <w:t xml:space="preserve"> (2010), ‘OLAF’s role in the fight against EU fraud: Do too many cooks spoil the broth?’, </w:t>
      </w:r>
      <w:r w:rsidRPr="00C63A92">
        <w:rPr>
          <w:rFonts w:asciiTheme="majorHAnsi" w:hAnsiTheme="majorHAnsi" w:cs="TimesNRMTPro-Italic"/>
          <w:i/>
          <w:iCs/>
          <w:sz w:val="20"/>
          <w:lang w:eastAsia="en-US" w:bidi="ar-SA"/>
        </w:rPr>
        <w:t>Crime, Law and Social Change</w:t>
      </w:r>
      <w:r w:rsidRPr="00C63A92">
        <w:rPr>
          <w:rFonts w:asciiTheme="majorHAnsi" w:hAnsiTheme="majorHAnsi" w:cs="TimesNRMTPro"/>
          <w:sz w:val="20"/>
          <w:lang w:eastAsia="en-US" w:bidi="ar-SA"/>
        </w:rPr>
        <w:t xml:space="preserve">, </w:t>
      </w:r>
      <w:r w:rsidRPr="00C63A92">
        <w:rPr>
          <w:rFonts w:asciiTheme="majorHAnsi" w:hAnsiTheme="majorHAnsi" w:cs="TimesNRMTPro-Bold"/>
          <w:bCs/>
          <w:sz w:val="20"/>
          <w:lang w:eastAsia="en-US" w:bidi="ar-SA"/>
        </w:rPr>
        <w:t>53</w:t>
      </w:r>
      <w:r w:rsidRPr="00C63A92">
        <w:rPr>
          <w:rFonts w:asciiTheme="majorHAnsi" w:hAnsiTheme="majorHAnsi" w:cs="TimesNRMTPro"/>
          <w:sz w:val="20"/>
          <w:lang w:eastAsia="en-US" w:bidi="ar-SA"/>
        </w:rPr>
        <w:t>(1), 97–108.</w:t>
      </w:r>
    </w:p>
  </w:footnote>
  <w:footnote w:id="33">
    <w:p w14:paraId="1CCFCF66" w14:textId="77777777" w:rsidR="004338F6" w:rsidRPr="00790501" w:rsidRDefault="004338F6" w:rsidP="004738C5">
      <w:pPr>
        <w:autoSpaceDE w:val="0"/>
        <w:autoSpaceDN w:val="0"/>
        <w:adjustRightInd w:val="0"/>
        <w:rPr>
          <w:rFonts w:asciiTheme="majorHAnsi" w:hAnsiTheme="majorHAnsi"/>
          <w:sz w:val="20"/>
        </w:rPr>
      </w:pPr>
      <w:r w:rsidRPr="00790501">
        <w:rPr>
          <w:rStyle w:val="FootnoteReference"/>
          <w:rFonts w:asciiTheme="majorHAnsi" w:hAnsiTheme="majorHAnsi"/>
          <w:sz w:val="20"/>
        </w:rPr>
        <w:footnoteRef/>
      </w:r>
      <w:r w:rsidRPr="00790501">
        <w:rPr>
          <w:rFonts w:asciiTheme="majorHAnsi" w:hAnsiTheme="majorHAnsi"/>
          <w:sz w:val="20"/>
        </w:rPr>
        <w:t xml:space="preserve"> </w:t>
      </w:r>
      <w:r w:rsidRPr="00790501">
        <w:rPr>
          <w:rFonts w:asciiTheme="majorHAnsi" w:hAnsiTheme="majorHAnsi" w:cs="TimesNRMTPro"/>
          <w:sz w:val="20"/>
          <w:lang w:eastAsia="en-US" w:bidi="ar-SA"/>
        </w:rPr>
        <w:t xml:space="preserve">House of Lords European Union Committee </w:t>
      </w:r>
      <w:r w:rsidRPr="00790501">
        <w:rPr>
          <w:rFonts w:asciiTheme="majorHAnsi" w:hAnsiTheme="majorHAnsi" w:cs="TimesNRMTPro-Italic"/>
          <w:i/>
          <w:iCs/>
          <w:sz w:val="20"/>
          <w:lang w:eastAsia="en-US" w:bidi="ar-SA"/>
        </w:rPr>
        <w:t xml:space="preserve">Strengthening OLAF, the European Anti- Fraud Office </w:t>
      </w:r>
      <w:r w:rsidRPr="00790501">
        <w:rPr>
          <w:rFonts w:asciiTheme="majorHAnsi" w:hAnsiTheme="majorHAnsi" w:cs="TimesNRMTPro"/>
          <w:sz w:val="20"/>
          <w:lang w:eastAsia="en-US" w:bidi="ar-SA"/>
        </w:rPr>
        <w:t>(House of Lords European Union Committee: London, 2004) at p. 12.</w:t>
      </w:r>
    </w:p>
  </w:footnote>
  <w:footnote w:id="34">
    <w:p w14:paraId="6B542E08" w14:textId="77777777" w:rsidR="004338F6" w:rsidRPr="00790501" w:rsidRDefault="004338F6" w:rsidP="004738C5">
      <w:pPr>
        <w:autoSpaceDE w:val="0"/>
        <w:autoSpaceDN w:val="0"/>
        <w:adjustRightInd w:val="0"/>
        <w:rPr>
          <w:rFonts w:asciiTheme="majorHAnsi" w:hAnsiTheme="majorHAnsi" w:cs="TimesNRMTPro"/>
          <w:sz w:val="20"/>
          <w:lang w:eastAsia="en-US" w:bidi="ar-SA"/>
        </w:rPr>
      </w:pPr>
      <w:r w:rsidRPr="00790501">
        <w:rPr>
          <w:rStyle w:val="FootnoteReference"/>
          <w:rFonts w:asciiTheme="majorHAnsi" w:hAnsiTheme="majorHAnsi"/>
          <w:sz w:val="20"/>
        </w:rPr>
        <w:footnoteRef/>
      </w:r>
      <w:r w:rsidRPr="00790501">
        <w:rPr>
          <w:rFonts w:asciiTheme="majorHAnsi" w:hAnsiTheme="majorHAnsi"/>
          <w:sz w:val="20"/>
        </w:rPr>
        <w:t xml:space="preserve"> </w:t>
      </w:r>
      <w:r w:rsidRPr="00790501">
        <w:rPr>
          <w:rFonts w:asciiTheme="majorHAnsi" w:hAnsiTheme="majorHAnsi" w:cs="TimesNRMTPro"/>
          <w:sz w:val="20"/>
          <w:lang w:eastAsia="en-US" w:bidi="ar-SA"/>
        </w:rPr>
        <w:t>Vlogaret, Johan and Pesta, Michal (2008),</w:t>
      </w:r>
    </w:p>
    <w:p w14:paraId="1776C8AB" w14:textId="77777777" w:rsidR="004338F6" w:rsidRPr="00790501" w:rsidRDefault="004338F6" w:rsidP="004738C5">
      <w:pPr>
        <w:pStyle w:val="FootnoteText"/>
        <w:jc w:val="both"/>
        <w:rPr>
          <w:rFonts w:asciiTheme="majorHAnsi" w:hAnsiTheme="majorHAnsi"/>
        </w:rPr>
      </w:pPr>
      <w:r w:rsidRPr="00790501">
        <w:rPr>
          <w:rFonts w:asciiTheme="majorHAnsi" w:hAnsiTheme="majorHAnsi" w:cs="TimesNRMTPro"/>
          <w:lang w:eastAsia="en-US" w:bidi="ar-SA"/>
        </w:rPr>
        <w:t xml:space="preserve">‘OLAF fi ghting fraud and beyond’ in S. Brown (ed.), </w:t>
      </w:r>
      <w:r w:rsidRPr="00790501">
        <w:rPr>
          <w:rFonts w:asciiTheme="majorHAnsi" w:hAnsiTheme="majorHAnsi" w:cs="TimesNRMTPro-Italic"/>
          <w:i/>
          <w:iCs/>
          <w:lang w:eastAsia="en-US" w:bidi="ar-SA"/>
        </w:rPr>
        <w:t>Combating international crime – the longer arm of the law</w:t>
      </w:r>
      <w:r w:rsidRPr="00790501">
        <w:rPr>
          <w:rFonts w:asciiTheme="majorHAnsi" w:hAnsiTheme="majorHAnsi" w:cs="TimesNRMTPro"/>
          <w:lang w:eastAsia="en-US" w:bidi="ar-SA"/>
        </w:rPr>
        <w:t>, Routledge, London, 77–87, at 84.</w:t>
      </w:r>
    </w:p>
  </w:footnote>
  <w:footnote w:id="35">
    <w:p w14:paraId="15C53E72" w14:textId="77777777" w:rsidR="004338F6" w:rsidRPr="00790501" w:rsidRDefault="004338F6" w:rsidP="0030100D">
      <w:pPr>
        <w:pStyle w:val="FootnoteText"/>
        <w:rPr>
          <w:rFonts w:asciiTheme="majorHAnsi" w:hAnsiTheme="majorHAnsi"/>
        </w:rPr>
      </w:pPr>
      <w:r w:rsidRPr="00790501">
        <w:rPr>
          <w:rStyle w:val="FootnoteReference"/>
          <w:rFonts w:asciiTheme="majorHAnsi" w:hAnsiTheme="majorHAnsi"/>
        </w:rPr>
        <w:footnoteRef/>
      </w:r>
      <w:r w:rsidRPr="00790501">
        <w:rPr>
          <w:rFonts w:asciiTheme="majorHAnsi" w:hAnsiTheme="majorHAnsi"/>
        </w:rPr>
        <w:t xml:space="preserve"> </w:t>
      </w:r>
      <w:r w:rsidRPr="00790501">
        <w:rPr>
          <w:rFonts w:asciiTheme="majorHAnsi" w:hAnsiTheme="majorHAnsi"/>
          <w:lang w:eastAsia="en-US" w:bidi="ar-SA"/>
        </w:rPr>
        <w:t>Case C-68/88 Commission v Greece [1989] ECR 1-2965, §24.</w:t>
      </w:r>
    </w:p>
  </w:footnote>
  <w:footnote w:id="36">
    <w:p w14:paraId="5DFFBA98" w14:textId="0FF80811" w:rsidR="004338F6" w:rsidRPr="00790501" w:rsidRDefault="004338F6" w:rsidP="00790501">
      <w:pPr>
        <w:rPr>
          <w:rFonts w:asciiTheme="majorHAnsi" w:hAnsiTheme="majorHAnsi"/>
          <w:sz w:val="20"/>
          <w:lang w:val="en-US" w:eastAsia="en-US" w:bidi="ar-SA"/>
        </w:rPr>
      </w:pPr>
      <w:r w:rsidRPr="00790501">
        <w:rPr>
          <w:rStyle w:val="FootnoteReference"/>
          <w:rFonts w:asciiTheme="majorHAnsi" w:hAnsiTheme="majorHAnsi"/>
          <w:sz w:val="20"/>
        </w:rPr>
        <w:footnoteRef/>
      </w:r>
      <w:r w:rsidRPr="00790501">
        <w:rPr>
          <w:rFonts w:asciiTheme="majorHAnsi" w:hAnsiTheme="majorHAnsi"/>
          <w:sz w:val="20"/>
        </w:rPr>
        <w:t xml:space="preserve"> </w:t>
      </w:r>
      <w:r w:rsidRPr="00790501">
        <w:rPr>
          <w:rFonts w:asciiTheme="majorHAnsi" w:hAnsiTheme="majorHAnsi"/>
          <w:sz w:val="20"/>
          <w:lang w:val="en-US" w:eastAsia="en-US" w:bidi="ar-SA"/>
        </w:rPr>
        <w:t xml:space="preserve">Convention of 26 July 1995 (OJ C 316, 27.11.1995, p. 49) </w:t>
      </w:r>
    </w:p>
    <w:p w14:paraId="126B3C21" w14:textId="73AEFD78" w:rsidR="004338F6" w:rsidRDefault="004338F6">
      <w:pPr>
        <w:pStyle w:val="FootnoteText"/>
      </w:pPr>
    </w:p>
  </w:footnote>
  <w:footnote w:id="37">
    <w:p w14:paraId="385D5731" w14:textId="6A4C97FC" w:rsidR="004338F6" w:rsidRPr="00BF7C8E" w:rsidRDefault="004338F6" w:rsidP="00972F8E">
      <w:pPr>
        <w:autoSpaceDE w:val="0"/>
        <w:autoSpaceDN w:val="0"/>
        <w:adjustRightInd w:val="0"/>
        <w:rPr>
          <w:rFonts w:asciiTheme="majorHAnsi" w:eastAsiaTheme="minorEastAsia" w:hAnsiTheme="majorHAnsi" w:cs="Arial"/>
          <w:sz w:val="20"/>
          <w:lang w:eastAsia="en-US" w:bidi="ar-SA"/>
        </w:rPr>
      </w:pPr>
      <w:r w:rsidRPr="00BF7C8E">
        <w:rPr>
          <w:rStyle w:val="FootnoteReference"/>
          <w:rFonts w:asciiTheme="majorHAnsi" w:hAnsiTheme="majorHAnsi"/>
          <w:sz w:val="20"/>
        </w:rPr>
        <w:footnoteRef/>
      </w:r>
      <w:r>
        <w:rPr>
          <w:rFonts w:asciiTheme="majorHAnsi" w:hAnsiTheme="majorHAnsi"/>
          <w:sz w:val="20"/>
        </w:rPr>
        <w:t xml:space="preserve"> </w:t>
      </w:r>
      <w:r w:rsidRPr="00BF7C8E">
        <w:rPr>
          <w:rFonts w:asciiTheme="majorHAnsi" w:eastAsiaTheme="minorEastAsia" w:hAnsiTheme="majorHAnsi" w:cs="Arial"/>
          <w:sz w:val="20"/>
          <w:lang w:eastAsia="en-US" w:bidi="ar-SA"/>
        </w:rPr>
        <w:t>Proposal for a Directive of the European Parliament and of the Council on the fight against fraud to the Union's financial interests by means of</w:t>
      </w:r>
    </w:p>
    <w:p w14:paraId="096458F1" w14:textId="38E32F89" w:rsidR="004338F6" w:rsidRPr="00BF7C8E" w:rsidRDefault="004338F6" w:rsidP="00972F8E">
      <w:pPr>
        <w:pStyle w:val="FootnoteText"/>
        <w:rPr>
          <w:rFonts w:asciiTheme="majorHAnsi" w:hAnsiTheme="majorHAnsi"/>
          <w:lang w:val="en-GB"/>
        </w:rPr>
      </w:pPr>
      <w:r w:rsidRPr="00BF7C8E">
        <w:rPr>
          <w:rFonts w:asciiTheme="majorHAnsi" w:eastAsiaTheme="minorEastAsia" w:hAnsiTheme="majorHAnsi" w:cs="Arial"/>
          <w:lang w:eastAsia="en-US" w:bidi="ar-SA"/>
        </w:rPr>
        <w:t xml:space="preserve">criminal law’, </w:t>
      </w:r>
      <w:r w:rsidRPr="00BF7C8E">
        <w:rPr>
          <w:rFonts w:asciiTheme="majorHAnsi" w:hAnsiTheme="majorHAnsi"/>
        </w:rPr>
        <w:t>COM(2012) 363 final, available at http://eur-lex.europa.eu/legal-content/EN/TXT/PDF/?uri=CELEX:52012PC0363&amp;from=EN (last accessed 13 May 2016).</w:t>
      </w:r>
    </w:p>
  </w:footnote>
  <w:footnote w:id="38">
    <w:p w14:paraId="1D1A18F5" w14:textId="5920020A" w:rsidR="004338F6" w:rsidRPr="00BF7C8E" w:rsidRDefault="004338F6" w:rsidP="00BF7C8E">
      <w:pPr>
        <w:rPr>
          <w:rFonts w:asciiTheme="majorHAnsi" w:hAnsiTheme="majorHAnsi"/>
          <w:sz w:val="20"/>
        </w:rPr>
      </w:pPr>
      <w:r w:rsidRPr="00BF7C8E">
        <w:rPr>
          <w:rStyle w:val="FootnoteReference"/>
          <w:rFonts w:asciiTheme="majorHAnsi" w:hAnsiTheme="majorHAnsi"/>
          <w:sz w:val="20"/>
        </w:rPr>
        <w:footnoteRef/>
      </w:r>
      <w:r w:rsidRPr="00BF7C8E">
        <w:rPr>
          <w:rFonts w:asciiTheme="majorHAnsi" w:hAnsiTheme="majorHAnsi"/>
          <w:sz w:val="20"/>
        </w:rPr>
        <w:t xml:space="preserve"> In addition, Regulation (EC, Euratom) No 2988/95 sets out administrative rules for dealing with illegal activities at the expense of the Union's financial interests</w:t>
      </w:r>
    </w:p>
    <w:p w14:paraId="0D3C3092" w14:textId="77777777" w:rsidR="004338F6" w:rsidRPr="00BF7C8E" w:rsidRDefault="004338F6" w:rsidP="00BF7C8E">
      <w:pPr>
        <w:rPr>
          <w:rFonts w:asciiTheme="majorHAnsi" w:hAnsiTheme="majorHAnsi"/>
          <w:sz w:val="20"/>
          <w:lang w:val="en-US" w:eastAsia="en-US" w:bidi="ar-SA"/>
        </w:rPr>
      </w:pPr>
    </w:p>
    <w:p w14:paraId="28D254B6" w14:textId="6E250412" w:rsidR="004338F6" w:rsidRPr="00BF7C8E" w:rsidRDefault="004338F6">
      <w:pPr>
        <w:pStyle w:val="FootnoteText"/>
        <w:rPr>
          <w:rFonts w:asciiTheme="majorHAnsi" w:hAnsiTheme="majorHAnsi"/>
        </w:rPr>
      </w:pPr>
    </w:p>
  </w:footnote>
  <w:footnote w:id="39">
    <w:p w14:paraId="11166AFA" w14:textId="77777777" w:rsidR="004338F6" w:rsidRPr="00B11796" w:rsidRDefault="004338F6" w:rsidP="004338F6">
      <w:pPr>
        <w:pStyle w:val="FootnoteText"/>
        <w:spacing w:after="160"/>
        <w:jc w:val="both"/>
        <w:rPr>
          <w:rFonts w:asciiTheme="majorHAnsi" w:hAnsiTheme="majorHAnsi"/>
        </w:rPr>
      </w:pPr>
      <w:r w:rsidRPr="00B11796">
        <w:rPr>
          <w:rStyle w:val="FootnoteReference"/>
          <w:rFonts w:asciiTheme="majorHAnsi" w:hAnsiTheme="majorHAnsi"/>
        </w:rPr>
        <w:footnoteRef/>
      </w:r>
      <w:r w:rsidRPr="00B11796">
        <w:rPr>
          <w:rFonts w:asciiTheme="majorHAnsi" w:hAnsiTheme="majorHAnsi"/>
        </w:rPr>
        <w:t xml:space="preserve"> </w:t>
      </w:r>
      <w:r w:rsidRPr="00B11796">
        <w:rPr>
          <w:rFonts w:asciiTheme="majorHAnsi" w:hAnsiTheme="majorHAnsi"/>
          <w:i/>
        </w:rPr>
        <w:t>See Proposal for a Council Regulation on the Establishment of the European Public Prosecutor’s Office,</w:t>
      </w:r>
      <w:r w:rsidRPr="00B11796">
        <w:rPr>
          <w:rFonts w:asciiTheme="majorHAnsi" w:hAnsiTheme="majorHAnsi"/>
        </w:rPr>
        <w:t xml:space="preserve"> </w:t>
      </w:r>
      <w:r w:rsidRPr="00B11796">
        <w:rPr>
          <w:rFonts w:asciiTheme="majorHAnsi" w:hAnsiTheme="majorHAnsi"/>
          <w:bCs/>
        </w:rPr>
        <w:t xml:space="preserve">COM (2013) 0534 final (July 7, 2013). </w:t>
      </w:r>
    </w:p>
  </w:footnote>
  <w:footnote w:id="40">
    <w:p w14:paraId="2412BBBC" w14:textId="77777777" w:rsidR="004338F6" w:rsidRPr="00B11796" w:rsidRDefault="004338F6" w:rsidP="004338F6">
      <w:pPr>
        <w:pStyle w:val="FootnoteText"/>
        <w:rPr>
          <w:rFonts w:asciiTheme="majorHAnsi" w:hAnsiTheme="majorHAnsi"/>
        </w:rPr>
      </w:pPr>
      <w:r w:rsidRPr="00B11796">
        <w:rPr>
          <w:rStyle w:val="FootnoteReference"/>
          <w:rFonts w:asciiTheme="majorHAnsi" w:hAnsiTheme="majorHAnsi"/>
        </w:rPr>
        <w:footnoteRef/>
      </w:r>
      <w:r w:rsidRPr="00B11796">
        <w:rPr>
          <w:rFonts w:asciiTheme="majorHAnsi" w:hAnsiTheme="majorHAnsi"/>
        </w:rPr>
        <w:t xml:space="preserve"> See K Ligeti, (ed) </w:t>
      </w:r>
      <w:r w:rsidRPr="00B11796">
        <w:rPr>
          <w:rFonts w:asciiTheme="majorHAnsi" w:hAnsiTheme="majorHAnsi"/>
          <w:i/>
        </w:rPr>
        <w:t>Toward a Prosecutor for the European Union Volume</w:t>
      </w:r>
      <w:r w:rsidRPr="00B11796">
        <w:rPr>
          <w:rFonts w:asciiTheme="majorHAnsi" w:hAnsiTheme="majorHAnsi"/>
        </w:rPr>
        <w:t xml:space="preserve"> 1 (Hart publishing 2012), G Conway, The Future of a European Public Prosecutor in M Fletcher, E Herlin-Karnell and C Matera (eds), The European Union as an Area of Freedom, Security and Justice, (2016 Routledge forthcoming), M .L. Wade, ‘A European Public Prosecutor: Potential and Pitfalls’, 59 </w:t>
      </w:r>
      <w:r w:rsidRPr="00B11796">
        <w:rPr>
          <w:rFonts w:asciiTheme="majorHAnsi" w:hAnsiTheme="majorHAnsi"/>
          <w:i/>
        </w:rPr>
        <w:t>Crime, Law &amp; Social Change</w:t>
      </w:r>
      <w:r w:rsidRPr="00B11796">
        <w:rPr>
          <w:rFonts w:asciiTheme="majorHAnsi" w:hAnsiTheme="majorHAnsi"/>
        </w:rPr>
        <w:t xml:space="preserve"> 439 (2013).</w:t>
      </w:r>
    </w:p>
  </w:footnote>
  <w:footnote w:id="41">
    <w:p w14:paraId="7DB8D6A3" w14:textId="77777777" w:rsidR="004338F6" w:rsidRPr="00B11796" w:rsidRDefault="004338F6" w:rsidP="004338F6">
      <w:pPr>
        <w:pStyle w:val="FootnoteText"/>
        <w:rPr>
          <w:rFonts w:asciiTheme="majorHAnsi" w:hAnsiTheme="majorHAnsi"/>
        </w:rPr>
      </w:pPr>
      <w:r w:rsidRPr="00B11796">
        <w:rPr>
          <w:rStyle w:val="FootnoteReference"/>
          <w:rFonts w:asciiTheme="majorHAnsi" w:hAnsiTheme="majorHAnsi"/>
        </w:rPr>
        <w:footnoteRef/>
      </w:r>
      <w:r w:rsidRPr="00B11796">
        <w:rPr>
          <w:rFonts w:asciiTheme="majorHAnsi" w:hAnsiTheme="majorHAnsi"/>
        </w:rPr>
        <w:t xml:space="preserve"> See Conway, ibid.</w:t>
      </w:r>
    </w:p>
  </w:footnote>
  <w:footnote w:id="42">
    <w:p w14:paraId="370F2606" w14:textId="77777777" w:rsidR="004338F6" w:rsidRPr="00B11796" w:rsidRDefault="004338F6" w:rsidP="004338F6">
      <w:pPr>
        <w:rPr>
          <w:rFonts w:asciiTheme="majorHAnsi" w:hAnsiTheme="majorHAnsi"/>
          <w:sz w:val="20"/>
        </w:rPr>
      </w:pPr>
      <w:r w:rsidRPr="00B11796">
        <w:rPr>
          <w:rStyle w:val="FootnoteReference"/>
          <w:rFonts w:asciiTheme="majorHAnsi" w:hAnsiTheme="majorHAnsi"/>
          <w:sz w:val="20"/>
        </w:rPr>
        <w:footnoteRef/>
      </w:r>
      <w:r w:rsidRPr="00B11796">
        <w:rPr>
          <w:rFonts w:asciiTheme="majorHAnsi" w:hAnsiTheme="majorHAnsi"/>
          <w:sz w:val="20"/>
        </w:rPr>
        <w:t xml:space="preserve"> Steve Peers, </w:t>
      </w:r>
      <w:r w:rsidRPr="00B11796">
        <w:rPr>
          <w:rFonts w:asciiTheme="majorHAnsi" w:hAnsiTheme="majorHAnsi"/>
          <w:i/>
          <w:sz w:val="20"/>
        </w:rPr>
        <w:t>EU Justice and Home Affairs Law</w:t>
      </w:r>
      <w:r w:rsidRPr="00B11796">
        <w:rPr>
          <w:rFonts w:asciiTheme="majorHAnsi" w:hAnsiTheme="majorHAnsi"/>
          <w:sz w:val="20"/>
        </w:rPr>
        <w:t xml:space="preserve"> (Oxford University Press 2011) 858-860.</w:t>
      </w:r>
    </w:p>
  </w:footnote>
  <w:footnote w:id="43">
    <w:p w14:paraId="5B3282EE" w14:textId="77777777" w:rsidR="004338F6" w:rsidRPr="00B11796" w:rsidRDefault="004338F6" w:rsidP="004338F6">
      <w:pPr>
        <w:pStyle w:val="FootnoteText"/>
        <w:rPr>
          <w:rFonts w:asciiTheme="majorHAnsi" w:hAnsiTheme="majorHAnsi"/>
        </w:rPr>
      </w:pPr>
      <w:r w:rsidRPr="00B11796">
        <w:rPr>
          <w:rStyle w:val="FootnoteReference"/>
          <w:rFonts w:asciiTheme="majorHAnsi" w:hAnsiTheme="majorHAnsi"/>
        </w:rPr>
        <w:footnoteRef/>
      </w:r>
      <w:r w:rsidRPr="00B11796">
        <w:rPr>
          <w:rFonts w:asciiTheme="majorHAnsi" w:hAnsiTheme="majorHAnsi"/>
        </w:rPr>
        <w:t xml:space="preserve"> Conway, ibid 112</w:t>
      </w:r>
    </w:p>
  </w:footnote>
  <w:footnote w:id="44">
    <w:p w14:paraId="3BD5BAA1" w14:textId="77777777" w:rsidR="004338F6" w:rsidRPr="00B11796" w:rsidRDefault="004338F6" w:rsidP="004338F6">
      <w:pPr>
        <w:pStyle w:val="FootnoteText"/>
        <w:rPr>
          <w:rFonts w:asciiTheme="majorHAnsi" w:hAnsiTheme="majorHAnsi"/>
        </w:rPr>
      </w:pPr>
      <w:r w:rsidRPr="00B11796">
        <w:rPr>
          <w:rStyle w:val="FootnoteReference"/>
          <w:rFonts w:asciiTheme="majorHAnsi" w:hAnsiTheme="majorHAnsi"/>
        </w:rPr>
        <w:footnoteRef/>
      </w:r>
      <w:r w:rsidRPr="00B11796">
        <w:rPr>
          <w:rFonts w:asciiTheme="majorHAnsi" w:hAnsiTheme="majorHAnsi"/>
        </w:rPr>
        <w:t xml:space="preserve"> See Conway, ibid</w:t>
      </w:r>
    </w:p>
  </w:footnote>
  <w:footnote w:id="45">
    <w:p w14:paraId="116587FC" w14:textId="77777777" w:rsidR="004338F6" w:rsidRPr="00B11796" w:rsidRDefault="004338F6" w:rsidP="004338F6">
      <w:pPr>
        <w:pStyle w:val="FootnoteText"/>
        <w:rPr>
          <w:rFonts w:asciiTheme="majorHAnsi" w:hAnsiTheme="majorHAnsi"/>
        </w:rPr>
      </w:pPr>
      <w:r w:rsidRPr="00B11796">
        <w:rPr>
          <w:rStyle w:val="FootnoteReference"/>
          <w:rFonts w:asciiTheme="majorHAnsi" w:hAnsiTheme="majorHAnsi"/>
        </w:rPr>
        <w:footnoteRef/>
      </w:r>
      <w:r w:rsidRPr="00B11796">
        <w:rPr>
          <w:rFonts w:asciiTheme="majorHAnsi" w:hAnsiTheme="majorHAnsi"/>
        </w:rPr>
        <w:t xml:space="preserve"> Conway, ibid.</w:t>
      </w:r>
    </w:p>
  </w:footnote>
  <w:footnote w:id="46">
    <w:p w14:paraId="7F1E8BAF" w14:textId="77777777" w:rsidR="004338F6" w:rsidRPr="00B11796" w:rsidRDefault="004338F6" w:rsidP="004338F6">
      <w:pPr>
        <w:rPr>
          <w:rFonts w:asciiTheme="majorHAnsi" w:hAnsiTheme="majorHAnsi"/>
          <w:sz w:val="20"/>
        </w:rPr>
      </w:pPr>
      <w:r w:rsidRPr="00B11796">
        <w:rPr>
          <w:rStyle w:val="FootnoteReference"/>
          <w:rFonts w:asciiTheme="majorHAnsi" w:hAnsiTheme="majorHAnsi"/>
          <w:sz w:val="20"/>
        </w:rPr>
        <w:footnoteRef/>
      </w:r>
      <w:r w:rsidRPr="00B11796">
        <w:rPr>
          <w:rFonts w:asciiTheme="majorHAnsi" w:hAnsiTheme="majorHAnsi"/>
          <w:sz w:val="20"/>
        </w:rPr>
        <w:t xml:space="preserve"> The European Commission accompanied its 2013 proposed Regulation on an EPP with a proposed Regulation to reform Eurojust: </w:t>
      </w:r>
      <w:r w:rsidRPr="00B11796">
        <w:rPr>
          <w:rStyle w:val="Strong"/>
          <w:rFonts w:asciiTheme="majorHAnsi" w:hAnsiTheme="majorHAnsi"/>
          <w:b w:val="0"/>
          <w:i/>
          <w:sz w:val="20"/>
          <w:bdr w:val="none" w:sz="0" w:space="0" w:color="auto" w:frame="1"/>
          <w:shd w:val="clear" w:color="auto" w:fill="FFFFFF"/>
        </w:rPr>
        <w:t>Proposal for a Regulation of the European Parliament and of the Council on the European Union Agency for Criminal Justice Cooperation</w:t>
      </w:r>
      <w:r w:rsidRPr="00B11796">
        <w:rPr>
          <w:rStyle w:val="Strong"/>
          <w:rFonts w:asciiTheme="majorHAnsi" w:hAnsiTheme="majorHAnsi"/>
          <w:b w:val="0"/>
          <w:sz w:val="20"/>
          <w:bdr w:val="none" w:sz="0" w:space="0" w:color="auto" w:frame="1"/>
          <w:shd w:val="clear" w:color="auto" w:fill="FFFFFF"/>
        </w:rPr>
        <w:t xml:space="preserve"> (Eurojust)</w:t>
      </w:r>
      <w:r w:rsidRPr="00B11796">
        <w:rPr>
          <w:rFonts w:asciiTheme="majorHAnsi" w:hAnsiTheme="majorHAnsi"/>
          <w:b/>
          <w:sz w:val="20"/>
          <w:bdr w:val="none" w:sz="0" w:space="0" w:color="auto" w:frame="1"/>
          <w:shd w:val="clear" w:color="auto" w:fill="FFFFFF"/>
        </w:rPr>
        <w:t xml:space="preserve">, </w:t>
      </w:r>
      <w:r w:rsidRPr="00B11796">
        <w:rPr>
          <w:rFonts w:asciiTheme="majorHAnsi" w:hAnsiTheme="majorHAnsi"/>
          <w:sz w:val="20"/>
        </w:rPr>
        <w:t xml:space="preserve">Brussels, 17.7.2013, </w:t>
      </w:r>
      <w:r w:rsidRPr="00B11796">
        <w:rPr>
          <w:rFonts w:asciiTheme="majorHAnsi" w:hAnsiTheme="majorHAnsi"/>
          <w:sz w:val="20"/>
          <w:shd w:val="clear" w:color="auto" w:fill="FFFFFF"/>
        </w:rPr>
        <w:t>COM/2013/0535 final - 2013/0256 (COD).</w:t>
      </w:r>
    </w:p>
  </w:footnote>
  <w:footnote w:id="47">
    <w:p w14:paraId="7258BB4E" w14:textId="77777777" w:rsidR="004338F6" w:rsidRPr="00630223" w:rsidRDefault="004338F6" w:rsidP="00944283">
      <w:pPr>
        <w:pStyle w:val="FootnoteText"/>
        <w:tabs>
          <w:tab w:val="left" w:pos="851"/>
        </w:tabs>
        <w:spacing w:before="100" w:beforeAutospacing="1" w:after="240"/>
        <w:ind w:left="90" w:hanging="90"/>
        <w:rPr>
          <w:rFonts w:asciiTheme="majorHAnsi" w:hAnsiTheme="majorHAnsi"/>
        </w:rPr>
      </w:pPr>
      <w:r w:rsidRPr="00630223">
        <w:rPr>
          <w:rStyle w:val="FootnoteReference"/>
          <w:rFonts w:asciiTheme="majorHAnsi" w:hAnsiTheme="majorHAnsi"/>
        </w:rPr>
        <w:footnoteRef/>
      </w:r>
      <w:r w:rsidRPr="00630223">
        <w:rPr>
          <w:rFonts w:asciiTheme="majorHAnsi" w:hAnsiTheme="majorHAnsi"/>
        </w:rPr>
        <w:t>Directive 2005/60/EC OJ L309 (above n 1). The Commission’s own website is instructive: ec.europa.eu/internal_market/company/financial-crime/index_en.htm (last accessed January 2012).</w:t>
      </w:r>
    </w:p>
  </w:footnote>
  <w:footnote w:id="48">
    <w:p w14:paraId="230653C9" w14:textId="1EF57470" w:rsidR="004338F6" w:rsidRPr="00B11796" w:rsidRDefault="004338F6" w:rsidP="002B5690">
      <w:pPr>
        <w:rPr>
          <w:rFonts w:asciiTheme="majorHAnsi" w:hAnsiTheme="majorHAnsi"/>
          <w:sz w:val="20"/>
          <w:lang w:val="en-US" w:eastAsia="en-US" w:bidi="ar-SA"/>
        </w:rPr>
      </w:pPr>
      <w:r w:rsidRPr="00B11796">
        <w:rPr>
          <w:rStyle w:val="FootnoteReference"/>
          <w:rFonts w:asciiTheme="majorHAnsi" w:hAnsiTheme="majorHAnsi"/>
          <w:sz w:val="20"/>
        </w:rPr>
        <w:footnoteRef/>
      </w:r>
      <w:r w:rsidRPr="00B11796">
        <w:rPr>
          <w:rFonts w:asciiTheme="majorHAnsi" w:hAnsiTheme="majorHAnsi"/>
          <w:sz w:val="20"/>
        </w:rPr>
        <w:t xml:space="preserve">See also the European security agenda COM(2015) 185 final and proposal for a Directive on </w:t>
      </w:r>
      <w:r w:rsidRPr="00B11796">
        <w:rPr>
          <w:rFonts w:asciiTheme="majorHAnsi" w:hAnsiTheme="majorHAnsi"/>
          <w:sz w:val="20"/>
          <w:lang w:val="en-US" w:eastAsia="en-US" w:bidi="ar-SA"/>
        </w:rPr>
        <w:t xml:space="preserve">Combating terrorism and replacing Council Framework Decision 2002/475/JHA, </w:t>
      </w:r>
      <w:r w:rsidRPr="00B11796">
        <w:rPr>
          <w:rFonts w:asciiTheme="majorHAnsi" w:hAnsiTheme="majorHAnsi"/>
          <w:sz w:val="20"/>
        </w:rPr>
        <w:t>COM(2015) 625 final</w:t>
      </w:r>
    </w:p>
    <w:p w14:paraId="633067FC" w14:textId="7A9878EE" w:rsidR="004338F6" w:rsidRPr="00B11796" w:rsidRDefault="004338F6">
      <w:pPr>
        <w:pStyle w:val="FootnoteText"/>
        <w:rPr>
          <w:rFonts w:asciiTheme="majorHAnsi" w:hAnsiTheme="majorHAnsi"/>
        </w:rPr>
      </w:pPr>
    </w:p>
  </w:footnote>
  <w:footnote w:id="49">
    <w:p w14:paraId="4992880B" w14:textId="77777777" w:rsidR="004338F6" w:rsidRPr="00B11796" w:rsidRDefault="004338F6" w:rsidP="004738C5">
      <w:pPr>
        <w:pStyle w:val="FootnoteText"/>
        <w:jc w:val="both"/>
        <w:rPr>
          <w:rFonts w:asciiTheme="majorHAnsi" w:hAnsiTheme="majorHAnsi"/>
          <w:lang w:val="en-GB"/>
        </w:rPr>
      </w:pPr>
      <w:r w:rsidRPr="00B11796">
        <w:rPr>
          <w:rStyle w:val="FootnoteReference"/>
          <w:rFonts w:asciiTheme="majorHAnsi" w:hAnsiTheme="majorHAnsi"/>
        </w:rPr>
        <w:footnoteRef/>
      </w:r>
      <w:r w:rsidRPr="00B11796">
        <w:rPr>
          <w:rFonts w:asciiTheme="majorHAnsi" w:hAnsiTheme="majorHAnsi"/>
        </w:rPr>
        <w:t xml:space="preserve"> </w:t>
      </w:r>
      <w:r w:rsidRPr="00B11796">
        <w:rPr>
          <w:rFonts w:asciiTheme="majorHAnsi" w:hAnsiTheme="majorHAnsi"/>
          <w:lang w:val="en-GB"/>
        </w:rPr>
        <w:t xml:space="preserve">Financial Action Task Force </w:t>
      </w:r>
      <w:r w:rsidRPr="00B11796">
        <w:rPr>
          <w:rFonts w:asciiTheme="majorHAnsi" w:hAnsiTheme="majorHAnsi"/>
          <w:i/>
          <w:lang w:val="en-GB"/>
        </w:rPr>
        <w:t>Financial Action Task Force Recommendations</w:t>
      </w:r>
      <w:r w:rsidRPr="00B11796">
        <w:rPr>
          <w:rFonts w:asciiTheme="majorHAnsi" w:hAnsiTheme="majorHAnsi"/>
          <w:lang w:val="en-GB"/>
        </w:rPr>
        <w:t xml:space="preserve"> (Financial Action Task Force: Paris, 2012).</w:t>
      </w:r>
    </w:p>
  </w:footnote>
  <w:footnote w:id="50">
    <w:p w14:paraId="1579DD33" w14:textId="20DF309B" w:rsidR="004338F6" w:rsidRPr="00B11796" w:rsidRDefault="004338F6" w:rsidP="004738C5">
      <w:pPr>
        <w:jc w:val="both"/>
        <w:rPr>
          <w:rFonts w:asciiTheme="majorHAnsi" w:hAnsiTheme="majorHAnsi"/>
          <w:sz w:val="20"/>
          <w:lang w:eastAsia="en-GB" w:bidi="ar-SA"/>
        </w:rPr>
      </w:pPr>
      <w:r w:rsidRPr="00B11796">
        <w:rPr>
          <w:rStyle w:val="FootnoteReference"/>
          <w:rFonts w:asciiTheme="majorHAnsi" w:hAnsiTheme="majorHAnsi"/>
          <w:sz w:val="20"/>
        </w:rPr>
        <w:footnoteRef/>
      </w:r>
      <w:r w:rsidRPr="00B11796">
        <w:rPr>
          <w:rFonts w:asciiTheme="majorHAnsi" w:hAnsiTheme="majorHAnsi"/>
          <w:sz w:val="20"/>
        </w:rPr>
        <w:t xml:space="preserve"> </w:t>
      </w:r>
      <w:r w:rsidRPr="00B11796">
        <w:rPr>
          <w:rFonts w:asciiTheme="majorHAnsi" w:hAnsiTheme="majorHAnsi"/>
          <w:sz w:val="20"/>
          <w:lang w:eastAsia="en-GB" w:bidi="ar-SA"/>
        </w:rPr>
        <w:t>Kaetzler, J. and Kordys, T. ‘</w:t>
      </w:r>
      <w:r w:rsidRPr="00B11796">
        <w:rPr>
          <w:rFonts w:asciiTheme="majorHAnsi" w:hAnsiTheme="majorHAnsi"/>
          <w:bCs/>
          <w:sz w:val="20"/>
          <w:lang w:eastAsia="en-GB" w:bidi="ar-SA"/>
        </w:rPr>
        <w:t xml:space="preserve">Fourth Money Laundering Directive: increased risk management requirements’ (2015) </w:t>
      </w:r>
      <w:r w:rsidRPr="00B11796">
        <w:rPr>
          <w:rFonts w:asciiTheme="majorHAnsi" w:hAnsiTheme="majorHAnsi"/>
          <w:sz w:val="20"/>
          <w:lang w:eastAsia="en-GB" w:bidi="ar-SA"/>
        </w:rPr>
        <w:t xml:space="preserve">Comp. &amp; Risk, 4(5), 2-5 </w:t>
      </w:r>
    </w:p>
  </w:footnote>
  <w:footnote w:id="51">
    <w:p w14:paraId="7F27A0C6" w14:textId="5BFED460" w:rsidR="004338F6" w:rsidRPr="00B11796" w:rsidRDefault="004338F6" w:rsidP="004738C5">
      <w:pPr>
        <w:pStyle w:val="center3"/>
        <w:jc w:val="both"/>
        <w:rPr>
          <w:rFonts w:asciiTheme="majorHAnsi" w:hAnsiTheme="majorHAnsi"/>
          <w:sz w:val="20"/>
          <w:szCs w:val="20"/>
        </w:rPr>
      </w:pPr>
      <w:r w:rsidRPr="00B11796">
        <w:rPr>
          <w:rStyle w:val="FootnoteReference"/>
          <w:rFonts w:asciiTheme="majorHAnsi" w:hAnsiTheme="majorHAnsi"/>
          <w:sz w:val="20"/>
          <w:szCs w:val="20"/>
        </w:rPr>
        <w:footnoteRef/>
      </w:r>
      <w:r w:rsidRPr="00B11796">
        <w:rPr>
          <w:rFonts w:asciiTheme="majorHAnsi" w:hAnsiTheme="majorHAnsi"/>
          <w:sz w:val="20"/>
          <w:szCs w:val="20"/>
        </w:rPr>
        <w:t xml:space="preserve"> ibid</w:t>
      </w:r>
    </w:p>
    <w:p w14:paraId="2E4FD56D" w14:textId="77777777" w:rsidR="004338F6" w:rsidRPr="00B11796" w:rsidRDefault="004338F6" w:rsidP="004738C5">
      <w:pPr>
        <w:pStyle w:val="FootnoteText"/>
        <w:jc w:val="both"/>
        <w:rPr>
          <w:rFonts w:asciiTheme="majorHAnsi" w:hAnsiTheme="majorHAnsi"/>
          <w:lang w:val="en-GB"/>
        </w:rPr>
      </w:pPr>
    </w:p>
  </w:footnote>
  <w:footnote w:id="52">
    <w:p w14:paraId="7DAD17E1" w14:textId="77777777" w:rsidR="004338F6" w:rsidRPr="00B11796" w:rsidRDefault="004338F6" w:rsidP="004738C5">
      <w:pPr>
        <w:pStyle w:val="center3"/>
        <w:jc w:val="both"/>
        <w:rPr>
          <w:rFonts w:asciiTheme="majorHAnsi" w:hAnsiTheme="majorHAnsi"/>
          <w:sz w:val="20"/>
          <w:szCs w:val="20"/>
        </w:rPr>
      </w:pPr>
      <w:r w:rsidRPr="00B11796">
        <w:rPr>
          <w:rStyle w:val="FootnoteReference"/>
          <w:rFonts w:asciiTheme="majorHAnsi" w:hAnsiTheme="majorHAnsi"/>
          <w:sz w:val="20"/>
          <w:szCs w:val="20"/>
        </w:rPr>
        <w:footnoteRef/>
      </w:r>
      <w:r w:rsidRPr="00B11796">
        <w:rPr>
          <w:rFonts w:asciiTheme="majorHAnsi" w:hAnsiTheme="majorHAnsi"/>
          <w:sz w:val="20"/>
          <w:szCs w:val="20"/>
        </w:rPr>
        <w:t xml:space="preserve"> ibid</w:t>
      </w:r>
    </w:p>
    <w:p w14:paraId="747A0B4C" w14:textId="77777777" w:rsidR="004338F6" w:rsidRPr="00B11796" w:rsidRDefault="004338F6" w:rsidP="004738C5">
      <w:pPr>
        <w:pStyle w:val="FootnoteText"/>
        <w:rPr>
          <w:rFonts w:asciiTheme="majorHAnsi" w:hAnsiTheme="majorHAnsi"/>
          <w:lang w:val="en-GB"/>
        </w:rPr>
      </w:pPr>
    </w:p>
  </w:footnote>
  <w:footnote w:id="53">
    <w:p w14:paraId="0910467E" w14:textId="092A8F6C" w:rsidR="004338F6" w:rsidRPr="00B11796" w:rsidRDefault="004338F6" w:rsidP="004738C5">
      <w:pPr>
        <w:pStyle w:val="FootnoteText"/>
        <w:rPr>
          <w:rFonts w:asciiTheme="majorHAnsi" w:hAnsiTheme="majorHAnsi"/>
          <w:lang w:val="en-GB"/>
        </w:rPr>
      </w:pPr>
      <w:r w:rsidRPr="00B11796">
        <w:rPr>
          <w:rStyle w:val="FootnoteReference"/>
          <w:rFonts w:asciiTheme="majorHAnsi" w:hAnsiTheme="majorHAnsi"/>
        </w:rPr>
        <w:footnoteRef/>
      </w:r>
      <w:r w:rsidRPr="00B11796">
        <w:rPr>
          <w:rFonts w:asciiTheme="majorHAnsi" w:hAnsiTheme="majorHAnsi"/>
        </w:rPr>
        <w:t xml:space="preserve"> S </w:t>
      </w:r>
      <w:r w:rsidRPr="00B11796">
        <w:rPr>
          <w:rFonts w:asciiTheme="majorHAnsi" w:hAnsiTheme="majorHAnsi"/>
          <w:lang w:val="en-GB"/>
        </w:rPr>
        <w:t>Cogman, ‘The devil is in the detail: the Fourth Money Laundering Directive in practice (2014) Journal of International Banking and Financial Law, 29(5), 308</w:t>
      </w:r>
    </w:p>
  </w:footnote>
  <w:footnote w:id="54">
    <w:p w14:paraId="506D0832" w14:textId="68BAE3D7" w:rsidR="004338F6" w:rsidRPr="00B11796" w:rsidRDefault="004338F6" w:rsidP="00921DF8">
      <w:pPr>
        <w:widowControl w:val="0"/>
        <w:autoSpaceDE w:val="0"/>
        <w:autoSpaceDN w:val="0"/>
        <w:adjustRightInd w:val="0"/>
        <w:rPr>
          <w:rFonts w:asciiTheme="majorHAnsi" w:hAnsiTheme="majorHAnsi"/>
          <w:sz w:val="20"/>
          <w:lang w:val="en-US" w:eastAsia="en-US" w:bidi="ar-SA"/>
        </w:rPr>
      </w:pPr>
      <w:r w:rsidRPr="00B11796">
        <w:rPr>
          <w:rStyle w:val="FootnoteReference"/>
          <w:rFonts w:asciiTheme="majorHAnsi" w:hAnsiTheme="majorHAnsi"/>
          <w:sz w:val="20"/>
        </w:rPr>
        <w:footnoteRef/>
      </w:r>
      <w:r w:rsidRPr="00B11796">
        <w:rPr>
          <w:rFonts w:asciiTheme="majorHAnsi" w:hAnsiTheme="majorHAnsi"/>
          <w:sz w:val="20"/>
        </w:rPr>
        <w:t xml:space="preserve"> E Herlin Karnell, </w:t>
      </w:r>
      <w:r w:rsidRPr="00B11796">
        <w:rPr>
          <w:rFonts w:asciiTheme="majorHAnsi" w:hAnsiTheme="majorHAnsi"/>
          <w:sz w:val="20"/>
          <w:lang w:val="en-US" w:eastAsia="en-US" w:bidi="ar-SA"/>
        </w:rPr>
        <w:t>The Constitutional Dimension of European Criminal Law (Hart 2012), ch 5.</w:t>
      </w:r>
    </w:p>
  </w:footnote>
  <w:footnote w:id="55">
    <w:p w14:paraId="01E03764" w14:textId="77777777" w:rsidR="004338F6" w:rsidRPr="00B11796" w:rsidRDefault="004338F6" w:rsidP="004738C5">
      <w:pPr>
        <w:pStyle w:val="FootnoteText"/>
        <w:rPr>
          <w:rFonts w:asciiTheme="majorHAnsi" w:hAnsiTheme="majorHAnsi"/>
        </w:rPr>
      </w:pPr>
      <w:r w:rsidRPr="00B11796">
        <w:rPr>
          <w:rStyle w:val="FootnoteReference"/>
          <w:rFonts w:asciiTheme="majorHAnsi" w:hAnsiTheme="majorHAnsi"/>
        </w:rPr>
        <w:footnoteRef/>
      </w:r>
      <w:r w:rsidRPr="00B11796">
        <w:rPr>
          <w:rFonts w:asciiTheme="majorHAnsi" w:hAnsiTheme="majorHAnsi"/>
        </w:rPr>
        <w:t xml:space="preserve"> R. Booth, S. Farrell, G. Bastable and N Yeo. </w:t>
      </w:r>
      <w:r w:rsidRPr="00B11796">
        <w:rPr>
          <w:rFonts w:asciiTheme="majorHAnsi" w:hAnsiTheme="majorHAnsi"/>
          <w:i/>
        </w:rPr>
        <w:t>Money laundering law and regulation</w:t>
      </w:r>
      <w:r w:rsidRPr="00B11796">
        <w:rPr>
          <w:rFonts w:asciiTheme="majorHAnsi" w:hAnsiTheme="majorHAnsi"/>
        </w:rPr>
        <w:t>, Oxford: Oxford University Press, 2010, p.206.</w:t>
      </w:r>
    </w:p>
  </w:footnote>
  <w:footnote w:id="56">
    <w:p w14:paraId="11B9A6E9" w14:textId="77777777" w:rsidR="004338F6" w:rsidRPr="00B11796" w:rsidRDefault="004338F6" w:rsidP="004738C5">
      <w:pPr>
        <w:pStyle w:val="FootnoteText"/>
        <w:rPr>
          <w:rFonts w:asciiTheme="majorHAnsi" w:hAnsiTheme="majorHAnsi"/>
        </w:rPr>
      </w:pPr>
      <w:r w:rsidRPr="00B11796">
        <w:rPr>
          <w:rStyle w:val="FootnoteReference"/>
          <w:rFonts w:asciiTheme="majorHAnsi" w:hAnsiTheme="majorHAnsi"/>
        </w:rPr>
        <w:footnoteRef/>
      </w:r>
      <w:r w:rsidRPr="00B11796">
        <w:rPr>
          <w:rFonts w:asciiTheme="majorHAnsi" w:hAnsiTheme="majorHAnsi"/>
        </w:rPr>
        <w:t xml:space="preserve"> Financial Action Task Force, </w:t>
      </w:r>
      <w:r w:rsidRPr="00B11796">
        <w:rPr>
          <w:rFonts w:asciiTheme="majorHAnsi" w:hAnsiTheme="majorHAnsi"/>
          <w:i/>
        </w:rPr>
        <w:t>Guidance on the risk-based approach to combating money laundering and terrorist financing – high level principles and procedures</w:t>
      </w:r>
      <w:r w:rsidRPr="00B11796">
        <w:rPr>
          <w:rFonts w:asciiTheme="majorHAnsi" w:hAnsiTheme="majorHAnsi"/>
        </w:rPr>
        <w:t>, Paris: Financial Action Task Force, 2007, p. 2.</w:t>
      </w:r>
    </w:p>
  </w:footnote>
  <w:footnote w:id="57">
    <w:p w14:paraId="1A44F93D" w14:textId="77777777" w:rsidR="004338F6" w:rsidRPr="00B11796" w:rsidRDefault="004338F6" w:rsidP="004738C5">
      <w:pPr>
        <w:pStyle w:val="FootnoteText"/>
        <w:rPr>
          <w:rFonts w:asciiTheme="majorHAnsi" w:hAnsiTheme="majorHAnsi"/>
        </w:rPr>
      </w:pPr>
      <w:r w:rsidRPr="00B11796">
        <w:rPr>
          <w:rStyle w:val="FootnoteReference"/>
          <w:rFonts w:asciiTheme="majorHAnsi" w:hAnsiTheme="majorHAnsi"/>
        </w:rPr>
        <w:footnoteRef/>
      </w:r>
      <w:r w:rsidRPr="00B11796">
        <w:rPr>
          <w:rFonts w:asciiTheme="majorHAnsi" w:hAnsiTheme="majorHAnsi"/>
        </w:rPr>
        <w:t xml:space="preserve"> This includes for example guidance for the financial sector, accountants, the legal profession and casinos.</w:t>
      </w:r>
    </w:p>
  </w:footnote>
  <w:footnote w:id="58">
    <w:p w14:paraId="239BBAEA" w14:textId="1826BA4E" w:rsidR="004338F6" w:rsidRPr="00B11796" w:rsidRDefault="004338F6">
      <w:pPr>
        <w:pStyle w:val="FootnoteText"/>
        <w:rPr>
          <w:rFonts w:asciiTheme="majorHAnsi" w:hAnsiTheme="majorHAnsi"/>
          <w:lang w:val="en-GB"/>
        </w:rPr>
      </w:pPr>
      <w:r w:rsidRPr="00B11796">
        <w:rPr>
          <w:rStyle w:val="FootnoteReference"/>
          <w:rFonts w:asciiTheme="majorHAnsi" w:hAnsiTheme="majorHAnsi"/>
        </w:rPr>
        <w:footnoteRef/>
      </w:r>
      <w:r w:rsidRPr="00B11796">
        <w:rPr>
          <w:rFonts w:asciiTheme="majorHAnsi" w:hAnsiTheme="majorHAnsi"/>
        </w:rPr>
        <w:t xml:space="preserve"> </w:t>
      </w:r>
      <w:r w:rsidRPr="00B11796">
        <w:rPr>
          <w:rFonts w:asciiTheme="majorHAnsi" w:hAnsiTheme="majorHAnsi"/>
          <w:lang w:val="en-GB"/>
        </w:rPr>
        <w:t xml:space="preserve">Financial Action Task Force, </w:t>
      </w:r>
      <w:r w:rsidRPr="00B11796">
        <w:rPr>
          <w:rFonts w:asciiTheme="majorHAnsi" w:hAnsiTheme="majorHAnsi"/>
          <w:i/>
          <w:lang w:val="en-GB"/>
        </w:rPr>
        <w:t>International Standards on Combating Money Laundering and the Financing of Terrorism: The FATF Recommendations</w:t>
      </w:r>
      <w:r w:rsidRPr="00B11796">
        <w:rPr>
          <w:rFonts w:asciiTheme="majorHAnsi" w:hAnsiTheme="majorHAnsi"/>
          <w:lang w:val="en-GB"/>
        </w:rPr>
        <w:t>, Paris, Financial Action Task Force, 2012, p. 59.</w:t>
      </w:r>
    </w:p>
  </w:footnote>
  <w:footnote w:id="59">
    <w:p w14:paraId="631A534D" w14:textId="77777777" w:rsidR="004338F6" w:rsidRPr="00B11796" w:rsidRDefault="004338F6" w:rsidP="004738C5">
      <w:pPr>
        <w:jc w:val="both"/>
        <w:outlineLvl w:val="1"/>
        <w:rPr>
          <w:rFonts w:asciiTheme="majorHAnsi" w:hAnsiTheme="majorHAnsi"/>
          <w:sz w:val="20"/>
        </w:rPr>
      </w:pPr>
      <w:r w:rsidRPr="00B11796">
        <w:rPr>
          <w:rStyle w:val="FootnoteReference"/>
          <w:rFonts w:asciiTheme="majorHAnsi" w:hAnsiTheme="majorHAnsi"/>
          <w:sz w:val="20"/>
        </w:rPr>
        <w:footnoteRef/>
      </w:r>
      <w:r w:rsidRPr="00B11796">
        <w:rPr>
          <w:rFonts w:asciiTheme="majorHAnsi" w:hAnsiTheme="majorHAnsi"/>
          <w:sz w:val="20"/>
        </w:rPr>
        <w:t xml:space="preserve"> </w:t>
      </w:r>
      <w:r w:rsidRPr="00B11796">
        <w:rPr>
          <w:rFonts w:asciiTheme="majorHAnsi" w:eastAsia="Calibri" w:hAnsiTheme="majorHAnsi"/>
          <w:sz w:val="20"/>
        </w:rPr>
        <w:t>Leong above, n 82 at 147.</w:t>
      </w:r>
    </w:p>
  </w:footnote>
  <w:footnote w:id="60">
    <w:p w14:paraId="03FAAF61" w14:textId="77777777" w:rsidR="004338F6" w:rsidRPr="00B11796" w:rsidRDefault="004338F6" w:rsidP="004738C5">
      <w:pPr>
        <w:jc w:val="both"/>
        <w:outlineLvl w:val="1"/>
        <w:rPr>
          <w:rFonts w:asciiTheme="majorHAnsi" w:hAnsiTheme="majorHAnsi"/>
          <w:sz w:val="20"/>
        </w:rPr>
      </w:pPr>
      <w:r w:rsidRPr="00B11796">
        <w:rPr>
          <w:rStyle w:val="FootnoteReference"/>
          <w:rFonts w:asciiTheme="majorHAnsi" w:hAnsiTheme="majorHAnsi"/>
          <w:sz w:val="20"/>
        </w:rPr>
        <w:footnoteRef/>
      </w:r>
      <w:r w:rsidRPr="00B11796">
        <w:rPr>
          <w:rFonts w:asciiTheme="majorHAnsi" w:hAnsiTheme="majorHAnsi"/>
          <w:sz w:val="20"/>
        </w:rPr>
        <w:t xml:space="preserve"> L. De Koker, ‘</w:t>
      </w:r>
      <w:r w:rsidRPr="00B11796">
        <w:rPr>
          <w:rFonts w:asciiTheme="majorHAnsi" w:hAnsiTheme="majorHAnsi"/>
          <w:bCs/>
          <w:sz w:val="20"/>
        </w:rPr>
        <w:t xml:space="preserve">Identifying and managing low money laundering risk: perspectives on FATF's risk-based guidance’, </w:t>
      </w:r>
      <w:r w:rsidRPr="00B11796">
        <w:rPr>
          <w:rFonts w:asciiTheme="majorHAnsi" w:hAnsiTheme="majorHAnsi"/>
          <w:bCs/>
          <w:i/>
          <w:sz w:val="20"/>
        </w:rPr>
        <w:t>Journal of Financial Crime</w:t>
      </w:r>
      <w:r w:rsidRPr="00B11796">
        <w:rPr>
          <w:rFonts w:asciiTheme="majorHAnsi" w:hAnsiTheme="majorHAnsi"/>
          <w:bCs/>
          <w:sz w:val="20"/>
        </w:rPr>
        <w:t>, 2008, 1</w:t>
      </w:r>
      <w:r w:rsidRPr="00B11796">
        <w:rPr>
          <w:rFonts w:asciiTheme="majorHAnsi" w:hAnsiTheme="majorHAnsi"/>
          <w:sz w:val="20"/>
        </w:rPr>
        <w:t>6(4), 334-352.</w:t>
      </w:r>
    </w:p>
  </w:footnote>
  <w:footnote w:id="61">
    <w:p w14:paraId="4326E020" w14:textId="77777777" w:rsidR="004338F6" w:rsidRPr="00B11796" w:rsidRDefault="004338F6" w:rsidP="004738C5">
      <w:pPr>
        <w:jc w:val="both"/>
        <w:outlineLvl w:val="1"/>
        <w:rPr>
          <w:rFonts w:asciiTheme="majorHAnsi" w:hAnsiTheme="majorHAnsi"/>
          <w:b/>
          <w:bCs/>
          <w:kern w:val="36"/>
          <w:sz w:val="20"/>
        </w:rPr>
      </w:pPr>
      <w:r w:rsidRPr="00B11796">
        <w:rPr>
          <w:rStyle w:val="FootnoteReference"/>
          <w:rFonts w:asciiTheme="majorHAnsi" w:hAnsiTheme="majorHAnsi"/>
          <w:sz w:val="20"/>
        </w:rPr>
        <w:footnoteRef/>
      </w:r>
      <w:r w:rsidRPr="00B11796">
        <w:rPr>
          <w:rFonts w:asciiTheme="majorHAnsi" w:hAnsiTheme="majorHAnsi"/>
          <w:sz w:val="20"/>
        </w:rPr>
        <w:t xml:space="preserve"> Snowdon and Lovegrove above, n 34 at 3.</w:t>
      </w:r>
    </w:p>
  </w:footnote>
  <w:footnote w:id="62">
    <w:p w14:paraId="4570F4D4" w14:textId="77777777" w:rsidR="004338F6" w:rsidRPr="00B11796" w:rsidRDefault="004338F6" w:rsidP="004738C5">
      <w:pPr>
        <w:pStyle w:val="FootnoteText"/>
        <w:jc w:val="both"/>
        <w:rPr>
          <w:rFonts w:asciiTheme="majorHAnsi" w:hAnsiTheme="majorHAnsi"/>
          <w:i/>
        </w:rPr>
      </w:pPr>
      <w:r w:rsidRPr="00B11796">
        <w:rPr>
          <w:rStyle w:val="FootnoteReference"/>
          <w:rFonts w:asciiTheme="majorHAnsi" w:hAnsiTheme="majorHAnsi"/>
          <w:i/>
        </w:rPr>
        <w:footnoteRef/>
      </w:r>
      <w:r w:rsidRPr="00B11796">
        <w:rPr>
          <w:rFonts w:asciiTheme="majorHAnsi" w:hAnsiTheme="majorHAnsi"/>
          <w:i/>
        </w:rPr>
        <w:t xml:space="preserve"> </w:t>
      </w:r>
      <w:r w:rsidRPr="00B11796">
        <w:rPr>
          <w:rStyle w:val="Emphasis"/>
          <w:rFonts w:asciiTheme="majorHAnsi" w:hAnsiTheme="majorHAnsi"/>
        </w:rPr>
        <w:t>Basel Committee on Banking Supervision Customer Due Diligence for Banks, Basel: Basel Committee on Banking Supervision, 2001, section 2.2.4.</w:t>
      </w:r>
    </w:p>
  </w:footnote>
  <w:footnote w:id="63">
    <w:p w14:paraId="695C25FE" w14:textId="76B57197" w:rsidR="004338F6" w:rsidRPr="00B11796" w:rsidRDefault="004338F6">
      <w:pPr>
        <w:pStyle w:val="FootnoteText"/>
        <w:rPr>
          <w:rFonts w:asciiTheme="majorHAnsi" w:hAnsiTheme="majorHAnsi"/>
          <w:lang w:val="en-GB"/>
        </w:rPr>
      </w:pPr>
      <w:r w:rsidRPr="00B11796">
        <w:rPr>
          <w:rStyle w:val="FootnoteReference"/>
          <w:rFonts w:asciiTheme="majorHAnsi" w:hAnsiTheme="majorHAnsi"/>
        </w:rPr>
        <w:footnoteRef/>
      </w:r>
      <w:r w:rsidRPr="00B11796">
        <w:rPr>
          <w:rFonts w:asciiTheme="majorHAnsi" w:hAnsiTheme="majorHAnsi"/>
        </w:rPr>
        <w:t xml:space="preserve"> International Association of Insurance Supervisors, </w:t>
      </w:r>
      <w:r w:rsidRPr="00B11796">
        <w:rPr>
          <w:rFonts w:asciiTheme="majorHAnsi" w:hAnsiTheme="majorHAnsi"/>
          <w:i/>
        </w:rPr>
        <w:t>Guidance paper on anti-money laundering and combating the financing of terrorism</w:t>
      </w:r>
      <w:r w:rsidRPr="00B11796">
        <w:rPr>
          <w:rFonts w:asciiTheme="majorHAnsi" w:hAnsiTheme="majorHAnsi"/>
        </w:rPr>
        <w:t>, Basel: International Association of Insurance Supervisors, 2004.</w:t>
      </w:r>
    </w:p>
  </w:footnote>
  <w:footnote w:id="64">
    <w:p w14:paraId="1253DE95" w14:textId="77777777" w:rsidR="004338F6" w:rsidRPr="00B11796" w:rsidRDefault="004338F6" w:rsidP="004738C5">
      <w:pPr>
        <w:pStyle w:val="Default"/>
        <w:jc w:val="both"/>
        <w:rPr>
          <w:rFonts w:asciiTheme="majorHAnsi" w:hAnsiTheme="majorHAnsi"/>
          <w:sz w:val="20"/>
          <w:szCs w:val="20"/>
        </w:rPr>
      </w:pPr>
      <w:r w:rsidRPr="00B11796">
        <w:rPr>
          <w:rStyle w:val="FootnoteReference"/>
          <w:rFonts w:asciiTheme="majorHAnsi" w:hAnsiTheme="majorHAnsi"/>
          <w:sz w:val="20"/>
          <w:szCs w:val="20"/>
        </w:rPr>
        <w:footnoteRef/>
      </w:r>
      <w:r w:rsidRPr="00B11796">
        <w:rPr>
          <w:rFonts w:asciiTheme="majorHAnsi" w:hAnsiTheme="majorHAnsi"/>
          <w:sz w:val="20"/>
          <w:szCs w:val="20"/>
        </w:rPr>
        <w:t xml:space="preserve"> </w:t>
      </w:r>
      <w:r w:rsidRPr="00B11796">
        <w:rPr>
          <w:rFonts w:asciiTheme="majorHAnsi" w:hAnsiTheme="majorHAnsi"/>
          <w:bCs/>
          <w:sz w:val="20"/>
          <w:szCs w:val="20"/>
        </w:rPr>
        <w:t xml:space="preserve">The International Organization of Securities Commissions, </w:t>
      </w:r>
      <w:r w:rsidRPr="00B11796">
        <w:rPr>
          <w:rFonts w:asciiTheme="majorHAnsi" w:eastAsia="Calibri" w:hAnsiTheme="majorHAnsi"/>
          <w:bCs/>
          <w:i/>
          <w:sz w:val="20"/>
          <w:szCs w:val="20"/>
        </w:rPr>
        <w:t>Objectives and Principles of Securities Regulation</w:t>
      </w:r>
      <w:r w:rsidRPr="00B11796">
        <w:rPr>
          <w:rFonts w:asciiTheme="majorHAnsi" w:eastAsia="Calibri" w:hAnsiTheme="majorHAnsi"/>
          <w:bCs/>
          <w:sz w:val="20"/>
          <w:szCs w:val="20"/>
        </w:rPr>
        <w:t xml:space="preserve">, Madrid: </w:t>
      </w:r>
      <w:r w:rsidRPr="00B11796">
        <w:rPr>
          <w:rFonts w:asciiTheme="majorHAnsi" w:hAnsiTheme="majorHAnsi"/>
          <w:bCs/>
          <w:sz w:val="20"/>
          <w:szCs w:val="20"/>
        </w:rPr>
        <w:t>The International Organization of Securities Commissions, 2002.</w:t>
      </w:r>
    </w:p>
  </w:footnote>
  <w:footnote w:id="65">
    <w:p w14:paraId="2916C95F" w14:textId="67C16306" w:rsidR="004338F6" w:rsidRPr="00B11796" w:rsidRDefault="004338F6" w:rsidP="0080376C">
      <w:pPr>
        <w:pStyle w:val="Default"/>
        <w:rPr>
          <w:rFonts w:asciiTheme="majorHAnsi" w:eastAsiaTheme="minorEastAsia" w:hAnsiTheme="majorHAnsi" w:cs="EUAlbertina"/>
          <w:sz w:val="20"/>
          <w:szCs w:val="20"/>
        </w:rPr>
      </w:pPr>
      <w:r w:rsidRPr="00B11796">
        <w:rPr>
          <w:rStyle w:val="FootnoteReference"/>
          <w:rFonts w:asciiTheme="majorHAnsi" w:hAnsiTheme="majorHAnsi"/>
          <w:sz w:val="20"/>
          <w:szCs w:val="20"/>
        </w:rPr>
        <w:footnoteRef/>
      </w:r>
      <w:r w:rsidRPr="00B11796">
        <w:rPr>
          <w:rFonts w:asciiTheme="majorHAnsi" w:hAnsiTheme="majorHAnsi"/>
          <w:sz w:val="20"/>
          <w:szCs w:val="20"/>
        </w:rPr>
        <w:t xml:space="preserve"> Council decision, </w:t>
      </w:r>
      <w:r w:rsidRPr="00B11796">
        <w:rPr>
          <w:rFonts w:asciiTheme="majorHAnsi" w:eastAsiaTheme="minorEastAsia" w:hAnsiTheme="majorHAnsi" w:cs="EUAlbertina"/>
          <w:bCs/>
          <w:sz w:val="20"/>
          <w:szCs w:val="20"/>
        </w:rPr>
        <w:t xml:space="preserve">establishing the European Police Office (Europol) </w:t>
      </w:r>
    </w:p>
    <w:p w14:paraId="29DE25ED" w14:textId="6A38156E" w:rsidR="004338F6" w:rsidRPr="00B11796" w:rsidRDefault="004338F6" w:rsidP="0080376C">
      <w:pPr>
        <w:pStyle w:val="FootnoteText"/>
        <w:rPr>
          <w:rFonts w:asciiTheme="majorHAnsi" w:hAnsiTheme="majorHAnsi"/>
        </w:rPr>
      </w:pPr>
      <w:r w:rsidRPr="00B11796">
        <w:rPr>
          <w:rFonts w:asciiTheme="majorHAnsi" w:eastAsiaTheme="minorEastAsia" w:hAnsiTheme="majorHAnsi" w:cs="EUAlbertina"/>
          <w:color w:val="000000"/>
          <w:lang w:eastAsia="en-US" w:bidi="ar-SA"/>
        </w:rPr>
        <w:t>(2009/371/JHA)</w:t>
      </w:r>
    </w:p>
  </w:footnote>
  <w:footnote w:id="66">
    <w:p w14:paraId="368EC1E9" w14:textId="486E184C" w:rsidR="004338F6" w:rsidRPr="00B11796" w:rsidRDefault="004338F6" w:rsidP="004738C5">
      <w:pPr>
        <w:pStyle w:val="FootnoteText"/>
        <w:spacing w:after="160"/>
        <w:jc w:val="both"/>
        <w:rPr>
          <w:rFonts w:asciiTheme="majorHAnsi" w:hAnsiTheme="majorHAnsi"/>
        </w:rPr>
      </w:pPr>
      <w:r w:rsidRPr="00B11796">
        <w:rPr>
          <w:rStyle w:val="FootnoteReference"/>
          <w:rFonts w:asciiTheme="majorHAnsi" w:hAnsiTheme="majorHAnsi"/>
        </w:rPr>
        <w:footnoteRef/>
      </w:r>
      <w:r w:rsidRPr="00B11796">
        <w:rPr>
          <w:rFonts w:asciiTheme="majorHAnsi" w:hAnsiTheme="majorHAnsi"/>
        </w:rPr>
        <w:t xml:space="preserve"> C Matera, </w:t>
      </w:r>
      <w:r w:rsidRPr="00B11796">
        <w:rPr>
          <w:rFonts w:asciiTheme="majorHAnsi" w:hAnsiTheme="majorHAnsi"/>
          <w:i/>
        </w:rPr>
        <w:t>The Influence of International Organisations on the EU’s Area of Freedom, Security and Justice: A First Inquiry</w:t>
      </w:r>
      <w:r w:rsidRPr="00B11796">
        <w:rPr>
          <w:rFonts w:asciiTheme="majorHAnsi" w:hAnsiTheme="majorHAnsi"/>
        </w:rPr>
        <w:t xml:space="preserve">, </w:t>
      </w:r>
      <w:r w:rsidRPr="00B11796">
        <w:rPr>
          <w:rFonts w:asciiTheme="majorHAnsi" w:hAnsiTheme="majorHAnsi"/>
          <w:iCs/>
        </w:rPr>
        <w:t xml:space="preserve">in </w:t>
      </w:r>
      <w:r w:rsidRPr="00B11796">
        <w:rPr>
          <w:rStyle w:val="booksubtitle"/>
          <w:rFonts w:asciiTheme="majorHAnsi" w:hAnsiTheme="majorHAnsi"/>
        </w:rPr>
        <w:t xml:space="preserve">S Blockmans &amp; R Wessel (eds)., </w:t>
      </w:r>
      <w:r w:rsidRPr="00B11796">
        <w:rPr>
          <w:rFonts w:asciiTheme="majorHAnsi" w:eastAsia="Times" w:hAnsiTheme="majorHAnsi"/>
        </w:rPr>
        <w:t>Between autonomy and dependence</w:t>
      </w:r>
      <w:r w:rsidRPr="00B11796">
        <w:rPr>
          <w:rFonts w:asciiTheme="majorHAnsi" w:hAnsiTheme="majorHAnsi"/>
        </w:rPr>
        <w:t xml:space="preserve">: the EU legal order under the influence of international organisations </w:t>
      </w:r>
      <w:r w:rsidRPr="00B11796">
        <w:rPr>
          <w:rStyle w:val="booksubtitle"/>
          <w:rFonts w:asciiTheme="majorHAnsi" w:hAnsiTheme="majorHAnsi"/>
          <w:smallCaps/>
        </w:rPr>
        <w:t>269</w:t>
      </w:r>
      <w:r w:rsidRPr="00B11796">
        <w:rPr>
          <w:rFonts w:asciiTheme="majorHAnsi" w:hAnsiTheme="majorHAnsi"/>
          <w:iCs/>
        </w:rPr>
        <w:t xml:space="preserve"> </w:t>
      </w:r>
      <w:r w:rsidRPr="00B11796">
        <w:rPr>
          <w:rStyle w:val="booksubtitle"/>
          <w:rFonts w:asciiTheme="majorHAnsi" w:hAnsiTheme="majorHAnsi"/>
        </w:rPr>
        <w:t>Springer 2013.</w:t>
      </w:r>
    </w:p>
  </w:footnote>
  <w:footnote w:id="67">
    <w:p w14:paraId="7867A176" w14:textId="2DC4D589" w:rsidR="004338F6" w:rsidRPr="00B11796" w:rsidRDefault="004338F6" w:rsidP="004C13FA">
      <w:pPr>
        <w:rPr>
          <w:rFonts w:asciiTheme="majorHAnsi" w:hAnsiTheme="majorHAnsi"/>
          <w:sz w:val="20"/>
          <w:lang w:val="en-US" w:eastAsia="en-US" w:bidi="ar-SA"/>
        </w:rPr>
      </w:pPr>
      <w:r w:rsidRPr="00B11796">
        <w:rPr>
          <w:rStyle w:val="FootnoteReference"/>
          <w:rFonts w:asciiTheme="majorHAnsi" w:hAnsiTheme="majorHAnsi"/>
          <w:sz w:val="20"/>
        </w:rPr>
        <w:footnoteRef/>
      </w:r>
      <w:r w:rsidRPr="00B11796">
        <w:rPr>
          <w:rFonts w:asciiTheme="majorHAnsi" w:hAnsiTheme="majorHAnsi"/>
          <w:sz w:val="20"/>
        </w:rPr>
        <w:t xml:space="preserve"> </w:t>
      </w:r>
      <w:r w:rsidRPr="00B11796">
        <w:rPr>
          <w:rFonts w:asciiTheme="majorHAnsi" w:hAnsiTheme="majorHAnsi"/>
          <w:sz w:val="20"/>
          <w:lang w:val="en-US" w:eastAsia="en-US" w:bidi="ar-SA"/>
        </w:rPr>
        <w:t>9/56 and 10/56, Meroni &amp; Co., Industrie Metallurgiche s.p.a. v. High Authority</w:t>
      </w:r>
    </w:p>
    <w:p w14:paraId="3423357E" w14:textId="77777777" w:rsidR="004338F6" w:rsidRPr="00B11796" w:rsidRDefault="004338F6" w:rsidP="009B70F5">
      <w:pPr>
        <w:widowControl w:val="0"/>
        <w:autoSpaceDE w:val="0"/>
        <w:autoSpaceDN w:val="0"/>
        <w:adjustRightInd w:val="0"/>
        <w:rPr>
          <w:rFonts w:asciiTheme="majorHAnsi" w:eastAsiaTheme="minorEastAsia" w:hAnsiTheme="majorHAnsi"/>
          <w:sz w:val="20"/>
          <w:lang w:val="en-US" w:eastAsia="en-US" w:bidi="ar-SA"/>
        </w:rPr>
      </w:pPr>
      <w:r w:rsidRPr="00B11796">
        <w:rPr>
          <w:rFonts w:asciiTheme="majorHAnsi" w:hAnsiTheme="majorHAnsi"/>
          <w:sz w:val="20"/>
          <w:lang w:val="en-US" w:eastAsia="en-US" w:bidi="ar-SA"/>
        </w:rPr>
        <w:t xml:space="preserve">[1957-1958] ECR 133, </w:t>
      </w:r>
      <w:r w:rsidRPr="00B11796">
        <w:rPr>
          <w:rFonts w:asciiTheme="majorHAnsi" w:hAnsiTheme="majorHAnsi"/>
          <w:sz w:val="20"/>
        </w:rPr>
        <w:t xml:space="preserve">M </w:t>
      </w:r>
      <w:r w:rsidRPr="00B11796">
        <w:rPr>
          <w:rFonts w:asciiTheme="majorHAnsi" w:eastAsiaTheme="minorEastAsia" w:hAnsiTheme="majorHAnsi"/>
          <w:sz w:val="20"/>
          <w:lang w:val="en-US" w:eastAsia="en-US" w:bidi="ar-SA"/>
        </w:rPr>
        <w:t>Simoncini</w:t>
      </w:r>
      <w:r w:rsidRPr="00B11796">
        <w:rPr>
          <w:rFonts w:asciiTheme="majorHAnsi" w:hAnsiTheme="majorHAnsi"/>
          <w:sz w:val="20"/>
        </w:rPr>
        <w:t xml:space="preserve">, </w:t>
      </w:r>
      <w:r w:rsidRPr="00B11796">
        <w:rPr>
          <w:rFonts w:asciiTheme="majorHAnsi" w:eastAsiaTheme="minorEastAsia" w:hAnsiTheme="majorHAnsi"/>
          <w:sz w:val="20"/>
          <w:lang w:val="en-US" w:eastAsia="en-US" w:bidi="ar-SA"/>
        </w:rPr>
        <w:t>Legal Boundaries of European Supervisory Authorities (ESAs) in the Financial Markets Tensions in the Development of True Regulatory Agencies (2015) YEL 1-32, see also P Schammo, ‘EU day-to-day supervision or intervention-based supervision: Which way forward for the European system of financial</w:t>
      </w:r>
    </w:p>
    <w:p w14:paraId="3AAA2B9F" w14:textId="45C7EB4E" w:rsidR="004338F6" w:rsidRPr="00B11796" w:rsidRDefault="004338F6" w:rsidP="009B70F5">
      <w:pPr>
        <w:rPr>
          <w:rFonts w:asciiTheme="majorHAnsi" w:hAnsiTheme="majorHAnsi"/>
          <w:sz w:val="20"/>
          <w:lang w:val="en-US" w:eastAsia="en-US" w:bidi="ar-SA"/>
        </w:rPr>
      </w:pPr>
      <w:r w:rsidRPr="00B11796">
        <w:rPr>
          <w:rFonts w:asciiTheme="majorHAnsi" w:eastAsiaTheme="minorEastAsia" w:hAnsiTheme="majorHAnsi"/>
          <w:sz w:val="20"/>
          <w:lang w:eastAsia="en-US" w:bidi="ar-SA"/>
        </w:rPr>
        <w:t>supervision?’ (2012) 32 Oxford Journal of Legal Studies 771, 789</w:t>
      </w:r>
    </w:p>
    <w:p w14:paraId="39A6BD38" w14:textId="7AC5F87B" w:rsidR="004338F6" w:rsidRPr="00B11796" w:rsidRDefault="004338F6">
      <w:pPr>
        <w:pStyle w:val="FootnoteText"/>
        <w:rPr>
          <w:rFonts w:asciiTheme="majorHAnsi" w:hAnsiTheme="majorHAnsi"/>
        </w:rPr>
      </w:pPr>
    </w:p>
  </w:footnote>
  <w:footnote w:id="68">
    <w:p w14:paraId="7D6B3FC6" w14:textId="54997994" w:rsidR="004338F6" w:rsidRPr="00B11796" w:rsidRDefault="004338F6" w:rsidP="00D46F48">
      <w:pPr>
        <w:widowControl w:val="0"/>
        <w:autoSpaceDE w:val="0"/>
        <w:autoSpaceDN w:val="0"/>
        <w:adjustRightInd w:val="0"/>
        <w:rPr>
          <w:rFonts w:asciiTheme="majorHAnsi" w:eastAsiaTheme="minorEastAsia" w:hAnsiTheme="majorHAnsi"/>
          <w:sz w:val="20"/>
          <w:lang w:val="en-US" w:eastAsia="en-US" w:bidi="ar-SA"/>
        </w:rPr>
      </w:pPr>
      <w:r w:rsidRPr="00B11796">
        <w:rPr>
          <w:rStyle w:val="FootnoteReference"/>
          <w:rFonts w:asciiTheme="majorHAnsi" w:hAnsiTheme="majorHAnsi"/>
          <w:sz w:val="20"/>
        </w:rPr>
        <w:footnoteRef/>
      </w:r>
      <w:r w:rsidRPr="00B11796">
        <w:rPr>
          <w:rFonts w:asciiTheme="majorHAnsi" w:hAnsiTheme="majorHAnsi"/>
          <w:sz w:val="20"/>
        </w:rPr>
        <w:t xml:space="preserve"> </w:t>
      </w:r>
      <w:r w:rsidRPr="00B11796">
        <w:rPr>
          <w:rFonts w:asciiTheme="majorHAnsi" w:eastAsiaTheme="minorEastAsia" w:hAnsiTheme="majorHAnsi"/>
          <w:sz w:val="20"/>
          <w:lang w:val="en-US" w:eastAsia="en-US" w:bidi="ar-SA"/>
        </w:rPr>
        <w:t xml:space="preserve">C-270/12, UK v Council and </w:t>
      </w:r>
      <w:r w:rsidRPr="00B11796">
        <w:rPr>
          <w:rFonts w:asciiTheme="majorHAnsi" w:eastAsiaTheme="minorEastAsia" w:hAnsiTheme="majorHAnsi"/>
          <w:sz w:val="20"/>
          <w:lang w:eastAsia="en-US" w:bidi="ar-SA"/>
        </w:rPr>
        <w:t>European Parliament, nyr.</w:t>
      </w:r>
    </w:p>
  </w:footnote>
  <w:footnote w:id="69">
    <w:p w14:paraId="42F9C5D2" w14:textId="77777777" w:rsidR="004338F6" w:rsidRPr="00B11796" w:rsidRDefault="004338F6" w:rsidP="00792055">
      <w:pPr>
        <w:widowControl w:val="0"/>
        <w:autoSpaceDE w:val="0"/>
        <w:autoSpaceDN w:val="0"/>
        <w:adjustRightInd w:val="0"/>
        <w:rPr>
          <w:rFonts w:asciiTheme="majorHAnsi" w:eastAsiaTheme="minorEastAsia" w:hAnsiTheme="majorHAnsi"/>
          <w:sz w:val="20"/>
          <w:lang w:val="en-US" w:eastAsia="en-US" w:bidi="ar-SA"/>
        </w:rPr>
      </w:pPr>
      <w:r w:rsidRPr="00B11796">
        <w:rPr>
          <w:rStyle w:val="FootnoteReference"/>
          <w:rFonts w:asciiTheme="majorHAnsi" w:hAnsiTheme="majorHAnsi"/>
          <w:sz w:val="20"/>
        </w:rPr>
        <w:footnoteRef/>
      </w:r>
      <w:r w:rsidRPr="00B11796">
        <w:rPr>
          <w:rFonts w:asciiTheme="majorHAnsi" w:hAnsiTheme="majorHAnsi"/>
          <w:sz w:val="20"/>
        </w:rPr>
        <w:t xml:space="preserve"> </w:t>
      </w:r>
      <w:r w:rsidRPr="00B11796">
        <w:rPr>
          <w:rFonts w:asciiTheme="majorHAnsi" w:eastAsiaTheme="minorEastAsia" w:hAnsiTheme="majorHAnsi"/>
          <w:sz w:val="20"/>
          <w:lang w:val="en-US" w:eastAsia="en-US" w:bidi="ar-SA"/>
        </w:rPr>
        <w:t xml:space="preserve">C-270/12, UK v Council and </w:t>
      </w:r>
      <w:r w:rsidRPr="00B11796">
        <w:rPr>
          <w:rFonts w:asciiTheme="majorHAnsi" w:eastAsiaTheme="minorEastAsia" w:hAnsiTheme="majorHAnsi"/>
          <w:sz w:val="20"/>
          <w:lang w:eastAsia="en-US" w:bidi="ar-SA"/>
        </w:rPr>
        <w:t>European Parliament, nyr.</w:t>
      </w:r>
    </w:p>
  </w:footnote>
  <w:footnote w:id="70">
    <w:p w14:paraId="1DB1E1EF" w14:textId="77777777" w:rsidR="004338F6" w:rsidRPr="00B11796" w:rsidRDefault="004338F6" w:rsidP="004738C5">
      <w:pPr>
        <w:pStyle w:val="FootnoteText"/>
        <w:rPr>
          <w:rFonts w:asciiTheme="majorHAnsi" w:hAnsiTheme="majorHAnsi"/>
        </w:rPr>
      </w:pPr>
      <w:r w:rsidRPr="00B11796">
        <w:rPr>
          <w:rStyle w:val="FootnoteReference"/>
          <w:rFonts w:asciiTheme="majorHAnsi" w:hAnsiTheme="majorHAnsi"/>
        </w:rPr>
        <w:footnoteRef/>
      </w:r>
      <w:r w:rsidRPr="00B11796">
        <w:rPr>
          <w:rFonts w:asciiTheme="majorHAnsi" w:hAnsiTheme="majorHAnsi"/>
        </w:rPr>
        <w:t xml:space="preserve"> C Harlow &amp; R Rawlings, </w:t>
      </w:r>
      <w:r w:rsidRPr="00B11796">
        <w:rPr>
          <w:rFonts w:asciiTheme="majorHAnsi" w:hAnsiTheme="majorHAnsi"/>
          <w:i/>
        </w:rPr>
        <w:t>Process and Procedure in EU Administration</w:t>
      </w:r>
      <w:r w:rsidRPr="00B11796">
        <w:rPr>
          <w:rFonts w:asciiTheme="majorHAnsi" w:hAnsiTheme="majorHAnsi"/>
        </w:rPr>
        <w:t xml:space="preserve"> (Hart 2014) ch 10.</w:t>
      </w:r>
    </w:p>
  </w:footnote>
  <w:footnote w:id="71">
    <w:p w14:paraId="4C3562F1" w14:textId="77777777" w:rsidR="004338F6" w:rsidRPr="00B11796" w:rsidRDefault="004338F6" w:rsidP="004738C5">
      <w:pPr>
        <w:rPr>
          <w:rFonts w:asciiTheme="majorHAnsi" w:hAnsiTheme="majorHAnsi"/>
          <w:sz w:val="20"/>
          <w:lang w:val="en-US" w:eastAsia="en-US" w:bidi="ar-SA"/>
        </w:rPr>
      </w:pPr>
      <w:r w:rsidRPr="00B11796">
        <w:rPr>
          <w:rStyle w:val="FootnoteReference"/>
          <w:rFonts w:asciiTheme="majorHAnsi" w:hAnsiTheme="majorHAnsi"/>
          <w:sz w:val="20"/>
        </w:rPr>
        <w:footnoteRef/>
      </w:r>
      <w:r w:rsidRPr="00B11796">
        <w:rPr>
          <w:rFonts w:asciiTheme="majorHAnsi" w:hAnsiTheme="majorHAnsi"/>
          <w:sz w:val="20"/>
        </w:rPr>
        <w:t xml:space="preserve"> (2010) L195/5, Agreement </w:t>
      </w:r>
      <w:r w:rsidRPr="00B11796">
        <w:rPr>
          <w:rFonts w:asciiTheme="majorHAnsi" w:hAnsiTheme="majorHAnsi"/>
          <w:sz w:val="20"/>
          <w:lang w:val="en-US" w:eastAsia="en-US" w:bidi="ar-SA"/>
        </w:rPr>
        <w:t>between the European Union and the United States of America on the processing and transfer of Financial Messaging Data from the European Union to the United States for the purposes of the Terrorist Finance Tracking Program.</w:t>
      </w:r>
    </w:p>
    <w:p w14:paraId="37219E94" w14:textId="77777777" w:rsidR="004338F6" w:rsidRPr="00B11796" w:rsidRDefault="004338F6" w:rsidP="004738C5">
      <w:pPr>
        <w:pStyle w:val="FootnoteText"/>
        <w:rPr>
          <w:rFonts w:asciiTheme="majorHAnsi" w:hAnsiTheme="majorHAnsi"/>
        </w:rPr>
      </w:pPr>
    </w:p>
  </w:footnote>
  <w:footnote w:id="72">
    <w:p w14:paraId="1FCD643E" w14:textId="77777777" w:rsidR="004338F6" w:rsidRPr="00B11796" w:rsidRDefault="004338F6" w:rsidP="004738C5">
      <w:pPr>
        <w:rPr>
          <w:rFonts w:asciiTheme="majorHAnsi" w:hAnsiTheme="majorHAnsi"/>
          <w:sz w:val="20"/>
          <w:lang w:val="en-US" w:eastAsia="en-US" w:bidi="ar-SA"/>
        </w:rPr>
      </w:pPr>
      <w:r w:rsidRPr="00B11796">
        <w:rPr>
          <w:rStyle w:val="FootnoteReference"/>
          <w:rFonts w:asciiTheme="majorHAnsi" w:hAnsiTheme="majorHAnsi"/>
          <w:sz w:val="20"/>
        </w:rPr>
        <w:footnoteRef/>
      </w:r>
      <w:r w:rsidRPr="00B11796">
        <w:rPr>
          <w:rFonts w:asciiTheme="majorHAnsi" w:hAnsiTheme="majorHAnsi"/>
          <w:sz w:val="20"/>
        </w:rPr>
        <w:t xml:space="preserve"> </w:t>
      </w:r>
      <w:r w:rsidRPr="00B11796">
        <w:rPr>
          <w:rFonts w:asciiTheme="majorHAnsi" w:hAnsiTheme="majorHAnsi"/>
          <w:sz w:val="20"/>
          <w:lang w:val="en-US" w:eastAsia="en-US" w:bidi="ar-SA"/>
        </w:rPr>
        <w:t>H Carrapiç</w:t>
      </w:r>
      <w:r w:rsidRPr="00B11796">
        <w:rPr>
          <w:rFonts w:asciiTheme="majorHAnsi" w:hAnsiTheme="majorHAnsi"/>
          <w:sz w:val="20"/>
        </w:rPr>
        <w:t xml:space="preserve">o &amp; F </w:t>
      </w:r>
      <w:r w:rsidRPr="00B11796">
        <w:rPr>
          <w:rFonts w:asciiTheme="majorHAnsi" w:hAnsiTheme="majorHAnsi"/>
          <w:sz w:val="20"/>
          <w:lang w:val="en-US" w:eastAsia="en-US" w:bidi="ar-SA"/>
        </w:rPr>
        <w:t>Trauner, “Europol and its Influence on EU Policy-making on Organized Crime”, (2013), Perspectives on European Politics and Society 357.</w:t>
      </w:r>
    </w:p>
    <w:p w14:paraId="258B5526" w14:textId="77777777" w:rsidR="004338F6" w:rsidRPr="00B11796" w:rsidRDefault="004338F6" w:rsidP="004738C5">
      <w:pPr>
        <w:pStyle w:val="FootnoteText"/>
        <w:rPr>
          <w:rFonts w:asciiTheme="majorHAnsi" w:hAnsiTheme="majorHAnsi"/>
        </w:rPr>
      </w:pPr>
    </w:p>
  </w:footnote>
  <w:footnote w:id="73">
    <w:p w14:paraId="2955B4D1" w14:textId="682FF071" w:rsidR="004338F6" w:rsidRPr="00B11796" w:rsidRDefault="004338F6">
      <w:pPr>
        <w:pStyle w:val="FootnoteText"/>
        <w:rPr>
          <w:rFonts w:asciiTheme="majorHAnsi" w:hAnsiTheme="majorHAnsi"/>
        </w:rPr>
      </w:pPr>
      <w:r w:rsidRPr="00B11796">
        <w:rPr>
          <w:rStyle w:val="FootnoteReference"/>
          <w:rFonts w:asciiTheme="majorHAnsi" w:hAnsiTheme="majorHAnsi"/>
        </w:rPr>
        <w:footnoteRef/>
      </w:r>
      <w:r w:rsidRPr="00B11796">
        <w:rPr>
          <w:rFonts w:asciiTheme="majorHAnsi" w:hAnsiTheme="majorHAnsi"/>
        </w:rPr>
        <w:t xml:space="preserve"> In the context of private actors and judicial review, A Harel &amp; Avihay Dorfman, </w:t>
      </w:r>
      <w:r w:rsidRPr="00B11796">
        <w:rPr>
          <w:rFonts w:asciiTheme="majorHAnsi" w:hAnsiTheme="majorHAnsi"/>
          <w:i/>
        </w:rPr>
        <w:t>Against Privatization as Such</w:t>
      </w:r>
      <w:r w:rsidRPr="00B11796">
        <w:rPr>
          <w:rFonts w:asciiTheme="majorHAnsi" w:hAnsiTheme="majorHAnsi"/>
        </w:rPr>
        <w:t xml:space="preserve"> (forthcoming in Oxford Journal of Legal Studies 2016) </w:t>
      </w:r>
    </w:p>
  </w:footnote>
  <w:footnote w:id="74">
    <w:p w14:paraId="6D4E563D" w14:textId="77777777" w:rsidR="004338F6" w:rsidRPr="00B11796" w:rsidRDefault="004338F6" w:rsidP="004738C5">
      <w:pPr>
        <w:pStyle w:val="FootnoteText"/>
        <w:spacing w:after="160"/>
        <w:jc w:val="both"/>
        <w:rPr>
          <w:rFonts w:asciiTheme="majorHAnsi" w:hAnsiTheme="majorHAnsi"/>
        </w:rPr>
      </w:pPr>
      <w:r w:rsidRPr="00B11796">
        <w:rPr>
          <w:rStyle w:val="FootnoteReference"/>
          <w:rFonts w:asciiTheme="majorHAnsi" w:hAnsiTheme="majorHAnsi"/>
        </w:rPr>
        <w:footnoteRef/>
      </w:r>
      <w:r w:rsidRPr="00B11796">
        <w:rPr>
          <w:rFonts w:asciiTheme="majorHAnsi" w:hAnsiTheme="majorHAnsi"/>
        </w:rPr>
        <w:t xml:space="preserve"> </w:t>
      </w:r>
      <w:r w:rsidRPr="00B11796">
        <w:rPr>
          <w:rFonts w:asciiTheme="majorHAnsi" w:hAnsiTheme="majorHAnsi"/>
          <w:i/>
        </w:rPr>
        <w:t>See</w:t>
      </w:r>
      <w:r w:rsidRPr="00B11796">
        <w:rPr>
          <w:rFonts w:asciiTheme="majorHAnsi" w:hAnsiTheme="majorHAnsi"/>
        </w:rPr>
        <w:t xml:space="preserve"> F Vibert, </w:t>
      </w:r>
      <w:r w:rsidRPr="00B11796">
        <w:rPr>
          <w:rFonts w:asciiTheme="majorHAnsi" w:hAnsiTheme="majorHAnsi"/>
          <w:i/>
        </w:rPr>
        <w:t>Better Regulation and the Role of Agencies</w:t>
      </w:r>
      <w:r w:rsidRPr="00B11796">
        <w:rPr>
          <w:rFonts w:asciiTheme="majorHAnsi" w:hAnsiTheme="majorHAnsi"/>
        </w:rPr>
        <w:t xml:space="preserve">, </w:t>
      </w:r>
      <w:r w:rsidRPr="00B11796">
        <w:rPr>
          <w:rFonts w:asciiTheme="majorHAnsi" w:hAnsiTheme="majorHAnsi"/>
          <w:i/>
        </w:rPr>
        <w:t>in</w:t>
      </w:r>
      <w:r w:rsidRPr="00B11796">
        <w:rPr>
          <w:rFonts w:asciiTheme="majorHAnsi" w:hAnsiTheme="majorHAnsi"/>
        </w:rPr>
        <w:t xml:space="preserve"> </w:t>
      </w:r>
      <w:r w:rsidRPr="00B11796">
        <w:rPr>
          <w:rFonts w:asciiTheme="majorHAnsi" w:hAnsiTheme="majorHAnsi"/>
          <w:smallCaps/>
        </w:rPr>
        <w:t>Better Regulation</w:t>
      </w:r>
      <w:r w:rsidRPr="00B11796">
        <w:rPr>
          <w:rFonts w:asciiTheme="majorHAnsi" w:hAnsiTheme="majorHAnsi"/>
        </w:rPr>
        <w:t xml:space="preserve"> 387 (Stephen Weatherill ed., 2007).</w:t>
      </w:r>
    </w:p>
  </w:footnote>
  <w:footnote w:id="75">
    <w:p w14:paraId="0A7AFE32" w14:textId="3DBA8526" w:rsidR="004338F6" w:rsidRPr="00B11796" w:rsidRDefault="004338F6" w:rsidP="004738C5">
      <w:pPr>
        <w:pStyle w:val="FootnoteText"/>
        <w:spacing w:after="160"/>
        <w:jc w:val="both"/>
        <w:rPr>
          <w:rFonts w:asciiTheme="majorHAnsi" w:hAnsiTheme="majorHAnsi"/>
        </w:rPr>
      </w:pPr>
      <w:r w:rsidRPr="00B11796">
        <w:rPr>
          <w:rStyle w:val="FootnoteReference"/>
          <w:rFonts w:asciiTheme="majorHAnsi" w:hAnsiTheme="majorHAnsi"/>
        </w:rPr>
        <w:footnoteRef/>
      </w:r>
      <w:r w:rsidRPr="00B11796">
        <w:rPr>
          <w:rFonts w:asciiTheme="majorHAnsi" w:hAnsiTheme="majorHAnsi"/>
        </w:rPr>
        <w:t xml:space="preserve"> C Sabel &amp; J Zeitlin, </w:t>
      </w:r>
      <w:r w:rsidRPr="00B11796">
        <w:rPr>
          <w:rFonts w:asciiTheme="majorHAnsi" w:hAnsiTheme="majorHAnsi"/>
          <w:i/>
        </w:rPr>
        <w:t>Learning from Difference: The New Architecture of Experimentalist Governance in the European Union</w:t>
      </w:r>
      <w:r w:rsidRPr="00B11796">
        <w:rPr>
          <w:rFonts w:asciiTheme="majorHAnsi" w:hAnsiTheme="majorHAnsi"/>
        </w:rPr>
        <w:t xml:space="preserve">, 14 </w:t>
      </w:r>
      <w:r w:rsidRPr="00B11796">
        <w:rPr>
          <w:rFonts w:asciiTheme="majorHAnsi" w:hAnsiTheme="majorHAnsi"/>
          <w:smallCaps/>
        </w:rPr>
        <w:t>Eur. L. J. 271</w:t>
      </w:r>
      <w:r w:rsidRPr="00B11796">
        <w:rPr>
          <w:rFonts w:asciiTheme="majorHAnsi" w:hAnsiTheme="majorHAnsi"/>
        </w:rPr>
        <w:t xml:space="preserve"> (2008).</w:t>
      </w:r>
    </w:p>
  </w:footnote>
  <w:footnote w:id="76">
    <w:p w14:paraId="7A9F22D5" w14:textId="0555617E" w:rsidR="004338F6" w:rsidRPr="00B11796" w:rsidRDefault="004338F6" w:rsidP="004738C5">
      <w:pPr>
        <w:pStyle w:val="FootnoteText"/>
        <w:spacing w:after="160"/>
        <w:jc w:val="both"/>
        <w:rPr>
          <w:rFonts w:asciiTheme="majorHAnsi" w:hAnsiTheme="majorHAnsi"/>
        </w:rPr>
      </w:pPr>
      <w:r w:rsidRPr="00B11796">
        <w:rPr>
          <w:rStyle w:val="FootnoteReference"/>
          <w:rFonts w:asciiTheme="majorHAnsi" w:hAnsiTheme="majorHAnsi"/>
        </w:rPr>
        <w:footnoteRef/>
      </w:r>
      <w:r w:rsidRPr="00B11796">
        <w:rPr>
          <w:rFonts w:asciiTheme="majorHAnsi" w:hAnsiTheme="majorHAnsi"/>
        </w:rPr>
        <w:t xml:space="preserve"> </w:t>
      </w:r>
      <w:r w:rsidRPr="00B11796">
        <w:rPr>
          <w:rFonts w:asciiTheme="majorHAnsi" w:hAnsiTheme="majorHAnsi"/>
          <w:i/>
        </w:rPr>
        <w:t>See generally</w:t>
      </w:r>
      <w:r>
        <w:rPr>
          <w:rFonts w:asciiTheme="majorHAnsi" w:hAnsiTheme="majorHAnsi"/>
        </w:rPr>
        <w:t>, J</w:t>
      </w:r>
      <w:r w:rsidRPr="00B11796">
        <w:rPr>
          <w:rFonts w:asciiTheme="majorHAnsi" w:hAnsiTheme="majorHAnsi"/>
        </w:rPr>
        <w:t xml:space="preserve"> Monar, </w:t>
      </w:r>
      <w:r w:rsidRPr="00B11796">
        <w:rPr>
          <w:rFonts w:asciiTheme="majorHAnsi" w:hAnsiTheme="majorHAnsi"/>
          <w:i/>
        </w:rPr>
        <w:t xml:space="preserve">Experimentalist Governance in Justice and Home Affairs, in </w:t>
      </w:r>
      <w:r w:rsidRPr="00B11796">
        <w:rPr>
          <w:rFonts w:asciiTheme="majorHAnsi" w:hAnsiTheme="majorHAnsi"/>
          <w:smallCaps/>
        </w:rPr>
        <w:t>Experimentalist Governance in the European Union</w:t>
      </w:r>
      <w:r w:rsidRPr="00B11796">
        <w:rPr>
          <w:rFonts w:asciiTheme="majorHAnsi" w:hAnsiTheme="majorHAnsi"/>
        </w:rPr>
        <w:t xml:space="preserve"> 237</w:t>
      </w:r>
      <w:r w:rsidRPr="00B11796">
        <w:rPr>
          <w:rFonts w:asciiTheme="majorHAnsi" w:hAnsiTheme="majorHAnsi"/>
          <w:iCs/>
        </w:rPr>
        <w:t xml:space="preserve"> et seq. </w:t>
      </w:r>
      <w:r w:rsidRPr="00B11796">
        <w:rPr>
          <w:rFonts w:asciiTheme="majorHAnsi" w:hAnsiTheme="majorHAnsi"/>
        </w:rPr>
        <w:t>(Jonathan Zeitlin &amp; Charles Sablel eds.,</w:t>
      </w:r>
      <w:r w:rsidRPr="00B11796">
        <w:rPr>
          <w:rFonts w:asciiTheme="majorHAnsi" w:hAnsiTheme="majorHAnsi"/>
          <w:i/>
        </w:rPr>
        <w:t xml:space="preserve"> </w:t>
      </w:r>
      <w:r w:rsidRPr="00B11796">
        <w:rPr>
          <w:rFonts w:asciiTheme="majorHAnsi" w:hAnsiTheme="majorHAnsi"/>
        </w:rPr>
        <w:t>2010).</w:t>
      </w:r>
    </w:p>
  </w:footnote>
  <w:footnote w:id="77">
    <w:p w14:paraId="46084AD3" w14:textId="77777777" w:rsidR="004338F6" w:rsidRPr="00B11796" w:rsidRDefault="004338F6" w:rsidP="004738C5">
      <w:pPr>
        <w:pStyle w:val="FootnoteText"/>
        <w:spacing w:after="160"/>
        <w:jc w:val="both"/>
        <w:rPr>
          <w:rFonts w:asciiTheme="majorHAnsi" w:hAnsiTheme="majorHAnsi"/>
        </w:rPr>
      </w:pPr>
      <w:r w:rsidRPr="00B11796">
        <w:rPr>
          <w:rStyle w:val="FootnoteReference"/>
          <w:rFonts w:asciiTheme="majorHAnsi" w:hAnsiTheme="majorHAnsi"/>
        </w:rPr>
        <w:footnoteRef/>
      </w:r>
      <w:r w:rsidRPr="00B11796">
        <w:rPr>
          <w:rFonts w:asciiTheme="majorHAnsi" w:hAnsiTheme="majorHAnsi"/>
        </w:rPr>
        <w:t xml:space="preserve"> On Agencies, M Busuioc, D Curtin &amp; M Groenleer, </w:t>
      </w:r>
      <w:r w:rsidRPr="00B11796">
        <w:rPr>
          <w:rFonts w:asciiTheme="majorHAnsi" w:hAnsiTheme="majorHAnsi"/>
          <w:i/>
        </w:rPr>
        <w:t>Agency Growth Between Autonomy and Accountability: The European Police Office as a “Living Institution,”</w:t>
      </w:r>
      <w:r w:rsidRPr="00B11796">
        <w:rPr>
          <w:rFonts w:asciiTheme="majorHAnsi" w:hAnsiTheme="majorHAnsi"/>
        </w:rPr>
        <w:t xml:space="preserve"> 18 </w:t>
      </w:r>
      <w:r w:rsidRPr="00B11796">
        <w:rPr>
          <w:rFonts w:asciiTheme="majorHAnsi" w:hAnsiTheme="majorHAnsi"/>
          <w:smallCaps/>
        </w:rPr>
        <w:t>J. Eur. Pub. Pol.</w:t>
      </w:r>
      <w:r w:rsidRPr="00B11796">
        <w:rPr>
          <w:rFonts w:asciiTheme="majorHAnsi" w:hAnsiTheme="majorHAnsi"/>
        </w:rPr>
        <w:t xml:space="preserve"> 848</w:t>
      </w:r>
      <w:r w:rsidRPr="00B11796">
        <w:rPr>
          <w:rFonts w:asciiTheme="majorHAnsi" w:hAnsiTheme="majorHAnsi"/>
          <w:iCs/>
        </w:rPr>
        <w:t>–</w:t>
      </w:r>
      <w:r w:rsidRPr="00B11796">
        <w:rPr>
          <w:rFonts w:asciiTheme="majorHAnsi" w:hAnsiTheme="majorHAnsi"/>
        </w:rPr>
        <w:t xml:space="preserve">67 (2011). </w:t>
      </w:r>
      <w:r w:rsidRPr="00B11796">
        <w:rPr>
          <w:rFonts w:asciiTheme="majorHAnsi" w:hAnsiTheme="majorHAnsi"/>
          <w:i/>
        </w:rPr>
        <w:t>See also</w:t>
      </w:r>
      <w:r w:rsidRPr="00B11796">
        <w:rPr>
          <w:rFonts w:asciiTheme="majorHAnsi" w:hAnsiTheme="majorHAnsi"/>
        </w:rPr>
        <w:t xml:space="preserve"> Pierre Schammo, </w:t>
      </w:r>
      <w:r w:rsidRPr="00B11796">
        <w:rPr>
          <w:rFonts w:asciiTheme="majorHAnsi" w:hAnsiTheme="majorHAnsi"/>
          <w:i/>
        </w:rPr>
        <w:t>The European Securities and Market Authority: Lifting the Veil on the Allocation of Powers</w:t>
      </w:r>
      <w:r w:rsidRPr="00B11796">
        <w:rPr>
          <w:rFonts w:asciiTheme="majorHAnsi" w:hAnsiTheme="majorHAnsi"/>
        </w:rPr>
        <w:t xml:space="preserve">, 48 </w:t>
      </w:r>
      <w:r w:rsidRPr="00B11796">
        <w:rPr>
          <w:rFonts w:asciiTheme="majorHAnsi" w:hAnsiTheme="majorHAnsi"/>
          <w:smallCaps/>
        </w:rPr>
        <w:t>Common Mkt. L. Rev.</w:t>
      </w:r>
      <w:r w:rsidRPr="00B11796">
        <w:rPr>
          <w:rFonts w:asciiTheme="majorHAnsi" w:hAnsiTheme="majorHAnsi"/>
        </w:rPr>
        <w:t xml:space="preserve"> 1887 (2011). </w:t>
      </w:r>
    </w:p>
  </w:footnote>
  <w:footnote w:id="78">
    <w:p w14:paraId="472B6DD3" w14:textId="75BC58C9" w:rsidR="004338F6" w:rsidRPr="00B11796" w:rsidRDefault="004338F6" w:rsidP="004738C5">
      <w:pPr>
        <w:pStyle w:val="FootnoteText"/>
        <w:spacing w:after="160"/>
        <w:jc w:val="both"/>
        <w:rPr>
          <w:rFonts w:asciiTheme="majorHAnsi" w:hAnsiTheme="majorHAnsi"/>
        </w:rPr>
      </w:pPr>
      <w:r w:rsidRPr="00B11796">
        <w:rPr>
          <w:rStyle w:val="FootnoteReference"/>
          <w:rFonts w:asciiTheme="majorHAnsi" w:hAnsiTheme="majorHAnsi"/>
        </w:rPr>
        <w:footnoteRef/>
      </w:r>
      <w:r w:rsidRPr="00B11796">
        <w:rPr>
          <w:rFonts w:asciiTheme="majorHAnsi" w:hAnsiTheme="majorHAnsi"/>
        </w:rPr>
        <w:t xml:space="preserve"> G Conway, </w:t>
      </w:r>
      <w:r w:rsidRPr="00B11796">
        <w:rPr>
          <w:rFonts w:asciiTheme="majorHAnsi" w:hAnsiTheme="majorHAnsi"/>
          <w:i/>
        </w:rPr>
        <w:t>Holding to Account A Possible European Public Prosecutor: Supranational Governance and Accountability Across Diverse Legal Traditions</w:t>
      </w:r>
      <w:r w:rsidRPr="00B11796">
        <w:rPr>
          <w:rFonts w:asciiTheme="majorHAnsi" w:hAnsiTheme="majorHAnsi"/>
        </w:rPr>
        <w:t xml:space="preserve">, 24 </w:t>
      </w:r>
      <w:r w:rsidRPr="00B11796">
        <w:rPr>
          <w:rFonts w:asciiTheme="majorHAnsi" w:hAnsiTheme="majorHAnsi"/>
          <w:smallCaps/>
        </w:rPr>
        <w:t>Crim. L. F.</w:t>
      </w:r>
      <w:r w:rsidRPr="00B11796">
        <w:rPr>
          <w:rFonts w:asciiTheme="majorHAnsi" w:hAnsiTheme="majorHAnsi"/>
        </w:rPr>
        <w:t xml:space="preserve"> 371</w:t>
      </w:r>
      <w:r w:rsidRPr="00B11796">
        <w:rPr>
          <w:rFonts w:asciiTheme="majorHAnsi" w:hAnsiTheme="majorHAnsi"/>
          <w:iCs/>
        </w:rPr>
        <w:t xml:space="preserve"> et seq.</w:t>
      </w:r>
      <w:r w:rsidRPr="00B11796">
        <w:rPr>
          <w:rFonts w:asciiTheme="majorHAnsi" w:hAnsiTheme="majorHAnsi"/>
        </w:rPr>
        <w:t xml:space="preserve"> (2013).</w:t>
      </w:r>
    </w:p>
  </w:footnote>
  <w:footnote w:id="79">
    <w:p w14:paraId="7F072CE6" w14:textId="77777777" w:rsidR="004338F6" w:rsidRPr="00B11796" w:rsidRDefault="004338F6" w:rsidP="009B6A62">
      <w:pPr>
        <w:pStyle w:val="FootnoteText"/>
        <w:spacing w:after="160"/>
        <w:jc w:val="both"/>
        <w:rPr>
          <w:rFonts w:asciiTheme="majorHAnsi" w:hAnsiTheme="majorHAnsi"/>
          <w:i/>
        </w:rPr>
      </w:pPr>
      <w:r w:rsidRPr="00B11796">
        <w:rPr>
          <w:rStyle w:val="FootnoteReference"/>
          <w:rFonts w:asciiTheme="majorHAnsi" w:hAnsiTheme="majorHAnsi"/>
          <w:i/>
        </w:rPr>
        <w:footnoteRef/>
      </w:r>
      <w:r>
        <w:rPr>
          <w:rFonts w:asciiTheme="majorHAnsi" w:hAnsiTheme="majorHAnsi"/>
          <w:i/>
        </w:rPr>
        <w:t xml:space="preserve">Moloney </w:t>
      </w:r>
      <w:r w:rsidRPr="00B11796">
        <w:rPr>
          <w:rFonts w:asciiTheme="majorHAnsi" w:hAnsiTheme="majorHAnsi"/>
          <w:i/>
        </w:rPr>
        <w:t xml:space="preserve"> Id. </w:t>
      </w:r>
    </w:p>
  </w:footnote>
  <w:footnote w:id="80">
    <w:p w14:paraId="397D71CE" w14:textId="77777777" w:rsidR="004338F6" w:rsidRPr="00B11796" w:rsidRDefault="004338F6" w:rsidP="004338F6">
      <w:pPr>
        <w:pStyle w:val="FootnoteText"/>
        <w:spacing w:before="100" w:beforeAutospacing="1" w:after="240"/>
        <w:rPr>
          <w:rFonts w:asciiTheme="majorHAnsi" w:hAnsiTheme="majorHAnsi"/>
        </w:rPr>
      </w:pPr>
      <w:r w:rsidRPr="00B11796">
        <w:rPr>
          <w:rStyle w:val="FootnoteReference"/>
          <w:rFonts w:asciiTheme="majorHAnsi" w:hAnsiTheme="majorHAnsi"/>
        </w:rPr>
        <w:footnoteRef/>
      </w:r>
      <w:r w:rsidRPr="00B11796">
        <w:rPr>
          <w:rFonts w:asciiTheme="majorHAnsi" w:hAnsiTheme="majorHAnsi"/>
        </w:rPr>
        <w:t xml:space="preserve">See e.g. V Mitsilegas, ‘Global Standards in Domestic Legal Cultures: The Money Laundering Offences in English Law’ in S Braum (ed), </w:t>
      </w:r>
      <w:r w:rsidRPr="00B11796">
        <w:rPr>
          <w:rFonts w:asciiTheme="majorHAnsi" w:hAnsiTheme="majorHAnsi"/>
          <w:i/>
        </w:rPr>
        <w:t>Droit Pénal Européen des Affairs</w:t>
      </w:r>
      <w:r w:rsidRPr="00B11796">
        <w:rPr>
          <w:rFonts w:asciiTheme="majorHAnsi" w:hAnsiTheme="majorHAnsi"/>
        </w:rPr>
        <w:t xml:space="preserve"> (Berliner, Wissenschaftsverlag, 2009) 1.</w:t>
      </w:r>
    </w:p>
  </w:footnote>
  <w:footnote w:id="81">
    <w:p w14:paraId="5152685E" w14:textId="77777777" w:rsidR="004338F6" w:rsidRPr="00B11796" w:rsidRDefault="004338F6" w:rsidP="009B6A62">
      <w:pPr>
        <w:pStyle w:val="FootnoteText"/>
        <w:rPr>
          <w:rFonts w:asciiTheme="majorHAnsi" w:hAnsiTheme="majorHAnsi"/>
          <w:lang w:val="en-GB"/>
        </w:rPr>
      </w:pPr>
      <w:r w:rsidRPr="00B11796">
        <w:rPr>
          <w:rStyle w:val="FootnoteReference"/>
          <w:rFonts w:asciiTheme="majorHAnsi" w:hAnsiTheme="majorHAnsi"/>
        </w:rPr>
        <w:footnoteRef/>
      </w:r>
      <w:r w:rsidRPr="00B11796">
        <w:rPr>
          <w:rFonts w:asciiTheme="majorHAnsi" w:hAnsiTheme="majorHAnsi"/>
        </w:rPr>
        <w:t xml:space="preserve"> </w:t>
      </w:r>
      <w:r w:rsidRPr="00B11796">
        <w:rPr>
          <w:rFonts w:asciiTheme="majorHAnsi" w:hAnsiTheme="majorHAnsi"/>
          <w:lang w:val="en-GB"/>
        </w:rPr>
        <w:t>Financial Services and Markets Act 2000, s. 6.</w:t>
      </w:r>
    </w:p>
  </w:footnote>
  <w:footnote w:id="82">
    <w:p w14:paraId="617ABEE1" w14:textId="77777777" w:rsidR="004338F6" w:rsidRPr="00B11796" w:rsidRDefault="004338F6" w:rsidP="009B6A62">
      <w:pPr>
        <w:pStyle w:val="FootnoteText"/>
        <w:rPr>
          <w:rFonts w:asciiTheme="majorHAnsi" w:hAnsiTheme="majorHAnsi"/>
          <w:lang w:val="en-GB"/>
        </w:rPr>
      </w:pPr>
      <w:r w:rsidRPr="00B11796">
        <w:rPr>
          <w:rStyle w:val="FootnoteReference"/>
          <w:rFonts w:asciiTheme="majorHAnsi" w:hAnsiTheme="majorHAnsi"/>
        </w:rPr>
        <w:footnoteRef/>
      </w:r>
      <w:r w:rsidRPr="00B11796">
        <w:rPr>
          <w:rFonts w:asciiTheme="majorHAnsi" w:hAnsiTheme="majorHAnsi"/>
        </w:rPr>
        <w:t xml:space="preserve"> </w:t>
      </w:r>
      <w:r w:rsidRPr="00B11796">
        <w:rPr>
          <w:rFonts w:asciiTheme="majorHAnsi" w:hAnsiTheme="majorHAnsi"/>
          <w:lang w:val="en-GB"/>
        </w:rPr>
        <w:t xml:space="preserve">Financial Services and Markets Act 2000, s. 6(3).  For a more detailed discussion of the seminal definition of financial or white collar crime see </w:t>
      </w:r>
      <w:r w:rsidRPr="00B11796">
        <w:rPr>
          <w:rStyle w:val="documentbody"/>
          <w:rFonts w:asciiTheme="majorHAnsi" w:hAnsiTheme="majorHAnsi"/>
        </w:rPr>
        <w:t xml:space="preserve">E. </w:t>
      </w:r>
      <w:r w:rsidRPr="00B11796">
        <w:rPr>
          <w:rStyle w:val="searchterm"/>
          <w:rFonts w:asciiTheme="majorHAnsi" w:hAnsiTheme="majorHAnsi"/>
        </w:rPr>
        <w:t>Sutherland</w:t>
      </w:r>
      <w:r w:rsidRPr="00B11796">
        <w:rPr>
          <w:rStyle w:val="documentbody"/>
          <w:rFonts w:asciiTheme="majorHAnsi" w:hAnsiTheme="majorHAnsi"/>
        </w:rPr>
        <w:t xml:space="preserve">, ‘The </w:t>
      </w:r>
      <w:r w:rsidRPr="00B11796">
        <w:rPr>
          <w:rStyle w:val="searchterm"/>
          <w:rFonts w:asciiTheme="majorHAnsi" w:hAnsiTheme="majorHAnsi"/>
        </w:rPr>
        <w:t>White</w:t>
      </w:r>
      <w:r w:rsidRPr="00B11796">
        <w:rPr>
          <w:rStyle w:val="documentbody"/>
          <w:rFonts w:asciiTheme="majorHAnsi" w:hAnsiTheme="majorHAnsi"/>
        </w:rPr>
        <w:t xml:space="preserve"> </w:t>
      </w:r>
      <w:r w:rsidRPr="00B11796">
        <w:rPr>
          <w:rStyle w:val="searchterm"/>
          <w:rFonts w:asciiTheme="majorHAnsi" w:hAnsiTheme="majorHAnsi"/>
        </w:rPr>
        <w:t>Collar</w:t>
      </w:r>
      <w:r w:rsidRPr="00B11796">
        <w:rPr>
          <w:rStyle w:val="documentbody"/>
          <w:rFonts w:asciiTheme="majorHAnsi" w:hAnsiTheme="majorHAnsi"/>
        </w:rPr>
        <w:t xml:space="preserve"> </w:t>
      </w:r>
      <w:r w:rsidRPr="00B11796">
        <w:rPr>
          <w:rStyle w:val="searchterm"/>
          <w:rFonts w:asciiTheme="majorHAnsi" w:hAnsiTheme="majorHAnsi"/>
        </w:rPr>
        <w:t xml:space="preserve">Criminal’ (1940) </w:t>
      </w:r>
      <w:r w:rsidRPr="00B11796">
        <w:rPr>
          <w:rStyle w:val="documentbody"/>
          <w:rFonts w:asciiTheme="majorHAnsi" w:hAnsiTheme="majorHAnsi"/>
          <w:i/>
        </w:rPr>
        <w:t>American Sociological Review</w:t>
      </w:r>
      <w:r w:rsidRPr="00B11796">
        <w:rPr>
          <w:rStyle w:val="documentbody"/>
          <w:rFonts w:asciiTheme="majorHAnsi" w:hAnsiTheme="majorHAnsi"/>
        </w:rPr>
        <w:t>, 5(1), 1.</w:t>
      </w:r>
    </w:p>
  </w:footnote>
  <w:footnote w:id="83">
    <w:p w14:paraId="3CF9AAAF" w14:textId="77777777" w:rsidR="004338F6" w:rsidRPr="00B11796" w:rsidRDefault="004338F6" w:rsidP="009B6A62">
      <w:pPr>
        <w:pStyle w:val="FootnoteSocSci"/>
        <w:rPr>
          <w:rFonts w:asciiTheme="majorHAnsi" w:hAnsiTheme="majorHAnsi" w:cs="Times New Roman"/>
          <w:sz w:val="20"/>
          <w:szCs w:val="20"/>
        </w:rPr>
      </w:pPr>
      <w:r w:rsidRPr="00B11796">
        <w:rPr>
          <w:rStyle w:val="FootnoteReference"/>
          <w:rFonts w:asciiTheme="majorHAnsi" w:hAnsiTheme="majorHAnsi"/>
          <w:sz w:val="20"/>
          <w:szCs w:val="20"/>
        </w:rPr>
        <w:footnoteRef/>
      </w:r>
      <w:r w:rsidRPr="00B11796">
        <w:rPr>
          <w:rFonts w:asciiTheme="majorHAnsi" w:hAnsiTheme="majorHAnsi" w:cs="Times New Roman"/>
          <w:sz w:val="20"/>
          <w:szCs w:val="20"/>
        </w:rPr>
        <w:t xml:space="preserve"> A. Proctor, ‘Supporting a Risk-Based Anti-Money Laundering Approach Through Enforcement Action’ (2004) </w:t>
      </w:r>
      <w:r w:rsidRPr="00B11796">
        <w:rPr>
          <w:rFonts w:asciiTheme="majorHAnsi" w:hAnsiTheme="majorHAnsi" w:cs="Times New Roman"/>
          <w:i/>
          <w:sz w:val="20"/>
          <w:szCs w:val="20"/>
        </w:rPr>
        <w:t>Journal of Financial Regulation and Compliance</w:t>
      </w:r>
      <w:r w:rsidRPr="00B11796">
        <w:rPr>
          <w:rFonts w:asciiTheme="majorHAnsi" w:hAnsiTheme="majorHAnsi" w:cs="Times New Roman"/>
          <w:sz w:val="20"/>
          <w:szCs w:val="20"/>
        </w:rPr>
        <w:t>, 13(1), 10–14, 11. Members of the regulated sector are defined in the Financial Services and Markets Act 2000 (Regulated Activities) Order 2001 S.I. 2001/544.</w:t>
      </w:r>
    </w:p>
  </w:footnote>
  <w:footnote w:id="84">
    <w:p w14:paraId="5115D975" w14:textId="77777777" w:rsidR="004338F6" w:rsidRPr="00B11796" w:rsidRDefault="004338F6" w:rsidP="009B6A62">
      <w:pPr>
        <w:pStyle w:val="FootnoteSocSci"/>
        <w:rPr>
          <w:rFonts w:asciiTheme="majorHAnsi" w:hAnsiTheme="majorHAnsi" w:cs="Times New Roman"/>
          <w:sz w:val="20"/>
          <w:szCs w:val="20"/>
        </w:rPr>
      </w:pPr>
      <w:r w:rsidRPr="00B11796">
        <w:rPr>
          <w:rStyle w:val="FootnoteReference"/>
          <w:rFonts w:asciiTheme="majorHAnsi" w:hAnsiTheme="majorHAnsi"/>
          <w:sz w:val="20"/>
          <w:szCs w:val="20"/>
        </w:rPr>
        <w:footnoteRef/>
      </w:r>
      <w:r w:rsidRPr="00B11796">
        <w:rPr>
          <w:rFonts w:asciiTheme="majorHAnsi" w:hAnsiTheme="majorHAnsi" w:cs="Times New Roman"/>
          <w:sz w:val="20"/>
          <w:szCs w:val="20"/>
        </w:rPr>
        <w:t xml:space="preserve"> Financial Services and Markets Act 2000, s 146.</w:t>
      </w:r>
    </w:p>
  </w:footnote>
  <w:footnote w:id="85">
    <w:p w14:paraId="4E444E32" w14:textId="77777777" w:rsidR="004338F6" w:rsidRPr="00B11796" w:rsidRDefault="004338F6" w:rsidP="009B6A62">
      <w:pPr>
        <w:pStyle w:val="FootnoteSocSci"/>
        <w:rPr>
          <w:rFonts w:asciiTheme="majorHAnsi" w:hAnsiTheme="majorHAnsi" w:cs="Times New Roman"/>
          <w:sz w:val="20"/>
          <w:szCs w:val="20"/>
        </w:rPr>
      </w:pPr>
      <w:r w:rsidRPr="00B11796">
        <w:rPr>
          <w:rStyle w:val="FootnoteReference"/>
          <w:rFonts w:asciiTheme="majorHAnsi" w:hAnsiTheme="majorHAnsi"/>
          <w:sz w:val="20"/>
          <w:szCs w:val="20"/>
        </w:rPr>
        <w:footnoteRef/>
      </w:r>
      <w:r w:rsidRPr="00B11796">
        <w:rPr>
          <w:rFonts w:asciiTheme="majorHAnsi" w:hAnsiTheme="majorHAnsi" w:cs="Times New Roman"/>
          <w:sz w:val="20"/>
          <w:szCs w:val="20"/>
        </w:rPr>
        <w:t xml:space="preserve"> Financial Services Authority, </w:t>
      </w:r>
      <w:r w:rsidRPr="00B11796">
        <w:rPr>
          <w:rFonts w:asciiTheme="majorHAnsi" w:hAnsiTheme="majorHAnsi" w:cs="Times New Roman"/>
          <w:i/>
          <w:sz w:val="20"/>
          <w:szCs w:val="20"/>
        </w:rPr>
        <w:t>Money Laundering Handbook</w:t>
      </w:r>
      <w:r w:rsidRPr="00B11796">
        <w:rPr>
          <w:rFonts w:asciiTheme="majorHAnsi" w:hAnsiTheme="majorHAnsi" w:cs="Times New Roman"/>
          <w:sz w:val="20"/>
          <w:szCs w:val="20"/>
        </w:rPr>
        <w:t>, (Financial Services Authority 2006). The FSA adopted the Money Laundering Regulation 1993 via the Financial Services and Markets Act 2000 Regulations (Relating to Money Laundering Regulations) 2001, S.I. 2001/1819.</w:t>
      </w:r>
    </w:p>
  </w:footnote>
  <w:footnote w:id="86">
    <w:p w14:paraId="2D78B533" w14:textId="77777777" w:rsidR="004338F6" w:rsidRPr="00B11796" w:rsidRDefault="004338F6" w:rsidP="009B6A62">
      <w:pPr>
        <w:pStyle w:val="FootnoteText"/>
        <w:rPr>
          <w:rFonts w:asciiTheme="majorHAnsi" w:hAnsiTheme="majorHAnsi"/>
          <w:lang w:val="en-GB"/>
        </w:rPr>
      </w:pPr>
      <w:r w:rsidRPr="00B11796">
        <w:rPr>
          <w:rStyle w:val="FootnoteReference"/>
          <w:rFonts w:asciiTheme="majorHAnsi" w:hAnsiTheme="majorHAnsi"/>
        </w:rPr>
        <w:footnoteRef/>
      </w:r>
      <w:r w:rsidRPr="00B11796">
        <w:rPr>
          <w:rFonts w:asciiTheme="majorHAnsi" w:hAnsiTheme="majorHAnsi"/>
        </w:rPr>
        <w:t xml:space="preserve"> S.I. 1993/1933.</w:t>
      </w:r>
    </w:p>
  </w:footnote>
  <w:footnote w:id="87">
    <w:p w14:paraId="0ACC21A0" w14:textId="77777777" w:rsidR="004338F6" w:rsidRPr="00B11796" w:rsidRDefault="004338F6" w:rsidP="009B6A62">
      <w:pPr>
        <w:pStyle w:val="FootnoteSocSci"/>
        <w:rPr>
          <w:rFonts w:asciiTheme="majorHAnsi" w:hAnsiTheme="majorHAnsi" w:cs="Times New Roman"/>
          <w:sz w:val="20"/>
          <w:szCs w:val="20"/>
        </w:rPr>
      </w:pPr>
      <w:r w:rsidRPr="00B11796">
        <w:rPr>
          <w:rStyle w:val="FootnoteReference"/>
          <w:rFonts w:asciiTheme="majorHAnsi" w:hAnsiTheme="majorHAnsi"/>
          <w:sz w:val="20"/>
          <w:szCs w:val="20"/>
        </w:rPr>
        <w:footnoteRef/>
      </w:r>
      <w:r w:rsidRPr="00B11796">
        <w:rPr>
          <w:rFonts w:asciiTheme="majorHAnsi" w:hAnsiTheme="majorHAnsi" w:cs="Times New Roman"/>
          <w:sz w:val="20"/>
          <w:szCs w:val="20"/>
        </w:rPr>
        <w:t xml:space="preserve"> The FSA Handbook contains the FSA’s legal rules and guidance on a wide range of measures and can be accessed from &lt;</w:t>
      </w:r>
      <w:hyperlink r:id="rId2" w:history="1">
        <w:r w:rsidRPr="00B11796">
          <w:rPr>
            <w:rStyle w:val="Hyperlink"/>
            <w:rFonts w:asciiTheme="majorHAnsi" w:hAnsiTheme="majorHAnsi" w:cs="Times New Roman"/>
            <w:sz w:val="20"/>
            <w:szCs w:val="20"/>
          </w:rPr>
          <w:t>http://www.fsa.gov.uk/Pages/handbook/index.shtml</w:t>
        </w:r>
      </w:hyperlink>
      <w:r w:rsidRPr="00B11796">
        <w:rPr>
          <w:rFonts w:asciiTheme="majorHAnsi" w:hAnsiTheme="majorHAnsi" w:cs="Times New Roman"/>
          <w:sz w:val="20"/>
          <w:szCs w:val="20"/>
        </w:rPr>
        <w:t xml:space="preserve">&gt;. </w:t>
      </w:r>
    </w:p>
  </w:footnote>
  <w:footnote w:id="88">
    <w:p w14:paraId="54329E29" w14:textId="77777777" w:rsidR="004338F6" w:rsidRPr="00B11796" w:rsidRDefault="004338F6" w:rsidP="009B6A62">
      <w:pPr>
        <w:pStyle w:val="FootnoteSocSci"/>
        <w:rPr>
          <w:rFonts w:asciiTheme="majorHAnsi" w:hAnsiTheme="majorHAnsi" w:cs="Times New Roman"/>
          <w:sz w:val="20"/>
          <w:szCs w:val="20"/>
        </w:rPr>
      </w:pPr>
      <w:r w:rsidRPr="00B11796">
        <w:rPr>
          <w:rStyle w:val="FootnoteReference"/>
          <w:rFonts w:asciiTheme="majorHAnsi" w:hAnsiTheme="majorHAnsi"/>
          <w:sz w:val="20"/>
          <w:szCs w:val="20"/>
        </w:rPr>
        <w:footnoteRef/>
      </w:r>
      <w:r w:rsidRPr="00B11796">
        <w:rPr>
          <w:rFonts w:asciiTheme="majorHAnsi" w:hAnsiTheme="majorHAnsi" w:cs="Times New Roman"/>
          <w:sz w:val="20"/>
          <w:szCs w:val="20"/>
        </w:rPr>
        <w:t xml:space="preserve"> Financial Services Authority, </w:t>
      </w:r>
      <w:r w:rsidRPr="00B11796">
        <w:rPr>
          <w:rFonts w:asciiTheme="majorHAnsi" w:hAnsiTheme="majorHAnsi" w:cs="Times New Roman"/>
          <w:i/>
          <w:sz w:val="20"/>
          <w:szCs w:val="20"/>
        </w:rPr>
        <w:t>FSA Handbook</w:t>
      </w:r>
      <w:r w:rsidRPr="00B11796">
        <w:rPr>
          <w:rFonts w:asciiTheme="majorHAnsi" w:hAnsiTheme="majorHAnsi" w:cs="Times New Roman"/>
          <w:sz w:val="20"/>
          <w:szCs w:val="20"/>
        </w:rPr>
        <w:t xml:space="preserve"> (Financial Services Authority 2006, SYSC 3.1.1).</w:t>
      </w:r>
    </w:p>
  </w:footnote>
  <w:footnote w:id="89">
    <w:p w14:paraId="34EA7D16" w14:textId="77777777" w:rsidR="004338F6" w:rsidRPr="00B11796" w:rsidRDefault="004338F6" w:rsidP="009B6A62">
      <w:pPr>
        <w:pStyle w:val="FootnoteSocSci"/>
        <w:rPr>
          <w:rFonts w:asciiTheme="majorHAnsi" w:hAnsiTheme="majorHAnsi" w:cs="Times New Roman"/>
          <w:sz w:val="20"/>
          <w:szCs w:val="20"/>
        </w:rPr>
      </w:pPr>
      <w:r w:rsidRPr="00B11796">
        <w:rPr>
          <w:rStyle w:val="FootnoteReference"/>
          <w:rFonts w:asciiTheme="majorHAnsi" w:hAnsiTheme="majorHAnsi"/>
          <w:sz w:val="20"/>
          <w:szCs w:val="20"/>
        </w:rPr>
        <w:footnoteRef/>
      </w:r>
      <w:r w:rsidRPr="00B11796">
        <w:rPr>
          <w:rFonts w:asciiTheme="majorHAnsi" w:hAnsiTheme="majorHAnsi" w:cs="Times New Roman"/>
          <w:sz w:val="20"/>
          <w:szCs w:val="20"/>
        </w:rPr>
        <w:t xml:space="preserve"> Financial Services Authority, </w:t>
      </w:r>
      <w:r w:rsidRPr="00B11796">
        <w:rPr>
          <w:rFonts w:asciiTheme="majorHAnsi" w:hAnsiTheme="majorHAnsi" w:cs="Times New Roman"/>
          <w:i/>
          <w:sz w:val="20"/>
          <w:szCs w:val="20"/>
        </w:rPr>
        <w:t>FSA Handbook</w:t>
      </w:r>
      <w:r w:rsidRPr="00B11796">
        <w:rPr>
          <w:rFonts w:asciiTheme="majorHAnsi" w:hAnsiTheme="majorHAnsi" w:cs="Times New Roman"/>
          <w:sz w:val="20"/>
          <w:szCs w:val="20"/>
        </w:rPr>
        <w:t xml:space="preserve"> (Financial Services Authority 2006, SYSC 3.2.6 C).</w:t>
      </w:r>
    </w:p>
  </w:footnote>
  <w:footnote w:id="90">
    <w:p w14:paraId="22CD87F1" w14:textId="77777777" w:rsidR="004338F6" w:rsidRPr="00B11796" w:rsidRDefault="004338F6" w:rsidP="009B6A62">
      <w:pPr>
        <w:pStyle w:val="FootnoteSocSci"/>
        <w:rPr>
          <w:rFonts w:asciiTheme="majorHAnsi" w:hAnsiTheme="majorHAnsi" w:cs="Times New Roman"/>
          <w:sz w:val="20"/>
          <w:szCs w:val="20"/>
        </w:rPr>
      </w:pPr>
      <w:r w:rsidRPr="00B11796">
        <w:rPr>
          <w:rStyle w:val="FootnoteReference"/>
          <w:rFonts w:asciiTheme="majorHAnsi" w:hAnsiTheme="majorHAnsi"/>
          <w:sz w:val="20"/>
          <w:szCs w:val="20"/>
        </w:rPr>
        <w:footnoteRef/>
      </w:r>
      <w:r w:rsidRPr="00B11796">
        <w:rPr>
          <w:rFonts w:asciiTheme="majorHAnsi" w:hAnsiTheme="majorHAnsi" w:cs="Times New Roman"/>
          <w:sz w:val="20"/>
          <w:szCs w:val="20"/>
        </w:rPr>
        <w:t xml:space="preserve"> Financial Services Authority, </w:t>
      </w:r>
      <w:r w:rsidRPr="00B11796">
        <w:rPr>
          <w:rFonts w:asciiTheme="majorHAnsi" w:hAnsiTheme="majorHAnsi" w:cs="Times New Roman"/>
          <w:i/>
          <w:sz w:val="20"/>
          <w:szCs w:val="20"/>
        </w:rPr>
        <w:t>FSA Handbook</w:t>
      </w:r>
      <w:r w:rsidRPr="00B11796">
        <w:rPr>
          <w:rFonts w:asciiTheme="majorHAnsi" w:hAnsiTheme="majorHAnsi" w:cs="Times New Roman"/>
          <w:sz w:val="20"/>
          <w:szCs w:val="20"/>
        </w:rPr>
        <w:t xml:space="preserve"> (Financial Services Authority 2006, SYSC 3.2.6 H and I).</w:t>
      </w:r>
    </w:p>
  </w:footnote>
  <w:footnote w:id="91">
    <w:p w14:paraId="41E4DEF3" w14:textId="77777777" w:rsidR="004338F6" w:rsidRPr="00B11796" w:rsidRDefault="004338F6" w:rsidP="009B6A62">
      <w:pPr>
        <w:pStyle w:val="FootnoteSocSci"/>
        <w:rPr>
          <w:rFonts w:asciiTheme="majorHAnsi" w:hAnsiTheme="majorHAnsi" w:cs="Times New Roman"/>
          <w:sz w:val="20"/>
          <w:szCs w:val="20"/>
        </w:rPr>
      </w:pPr>
      <w:r w:rsidRPr="00B11796">
        <w:rPr>
          <w:rStyle w:val="FootnoteReference"/>
          <w:rFonts w:asciiTheme="majorHAnsi" w:hAnsiTheme="majorHAnsi"/>
          <w:sz w:val="20"/>
          <w:szCs w:val="20"/>
        </w:rPr>
        <w:footnoteRef/>
      </w:r>
      <w:r w:rsidRPr="00B11796">
        <w:rPr>
          <w:rFonts w:asciiTheme="majorHAnsi" w:hAnsiTheme="majorHAnsi" w:cs="Times New Roman"/>
          <w:sz w:val="20"/>
          <w:szCs w:val="20"/>
        </w:rPr>
        <w:t xml:space="preserve"> J. Bagge, ‘The Future for Enforcement Under the New Financial Services Authority’ (1998)</w:t>
      </w:r>
      <w:r w:rsidRPr="00B11796">
        <w:rPr>
          <w:rFonts w:asciiTheme="majorHAnsi" w:hAnsiTheme="majorHAnsi" w:cs="Times New Roman"/>
          <w:i/>
          <w:sz w:val="20"/>
          <w:szCs w:val="20"/>
        </w:rPr>
        <w:t xml:space="preserve"> Company Lawyer</w:t>
      </w:r>
      <w:r w:rsidRPr="00B11796">
        <w:rPr>
          <w:rFonts w:asciiTheme="majorHAnsi" w:hAnsiTheme="majorHAnsi" w:cs="Times New Roman"/>
          <w:sz w:val="20"/>
          <w:szCs w:val="20"/>
        </w:rPr>
        <w:t>, 19(7) 194–197, 195.</w:t>
      </w:r>
    </w:p>
  </w:footnote>
  <w:footnote w:id="92">
    <w:p w14:paraId="0449E52D" w14:textId="77777777" w:rsidR="004338F6" w:rsidRPr="00B11796" w:rsidRDefault="004338F6" w:rsidP="009B6A62">
      <w:pPr>
        <w:pStyle w:val="FootnoteSocSci"/>
        <w:rPr>
          <w:rFonts w:asciiTheme="majorHAnsi" w:hAnsiTheme="majorHAnsi" w:cs="Times New Roman"/>
          <w:sz w:val="20"/>
          <w:szCs w:val="20"/>
        </w:rPr>
      </w:pPr>
      <w:r w:rsidRPr="00B11796">
        <w:rPr>
          <w:rStyle w:val="FootnoteReference"/>
          <w:rFonts w:asciiTheme="majorHAnsi" w:hAnsiTheme="majorHAnsi"/>
          <w:sz w:val="20"/>
          <w:szCs w:val="20"/>
        </w:rPr>
        <w:footnoteRef/>
      </w:r>
      <w:r w:rsidRPr="00B11796">
        <w:rPr>
          <w:rFonts w:asciiTheme="majorHAnsi" w:hAnsiTheme="majorHAnsi" w:cs="Times New Roman"/>
          <w:sz w:val="20"/>
          <w:szCs w:val="20"/>
        </w:rPr>
        <w:t xml:space="preserve"> Financial Services and Markets Act 2000, ss 165–166.</w:t>
      </w:r>
    </w:p>
  </w:footnote>
  <w:footnote w:id="93">
    <w:p w14:paraId="21E99B1C" w14:textId="77777777" w:rsidR="004338F6" w:rsidRPr="00B11796" w:rsidRDefault="004338F6" w:rsidP="009B6A62">
      <w:pPr>
        <w:pStyle w:val="FootnoteSocSci"/>
        <w:rPr>
          <w:rFonts w:asciiTheme="majorHAnsi" w:hAnsiTheme="majorHAnsi" w:cs="Times New Roman"/>
          <w:sz w:val="20"/>
          <w:szCs w:val="20"/>
        </w:rPr>
      </w:pPr>
      <w:r w:rsidRPr="00B11796">
        <w:rPr>
          <w:rStyle w:val="FootnoteReference"/>
          <w:rFonts w:asciiTheme="majorHAnsi" w:hAnsiTheme="majorHAnsi"/>
          <w:sz w:val="20"/>
          <w:szCs w:val="20"/>
        </w:rPr>
        <w:footnoteRef/>
      </w:r>
      <w:r w:rsidRPr="00B11796">
        <w:rPr>
          <w:rFonts w:asciiTheme="majorHAnsi" w:hAnsiTheme="majorHAnsi" w:cs="Times New Roman"/>
          <w:sz w:val="20"/>
          <w:szCs w:val="20"/>
        </w:rPr>
        <w:t xml:space="preserve"> Financial Services and Markets Act 2000, ss 167–168.</w:t>
      </w:r>
    </w:p>
  </w:footnote>
  <w:footnote w:id="94">
    <w:p w14:paraId="19F037A6" w14:textId="77777777" w:rsidR="004338F6" w:rsidRPr="00B11796" w:rsidRDefault="004338F6" w:rsidP="009B6A62">
      <w:pPr>
        <w:pStyle w:val="FootnoteSocSci"/>
        <w:rPr>
          <w:rFonts w:asciiTheme="majorHAnsi" w:hAnsiTheme="majorHAnsi" w:cs="Times New Roman"/>
          <w:sz w:val="20"/>
          <w:szCs w:val="20"/>
        </w:rPr>
      </w:pPr>
      <w:r w:rsidRPr="00B11796">
        <w:rPr>
          <w:rStyle w:val="FootnoteReference"/>
          <w:rFonts w:asciiTheme="majorHAnsi" w:hAnsiTheme="majorHAnsi"/>
          <w:sz w:val="20"/>
          <w:szCs w:val="20"/>
        </w:rPr>
        <w:footnoteRef/>
      </w:r>
      <w:r w:rsidRPr="00B11796">
        <w:rPr>
          <w:rFonts w:asciiTheme="majorHAnsi" w:hAnsiTheme="majorHAnsi" w:cs="Times New Roman"/>
          <w:sz w:val="20"/>
          <w:szCs w:val="20"/>
        </w:rPr>
        <w:t xml:space="preserve"> Financial Services and Markets Act 2000, s 169.</w:t>
      </w:r>
    </w:p>
  </w:footnote>
  <w:footnote w:id="95">
    <w:p w14:paraId="2F9390CE" w14:textId="77777777" w:rsidR="004338F6" w:rsidRPr="00B11796" w:rsidRDefault="004338F6" w:rsidP="009B6A62">
      <w:pPr>
        <w:pStyle w:val="FootnoteSocSci"/>
        <w:rPr>
          <w:rFonts w:asciiTheme="majorHAnsi" w:hAnsiTheme="majorHAnsi" w:cs="Times New Roman"/>
          <w:sz w:val="20"/>
          <w:szCs w:val="20"/>
        </w:rPr>
      </w:pPr>
      <w:r w:rsidRPr="00B11796">
        <w:rPr>
          <w:rStyle w:val="FootnoteReference"/>
          <w:rFonts w:asciiTheme="majorHAnsi" w:hAnsiTheme="majorHAnsi"/>
          <w:sz w:val="20"/>
          <w:szCs w:val="20"/>
        </w:rPr>
        <w:footnoteRef/>
      </w:r>
      <w:r w:rsidRPr="00B11796">
        <w:rPr>
          <w:rFonts w:asciiTheme="majorHAnsi" w:hAnsiTheme="majorHAnsi" w:cs="Times New Roman"/>
          <w:sz w:val="20"/>
          <w:szCs w:val="20"/>
        </w:rPr>
        <w:t xml:space="preserve"> Financial Services and Markets Act 2000, s 172.</w:t>
      </w:r>
    </w:p>
  </w:footnote>
  <w:footnote w:id="96">
    <w:p w14:paraId="4B26FCD6" w14:textId="77777777" w:rsidR="004338F6" w:rsidRPr="00B11796" w:rsidRDefault="004338F6" w:rsidP="009B6A62">
      <w:pPr>
        <w:pStyle w:val="FootnoteSocSci"/>
        <w:rPr>
          <w:rFonts w:asciiTheme="majorHAnsi" w:hAnsiTheme="majorHAnsi" w:cs="Times New Roman"/>
          <w:sz w:val="20"/>
          <w:szCs w:val="20"/>
        </w:rPr>
      </w:pPr>
      <w:r w:rsidRPr="00B11796">
        <w:rPr>
          <w:rStyle w:val="FootnoteReference"/>
          <w:rFonts w:asciiTheme="majorHAnsi" w:hAnsiTheme="majorHAnsi"/>
          <w:sz w:val="20"/>
          <w:szCs w:val="20"/>
        </w:rPr>
        <w:footnoteRef/>
      </w:r>
      <w:r w:rsidRPr="00B11796">
        <w:rPr>
          <w:rFonts w:asciiTheme="majorHAnsi" w:hAnsiTheme="majorHAnsi" w:cs="Times New Roman"/>
          <w:sz w:val="20"/>
          <w:szCs w:val="20"/>
        </w:rPr>
        <w:t xml:space="preserve"> The prosecutorial powers of the FSA were confirmed by the Supreme Court in </w:t>
      </w:r>
      <w:r w:rsidRPr="00B11796">
        <w:rPr>
          <w:rFonts w:asciiTheme="majorHAnsi" w:hAnsiTheme="majorHAnsi" w:cs="Times New Roman"/>
          <w:i/>
          <w:sz w:val="20"/>
          <w:szCs w:val="20"/>
        </w:rPr>
        <w:t>R v Rollins</w:t>
      </w:r>
      <w:r w:rsidRPr="00B11796">
        <w:rPr>
          <w:rFonts w:asciiTheme="majorHAnsi" w:hAnsiTheme="majorHAnsi" w:cs="Times New Roman"/>
          <w:sz w:val="20"/>
          <w:szCs w:val="20"/>
        </w:rPr>
        <w:t xml:space="preserve"> [2010] UK SC 39.</w:t>
      </w:r>
    </w:p>
  </w:footnote>
  <w:footnote w:id="97">
    <w:p w14:paraId="31BE7AF4" w14:textId="77777777" w:rsidR="004338F6" w:rsidRPr="00B11796" w:rsidRDefault="004338F6" w:rsidP="009B6A62">
      <w:pPr>
        <w:pStyle w:val="FootnoteSocSci"/>
        <w:rPr>
          <w:rFonts w:asciiTheme="majorHAnsi" w:hAnsiTheme="majorHAnsi" w:cs="Times New Roman"/>
          <w:sz w:val="20"/>
          <w:szCs w:val="20"/>
        </w:rPr>
      </w:pPr>
      <w:r w:rsidRPr="00B11796">
        <w:rPr>
          <w:rStyle w:val="FootnoteReference"/>
          <w:rFonts w:asciiTheme="majorHAnsi" w:hAnsiTheme="majorHAnsi"/>
          <w:sz w:val="20"/>
          <w:szCs w:val="20"/>
        </w:rPr>
        <w:footnoteRef/>
      </w:r>
      <w:r w:rsidRPr="00B11796">
        <w:rPr>
          <w:rFonts w:asciiTheme="majorHAnsi" w:hAnsiTheme="majorHAnsi" w:cs="Times New Roman"/>
          <w:sz w:val="20"/>
          <w:szCs w:val="20"/>
        </w:rPr>
        <w:t xml:space="preserve"> Financial Services and Markets Act 2000, s 402 (1)(a).</w:t>
      </w:r>
    </w:p>
  </w:footnote>
  <w:footnote w:id="98">
    <w:p w14:paraId="737FBAFA" w14:textId="77777777" w:rsidR="004338F6" w:rsidRPr="00B11796" w:rsidRDefault="004338F6" w:rsidP="009B6A62">
      <w:pPr>
        <w:pStyle w:val="FootnoteSocSci"/>
        <w:rPr>
          <w:rFonts w:asciiTheme="majorHAnsi" w:hAnsiTheme="majorHAnsi" w:cs="Times New Roman"/>
          <w:sz w:val="20"/>
          <w:szCs w:val="20"/>
        </w:rPr>
      </w:pPr>
      <w:r w:rsidRPr="00B11796">
        <w:rPr>
          <w:rStyle w:val="FootnoteReference"/>
          <w:rFonts w:asciiTheme="majorHAnsi" w:hAnsiTheme="majorHAnsi"/>
          <w:sz w:val="20"/>
          <w:szCs w:val="20"/>
        </w:rPr>
        <w:footnoteRef/>
      </w:r>
      <w:r w:rsidRPr="00B11796">
        <w:rPr>
          <w:rFonts w:asciiTheme="majorHAnsi" w:hAnsiTheme="majorHAnsi" w:cs="Times New Roman"/>
          <w:sz w:val="20"/>
          <w:szCs w:val="20"/>
        </w:rPr>
        <w:t xml:space="preserve"> Financial Services and Markets Act 2000, s 206 (1).</w:t>
      </w:r>
    </w:p>
  </w:footnote>
  <w:footnote w:id="99">
    <w:p w14:paraId="06350EF2" w14:textId="77777777" w:rsidR="004338F6" w:rsidRPr="00B11796" w:rsidRDefault="004338F6" w:rsidP="009B6A62">
      <w:pPr>
        <w:pStyle w:val="FootnoteSocSci"/>
        <w:rPr>
          <w:rFonts w:asciiTheme="majorHAnsi" w:hAnsiTheme="majorHAnsi" w:cs="Times New Roman"/>
          <w:sz w:val="20"/>
          <w:szCs w:val="20"/>
        </w:rPr>
      </w:pPr>
      <w:r w:rsidRPr="00B11796">
        <w:rPr>
          <w:rStyle w:val="FootnoteReference"/>
          <w:rFonts w:asciiTheme="majorHAnsi" w:hAnsiTheme="majorHAnsi"/>
          <w:sz w:val="20"/>
          <w:szCs w:val="20"/>
        </w:rPr>
        <w:footnoteRef/>
      </w:r>
      <w:r w:rsidRPr="00B11796">
        <w:rPr>
          <w:rFonts w:asciiTheme="majorHAnsi" w:hAnsiTheme="majorHAnsi" w:cs="Times New Roman"/>
          <w:sz w:val="20"/>
          <w:szCs w:val="20"/>
        </w:rPr>
        <w:t xml:space="preserve"> See Financial Services Authority, Press Release ‘FSA Fines Alpari and its Former Money Laundering Reporting Officer, Sudipto Chattopadhyay for Anti-money Laundering Failings’ (5 May 2010) &lt;</w:t>
      </w:r>
      <w:hyperlink r:id="rId3" w:history="1">
        <w:r w:rsidRPr="00B11796">
          <w:rPr>
            <w:rStyle w:val="Hyperlink"/>
            <w:rFonts w:asciiTheme="majorHAnsi" w:hAnsiTheme="majorHAnsi" w:cs="Times New Roman"/>
            <w:sz w:val="20"/>
            <w:szCs w:val="20"/>
          </w:rPr>
          <w:t>http://www.fsa.gov.uk/pages/Library/Communication/PR/2010/077.shtml</w:t>
        </w:r>
      </w:hyperlink>
      <w:r w:rsidRPr="00B11796">
        <w:rPr>
          <w:rFonts w:asciiTheme="majorHAnsi" w:hAnsiTheme="majorHAnsi" w:cs="Times New Roman"/>
          <w:sz w:val="20"/>
          <w:szCs w:val="20"/>
        </w:rPr>
        <w:t>&gt; accessed 6 July 2011.</w:t>
      </w:r>
    </w:p>
  </w:footnote>
  <w:footnote w:id="100">
    <w:p w14:paraId="3C8B12C9" w14:textId="77777777" w:rsidR="004338F6" w:rsidRPr="00B11796" w:rsidRDefault="004338F6" w:rsidP="009B6A62">
      <w:pPr>
        <w:pStyle w:val="FootnoteText"/>
        <w:jc w:val="both"/>
        <w:rPr>
          <w:rFonts w:asciiTheme="majorHAnsi" w:hAnsiTheme="majorHAnsi"/>
          <w:lang w:val="en-GB"/>
        </w:rPr>
      </w:pPr>
      <w:r w:rsidRPr="00B11796">
        <w:rPr>
          <w:rStyle w:val="FootnoteReference"/>
          <w:rFonts w:asciiTheme="majorHAnsi" w:hAnsiTheme="majorHAnsi"/>
        </w:rPr>
        <w:footnoteRef/>
      </w:r>
      <w:r w:rsidRPr="00B11796">
        <w:rPr>
          <w:rFonts w:asciiTheme="majorHAnsi" w:hAnsiTheme="majorHAnsi"/>
        </w:rPr>
        <w:t xml:space="preserve"> </w:t>
      </w:r>
      <w:r w:rsidRPr="00B11796">
        <w:rPr>
          <w:rFonts w:asciiTheme="majorHAnsi" w:hAnsiTheme="majorHAnsi"/>
          <w:lang w:val="en-GB"/>
        </w:rPr>
        <w:t xml:space="preserve">Financial Conduct Authority ‘Fighting financial crime’, March 31 2013, available from </w:t>
      </w:r>
      <w:hyperlink r:id="rId4" w:history="1">
        <w:r w:rsidRPr="00B11796">
          <w:rPr>
            <w:rStyle w:val="Hyperlink"/>
            <w:rFonts w:asciiTheme="majorHAnsi" w:hAnsiTheme="majorHAnsi"/>
            <w:lang w:val="en-GB"/>
          </w:rPr>
          <w:t>http://www.fca.org.uk/about/what/protecting/financial-crimem accessed July 8 2013</w:t>
        </w:r>
      </w:hyperlink>
      <w:r w:rsidRPr="00B11796">
        <w:rPr>
          <w:rFonts w:asciiTheme="majorHAnsi" w:hAnsiTheme="majorHAnsi"/>
          <w:lang w:val="en-GB"/>
        </w:rPr>
        <w:t>.  Hereinafter ‘FCA’.</w:t>
      </w:r>
    </w:p>
  </w:footnote>
  <w:footnote w:id="101">
    <w:p w14:paraId="3E5C7DB0" w14:textId="77777777" w:rsidR="004338F6" w:rsidRPr="00B11796" w:rsidRDefault="004338F6" w:rsidP="009B6A62">
      <w:pPr>
        <w:pStyle w:val="FootnoteText"/>
        <w:jc w:val="both"/>
        <w:rPr>
          <w:rFonts w:asciiTheme="majorHAnsi" w:hAnsiTheme="majorHAnsi"/>
          <w:lang w:val="en-GB"/>
        </w:rPr>
      </w:pPr>
      <w:r w:rsidRPr="00B11796">
        <w:rPr>
          <w:rStyle w:val="FootnoteReference"/>
          <w:rFonts w:asciiTheme="majorHAnsi" w:hAnsiTheme="majorHAnsi"/>
        </w:rPr>
        <w:footnoteRef/>
      </w:r>
      <w:r w:rsidRPr="00B11796">
        <w:rPr>
          <w:rFonts w:asciiTheme="majorHAnsi" w:hAnsiTheme="majorHAnsi"/>
        </w:rPr>
        <w:t xml:space="preserve"> </w:t>
      </w:r>
      <w:r w:rsidRPr="00B11796">
        <w:rPr>
          <w:rFonts w:asciiTheme="majorHAnsi" w:hAnsiTheme="majorHAnsi"/>
          <w:i/>
        </w:rPr>
        <w:t>Ibid</w:t>
      </w:r>
      <w:r w:rsidRPr="00B11796">
        <w:rPr>
          <w:rFonts w:asciiTheme="majorHAnsi" w:hAnsiTheme="majorHAnsi"/>
        </w:rPr>
        <w:t xml:space="preserve">.  </w:t>
      </w:r>
    </w:p>
  </w:footnote>
  <w:footnote w:id="102">
    <w:p w14:paraId="7D4EAC84" w14:textId="77777777" w:rsidR="004338F6" w:rsidRPr="00B11796" w:rsidRDefault="004338F6" w:rsidP="009B6A62">
      <w:pPr>
        <w:autoSpaceDE w:val="0"/>
        <w:autoSpaceDN w:val="0"/>
        <w:adjustRightInd w:val="0"/>
        <w:jc w:val="both"/>
        <w:rPr>
          <w:rFonts w:asciiTheme="majorHAnsi" w:eastAsia="Calibri" w:hAnsiTheme="majorHAnsi"/>
          <w:bCs/>
          <w:sz w:val="20"/>
        </w:rPr>
      </w:pPr>
      <w:r w:rsidRPr="00B11796">
        <w:rPr>
          <w:rStyle w:val="FootnoteReference"/>
          <w:rFonts w:asciiTheme="majorHAnsi" w:hAnsiTheme="majorHAnsi"/>
          <w:sz w:val="20"/>
        </w:rPr>
        <w:footnoteRef/>
      </w:r>
      <w:r w:rsidRPr="00B11796">
        <w:rPr>
          <w:rFonts w:asciiTheme="majorHAnsi" w:hAnsiTheme="majorHAnsi"/>
          <w:sz w:val="20"/>
        </w:rPr>
        <w:t xml:space="preserve"> Hill, C. ‘Fund management update’ (2013) </w:t>
      </w:r>
      <w:r w:rsidRPr="00B11796">
        <w:rPr>
          <w:rFonts w:asciiTheme="majorHAnsi" w:eastAsia="Calibri" w:hAnsiTheme="majorHAnsi"/>
          <w:bCs/>
          <w:sz w:val="20"/>
        </w:rPr>
        <w:t xml:space="preserve">Compliance Officer Bulletin, </w:t>
      </w:r>
      <w:r w:rsidRPr="00B11796">
        <w:rPr>
          <w:rFonts w:asciiTheme="majorHAnsi" w:eastAsia="Calibri" w:hAnsiTheme="majorHAnsi"/>
          <w:sz w:val="20"/>
        </w:rPr>
        <w:t>104(Mar), 1-36, at 30.</w:t>
      </w:r>
    </w:p>
  </w:footnote>
  <w:footnote w:id="103">
    <w:p w14:paraId="4E3D2D27" w14:textId="77777777" w:rsidR="004338F6" w:rsidRPr="00B11796" w:rsidRDefault="004338F6" w:rsidP="009B6A62">
      <w:pPr>
        <w:jc w:val="both"/>
        <w:rPr>
          <w:rFonts w:asciiTheme="majorHAnsi" w:eastAsia="Calibri" w:hAnsiTheme="majorHAnsi"/>
          <w:sz w:val="20"/>
        </w:rPr>
      </w:pPr>
      <w:r w:rsidRPr="00B11796">
        <w:rPr>
          <w:rStyle w:val="FootnoteReference"/>
          <w:rFonts w:asciiTheme="majorHAnsi" w:hAnsiTheme="majorHAnsi"/>
          <w:sz w:val="20"/>
        </w:rPr>
        <w:footnoteRef/>
      </w:r>
      <w:r w:rsidRPr="00B11796">
        <w:rPr>
          <w:rFonts w:asciiTheme="majorHAnsi" w:hAnsiTheme="majorHAnsi"/>
          <w:sz w:val="20"/>
        </w:rPr>
        <w:t xml:space="preserve"> </w:t>
      </w:r>
      <w:r w:rsidRPr="00B11796">
        <w:rPr>
          <w:rFonts w:asciiTheme="majorHAnsi" w:eastAsia="Calibri" w:hAnsiTheme="majorHAnsi"/>
          <w:sz w:val="20"/>
          <w:lang w:val="en-US"/>
        </w:rPr>
        <w:t>Srivastava, A., Mason, I., Simpson, M. and Litt, M. ‘Financial Crime’ (2011) C</w:t>
      </w:r>
      <w:r w:rsidRPr="00B11796">
        <w:rPr>
          <w:rFonts w:asciiTheme="majorHAnsi" w:eastAsia="Calibri" w:hAnsiTheme="majorHAnsi"/>
          <w:bCs/>
          <w:sz w:val="20"/>
          <w:lang w:val="en-US"/>
        </w:rPr>
        <w:t xml:space="preserve">ompliance Officer Bulletin, </w:t>
      </w:r>
      <w:r w:rsidRPr="00B11796">
        <w:rPr>
          <w:rFonts w:asciiTheme="majorHAnsi" w:eastAsia="Calibri" w:hAnsiTheme="majorHAnsi"/>
          <w:sz w:val="20"/>
          <w:lang w:val="en-US"/>
        </w:rPr>
        <w:t>86(May), 1-23, at 9.</w:t>
      </w:r>
    </w:p>
  </w:footnote>
  <w:footnote w:id="104">
    <w:p w14:paraId="1BFA0BE9" w14:textId="77777777" w:rsidR="004338F6" w:rsidRPr="00B11796" w:rsidRDefault="004338F6" w:rsidP="009B6A62">
      <w:pPr>
        <w:pStyle w:val="FootnoteText"/>
        <w:jc w:val="both"/>
        <w:rPr>
          <w:rFonts w:asciiTheme="majorHAnsi" w:hAnsiTheme="majorHAnsi"/>
          <w:lang w:val="en-GB"/>
        </w:rPr>
      </w:pPr>
      <w:r w:rsidRPr="00B11796">
        <w:rPr>
          <w:rStyle w:val="FootnoteReference"/>
          <w:rFonts w:asciiTheme="majorHAnsi" w:hAnsiTheme="majorHAnsi"/>
        </w:rPr>
        <w:footnoteRef/>
      </w:r>
      <w:r w:rsidRPr="00B11796">
        <w:rPr>
          <w:rFonts w:asciiTheme="majorHAnsi" w:hAnsiTheme="majorHAnsi"/>
        </w:rPr>
        <w:t xml:space="preserve"> Hill above, n 59 at 30</w:t>
      </w:r>
      <w:r w:rsidRPr="00B11796">
        <w:rPr>
          <w:rFonts w:asciiTheme="majorHAnsi" w:eastAsia="Calibri" w:hAnsiTheme="majorHAnsi"/>
        </w:rPr>
        <w:t>.</w:t>
      </w:r>
    </w:p>
  </w:footnote>
  <w:footnote w:id="105">
    <w:p w14:paraId="62A79BD8" w14:textId="77777777" w:rsidR="004338F6" w:rsidRPr="00B11796" w:rsidRDefault="004338F6" w:rsidP="009B6A62">
      <w:pPr>
        <w:pStyle w:val="FootnoteText"/>
        <w:jc w:val="both"/>
        <w:rPr>
          <w:rFonts w:asciiTheme="majorHAnsi" w:hAnsiTheme="majorHAnsi"/>
          <w:lang w:val="en-GB"/>
        </w:rPr>
      </w:pPr>
      <w:r w:rsidRPr="00B11796">
        <w:rPr>
          <w:rStyle w:val="FootnoteReference"/>
          <w:rFonts w:asciiTheme="majorHAnsi" w:hAnsiTheme="majorHAnsi"/>
        </w:rPr>
        <w:footnoteRef/>
      </w:r>
      <w:r w:rsidRPr="00B11796">
        <w:rPr>
          <w:rFonts w:asciiTheme="majorHAnsi" w:hAnsiTheme="majorHAnsi"/>
        </w:rPr>
        <w:t xml:space="preserve"> </w:t>
      </w:r>
      <w:r w:rsidRPr="00B11796">
        <w:rPr>
          <w:rFonts w:asciiTheme="majorHAnsi" w:eastAsia="Calibri" w:hAnsiTheme="majorHAnsi"/>
        </w:rPr>
        <w:t xml:space="preserve">Srivastava </w:t>
      </w:r>
      <w:r w:rsidRPr="00B11796">
        <w:rPr>
          <w:rFonts w:asciiTheme="majorHAnsi" w:eastAsia="Calibri" w:hAnsiTheme="majorHAnsi"/>
          <w:i/>
        </w:rPr>
        <w:t>et al</w:t>
      </w:r>
      <w:r w:rsidRPr="00B11796">
        <w:rPr>
          <w:rFonts w:asciiTheme="majorHAnsi" w:eastAsia="Calibri" w:hAnsiTheme="majorHAnsi"/>
        </w:rPr>
        <w:t xml:space="preserve"> above, n 62 at 10.</w:t>
      </w:r>
    </w:p>
  </w:footnote>
  <w:footnote w:id="106">
    <w:p w14:paraId="5312A222" w14:textId="77777777" w:rsidR="004338F6" w:rsidRPr="00B11796" w:rsidRDefault="004338F6" w:rsidP="009B6A62">
      <w:pPr>
        <w:pStyle w:val="FootnoteText"/>
        <w:jc w:val="both"/>
        <w:rPr>
          <w:rFonts w:asciiTheme="majorHAnsi" w:hAnsiTheme="majorHAnsi"/>
          <w:lang w:val="en-GB"/>
        </w:rPr>
      </w:pPr>
      <w:r w:rsidRPr="00B11796">
        <w:rPr>
          <w:rStyle w:val="FootnoteReference"/>
          <w:rFonts w:asciiTheme="majorHAnsi" w:hAnsiTheme="majorHAnsi"/>
        </w:rPr>
        <w:footnoteRef/>
      </w:r>
      <w:r w:rsidRPr="00B11796">
        <w:rPr>
          <w:rFonts w:asciiTheme="majorHAnsi" w:hAnsiTheme="majorHAnsi"/>
        </w:rPr>
        <w:t xml:space="preserve"> Hill above, n 59 at 30</w:t>
      </w:r>
      <w:r w:rsidRPr="00B11796">
        <w:rPr>
          <w:rFonts w:asciiTheme="majorHAnsi" w:eastAsia="Calibri" w:hAnsiTheme="majorHAnsi"/>
        </w:rPr>
        <w:t>.</w:t>
      </w:r>
    </w:p>
  </w:footnote>
  <w:footnote w:id="107">
    <w:p w14:paraId="33F0FB07" w14:textId="502ABE4F" w:rsidR="004338F6" w:rsidRPr="00B11796" w:rsidRDefault="004338F6" w:rsidP="002B5690">
      <w:pPr>
        <w:widowControl w:val="0"/>
        <w:autoSpaceDE w:val="0"/>
        <w:autoSpaceDN w:val="0"/>
        <w:adjustRightInd w:val="0"/>
        <w:spacing w:after="240"/>
        <w:rPr>
          <w:rFonts w:asciiTheme="majorHAnsi" w:hAnsiTheme="majorHAnsi" w:cs="Times"/>
          <w:b/>
          <w:sz w:val="20"/>
        </w:rPr>
      </w:pPr>
      <w:r w:rsidRPr="00B11796">
        <w:rPr>
          <w:rStyle w:val="FootnoteReference"/>
          <w:rFonts w:asciiTheme="majorHAnsi" w:hAnsiTheme="majorHAnsi"/>
          <w:b/>
          <w:sz w:val="20"/>
        </w:rPr>
        <w:footnoteRef/>
      </w:r>
      <w:r w:rsidRPr="00B11796">
        <w:rPr>
          <w:rStyle w:val="Strong"/>
          <w:rFonts w:asciiTheme="majorHAnsi" w:hAnsiTheme="majorHAnsi"/>
          <w:b w:val="0"/>
          <w:sz w:val="20"/>
        </w:rPr>
        <w:t xml:space="preserve">Directive 2006/24/EC of the European Parliament and of the Council of 15 March 2006 on the retention of data generated or processed in connection with the provision of publicly available electronic communications services or of public communications networks and amending Directive 2002/58/EC </w:t>
      </w:r>
    </w:p>
  </w:footnote>
  <w:footnote w:id="108">
    <w:p w14:paraId="4C0469F6" w14:textId="08B95E38" w:rsidR="004338F6" w:rsidRPr="00B11796" w:rsidRDefault="004338F6">
      <w:pPr>
        <w:pStyle w:val="FootnoteText"/>
        <w:rPr>
          <w:rFonts w:asciiTheme="majorHAnsi" w:hAnsiTheme="majorHAnsi"/>
        </w:rPr>
      </w:pPr>
      <w:r w:rsidRPr="00B11796">
        <w:rPr>
          <w:rStyle w:val="FootnoteReference"/>
          <w:rFonts w:asciiTheme="majorHAnsi" w:hAnsiTheme="majorHAnsi"/>
        </w:rPr>
        <w:footnoteRef/>
      </w:r>
      <w:r w:rsidRPr="00B11796">
        <w:rPr>
          <w:rFonts w:asciiTheme="majorHAnsi" w:hAnsiTheme="majorHAnsi"/>
        </w:rPr>
        <w:t xml:space="preserve"> </w:t>
      </w:r>
      <w:r w:rsidRPr="00B11796">
        <w:rPr>
          <w:rFonts w:asciiTheme="majorHAnsi" w:eastAsiaTheme="minorEastAsia" w:hAnsiTheme="majorHAnsi"/>
          <w:lang w:eastAsia="en-US" w:bidi="ar-SA"/>
        </w:rPr>
        <w:t xml:space="preserve">Case C-293/12, </w:t>
      </w:r>
      <w:r w:rsidRPr="00B11796">
        <w:rPr>
          <w:rFonts w:asciiTheme="majorHAnsi" w:eastAsiaTheme="minorEastAsia" w:hAnsiTheme="majorHAnsi"/>
          <w:i/>
          <w:lang w:eastAsia="en-US" w:bidi="ar-SA"/>
        </w:rPr>
        <w:t>Digital rights,</w:t>
      </w:r>
      <w:r w:rsidRPr="00B11796">
        <w:rPr>
          <w:rFonts w:asciiTheme="majorHAnsi" w:eastAsiaTheme="minorEastAsia" w:hAnsiTheme="majorHAnsi"/>
          <w:lang w:eastAsia="en-US" w:bidi="ar-SA"/>
        </w:rPr>
        <w:t xml:space="preserve"> judgment of 8 April 2014.</w:t>
      </w:r>
    </w:p>
  </w:footnote>
  <w:footnote w:id="109">
    <w:p w14:paraId="3EDB0C64" w14:textId="4A6050ED" w:rsidR="004338F6" w:rsidRPr="00B11796" w:rsidRDefault="004338F6" w:rsidP="004738C5">
      <w:pPr>
        <w:pStyle w:val="FootnoteText"/>
        <w:rPr>
          <w:rFonts w:asciiTheme="majorHAnsi" w:hAnsiTheme="majorHAnsi"/>
        </w:rPr>
      </w:pPr>
      <w:r w:rsidRPr="00B11796">
        <w:rPr>
          <w:rStyle w:val="FootnoteReference"/>
          <w:rFonts w:asciiTheme="majorHAnsi" w:hAnsiTheme="majorHAnsi"/>
        </w:rPr>
        <w:footnoteRef/>
      </w:r>
      <w:r w:rsidRPr="00B11796">
        <w:rPr>
          <w:rFonts w:asciiTheme="majorHAnsi" w:hAnsiTheme="majorHAnsi"/>
        </w:rPr>
        <w:t xml:space="preserve"> C-362/14 </w:t>
      </w:r>
      <w:r w:rsidRPr="00B11796">
        <w:rPr>
          <w:rFonts w:asciiTheme="majorHAnsi" w:hAnsiTheme="majorHAnsi"/>
          <w:i/>
          <w:iCs/>
        </w:rPr>
        <w:t>Schrems v. Data Protection Commissioner</w:t>
      </w:r>
      <w:r w:rsidRPr="00B11796">
        <w:rPr>
          <w:rFonts w:asciiTheme="majorHAnsi" w:hAnsiTheme="majorHAnsi"/>
        </w:rPr>
        <w:t xml:space="preserve"> Judgment of 6 October 2015.</w:t>
      </w:r>
    </w:p>
  </w:footnote>
  <w:footnote w:id="110">
    <w:p w14:paraId="772221AB" w14:textId="562E5833" w:rsidR="008E43F0" w:rsidRDefault="008E43F0">
      <w:pPr>
        <w:pStyle w:val="FootnoteText"/>
      </w:pPr>
      <w:r>
        <w:rPr>
          <w:rStyle w:val="FootnoteReference"/>
        </w:rPr>
        <w:footnoteRef/>
      </w:r>
      <w:r>
        <w:t xml:space="preserve"> See XX removed for anonymity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CA32D" w14:textId="77777777" w:rsidR="004338F6" w:rsidRDefault="004338F6" w:rsidP="004738C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172</w:t>
    </w:r>
    <w:r>
      <w:rPr>
        <w:rStyle w:val="PageNumber"/>
      </w:rPr>
      <w:fldChar w:fldCharType="end"/>
    </w:r>
  </w:p>
  <w:p w14:paraId="7D7CEAC2" w14:textId="77777777" w:rsidR="004338F6" w:rsidRPr="002F0167" w:rsidRDefault="004338F6" w:rsidP="002527A7">
    <w:pPr>
      <w:tabs>
        <w:tab w:val="center" w:pos="3600"/>
        <w:tab w:val="right" w:pos="7420"/>
      </w:tabs>
      <w:ind w:right="360" w:firstLine="360"/>
      <w:rPr>
        <w:rFonts w:ascii="Calibri" w:hAnsi="Calibri"/>
        <w:spacing w:val="30"/>
        <w:sz w:val="22"/>
        <w:szCs w:val="22"/>
      </w:rPr>
    </w:pPr>
    <w:r>
      <w:rPr>
        <w:rFonts w:ascii="Calibri" w:hAnsi="Calibri"/>
        <w:noProof/>
        <w:spacing w:val="30"/>
        <w:sz w:val="22"/>
        <w:szCs w:val="22"/>
      </w:rPr>
      <w:tab/>
    </w:r>
    <w:r>
      <w:rPr>
        <w:rStyle w:val="PageNumber"/>
        <w:rFonts w:ascii="Calibri" w:hAnsi="Calibri"/>
      </w:rPr>
      <w:t xml:space="preserve"> </w:t>
    </w:r>
  </w:p>
  <w:p w14:paraId="3C470685" w14:textId="77777777" w:rsidR="004338F6" w:rsidRDefault="004338F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3D1E7" w14:textId="77777777" w:rsidR="004338F6" w:rsidRDefault="004338F6" w:rsidP="002527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978B6">
      <w:rPr>
        <w:rStyle w:val="PageNumber"/>
        <w:noProof/>
      </w:rPr>
      <w:t>1</w:t>
    </w:r>
    <w:r>
      <w:rPr>
        <w:rStyle w:val="PageNumber"/>
      </w:rPr>
      <w:fldChar w:fldCharType="end"/>
    </w:r>
  </w:p>
  <w:p w14:paraId="2C583075" w14:textId="77777777" w:rsidR="004338F6" w:rsidRDefault="004338F6" w:rsidP="002527A7">
    <w:pPr>
      <w:pStyle w:val="Header"/>
      <w:tabs>
        <w:tab w:val="clear" w:pos="4536"/>
        <w:tab w:val="clear" w:pos="9072"/>
        <w:tab w:val="center" w:pos="3690"/>
      </w:tabs>
      <w:ind w:right="360"/>
      <w:rPr>
        <w:rFonts w:ascii="Calibri" w:hAnsi="Calibri"/>
        <w:sz w:val="22"/>
      </w:rPr>
    </w:pPr>
  </w:p>
  <w:p w14:paraId="4E47D26B" w14:textId="77777777" w:rsidR="004338F6" w:rsidRDefault="004338F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8C5"/>
    <w:rsid w:val="000013E1"/>
    <w:rsid w:val="00007C3E"/>
    <w:rsid w:val="00011225"/>
    <w:rsid w:val="0001233F"/>
    <w:rsid w:val="000164A7"/>
    <w:rsid w:val="000254FB"/>
    <w:rsid w:val="0005058A"/>
    <w:rsid w:val="0005080C"/>
    <w:rsid w:val="000922B2"/>
    <w:rsid w:val="000B1EE3"/>
    <w:rsid w:val="000D40D0"/>
    <w:rsid w:val="000F00CD"/>
    <w:rsid w:val="001357C9"/>
    <w:rsid w:val="00146EB7"/>
    <w:rsid w:val="00153DC5"/>
    <w:rsid w:val="001551FE"/>
    <w:rsid w:val="001B0775"/>
    <w:rsid w:val="001C5003"/>
    <w:rsid w:val="001C6449"/>
    <w:rsid w:val="001C6BA1"/>
    <w:rsid w:val="001D1538"/>
    <w:rsid w:val="001D1F36"/>
    <w:rsid w:val="001E7D34"/>
    <w:rsid w:val="00204685"/>
    <w:rsid w:val="002335E3"/>
    <w:rsid w:val="002527A7"/>
    <w:rsid w:val="00255883"/>
    <w:rsid w:val="002B5690"/>
    <w:rsid w:val="002B6BCC"/>
    <w:rsid w:val="002C36CA"/>
    <w:rsid w:val="002E0CAE"/>
    <w:rsid w:val="002E20C3"/>
    <w:rsid w:val="002F2B7C"/>
    <w:rsid w:val="0030100D"/>
    <w:rsid w:val="00303040"/>
    <w:rsid w:val="00311860"/>
    <w:rsid w:val="00326CEF"/>
    <w:rsid w:val="00336FFA"/>
    <w:rsid w:val="003A1073"/>
    <w:rsid w:val="003A509F"/>
    <w:rsid w:val="003B7405"/>
    <w:rsid w:val="003F5A0F"/>
    <w:rsid w:val="00410D94"/>
    <w:rsid w:val="004147FF"/>
    <w:rsid w:val="0042095A"/>
    <w:rsid w:val="004338F6"/>
    <w:rsid w:val="00443B27"/>
    <w:rsid w:val="00445A27"/>
    <w:rsid w:val="00471632"/>
    <w:rsid w:val="004738C5"/>
    <w:rsid w:val="00487232"/>
    <w:rsid w:val="00491D06"/>
    <w:rsid w:val="00493E38"/>
    <w:rsid w:val="004A3B59"/>
    <w:rsid w:val="004B1429"/>
    <w:rsid w:val="004C13FA"/>
    <w:rsid w:val="004D21D8"/>
    <w:rsid w:val="004E72F1"/>
    <w:rsid w:val="004F2FD3"/>
    <w:rsid w:val="00551B0B"/>
    <w:rsid w:val="00563867"/>
    <w:rsid w:val="00564E3B"/>
    <w:rsid w:val="0058026D"/>
    <w:rsid w:val="00590F67"/>
    <w:rsid w:val="005961F6"/>
    <w:rsid w:val="005D36A7"/>
    <w:rsid w:val="005D485E"/>
    <w:rsid w:val="00600590"/>
    <w:rsid w:val="006374D1"/>
    <w:rsid w:val="00694436"/>
    <w:rsid w:val="006A216F"/>
    <w:rsid w:val="006D5CA1"/>
    <w:rsid w:val="006E3A05"/>
    <w:rsid w:val="006F21BC"/>
    <w:rsid w:val="0071067B"/>
    <w:rsid w:val="00725FA7"/>
    <w:rsid w:val="00730D9D"/>
    <w:rsid w:val="007415D2"/>
    <w:rsid w:val="00747F3B"/>
    <w:rsid w:val="00750CCC"/>
    <w:rsid w:val="00753031"/>
    <w:rsid w:val="00761D1B"/>
    <w:rsid w:val="00763175"/>
    <w:rsid w:val="00782CE8"/>
    <w:rsid w:val="00786613"/>
    <w:rsid w:val="00790501"/>
    <w:rsid w:val="00792055"/>
    <w:rsid w:val="007B170F"/>
    <w:rsid w:val="007B47A8"/>
    <w:rsid w:val="007E4278"/>
    <w:rsid w:val="007F4902"/>
    <w:rsid w:val="00802B00"/>
    <w:rsid w:val="0080376C"/>
    <w:rsid w:val="008111C9"/>
    <w:rsid w:val="008279E0"/>
    <w:rsid w:val="00855464"/>
    <w:rsid w:val="00863EE9"/>
    <w:rsid w:val="008E43F0"/>
    <w:rsid w:val="00902770"/>
    <w:rsid w:val="00921DF8"/>
    <w:rsid w:val="00926179"/>
    <w:rsid w:val="0093051E"/>
    <w:rsid w:val="00944283"/>
    <w:rsid w:val="00947B00"/>
    <w:rsid w:val="0096087A"/>
    <w:rsid w:val="00972F8E"/>
    <w:rsid w:val="009741D9"/>
    <w:rsid w:val="0099611C"/>
    <w:rsid w:val="009A122E"/>
    <w:rsid w:val="009A3FFB"/>
    <w:rsid w:val="009B6A62"/>
    <w:rsid w:val="009B70F5"/>
    <w:rsid w:val="009D7CA3"/>
    <w:rsid w:val="00A27055"/>
    <w:rsid w:val="00A37F6E"/>
    <w:rsid w:val="00A40055"/>
    <w:rsid w:val="00A477F2"/>
    <w:rsid w:val="00A53CD3"/>
    <w:rsid w:val="00A658F0"/>
    <w:rsid w:val="00A66C92"/>
    <w:rsid w:val="00A87B5D"/>
    <w:rsid w:val="00A91642"/>
    <w:rsid w:val="00AB1544"/>
    <w:rsid w:val="00AB7AE2"/>
    <w:rsid w:val="00B11796"/>
    <w:rsid w:val="00B40220"/>
    <w:rsid w:val="00B54C41"/>
    <w:rsid w:val="00B60E0A"/>
    <w:rsid w:val="00BA2D07"/>
    <w:rsid w:val="00BC5C3E"/>
    <w:rsid w:val="00BF3E3D"/>
    <w:rsid w:val="00BF7C8E"/>
    <w:rsid w:val="00C4714F"/>
    <w:rsid w:val="00C63A92"/>
    <w:rsid w:val="00CE3E05"/>
    <w:rsid w:val="00CF6A3A"/>
    <w:rsid w:val="00D16E89"/>
    <w:rsid w:val="00D46F48"/>
    <w:rsid w:val="00D50665"/>
    <w:rsid w:val="00D52230"/>
    <w:rsid w:val="00D74599"/>
    <w:rsid w:val="00D978B6"/>
    <w:rsid w:val="00DA1AAC"/>
    <w:rsid w:val="00DD0117"/>
    <w:rsid w:val="00DE7153"/>
    <w:rsid w:val="00DF7B7F"/>
    <w:rsid w:val="00E3714C"/>
    <w:rsid w:val="00E46029"/>
    <w:rsid w:val="00E52E99"/>
    <w:rsid w:val="00E54F31"/>
    <w:rsid w:val="00E60EC5"/>
    <w:rsid w:val="00E758E9"/>
    <w:rsid w:val="00E915D6"/>
    <w:rsid w:val="00EA6C3E"/>
    <w:rsid w:val="00ED4574"/>
    <w:rsid w:val="00ED7E3F"/>
    <w:rsid w:val="00EF1443"/>
    <w:rsid w:val="00F338EC"/>
    <w:rsid w:val="00FB657D"/>
    <w:rsid w:val="00FE27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299E4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8C5"/>
    <w:rPr>
      <w:rFonts w:ascii="Arial" w:eastAsia="Times New Roman" w:hAnsi="Arial" w:cs="Times New Roman"/>
      <w:szCs w:val="20"/>
      <w:lang w:val="en-GB" w:eastAsia="de-DE" w:bidi="he-IL"/>
    </w:rPr>
  </w:style>
  <w:style w:type="paragraph" w:styleId="Heading1">
    <w:name w:val="heading 1"/>
    <w:basedOn w:val="Normal"/>
    <w:next w:val="Normal"/>
    <w:link w:val="Heading1Char"/>
    <w:qFormat/>
    <w:rsid w:val="004738C5"/>
    <w:pPr>
      <w:keepNext/>
      <w:spacing w:before="240" w:after="60"/>
      <w:outlineLvl w:val="0"/>
    </w:pPr>
    <w:rPr>
      <w:b/>
      <w:kern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38C5"/>
    <w:rPr>
      <w:rFonts w:ascii="Arial" w:eastAsia="Times New Roman" w:hAnsi="Arial" w:cs="Times New Roman"/>
      <w:b/>
      <w:kern w:val="28"/>
      <w:szCs w:val="20"/>
      <w:lang w:eastAsia="de-DE" w:bidi="he-IL"/>
    </w:rPr>
  </w:style>
  <w:style w:type="paragraph" w:styleId="Header">
    <w:name w:val="header"/>
    <w:basedOn w:val="Normal"/>
    <w:link w:val="HeaderChar"/>
    <w:rsid w:val="004738C5"/>
    <w:pPr>
      <w:tabs>
        <w:tab w:val="center" w:pos="4536"/>
        <w:tab w:val="right" w:pos="9072"/>
      </w:tabs>
    </w:pPr>
  </w:style>
  <w:style w:type="character" w:customStyle="1" w:styleId="HeaderChar">
    <w:name w:val="Header Char"/>
    <w:basedOn w:val="DefaultParagraphFont"/>
    <w:link w:val="Header"/>
    <w:rsid w:val="004738C5"/>
    <w:rPr>
      <w:rFonts w:ascii="Arial" w:eastAsia="Times New Roman" w:hAnsi="Arial" w:cs="Times New Roman"/>
      <w:szCs w:val="20"/>
      <w:lang w:val="en-GB" w:eastAsia="de-DE" w:bidi="he-IL"/>
    </w:rPr>
  </w:style>
  <w:style w:type="paragraph" w:styleId="Footer">
    <w:name w:val="footer"/>
    <w:basedOn w:val="Normal"/>
    <w:link w:val="FooterChar"/>
    <w:rsid w:val="004738C5"/>
    <w:pPr>
      <w:tabs>
        <w:tab w:val="center" w:pos="4536"/>
        <w:tab w:val="right" w:pos="9072"/>
      </w:tabs>
    </w:pPr>
  </w:style>
  <w:style w:type="character" w:customStyle="1" w:styleId="FooterChar">
    <w:name w:val="Footer Char"/>
    <w:basedOn w:val="DefaultParagraphFont"/>
    <w:link w:val="Footer"/>
    <w:rsid w:val="004738C5"/>
    <w:rPr>
      <w:rFonts w:ascii="Arial" w:eastAsia="Times New Roman" w:hAnsi="Arial" w:cs="Times New Roman"/>
      <w:szCs w:val="20"/>
      <w:lang w:val="en-GB" w:eastAsia="de-DE" w:bidi="he-IL"/>
    </w:rPr>
  </w:style>
  <w:style w:type="character" w:styleId="PageNumber">
    <w:name w:val="page number"/>
    <w:basedOn w:val="DefaultParagraphFont"/>
    <w:rsid w:val="004738C5"/>
  </w:style>
  <w:style w:type="paragraph" w:styleId="BodyText2">
    <w:name w:val="Body Text 2"/>
    <w:basedOn w:val="Normal"/>
    <w:link w:val="BodyText2Char"/>
    <w:rsid w:val="004738C5"/>
    <w:rPr>
      <w:b/>
      <w:sz w:val="28"/>
    </w:rPr>
  </w:style>
  <w:style w:type="character" w:customStyle="1" w:styleId="BodyText2Char">
    <w:name w:val="Body Text 2 Char"/>
    <w:basedOn w:val="DefaultParagraphFont"/>
    <w:link w:val="BodyText2"/>
    <w:rsid w:val="004738C5"/>
    <w:rPr>
      <w:rFonts w:ascii="Arial" w:eastAsia="Times New Roman" w:hAnsi="Arial" w:cs="Times New Roman"/>
      <w:b/>
      <w:sz w:val="28"/>
      <w:szCs w:val="20"/>
      <w:lang w:val="en-GB" w:eastAsia="de-DE" w:bidi="he-IL"/>
    </w:rPr>
  </w:style>
  <w:style w:type="character" w:styleId="FootnoteReference">
    <w:name w:val="footnote reference"/>
    <w:aliases w:val="JFR-Fußnotenzeichen,*Footnote Reference,Ref,de nota al pie,Fußnotenzeichen_neu,Fußnotentext2,FZ,Footnote Reference1,Standard + Block,Erste Zeile:  1 cm,DP Fußnoten-Nr"/>
    <w:qFormat/>
    <w:rsid w:val="004738C5"/>
    <w:rPr>
      <w:vertAlign w:val="superscript"/>
    </w:rPr>
  </w:style>
  <w:style w:type="paragraph" w:styleId="BodyText">
    <w:name w:val="Body Text"/>
    <w:basedOn w:val="Normal"/>
    <w:link w:val="BodyTextChar"/>
    <w:rsid w:val="004738C5"/>
    <w:pPr>
      <w:jc w:val="both"/>
    </w:pPr>
    <w:rPr>
      <w:lang w:val="en-US"/>
    </w:rPr>
  </w:style>
  <w:style w:type="character" w:customStyle="1" w:styleId="BodyTextChar">
    <w:name w:val="Body Text Char"/>
    <w:basedOn w:val="DefaultParagraphFont"/>
    <w:link w:val="BodyText"/>
    <w:rsid w:val="004738C5"/>
    <w:rPr>
      <w:rFonts w:ascii="Arial" w:eastAsia="Times New Roman" w:hAnsi="Arial" w:cs="Times New Roman"/>
      <w:szCs w:val="20"/>
      <w:lang w:eastAsia="de-DE" w:bidi="he-IL"/>
    </w:rPr>
  </w:style>
  <w:style w:type="character" w:styleId="Hyperlink">
    <w:name w:val="Hyperlink"/>
    <w:uiPriority w:val="99"/>
    <w:rsid w:val="004738C5"/>
    <w:rPr>
      <w:color w:val="0000FF"/>
      <w:u w:val="single"/>
    </w:rPr>
  </w:style>
  <w:style w:type="paragraph" w:styleId="FootnoteText">
    <w:name w:val="footnote text"/>
    <w:aliases w:val="Fußnote,Char Char Char Char Char Char,Char Char Char Char Char,Char Char Char Char Char Char1,Char Char Char Char, Char Char Char Char Char Char, Char Char Char Char Char, Char Char Char Char Char Char1, Char Char Char Char, Char Char Char"/>
    <w:basedOn w:val="Normal"/>
    <w:link w:val="FootnoteTextChar"/>
    <w:qFormat/>
    <w:rsid w:val="004738C5"/>
    <w:rPr>
      <w:sz w:val="20"/>
      <w:lang w:val="en-US"/>
    </w:rPr>
  </w:style>
  <w:style w:type="character" w:customStyle="1" w:styleId="FootnoteTextChar">
    <w:name w:val="Footnote Text Char"/>
    <w:aliases w:val="Fußnote Char,Char Char Char Char Char Char Char,Char Char Char Char Char Char2,Char Char Char Char Char Char1 Char,Char Char Char Char Char1, Char Char Char Char Char Char Char, Char Char Char Char Char Char2, Char Char Char Char1"/>
    <w:basedOn w:val="DefaultParagraphFont"/>
    <w:link w:val="FootnoteText"/>
    <w:rsid w:val="004738C5"/>
    <w:rPr>
      <w:rFonts w:ascii="Arial" w:eastAsia="Times New Roman" w:hAnsi="Arial" w:cs="Times New Roman"/>
      <w:sz w:val="20"/>
      <w:szCs w:val="20"/>
      <w:lang w:eastAsia="de-DE" w:bidi="he-IL"/>
    </w:rPr>
  </w:style>
  <w:style w:type="paragraph" w:styleId="CommentText">
    <w:name w:val="annotation text"/>
    <w:basedOn w:val="Normal"/>
    <w:link w:val="CommentTextChar1"/>
    <w:semiHidden/>
    <w:rsid w:val="004738C5"/>
    <w:rPr>
      <w:rFonts w:ascii="Times" w:eastAsia="Times" w:hAnsi="Times"/>
      <w:sz w:val="20"/>
      <w:lang w:val="it-IT" w:bidi="ar-SA"/>
    </w:rPr>
  </w:style>
  <w:style w:type="character" w:customStyle="1" w:styleId="CommentTextChar">
    <w:name w:val="Comment Text Char"/>
    <w:basedOn w:val="DefaultParagraphFont"/>
    <w:uiPriority w:val="99"/>
    <w:semiHidden/>
    <w:rsid w:val="004738C5"/>
    <w:rPr>
      <w:rFonts w:ascii="Arial" w:eastAsia="Times New Roman" w:hAnsi="Arial" w:cs="Times New Roman"/>
      <w:lang w:val="en-GB" w:eastAsia="de-DE" w:bidi="he-IL"/>
    </w:rPr>
  </w:style>
  <w:style w:type="paragraph" w:styleId="NormalWeb">
    <w:name w:val="Normal (Web)"/>
    <w:aliases w:val=" webb,webb, Char Char,Char Char, Char Char1,Char Char1"/>
    <w:basedOn w:val="Normal"/>
    <w:rsid w:val="004738C5"/>
    <w:pPr>
      <w:spacing w:before="100" w:beforeAutospacing="1" w:after="119"/>
    </w:pPr>
    <w:rPr>
      <w:rFonts w:ascii="Times New Roman" w:hAnsi="Times New Roman"/>
      <w:szCs w:val="24"/>
      <w:lang w:bidi="ar-SA"/>
    </w:rPr>
  </w:style>
  <w:style w:type="character" w:styleId="Strong">
    <w:name w:val="Strong"/>
    <w:uiPriority w:val="22"/>
    <w:qFormat/>
    <w:rsid w:val="004738C5"/>
    <w:rPr>
      <w:b/>
      <w:bCs/>
    </w:rPr>
  </w:style>
  <w:style w:type="character" w:styleId="Emphasis">
    <w:name w:val="Emphasis"/>
    <w:uiPriority w:val="20"/>
    <w:qFormat/>
    <w:rsid w:val="004738C5"/>
    <w:rPr>
      <w:i/>
      <w:iCs/>
    </w:rPr>
  </w:style>
  <w:style w:type="character" w:styleId="CommentReference">
    <w:name w:val="annotation reference"/>
    <w:semiHidden/>
    <w:unhideWhenUsed/>
    <w:rsid w:val="004738C5"/>
    <w:rPr>
      <w:sz w:val="16"/>
      <w:szCs w:val="16"/>
    </w:rPr>
  </w:style>
  <w:style w:type="paragraph" w:customStyle="1" w:styleId="Default">
    <w:name w:val="Default"/>
    <w:rsid w:val="004738C5"/>
    <w:pPr>
      <w:autoSpaceDE w:val="0"/>
      <w:autoSpaceDN w:val="0"/>
      <w:adjustRightInd w:val="0"/>
    </w:pPr>
    <w:rPr>
      <w:rFonts w:ascii="Times New Roman" w:eastAsia="Times New Roman" w:hAnsi="Times New Roman" w:cs="Times New Roman"/>
      <w:color w:val="000000"/>
    </w:rPr>
  </w:style>
  <w:style w:type="character" w:customStyle="1" w:styleId="booktitle">
    <w:name w:val="booktitle"/>
    <w:basedOn w:val="DefaultParagraphFont"/>
    <w:rsid w:val="004738C5"/>
  </w:style>
  <w:style w:type="character" w:customStyle="1" w:styleId="bookedition">
    <w:name w:val="bookedition"/>
    <w:basedOn w:val="DefaultParagraphFont"/>
    <w:rsid w:val="004738C5"/>
  </w:style>
  <w:style w:type="character" w:customStyle="1" w:styleId="booksubtitle">
    <w:name w:val="booksubtitle"/>
    <w:basedOn w:val="DefaultParagraphFont"/>
    <w:rsid w:val="004738C5"/>
  </w:style>
  <w:style w:type="character" w:customStyle="1" w:styleId="st">
    <w:name w:val="st"/>
    <w:basedOn w:val="DefaultParagraphFont"/>
    <w:rsid w:val="004738C5"/>
  </w:style>
  <w:style w:type="character" w:customStyle="1" w:styleId="CommentTextChar1">
    <w:name w:val="Comment Text Char1"/>
    <w:basedOn w:val="DefaultParagraphFont"/>
    <w:link w:val="CommentText"/>
    <w:semiHidden/>
    <w:rsid w:val="004738C5"/>
    <w:rPr>
      <w:rFonts w:ascii="Times" w:eastAsia="Times" w:hAnsi="Times" w:cs="Times New Roman"/>
      <w:sz w:val="20"/>
      <w:szCs w:val="20"/>
      <w:lang w:val="it-IT" w:eastAsia="de-DE"/>
    </w:rPr>
  </w:style>
  <w:style w:type="paragraph" w:customStyle="1" w:styleId="FootnoteSocSci">
    <w:name w:val="Footnote SocSci"/>
    <w:rsid w:val="004738C5"/>
    <w:pPr>
      <w:jc w:val="both"/>
    </w:pPr>
    <w:rPr>
      <w:rFonts w:ascii="Times" w:eastAsia="Times New Roman" w:hAnsi="Times" w:cs="Times"/>
      <w:sz w:val="18"/>
      <w:szCs w:val="22"/>
      <w:lang w:eastAsia="ar-SA"/>
    </w:rPr>
  </w:style>
  <w:style w:type="paragraph" w:customStyle="1" w:styleId="center3">
    <w:name w:val="center3"/>
    <w:basedOn w:val="Normal"/>
    <w:rsid w:val="004738C5"/>
    <w:pPr>
      <w:jc w:val="center"/>
    </w:pPr>
    <w:rPr>
      <w:rFonts w:ascii="Times New Roman" w:hAnsi="Times New Roman"/>
      <w:szCs w:val="24"/>
      <w:lang w:eastAsia="en-GB" w:bidi="ar-SA"/>
    </w:rPr>
  </w:style>
  <w:style w:type="paragraph" w:styleId="BalloonText">
    <w:name w:val="Balloon Text"/>
    <w:basedOn w:val="Normal"/>
    <w:link w:val="BalloonTextChar"/>
    <w:uiPriority w:val="99"/>
    <w:semiHidden/>
    <w:unhideWhenUsed/>
    <w:rsid w:val="004738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38C5"/>
    <w:rPr>
      <w:rFonts w:ascii="Lucida Grande" w:eastAsia="Times New Roman" w:hAnsi="Lucida Grande" w:cs="Lucida Grande"/>
      <w:sz w:val="18"/>
      <w:szCs w:val="18"/>
      <w:lang w:val="en-GB" w:eastAsia="de-DE" w:bidi="he-IL"/>
    </w:rPr>
  </w:style>
  <w:style w:type="paragraph" w:styleId="CommentSubject">
    <w:name w:val="annotation subject"/>
    <w:basedOn w:val="CommentText"/>
    <w:next w:val="CommentText"/>
    <w:link w:val="CommentSubjectChar"/>
    <w:uiPriority w:val="99"/>
    <w:semiHidden/>
    <w:unhideWhenUsed/>
    <w:rsid w:val="00445A27"/>
    <w:rPr>
      <w:rFonts w:ascii="Arial" w:eastAsia="Times New Roman" w:hAnsi="Arial"/>
      <w:b/>
      <w:bCs/>
      <w:lang w:val="en-GB" w:bidi="he-IL"/>
    </w:rPr>
  </w:style>
  <w:style w:type="character" w:customStyle="1" w:styleId="CommentSubjectChar">
    <w:name w:val="Comment Subject Char"/>
    <w:basedOn w:val="CommentTextChar1"/>
    <w:link w:val="CommentSubject"/>
    <w:uiPriority w:val="99"/>
    <w:semiHidden/>
    <w:rsid w:val="00445A27"/>
    <w:rPr>
      <w:rFonts w:ascii="Arial" w:eastAsia="Times New Roman" w:hAnsi="Arial" w:cs="Times New Roman"/>
      <w:b/>
      <w:bCs/>
      <w:sz w:val="20"/>
      <w:szCs w:val="20"/>
      <w:lang w:val="en-GB" w:eastAsia="de-DE" w:bidi="he-IL"/>
    </w:rPr>
  </w:style>
  <w:style w:type="paragraph" w:customStyle="1" w:styleId="CM4">
    <w:name w:val="CM4"/>
    <w:basedOn w:val="Default"/>
    <w:next w:val="Default"/>
    <w:uiPriority w:val="99"/>
    <w:rsid w:val="0080376C"/>
    <w:pPr>
      <w:widowControl w:val="0"/>
    </w:pPr>
    <w:rPr>
      <w:rFonts w:ascii="EUAlbertina" w:eastAsiaTheme="minorEastAsia" w:hAnsi="EUAlbertina"/>
      <w:color w:val="auto"/>
    </w:rPr>
  </w:style>
  <w:style w:type="character" w:customStyle="1" w:styleId="documentbody">
    <w:name w:val="documentbody"/>
    <w:rsid w:val="00CE3E05"/>
  </w:style>
  <w:style w:type="character" w:customStyle="1" w:styleId="searchterm">
    <w:name w:val="searchterm"/>
    <w:rsid w:val="00CE3E05"/>
  </w:style>
  <w:style w:type="character" w:styleId="FollowedHyperlink">
    <w:name w:val="FollowedHyperlink"/>
    <w:basedOn w:val="DefaultParagraphFont"/>
    <w:uiPriority w:val="99"/>
    <w:semiHidden/>
    <w:unhideWhenUsed/>
    <w:rsid w:val="00A66C9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8C5"/>
    <w:rPr>
      <w:rFonts w:ascii="Arial" w:eastAsia="Times New Roman" w:hAnsi="Arial" w:cs="Times New Roman"/>
      <w:szCs w:val="20"/>
      <w:lang w:val="en-GB" w:eastAsia="de-DE" w:bidi="he-IL"/>
    </w:rPr>
  </w:style>
  <w:style w:type="paragraph" w:styleId="Heading1">
    <w:name w:val="heading 1"/>
    <w:basedOn w:val="Normal"/>
    <w:next w:val="Normal"/>
    <w:link w:val="Heading1Char"/>
    <w:qFormat/>
    <w:rsid w:val="004738C5"/>
    <w:pPr>
      <w:keepNext/>
      <w:spacing w:before="240" w:after="60"/>
      <w:outlineLvl w:val="0"/>
    </w:pPr>
    <w:rPr>
      <w:b/>
      <w:kern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38C5"/>
    <w:rPr>
      <w:rFonts w:ascii="Arial" w:eastAsia="Times New Roman" w:hAnsi="Arial" w:cs="Times New Roman"/>
      <w:b/>
      <w:kern w:val="28"/>
      <w:szCs w:val="20"/>
      <w:lang w:eastAsia="de-DE" w:bidi="he-IL"/>
    </w:rPr>
  </w:style>
  <w:style w:type="paragraph" w:styleId="Header">
    <w:name w:val="header"/>
    <w:basedOn w:val="Normal"/>
    <w:link w:val="HeaderChar"/>
    <w:rsid w:val="004738C5"/>
    <w:pPr>
      <w:tabs>
        <w:tab w:val="center" w:pos="4536"/>
        <w:tab w:val="right" w:pos="9072"/>
      </w:tabs>
    </w:pPr>
  </w:style>
  <w:style w:type="character" w:customStyle="1" w:styleId="HeaderChar">
    <w:name w:val="Header Char"/>
    <w:basedOn w:val="DefaultParagraphFont"/>
    <w:link w:val="Header"/>
    <w:rsid w:val="004738C5"/>
    <w:rPr>
      <w:rFonts w:ascii="Arial" w:eastAsia="Times New Roman" w:hAnsi="Arial" w:cs="Times New Roman"/>
      <w:szCs w:val="20"/>
      <w:lang w:val="en-GB" w:eastAsia="de-DE" w:bidi="he-IL"/>
    </w:rPr>
  </w:style>
  <w:style w:type="paragraph" w:styleId="Footer">
    <w:name w:val="footer"/>
    <w:basedOn w:val="Normal"/>
    <w:link w:val="FooterChar"/>
    <w:rsid w:val="004738C5"/>
    <w:pPr>
      <w:tabs>
        <w:tab w:val="center" w:pos="4536"/>
        <w:tab w:val="right" w:pos="9072"/>
      </w:tabs>
    </w:pPr>
  </w:style>
  <w:style w:type="character" w:customStyle="1" w:styleId="FooterChar">
    <w:name w:val="Footer Char"/>
    <w:basedOn w:val="DefaultParagraphFont"/>
    <w:link w:val="Footer"/>
    <w:rsid w:val="004738C5"/>
    <w:rPr>
      <w:rFonts w:ascii="Arial" w:eastAsia="Times New Roman" w:hAnsi="Arial" w:cs="Times New Roman"/>
      <w:szCs w:val="20"/>
      <w:lang w:val="en-GB" w:eastAsia="de-DE" w:bidi="he-IL"/>
    </w:rPr>
  </w:style>
  <w:style w:type="character" w:styleId="PageNumber">
    <w:name w:val="page number"/>
    <w:basedOn w:val="DefaultParagraphFont"/>
    <w:rsid w:val="004738C5"/>
  </w:style>
  <w:style w:type="paragraph" w:styleId="BodyText2">
    <w:name w:val="Body Text 2"/>
    <w:basedOn w:val="Normal"/>
    <w:link w:val="BodyText2Char"/>
    <w:rsid w:val="004738C5"/>
    <w:rPr>
      <w:b/>
      <w:sz w:val="28"/>
    </w:rPr>
  </w:style>
  <w:style w:type="character" w:customStyle="1" w:styleId="BodyText2Char">
    <w:name w:val="Body Text 2 Char"/>
    <w:basedOn w:val="DefaultParagraphFont"/>
    <w:link w:val="BodyText2"/>
    <w:rsid w:val="004738C5"/>
    <w:rPr>
      <w:rFonts w:ascii="Arial" w:eastAsia="Times New Roman" w:hAnsi="Arial" w:cs="Times New Roman"/>
      <w:b/>
      <w:sz w:val="28"/>
      <w:szCs w:val="20"/>
      <w:lang w:val="en-GB" w:eastAsia="de-DE" w:bidi="he-IL"/>
    </w:rPr>
  </w:style>
  <w:style w:type="character" w:styleId="FootnoteReference">
    <w:name w:val="footnote reference"/>
    <w:aliases w:val="JFR-Fußnotenzeichen,*Footnote Reference,Ref,de nota al pie,Fußnotenzeichen_neu,Fußnotentext2,FZ,Footnote Reference1,Standard + Block,Erste Zeile:  1 cm,DP Fußnoten-Nr"/>
    <w:qFormat/>
    <w:rsid w:val="004738C5"/>
    <w:rPr>
      <w:vertAlign w:val="superscript"/>
    </w:rPr>
  </w:style>
  <w:style w:type="paragraph" w:styleId="BodyText">
    <w:name w:val="Body Text"/>
    <w:basedOn w:val="Normal"/>
    <w:link w:val="BodyTextChar"/>
    <w:rsid w:val="004738C5"/>
    <w:pPr>
      <w:jc w:val="both"/>
    </w:pPr>
    <w:rPr>
      <w:lang w:val="en-US"/>
    </w:rPr>
  </w:style>
  <w:style w:type="character" w:customStyle="1" w:styleId="BodyTextChar">
    <w:name w:val="Body Text Char"/>
    <w:basedOn w:val="DefaultParagraphFont"/>
    <w:link w:val="BodyText"/>
    <w:rsid w:val="004738C5"/>
    <w:rPr>
      <w:rFonts w:ascii="Arial" w:eastAsia="Times New Roman" w:hAnsi="Arial" w:cs="Times New Roman"/>
      <w:szCs w:val="20"/>
      <w:lang w:eastAsia="de-DE" w:bidi="he-IL"/>
    </w:rPr>
  </w:style>
  <w:style w:type="character" w:styleId="Hyperlink">
    <w:name w:val="Hyperlink"/>
    <w:uiPriority w:val="99"/>
    <w:rsid w:val="004738C5"/>
    <w:rPr>
      <w:color w:val="0000FF"/>
      <w:u w:val="single"/>
    </w:rPr>
  </w:style>
  <w:style w:type="paragraph" w:styleId="FootnoteText">
    <w:name w:val="footnote text"/>
    <w:aliases w:val="Fußnote,Char Char Char Char Char Char,Char Char Char Char Char,Char Char Char Char Char Char1,Char Char Char Char, Char Char Char Char Char Char, Char Char Char Char Char, Char Char Char Char Char Char1, Char Char Char Char, Char Char Char"/>
    <w:basedOn w:val="Normal"/>
    <w:link w:val="FootnoteTextChar"/>
    <w:qFormat/>
    <w:rsid w:val="004738C5"/>
    <w:rPr>
      <w:sz w:val="20"/>
      <w:lang w:val="en-US"/>
    </w:rPr>
  </w:style>
  <w:style w:type="character" w:customStyle="1" w:styleId="FootnoteTextChar">
    <w:name w:val="Footnote Text Char"/>
    <w:aliases w:val="Fußnote Char,Char Char Char Char Char Char Char,Char Char Char Char Char Char2,Char Char Char Char Char Char1 Char,Char Char Char Char Char1, Char Char Char Char Char Char Char, Char Char Char Char Char Char2, Char Char Char Char1"/>
    <w:basedOn w:val="DefaultParagraphFont"/>
    <w:link w:val="FootnoteText"/>
    <w:rsid w:val="004738C5"/>
    <w:rPr>
      <w:rFonts w:ascii="Arial" w:eastAsia="Times New Roman" w:hAnsi="Arial" w:cs="Times New Roman"/>
      <w:sz w:val="20"/>
      <w:szCs w:val="20"/>
      <w:lang w:eastAsia="de-DE" w:bidi="he-IL"/>
    </w:rPr>
  </w:style>
  <w:style w:type="paragraph" w:styleId="CommentText">
    <w:name w:val="annotation text"/>
    <w:basedOn w:val="Normal"/>
    <w:link w:val="CommentTextChar1"/>
    <w:semiHidden/>
    <w:rsid w:val="004738C5"/>
    <w:rPr>
      <w:rFonts w:ascii="Times" w:eastAsia="Times" w:hAnsi="Times"/>
      <w:sz w:val="20"/>
      <w:lang w:val="it-IT" w:bidi="ar-SA"/>
    </w:rPr>
  </w:style>
  <w:style w:type="character" w:customStyle="1" w:styleId="CommentTextChar">
    <w:name w:val="Comment Text Char"/>
    <w:basedOn w:val="DefaultParagraphFont"/>
    <w:uiPriority w:val="99"/>
    <w:semiHidden/>
    <w:rsid w:val="004738C5"/>
    <w:rPr>
      <w:rFonts w:ascii="Arial" w:eastAsia="Times New Roman" w:hAnsi="Arial" w:cs="Times New Roman"/>
      <w:lang w:val="en-GB" w:eastAsia="de-DE" w:bidi="he-IL"/>
    </w:rPr>
  </w:style>
  <w:style w:type="paragraph" w:styleId="NormalWeb">
    <w:name w:val="Normal (Web)"/>
    <w:aliases w:val=" webb,webb, Char Char,Char Char, Char Char1,Char Char1"/>
    <w:basedOn w:val="Normal"/>
    <w:rsid w:val="004738C5"/>
    <w:pPr>
      <w:spacing w:before="100" w:beforeAutospacing="1" w:after="119"/>
    </w:pPr>
    <w:rPr>
      <w:rFonts w:ascii="Times New Roman" w:hAnsi="Times New Roman"/>
      <w:szCs w:val="24"/>
      <w:lang w:bidi="ar-SA"/>
    </w:rPr>
  </w:style>
  <w:style w:type="character" w:styleId="Strong">
    <w:name w:val="Strong"/>
    <w:uiPriority w:val="22"/>
    <w:qFormat/>
    <w:rsid w:val="004738C5"/>
    <w:rPr>
      <w:b/>
      <w:bCs/>
    </w:rPr>
  </w:style>
  <w:style w:type="character" w:styleId="Emphasis">
    <w:name w:val="Emphasis"/>
    <w:uiPriority w:val="20"/>
    <w:qFormat/>
    <w:rsid w:val="004738C5"/>
    <w:rPr>
      <w:i/>
      <w:iCs/>
    </w:rPr>
  </w:style>
  <w:style w:type="character" w:styleId="CommentReference">
    <w:name w:val="annotation reference"/>
    <w:semiHidden/>
    <w:unhideWhenUsed/>
    <w:rsid w:val="004738C5"/>
    <w:rPr>
      <w:sz w:val="16"/>
      <w:szCs w:val="16"/>
    </w:rPr>
  </w:style>
  <w:style w:type="paragraph" w:customStyle="1" w:styleId="Default">
    <w:name w:val="Default"/>
    <w:rsid w:val="004738C5"/>
    <w:pPr>
      <w:autoSpaceDE w:val="0"/>
      <w:autoSpaceDN w:val="0"/>
      <w:adjustRightInd w:val="0"/>
    </w:pPr>
    <w:rPr>
      <w:rFonts w:ascii="Times New Roman" w:eastAsia="Times New Roman" w:hAnsi="Times New Roman" w:cs="Times New Roman"/>
      <w:color w:val="000000"/>
    </w:rPr>
  </w:style>
  <w:style w:type="character" w:customStyle="1" w:styleId="booktitle">
    <w:name w:val="booktitle"/>
    <w:basedOn w:val="DefaultParagraphFont"/>
    <w:rsid w:val="004738C5"/>
  </w:style>
  <w:style w:type="character" w:customStyle="1" w:styleId="bookedition">
    <w:name w:val="bookedition"/>
    <w:basedOn w:val="DefaultParagraphFont"/>
    <w:rsid w:val="004738C5"/>
  </w:style>
  <w:style w:type="character" w:customStyle="1" w:styleId="booksubtitle">
    <w:name w:val="booksubtitle"/>
    <w:basedOn w:val="DefaultParagraphFont"/>
    <w:rsid w:val="004738C5"/>
  </w:style>
  <w:style w:type="character" w:customStyle="1" w:styleId="st">
    <w:name w:val="st"/>
    <w:basedOn w:val="DefaultParagraphFont"/>
    <w:rsid w:val="004738C5"/>
  </w:style>
  <w:style w:type="character" w:customStyle="1" w:styleId="CommentTextChar1">
    <w:name w:val="Comment Text Char1"/>
    <w:basedOn w:val="DefaultParagraphFont"/>
    <w:link w:val="CommentText"/>
    <w:semiHidden/>
    <w:rsid w:val="004738C5"/>
    <w:rPr>
      <w:rFonts w:ascii="Times" w:eastAsia="Times" w:hAnsi="Times" w:cs="Times New Roman"/>
      <w:sz w:val="20"/>
      <w:szCs w:val="20"/>
      <w:lang w:val="it-IT" w:eastAsia="de-DE"/>
    </w:rPr>
  </w:style>
  <w:style w:type="paragraph" w:customStyle="1" w:styleId="FootnoteSocSci">
    <w:name w:val="Footnote SocSci"/>
    <w:rsid w:val="004738C5"/>
    <w:pPr>
      <w:jc w:val="both"/>
    </w:pPr>
    <w:rPr>
      <w:rFonts w:ascii="Times" w:eastAsia="Times New Roman" w:hAnsi="Times" w:cs="Times"/>
      <w:sz w:val="18"/>
      <w:szCs w:val="22"/>
      <w:lang w:eastAsia="ar-SA"/>
    </w:rPr>
  </w:style>
  <w:style w:type="paragraph" w:customStyle="1" w:styleId="center3">
    <w:name w:val="center3"/>
    <w:basedOn w:val="Normal"/>
    <w:rsid w:val="004738C5"/>
    <w:pPr>
      <w:jc w:val="center"/>
    </w:pPr>
    <w:rPr>
      <w:rFonts w:ascii="Times New Roman" w:hAnsi="Times New Roman"/>
      <w:szCs w:val="24"/>
      <w:lang w:eastAsia="en-GB" w:bidi="ar-SA"/>
    </w:rPr>
  </w:style>
  <w:style w:type="paragraph" w:styleId="BalloonText">
    <w:name w:val="Balloon Text"/>
    <w:basedOn w:val="Normal"/>
    <w:link w:val="BalloonTextChar"/>
    <w:uiPriority w:val="99"/>
    <w:semiHidden/>
    <w:unhideWhenUsed/>
    <w:rsid w:val="004738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38C5"/>
    <w:rPr>
      <w:rFonts w:ascii="Lucida Grande" w:eastAsia="Times New Roman" w:hAnsi="Lucida Grande" w:cs="Lucida Grande"/>
      <w:sz w:val="18"/>
      <w:szCs w:val="18"/>
      <w:lang w:val="en-GB" w:eastAsia="de-DE" w:bidi="he-IL"/>
    </w:rPr>
  </w:style>
  <w:style w:type="paragraph" w:styleId="CommentSubject">
    <w:name w:val="annotation subject"/>
    <w:basedOn w:val="CommentText"/>
    <w:next w:val="CommentText"/>
    <w:link w:val="CommentSubjectChar"/>
    <w:uiPriority w:val="99"/>
    <w:semiHidden/>
    <w:unhideWhenUsed/>
    <w:rsid w:val="00445A27"/>
    <w:rPr>
      <w:rFonts w:ascii="Arial" w:eastAsia="Times New Roman" w:hAnsi="Arial"/>
      <w:b/>
      <w:bCs/>
      <w:lang w:val="en-GB" w:bidi="he-IL"/>
    </w:rPr>
  </w:style>
  <w:style w:type="character" w:customStyle="1" w:styleId="CommentSubjectChar">
    <w:name w:val="Comment Subject Char"/>
    <w:basedOn w:val="CommentTextChar1"/>
    <w:link w:val="CommentSubject"/>
    <w:uiPriority w:val="99"/>
    <w:semiHidden/>
    <w:rsid w:val="00445A27"/>
    <w:rPr>
      <w:rFonts w:ascii="Arial" w:eastAsia="Times New Roman" w:hAnsi="Arial" w:cs="Times New Roman"/>
      <w:b/>
      <w:bCs/>
      <w:sz w:val="20"/>
      <w:szCs w:val="20"/>
      <w:lang w:val="en-GB" w:eastAsia="de-DE" w:bidi="he-IL"/>
    </w:rPr>
  </w:style>
  <w:style w:type="paragraph" w:customStyle="1" w:styleId="CM4">
    <w:name w:val="CM4"/>
    <w:basedOn w:val="Default"/>
    <w:next w:val="Default"/>
    <w:uiPriority w:val="99"/>
    <w:rsid w:val="0080376C"/>
    <w:pPr>
      <w:widowControl w:val="0"/>
    </w:pPr>
    <w:rPr>
      <w:rFonts w:ascii="EUAlbertina" w:eastAsiaTheme="minorEastAsia" w:hAnsi="EUAlbertina"/>
      <w:color w:val="auto"/>
    </w:rPr>
  </w:style>
  <w:style w:type="character" w:customStyle="1" w:styleId="documentbody">
    <w:name w:val="documentbody"/>
    <w:rsid w:val="00CE3E05"/>
  </w:style>
  <w:style w:type="character" w:customStyle="1" w:styleId="searchterm">
    <w:name w:val="searchterm"/>
    <w:rsid w:val="00CE3E05"/>
  </w:style>
  <w:style w:type="character" w:styleId="FollowedHyperlink">
    <w:name w:val="FollowedHyperlink"/>
    <w:basedOn w:val="DefaultParagraphFont"/>
    <w:uiPriority w:val="99"/>
    <w:semiHidden/>
    <w:unhideWhenUsed/>
    <w:rsid w:val="00A66C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43799">
      <w:bodyDiv w:val="1"/>
      <w:marLeft w:val="0"/>
      <w:marRight w:val="0"/>
      <w:marTop w:val="0"/>
      <w:marBottom w:val="0"/>
      <w:divBdr>
        <w:top w:val="none" w:sz="0" w:space="0" w:color="auto"/>
        <w:left w:val="none" w:sz="0" w:space="0" w:color="auto"/>
        <w:bottom w:val="none" w:sz="0" w:space="0" w:color="auto"/>
        <w:right w:val="none" w:sz="0" w:space="0" w:color="auto"/>
      </w:divBdr>
      <w:divsChild>
        <w:div w:id="756054649">
          <w:marLeft w:val="0"/>
          <w:marRight w:val="0"/>
          <w:marTop w:val="0"/>
          <w:marBottom w:val="0"/>
          <w:divBdr>
            <w:top w:val="none" w:sz="0" w:space="0" w:color="auto"/>
            <w:left w:val="none" w:sz="0" w:space="0" w:color="auto"/>
            <w:bottom w:val="none" w:sz="0" w:space="0" w:color="auto"/>
            <w:right w:val="none" w:sz="0" w:space="0" w:color="auto"/>
          </w:divBdr>
        </w:div>
        <w:div w:id="236867176">
          <w:marLeft w:val="0"/>
          <w:marRight w:val="0"/>
          <w:marTop w:val="0"/>
          <w:marBottom w:val="0"/>
          <w:divBdr>
            <w:top w:val="none" w:sz="0" w:space="0" w:color="auto"/>
            <w:left w:val="none" w:sz="0" w:space="0" w:color="auto"/>
            <w:bottom w:val="none" w:sz="0" w:space="0" w:color="auto"/>
            <w:right w:val="none" w:sz="0" w:space="0" w:color="auto"/>
          </w:divBdr>
        </w:div>
      </w:divsChild>
    </w:div>
    <w:div w:id="326908171">
      <w:bodyDiv w:val="1"/>
      <w:marLeft w:val="0"/>
      <w:marRight w:val="0"/>
      <w:marTop w:val="0"/>
      <w:marBottom w:val="0"/>
      <w:divBdr>
        <w:top w:val="none" w:sz="0" w:space="0" w:color="auto"/>
        <w:left w:val="none" w:sz="0" w:space="0" w:color="auto"/>
        <w:bottom w:val="none" w:sz="0" w:space="0" w:color="auto"/>
        <w:right w:val="none" w:sz="0" w:space="0" w:color="auto"/>
      </w:divBdr>
      <w:divsChild>
        <w:div w:id="1696883021">
          <w:marLeft w:val="0"/>
          <w:marRight w:val="0"/>
          <w:marTop w:val="0"/>
          <w:marBottom w:val="0"/>
          <w:divBdr>
            <w:top w:val="none" w:sz="0" w:space="0" w:color="auto"/>
            <w:left w:val="none" w:sz="0" w:space="0" w:color="auto"/>
            <w:bottom w:val="none" w:sz="0" w:space="0" w:color="auto"/>
            <w:right w:val="none" w:sz="0" w:space="0" w:color="auto"/>
          </w:divBdr>
        </w:div>
        <w:div w:id="2034265604">
          <w:marLeft w:val="0"/>
          <w:marRight w:val="0"/>
          <w:marTop w:val="0"/>
          <w:marBottom w:val="0"/>
          <w:divBdr>
            <w:top w:val="none" w:sz="0" w:space="0" w:color="auto"/>
            <w:left w:val="none" w:sz="0" w:space="0" w:color="auto"/>
            <w:bottom w:val="none" w:sz="0" w:space="0" w:color="auto"/>
            <w:right w:val="none" w:sz="0" w:space="0" w:color="auto"/>
          </w:divBdr>
        </w:div>
        <w:div w:id="1059401604">
          <w:marLeft w:val="0"/>
          <w:marRight w:val="0"/>
          <w:marTop w:val="0"/>
          <w:marBottom w:val="0"/>
          <w:divBdr>
            <w:top w:val="none" w:sz="0" w:space="0" w:color="auto"/>
            <w:left w:val="none" w:sz="0" w:space="0" w:color="auto"/>
            <w:bottom w:val="none" w:sz="0" w:space="0" w:color="auto"/>
            <w:right w:val="none" w:sz="0" w:space="0" w:color="auto"/>
          </w:divBdr>
        </w:div>
        <w:div w:id="2136213642">
          <w:marLeft w:val="0"/>
          <w:marRight w:val="0"/>
          <w:marTop w:val="0"/>
          <w:marBottom w:val="0"/>
          <w:divBdr>
            <w:top w:val="none" w:sz="0" w:space="0" w:color="auto"/>
            <w:left w:val="none" w:sz="0" w:space="0" w:color="auto"/>
            <w:bottom w:val="none" w:sz="0" w:space="0" w:color="auto"/>
            <w:right w:val="none" w:sz="0" w:space="0" w:color="auto"/>
          </w:divBdr>
        </w:div>
        <w:div w:id="792139165">
          <w:marLeft w:val="0"/>
          <w:marRight w:val="0"/>
          <w:marTop w:val="0"/>
          <w:marBottom w:val="0"/>
          <w:divBdr>
            <w:top w:val="none" w:sz="0" w:space="0" w:color="auto"/>
            <w:left w:val="none" w:sz="0" w:space="0" w:color="auto"/>
            <w:bottom w:val="none" w:sz="0" w:space="0" w:color="auto"/>
            <w:right w:val="none" w:sz="0" w:space="0" w:color="auto"/>
          </w:divBdr>
        </w:div>
        <w:div w:id="1057053718">
          <w:marLeft w:val="0"/>
          <w:marRight w:val="0"/>
          <w:marTop w:val="0"/>
          <w:marBottom w:val="0"/>
          <w:divBdr>
            <w:top w:val="none" w:sz="0" w:space="0" w:color="auto"/>
            <w:left w:val="none" w:sz="0" w:space="0" w:color="auto"/>
            <w:bottom w:val="none" w:sz="0" w:space="0" w:color="auto"/>
            <w:right w:val="none" w:sz="0" w:space="0" w:color="auto"/>
          </w:divBdr>
        </w:div>
        <w:div w:id="1247299983">
          <w:marLeft w:val="0"/>
          <w:marRight w:val="0"/>
          <w:marTop w:val="0"/>
          <w:marBottom w:val="0"/>
          <w:divBdr>
            <w:top w:val="none" w:sz="0" w:space="0" w:color="auto"/>
            <w:left w:val="none" w:sz="0" w:space="0" w:color="auto"/>
            <w:bottom w:val="none" w:sz="0" w:space="0" w:color="auto"/>
            <w:right w:val="none" w:sz="0" w:space="0" w:color="auto"/>
          </w:divBdr>
        </w:div>
        <w:div w:id="151524966">
          <w:marLeft w:val="0"/>
          <w:marRight w:val="0"/>
          <w:marTop w:val="0"/>
          <w:marBottom w:val="0"/>
          <w:divBdr>
            <w:top w:val="none" w:sz="0" w:space="0" w:color="auto"/>
            <w:left w:val="none" w:sz="0" w:space="0" w:color="auto"/>
            <w:bottom w:val="none" w:sz="0" w:space="0" w:color="auto"/>
            <w:right w:val="none" w:sz="0" w:space="0" w:color="auto"/>
          </w:divBdr>
        </w:div>
        <w:div w:id="1275286908">
          <w:marLeft w:val="0"/>
          <w:marRight w:val="0"/>
          <w:marTop w:val="0"/>
          <w:marBottom w:val="0"/>
          <w:divBdr>
            <w:top w:val="none" w:sz="0" w:space="0" w:color="auto"/>
            <w:left w:val="none" w:sz="0" w:space="0" w:color="auto"/>
            <w:bottom w:val="none" w:sz="0" w:space="0" w:color="auto"/>
            <w:right w:val="none" w:sz="0" w:space="0" w:color="auto"/>
          </w:divBdr>
        </w:div>
        <w:div w:id="378435478">
          <w:marLeft w:val="0"/>
          <w:marRight w:val="0"/>
          <w:marTop w:val="0"/>
          <w:marBottom w:val="0"/>
          <w:divBdr>
            <w:top w:val="none" w:sz="0" w:space="0" w:color="auto"/>
            <w:left w:val="none" w:sz="0" w:space="0" w:color="auto"/>
            <w:bottom w:val="none" w:sz="0" w:space="0" w:color="auto"/>
            <w:right w:val="none" w:sz="0" w:space="0" w:color="auto"/>
          </w:divBdr>
        </w:div>
        <w:div w:id="1586068986">
          <w:marLeft w:val="0"/>
          <w:marRight w:val="0"/>
          <w:marTop w:val="0"/>
          <w:marBottom w:val="0"/>
          <w:divBdr>
            <w:top w:val="none" w:sz="0" w:space="0" w:color="auto"/>
            <w:left w:val="none" w:sz="0" w:space="0" w:color="auto"/>
            <w:bottom w:val="none" w:sz="0" w:space="0" w:color="auto"/>
            <w:right w:val="none" w:sz="0" w:space="0" w:color="auto"/>
          </w:divBdr>
        </w:div>
        <w:div w:id="207648248">
          <w:marLeft w:val="0"/>
          <w:marRight w:val="0"/>
          <w:marTop w:val="0"/>
          <w:marBottom w:val="0"/>
          <w:divBdr>
            <w:top w:val="none" w:sz="0" w:space="0" w:color="auto"/>
            <w:left w:val="none" w:sz="0" w:space="0" w:color="auto"/>
            <w:bottom w:val="none" w:sz="0" w:space="0" w:color="auto"/>
            <w:right w:val="none" w:sz="0" w:space="0" w:color="auto"/>
          </w:divBdr>
        </w:div>
        <w:div w:id="1203320601">
          <w:marLeft w:val="0"/>
          <w:marRight w:val="0"/>
          <w:marTop w:val="0"/>
          <w:marBottom w:val="0"/>
          <w:divBdr>
            <w:top w:val="none" w:sz="0" w:space="0" w:color="auto"/>
            <w:left w:val="none" w:sz="0" w:space="0" w:color="auto"/>
            <w:bottom w:val="none" w:sz="0" w:space="0" w:color="auto"/>
            <w:right w:val="none" w:sz="0" w:space="0" w:color="auto"/>
          </w:divBdr>
        </w:div>
        <w:div w:id="1340549451">
          <w:marLeft w:val="0"/>
          <w:marRight w:val="0"/>
          <w:marTop w:val="0"/>
          <w:marBottom w:val="0"/>
          <w:divBdr>
            <w:top w:val="none" w:sz="0" w:space="0" w:color="auto"/>
            <w:left w:val="none" w:sz="0" w:space="0" w:color="auto"/>
            <w:bottom w:val="none" w:sz="0" w:space="0" w:color="auto"/>
            <w:right w:val="none" w:sz="0" w:space="0" w:color="auto"/>
          </w:divBdr>
        </w:div>
        <w:div w:id="1084036213">
          <w:marLeft w:val="0"/>
          <w:marRight w:val="0"/>
          <w:marTop w:val="0"/>
          <w:marBottom w:val="0"/>
          <w:divBdr>
            <w:top w:val="none" w:sz="0" w:space="0" w:color="auto"/>
            <w:left w:val="none" w:sz="0" w:space="0" w:color="auto"/>
            <w:bottom w:val="none" w:sz="0" w:space="0" w:color="auto"/>
            <w:right w:val="none" w:sz="0" w:space="0" w:color="auto"/>
          </w:divBdr>
        </w:div>
        <w:div w:id="1641839730">
          <w:marLeft w:val="0"/>
          <w:marRight w:val="0"/>
          <w:marTop w:val="0"/>
          <w:marBottom w:val="0"/>
          <w:divBdr>
            <w:top w:val="none" w:sz="0" w:space="0" w:color="auto"/>
            <w:left w:val="none" w:sz="0" w:space="0" w:color="auto"/>
            <w:bottom w:val="none" w:sz="0" w:space="0" w:color="auto"/>
            <w:right w:val="none" w:sz="0" w:space="0" w:color="auto"/>
          </w:divBdr>
        </w:div>
        <w:div w:id="1489403289">
          <w:marLeft w:val="0"/>
          <w:marRight w:val="0"/>
          <w:marTop w:val="0"/>
          <w:marBottom w:val="0"/>
          <w:divBdr>
            <w:top w:val="none" w:sz="0" w:space="0" w:color="auto"/>
            <w:left w:val="none" w:sz="0" w:space="0" w:color="auto"/>
            <w:bottom w:val="none" w:sz="0" w:space="0" w:color="auto"/>
            <w:right w:val="none" w:sz="0" w:space="0" w:color="auto"/>
          </w:divBdr>
        </w:div>
      </w:divsChild>
    </w:div>
    <w:div w:id="928126631">
      <w:bodyDiv w:val="1"/>
      <w:marLeft w:val="0"/>
      <w:marRight w:val="0"/>
      <w:marTop w:val="0"/>
      <w:marBottom w:val="0"/>
      <w:divBdr>
        <w:top w:val="none" w:sz="0" w:space="0" w:color="auto"/>
        <w:left w:val="none" w:sz="0" w:space="0" w:color="auto"/>
        <w:bottom w:val="none" w:sz="0" w:space="0" w:color="auto"/>
        <w:right w:val="none" w:sz="0" w:space="0" w:color="auto"/>
      </w:divBdr>
      <w:divsChild>
        <w:div w:id="1683969509">
          <w:marLeft w:val="0"/>
          <w:marRight w:val="0"/>
          <w:marTop w:val="0"/>
          <w:marBottom w:val="0"/>
          <w:divBdr>
            <w:top w:val="none" w:sz="0" w:space="0" w:color="auto"/>
            <w:left w:val="none" w:sz="0" w:space="0" w:color="auto"/>
            <w:bottom w:val="none" w:sz="0" w:space="0" w:color="auto"/>
            <w:right w:val="none" w:sz="0" w:space="0" w:color="auto"/>
          </w:divBdr>
        </w:div>
        <w:div w:id="1135871375">
          <w:marLeft w:val="0"/>
          <w:marRight w:val="0"/>
          <w:marTop w:val="0"/>
          <w:marBottom w:val="0"/>
          <w:divBdr>
            <w:top w:val="none" w:sz="0" w:space="0" w:color="auto"/>
            <w:left w:val="none" w:sz="0" w:space="0" w:color="auto"/>
            <w:bottom w:val="none" w:sz="0" w:space="0" w:color="auto"/>
            <w:right w:val="none" w:sz="0" w:space="0" w:color="auto"/>
          </w:divBdr>
        </w:div>
        <w:div w:id="990867422">
          <w:marLeft w:val="0"/>
          <w:marRight w:val="0"/>
          <w:marTop w:val="0"/>
          <w:marBottom w:val="0"/>
          <w:divBdr>
            <w:top w:val="none" w:sz="0" w:space="0" w:color="auto"/>
            <w:left w:val="none" w:sz="0" w:space="0" w:color="auto"/>
            <w:bottom w:val="none" w:sz="0" w:space="0" w:color="auto"/>
            <w:right w:val="none" w:sz="0" w:space="0" w:color="auto"/>
          </w:divBdr>
        </w:div>
      </w:divsChild>
    </w:div>
    <w:div w:id="1015107482">
      <w:bodyDiv w:val="1"/>
      <w:marLeft w:val="0"/>
      <w:marRight w:val="0"/>
      <w:marTop w:val="0"/>
      <w:marBottom w:val="0"/>
      <w:divBdr>
        <w:top w:val="none" w:sz="0" w:space="0" w:color="auto"/>
        <w:left w:val="none" w:sz="0" w:space="0" w:color="auto"/>
        <w:bottom w:val="none" w:sz="0" w:space="0" w:color="auto"/>
        <w:right w:val="none" w:sz="0" w:space="0" w:color="auto"/>
      </w:divBdr>
      <w:divsChild>
        <w:div w:id="1006830585">
          <w:marLeft w:val="0"/>
          <w:marRight w:val="0"/>
          <w:marTop w:val="0"/>
          <w:marBottom w:val="0"/>
          <w:divBdr>
            <w:top w:val="none" w:sz="0" w:space="0" w:color="auto"/>
            <w:left w:val="none" w:sz="0" w:space="0" w:color="auto"/>
            <w:bottom w:val="none" w:sz="0" w:space="0" w:color="auto"/>
            <w:right w:val="none" w:sz="0" w:space="0" w:color="auto"/>
          </w:divBdr>
        </w:div>
        <w:div w:id="1830486947">
          <w:marLeft w:val="0"/>
          <w:marRight w:val="0"/>
          <w:marTop w:val="0"/>
          <w:marBottom w:val="0"/>
          <w:divBdr>
            <w:top w:val="none" w:sz="0" w:space="0" w:color="auto"/>
            <w:left w:val="none" w:sz="0" w:space="0" w:color="auto"/>
            <w:bottom w:val="none" w:sz="0" w:space="0" w:color="auto"/>
            <w:right w:val="none" w:sz="0" w:space="0" w:color="auto"/>
          </w:divBdr>
        </w:div>
        <w:div w:id="68816885">
          <w:marLeft w:val="0"/>
          <w:marRight w:val="0"/>
          <w:marTop w:val="0"/>
          <w:marBottom w:val="0"/>
          <w:divBdr>
            <w:top w:val="none" w:sz="0" w:space="0" w:color="auto"/>
            <w:left w:val="none" w:sz="0" w:space="0" w:color="auto"/>
            <w:bottom w:val="none" w:sz="0" w:space="0" w:color="auto"/>
            <w:right w:val="none" w:sz="0" w:space="0" w:color="auto"/>
          </w:divBdr>
        </w:div>
        <w:div w:id="803814613">
          <w:marLeft w:val="0"/>
          <w:marRight w:val="0"/>
          <w:marTop w:val="0"/>
          <w:marBottom w:val="0"/>
          <w:divBdr>
            <w:top w:val="none" w:sz="0" w:space="0" w:color="auto"/>
            <w:left w:val="none" w:sz="0" w:space="0" w:color="auto"/>
            <w:bottom w:val="none" w:sz="0" w:space="0" w:color="auto"/>
            <w:right w:val="none" w:sz="0" w:space="0" w:color="auto"/>
          </w:divBdr>
        </w:div>
        <w:div w:id="1414859446">
          <w:marLeft w:val="0"/>
          <w:marRight w:val="0"/>
          <w:marTop w:val="0"/>
          <w:marBottom w:val="0"/>
          <w:divBdr>
            <w:top w:val="none" w:sz="0" w:space="0" w:color="auto"/>
            <w:left w:val="none" w:sz="0" w:space="0" w:color="auto"/>
            <w:bottom w:val="none" w:sz="0" w:space="0" w:color="auto"/>
            <w:right w:val="none" w:sz="0" w:space="0" w:color="auto"/>
          </w:divBdr>
        </w:div>
        <w:div w:id="19941490">
          <w:marLeft w:val="0"/>
          <w:marRight w:val="0"/>
          <w:marTop w:val="0"/>
          <w:marBottom w:val="0"/>
          <w:divBdr>
            <w:top w:val="none" w:sz="0" w:space="0" w:color="auto"/>
            <w:left w:val="none" w:sz="0" w:space="0" w:color="auto"/>
            <w:bottom w:val="none" w:sz="0" w:space="0" w:color="auto"/>
            <w:right w:val="none" w:sz="0" w:space="0" w:color="auto"/>
          </w:divBdr>
        </w:div>
        <w:div w:id="1516116095">
          <w:marLeft w:val="0"/>
          <w:marRight w:val="0"/>
          <w:marTop w:val="0"/>
          <w:marBottom w:val="0"/>
          <w:divBdr>
            <w:top w:val="none" w:sz="0" w:space="0" w:color="auto"/>
            <w:left w:val="none" w:sz="0" w:space="0" w:color="auto"/>
            <w:bottom w:val="none" w:sz="0" w:space="0" w:color="auto"/>
            <w:right w:val="none" w:sz="0" w:space="0" w:color="auto"/>
          </w:divBdr>
        </w:div>
      </w:divsChild>
    </w:div>
    <w:div w:id="1095590935">
      <w:bodyDiv w:val="1"/>
      <w:marLeft w:val="0"/>
      <w:marRight w:val="0"/>
      <w:marTop w:val="0"/>
      <w:marBottom w:val="0"/>
      <w:divBdr>
        <w:top w:val="none" w:sz="0" w:space="0" w:color="auto"/>
        <w:left w:val="none" w:sz="0" w:space="0" w:color="auto"/>
        <w:bottom w:val="none" w:sz="0" w:space="0" w:color="auto"/>
        <w:right w:val="none" w:sz="0" w:space="0" w:color="auto"/>
      </w:divBdr>
      <w:divsChild>
        <w:div w:id="2139838400">
          <w:marLeft w:val="0"/>
          <w:marRight w:val="0"/>
          <w:marTop w:val="0"/>
          <w:marBottom w:val="0"/>
          <w:divBdr>
            <w:top w:val="none" w:sz="0" w:space="0" w:color="auto"/>
            <w:left w:val="none" w:sz="0" w:space="0" w:color="auto"/>
            <w:bottom w:val="none" w:sz="0" w:space="0" w:color="auto"/>
            <w:right w:val="none" w:sz="0" w:space="0" w:color="auto"/>
          </w:divBdr>
        </w:div>
        <w:div w:id="2013290541">
          <w:marLeft w:val="0"/>
          <w:marRight w:val="0"/>
          <w:marTop w:val="0"/>
          <w:marBottom w:val="0"/>
          <w:divBdr>
            <w:top w:val="none" w:sz="0" w:space="0" w:color="auto"/>
            <w:left w:val="none" w:sz="0" w:space="0" w:color="auto"/>
            <w:bottom w:val="none" w:sz="0" w:space="0" w:color="auto"/>
            <w:right w:val="none" w:sz="0" w:space="0" w:color="auto"/>
          </w:divBdr>
        </w:div>
        <w:div w:id="947615757">
          <w:marLeft w:val="0"/>
          <w:marRight w:val="0"/>
          <w:marTop w:val="0"/>
          <w:marBottom w:val="0"/>
          <w:divBdr>
            <w:top w:val="none" w:sz="0" w:space="0" w:color="auto"/>
            <w:left w:val="none" w:sz="0" w:space="0" w:color="auto"/>
            <w:bottom w:val="none" w:sz="0" w:space="0" w:color="auto"/>
            <w:right w:val="none" w:sz="0" w:space="0" w:color="auto"/>
          </w:divBdr>
        </w:div>
      </w:divsChild>
    </w:div>
    <w:div w:id="1118185942">
      <w:bodyDiv w:val="1"/>
      <w:marLeft w:val="0"/>
      <w:marRight w:val="0"/>
      <w:marTop w:val="0"/>
      <w:marBottom w:val="0"/>
      <w:divBdr>
        <w:top w:val="none" w:sz="0" w:space="0" w:color="auto"/>
        <w:left w:val="none" w:sz="0" w:space="0" w:color="auto"/>
        <w:bottom w:val="none" w:sz="0" w:space="0" w:color="auto"/>
        <w:right w:val="none" w:sz="0" w:space="0" w:color="auto"/>
      </w:divBdr>
      <w:divsChild>
        <w:div w:id="277490184">
          <w:marLeft w:val="0"/>
          <w:marRight w:val="0"/>
          <w:marTop w:val="0"/>
          <w:marBottom w:val="0"/>
          <w:divBdr>
            <w:top w:val="none" w:sz="0" w:space="0" w:color="auto"/>
            <w:left w:val="none" w:sz="0" w:space="0" w:color="auto"/>
            <w:bottom w:val="none" w:sz="0" w:space="0" w:color="auto"/>
            <w:right w:val="none" w:sz="0" w:space="0" w:color="auto"/>
          </w:divBdr>
        </w:div>
        <w:div w:id="2070613788">
          <w:marLeft w:val="0"/>
          <w:marRight w:val="0"/>
          <w:marTop w:val="0"/>
          <w:marBottom w:val="0"/>
          <w:divBdr>
            <w:top w:val="none" w:sz="0" w:space="0" w:color="auto"/>
            <w:left w:val="none" w:sz="0" w:space="0" w:color="auto"/>
            <w:bottom w:val="none" w:sz="0" w:space="0" w:color="auto"/>
            <w:right w:val="none" w:sz="0" w:space="0" w:color="auto"/>
          </w:divBdr>
        </w:div>
      </w:divsChild>
    </w:div>
    <w:div w:id="1296328611">
      <w:bodyDiv w:val="1"/>
      <w:marLeft w:val="0"/>
      <w:marRight w:val="0"/>
      <w:marTop w:val="0"/>
      <w:marBottom w:val="0"/>
      <w:divBdr>
        <w:top w:val="none" w:sz="0" w:space="0" w:color="auto"/>
        <w:left w:val="none" w:sz="0" w:space="0" w:color="auto"/>
        <w:bottom w:val="none" w:sz="0" w:space="0" w:color="auto"/>
        <w:right w:val="none" w:sz="0" w:space="0" w:color="auto"/>
      </w:divBdr>
      <w:divsChild>
        <w:div w:id="776565973">
          <w:marLeft w:val="0"/>
          <w:marRight w:val="0"/>
          <w:marTop w:val="0"/>
          <w:marBottom w:val="0"/>
          <w:divBdr>
            <w:top w:val="none" w:sz="0" w:space="0" w:color="auto"/>
            <w:left w:val="none" w:sz="0" w:space="0" w:color="auto"/>
            <w:bottom w:val="none" w:sz="0" w:space="0" w:color="auto"/>
            <w:right w:val="none" w:sz="0" w:space="0" w:color="auto"/>
          </w:divBdr>
        </w:div>
        <w:div w:id="1143813971">
          <w:marLeft w:val="0"/>
          <w:marRight w:val="0"/>
          <w:marTop w:val="0"/>
          <w:marBottom w:val="0"/>
          <w:divBdr>
            <w:top w:val="none" w:sz="0" w:space="0" w:color="auto"/>
            <w:left w:val="none" w:sz="0" w:space="0" w:color="auto"/>
            <w:bottom w:val="none" w:sz="0" w:space="0" w:color="auto"/>
            <w:right w:val="none" w:sz="0" w:space="0" w:color="auto"/>
          </w:divBdr>
        </w:div>
        <w:div w:id="2053114597">
          <w:marLeft w:val="0"/>
          <w:marRight w:val="0"/>
          <w:marTop w:val="0"/>
          <w:marBottom w:val="0"/>
          <w:divBdr>
            <w:top w:val="none" w:sz="0" w:space="0" w:color="auto"/>
            <w:left w:val="none" w:sz="0" w:space="0" w:color="auto"/>
            <w:bottom w:val="none" w:sz="0" w:space="0" w:color="auto"/>
            <w:right w:val="none" w:sz="0" w:space="0" w:color="auto"/>
          </w:divBdr>
        </w:div>
        <w:div w:id="1999380217">
          <w:marLeft w:val="0"/>
          <w:marRight w:val="0"/>
          <w:marTop w:val="0"/>
          <w:marBottom w:val="0"/>
          <w:divBdr>
            <w:top w:val="none" w:sz="0" w:space="0" w:color="auto"/>
            <w:left w:val="none" w:sz="0" w:space="0" w:color="auto"/>
            <w:bottom w:val="none" w:sz="0" w:space="0" w:color="auto"/>
            <w:right w:val="none" w:sz="0" w:space="0" w:color="auto"/>
          </w:divBdr>
        </w:div>
      </w:divsChild>
    </w:div>
    <w:div w:id="1310937555">
      <w:bodyDiv w:val="1"/>
      <w:marLeft w:val="0"/>
      <w:marRight w:val="0"/>
      <w:marTop w:val="0"/>
      <w:marBottom w:val="0"/>
      <w:divBdr>
        <w:top w:val="none" w:sz="0" w:space="0" w:color="auto"/>
        <w:left w:val="none" w:sz="0" w:space="0" w:color="auto"/>
        <w:bottom w:val="none" w:sz="0" w:space="0" w:color="auto"/>
        <w:right w:val="none" w:sz="0" w:space="0" w:color="auto"/>
      </w:divBdr>
    </w:div>
    <w:div w:id="1339163610">
      <w:bodyDiv w:val="1"/>
      <w:marLeft w:val="0"/>
      <w:marRight w:val="0"/>
      <w:marTop w:val="0"/>
      <w:marBottom w:val="0"/>
      <w:divBdr>
        <w:top w:val="none" w:sz="0" w:space="0" w:color="auto"/>
        <w:left w:val="none" w:sz="0" w:space="0" w:color="auto"/>
        <w:bottom w:val="none" w:sz="0" w:space="0" w:color="auto"/>
        <w:right w:val="none" w:sz="0" w:space="0" w:color="auto"/>
      </w:divBdr>
      <w:divsChild>
        <w:div w:id="26227062">
          <w:marLeft w:val="0"/>
          <w:marRight w:val="0"/>
          <w:marTop w:val="0"/>
          <w:marBottom w:val="0"/>
          <w:divBdr>
            <w:top w:val="none" w:sz="0" w:space="0" w:color="auto"/>
            <w:left w:val="none" w:sz="0" w:space="0" w:color="auto"/>
            <w:bottom w:val="none" w:sz="0" w:space="0" w:color="auto"/>
            <w:right w:val="none" w:sz="0" w:space="0" w:color="auto"/>
          </w:divBdr>
        </w:div>
        <w:div w:id="443959772">
          <w:marLeft w:val="0"/>
          <w:marRight w:val="0"/>
          <w:marTop w:val="0"/>
          <w:marBottom w:val="0"/>
          <w:divBdr>
            <w:top w:val="none" w:sz="0" w:space="0" w:color="auto"/>
            <w:left w:val="none" w:sz="0" w:space="0" w:color="auto"/>
            <w:bottom w:val="none" w:sz="0" w:space="0" w:color="auto"/>
            <w:right w:val="none" w:sz="0" w:space="0" w:color="auto"/>
          </w:divBdr>
        </w:div>
        <w:div w:id="476381247">
          <w:marLeft w:val="0"/>
          <w:marRight w:val="0"/>
          <w:marTop w:val="0"/>
          <w:marBottom w:val="0"/>
          <w:divBdr>
            <w:top w:val="none" w:sz="0" w:space="0" w:color="auto"/>
            <w:left w:val="none" w:sz="0" w:space="0" w:color="auto"/>
            <w:bottom w:val="none" w:sz="0" w:space="0" w:color="auto"/>
            <w:right w:val="none" w:sz="0" w:space="0" w:color="auto"/>
          </w:divBdr>
        </w:div>
        <w:div w:id="2121608468">
          <w:marLeft w:val="0"/>
          <w:marRight w:val="0"/>
          <w:marTop w:val="0"/>
          <w:marBottom w:val="0"/>
          <w:divBdr>
            <w:top w:val="none" w:sz="0" w:space="0" w:color="auto"/>
            <w:left w:val="none" w:sz="0" w:space="0" w:color="auto"/>
            <w:bottom w:val="none" w:sz="0" w:space="0" w:color="auto"/>
            <w:right w:val="none" w:sz="0" w:space="0" w:color="auto"/>
          </w:divBdr>
        </w:div>
        <w:div w:id="1683511811">
          <w:marLeft w:val="0"/>
          <w:marRight w:val="0"/>
          <w:marTop w:val="0"/>
          <w:marBottom w:val="0"/>
          <w:divBdr>
            <w:top w:val="none" w:sz="0" w:space="0" w:color="auto"/>
            <w:left w:val="none" w:sz="0" w:space="0" w:color="auto"/>
            <w:bottom w:val="none" w:sz="0" w:space="0" w:color="auto"/>
            <w:right w:val="none" w:sz="0" w:space="0" w:color="auto"/>
          </w:divBdr>
        </w:div>
        <w:div w:id="1043166776">
          <w:marLeft w:val="0"/>
          <w:marRight w:val="0"/>
          <w:marTop w:val="0"/>
          <w:marBottom w:val="0"/>
          <w:divBdr>
            <w:top w:val="none" w:sz="0" w:space="0" w:color="auto"/>
            <w:left w:val="none" w:sz="0" w:space="0" w:color="auto"/>
            <w:bottom w:val="none" w:sz="0" w:space="0" w:color="auto"/>
            <w:right w:val="none" w:sz="0" w:space="0" w:color="auto"/>
          </w:divBdr>
        </w:div>
        <w:div w:id="2057047386">
          <w:marLeft w:val="0"/>
          <w:marRight w:val="0"/>
          <w:marTop w:val="0"/>
          <w:marBottom w:val="0"/>
          <w:divBdr>
            <w:top w:val="none" w:sz="0" w:space="0" w:color="auto"/>
            <w:left w:val="none" w:sz="0" w:space="0" w:color="auto"/>
            <w:bottom w:val="none" w:sz="0" w:space="0" w:color="auto"/>
            <w:right w:val="none" w:sz="0" w:space="0" w:color="auto"/>
          </w:divBdr>
        </w:div>
        <w:div w:id="1214006813">
          <w:marLeft w:val="0"/>
          <w:marRight w:val="0"/>
          <w:marTop w:val="0"/>
          <w:marBottom w:val="0"/>
          <w:divBdr>
            <w:top w:val="none" w:sz="0" w:space="0" w:color="auto"/>
            <w:left w:val="none" w:sz="0" w:space="0" w:color="auto"/>
            <w:bottom w:val="none" w:sz="0" w:space="0" w:color="auto"/>
            <w:right w:val="none" w:sz="0" w:space="0" w:color="auto"/>
          </w:divBdr>
        </w:div>
        <w:div w:id="1947035221">
          <w:marLeft w:val="0"/>
          <w:marRight w:val="0"/>
          <w:marTop w:val="0"/>
          <w:marBottom w:val="0"/>
          <w:divBdr>
            <w:top w:val="none" w:sz="0" w:space="0" w:color="auto"/>
            <w:left w:val="none" w:sz="0" w:space="0" w:color="auto"/>
            <w:bottom w:val="none" w:sz="0" w:space="0" w:color="auto"/>
            <w:right w:val="none" w:sz="0" w:space="0" w:color="auto"/>
          </w:divBdr>
        </w:div>
        <w:div w:id="1689677750">
          <w:marLeft w:val="0"/>
          <w:marRight w:val="0"/>
          <w:marTop w:val="0"/>
          <w:marBottom w:val="0"/>
          <w:divBdr>
            <w:top w:val="none" w:sz="0" w:space="0" w:color="auto"/>
            <w:left w:val="none" w:sz="0" w:space="0" w:color="auto"/>
            <w:bottom w:val="none" w:sz="0" w:space="0" w:color="auto"/>
            <w:right w:val="none" w:sz="0" w:space="0" w:color="auto"/>
          </w:divBdr>
        </w:div>
        <w:div w:id="1190218030">
          <w:marLeft w:val="0"/>
          <w:marRight w:val="0"/>
          <w:marTop w:val="0"/>
          <w:marBottom w:val="0"/>
          <w:divBdr>
            <w:top w:val="none" w:sz="0" w:space="0" w:color="auto"/>
            <w:left w:val="none" w:sz="0" w:space="0" w:color="auto"/>
            <w:bottom w:val="none" w:sz="0" w:space="0" w:color="auto"/>
            <w:right w:val="none" w:sz="0" w:space="0" w:color="auto"/>
          </w:divBdr>
        </w:div>
        <w:div w:id="2017465284">
          <w:marLeft w:val="0"/>
          <w:marRight w:val="0"/>
          <w:marTop w:val="0"/>
          <w:marBottom w:val="0"/>
          <w:divBdr>
            <w:top w:val="none" w:sz="0" w:space="0" w:color="auto"/>
            <w:left w:val="none" w:sz="0" w:space="0" w:color="auto"/>
            <w:bottom w:val="none" w:sz="0" w:space="0" w:color="auto"/>
            <w:right w:val="none" w:sz="0" w:space="0" w:color="auto"/>
          </w:divBdr>
        </w:div>
      </w:divsChild>
    </w:div>
    <w:div w:id="1456101898">
      <w:bodyDiv w:val="1"/>
      <w:marLeft w:val="0"/>
      <w:marRight w:val="0"/>
      <w:marTop w:val="0"/>
      <w:marBottom w:val="0"/>
      <w:divBdr>
        <w:top w:val="none" w:sz="0" w:space="0" w:color="auto"/>
        <w:left w:val="none" w:sz="0" w:space="0" w:color="auto"/>
        <w:bottom w:val="none" w:sz="0" w:space="0" w:color="auto"/>
        <w:right w:val="none" w:sz="0" w:space="0" w:color="auto"/>
      </w:divBdr>
      <w:divsChild>
        <w:div w:id="157581169">
          <w:marLeft w:val="0"/>
          <w:marRight w:val="0"/>
          <w:marTop w:val="0"/>
          <w:marBottom w:val="0"/>
          <w:divBdr>
            <w:top w:val="none" w:sz="0" w:space="0" w:color="auto"/>
            <w:left w:val="none" w:sz="0" w:space="0" w:color="auto"/>
            <w:bottom w:val="none" w:sz="0" w:space="0" w:color="auto"/>
            <w:right w:val="none" w:sz="0" w:space="0" w:color="auto"/>
          </w:divBdr>
        </w:div>
        <w:div w:id="1028291471">
          <w:marLeft w:val="0"/>
          <w:marRight w:val="0"/>
          <w:marTop w:val="0"/>
          <w:marBottom w:val="0"/>
          <w:divBdr>
            <w:top w:val="none" w:sz="0" w:space="0" w:color="auto"/>
            <w:left w:val="none" w:sz="0" w:space="0" w:color="auto"/>
            <w:bottom w:val="none" w:sz="0" w:space="0" w:color="auto"/>
            <w:right w:val="none" w:sz="0" w:space="0" w:color="auto"/>
          </w:divBdr>
        </w:div>
        <w:div w:id="1419593026">
          <w:marLeft w:val="0"/>
          <w:marRight w:val="0"/>
          <w:marTop w:val="0"/>
          <w:marBottom w:val="0"/>
          <w:divBdr>
            <w:top w:val="none" w:sz="0" w:space="0" w:color="auto"/>
            <w:left w:val="none" w:sz="0" w:space="0" w:color="auto"/>
            <w:bottom w:val="none" w:sz="0" w:space="0" w:color="auto"/>
            <w:right w:val="none" w:sz="0" w:space="0" w:color="auto"/>
          </w:divBdr>
        </w:div>
        <w:div w:id="217595938">
          <w:marLeft w:val="0"/>
          <w:marRight w:val="0"/>
          <w:marTop w:val="0"/>
          <w:marBottom w:val="0"/>
          <w:divBdr>
            <w:top w:val="none" w:sz="0" w:space="0" w:color="auto"/>
            <w:left w:val="none" w:sz="0" w:space="0" w:color="auto"/>
            <w:bottom w:val="none" w:sz="0" w:space="0" w:color="auto"/>
            <w:right w:val="none" w:sz="0" w:space="0" w:color="auto"/>
          </w:divBdr>
        </w:div>
        <w:div w:id="1806115555">
          <w:marLeft w:val="0"/>
          <w:marRight w:val="0"/>
          <w:marTop w:val="0"/>
          <w:marBottom w:val="0"/>
          <w:divBdr>
            <w:top w:val="none" w:sz="0" w:space="0" w:color="auto"/>
            <w:left w:val="none" w:sz="0" w:space="0" w:color="auto"/>
            <w:bottom w:val="none" w:sz="0" w:space="0" w:color="auto"/>
            <w:right w:val="none" w:sz="0" w:space="0" w:color="auto"/>
          </w:divBdr>
        </w:div>
        <w:div w:id="1604460111">
          <w:marLeft w:val="0"/>
          <w:marRight w:val="0"/>
          <w:marTop w:val="0"/>
          <w:marBottom w:val="0"/>
          <w:divBdr>
            <w:top w:val="none" w:sz="0" w:space="0" w:color="auto"/>
            <w:left w:val="none" w:sz="0" w:space="0" w:color="auto"/>
            <w:bottom w:val="none" w:sz="0" w:space="0" w:color="auto"/>
            <w:right w:val="none" w:sz="0" w:space="0" w:color="auto"/>
          </w:divBdr>
        </w:div>
      </w:divsChild>
    </w:div>
    <w:div w:id="1685551581">
      <w:bodyDiv w:val="1"/>
      <w:marLeft w:val="0"/>
      <w:marRight w:val="0"/>
      <w:marTop w:val="0"/>
      <w:marBottom w:val="0"/>
      <w:divBdr>
        <w:top w:val="none" w:sz="0" w:space="0" w:color="auto"/>
        <w:left w:val="none" w:sz="0" w:space="0" w:color="auto"/>
        <w:bottom w:val="none" w:sz="0" w:space="0" w:color="auto"/>
        <w:right w:val="none" w:sz="0" w:space="0" w:color="auto"/>
      </w:divBdr>
      <w:divsChild>
        <w:div w:id="856700668">
          <w:marLeft w:val="0"/>
          <w:marRight w:val="0"/>
          <w:marTop w:val="0"/>
          <w:marBottom w:val="0"/>
          <w:divBdr>
            <w:top w:val="none" w:sz="0" w:space="0" w:color="auto"/>
            <w:left w:val="none" w:sz="0" w:space="0" w:color="auto"/>
            <w:bottom w:val="none" w:sz="0" w:space="0" w:color="auto"/>
            <w:right w:val="none" w:sz="0" w:space="0" w:color="auto"/>
          </w:divBdr>
        </w:div>
        <w:div w:id="92628251">
          <w:marLeft w:val="0"/>
          <w:marRight w:val="0"/>
          <w:marTop w:val="0"/>
          <w:marBottom w:val="0"/>
          <w:divBdr>
            <w:top w:val="none" w:sz="0" w:space="0" w:color="auto"/>
            <w:left w:val="none" w:sz="0" w:space="0" w:color="auto"/>
            <w:bottom w:val="none" w:sz="0" w:space="0" w:color="auto"/>
            <w:right w:val="none" w:sz="0" w:space="0" w:color="auto"/>
          </w:divBdr>
        </w:div>
        <w:div w:id="1687252481">
          <w:marLeft w:val="0"/>
          <w:marRight w:val="0"/>
          <w:marTop w:val="0"/>
          <w:marBottom w:val="0"/>
          <w:divBdr>
            <w:top w:val="none" w:sz="0" w:space="0" w:color="auto"/>
            <w:left w:val="none" w:sz="0" w:space="0" w:color="auto"/>
            <w:bottom w:val="none" w:sz="0" w:space="0" w:color="auto"/>
            <w:right w:val="none" w:sz="0" w:space="0" w:color="auto"/>
          </w:divBdr>
        </w:div>
        <w:div w:id="931744585">
          <w:marLeft w:val="0"/>
          <w:marRight w:val="0"/>
          <w:marTop w:val="0"/>
          <w:marBottom w:val="0"/>
          <w:divBdr>
            <w:top w:val="none" w:sz="0" w:space="0" w:color="auto"/>
            <w:left w:val="none" w:sz="0" w:space="0" w:color="auto"/>
            <w:bottom w:val="none" w:sz="0" w:space="0" w:color="auto"/>
            <w:right w:val="none" w:sz="0" w:space="0" w:color="auto"/>
          </w:divBdr>
        </w:div>
        <w:div w:id="1210219649">
          <w:marLeft w:val="0"/>
          <w:marRight w:val="0"/>
          <w:marTop w:val="0"/>
          <w:marBottom w:val="0"/>
          <w:divBdr>
            <w:top w:val="none" w:sz="0" w:space="0" w:color="auto"/>
            <w:left w:val="none" w:sz="0" w:space="0" w:color="auto"/>
            <w:bottom w:val="none" w:sz="0" w:space="0" w:color="auto"/>
            <w:right w:val="none" w:sz="0" w:space="0" w:color="auto"/>
          </w:divBdr>
        </w:div>
        <w:div w:id="426735317">
          <w:marLeft w:val="0"/>
          <w:marRight w:val="0"/>
          <w:marTop w:val="0"/>
          <w:marBottom w:val="0"/>
          <w:divBdr>
            <w:top w:val="none" w:sz="0" w:space="0" w:color="auto"/>
            <w:left w:val="none" w:sz="0" w:space="0" w:color="auto"/>
            <w:bottom w:val="none" w:sz="0" w:space="0" w:color="auto"/>
            <w:right w:val="none" w:sz="0" w:space="0" w:color="auto"/>
          </w:divBdr>
        </w:div>
      </w:divsChild>
    </w:div>
    <w:div w:id="1688408634">
      <w:bodyDiv w:val="1"/>
      <w:marLeft w:val="0"/>
      <w:marRight w:val="0"/>
      <w:marTop w:val="0"/>
      <w:marBottom w:val="0"/>
      <w:divBdr>
        <w:top w:val="none" w:sz="0" w:space="0" w:color="auto"/>
        <w:left w:val="none" w:sz="0" w:space="0" w:color="auto"/>
        <w:bottom w:val="none" w:sz="0" w:space="0" w:color="auto"/>
        <w:right w:val="none" w:sz="0" w:space="0" w:color="auto"/>
      </w:divBdr>
      <w:divsChild>
        <w:div w:id="29036163">
          <w:marLeft w:val="0"/>
          <w:marRight w:val="0"/>
          <w:marTop w:val="0"/>
          <w:marBottom w:val="0"/>
          <w:divBdr>
            <w:top w:val="none" w:sz="0" w:space="0" w:color="auto"/>
            <w:left w:val="none" w:sz="0" w:space="0" w:color="auto"/>
            <w:bottom w:val="none" w:sz="0" w:space="0" w:color="auto"/>
            <w:right w:val="none" w:sz="0" w:space="0" w:color="auto"/>
          </w:divBdr>
        </w:div>
        <w:div w:id="897545959">
          <w:marLeft w:val="0"/>
          <w:marRight w:val="0"/>
          <w:marTop w:val="0"/>
          <w:marBottom w:val="0"/>
          <w:divBdr>
            <w:top w:val="none" w:sz="0" w:space="0" w:color="auto"/>
            <w:left w:val="none" w:sz="0" w:space="0" w:color="auto"/>
            <w:bottom w:val="none" w:sz="0" w:space="0" w:color="auto"/>
            <w:right w:val="none" w:sz="0" w:space="0" w:color="auto"/>
          </w:divBdr>
        </w:div>
        <w:div w:id="634287980">
          <w:marLeft w:val="0"/>
          <w:marRight w:val="0"/>
          <w:marTop w:val="0"/>
          <w:marBottom w:val="0"/>
          <w:divBdr>
            <w:top w:val="none" w:sz="0" w:space="0" w:color="auto"/>
            <w:left w:val="none" w:sz="0" w:space="0" w:color="auto"/>
            <w:bottom w:val="none" w:sz="0" w:space="0" w:color="auto"/>
            <w:right w:val="none" w:sz="0" w:space="0" w:color="auto"/>
          </w:divBdr>
        </w:div>
        <w:div w:id="390463569">
          <w:marLeft w:val="0"/>
          <w:marRight w:val="0"/>
          <w:marTop w:val="0"/>
          <w:marBottom w:val="0"/>
          <w:divBdr>
            <w:top w:val="none" w:sz="0" w:space="0" w:color="auto"/>
            <w:left w:val="none" w:sz="0" w:space="0" w:color="auto"/>
            <w:bottom w:val="none" w:sz="0" w:space="0" w:color="auto"/>
            <w:right w:val="none" w:sz="0" w:space="0" w:color="auto"/>
          </w:divBdr>
        </w:div>
        <w:div w:id="856382331">
          <w:marLeft w:val="0"/>
          <w:marRight w:val="0"/>
          <w:marTop w:val="0"/>
          <w:marBottom w:val="0"/>
          <w:divBdr>
            <w:top w:val="none" w:sz="0" w:space="0" w:color="auto"/>
            <w:left w:val="none" w:sz="0" w:space="0" w:color="auto"/>
            <w:bottom w:val="none" w:sz="0" w:space="0" w:color="auto"/>
            <w:right w:val="none" w:sz="0" w:space="0" w:color="auto"/>
          </w:divBdr>
        </w:div>
        <w:div w:id="641351659">
          <w:marLeft w:val="0"/>
          <w:marRight w:val="0"/>
          <w:marTop w:val="0"/>
          <w:marBottom w:val="0"/>
          <w:divBdr>
            <w:top w:val="none" w:sz="0" w:space="0" w:color="auto"/>
            <w:left w:val="none" w:sz="0" w:space="0" w:color="auto"/>
            <w:bottom w:val="none" w:sz="0" w:space="0" w:color="auto"/>
            <w:right w:val="none" w:sz="0" w:space="0" w:color="auto"/>
          </w:divBdr>
        </w:div>
        <w:div w:id="702903243">
          <w:marLeft w:val="0"/>
          <w:marRight w:val="0"/>
          <w:marTop w:val="0"/>
          <w:marBottom w:val="0"/>
          <w:divBdr>
            <w:top w:val="none" w:sz="0" w:space="0" w:color="auto"/>
            <w:left w:val="none" w:sz="0" w:space="0" w:color="auto"/>
            <w:bottom w:val="none" w:sz="0" w:space="0" w:color="auto"/>
            <w:right w:val="none" w:sz="0" w:space="0" w:color="auto"/>
          </w:divBdr>
        </w:div>
      </w:divsChild>
    </w:div>
    <w:div w:id="2053839875">
      <w:bodyDiv w:val="1"/>
      <w:marLeft w:val="0"/>
      <w:marRight w:val="0"/>
      <w:marTop w:val="0"/>
      <w:marBottom w:val="0"/>
      <w:divBdr>
        <w:top w:val="none" w:sz="0" w:space="0" w:color="auto"/>
        <w:left w:val="none" w:sz="0" w:space="0" w:color="auto"/>
        <w:bottom w:val="none" w:sz="0" w:space="0" w:color="auto"/>
        <w:right w:val="none" w:sz="0" w:space="0" w:color="auto"/>
      </w:divBdr>
      <w:divsChild>
        <w:div w:id="1219974171">
          <w:marLeft w:val="0"/>
          <w:marRight w:val="0"/>
          <w:marTop w:val="0"/>
          <w:marBottom w:val="0"/>
          <w:divBdr>
            <w:top w:val="none" w:sz="0" w:space="0" w:color="auto"/>
            <w:left w:val="none" w:sz="0" w:space="0" w:color="auto"/>
            <w:bottom w:val="none" w:sz="0" w:space="0" w:color="auto"/>
            <w:right w:val="none" w:sz="0" w:space="0" w:color="auto"/>
          </w:divBdr>
        </w:div>
        <w:div w:id="655458019">
          <w:marLeft w:val="0"/>
          <w:marRight w:val="0"/>
          <w:marTop w:val="0"/>
          <w:marBottom w:val="0"/>
          <w:divBdr>
            <w:top w:val="none" w:sz="0" w:space="0" w:color="auto"/>
            <w:left w:val="none" w:sz="0" w:space="0" w:color="auto"/>
            <w:bottom w:val="none" w:sz="0" w:space="0" w:color="auto"/>
            <w:right w:val="none" w:sz="0" w:space="0" w:color="auto"/>
          </w:divBdr>
        </w:div>
      </w:divsChild>
    </w:div>
    <w:div w:id="2079353918">
      <w:bodyDiv w:val="1"/>
      <w:marLeft w:val="0"/>
      <w:marRight w:val="0"/>
      <w:marTop w:val="0"/>
      <w:marBottom w:val="0"/>
      <w:divBdr>
        <w:top w:val="none" w:sz="0" w:space="0" w:color="auto"/>
        <w:left w:val="none" w:sz="0" w:space="0" w:color="auto"/>
        <w:bottom w:val="none" w:sz="0" w:space="0" w:color="auto"/>
        <w:right w:val="none" w:sz="0" w:space="0" w:color="auto"/>
      </w:divBdr>
      <w:divsChild>
        <w:div w:id="538130657">
          <w:marLeft w:val="0"/>
          <w:marRight w:val="0"/>
          <w:marTop w:val="0"/>
          <w:marBottom w:val="0"/>
          <w:divBdr>
            <w:top w:val="none" w:sz="0" w:space="0" w:color="auto"/>
            <w:left w:val="none" w:sz="0" w:space="0" w:color="auto"/>
            <w:bottom w:val="none" w:sz="0" w:space="0" w:color="auto"/>
            <w:right w:val="none" w:sz="0" w:space="0" w:color="auto"/>
          </w:divBdr>
        </w:div>
        <w:div w:id="629627618">
          <w:marLeft w:val="0"/>
          <w:marRight w:val="0"/>
          <w:marTop w:val="0"/>
          <w:marBottom w:val="0"/>
          <w:divBdr>
            <w:top w:val="none" w:sz="0" w:space="0" w:color="auto"/>
            <w:left w:val="none" w:sz="0" w:space="0" w:color="auto"/>
            <w:bottom w:val="none" w:sz="0" w:space="0" w:color="auto"/>
            <w:right w:val="none" w:sz="0" w:space="0" w:color="auto"/>
          </w:divBdr>
        </w:div>
        <w:div w:id="571618851">
          <w:marLeft w:val="0"/>
          <w:marRight w:val="0"/>
          <w:marTop w:val="0"/>
          <w:marBottom w:val="0"/>
          <w:divBdr>
            <w:top w:val="none" w:sz="0" w:space="0" w:color="auto"/>
            <w:left w:val="none" w:sz="0" w:space="0" w:color="auto"/>
            <w:bottom w:val="none" w:sz="0" w:space="0" w:color="auto"/>
            <w:right w:val="none" w:sz="0" w:space="0" w:color="auto"/>
          </w:divBdr>
        </w:div>
        <w:div w:id="1862892796">
          <w:marLeft w:val="0"/>
          <w:marRight w:val="0"/>
          <w:marTop w:val="0"/>
          <w:marBottom w:val="0"/>
          <w:divBdr>
            <w:top w:val="none" w:sz="0" w:space="0" w:color="auto"/>
            <w:left w:val="none" w:sz="0" w:space="0" w:color="auto"/>
            <w:bottom w:val="none" w:sz="0" w:space="0" w:color="auto"/>
            <w:right w:val="none" w:sz="0" w:space="0" w:color="auto"/>
          </w:divBdr>
        </w:div>
        <w:div w:id="2060519484">
          <w:marLeft w:val="0"/>
          <w:marRight w:val="0"/>
          <w:marTop w:val="0"/>
          <w:marBottom w:val="0"/>
          <w:divBdr>
            <w:top w:val="none" w:sz="0" w:space="0" w:color="auto"/>
            <w:left w:val="none" w:sz="0" w:space="0" w:color="auto"/>
            <w:bottom w:val="none" w:sz="0" w:space="0" w:color="auto"/>
            <w:right w:val="none" w:sz="0" w:space="0" w:color="auto"/>
          </w:divBdr>
        </w:div>
        <w:div w:id="1669136879">
          <w:marLeft w:val="0"/>
          <w:marRight w:val="0"/>
          <w:marTop w:val="0"/>
          <w:marBottom w:val="0"/>
          <w:divBdr>
            <w:top w:val="none" w:sz="0" w:space="0" w:color="auto"/>
            <w:left w:val="none" w:sz="0" w:space="0" w:color="auto"/>
            <w:bottom w:val="none" w:sz="0" w:space="0" w:color="auto"/>
            <w:right w:val="none" w:sz="0" w:space="0" w:color="auto"/>
          </w:divBdr>
        </w:div>
        <w:div w:id="632444534">
          <w:marLeft w:val="0"/>
          <w:marRight w:val="0"/>
          <w:marTop w:val="0"/>
          <w:marBottom w:val="0"/>
          <w:divBdr>
            <w:top w:val="none" w:sz="0" w:space="0" w:color="auto"/>
            <w:left w:val="none" w:sz="0" w:space="0" w:color="auto"/>
            <w:bottom w:val="none" w:sz="0" w:space="0" w:color="auto"/>
            <w:right w:val="none" w:sz="0" w:space="0" w:color="auto"/>
          </w:divBdr>
        </w:div>
        <w:div w:id="511457028">
          <w:marLeft w:val="0"/>
          <w:marRight w:val="0"/>
          <w:marTop w:val="0"/>
          <w:marBottom w:val="0"/>
          <w:divBdr>
            <w:top w:val="none" w:sz="0" w:space="0" w:color="auto"/>
            <w:left w:val="none" w:sz="0" w:space="0" w:color="auto"/>
            <w:bottom w:val="none" w:sz="0" w:space="0" w:color="auto"/>
            <w:right w:val="none" w:sz="0" w:space="0" w:color="auto"/>
          </w:divBdr>
        </w:div>
        <w:div w:id="431366539">
          <w:marLeft w:val="0"/>
          <w:marRight w:val="0"/>
          <w:marTop w:val="0"/>
          <w:marBottom w:val="0"/>
          <w:divBdr>
            <w:top w:val="none" w:sz="0" w:space="0" w:color="auto"/>
            <w:left w:val="none" w:sz="0" w:space="0" w:color="auto"/>
            <w:bottom w:val="none" w:sz="0" w:space="0" w:color="auto"/>
            <w:right w:val="none" w:sz="0" w:space="0" w:color="auto"/>
          </w:divBdr>
        </w:div>
        <w:div w:id="1894612405">
          <w:marLeft w:val="0"/>
          <w:marRight w:val="0"/>
          <w:marTop w:val="0"/>
          <w:marBottom w:val="0"/>
          <w:divBdr>
            <w:top w:val="none" w:sz="0" w:space="0" w:color="auto"/>
            <w:left w:val="none" w:sz="0" w:space="0" w:color="auto"/>
            <w:bottom w:val="none" w:sz="0" w:space="0" w:color="auto"/>
            <w:right w:val="none" w:sz="0" w:space="0" w:color="auto"/>
          </w:divBdr>
        </w:div>
        <w:div w:id="956176215">
          <w:marLeft w:val="0"/>
          <w:marRight w:val="0"/>
          <w:marTop w:val="0"/>
          <w:marBottom w:val="0"/>
          <w:divBdr>
            <w:top w:val="none" w:sz="0" w:space="0" w:color="auto"/>
            <w:left w:val="none" w:sz="0" w:space="0" w:color="auto"/>
            <w:bottom w:val="none" w:sz="0" w:space="0" w:color="auto"/>
            <w:right w:val="none" w:sz="0" w:space="0" w:color="auto"/>
          </w:divBdr>
        </w:div>
        <w:div w:id="1764572340">
          <w:marLeft w:val="0"/>
          <w:marRight w:val="0"/>
          <w:marTop w:val="0"/>
          <w:marBottom w:val="0"/>
          <w:divBdr>
            <w:top w:val="none" w:sz="0" w:space="0" w:color="auto"/>
            <w:left w:val="none" w:sz="0" w:space="0" w:color="auto"/>
            <w:bottom w:val="none" w:sz="0" w:space="0" w:color="auto"/>
            <w:right w:val="none" w:sz="0" w:space="0" w:color="auto"/>
          </w:divBdr>
        </w:div>
        <w:div w:id="1320504243">
          <w:marLeft w:val="0"/>
          <w:marRight w:val="0"/>
          <w:marTop w:val="0"/>
          <w:marBottom w:val="0"/>
          <w:divBdr>
            <w:top w:val="none" w:sz="0" w:space="0" w:color="auto"/>
            <w:left w:val="none" w:sz="0" w:space="0" w:color="auto"/>
            <w:bottom w:val="none" w:sz="0" w:space="0" w:color="auto"/>
            <w:right w:val="none" w:sz="0" w:space="0" w:color="auto"/>
          </w:divBdr>
        </w:div>
        <w:div w:id="985933258">
          <w:marLeft w:val="0"/>
          <w:marRight w:val="0"/>
          <w:marTop w:val="0"/>
          <w:marBottom w:val="0"/>
          <w:divBdr>
            <w:top w:val="none" w:sz="0" w:space="0" w:color="auto"/>
            <w:left w:val="none" w:sz="0" w:space="0" w:color="auto"/>
            <w:bottom w:val="none" w:sz="0" w:space="0" w:color="auto"/>
            <w:right w:val="none" w:sz="0" w:space="0" w:color="auto"/>
          </w:divBdr>
        </w:div>
        <w:div w:id="1174036021">
          <w:marLeft w:val="0"/>
          <w:marRight w:val="0"/>
          <w:marTop w:val="0"/>
          <w:marBottom w:val="0"/>
          <w:divBdr>
            <w:top w:val="none" w:sz="0" w:space="0" w:color="auto"/>
            <w:left w:val="none" w:sz="0" w:space="0" w:color="auto"/>
            <w:bottom w:val="none" w:sz="0" w:space="0" w:color="auto"/>
            <w:right w:val="none" w:sz="0" w:space="0" w:color="auto"/>
          </w:divBdr>
        </w:div>
        <w:div w:id="948581111">
          <w:marLeft w:val="0"/>
          <w:marRight w:val="0"/>
          <w:marTop w:val="0"/>
          <w:marBottom w:val="0"/>
          <w:divBdr>
            <w:top w:val="none" w:sz="0" w:space="0" w:color="auto"/>
            <w:left w:val="none" w:sz="0" w:space="0" w:color="auto"/>
            <w:bottom w:val="none" w:sz="0" w:space="0" w:color="auto"/>
            <w:right w:val="none" w:sz="0" w:space="0" w:color="auto"/>
          </w:divBdr>
        </w:div>
        <w:div w:id="1059746343">
          <w:marLeft w:val="0"/>
          <w:marRight w:val="0"/>
          <w:marTop w:val="0"/>
          <w:marBottom w:val="0"/>
          <w:divBdr>
            <w:top w:val="none" w:sz="0" w:space="0" w:color="auto"/>
            <w:left w:val="none" w:sz="0" w:space="0" w:color="auto"/>
            <w:bottom w:val="none" w:sz="0" w:space="0" w:color="auto"/>
            <w:right w:val="none" w:sz="0" w:space="0" w:color="auto"/>
          </w:divBdr>
        </w:div>
        <w:div w:id="1918319355">
          <w:marLeft w:val="0"/>
          <w:marRight w:val="0"/>
          <w:marTop w:val="0"/>
          <w:marBottom w:val="0"/>
          <w:divBdr>
            <w:top w:val="none" w:sz="0" w:space="0" w:color="auto"/>
            <w:left w:val="none" w:sz="0" w:space="0" w:color="auto"/>
            <w:bottom w:val="none" w:sz="0" w:space="0" w:color="auto"/>
            <w:right w:val="none" w:sz="0" w:space="0" w:color="auto"/>
          </w:divBdr>
        </w:div>
        <w:div w:id="1430468165">
          <w:marLeft w:val="0"/>
          <w:marRight w:val="0"/>
          <w:marTop w:val="0"/>
          <w:marBottom w:val="0"/>
          <w:divBdr>
            <w:top w:val="none" w:sz="0" w:space="0" w:color="auto"/>
            <w:left w:val="none" w:sz="0" w:space="0" w:color="auto"/>
            <w:bottom w:val="none" w:sz="0" w:space="0" w:color="auto"/>
            <w:right w:val="none" w:sz="0" w:space="0" w:color="auto"/>
          </w:divBdr>
        </w:div>
      </w:divsChild>
    </w:div>
    <w:div w:id="2091535617">
      <w:bodyDiv w:val="1"/>
      <w:marLeft w:val="0"/>
      <w:marRight w:val="0"/>
      <w:marTop w:val="0"/>
      <w:marBottom w:val="0"/>
      <w:divBdr>
        <w:top w:val="none" w:sz="0" w:space="0" w:color="auto"/>
        <w:left w:val="none" w:sz="0" w:space="0" w:color="auto"/>
        <w:bottom w:val="none" w:sz="0" w:space="0" w:color="auto"/>
        <w:right w:val="none" w:sz="0" w:space="0" w:color="auto"/>
      </w:divBdr>
      <w:divsChild>
        <w:div w:id="2142915977">
          <w:marLeft w:val="0"/>
          <w:marRight w:val="0"/>
          <w:marTop w:val="0"/>
          <w:marBottom w:val="0"/>
          <w:divBdr>
            <w:top w:val="none" w:sz="0" w:space="0" w:color="auto"/>
            <w:left w:val="none" w:sz="0" w:space="0" w:color="auto"/>
            <w:bottom w:val="none" w:sz="0" w:space="0" w:color="auto"/>
            <w:right w:val="none" w:sz="0" w:space="0" w:color="auto"/>
          </w:divBdr>
        </w:div>
        <w:div w:id="76769894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fsa.gov.uk/pages/Library/Communication/PR/2010/077.shtml" TargetMode="External"/><Relationship Id="rId2" Type="http://schemas.openxmlformats.org/officeDocument/2006/relationships/hyperlink" Target="http://www.fsa.gov.uk/Pages/handbook/index.shtml" TargetMode="External"/><Relationship Id="rId1" Type="http://schemas.openxmlformats.org/officeDocument/2006/relationships/hyperlink" Target="http://eca.europa.eu/portal/page/portal/aboutus" TargetMode="External"/><Relationship Id="rId4" Type="http://schemas.openxmlformats.org/officeDocument/2006/relationships/hyperlink" Target="http://www.fca.org.uk/about/what/protecting/financial-crimem%20accessed%20July%208%202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6618</Words>
  <Characters>37727</Characters>
  <Application>Microsoft Office Word</Application>
  <DocSecurity>4</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44257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Ester Herlin-Karnell</dc:creator>
  <cp:lastModifiedBy>Nicholas Ryder</cp:lastModifiedBy>
  <cp:revision>2</cp:revision>
  <cp:lastPrinted>2016-04-21T14:04:00Z</cp:lastPrinted>
  <dcterms:created xsi:type="dcterms:W3CDTF">2016-05-18T10:50:00Z</dcterms:created>
  <dcterms:modified xsi:type="dcterms:W3CDTF">2016-05-18T10:50:00Z</dcterms:modified>
</cp:coreProperties>
</file>